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832"/>
        <w:jc w:val="center"/>
        <w:rPr>
          <w:rFonts w:eastAsia="黑体"/>
          <w:color w:val="auto"/>
          <w:sz w:val="22"/>
          <w:szCs w:val="22"/>
        </w:rPr>
      </w:pPr>
      <w:bookmarkStart w:id="0" w:name="_GoBack"/>
      <w:bookmarkEnd w:id="0"/>
    </w:p>
    <w:p>
      <w:pPr>
        <w:ind w:right="-960"/>
        <w:rPr>
          <w:b/>
          <w:bCs/>
          <w:color w:val="auto"/>
          <w:spacing w:val="-14"/>
          <w:sz w:val="36"/>
          <w:szCs w:val="36"/>
        </w:rPr>
      </w:pPr>
      <w:r>
        <w:rPr>
          <w:rFonts w:hint="eastAsia"/>
          <w:color w:val="auto"/>
          <w:sz w:val="22"/>
          <w:szCs w:val="22"/>
        </w:rPr>
        <w:t>合同编号：</w:t>
      </w:r>
    </w:p>
    <w:p>
      <w:pPr>
        <w:spacing w:beforeLines="50"/>
        <w:ind w:right="-45"/>
        <w:jc w:val="center"/>
        <w:rPr>
          <w:rFonts w:eastAsia="黑体"/>
          <w:b/>
          <w:bCs/>
          <w:color w:val="auto"/>
          <w:spacing w:val="14"/>
          <w:sz w:val="36"/>
          <w:szCs w:val="36"/>
        </w:rPr>
      </w:pPr>
      <w:r>
        <w:rPr>
          <w:rFonts w:hint="eastAsia" w:eastAsia="黑体"/>
          <w:b/>
          <w:bCs/>
          <w:color w:val="auto"/>
          <w:spacing w:val="14"/>
          <w:sz w:val="36"/>
          <w:szCs w:val="36"/>
        </w:rPr>
        <w:t>产品保养服务合同</w:t>
      </w:r>
    </w:p>
    <w:p>
      <w:pPr>
        <w:spacing w:beforeLines="50"/>
        <w:ind w:right="-45"/>
        <w:jc w:val="center"/>
        <w:rPr>
          <w:rFonts w:eastAsia="黑体"/>
          <w:color w:val="auto"/>
          <w:spacing w:val="14"/>
          <w:sz w:val="36"/>
          <w:szCs w:val="36"/>
        </w:rPr>
      </w:pPr>
    </w:p>
    <w:tbl>
      <w:tblPr>
        <w:tblStyle w:val="16"/>
        <w:tblW w:w="9639" w:type="dxa"/>
        <w:tblInd w:w="57" w:type="dxa"/>
        <w:tblLayout w:type="fixed"/>
        <w:tblCellMar>
          <w:top w:w="0" w:type="dxa"/>
          <w:left w:w="57" w:type="dxa"/>
          <w:bottom w:w="0" w:type="dxa"/>
          <w:right w:w="57" w:type="dxa"/>
        </w:tblCellMar>
      </w:tblPr>
      <w:tblGrid>
        <w:gridCol w:w="4395"/>
        <w:gridCol w:w="368"/>
        <w:gridCol w:w="4876"/>
      </w:tblGrid>
      <w:tr>
        <w:tblPrEx>
          <w:tblLayout w:type="fixed"/>
          <w:tblCellMar>
            <w:top w:w="0" w:type="dxa"/>
            <w:left w:w="57" w:type="dxa"/>
            <w:bottom w:w="0" w:type="dxa"/>
            <w:right w:w="57" w:type="dxa"/>
          </w:tblCellMar>
        </w:tblPrEx>
        <w:tc>
          <w:tcPr>
            <w:tcW w:w="4395" w:type="dxa"/>
          </w:tcPr>
          <w:p>
            <w:pPr>
              <w:spacing w:after="120" w:line="440" w:lineRule="exact"/>
              <w:jc w:val="center"/>
              <w:rPr>
                <w:rFonts w:eastAsia="黑体"/>
                <w:color w:val="auto"/>
              </w:rPr>
            </w:pPr>
            <w:r>
              <w:rPr>
                <w:rFonts w:hint="eastAsia" w:eastAsia="黑体"/>
                <w:b/>
                <w:bCs/>
                <w:color w:val="auto"/>
                <w:sz w:val="28"/>
                <w:szCs w:val="28"/>
              </w:rPr>
              <w:t>甲方（委托方）</w:t>
            </w:r>
          </w:p>
        </w:tc>
        <w:tc>
          <w:tcPr>
            <w:tcW w:w="368" w:type="dxa"/>
          </w:tcPr>
          <w:p>
            <w:pPr>
              <w:rPr>
                <w:rFonts w:eastAsia="黑体"/>
                <w:color w:val="auto"/>
                <w:sz w:val="20"/>
              </w:rPr>
            </w:pPr>
          </w:p>
        </w:tc>
        <w:tc>
          <w:tcPr>
            <w:tcW w:w="4876" w:type="dxa"/>
          </w:tcPr>
          <w:p>
            <w:pPr>
              <w:spacing w:after="360" w:line="440" w:lineRule="exact"/>
              <w:jc w:val="center"/>
              <w:rPr>
                <w:rFonts w:eastAsia="黑体"/>
                <w:color w:val="auto"/>
              </w:rPr>
            </w:pPr>
            <w:r>
              <w:rPr>
                <w:rFonts w:hint="eastAsia" w:eastAsia="黑体"/>
                <w:b/>
                <w:bCs/>
                <w:color w:val="auto"/>
                <w:sz w:val="28"/>
                <w:szCs w:val="28"/>
              </w:rPr>
              <w:t>乙方（受托方）</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30"/>
                <w:kern w:val="0"/>
                <w:sz w:val="22"/>
                <w:szCs w:val="22"/>
                <w:fitText w:val="1100" w:id="0"/>
              </w:rPr>
              <w:t>单位名</w:t>
            </w:r>
            <w:r>
              <w:rPr>
                <w:rFonts w:hint="eastAsia"/>
                <w:color w:val="auto"/>
                <w:spacing w:val="7"/>
                <w:kern w:val="0"/>
                <w:sz w:val="22"/>
                <w:szCs w:val="22"/>
                <w:fitText w:val="1100" w:id="0"/>
              </w:rPr>
              <w:t>称</w:t>
            </w:r>
            <w:r>
              <w:rPr>
                <w:rFonts w:hint="eastAsia"/>
                <w:color w:val="auto"/>
                <w:spacing w:val="-30"/>
                <w:sz w:val="22"/>
                <w:szCs w:val="22"/>
              </w:rPr>
              <w:t>：</w:t>
            </w:r>
            <w:r>
              <w:rPr>
                <w:color w:val="auto"/>
                <w:sz w:val="20"/>
                <w:szCs w:val="20"/>
              </w:rPr>
              <w:t>(</w:t>
            </w:r>
            <w:r>
              <w:rPr>
                <w:rFonts w:hint="eastAsia"/>
                <w:color w:val="auto"/>
                <w:sz w:val="20"/>
                <w:szCs w:val="20"/>
              </w:rPr>
              <w:t>章</w:t>
            </w:r>
            <w:r>
              <w:rPr>
                <w:color w:val="auto"/>
                <w:sz w:val="20"/>
                <w:szCs w:val="20"/>
              </w:rPr>
              <w:t>)</w:t>
            </w:r>
            <w:r>
              <w:rPr>
                <w:rFonts w:hint="eastAsia"/>
                <w:color w:val="auto"/>
                <w:sz w:val="22"/>
                <w:szCs w:val="22"/>
                <w:u w:val="single"/>
              </w:rPr>
              <w:t xml:space="preserve">                   </w:t>
            </w:r>
            <w:r>
              <w:rPr>
                <w:color w:val="auto"/>
              </w:rPr>
              <w:t xml:space="preserve"> </w:t>
            </w:r>
          </w:p>
        </w:tc>
        <w:tc>
          <w:tcPr>
            <w:tcW w:w="368" w:type="dxa"/>
          </w:tcPr>
          <w:p>
            <w:pPr>
              <w:rPr>
                <w:color w:val="auto"/>
                <w:sz w:val="20"/>
              </w:rPr>
            </w:pPr>
          </w:p>
        </w:tc>
        <w:tc>
          <w:tcPr>
            <w:tcW w:w="4876" w:type="dxa"/>
          </w:tcPr>
          <w:p>
            <w:pPr>
              <w:spacing w:line="414" w:lineRule="exact"/>
              <w:rPr>
                <w:color w:val="auto"/>
                <w:u w:val="single"/>
              </w:rPr>
            </w:pPr>
            <w:r>
              <w:rPr>
                <w:rFonts w:hint="eastAsia"/>
                <w:color w:val="auto"/>
                <w:spacing w:val="30"/>
                <w:kern w:val="0"/>
                <w:sz w:val="22"/>
                <w:szCs w:val="22"/>
                <w:fitText w:val="1100" w:id="1"/>
              </w:rPr>
              <w:t>单位名</w:t>
            </w:r>
            <w:r>
              <w:rPr>
                <w:rFonts w:hint="eastAsia"/>
                <w:color w:val="auto"/>
                <w:spacing w:val="7"/>
                <w:kern w:val="0"/>
                <w:sz w:val="22"/>
                <w:szCs w:val="22"/>
                <w:fitText w:val="1100" w:id="1"/>
              </w:rPr>
              <w:t>称</w:t>
            </w:r>
            <w:r>
              <w:rPr>
                <w:rFonts w:hint="eastAsia"/>
                <w:color w:val="auto"/>
                <w:sz w:val="20"/>
                <w:szCs w:val="20"/>
              </w:rPr>
              <w:t>：</w:t>
            </w:r>
            <w:r>
              <w:rPr>
                <w:color w:val="auto"/>
                <w:sz w:val="20"/>
                <w:szCs w:val="20"/>
              </w:rPr>
              <w:t>(</w:t>
            </w:r>
            <w:r>
              <w:rPr>
                <w:rFonts w:hint="eastAsia"/>
                <w:color w:val="auto"/>
                <w:sz w:val="20"/>
                <w:szCs w:val="20"/>
              </w:rPr>
              <w:t>章</w:t>
            </w:r>
            <w:r>
              <w:rPr>
                <w:color w:val="auto"/>
                <w:sz w:val="20"/>
                <w:szCs w:val="20"/>
              </w:rPr>
              <w:t xml:space="preserve">) </w:t>
            </w:r>
            <w:r>
              <w:rPr>
                <w:rFonts w:hint="eastAsia"/>
                <w:color w:val="auto"/>
                <w:sz w:val="20"/>
                <w:szCs w:val="20"/>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30"/>
                <w:kern w:val="0"/>
                <w:sz w:val="22"/>
                <w:szCs w:val="22"/>
                <w:fitText w:val="1100" w:id="2"/>
              </w:rPr>
              <w:t>单位地</w:t>
            </w:r>
            <w:r>
              <w:rPr>
                <w:rFonts w:hint="eastAsia"/>
                <w:color w:val="auto"/>
                <w:spacing w:val="7"/>
                <w:kern w:val="0"/>
                <w:sz w:val="22"/>
                <w:szCs w:val="22"/>
                <w:fitText w:val="1100" w:id="2"/>
              </w:rPr>
              <w:t>址</w:t>
            </w:r>
            <w:r>
              <w:rPr>
                <w:rFonts w:hint="eastAsia"/>
                <w:color w:val="auto"/>
                <w:sz w:val="22"/>
                <w:szCs w:val="22"/>
              </w:rPr>
              <w:t>：</w:t>
            </w:r>
            <w:r>
              <w:rPr>
                <w:rFonts w:hint="eastAsia"/>
                <w:color w:val="auto"/>
                <w:sz w:val="22"/>
                <w:szCs w:val="22"/>
                <w:u w:val="single"/>
              </w:rPr>
              <w:t xml:space="preserve">                      </w:t>
            </w:r>
            <w:r>
              <w:rPr>
                <w:color w:val="auto"/>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spacing w:val="30"/>
                <w:kern w:val="0"/>
                <w:sz w:val="22"/>
                <w:szCs w:val="22"/>
                <w:fitText w:val="1100" w:id="3"/>
              </w:rPr>
              <w:t>单位地</w:t>
            </w:r>
            <w:r>
              <w:rPr>
                <w:rFonts w:hint="eastAsia"/>
                <w:color w:val="auto"/>
                <w:spacing w:val="7"/>
                <w:kern w:val="0"/>
                <w:sz w:val="22"/>
                <w:szCs w:val="22"/>
                <w:fitText w:val="1100" w:id="3"/>
              </w:rPr>
              <w:t>址</w:t>
            </w:r>
            <w:r>
              <w:rPr>
                <w:rFonts w:hint="eastAsia"/>
                <w:color w:val="auto"/>
                <w:sz w:val="22"/>
                <w:szCs w:val="22"/>
              </w:rPr>
              <w:t>：</w:t>
            </w:r>
            <w:r>
              <w:rPr>
                <w:rFonts w:hint="eastAsia"/>
                <w:color w:val="auto"/>
                <w:szCs w:val="21"/>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w w:val="97"/>
                <w:kern w:val="0"/>
                <w:sz w:val="22"/>
                <w:szCs w:val="22"/>
                <w:fitText w:val="1100" w:id="4"/>
              </w:rPr>
              <w:t>法定代表</w:t>
            </w:r>
            <w:r>
              <w:rPr>
                <w:rFonts w:hint="eastAsia"/>
                <w:color w:val="auto"/>
                <w:spacing w:val="22"/>
                <w:w w:val="97"/>
                <w:kern w:val="0"/>
                <w:sz w:val="22"/>
                <w:szCs w:val="22"/>
                <w:fitText w:val="1100" w:id="4"/>
              </w:rPr>
              <w:t>人</w:t>
            </w:r>
            <w:r>
              <w:rPr>
                <w:rFonts w:hint="eastAsia"/>
                <w:color w:val="auto"/>
                <w:sz w:val="22"/>
                <w:szCs w:val="22"/>
              </w:rPr>
              <w:t>：</w:t>
            </w:r>
            <w:r>
              <w:rPr>
                <w:rFonts w:hint="eastAsia"/>
                <w:color w:val="auto"/>
                <w:kern w:val="0"/>
                <w:sz w:val="22"/>
                <w:szCs w:val="22"/>
                <w:u w:val="single"/>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sz w:val="22"/>
                <w:szCs w:val="22"/>
              </w:rPr>
              <w:t>负  责  人：</w:t>
            </w:r>
            <w:r>
              <w:rPr>
                <w:rFonts w:hint="eastAsia"/>
                <w:color w:val="auto"/>
                <w:sz w:val="22"/>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w w:val="97"/>
                <w:kern w:val="0"/>
                <w:sz w:val="22"/>
                <w:szCs w:val="22"/>
                <w:fitText w:val="1100" w:id="5"/>
              </w:rPr>
              <w:t>法人委托</w:t>
            </w:r>
            <w:r>
              <w:rPr>
                <w:rFonts w:hint="eastAsia"/>
                <w:color w:val="auto"/>
                <w:spacing w:val="22"/>
                <w:w w:val="97"/>
                <w:kern w:val="0"/>
                <w:sz w:val="22"/>
                <w:szCs w:val="22"/>
                <w:fitText w:val="1100" w:id="5"/>
              </w:rPr>
              <w:t>人</w:t>
            </w:r>
            <w:r>
              <w:rPr>
                <w:rFonts w:hint="eastAsia"/>
                <w:color w:val="auto"/>
                <w:sz w:val="22"/>
                <w:szCs w:val="22"/>
              </w:rPr>
              <w:t>：</w:t>
            </w:r>
            <w:r>
              <w:rPr>
                <w:rFonts w:hint="eastAsia"/>
                <w:color w:val="auto"/>
                <w:sz w:val="22"/>
                <w:szCs w:val="22"/>
                <w:u w:val="single"/>
              </w:rPr>
              <w:t xml:space="preserve">         </w:t>
            </w:r>
            <w:r>
              <w:rPr>
                <w:rFonts w:hint="eastAsia"/>
                <w:color w:val="auto"/>
                <w:u w:val="single"/>
              </w:rPr>
              <w:t xml:space="preserve">            </w:t>
            </w:r>
            <w:r>
              <w:rPr>
                <w:rFonts w:hint="eastAsia"/>
                <w:color w:val="auto"/>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spacing w:val="30"/>
                <w:kern w:val="0"/>
                <w:sz w:val="22"/>
                <w:szCs w:val="22"/>
                <w:fitText w:val="1100" w:id="6"/>
              </w:rPr>
              <w:t>保养部</w:t>
            </w:r>
            <w:r>
              <w:rPr>
                <w:rFonts w:hint="eastAsia"/>
                <w:color w:val="auto"/>
                <w:spacing w:val="7"/>
                <w:kern w:val="0"/>
                <w:sz w:val="22"/>
                <w:szCs w:val="22"/>
                <w:fitText w:val="1100" w:id="6"/>
              </w:rPr>
              <w:t>门</w:t>
            </w:r>
            <w:r>
              <w:rPr>
                <w:rFonts w:hint="eastAsia"/>
                <w:color w:val="auto"/>
                <w:sz w:val="22"/>
                <w:szCs w:val="22"/>
              </w:rPr>
              <w:t>：</w:t>
            </w:r>
            <w:r>
              <w:rPr>
                <w:rFonts w:hint="eastAsia"/>
                <w:color w:val="auto"/>
                <w:kern w:val="0"/>
                <w:sz w:val="18"/>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110"/>
                <w:kern w:val="0"/>
                <w:sz w:val="22"/>
                <w:szCs w:val="22"/>
                <w:fitText w:val="1100" w:id="7"/>
              </w:rPr>
              <w:t>联系</w:t>
            </w:r>
            <w:r>
              <w:rPr>
                <w:rFonts w:hint="eastAsia"/>
                <w:color w:val="auto"/>
                <w:kern w:val="0"/>
                <w:sz w:val="22"/>
                <w:szCs w:val="22"/>
                <w:fitText w:val="1100" w:id="7"/>
              </w:rPr>
              <w:t>人</w:t>
            </w:r>
            <w:r>
              <w:rPr>
                <w:rFonts w:hint="eastAsia"/>
                <w:color w:val="auto"/>
                <w:sz w:val="22"/>
                <w:szCs w:val="22"/>
              </w:rPr>
              <w:t>：</w:t>
            </w:r>
            <w:r>
              <w:rPr>
                <w:rFonts w:hint="eastAsia"/>
                <w:color w:val="auto"/>
                <w:kern w:val="0"/>
                <w:sz w:val="22"/>
                <w:szCs w:val="22"/>
                <w:u w:val="single"/>
              </w:rPr>
              <w:t xml:space="preserve">                 </w:t>
            </w:r>
          </w:p>
        </w:tc>
        <w:tc>
          <w:tcPr>
            <w:tcW w:w="368" w:type="dxa"/>
          </w:tcPr>
          <w:p>
            <w:pPr>
              <w:spacing w:line="414" w:lineRule="exact"/>
              <w:rPr>
                <w:color w:val="auto"/>
              </w:rPr>
            </w:pPr>
          </w:p>
        </w:tc>
        <w:tc>
          <w:tcPr>
            <w:tcW w:w="4876" w:type="dxa"/>
          </w:tcPr>
          <w:p>
            <w:pPr>
              <w:spacing w:line="414" w:lineRule="exact"/>
              <w:rPr>
                <w:color w:val="auto"/>
              </w:rPr>
            </w:pPr>
            <w:r>
              <w:rPr>
                <w:rFonts w:hint="eastAsia"/>
                <w:color w:val="auto"/>
                <w:spacing w:val="210"/>
                <w:kern w:val="0"/>
                <w:sz w:val="22"/>
                <w:szCs w:val="22"/>
                <w:fitText w:val="880" w:id="8"/>
              </w:rPr>
              <w:t>地</w:t>
            </w:r>
            <w:r>
              <w:rPr>
                <w:rFonts w:hint="eastAsia"/>
                <w:color w:val="auto"/>
                <w:kern w:val="0"/>
                <w:sz w:val="22"/>
                <w:szCs w:val="22"/>
                <w:fitText w:val="880" w:id="8"/>
              </w:rPr>
              <w:t>址</w:t>
            </w:r>
            <w:r>
              <w:rPr>
                <w:rFonts w:hint="eastAsia"/>
                <w:color w:val="auto"/>
                <w:sz w:val="22"/>
                <w:szCs w:val="22"/>
              </w:rPr>
              <w:t>：</w:t>
            </w:r>
            <w:r>
              <w:rPr>
                <w:rFonts w:hint="eastAsia"/>
                <w:color w:val="auto"/>
                <w:szCs w:val="21"/>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rPr>
                <w:color w:val="auto"/>
              </w:rPr>
            </w:pPr>
            <w:r>
              <w:rPr>
                <w:rFonts w:hint="eastAsia"/>
                <w:color w:val="auto"/>
                <w:spacing w:val="330"/>
                <w:kern w:val="0"/>
                <w:fitText w:val="1100" w:id="9"/>
              </w:rPr>
              <w:t>电</w:t>
            </w:r>
            <w:r>
              <w:rPr>
                <w:rFonts w:hint="eastAsia"/>
                <w:color w:val="auto"/>
                <w:spacing w:val="7"/>
                <w:kern w:val="0"/>
                <w:fitText w:val="1100" w:id="9"/>
              </w:rPr>
              <w:t>话</w:t>
            </w:r>
            <w:r>
              <w:rPr>
                <w:rFonts w:hint="eastAsia"/>
                <w:color w:val="auto"/>
              </w:rPr>
              <w:t>：</w:t>
            </w:r>
            <w:r>
              <w:rPr>
                <w:rFonts w:hint="eastAsia"/>
                <w:color w:val="auto"/>
                <w:u w:val="single"/>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spacing w:val="210"/>
                <w:kern w:val="0"/>
                <w:sz w:val="22"/>
                <w:szCs w:val="22"/>
                <w:fitText w:val="880" w:id="10"/>
              </w:rPr>
              <w:t>电</w:t>
            </w:r>
            <w:r>
              <w:rPr>
                <w:rFonts w:hint="eastAsia"/>
                <w:color w:val="auto"/>
                <w:kern w:val="0"/>
                <w:sz w:val="22"/>
                <w:szCs w:val="22"/>
                <w:fitText w:val="880" w:id="10"/>
              </w:rPr>
              <w:t>话</w:t>
            </w:r>
            <w:r>
              <w:rPr>
                <w:rFonts w:hint="eastAsia"/>
                <w:color w:val="auto"/>
                <w:kern w:val="0"/>
                <w:sz w:val="22"/>
                <w:szCs w:val="22"/>
              </w:rPr>
              <w:t>：</w:t>
            </w:r>
            <w:r>
              <w:rPr>
                <w:rFonts w:hint="eastAsia"/>
                <w:color w:val="auto"/>
                <w:kern w:val="0"/>
                <w:sz w:val="22"/>
                <w:szCs w:val="22"/>
                <w:u w:val="single"/>
              </w:rPr>
              <w:t xml:space="preserve">           </w:t>
            </w:r>
            <w:r>
              <w:rPr>
                <w:rFonts w:hint="eastAsia"/>
                <w:color w:val="auto"/>
                <w:kern w:val="0"/>
                <w:sz w:val="22"/>
                <w:szCs w:val="22"/>
              </w:rPr>
              <w:t>邮政编码：</w:t>
            </w:r>
            <w:r>
              <w:rPr>
                <w:rFonts w:hint="eastAsia"/>
                <w:color w:val="auto"/>
                <w:kern w:val="0"/>
                <w:sz w:val="22"/>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pStyle w:val="23"/>
              <w:rPr>
                <w:color w:val="auto"/>
              </w:rPr>
            </w:pPr>
            <w:r>
              <w:rPr>
                <w:rFonts w:hint="eastAsia"/>
                <w:color w:val="auto"/>
                <w:spacing w:val="315"/>
                <w:sz w:val="22"/>
                <w:szCs w:val="22"/>
                <w:fitText w:val="1100" w:id="11"/>
              </w:rPr>
              <w:t>传</w:t>
            </w:r>
            <w:r>
              <w:rPr>
                <w:rFonts w:hint="eastAsia"/>
                <w:color w:val="auto"/>
                <w:spacing w:val="7"/>
                <w:sz w:val="22"/>
                <w:szCs w:val="22"/>
                <w:fitText w:val="1100" w:id="11"/>
              </w:rPr>
              <w:t>真</w:t>
            </w:r>
            <w:r>
              <w:rPr>
                <w:rFonts w:hint="eastAsia"/>
                <w:color w:val="auto"/>
                <w:sz w:val="22"/>
                <w:szCs w:val="22"/>
              </w:rPr>
              <w:t>：</w:t>
            </w:r>
            <w:r>
              <w:rPr>
                <w:rFonts w:hint="eastAsia"/>
                <w:color w:val="auto"/>
                <w:u w:val="single"/>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kern w:val="0"/>
                <w:sz w:val="22"/>
                <w:szCs w:val="22"/>
              </w:rPr>
              <w:t>急修电话：</w:t>
            </w:r>
            <w:r>
              <w:rPr>
                <w:rFonts w:hint="eastAsia"/>
                <w:color w:val="auto"/>
                <w:kern w:val="0"/>
                <w:sz w:val="22"/>
                <w:szCs w:val="22"/>
                <w:u w:val="single"/>
              </w:rPr>
              <w:t xml:space="preserve">             </w:t>
            </w:r>
            <w:r>
              <w:rPr>
                <w:rFonts w:hint="eastAsia"/>
                <w:color w:val="auto"/>
                <w:kern w:val="0"/>
                <w:sz w:val="22"/>
                <w:szCs w:val="22"/>
              </w:rPr>
              <w:t>传真：</w:t>
            </w:r>
            <w:r>
              <w:rPr>
                <w:rFonts w:hint="eastAsia"/>
                <w:color w:val="auto"/>
                <w:kern w:val="0"/>
                <w:sz w:val="22"/>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30"/>
                <w:kern w:val="0"/>
                <w:sz w:val="22"/>
                <w:szCs w:val="22"/>
                <w:fitText w:val="1100" w:id="12"/>
              </w:rPr>
              <w:t>邮政编</w:t>
            </w:r>
            <w:r>
              <w:rPr>
                <w:rFonts w:hint="eastAsia"/>
                <w:color w:val="auto"/>
                <w:spacing w:val="7"/>
                <w:kern w:val="0"/>
                <w:sz w:val="22"/>
                <w:szCs w:val="22"/>
                <w:fitText w:val="1100" w:id="12"/>
              </w:rPr>
              <w:t>码</w:t>
            </w:r>
            <w:r>
              <w:rPr>
                <w:rFonts w:hint="eastAsia"/>
                <w:color w:val="auto"/>
                <w:sz w:val="22"/>
                <w:szCs w:val="22"/>
              </w:rPr>
              <w:t>：</w:t>
            </w:r>
            <w:r>
              <w:rPr>
                <w:rFonts w:hint="eastAsia"/>
                <w:color w:val="auto"/>
                <w:kern w:val="0"/>
                <w:sz w:val="28"/>
                <w:szCs w:val="28"/>
                <w:u w:val="single"/>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w w:val="97"/>
                <w:kern w:val="0"/>
                <w:sz w:val="22"/>
                <w:szCs w:val="22"/>
                <w:fitText w:val="1100" w:id="13"/>
              </w:rPr>
              <w:t>法人委托</w:t>
            </w:r>
            <w:r>
              <w:rPr>
                <w:rFonts w:hint="eastAsia"/>
                <w:color w:val="auto"/>
                <w:spacing w:val="22"/>
                <w:w w:val="97"/>
                <w:kern w:val="0"/>
                <w:sz w:val="22"/>
                <w:szCs w:val="22"/>
                <w:fitText w:val="1100" w:id="13"/>
              </w:rPr>
              <w:t>人</w:t>
            </w:r>
            <w:r>
              <w:rPr>
                <w:rFonts w:hint="eastAsia"/>
                <w:color w:val="auto"/>
                <w:sz w:val="22"/>
                <w:szCs w:val="22"/>
              </w:rPr>
              <w:t>：</w:t>
            </w:r>
            <w:r>
              <w:rPr>
                <w:rFonts w:hint="eastAsia"/>
                <w:color w:val="auto"/>
                <w:spacing w:val="1710"/>
                <w:kern w:val="0"/>
                <w:sz w:val="22"/>
                <w:szCs w:val="22"/>
                <w:u w:val="single"/>
                <w:fitText w:val="1817" w:id="13"/>
              </w:rPr>
              <w:t xml:space="preserve"> </w:t>
            </w:r>
            <w:r>
              <w:rPr>
                <w:rFonts w:hint="eastAsia"/>
                <w:color w:val="auto"/>
                <w:kern w:val="0"/>
                <w:sz w:val="22"/>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110"/>
                <w:kern w:val="0"/>
                <w:sz w:val="22"/>
                <w:szCs w:val="22"/>
                <w:fitText w:val="1100" w:id="14"/>
              </w:rPr>
              <w:t>休息</w:t>
            </w:r>
            <w:r>
              <w:rPr>
                <w:rFonts w:hint="eastAsia"/>
                <w:color w:val="auto"/>
                <w:kern w:val="0"/>
                <w:sz w:val="22"/>
                <w:szCs w:val="22"/>
                <w:fitText w:val="1100" w:id="14"/>
              </w:rPr>
              <w:t>日</w:t>
            </w:r>
            <w:r>
              <w:rPr>
                <w:rFonts w:hint="eastAsia"/>
                <w:color w:val="auto"/>
                <w:sz w:val="22"/>
                <w:szCs w:val="22"/>
              </w:rPr>
              <w:t>：</w:t>
            </w:r>
            <w:r>
              <w:rPr>
                <w:rFonts w:hint="eastAsia"/>
                <w:color w:val="auto"/>
                <w:sz w:val="22"/>
                <w:szCs w:val="22"/>
                <w:u w:val="single"/>
              </w:rPr>
              <w:t xml:space="preserve">                     </w:t>
            </w:r>
            <w:r>
              <w:rPr>
                <w:rFonts w:hint="eastAsia"/>
                <w:color w:val="auto"/>
                <w:sz w:val="22"/>
                <w:szCs w:val="22"/>
              </w:rPr>
              <w:t xml:space="preserve"> </w:t>
            </w:r>
          </w:p>
        </w:tc>
        <w:tc>
          <w:tcPr>
            <w:tcW w:w="368" w:type="dxa"/>
          </w:tcPr>
          <w:p>
            <w:pPr>
              <w:rPr>
                <w:color w:val="auto"/>
                <w:sz w:val="20"/>
              </w:rPr>
            </w:pPr>
          </w:p>
        </w:tc>
        <w:tc>
          <w:tcPr>
            <w:tcW w:w="4876" w:type="dxa"/>
          </w:tcPr>
          <w:p>
            <w:pPr>
              <w:spacing w:line="414" w:lineRule="exact"/>
              <w:rPr>
                <w:color w:val="auto"/>
                <w:u w:val="single"/>
              </w:rPr>
            </w:pPr>
            <w:r>
              <w:rPr>
                <w:rFonts w:hint="eastAsia"/>
                <w:color w:val="auto"/>
                <w:spacing w:val="45"/>
                <w:kern w:val="0"/>
                <w:sz w:val="22"/>
                <w:szCs w:val="22"/>
                <w:fitText w:val="880" w:id="15"/>
              </w:rPr>
              <w:t>联系</w:t>
            </w:r>
            <w:r>
              <w:rPr>
                <w:rFonts w:hint="eastAsia"/>
                <w:color w:val="auto"/>
                <w:spacing w:val="7"/>
                <w:kern w:val="0"/>
                <w:sz w:val="22"/>
                <w:szCs w:val="22"/>
                <w:fitText w:val="880" w:id="15"/>
              </w:rPr>
              <w:t>人</w:t>
            </w:r>
            <w:r>
              <w:rPr>
                <w:rFonts w:hint="eastAsia"/>
                <w:color w:val="auto"/>
                <w:sz w:val="22"/>
                <w:szCs w:val="22"/>
              </w:rPr>
              <w:t>：</w:t>
            </w:r>
            <w:r>
              <w:rPr>
                <w:rFonts w:hint="eastAsia"/>
                <w:color w:val="auto"/>
                <w:sz w:val="22"/>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315"/>
                <w:kern w:val="0"/>
                <w:sz w:val="22"/>
                <w:szCs w:val="22"/>
                <w:fitText w:val="1100" w:id="16"/>
              </w:rPr>
              <w:t>户</w:t>
            </w:r>
            <w:r>
              <w:rPr>
                <w:rFonts w:hint="eastAsia"/>
                <w:color w:val="auto"/>
                <w:spacing w:val="7"/>
                <w:kern w:val="0"/>
                <w:sz w:val="22"/>
                <w:szCs w:val="22"/>
                <w:fitText w:val="1100" w:id="16"/>
              </w:rPr>
              <w:t>名</w:t>
            </w:r>
            <w:r>
              <w:rPr>
                <w:rFonts w:hint="eastAsia"/>
                <w:color w:val="auto"/>
                <w:sz w:val="22"/>
                <w:szCs w:val="22"/>
              </w:rPr>
              <w:t>：</w:t>
            </w:r>
            <w:r>
              <w:rPr>
                <w:rFonts w:hint="eastAsia"/>
                <w:color w:val="auto"/>
                <w:sz w:val="22"/>
                <w:szCs w:val="22"/>
                <w:u w:val="single"/>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spacing w:val="210"/>
                <w:kern w:val="0"/>
                <w:sz w:val="22"/>
                <w:szCs w:val="22"/>
                <w:fitText w:val="880" w:id="17"/>
              </w:rPr>
              <w:t>户</w:t>
            </w:r>
            <w:r>
              <w:rPr>
                <w:rFonts w:hint="eastAsia"/>
                <w:color w:val="auto"/>
                <w:kern w:val="0"/>
                <w:sz w:val="22"/>
                <w:szCs w:val="22"/>
                <w:fitText w:val="880" w:id="17"/>
              </w:rPr>
              <w:t>名</w:t>
            </w:r>
            <w:r>
              <w:rPr>
                <w:rFonts w:hint="eastAsia"/>
                <w:color w:val="auto"/>
                <w:kern w:val="0"/>
                <w:sz w:val="22"/>
                <w:szCs w:val="22"/>
              </w:rPr>
              <w:t>：</w:t>
            </w:r>
            <w:r>
              <w:rPr>
                <w:rFonts w:hint="eastAsia"/>
                <w:color w:val="auto"/>
                <w:kern w:val="0"/>
                <w:sz w:val="18"/>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30"/>
                <w:kern w:val="0"/>
                <w:sz w:val="22"/>
                <w:szCs w:val="22"/>
                <w:fitText w:val="1100" w:id="18"/>
              </w:rPr>
              <w:t>开户银</w:t>
            </w:r>
            <w:r>
              <w:rPr>
                <w:rFonts w:hint="eastAsia"/>
                <w:color w:val="auto"/>
                <w:spacing w:val="7"/>
                <w:kern w:val="0"/>
                <w:sz w:val="22"/>
                <w:szCs w:val="22"/>
                <w:fitText w:val="1100" w:id="18"/>
              </w:rPr>
              <w:t>行</w:t>
            </w:r>
            <w:r>
              <w:rPr>
                <w:rFonts w:hint="eastAsia"/>
                <w:color w:val="auto"/>
                <w:sz w:val="22"/>
                <w:szCs w:val="22"/>
              </w:rPr>
              <w:t>：</w:t>
            </w:r>
            <w:r>
              <w:rPr>
                <w:rFonts w:hint="eastAsia"/>
                <w:color w:val="auto"/>
                <w:sz w:val="20"/>
                <w:szCs w:val="20"/>
                <w:u w:val="single"/>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w w:val="96"/>
                <w:kern w:val="0"/>
                <w:sz w:val="22"/>
                <w:szCs w:val="22"/>
                <w:fitText w:val="880" w:id="19"/>
              </w:rPr>
              <w:t>开户银</w:t>
            </w:r>
            <w:r>
              <w:rPr>
                <w:rFonts w:hint="eastAsia"/>
                <w:color w:val="auto"/>
                <w:spacing w:val="15"/>
                <w:w w:val="96"/>
                <w:kern w:val="0"/>
                <w:sz w:val="22"/>
                <w:szCs w:val="22"/>
                <w:fitText w:val="880" w:id="19"/>
              </w:rPr>
              <w:t>行</w:t>
            </w:r>
            <w:r>
              <w:rPr>
                <w:rFonts w:hint="eastAsia"/>
                <w:color w:val="auto"/>
                <w:sz w:val="22"/>
                <w:szCs w:val="22"/>
              </w:rPr>
              <w:t>：</w:t>
            </w:r>
            <w:r>
              <w:rPr>
                <w:rFonts w:hint="eastAsia"/>
                <w:color w:val="auto"/>
                <w:sz w:val="22"/>
                <w:szCs w:val="22"/>
              </w:rPr>
              <w:t xml:space="preserve"> </w:t>
            </w:r>
            <w:r>
              <w:rPr>
                <w:rFonts w:hint="eastAsia"/>
                <w:color w:val="auto"/>
                <w:sz w:val="22"/>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rPr>
                <w:color w:val="auto"/>
              </w:rPr>
            </w:pPr>
            <w:r>
              <w:rPr>
                <w:rFonts w:hint="eastAsia"/>
                <w:color w:val="auto"/>
                <w:spacing w:val="315"/>
                <w:kern w:val="0"/>
                <w:sz w:val="22"/>
                <w:szCs w:val="22"/>
                <w:fitText w:val="1100" w:id="20"/>
              </w:rPr>
              <w:t>账</w:t>
            </w:r>
            <w:r>
              <w:rPr>
                <w:rFonts w:hint="eastAsia"/>
                <w:color w:val="auto"/>
                <w:spacing w:val="7"/>
                <w:kern w:val="0"/>
                <w:sz w:val="22"/>
                <w:szCs w:val="22"/>
                <w:fitText w:val="1100" w:id="20"/>
              </w:rPr>
              <w:t>号</w:t>
            </w:r>
            <w:r>
              <w:rPr>
                <w:rFonts w:hint="eastAsia"/>
                <w:color w:val="auto"/>
                <w:sz w:val="22"/>
                <w:szCs w:val="22"/>
              </w:rPr>
              <w:t>：</w:t>
            </w:r>
            <w:r>
              <w:rPr>
                <w:rFonts w:hint="eastAsia"/>
                <w:color w:val="auto"/>
                <w:sz w:val="22"/>
                <w:szCs w:val="22"/>
                <w:u w:val="single"/>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spacing w:val="210"/>
                <w:kern w:val="0"/>
                <w:sz w:val="22"/>
                <w:szCs w:val="22"/>
                <w:fitText w:val="880" w:id="21"/>
              </w:rPr>
              <w:t>账</w:t>
            </w:r>
            <w:r>
              <w:rPr>
                <w:rFonts w:hint="eastAsia"/>
                <w:color w:val="auto"/>
                <w:kern w:val="0"/>
                <w:sz w:val="22"/>
                <w:szCs w:val="22"/>
                <w:fitText w:val="880" w:id="21"/>
              </w:rPr>
              <w:t>号</w:t>
            </w:r>
            <w:r>
              <w:rPr>
                <w:rFonts w:hint="eastAsia"/>
                <w:color w:val="auto"/>
                <w:sz w:val="22"/>
                <w:szCs w:val="22"/>
              </w:rPr>
              <w:t>：</w:t>
            </w:r>
            <w:r>
              <w:rPr>
                <w:rFonts w:hint="eastAsia"/>
                <w:color w:val="auto"/>
                <w:sz w:val="22"/>
                <w:szCs w:val="22"/>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ind w:right="-53" w:rightChars="-25"/>
              <w:rPr>
                <w:color w:val="auto"/>
                <w:kern w:val="0"/>
                <w:sz w:val="22"/>
                <w:szCs w:val="22"/>
              </w:rPr>
            </w:pPr>
            <w:r>
              <w:rPr>
                <w:rFonts w:hint="eastAsia"/>
                <w:color w:val="auto"/>
                <w:kern w:val="0"/>
                <w:sz w:val="22"/>
                <w:szCs w:val="22"/>
              </w:rPr>
              <w:t>统一社会信用代码:</w:t>
            </w:r>
            <w:r>
              <w:rPr>
                <w:rFonts w:hint="eastAsia"/>
                <w:color w:val="auto"/>
                <w:kern w:val="0"/>
                <w:sz w:val="22"/>
                <w:szCs w:val="22"/>
                <w:u w:val="single"/>
              </w:rPr>
              <w:t xml:space="preserve">                 </w:t>
            </w:r>
          </w:p>
        </w:tc>
        <w:tc>
          <w:tcPr>
            <w:tcW w:w="368" w:type="dxa"/>
          </w:tcPr>
          <w:p>
            <w:pPr>
              <w:rPr>
                <w:color w:val="auto"/>
                <w:sz w:val="20"/>
              </w:rPr>
            </w:pPr>
          </w:p>
        </w:tc>
        <w:tc>
          <w:tcPr>
            <w:tcW w:w="4876" w:type="dxa"/>
          </w:tcPr>
          <w:p>
            <w:pPr>
              <w:spacing w:line="414" w:lineRule="exact"/>
              <w:rPr>
                <w:color w:val="auto"/>
                <w:kern w:val="0"/>
                <w:sz w:val="22"/>
                <w:szCs w:val="22"/>
              </w:rPr>
            </w:pPr>
            <w:r>
              <w:rPr>
                <w:rFonts w:hint="eastAsia"/>
                <w:color w:val="auto"/>
                <w:kern w:val="0"/>
                <w:sz w:val="22"/>
                <w:szCs w:val="22"/>
              </w:rPr>
              <w:t xml:space="preserve">统一社会信用代码: </w:t>
            </w:r>
            <w:r>
              <w:rPr>
                <w:rFonts w:hint="eastAsia"/>
                <w:color w:val="auto"/>
                <w:kern w:val="0"/>
                <w:szCs w:val="21"/>
                <w:u w:val="single"/>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ind w:right="-53" w:rightChars="-25"/>
              <w:rPr>
                <w:color w:val="auto"/>
                <w:kern w:val="0"/>
                <w:sz w:val="22"/>
                <w:szCs w:val="22"/>
              </w:rPr>
            </w:pPr>
            <w:r>
              <w:rPr>
                <w:rFonts w:hint="eastAsia"/>
                <w:color w:val="auto"/>
                <w:kern w:val="0"/>
                <w:sz w:val="22"/>
                <w:szCs w:val="22"/>
              </w:rPr>
              <w:t xml:space="preserve">纳税人代码:  </w:t>
            </w:r>
            <w:r>
              <w:rPr>
                <w:rFonts w:hint="eastAsia"/>
                <w:color w:val="auto"/>
                <w:kern w:val="0"/>
                <w:sz w:val="22"/>
                <w:szCs w:val="22"/>
                <w:u w:val="single"/>
              </w:rPr>
              <w:t xml:space="preserve">                    </w:t>
            </w:r>
            <w:r>
              <w:rPr>
                <w:rFonts w:hint="eastAsia"/>
                <w:color w:val="auto"/>
                <w:kern w:val="0"/>
                <w:sz w:val="22"/>
                <w:szCs w:val="22"/>
              </w:rPr>
              <w:t xml:space="preserve">      </w:t>
            </w:r>
          </w:p>
        </w:tc>
        <w:tc>
          <w:tcPr>
            <w:tcW w:w="368" w:type="dxa"/>
          </w:tcPr>
          <w:p>
            <w:pPr>
              <w:rPr>
                <w:color w:val="auto"/>
                <w:sz w:val="20"/>
              </w:rPr>
            </w:pPr>
          </w:p>
        </w:tc>
        <w:tc>
          <w:tcPr>
            <w:tcW w:w="4876" w:type="dxa"/>
          </w:tcPr>
          <w:p>
            <w:pPr>
              <w:spacing w:line="414" w:lineRule="exact"/>
              <w:rPr>
                <w:color w:val="auto"/>
                <w:kern w:val="0"/>
                <w:sz w:val="22"/>
                <w:szCs w:val="22"/>
                <w:u w:val="single"/>
              </w:rPr>
            </w:pPr>
            <w:r>
              <w:rPr>
                <w:rFonts w:hint="eastAsia"/>
                <w:color w:val="auto"/>
                <w:kern w:val="0"/>
                <w:sz w:val="22"/>
                <w:szCs w:val="22"/>
              </w:rPr>
              <w:t xml:space="preserve">纳税人代码: </w:t>
            </w:r>
            <w:r>
              <w:rPr>
                <w:rFonts w:hint="eastAsia"/>
                <w:color w:val="auto"/>
                <w:kern w:val="0"/>
                <w:sz w:val="22"/>
                <w:szCs w:val="22"/>
                <w:u w:val="single"/>
              </w:rPr>
              <w:t xml:space="preserve">                                 </w:t>
            </w:r>
            <w:r>
              <w:rPr>
                <w:rFonts w:hint="eastAsia"/>
                <w:color w:val="auto"/>
                <w:kern w:val="0"/>
                <w:sz w:val="22"/>
                <w:szCs w:val="22"/>
              </w:rPr>
              <w:t xml:space="preserve">      </w:t>
            </w:r>
          </w:p>
        </w:tc>
      </w:tr>
      <w:tr>
        <w:tblPrEx>
          <w:tblLayout w:type="fixed"/>
          <w:tblCellMar>
            <w:top w:w="0" w:type="dxa"/>
            <w:left w:w="0" w:type="dxa"/>
            <w:bottom w:w="0" w:type="dxa"/>
            <w:right w:w="0" w:type="dxa"/>
          </w:tblCellMar>
        </w:tblPrEx>
        <w:trPr>
          <w:trHeight w:val="539" w:hRule="exact"/>
        </w:trPr>
        <w:tc>
          <w:tcPr>
            <w:tcW w:w="4395" w:type="dxa"/>
          </w:tcPr>
          <w:p>
            <w:pPr>
              <w:spacing w:line="414" w:lineRule="exact"/>
              <w:ind w:right="-53" w:rightChars="-25"/>
              <w:rPr>
                <w:color w:val="auto"/>
              </w:rPr>
            </w:pPr>
            <w:r>
              <w:rPr>
                <w:rFonts w:hint="eastAsia"/>
                <w:color w:val="auto"/>
                <w:spacing w:val="30"/>
                <w:kern w:val="0"/>
                <w:sz w:val="22"/>
                <w:szCs w:val="22"/>
                <w:fitText w:val="1100" w:id="22"/>
              </w:rPr>
              <w:t>签约地</w:t>
            </w:r>
            <w:r>
              <w:rPr>
                <w:rFonts w:hint="eastAsia"/>
                <w:color w:val="auto"/>
                <w:spacing w:val="7"/>
                <w:kern w:val="0"/>
                <w:sz w:val="22"/>
                <w:szCs w:val="22"/>
                <w:fitText w:val="1100" w:id="22"/>
              </w:rPr>
              <w:t>点</w:t>
            </w:r>
            <w:r>
              <w:rPr>
                <w:rFonts w:hint="eastAsia"/>
                <w:color w:val="auto"/>
                <w:sz w:val="22"/>
                <w:szCs w:val="22"/>
              </w:rPr>
              <w:t>：</w:t>
            </w:r>
            <w:r>
              <w:rPr>
                <w:rFonts w:hint="eastAsia"/>
                <w:color w:val="auto"/>
                <w:sz w:val="22"/>
                <w:szCs w:val="22"/>
                <w:u w:val="single"/>
              </w:rPr>
              <w:t xml:space="preserve">                    </w:t>
            </w:r>
            <w:r>
              <w:rPr>
                <w:color w:val="auto"/>
              </w:rPr>
              <w:t xml:space="preserve"> </w:t>
            </w:r>
          </w:p>
        </w:tc>
        <w:tc>
          <w:tcPr>
            <w:tcW w:w="368" w:type="dxa"/>
          </w:tcPr>
          <w:p>
            <w:pPr>
              <w:rPr>
                <w:color w:val="auto"/>
                <w:sz w:val="20"/>
              </w:rPr>
            </w:pPr>
          </w:p>
        </w:tc>
        <w:tc>
          <w:tcPr>
            <w:tcW w:w="4876" w:type="dxa"/>
          </w:tcPr>
          <w:p>
            <w:pPr>
              <w:spacing w:line="414" w:lineRule="exact"/>
              <w:rPr>
                <w:color w:val="auto"/>
              </w:rPr>
            </w:pPr>
            <w:r>
              <w:rPr>
                <w:rFonts w:hint="eastAsia"/>
                <w:color w:val="auto"/>
                <w:kern w:val="0"/>
                <w:sz w:val="22"/>
                <w:szCs w:val="22"/>
              </w:rPr>
              <w:t>签订日期</w:t>
            </w:r>
            <w:r>
              <w:rPr>
                <w:rFonts w:hint="eastAsia"/>
                <w:color w:val="auto"/>
                <w:sz w:val="22"/>
                <w:szCs w:val="22"/>
              </w:rPr>
              <w:t>：</w:t>
            </w:r>
            <w:r>
              <w:rPr>
                <w:rFonts w:hint="eastAsia"/>
                <w:color w:val="auto"/>
                <w:sz w:val="22"/>
                <w:szCs w:val="22"/>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 xml:space="preserve"> 日</w:t>
            </w:r>
          </w:p>
        </w:tc>
      </w:tr>
    </w:tbl>
    <w:p>
      <w:pPr>
        <w:spacing w:after="120" w:line="260" w:lineRule="exact"/>
        <w:rPr>
          <w:b/>
          <w:bCs/>
          <w:color w:val="auto"/>
          <w:sz w:val="28"/>
          <w:szCs w:val="28"/>
        </w:rPr>
      </w:pPr>
    </w:p>
    <w:p>
      <w:pPr>
        <w:rPr>
          <w:color w:val="auto"/>
          <w:sz w:val="20"/>
          <w:szCs w:val="20"/>
        </w:rPr>
      </w:pPr>
      <w:r>
        <w:rPr>
          <w:rFonts w:hint="eastAsia"/>
          <w:color w:val="auto"/>
          <w:sz w:val="20"/>
          <w:szCs w:val="20"/>
        </w:rPr>
        <w:t>双方按照《中华人民共和国特种设备安全法》及相关法律法规、安全技术规范的规定，遵循公平、诚实和信用的原则，共同确定以下由乙方向甲方提供的产品保养服务内容条款。</w:t>
      </w:r>
    </w:p>
    <w:p>
      <w:pPr>
        <w:spacing w:line="160" w:lineRule="exact"/>
        <w:rPr>
          <w:color w:val="auto"/>
          <w:sz w:val="16"/>
          <w:szCs w:val="16"/>
        </w:rPr>
      </w:pPr>
    </w:p>
    <w:p>
      <w:pPr>
        <w:spacing w:line="440" w:lineRule="exact"/>
        <w:rPr>
          <w:rFonts w:eastAsia="黑体"/>
          <w:b/>
          <w:bCs/>
          <w:color w:val="auto"/>
          <w:sz w:val="20"/>
          <w:szCs w:val="20"/>
        </w:rPr>
      </w:pPr>
      <w:r>
        <w:rPr>
          <w:rFonts w:hint="eastAsia" w:eastAsia="黑体"/>
          <w:b/>
          <w:bCs/>
          <w:color w:val="auto"/>
          <w:sz w:val="20"/>
          <w:szCs w:val="20"/>
        </w:rPr>
        <w:t>一、本合同经双方代表签字并盖章后，符合本合同第二条的前提情况下生效。</w:t>
      </w:r>
    </w:p>
    <w:p>
      <w:pPr>
        <w:spacing w:line="440" w:lineRule="exact"/>
        <w:rPr>
          <w:color w:val="auto"/>
          <w:sz w:val="20"/>
          <w:szCs w:val="20"/>
        </w:rPr>
      </w:pPr>
      <w:r>
        <w:rPr>
          <w:rFonts w:hint="eastAsia" w:eastAsia="黑体"/>
          <w:b/>
          <w:bCs/>
          <w:color w:val="auto"/>
          <w:sz w:val="20"/>
          <w:szCs w:val="20"/>
        </w:rPr>
        <w:t>二、</w:t>
      </w:r>
      <w:r>
        <w:rPr>
          <w:rFonts w:hint="eastAsia"/>
          <w:color w:val="auto"/>
          <w:sz w:val="20"/>
          <w:szCs w:val="20"/>
        </w:rPr>
        <w:t>本合同内所述及的“电梯设备”是指在本合同中列出的、由甲方委托乙方保养的、已经政府主管部门检验合格并允许使用的各类乘客电梯、载货电梯、液压电梯、杂物电梯、自动扶梯和自动人行道等甲方设备的总称。</w:t>
      </w:r>
    </w:p>
    <w:p>
      <w:pPr>
        <w:spacing w:line="200" w:lineRule="exact"/>
        <w:ind w:right="-45"/>
        <w:rPr>
          <w:rFonts w:eastAsia="微软简粗黑"/>
          <w:color w:val="auto"/>
          <w:sz w:val="22"/>
          <w:szCs w:val="22"/>
        </w:rPr>
      </w:pPr>
    </w:p>
    <w:p>
      <w:pPr>
        <w:spacing w:line="200" w:lineRule="exact"/>
        <w:ind w:right="-45"/>
        <w:rPr>
          <w:rFonts w:eastAsia="微软简粗黑"/>
          <w:color w:val="auto"/>
          <w:sz w:val="22"/>
          <w:szCs w:val="22"/>
        </w:rPr>
      </w:pPr>
    </w:p>
    <w:p>
      <w:pPr>
        <w:spacing w:line="200" w:lineRule="exact"/>
        <w:ind w:right="-45"/>
        <w:rPr>
          <w:rFonts w:eastAsia="微软简粗黑"/>
          <w:color w:val="auto"/>
          <w:sz w:val="22"/>
          <w:szCs w:val="22"/>
        </w:rPr>
      </w:pPr>
      <w:r>
        <w:rPr>
          <w:rFonts w:eastAsia="微软简粗黑"/>
          <w:color w:val="auto"/>
          <w:sz w:val="22"/>
          <w:szCs w:val="22"/>
        </w:rPr>
        <w:br w:type="page"/>
      </w:r>
    </w:p>
    <w:p>
      <w:pPr>
        <w:spacing w:line="440" w:lineRule="exact"/>
        <w:rPr>
          <w:rFonts w:eastAsia="黑体"/>
          <w:b/>
          <w:bCs/>
          <w:color w:val="auto"/>
          <w:sz w:val="20"/>
          <w:szCs w:val="20"/>
        </w:rPr>
      </w:pPr>
      <w:r>
        <w:rPr>
          <w:rFonts w:hint="eastAsia" w:eastAsia="黑体"/>
          <w:b/>
          <w:bCs/>
          <w:color w:val="auto"/>
          <w:sz w:val="20"/>
          <w:szCs w:val="20"/>
        </w:rPr>
        <w:t>三、服务对象</w:t>
      </w:r>
    </w:p>
    <w:p>
      <w:pPr>
        <w:spacing w:line="440" w:lineRule="exact"/>
        <w:ind w:firstLine="405"/>
        <w:rPr>
          <w:rFonts w:ascii="文鼎CS中黑" w:eastAsia="文鼎CS中黑"/>
          <w:b/>
          <w:bCs/>
          <w:color w:val="auto"/>
          <w:sz w:val="20"/>
          <w:szCs w:val="20"/>
        </w:rPr>
      </w:pPr>
      <w:r>
        <w:rPr>
          <w:rFonts w:hint="eastAsia"/>
          <w:color w:val="auto"/>
          <w:sz w:val="20"/>
          <w:szCs w:val="20"/>
        </w:rPr>
        <w:t>甲方委托乙方对于</w:t>
      </w:r>
      <w:r>
        <w:rPr>
          <w:rFonts w:hint="eastAsia"/>
          <w:color w:val="auto"/>
          <w:sz w:val="20"/>
          <w:szCs w:val="20"/>
          <w:u w:val="single"/>
        </w:rPr>
        <w:t xml:space="preserve">       </w:t>
      </w:r>
      <w:r>
        <w:rPr>
          <w:rFonts w:hint="eastAsia"/>
          <w:color w:val="auto"/>
          <w:sz w:val="20"/>
          <w:szCs w:val="20"/>
        </w:rPr>
        <w:t>年安装的、位于地址</w:t>
      </w:r>
      <w:r>
        <w:rPr>
          <w:rFonts w:hint="eastAsia"/>
          <w:color w:val="auto"/>
          <w:sz w:val="20"/>
          <w:szCs w:val="20"/>
          <w:u w:val="single"/>
        </w:rPr>
        <w:t xml:space="preserve">               </w:t>
      </w:r>
      <w:r>
        <w:rPr>
          <w:rFonts w:hint="eastAsia" w:ascii="宋体"/>
          <w:color w:val="auto"/>
          <w:sz w:val="20"/>
          <w:szCs w:val="20"/>
        </w:rPr>
        <w:t>的名为</w:t>
      </w:r>
      <w:r>
        <w:rPr>
          <w:rFonts w:hint="eastAsia"/>
          <w:color w:val="auto"/>
          <w:szCs w:val="21"/>
          <w:u w:val="single"/>
        </w:rPr>
        <w:t xml:space="preserve">           </w:t>
      </w:r>
      <w:r>
        <w:rPr>
          <w:rFonts w:hint="eastAsia"/>
          <w:color w:val="auto"/>
          <w:sz w:val="20"/>
          <w:szCs w:val="20"/>
        </w:rPr>
        <w:t>建筑物内的共计</w:t>
      </w:r>
      <w:r>
        <w:rPr>
          <w:rFonts w:hint="eastAsia" w:ascii="创艺简宋体" w:eastAsia="创艺简宋体"/>
          <w:color w:val="auto"/>
          <w:sz w:val="20"/>
          <w:szCs w:val="20"/>
          <w:u w:val="single"/>
        </w:rPr>
        <w:t xml:space="preserve">     </w:t>
      </w:r>
      <w:r>
        <w:rPr>
          <w:rFonts w:hint="eastAsia"/>
          <w:color w:val="auto"/>
          <w:sz w:val="20"/>
          <w:szCs w:val="20"/>
        </w:rPr>
        <w:t>台</w:t>
      </w:r>
      <w:r>
        <w:rPr>
          <w:rFonts w:hint="eastAsia" w:ascii="文鼎CS中黑"/>
          <w:color w:val="auto"/>
          <w:sz w:val="20"/>
          <w:szCs w:val="20"/>
        </w:rPr>
        <w:t>电梯设备</w:t>
      </w:r>
      <w:r>
        <w:rPr>
          <w:rFonts w:hint="eastAsia"/>
          <w:color w:val="auto"/>
          <w:sz w:val="20"/>
          <w:szCs w:val="20"/>
        </w:rPr>
        <w:t>提供保养服务。（电梯设备的具体规格详见本合同条款：“八、电梯设备规格和服务费用”中表一所列）</w:t>
      </w:r>
    </w:p>
    <w:p>
      <w:pPr>
        <w:spacing w:line="440" w:lineRule="exact"/>
        <w:rPr>
          <w:rFonts w:eastAsia="黑体"/>
          <w:b/>
          <w:bCs/>
          <w:color w:val="auto"/>
          <w:sz w:val="20"/>
          <w:szCs w:val="20"/>
        </w:rPr>
      </w:pPr>
      <w:r>
        <w:rPr>
          <w:rFonts w:hint="eastAsia" w:eastAsia="黑体"/>
          <w:b/>
          <w:bCs/>
          <w:color w:val="auto"/>
          <w:sz w:val="20"/>
          <w:szCs w:val="20"/>
        </w:rPr>
        <w:t>四、服务期限</w:t>
      </w:r>
    </w:p>
    <w:p>
      <w:pPr>
        <w:ind w:right="-196"/>
        <w:rPr>
          <w:color w:val="auto"/>
          <w:sz w:val="18"/>
          <w:szCs w:val="18"/>
        </w:rPr>
      </w:pPr>
      <w:r>
        <w:rPr>
          <w:rFonts w:hint="eastAsia"/>
          <w:color w:val="auto"/>
          <w:sz w:val="20"/>
          <w:szCs w:val="20"/>
        </w:rPr>
        <w:t>自</w:t>
      </w:r>
      <w:r>
        <w:rPr>
          <w:rFonts w:hint="eastAsia" w:ascii="创艺简宋体" w:eastAsia="创艺简宋体"/>
          <w:color w:val="auto"/>
          <w:sz w:val="20"/>
          <w:szCs w:val="20"/>
          <w:u w:val="single"/>
        </w:rPr>
        <w:t xml:space="preserve">       </w:t>
      </w:r>
      <w:r>
        <w:rPr>
          <w:rFonts w:hint="eastAsia"/>
          <w:color w:val="auto"/>
          <w:sz w:val="20"/>
          <w:szCs w:val="20"/>
        </w:rPr>
        <w:t>年</w:t>
      </w:r>
      <w:r>
        <w:rPr>
          <w:rFonts w:hint="eastAsia" w:ascii="创艺简宋体" w:eastAsia="创艺简宋体"/>
          <w:color w:val="auto"/>
          <w:sz w:val="20"/>
          <w:szCs w:val="20"/>
          <w:u w:val="single"/>
        </w:rPr>
        <w:t xml:space="preserve">     </w:t>
      </w:r>
      <w:r>
        <w:rPr>
          <w:rFonts w:hint="eastAsia"/>
          <w:color w:val="auto"/>
          <w:sz w:val="20"/>
          <w:szCs w:val="20"/>
        </w:rPr>
        <w:t>月</w:t>
      </w:r>
      <w:r>
        <w:rPr>
          <w:rFonts w:hint="eastAsia" w:ascii="创艺简宋体" w:eastAsia="创艺简宋体"/>
          <w:color w:val="auto"/>
          <w:sz w:val="20"/>
          <w:szCs w:val="20"/>
          <w:u w:val="single"/>
        </w:rPr>
        <w:t xml:space="preserve">   </w:t>
      </w:r>
      <w:r>
        <w:rPr>
          <w:rFonts w:hint="eastAsia"/>
          <w:color w:val="auto"/>
          <w:sz w:val="20"/>
          <w:szCs w:val="20"/>
        </w:rPr>
        <w:t>日起至</w:t>
      </w:r>
      <w:r>
        <w:rPr>
          <w:rFonts w:hint="eastAsia" w:ascii="创艺简宋体" w:eastAsia="创艺简宋体"/>
          <w:color w:val="auto"/>
          <w:sz w:val="20"/>
          <w:szCs w:val="20"/>
          <w:u w:val="single"/>
        </w:rPr>
        <w:t xml:space="preserve">       </w:t>
      </w:r>
      <w:r>
        <w:rPr>
          <w:rFonts w:hint="eastAsia"/>
          <w:color w:val="auto"/>
          <w:sz w:val="20"/>
          <w:szCs w:val="20"/>
        </w:rPr>
        <w:t>年</w:t>
      </w:r>
      <w:r>
        <w:rPr>
          <w:rFonts w:hint="eastAsia" w:ascii="创艺简宋体" w:eastAsia="创艺简宋体"/>
          <w:color w:val="auto"/>
          <w:sz w:val="20"/>
          <w:szCs w:val="20"/>
          <w:u w:val="single"/>
        </w:rPr>
        <w:t xml:space="preserve">  </w:t>
      </w:r>
      <w:r>
        <w:rPr>
          <w:rFonts w:hint="eastAsia"/>
          <w:color w:val="auto"/>
          <w:sz w:val="20"/>
          <w:szCs w:val="20"/>
        </w:rPr>
        <w:t>月</w:t>
      </w:r>
      <w:r>
        <w:rPr>
          <w:rFonts w:hint="eastAsia" w:ascii="创艺简宋体" w:eastAsia="创艺简宋体"/>
          <w:color w:val="auto"/>
          <w:sz w:val="20"/>
          <w:szCs w:val="20"/>
          <w:u w:val="single"/>
        </w:rPr>
        <w:t xml:space="preserve">     </w:t>
      </w:r>
      <w:r>
        <w:rPr>
          <w:rFonts w:hint="eastAsia"/>
          <w:color w:val="auto"/>
          <w:sz w:val="20"/>
          <w:szCs w:val="20"/>
        </w:rPr>
        <w:t>日止。</w:t>
      </w:r>
    </w:p>
    <w:p>
      <w:pPr>
        <w:spacing w:line="348" w:lineRule="auto"/>
        <w:rPr>
          <w:rFonts w:eastAsia="黑体"/>
          <w:b/>
          <w:bCs/>
          <w:color w:val="auto"/>
          <w:sz w:val="20"/>
          <w:szCs w:val="20"/>
        </w:rPr>
      </w:pPr>
      <w:r>
        <w:rPr>
          <w:rFonts w:hint="eastAsia" w:eastAsia="黑体"/>
          <w:b/>
          <w:bCs/>
          <w:color w:val="auto"/>
          <w:sz w:val="20"/>
          <w:szCs w:val="20"/>
        </w:rPr>
        <w:t>五、服务时间</w:t>
      </w:r>
    </w:p>
    <w:p>
      <w:pPr>
        <w:spacing w:line="348" w:lineRule="auto"/>
        <w:ind w:left="600" w:hanging="600" w:hangingChars="300"/>
        <w:rPr>
          <w:color w:val="auto"/>
          <w:sz w:val="20"/>
          <w:szCs w:val="20"/>
        </w:rPr>
      </w:pPr>
      <w:r>
        <w:rPr>
          <w:color w:val="auto"/>
          <w:sz w:val="20"/>
          <w:szCs w:val="20"/>
        </w:rPr>
        <w:t xml:space="preserve">1 </w:t>
      </w:r>
      <w:r>
        <w:rPr>
          <w:rFonts w:hint="eastAsia"/>
          <w:color w:val="auto"/>
          <w:sz w:val="20"/>
          <w:szCs w:val="20"/>
        </w:rPr>
        <w:t>本合同提供的保养服务，确定在乙方的正常工作时间（周一至周五上午8：00——下午4：30）内进行，甲方若有特殊需要，乙方也可在正常工作时间以外的时间内提供服务，但需另行计费。</w:t>
      </w:r>
    </w:p>
    <w:p>
      <w:pPr>
        <w:tabs>
          <w:tab w:val="left" w:pos="840"/>
        </w:tabs>
        <w:spacing w:line="348" w:lineRule="auto"/>
        <w:ind w:left="840" w:hanging="840"/>
        <w:rPr>
          <w:color w:val="auto"/>
          <w:sz w:val="20"/>
          <w:szCs w:val="20"/>
        </w:rPr>
      </w:pPr>
      <w:r>
        <w:rPr>
          <w:color w:val="auto"/>
          <w:sz w:val="20"/>
          <w:szCs w:val="20"/>
        </w:rPr>
        <w:t>2</w:t>
      </w:r>
      <w:r>
        <w:rPr>
          <w:rFonts w:hint="eastAsia"/>
          <w:color w:val="auto"/>
          <w:sz w:val="20"/>
          <w:szCs w:val="20"/>
        </w:rPr>
        <w:t>本合同所保养的电梯设备，若发生故障需要应急处理时不受上述时间限制。</w:t>
      </w:r>
    </w:p>
    <w:p>
      <w:pPr>
        <w:tabs>
          <w:tab w:val="left" w:pos="840"/>
        </w:tabs>
        <w:spacing w:line="348" w:lineRule="auto"/>
        <w:ind w:left="840" w:hanging="840"/>
        <w:rPr>
          <w:color w:val="auto"/>
          <w:sz w:val="20"/>
          <w:szCs w:val="20"/>
        </w:rPr>
      </w:pPr>
      <w:r>
        <w:rPr>
          <w:rFonts w:hint="eastAsia"/>
          <w:color w:val="auto"/>
          <w:sz w:val="20"/>
          <w:szCs w:val="20"/>
        </w:rPr>
        <w:t xml:space="preserve">    3每</w:t>
      </w:r>
      <w:r>
        <w:rPr>
          <w:rFonts w:hint="eastAsia"/>
          <w:color w:val="auto"/>
          <w:sz w:val="20"/>
          <w:szCs w:val="20"/>
          <w:u w:val="single"/>
        </w:rPr>
        <w:t>15</w:t>
      </w:r>
      <w:r>
        <w:rPr>
          <w:rFonts w:hint="eastAsia"/>
          <w:color w:val="auto"/>
          <w:sz w:val="20"/>
          <w:szCs w:val="20"/>
        </w:rPr>
        <w:t>天1次根据国家有关的技术规范和乙方的工艺要求对电梯设备进行保养。</w:t>
      </w:r>
    </w:p>
    <w:p>
      <w:pPr>
        <w:spacing w:line="348" w:lineRule="auto"/>
        <w:rPr>
          <w:rFonts w:eastAsia="黑体"/>
          <w:b/>
          <w:bCs/>
          <w:color w:val="auto"/>
          <w:sz w:val="20"/>
          <w:szCs w:val="20"/>
        </w:rPr>
      </w:pPr>
      <w:r>
        <w:rPr>
          <w:rFonts w:hint="eastAsia" w:eastAsia="黑体"/>
          <w:b/>
          <w:bCs/>
          <w:color w:val="auto"/>
          <w:sz w:val="20"/>
          <w:szCs w:val="20"/>
        </w:rPr>
        <w:t>六、乙方的服务内容</w:t>
      </w:r>
    </w:p>
    <w:p>
      <w:pPr>
        <w:tabs>
          <w:tab w:val="left" w:pos="720"/>
        </w:tabs>
        <w:spacing w:line="348" w:lineRule="auto"/>
        <w:ind w:left="397" w:hanging="397"/>
        <w:rPr>
          <w:rFonts w:hint="eastAsia"/>
          <w:color w:val="auto"/>
          <w:sz w:val="20"/>
          <w:szCs w:val="20"/>
        </w:rPr>
      </w:pPr>
      <w:r>
        <w:rPr>
          <w:rFonts w:hint="eastAsia"/>
          <w:color w:val="auto"/>
          <w:sz w:val="20"/>
          <w:szCs w:val="20"/>
          <w:lang w:val="en-US" w:eastAsia="zh-CN"/>
        </w:rPr>
        <w:t xml:space="preserve">1. </w:t>
      </w:r>
      <w:r>
        <w:rPr>
          <w:rFonts w:hint="eastAsia"/>
          <w:color w:val="auto"/>
          <w:sz w:val="20"/>
          <w:szCs w:val="20"/>
        </w:rPr>
        <w:t>乙方</w:t>
      </w:r>
      <w:r>
        <w:rPr>
          <w:rFonts w:hint="eastAsia"/>
          <w:color w:val="auto"/>
          <w:sz w:val="20"/>
          <w:szCs w:val="20"/>
          <w:lang w:eastAsia="zh-CN"/>
        </w:rPr>
        <w:t>须</w:t>
      </w:r>
      <w:r>
        <w:rPr>
          <w:rFonts w:hint="eastAsia"/>
          <w:color w:val="auto"/>
          <w:sz w:val="20"/>
          <w:szCs w:val="20"/>
        </w:rPr>
        <w:t>按</w:t>
      </w:r>
      <w:r>
        <w:rPr>
          <w:rFonts w:hint="eastAsia"/>
          <w:color w:val="auto"/>
          <w:sz w:val="20"/>
          <w:szCs w:val="20"/>
          <w:lang w:eastAsia="zh-CN"/>
        </w:rPr>
        <w:t>招标文件规定和</w:t>
      </w:r>
      <w:r>
        <w:rPr>
          <w:rFonts w:hint="eastAsia"/>
          <w:color w:val="auto"/>
          <w:sz w:val="20"/>
          <w:szCs w:val="20"/>
        </w:rPr>
        <w:t>本合同</w:t>
      </w:r>
      <w:r>
        <w:rPr>
          <w:rFonts w:hint="eastAsia"/>
          <w:color w:val="auto"/>
          <w:sz w:val="20"/>
          <w:szCs w:val="20"/>
          <w:lang w:eastAsia="zh-CN"/>
        </w:rPr>
        <w:t>约定</w:t>
      </w:r>
      <w:r>
        <w:rPr>
          <w:rFonts w:hint="eastAsia"/>
          <w:color w:val="auto"/>
          <w:sz w:val="20"/>
          <w:szCs w:val="20"/>
        </w:rPr>
        <w:t>提供服务，具体服务</w:t>
      </w:r>
      <w:r>
        <w:rPr>
          <w:rFonts w:hint="eastAsia"/>
          <w:color w:val="auto"/>
          <w:sz w:val="20"/>
          <w:szCs w:val="20"/>
          <w:lang w:eastAsia="zh-CN"/>
        </w:rPr>
        <w:t>项目</w:t>
      </w:r>
      <w:r>
        <w:rPr>
          <w:rFonts w:hint="eastAsia"/>
          <w:color w:val="auto"/>
          <w:sz w:val="20"/>
          <w:szCs w:val="20"/>
        </w:rPr>
        <w:t>详见“附件一</w:t>
      </w:r>
      <w:r>
        <w:rPr>
          <w:rFonts w:hint="eastAsia" w:ascii="宋体" w:hAnsi="宋体"/>
          <w:color w:val="auto"/>
          <w:sz w:val="20"/>
          <w:szCs w:val="20"/>
        </w:rPr>
        <w:t>、</w:t>
      </w:r>
      <w:r>
        <w:rPr>
          <w:rFonts w:hint="eastAsia"/>
          <w:color w:val="auto"/>
          <w:sz w:val="20"/>
          <w:szCs w:val="20"/>
        </w:rPr>
        <w:t>附件二”。</w:t>
      </w:r>
    </w:p>
    <w:p>
      <w:pPr>
        <w:tabs>
          <w:tab w:val="left" w:pos="720"/>
        </w:tabs>
        <w:spacing w:line="348" w:lineRule="auto"/>
        <w:ind w:left="397" w:hanging="397"/>
        <w:rPr>
          <w:rFonts w:hint="eastAsia"/>
          <w:color w:val="auto"/>
          <w:sz w:val="20"/>
          <w:szCs w:val="20"/>
          <w:lang w:val="en-US" w:eastAsia="zh-CN"/>
        </w:rPr>
      </w:pPr>
      <w:r>
        <w:rPr>
          <w:rFonts w:hint="eastAsia"/>
          <w:color w:val="auto"/>
          <w:sz w:val="20"/>
          <w:szCs w:val="20"/>
          <w:lang w:val="en-US" w:eastAsia="zh-CN"/>
        </w:rPr>
        <w:t>2. 服务要求：</w:t>
      </w:r>
    </w:p>
    <w:p>
      <w:pPr>
        <w:widowControl/>
        <w:spacing w:line="400" w:lineRule="exact"/>
        <w:ind w:firstLine="420" w:firstLineChars="200"/>
        <w:jc w:val="left"/>
        <w:rPr>
          <w:rFonts w:hint="eastAsia"/>
          <w:color w:val="auto"/>
          <w:sz w:val="20"/>
          <w:szCs w:val="20"/>
          <w:lang w:val="en-US" w:eastAsia="zh-CN"/>
        </w:rPr>
      </w:pPr>
      <w:r>
        <w:rPr>
          <w:rFonts w:hint="eastAsia" w:ascii="仿宋_GB2312" w:hAnsi="仿宋_GB2312" w:eastAsia="仿宋_GB2312" w:cs="仿宋_GB2312"/>
          <w:color w:val="auto"/>
          <w:szCs w:val="21"/>
          <w:lang w:eastAsia="zh-CN"/>
        </w:rPr>
        <w:t>除正常维护保养服务外，乙方还</w:t>
      </w:r>
      <w:r>
        <w:rPr>
          <w:rFonts w:hint="eastAsia" w:ascii="仿宋_GB2312" w:hAnsi="仿宋_GB2312" w:eastAsia="仿宋_GB2312" w:cs="仿宋_GB2312"/>
          <w:color w:val="auto"/>
          <w:szCs w:val="21"/>
        </w:rPr>
        <w:t>须提供24小时的应急响应服务，且能在接到故障或事故报警后30分钟内到达现场，并能提供正常连续的服务直至故障或事故排除。对电梯困人事故要求在到达现场后10分钟内把乘客从轿厢中救出、对非电子板原因的常见故障要求在60分钟内排除，对电子板原因的故障应在5个日历日内解决。因维保单位自身原因超过上述时间要求响应或解决故障的，每出现一次按维保工程款的1%承担违约金，延误超过3日或同一故障维修3次仍不能解决的，合同授予方有权聘请其他单位完成，由此产生的费用由维保单位承担。经正常保养的电梯不能通过有关部门的定期审验的，维保单位无条件立即返工</w:t>
      </w:r>
      <w:r>
        <w:rPr>
          <w:rFonts w:hint="eastAsia" w:ascii="仿宋_GB2312" w:hAnsi="仿宋_GB2312" w:eastAsia="仿宋_GB2312" w:cs="仿宋_GB2312"/>
          <w:color w:val="auto"/>
          <w:szCs w:val="21"/>
          <w:lang w:eastAsia="zh-CN"/>
        </w:rPr>
        <w:t>至通过为止</w:t>
      </w:r>
      <w:r>
        <w:rPr>
          <w:rFonts w:hint="eastAsia" w:ascii="仿宋_GB2312" w:hAnsi="仿宋_GB2312" w:eastAsia="仿宋_GB2312" w:cs="仿宋_GB2312"/>
          <w:color w:val="auto"/>
          <w:szCs w:val="21"/>
        </w:rPr>
        <w:t>并承担费用。</w:t>
      </w:r>
    </w:p>
    <w:p>
      <w:pPr>
        <w:spacing w:line="348" w:lineRule="auto"/>
        <w:rPr>
          <w:rFonts w:eastAsia="黑体"/>
          <w:b/>
          <w:bCs/>
          <w:color w:val="auto"/>
          <w:sz w:val="20"/>
          <w:szCs w:val="20"/>
        </w:rPr>
      </w:pPr>
      <w:r>
        <w:rPr>
          <w:rFonts w:hint="eastAsia" w:eastAsia="黑体"/>
          <w:b/>
          <w:bCs/>
          <w:color w:val="auto"/>
          <w:sz w:val="20"/>
          <w:szCs w:val="20"/>
        </w:rPr>
        <w:t>七、双方责任</w:t>
      </w:r>
    </w:p>
    <w:p>
      <w:pPr>
        <w:spacing w:line="348" w:lineRule="auto"/>
        <w:rPr>
          <w:rFonts w:eastAsia="黑体"/>
          <w:b/>
          <w:bCs/>
          <w:color w:val="auto"/>
          <w:sz w:val="20"/>
          <w:szCs w:val="20"/>
        </w:rPr>
      </w:pPr>
      <w:r>
        <w:rPr>
          <w:rFonts w:hint="eastAsia" w:eastAsia="黑体"/>
          <w:b/>
          <w:bCs/>
          <w:color w:val="auto"/>
          <w:sz w:val="20"/>
          <w:szCs w:val="20"/>
        </w:rPr>
        <w:t>乙方的责任</w:t>
      </w:r>
    </w:p>
    <w:p>
      <w:pPr>
        <w:tabs>
          <w:tab w:val="left" w:pos="720"/>
        </w:tabs>
        <w:spacing w:line="348" w:lineRule="auto"/>
        <w:ind w:left="719" w:leftChars="207" w:hanging="284" w:hangingChars="142"/>
        <w:rPr>
          <w:color w:val="auto"/>
          <w:sz w:val="20"/>
          <w:szCs w:val="20"/>
        </w:rPr>
      </w:pPr>
      <w:r>
        <w:rPr>
          <w:color w:val="auto"/>
          <w:sz w:val="20"/>
          <w:szCs w:val="20"/>
        </w:rPr>
        <w:t xml:space="preserve">1 </w:t>
      </w:r>
      <w:r>
        <w:rPr>
          <w:rFonts w:hint="eastAsia"/>
          <w:color w:val="auto"/>
          <w:sz w:val="20"/>
          <w:szCs w:val="20"/>
        </w:rPr>
        <w:t>在提供服务时，当甲方保证提供实施服务条件的前提下，应严格遵守甲方有关的规章制度。</w:t>
      </w:r>
    </w:p>
    <w:p>
      <w:pPr>
        <w:ind w:firstLine="300" w:firstLineChars="150"/>
        <w:rPr>
          <w:color w:val="auto"/>
          <w:sz w:val="20"/>
          <w:szCs w:val="20"/>
        </w:rPr>
      </w:pPr>
      <w:r>
        <w:rPr>
          <w:rFonts w:hint="eastAsia"/>
          <w:color w:val="auto"/>
          <w:sz w:val="20"/>
          <w:szCs w:val="20"/>
        </w:rPr>
        <w:t xml:space="preserve"> 2 严格按照附件一规定的产品保养方式提供服务，并按照附件二</w:t>
      </w:r>
      <w:r>
        <w:rPr>
          <w:rFonts w:hint="eastAsia" w:ascii="宋体" w:hAnsi="宋体"/>
          <w:color w:val="auto"/>
          <w:sz w:val="20"/>
          <w:szCs w:val="20"/>
        </w:rPr>
        <w:t>“</w:t>
      </w:r>
      <w:r>
        <w:rPr>
          <w:rFonts w:hint="eastAsia"/>
          <w:color w:val="auto"/>
          <w:szCs w:val="21"/>
        </w:rPr>
        <w:t>电梯产品保养项目和</w:t>
      </w:r>
      <w:r>
        <w:rPr>
          <w:rFonts w:hint="eastAsia"/>
          <w:color w:val="auto"/>
        </w:rPr>
        <w:t>上海三菱电梯维护保养工作内容及规范</w:t>
      </w:r>
      <w:r>
        <w:rPr>
          <w:rFonts w:hint="eastAsia" w:ascii="宋体" w:hAnsi="宋体"/>
          <w:color w:val="auto"/>
          <w:szCs w:val="21"/>
        </w:rPr>
        <w:t>”及</w:t>
      </w:r>
      <w:r>
        <w:rPr>
          <w:rFonts w:hint="eastAsia"/>
          <w:color w:val="auto"/>
          <w:sz w:val="20"/>
          <w:szCs w:val="20"/>
        </w:rPr>
        <w:t>《产品保养年度作业计划表》所列的项目进行</w:t>
      </w:r>
      <w:r>
        <w:rPr>
          <w:color w:val="auto"/>
          <w:sz w:val="20"/>
          <w:szCs w:val="20"/>
        </w:rPr>
        <w:t>清洁、润滑、调整和检查</w:t>
      </w:r>
      <w:r>
        <w:rPr>
          <w:rFonts w:hint="eastAsia"/>
          <w:color w:val="auto"/>
          <w:sz w:val="20"/>
          <w:szCs w:val="20"/>
        </w:rPr>
        <w:t>等保养工作。</w:t>
      </w:r>
    </w:p>
    <w:p>
      <w:pPr>
        <w:tabs>
          <w:tab w:val="left" w:pos="840"/>
        </w:tabs>
        <w:spacing w:line="348" w:lineRule="auto"/>
        <w:ind w:left="584" w:hanging="584"/>
        <w:rPr>
          <w:color w:val="auto"/>
          <w:sz w:val="20"/>
          <w:szCs w:val="20"/>
        </w:rPr>
      </w:pPr>
      <w:r>
        <w:rPr>
          <w:rFonts w:hint="eastAsia"/>
          <w:color w:val="auto"/>
          <w:sz w:val="20"/>
          <w:szCs w:val="20"/>
        </w:rPr>
        <w:t xml:space="preserve">    3 按照本合同约定的保养方式，提供确保整机正常和安全的运行所需的备品配件。</w:t>
      </w:r>
    </w:p>
    <w:p>
      <w:pPr>
        <w:tabs>
          <w:tab w:val="left" w:pos="840"/>
        </w:tabs>
        <w:spacing w:line="348" w:lineRule="auto"/>
        <w:ind w:left="578" w:leftChars="204" w:hanging="150" w:hangingChars="75"/>
        <w:rPr>
          <w:color w:val="auto"/>
          <w:sz w:val="20"/>
          <w:szCs w:val="20"/>
        </w:rPr>
      </w:pPr>
      <w:r>
        <w:rPr>
          <w:color w:val="auto"/>
          <w:sz w:val="20"/>
          <w:szCs w:val="20"/>
        </w:rPr>
        <w:t>4</w:t>
      </w:r>
      <w:r>
        <w:rPr>
          <w:rFonts w:hint="eastAsia"/>
          <w:color w:val="auto"/>
          <w:sz w:val="20"/>
          <w:szCs w:val="20"/>
        </w:rPr>
        <w:t>配合政府主管部门对有效服务期内的电梯设备实施年检，对政府主管部门提出的涉及乙方保养环节、部位的整改内容、项目及时提供整改。</w:t>
      </w:r>
    </w:p>
    <w:p>
      <w:pPr>
        <w:tabs>
          <w:tab w:val="left" w:pos="840"/>
        </w:tabs>
        <w:spacing w:line="348" w:lineRule="auto"/>
        <w:ind w:left="580" w:hanging="580"/>
        <w:rPr>
          <w:color w:val="auto"/>
          <w:sz w:val="20"/>
          <w:szCs w:val="20"/>
        </w:rPr>
      </w:pPr>
      <w:r>
        <w:rPr>
          <w:rFonts w:hint="eastAsia"/>
          <w:color w:val="auto"/>
          <w:sz w:val="20"/>
          <w:szCs w:val="20"/>
        </w:rPr>
        <w:t xml:space="preserve">    5 在乙方按本合同规定提供有效服务期内，对存在的非保养责任故障，应及时书面通知甲方整改；当存在的故障可能严重影响电梯设备安全运行时，应及时通知甲方暂时停止使用该电梯设备。</w:t>
      </w:r>
    </w:p>
    <w:p>
      <w:pPr>
        <w:spacing w:line="348" w:lineRule="auto"/>
        <w:rPr>
          <w:rFonts w:eastAsia="黑体"/>
          <w:b/>
          <w:bCs/>
          <w:color w:val="auto"/>
          <w:sz w:val="20"/>
          <w:szCs w:val="20"/>
        </w:rPr>
      </w:pPr>
      <w:r>
        <w:rPr>
          <w:rFonts w:hint="eastAsia" w:eastAsia="黑体"/>
          <w:b/>
          <w:bCs/>
          <w:color w:val="auto"/>
          <w:sz w:val="20"/>
          <w:szCs w:val="20"/>
        </w:rPr>
        <w:t>甲方的责任</w:t>
      </w:r>
    </w:p>
    <w:p>
      <w:pPr>
        <w:tabs>
          <w:tab w:val="left" w:pos="315"/>
        </w:tabs>
        <w:spacing w:line="348" w:lineRule="auto"/>
        <w:ind w:left="587" w:leftChars="190" w:hanging="188" w:hangingChars="94"/>
        <w:rPr>
          <w:color w:val="auto"/>
          <w:sz w:val="20"/>
          <w:szCs w:val="20"/>
        </w:rPr>
      </w:pPr>
      <w:r>
        <w:rPr>
          <w:rFonts w:hint="eastAsia"/>
          <w:color w:val="auto"/>
          <w:sz w:val="20"/>
          <w:szCs w:val="20"/>
        </w:rPr>
        <w:t>1 甲方应按照《特种设备安全法》的规定，履行电梯使用单位的义务。在签订本合同时，甲方已经获得并知晓该《特种设备安全法》。</w:t>
      </w:r>
    </w:p>
    <w:p>
      <w:pPr>
        <w:tabs>
          <w:tab w:val="left" w:pos="315"/>
        </w:tabs>
        <w:spacing w:line="348" w:lineRule="auto"/>
        <w:ind w:left="587" w:leftChars="190" w:hanging="188" w:hangingChars="94"/>
        <w:rPr>
          <w:color w:val="auto"/>
          <w:sz w:val="20"/>
          <w:szCs w:val="20"/>
        </w:rPr>
      </w:pPr>
      <w:r>
        <w:rPr>
          <w:rFonts w:hint="eastAsia"/>
          <w:color w:val="auto"/>
          <w:sz w:val="20"/>
          <w:szCs w:val="20"/>
        </w:rPr>
        <w:t>2 负责按照政府主管部门对电梯设备日常管理的法规、规定和要求进行全面管理，对乙方的服务项目、服务内容和服务质量进行确认。</w:t>
      </w:r>
    </w:p>
    <w:p>
      <w:pPr>
        <w:tabs>
          <w:tab w:val="left" w:pos="315"/>
        </w:tabs>
        <w:spacing w:line="348" w:lineRule="auto"/>
        <w:ind w:left="587" w:leftChars="190" w:hanging="188" w:hangingChars="94"/>
        <w:rPr>
          <w:color w:val="auto"/>
          <w:sz w:val="20"/>
          <w:szCs w:val="20"/>
        </w:rPr>
      </w:pPr>
      <w:r>
        <w:rPr>
          <w:color w:val="auto"/>
          <w:sz w:val="20"/>
          <w:szCs w:val="20"/>
        </w:rPr>
        <w:t>3</w:t>
      </w:r>
      <w:r>
        <w:rPr>
          <w:rFonts w:hint="eastAsia"/>
          <w:color w:val="auto"/>
          <w:sz w:val="20"/>
          <w:szCs w:val="20"/>
        </w:rPr>
        <w:t>在乙方提供保养服务期间，负责给予乙方合理和充分的停梯时间并协助</w:t>
      </w:r>
      <w:r>
        <w:rPr>
          <w:rFonts w:hint="eastAsia"/>
          <w:color w:val="auto"/>
          <w:sz w:val="20"/>
          <w:szCs w:val="20"/>
          <w:lang w:eastAsia="zh-CN"/>
        </w:rPr>
        <w:t>乙方</w:t>
      </w:r>
      <w:r>
        <w:rPr>
          <w:rFonts w:hint="eastAsia"/>
          <w:color w:val="auto"/>
          <w:sz w:val="20"/>
          <w:szCs w:val="20"/>
        </w:rPr>
        <w:t>设置现场安全警示标志。</w:t>
      </w:r>
    </w:p>
    <w:p>
      <w:pPr>
        <w:tabs>
          <w:tab w:val="left" w:pos="315"/>
        </w:tabs>
        <w:spacing w:line="348" w:lineRule="auto"/>
        <w:ind w:left="587" w:leftChars="190" w:hanging="188" w:hangingChars="94"/>
        <w:rPr>
          <w:color w:val="auto"/>
          <w:sz w:val="20"/>
          <w:szCs w:val="20"/>
        </w:rPr>
      </w:pPr>
      <w:r>
        <w:rPr>
          <w:color w:val="auto"/>
          <w:sz w:val="20"/>
          <w:szCs w:val="20"/>
        </w:rPr>
        <w:t>4</w:t>
      </w:r>
      <w:r>
        <w:rPr>
          <w:rFonts w:hint="eastAsia"/>
          <w:color w:val="auto"/>
          <w:sz w:val="20"/>
          <w:szCs w:val="20"/>
        </w:rPr>
        <w:t>在有效服务期内，甲方若需对本合同电梯设备实施改造、修理、装饰、更换的，必须严格按国家有关法规、规章、规定实施，因非乙方实施的上述工程而影响到乙方保养电梯设备的使用性能和安全性能的，乙方不承担任何责任。</w:t>
      </w:r>
    </w:p>
    <w:p>
      <w:pPr>
        <w:tabs>
          <w:tab w:val="left" w:pos="315"/>
        </w:tabs>
        <w:spacing w:line="348" w:lineRule="auto"/>
        <w:ind w:left="587" w:leftChars="190" w:hanging="188" w:hangingChars="94"/>
        <w:rPr>
          <w:color w:val="auto"/>
          <w:sz w:val="20"/>
          <w:szCs w:val="20"/>
        </w:rPr>
      </w:pPr>
      <w:r>
        <w:rPr>
          <w:color w:val="auto"/>
          <w:sz w:val="20"/>
          <w:szCs w:val="20"/>
        </w:rPr>
        <w:t>5</w:t>
      </w:r>
      <w:r>
        <w:rPr>
          <w:rFonts w:hint="eastAsia"/>
          <w:color w:val="auto"/>
          <w:sz w:val="20"/>
          <w:szCs w:val="20"/>
        </w:rPr>
        <w:t>属甲方管理、使用不当、人为损坏、不可抗力或非保养范围内的原因，而导致电梯设备需要修理、更换的，应由甲方负责。在甲方与乙方签订《产品修理合同》后，由乙方实施修理、更换。</w:t>
      </w:r>
    </w:p>
    <w:p>
      <w:pPr>
        <w:tabs>
          <w:tab w:val="left" w:pos="840"/>
        </w:tabs>
        <w:spacing w:line="300" w:lineRule="auto"/>
        <w:rPr>
          <w:rFonts w:eastAsia="黑体"/>
          <w:b/>
          <w:bCs/>
          <w:color w:val="auto"/>
          <w:sz w:val="20"/>
          <w:szCs w:val="20"/>
        </w:rPr>
      </w:pPr>
      <w:r>
        <w:rPr>
          <w:rFonts w:hint="eastAsia" w:eastAsia="黑体"/>
          <w:b/>
          <w:bCs/>
          <w:color w:val="auto"/>
          <w:sz w:val="20"/>
          <w:szCs w:val="20"/>
        </w:rPr>
        <w:t>八</w:t>
      </w:r>
      <w:r>
        <w:rPr>
          <w:rFonts w:hint="eastAsia" w:eastAsia="黑体"/>
          <w:color w:val="auto"/>
          <w:sz w:val="20"/>
          <w:szCs w:val="20"/>
        </w:rPr>
        <w:t>、</w:t>
      </w:r>
      <w:r>
        <w:rPr>
          <w:rFonts w:hint="eastAsia" w:eastAsia="黑体"/>
          <w:b/>
          <w:bCs/>
          <w:color w:val="auto"/>
          <w:sz w:val="20"/>
          <w:szCs w:val="20"/>
        </w:rPr>
        <w:t>电梯设备规格及服务费用</w:t>
      </w:r>
    </w:p>
    <w:p>
      <w:pPr>
        <w:widowControl/>
        <w:snapToGrid w:val="0"/>
        <w:spacing w:after="60"/>
        <w:ind w:firstLine="201" w:firstLineChars="100"/>
        <w:rPr>
          <w:b/>
          <w:snapToGrid w:val="0"/>
          <w:color w:val="auto"/>
          <w:sz w:val="20"/>
          <w:szCs w:val="20"/>
        </w:rPr>
      </w:pPr>
      <w:r>
        <w:rPr>
          <w:rFonts w:hint="eastAsia"/>
          <w:b/>
          <w:snapToGrid w:val="0"/>
          <w:color w:val="auto"/>
          <w:sz w:val="20"/>
          <w:szCs w:val="20"/>
        </w:rPr>
        <w:t>电梯设备规格</w:t>
      </w:r>
    </w:p>
    <w:tbl>
      <w:tblPr>
        <w:tblStyle w:val="16"/>
        <w:tblW w:w="9520" w:type="dxa"/>
        <w:tblInd w:w="2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0"/>
        <w:gridCol w:w="646"/>
        <w:gridCol w:w="1701"/>
        <w:gridCol w:w="1134"/>
        <w:gridCol w:w="993"/>
        <w:gridCol w:w="1026"/>
        <w:gridCol w:w="705"/>
        <w:gridCol w:w="715"/>
        <w:gridCol w:w="695"/>
        <w:gridCol w:w="10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860" w:type="dxa"/>
            <w:tcBorders>
              <w:top w:val="single" w:color="auto" w:sz="12" w:space="0"/>
              <w:left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管理编号</w:t>
            </w:r>
          </w:p>
        </w:tc>
        <w:tc>
          <w:tcPr>
            <w:tcW w:w="646"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梯 号</w:t>
            </w:r>
          </w:p>
        </w:tc>
        <w:tc>
          <w:tcPr>
            <w:tcW w:w="1701"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买卖合同号</w:t>
            </w:r>
          </w:p>
        </w:tc>
        <w:tc>
          <w:tcPr>
            <w:tcW w:w="1134"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型  号</w:t>
            </w:r>
          </w:p>
        </w:tc>
        <w:tc>
          <w:tcPr>
            <w:tcW w:w="993"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速度</w:t>
            </w:r>
          </w:p>
          <w:p>
            <w:pPr>
              <w:widowControl/>
              <w:snapToGrid w:val="0"/>
              <w:jc w:val="center"/>
              <w:rPr>
                <w:rFonts w:eastAsia="黑体"/>
                <w:b/>
                <w:snapToGrid w:val="0"/>
                <w:color w:val="auto"/>
                <w:sz w:val="15"/>
              </w:rPr>
            </w:pPr>
            <w:r>
              <w:rPr>
                <w:rFonts w:hint="eastAsia" w:eastAsia="黑体"/>
                <w:b/>
                <w:snapToGrid w:val="0"/>
                <w:color w:val="auto"/>
                <w:sz w:val="15"/>
              </w:rPr>
              <w:t>（</w:t>
            </w:r>
            <w:r>
              <w:rPr>
                <w:rFonts w:eastAsia="黑体"/>
                <w:b/>
                <w:snapToGrid w:val="0"/>
                <w:color w:val="auto"/>
                <w:sz w:val="15"/>
              </w:rPr>
              <w:t>m</w:t>
            </w:r>
            <w:r>
              <w:rPr>
                <w:rFonts w:hint="eastAsia" w:eastAsia="黑体"/>
                <w:b/>
                <w:snapToGrid w:val="0"/>
                <w:color w:val="auto"/>
                <w:sz w:val="15"/>
              </w:rPr>
              <w:t>/</w:t>
            </w:r>
            <w:r>
              <w:rPr>
                <w:rFonts w:eastAsia="黑体"/>
                <w:b/>
                <w:snapToGrid w:val="0"/>
                <w:color w:val="auto"/>
                <w:sz w:val="15"/>
              </w:rPr>
              <w:t>s</w:t>
            </w:r>
            <w:r>
              <w:rPr>
                <w:rFonts w:hint="eastAsia" w:eastAsia="黑体"/>
                <w:b/>
                <w:snapToGrid w:val="0"/>
                <w:color w:val="auto"/>
                <w:sz w:val="15"/>
              </w:rPr>
              <w:t>）</w:t>
            </w:r>
          </w:p>
        </w:tc>
        <w:tc>
          <w:tcPr>
            <w:tcW w:w="1026"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层站</w:t>
            </w:r>
          </w:p>
          <w:p>
            <w:pPr>
              <w:widowControl/>
              <w:snapToGrid w:val="0"/>
              <w:jc w:val="center"/>
              <w:rPr>
                <w:rFonts w:ascii="黑体" w:eastAsia="黑体"/>
                <w:b/>
                <w:snapToGrid w:val="0"/>
                <w:color w:val="auto"/>
                <w:sz w:val="15"/>
              </w:rPr>
            </w:pPr>
            <w:r>
              <w:rPr>
                <w:rFonts w:hint="eastAsia" w:ascii="黑体" w:eastAsia="黑体"/>
                <w:b/>
                <w:snapToGrid w:val="0"/>
                <w:color w:val="auto"/>
                <w:sz w:val="15"/>
              </w:rPr>
              <w:t>（站/门）</w:t>
            </w:r>
          </w:p>
        </w:tc>
        <w:tc>
          <w:tcPr>
            <w:tcW w:w="705"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月价</w:t>
            </w:r>
          </w:p>
          <w:p>
            <w:pPr>
              <w:widowControl/>
              <w:snapToGrid w:val="0"/>
              <w:jc w:val="center"/>
              <w:rPr>
                <w:rFonts w:ascii="黑体" w:eastAsia="黑体"/>
                <w:b/>
                <w:snapToGrid w:val="0"/>
                <w:color w:val="auto"/>
                <w:sz w:val="15"/>
              </w:rPr>
            </w:pPr>
            <w:r>
              <w:rPr>
                <w:rFonts w:hint="eastAsia" w:ascii="黑体" w:eastAsia="黑体"/>
                <w:b/>
                <w:snapToGrid w:val="0"/>
                <w:color w:val="auto"/>
                <w:sz w:val="15"/>
              </w:rPr>
              <w:t>（元/台）</w:t>
            </w:r>
          </w:p>
        </w:tc>
        <w:tc>
          <w:tcPr>
            <w:tcW w:w="715"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数量</w:t>
            </w:r>
          </w:p>
          <w:p>
            <w:pPr>
              <w:widowControl/>
              <w:snapToGrid w:val="0"/>
              <w:jc w:val="center"/>
              <w:rPr>
                <w:rFonts w:ascii="黑体" w:eastAsia="黑体"/>
                <w:b/>
                <w:snapToGrid w:val="0"/>
                <w:color w:val="auto"/>
                <w:sz w:val="18"/>
              </w:rPr>
            </w:pPr>
            <w:r>
              <w:rPr>
                <w:rFonts w:hint="eastAsia" w:ascii="黑体" w:eastAsia="黑体"/>
                <w:b/>
                <w:snapToGrid w:val="0"/>
                <w:color w:val="auto"/>
                <w:sz w:val="15"/>
              </w:rPr>
              <w:t>（台）</w:t>
            </w:r>
          </w:p>
        </w:tc>
        <w:tc>
          <w:tcPr>
            <w:tcW w:w="695" w:type="dxa"/>
            <w:tcBorders>
              <w:top w:val="single" w:color="auto" w:sz="12" w:space="0"/>
              <w:bottom w:val="double" w:color="auto" w:sz="4"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服务期</w:t>
            </w:r>
          </w:p>
          <w:p>
            <w:pPr>
              <w:widowControl/>
              <w:snapToGrid w:val="0"/>
              <w:jc w:val="center"/>
              <w:rPr>
                <w:rFonts w:ascii="黑体" w:eastAsia="黑体"/>
                <w:b/>
                <w:snapToGrid w:val="0"/>
                <w:color w:val="auto"/>
                <w:sz w:val="15"/>
              </w:rPr>
            </w:pPr>
            <w:r>
              <w:rPr>
                <w:rFonts w:hint="eastAsia" w:ascii="黑体" w:eastAsia="黑体"/>
                <w:b/>
                <w:snapToGrid w:val="0"/>
                <w:color w:val="auto"/>
                <w:sz w:val="15"/>
              </w:rPr>
              <w:t>（月）</w:t>
            </w:r>
          </w:p>
        </w:tc>
        <w:tc>
          <w:tcPr>
            <w:tcW w:w="1045" w:type="dxa"/>
            <w:tcBorders>
              <w:top w:val="single" w:color="auto" w:sz="12" w:space="0"/>
              <w:bottom w:val="double" w:color="auto" w:sz="4" w:space="0"/>
              <w:right w:val="single" w:color="auto" w:sz="12" w:space="0"/>
            </w:tcBorders>
            <w:vAlign w:val="center"/>
          </w:tcPr>
          <w:p>
            <w:pPr>
              <w:widowControl/>
              <w:snapToGrid w:val="0"/>
              <w:jc w:val="center"/>
              <w:rPr>
                <w:rFonts w:ascii="黑体" w:eastAsia="黑体"/>
                <w:b/>
                <w:snapToGrid w:val="0"/>
                <w:color w:val="auto"/>
                <w:sz w:val="18"/>
              </w:rPr>
            </w:pPr>
            <w:r>
              <w:rPr>
                <w:rFonts w:hint="eastAsia" w:ascii="黑体" w:eastAsia="黑体"/>
                <w:b/>
                <w:snapToGrid w:val="0"/>
                <w:color w:val="auto"/>
                <w:sz w:val="18"/>
              </w:rPr>
              <w:t>小计</w:t>
            </w:r>
          </w:p>
          <w:p>
            <w:pPr>
              <w:widowControl/>
              <w:snapToGrid w:val="0"/>
              <w:jc w:val="center"/>
              <w:rPr>
                <w:rFonts w:ascii="黑体" w:eastAsia="黑体"/>
                <w:b/>
                <w:snapToGrid w:val="0"/>
                <w:color w:val="auto"/>
                <w:sz w:val="18"/>
              </w:rPr>
            </w:pPr>
            <w:r>
              <w:rPr>
                <w:rFonts w:hint="eastAsia" w:ascii="黑体" w:eastAsia="黑体"/>
                <w:b/>
                <w:snapToGrid w:val="0"/>
                <w:color w:val="auto"/>
                <w:sz w:val="15"/>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860" w:type="dxa"/>
            <w:tcBorders>
              <w:top w:val="double" w:color="auto" w:sz="4" w:space="0"/>
              <w:left w:val="single" w:color="auto" w:sz="12" w:space="0"/>
            </w:tcBorders>
            <w:vAlign w:val="center"/>
          </w:tcPr>
          <w:p>
            <w:pPr>
              <w:widowControl/>
              <w:snapToGrid w:val="0"/>
              <w:jc w:val="center"/>
              <w:rPr>
                <w:rFonts w:ascii="黑体" w:eastAsia="黑体"/>
                <w:snapToGrid w:val="0"/>
                <w:color w:val="auto"/>
              </w:rPr>
            </w:pPr>
          </w:p>
        </w:tc>
        <w:tc>
          <w:tcPr>
            <w:tcW w:w="646" w:type="dxa"/>
            <w:tcBorders>
              <w:top w:val="double" w:color="auto" w:sz="4" w:space="0"/>
            </w:tcBorders>
            <w:vAlign w:val="center"/>
          </w:tcPr>
          <w:p>
            <w:pPr>
              <w:widowControl/>
              <w:snapToGrid w:val="0"/>
              <w:jc w:val="center"/>
              <w:rPr>
                <w:rFonts w:ascii="黑体" w:eastAsia="黑体"/>
                <w:snapToGrid w:val="0"/>
                <w:color w:val="auto"/>
              </w:rPr>
            </w:pPr>
          </w:p>
        </w:tc>
        <w:tc>
          <w:tcPr>
            <w:tcW w:w="1701" w:type="dxa"/>
            <w:tcBorders>
              <w:top w:val="double" w:color="auto" w:sz="4" w:space="0"/>
            </w:tcBorders>
            <w:vAlign w:val="center"/>
          </w:tcPr>
          <w:p>
            <w:pPr>
              <w:jc w:val="center"/>
              <w:rPr>
                <w:rFonts w:ascii="宋体" w:hAnsi="宋体" w:cs="宋体"/>
                <w:color w:val="auto"/>
                <w:sz w:val="22"/>
                <w:szCs w:val="22"/>
              </w:rPr>
            </w:pPr>
          </w:p>
        </w:tc>
        <w:tc>
          <w:tcPr>
            <w:tcW w:w="1134" w:type="dxa"/>
            <w:tcBorders>
              <w:top w:val="double" w:color="auto" w:sz="4" w:space="0"/>
            </w:tcBorders>
            <w:vAlign w:val="center"/>
          </w:tcPr>
          <w:p>
            <w:pPr>
              <w:widowControl/>
              <w:snapToGrid w:val="0"/>
              <w:jc w:val="center"/>
              <w:rPr>
                <w:rFonts w:ascii="黑体" w:eastAsia="黑体"/>
                <w:snapToGrid w:val="0"/>
                <w:color w:val="auto"/>
              </w:rPr>
            </w:pPr>
          </w:p>
        </w:tc>
        <w:tc>
          <w:tcPr>
            <w:tcW w:w="993" w:type="dxa"/>
            <w:tcBorders>
              <w:top w:val="double" w:color="auto" w:sz="4" w:space="0"/>
            </w:tcBorders>
            <w:vAlign w:val="center"/>
          </w:tcPr>
          <w:p>
            <w:pPr>
              <w:widowControl/>
              <w:snapToGrid w:val="0"/>
              <w:jc w:val="center"/>
              <w:rPr>
                <w:rFonts w:eastAsia="黑体"/>
                <w:snapToGrid w:val="0"/>
                <w:color w:val="auto"/>
              </w:rPr>
            </w:pPr>
          </w:p>
        </w:tc>
        <w:tc>
          <w:tcPr>
            <w:tcW w:w="1026" w:type="dxa"/>
            <w:tcBorders>
              <w:top w:val="double" w:color="auto" w:sz="4" w:space="0"/>
            </w:tcBorders>
            <w:vAlign w:val="center"/>
          </w:tcPr>
          <w:p>
            <w:pPr>
              <w:widowControl/>
              <w:snapToGrid w:val="0"/>
              <w:jc w:val="center"/>
              <w:rPr>
                <w:rFonts w:ascii="黑体" w:eastAsia="黑体"/>
                <w:snapToGrid w:val="0"/>
                <w:color w:val="auto"/>
              </w:rPr>
            </w:pPr>
          </w:p>
        </w:tc>
        <w:tc>
          <w:tcPr>
            <w:tcW w:w="705" w:type="dxa"/>
            <w:tcBorders>
              <w:top w:val="double" w:color="auto" w:sz="4" w:space="0"/>
            </w:tcBorders>
            <w:vAlign w:val="center"/>
          </w:tcPr>
          <w:p>
            <w:pPr>
              <w:widowControl/>
              <w:snapToGrid w:val="0"/>
              <w:jc w:val="center"/>
              <w:rPr>
                <w:rFonts w:ascii="黑体" w:eastAsia="黑体"/>
                <w:snapToGrid w:val="0"/>
                <w:color w:val="auto"/>
              </w:rPr>
            </w:pPr>
          </w:p>
        </w:tc>
        <w:tc>
          <w:tcPr>
            <w:tcW w:w="715" w:type="dxa"/>
            <w:tcBorders>
              <w:top w:val="double" w:color="auto" w:sz="4" w:space="0"/>
            </w:tcBorders>
            <w:vAlign w:val="center"/>
          </w:tcPr>
          <w:p>
            <w:pPr>
              <w:widowControl/>
              <w:snapToGrid w:val="0"/>
              <w:jc w:val="center"/>
              <w:rPr>
                <w:rFonts w:ascii="黑体" w:eastAsia="黑体"/>
                <w:snapToGrid w:val="0"/>
                <w:color w:val="auto"/>
              </w:rPr>
            </w:pPr>
          </w:p>
        </w:tc>
        <w:tc>
          <w:tcPr>
            <w:tcW w:w="695" w:type="dxa"/>
            <w:tcBorders>
              <w:top w:val="double" w:color="auto" w:sz="4" w:space="0"/>
            </w:tcBorders>
            <w:vAlign w:val="center"/>
          </w:tcPr>
          <w:p>
            <w:pPr>
              <w:widowControl/>
              <w:snapToGrid w:val="0"/>
              <w:jc w:val="center"/>
              <w:rPr>
                <w:rFonts w:ascii="黑体" w:eastAsia="黑体"/>
                <w:snapToGrid w:val="0"/>
                <w:color w:val="auto"/>
              </w:rPr>
            </w:pPr>
          </w:p>
        </w:tc>
        <w:tc>
          <w:tcPr>
            <w:tcW w:w="1045" w:type="dxa"/>
            <w:tcBorders>
              <w:top w:val="double" w:color="auto" w:sz="4" w:space="0"/>
              <w:right w:val="single" w:color="auto" w:sz="12" w:space="0"/>
            </w:tcBorders>
            <w:vAlign w:val="center"/>
          </w:tcPr>
          <w:p>
            <w:pPr>
              <w:widowControl/>
              <w:snapToGrid w:val="0"/>
              <w:jc w:val="center"/>
              <w:rPr>
                <w:rFonts w:ascii="黑体" w:eastAsia="黑体"/>
                <w:snapToGrid w:val="0"/>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860" w:type="dxa"/>
            <w:tcBorders>
              <w:left w:val="single" w:color="auto" w:sz="12" w:space="0"/>
            </w:tcBorders>
            <w:vAlign w:val="center"/>
          </w:tcPr>
          <w:p>
            <w:pPr>
              <w:widowControl/>
              <w:snapToGrid w:val="0"/>
              <w:jc w:val="center"/>
              <w:rPr>
                <w:rFonts w:ascii="黑体" w:eastAsia="黑体"/>
                <w:snapToGrid w:val="0"/>
                <w:color w:val="auto"/>
              </w:rPr>
            </w:pPr>
          </w:p>
        </w:tc>
        <w:tc>
          <w:tcPr>
            <w:tcW w:w="646" w:type="dxa"/>
            <w:vAlign w:val="center"/>
          </w:tcPr>
          <w:p>
            <w:pPr>
              <w:widowControl/>
              <w:snapToGrid w:val="0"/>
              <w:jc w:val="center"/>
              <w:rPr>
                <w:rFonts w:ascii="黑体" w:eastAsia="黑体"/>
                <w:snapToGrid w:val="0"/>
                <w:color w:val="auto"/>
              </w:rPr>
            </w:pPr>
          </w:p>
        </w:tc>
        <w:tc>
          <w:tcPr>
            <w:tcW w:w="1701" w:type="dxa"/>
            <w:vAlign w:val="center"/>
          </w:tcPr>
          <w:p>
            <w:pPr>
              <w:jc w:val="center"/>
              <w:rPr>
                <w:rFonts w:ascii="宋体" w:hAnsi="宋体" w:cs="宋体"/>
                <w:color w:val="auto"/>
                <w:sz w:val="22"/>
                <w:szCs w:val="22"/>
              </w:rPr>
            </w:pPr>
          </w:p>
        </w:tc>
        <w:tc>
          <w:tcPr>
            <w:tcW w:w="1134" w:type="dxa"/>
            <w:vAlign w:val="center"/>
          </w:tcPr>
          <w:p>
            <w:pPr>
              <w:widowControl/>
              <w:snapToGrid w:val="0"/>
              <w:jc w:val="center"/>
              <w:rPr>
                <w:rFonts w:ascii="黑体" w:eastAsia="黑体"/>
                <w:snapToGrid w:val="0"/>
                <w:color w:val="auto"/>
              </w:rPr>
            </w:pPr>
          </w:p>
        </w:tc>
        <w:tc>
          <w:tcPr>
            <w:tcW w:w="993" w:type="dxa"/>
            <w:vAlign w:val="center"/>
          </w:tcPr>
          <w:p>
            <w:pPr>
              <w:widowControl/>
              <w:snapToGrid w:val="0"/>
              <w:jc w:val="center"/>
              <w:rPr>
                <w:rFonts w:eastAsia="黑体"/>
                <w:snapToGrid w:val="0"/>
                <w:color w:val="auto"/>
              </w:rPr>
            </w:pPr>
          </w:p>
        </w:tc>
        <w:tc>
          <w:tcPr>
            <w:tcW w:w="1026" w:type="dxa"/>
            <w:vAlign w:val="center"/>
          </w:tcPr>
          <w:p>
            <w:pPr>
              <w:widowControl/>
              <w:snapToGrid w:val="0"/>
              <w:jc w:val="center"/>
              <w:rPr>
                <w:rFonts w:ascii="黑体" w:eastAsia="黑体"/>
                <w:snapToGrid w:val="0"/>
                <w:color w:val="auto"/>
              </w:rPr>
            </w:pPr>
          </w:p>
        </w:tc>
        <w:tc>
          <w:tcPr>
            <w:tcW w:w="705" w:type="dxa"/>
            <w:vAlign w:val="center"/>
          </w:tcPr>
          <w:p>
            <w:pPr>
              <w:widowControl/>
              <w:snapToGrid w:val="0"/>
              <w:jc w:val="center"/>
              <w:rPr>
                <w:rFonts w:ascii="黑体" w:eastAsia="黑体"/>
                <w:snapToGrid w:val="0"/>
                <w:color w:val="auto"/>
              </w:rPr>
            </w:pPr>
          </w:p>
        </w:tc>
        <w:tc>
          <w:tcPr>
            <w:tcW w:w="715" w:type="dxa"/>
            <w:vAlign w:val="center"/>
          </w:tcPr>
          <w:p>
            <w:pPr>
              <w:widowControl/>
              <w:snapToGrid w:val="0"/>
              <w:jc w:val="center"/>
              <w:rPr>
                <w:rFonts w:ascii="黑体" w:eastAsia="黑体"/>
                <w:snapToGrid w:val="0"/>
                <w:color w:val="auto"/>
              </w:rPr>
            </w:pPr>
          </w:p>
        </w:tc>
        <w:tc>
          <w:tcPr>
            <w:tcW w:w="695" w:type="dxa"/>
            <w:vAlign w:val="center"/>
          </w:tcPr>
          <w:p>
            <w:pPr>
              <w:widowControl/>
              <w:snapToGrid w:val="0"/>
              <w:jc w:val="center"/>
              <w:rPr>
                <w:rFonts w:ascii="黑体" w:eastAsia="黑体"/>
                <w:snapToGrid w:val="0"/>
                <w:color w:val="auto"/>
              </w:rPr>
            </w:pPr>
          </w:p>
        </w:tc>
        <w:tc>
          <w:tcPr>
            <w:tcW w:w="1045" w:type="dxa"/>
            <w:tcBorders>
              <w:right w:val="single" w:color="auto" w:sz="12" w:space="0"/>
            </w:tcBorders>
            <w:vAlign w:val="center"/>
          </w:tcPr>
          <w:p>
            <w:pPr>
              <w:widowControl/>
              <w:snapToGrid w:val="0"/>
              <w:jc w:val="center"/>
              <w:rPr>
                <w:rFonts w:ascii="黑体" w:eastAsia="黑体"/>
                <w:snapToGrid w:val="0"/>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860" w:type="dxa"/>
            <w:tcBorders>
              <w:left w:val="single" w:color="auto" w:sz="12" w:space="0"/>
            </w:tcBorders>
            <w:vAlign w:val="center"/>
          </w:tcPr>
          <w:p>
            <w:pPr>
              <w:widowControl/>
              <w:snapToGrid w:val="0"/>
              <w:jc w:val="center"/>
              <w:rPr>
                <w:rFonts w:ascii="黑体" w:eastAsia="黑体"/>
                <w:snapToGrid w:val="0"/>
                <w:color w:val="auto"/>
              </w:rPr>
            </w:pPr>
          </w:p>
        </w:tc>
        <w:tc>
          <w:tcPr>
            <w:tcW w:w="646" w:type="dxa"/>
            <w:vAlign w:val="center"/>
          </w:tcPr>
          <w:p>
            <w:pPr>
              <w:widowControl/>
              <w:snapToGrid w:val="0"/>
              <w:jc w:val="center"/>
              <w:rPr>
                <w:rFonts w:ascii="黑体" w:eastAsia="黑体"/>
                <w:snapToGrid w:val="0"/>
                <w:color w:val="auto"/>
              </w:rPr>
            </w:pPr>
          </w:p>
        </w:tc>
        <w:tc>
          <w:tcPr>
            <w:tcW w:w="1701" w:type="dxa"/>
            <w:vAlign w:val="center"/>
          </w:tcPr>
          <w:p>
            <w:pPr>
              <w:jc w:val="center"/>
              <w:rPr>
                <w:color w:val="auto"/>
                <w:sz w:val="22"/>
                <w:szCs w:val="22"/>
              </w:rPr>
            </w:pPr>
          </w:p>
        </w:tc>
        <w:tc>
          <w:tcPr>
            <w:tcW w:w="1134" w:type="dxa"/>
            <w:vAlign w:val="center"/>
          </w:tcPr>
          <w:p>
            <w:pPr>
              <w:widowControl/>
              <w:snapToGrid w:val="0"/>
              <w:jc w:val="center"/>
              <w:rPr>
                <w:rFonts w:ascii="黑体" w:eastAsia="黑体"/>
                <w:snapToGrid w:val="0"/>
                <w:color w:val="auto"/>
              </w:rPr>
            </w:pPr>
          </w:p>
        </w:tc>
        <w:tc>
          <w:tcPr>
            <w:tcW w:w="993" w:type="dxa"/>
            <w:vAlign w:val="center"/>
          </w:tcPr>
          <w:p>
            <w:pPr>
              <w:widowControl/>
              <w:snapToGrid w:val="0"/>
              <w:jc w:val="center"/>
              <w:rPr>
                <w:rFonts w:eastAsia="黑体"/>
                <w:snapToGrid w:val="0"/>
                <w:color w:val="auto"/>
              </w:rPr>
            </w:pPr>
          </w:p>
        </w:tc>
        <w:tc>
          <w:tcPr>
            <w:tcW w:w="1026" w:type="dxa"/>
            <w:vAlign w:val="center"/>
          </w:tcPr>
          <w:p>
            <w:pPr>
              <w:widowControl/>
              <w:snapToGrid w:val="0"/>
              <w:jc w:val="center"/>
              <w:rPr>
                <w:rFonts w:ascii="黑体" w:eastAsia="黑体"/>
                <w:snapToGrid w:val="0"/>
                <w:color w:val="auto"/>
              </w:rPr>
            </w:pPr>
          </w:p>
        </w:tc>
        <w:tc>
          <w:tcPr>
            <w:tcW w:w="705" w:type="dxa"/>
            <w:vAlign w:val="center"/>
          </w:tcPr>
          <w:p>
            <w:pPr>
              <w:widowControl/>
              <w:snapToGrid w:val="0"/>
              <w:jc w:val="center"/>
              <w:rPr>
                <w:rFonts w:ascii="黑体" w:eastAsia="黑体"/>
                <w:snapToGrid w:val="0"/>
                <w:color w:val="auto"/>
              </w:rPr>
            </w:pPr>
          </w:p>
        </w:tc>
        <w:tc>
          <w:tcPr>
            <w:tcW w:w="715" w:type="dxa"/>
            <w:vAlign w:val="center"/>
          </w:tcPr>
          <w:p>
            <w:pPr>
              <w:widowControl/>
              <w:snapToGrid w:val="0"/>
              <w:jc w:val="center"/>
              <w:rPr>
                <w:rFonts w:ascii="黑体" w:eastAsia="黑体"/>
                <w:snapToGrid w:val="0"/>
                <w:color w:val="auto"/>
              </w:rPr>
            </w:pPr>
          </w:p>
        </w:tc>
        <w:tc>
          <w:tcPr>
            <w:tcW w:w="695" w:type="dxa"/>
            <w:vAlign w:val="center"/>
          </w:tcPr>
          <w:p>
            <w:pPr>
              <w:widowControl/>
              <w:snapToGrid w:val="0"/>
              <w:jc w:val="center"/>
              <w:rPr>
                <w:rFonts w:ascii="黑体" w:eastAsia="黑体"/>
                <w:snapToGrid w:val="0"/>
                <w:color w:val="auto"/>
              </w:rPr>
            </w:pPr>
          </w:p>
        </w:tc>
        <w:tc>
          <w:tcPr>
            <w:tcW w:w="1045" w:type="dxa"/>
            <w:tcBorders>
              <w:right w:val="single" w:color="auto" w:sz="12" w:space="0"/>
            </w:tcBorders>
            <w:vAlign w:val="center"/>
          </w:tcPr>
          <w:p>
            <w:pPr>
              <w:widowControl/>
              <w:snapToGrid w:val="0"/>
              <w:jc w:val="center"/>
              <w:rPr>
                <w:rFonts w:ascii="黑体" w:eastAsia="黑体"/>
                <w:snapToGrid w:val="0"/>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860" w:type="dxa"/>
            <w:tcBorders>
              <w:left w:val="single" w:color="auto" w:sz="12" w:space="0"/>
            </w:tcBorders>
            <w:vAlign w:val="center"/>
          </w:tcPr>
          <w:p>
            <w:pPr>
              <w:widowControl/>
              <w:snapToGrid w:val="0"/>
              <w:jc w:val="center"/>
              <w:rPr>
                <w:rFonts w:ascii="黑体" w:eastAsia="黑体"/>
                <w:snapToGrid w:val="0"/>
                <w:color w:val="auto"/>
              </w:rPr>
            </w:pPr>
          </w:p>
        </w:tc>
        <w:tc>
          <w:tcPr>
            <w:tcW w:w="646" w:type="dxa"/>
            <w:vAlign w:val="center"/>
          </w:tcPr>
          <w:p>
            <w:pPr>
              <w:widowControl/>
              <w:snapToGrid w:val="0"/>
              <w:jc w:val="center"/>
              <w:rPr>
                <w:rFonts w:ascii="黑体" w:eastAsia="黑体"/>
                <w:snapToGrid w:val="0"/>
                <w:color w:val="auto"/>
              </w:rPr>
            </w:pPr>
          </w:p>
        </w:tc>
        <w:tc>
          <w:tcPr>
            <w:tcW w:w="1701" w:type="dxa"/>
            <w:vAlign w:val="center"/>
          </w:tcPr>
          <w:p>
            <w:pPr>
              <w:jc w:val="center"/>
              <w:rPr>
                <w:color w:val="auto"/>
                <w:sz w:val="22"/>
                <w:szCs w:val="22"/>
              </w:rPr>
            </w:pPr>
          </w:p>
        </w:tc>
        <w:tc>
          <w:tcPr>
            <w:tcW w:w="1134" w:type="dxa"/>
            <w:vAlign w:val="center"/>
          </w:tcPr>
          <w:p>
            <w:pPr>
              <w:widowControl/>
              <w:snapToGrid w:val="0"/>
              <w:jc w:val="center"/>
              <w:rPr>
                <w:rFonts w:ascii="黑体" w:eastAsia="黑体"/>
                <w:snapToGrid w:val="0"/>
                <w:color w:val="auto"/>
              </w:rPr>
            </w:pPr>
          </w:p>
        </w:tc>
        <w:tc>
          <w:tcPr>
            <w:tcW w:w="993" w:type="dxa"/>
            <w:vAlign w:val="center"/>
          </w:tcPr>
          <w:p>
            <w:pPr>
              <w:widowControl/>
              <w:snapToGrid w:val="0"/>
              <w:jc w:val="center"/>
              <w:rPr>
                <w:rFonts w:eastAsia="黑体"/>
                <w:snapToGrid w:val="0"/>
                <w:color w:val="auto"/>
              </w:rPr>
            </w:pPr>
          </w:p>
        </w:tc>
        <w:tc>
          <w:tcPr>
            <w:tcW w:w="1026" w:type="dxa"/>
            <w:vAlign w:val="center"/>
          </w:tcPr>
          <w:p>
            <w:pPr>
              <w:widowControl/>
              <w:snapToGrid w:val="0"/>
              <w:jc w:val="center"/>
              <w:rPr>
                <w:rFonts w:ascii="黑体" w:eastAsia="黑体"/>
                <w:snapToGrid w:val="0"/>
                <w:color w:val="auto"/>
              </w:rPr>
            </w:pPr>
          </w:p>
        </w:tc>
        <w:tc>
          <w:tcPr>
            <w:tcW w:w="705" w:type="dxa"/>
            <w:vAlign w:val="center"/>
          </w:tcPr>
          <w:p>
            <w:pPr>
              <w:widowControl/>
              <w:snapToGrid w:val="0"/>
              <w:jc w:val="center"/>
              <w:rPr>
                <w:rFonts w:ascii="黑体" w:eastAsia="黑体"/>
                <w:snapToGrid w:val="0"/>
                <w:color w:val="auto"/>
              </w:rPr>
            </w:pPr>
          </w:p>
        </w:tc>
        <w:tc>
          <w:tcPr>
            <w:tcW w:w="715" w:type="dxa"/>
            <w:vAlign w:val="center"/>
          </w:tcPr>
          <w:p>
            <w:pPr>
              <w:widowControl/>
              <w:snapToGrid w:val="0"/>
              <w:jc w:val="center"/>
              <w:rPr>
                <w:rFonts w:ascii="黑体" w:eastAsia="黑体"/>
                <w:snapToGrid w:val="0"/>
                <w:color w:val="auto"/>
              </w:rPr>
            </w:pPr>
          </w:p>
        </w:tc>
        <w:tc>
          <w:tcPr>
            <w:tcW w:w="695" w:type="dxa"/>
            <w:vAlign w:val="center"/>
          </w:tcPr>
          <w:p>
            <w:pPr>
              <w:widowControl/>
              <w:snapToGrid w:val="0"/>
              <w:jc w:val="center"/>
              <w:rPr>
                <w:rFonts w:ascii="黑体" w:eastAsia="黑体"/>
                <w:snapToGrid w:val="0"/>
                <w:color w:val="auto"/>
              </w:rPr>
            </w:pPr>
          </w:p>
        </w:tc>
        <w:tc>
          <w:tcPr>
            <w:tcW w:w="1045" w:type="dxa"/>
            <w:tcBorders>
              <w:right w:val="single" w:color="auto" w:sz="12" w:space="0"/>
            </w:tcBorders>
            <w:vAlign w:val="center"/>
          </w:tcPr>
          <w:p>
            <w:pPr>
              <w:widowControl/>
              <w:snapToGrid w:val="0"/>
              <w:jc w:val="center"/>
              <w:rPr>
                <w:rFonts w:ascii="黑体" w:eastAsia="黑体"/>
                <w:snapToGrid w:val="0"/>
                <w:color w:val="auto"/>
                <w:sz w:val="18"/>
              </w:rPr>
            </w:pPr>
          </w:p>
        </w:tc>
      </w:tr>
    </w:tbl>
    <w:p>
      <w:pPr>
        <w:snapToGrid w:val="0"/>
        <w:spacing w:before="240" w:after="60"/>
        <w:ind w:firstLine="454"/>
        <w:rPr>
          <w:rFonts w:ascii="宋体" w:hAnsi="宋体"/>
          <w:snapToGrid w:val="0"/>
          <w:color w:val="auto"/>
          <w:sz w:val="20"/>
          <w:szCs w:val="20"/>
          <w:u w:val="single"/>
        </w:rPr>
      </w:pPr>
      <w:r>
        <w:rPr>
          <w:rFonts w:hint="eastAsia"/>
          <w:snapToGrid w:val="0"/>
          <w:color w:val="auto"/>
          <w:sz w:val="20"/>
          <w:szCs w:val="20"/>
        </w:rPr>
        <w:t>上述总计：</w:t>
      </w:r>
      <w:r>
        <w:rPr>
          <w:rFonts w:hint="eastAsia" w:ascii="宋体" w:hAnsi="宋体"/>
          <w:snapToGrid w:val="0"/>
          <w:color w:val="auto"/>
          <w:sz w:val="20"/>
          <w:szCs w:val="20"/>
          <w:u w:val="single"/>
        </w:rPr>
        <w:t xml:space="preserve">        </w:t>
      </w:r>
      <w:r>
        <w:rPr>
          <w:rFonts w:hint="eastAsia"/>
          <w:snapToGrid w:val="0"/>
          <w:color w:val="auto"/>
          <w:sz w:val="20"/>
          <w:szCs w:val="20"/>
        </w:rPr>
        <w:t>元，大写：</w:t>
      </w:r>
      <w:r>
        <w:rPr>
          <w:rFonts w:hint="eastAsia" w:ascii="宋体" w:hAnsi="宋体"/>
          <w:snapToGrid w:val="0"/>
          <w:color w:val="auto"/>
          <w:sz w:val="20"/>
          <w:szCs w:val="20"/>
          <w:u w:val="single"/>
        </w:rPr>
        <w:t xml:space="preserve">           </w:t>
      </w:r>
      <w:r>
        <w:rPr>
          <w:rFonts w:ascii="宋体" w:hAnsi="宋体"/>
          <w:snapToGrid w:val="0"/>
          <w:color w:val="auto"/>
          <w:sz w:val="20"/>
          <w:szCs w:val="20"/>
          <w:u w:val="single"/>
        </w:rPr>
        <w:t xml:space="preserve"> </w:t>
      </w:r>
    </w:p>
    <w:p>
      <w:pPr>
        <w:tabs>
          <w:tab w:val="left" w:pos="420"/>
          <w:tab w:val="left" w:pos="720"/>
        </w:tabs>
        <w:spacing w:line="400" w:lineRule="exact"/>
        <w:ind w:left="601" w:hanging="601"/>
        <w:rPr>
          <w:rFonts w:eastAsia="黑体"/>
          <w:b/>
          <w:bCs/>
          <w:color w:val="auto"/>
          <w:sz w:val="20"/>
          <w:szCs w:val="20"/>
        </w:rPr>
      </w:pPr>
    </w:p>
    <w:p>
      <w:pPr>
        <w:tabs>
          <w:tab w:val="left" w:pos="420"/>
          <w:tab w:val="left" w:pos="720"/>
        </w:tabs>
        <w:spacing w:line="400" w:lineRule="exact"/>
        <w:ind w:left="601" w:hanging="601"/>
        <w:rPr>
          <w:rFonts w:eastAsia="黑体"/>
          <w:b/>
          <w:bCs/>
          <w:color w:val="auto"/>
          <w:sz w:val="20"/>
          <w:szCs w:val="20"/>
        </w:rPr>
      </w:pPr>
      <w:r>
        <w:rPr>
          <w:rFonts w:hint="eastAsia" w:eastAsia="黑体"/>
          <w:b/>
          <w:bCs/>
          <w:color w:val="auto"/>
          <w:sz w:val="20"/>
          <w:szCs w:val="20"/>
        </w:rPr>
        <w:t>十、本合同不承担项目</w:t>
      </w:r>
    </w:p>
    <w:p>
      <w:pPr>
        <w:tabs>
          <w:tab w:val="left" w:pos="420"/>
          <w:tab w:val="left" w:pos="720"/>
        </w:tabs>
        <w:spacing w:line="400" w:lineRule="exact"/>
        <w:ind w:left="601" w:hanging="601"/>
        <w:rPr>
          <w:rFonts w:eastAsia="黑体"/>
          <w:b/>
          <w:bCs/>
          <w:color w:val="auto"/>
          <w:sz w:val="20"/>
          <w:szCs w:val="20"/>
        </w:rPr>
      </w:pPr>
    </w:p>
    <w:p>
      <w:pPr>
        <w:tabs>
          <w:tab w:val="left" w:pos="360"/>
          <w:tab w:val="left" w:pos="779"/>
        </w:tabs>
        <w:spacing w:line="400" w:lineRule="exact"/>
        <w:ind w:left="592" w:hanging="592" w:hangingChars="296"/>
        <w:rPr>
          <w:color w:val="auto"/>
          <w:sz w:val="20"/>
          <w:szCs w:val="20"/>
        </w:rPr>
      </w:pPr>
      <w:r>
        <w:rPr>
          <w:rFonts w:hint="eastAsia"/>
          <w:color w:val="auto"/>
          <w:sz w:val="20"/>
          <w:szCs w:val="20"/>
        </w:rPr>
        <w:t xml:space="preserve">    1 土建工程中的电梯井道壁、井道工字钢、井道灯、井道防水、井道隔离网、机房电源等附属设施的改造、修理、装饰、更换、清理和维修等工作。</w:t>
      </w:r>
    </w:p>
    <w:p>
      <w:pPr>
        <w:tabs>
          <w:tab w:val="left" w:pos="720"/>
        </w:tabs>
        <w:spacing w:line="400" w:lineRule="exact"/>
        <w:ind w:left="578" w:hanging="578"/>
        <w:rPr>
          <w:color w:val="auto"/>
          <w:sz w:val="20"/>
          <w:szCs w:val="20"/>
        </w:rPr>
      </w:pPr>
      <w:r>
        <w:rPr>
          <w:rFonts w:hint="eastAsia"/>
          <w:color w:val="auto"/>
          <w:sz w:val="20"/>
          <w:szCs w:val="20"/>
        </w:rPr>
        <w:t xml:space="preserve">    2 本合同及合同附件所述内容之外的其他项目。</w:t>
      </w:r>
    </w:p>
    <w:p>
      <w:pPr>
        <w:tabs>
          <w:tab w:val="left" w:pos="720"/>
        </w:tabs>
        <w:spacing w:line="400" w:lineRule="exact"/>
        <w:ind w:left="578" w:hanging="578"/>
        <w:rPr>
          <w:color w:val="auto"/>
          <w:sz w:val="20"/>
          <w:szCs w:val="20"/>
        </w:rPr>
      </w:pPr>
    </w:p>
    <w:p>
      <w:pPr>
        <w:tabs>
          <w:tab w:val="left" w:pos="420"/>
          <w:tab w:val="left" w:pos="720"/>
        </w:tabs>
        <w:spacing w:line="400" w:lineRule="exact"/>
        <w:ind w:left="601" w:hanging="601"/>
        <w:rPr>
          <w:rFonts w:eastAsia="黑体"/>
          <w:b/>
          <w:bCs/>
          <w:color w:val="auto"/>
          <w:sz w:val="20"/>
          <w:szCs w:val="20"/>
        </w:rPr>
      </w:pPr>
      <w:r>
        <w:rPr>
          <w:rFonts w:hint="eastAsia" w:eastAsia="黑体"/>
          <w:b/>
          <w:bCs/>
          <w:color w:val="auto"/>
          <w:sz w:val="20"/>
          <w:szCs w:val="20"/>
        </w:rPr>
        <w:t>十一、违约责任</w:t>
      </w:r>
    </w:p>
    <w:p>
      <w:pPr>
        <w:tabs>
          <w:tab w:val="left" w:pos="720"/>
        </w:tabs>
        <w:spacing w:line="400" w:lineRule="exact"/>
        <w:ind w:left="578" w:hanging="578"/>
        <w:rPr>
          <w:color w:val="auto"/>
          <w:sz w:val="20"/>
          <w:szCs w:val="20"/>
        </w:rPr>
      </w:pPr>
      <w:r>
        <w:rPr>
          <w:rFonts w:hint="eastAsia"/>
          <w:color w:val="auto"/>
          <w:sz w:val="20"/>
          <w:szCs w:val="20"/>
        </w:rPr>
        <w:t xml:space="preserve">    1 除不可抗力外，甲方未按约定按期、足额支付保养费或乙方未按合同规定履行保养义务，违约方应当按照未履行部分总额的每天万分之四比例向守约方支付逾期违约金，并继续履行合同义务，该违约金最高不超过合同总额的百分之五。</w:t>
      </w:r>
    </w:p>
    <w:p>
      <w:pPr>
        <w:tabs>
          <w:tab w:val="left" w:pos="720"/>
        </w:tabs>
        <w:spacing w:line="400" w:lineRule="exact"/>
        <w:ind w:left="577" w:leftChars="190" w:hanging="178" w:hangingChars="89"/>
        <w:rPr>
          <w:color w:val="auto"/>
          <w:sz w:val="20"/>
          <w:szCs w:val="20"/>
        </w:rPr>
      </w:pPr>
      <w:r>
        <w:rPr>
          <w:color w:val="auto"/>
          <w:sz w:val="20"/>
          <w:szCs w:val="20"/>
        </w:rPr>
        <w:t xml:space="preserve">2 </w:t>
      </w:r>
      <w:r>
        <w:rPr>
          <w:rFonts w:hint="eastAsia"/>
          <w:color w:val="auto"/>
          <w:sz w:val="20"/>
          <w:szCs w:val="20"/>
        </w:rPr>
        <w:t>双方协商一致，在结清实际服务期内的保养费用后，可解除合同。</w:t>
      </w:r>
    </w:p>
    <w:p>
      <w:pPr>
        <w:tabs>
          <w:tab w:val="left" w:pos="720"/>
        </w:tabs>
        <w:spacing w:line="400" w:lineRule="exact"/>
        <w:ind w:left="577" w:leftChars="190" w:hanging="178" w:hangingChars="89"/>
        <w:rPr>
          <w:color w:val="auto"/>
          <w:sz w:val="20"/>
          <w:szCs w:val="20"/>
        </w:rPr>
      </w:pPr>
      <w:r>
        <w:rPr>
          <w:color w:val="auto"/>
          <w:sz w:val="20"/>
          <w:szCs w:val="20"/>
        </w:rPr>
        <w:t>3</w:t>
      </w:r>
      <w:r>
        <w:rPr>
          <w:rFonts w:hint="eastAsia"/>
          <w:color w:val="auto"/>
          <w:sz w:val="20"/>
          <w:szCs w:val="20"/>
        </w:rPr>
        <w:t>若在乙方保养有效期内电梯设备发生事故、停运而给甲方带来损失并书面提出赔偿要求的，由政府主管部门介入并做出鉴定结论。若判定由乙方保养责任所致所造成的损失，乙方应当按照鉴定结果及法律规定对甲方作相应赔偿。</w:t>
      </w:r>
    </w:p>
    <w:p>
      <w:pPr>
        <w:tabs>
          <w:tab w:val="left" w:pos="720"/>
        </w:tabs>
        <w:spacing w:line="400" w:lineRule="exact"/>
        <w:ind w:left="577" w:leftChars="190" w:hanging="178" w:hangingChars="89"/>
        <w:rPr>
          <w:color w:val="auto"/>
          <w:sz w:val="20"/>
          <w:szCs w:val="20"/>
        </w:rPr>
      </w:pPr>
      <w:r>
        <w:rPr>
          <w:color w:val="auto"/>
          <w:sz w:val="20"/>
          <w:szCs w:val="20"/>
        </w:rPr>
        <w:t>4</w:t>
      </w:r>
      <w:r>
        <w:rPr>
          <w:rFonts w:hint="eastAsia"/>
          <w:color w:val="auto"/>
          <w:sz w:val="20"/>
          <w:szCs w:val="20"/>
        </w:rPr>
        <w:t>任何一方若在合同生效后无故解除合同或以实际行动表示不履行合同的，则需根据有偿服务期内的保养价格对所有实际服务期结清保养费，且违约方应向守约方支付保养合同总价30%的违约金</w:t>
      </w:r>
      <w:r>
        <w:rPr>
          <w:rFonts w:hint="eastAsia"/>
          <w:color w:val="auto"/>
          <w:sz w:val="20"/>
          <w:szCs w:val="20"/>
          <w:lang w:eastAsia="zh-CN"/>
        </w:rPr>
        <w:t>，</w:t>
      </w:r>
      <w:r>
        <w:rPr>
          <w:rFonts w:hint="eastAsia"/>
          <w:color w:val="auto"/>
          <w:sz w:val="20"/>
          <w:szCs w:val="20"/>
          <w:lang w:eastAsia="zh-CN"/>
        </w:rPr>
        <w:t>如还造成其他损失的，违约方应予赔偿</w:t>
      </w:r>
      <w:r>
        <w:rPr>
          <w:rFonts w:hint="eastAsia"/>
          <w:color w:val="auto"/>
          <w:sz w:val="20"/>
          <w:szCs w:val="20"/>
        </w:rPr>
        <w:t>。</w:t>
      </w:r>
    </w:p>
    <w:p>
      <w:pPr>
        <w:tabs>
          <w:tab w:val="left" w:pos="720"/>
        </w:tabs>
        <w:spacing w:line="400" w:lineRule="exact"/>
        <w:ind w:left="577" w:leftChars="190" w:hanging="178" w:hangingChars="89"/>
        <w:rPr>
          <w:color w:val="auto"/>
          <w:sz w:val="20"/>
          <w:szCs w:val="20"/>
        </w:rPr>
      </w:pPr>
    </w:p>
    <w:p>
      <w:pPr>
        <w:tabs>
          <w:tab w:val="left" w:pos="720"/>
        </w:tabs>
        <w:spacing w:line="400" w:lineRule="exact"/>
        <w:ind w:left="601" w:hanging="601"/>
        <w:rPr>
          <w:rFonts w:eastAsia="黑体"/>
          <w:b/>
          <w:bCs/>
          <w:color w:val="auto"/>
          <w:sz w:val="20"/>
          <w:szCs w:val="20"/>
        </w:rPr>
      </w:pPr>
      <w:r>
        <w:rPr>
          <w:rFonts w:hint="eastAsia" w:eastAsia="黑体"/>
          <w:b/>
          <w:bCs/>
          <w:color w:val="auto"/>
          <w:sz w:val="20"/>
          <w:szCs w:val="20"/>
        </w:rPr>
        <w:t>十二、其他</w:t>
      </w:r>
    </w:p>
    <w:p>
      <w:pPr>
        <w:numPr>
          <w:ilvl w:val="12"/>
          <w:numId w:val="0"/>
        </w:numPr>
        <w:tabs>
          <w:tab w:val="left" w:pos="360"/>
          <w:tab w:val="left" w:pos="779"/>
        </w:tabs>
        <w:spacing w:line="400" w:lineRule="exact"/>
        <w:ind w:left="589" w:leftChars="190" w:hanging="190" w:hangingChars="95"/>
        <w:rPr>
          <w:color w:val="auto"/>
          <w:sz w:val="20"/>
          <w:szCs w:val="20"/>
        </w:rPr>
      </w:pPr>
      <w:r>
        <w:rPr>
          <w:rFonts w:hint="eastAsia"/>
          <w:color w:val="auto"/>
          <w:sz w:val="20"/>
          <w:szCs w:val="20"/>
        </w:rPr>
        <w:t>1 服务期内，甲方需要增加电梯设备功能和改变性能时，或因国家颁布或修订有关标准而需对电梯设备进行改造时，双方应在另行签订《产品改造合同》后实施。</w:t>
      </w:r>
    </w:p>
    <w:p>
      <w:pPr>
        <w:numPr>
          <w:ilvl w:val="12"/>
          <w:numId w:val="0"/>
        </w:numPr>
        <w:tabs>
          <w:tab w:val="left" w:pos="360"/>
          <w:tab w:val="left" w:pos="779"/>
        </w:tabs>
        <w:spacing w:line="400" w:lineRule="exact"/>
        <w:ind w:left="599" w:leftChars="190" w:hanging="200" w:hangingChars="100"/>
        <w:rPr>
          <w:color w:val="auto"/>
          <w:sz w:val="20"/>
          <w:szCs w:val="20"/>
        </w:rPr>
      </w:pPr>
      <w:r>
        <w:rPr>
          <w:rFonts w:hint="eastAsia"/>
          <w:color w:val="auto"/>
          <w:sz w:val="20"/>
          <w:szCs w:val="20"/>
        </w:rPr>
        <w:t>2 保养中产生的各类废弃物，由甲方负责按照当地环境管理法律法规及有关规定予以处理。</w:t>
      </w:r>
    </w:p>
    <w:p>
      <w:pPr>
        <w:numPr>
          <w:ilvl w:val="12"/>
          <w:numId w:val="0"/>
        </w:numPr>
        <w:tabs>
          <w:tab w:val="left" w:pos="360"/>
          <w:tab w:val="left" w:pos="779"/>
        </w:tabs>
        <w:spacing w:line="400" w:lineRule="exact"/>
        <w:ind w:left="589" w:leftChars="190" w:hanging="190" w:hangingChars="95"/>
        <w:rPr>
          <w:color w:val="auto"/>
          <w:sz w:val="20"/>
          <w:szCs w:val="20"/>
        </w:rPr>
      </w:pPr>
      <w:r>
        <w:rPr>
          <w:rFonts w:hint="eastAsia"/>
          <w:color w:val="auto"/>
          <w:sz w:val="20"/>
          <w:szCs w:val="20"/>
        </w:rPr>
        <w:t>3 因电梯设备属于特种设备，甲方同意将保养（包括另行维修、改造中）更换下的专用印板，交由乙方回收销毁，以保证废、旧专用印板不流入市场。</w:t>
      </w:r>
    </w:p>
    <w:p>
      <w:pPr>
        <w:numPr>
          <w:ilvl w:val="12"/>
          <w:numId w:val="0"/>
        </w:numPr>
        <w:tabs>
          <w:tab w:val="left" w:pos="360"/>
          <w:tab w:val="left" w:pos="779"/>
        </w:tabs>
        <w:spacing w:line="400" w:lineRule="exact"/>
        <w:ind w:left="599" w:leftChars="190" w:hanging="200" w:hangingChars="100"/>
        <w:rPr>
          <w:color w:val="auto"/>
          <w:sz w:val="20"/>
          <w:szCs w:val="20"/>
        </w:rPr>
      </w:pPr>
      <w:r>
        <w:rPr>
          <w:rFonts w:hint="eastAsia"/>
          <w:color w:val="auto"/>
          <w:sz w:val="20"/>
          <w:szCs w:val="20"/>
        </w:rPr>
        <w:t>4 合同签订时，需要对合同条款增加和更改的，或者要求提供本合同约定以外的服务时，双方应在“另行约定事项”中约定，经双方签字、盖章后生效。</w:t>
      </w:r>
    </w:p>
    <w:p>
      <w:pPr>
        <w:tabs>
          <w:tab w:val="left" w:pos="839"/>
        </w:tabs>
        <w:spacing w:line="400" w:lineRule="exact"/>
        <w:ind w:left="578" w:hanging="578"/>
        <w:rPr>
          <w:color w:val="auto"/>
          <w:sz w:val="20"/>
          <w:szCs w:val="20"/>
        </w:rPr>
      </w:pPr>
      <w:r>
        <w:rPr>
          <w:rFonts w:hint="eastAsia"/>
          <w:color w:val="auto"/>
          <w:sz w:val="20"/>
          <w:szCs w:val="20"/>
        </w:rPr>
        <w:t xml:space="preserve">    5 合同生效后，需要对原条款进行变更的，双方应另签“合同修改书”，经双方签字、盖章后生效。</w:t>
      </w:r>
    </w:p>
    <w:p>
      <w:pPr>
        <w:tabs>
          <w:tab w:val="left" w:pos="839"/>
        </w:tabs>
        <w:spacing w:line="400" w:lineRule="exact"/>
        <w:ind w:left="584" w:hanging="584"/>
        <w:rPr>
          <w:color w:val="auto"/>
          <w:sz w:val="20"/>
          <w:szCs w:val="20"/>
        </w:rPr>
      </w:pPr>
      <w:r>
        <w:rPr>
          <w:rFonts w:hint="eastAsia"/>
          <w:color w:val="auto"/>
          <w:sz w:val="20"/>
          <w:szCs w:val="20"/>
        </w:rPr>
        <w:t xml:space="preserve">    6 “产品保养方式”“产品保养年度作业计划表”、“易损部品清单”、“另行约定事项”和“合同修改书”等其他与本合同有关协议、文件为本合同之附件，属本合同不可分割部分，具有同等效力。本合同及上述的协议、文件一经签署和确定，均取代之前的口头或其他书面的约定。</w:t>
      </w:r>
    </w:p>
    <w:p>
      <w:pPr>
        <w:numPr>
          <w:ilvl w:val="12"/>
          <w:numId w:val="0"/>
        </w:numPr>
        <w:tabs>
          <w:tab w:val="left" w:pos="360"/>
          <w:tab w:val="left" w:pos="779"/>
        </w:tabs>
        <w:spacing w:line="400" w:lineRule="exact"/>
        <w:ind w:left="589" w:leftChars="190" w:hanging="190" w:hangingChars="95"/>
        <w:rPr>
          <w:rFonts w:ascii="宋体" w:hAnsi="宋体"/>
          <w:color w:val="auto"/>
          <w:sz w:val="20"/>
          <w:szCs w:val="20"/>
        </w:rPr>
      </w:pPr>
      <w:r>
        <w:rPr>
          <w:rFonts w:hint="eastAsia"/>
          <w:color w:val="auto"/>
          <w:sz w:val="20"/>
          <w:szCs w:val="20"/>
        </w:rPr>
        <w:t xml:space="preserve"> 7 本合同届满前三个月，双方就合同是否续签进行协商。若本合同服务期满后，双方暂未及时续签《产品保养服务合同》，并且甲方需要乙方继续提供保养服务的，甲方需书面函告乙方暂按原合同条款执行保养服务一个月，并以此作为本合同的延续执行期，直至新的《产品保养服务合同》生效。若延续执行期届满时双方仍未续签，则本合同终止</w:t>
      </w:r>
      <w:r>
        <w:rPr>
          <w:rFonts w:hint="eastAsia" w:ascii="宋体" w:hAnsi="宋体"/>
          <w:color w:val="auto"/>
          <w:sz w:val="20"/>
          <w:szCs w:val="20"/>
        </w:rPr>
        <w:t>。</w:t>
      </w:r>
    </w:p>
    <w:p>
      <w:pPr>
        <w:numPr>
          <w:ilvl w:val="12"/>
          <w:numId w:val="0"/>
        </w:numPr>
        <w:tabs>
          <w:tab w:val="left" w:pos="360"/>
          <w:tab w:val="left" w:pos="779"/>
        </w:tabs>
        <w:spacing w:line="400" w:lineRule="exact"/>
        <w:ind w:left="589" w:leftChars="190" w:hanging="190" w:hangingChars="95"/>
        <w:rPr>
          <w:color w:val="auto"/>
          <w:sz w:val="18"/>
          <w:szCs w:val="18"/>
        </w:rPr>
      </w:pPr>
      <w:r>
        <w:rPr>
          <w:rFonts w:hint="eastAsia"/>
          <w:color w:val="auto"/>
          <w:sz w:val="20"/>
          <w:szCs w:val="20"/>
        </w:rPr>
        <w:t>8若在保养过程中发生安全事故，应由政府主管部门介入并作出事故鉴定结论，或在政府主管部门不介入之时由双方共同委托有法定资质的第三方检测鉴定机构作事故原因鉴定</w:t>
      </w:r>
      <w:r>
        <w:rPr>
          <w:rFonts w:hint="eastAsia" w:ascii="宋体" w:hAnsi="宋体"/>
          <w:i/>
          <w:color w:val="auto"/>
          <w:sz w:val="20"/>
          <w:szCs w:val="20"/>
        </w:rPr>
        <w:t>，</w:t>
      </w:r>
      <w:r>
        <w:rPr>
          <w:rFonts w:hint="eastAsia"/>
          <w:color w:val="auto"/>
          <w:sz w:val="18"/>
          <w:szCs w:val="18"/>
        </w:rPr>
        <w:t>根据鉴定结论进行划分双方的安全责任及法律责任。</w:t>
      </w:r>
    </w:p>
    <w:p>
      <w:pPr>
        <w:numPr>
          <w:ilvl w:val="12"/>
          <w:numId w:val="0"/>
        </w:numPr>
        <w:tabs>
          <w:tab w:val="left" w:pos="360"/>
          <w:tab w:val="left" w:pos="779"/>
        </w:tabs>
        <w:spacing w:line="400" w:lineRule="exact"/>
        <w:ind w:left="589" w:leftChars="190" w:hanging="190" w:hangingChars="95"/>
        <w:rPr>
          <w:color w:val="auto"/>
          <w:sz w:val="20"/>
          <w:szCs w:val="20"/>
        </w:rPr>
      </w:pPr>
      <w:r>
        <w:rPr>
          <w:rFonts w:hint="eastAsia"/>
          <w:color w:val="auto"/>
          <w:sz w:val="20"/>
          <w:szCs w:val="20"/>
        </w:rPr>
        <w:t>9双方发生争议时，应先协商解决，协商不成，任何一方可依法向甲方住所地人民法院起诉。</w:t>
      </w:r>
    </w:p>
    <w:p>
      <w:pPr>
        <w:numPr>
          <w:ilvl w:val="12"/>
          <w:numId w:val="0"/>
        </w:numPr>
        <w:tabs>
          <w:tab w:val="left" w:pos="360"/>
          <w:tab w:val="left" w:pos="779"/>
        </w:tabs>
        <w:spacing w:line="400" w:lineRule="exact"/>
        <w:ind w:left="589" w:leftChars="190" w:hanging="190" w:hangingChars="95"/>
        <w:rPr>
          <w:color w:val="auto"/>
          <w:sz w:val="20"/>
          <w:szCs w:val="20"/>
        </w:rPr>
      </w:pPr>
      <w:r>
        <w:rPr>
          <w:rFonts w:hint="eastAsia"/>
          <w:color w:val="auto"/>
          <w:sz w:val="20"/>
          <w:szCs w:val="20"/>
        </w:rPr>
        <w:t>10本合同正本一式肆份，双方各持贰份。</w:t>
      </w:r>
    </w:p>
    <w:p>
      <w:pPr>
        <w:spacing w:line="240" w:lineRule="exact"/>
        <w:rPr>
          <w:b/>
          <w:bCs/>
          <w:color w:val="auto"/>
          <w:sz w:val="20"/>
        </w:rPr>
      </w:pPr>
    </w:p>
    <w:p>
      <w:pPr>
        <w:spacing w:line="240" w:lineRule="exact"/>
        <w:ind w:firstLine="402" w:firstLineChars="200"/>
        <w:rPr>
          <w:b/>
          <w:bCs/>
          <w:color w:val="auto"/>
          <w:sz w:val="20"/>
        </w:rPr>
        <w:sectPr>
          <w:headerReference r:id="rId3" w:type="default"/>
          <w:footerReference r:id="rId4" w:type="default"/>
          <w:pgSz w:w="11907" w:h="16840"/>
          <w:pgMar w:top="680" w:right="1304" w:bottom="964" w:left="1588" w:header="680" w:footer="680" w:gutter="0"/>
          <w:pgNumType w:start="1"/>
          <w:cols w:space="425" w:num="1"/>
          <w:docGrid w:type="lines" w:linePitch="312" w:charSpace="0"/>
        </w:sectPr>
      </w:pPr>
      <w:r>
        <w:rPr>
          <w:rFonts w:hint="eastAsia"/>
          <w:b/>
          <w:bCs/>
          <w:color w:val="auto"/>
          <w:sz w:val="20"/>
        </w:rPr>
        <w:t>以下空白</w:t>
      </w:r>
    </w:p>
    <w:p>
      <w:pPr>
        <w:spacing w:line="240" w:lineRule="exact"/>
        <w:rPr>
          <w:rFonts w:eastAsia="微软简粗黑"/>
          <w:color w:val="auto"/>
          <w:sz w:val="22"/>
          <w:szCs w:val="22"/>
        </w:rPr>
      </w:pPr>
      <w:r>
        <w:rPr>
          <w:rFonts w:hint="eastAsia"/>
          <w:b/>
          <w:bCs/>
          <w:color w:val="auto"/>
          <w:sz w:val="18"/>
          <w:szCs w:val="22"/>
        </w:rPr>
        <w:t>附件一</w:t>
      </w:r>
    </w:p>
    <w:p>
      <w:pPr>
        <w:spacing w:line="120" w:lineRule="exact"/>
        <w:ind w:right="-301"/>
        <w:rPr>
          <w:color w:val="auto"/>
        </w:rPr>
      </w:pPr>
    </w:p>
    <w:p>
      <w:pPr>
        <w:ind w:right="-48"/>
        <w:jc w:val="center"/>
        <w:rPr>
          <w:color w:val="auto"/>
          <w:sz w:val="22"/>
          <w:szCs w:val="22"/>
        </w:rPr>
      </w:pPr>
    </w:p>
    <w:p>
      <w:pPr>
        <w:ind w:right="-960"/>
        <w:rPr>
          <w:color w:val="auto"/>
          <w:sz w:val="18"/>
          <w:szCs w:val="18"/>
        </w:rPr>
      </w:pPr>
      <w:r>
        <w:rPr>
          <w:rFonts w:hint="eastAsia"/>
          <w:color w:val="auto"/>
          <w:sz w:val="22"/>
          <w:szCs w:val="22"/>
        </w:rPr>
        <w:t>合同编号：</w:t>
      </w:r>
    </w:p>
    <w:p>
      <w:pPr>
        <w:ind w:right="-960"/>
        <w:rPr>
          <w:color w:val="auto"/>
          <w:sz w:val="18"/>
          <w:szCs w:val="18"/>
        </w:rPr>
      </w:pPr>
    </w:p>
    <w:p>
      <w:pPr>
        <w:spacing w:line="400" w:lineRule="exact"/>
        <w:rPr>
          <w:color w:val="auto"/>
          <w:sz w:val="20"/>
          <w:szCs w:val="20"/>
        </w:rPr>
      </w:pPr>
    </w:p>
    <w:p>
      <w:pPr>
        <w:spacing w:line="400" w:lineRule="exact"/>
        <w:rPr>
          <w:color w:val="auto"/>
          <w:sz w:val="20"/>
          <w:szCs w:val="20"/>
        </w:rPr>
      </w:pPr>
    </w:p>
    <w:p>
      <w:pPr>
        <w:spacing w:line="400" w:lineRule="exact"/>
        <w:jc w:val="center"/>
        <w:rPr>
          <w:rFonts w:ascii="黑体" w:eastAsia="黑体"/>
          <w:b/>
          <w:bCs/>
          <w:color w:val="auto"/>
          <w:sz w:val="32"/>
          <w:szCs w:val="20"/>
        </w:rPr>
      </w:pPr>
      <w:r>
        <w:rPr>
          <w:rFonts w:hint="eastAsia" w:ascii="黑体" w:eastAsia="黑体"/>
          <w:b/>
          <w:bCs/>
          <w:color w:val="auto"/>
          <w:sz w:val="32"/>
          <w:szCs w:val="30"/>
        </w:rPr>
        <w:t>产品保养方式（C</w:t>
      </w:r>
      <w:r>
        <w:rPr>
          <w:rFonts w:hint="eastAsia" w:ascii="黑体" w:eastAsia="黑体"/>
          <w:b/>
          <w:bCs/>
          <w:color w:val="auto"/>
          <w:sz w:val="32"/>
          <w:szCs w:val="30"/>
        </w:rPr>
        <w:tab/>
      </w:r>
      <w:r>
        <w:rPr>
          <w:rFonts w:hint="eastAsia" w:ascii="黑体" w:eastAsia="黑体"/>
          <w:b/>
          <w:bCs/>
          <w:color w:val="auto"/>
          <w:sz w:val="32"/>
          <w:szCs w:val="30"/>
        </w:rPr>
        <w:t>）</w:t>
      </w:r>
    </w:p>
    <w:p>
      <w:pPr>
        <w:spacing w:line="600" w:lineRule="auto"/>
        <w:rPr>
          <w:color w:val="auto"/>
          <w:sz w:val="20"/>
          <w:szCs w:val="22"/>
        </w:rPr>
      </w:pPr>
      <w:r>
        <w:rPr>
          <w:rFonts w:ascii="Arial" w:hAnsi="Arial" w:cs="Arial"/>
          <w:b/>
          <w:bCs/>
          <w:color w:val="auto"/>
          <w:sz w:val="20"/>
          <w:szCs w:val="22"/>
        </w:rPr>
        <w:t>1</w:t>
      </w:r>
      <w:r>
        <w:rPr>
          <w:rFonts w:hint="eastAsia"/>
          <w:color w:val="auto"/>
          <w:sz w:val="20"/>
          <w:szCs w:val="22"/>
        </w:rPr>
        <w:t>、乙方对电梯设备进行保养的具体内容包含以下项目：</w:t>
      </w:r>
    </w:p>
    <w:p>
      <w:pPr>
        <w:spacing w:line="600" w:lineRule="auto"/>
        <w:rPr>
          <w:color w:val="auto"/>
          <w:sz w:val="20"/>
          <w:szCs w:val="22"/>
        </w:rPr>
      </w:pPr>
      <w:r>
        <w:rPr>
          <w:color w:val="auto"/>
          <w:sz w:val="20"/>
          <w:szCs w:val="22"/>
        </w:rPr>
        <w:t xml:space="preserve">1.1 </w:t>
      </w:r>
      <w:r>
        <w:rPr>
          <w:rFonts w:hint="eastAsia"/>
          <w:color w:val="auto"/>
          <w:sz w:val="20"/>
          <w:szCs w:val="22"/>
        </w:rPr>
        <w:t>电梯轿厢、机房、井道等部位的各部件的检查、调整、润滑和清洁。</w:t>
      </w:r>
    </w:p>
    <w:p>
      <w:pPr>
        <w:spacing w:line="600" w:lineRule="auto"/>
        <w:rPr>
          <w:color w:val="auto"/>
          <w:sz w:val="20"/>
          <w:szCs w:val="22"/>
        </w:rPr>
      </w:pPr>
      <w:r>
        <w:rPr>
          <w:color w:val="auto"/>
          <w:sz w:val="20"/>
          <w:szCs w:val="22"/>
        </w:rPr>
        <w:t xml:space="preserve">1.2 </w:t>
      </w:r>
      <w:r>
        <w:rPr>
          <w:rFonts w:hint="eastAsia"/>
          <w:color w:val="auto"/>
          <w:sz w:val="20"/>
          <w:szCs w:val="22"/>
        </w:rPr>
        <w:t>电梯曳引钢丝绳、补偿钢丝绳、补偿链、限速器钢丝绳的清洁和张力调整。</w:t>
      </w:r>
    </w:p>
    <w:p>
      <w:pPr>
        <w:spacing w:line="600" w:lineRule="auto"/>
        <w:rPr>
          <w:color w:val="auto"/>
          <w:sz w:val="20"/>
          <w:szCs w:val="22"/>
        </w:rPr>
      </w:pPr>
      <w:r>
        <w:rPr>
          <w:color w:val="auto"/>
          <w:sz w:val="20"/>
          <w:szCs w:val="22"/>
        </w:rPr>
        <w:t xml:space="preserve">1.3 </w:t>
      </w:r>
      <w:r>
        <w:rPr>
          <w:rFonts w:hint="eastAsia"/>
          <w:color w:val="auto"/>
          <w:sz w:val="20"/>
          <w:szCs w:val="22"/>
        </w:rPr>
        <w:t>自动扶梯上下部机房、安全装置、扶手驱动装置的检查、调整、润滑和清洁。</w:t>
      </w:r>
    </w:p>
    <w:p>
      <w:pPr>
        <w:spacing w:line="600" w:lineRule="auto"/>
        <w:rPr>
          <w:color w:val="auto"/>
          <w:sz w:val="20"/>
          <w:szCs w:val="22"/>
        </w:rPr>
      </w:pPr>
      <w:r>
        <w:rPr>
          <w:rFonts w:ascii="Arial" w:hAnsi="Arial" w:cs="Arial"/>
          <w:b/>
          <w:bCs/>
          <w:color w:val="auto"/>
          <w:sz w:val="20"/>
          <w:szCs w:val="22"/>
        </w:rPr>
        <w:t>2</w:t>
      </w:r>
      <w:r>
        <w:rPr>
          <w:rFonts w:hint="eastAsia"/>
          <w:color w:val="auto"/>
          <w:sz w:val="20"/>
          <w:szCs w:val="22"/>
        </w:rPr>
        <w:t>、提供全天候应急处理服务，并在接到甲方紧急报修通知后</w:t>
      </w:r>
      <w:r>
        <w:rPr>
          <w:rFonts w:hint="eastAsia"/>
          <w:color w:val="auto"/>
          <w:sz w:val="20"/>
          <w:szCs w:val="22"/>
          <w:u w:val="single"/>
        </w:rPr>
        <w:t>30</w:t>
      </w:r>
      <w:r>
        <w:rPr>
          <w:rFonts w:hint="eastAsia"/>
          <w:color w:val="auto"/>
          <w:sz w:val="20"/>
          <w:szCs w:val="22"/>
        </w:rPr>
        <w:t>分钟内赶到现场。</w:t>
      </w:r>
    </w:p>
    <w:p>
      <w:pPr>
        <w:spacing w:line="600" w:lineRule="auto"/>
        <w:rPr>
          <w:b/>
          <w:bCs/>
          <w:color w:val="auto"/>
          <w:sz w:val="20"/>
          <w:szCs w:val="22"/>
        </w:rPr>
      </w:pPr>
      <w:r>
        <w:rPr>
          <w:rFonts w:ascii="Arial" w:hAnsi="Arial" w:cs="Arial"/>
          <w:b/>
          <w:bCs/>
          <w:color w:val="auto"/>
          <w:sz w:val="20"/>
          <w:szCs w:val="22"/>
        </w:rPr>
        <w:t>3</w:t>
      </w:r>
      <w:r>
        <w:rPr>
          <w:rFonts w:hint="eastAsia"/>
          <w:color w:val="auto"/>
          <w:sz w:val="20"/>
          <w:szCs w:val="22"/>
        </w:rPr>
        <w:t>、免费调换在服务期内因保养不当而损坏的零部件。</w:t>
      </w:r>
    </w:p>
    <w:p>
      <w:pPr>
        <w:spacing w:line="600" w:lineRule="auto"/>
        <w:rPr>
          <w:color w:val="auto"/>
          <w:sz w:val="20"/>
          <w:szCs w:val="22"/>
        </w:rPr>
      </w:pPr>
      <w:r>
        <w:rPr>
          <w:rFonts w:ascii="Arial" w:hAnsi="Arial" w:cs="Arial"/>
          <w:b/>
          <w:bCs/>
          <w:color w:val="auto"/>
          <w:sz w:val="20"/>
          <w:szCs w:val="22"/>
        </w:rPr>
        <w:t>4</w:t>
      </w:r>
      <w:r>
        <w:rPr>
          <w:rFonts w:hint="eastAsia"/>
          <w:color w:val="auto"/>
          <w:sz w:val="20"/>
          <w:szCs w:val="22"/>
        </w:rPr>
        <w:t>、配合政府主管部门实施年检。</w:t>
      </w:r>
    </w:p>
    <w:p>
      <w:pPr>
        <w:spacing w:line="600" w:lineRule="auto"/>
        <w:rPr>
          <w:color w:val="auto"/>
          <w:sz w:val="20"/>
          <w:szCs w:val="22"/>
        </w:rPr>
      </w:pPr>
      <w:r>
        <w:rPr>
          <w:rFonts w:hint="eastAsia" w:ascii="Arial" w:hAnsi="Arial" w:cs="Arial"/>
          <w:b/>
          <w:bCs/>
          <w:color w:val="auto"/>
          <w:sz w:val="20"/>
          <w:szCs w:val="22"/>
        </w:rPr>
        <w:t>5</w:t>
      </w:r>
      <w:r>
        <w:rPr>
          <w:rFonts w:hint="eastAsia"/>
          <w:color w:val="auto"/>
          <w:sz w:val="20"/>
          <w:szCs w:val="22"/>
        </w:rPr>
        <w:t>、每年进行一次综合性的运行安全和运行质量的检查，并在检测结束时向甲方提交检测报告。</w:t>
      </w:r>
    </w:p>
    <w:p>
      <w:pPr>
        <w:pStyle w:val="2"/>
        <w:rPr>
          <w:color w:val="auto"/>
          <w:sz w:val="20"/>
          <w:szCs w:val="22"/>
        </w:rPr>
      </w:pPr>
      <w:r>
        <w:rPr>
          <w:rFonts w:hint="eastAsia"/>
          <w:color w:val="auto"/>
          <w:sz w:val="20"/>
          <w:szCs w:val="22"/>
        </w:rPr>
        <w:t>*：本保养方式中润滑所需的油类由</w:t>
      </w:r>
      <w:r>
        <w:rPr>
          <w:rFonts w:hint="eastAsia"/>
          <w:color w:val="auto"/>
          <w:sz w:val="20"/>
          <w:szCs w:val="22"/>
        </w:rPr>
        <w:t>甲方</w:t>
      </w:r>
      <w:r>
        <w:rPr>
          <w:rFonts w:hint="eastAsia"/>
          <w:color w:val="auto"/>
          <w:sz w:val="20"/>
          <w:szCs w:val="22"/>
        </w:rPr>
        <w:t>负责提供。</w:t>
      </w:r>
    </w:p>
    <w:p>
      <w:pPr>
        <w:jc w:val="both"/>
        <w:rPr>
          <w:rFonts w:ascii="楷体_GB2312" w:hAnsi="宋体" w:eastAsia="楷体_GB2312"/>
          <w:b/>
          <w:color w:val="auto"/>
          <w:sz w:val="24"/>
        </w:rPr>
      </w:pPr>
    </w:p>
    <w:p>
      <w:pPr>
        <w:rPr>
          <w:rFonts w:ascii="宋体" w:hAnsi="宋体"/>
          <w:color w:val="auto"/>
          <w:sz w:val="44"/>
        </w:rPr>
      </w:pPr>
    </w:p>
    <w:p>
      <w:pPr>
        <w:jc w:val="center"/>
        <w:rPr>
          <w:rFonts w:ascii="楷体_GB2312" w:hAnsi="宋体" w:eastAsia="楷体_GB2312"/>
          <w:b/>
          <w:color w:val="auto"/>
          <w:sz w:val="24"/>
        </w:rPr>
      </w:pPr>
      <w:r>
        <w:rPr>
          <w:rFonts w:hint="eastAsia" w:ascii="宋体" w:hAnsi="宋体"/>
          <w:color w:val="auto"/>
          <w:sz w:val="44"/>
        </w:rPr>
        <w:t>电梯产品保养项目</w:t>
      </w:r>
    </w:p>
    <w:tbl>
      <w:tblPr>
        <w:tblStyle w:val="1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56"/>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rPr>
                <w:rFonts w:ascii="楷体_GB2312" w:hAnsi="宋体" w:eastAsia="楷体_GB2312"/>
                <w:color w:val="auto"/>
              </w:rPr>
            </w:pPr>
            <w:r>
              <w:rPr>
                <w:rFonts w:hint="eastAsia" w:ascii="楷体_GB2312" w:hAnsi="宋体" w:eastAsia="楷体_GB2312"/>
                <w:color w:val="auto"/>
              </w:rPr>
              <w:t>项  目</w:t>
            </w:r>
          </w:p>
        </w:tc>
        <w:tc>
          <w:tcPr>
            <w:tcW w:w="1656" w:type="dxa"/>
          </w:tcPr>
          <w:p>
            <w:pPr>
              <w:rPr>
                <w:rFonts w:ascii="楷体_GB2312" w:hAnsi="宋体" w:eastAsia="楷体_GB2312"/>
                <w:color w:val="auto"/>
              </w:rPr>
            </w:pPr>
            <w:r>
              <w:rPr>
                <w:rFonts w:hint="eastAsia" w:ascii="楷体_GB2312" w:hAnsi="宋体" w:eastAsia="楷体_GB2312"/>
                <w:color w:val="auto"/>
              </w:rPr>
              <w:t>周  期</w:t>
            </w:r>
          </w:p>
        </w:tc>
        <w:tc>
          <w:tcPr>
            <w:tcW w:w="6386" w:type="dxa"/>
          </w:tcPr>
          <w:p>
            <w:pPr>
              <w:rPr>
                <w:rFonts w:ascii="楷体_GB2312" w:hAnsi="宋体" w:eastAsia="楷体_GB2312"/>
                <w:color w:val="auto"/>
              </w:rPr>
            </w:pPr>
            <w:r>
              <w:rPr>
                <w:rFonts w:hint="eastAsia" w:ascii="楷体_GB2312" w:hAnsi="宋体" w:eastAsia="楷体_GB2312"/>
                <w:color w:val="auto"/>
              </w:rPr>
              <w:t>作    业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restart"/>
            <w:vAlign w:val="center"/>
          </w:tcPr>
          <w:p>
            <w:pPr>
              <w:jc w:val="center"/>
              <w:rPr>
                <w:rFonts w:ascii="楷体_GB2312" w:hAnsi="宋体" w:eastAsia="楷体_GB2312"/>
                <w:color w:val="auto"/>
              </w:rPr>
            </w:pPr>
            <w:r>
              <w:rPr>
                <w:rFonts w:hint="eastAsia" w:ascii="楷体_GB2312" w:hAnsi="宋体" w:eastAsia="楷体_GB2312"/>
                <w:color w:val="auto"/>
              </w:rPr>
              <w:t>机</w:t>
            </w:r>
          </w:p>
          <w:p>
            <w:pPr>
              <w:jc w:val="center"/>
              <w:rPr>
                <w:rFonts w:ascii="楷体_GB2312" w:hAnsi="宋体" w:eastAsia="楷体_GB2312"/>
                <w:color w:val="auto"/>
              </w:rPr>
            </w:pPr>
          </w:p>
          <w:p>
            <w:pPr>
              <w:jc w:val="center"/>
              <w:rPr>
                <w:rFonts w:ascii="楷体_GB2312" w:hAnsi="宋体" w:eastAsia="楷体_GB2312"/>
                <w:color w:val="auto"/>
              </w:rPr>
            </w:pPr>
          </w:p>
          <w:p>
            <w:pPr>
              <w:jc w:val="center"/>
              <w:rPr>
                <w:rFonts w:ascii="楷体_GB2312" w:hAnsi="宋体" w:eastAsia="楷体_GB2312"/>
                <w:color w:val="auto"/>
              </w:rPr>
            </w:pPr>
          </w:p>
          <w:p>
            <w:pPr>
              <w:jc w:val="center"/>
              <w:rPr>
                <w:rFonts w:ascii="楷体_GB2312" w:hAnsi="宋体" w:eastAsia="楷体_GB2312"/>
                <w:color w:val="auto"/>
              </w:rPr>
            </w:pPr>
            <w:r>
              <w:rPr>
                <w:rFonts w:hint="eastAsia" w:ascii="楷体_GB2312" w:hAnsi="宋体" w:eastAsia="楷体_GB2312"/>
                <w:color w:val="auto"/>
              </w:rPr>
              <w:t>房</w:t>
            </w:r>
          </w:p>
        </w:tc>
        <w:tc>
          <w:tcPr>
            <w:tcW w:w="1656" w:type="dxa"/>
          </w:tcPr>
          <w:p>
            <w:pPr>
              <w:rPr>
                <w:rFonts w:ascii="楷体_GB2312" w:hAnsi="宋体" w:eastAsia="楷体_GB2312"/>
                <w:color w:val="auto"/>
              </w:rPr>
            </w:pPr>
            <w:r>
              <w:rPr>
                <w:rFonts w:hint="eastAsia" w:ascii="楷体_GB2312" w:hAnsi="宋体" w:eastAsia="楷体_GB2312"/>
                <w:color w:val="auto"/>
              </w:rPr>
              <w:t>每个月两次</w:t>
            </w:r>
          </w:p>
        </w:tc>
        <w:tc>
          <w:tcPr>
            <w:tcW w:w="6386" w:type="dxa"/>
          </w:tcPr>
          <w:p>
            <w:pPr>
              <w:numPr>
                <w:ilvl w:val="0"/>
                <w:numId w:val="1"/>
              </w:numPr>
              <w:spacing w:line="360" w:lineRule="auto"/>
              <w:ind w:left="357" w:hanging="357"/>
              <w:rPr>
                <w:rFonts w:ascii="楷体_GB2312" w:hAnsi="宋体" w:eastAsia="楷体_GB2312"/>
                <w:color w:val="auto"/>
              </w:rPr>
            </w:pPr>
            <w:r>
              <w:rPr>
                <w:rFonts w:hint="eastAsia" w:ascii="楷体_GB2312" w:hAnsi="宋体" w:eastAsia="楷体_GB2312"/>
                <w:color w:val="auto"/>
              </w:rPr>
              <w:t>清洁机房环境并检查门窗，照明等</w:t>
            </w:r>
          </w:p>
          <w:p>
            <w:pPr>
              <w:numPr>
                <w:ilvl w:val="0"/>
                <w:numId w:val="1"/>
              </w:numPr>
              <w:ind w:left="357" w:hanging="357"/>
              <w:rPr>
                <w:rFonts w:ascii="楷体_GB2312" w:hAnsi="宋体" w:eastAsia="楷体_GB2312"/>
                <w:color w:val="auto"/>
              </w:rPr>
            </w:pPr>
            <w:r>
              <w:rPr>
                <w:rFonts w:hint="eastAsia" w:ascii="楷体_GB2312" w:hAnsi="宋体" w:eastAsia="楷体_GB2312"/>
                <w:color w:val="auto"/>
              </w:rPr>
              <w:t>机房其它各部件清洁检查（编码器、限速器等）</w:t>
            </w:r>
          </w:p>
          <w:p>
            <w:pPr>
              <w:numPr>
                <w:ilvl w:val="0"/>
                <w:numId w:val="1"/>
              </w:numPr>
              <w:rPr>
                <w:rFonts w:ascii="楷体_GB2312" w:hAnsi="宋体" w:eastAsia="楷体_GB2312"/>
                <w:color w:val="auto"/>
              </w:rPr>
            </w:pPr>
            <w:r>
              <w:rPr>
                <w:rFonts w:hint="eastAsia" w:ascii="楷体_GB2312" w:hAnsi="宋体" w:eastAsia="楷体_GB2312"/>
                <w:color w:val="auto"/>
              </w:rPr>
              <w:t>检查曳引机、编码器是否有异常响声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每个月一次</w:t>
            </w:r>
          </w:p>
        </w:tc>
        <w:tc>
          <w:tcPr>
            <w:tcW w:w="6386" w:type="dxa"/>
          </w:tcPr>
          <w:p>
            <w:pPr>
              <w:numPr>
                <w:ilvl w:val="0"/>
                <w:numId w:val="1"/>
              </w:numPr>
              <w:rPr>
                <w:rFonts w:ascii="楷体_GB2312" w:hAnsi="宋体" w:eastAsia="楷体_GB2312"/>
                <w:color w:val="auto"/>
              </w:rPr>
            </w:pPr>
            <w:r>
              <w:rPr>
                <w:rFonts w:hint="eastAsia" w:ascii="楷体_GB2312" w:hAnsi="宋体" w:eastAsia="楷体_GB2312"/>
                <w:color w:val="auto"/>
              </w:rPr>
              <w:t>检查制动器（轴销，柱塞润滑，清洁闸瓦）</w:t>
            </w:r>
          </w:p>
          <w:p>
            <w:pPr>
              <w:numPr>
                <w:ilvl w:val="0"/>
                <w:numId w:val="1"/>
              </w:numPr>
              <w:rPr>
                <w:rFonts w:ascii="楷体_GB2312" w:hAnsi="宋体" w:eastAsia="楷体_GB2312"/>
                <w:color w:val="auto"/>
              </w:rPr>
            </w:pPr>
            <w:r>
              <w:rPr>
                <w:rFonts w:hint="eastAsia" w:ascii="楷体_GB2312" w:hAnsi="宋体" w:eastAsia="楷体_GB2312"/>
                <w:color w:val="auto"/>
              </w:rPr>
              <w:t>印板电压及控制屏各档电压检查</w:t>
            </w:r>
          </w:p>
          <w:p>
            <w:pPr>
              <w:numPr>
                <w:ilvl w:val="0"/>
                <w:numId w:val="1"/>
              </w:numPr>
              <w:rPr>
                <w:rFonts w:ascii="楷体_GB2312" w:hAnsi="宋体" w:eastAsia="楷体_GB2312"/>
                <w:color w:val="auto"/>
              </w:rPr>
            </w:pPr>
            <w:r>
              <w:rPr>
                <w:rFonts w:hint="eastAsia" w:ascii="楷体_GB2312" w:hAnsi="宋体" w:eastAsia="楷体_GB2312"/>
                <w:color w:val="auto"/>
              </w:rPr>
              <w:t>检查控制柜电器元件（接触器，继电器触点等）</w:t>
            </w:r>
          </w:p>
          <w:p>
            <w:pPr>
              <w:numPr>
                <w:ilvl w:val="0"/>
                <w:numId w:val="1"/>
              </w:numPr>
              <w:rPr>
                <w:rFonts w:ascii="楷体_GB2312" w:hAnsi="宋体" w:eastAsia="楷体_GB2312"/>
                <w:color w:val="auto"/>
              </w:rPr>
            </w:pPr>
            <w:r>
              <w:rPr>
                <w:rFonts w:hint="eastAsia" w:ascii="楷体_GB2312" w:hAnsi="宋体" w:eastAsia="楷体_GB2312"/>
                <w:color w:val="auto"/>
              </w:rPr>
              <w:t>层高数据写入</w:t>
            </w:r>
          </w:p>
          <w:p>
            <w:pPr>
              <w:numPr>
                <w:ilvl w:val="0"/>
                <w:numId w:val="1"/>
              </w:numPr>
              <w:rPr>
                <w:rFonts w:ascii="楷体_GB2312" w:hAnsi="宋体" w:eastAsia="楷体_GB2312"/>
                <w:color w:val="auto"/>
              </w:rPr>
            </w:pPr>
            <w:r>
              <w:rPr>
                <w:rFonts w:hint="eastAsia" w:ascii="楷体_GB2312" w:hAnsi="宋体" w:eastAsia="楷体_GB2312"/>
                <w:color w:val="auto"/>
              </w:rPr>
              <w:t>记录运行次数</w:t>
            </w:r>
          </w:p>
          <w:p>
            <w:pPr>
              <w:numPr>
                <w:ilvl w:val="0"/>
                <w:numId w:val="1"/>
              </w:numPr>
              <w:rPr>
                <w:rFonts w:ascii="楷体_GB2312" w:hAnsi="宋体" w:eastAsia="楷体_GB2312"/>
                <w:color w:val="auto"/>
              </w:rPr>
            </w:pPr>
            <w:r>
              <w:rPr>
                <w:rFonts w:hint="eastAsia" w:ascii="楷体_GB2312" w:hAnsi="宋体" w:eastAsia="楷体_GB2312"/>
                <w:color w:val="auto"/>
              </w:rPr>
              <w:t>紧固各主回路端子及电源端子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每三个月一次</w:t>
            </w:r>
          </w:p>
        </w:tc>
        <w:tc>
          <w:tcPr>
            <w:tcW w:w="6386" w:type="dxa"/>
          </w:tcPr>
          <w:p>
            <w:pPr>
              <w:numPr>
                <w:ilvl w:val="0"/>
                <w:numId w:val="1"/>
              </w:numPr>
              <w:rPr>
                <w:rFonts w:ascii="楷体_GB2312" w:hAnsi="宋体" w:eastAsia="楷体_GB2312"/>
                <w:color w:val="auto"/>
              </w:rPr>
            </w:pPr>
            <w:r>
              <w:rPr>
                <w:rFonts w:hint="eastAsia" w:ascii="楷体_GB2312" w:hAnsi="宋体" w:eastAsia="楷体_GB2312"/>
                <w:color w:val="auto"/>
              </w:rPr>
              <w:t>检查曳引机油量，齿轮啮合，齿面状况</w:t>
            </w:r>
          </w:p>
          <w:p>
            <w:pPr>
              <w:numPr>
                <w:ilvl w:val="0"/>
                <w:numId w:val="1"/>
              </w:numPr>
              <w:rPr>
                <w:rFonts w:ascii="楷体_GB2312" w:hAnsi="宋体" w:eastAsia="楷体_GB2312"/>
                <w:color w:val="auto"/>
              </w:rPr>
            </w:pPr>
            <w:r>
              <w:rPr>
                <w:rFonts w:hint="eastAsia" w:ascii="楷体_GB2312" w:hAnsi="宋体" w:eastAsia="楷体_GB2312"/>
                <w:color w:val="auto"/>
              </w:rPr>
              <w:t>曳引轮、导向轮，电动机转轴部检查，润滑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每六个月一次</w:t>
            </w:r>
          </w:p>
        </w:tc>
        <w:tc>
          <w:tcPr>
            <w:tcW w:w="6386" w:type="dxa"/>
          </w:tcPr>
          <w:p>
            <w:pPr>
              <w:numPr>
                <w:ilvl w:val="0"/>
                <w:numId w:val="1"/>
              </w:numPr>
              <w:rPr>
                <w:rFonts w:ascii="楷体_GB2312" w:hAnsi="宋体" w:eastAsia="楷体_GB2312"/>
                <w:color w:val="auto"/>
              </w:rPr>
            </w:pPr>
            <w:r>
              <w:rPr>
                <w:rFonts w:hint="eastAsia" w:ascii="楷体_GB2312" w:hAnsi="宋体" w:eastAsia="楷体_GB2312"/>
                <w:color w:val="auto"/>
              </w:rPr>
              <w:t>紧固曳引机各安装螺栓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restart"/>
            <w:vAlign w:val="center"/>
          </w:tcPr>
          <w:p>
            <w:pPr>
              <w:jc w:val="center"/>
              <w:rPr>
                <w:rFonts w:ascii="楷体_GB2312" w:hAnsi="宋体" w:eastAsia="楷体_GB2312"/>
                <w:color w:val="auto"/>
              </w:rPr>
            </w:pPr>
            <w:r>
              <w:rPr>
                <w:rFonts w:hint="eastAsia" w:ascii="楷体_GB2312" w:hAnsi="宋体" w:eastAsia="楷体_GB2312"/>
                <w:color w:val="auto"/>
              </w:rPr>
              <w:t>层站</w:t>
            </w:r>
          </w:p>
        </w:tc>
        <w:tc>
          <w:tcPr>
            <w:tcW w:w="1656" w:type="dxa"/>
          </w:tcPr>
          <w:p>
            <w:pPr>
              <w:rPr>
                <w:rFonts w:ascii="楷体_GB2312" w:hAnsi="宋体" w:eastAsia="楷体_GB2312"/>
                <w:color w:val="auto"/>
              </w:rPr>
            </w:pPr>
            <w:r>
              <w:rPr>
                <w:rFonts w:hint="eastAsia" w:ascii="楷体_GB2312" w:hAnsi="宋体" w:eastAsia="楷体_GB2312"/>
                <w:color w:val="auto"/>
              </w:rPr>
              <w:t>每个月两次</w:t>
            </w:r>
          </w:p>
        </w:tc>
        <w:tc>
          <w:tcPr>
            <w:tcW w:w="6386" w:type="dxa"/>
          </w:tcPr>
          <w:p>
            <w:pPr>
              <w:numPr>
                <w:ilvl w:val="0"/>
                <w:numId w:val="2"/>
              </w:numPr>
              <w:tabs>
                <w:tab w:val="left" w:pos="360"/>
                <w:tab w:val="clear" w:pos="425"/>
              </w:tabs>
              <w:ind w:left="360" w:hanging="360"/>
              <w:rPr>
                <w:rFonts w:ascii="楷体_GB2312" w:hAnsi="宋体" w:eastAsia="楷体_GB2312"/>
                <w:color w:val="auto"/>
              </w:rPr>
            </w:pPr>
            <w:r>
              <w:rPr>
                <w:rFonts w:hint="eastAsia" w:ascii="楷体_GB2312" w:hAnsi="宋体" w:eastAsia="楷体_GB2312"/>
                <w:color w:val="auto"/>
              </w:rPr>
              <w:t>清扫地坎，更换磨损的层门滑块</w:t>
            </w:r>
          </w:p>
          <w:p>
            <w:pPr>
              <w:numPr>
                <w:ilvl w:val="0"/>
                <w:numId w:val="2"/>
              </w:numPr>
              <w:tabs>
                <w:tab w:val="left" w:pos="360"/>
                <w:tab w:val="clear" w:pos="425"/>
              </w:tabs>
              <w:ind w:left="360" w:hanging="360"/>
              <w:rPr>
                <w:rFonts w:ascii="楷体_GB2312" w:hAnsi="宋体" w:eastAsia="楷体_GB2312"/>
                <w:color w:val="auto"/>
              </w:rPr>
            </w:pPr>
            <w:r>
              <w:rPr>
                <w:rFonts w:hint="eastAsia" w:ascii="楷体_GB2312" w:hAnsi="宋体" w:eastAsia="楷体_GB2312"/>
                <w:color w:val="auto"/>
              </w:rPr>
              <w:t>检查三角钥匙开关是否正常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每个月一次</w:t>
            </w:r>
          </w:p>
        </w:tc>
        <w:tc>
          <w:tcPr>
            <w:tcW w:w="6386" w:type="dxa"/>
          </w:tcPr>
          <w:p>
            <w:pPr>
              <w:numPr>
                <w:ilvl w:val="0"/>
                <w:numId w:val="2"/>
              </w:numPr>
              <w:tabs>
                <w:tab w:val="left" w:pos="360"/>
                <w:tab w:val="clear" w:pos="425"/>
              </w:tabs>
              <w:ind w:left="360" w:hanging="360"/>
              <w:rPr>
                <w:rFonts w:ascii="楷体_GB2312" w:hAnsi="宋体" w:eastAsia="楷体_GB2312"/>
                <w:color w:val="auto"/>
              </w:rPr>
            </w:pPr>
            <w:r>
              <w:rPr>
                <w:rFonts w:hint="eastAsia" w:ascii="楷体_GB2312" w:hAnsi="宋体" w:eastAsia="楷体_GB2312"/>
                <w:color w:val="auto"/>
              </w:rPr>
              <w:t>检查召唤、层显，清洁并调整门板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restart"/>
            <w:vAlign w:val="center"/>
          </w:tcPr>
          <w:p>
            <w:pPr>
              <w:jc w:val="center"/>
              <w:rPr>
                <w:rFonts w:ascii="楷体_GB2312" w:hAnsi="宋体" w:eastAsia="楷体_GB2312"/>
                <w:color w:val="auto"/>
              </w:rPr>
            </w:pPr>
            <w:r>
              <w:rPr>
                <w:rFonts w:hint="eastAsia" w:ascii="楷体_GB2312" w:hAnsi="宋体" w:eastAsia="楷体_GB2312"/>
                <w:color w:val="auto"/>
              </w:rPr>
              <w:t>轿</w:t>
            </w:r>
          </w:p>
          <w:p>
            <w:pPr>
              <w:jc w:val="center"/>
              <w:rPr>
                <w:rFonts w:ascii="楷体_GB2312" w:hAnsi="宋体" w:eastAsia="楷体_GB2312"/>
                <w:color w:val="auto"/>
              </w:rPr>
            </w:pPr>
          </w:p>
          <w:p>
            <w:pPr>
              <w:jc w:val="center"/>
              <w:rPr>
                <w:rFonts w:ascii="楷体_GB2312" w:hAnsi="宋体" w:eastAsia="楷体_GB2312"/>
                <w:color w:val="auto"/>
              </w:rPr>
            </w:pPr>
          </w:p>
          <w:p>
            <w:pPr>
              <w:jc w:val="center"/>
              <w:rPr>
                <w:rFonts w:ascii="楷体_GB2312" w:hAnsi="宋体" w:eastAsia="楷体_GB2312"/>
                <w:color w:val="auto"/>
              </w:rPr>
            </w:pPr>
            <w:r>
              <w:rPr>
                <w:rFonts w:hint="eastAsia" w:ascii="楷体_GB2312" w:hAnsi="宋体" w:eastAsia="楷体_GB2312"/>
                <w:color w:val="auto"/>
              </w:rPr>
              <w:t>顶</w:t>
            </w:r>
          </w:p>
        </w:tc>
        <w:tc>
          <w:tcPr>
            <w:tcW w:w="1656" w:type="dxa"/>
          </w:tcPr>
          <w:p>
            <w:pPr>
              <w:rPr>
                <w:rFonts w:ascii="楷体_GB2312" w:hAnsi="宋体" w:eastAsia="楷体_GB2312"/>
                <w:color w:val="auto"/>
              </w:rPr>
            </w:pPr>
            <w:r>
              <w:rPr>
                <w:rFonts w:hint="eastAsia" w:ascii="楷体_GB2312" w:hAnsi="宋体" w:eastAsia="楷体_GB2312"/>
                <w:color w:val="auto"/>
              </w:rPr>
              <w:t>每个月两次</w:t>
            </w:r>
          </w:p>
        </w:tc>
        <w:tc>
          <w:tcPr>
            <w:tcW w:w="6386" w:type="dxa"/>
          </w:tcPr>
          <w:p>
            <w:pPr>
              <w:numPr>
                <w:ilvl w:val="0"/>
                <w:numId w:val="3"/>
              </w:numPr>
              <w:rPr>
                <w:rFonts w:ascii="楷体_GB2312" w:hAnsi="宋体" w:eastAsia="楷体_GB2312"/>
                <w:color w:val="auto"/>
              </w:rPr>
            </w:pPr>
            <w:r>
              <w:rPr>
                <w:rFonts w:hint="eastAsia" w:ascii="楷体_GB2312" w:hAnsi="宋体" w:eastAsia="楷体_GB2312"/>
                <w:color w:val="auto"/>
              </w:rPr>
              <w:t>清扫轿顶</w:t>
            </w:r>
          </w:p>
          <w:p>
            <w:pPr>
              <w:numPr>
                <w:ilvl w:val="0"/>
                <w:numId w:val="3"/>
              </w:numPr>
              <w:rPr>
                <w:rFonts w:ascii="楷体_GB2312" w:hAnsi="宋体" w:eastAsia="楷体_GB2312"/>
                <w:color w:val="auto"/>
              </w:rPr>
            </w:pPr>
            <w:r>
              <w:rPr>
                <w:rFonts w:hint="eastAsia" w:ascii="楷体_GB2312" w:hAnsi="宋体" w:eastAsia="楷体_GB2312"/>
                <w:color w:val="auto"/>
              </w:rPr>
              <w:t>检查轿顶各检修开关是否有效</w:t>
            </w:r>
          </w:p>
          <w:p>
            <w:pPr>
              <w:numPr>
                <w:ilvl w:val="0"/>
                <w:numId w:val="3"/>
              </w:numPr>
              <w:rPr>
                <w:rFonts w:ascii="楷体_GB2312" w:hAnsi="宋体" w:eastAsia="楷体_GB2312"/>
                <w:color w:val="auto"/>
              </w:rPr>
            </w:pPr>
            <w:r>
              <w:rPr>
                <w:rFonts w:hint="eastAsia" w:ascii="楷体_GB2312" w:hAnsi="宋体" w:eastAsia="楷体_GB2312"/>
                <w:color w:val="auto"/>
              </w:rPr>
              <w:t>检查油杯，油量等</w:t>
            </w:r>
          </w:p>
          <w:p>
            <w:pPr>
              <w:numPr>
                <w:ilvl w:val="0"/>
                <w:numId w:val="3"/>
              </w:numPr>
              <w:rPr>
                <w:rFonts w:ascii="楷体_GB2312" w:hAnsi="宋体" w:eastAsia="楷体_GB2312"/>
                <w:color w:val="auto"/>
              </w:rPr>
            </w:pPr>
            <w:r>
              <w:rPr>
                <w:rFonts w:hint="eastAsia" w:ascii="楷体_GB2312" w:hAnsi="宋体" w:eastAsia="楷体_GB2312"/>
                <w:color w:val="auto"/>
              </w:rPr>
              <w:t>检查限速器钢丝绳端部连接情况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每个月一次</w:t>
            </w:r>
          </w:p>
        </w:tc>
        <w:tc>
          <w:tcPr>
            <w:tcW w:w="6386" w:type="dxa"/>
          </w:tcPr>
          <w:p>
            <w:pPr>
              <w:numPr>
                <w:ilvl w:val="0"/>
                <w:numId w:val="3"/>
              </w:numPr>
              <w:rPr>
                <w:rFonts w:ascii="楷体_GB2312" w:hAnsi="宋体" w:eastAsia="楷体_GB2312"/>
                <w:color w:val="auto"/>
              </w:rPr>
            </w:pPr>
            <w:r>
              <w:rPr>
                <w:rFonts w:hint="eastAsia" w:ascii="楷体_GB2312" w:hAnsi="宋体" w:eastAsia="楷体_GB2312"/>
                <w:color w:val="auto"/>
              </w:rPr>
              <w:t>检查清洁轿顶轮、钢丝绳头等</w:t>
            </w:r>
          </w:p>
          <w:p>
            <w:pPr>
              <w:numPr>
                <w:ilvl w:val="0"/>
                <w:numId w:val="3"/>
              </w:numPr>
              <w:rPr>
                <w:rFonts w:ascii="楷体_GB2312" w:hAnsi="宋体" w:eastAsia="楷体_GB2312"/>
                <w:color w:val="auto"/>
              </w:rPr>
            </w:pPr>
            <w:r>
              <w:rPr>
                <w:rFonts w:hint="eastAsia" w:ascii="楷体_GB2312" w:hAnsi="宋体" w:eastAsia="楷体_GB2312"/>
                <w:color w:val="auto"/>
              </w:rPr>
              <w:t>检查秤量，以及停电灯电源</w:t>
            </w:r>
          </w:p>
          <w:p>
            <w:pPr>
              <w:numPr>
                <w:ilvl w:val="0"/>
                <w:numId w:val="3"/>
              </w:numPr>
              <w:rPr>
                <w:rFonts w:ascii="楷体_GB2312" w:hAnsi="宋体" w:eastAsia="楷体_GB2312"/>
                <w:color w:val="auto"/>
              </w:rPr>
            </w:pPr>
            <w:r>
              <w:rPr>
                <w:rFonts w:hint="eastAsia" w:ascii="楷体_GB2312" w:hAnsi="宋体" w:eastAsia="楷体_GB2312"/>
                <w:color w:val="auto"/>
              </w:rPr>
              <w:t>检查轿顶站内各部件状况</w:t>
            </w:r>
          </w:p>
          <w:p>
            <w:pPr>
              <w:numPr>
                <w:ilvl w:val="0"/>
                <w:numId w:val="3"/>
              </w:numPr>
              <w:rPr>
                <w:rFonts w:ascii="楷体_GB2312" w:hAnsi="宋体" w:eastAsia="楷体_GB2312"/>
                <w:color w:val="auto"/>
              </w:rPr>
            </w:pPr>
            <w:r>
              <w:rPr>
                <w:rFonts w:hint="eastAsia" w:ascii="楷体_GB2312" w:hAnsi="宋体" w:eastAsia="楷体_GB2312"/>
                <w:color w:val="auto"/>
              </w:rPr>
              <w:t>检查导靴，更换磨损的靴衬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每三个月一次</w:t>
            </w:r>
          </w:p>
        </w:tc>
        <w:tc>
          <w:tcPr>
            <w:tcW w:w="6386" w:type="dxa"/>
          </w:tcPr>
          <w:p>
            <w:pPr>
              <w:numPr>
                <w:ilvl w:val="0"/>
                <w:numId w:val="3"/>
              </w:numPr>
              <w:rPr>
                <w:rFonts w:ascii="楷体_GB2312" w:hAnsi="宋体" w:eastAsia="楷体_GB2312"/>
                <w:color w:val="auto"/>
              </w:rPr>
            </w:pPr>
            <w:r>
              <w:rPr>
                <w:rFonts w:hint="eastAsia" w:ascii="楷体_GB2312" w:hAnsi="宋体" w:eastAsia="楷体_GB2312"/>
                <w:color w:val="auto"/>
              </w:rPr>
              <w:t>紧固轿顶各螺栓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restart"/>
            <w:vAlign w:val="center"/>
          </w:tcPr>
          <w:p>
            <w:pPr>
              <w:jc w:val="center"/>
              <w:rPr>
                <w:rFonts w:ascii="楷体_GB2312" w:hAnsi="宋体" w:eastAsia="楷体_GB2312"/>
                <w:color w:val="auto"/>
              </w:rPr>
            </w:pPr>
            <w:r>
              <w:rPr>
                <w:rFonts w:hint="eastAsia" w:ascii="楷体_GB2312" w:hAnsi="宋体" w:eastAsia="楷体_GB2312"/>
                <w:color w:val="auto"/>
              </w:rPr>
              <w:t>井</w:t>
            </w:r>
          </w:p>
          <w:p>
            <w:pPr>
              <w:jc w:val="center"/>
              <w:rPr>
                <w:rFonts w:ascii="楷体_GB2312" w:hAnsi="宋体" w:eastAsia="楷体_GB2312"/>
                <w:color w:val="auto"/>
              </w:rPr>
            </w:pPr>
          </w:p>
          <w:p>
            <w:pPr>
              <w:jc w:val="center"/>
              <w:rPr>
                <w:rFonts w:ascii="楷体_GB2312" w:hAnsi="宋体" w:eastAsia="楷体_GB2312"/>
                <w:color w:val="auto"/>
              </w:rPr>
            </w:pPr>
          </w:p>
          <w:p>
            <w:pPr>
              <w:jc w:val="center"/>
              <w:rPr>
                <w:rFonts w:ascii="楷体_GB2312" w:hAnsi="宋体" w:eastAsia="楷体_GB2312"/>
                <w:color w:val="auto"/>
              </w:rPr>
            </w:pPr>
          </w:p>
          <w:p>
            <w:pPr>
              <w:jc w:val="center"/>
              <w:rPr>
                <w:rFonts w:ascii="楷体_GB2312" w:hAnsi="宋体" w:eastAsia="楷体_GB2312"/>
                <w:color w:val="auto"/>
              </w:rPr>
            </w:pPr>
            <w:r>
              <w:rPr>
                <w:rFonts w:hint="eastAsia" w:ascii="楷体_GB2312" w:hAnsi="宋体" w:eastAsia="楷体_GB2312"/>
                <w:color w:val="auto"/>
              </w:rPr>
              <w:t>道</w:t>
            </w:r>
          </w:p>
        </w:tc>
        <w:tc>
          <w:tcPr>
            <w:tcW w:w="1656" w:type="dxa"/>
          </w:tcPr>
          <w:p>
            <w:pPr>
              <w:rPr>
                <w:rFonts w:ascii="楷体_GB2312" w:hAnsi="宋体" w:eastAsia="楷体_GB2312"/>
                <w:color w:val="auto"/>
              </w:rPr>
            </w:pPr>
            <w:r>
              <w:rPr>
                <w:rFonts w:hint="eastAsia" w:ascii="楷体_GB2312" w:hAnsi="宋体" w:eastAsia="楷体_GB2312"/>
                <w:color w:val="auto"/>
              </w:rPr>
              <w:t>每个月两次</w:t>
            </w:r>
          </w:p>
        </w:tc>
        <w:tc>
          <w:tcPr>
            <w:tcW w:w="6386" w:type="dxa"/>
          </w:tcPr>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检查调整层门联锁机构</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清扫上坎架及门板背面</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检查井道内电缆是否破损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每个月一次</w:t>
            </w:r>
          </w:p>
        </w:tc>
        <w:tc>
          <w:tcPr>
            <w:tcW w:w="6386" w:type="dxa"/>
          </w:tcPr>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清洁润滑各层门导轨、滑轮</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清洁层门钢丝绳并调节张力</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检查强迫关门装置是否有效</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检查对重架、上下对重导靴安装情况并清洁</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紧固井道范围内的各种安装螺钉螺栓</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检查并调整钢丝绳张紧力</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检查、调整平层感应器与感应板安装间隙</w:t>
            </w:r>
          </w:p>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检查上、下终端开关的安装位置及工作情况</w:t>
            </w:r>
          </w:p>
          <w:p>
            <w:pPr>
              <w:numPr>
                <w:ilvl w:val="0"/>
                <w:numId w:val="4"/>
              </w:numPr>
              <w:tabs>
                <w:tab w:val="left" w:pos="360"/>
                <w:tab w:val="clear" w:pos="420"/>
              </w:tabs>
              <w:ind w:left="360" w:hanging="360"/>
              <w:rPr>
                <w:rFonts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每三个月一次</w:t>
            </w:r>
          </w:p>
        </w:tc>
        <w:tc>
          <w:tcPr>
            <w:tcW w:w="6386" w:type="dxa"/>
          </w:tcPr>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检查并紧固中间接线盒内接线端子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每六个月一次</w:t>
            </w:r>
          </w:p>
        </w:tc>
        <w:tc>
          <w:tcPr>
            <w:tcW w:w="6386" w:type="dxa"/>
          </w:tcPr>
          <w:p>
            <w:pPr>
              <w:numPr>
                <w:ilvl w:val="0"/>
                <w:numId w:val="4"/>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检查并紧固轿厢及对重导轨的底码，压导板螺栓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restart"/>
            <w:vAlign w:val="center"/>
          </w:tcPr>
          <w:p>
            <w:pPr>
              <w:jc w:val="center"/>
              <w:rPr>
                <w:rFonts w:ascii="楷体_GB2312" w:hAnsi="宋体" w:eastAsia="楷体_GB2312"/>
                <w:color w:val="auto"/>
              </w:rPr>
            </w:pPr>
            <w:r>
              <w:rPr>
                <w:rFonts w:hint="eastAsia" w:ascii="楷体_GB2312" w:hAnsi="宋体" w:eastAsia="楷体_GB2312"/>
                <w:color w:val="auto"/>
              </w:rPr>
              <w:t>轿</w:t>
            </w:r>
          </w:p>
          <w:p>
            <w:pPr>
              <w:jc w:val="center"/>
              <w:rPr>
                <w:rFonts w:ascii="楷体_GB2312" w:hAnsi="宋体" w:eastAsia="楷体_GB2312"/>
                <w:color w:val="auto"/>
              </w:rPr>
            </w:pPr>
            <w:r>
              <w:rPr>
                <w:rFonts w:hint="eastAsia" w:ascii="楷体_GB2312" w:hAnsi="宋体" w:eastAsia="楷体_GB2312"/>
                <w:color w:val="auto"/>
              </w:rPr>
              <w:t>厢</w:t>
            </w:r>
          </w:p>
        </w:tc>
        <w:tc>
          <w:tcPr>
            <w:tcW w:w="1656" w:type="dxa"/>
          </w:tcPr>
          <w:p>
            <w:pPr>
              <w:rPr>
                <w:rFonts w:ascii="楷体_GB2312" w:hAnsi="宋体" w:eastAsia="楷体_GB2312"/>
                <w:color w:val="auto"/>
              </w:rPr>
            </w:pPr>
            <w:r>
              <w:rPr>
                <w:rFonts w:hint="eastAsia" w:ascii="楷体_GB2312" w:hAnsi="宋体" w:eastAsia="楷体_GB2312"/>
                <w:color w:val="auto"/>
              </w:rPr>
              <w:t>每个月两次</w:t>
            </w:r>
          </w:p>
        </w:tc>
        <w:tc>
          <w:tcPr>
            <w:tcW w:w="6386" w:type="dxa"/>
          </w:tcPr>
          <w:p>
            <w:pPr>
              <w:numPr>
                <w:ilvl w:val="0"/>
                <w:numId w:val="5"/>
              </w:numPr>
              <w:rPr>
                <w:rFonts w:ascii="楷体_GB2312" w:hAnsi="宋体" w:eastAsia="楷体_GB2312"/>
                <w:color w:val="auto"/>
              </w:rPr>
            </w:pPr>
            <w:r>
              <w:rPr>
                <w:rFonts w:hint="eastAsia" w:ascii="楷体_GB2312" w:hAnsi="宋体" w:eastAsia="楷体_GB2312"/>
                <w:color w:val="auto"/>
              </w:rPr>
              <w:t>检查门的安全装置（安全触板、光幕、光电等）</w:t>
            </w:r>
          </w:p>
          <w:p>
            <w:pPr>
              <w:numPr>
                <w:ilvl w:val="0"/>
                <w:numId w:val="5"/>
              </w:numPr>
              <w:rPr>
                <w:rFonts w:ascii="楷体_GB2312" w:hAnsi="宋体" w:eastAsia="楷体_GB2312"/>
                <w:color w:val="auto"/>
              </w:rPr>
            </w:pPr>
            <w:r>
              <w:rPr>
                <w:rFonts w:hint="eastAsia" w:ascii="楷体_GB2312" w:hAnsi="宋体" w:eastAsia="楷体_GB2312"/>
                <w:color w:val="auto"/>
              </w:rPr>
              <w:t>检查清洁轿内操纵箱，轿内电话，检查安全装置</w:t>
            </w:r>
          </w:p>
          <w:p>
            <w:pPr>
              <w:numPr>
                <w:ilvl w:val="0"/>
                <w:numId w:val="5"/>
              </w:numPr>
              <w:rPr>
                <w:rFonts w:ascii="楷体_GB2312" w:hAnsi="宋体" w:eastAsia="楷体_GB2312"/>
                <w:color w:val="auto"/>
              </w:rPr>
            </w:pPr>
            <w:r>
              <w:rPr>
                <w:rFonts w:hint="eastAsia" w:ascii="楷体_GB2312" w:hAnsi="宋体" w:eastAsia="楷体_GB2312"/>
                <w:color w:val="auto"/>
              </w:rPr>
              <w:t>检查轿内照明、风扇、停电灯是否正常工作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tcPr>
          <w:p>
            <w:pP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每个月一次</w:t>
            </w:r>
          </w:p>
        </w:tc>
        <w:tc>
          <w:tcPr>
            <w:tcW w:w="6386" w:type="dxa"/>
          </w:tcPr>
          <w:p>
            <w:pPr>
              <w:numPr>
                <w:ilvl w:val="0"/>
                <w:numId w:val="5"/>
              </w:numPr>
              <w:rPr>
                <w:rFonts w:ascii="楷体_GB2312" w:hAnsi="宋体" w:eastAsia="楷体_GB2312"/>
                <w:color w:val="auto"/>
              </w:rPr>
            </w:pPr>
            <w:r>
              <w:rPr>
                <w:rFonts w:hint="eastAsia" w:ascii="楷体_GB2312" w:hAnsi="宋体" w:eastAsia="楷体_GB2312"/>
                <w:color w:val="auto"/>
              </w:rPr>
              <w:t>紧固各种安装螺钉螺栓</w:t>
            </w:r>
          </w:p>
          <w:p>
            <w:pPr>
              <w:numPr>
                <w:ilvl w:val="0"/>
                <w:numId w:val="5"/>
              </w:numPr>
              <w:rPr>
                <w:rFonts w:ascii="楷体_GB2312" w:hAnsi="宋体" w:eastAsia="楷体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restart"/>
            <w:vAlign w:val="center"/>
          </w:tcPr>
          <w:p>
            <w:pPr>
              <w:jc w:val="center"/>
              <w:rPr>
                <w:rFonts w:ascii="楷体_GB2312" w:hAnsi="宋体" w:eastAsia="楷体_GB2312"/>
                <w:color w:val="auto"/>
              </w:rPr>
            </w:pPr>
            <w:r>
              <w:rPr>
                <w:rFonts w:hint="eastAsia" w:ascii="楷体_GB2312" w:hAnsi="宋体" w:eastAsia="楷体_GB2312"/>
                <w:color w:val="auto"/>
              </w:rPr>
              <w:t>底</w:t>
            </w:r>
          </w:p>
          <w:p>
            <w:pPr>
              <w:jc w:val="center"/>
              <w:rPr>
                <w:rFonts w:ascii="楷体_GB2312" w:hAnsi="宋体" w:eastAsia="楷体_GB2312"/>
                <w:color w:val="auto"/>
              </w:rPr>
            </w:pPr>
          </w:p>
          <w:p>
            <w:pPr>
              <w:jc w:val="center"/>
              <w:rPr>
                <w:rFonts w:ascii="楷体_GB2312" w:hAnsi="宋体" w:eastAsia="楷体_GB2312"/>
                <w:color w:val="auto"/>
              </w:rPr>
            </w:pPr>
            <w:r>
              <w:rPr>
                <w:rFonts w:hint="eastAsia" w:ascii="楷体_GB2312" w:hAnsi="宋体" w:eastAsia="楷体_GB2312"/>
                <w:color w:val="auto"/>
              </w:rPr>
              <w:t>坑</w:t>
            </w:r>
          </w:p>
        </w:tc>
        <w:tc>
          <w:tcPr>
            <w:tcW w:w="1656" w:type="dxa"/>
          </w:tcPr>
          <w:p>
            <w:pPr>
              <w:rPr>
                <w:rFonts w:ascii="楷体_GB2312" w:hAnsi="宋体" w:eastAsia="楷体_GB2312"/>
                <w:color w:val="auto"/>
              </w:rPr>
            </w:pPr>
            <w:r>
              <w:rPr>
                <w:rFonts w:hint="eastAsia" w:ascii="楷体_GB2312" w:hAnsi="宋体" w:eastAsia="楷体_GB2312"/>
                <w:color w:val="auto"/>
              </w:rPr>
              <w:t>每个月两次</w:t>
            </w:r>
          </w:p>
        </w:tc>
        <w:tc>
          <w:tcPr>
            <w:tcW w:w="6386" w:type="dxa"/>
          </w:tcPr>
          <w:p>
            <w:pPr>
              <w:numPr>
                <w:ilvl w:val="0"/>
                <w:numId w:val="6"/>
              </w:numPr>
              <w:rPr>
                <w:rFonts w:ascii="楷体_GB2312" w:hAnsi="宋体" w:eastAsia="楷体_GB2312"/>
                <w:color w:val="auto"/>
              </w:rPr>
            </w:pPr>
            <w:r>
              <w:rPr>
                <w:rFonts w:hint="eastAsia" w:ascii="楷体_GB2312" w:hAnsi="宋体" w:eastAsia="楷体_GB2312"/>
                <w:color w:val="auto"/>
              </w:rPr>
              <w:t>清洁底坑并检查底坑是否渗水、积水</w:t>
            </w:r>
          </w:p>
          <w:p>
            <w:pPr>
              <w:numPr>
                <w:ilvl w:val="0"/>
                <w:numId w:val="6"/>
              </w:numPr>
              <w:rPr>
                <w:rFonts w:ascii="楷体_GB2312" w:hAnsi="宋体" w:eastAsia="楷体_GB2312"/>
                <w:color w:val="auto"/>
              </w:rPr>
            </w:pPr>
            <w:r>
              <w:rPr>
                <w:rFonts w:hint="eastAsia" w:ascii="楷体_GB2312" w:hAnsi="宋体" w:eastAsia="楷体_GB2312"/>
                <w:color w:val="auto"/>
              </w:rPr>
              <w:t>清洁并检查轿厢导靴，更换磨损的靴衬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vAlign w:val="center"/>
          </w:tcPr>
          <w:p>
            <w:pPr>
              <w:jc w:val="cente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每个月一次</w:t>
            </w:r>
          </w:p>
        </w:tc>
        <w:tc>
          <w:tcPr>
            <w:tcW w:w="6386" w:type="dxa"/>
          </w:tcPr>
          <w:p>
            <w:pPr>
              <w:numPr>
                <w:ilvl w:val="0"/>
                <w:numId w:val="6"/>
              </w:numPr>
              <w:rPr>
                <w:rFonts w:ascii="楷体_GB2312" w:hAnsi="宋体" w:eastAsia="楷体_GB2312"/>
                <w:color w:val="auto"/>
              </w:rPr>
            </w:pPr>
            <w:r>
              <w:rPr>
                <w:rFonts w:hint="eastAsia" w:ascii="楷体_GB2312" w:hAnsi="宋体" w:eastAsia="楷体_GB2312"/>
                <w:color w:val="auto"/>
              </w:rPr>
              <w:t>检查底坑个电气开关</w:t>
            </w:r>
          </w:p>
          <w:p>
            <w:pPr>
              <w:numPr>
                <w:ilvl w:val="0"/>
                <w:numId w:val="6"/>
              </w:numPr>
              <w:rPr>
                <w:rFonts w:ascii="楷体_GB2312" w:hAnsi="宋体" w:eastAsia="楷体_GB2312"/>
                <w:color w:val="auto"/>
              </w:rPr>
            </w:pPr>
            <w:r>
              <w:rPr>
                <w:rFonts w:hint="eastAsia" w:ascii="楷体_GB2312" w:hAnsi="宋体" w:eastAsia="楷体_GB2312"/>
                <w:color w:val="auto"/>
              </w:rPr>
              <w:t>检查缓冲距</w:t>
            </w:r>
          </w:p>
          <w:p>
            <w:pPr>
              <w:numPr>
                <w:ilvl w:val="0"/>
                <w:numId w:val="6"/>
              </w:numPr>
              <w:rPr>
                <w:rFonts w:ascii="楷体_GB2312" w:hAnsi="宋体" w:eastAsia="楷体_GB2312"/>
                <w:color w:val="auto"/>
              </w:rPr>
            </w:pPr>
            <w:r>
              <w:rPr>
                <w:rFonts w:hint="eastAsia" w:ascii="楷体_GB2312" w:hAnsi="宋体" w:eastAsia="楷体_GB2312"/>
                <w:color w:val="auto"/>
              </w:rPr>
              <w:t>检查并清洁缓冲器、补偿链、限速器张紧轮、安全钳等</w:t>
            </w:r>
          </w:p>
          <w:p>
            <w:pPr>
              <w:numPr>
                <w:ilvl w:val="0"/>
                <w:numId w:val="6"/>
              </w:numPr>
              <w:rPr>
                <w:rFonts w:ascii="楷体_GB2312" w:hAnsi="宋体" w:eastAsia="楷体_GB2312"/>
                <w:color w:val="auto"/>
              </w:rPr>
            </w:pPr>
            <w:r>
              <w:rPr>
                <w:rFonts w:hint="eastAsia" w:ascii="楷体_GB2312" w:hAnsi="宋体" w:eastAsia="楷体_GB2312"/>
                <w:color w:val="auto"/>
              </w:rPr>
              <w:t>检查随行电缆固定情况，运行是否正常，是否磨损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188" w:type="dxa"/>
            <w:vMerge w:val="continue"/>
            <w:vAlign w:val="center"/>
          </w:tcPr>
          <w:p>
            <w:pPr>
              <w:jc w:val="center"/>
              <w:rPr>
                <w:rFonts w:ascii="楷体_GB2312" w:hAnsi="宋体" w:eastAsia="楷体_GB2312"/>
                <w:color w:val="auto"/>
              </w:rPr>
            </w:pPr>
          </w:p>
        </w:tc>
        <w:tc>
          <w:tcPr>
            <w:tcW w:w="1656" w:type="dxa"/>
          </w:tcPr>
          <w:p>
            <w:pPr>
              <w:rPr>
                <w:rFonts w:ascii="楷体_GB2312" w:hAnsi="宋体" w:eastAsia="楷体_GB2312"/>
                <w:color w:val="auto"/>
              </w:rPr>
            </w:pPr>
            <w:r>
              <w:rPr>
                <w:rFonts w:hint="eastAsia" w:ascii="楷体_GB2312" w:hAnsi="宋体" w:eastAsia="楷体_GB2312"/>
                <w:color w:val="auto"/>
              </w:rPr>
              <w:t>每六个月一次</w:t>
            </w:r>
          </w:p>
        </w:tc>
        <w:tc>
          <w:tcPr>
            <w:tcW w:w="6386" w:type="dxa"/>
          </w:tcPr>
          <w:p>
            <w:pPr>
              <w:numPr>
                <w:ilvl w:val="0"/>
                <w:numId w:val="6"/>
              </w:numPr>
              <w:rPr>
                <w:rFonts w:ascii="楷体_GB2312" w:hAnsi="宋体" w:eastAsia="楷体_GB2312"/>
                <w:color w:val="auto"/>
              </w:rPr>
            </w:pPr>
            <w:r>
              <w:rPr>
                <w:rFonts w:hint="eastAsia" w:ascii="楷体_GB2312" w:hAnsi="宋体" w:eastAsia="楷体_GB2312"/>
                <w:color w:val="auto"/>
              </w:rPr>
              <w:t>紧固轿底各安装螺栓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jc w:val="center"/>
              <w:rPr>
                <w:rFonts w:ascii="楷体_GB2312" w:hAnsi="宋体" w:eastAsia="楷体_GB2312"/>
                <w:color w:val="auto"/>
              </w:rPr>
            </w:pPr>
            <w:r>
              <w:rPr>
                <w:rFonts w:hint="eastAsia" w:ascii="楷体_GB2312" w:hAnsi="宋体" w:eastAsia="楷体_GB2312"/>
                <w:color w:val="auto"/>
              </w:rPr>
              <w:t>运行情况</w:t>
            </w:r>
          </w:p>
        </w:tc>
        <w:tc>
          <w:tcPr>
            <w:tcW w:w="1656" w:type="dxa"/>
          </w:tcPr>
          <w:p>
            <w:pPr>
              <w:rPr>
                <w:rFonts w:ascii="楷体_GB2312" w:hAnsi="宋体" w:eastAsia="楷体_GB2312"/>
                <w:color w:val="auto"/>
              </w:rPr>
            </w:pPr>
            <w:r>
              <w:rPr>
                <w:rFonts w:hint="eastAsia" w:ascii="楷体_GB2312" w:hAnsi="宋体" w:eastAsia="楷体_GB2312"/>
                <w:color w:val="auto"/>
              </w:rPr>
              <w:t>每个月两次</w:t>
            </w:r>
          </w:p>
        </w:tc>
        <w:tc>
          <w:tcPr>
            <w:tcW w:w="6386" w:type="dxa"/>
          </w:tcPr>
          <w:p>
            <w:pPr>
              <w:numPr>
                <w:ilvl w:val="0"/>
                <w:numId w:val="7"/>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检查电梯运行舒适感是否良好</w:t>
            </w:r>
          </w:p>
          <w:p>
            <w:pPr>
              <w:numPr>
                <w:ilvl w:val="0"/>
                <w:numId w:val="7"/>
              </w:numPr>
              <w:tabs>
                <w:tab w:val="left" w:pos="360"/>
                <w:tab w:val="clear" w:pos="420"/>
              </w:tabs>
              <w:ind w:left="360" w:hanging="360"/>
              <w:rPr>
                <w:rFonts w:ascii="楷体_GB2312" w:hAnsi="宋体" w:eastAsia="楷体_GB2312"/>
                <w:color w:val="auto"/>
              </w:rPr>
            </w:pPr>
            <w:r>
              <w:rPr>
                <w:rFonts w:hint="eastAsia" w:ascii="楷体_GB2312" w:hAnsi="宋体" w:eastAsia="楷体_GB2312"/>
                <w:color w:val="auto"/>
              </w:rPr>
              <w:t>检查电梯平层是否符合平层准确度</w:t>
            </w:r>
          </w:p>
        </w:tc>
      </w:tr>
    </w:tbl>
    <w:p>
      <w:pPr>
        <w:rPr>
          <w:color w:val="auto"/>
        </w:rPr>
      </w:pPr>
    </w:p>
    <w:p>
      <w:pPr>
        <w:widowControl/>
        <w:snapToGrid w:val="0"/>
        <w:spacing w:after="60" w:line="360" w:lineRule="auto"/>
        <w:rPr>
          <w:rFonts w:ascii="宋体"/>
          <w:snapToGrid w:val="0"/>
          <w:color w:val="auto"/>
        </w:rPr>
      </w:pPr>
    </w:p>
    <w:p>
      <w:pPr>
        <w:rPr>
          <w:rFonts w:ascii="宋体" w:hAnsi="宋体"/>
          <w:b/>
          <w:color w:val="auto"/>
          <w:sz w:val="44"/>
          <w:szCs w:val="44"/>
        </w:rPr>
      </w:pPr>
    </w:p>
    <w:p>
      <w:pPr>
        <w:rPr>
          <w:rFonts w:ascii="宋体" w:hAnsi="宋体"/>
          <w:b/>
          <w:color w:val="auto"/>
          <w:sz w:val="44"/>
          <w:szCs w:val="44"/>
        </w:rPr>
      </w:pPr>
      <w:r>
        <w:rPr>
          <w:rFonts w:hint="eastAsia" w:ascii="宋体" w:hAnsi="宋体"/>
          <w:b/>
          <w:color w:val="auto"/>
          <w:sz w:val="44"/>
          <w:szCs w:val="44"/>
        </w:rPr>
        <w:t>附件二：</w:t>
      </w:r>
    </w:p>
    <w:p>
      <w:pPr>
        <w:jc w:val="center"/>
        <w:rPr>
          <w:rFonts w:ascii="宋体" w:hAnsi="宋体"/>
          <w:b/>
          <w:color w:val="auto"/>
          <w:sz w:val="44"/>
          <w:szCs w:val="44"/>
        </w:rPr>
      </w:pPr>
      <w:r>
        <w:rPr>
          <w:rFonts w:hint="eastAsia" w:ascii="宋体" w:hAnsi="宋体"/>
          <w:b/>
          <w:color w:val="auto"/>
          <w:sz w:val="44"/>
          <w:szCs w:val="44"/>
        </w:rPr>
        <w:t>电梯维护保养工作内容及规范</w:t>
      </w:r>
    </w:p>
    <w:p>
      <w:pPr>
        <w:pStyle w:val="6"/>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由于电梯的种类、用途、驱动、曳引方式、控制方式差别很大，各种电梯产生的故障往往不完全相同，必须对所使用的电梯作定期仔细的检查和维修保养，把隐患排除障出现前，本着具体总问题作具体分析的原则，采取针对性的措施去排除，调整电梯的各种故障，为了更好地满足电梯能正常运行，特制定原则电梯维修保养工艺，使用时，需结合电梯的具体措施情况，采取正确的，切合实际的安全步骤，才能迅速有效地排除各种电梯故障，使电梯安全运行。</w:t>
      </w:r>
    </w:p>
    <w:p>
      <w:pPr>
        <w:numPr>
          <w:ilvl w:val="0"/>
          <w:numId w:val="8"/>
        </w:numPr>
        <w:spacing w:line="400" w:lineRule="exact"/>
        <w:rPr>
          <w:rFonts w:ascii="宋体" w:hAnsi="宋体"/>
          <w:color w:val="auto"/>
          <w:szCs w:val="21"/>
        </w:rPr>
      </w:pPr>
      <w:r>
        <w:rPr>
          <w:rFonts w:hint="eastAsia" w:ascii="宋体" w:hAnsi="宋体"/>
          <w:color w:val="auto"/>
          <w:szCs w:val="21"/>
        </w:rPr>
        <w:t>电梯维修保养人员到人员到达电梯现场后，应询问电梯管理人员或电梯司有关电梯运行及故障情况，并做好记录。</w:t>
      </w:r>
    </w:p>
    <w:p>
      <w:pPr>
        <w:numPr>
          <w:ilvl w:val="0"/>
          <w:numId w:val="8"/>
        </w:numPr>
        <w:spacing w:line="400" w:lineRule="exact"/>
        <w:rPr>
          <w:rFonts w:ascii="宋体" w:hAnsi="宋体"/>
          <w:color w:val="auto"/>
          <w:szCs w:val="21"/>
        </w:rPr>
      </w:pPr>
      <w:r>
        <w:rPr>
          <w:rFonts w:hint="eastAsia" w:ascii="宋体" w:hAnsi="宋体"/>
          <w:color w:val="auto"/>
          <w:szCs w:val="21"/>
        </w:rPr>
        <w:t>维修保养人员在对电梯进行保养、检修时，应先在各层厅门前挂上“电梯保养、检修”告示牌。</w:t>
      </w:r>
    </w:p>
    <w:p>
      <w:pPr>
        <w:numPr>
          <w:ilvl w:val="0"/>
          <w:numId w:val="8"/>
        </w:numPr>
        <w:spacing w:line="400" w:lineRule="exact"/>
        <w:rPr>
          <w:rFonts w:ascii="宋体" w:hAnsi="宋体"/>
          <w:color w:val="auto"/>
          <w:szCs w:val="21"/>
        </w:rPr>
      </w:pPr>
      <w:r>
        <w:rPr>
          <w:rFonts w:hint="eastAsia" w:ascii="宋体" w:hAnsi="宋体"/>
          <w:color w:val="auto"/>
          <w:szCs w:val="21"/>
        </w:rPr>
        <w:t>维修保养人员在电梯机房检查或加油时，应先切断电梯的进线主电源，并测电器验电，确认无电时，方可进行检查和加油。</w:t>
      </w:r>
    </w:p>
    <w:p>
      <w:pPr>
        <w:spacing w:line="400" w:lineRule="exact"/>
        <w:rPr>
          <w:rFonts w:ascii="宋体" w:hAnsi="宋体"/>
          <w:color w:val="auto"/>
          <w:szCs w:val="21"/>
        </w:rPr>
      </w:pPr>
      <w:r>
        <w:rPr>
          <w:rFonts w:hint="eastAsia" w:ascii="宋体" w:hAnsi="宋体"/>
          <w:color w:val="auto"/>
          <w:szCs w:val="21"/>
        </w:rPr>
        <w:t>3.1  对控制屏作检查、保养。</w:t>
      </w:r>
    </w:p>
    <w:p>
      <w:pPr>
        <w:spacing w:line="400" w:lineRule="exact"/>
        <w:rPr>
          <w:rFonts w:ascii="宋体" w:hAnsi="宋体"/>
          <w:color w:val="auto"/>
          <w:szCs w:val="21"/>
        </w:rPr>
      </w:pPr>
      <w:r>
        <w:rPr>
          <w:rFonts w:hint="eastAsia" w:ascii="宋体" w:hAnsi="宋体"/>
          <w:color w:val="auto"/>
          <w:szCs w:val="21"/>
        </w:rPr>
        <w:t>3.1.1检查控制屏主回路上各接触器触点及接线，并紧固各主回路各接线柱。</w:t>
      </w:r>
    </w:p>
    <w:p>
      <w:pPr>
        <w:spacing w:line="400" w:lineRule="exact"/>
        <w:rPr>
          <w:rFonts w:ascii="宋体" w:hAnsi="宋体"/>
          <w:color w:val="auto"/>
          <w:szCs w:val="21"/>
        </w:rPr>
      </w:pPr>
      <w:r>
        <w:rPr>
          <w:rFonts w:hint="eastAsia" w:ascii="宋体" w:hAnsi="宋体"/>
          <w:color w:val="auto"/>
          <w:szCs w:val="21"/>
        </w:rPr>
        <w:t>3.1.2检查控制屏柜上接触器，修复烧蚀触点或更换继电器。</w:t>
      </w:r>
    </w:p>
    <w:p>
      <w:pPr>
        <w:spacing w:line="400" w:lineRule="exact"/>
        <w:ind w:left="420" w:hanging="420" w:hangingChars="200"/>
        <w:rPr>
          <w:rFonts w:ascii="宋体" w:hAnsi="宋体"/>
          <w:color w:val="auto"/>
          <w:szCs w:val="21"/>
        </w:rPr>
      </w:pPr>
      <w:r>
        <w:rPr>
          <w:rFonts w:hint="eastAsia" w:ascii="宋体" w:hAnsi="宋体"/>
          <w:color w:val="auto"/>
          <w:szCs w:val="21"/>
        </w:rPr>
        <w:t>3.1.3检查控制屏柜所有的电阻、电容，是否有虚焊、脱焊，电阻环断裂，电阻丝断等，及时更换电阻，电阻环及电容，并重新焊锡。</w:t>
      </w:r>
    </w:p>
    <w:p>
      <w:pPr>
        <w:spacing w:line="400" w:lineRule="exact"/>
        <w:rPr>
          <w:rFonts w:ascii="宋体" w:hAnsi="宋体"/>
          <w:color w:val="auto"/>
          <w:szCs w:val="21"/>
        </w:rPr>
      </w:pPr>
      <w:r>
        <w:rPr>
          <w:rFonts w:hint="eastAsia" w:ascii="宋体" w:hAnsi="宋体"/>
          <w:color w:val="auto"/>
          <w:szCs w:val="21"/>
        </w:rPr>
        <w:t>3.1.4检查控制屏柜上熔断丝，旋转并更换熔断丝使其符合规范化。</w:t>
      </w:r>
    </w:p>
    <w:p>
      <w:pPr>
        <w:spacing w:line="400" w:lineRule="exact"/>
        <w:rPr>
          <w:rFonts w:ascii="宋体" w:hAnsi="宋体"/>
          <w:color w:val="auto"/>
          <w:szCs w:val="21"/>
        </w:rPr>
      </w:pPr>
      <w:r>
        <w:rPr>
          <w:rFonts w:hint="eastAsia" w:ascii="宋体" w:hAnsi="宋体"/>
          <w:color w:val="auto"/>
          <w:szCs w:val="21"/>
        </w:rPr>
        <w:t>3.1.5检查、调整控制屏柜上接触器、断电器的机械连锁。</w:t>
      </w:r>
    </w:p>
    <w:p>
      <w:pPr>
        <w:spacing w:line="400" w:lineRule="exact"/>
        <w:rPr>
          <w:rFonts w:ascii="宋体" w:hAnsi="宋体"/>
          <w:color w:val="auto"/>
          <w:szCs w:val="21"/>
        </w:rPr>
      </w:pPr>
      <w:r>
        <w:rPr>
          <w:rFonts w:hint="eastAsia" w:ascii="宋体" w:hAnsi="宋体"/>
          <w:color w:val="auto"/>
          <w:szCs w:val="21"/>
        </w:rPr>
        <w:t>3.1.6检查、紧固控制屏柜上各接柱，并做好清洁工作。</w:t>
      </w:r>
    </w:p>
    <w:p>
      <w:pPr>
        <w:spacing w:line="400" w:lineRule="exact"/>
        <w:rPr>
          <w:rFonts w:ascii="宋体" w:hAnsi="宋体"/>
          <w:color w:val="auto"/>
          <w:szCs w:val="21"/>
        </w:rPr>
      </w:pPr>
      <w:r>
        <w:rPr>
          <w:rFonts w:hint="eastAsia" w:ascii="宋体" w:hAnsi="宋体"/>
          <w:color w:val="auto"/>
          <w:szCs w:val="21"/>
        </w:rPr>
        <w:t>3.1.7检查硒整流器、硅整流器，并做好清洁工作。</w:t>
      </w:r>
    </w:p>
    <w:p>
      <w:pPr>
        <w:spacing w:line="400" w:lineRule="exact"/>
        <w:rPr>
          <w:rFonts w:ascii="宋体" w:hAnsi="宋体"/>
          <w:color w:val="auto"/>
          <w:szCs w:val="21"/>
        </w:rPr>
      </w:pPr>
      <w:r>
        <w:rPr>
          <w:rFonts w:hint="eastAsia" w:ascii="宋体" w:hAnsi="宋体"/>
          <w:color w:val="auto"/>
          <w:szCs w:val="21"/>
        </w:rPr>
        <w:t>3.2  对曳引机做检查及休养。</w:t>
      </w:r>
    </w:p>
    <w:p>
      <w:pPr>
        <w:spacing w:line="400" w:lineRule="exact"/>
        <w:ind w:left="420" w:hanging="420" w:hangingChars="200"/>
        <w:rPr>
          <w:rFonts w:ascii="宋体" w:hAnsi="宋体"/>
          <w:color w:val="auto"/>
          <w:szCs w:val="21"/>
        </w:rPr>
      </w:pPr>
      <w:r>
        <w:rPr>
          <w:rFonts w:hint="eastAsia" w:ascii="宋体" w:hAnsi="宋体"/>
          <w:color w:val="auto"/>
          <w:szCs w:val="21"/>
        </w:rPr>
        <w:t>3.2.1检查曳引机蜗轮箱内油质、油位及蜗轮、蜗杆的啮合情况，蜗轮箱换油每年一次。（油标：根据产品技术要求）。</w:t>
      </w:r>
    </w:p>
    <w:p>
      <w:pPr>
        <w:spacing w:line="400" w:lineRule="exact"/>
        <w:ind w:left="420" w:hanging="420" w:hangingChars="200"/>
        <w:rPr>
          <w:rFonts w:ascii="宋体" w:hAnsi="宋体"/>
          <w:color w:val="auto"/>
          <w:szCs w:val="21"/>
        </w:rPr>
      </w:pPr>
      <w:r>
        <w:rPr>
          <w:rFonts w:hint="eastAsia" w:ascii="宋体" w:hAnsi="宋体"/>
          <w:color w:val="auto"/>
          <w:szCs w:val="21"/>
        </w:rPr>
        <w:t>3.2.2检查曳引电动机前后端滑动轴承（铜衬套）的油质和油位，前后端滑动轴承每年清洗换油一次。</w:t>
      </w:r>
    </w:p>
    <w:p>
      <w:pPr>
        <w:spacing w:line="400" w:lineRule="exact"/>
        <w:rPr>
          <w:rFonts w:ascii="宋体" w:hAnsi="宋体"/>
          <w:color w:val="auto"/>
          <w:szCs w:val="21"/>
        </w:rPr>
      </w:pPr>
      <w:r>
        <w:rPr>
          <w:rFonts w:hint="eastAsia" w:ascii="宋体" w:hAnsi="宋体"/>
          <w:color w:val="auto"/>
          <w:szCs w:val="21"/>
        </w:rPr>
        <w:t>3.2.3对曳引机蜗轮轴上注的“锂基润滑脂”（每年至少一次）。</w:t>
      </w:r>
    </w:p>
    <w:p>
      <w:pPr>
        <w:spacing w:line="400" w:lineRule="exact"/>
        <w:rPr>
          <w:rFonts w:ascii="宋体" w:hAnsi="宋体"/>
          <w:color w:val="auto"/>
          <w:szCs w:val="21"/>
        </w:rPr>
      </w:pPr>
      <w:r>
        <w:rPr>
          <w:rFonts w:hint="eastAsia" w:ascii="宋体" w:hAnsi="宋体"/>
          <w:color w:val="auto"/>
          <w:szCs w:val="21"/>
        </w:rPr>
        <w:t>3.2.4对曳引机复绕轮，过桥轮注锂基润滑（每月一次）。</w:t>
      </w:r>
    </w:p>
    <w:p>
      <w:pPr>
        <w:spacing w:line="400" w:lineRule="exact"/>
        <w:rPr>
          <w:rFonts w:ascii="宋体" w:hAnsi="宋体"/>
          <w:color w:val="auto"/>
          <w:szCs w:val="21"/>
        </w:rPr>
      </w:pPr>
      <w:r>
        <w:rPr>
          <w:rFonts w:hint="eastAsia" w:ascii="宋体" w:hAnsi="宋体"/>
          <w:color w:val="auto"/>
          <w:szCs w:val="21"/>
        </w:rPr>
        <w:t>3.2.5对曳引机制动器手动松闸凸轮，在退出3~5m/m处用螺钉紧固。</w:t>
      </w:r>
    </w:p>
    <w:p>
      <w:pPr>
        <w:spacing w:line="400" w:lineRule="exact"/>
        <w:rPr>
          <w:rFonts w:ascii="宋体" w:hAnsi="宋体"/>
          <w:color w:val="auto"/>
          <w:szCs w:val="21"/>
        </w:rPr>
      </w:pPr>
      <w:r>
        <w:rPr>
          <w:rFonts w:hint="eastAsia" w:ascii="宋体" w:hAnsi="宋体"/>
          <w:color w:val="auto"/>
          <w:szCs w:val="21"/>
        </w:rPr>
        <w:t>3.2.6检查测速电机输出皮带磨损和调整皮带松紧。</w:t>
      </w:r>
    </w:p>
    <w:p>
      <w:pPr>
        <w:spacing w:line="400" w:lineRule="exact"/>
        <w:rPr>
          <w:rFonts w:ascii="宋体" w:hAnsi="宋体"/>
          <w:color w:val="auto"/>
          <w:szCs w:val="21"/>
        </w:rPr>
      </w:pPr>
      <w:r>
        <w:rPr>
          <w:rFonts w:hint="eastAsia" w:ascii="宋体" w:hAnsi="宋体"/>
          <w:color w:val="auto"/>
          <w:szCs w:val="21"/>
        </w:rPr>
        <w:t>3.2.7检查紧固曳引机座，曳引机箱体螺栓。</w:t>
      </w:r>
    </w:p>
    <w:p>
      <w:pPr>
        <w:spacing w:line="400" w:lineRule="exact"/>
        <w:rPr>
          <w:rFonts w:ascii="宋体" w:hAnsi="宋体"/>
          <w:color w:val="auto"/>
          <w:szCs w:val="21"/>
        </w:rPr>
      </w:pPr>
      <w:r>
        <w:rPr>
          <w:rFonts w:hint="eastAsia" w:ascii="宋体" w:hAnsi="宋体"/>
          <w:color w:val="auto"/>
          <w:szCs w:val="21"/>
        </w:rPr>
        <w:t>3.2.8对曳引机整体做清洁工作。</w:t>
      </w:r>
    </w:p>
    <w:p>
      <w:pPr>
        <w:spacing w:line="400" w:lineRule="exact"/>
        <w:rPr>
          <w:rFonts w:ascii="宋体" w:hAnsi="宋体"/>
          <w:color w:val="auto"/>
          <w:szCs w:val="21"/>
        </w:rPr>
      </w:pPr>
      <w:r>
        <w:rPr>
          <w:rFonts w:hint="eastAsia" w:ascii="宋体" w:hAnsi="宋体"/>
          <w:color w:val="auto"/>
          <w:szCs w:val="21"/>
        </w:rPr>
        <w:t>3.3  对选层器检查、保养。</w:t>
      </w:r>
    </w:p>
    <w:p>
      <w:pPr>
        <w:spacing w:line="400" w:lineRule="exact"/>
        <w:rPr>
          <w:rFonts w:ascii="宋体" w:hAnsi="宋体"/>
          <w:color w:val="auto"/>
          <w:szCs w:val="21"/>
        </w:rPr>
      </w:pPr>
      <w:r>
        <w:rPr>
          <w:rFonts w:hint="eastAsia" w:ascii="宋体" w:hAnsi="宋体"/>
          <w:color w:val="auto"/>
          <w:szCs w:val="21"/>
        </w:rPr>
        <w:t>3.3.1检查、调整选层器角头及开关。</w:t>
      </w:r>
    </w:p>
    <w:p>
      <w:pPr>
        <w:spacing w:line="400" w:lineRule="exact"/>
        <w:rPr>
          <w:rFonts w:ascii="宋体" w:hAnsi="宋体"/>
          <w:color w:val="auto"/>
          <w:szCs w:val="21"/>
        </w:rPr>
      </w:pPr>
      <w:r>
        <w:rPr>
          <w:rFonts w:hint="eastAsia" w:ascii="宋体" w:hAnsi="宋体"/>
          <w:color w:val="auto"/>
          <w:szCs w:val="21"/>
        </w:rPr>
        <w:t>3.3.2检查紧固选层器所有螺丝，对选层器减速机，运动部位及链条清洁和加油。</w:t>
      </w:r>
    </w:p>
    <w:p>
      <w:pPr>
        <w:spacing w:line="400" w:lineRule="exact"/>
        <w:rPr>
          <w:rFonts w:ascii="宋体" w:hAnsi="宋体"/>
          <w:color w:val="auto"/>
          <w:szCs w:val="21"/>
        </w:rPr>
      </w:pPr>
      <w:r>
        <w:rPr>
          <w:rFonts w:hint="eastAsia" w:ascii="宋体" w:hAnsi="宋体"/>
          <w:color w:val="auto"/>
          <w:szCs w:val="21"/>
        </w:rPr>
        <w:t>3.4  对直流发电机检查。</w:t>
      </w:r>
    </w:p>
    <w:p>
      <w:pPr>
        <w:spacing w:line="400" w:lineRule="exact"/>
        <w:rPr>
          <w:rFonts w:ascii="宋体" w:hAnsi="宋体"/>
          <w:color w:val="auto"/>
          <w:szCs w:val="21"/>
        </w:rPr>
      </w:pPr>
      <w:r>
        <w:rPr>
          <w:rFonts w:hint="eastAsia" w:ascii="宋体" w:hAnsi="宋体"/>
          <w:color w:val="auto"/>
          <w:szCs w:val="21"/>
        </w:rPr>
        <w:t>3.4.1对直流发电机注锂基润滑脂。（每季一次）</w:t>
      </w:r>
    </w:p>
    <w:p>
      <w:pPr>
        <w:spacing w:line="400" w:lineRule="exact"/>
        <w:rPr>
          <w:rFonts w:ascii="宋体" w:hAnsi="宋体"/>
          <w:color w:val="auto"/>
          <w:szCs w:val="21"/>
        </w:rPr>
      </w:pPr>
      <w:r>
        <w:rPr>
          <w:rFonts w:hint="eastAsia" w:ascii="宋体" w:hAnsi="宋体"/>
          <w:color w:val="auto"/>
          <w:szCs w:val="21"/>
        </w:rPr>
        <w:t>3.4.2检查发电机运转状况，调整或更换发电机炭刷，对发电机做清洁工作。</w:t>
      </w:r>
    </w:p>
    <w:p>
      <w:pPr>
        <w:spacing w:line="400" w:lineRule="exact"/>
        <w:rPr>
          <w:rFonts w:ascii="宋体" w:hAnsi="宋体"/>
          <w:color w:val="auto"/>
          <w:szCs w:val="21"/>
        </w:rPr>
      </w:pPr>
      <w:r>
        <w:rPr>
          <w:rFonts w:hint="eastAsia" w:ascii="宋体" w:hAnsi="宋体"/>
          <w:color w:val="auto"/>
          <w:szCs w:val="21"/>
        </w:rPr>
        <w:t>3.5  检查、保养限速器。</w:t>
      </w:r>
    </w:p>
    <w:p>
      <w:pPr>
        <w:spacing w:line="400" w:lineRule="exact"/>
        <w:rPr>
          <w:rFonts w:ascii="宋体" w:hAnsi="宋体"/>
          <w:color w:val="auto"/>
          <w:szCs w:val="21"/>
        </w:rPr>
      </w:pPr>
      <w:r>
        <w:rPr>
          <w:rFonts w:hint="eastAsia" w:ascii="宋体" w:hAnsi="宋体"/>
          <w:color w:val="auto"/>
          <w:szCs w:val="21"/>
        </w:rPr>
        <w:t>3.5.1检查限速器开关是否良好可靠。</w:t>
      </w:r>
    </w:p>
    <w:p>
      <w:pPr>
        <w:spacing w:line="400" w:lineRule="exact"/>
        <w:rPr>
          <w:rFonts w:ascii="宋体" w:hAnsi="宋体"/>
          <w:color w:val="auto"/>
          <w:szCs w:val="21"/>
        </w:rPr>
      </w:pPr>
      <w:r>
        <w:rPr>
          <w:rFonts w:hint="eastAsia" w:ascii="宋体" w:hAnsi="宋体"/>
          <w:color w:val="auto"/>
          <w:szCs w:val="21"/>
        </w:rPr>
        <w:t>3.5.2对限速器传动轴加油或注黄油。</w:t>
      </w:r>
    </w:p>
    <w:p>
      <w:pPr>
        <w:spacing w:line="400" w:lineRule="exact"/>
        <w:rPr>
          <w:rFonts w:ascii="宋体" w:hAnsi="宋体"/>
          <w:color w:val="auto"/>
          <w:szCs w:val="21"/>
        </w:rPr>
      </w:pPr>
      <w:r>
        <w:rPr>
          <w:rFonts w:hint="eastAsia" w:ascii="宋体" w:hAnsi="宋体"/>
          <w:color w:val="auto"/>
          <w:szCs w:val="21"/>
        </w:rPr>
        <w:t>3.5.3对限速器做清洁工作。</w:t>
      </w:r>
    </w:p>
    <w:p>
      <w:pPr>
        <w:spacing w:line="400" w:lineRule="exact"/>
        <w:rPr>
          <w:rFonts w:ascii="宋体" w:hAnsi="宋体"/>
          <w:color w:val="auto"/>
          <w:szCs w:val="21"/>
        </w:rPr>
      </w:pPr>
      <w:r>
        <w:rPr>
          <w:rFonts w:hint="eastAsia" w:ascii="宋体" w:hAnsi="宋体"/>
          <w:color w:val="auto"/>
          <w:szCs w:val="21"/>
        </w:rPr>
        <w:t>3.5.4检查、效验限速器（每年一次）。</w:t>
      </w:r>
    </w:p>
    <w:p>
      <w:pPr>
        <w:spacing w:line="400" w:lineRule="exact"/>
        <w:rPr>
          <w:rFonts w:ascii="宋体" w:hAnsi="宋体"/>
          <w:color w:val="auto"/>
          <w:szCs w:val="21"/>
        </w:rPr>
      </w:pPr>
      <w:r>
        <w:rPr>
          <w:rFonts w:hint="eastAsia" w:ascii="宋体" w:hAnsi="宋体"/>
          <w:color w:val="auto"/>
          <w:szCs w:val="21"/>
        </w:rPr>
        <w:t>3.6  对机房总开关极限开关检查保养。</w:t>
      </w:r>
    </w:p>
    <w:p>
      <w:pPr>
        <w:spacing w:line="400" w:lineRule="exact"/>
        <w:ind w:left="630" w:hanging="630" w:hangingChars="300"/>
        <w:rPr>
          <w:rFonts w:ascii="宋体" w:hAnsi="宋体"/>
          <w:color w:val="auto"/>
          <w:szCs w:val="21"/>
        </w:rPr>
      </w:pPr>
      <w:r>
        <w:rPr>
          <w:rFonts w:hint="eastAsia" w:ascii="宋体" w:hAnsi="宋体"/>
          <w:color w:val="auto"/>
          <w:szCs w:val="21"/>
        </w:rPr>
        <w:t>3.6.1检查、调整总开关极限开关接触情况，修正烧蚀刀片检查熔丝，使其符合使用要求。</w:t>
      </w:r>
    </w:p>
    <w:p>
      <w:pPr>
        <w:spacing w:line="400" w:lineRule="exact"/>
        <w:rPr>
          <w:rFonts w:ascii="宋体" w:hAnsi="宋体"/>
          <w:color w:val="auto"/>
          <w:szCs w:val="21"/>
        </w:rPr>
      </w:pPr>
      <w:r>
        <w:rPr>
          <w:rFonts w:hint="eastAsia" w:ascii="宋体" w:hAnsi="宋体"/>
          <w:color w:val="auto"/>
          <w:szCs w:val="21"/>
        </w:rPr>
        <w:t>3.6.2对极限开关机械部分作清洁、加油，并用手动作极限试验。</w:t>
      </w:r>
    </w:p>
    <w:p>
      <w:pPr>
        <w:spacing w:line="400" w:lineRule="exact"/>
        <w:rPr>
          <w:rFonts w:ascii="宋体" w:hAnsi="宋体"/>
          <w:color w:val="auto"/>
          <w:szCs w:val="21"/>
        </w:rPr>
      </w:pPr>
      <w:r>
        <w:rPr>
          <w:rFonts w:hint="eastAsia" w:ascii="宋体" w:hAnsi="宋体"/>
          <w:color w:val="auto"/>
          <w:szCs w:val="21"/>
        </w:rPr>
        <w:t>4、 电源在机房操作电梯运行检查</w:t>
      </w:r>
    </w:p>
    <w:p>
      <w:pPr>
        <w:spacing w:line="400" w:lineRule="exact"/>
        <w:ind w:left="420" w:hanging="420" w:hangingChars="200"/>
        <w:rPr>
          <w:rFonts w:ascii="宋体" w:hAnsi="宋体"/>
          <w:color w:val="auto"/>
          <w:szCs w:val="21"/>
        </w:rPr>
      </w:pPr>
      <w:r>
        <w:rPr>
          <w:rFonts w:hint="eastAsia" w:ascii="宋体" w:hAnsi="宋体"/>
          <w:color w:val="auto"/>
          <w:szCs w:val="21"/>
        </w:rPr>
        <w:t>4.1 在检修位置时关上厅、轿门、使门锁继电器吸合，继开开门继电器线圈线，防止电梯中途进入，产生误伤。</w:t>
      </w:r>
    </w:p>
    <w:p>
      <w:pPr>
        <w:spacing w:line="400" w:lineRule="exact"/>
        <w:ind w:left="420" w:hanging="420" w:hangingChars="200"/>
        <w:rPr>
          <w:rFonts w:ascii="宋体" w:hAnsi="宋体"/>
          <w:color w:val="auto"/>
          <w:szCs w:val="21"/>
        </w:rPr>
      </w:pPr>
      <w:r>
        <w:rPr>
          <w:rFonts w:hint="eastAsia" w:ascii="宋体" w:hAnsi="宋体"/>
          <w:color w:val="auto"/>
          <w:szCs w:val="21"/>
        </w:rPr>
        <w:t>4.2  检修状态慢车运行检查。</w:t>
      </w:r>
    </w:p>
    <w:p>
      <w:pPr>
        <w:spacing w:line="400" w:lineRule="exact"/>
        <w:ind w:left="420" w:hanging="420" w:hangingChars="200"/>
        <w:rPr>
          <w:rFonts w:ascii="宋体" w:hAnsi="宋体"/>
          <w:color w:val="auto"/>
          <w:szCs w:val="21"/>
        </w:rPr>
      </w:pPr>
      <w:r>
        <w:rPr>
          <w:rFonts w:hint="eastAsia" w:ascii="宋体" w:hAnsi="宋体"/>
          <w:color w:val="auto"/>
          <w:szCs w:val="21"/>
        </w:rPr>
        <w:t>4.2.1检查、调整制动器间隙不大于0.7mm并调整制动器弹簧压力。</w:t>
      </w:r>
    </w:p>
    <w:p>
      <w:pPr>
        <w:spacing w:line="400" w:lineRule="exact"/>
        <w:rPr>
          <w:rFonts w:ascii="宋体" w:hAnsi="宋体"/>
          <w:color w:val="auto"/>
          <w:szCs w:val="21"/>
        </w:rPr>
      </w:pPr>
      <w:r>
        <w:rPr>
          <w:rFonts w:hint="eastAsia" w:ascii="宋体" w:hAnsi="宋体"/>
          <w:color w:val="auto"/>
          <w:szCs w:val="21"/>
        </w:rPr>
        <w:t>4.2.2检查控制屏柜检修运行时，继电器、接触器动作是否正常。</w:t>
      </w:r>
    </w:p>
    <w:p>
      <w:pPr>
        <w:spacing w:line="400" w:lineRule="exact"/>
        <w:rPr>
          <w:rFonts w:ascii="宋体" w:hAnsi="宋体"/>
          <w:color w:val="auto"/>
          <w:szCs w:val="21"/>
        </w:rPr>
      </w:pPr>
      <w:r>
        <w:rPr>
          <w:rFonts w:hint="eastAsia" w:ascii="宋体" w:hAnsi="宋体"/>
          <w:color w:val="auto"/>
          <w:szCs w:val="21"/>
        </w:rPr>
        <w:t>4.2.3检查曳引机在检修状态下，运行有无异常声音。</w:t>
      </w:r>
    </w:p>
    <w:p>
      <w:pPr>
        <w:spacing w:line="400" w:lineRule="exact"/>
        <w:rPr>
          <w:rFonts w:ascii="宋体" w:hAnsi="宋体"/>
          <w:color w:val="auto"/>
          <w:szCs w:val="21"/>
        </w:rPr>
      </w:pPr>
      <w:r>
        <w:rPr>
          <w:rFonts w:hint="eastAsia" w:ascii="宋体" w:hAnsi="宋体"/>
          <w:color w:val="auto"/>
          <w:szCs w:val="21"/>
        </w:rPr>
        <w:t>4.2.4制动器维持电压是否在70V左右。</w:t>
      </w:r>
    </w:p>
    <w:p>
      <w:pPr>
        <w:spacing w:line="400" w:lineRule="exact"/>
        <w:rPr>
          <w:rFonts w:ascii="宋体" w:hAnsi="宋体"/>
          <w:color w:val="auto"/>
          <w:szCs w:val="21"/>
        </w:rPr>
      </w:pPr>
      <w:r>
        <w:rPr>
          <w:rFonts w:hint="eastAsia" w:ascii="宋体" w:hAnsi="宋体"/>
          <w:color w:val="auto"/>
          <w:szCs w:val="21"/>
        </w:rPr>
        <w:t>4.3  机房内对电梯作快车运行检查。</w:t>
      </w:r>
    </w:p>
    <w:p>
      <w:pPr>
        <w:spacing w:line="400" w:lineRule="exact"/>
        <w:rPr>
          <w:rFonts w:ascii="宋体" w:hAnsi="宋体"/>
          <w:color w:val="auto"/>
          <w:szCs w:val="21"/>
        </w:rPr>
      </w:pPr>
      <w:r>
        <w:rPr>
          <w:rFonts w:hint="eastAsia" w:ascii="宋体" w:hAnsi="宋体"/>
          <w:color w:val="auto"/>
          <w:szCs w:val="21"/>
        </w:rPr>
        <w:t>4.3.1快车运行时，检查主回路动作是否正常。</w:t>
      </w:r>
    </w:p>
    <w:p>
      <w:pPr>
        <w:spacing w:line="400" w:lineRule="exact"/>
        <w:rPr>
          <w:rFonts w:ascii="宋体" w:hAnsi="宋体"/>
          <w:color w:val="auto"/>
          <w:szCs w:val="21"/>
        </w:rPr>
      </w:pPr>
      <w:r>
        <w:rPr>
          <w:rFonts w:hint="eastAsia" w:ascii="宋体" w:hAnsi="宋体"/>
          <w:color w:val="auto"/>
          <w:szCs w:val="21"/>
        </w:rPr>
        <w:t>4.3.2快车动作时检查登记、停站、消号各继电器动作是否正常。</w:t>
      </w:r>
    </w:p>
    <w:p>
      <w:pPr>
        <w:spacing w:line="400" w:lineRule="exact"/>
        <w:rPr>
          <w:rFonts w:ascii="宋体" w:hAnsi="宋体"/>
          <w:color w:val="auto"/>
          <w:szCs w:val="21"/>
        </w:rPr>
      </w:pPr>
      <w:r>
        <w:rPr>
          <w:rFonts w:hint="eastAsia" w:ascii="宋体" w:hAnsi="宋体"/>
          <w:color w:val="auto"/>
          <w:szCs w:val="21"/>
        </w:rPr>
        <w:t>4.3.3检查曳引电动机前后端滑动轴承处有无发热情况。</w:t>
      </w:r>
    </w:p>
    <w:p>
      <w:pPr>
        <w:pStyle w:val="8"/>
        <w:spacing w:line="400" w:lineRule="exact"/>
        <w:ind w:left="0" w:leftChars="0"/>
        <w:rPr>
          <w:rFonts w:ascii="宋体" w:hAnsi="宋体"/>
          <w:color w:val="auto"/>
          <w:szCs w:val="21"/>
        </w:rPr>
      </w:pPr>
      <w:r>
        <w:rPr>
          <w:rFonts w:hint="eastAsia" w:ascii="宋体" w:hAnsi="宋体"/>
          <w:color w:val="auto"/>
          <w:szCs w:val="21"/>
        </w:rPr>
        <w:t>4.3.4检查曳引机前后端盖处有无发热情况及有无异常声音。</w:t>
      </w:r>
    </w:p>
    <w:p>
      <w:pPr>
        <w:spacing w:line="400" w:lineRule="exact"/>
        <w:rPr>
          <w:rFonts w:ascii="宋体" w:hAnsi="宋体"/>
          <w:color w:val="auto"/>
          <w:szCs w:val="21"/>
        </w:rPr>
      </w:pPr>
      <w:r>
        <w:rPr>
          <w:rFonts w:hint="eastAsia" w:ascii="宋体" w:hAnsi="宋体"/>
          <w:color w:val="auto"/>
          <w:szCs w:val="21"/>
        </w:rPr>
        <w:t>4.3.5检查完毕后将电梯停在最高层站，将开门继电器接上。</w:t>
      </w:r>
    </w:p>
    <w:p>
      <w:pPr>
        <w:spacing w:line="400" w:lineRule="exact"/>
        <w:ind w:left="420" w:hanging="420" w:hangingChars="200"/>
        <w:rPr>
          <w:rFonts w:ascii="宋体" w:hAnsi="宋体"/>
          <w:color w:val="auto"/>
          <w:szCs w:val="21"/>
        </w:rPr>
      </w:pPr>
      <w:r>
        <w:rPr>
          <w:rFonts w:hint="eastAsia" w:ascii="宋体" w:hAnsi="宋体"/>
          <w:color w:val="auto"/>
          <w:szCs w:val="21"/>
        </w:rPr>
        <w:t>5、  同电梯司机或保养人员将电梯用检修慢车将电梯向下运行到轿顶面与层楼面基本齐平停梯，然后检修保养人员进入顶面，打开轿顶照明，关闭厅门，用轿顶检修开关箱自行操纵检查井道。</w:t>
      </w:r>
    </w:p>
    <w:p>
      <w:pPr>
        <w:spacing w:line="400" w:lineRule="exact"/>
        <w:rPr>
          <w:rFonts w:ascii="宋体" w:hAnsi="宋体"/>
          <w:color w:val="auto"/>
          <w:szCs w:val="21"/>
        </w:rPr>
      </w:pPr>
      <w:r>
        <w:rPr>
          <w:rFonts w:hint="eastAsia" w:ascii="宋体" w:hAnsi="宋体"/>
          <w:color w:val="auto"/>
          <w:szCs w:val="21"/>
        </w:rPr>
        <w:t>5.1  用检修慢车上行检查，快转慢限位及上极限位是否可靠及相关尺寸,并清洁。</w:t>
      </w:r>
    </w:p>
    <w:p>
      <w:pPr>
        <w:spacing w:line="400" w:lineRule="exact"/>
        <w:rPr>
          <w:rFonts w:ascii="宋体" w:hAnsi="宋体"/>
          <w:color w:val="auto"/>
          <w:szCs w:val="21"/>
        </w:rPr>
      </w:pPr>
      <w:r>
        <w:rPr>
          <w:rFonts w:hint="eastAsia" w:ascii="宋体" w:hAnsi="宋体"/>
          <w:color w:val="auto"/>
          <w:szCs w:val="21"/>
        </w:rPr>
        <w:t>5.2  检查上极限开关装置是否可靠,并清洁。</w:t>
      </w:r>
    </w:p>
    <w:p>
      <w:pPr>
        <w:spacing w:line="400" w:lineRule="exact"/>
        <w:rPr>
          <w:rFonts w:ascii="宋体" w:hAnsi="宋体"/>
          <w:color w:val="auto"/>
          <w:szCs w:val="21"/>
        </w:rPr>
      </w:pPr>
      <w:r>
        <w:rPr>
          <w:rFonts w:hint="eastAsia" w:ascii="宋体" w:hAnsi="宋体"/>
          <w:color w:val="auto"/>
          <w:szCs w:val="21"/>
        </w:rPr>
        <w:t>5.3  用检修慢车向下检查。</w:t>
      </w:r>
    </w:p>
    <w:p>
      <w:pPr>
        <w:spacing w:line="400" w:lineRule="exact"/>
        <w:rPr>
          <w:rFonts w:ascii="宋体" w:hAnsi="宋体"/>
          <w:color w:val="auto"/>
          <w:szCs w:val="21"/>
        </w:rPr>
      </w:pPr>
      <w:r>
        <w:rPr>
          <w:rFonts w:hint="eastAsia" w:ascii="宋体" w:hAnsi="宋体"/>
          <w:color w:val="auto"/>
          <w:szCs w:val="21"/>
        </w:rPr>
        <w:t>5.3.1检查、紧固各导轨连接板、导轨支座，并清洁。</w:t>
      </w:r>
    </w:p>
    <w:p>
      <w:pPr>
        <w:spacing w:line="400" w:lineRule="exact"/>
        <w:rPr>
          <w:rFonts w:ascii="宋体" w:hAnsi="宋体"/>
          <w:color w:val="auto"/>
          <w:szCs w:val="21"/>
        </w:rPr>
      </w:pPr>
      <w:r>
        <w:rPr>
          <w:rFonts w:hint="eastAsia" w:ascii="宋体" w:hAnsi="宋体"/>
          <w:color w:val="auto"/>
          <w:szCs w:val="21"/>
        </w:rPr>
        <w:t>5.3.2检查各层感应器，调整相关尺寸，并清洁。</w:t>
      </w:r>
    </w:p>
    <w:p>
      <w:pPr>
        <w:spacing w:line="400" w:lineRule="exact"/>
        <w:rPr>
          <w:rFonts w:ascii="宋体" w:hAnsi="宋体"/>
          <w:color w:val="auto"/>
          <w:szCs w:val="21"/>
        </w:rPr>
      </w:pPr>
      <w:r>
        <w:rPr>
          <w:rFonts w:hint="eastAsia" w:ascii="宋体" w:hAnsi="宋体"/>
          <w:color w:val="auto"/>
          <w:szCs w:val="21"/>
        </w:rPr>
        <w:t>5.3.3对主、付导轨油杯加油，并检查、调整或更换导轨油杯上的油毡。</w:t>
      </w:r>
    </w:p>
    <w:p>
      <w:pPr>
        <w:spacing w:line="400" w:lineRule="exact"/>
        <w:rPr>
          <w:rFonts w:ascii="宋体" w:hAnsi="宋体"/>
          <w:color w:val="auto"/>
          <w:szCs w:val="21"/>
        </w:rPr>
      </w:pPr>
      <w:r>
        <w:rPr>
          <w:rFonts w:hint="eastAsia" w:ascii="宋体" w:hAnsi="宋体"/>
          <w:color w:val="auto"/>
          <w:szCs w:val="21"/>
        </w:rPr>
        <w:t>5.3.4检查、清洗各层厅门的机械门锁，电气门锁的性能调整其相对的配合尺寸。</w:t>
      </w:r>
    </w:p>
    <w:p>
      <w:pPr>
        <w:spacing w:line="400" w:lineRule="exact"/>
        <w:rPr>
          <w:rFonts w:ascii="宋体" w:hAnsi="宋体"/>
          <w:color w:val="auto"/>
          <w:szCs w:val="21"/>
        </w:rPr>
      </w:pPr>
      <w:r>
        <w:rPr>
          <w:rFonts w:hint="eastAsia" w:ascii="宋体" w:hAnsi="宋体"/>
          <w:color w:val="auto"/>
          <w:szCs w:val="21"/>
        </w:rPr>
        <w:t>5.3.5检查、调整（更换）各层厅门滑块。</w:t>
      </w:r>
    </w:p>
    <w:p>
      <w:pPr>
        <w:spacing w:line="400" w:lineRule="exact"/>
        <w:rPr>
          <w:rFonts w:ascii="宋体" w:hAnsi="宋体"/>
          <w:color w:val="auto"/>
          <w:szCs w:val="21"/>
        </w:rPr>
      </w:pPr>
      <w:r>
        <w:rPr>
          <w:rFonts w:hint="eastAsia" w:ascii="宋体" w:hAnsi="宋体"/>
          <w:color w:val="auto"/>
          <w:szCs w:val="21"/>
        </w:rPr>
        <w:t>5.3.6检查、自动关门重锤及强索。</w:t>
      </w:r>
    </w:p>
    <w:p>
      <w:pPr>
        <w:spacing w:line="400" w:lineRule="exact"/>
        <w:rPr>
          <w:rFonts w:ascii="宋体" w:hAnsi="宋体"/>
          <w:color w:val="auto"/>
          <w:szCs w:val="21"/>
        </w:rPr>
      </w:pPr>
      <w:r>
        <w:rPr>
          <w:rFonts w:hint="eastAsia" w:ascii="宋体" w:hAnsi="宋体"/>
          <w:color w:val="auto"/>
          <w:szCs w:val="21"/>
        </w:rPr>
        <w:t>5.3.7检查、清洗井道电缆挂线架，中间接线盒线槽，线管等。</w:t>
      </w:r>
    </w:p>
    <w:p>
      <w:pPr>
        <w:spacing w:line="400" w:lineRule="exact"/>
        <w:rPr>
          <w:rFonts w:ascii="宋体" w:hAnsi="宋体"/>
          <w:color w:val="auto"/>
          <w:szCs w:val="21"/>
        </w:rPr>
      </w:pPr>
      <w:r>
        <w:rPr>
          <w:rFonts w:hint="eastAsia" w:ascii="宋体" w:hAnsi="宋体"/>
          <w:color w:val="auto"/>
          <w:szCs w:val="21"/>
        </w:rPr>
        <w:t>5.3.8检查轿顶安全钳开关，安全窗开关。</w:t>
      </w:r>
    </w:p>
    <w:p>
      <w:pPr>
        <w:spacing w:line="400" w:lineRule="exact"/>
        <w:rPr>
          <w:rFonts w:ascii="宋体" w:hAnsi="宋体"/>
          <w:color w:val="auto"/>
          <w:szCs w:val="21"/>
        </w:rPr>
      </w:pPr>
      <w:r>
        <w:rPr>
          <w:rFonts w:hint="eastAsia" w:ascii="宋体" w:hAnsi="宋体"/>
          <w:color w:val="auto"/>
          <w:szCs w:val="21"/>
        </w:rPr>
        <w:t>5.3.9检查并紧固安全钳钢丝夹。</w:t>
      </w:r>
    </w:p>
    <w:p>
      <w:pPr>
        <w:spacing w:line="400" w:lineRule="exact"/>
        <w:rPr>
          <w:rFonts w:ascii="宋体" w:hAnsi="宋体"/>
          <w:color w:val="auto"/>
          <w:szCs w:val="21"/>
        </w:rPr>
      </w:pPr>
      <w:r>
        <w:rPr>
          <w:rFonts w:hint="eastAsia" w:ascii="宋体" w:hAnsi="宋体"/>
          <w:color w:val="auto"/>
          <w:szCs w:val="21"/>
        </w:rPr>
        <w:t>5.3.10检查、清洁轿顶。</w:t>
      </w:r>
    </w:p>
    <w:p>
      <w:pPr>
        <w:spacing w:line="400" w:lineRule="exact"/>
        <w:rPr>
          <w:rFonts w:ascii="宋体" w:hAnsi="宋体"/>
          <w:color w:val="auto"/>
          <w:szCs w:val="21"/>
        </w:rPr>
      </w:pPr>
      <w:r>
        <w:rPr>
          <w:rFonts w:hint="eastAsia" w:ascii="宋体" w:hAnsi="宋体"/>
          <w:color w:val="auto"/>
          <w:szCs w:val="21"/>
        </w:rPr>
        <w:t>5.3.11离开轿顶时，将轿顶检修箱开关位置放正。</w:t>
      </w:r>
    </w:p>
    <w:p>
      <w:pPr>
        <w:spacing w:line="400" w:lineRule="exact"/>
        <w:rPr>
          <w:rFonts w:ascii="宋体" w:hAnsi="宋体"/>
          <w:color w:val="auto"/>
          <w:szCs w:val="21"/>
        </w:rPr>
      </w:pPr>
      <w:r>
        <w:rPr>
          <w:rFonts w:hint="eastAsia" w:ascii="宋体" w:hAnsi="宋体"/>
          <w:color w:val="auto"/>
          <w:szCs w:val="21"/>
        </w:rPr>
        <w:t>5.4  在二楼厅外作轿门检查，（切务在厅外，轿内作骑套式操作）。</w:t>
      </w:r>
    </w:p>
    <w:p>
      <w:pPr>
        <w:spacing w:line="400" w:lineRule="exact"/>
        <w:rPr>
          <w:rFonts w:ascii="宋体" w:hAnsi="宋体"/>
          <w:color w:val="auto"/>
          <w:szCs w:val="21"/>
        </w:rPr>
      </w:pPr>
      <w:r>
        <w:rPr>
          <w:rFonts w:hint="eastAsia" w:ascii="宋体" w:hAnsi="宋体"/>
          <w:color w:val="auto"/>
          <w:szCs w:val="21"/>
        </w:rPr>
        <w:t>5.4.1检查开门电机，调整门机皮带紧。</w:t>
      </w:r>
    </w:p>
    <w:p>
      <w:pPr>
        <w:pStyle w:val="8"/>
        <w:spacing w:line="400" w:lineRule="exact"/>
        <w:ind w:left="0" w:leftChars="0"/>
        <w:rPr>
          <w:rFonts w:ascii="宋体" w:hAnsi="宋体"/>
          <w:color w:val="auto"/>
          <w:szCs w:val="21"/>
        </w:rPr>
      </w:pPr>
      <w:r>
        <w:rPr>
          <w:rFonts w:hint="eastAsia" w:ascii="宋体" w:hAnsi="宋体"/>
          <w:color w:val="auto"/>
          <w:szCs w:val="21"/>
        </w:rPr>
        <w:t>5.4.2检查调整轿门开头速度，做好清洁工作。</w:t>
      </w:r>
    </w:p>
    <w:p>
      <w:pPr>
        <w:spacing w:line="400" w:lineRule="exact"/>
        <w:rPr>
          <w:rFonts w:ascii="宋体" w:hAnsi="宋体"/>
          <w:color w:val="auto"/>
          <w:szCs w:val="21"/>
        </w:rPr>
      </w:pPr>
      <w:r>
        <w:rPr>
          <w:rFonts w:hint="eastAsia" w:ascii="宋体" w:hAnsi="宋体"/>
          <w:color w:val="auto"/>
          <w:szCs w:val="21"/>
        </w:rPr>
        <w:t>5.4.3检查调整清洁轿门传动部位及加油。</w:t>
      </w:r>
    </w:p>
    <w:p>
      <w:pPr>
        <w:pStyle w:val="8"/>
        <w:spacing w:line="400" w:lineRule="exact"/>
        <w:ind w:left="0" w:leftChars="0"/>
        <w:rPr>
          <w:rFonts w:ascii="宋体" w:hAnsi="宋体"/>
          <w:color w:val="auto"/>
          <w:szCs w:val="21"/>
        </w:rPr>
      </w:pPr>
      <w:r>
        <w:rPr>
          <w:rFonts w:hint="eastAsia" w:ascii="宋体" w:hAnsi="宋体"/>
          <w:color w:val="auto"/>
          <w:szCs w:val="21"/>
        </w:rPr>
        <w:t>5.4.4关闭轿顶照明，关上厅门，让电梯到开二楼平层。</w:t>
      </w:r>
    </w:p>
    <w:p>
      <w:pPr>
        <w:spacing w:line="400" w:lineRule="exact"/>
        <w:rPr>
          <w:rFonts w:ascii="宋体" w:hAnsi="宋体"/>
          <w:color w:val="auto"/>
          <w:szCs w:val="21"/>
        </w:rPr>
      </w:pPr>
      <w:r>
        <w:rPr>
          <w:rFonts w:hint="eastAsia" w:ascii="宋体" w:hAnsi="宋体"/>
          <w:color w:val="auto"/>
          <w:szCs w:val="21"/>
        </w:rPr>
        <w:t>6、  电梯井道底坑检查</w:t>
      </w:r>
    </w:p>
    <w:p>
      <w:pPr>
        <w:spacing w:line="400" w:lineRule="exact"/>
        <w:rPr>
          <w:rFonts w:ascii="宋体" w:hAnsi="宋体"/>
          <w:color w:val="auto"/>
          <w:szCs w:val="21"/>
        </w:rPr>
      </w:pPr>
      <w:r>
        <w:rPr>
          <w:rFonts w:hint="eastAsia" w:ascii="宋体" w:hAnsi="宋体"/>
          <w:color w:val="auto"/>
          <w:szCs w:val="21"/>
        </w:rPr>
        <w:t>6.1  用检修慢将电梯向上开后，检修人员进入底坑。</w:t>
      </w:r>
    </w:p>
    <w:p>
      <w:pPr>
        <w:spacing w:line="400" w:lineRule="exact"/>
        <w:rPr>
          <w:rFonts w:ascii="宋体" w:hAnsi="宋体"/>
          <w:color w:val="auto"/>
          <w:szCs w:val="21"/>
        </w:rPr>
      </w:pPr>
      <w:r>
        <w:rPr>
          <w:rFonts w:hint="eastAsia" w:ascii="宋体" w:hAnsi="宋体"/>
          <w:color w:val="auto"/>
          <w:szCs w:val="21"/>
        </w:rPr>
        <w:t>6.2  打开底坑照明开头</w:t>
      </w:r>
    </w:p>
    <w:p>
      <w:pPr>
        <w:spacing w:line="400" w:lineRule="exact"/>
        <w:rPr>
          <w:rFonts w:ascii="宋体" w:hAnsi="宋体"/>
          <w:color w:val="auto"/>
          <w:szCs w:val="21"/>
        </w:rPr>
      </w:pPr>
      <w:r>
        <w:rPr>
          <w:rFonts w:hint="eastAsia" w:ascii="宋体" w:hAnsi="宋体"/>
          <w:color w:val="auto"/>
          <w:szCs w:val="21"/>
        </w:rPr>
        <w:t>6.3  切继坑检检修开关</w:t>
      </w:r>
    </w:p>
    <w:p>
      <w:pPr>
        <w:pStyle w:val="8"/>
        <w:spacing w:line="400" w:lineRule="exact"/>
        <w:ind w:left="0" w:leftChars="0"/>
        <w:rPr>
          <w:rFonts w:ascii="宋体" w:hAnsi="宋体"/>
          <w:color w:val="auto"/>
          <w:szCs w:val="21"/>
        </w:rPr>
      </w:pPr>
      <w:r>
        <w:rPr>
          <w:rFonts w:hint="eastAsia" w:ascii="宋体" w:hAnsi="宋体"/>
          <w:color w:val="auto"/>
          <w:szCs w:val="21"/>
        </w:rPr>
        <w:t>6.3.1检查、调整清洁限速器涨紧轮及继绳开关。</w:t>
      </w:r>
    </w:p>
    <w:p>
      <w:pPr>
        <w:pStyle w:val="8"/>
        <w:spacing w:line="400" w:lineRule="exact"/>
        <w:ind w:left="0" w:leftChars="0"/>
        <w:rPr>
          <w:rFonts w:ascii="宋体" w:hAnsi="宋体"/>
          <w:color w:val="auto"/>
          <w:szCs w:val="21"/>
        </w:rPr>
      </w:pPr>
      <w:r>
        <w:rPr>
          <w:rFonts w:hint="eastAsia" w:ascii="宋体" w:hAnsi="宋体"/>
          <w:color w:val="auto"/>
          <w:szCs w:val="21"/>
        </w:rPr>
        <w:t>6.3.2检查、调整清洁井道下部限位及感应器。</w:t>
      </w:r>
    </w:p>
    <w:p>
      <w:pPr>
        <w:spacing w:line="400" w:lineRule="exact"/>
        <w:rPr>
          <w:rFonts w:ascii="宋体" w:hAnsi="宋体"/>
          <w:color w:val="auto"/>
          <w:szCs w:val="21"/>
        </w:rPr>
      </w:pPr>
      <w:r>
        <w:rPr>
          <w:rFonts w:hint="eastAsia" w:ascii="宋体" w:hAnsi="宋体"/>
          <w:color w:val="auto"/>
          <w:szCs w:val="21"/>
        </w:rPr>
        <w:t>6.3.3检查底坑清洁缓冲弹簧或液压缓冲器。</w:t>
      </w:r>
    </w:p>
    <w:p>
      <w:pPr>
        <w:spacing w:line="400" w:lineRule="exact"/>
        <w:rPr>
          <w:rFonts w:ascii="宋体" w:hAnsi="宋体"/>
          <w:color w:val="auto"/>
          <w:szCs w:val="21"/>
        </w:rPr>
      </w:pPr>
      <w:r>
        <w:rPr>
          <w:rFonts w:hint="eastAsia" w:ascii="宋体" w:hAnsi="宋体"/>
          <w:color w:val="auto"/>
          <w:szCs w:val="21"/>
        </w:rPr>
        <w:t>6.3.4检查、调整清洁底坑选层器钢带涨紧轮及继带开关。</w:t>
      </w:r>
    </w:p>
    <w:p>
      <w:pPr>
        <w:spacing w:line="400" w:lineRule="exact"/>
        <w:rPr>
          <w:rFonts w:ascii="宋体" w:hAnsi="宋体"/>
          <w:color w:val="auto"/>
          <w:szCs w:val="21"/>
        </w:rPr>
      </w:pPr>
      <w:r>
        <w:rPr>
          <w:rFonts w:hint="eastAsia" w:ascii="宋体" w:hAnsi="宋体"/>
          <w:color w:val="auto"/>
          <w:szCs w:val="21"/>
        </w:rPr>
        <w:t>6.4  合上底坑检修开关</w:t>
      </w:r>
    </w:p>
    <w:p>
      <w:pPr>
        <w:spacing w:line="400" w:lineRule="exact"/>
        <w:rPr>
          <w:rFonts w:ascii="宋体" w:hAnsi="宋体"/>
          <w:color w:val="auto"/>
          <w:szCs w:val="21"/>
        </w:rPr>
      </w:pPr>
      <w:r>
        <w:rPr>
          <w:rFonts w:hint="eastAsia" w:ascii="宋体" w:hAnsi="宋体"/>
          <w:color w:val="auto"/>
          <w:szCs w:val="21"/>
        </w:rPr>
        <w:t>6.4.1电梯检修慢车运行检查下限位是否可靠及相关尺寸。</w:t>
      </w:r>
    </w:p>
    <w:p>
      <w:pPr>
        <w:spacing w:line="400" w:lineRule="exact"/>
        <w:rPr>
          <w:rFonts w:ascii="宋体" w:hAnsi="宋体"/>
          <w:color w:val="auto"/>
          <w:szCs w:val="21"/>
        </w:rPr>
      </w:pPr>
      <w:r>
        <w:rPr>
          <w:rFonts w:hint="eastAsia" w:ascii="宋体" w:hAnsi="宋体"/>
          <w:color w:val="auto"/>
          <w:szCs w:val="21"/>
        </w:rPr>
        <w:t>6.4.2检查和调整活络轿底限位开关及清洁工作。</w:t>
      </w:r>
    </w:p>
    <w:p>
      <w:pPr>
        <w:spacing w:line="400" w:lineRule="exact"/>
        <w:rPr>
          <w:rFonts w:ascii="宋体" w:hAnsi="宋体"/>
          <w:color w:val="auto"/>
          <w:szCs w:val="21"/>
        </w:rPr>
      </w:pPr>
      <w:r>
        <w:rPr>
          <w:rFonts w:hint="eastAsia" w:ascii="宋体" w:hAnsi="宋体"/>
          <w:color w:val="auto"/>
          <w:szCs w:val="21"/>
        </w:rPr>
        <w:t>6.4.3检查调整层外基站开门限位。</w:t>
      </w:r>
    </w:p>
    <w:p>
      <w:pPr>
        <w:spacing w:line="400" w:lineRule="exact"/>
        <w:rPr>
          <w:rFonts w:ascii="宋体" w:hAnsi="宋体"/>
          <w:color w:val="auto"/>
          <w:szCs w:val="21"/>
        </w:rPr>
      </w:pPr>
      <w:r>
        <w:rPr>
          <w:rFonts w:hint="eastAsia" w:ascii="宋体" w:hAnsi="宋体"/>
          <w:color w:val="auto"/>
          <w:szCs w:val="21"/>
        </w:rPr>
        <w:t>6.4.4电梯检修慢车上行，做好底坑清洁《检查人离开底坑时不得攀拉轿底电缆》。</w:t>
      </w:r>
    </w:p>
    <w:p>
      <w:pPr>
        <w:spacing w:line="400" w:lineRule="exact"/>
        <w:rPr>
          <w:rFonts w:ascii="宋体" w:hAnsi="宋体"/>
          <w:color w:val="auto"/>
          <w:szCs w:val="21"/>
        </w:rPr>
      </w:pPr>
      <w:r>
        <w:rPr>
          <w:rFonts w:hint="eastAsia" w:ascii="宋体" w:hAnsi="宋体"/>
          <w:color w:val="auto"/>
          <w:szCs w:val="21"/>
        </w:rPr>
        <w:t>7、  对轿厢内操纵及各层外检查</w:t>
      </w:r>
    </w:p>
    <w:p>
      <w:pPr>
        <w:spacing w:line="400" w:lineRule="exact"/>
        <w:rPr>
          <w:rFonts w:ascii="宋体" w:hAnsi="宋体"/>
          <w:color w:val="auto"/>
          <w:szCs w:val="21"/>
        </w:rPr>
      </w:pPr>
      <w:r>
        <w:rPr>
          <w:rFonts w:hint="eastAsia" w:ascii="宋体" w:hAnsi="宋体"/>
          <w:color w:val="auto"/>
          <w:szCs w:val="21"/>
        </w:rPr>
        <w:t>7.1  检查轿厢上各指令按钮、指令灯、锋鸣器，有问题进行调整及更换。</w:t>
      </w:r>
    </w:p>
    <w:p>
      <w:pPr>
        <w:spacing w:line="400" w:lineRule="exact"/>
        <w:rPr>
          <w:rFonts w:ascii="宋体" w:hAnsi="宋体"/>
          <w:color w:val="auto"/>
          <w:szCs w:val="21"/>
        </w:rPr>
      </w:pPr>
      <w:r>
        <w:rPr>
          <w:rFonts w:hint="eastAsia" w:ascii="宋体" w:hAnsi="宋体"/>
          <w:color w:val="auto"/>
          <w:szCs w:val="21"/>
        </w:rPr>
        <w:t>7.2  检查、调整，修复各层召唤按钮指层灯。</w:t>
      </w:r>
    </w:p>
    <w:p>
      <w:pPr>
        <w:spacing w:line="400" w:lineRule="exact"/>
        <w:rPr>
          <w:rFonts w:ascii="宋体" w:hAnsi="宋体"/>
          <w:color w:val="auto"/>
          <w:szCs w:val="21"/>
        </w:rPr>
      </w:pPr>
      <w:r>
        <w:rPr>
          <w:rFonts w:hint="eastAsia" w:ascii="宋体" w:hAnsi="宋体"/>
          <w:color w:val="auto"/>
          <w:szCs w:val="21"/>
        </w:rPr>
        <w:t>7.3  检查基站层外开门电钥匙。</w:t>
      </w:r>
    </w:p>
    <w:p>
      <w:pPr>
        <w:spacing w:line="400" w:lineRule="exact"/>
        <w:rPr>
          <w:rFonts w:ascii="宋体" w:hAnsi="宋体"/>
          <w:color w:val="auto"/>
          <w:szCs w:val="21"/>
        </w:rPr>
      </w:pPr>
      <w:r>
        <w:rPr>
          <w:rFonts w:hint="eastAsia" w:ascii="宋体" w:hAnsi="宋体"/>
          <w:color w:val="auto"/>
          <w:szCs w:val="21"/>
        </w:rPr>
        <w:t>7.4  检查基站层外机械开门三角匙。</w:t>
      </w:r>
    </w:p>
    <w:p>
      <w:pPr>
        <w:spacing w:line="400" w:lineRule="exact"/>
        <w:rPr>
          <w:rFonts w:ascii="宋体" w:hAnsi="宋体"/>
          <w:color w:val="auto"/>
          <w:szCs w:val="21"/>
        </w:rPr>
      </w:pPr>
      <w:r>
        <w:rPr>
          <w:rFonts w:hint="eastAsia" w:ascii="宋体" w:hAnsi="宋体"/>
          <w:color w:val="auto"/>
          <w:szCs w:val="21"/>
        </w:rPr>
        <w:t>7.5  检查基站消防专用按钮动作可靠。《每年一次》</w:t>
      </w:r>
    </w:p>
    <w:p>
      <w:pPr>
        <w:spacing w:line="400" w:lineRule="exact"/>
        <w:ind w:left="420" w:hanging="420" w:hangingChars="200"/>
        <w:rPr>
          <w:rFonts w:ascii="宋体" w:hAnsi="宋体"/>
          <w:color w:val="auto"/>
          <w:szCs w:val="21"/>
        </w:rPr>
      </w:pPr>
      <w:r>
        <w:rPr>
          <w:rFonts w:hint="eastAsia" w:ascii="宋体" w:hAnsi="宋体"/>
          <w:color w:val="auto"/>
          <w:szCs w:val="21"/>
        </w:rPr>
        <w:t>8、  检修保养工作完毕：对电梯进行数次快慢车运行，在确实安全无误时，再将“电梯、保养、检修”牌收回，然后让其投入正常运行。</w:t>
      </w:r>
    </w:p>
    <w:p>
      <w:pPr>
        <w:numPr>
          <w:ilvl w:val="0"/>
          <w:numId w:val="9"/>
        </w:numPr>
        <w:spacing w:line="400" w:lineRule="exact"/>
        <w:rPr>
          <w:rFonts w:ascii="宋体" w:hAnsi="宋体"/>
          <w:color w:val="auto"/>
          <w:szCs w:val="21"/>
        </w:rPr>
      </w:pPr>
      <w:r>
        <w:rPr>
          <w:rFonts w:hint="eastAsia" w:ascii="宋体" w:hAnsi="宋体"/>
          <w:color w:val="auto"/>
          <w:szCs w:val="21"/>
        </w:rPr>
        <w:t>做好检修保养的工作记录，并由甲方签字。</w:t>
      </w:r>
    </w:p>
    <w:p>
      <w:pPr>
        <w:widowControl/>
        <w:snapToGrid w:val="0"/>
        <w:spacing w:after="60" w:line="360" w:lineRule="auto"/>
        <w:rPr>
          <w:rFonts w:ascii="宋体"/>
          <w:snapToGrid w:val="0"/>
          <w:color w:val="auto"/>
        </w:rPr>
      </w:pPr>
    </w:p>
    <w:p>
      <w:pPr>
        <w:widowControl/>
        <w:snapToGrid w:val="0"/>
        <w:spacing w:after="60" w:line="360" w:lineRule="auto"/>
        <w:rPr>
          <w:rFonts w:ascii="宋体"/>
          <w:snapToGrid w:val="0"/>
          <w:color w:val="auto"/>
        </w:rPr>
      </w:pPr>
    </w:p>
    <w:p>
      <w:pPr>
        <w:widowControl/>
        <w:snapToGrid w:val="0"/>
        <w:spacing w:after="60" w:line="360" w:lineRule="auto"/>
        <w:rPr>
          <w:rFonts w:ascii="宋体"/>
          <w:snapToGrid w:val="0"/>
          <w:color w:val="auto"/>
        </w:rPr>
      </w:pPr>
    </w:p>
    <w:sectPr>
      <w:pgSz w:w="11907" w:h="16840"/>
      <w:pgMar w:top="680" w:right="1304" w:bottom="964" w:left="1588" w:header="680" w:footer="680"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简粗黑">
    <w:altName w:val="黑体"/>
    <w:panose1 w:val="00000000000000000000"/>
    <w:charset w:val="86"/>
    <w:family w:val="auto"/>
    <w:pitch w:val="default"/>
    <w:sig w:usb0="00000000" w:usb1="00000000" w:usb2="00000010" w:usb3="00000000" w:csb0="00040000" w:csb1="00000000"/>
  </w:font>
  <w:font w:name="文鼎CS中黑">
    <w:altName w:val="宋体"/>
    <w:panose1 w:val="00000000000000000000"/>
    <w:charset w:val="86"/>
    <w:family w:val="modern"/>
    <w:pitch w:val="default"/>
    <w:sig w:usb0="00000000" w:usb1="00000000" w:usb2="00000010" w:usb3="00000000" w:csb0="00040000" w:csb1="00000000"/>
  </w:font>
  <w:font w:name="创艺简宋体">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ascii="宋体"/>
        <w:sz w:val="15"/>
        <w:szCs w:val="15"/>
      </w:rPr>
      <w:t>第</w:t>
    </w:r>
    <w:r>
      <w:rPr>
        <w:rStyle w:val="14"/>
        <w:b/>
        <w:bCs/>
        <w:sz w:val="24"/>
      </w:rPr>
      <w:fldChar w:fldCharType="begin"/>
    </w:r>
    <w:r>
      <w:rPr>
        <w:rStyle w:val="14"/>
        <w:b/>
        <w:bCs/>
        <w:sz w:val="24"/>
      </w:rPr>
      <w:instrText xml:space="preserve"> PAGE </w:instrText>
    </w:r>
    <w:r>
      <w:rPr>
        <w:rStyle w:val="14"/>
        <w:b/>
        <w:bCs/>
        <w:sz w:val="24"/>
      </w:rPr>
      <w:fldChar w:fldCharType="separate"/>
    </w:r>
    <w:r>
      <w:rPr>
        <w:rStyle w:val="14"/>
        <w:b/>
        <w:bCs/>
        <w:sz w:val="24"/>
      </w:rPr>
      <w:t>7</w:t>
    </w:r>
    <w:r>
      <w:rPr>
        <w:rStyle w:val="14"/>
        <w:b/>
        <w:bCs/>
        <w:sz w:val="24"/>
      </w:rPr>
      <w:fldChar w:fldCharType="end"/>
    </w:r>
    <w:r>
      <w:rPr>
        <w:rFonts w:hint="eastAsia" w:ascii="宋体"/>
        <w:sz w:val="15"/>
        <w:szCs w:val="15"/>
      </w:rPr>
      <w:t>页共页（其中附件页）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t xml:space="preserve">QG/SM GC15-2013 </w:t>
    </w:r>
    <w:r>
      <w:rPr>
        <w:rFonts w:hint="eastAsia"/>
      </w:rPr>
      <w:t>附录G</w:t>
    </w:r>
  </w:p>
  <w:p>
    <w:pPr>
      <w:pStyle w:val="11"/>
      <w:pBdr>
        <w:bottom w:val="none" w:color="auto" w:sz="0" w:space="0"/>
      </w:pBdr>
      <w:ind w:right="-483" w:rightChars="-23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9"/>
      <w:numFmt w:val="decimal"/>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4"/>
    <w:multiLevelType w:val="multilevel"/>
    <w:tmpl w:val="0000000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6"/>
    <w:multiLevelType w:val="singleLevel"/>
    <w:tmpl w:val="00000006"/>
    <w:lvl w:ilvl="0" w:tentative="0">
      <w:start w:val="1"/>
      <w:numFmt w:val="decimal"/>
      <w:lvlText w:val="%1"/>
      <w:lvlJc w:val="left"/>
      <w:pPr>
        <w:tabs>
          <w:tab w:val="left" w:pos="420"/>
        </w:tabs>
        <w:ind w:left="420" w:hanging="420"/>
      </w:pPr>
      <w:rPr>
        <w:rFonts w:hint="default" w:ascii="Arial Narrow" w:hAnsi="Arial Narrow"/>
        <w:sz w:val="21"/>
      </w:rPr>
    </w:lvl>
  </w:abstractNum>
  <w:abstractNum w:abstractNumId="3">
    <w:nsid w:val="00000008"/>
    <w:multiLevelType w:val="singleLevel"/>
    <w:tmpl w:val="00000008"/>
    <w:lvl w:ilvl="0" w:tentative="0">
      <w:start w:val="1"/>
      <w:numFmt w:val="decimal"/>
      <w:lvlText w:val="1.%1"/>
      <w:lvlJc w:val="left"/>
      <w:pPr>
        <w:tabs>
          <w:tab w:val="left" w:pos="425"/>
        </w:tabs>
        <w:ind w:left="425" w:hanging="425"/>
      </w:pPr>
      <w:rPr>
        <w:rFonts w:hint="default" w:ascii="Arial" w:hAnsi="Arial"/>
        <w:sz w:val="21"/>
      </w:rPr>
    </w:lvl>
  </w:abstractNum>
  <w:abstractNum w:abstractNumId="4">
    <w:nsid w:val="00000009"/>
    <w:multiLevelType w:val="multilevel"/>
    <w:tmpl w:val="0000000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singleLevel"/>
    <w:tmpl w:val="00000012"/>
    <w:lvl w:ilvl="0" w:tentative="0">
      <w:start w:val="1"/>
      <w:numFmt w:val="chineseCountingThousand"/>
      <w:lvlText w:val="%1、"/>
      <w:lvlJc w:val="left"/>
      <w:pPr>
        <w:tabs>
          <w:tab w:val="left" w:pos="420"/>
        </w:tabs>
        <w:ind w:left="420" w:hanging="420"/>
      </w:pPr>
      <w:rPr>
        <w:rFonts w:hint="eastAsia" w:ascii="黑体" w:eastAsia="黑体"/>
        <w:sz w:val="21"/>
      </w:rPr>
    </w:lvl>
  </w:abstractNum>
  <w:abstractNum w:abstractNumId="6">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4"/>
    <w:multiLevelType w:val="multilevel"/>
    <w:tmpl w:val="0000001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6"/>
    <w:multiLevelType w:val="multilevel"/>
    <w:tmpl w:val="0000001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6"/>
  </w:num>
  <w:num w:numId="4">
    <w:abstractNumId w:val="2"/>
  </w:num>
  <w:num w:numId="5">
    <w:abstractNumId w:val="1"/>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44D"/>
    <w:rsid w:val="00011B5A"/>
    <w:rsid w:val="00014374"/>
    <w:rsid w:val="000261C1"/>
    <w:rsid w:val="0003480B"/>
    <w:rsid w:val="00043AD4"/>
    <w:rsid w:val="00044289"/>
    <w:rsid w:val="00064670"/>
    <w:rsid w:val="000B1F8C"/>
    <w:rsid w:val="000C117C"/>
    <w:rsid w:val="000C160E"/>
    <w:rsid w:val="0013416B"/>
    <w:rsid w:val="00194668"/>
    <w:rsid w:val="001974AE"/>
    <w:rsid w:val="001A66C6"/>
    <w:rsid w:val="001C7798"/>
    <w:rsid w:val="001E7369"/>
    <w:rsid w:val="001F663D"/>
    <w:rsid w:val="002013E8"/>
    <w:rsid w:val="002613E1"/>
    <w:rsid w:val="002724F6"/>
    <w:rsid w:val="002A6987"/>
    <w:rsid w:val="002B525C"/>
    <w:rsid w:val="002D289F"/>
    <w:rsid w:val="002F40C0"/>
    <w:rsid w:val="0031444D"/>
    <w:rsid w:val="00344ABD"/>
    <w:rsid w:val="00372A08"/>
    <w:rsid w:val="00374AD4"/>
    <w:rsid w:val="00396F79"/>
    <w:rsid w:val="003A0839"/>
    <w:rsid w:val="003C118A"/>
    <w:rsid w:val="00400681"/>
    <w:rsid w:val="00426EB9"/>
    <w:rsid w:val="0043425C"/>
    <w:rsid w:val="00444568"/>
    <w:rsid w:val="00477E3F"/>
    <w:rsid w:val="00492EFB"/>
    <w:rsid w:val="004C568D"/>
    <w:rsid w:val="004D0725"/>
    <w:rsid w:val="004E323D"/>
    <w:rsid w:val="00507078"/>
    <w:rsid w:val="0051500A"/>
    <w:rsid w:val="00555584"/>
    <w:rsid w:val="00563CCC"/>
    <w:rsid w:val="005C79C6"/>
    <w:rsid w:val="005D7561"/>
    <w:rsid w:val="005E30F6"/>
    <w:rsid w:val="006341CF"/>
    <w:rsid w:val="0063716C"/>
    <w:rsid w:val="00681A8E"/>
    <w:rsid w:val="00681B91"/>
    <w:rsid w:val="006A7855"/>
    <w:rsid w:val="006B0E9A"/>
    <w:rsid w:val="006C1A5E"/>
    <w:rsid w:val="006F021A"/>
    <w:rsid w:val="0072050C"/>
    <w:rsid w:val="007526B7"/>
    <w:rsid w:val="007A29E6"/>
    <w:rsid w:val="007C1753"/>
    <w:rsid w:val="007F2DDD"/>
    <w:rsid w:val="00800238"/>
    <w:rsid w:val="00814BD3"/>
    <w:rsid w:val="00822CC4"/>
    <w:rsid w:val="008341E1"/>
    <w:rsid w:val="00840438"/>
    <w:rsid w:val="00841309"/>
    <w:rsid w:val="00847D14"/>
    <w:rsid w:val="0086600A"/>
    <w:rsid w:val="00874886"/>
    <w:rsid w:val="008D19E2"/>
    <w:rsid w:val="008D37F3"/>
    <w:rsid w:val="008E14A5"/>
    <w:rsid w:val="008E7F01"/>
    <w:rsid w:val="0091654F"/>
    <w:rsid w:val="00924C4D"/>
    <w:rsid w:val="0095431F"/>
    <w:rsid w:val="00963A86"/>
    <w:rsid w:val="009B57F4"/>
    <w:rsid w:val="009F4D30"/>
    <w:rsid w:val="00A048D1"/>
    <w:rsid w:val="00A15980"/>
    <w:rsid w:val="00A2186E"/>
    <w:rsid w:val="00A21A74"/>
    <w:rsid w:val="00A266AB"/>
    <w:rsid w:val="00A744AD"/>
    <w:rsid w:val="00AC0C52"/>
    <w:rsid w:val="00AC557E"/>
    <w:rsid w:val="00AE1C81"/>
    <w:rsid w:val="00AE5FB0"/>
    <w:rsid w:val="00B001CC"/>
    <w:rsid w:val="00B06C11"/>
    <w:rsid w:val="00B204A6"/>
    <w:rsid w:val="00B271DD"/>
    <w:rsid w:val="00B3663C"/>
    <w:rsid w:val="00B4209C"/>
    <w:rsid w:val="00B5101E"/>
    <w:rsid w:val="00B86457"/>
    <w:rsid w:val="00B91D1F"/>
    <w:rsid w:val="00BB26A0"/>
    <w:rsid w:val="00BC1465"/>
    <w:rsid w:val="00C60E49"/>
    <w:rsid w:val="00CC539E"/>
    <w:rsid w:val="00D05C54"/>
    <w:rsid w:val="00D3051B"/>
    <w:rsid w:val="00D62450"/>
    <w:rsid w:val="00D80122"/>
    <w:rsid w:val="00D8339B"/>
    <w:rsid w:val="00D962B1"/>
    <w:rsid w:val="00E35FB4"/>
    <w:rsid w:val="00E55F12"/>
    <w:rsid w:val="00E86B0E"/>
    <w:rsid w:val="00E9075A"/>
    <w:rsid w:val="00E948C8"/>
    <w:rsid w:val="00EA59AA"/>
    <w:rsid w:val="00F057EF"/>
    <w:rsid w:val="00F10F55"/>
    <w:rsid w:val="00F437D7"/>
    <w:rsid w:val="00F65970"/>
    <w:rsid w:val="00F76DBD"/>
    <w:rsid w:val="00F915E4"/>
    <w:rsid w:val="00FA398D"/>
    <w:rsid w:val="0F785827"/>
    <w:rsid w:val="22977A53"/>
    <w:rsid w:val="22CA0AAB"/>
    <w:rsid w:val="40BA2236"/>
    <w:rsid w:val="43FD0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Body Text"/>
    <w:basedOn w:val="1"/>
    <w:semiHidden/>
    <w:qFormat/>
    <w:uiPriority w:val="0"/>
    <w:pPr>
      <w:autoSpaceDE w:val="0"/>
      <w:autoSpaceDN w:val="0"/>
      <w:adjustRightInd w:val="0"/>
      <w:jc w:val="left"/>
    </w:pPr>
    <w:rPr>
      <w:rFonts w:ascii="宋体"/>
      <w:kern w:val="0"/>
      <w:sz w:val="24"/>
    </w:rPr>
  </w:style>
  <w:style w:type="paragraph" w:styleId="6">
    <w:name w:val="Body Text Indent"/>
    <w:basedOn w:val="1"/>
    <w:link w:val="22"/>
    <w:qFormat/>
    <w:uiPriority w:val="0"/>
    <w:pPr>
      <w:spacing w:after="120"/>
      <w:ind w:left="420" w:leftChars="200"/>
    </w:pPr>
    <w:rPr>
      <w:rFonts w:ascii="Arial" w:hAnsi="Arial" w:eastAsia="仿宋_GB2312"/>
      <w:sz w:val="28"/>
      <w:szCs w:val="20"/>
    </w:rPr>
  </w:style>
  <w:style w:type="paragraph" w:styleId="7">
    <w:name w:val="Block Text"/>
    <w:basedOn w:val="1"/>
    <w:semiHidden/>
    <w:qFormat/>
    <w:uiPriority w:val="0"/>
    <w:pPr>
      <w:spacing w:line="260" w:lineRule="exact"/>
      <w:ind w:left="-105" w:leftChars="-50" w:right="-105" w:rightChars="-50"/>
      <w:jc w:val="center"/>
    </w:pPr>
    <w:rPr>
      <w:szCs w:val="22"/>
    </w:rPr>
  </w:style>
  <w:style w:type="paragraph" w:styleId="8">
    <w:name w:val="Date"/>
    <w:basedOn w:val="1"/>
    <w:next w:val="1"/>
    <w:link w:val="21"/>
    <w:qFormat/>
    <w:uiPriority w:val="0"/>
    <w:pPr>
      <w:ind w:left="100" w:leftChars="2500"/>
    </w:pPr>
    <w:rPr>
      <w:szCs w:val="20"/>
    </w:rPr>
  </w:style>
  <w:style w:type="paragraph" w:styleId="9">
    <w:name w:val="Balloon Text"/>
    <w:basedOn w:val="1"/>
    <w:semiHidden/>
    <w:qFormat/>
    <w:uiPriority w:val="0"/>
    <w:rPr>
      <w:sz w:val="18"/>
      <w:szCs w:val="18"/>
    </w:rPr>
  </w:style>
  <w:style w:type="paragraph" w:styleId="10">
    <w:name w:val="footer"/>
    <w:basedOn w:val="1"/>
    <w:semiHidden/>
    <w:qFormat/>
    <w:uiPriority w:val="0"/>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4"/>
    <w:qFormat/>
    <w:uiPriority w:val="11"/>
    <w:pPr>
      <w:spacing w:before="240" w:after="60" w:line="312" w:lineRule="auto"/>
      <w:jc w:val="center"/>
      <w:outlineLvl w:val="1"/>
    </w:pPr>
    <w:rPr>
      <w:rFonts w:asciiTheme="majorHAnsi" w:hAnsiTheme="majorHAnsi" w:cstheme="majorBidi"/>
      <w:b/>
      <w:bCs/>
      <w:kern w:val="28"/>
      <w:sz w:val="32"/>
      <w:szCs w:val="32"/>
    </w:rPr>
  </w:style>
  <w:style w:type="character" w:styleId="14">
    <w:name w:val="page number"/>
    <w:basedOn w:val="13"/>
    <w:semiHidden/>
    <w:qFormat/>
    <w:uiPriority w:val="0"/>
  </w:style>
  <w:style w:type="character" w:styleId="15">
    <w:name w:val="annotation reference"/>
    <w:semiHidden/>
    <w:qFormat/>
    <w:uiPriority w:val="0"/>
    <w:rPr>
      <w:sz w:val="21"/>
      <w:szCs w:val="21"/>
    </w:rPr>
  </w:style>
  <w:style w:type="paragraph" w:customStyle="1" w:styleId="17">
    <w:name w:val="缺省文本"/>
    <w:basedOn w:val="1"/>
    <w:qFormat/>
    <w:uiPriority w:val="0"/>
    <w:pPr>
      <w:autoSpaceDE w:val="0"/>
      <w:autoSpaceDN w:val="0"/>
      <w:adjustRightInd w:val="0"/>
      <w:jc w:val="left"/>
    </w:pPr>
    <w:rPr>
      <w:kern w:val="0"/>
      <w:sz w:val="24"/>
    </w:rPr>
  </w:style>
  <w:style w:type="paragraph" w:customStyle="1" w:styleId="18">
    <w:name w:val="¡§¡§?¨¤¡§o????¨¤?"/>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19">
    <w:name w:val="页眉 Char"/>
    <w:link w:val="11"/>
    <w:qFormat/>
    <w:uiPriority w:val="99"/>
    <w:rPr>
      <w:kern w:val="2"/>
      <w:sz w:val="18"/>
      <w:szCs w:val="18"/>
    </w:rPr>
  </w:style>
  <w:style w:type="character" w:customStyle="1" w:styleId="20">
    <w:name w:val="标题 2 Char"/>
    <w:basedOn w:val="13"/>
    <w:link w:val="2"/>
    <w:qFormat/>
    <w:uiPriority w:val="0"/>
    <w:rPr>
      <w:rFonts w:ascii="Arial" w:hAnsi="Arial" w:eastAsia="黑体"/>
      <w:b/>
      <w:bCs/>
      <w:kern w:val="2"/>
      <w:sz w:val="32"/>
      <w:szCs w:val="32"/>
    </w:rPr>
  </w:style>
  <w:style w:type="character" w:customStyle="1" w:styleId="21">
    <w:name w:val="日期 Char"/>
    <w:basedOn w:val="13"/>
    <w:link w:val="8"/>
    <w:qFormat/>
    <w:uiPriority w:val="0"/>
    <w:rPr>
      <w:kern w:val="2"/>
      <w:sz w:val="21"/>
    </w:rPr>
  </w:style>
  <w:style w:type="character" w:customStyle="1" w:styleId="22">
    <w:name w:val="正文文本缩进 Char"/>
    <w:basedOn w:val="13"/>
    <w:link w:val="6"/>
    <w:qFormat/>
    <w:uiPriority w:val="0"/>
    <w:rPr>
      <w:rFonts w:ascii="Arial" w:hAnsi="Arial" w:eastAsia="仿宋_GB2312"/>
      <w:kern w:val="2"/>
      <w:sz w:val="2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副标题 Char"/>
    <w:basedOn w:val="13"/>
    <w:link w:val="12"/>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DC692-E755-481A-BA1B-B74DC7FC072E}">
  <ds:schemaRefs/>
</ds:datastoreItem>
</file>

<file path=docProps/app.xml><?xml version="1.0" encoding="utf-8"?>
<Properties xmlns="http://schemas.openxmlformats.org/officeDocument/2006/extended-properties" xmlns:vt="http://schemas.openxmlformats.org/officeDocument/2006/docPropsVTypes">
  <Template>Normal</Template>
  <Company>lsd</Company>
  <Pages>11</Pages>
  <Words>1150</Words>
  <Characters>6558</Characters>
  <Lines>54</Lines>
  <Paragraphs>15</Paragraphs>
  <ScaleCrop>false</ScaleCrop>
  <LinksUpToDate>false</LinksUpToDate>
  <CharactersWithSpaces>7693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2018-04-11T03:13:00Z</dcterms:created>
  <dc:creator>xiaguoping</dc:creator>
  <cp:lastModifiedBy>DELL</cp:lastModifiedBy>
  <cp:lastPrinted>2018-04-02T04:03:00Z</cp:lastPrinted>
  <dcterms:modified xsi:type="dcterms:W3CDTF">2018-04-13T10:49:42Z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