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宋体" w:hAnsi="宋体"/>
          <w:b/>
          <w:bCs/>
          <w:sz w:val="28"/>
          <w:szCs w:val="28"/>
        </w:rPr>
      </w:pPr>
      <w:r>
        <w:rPr>
          <w:rFonts w:hint="eastAsia" w:ascii="宋体" w:hAnsi="宋体"/>
          <w:b/>
          <w:bCs/>
          <w:sz w:val="28"/>
          <w:szCs w:val="28"/>
        </w:rPr>
        <w:t>广西艺术学院2023年度审计服务采购校内招标评分办法</w:t>
      </w:r>
    </w:p>
    <w:p>
      <w:pPr>
        <w:spacing w:line="360" w:lineRule="auto"/>
        <w:ind w:firstLine="560" w:firstLineChars="200"/>
        <w:rPr>
          <w:rFonts w:ascii="宋体" w:hAnsi="宋体"/>
          <w:sz w:val="28"/>
          <w:szCs w:val="28"/>
        </w:rPr>
      </w:pPr>
      <w:r>
        <w:rPr>
          <w:rFonts w:hint="eastAsia" w:ascii="宋体" w:hAnsi="宋体"/>
          <w:sz w:val="28"/>
          <w:szCs w:val="28"/>
        </w:rPr>
        <w:t>我校根据各单位的报价资料进行比较，采用综合评分法对供应商进行评分。评分细则如下：</w:t>
      </w:r>
    </w:p>
    <w:p>
      <w:pPr>
        <w:pStyle w:val="3"/>
        <w:spacing w:after="0" w:line="360" w:lineRule="auto"/>
        <w:ind w:firstLine="560" w:firstLineChars="200"/>
        <w:rPr>
          <w:rFonts w:ascii="宋体" w:hAnsi="宋体"/>
          <w:sz w:val="28"/>
          <w:szCs w:val="28"/>
        </w:rPr>
      </w:pPr>
      <w:r>
        <w:rPr>
          <w:rFonts w:hint="eastAsia" w:ascii="宋体" w:hAnsi="宋体"/>
          <w:sz w:val="28"/>
          <w:szCs w:val="28"/>
        </w:rPr>
        <w:t>（一）评标原则</w:t>
      </w:r>
    </w:p>
    <w:p>
      <w:pPr>
        <w:pStyle w:val="3"/>
        <w:spacing w:after="0" w:line="360" w:lineRule="auto"/>
        <w:ind w:firstLine="560" w:firstLineChars="200"/>
        <w:rPr>
          <w:rFonts w:ascii="宋体" w:hAnsi="宋体"/>
          <w:sz w:val="28"/>
          <w:szCs w:val="28"/>
        </w:rPr>
      </w:pPr>
      <w:r>
        <w:rPr>
          <w:rFonts w:hint="eastAsia" w:ascii="宋体" w:hAnsi="宋体"/>
          <w:sz w:val="28"/>
          <w:szCs w:val="28"/>
        </w:rPr>
        <w:t>评标依据：评委将以招投标文件为评标依据，对供应商的投标报价、技术、商务等内容按百分制打分。</w:t>
      </w:r>
    </w:p>
    <w:p>
      <w:pPr>
        <w:pStyle w:val="3"/>
        <w:spacing w:after="0" w:line="360" w:lineRule="auto"/>
        <w:ind w:firstLine="560" w:firstLineChars="200"/>
        <w:rPr>
          <w:rFonts w:ascii="宋体" w:hAnsi="宋体"/>
          <w:sz w:val="28"/>
          <w:szCs w:val="28"/>
        </w:rPr>
      </w:pPr>
      <w:r>
        <w:rPr>
          <w:rFonts w:hint="eastAsia" w:ascii="宋体" w:hAnsi="宋体"/>
          <w:sz w:val="28"/>
          <w:szCs w:val="28"/>
        </w:rPr>
        <w:t>（二）评标方法</w:t>
      </w:r>
    </w:p>
    <w:p>
      <w:pPr>
        <w:pStyle w:val="3"/>
        <w:spacing w:after="0" w:line="360" w:lineRule="auto"/>
        <w:ind w:firstLine="560" w:firstLineChars="200"/>
        <w:rPr>
          <w:rFonts w:ascii="宋体" w:hAnsi="宋体"/>
          <w:sz w:val="28"/>
          <w:szCs w:val="28"/>
        </w:rPr>
      </w:pPr>
      <w:r>
        <w:rPr>
          <w:rFonts w:hint="eastAsia" w:ascii="宋体" w:hAnsi="宋体"/>
          <w:sz w:val="28"/>
          <w:szCs w:val="28"/>
        </w:rPr>
        <w:t>对进入详评的，采用百分制综合评分法。计分办法按四舍五入取至百分位。</w:t>
      </w:r>
    </w:p>
    <w:p>
      <w:pPr>
        <w:pStyle w:val="3"/>
        <w:spacing w:after="0" w:line="360" w:lineRule="auto"/>
        <w:ind w:firstLine="562" w:firstLineChars="200"/>
        <w:rPr>
          <w:rFonts w:ascii="宋体" w:hAnsi="宋体"/>
          <w:b/>
          <w:bCs/>
          <w:sz w:val="28"/>
          <w:szCs w:val="28"/>
        </w:rPr>
      </w:pPr>
      <w:r>
        <w:rPr>
          <w:rFonts w:hint="eastAsia" w:ascii="宋体" w:hAnsi="宋体"/>
          <w:b/>
          <w:bCs/>
          <w:sz w:val="28"/>
          <w:szCs w:val="28"/>
        </w:rPr>
        <w:t>1、价格分……………………………………………………</w:t>
      </w:r>
      <w:r>
        <w:rPr>
          <w:rFonts w:ascii="宋体" w:hAnsi="宋体"/>
          <w:b/>
          <w:bCs/>
          <w:sz w:val="28"/>
          <w:szCs w:val="28"/>
        </w:rPr>
        <w:t>20</w:t>
      </w:r>
      <w:r>
        <w:rPr>
          <w:rFonts w:hint="eastAsia" w:ascii="宋体" w:hAnsi="宋体"/>
          <w:b/>
          <w:bCs/>
          <w:sz w:val="28"/>
          <w:szCs w:val="28"/>
        </w:rPr>
        <w:t>分</w:t>
      </w:r>
    </w:p>
    <w:p>
      <w:pPr>
        <w:pStyle w:val="3"/>
        <w:spacing w:after="0" w:line="360" w:lineRule="auto"/>
        <w:ind w:firstLine="560" w:firstLineChars="200"/>
        <w:rPr>
          <w:rFonts w:ascii="宋体" w:hAnsi="宋体"/>
          <w:sz w:val="28"/>
          <w:szCs w:val="28"/>
        </w:rPr>
      </w:pPr>
      <w:r>
        <w:rPr>
          <w:rFonts w:hint="eastAsia" w:ascii="宋体" w:hAnsi="宋体"/>
          <w:sz w:val="28"/>
          <w:szCs w:val="28"/>
        </w:rPr>
        <w:t xml:space="preserve"> 价格分计算公式：</w:t>
      </w:r>
    </w:p>
    <w:p>
      <w:pPr>
        <w:pStyle w:val="3"/>
        <w:spacing w:after="0" w:line="360" w:lineRule="auto"/>
        <w:ind w:firstLine="560" w:firstLineChars="200"/>
        <w:rPr>
          <w:rFonts w:ascii="宋体" w:hAnsi="宋体"/>
          <w:sz w:val="28"/>
          <w:szCs w:val="28"/>
        </w:rPr>
      </w:pPr>
      <w:r>
        <w:rPr>
          <w:rFonts w:hint="eastAsia" w:ascii="宋体" w:hAnsi="宋体"/>
          <w:sz w:val="28"/>
          <w:szCs w:val="28"/>
        </w:rPr>
        <w:t>某供应商价格分＝ (供应商最低评标价金额/某供应商评标价金额)×　</w:t>
      </w:r>
      <w:r>
        <w:rPr>
          <w:rFonts w:ascii="宋体" w:hAnsi="宋体"/>
          <w:sz w:val="28"/>
          <w:szCs w:val="28"/>
        </w:rPr>
        <w:t>20</w:t>
      </w:r>
      <w:r>
        <w:rPr>
          <w:rFonts w:hint="eastAsia" w:ascii="宋体" w:hAnsi="宋体"/>
          <w:sz w:val="28"/>
          <w:szCs w:val="28"/>
        </w:rPr>
        <w:t>分</w:t>
      </w:r>
    </w:p>
    <w:p>
      <w:pPr>
        <w:pStyle w:val="3"/>
        <w:spacing w:after="0" w:line="360" w:lineRule="auto"/>
        <w:rPr>
          <w:rFonts w:ascii="宋体" w:hAnsi="宋体"/>
          <w:sz w:val="28"/>
          <w:szCs w:val="28"/>
        </w:rPr>
      </w:pPr>
    </w:p>
    <w:p>
      <w:pPr>
        <w:pStyle w:val="3"/>
        <w:spacing w:after="0" w:line="360" w:lineRule="auto"/>
        <w:ind w:firstLine="562" w:firstLineChars="200"/>
        <w:rPr>
          <w:rFonts w:ascii="宋体" w:hAnsi="宋体"/>
          <w:b/>
          <w:bCs/>
          <w:sz w:val="28"/>
          <w:szCs w:val="28"/>
        </w:rPr>
      </w:pPr>
      <w:r>
        <w:rPr>
          <w:rFonts w:hint="eastAsia" w:ascii="宋体" w:hAnsi="宋体"/>
          <w:b/>
          <w:bCs/>
          <w:sz w:val="28"/>
          <w:szCs w:val="28"/>
        </w:rPr>
        <w:t>2、技术分……………………………………………………5</w:t>
      </w:r>
      <w:r>
        <w:rPr>
          <w:rFonts w:ascii="宋体" w:hAnsi="宋体"/>
          <w:b/>
          <w:bCs/>
          <w:sz w:val="28"/>
          <w:szCs w:val="28"/>
        </w:rPr>
        <w:t>5</w:t>
      </w:r>
      <w:r>
        <w:rPr>
          <w:rFonts w:hint="eastAsia" w:ascii="宋体" w:hAnsi="宋体"/>
          <w:b/>
          <w:bCs/>
          <w:sz w:val="28"/>
          <w:szCs w:val="28"/>
        </w:rPr>
        <w:t>分</w:t>
      </w:r>
    </w:p>
    <w:p>
      <w:pPr>
        <w:pStyle w:val="3"/>
        <w:spacing w:after="0" w:line="360" w:lineRule="auto"/>
        <w:ind w:firstLine="560" w:firstLineChars="200"/>
        <w:rPr>
          <w:rFonts w:ascii="宋体" w:hAnsi="宋体"/>
          <w:sz w:val="28"/>
          <w:szCs w:val="28"/>
        </w:rPr>
      </w:pPr>
      <w:r>
        <w:rPr>
          <w:rFonts w:hint="eastAsia" w:ascii="宋体" w:hAnsi="宋体"/>
          <w:sz w:val="28"/>
          <w:szCs w:val="28"/>
        </w:rPr>
        <w:t>评标委员会根据各供应商服务方案的完整度、可行性的优劣情况进行评审，不提供方案不得分。</w:t>
      </w:r>
    </w:p>
    <w:p>
      <w:pPr>
        <w:pStyle w:val="3"/>
        <w:spacing w:after="0"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）服务方案（满分</w:t>
      </w:r>
      <w:r>
        <w:rPr>
          <w:rFonts w:ascii="宋体" w:hAnsi="宋体"/>
          <w:sz w:val="28"/>
          <w:szCs w:val="28"/>
        </w:rPr>
        <w:t>30分</w:t>
      </w:r>
      <w:r>
        <w:rPr>
          <w:rFonts w:hint="eastAsia" w:ascii="宋体" w:hAnsi="宋体"/>
          <w:sz w:val="28"/>
          <w:szCs w:val="28"/>
        </w:rPr>
        <w:t>），应遵循什么原则和依据，审计项目时应实施的程序，对服务质量的保障能力和措施。</w:t>
      </w:r>
    </w:p>
    <w:p>
      <w:pPr>
        <w:pStyle w:val="3"/>
        <w:spacing w:after="0" w:line="360" w:lineRule="auto"/>
        <w:ind w:firstLine="560" w:firstLineChars="200"/>
        <w:rPr>
          <w:rFonts w:ascii="宋体" w:hAnsi="宋体"/>
          <w:sz w:val="28"/>
          <w:szCs w:val="28"/>
        </w:rPr>
      </w:pPr>
      <w:r>
        <w:rPr>
          <w:rFonts w:hint="eastAsia" w:ascii="宋体" w:hAnsi="宋体"/>
          <w:sz w:val="28"/>
          <w:szCs w:val="28"/>
        </w:rPr>
        <w:t>一档（0</w:t>
      </w:r>
      <w:r>
        <w:rPr>
          <w:rFonts w:ascii="宋体" w:hAnsi="宋体"/>
          <w:sz w:val="28"/>
          <w:szCs w:val="28"/>
        </w:rPr>
        <w:t>-15</w:t>
      </w:r>
      <w:r>
        <w:rPr>
          <w:rFonts w:hint="eastAsia" w:ascii="宋体" w:hAnsi="宋体"/>
          <w:sz w:val="28"/>
          <w:szCs w:val="28"/>
        </w:rPr>
        <w:t>分）：整体方案较为简单，审计重点难点分析较简单，完成任务的质量承诺能基本保证项目质量符合采购要求；</w:t>
      </w:r>
    </w:p>
    <w:p>
      <w:pPr>
        <w:pStyle w:val="3"/>
        <w:spacing w:after="0" w:line="360" w:lineRule="auto"/>
        <w:ind w:firstLine="560" w:firstLineChars="200"/>
        <w:rPr>
          <w:rFonts w:ascii="宋体" w:hAnsi="宋体"/>
          <w:sz w:val="28"/>
          <w:szCs w:val="28"/>
        </w:rPr>
      </w:pPr>
      <w:r>
        <w:rPr>
          <w:rFonts w:hint="eastAsia" w:ascii="宋体" w:hAnsi="宋体"/>
          <w:sz w:val="28"/>
          <w:szCs w:val="28"/>
        </w:rPr>
        <w:t>二档（</w:t>
      </w:r>
      <w:r>
        <w:rPr>
          <w:rFonts w:ascii="宋体" w:hAnsi="宋体"/>
          <w:sz w:val="28"/>
          <w:szCs w:val="28"/>
        </w:rPr>
        <w:t>15-25</w:t>
      </w:r>
      <w:r>
        <w:rPr>
          <w:rFonts w:hint="eastAsia" w:ascii="宋体" w:hAnsi="宋体"/>
          <w:sz w:val="28"/>
          <w:szCs w:val="28"/>
        </w:rPr>
        <w:t>分）：整体方案比较完善，有相对完善的审计重点难点分析，可操作性较强，有实施进度保障措施、质量保证措施、沟通协调工作控制要点，质量承诺有利于项目的实施，并能确保项目质量、效率；</w:t>
      </w:r>
    </w:p>
    <w:p>
      <w:pPr>
        <w:pStyle w:val="3"/>
        <w:spacing w:after="0" w:line="360" w:lineRule="auto"/>
        <w:ind w:firstLine="560" w:firstLineChars="200"/>
        <w:rPr>
          <w:rFonts w:ascii="宋体" w:hAnsi="宋体"/>
          <w:sz w:val="28"/>
          <w:szCs w:val="28"/>
        </w:rPr>
      </w:pPr>
      <w:r>
        <w:rPr>
          <w:rFonts w:hint="eastAsia" w:ascii="宋体" w:hAnsi="宋体"/>
          <w:sz w:val="28"/>
          <w:szCs w:val="28"/>
        </w:rPr>
        <w:t>三档（</w:t>
      </w:r>
      <w:r>
        <w:rPr>
          <w:rFonts w:ascii="宋体" w:hAnsi="宋体"/>
          <w:sz w:val="28"/>
          <w:szCs w:val="28"/>
        </w:rPr>
        <w:t>25-30</w:t>
      </w:r>
      <w:r>
        <w:rPr>
          <w:rFonts w:hint="eastAsia" w:ascii="宋体" w:hAnsi="宋体"/>
          <w:sz w:val="28"/>
          <w:szCs w:val="28"/>
        </w:rPr>
        <w:t>分）：整体方案完善且有针对性，审计重点难点分析详实且贴合被审计单位实际情况，实施进度保障措施、质量保证措施、沟通协调工作控制要点详细且可操作性强，审计应对措施具体可行，有相关的合理化应对建议，可操行性强，并能确保项目高质量、高效率完成。</w:t>
      </w:r>
    </w:p>
    <w:p>
      <w:pPr>
        <w:pStyle w:val="3"/>
        <w:spacing w:after="0" w:line="360" w:lineRule="auto"/>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供应商在质量内部管理机制，风险防范管理制度，审计人员职业道德（包括职业品德、职业纪律、职业胜任能力和职业责任）管理制度、执行行业管理规定等方面的情况，对审计质量、审计进度控制、在规定时间内完成审计任务做出承诺（满分</w:t>
      </w:r>
      <w:r>
        <w:rPr>
          <w:rFonts w:ascii="宋体" w:hAnsi="宋体"/>
          <w:sz w:val="28"/>
          <w:szCs w:val="28"/>
        </w:rPr>
        <w:t>10</w:t>
      </w:r>
      <w:r>
        <w:rPr>
          <w:rFonts w:hint="eastAsia" w:ascii="宋体" w:hAnsi="宋体"/>
          <w:sz w:val="28"/>
          <w:szCs w:val="28"/>
        </w:rPr>
        <w:t>分）。</w:t>
      </w:r>
    </w:p>
    <w:p>
      <w:pPr>
        <w:pStyle w:val="3"/>
        <w:spacing w:after="0" w:line="360" w:lineRule="auto"/>
        <w:ind w:firstLine="560" w:firstLineChars="200"/>
        <w:rPr>
          <w:rFonts w:ascii="宋体" w:hAnsi="宋体"/>
          <w:sz w:val="28"/>
          <w:szCs w:val="28"/>
        </w:rPr>
      </w:pPr>
      <w:r>
        <w:rPr>
          <w:rFonts w:hint="eastAsia" w:ascii="宋体" w:hAnsi="宋体"/>
          <w:sz w:val="28"/>
          <w:szCs w:val="28"/>
        </w:rPr>
        <w:t>一档（0</w:t>
      </w:r>
      <w:r>
        <w:rPr>
          <w:rFonts w:ascii="宋体" w:hAnsi="宋体"/>
          <w:sz w:val="28"/>
          <w:szCs w:val="28"/>
        </w:rPr>
        <w:t>-3</w:t>
      </w:r>
      <w:r>
        <w:rPr>
          <w:rFonts w:hint="eastAsia" w:ascii="宋体" w:hAnsi="宋体"/>
          <w:sz w:val="28"/>
          <w:szCs w:val="28"/>
        </w:rPr>
        <w:t>分）：建立了项目质量保证体系和质量目标，明确项目工作流程及管理措施，描述项目成果和交付时间；</w:t>
      </w:r>
    </w:p>
    <w:p>
      <w:pPr>
        <w:pStyle w:val="3"/>
        <w:spacing w:after="0" w:line="360" w:lineRule="auto"/>
        <w:ind w:firstLine="560" w:firstLineChars="200"/>
        <w:rPr>
          <w:rFonts w:ascii="宋体" w:hAnsi="宋体"/>
          <w:sz w:val="28"/>
          <w:szCs w:val="28"/>
        </w:rPr>
      </w:pPr>
      <w:r>
        <w:rPr>
          <w:rFonts w:hint="eastAsia" w:ascii="宋体" w:hAnsi="宋体"/>
          <w:sz w:val="28"/>
          <w:szCs w:val="28"/>
        </w:rPr>
        <w:t>二档（3</w:t>
      </w:r>
      <w:r>
        <w:rPr>
          <w:rFonts w:ascii="宋体" w:hAnsi="宋体"/>
          <w:sz w:val="28"/>
          <w:szCs w:val="28"/>
        </w:rPr>
        <w:t>-6</w:t>
      </w:r>
      <w:r>
        <w:rPr>
          <w:rFonts w:hint="eastAsia" w:ascii="宋体" w:hAnsi="宋体"/>
          <w:sz w:val="28"/>
          <w:szCs w:val="28"/>
        </w:rPr>
        <w:t>分）：建立了完善的质量保证体系和质量目标，项目工作流程及管理措施齐全、质量目标明确并具有相应管理保障；具有项目交付物的成果描述、计划提交时间、与项目任务的匹配度高；</w:t>
      </w:r>
    </w:p>
    <w:p>
      <w:pPr>
        <w:pStyle w:val="3"/>
        <w:spacing w:after="0" w:line="360" w:lineRule="auto"/>
        <w:ind w:firstLine="560" w:firstLineChars="200"/>
        <w:rPr>
          <w:rFonts w:ascii="宋体" w:hAnsi="宋体"/>
          <w:sz w:val="28"/>
          <w:szCs w:val="28"/>
        </w:rPr>
      </w:pPr>
      <w:r>
        <w:rPr>
          <w:rFonts w:hint="eastAsia" w:ascii="宋体" w:hAnsi="宋体"/>
          <w:sz w:val="28"/>
          <w:szCs w:val="28"/>
        </w:rPr>
        <w:t>三档（7</w:t>
      </w:r>
      <w:r>
        <w:rPr>
          <w:rFonts w:ascii="宋体" w:hAnsi="宋体"/>
          <w:sz w:val="28"/>
          <w:szCs w:val="28"/>
        </w:rPr>
        <w:t>-10</w:t>
      </w:r>
      <w:r>
        <w:rPr>
          <w:rFonts w:hint="eastAsia" w:ascii="宋体" w:hAnsi="宋体"/>
          <w:sz w:val="28"/>
          <w:szCs w:val="28"/>
        </w:rPr>
        <w:t>分）：建立了完整的质量保证体系和质量目标，项目工作流程及管理措施齐全、项目质量保证体系完整、质量目标明确并具有相应管理保障；具有项目交付物的成果描述、计划提交时间、与项目任务的匹配度高。具有较高针对性的工作思路、审计目标、审计服务内容。</w:t>
      </w:r>
    </w:p>
    <w:p>
      <w:pPr>
        <w:pStyle w:val="3"/>
        <w:spacing w:after="0" w:line="360" w:lineRule="auto"/>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）技术服务人员配备得分</w:t>
      </w:r>
      <w:r>
        <w:rPr>
          <w:rFonts w:hint="eastAsia" w:ascii="宋体" w:hAnsi="宋体"/>
          <w:sz w:val="28"/>
          <w:szCs w:val="28"/>
        </w:rPr>
        <w:t>（满分15分）</w:t>
      </w:r>
    </w:p>
    <w:p>
      <w:pPr>
        <w:pStyle w:val="3"/>
        <w:spacing w:after="0" w:line="360" w:lineRule="auto"/>
        <w:ind w:firstLine="560" w:firstLineChars="200"/>
        <w:rPr>
          <w:rFonts w:ascii="宋体" w:hAnsi="宋体"/>
          <w:color w:val="000000" w:themeColor="text1"/>
          <w:sz w:val="28"/>
          <w:szCs w:val="28"/>
          <w:highlight w:val="yellow"/>
          <w14:textFill>
            <w14:solidFill>
              <w14:schemeClr w14:val="tx1"/>
            </w14:solidFill>
          </w14:textFill>
        </w:rPr>
      </w:pPr>
      <w:r>
        <w:rPr>
          <w:rFonts w:hint="eastAsia" w:ascii="宋体" w:hAnsi="宋体"/>
          <w:color w:val="000000" w:themeColor="text1"/>
          <w:sz w:val="28"/>
          <w:szCs w:val="28"/>
          <w14:textFill>
            <w14:solidFill>
              <w14:schemeClr w14:val="tx1"/>
            </w14:solidFill>
          </w14:textFill>
        </w:rPr>
        <w:t>①项目现场负责人</w:t>
      </w:r>
      <w:r>
        <w:rPr>
          <w:rFonts w:hint="eastAsia" w:ascii="宋体" w:hAnsi="宋体"/>
          <w:sz w:val="28"/>
          <w:szCs w:val="28"/>
        </w:rPr>
        <w:t>须</w:t>
      </w:r>
      <w:r>
        <w:rPr>
          <w:rFonts w:hint="eastAsia" w:ascii="宋体" w:hAnsi="宋体"/>
          <w:color w:val="000000" w:themeColor="text1"/>
          <w:sz w:val="28"/>
          <w:szCs w:val="28"/>
          <w14:textFill>
            <w14:solidFill>
              <w14:schemeClr w14:val="tx1"/>
            </w14:solidFill>
          </w14:textFill>
        </w:rPr>
        <w:t>具有注册会计师资格，且</w:t>
      </w:r>
      <w:r>
        <w:rPr>
          <w:rFonts w:hint="eastAsia" w:ascii="宋体" w:hAnsi="宋体"/>
          <w:sz w:val="28"/>
          <w:szCs w:val="28"/>
        </w:rPr>
        <w:t>注册年限在十年及以上的得2分</w:t>
      </w:r>
      <w:r>
        <w:rPr>
          <w:rFonts w:hint="eastAsia" w:ascii="宋体" w:hAnsi="宋体"/>
          <w:color w:val="000000" w:themeColor="text1"/>
          <w:sz w:val="28"/>
          <w:szCs w:val="28"/>
          <w14:textFill>
            <w14:solidFill>
              <w14:schemeClr w14:val="tx1"/>
            </w14:solidFill>
          </w14:textFill>
        </w:rPr>
        <w:t>，具有高级会计师职称的得1分，同时拥有注册会计师资格和高级会计师职称的评分分数可以累加；</w:t>
      </w:r>
    </w:p>
    <w:p>
      <w:pPr>
        <w:pStyle w:val="3"/>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在20</w:t>
      </w:r>
      <w:r>
        <w:rPr>
          <w:rFonts w:ascii="宋体" w:hAnsi="宋体"/>
          <w:color w:val="000000" w:themeColor="text1"/>
          <w:sz w:val="28"/>
          <w:szCs w:val="28"/>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年1月1日以来负责过经济责任审计项目、内部控制及风险管理审计项目的每个得</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分，</w:t>
      </w:r>
      <w:r>
        <w:rPr>
          <w:rFonts w:hint="eastAsia" w:ascii="宋体" w:hAnsi="宋体"/>
          <w:sz w:val="28"/>
          <w:szCs w:val="28"/>
        </w:rPr>
        <w:t>此项最多2分</w:t>
      </w:r>
      <w:r>
        <w:rPr>
          <w:rFonts w:hint="eastAsia" w:ascii="宋体" w:hAnsi="宋体"/>
          <w:color w:val="000000" w:themeColor="text1"/>
          <w:sz w:val="28"/>
          <w:szCs w:val="28"/>
          <w14:textFill>
            <w14:solidFill>
              <w14:schemeClr w14:val="tx1"/>
            </w14:solidFill>
          </w14:textFill>
        </w:rPr>
        <w:t>。（满分5分）。</w:t>
      </w:r>
    </w:p>
    <w:p>
      <w:pPr>
        <w:pStyle w:val="3"/>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②除现场负责人外的项目组现场人员</w:t>
      </w:r>
      <w:r>
        <w:rPr>
          <w:rFonts w:hint="eastAsia" w:ascii="宋体" w:hAnsi="宋体"/>
          <w:sz w:val="28"/>
          <w:szCs w:val="28"/>
        </w:rPr>
        <w:t>须至少有一名具有注册会计师资格和两名具有中级职称证书资格，在此基础上，每增加一名注册会计师资格的项目组现场人员得</w:t>
      </w:r>
      <w:r>
        <w:rPr>
          <w:rFonts w:ascii="宋体" w:hAnsi="宋体"/>
          <w:sz w:val="28"/>
          <w:szCs w:val="28"/>
        </w:rPr>
        <w:t>5</w:t>
      </w:r>
      <w:r>
        <w:rPr>
          <w:rFonts w:hint="eastAsia" w:ascii="宋体" w:hAnsi="宋体"/>
          <w:sz w:val="28"/>
          <w:szCs w:val="28"/>
        </w:rPr>
        <w:t>分，每增加一名具有中级及以上职称每个得</w:t>
      </w:r>
      <w:r>
        <w:rPr>
          <w:rFonts w:ascii="宋体" w:hAnsi="宋体"/>
          <w:sz w:val="28"/>
          <w:szCs w:val="28"/>
        </w:rPr>
        <w:t>3</w:t>
      </w:r>
      <w:r>
        <w:rPr>
          <w:rFonts w:hint="eastAsia" w:ascii="宋体" w:hAnsi="宋体"/>
          <w:sz w:val="28"/>
          <w:szCs w:val="28"/>
        </w:rPr>
        <w:t>分</w:t>
      </w:r>
      <w:r>
        <w:rPr>
          <w:rFonts w:hint="eastAsia" w:ascii="宋体" w:hAnsi="宋体"/>
          <w:color w:val="000000" w:themeColor="text1"/>
          <w:sz w:val="28"/>
          <w:szCs w:val="28"/>
          <w14:textFill>
            <w14:solidFill>
              <w14:schemeClr w14:val="tx1"/>
            </w14:solidFill>
          </w14:textFill>
        </w:rPr>
        <w:t>，同时拥有注册会计师资格和中级职称及以上职称评分分数不累加，按照最高分值计算。（满分</w:t>
      </w:r>
      <w:r>
        <w:rPr>
          <w:rFonts w:ascii="宋体" w:hAnsi="宋体"/>
          <w:color w:val="000000" w:themeColor="text1"/>
          <w:sz w:val="28"/>
          <w:szCs w:val="28"/>
          <w14:textFill>
            <w14:solidFill>
              <w14:schemeClr w14:val="tx1"/>
            </w14:solidFill>
          </w14:textFill>
        </w:rPr>
        <w:t>10</w:t>
      </w:r>
      <w:r>
        <w:rPr>
          <w:rFonts w:hint="eastAsia" w:ascii="宋体" w:hAnsi="宋体"/>
          <w:color w:val="000000" w:themeColor="text1"/>
          <w:sz w:val="28"/>
          <w:szCs w:val="28"/>
          <w14:textFill>
            <w14:solidFill>
              <w14:schemeClr w14:val="tx1"/>
            </w14:solidFill>
          </w14:textFill>
        </w:rPr>
        <w:t>分）。</w:t>
      </w:r>
    </w:p>
    <w:p>
      <w:pPr>
        <w:pStyle w:val="3"/>
        <w:spacing w:after="0" w:line="360" w:lineRule="auto"/>
        <w:ind w:firstLine="560" w:firstLineChars="200"/>
        <w:rPr>
          <w:rFonts w:ascii="宋体" w:hAnsi="宋体"/>
          <w:color w:val="000000"/>
          <w:sz w:val="28"/>
          <w:szCs w:val="28"/>
        </w:rPr>
      </w:pPr>
      <w:r>
        <w:rPr>
          <w:rFonts w:hint="eastAsia" w:ascii="宋体" w:hAnsi="宋体"/>
          <w:color w:val="000000"/>
          <w:sz w:val="28"/>
          <w:szCs w:val="28"/>
        </w:rPr>
        <w:t>本项目进驻现场审计的项目组人员不少于6人，进驻现场审计的项目组需指定除项目合伙人外的项目现场负责人一名，项目现场负责人必须持有有效的注册会计师证书，除项目现场负责人外，同时项目组至少必须派持有有效注册会计师证书1人和</w:t>
      </w:r>
      <w:r>
        <w:rPr>
          <w:rFonts w:ascii="宋体" w:hAnsi="宋体"/>
          <w:color w:val="000000"/>
          <w:sz w:val="28"/>
          <w:szCs w:val="28"/>
        </w:rPr>
        <w:t>持有中级职称证书以上的审计人员</w:t>
      </w:r>
      <w:r>
        <w:rPr>
          <w:rFonts w:hint="eastAsia" w:ascii="宋体" w:hAnsi="宋体"/>
          <w:color w:val="000000"/>
          <w:sz w:val="28"/>
          <w:szCs w:val="28"/>
        </w:rPr>
        <w:t>2人。</w:t>
      </w:r>
      <w:r>
        <w:rPr>
          <w:rFonts w:hint="eastAsia" w:ascii="宋体" w:hAnsi="宋体"/>
          <w:color w:val="000000" w:themeColor="text1"/>
          <w:sz w:val="28"/>
          <w:szCs w:val="28"/>
          <w14:textFill>
            <w14:solidFill>
              <w14:schemeClr w14:val="tx1"/>
            </w14:solidFill>
          </w14:textFill>
        </w:rPr>
        <w:t>项目现场负责人专职从事审计工作年限不少于1</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sz w:val="28"/>
          <w:szCs w:val="28"/>
        </w:rPr>
        <w:t>其余人员从从事审计工作不少于3年。</w:t>
      </w:r>
    </w:p>
    <w:p>
      <w:pPr>
        <w:pStyle w:val="3"/>
        <w:spacing w:after="0" w:line="360" w:lineRule="auto"/>
        <w:ind w:firstLine="560" w:firstLineChars="200"/>
        <w:rPr>
          <w:rFonts w:ascii="宋体" w:hAnsi="宋体"/>
          <w:sz w:val="28"/>
          <w:szCs w:val="28"/>
        </w:rPr>
      </w:pPr>
      <w:r>
        <w:rPr>
          <w:rFonts w:hint="eastAsia" w:ascii="宋体" w:hAnsi="宋体"/>
          <w:sz w:val="28"/>
          <w:szCs w:val="28"/>
        </w:rPr>
        <w:t>注：拟投入人员数量必须为竞标单位正式员工，</w:t>
      </w:r>
      <w:r>
        <w:rPr>
          <w:rFonts w:hint="eastAsia" w:ascii="宋体" w:hAnsi="宋体"/>
          <w:b/>
          <w:bCs/>
          <w:sz w:val="28"/>
          <w:szCs w:val="28"/>
        </w:rPr>
        <w:t>供应商必须提供以上人员</w:t>
      </w:r>
      <w:r>
        <w:rPr>
          <w:rFonts w:ascii="宋体" w:hAnsi="宋体"/>
          <w:b/>
          <w:bCs/>
          <w:sz w:val="28"/>
          <w:szCs w:val="28"/>
        </w:rPr>
        <w:t>聘用合同</w:t>
      </w:r>
      <w:r>
        <w:rPr>
          <w:rFonts w:hint="eastAsia" w:ascii="宋体" w:hAnsi="宋体"/>
          <w:b/>
          <w:bCs/>
          <w:sz w:val="28"/>
          <w:szCs w:val="28"/>
        </w:rPr>
        <w:t>相关材料复印件</w:t>
      </w:r>
      <w:r>
        <w:rPr>
          <w:rFonts w:hint="eastAsia" w:ascii="宋体" w:hAnsi="宋体"/>
          <w:sz w:val="28"/>
          <w:szCs w:val="28"/>
        </w:rPr>
        <w:t>，不能提供的不予计分。注册会计师必须是在注册有效期内执业，注册有效期以执业资格印章上注明的期限为准，须提供有效的注册会计师注册证书、执业印章等相关材料复印件。负责过的审计项目以项目合同复印件为准。</w:t>
      </w:r>
    </w:p>
    <w:p>
      <w:pPr>
        <w:pStyle w:val="3"/>
        <w:spacing w:after="0" w:line="360" w:lineRule="auto"/>
        <w:ind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3、商务分……………………………………………………</w:t>
      </w:r>
      <w:r>
        <w:rPr>
          <w:rFonts w:ascii="宋体" w:hAnsi="宋体"/>
          <w:b/>
          <w:bCs/>
          <w:color w:val="000000" w:themeColor="text1"/>
          <w:sz w:val="28"/>
          <w:szCs w:val="28"/>
          <w14:textFill>
            <w14:solidFill>
              <w14:schemeClr w14:val="tx1"/>
            </w14:solidFill>
          </w14:textFill>
        </w:rPr>
        <w:t>25</w:t>
      </w:r>
      <w:r>
        <w:rPr>
          <w:rFonts w:hint="eastAsia" w:ascii="宋体" w:hAnsi="宋体"/>
          <w:b/>
          <w:bCs/>
          <w:color w:val="000000" w:themeColor="text1"/>
          <w:sz w:val="28"/>
          <w:szCs w:val="28"/>
          <w14:textFill>
            <w14:solidFill>
              <w14:schemeClr w14:val="tx1"/>
            </w14:solidFill>
          </w14:textFill>
        </w:rPr>
        <w:t>分</w:t>
      </w:r>
    </w:p>
    <w:p>
      <w:pPr>
        <w:pStyle w:val="3"/>
        <w:spacing w:after="0" w:line="360" w:lineRule="auto"/>
        <w:ind w:firstLine="560" w:firstLineChars="200"/>
        <w:rPr>
          <w:rFonts w:ascii="宋体" w:hAnsi="宋体"/>
          <w:sz w:val="28"/>
          <w:szCs w:val="28"/>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、排名分（满分</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2分）</w:t>
      </w:r>
    </w:p>
    <w:p>
      <w:pPr>
        <w:pStyle w:val="3"/>
        <w:spacing w:after="0" w:line="360" w:lineRule="auto"/>
        <w:ind w:firstLine="560" w:firstLineChars="200"/>
        <w:rPr>
          <w:rFonts w:hint="eastAsia" w:ascii="宋体" w:hAnsi="宋体" w:eastAsia="宋体"/>
          <w:sz w:val="28"/>
          <w:szCs w:val="28"/>
          <w:lang w:eastAsia="zh-CN"/>
        </w:rPr>
      </w:pPr>
      <w:r>
        <w:rPr>
          <w:rFonts w:hint="eastAsia" w:ascii="宋体" w:hAnsi="宋体"/>
          <w:sz w:val="28"/>
          <w:szCs w:val="28"/>
        </w:rPr>
        <w:t>（1）以中国注册会计师协会公布的近三年会计师事务所综合评价百家排名信息为评价依据，投标人近三年在全国会计师事务所综合排名前10名（含）的计8分；排第11-20名的，计</w:t>
      </w:r>
      <w:r>
        <w:rPr>
          <w:rFonts w:ascii="宋体" w:hAnsi="宋体"/>
          <w:sz w:val="28"/>
          <w:szCs w:val="28"/>
        </w:rPr>
        <w:t>6</w:t>
      </w:r>
      <w:r>
        <w:rPr>
          <w:rFonts w:hint="eastAsia" w:ascii="宋体" w:hAnsi="宋体"/>
          <w:sz w:val="28"/>
          <w:szCs w:val="28"/>
        </w:rPr>
        <w:t>分；排第21-50名的，计</w:t>
      </w:r>
      <w:r>
        <w:rPr>
          <w:rFonts w:ascii="宋体" w:hAnsi="宋体"/>
          <w:sz w:val="28"/>
          <w:szCs w:val="28"/>
        </w:rPr>
        <w:t>4</w:t>
      </w:r>
      <w:r>
        <w:rPr>
          <w:rFonts w:hint="eastAsia" w:ascii="宋体" w:hAnsi="宋体"/>
          <w:sz w:val="28"/>
          <w:szCs w:val="28"/>
        </w:rPr>
        <w:t>分；排第51-100名的计</w:t>
      </w:r>
      <w:r>
        <w:rPr>
          <w:rFonts w:ascii="宋体" w:hAnsi="宋体"/>
          <w:sz w:val="28"/>
          <w:szCs w:val="28"/>
        </w:rPr>
        <w:t>2</w:t>
      </w:r>
      <w:r>
        <w:rPr>
          <w:rFonts w:hint="eastAsia" w:ascii="宋体" w:hAnsi="宋体"/>
          <w:sz w:val="28"/>
          <w:szCs w:val="28"/>
        </w:rPr>
        <w:t>分，以最高排名计分且只计一次得分（提供截图并加盖公章）</w:t>
      </w:r>
      <w:r>
        <w:rPr>
          <w:rFonts w:hint="eastAsia" w:ascii="宋体" w:hAnsi="宋体"/>
          <w:sz w:val="28"/>
          <w:szCs w:val="28"/>
          <w:lang w:eastAsia="zh-CN"/>
        </w:rPr>
        <w:t>。</w:t>
      </w:r>
    </w:p>
    <w:p>
      <w:pPr>
        <w:pStyle w:val="3"/>
        <w:spacing w:after="0" w:line="360" w:lineRule="auto"/>
        <w:ind w:firstLine="560" w:firstLineChars="200"/>
        <w:rPr>
          <w:rFonts w:hint="eastAsia" w:ascii="宋体" w:hAnsi="宋体" w:eastAsia="宋体"/>
          <w:sz w:val="28"/>
          <w:szCs w:val="28"/>
          <w:lang w:eastAsia="zh-CN"/>
        </w:rPr>
      </w:pPr>
      <w:r>
        <w:rPr>
          <w:rFonts w:hint="eastAsia" w:ascii="宋体" w:hAnsi="宋体"/>
          <w:sz w:val="28"/>
          <w:szCs w:val="28"/>
        </w:rPr>
        <w:t>（2）投标人具有企业信用等级AAA证书、ISO9001质量管理体系认证资质、信息安全管理体系认证证书、信息技术服务管理体系认证证书，每提供1个证书的，得1分，最高得4分</w:t>
      </w:r>
      <w:r>
        <w:rPr>
          <w:rFonts w:hint="eastAsia" w:ascii="宋体" w:hAnsi="宋体"/>
          <w:sz w:val="28"/>
          <w:szCs w:val="28"/>
          <w:lang w:eastAsia="zh-CN"/>
        </w:rPr>
        <w:t>。</w:t>
      </w:r>
    </w:p>
    <w:p>
      <w:pPr>
        <w:pStyle w:val="3"/>
        <w:spacing w:after="0" w:line="360" w:lineRule="auto"/>
        <w:ind w:firstLine="560" w:firstLineChars="200"/>
        <w:rPr>
          <w:rFonts w:ascii="宋体" w:hAnsi="宋体"/>
          <w:sz w:val="28"/>
          <w:szCs w:val="28"/>
        </w:rPr>
      </w:pPr>
      <w:r>
        <w:rPr>
          <w:rFonts w:hint="eastAsia" w:ascii="宋体" w:hAnsi="宋体"/>
          <w:sz w:val="28"/>
          <w:szCs w:val="28"/>
        </w:rPr>
        <w:t>2、本地化服务方案（满分3分）</w:t>
      </w:r>
    </w:p>
    <w:p>
      <w:pPr>
        <w:pStyle w:val="3"/>
        <w:spacing w:after="0" w:line="360" w:lineRule="auto"/>
        <w:ind w:firstLine="560" w:firstLineChars="200"/>
        <w:rPr>
          <w:rFonts w:ascii="宋体" w:hAnsi="宋体"/>
          <w:sz w:val="28"/>
          <w:szCs w:val="28"/>
        </w:rPr>
      </w:pPr>
      <w:r>
        <w:rPr>
          <w:rFonts w:hint="eastAsia" w:ascii="宋体" w:hAnsi="宋体"/>
          <w:sz w:val="28"/>
          <w:szCs w:val="28"/>
        </w:rPr>
        <w:t>供应商在本地（指广西境内）注册企业或成立有分支机构的，得</w:t>
      </w:r>
      <w:r>
        <w:rPr>
          <w:rFonts w:ascii="宋体" w:hAnsi="宋体"/>
          <w:sz w:val="28"/>
          <w:szCs w:val="28"/>
        </w:rPr>
        <w:t>3</w:t>
      </w:r>
      <w:r>
        <w:rPr>
          <w:rFonts w:hint="eastAsia" w:ascii="宋体" w:hAnsi="宋体"/>
          <w:sz w:val="28"/>
          <w:szCs w:val="28"/>
        </w:rPr>
        <w:t>分。承诺成交后合同签订之前在本地（指广西境内）注册企业或成立分支机构的，得1分。</w:t>
      </w:r>
    </w:p>
    <w:p>
      <w:pPr>
        <w:pStyle w:val="3"/>
        <w:spacing w:after="0" w:line="360" w:lineRule="auto"/>
        <w:ind w:firstLine="560" w:firstLineChars="200"/>
        <w:rPr>
          <w:rFonts w:ascii="宋体" w:hAnsi="宋体"/>
          <w:sz w:val="28"/>
          <w:szCs w:val="28"/>
        </w:rPr>
      </w:pPr>
      <w:r>
        <w:rPr>
          <w:rFonts w:hint="eastAsia" w:ascii="宋体" w:hAnsi="宋体"/>
          <w:sz w:val="28"/>
          <w:szCs w:val="28"/>
        </w:rPr>
        <w:t>响应文件中提供企业营业执照副本或分支机构注册证明文件复印件并加盖供应商公章，以及主要负责人姓名、联系方式等材料；尚未注册或成立分支机构的，需按上述要求提供承诺函原件并加盖供应商公章。</w:t>
      </w:r>
    </w:p>
    <w:p>
      <w:pPr>
        <w:pStyle w:val="3"/>
        <w:spacing w:after="0" w:line="360" w:lineRule="auto"/>
        <w:ind w:firstLine="560" w:firstLineChars="200"/>
        <w:rPr>
          <w:rFonts w:ascii="宋体" w:hAnsi="宋体"/>
          <w:sz w:val="28"/>
          <w:szCs w:val="28"/>
        </w:rPr>
      </w:pPr>
      <w:r>
        <w:rPr>
          <w:rFonts w:ascii="宋体" w:hAnsi="宋体"/>
          <w:sz w:val="28"/>
          <w:szCs w:val="28"/>
        </w:rPr>
        <w:t>3</w:t>
      </w:r>
      <w:r>
        <w:rPr>
          <w:rFonts w:hint="eastAsia" w:ascii="宋体" w:hAnsi="宋体"/>
          <w:sz w:val="28"/>
          <w:szCs w:val="28"/>
        </w:rPr>
        <w:t>、企业业绩及信誉分（满分</w:t>
      </w:r>
      <w:r>
        <w:rPr>
          <w:rFonts w:ascii="宋体" w:hAnsi="宋体"/>
          <w:sz w:val="28"/>
          <w:szCs w:val="28"/>
        </w:rPr>
        <w:t>10</w:t>
      </w:r>
      <w:r>
        <w:rPr>
          <w:rFonts w:hint="eastAsia" w:ascii="宋体" w:hAnsi="宋体"/>
          <w:sz w:val="28"/>
          <w:szCs w:val="28"/>
        </w:rPr>
        <w:t>分）</w:t>
      </w:r>
    </w:p>
    <w:p>
      <w:pPr>
        <w:pStyle w:val="3"/>
        <w:spacing w:after="0"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sz w:val="28"/>
          <w:szCs w:val="28"/>
        </w:rPr>
        <w:t>企业20</w:t>
      </w:r>
      <w:r>
        <w:rPr>
          <w:rFonts w:ascii="宋体" w:hAnsi="宋体"/>
          <w:sz w:val="28"/>
          <w:szCs w:val="28"/>
        </w:rPr>
        <w:t>20</w:t>
      </w:r>
      <w:r>
        <w:rPr>
          <w:rFonts w:hint="eastAsia" w:ascii="宋体" w:hAnsi="宋体"/>
          <w:sz w:val="28"/>
          <w:szCs w:val="28"/>
        </w:rPr>
        <w:t>年1月1日以来承担过</w:t>
      </w:r>
      <w:r>
        <w:rPr>
          <w:rFonts w:hint="eastAsia" w:ascii="宋体" w:hAnsi="宋体"/>
          <w:color w:val="000000" w:themeColor="text1"/>
          <w:sz w:val="28"/>
          <w:szCs w:val="28"/>
          <w14:textFill>
            <w14:solidFill>
              <w14:schemeClr w14:val="tx1"/>
            </w14:solidFill>
          </w14:textFill>
        </w:rPr>
        <w:t>绩效审计或绩效评价类项目、经济责任审计项目、内部控制及风险管理审计项目、党费审计项目的每项得1分，满分1</w:t>
      </w:r>
      <w:r>
        <w:rPr>
          <w:rFonts w:ascii="宋体" w:hAnsi="宋体"/>
          <w:color w:val="000000" w:themeColor="text1"/>
          <w:sz w:val="28"/>
          <w:szCs w:val="28"/>
          <w14:textFill>
            <w14:solidFill>
              <w14:schemeClr w14:val="tx1"/>
            </w14:solidFill>
          </w14:textFill>
        </w:rPr>
        <w:t>0</w:t>
      </w:r>
      <w:r>
        <w:rPr>
          <w:rFonts w:hint="eastAsia" w:ascii="宋体" w:hAnsi="宋体"/>
          <w:color w:val="000000" w:themeColor="text1"/>
          <w:sz w:val="28"/>
          <w:szCs w:val="28"/>
          <w14:textFill>
            <w14:solidFill>
              <w14:schemeClr w14:val="tx1"/>
            </w14:solidFill>
          </w14:textFill>
        </w:rPr>
        <w:t>分。</w:t>
      </w:r>
      <w:bookmarkStart w:id="0" w:name="_GoBack"/>
      <w:bookmarkEnd w:id="0"/>
    </w:p>
    <w:p>
      <w:pPr>
        <w:pStyle w:val="3"/>
        <w:spacing w:after="0" w:line="360" w:lineRule="auto"/>
        <w:ind w:firstLine="560" w:firstLineChars="200"/>
        <w:rPr>
          <w:rFonts w:ascii="宋体" w:hAnsi="宋体"/>
          <w:sz w:val="28"/>
          <w:szCs w:val="28"/>
        </w:rPr>
      </w:pPr>
      <w:r>
        <w:rPr>
          <w:rFonts w:hint="eastAsia" w:ascii="宋体" w:hAnsi="宋体"/>
          <w:sz w:val="28"/>
          <w:szCs w:val="28"/>
        </w:rPr>
        <w:t>注：上述项目须提交合同（或协议）或相关文件的复印件并加盖单位公章。</w:t>
      </w:r>
    </w:p>
    <w:p>
      <w:pPr>
        <w:pStyle w:val="3"/>
        <w:spacing w:after="0" w:line="360" w:lineRule="auto"/>
        <w:ind w:firstLine="560" w:firstLineChars="200"/>
        <w:rPr>
          <w:rFonts w:ascii="宋体" w:hAnsi="宋体"/>
          <w:sz w:val="28"/>
          <w:szCs w:val="28"/>
        </w:rPr>
      </w:pPr>
      <w:r>
        <w:rPr>
          <w:rFonts w:hint="eastAsia" w:ascii="宋体" w:hAnsi="宋体"/>
          <w:sz w:val="28"/>
          <w:szCs w:val="28"/>
        </w:rPr>
        <w:t>备注：必须提供相关文件加盖单位公章。</w:t>
      </w:r>
    </w:p>
    <w:p>
      <w:pPr>
        <w:pStyle w:val="3"/>
        <w:spacing w:after="0" w:line="360" w:lineRule="auto"/>
        <w:ind w:firstLine="560" w:firstLineChars="200"/>
        <w:rPr>
          <w:rFonts w:ascii="宋体" w:hAnsi="宋体"/>
          <w:sz w:val="28"/>
          <w:szCs w:val="28"/>
        </w:rPr>
      </w:pPr>
      <w:r>
        <w:rPr>
          <w:rFonts w:hint="eastAsia" w:ascii="宋体" w:hAnsi="宋体"/>
          <w:sz w:val="28"/>
          <w:szCs w:val="28"/>
        </w:rPr>
        <w:t>总得分=（1）+（2）+（3）</w:t>
      </w:r>
    </w:p>
    <w:p>
      <w:pPr>
        <w:pStyle w:val="3"/>
        <w:spacing w:after="0" w:line="360" w:lineRule="auto"/>
        <w:ind w:firstLine="560" w:firstLineChars="200"/>
        <w:rPr>
          <w:rFonts w:ascii="宋体" w:hAnsi="宋体"/>
          <w:sz w:val="28"/>
          <w:szCs w:val="28"/>
        </w:rPr>
      </w:pPr>
      <w:r>
        <w:rPr>
          <w:rFonts w:hint="eastAsia" w:ascii="宋体" w:hAnsi="宋体"/>
          <w:sz w:val="28"/>
          <w:szCs w:val="28"/>
        </w:rPr>
        <w:t>（三）成交候选人推荐原则</w:t>
      </w:r>
    </w:p>
    <w:p>
      <w:pPr>
        <w:pStyle w:val="3"/>
        <w:spacing w:after="0" w:line="360" w:lineRule="auto"/>
        <w:ind w:firstLine="560" w:firstLineChars="200"/>
        <w:rPr>
          <w:rFonts w:ascii="宋体" w:hAnsi="宋体"/>
          <w:sz w:val="28"/>
          <w:szCs w:val="28"/>
        </w:rPr>
      </w:pPr>
      <w:r>
        <w:rPr>
          <w:rFonts w:hint="eastAsia" w:ascii="宋体" w:hAnsi="宋体"/>
          <w:sz w:val="28"/>
          <w:szCs w:val="28"/>
        </w:rPr>
        <w:t>评标委员会将根据总得分由高到低排列次序（得分相同时，以投标报价由低到高顺序排列；得分相同且投标报价相同的，按技术指标优劣顺序排列）并推荐成交候选供应商。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yNDhmOWU4ZDRkMzNmMmFkYWMwMmFjZTJmOGM4YjgifQ=="/>
  </w:docVars>
  <w:rsids>
    <w:rsidRoot w:val="00143225"/>
    <w:rsid w:val="00005311"/>
    <w:rsid w:val="000249A8"/>
    <w:rsid w:val="000A6736"/>
    <w:rsid w:val="00143225"/>
    <w:rsid w:val="0015654E"/>
    <w:rsid w:val="00174FA6"/>
    <w:rsid w:val="001F0298"/>
    <w:rsid w:val="002A6DBE"/>
    <w:rsid w:val="002E4DFF"/>
    <w:rsid w:val="0030294F"/>
    <w:rsid w:val="0032571C"/>
    <w:rsid w:val="0039132B"/>
    <w:rsid w:val="00407FBF"/>
    <w:rsid w:val="00447F16"/>
    <w:rsid w:val="00464324"/>
    <w:rsid w:val="00467AB1"/>
    <w:rsid w:val="00590A44"/>
    <w:rsid w:val="005A2725"/>
    <w:rsid w:val="00643018"/>
    <w:rsid w:val="00677178"/>
    <w:rsid w:val="006B2D9C"/>
    <w:rsid w:val="006C32B2"/>
    <w:rsid w:val="006E6CEE"/>
    <w:rsid w:val="007041AF"/>
    <w:rsid w:val="007048A2"/>
    <w:rsid w:val="007807C0"/>
    <w:rsid w:val="007E2A6B"/>
    <w:rsid w:val="007F28D8"/>
    <w:rsid w:val="007F3AFA"/>
    <w:rsid w:val="00875494"/>
    <w:rsid w:val="009269A0"/>
    <w:rsid w:val="00943EA3"/>
    <w:rsid w:val="0095208A"/>
    <w:rsid w:val="00974634"/>
    <w:rsid w:val="009A21C9"/>
    <w:rsid w:val="00A333CF"/>
    <w:rsid w:val="00A438A5"/>
    <w:rsid w:val="00AF7066"/>
    <w:rsid w:val="00C12D61"/>
    <w:rsid w:val="00C704D1"/>
    <w:rsid w:val="00CB10C2"/>
    <w:rsid w:val="00CD71E1"/>
    <w:rsid w:val="00D25EF6"/>
    <w:rsid w:val="00D65D87"/>
    <w:rsid w:val="00DA5EFB"/>
    <w:rsid w:val="00E15FA9"/>
    <w:rsid w:val="00E46C28"/>
    <w:rsid w:val="00EA6C57"/>
    <w:rsid w:val="00EC1622"/>
    <w:rsid w:val="00F131E1"/>
    <w:rsid w:val="00F16AEC"/>
    <w:rsid w:val="00F41BC0"/>
    <w:rsid w:val="00FD4700"/>
    <w:rsid w:val="03CB1771"/>
    <w:rsid w:val="103E660B"/>
    <w:rsid w:val="1081080D"/>
    <w:rsid w:val="15183A0B"/>
    <w:rsid w:val="211E784B"/>
    <w:rsid w:val="24FA386E"/>
    <w:rsid w:val="46B809B4"/>
    <w:rsid w:val="47700839"/>
    <w:rsid w:val="49273A5D"/>
    <w:rsid w:val="4A981492"/>
    <w:rsid w:val="4C5552C7"/>
    <w:rsid w:val="63F75E20"/>
    <w:rsid w:val="6FEE3383"/>
    <w:rsid w:val="75741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sz w:val="18"/>
      <w:szCs w:val="18"/>
    </w:rPr>
  </w:style>
  <w:style w:type="paragraph" w:styleId="3">
    <w:name w:val="Body Text"/>
    <w:basedOn w:val="1"/>
    <w:unhideWhenUsed/>
    <w:qFormat/>
    <w:uiPriority w:val="99"/>
    <w:pPr>
      <w:spacing w:after="120"/>
    </w:pPr>
  </w:style>
  <w:style w:type="paragraph" w:styleId="4">
    <w:name w:val="Balloon Text"/>
    <w:basedOn w:val="1"/>
    <w:link w:val="9"/>
    <w:qFormat/>
    <w:uiPriority w:val="0"/>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Calibri" w:hAnsi="Calibri" w:eastAsia="宋体" w:cs="Times New Roman"/>
      <w:kern w:val="2"/>
      <w:sz w:val="18"/>
      <w:szCs w:val="18"/>
    </w:rPr>
  </w:style>
  <w:style w:type="character" w:customStyle="1" w:styleId="9">
    <w:name w:val="批注框文本 字符"/>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2232</Words>
  <Characters>2293</Characters>
  <Lines>16</Lines>
  <Paragraphs>4</Paragraphs>
  <TotalTime>141</TotalTime>
  <ScaleCrop>false</ScaleCrop>
  <LinksUpToDate>false</LinksUpToDate>
  <CharactersWithSpaces>2296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2023-03-30T08:52:00Z</dcterms:created>
  <dc:creator>DELL</dc:creator>
  <cp:lastModifiedBy>Jianbo_Lee</cp:lastModifiedBy>
  <dcterms:modified xsi:type="dcterms:W3CDTF">2023-04-07T03:44:54Z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A600EEABB90D4E59A745EB7775595324</vt:lpwstr>
  </property>
</Properties>
</file>