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微软雅黑" w:eastAsia="仿宋_GB2312" w:cs="仿宋_GB2312"/>
          <w:b/>
          <w:bCs/>
          <w:color w:val="333333"/>
          <w:sz w:val="30"/>
          <w:szCs w:val="30"/>
          <w:shd w:val="clear" w:color="auto" w:fill="FFFFFF"/>
        </w:rPr>
      </w:pPr>
      <w:r>
        <w:rPr>
          <w:rFonts w:hint="eastAsia" w:ascii="仿宋_GB2312" w:hAnsi="微软雅黑" w:eastAsia="仿宋_GB2312" w:cs="仿宋_GB2312"/>
          <w:b/>
          <w:bCs/>
          <w:color w:val="333333"/>
          <w:sz w:val="36"/>
          <w:szCs w:val="36"/>
          <w:shd w:val="clear" w:color="auto" w:fill="FFFFFF"/>
        </w:rPr>
        <w:t>广西艺术学院相思湖校区外线高压电缆回抽服务项目采购需求</w:t>
      </w:r>
    </w:p>
    <w:p>
      <w:pPr>
        <w:jc w:val="left"/>
        <w:rPr>
          <w:rFonts w:ascii="仿宋_GB2312" w:hAnsi="微软雅黑" w:eastAsia="仿宋_GB2312" w:cs="仿宋_GB2312"/>
          <w:b/>
          <w:bCs/>
          <w:color w:val="333333"/>
          <w:sz w:val="28"/>
          <w:szCs w:val="28"/>
          <w:shd w:val="clear" w:color="auto" w:fill="FFFFFF"/>
        </w:rPr>
      </w:pPr>
      <w:r>
        <w:rPr>
          <w:rFonts w:hint="eastAsia"/>
          <w:bCs/>
          <w:sz w:val="24"/>
        </w:rPr>
        <w:t xml:space="preserve">  </w:t>
      </w:r>
      <w:r>
        <w:rPr>
          <w:rFonts w:hint="eastAsia" w:ascii="仿宋_GB2312" w:hAnsi="微软雅黑" w:eastAsia="仿宋_GB2312" w:cs="仿宋_GB2312"/>
          <w:b/>
          <w:bCs/>
          <w:color w:val="333333"/>
          <w:sz w:val="28"/>
          <w:szCs w:val="28"/>
          <w:shd w:val="clear" w:color="auto" w:fill="FFFFFF"/>
        </w:rPr>
        <w:t>一、投标人要求</w:t>
      </w:r>
    </w:p>
    <w:p>
      <w:pPr>
        <w:ind w:firstLine="560" w:firstLineChars="200"/>
        <w:jc w:val="left"/>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1、投标人必须具备独立的法人资格。</w:t>
      </w:r>
    </w:p>
    <w:p>
      <w:pPr>
        <w:ind w:firstLine="560" w:firstLineChars="200"/>
        <w:jc w:val="left"/>
        <w:rPr>
          <w:rFonts w:hint="eastAsia"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2、投标人资格要求包括但不限于： 本次招标要求投标人具备 电力工程电缆回抽服务总承包（或输变电工程专业承包）三级及以上资质 资质；且具有国家能源局或原国家电力监管委员会颁发的《承装（修、试）电力设施许可证》，许可类别和等级要求具备承装类、承修类、承试类五级及以上资质，并在人员、设备、资金等方面具备相应的电缆回抽服务能力。</w:t>
      </w:r>
    </w:p>
    <w:p>
      <w:pPr>
        <w:ind w:firstLine="560" w:firstLineChars="200"/>
        <w:jc w:val="left"/>
        <w:rPr>
          <w:rFonts w:hint="eastAsia"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lang w:val="en-US" w:eastAsia="zh-CN"/>
        </w:rPr>
        <w:t>3、</w:t>
      </w:r>
      <w:r>
        <w:rPr>
          <w:rFonts w:hint="eastAsia" w:ascii="仿宋_GB2312" w:hAnsi="微软雅黑" w:eastAsia="仿宋_GB2312" w:cs="仿宋_GB2312"/>
          <w:color w:val="333333"/>
          <w:sz w:val="28"/>
          <w:szCs w:val="28"/>
          <w:shd w:val="clear" w:color="auto" w:fill="FFFFFF"/>
        </w:rPr>
        <w:t>投标人拟派项目经理须具备 机电工程 专业 贰 级以上（含本级）注册建造师执业资格，具备有效的安全生产考核合格证书（B类）。本项目不接受有在建、已中标未开工或已列为其他项目中标候选人第一名的建造师作为项目经理。</w:t>
      </w:r>
    </w:p>
    <w:p>
      <w:pPr>
        <w:ind w:firstLine="560" w:firstLineChars="200"/>
        <w:jc w:val="left"/>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项目电缆回抽服务专职安全生产管理人员：具备有效的专职安全生产管理人员安全生产考核合格证书（C类）。</w:t>
      </w:r>
    </w:p>
    <w:p>
      <w:pPr>
        <w:ind w:firstLine="560" w:firstLineChars="200"/>
        <w:jc w:val="left"/>
        <w:rPr>
          <w:rFonts w:ascii="仿宋_GB2312" w:hAnsi="微软雅黑" w:eastAsia="仿宋_GB2312" w:cs="仿宋_GB2312"/>
          <w:b/>
          <w:bCs/>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lang w:val="en-US" w:eastAsia="zh-CN"/>
        </w:rPr>
        <w:t>4</w:t>
      </w:r>
      <w:r>
        <w:rPr>
          <w:rFonts w:hint="eastAsia" w:ascii="仿宋_GB2312" w:hAnsi="微软雅黑" w:eastAsia="仿宋_GB2312" w:cs="仿宋_GB2312"/>
          <w:color w:val="333333"/>
          <w:sz w:val="28"/>
          <w:szCs w:val="28"/>
          <w:shd w:val="clear" w:color="auto" w:fill="FFFFFF"/>
        </w:rPr>
        <w:t>、单位负责人为同一人或者存在直接控股、管理关系的不同供应商，不得参加同一合同项下的采购活动。</w:t>
      </w:r>
      <w:bookmarkStart w:id="0" w:name="_GoBack"/>
      <w:bookmarkEnd w:id="0"/>
    </w:p>
    <w:p>
      <w:pPr>
        <w:tabs>
          <w:tab w:val="left" w:pos="1680"/>
        </w:tabs>
        <w:spacing w:line="360" w:lineRule="auto"/>
        <w:rPr>
          <w:rFonts w:ascii="仿宋_GB2312" w:hAnsi="微软雅黑" w:eastAsia="仿宋_GB2312" w:cs="仿宋_GB2312"/>
          <w:b/>
          <w:bCs/>
          <w:color w:val="333333"/>
          <w:sz w:val="28"/>
          <w:szCs w:val="28"/>
          <w:shd w:val="clear" w:color="auto" w:fill="FFFFFF"/>
        </w:rPr>
      </w:pPr>
      <w:r>
        <w:rPr>
          <w:rFonts w:hint="eastAsia" w:ascii="仿宋_GB2312" w:hAnsi="微软雅黑" w:eastAsia="仿宋_GB2312" w:cs="仿宋_GB2312"/>
          <w:b/>
          <w:bCs/>
          <w:color w:val="333333"/>
          <w:sz w:val="28"/>
          <w:szCs w:val="28"/>
          <w:shd w:val="clear" w:color="auto" w:fill="FFFFFF"/>
        </w:rPr>
        <w:t>二、 电缆回抽服务质量要求：</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1、投标前，投标单位需对招标人原电缆外线的管道进行核实、勘察，确认自身是否具备回抽服务条件。</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2、投标单位应具备独立法人资格且经营范围满足本业务需求。投标单位保证指派具备相应专业技能的人员实施电缆回抽作业。</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3、按照国家、行业和南方电网公司的有关技术标准，严格遵循高压电力电缆回抽服务规程。</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4、电缆回抽作业时，投标人应编制一套回抽服务方法须有详尽的服务技术方案，工艺先进、方法科学合理、可行，能指导具体电缆回抽服务并确保安全。最大限度保护电缆的完整性；最大限度保证回抽后的电缆可利旧使用。</w:t>
      </w:r>
    </w:p>
    <w:p>
      <w:pPr>
        <w:pStyle w:val="3"/>
        <w:snapToGrid w:val="0"/>
        <w:spacing w:before="0" w:beforeAutospacing="0" w:after="0" w:afterAutospacing="0" w:line="360" w:lineRule="auto"/>
        <w:ind w:firstLine="560" w:firstLineChars="200"/>
        <w:rPr>
          <w:rFonts w:ascii="仿宋_GB2312" w:hAnsi="微软雅黑" w:eastAsia="仿宋_GB2312" w:cs="仿宋_GB2312"/>
          <w:color w:val="auto"/>
          <w:sz w:val="28"/>
          <w:szCs w:val="28"/>
          <w:highlight w:val="none"/>
          <w:shd w:val="clear" w:color="auto" w:fill="FFFFFF"/>
        </w:rPr>
      </w:pPr>
      <w:r>
        <w:rPr>
          <w:rFonts w:hint="eastAsia" w:ascii="仿宋_GB2312" w:hAnsi="微软雅黑" w:eastAsia="仿宋_GB2312" w:cs="仿宋_GB2312"/>
          <w:color w:val="333333"/>
          <w:sz w:val="28"/>
          <w:szCs w:val="28"/>
          <w:shd w:val="clear" w:color="auto" w:fill="FFFFFF"/>
        </w:rPr>
        <w:t>5、电缆回抽服务人员齐备、专业配套应具备相关电缆回抽服务现场专业人员职业培训合格证书（投入的技术管理人员完全满足电缆回抽服务需要，管理人员配备齐全且经验及综合素质优秀</w:t>
      </w:r>
      <w:r>
        <w:rPr>
          <w:rFonts w:hint="eastAsia" w:ascii="仿宋_GB2312" w:hAnsi="微软雅黑" w:eastAsia="仿宋_GB2312" w:cs="仿宋_GB2312"/>
          <w:sz w:val="28"/>
          <w:szCs w:val="28"/>
          <w:shd w:val="clear" w:color="auto" w:fill="FFFFFF"/>
        </w:rPr>
        <w:t>，</w:t>
      </w:r>
      <w:r>
        <w:rPr>
          <w:rFonts w:hint="eastAsia" w:ascii="仿宋_GB2312" w:hAnsi="微软雅黑" w:eastAsia="仿宋_GB2312" w:cs="仿宋_GB2312"/>
          <w:color w:val="auto"/>
          <w:sz w:val="28"/>
          <w:szCs w:val="28"/>
          <w:highlight w:val="none"/>
          <w:shd w:val="clear" w:color="auto" w:fill="FFFFFF"/>
        </w:rPr>
        <w:t>项目管理人员人数达8人（含）以上。同时具有中级工程师及以上职称人数占40%（含）以上，且</w:t>
      </w:r>
      <w:r>
        <w:rPr>
          <w:rFonts w:hint="eastAsia" w:ascii="仿宋_GB2312" w:hAnsi="微软雅黑" w:eastAsia="仿宋_GB2312" w:cs="仿宋_GB2312"/>
          <w:color w:val="auto"/>
          <w:sz w:val="28"/>
          <w:szCs w:val="28"/>
          <w:highlight w:val="none"/>
          <w:shd w:val="clear" w:color="auto" w:fill="FFFFFF"/>
          <w:lang w:val="en-US" w:eastAsia="zh-CN"/>
        </w:rPr>
        <w:t>至少</w:t>
      </w:r>
      <w:r>
        <w:rPr>
          <w:rFonts w:hint="eastAsia" w:ascii="仿宋_GB2312" w:hAnsi="微软雅黑" w:eastAsia="仿宋_GB2312" w:cs="仿宋_GB2312"/>
          <w:color w:val="auto"/>
          <w:sz w:val="28"/>
          <w:szCs w:val="28"/>
          <w:highlight w:val="none"/>
          <w:shd w:val="clear" w:color="auto" w:fill="FFFFFF"/>
        </w:rPr>
        <w:t>须配备1名造价员及1名预算员）。</w:t>
      </w:r>
    </w:p>
    <w:p>
      <w:pPr>
        <w:pStyle w:val="3"/>
        <w:snapToGrid w:val="0"/>
        <w:spacing w:before="0" w:beforeAutospacing="0" w:after="0" w:afterAutospacing="0" w:line="360" w:lineRule="auto"/>
        <w:ind w:firstLine="560" w:firstLineChars="200"/>
        <w:rPr>
          <w:rFonts w:ascii="仿宋_GB2312" w:hAnsi="微软雅黑" w:eastAsia="仿宋_GB2312" w:cs="仿宋_GB2312"/>
          <w:color w:val="auto"/>
          <w:sz w:val="28"/>
          <w:szCs w:val="28"/>
          <w:highlight w:val="none"/>
          <w:shd w:val="clear" w:color="auto" w:fill="FFFFFF"/>
        </w:rPr>
      </w:pPr>
      <w:r>
        <w:rPr>
          <w:rFonts w:hint="eastAsia" w:ascii="仿宋_GB2312" w:hAnsi="微软雅黑" w:eastAsia="仿宋_GB2312" w:cs="仿宋_GB2312"/>
          <w:color w:val="auto"/>
          <w:sz w:val="28"/>
          <w:szCs w:val="28"/>
          <w:highlight w:val="none"/>
          <w:shd w:val="clear" w:color="auto" w:fill="FFFFFF"/>
        </w:rPr>
        <w:t>（1）派驻本项目的项目经理具备机电工程专业贰级及以上建造师资格，具备有效的安全生产考核合格证书（B类）；</w:t>
      </w:r>
    </w:p>
    <w:p>
      <w:pPr>
        <w:pStyle w:val="3"/>
        <w:snapToGrid w:val="0"/>
        <w:spacing w:before="0" w:beforeAutospacing="0" w:after="0" w:afterAutospacing="0" w:line="360" w:lineRule="auto"/>
        <w:ind w:firstLine="560" w:firstLineChars="200"/>
        <w:rPr>
          <w:rFonts w:ascii="仿宋_GB2312" w:hAnsi="微软雅黑" w:eastAsia="仿宋_GB2312" w:cs="仿宋_GB2312"/>
          <w:color w:val="auto"/>
          <w:sz w:val="28"/>
          <w:szCs w:val="28"/>
          <w:highlight w:val="none"/>
          <w:shd w:val="clear" w:color="auto" w:fill="FFFFFF"/>
        </w:rPr>
      </w:pPr>
      <w:r>
        <w:rPr>
          <w:rFonts w:hint="eastAsia" w:ascii="仿宋_GB2312" w:hAnsi="微软雅黑" w:eastAsia="仿宋_GB2312" w:cs="仿宋_GB2312"/>
          <w:color w:val="auto"/>
          <w:sz w:val="28"/>
          <w:szCs w:val="28"/>
          <w:highlight w:val="none"/>
          <w:shd w:val="clear" w:color="auto" w:fill="FFFFFF"/>
        </w:rPr>
        <w:t>（2）派驻本项目的技术负责人应具有中级及以上职称证件；</w:t>
      </w:r>
    </w:p>
    <w:p>
      <w:pPr>
        <w:pStyle w:val="3"/>
        <w:snapToGrid w:val="0"/>
        <w:spacing w:before="0" w:beforeAutospacing="0" w:after="0" w:afterAutospacing="0" w:line="360" w:lineRule="auto"/>
        <w:ind w:firstLine="560" w:firstLineChars="200"/>
        <w:rPr>
          <w:rFonts w:ascii="仿宋_GB2312" w:hAnsi="微软雅黑" w:eastAsia="仿宋_GB2312" w:cs="仿宋_GB2312"/>
          <w:color w:val="auto"/>
          <w:sz w:val="28"/>
          <w:szCs w:val="28"/>
          <w:highlight w:val="none"/>
          <w:shd w:val="clear" w:color="auto" w:fill="FFFFFF"/>
        </w:rPr>
      </w:pPr>
      <w:r>
        <w:rPr>
          <w:rFonts w:hint="eastAsia" w:ascii="仿宋_GB2312" w:hAnsi="微软雅黑" w:eastAsia="仿宋_GB2312" w:cs="仿宋_GB2312"/>
          <w:color w:val="auto"/>
          <w:sz w:val="28"/>
          <w:szCs w:val="28"/>
          <w:highlight w:val="none"/>
          <w:shd w:val="clear" w:color="auto" w:fill="FFFFFF"/>
        </w:rPr>
        <w:t>（3）派驻本项目的电缆回抽服务管理人员主要包括：安全员、电缆回抽服务员、质量员、材料员、预算员等，应具有相应电缆回抽服务现场专业人员职业培训合格证书【安全员需提供安全员岗位证及安全生产考核合格证书（C类）】。</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【投入本服务项目的技术管理人员需提供2022年7月至2022年9月在投标人单位缴纳的社保证明】</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6、投标单位须</w:t>
      </w:r>
      <w:r>
        <w:rPr>
          <w:rFonts w:hint="eastAsia" w:ascii="仿宋_GB2312" w:hAnsi="微软雅黑" w:eastAsia="仿宋_GB2312" w:cs="仿宋_GB2312"/>
          <w:color w:val="333333"/>
          <w:sz w:val="28"/>
          <w:szCs w:val="28"/>
          <w:shd w:val="clear" w:color="auto" w:fill="FFFFFF"/>
          <w:lang w:val="en-US" w:eastAsia="zh-CN"/>
        </w:rPr>
        <w:t>提供2020年1月1日以来</w:t>
      </w:r>
      <w:r>
        <w:rPr>
          <w:rFonts w:hint="eastAsia" w:ascii="仿宋_GB2312" w:hAnsi="微软雅黑" w:eastAsia="仿宋_GB2312" w:cs="仿宋_GB2312"/>
          <w:color w:val="333333"/>
          <w:sz w:val="28"/>
          <w:szCs w:val="28"/>
          <w:shd w:val="clear" w:color="auto" w:fill="FFFFFF"/>
        </w:rPr>
        <w:t>3个</w:t>
      </w:r>
      <w:r>
        <w:rPr>
          <w:rFonts w:ascii="仿宋_GB2312" w:hAnsi="微软雅黑" w:eastAsia="仿宋_GB2312" w:cs="仿宋_GB2312"/>
          <w:color w:val="333333"/>
          <w:sz w:val="28"/>
          <w:szCs w:val="28"/>
          <w:shd w:val="clear" w:color="auto" w:fill="FFFFFF"/>
        </w:rPr>
        <w:t>50</w:t>
      </w:r>
      <w:r>
        <w:rPr>
          <w:rFonts w:hint="eastAsia" w:ascii="仿宋_GB2312" w:hAnsi="微软雅黑" w:eastAsia="仿宋_GB2312" w:cs="仿宋_GB2312"/>
          <w:color w:val="333333"/>
          <w:sz w:val="28"/>
          <w:szCs w:val="28"/>
          <w:shd w:val="clear" w:color="auto" w:fill="FFFFFF"/>
        </w:rPr>
        <w:t>万以上类似项目业绩（附相关合同复印件</w:t>
      </w:r>
      <w:r>
        <w:rPr>
          <w:rFonts w:hint="eastAsia" w:ascii="仿宋_GB2312" w:hAnsi="微软雅黑" w:eastAsia="仿宋_GB2312" w:cs="仿宋_GB2312"/>
          <w:color w:val="333333"/>
          <w:sz w:val="28"/>
          <w:szCs w:val="28"/>
          <w:shd w:val="clear" w:color="auto" w:fill="FFFFFF"/>
          <w:lang w:val="en-US" w:eastAsia="zh-CN"/>
        </w:rPr>
        <w:t>或中标通知书</w:t>
      </w:r>
      <w:r>
        <w:rPr>
          <w:rFonts w:hint="eastAsia" w:ascii="仿宋_GB2312" w:hAnsi="微软雅黑" w:eastAsia="仿宋_GB2312" w:cs="仿宋_GB2312"/>
          <w:color w:val="333333"/>
          <w:sz w:val="28"/>
          <w:szCs w:val="28"/>
          <w:shd w:val="clear" w:color="auto" w:fill="FFFFFF"/>
        </w:rPr>
        <w:t>）。</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7、投入的主要电缆回抽服务机械、设备计应划完全满足电缆回抽服务需要，采用目前较先进的机械设备，主要、辅助电缆回抽服务设备、器具较齐全，配备合理。</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8、投入劳动力安排计划及工期（1</w:t>
      </w:r>
      <w:r>
        <w:rPr>
          <w:rFonts w:ascii="仿宋_GB2312" w:hAnsi="微软雅黑" w:eastAsia="仿宋_GB2312" w:cs="仿宋_GB2312"/>
          <w:color w:val="333333"/>
          <w:sz w:val="28"/>
          <w:szCs w:val="28"/>
          <w:shd w:val="clear" w:color="auto" w:fill="FFFFFF"/>
        </w:rPr>
        <w:t>5</w:t>
      </w:r>
      <w:r>
        <w:rPr>
          <w:rFonts w:hint="eastAsia" w:ascii="仿宋_GB2312" w:hAnsi="微软雅黑" w:eastAsia="仿宋_GB2312" w:cs="仿宋_GB2312"/>
          <w:color w:val="333333"/>
          <w:sz w:val="28"/>
          <w:szCs w:val="28"/>
          <w:shd w:val="clear" w:color="auto" w:fill="FFFFFF"/>
        </w:rPr>
        <w:t>个工作日）计划，各主要电缆回抽服务工序具有详细周密的劳动力安排计划，计划与进度呼应，有各工种劳动力安排计划，劳动力投入合理，很好的满足电缆回抽服务需要。</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9、确保服务质量的技术组织措施，设有专门的质量技术管理班子和制度，且人员配备合理，制度健全。主要工序有质量技术保证措施和手段，自控体系完整，能有效保证技术质量，达到承诺的质量标准。</w:t>
      </w:r>
    </w:p>
    <w:p>
      <w:pPr>
        <w:pStyle w:val="3"/>
        <w:snapToGrid w:val="0"/>
        <w:spacing w:before="0" w:beforeAutospacing="0" w:after="0" w:afterAutospacing="0" w:line="360" w:lineRule="auto"/>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10、确保安全生产的技术组织措施，设有专门的安全管理人员和制度，且人员配备合理，制度健全，各道工序安全技术措施针对性强，符合实际且满足有关安全技术标准要求。现场防火、应急救援、社会治安安全措施得力。</w:t>
      </w:r>
    </w:p>
    <w:p>
      <w:pPr>
        <w:pStyle w:val="3"/>
        <w:snapToGrid w:val="0"/>
        <w:spacing w:before="0" w:beforeAutospacing="0" w:after="0" w:afterAutospacing="0" w:line="360" w:lineRule="auto"/>
        <w:rPr>
          <w:rFonts w:asciiTheme="minorEastAsia" w:hAnsiTheme="minorEastAsia" w:eastAsiaTheme="minorEastAsia" w:cstheme="minorEastAsia"/>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YjJlMGFhNGM0NzE0NzAzZjgwN2FkNzkwYjVlOTcifQ=="/>
  </w:docVars>
  <w:rsids>
    <w:rsidRoot w:val="3D3B71D0"/>
    <w:rsid w:val="00002428"/>
    <w:rsid w:val="00003749"/>
    <w:rsid w:val="00033B4A"/>
    <w:rsid w:val="000A6951"/>
    <w:rsid w:val="000C217F"/>
    <w:rsid w:val="000D2593"/>
    <w:rsid w:val="000E5049"/>
    <w:rsid w:val="000F627B"/>
    <w:rsid w:val="0019629A"/>
    <w:rsid w:val="001D1264"/>
    <w:rsid w:val="00345EC1"/>
    <w:rsid w:val="00354DF4"/>
    <w:rsid w:val="00363E47"/>
    <w:rsid w:val="00376EF8"/>
    <w:rsid w:val="00412927"/>
    <w:rsid w:val="004D0410"/>
    <w:rsid w:val="004D120E"/>
    <w:rsid w:val="00562E2E"/>
    <w:rsid w:val="005A6300"/>
    <w:rsid w:val="005C5A03"/>
    <w:rsid w:val="006351CE"/>
    <w:rsid w:val="006748FE"/>
    <w:rsid w:val="00676092"/>
    <w:rsid w:val="00693E18"/>
    <w:rsid w:val="00697AE6"/>
    <w:rsid w:val="006C0E36"/>
    <w:rsid w:val="006C2C54"/>
    <w:rsid w:val="006C35BF"/>
    <w:rsid w:val="007218A1"/>
    <w:rsid w:val="007223DE"/>
    <w:rsid w:val="0073141D"/>
    <w:rsid w:val="00761A3C"/>
    <w:rsid w:val="007C12A5"/>
    <w:rsid w:val="00871552"/>
    <w:rsid w:val="00895DBE"/>
    <w:rsid w:val="008E1F51"/>
    <w:rsid w:val="009152B0"/>
    <w:rsid w:val="009A24AC"/>
    <w:rsid w:val="009A5151"/>
    <w:rsid w:val="00A04670"/>
    <w:rsid w:val="00A2553B"/>
    <w:rsid w:val="00A328F9"/>
    <w:rsid w:val="00A623AC"/>
    <w:rsid w:val="00A661BD"/>
    <w:rsid w:val="00AA313A"/>
    <w:rsid w:val="00AA77DE"/>
    <w:rsid w:val="00AB40B8"/>
    <w:rsid w:val="00B61902"/>
    <w:rsid w:val="00B7356F"/>
    <w:rsid w:val="00B97C2B"/>
    <w:rsid w:val="00BC692D"/>
    <w:rsid w:val="00C10B66"/>
    <w:rsid w:val="00C330B8"/>
    <w:rsid w:val="00C47D24"/>
    <w:rsid w:val="00C81EA6"/>
    <w:rsid w:val="00C94EDB"/>
    <w:rsid w:val="00D5281B"/>
    <w:rsid w:val="00D93A4D"/>
    <w:rsid w:val="00DB1278"/>
    <w:rsid w:val="00DB411F"/>
    <w:rsid w:val="00E378F7"/>
    <w:rsid w:val="00EB28C4"/>
    <w:rsid w:val="00F73853"/>
    <w:rsid w:val="00FA0A69"/>
    <w:rsid w:val="00FA372E"/>
    <w:rsid w:val="00FF74D2"/>
    <w:rsid w:val="03C725C9"/>
    <w:rsid w:val="03FA0FE7"/>
    <w:rsid w:val="05557F9E"/>
    <w:rsid w:val="05663875"/>
    <w:rsid w:val="065C361E"/>
    <w:rsid w:val="08254DC3"/>
    <w:rsid w:val="0D210B3B"/>
    <w:rsid w:val="10EC7A09"/>
    <w:rsid w:val="14231486"/>
    <w:rsid w:val="163C0C21"/>
    <w:rsid w:val="1B1F35D7"/>
    <w:rsid w:val="20B40431"/>
    <w:rsid w:val="20F900A6"/>
    <w:rsid w:val="239B4777"/>
    <w:rsid w:val="23BF09ED"/>
    <w:rsid w:val="248F33F1"/>
    <w:rsid w:val="24E46F1D"/>
    <w:rsid w:val="272D7F9F"/>
    <w:rsid w:val="2837240E"/>
    <w:rsid w:val="2A1B2AA6"/>
    <w:rsid w:val="2D74205C"/>
    <w:rsid w:val="33742B8C"/>
    <w:rsid w:val="3394317F"/>
    <w:rsid w:val="34D61DAA"/>
    <w:rsid w:val="37292D89"/>
    <w:rsid w:val="3B081E5F"/>
    <w:rsid w:val="3D3B71D0"/>
    <w:rsid w:val="3E1B4420"/>
    <w:rsid w:val="3E4C2BBD"/>
    <w:rsid w:val="40C15F0C"/>
    <w:rsid w:val="40E5281C"/>
    <w:rsid w:val="428840A3"/>
    <w:rsid w:val="439B12EA"/>
    <w:rsid w:val="43C91A34"/>
    <w:rsid w:val="43E509E8"/>
    <w:rsid w:val="480C253E"/>
    <w:rsid w:val="4B1530DD"/>
    <w:rsid w:val="4B8938A8"/>
    <w:rsid w:val="4C6716E2"/>
    <w:rsid w:val="4E79582B"/>
    <w:rsid w:val="4EA96F72"/>
    <w:rsid w:val="4F58373D"/>
    <w:rsid w:val="52773122"/>
    <w:rsid w:val="55D55378"/>
    <w:rsid w:val="5A025174"/>
    <w:rsid w:val="5AE94F29"/>
    <w:rsid w:val="5B2F01EA"/>
    <w:rsid w:val="5BA81C8A"/>
    <w:rsid w:val="60C2565D"/>
    <w:rsid w:val="61722012"/>
    <w:rsid w:val="62BE57D7"/>
    <w:rsid w:val="62DC2DE0"/>
    <w:rsid w:val="65FC55FF"/>
    <w:rsid w:val="669D5A92"/>
    <w:rsid w:val="6861368C"/>
    <w:rsid w:val="68951C23"/>
    <w:rsid w:val="68A45648"/>
    <w:rsid w:val="6AAD2EDA"/>
    <w:rsid w:val="6C6E3252"/>
    <w:rsid w:val="6D6A352B"/>
    <w:rsid w:val="6F042FD4"/>
    <w:rsid w:val="6F995775"/>
    <w:rsid w:val="7369536E"/>
    <w:rsid w:val="752944C1"/>
    <w:rsid w:val="75AB309B"/>
    <w:rsid w:val="77B84C6C"/>
    <w:rsid w:val="77E115B3"/>
    <w:rsid w:val="789E7506"/>
    <w:rsid w:val="78C31BE5"/>
    <w:rsid w:val="7EC72787"/>
    <w:rsid w:val="7F88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3"/>
    <w:qFormat/>
    <w:uiPriority w:val="0"/>
    <w:pPr>
      <w:widowControl/>
      <w:spacing w:before="100" w:beforeAutospacing="1" w:after="100" w:afterAutospacing="1"/>
      <w:jc w:val="left"/>
    </w:pPr>
    <w:rPr>
      <w:rFonts w:ascii="宋体" w:hAnsi="宋体" w:cstheme="minorBidi"/>
      <w:sz w:val="24"/>
    </w:rPr>
  </w:style>
  <w:style w:type="paragraph" w:styleId="4">
    <w:name w:val="Balloon Text"/>
    <w:basedOn w:val="1"/>
    <w:link w:val="15"/>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rFonts w:ascii="Times New Roman" w:hAnsi="Times New Roman" w:eastAsia="宋体" w:cs="Times New Roman"/>
      <w:kern w:val="2"/>
      <w:sz w:val="18"/>
      <w:szCs w:val="18"/>
    </w:rPr>
  </w:style>
  <w:style w:type="character" w:customStyle="1" w:styleId="12">
    <w:name w:val="页脚 字符"/>
    <w:basedOn w:val="9"/>
    <w:link w:val="5"/>
    <w:qFormat/>
    <w:uiPriority w:val="0"/>
    <w:rPr>
      <w:rFonts w:ascii="Times New Roman" w:hAnsi="Times New Roman" w:eastAsia="宋体" w:cs="Times New Roman"/>
      <w:kern w:val="2"/>
      <w:sz w:val="18"/>
      <w:szCs w:val="18"/>
    </w:rPr>
  </w:style>
  <w:style w:type="character" w:customStyle="1" w:styleId="13">
    <w:name w:val="纯文本 字符"/>
    <w:basedOn w:val="9"/>
    <w:link w:val="3"/>
    <w:qFormat/>
    <w:uiPriority w:val="99"/>
    <w:rPr>
      <w:rFonts w:ascii="宋体" w:hAnsi="宋体" w:eastAsia="宋体"/>
      <w:kern w:val="2"/>
      <w:sz w:val="24"/>
      <w:szCs w:val="24"/>
    </w:rPr>
  </w:style>
  <w:style w:type="paragraph" w:styleId="14">
    <w:name w:val="List Paragraph"/>
    <w:basedOn w:val="1"/>
    <w:qFormat/>
    <w:uiPriority w:val="99"/>
    <w:pPr>
      <w:ind w:firstLine="420" w:firstLineChars="200"/>
    </w:pPr>
  </w:style>
  <w:style w:type="character" w:customStyle="1" w:styleId="15">
    <w:name w:val="批注框文本 字符"/>
    <w:basedOn w:val="9"/>
    <w:link w:val="4"/>
    <w:qFormat/>
    <w:uiPriority w:val="0"/>
    <w:rPr>
      <w:rFonts w:ascii="Times New Roman" w:hAnsi="Times New Roman" w:eastAsia="宋体" w:cs="Times New Roman"/>
      <w:kern w:val="2"/>
      <w:sz w:val="18"/>
      <w:szCs w:val="18"/>
    </w:rPr>
  </w:style>
  <w:style w:type="character" w:customStyle="1" w:styleId="16">
    <w:name w:val="font91"/>
    <w:basedOn w:val="9"/>
    <w:qFormat/>
    <w:uiPriority w:val="0"/>
    <w:rPr>
      <w:rFonts w:hint="eastAsia" w:ascii="宋体" w:hAnsi="宋体" w:eastAsia="宋体" w:cs="宋体"/>
      <w:b/>
      <w:bCs/>
      <w:color w:val="000000"/>
      <w:sz w:val="28"/>
      <w:szCs w:val="28"/>
      <w:u w:val="single"/>
    </w:rPr>
  </w:style>
  <w:style w:type="character" w:customStyle="1" w:styleId="17">
    <w:name w:val="font01"/>
    <w:basedOn w:val="9"/>
    <w:qFormat/>
    <w:uiPriority w:val="0"/>
    <w:rPr>
      <w:rFonts w:hint="eastAsia" w:ascii="宋体" w:hAnsi="宋体" w:eastAsia="宋体" w:cs="宋体"/>
      <w:b/>
      <w:bCs/>
      <w:color w:val="000000"/>
      <w:sz w:val="28"/>
      <w:szCs w:val="28"/>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1486</Words>
  <Characters>1500</Characters>
  <Lines>12</Lines>
  <Paragraphs>3</Paragraphs>
  <TotalTime>20</TotalTime>
  <ScaleCrop>false</ScaleCrop>
  <LinksUpToDate>false</LinksUpToDate>
  <CharactersWithSpaces>1510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2022-11-17T02:31:00Z</dcterms:created>
  <dc:creator>显锋</dc:creator>
  <cp:lastModifiedBy>admin</cp:lastModifiedBy>
  <cp:lastPrinted>2022-10-24T01:43:00Z</cp:lastPrinted>
  <dcterms:modified xsi:type="dcterms:W3CDTF">2022-12-13T02:09:06Z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0ACEDEE745E940628B2214963EFD97F8</vt:lpwstr>
  </property>
</Properties>
</file>