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商务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响应偏离情况说明表</w:t>
      </w:r>
    </w:p>
    <w:p>
      <w:pPr>
        <w:spacing w:line="440" w:lineRule="exact"/>
        <w:ind w:firstLine="480" w:firstLineChars="200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sz w:val="24"/>
        </w:rPr>
        <w:t>请根据所投产品的实际技术参数，逐条对应本项目</w:t>
      </w:r>
      <w:r>
        <w:rPr>
          <w:rFonts w:hint="eastAsia" w:ascii="仿宋_GB2312" w:hAnsi="Times New Roman" w:eastAsia="仿宋_GB2312"/>
          <w:sz w:val="24"/>
          <w:lang w:val="en-US" w:eastAsia="zh-CN"/>
        </w:rPr>
        <w:t>公告中各产品</w:t>
      </w:r>
      <w:r>
        <w:rPr>
          <w:rFonts w:hint="eastAsia" w:ascii="仿宋_GB2312" w:hAnsi="Times New Roman" w:eastAsia="仿宋_GB2312"/>
          <w:sz w:val="24"/>
        </w:rPr>
        <w:t>技术参数要求</w:t>
      </w:r>
      <w:r>
        <w:rPr>
          <w:rFonts w:hint="eastAsia" w:ascii="仿宋_GB2312" w:hAnsi="Times New Roman" w:eastAsia="仿宋_GB2312"/>
          <w:sz w:val="24"/>
          <w:lang w:eastAsia="zh-CN"/>
        </w:rPr>
        <w:t>，</w:t>
      </w:r>
      <w:r>
        <w:rPr>
          <w:rFonts w:hint="eastAsia" w:ascii="仿宋_GB2312" w:hAnsi="Times New Roman" w:eastAsia="仿宋_GB2312"/>
          <w:sz w:val="24"/>
        </w:rPr>
        <w:t>详细填写相应的具体内容。“偏离说明”一栏应当选择“正偏离”，“负偏离”或“无偏离”进行填写。</w:t>
      </w:r>
    </w:p>
    <w:p>
      <w:pPr>
        <w:adjustRightInd/>
        <w:snapToGrid/>
        <w:spacing w:after="0"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采购项目名称：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>广西艺术学院图书馆两校区大堂网络双频防盗感应门建设</w:t>
      </w:r>
    </w:p>
    <w:tbl>
      <w:tblPr>
        <w:tblStyle w:val="3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4"/>
        <w:gridCol w:w="1260"/>
        <w:gridCol w:w="648"/>
        <w:gridCol w:w="1488"/>
        <w:gridCol w:w="1134"/>
        <w:gridCol w:w="608"/>
        <w:gridCol w:w="1850"/>
        <w:gridCol w:w="12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采购文件需求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投标</w:t>
            </w:r>
            <w:r>
              <w:rPr>
                <w:rFonts w:hint="eastAsia" w:ascii="仿宋_GB2312" w:hAnsi="Times New Roman" w:eastAsia="仿宋_GB2312"/>
                <w:szCs w:val="21"/>
              </w:rPr>
              <w:t>文件承诺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型号规格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商务</w:t>
            </w:r>
            <w:r>
              <w:rPr>
                <w:rFonts w:hint="eastAsia" w:ascii="仿宋_GB2312" w:hAnsi="Times New Roman" w:eastAsia="仿宋_GB2312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品牌、型号规格，生产厂家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商务要求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采购需求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1.分别采购广西艺术学院南湖校区、相思湖校区图书馆图书网络双频防盗感应门共计2套。其中南湖校区为单通道、相思湖校区为双通道。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2.移动、安裝、调试相思湖馆大堂双通道防盗感应门1套。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交付使用时间要求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网络双频防盗感应门必须于甲乙双方签订合同后一个月之内，按照采购需求中的功能要求、服务要求和技术要求交付投入使用， 该项目的技术服务期为壹年。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实施与服务要求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1.投标人依据实际情况，协商制定切实可行的完整培训计划。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2.投标人须按照合同规定的时间，派遣技术人员上门提供现场的项目实施服务。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3.对于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网络双频防盗感应门</w:t>
            </w:r>
            <w:r>
              <w:rPr>
                <w:rFonts w:hint="eastAsia" w:ascii="仿宋_GB2312" w:hAnsi="Times New Roman" w:eastAsia="仿宋_GB2312"/>
                <w:szCs w:val="21"/>
              </w:rPr>
              <w:t>自身功能问题，投标人须免费提供永久支持并及时给予圆满解决；在远程维护无法解决问题的情况下，要派遣技术人员上门解决。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4、投标人支持软件、硬件一体化服务。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售后服务清单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现场技术服务：按用户要求，安排现场工程师到达用户地点提供软件使用、技术指导，系统维护、系统迁移、数据库维护等服务。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远程技术服务：以电话（7×24小时，标准电话技术支持）、Email、QQ远程登录等方式提供技术服务。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系统故障排除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：</w:t>
            </w: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系统隐含的错误发生时，1个小时内响应，通过远程的方式排除故障。远程无法排除的，当天现场排除。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人为故障排除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：</w:t>
            </w: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因操作人员错误操作引起故障发生时，1个小时内响应，通过远程的方式排除故障。远程无法排除的，当天现场排除。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现场走访：到现场了解系统运行情况，解决系统运行中的各类问题。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软件升级服务：非结构性变更的功能升级、系统安全漏洞打补丁。由中标人技术人员远程或现场升级。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重大运行故障排除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：</w:t>
            </w: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因各种原因造成系统不能运行或其他重大障碍等重大事件时，即时响应。1小时内给出临时解决措施，12小时内给出详细解决方案，3个工作日内予以解决。紧急问题在1个工作日内予以解决。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u w:val="single"/>
              </w:rPr>
            </w:pPr>
          </w:p>
        </w:tc>
        <w:tc>
          <w:tcPr>
            <w:tcW w:w="9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　/　</w:t>
            </w:r>
            <w:r>
              <w:rPr>
                <w:rFonts w:hint="eastAsia" w:ascii="仿宋_GB2312" w:hAnsi="Times New Roman" w:eastAsia="仿宋_GB2312"/>
                <w:szCs w:val="21"/>
              </w:rPr>
              <w:t>分标（此处有分标时填写具体分标号，无分标时填写“无”）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注：⑴表格内容均需按要求填写并盖章，不得留空。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⑵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文件承诺不得直接复制采购文件需求，如果采购文件需求为小于或大于某个数值标准时，采购文件承诺内容应当写明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货物具体参数或响应承诺的具体数值，否则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评委评审时有可能</w:t>
      </w:r>
      <w:r>
        <w:rPr>
          <w:rFonts w:hint="eastAsia" w:ascii="仿宋_GB2312" w:hAnsi="宋体" w:eastAsia="仿宋_GB2312"/>
          <w:bCs/>
          <w:szCs w:val="21"/>
        </w:rPr>
        <w:t>按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无效处理。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⑶当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文件的技术参数或商务内容低于采购文件要求时，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人应当如实写明“负偏离”，否则视为虚假应标。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法定代表人或法定代表人授权代表签字：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供应商名称（盖章）：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日   期：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1FF62"/>
    <w:multiLevelType w:val="singleLevel"/>
    <w:tmpl w:val="65F1FF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000000"/>
    <w:rsid w:val="10994B1F"/>
    <w:rsid w:val="13E93252"/>
    <w:rsid w:val="2AA36E27"/>
    <w:rsid w:val="3F7A2C42"/>
    <w:rsid w:val="4A667B2B"/>
    <w:rsid w:val="4E4D310A"/>
    <w:rsid w:val="522F2C06"/>
    <w:rsid w:val="67AE5623"/>
    <w:rsid w:val="6C335B3C"/>
    <w:rsid w:val="737B4855"/>
    <w:rsid w:val="79C01A9F"/>
    <w:rsid w:val="7B1B2554"/>
    <w:rsid w:val="7EF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1185</Characters>
  <Lines>0</Lines>
  <Paragraphs>0</Paragraphs>
  <TotalTime>0</TotalTime>
  <ScaleCrop>false</ScaleCrop>
  <LinksUpToDate>false</LinksUpToDate>
  <CharactersWithSpaces>1256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2021-03-19T08:01:00Z</dcterms:created>
  <dc:creator>DELL</dc:creator>
  <cp:lastModifiedBy>Jianbo_Lee</cp:lastModifiedBy>
  <dcterms:modified xsi:type="dcterms:W3CDTF">2022-12-12T07:44:17Z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A550CDB4A0644C15B5C08274409FACD1</vt:lpwstr>
  </property>
</Properties>
</file>