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45D951">
      <w:pPr>
        <w:spacing w:line="520" w:lineRule="exact"/>
        <w:jc w:val="center"/>
        <w:rPr>
          <w:rFonts w:hint="eastAsia" w:ascii="宋体" w:hAnsi="宋体" w:cs="宋体"/>
          <w:color w:val="auto"/>
          <w:sz w:val="36"/>
          <w:szCs w:val="36"/>
        </w:rPr>
      </w:pPr>
      <w:r>
        <w:rPr>
          <w:rFonts w:hint="eastAsia" w:ascii="宋体" w:hAnsi="宋体" w:cs="宋体"/>
          <w:color w:val="auto"/>
          <w:sz w:val="36"/>
          <w:szCs w:val="36"/>
        </w:rPr>
        <w:t>广西艺术学院2026年美丽人居实验教学中心设备保险服务采购公告</w:t>
      </w:r>
    </w:p>
    <w:p w14:paraId="3A16AF8D">
      <w:pPr>
        <w:pStyle w:val="2"/>
      </w:pPr>
    </w:p>
    <w:p w14:paraId="52B396A6">
      <w:pPr>
        <w:pStyle w:val="15"/>
        <w:spacing w:beforeAutospacing="0" w:afterAutospacing="0" w:line="520" w:lineRule="exact"/>
        <w:jc w:val="both"/>
        <w:rPr>
          <w:rFonts w:hint="eastAsia" w:ascii="宋体" w:hAnsi="宋体" w:cs="宋体"/>
          <w:b/>
          <w:bCs/>
          <w:color w:val="auto"/>
          <w:szCs w:val="24"/>
          <w:shd w:val="clear" w:color="auto" w:fill="FFFFFF"/>
        </w:rPr>
      </w:pPr>
      <w:r>
        <w:rPr>
          <w:rFonts w:hint="eastAsia" w:ascii="宋体" w:hAnsi="宋体" w:cs="宋体"/>
          <w:b/>
          <w:bCs/>
          <w:color w:val="auto"/>
          <w:szCs w:val="24"/>
          <w:shd w:val="clear" w:color="auto" w:fill="FFFFFF"/>
        </w:rPr>
        <w:t>项目说明</w:t>
      </w:r>
    </w:p>
    <w:p w14:paraId="52FD11AB">
      <w:pPr>
        <w:pStyle w:val="15"/>
        <w:spacing w:beforeAutospacing="0" w:afterAutospacing="0" w:line="520" w:lineRule="exact"/>
        <w:ind w:firstLine="480" w:firstLineChars="200"/>
        <w:jc w:val="both"/>
        <w:rPr>
          <w:rFonts w:hint="eastAsia" w:ascii="宋体" w:hAnsi="宋体" w:cs="宋体"/>
          <w:color w:val="auto"/>
          <w:szCs w:val="24"/>
          <w:shd w:val="clear" w:color="auto" w:fill="FFFFFF"/>
        </w:rPr>
      </w:pPr>
      <w:r>
        <w:rPr>
          <w:rFonts w:hint="eastAsia" w:ascii="宋体" w:hAnsi="宋体" w:cs="宋体"/>
          <w:color w:val="auto"/>
          <w:szCs w:val="24"/>
          <w:shd w:val="clear" w:color="auto" w:fill="FFFFFF"/>
        </w:rPr>
        <w:t>本项目采购预算未达到广西壮族自治区政府采购的限额标准，同时本项目的采购内容也未列入广西壮族自治区政府集中采购目录，因此，本项目不属于政府采购项目。</w:t>
      </w:r>
    </w:p>
    <w:p w14:paraId="6EC5ACF0">
      <w:pPr>
        <w:pStyle w:val="15"/>
        <w:numPr>
          <w:ilvl w:val="0"/>
          <w:numId w:val="1"/>
        </w:numPr>
        <w:spacing w:beforeAutospacing="0" w:afterAutospacing="0" w:line="520" w:lineRule="exact"/>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采购单位：广西艺术学院 </w:t>
      </w:r>
    </w:p>
    <w:p w14:paraId="26266BF3">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二、控制价：</w:t>
      </w:r>
      <w:r>
        <w:rPr>
          <w:rFonts w:hint="eastAsia" w:ascii="宋体" w:hAnsi="宋体" w:cs="宋体"/>
          <w:color w:val="auto"/>
          <w:szCs w:val="24"/>
          <w:shd w:val="clear" w:color="auto" w:fill="FFFFFF"/>
          <w:lang w:val="en-US" w:eastAsia="zh-CN"/>
        </w:rPr>
        <w:t>72000</w:t>
      </w:r>
      <w:r>
        <w:rPr>
          <w:rFonts w:hint="eastAsia" w:ascii="宋体" w:hAnsi="宋体" w:cs="宋体"/>
          <w:color w:val="auto"/>
          <w:szCs w:val="24"/>
          <w:shd w:val="clear" w:color="auto" w:fill="FFFFFF"/>
        </w:rPr>
        <w:t>元，总价超过控制价的</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文件视为无效文件。</w:t>
      </w:r>
    </w:p>
    <w:p w14:paraId="02E6E254">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三、服务采购需求</w:t>
      </w:r>
    </w:p>
    <w:p w14:paraId="5D25857C">
      <w:pPr>
        <w:pStyle w:val="15"/>
        <w:spacing w:beforeAutospacing="0" w:afterAutospacing="0" w:line="520" w:lineRule="exact"/>
        <w:ind w:firstLine="480" w:firstLineChars="200"/>
        <w:jc w:val="both"/>
        <w:rPr>
          <w:rFonts w:hint="default" w:ascii="宋体" w:hAnsi="宋体" w:eastAsia="宋体" w:cs="宋体"/>
          <w:color w:val="auto"/>
          <w:szCs w:val="24"/>
          <w:lang w:val="en-US" w:eastAsia="zh-CN"/>
        </w:rPr>
      </w:pPr>
      <w:r>
        <w:rPr>
          <w:rFonts w:hint="eastAsia" w:ascii="宋体" w:hAnsi="宋体" w:cs="宋体"/>
          <w:color w:val="auto"/>
          <w:szCs w:val="24"/>
          <w:shd w:val="clear" w:color="auto" w:fill="FFFFFF"/>
        </w:rPr>
        <w:t>见附件1。</w:t>
      </w:r>
      <w:r>
        <w:rPr>
          <w:rFonts w:hint="eastAsia" w:ascii="宋体" w:hAnsi="宋体" w:cs="宋体"/>
          <w:color w:val="auto"/>
          <w:szCs w:val="24"/>
          <w:shd w:val="clear" w:color="auto" w:fill="FFFFFF"/>
          <w:lang w:val="en-US" w:eastAsia="zh-CN"/>
        </w:rPr>
        <w:t>本项目不允许负偏离。</w:t>
      </w:r>
    </w:p>
    <w:p w14:paraId="7A8F8547">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四、</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供应商资格要求</w:t>
      </w:r>
    </w:p>
    <w:p w14:paraId="1BAF01B0">
      <w:pPr>
        <w:pStyle w:val="15"/>
        <w:spacing w:beforeAutospacing="0" w:afterAutospacing="0" w:line="520" w:lineRule="exact"/>
        <w:ind w:firstLine="480" w:firstLineChars="200"/>
        <w:jc w:val="both"/>
        <w:rPr>
          <w:rFonts w:ascii="仿宋" w:hAnsi="仿宋" w:eastAsia="仿宋" w:cs="仿宋"/>
          <w:color w:val="auto"/>
          <w:sz w:val="30"/>
          <w:szCs w:val="30"/>
          <w:shd w:val="clear" w:color="auto" w:fill="FFFFFF"/>
        </w:rPr>
      </w:pPr>
      <w:r>
        <w:rPr>
          <w:rFonts w:hint="eastAsia" w:ascii="宋体" w:hAnsi="宋体" w:cs="宋体"/>
          <w:color w:val="auto"/>
          <w:szCs w:val="24"/>
          <w:shd w:val="clear" w:color="auto" w:fill="FFFFFF"/>
        </w:rPr>
        <w:t>（一）必须是在中华人民共和国境内注册，具有独立法人，并持有行政</w:t>
      </w:r>
      <w:r>
        <w:rPr>
          <w:rFonts w:hint="eastAsia" w:ascii="宋体" w:hAnsi="宋体" w:cs="宋体"/>
          <w:color w:val="auto"/>
          <w:szCs w:val="24"/>
          <w:shd w:val="clear" w:color="auto" w:fill="FFFFFF"/>
          <w:lang w:val="en-US" w:eastAsia="zh-CN"/>
        </w:rPr>
        <w:t>主管</w:t>
      </w:r>
      <w:r>
        <w:rPr>
          <w:rFonts w:hint="eastAsia" w:ascii="宋体" w:hAnsi="宋体" w:cs="宋体"/>
          <w:color w:val="auto"/>
          <w:szCs w:val="24"/>
          <w:shd w:val="clear" w:color="auto" w:fill="FFFFFF"/>
        </w:rPr>
        <w:t>部门核发的法人营业执照。</w:t>
      </w:r>
    </w:p>
    <w:p w14:paraId="402F55FC">
      <w:pPr>
        <w:pStyle w:val="15"/>
        <w:spacing w:beforeAutospacing="0" w:afterAutospacing="0" w:line="520" w:lineRule="exact"/>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二）未被列入失信被执行人名单、重大税收违法案件当事人名单、政府采购严重违法失信行为记录名单，信用信息以最新的信用中国网站和中国政府采购网公布为准，请提供最新的信用中国网站和中国政府采购网的截图证明信息。</w:t>
      </w:r>
    </w:p>
    <w:p w14:paraId="190E63C1">
      <w:pPr>
        <w:pStyle w:val="15"/>
        <w:kinsoku/>
        <w:autoSpaceDE/>
        <w:autoSpaceDN/>
        <w:adjustRightInd/>
        <w:snapToGrid/>
        <w:spacing w:beforeAutospacing="0" w:afterAutospacing="0" w:line="360" w:lineRule="auto"/>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“信用中国”网站查询方法：</w:t>
      </w:r>
      <w:r>
        <w:rPr>
          <w:rFonts w:hint="eastAsia" w:ascii="宋体" w:hAnsi="宋体" w:cs="宋体"/>
          <w:color w:val="auto"/>
          <w:szCs w:val="24"/>
          <w:shd w:val="clear" w:color="auto" w:fill="FFFFFF"/>
          <w:lang w:val="en-US" w:eastAsia="zh-CN"/>
        </w:rPr>
        <w:t>报价供应商</w:t>
      </w:r>
      <w:r>
        <w:rPr>
          <w:rFonts w:hint="eastAsia" w:ascii="宋体" w:hAnsi="宋体" w:cs="宋体"/>
          <w:color w:val="auto"/>
          <w:szCs w:val="24"/>
          <w:shd w:val="clear" w:color="auto" w:fill="FFFFFF"/>
        </w:rPr>
        <w:t>在本项目</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截止时间前10日内,进入</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基本信息页面，点击“下载信用报告”后点击“下载”。“中国政府采购网”的查询方法：点击“政府采购严重违法失信行为记录名单”进行查询。采购人将对供应商信用记录进行甄别，对列入失信被执行人、重大税收违法案件当事人名单、政府采购严重违法失信行为记录名单及其他不符合《中华人民共和国政府采购法》第二十二条规定条件的供应商，将拒绝其参与采购活动。</w:t>
      </w:r>
    </w:p>
    <w:p w14:paraId="6FCE428D">
      <w:pPr>
        <w:pStyle w:val="15"/>
        <w:numPr>
          <w:ilvl w:val="0"/>
          <w:numId w:val="2"/>
        </w:numPr>
        <w:spacing w:beforeAutospacing="0" w:afterAutospacing="0" w:line="520" w:lineRule="exact"/>
        <w:ind w:firstLine="480" w:firstLineChars="200"/>
        <w:jc w:val="both"/>
        <w:rPr>
          <w:rFonts w:ascii="宋体" w:hAnsi="宋体" w:cs="宋体"/>
          <w:color w:val="auto"/>
          <w:szCs w:val="24"/>
          <w:shd w:val="clear" w:color="auto" w:fill="FFFFFF"/>
        </w:rPr>
        <w:sectPr>
          <w:headerReference r:id="rId3" w:type="default"/>
          <w:footerReference r:id="rId4" w:type="default"/>
          <w:pgSz w:w="11906" w:h="16838"/>
          <w:pgMar w:top="1418" w:right="1418" w:bottom="1418" w:left="1418" w:header="851" w:footer="850" w:gutter="0"/>
          <w:pgNumType w:fmt="upperRoman" w:start="1"/>
          <w:cols w:space="425" w:num="1"/>
          <w:docGrid w:type="linesAndChars" w:linePitch="326" w:charSpace="0"/>
        </w:sectPr>
      </w:pPr>
    </w:p>
    <w:p w14:paraId="7A937E17">
      <w:pPr>
        <w:pStyle w:val="15"/>
        <w:numPr>
          <w:ilvl w:val="0"/>
          <w:numId w:val="2"/>
        </w:numPr>
        <w:spacing w:beforeAutospacing="0" w:afterAutospacing="0" w:line="520" w:lineRule="exact"/>
        <w:ind w:firstLine="480" w:firstLineChars="200"/>
        <w:jc w:val="both"/>
        <w:rPr>
          <w:rFonts w:ascii="宋体" w:hAnsi="宋体" w:cs="宋体"/>
          <w:color w:val="auto"/>
          <w:szCs w:val="24"/>
          <w:shd w:val="clear" w:color="auto" w:fill="FFFFFF"/>
        </w:rPr>
      </w:pPr>
      <w:r>
        <w:rPr>
          <w:rFonts w:hint="eastAsia" w:ascii="宋体" w:hAnsi="宋体" w:cs="宋体"/>
          <w:color w:val="auto"/>
          <w:szCs w:val="24"/>
          <w:shd w:val="clear" w:color="auto" w:fill="FFFFFF"/>
        </w:rPr>
        <w:t>单位负责人为同一人或者存在直接控股、管理关系的不同供应商，不得参加同一合同项下的采购活动。本项目不接受联合体。提供附件：</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直接控股、管理关系信息表。</w:t>
      </w:r>
      <w:r>
        <w:rPr>
          <w:rFonts w:hint="eastAsia" w:ascii="宋体" w:hAnsi="宋体" w:cs="宋体"/>
          <w:color w:val="auto"/>
          <w:szCs w:val="24"/>
          <w:shd w:val="clear" w:color="auto" w:fill="FFFFFF"/>
          <w:lang w:eastAsia="zh-CN"/>
        </w:rPr>
        <w:t>（</w:t>
      </w:r>
      <w:r>
        <w:rPr>
          <w:rFonts w:hint="eastAsia" w:ascii="宋体" w:hAnsi="宋体" w:cs="宋体"/>
          <w:color w:val="auto"/>
          <w:szCs w:val="24"/>
          <w:shd w:val="clear" w:color="auto" w:fill="FFFFFF"/>
          <w:lang w:val="en-US" w:eastAsia="zh-CN"/>
        </w:rPr>
        <w:t>提供附件2</w:t>
      </w:r>
      <w:bookmarkStart w:id="1" w:name="_GoBack"/>
      <w:bookmarkEnd w:id="1"/>
      <w:r>
        <w:rPr>
          <w:rFonts w:hint="eastAsia" w:ascii="宋体" w:hAnsi="宋体" w:cs="宋体"/>
          <w:color w:val="auto"/>
          <w:szCs w:val="24"/>
          <w:shd w:val="clear" w:color="auto" w:fill="FFFFFF"/>
          <w:lang w:eastAsia="zh-CN"/>
        </w:rPr>
        <w:t>）</w:t>
      </w:r>
    </w:p>
    <w:p w14:paraId="4F93B13D">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五、提供资料</w:t>
      </w:r>
    </w:p>
    <w:p w14:paraId="6B7BE252">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报名时请携带以下有效证件的原件及加盖公章的复印件（复印件留存,原件备查），所有材料一正一副。</w:t>
      </w:r>
    </w:p>
    <w:p w14:paraId="0BFAD6A5">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1、根据第四大点资格要求里列明的相关证明材料。</w:t>
      </w:r>
    </w:p>
    <w:p w14:paraId="5B4579A8">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2、营业执照（三证合一）。</w:t>
      </w:r>
    </w:p>
    <w:p w14:paraId="10107CEA">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3、法人代表授权书、法人代表身份证复印件，被授权人身份证。</w:t>
      </w:r>
    </w:p>
    <w:p w14:paraId="41A92E58">
      <w:pPr>
        <w:pStyle w:val="15"/>
        <w:spacing w:beforeAutospacing="0" w:afterAutospacing="0" w:line="520" w:lineRule="exact"/>
        <w:ind w:firstLine="480" w:firstLineChars="200"/>
        <w:jc w:val="both"/>
        <w:rPr>
          <w:rFonts w:hint="eastAsia" w:ascii="宋体" w:hAnsi="宋体" w:cs="宋体"/>
          <w:color w:val="auto"/>
          <w:szCs w:val="24"/>
          <w:shd w:val="clear" w:color="auto" w:fill="FFFFFF"/>
        </w:rPr>
      </w:pPr>
      <w:r>
        <w:rPr>
          <w:rFonts w:hint="eastAsia" w:ascii="宋体" w:hAnsi="宋体" w:cs="宋体"/>
          <w:color w:val="auto"/>
          <w:szCs w:val="24"/>
          <w:shd w:val="clear" w:color="auto" w:fill="FFFFFF"/>
          <w:lang w:val="en-US" w:eastAsia="zh-CN"/>
        </w:rPr>
        <w:t>4</w:t>
      </w:r>
      <w:r>
        <w:rPr>
          <w:rFonts w:hint="eastAsia" w:ascii="宋体" w:hAnsi="宋体" w:cs="宋体"/>
          <w:color w:val="auto"/>
          <w:szCs w:val="24"/>
          <w:shd w:val="clear" w:color="auto" w:fill="FFFFFF"/>
        </w:rPr>
        <w:t>、报价单（密封，并加盖公章）及技术、商务需求表（格式自拟，</w:t>
      </w:r>
      <w:r>
        <w:rPr>
          <w:rFonts w:hint="eastAsia" w:ascii="宋体" w:hAnsi="宋体" w:cs="宋体"/>
          <w:b/>
          <w:bCs/>
          <w:color w:val="auto"/>
          <w:szCs w:val="24"/>
          <w:shd w:val="clear" w:color="auto" w:fill="FFFFFF"/>
        </w:rPr>
        <w:t>需逐项与需求条款比对，并写明偏离情况</w:t>
      </w:r>
      <w:r>
        <w:rPr>
          <w:rFonts w:hint="eastAsia" w:ascii="宋体" w:hAnsi="宋体" w:cs="宋体"/>
          <w:b/>
          <w:bCs/>
          <w:color w:val="auto"/>
          <w:szCs w:val="24"/>
          <w:shd w:val="clear" w:color="auto" w:fill="FFFFFF"/>
          <w:lang w:eastAsia="zh-CN"/>
        </w:rPr>
        <w:t>，</w:t>
      </w:r>
      <w:r>
        <w:rPr>
          <w:rFonts w:hint="eastAsia" w:ascii="宋体" w:hAnsi="宋体" w:cs="宋体"/>
          <w:b/>
          <w:bCs/>
          <w:color w:val="auto"/>
          <w:szCs w:val="24"/>
          <w:shd w:val="clear" w:color="auto" w:fill="FFFFFF"/>
          <w:lang w:val="en-US" w:eastAsia="zh-CN"/>
        </w:rPr>
        <w:t>如不按规定提供，采购人有权视为无效投标</w:t>
      </w:r>
      <w:r>
        <w:rPr>
          <w:rFonts w:hint="eastAsia" w:ascii="宋体" w:hAnsi="宋体" w:cs="宋体"/>
          <w:color w:val="auto"/>
          <w:szCs w:val="24"/>
          <w:shd w:val="clear" w:color="auto" w:fill="FFFFFF"/>
        </w:rPr>
        <w:t>）。</w:t>
      </w:r>
    </w:p>
    <w:p w14:paraId="1DFB9A77">
      <w:pPr>
        <w:pStyle w:val="15"/>
        <w:spacing w:beforeAutospacing="0" w:afterAutospacing="0" w:line="520" w:lineRule="exact"/>
        <w:ind w:firstLine="480" w:firstLineChars="200"/>
        <w:jc w:val="both"/>
        <w:rPr>
          <w:rFonts w:ascii="宋体" w:hAnsi="宋体" w:cs="宋体"/>
          <w:color w:val="auto"/>
          <w:szCs w:val="24"/>
        </w:rPr>
      </w:pPr>
      <w:r>
        <w:rPr>
          <w:rStyle w:val="21"/>
          <w:rFonts w:hint="eastAsia" w:ascii="宋体" w:hAnsi="宋体" w:cs="宋体"/>
          <w:b w:val="0"/>
          <w:color w:val="auto"/>
          <w:szCs w:val="24"/>
          <w:shd w:val="clear" w:color="auto" w:fill="FFFFFF"/>
        </w:rPr>
        <w:t>注：所有</w:t>
      </w:r>
      <w:r>
        <w:rPr>
          <w:rStyle w:val="21"/>
          <w:rFonts w:hint="eastAsia" w:ascii="宋体" w:hAnsi="宋体" w:cs="宋体"/>
          <w:b w:val="0"/>
          <w:color w:val="auto"/>
          <w:szCs w:val="24"/>
          <w:shd w:val="clear" w:color="auto" w:fill="FFFFFF"/>
          <w:lang w:val="en-US" w:eastAsia="zh-CN"/>
        </w:rPr>
        <w:t>响应</w:t>
      </w:r>
      <w:r>
        <w:rPr>
          <w:rStyle w:val="21"/>
          <w:rFonts w:hint="eastAsia" w:ascii="宋体" w:hAnsi="宋体" w:cs="宋体"/>
          <w:b w:val="0"/>
          <w:color w:val="auto"/>
          <w:szCs w:val="24"/>
          <w:shd w:val="clear" w:color="auto" w:fill="FFFFFF"/>
        </w:rPr>
        <w:t>材料均需要密封并加盖公章。</w:t>
      </w:r>
    </w:p>
    <w:p w14:paraId="6755BAAB">
      <w:pPr>
        <w:pStyle w:val="15"/>
        <w:spacing w:beforeAutospacing="0" w:afterAutospacing="0" w:line="520" w:lineRule="exact"/>
        <w:jc w:val="both"/>
        <w:rPr>
          <w:rFonts w:hint="eastAsia" w:ascii="宋体" w:hAnsi="宋体" w:eastAsia="宋体" w:cs="宋体"/>
          <w:color w:val="auto"/>
          <w:szCs w:val="24"/>
          <w:lang w:val="en-US" w:eastAsia="zh-CN"/>
        </w:rPr>
      </w:pPr>
      <w:r>
        <w:rPr>
          <w:rFonts w:hint="eastAsia" w:ascii="宋体" w:hAnsi="宋体" w:cs="宋体"/>
          <w:color w:val="auto"/>
          <w:szCs w:val="24"/>
          <w:shd w:val="clear" w:color="auto" w:fill="FFFFFF"/>
        </w:rPr>
        <w:t>六、</w:t>
      </w:r>
      <w:r>
        <w:rPr>
          <w:rFonts w:hint="eastAsia" w:ascii="宋体" w:hAnsi="宋体" w:cs="宋体"/>
          <w:color w:val="auto"/>
          <w:szCs w:val="24"/>
          <w:shd w:val="clear" w:color="auto" w:fill="FFFFFF"/>
          <w:lang w:val="en-US" w:eastAsia="zh-CN"/>
        </w:rPr>
        <w:t>成交方式</w:t>
      </w:r>
    </w:p>
    <w:p w14:paraId="12B94A2F">
      <w:pPr>
        <w:pStyle w:val="15"/>
        <w:spacing w:beforeAutospacing="0" w:afterAutospacing="0" w:line="520" w:lineRule="exact"/>
        <w:ind w:firstLine="480" w:firstLineChars="200"/>
        <w:jc w:val="both"/>
        <w:rPr>
          <w:rStyle w:val="21"/>
          <w:rFonts w:ascii="宋体" w:hAnsi="宋体" w:cs="宋体"/>
          <w:b w:val="0"/>
          <w:color w:val="auto"/>
          <w:szCs w:val="24"/>
          <w:highlight w:val="none"/>
          <w:shd w:val="clear" w:color="auto" w:fill="FFFFFF"/>
        </w:rPr>
      </w:pPr>
      <w:r>
        <w:rPr>
          <w:rStyle w:val="21"/>
          <w:rFonts w:hint="eastAsia" w:ascii="宋体" w:hAnsi="宋体" w:cs="宋体"/>
          <w:b w:val="0"/>
          <w:color w:val="auto"/>
          <w:szCs w:val="24"/>
          <w:highlight w:val="none"/>
          <w:shd w:val="clear" w:color="auto" w:fill="FFFFFF"/>
        </w:rPr>
        <w:t>根据</w:t>
      </w:r>
      <w:r>
        <w:rPr>
          <w:rStyle w:val="21"/>
          <w:rFonts w:hint="eastAsia" w:ascii="宋体" w:hAnsi="宋体" w:cs="宋体"/>
          <w:b w:val="0"/>
          <w:color w:val="auto"/>
          <w:szCs w:val="24"/>
          <w:highlight w:val="none"/>
          <w:shd w:val="clear" w:color="auto" w:fill="FFFFFF"/>
          <w:lang w:val="en-US" w:eastAsia="zh-CN"/>
        </w:rPr>
        <w:t>供应商</w:t>
      </w:r>
      <w:r>
        <w:rPr>
          <w:rStyle w:val="21"/>
          <w:rFonts w:hint="eastAsia" w:ascii="宋体" w:hAnsi="宋体" w:cs="宋体"/>
          <w:b w:val="0"/>
          <w:color w:val="auto"/>
          <w:szCs w:val="24"/>
          <w:highlight w:val="none"/>
          <w:shd w:val="clear" w:color="auto" w:fill="FFFFFF"/>
        </w:rPr>
        <w:t>的</w:t>
      </w:r>
      <w:r>
        <w:rPr>
          <w:rStyle w:val="21"/>
          <w:rFonts w:hint="eastAsia" w:ascii="宋体" w:hAnsi="宋体" w:cs="宋体"/>
          <w:b w:val="0"/>
          <w:color w:val="auto"/>
          <w:szCs w:val="24"/>
          <w:highlight w:val="none"/>
          <w:shd w:val="clear" w:color="auto" w:fill="FFFFFF"/>
          <w:lang w:val="en-US" w:eastAsia="zh-CN"/>
        </w:rPr>
        <w:t>响应</w:t>
      </w:r>
      <w:r>
        <w:rPr>
          <w:rStyle w:val="21"/>
          <w:rFonts w:hint="eastAsia" w:ascii="宋体" w:hAnsi="宋体" w:cs="宋体"/>
          <w:b w:val="0"/>
          <w:color w:val="auto"/>
          <w:szCs w:val="24"/>
          <w:highlight w:val="none"/>
          <w:shd w:val="clear" w:color="auto" w:fill="FFFFFF"/>
        </w:rPr>
        <w:t>材料，在满足采购需求的基础上，采取</w:t>
      </w:r>
      <w:r>
        <w:rPr>
          <w:rStyle w:val="21"/>
          <w:rFonts w:hint="eastAsia" w:ascii="宋体" w:hAnsi="宋体" w:cs="宋体"/>
          <w:b w:val="0"/>
          <w:color w:val="auto"/>
          <w:szCs w:val="24"/>
          <w:highlight w:val="none"/>
          <w:shd w:val="clear" w:color="auto" w:fill="FFFFFF"/>
          <w:lang w:val="en-US" w:eastAsia="zh-CN"/>
        </w:rPr>
        <w:t>最低价成交方式</w:t>
      </w:r>
      <w:r>
        <w:rPr>
          <w:rStyle w:val="21"/>
          <w:rFonts w:hint="eastAsia" w:ascii="宋体" w:hAnsi="宋体" w:cs="宋体"/>
          <w:b w:val="0"/>
          <w:color w:val="auto"/>
          <w:szCs w:val="24"/>
          <w:highlight w:val="none"/>
          <w:shd w:val="clear" w:color="auto" w:fill="FFFFFF"/>
        </w:rPr>
        <w:t>选定该项目</w:t>
      </w:r>
      <w:r>
        <w:rPr>
          <w:rStyle w:val="21"/>
          <w:rFonts w:hint="eastAsia" w:ascii="宋体" w:hAnsi="宋体" w:cs="宋体"/>
          <w:b w:val="0"/>
          <w:color w:val="auto"/>
          <w:szCs w:val="24"/>
          <w:highlight w:val="none"/>
          <w:shd w:val="clear" w:color="auto" w:fill="FFFFFF"/>
          <w:lang w:val="en-US" w:eastAsia="zh-CN"/>
        </w:rPr>
        <w:t>成交</w:t>
      </w:r>
      <w:r>
        <w:rPr>
          <w:rStyle w:val="21"/>
          <w:rFonts w:hint="eastAsia" w:ascii="宋体" w:hAnsi="宋体" w:cs="宋体"/>
          <w:b w:val="0"/>
          <w:color w:val="auto"/>
          <w:szCs w:val="24"/>
          <w:highlight w:val="none"/>
          <w:shd w:val="clear" w:color="auto" w:fill="FFFFFF"/>
        </w:rPr>
        <w:t>单位，若</w:t>
      </w:r>
      <w:r>
        <w:rPr>
          <w:rStyle w:val="21"/>
          <w:rFonts w:hint="eastAsia" w:ascii="宋体" w:hAnsi="宋体" w:cs="宋体"/>
          <w:b w:val="0"/>
          <w:color w:val="auto"/>
          <w:szCs w:val="24"/>
          <w:highlight w:val="none"/>
          <w:shd w:val="clear" w:color="auto" w:fill="FFFFFF"/>
          <w:lang w:val="en-US" w:eastAsia="zh-CN"/>
        </w:rPr>
        <w:t>报价</w:t>
      </w:r>
      <w:r>
        <w:rPr>
          <w:rStyle w:val="21"/>
          <w:rFonts w:hint="eastAsia" w:ascii="宋体" w:hAnsi="宋体" w:cs="宋体"/>
          <w:b w:val="0"/>
          <w:color w:val="auto"/>
          <w:szCs w:val="24"/>
          <w:highlight w:val="none"/>
          <w:shd w:val="clear" w:color="auto" w:fill="FFFFFF"/>
        </w:rPr>
        <w:t>相同，则采取抽签方式确定</w:t>
      </w:r>
      <w:r>
        <w:rPr>
          <w:rStyle w:val="21"/>
          <w:rFonts w:hint="eastAsia" w:ascii="宋体" w:hAnsi="宋体" w:cs="宋体"/>
          <w:b w:val="0"/>
          <w:color w:val="auto"/>
          <w:szCs w:val="24"/>
          <w:highlight w:val="none"/>
          <w:shd w:val="clear" w:color="auto" w:fill="FFFFFF"/>
          <w:lang w:val="en-US" w:eastAsia="zh-CN"/>
        </w:rPr>
        <w:t>成交</w:t>
      </w:r>
      <w:r>
        <w:rPr>
          <w:rStyle w:val="21"/>
          <w:rFonts w:hint="eastAsia" w:ascii="宋体" w:hAnsi="宋体" w:cs="宋体"/>
          <w:b w:val="0"/>
          <w:color w:val="auto"/>
          <w:szCs w:val="24"/>
          <w:highlight w:val="none"/>
          <w:shd w:val="clear" w:color="auto" w:fill="FFFFFF"/>
        </w:rPr>
        <w:t>单位。</w:t>
      </w:r>
    </w:p>
    <w:p w14:paraId="57CFB0D2">
      <w:pPr>
        <w:pStyle w:val="15"/>
        <w:spacing w:beforeAutospacing="0" w:afterAutospacing="0" w:line="520" w:lineRule="exact"/>
        <w:jc w:val="both"/>
        <w:rPr>
          <w:rFonts w:ascii="宋体" w:hAnsi="宋体" w:cs="宋体"/>
          <w:color w:val="auto"/>
          <w:szCs w:val="24"/>
        </w:rPr>
      </w:pPr>
      <w:r>
        <w:rPr>
          <w:rFonts w:hint="eastAsia" w:ascii="宋体" w:hAnsi="宋体" w:cs="宋体"/>
          <w:color w:val="auto"/>
          <w:szCs w:val="24"/>
          <w:shd w:val="clear" w:color="auto" w:fill="FFFFFF"/>
        </w:rPr>
        <w:t>七、</w:t>
      </w:r>
      <w:r>
        <w:rPr>
          <w:rFonts w:hint="eastAsia" w:ascii="宋体" w:hAnsi="宋体" w:cs="宋体"/>
          <w:color w:val="auto"/>
          <w:szCs w:val="24"/>
          <w:shd w:val="clear" w:color="auto" w:fill="FFFFFF"/>
          <w:lang w:val="en-US" w:eastAsia="zh-CN"/>
        </w:rPr>
        <w:t>投递</w:t>
      </w:r>
      <w:r>
        <w:rPr>
          <w:rFonts w:hint="eastAsia" w:ascii="宋体" w:hAnsi="宋体" w:cs="宋体"/>
          <w:color w:val="auto"/>
          <w:szCs w:val="24"/>
          <w:shd w:val="clear" w:color="auto" w:fill="FFFFFF"/>
        </w:rPr>
        <w:t>时间与地点</w:t>
      </w:r>
    </w:p>
    <w:p w14:paraId="18B6739C">
      <w:pPr>
        <w:pStyle w:val="15"/>
        <w:spacing w:beforeAutospacing="0" w:afterAutospacing="0" w:line="520" w:lineRule="exact"/>
        <w:ind w:firstLine="480" w:firstLineChars="200"/>
        <w:jc w:val="both"/>
        <w:rPr>
          <w:rFonts w:ascii="宋体" w:hAnsi="宋体" w:cs="宋体"/>
          <w:color w:val="auto"/>
          <w:szCs w:val="24"/>
        </w:rPr>
      </w:pPr>
      <w:r>
        <w:rPr>
          <w:rFonts w:hint="eastAsia" w:ascii="宋体" w:hAnsi="宋体" w:cs="宋体"/>
          <w:color w:val="auto"/>
          <w:szCs w:val="24"/>
          <w:shd w:val="clear" w:color="auto" w:fill="FFFFFF"/>
        </w:rPr>
        <w:t>1、时间：</w:t>
      </w:r>
      <w:r>
        <w:rPr>
          <w:rStyle w:val="21"/>
          <w:rFonts w:hint="eastAsia" w:ascii="宋体" w:hAnsi="宋体" w:cs="宋体"/>
          <w:b w:val="0"/>
          <w:color w:val="auto"/>
          <w:szCs w:val="24"/>
          <w:shd w:val="clear" w:color="auto" w:fill="FFFFFF"/>
        </w:rPr>
        <w:t>202</w:t>
      </w:r>
      <w:r>
        <w:rPr>
          <w:rStyle w:val="21"/>
          <w:rFonts w:hint="eastAsia" w:ascii="宋体" w:hAnsi="宋体" w:cs="宋体"/>
          <w:b w:val="0"/>
          <w:color w:val="auto"/>
          <w:szCs w:val="24"/>
          <w:shd w:val="clear" w:color="auto" w:fill="FFFFFF"/>
          <w:lang w:val="en-US" w:eastAsia="zh-CN"/>
        </w:rPr>
        <w:t>6</w:t>
      </w:r>
      <w:r>
        <w:rPr>
          <w:rStyle w:val="21"/>
          <w:rFonts w:hint="eastAsia" w:ascii="宋体" w:hAnsi="宋体" w:cs="宋体"/>
          <w:b w:val="0"/>
          <w:color w:val="auto"/>
          <w:szCs w:val="24"/>
          <w:shd w:val="clear" w:color="auto" w:fill="FFFFFF"/>
        </w:rPr>
        <w:t>年</w:t>
      </w:r>
      <w:r>
        <w:rPr>
          <w:rStyle w:val="21"/>
          <w:rFonts w:hint="eastAsia" w:ascii="宋体" w:hAnsi="宋体" w:cs="宋体"/>
          <w:b w:val="0"/>
          <w:color w:val="auto"/>
          <w:szCs w:val="24"/>
          <w:shd w:val="clear" w:color="auto" w:fill="FFFFFF"/>
          <w:lang w:val="en-US" w:eastAsia="zh-CN"/>
        </w:rPr>
        <w:t>11</w:t>
      </w:r>
      <w:r>
        <w:rPr>
          <w:rStyle w:val="21"/>
          <w:rFonts w:hint="eastAsia" w:ascii="宋体" w:hAnsi="宋体" w:cs="宋体"/>
          <w:b w:val="0"/>
          <w:color w:val="auto"/>
          <w:szCs w:val="24"/>
          <w:shd w:val="clear" w:color="auto" w:fill="FFFFFF"/>
        </w:rPr>
        <w:t>月</w:t>
      </w:r>
      <w:r>
        <w:rPr>
          <w:rStyle w:val="21"/>
          <w:rFonts w:hint="eastAsia" w:ascii="宋体" w:hAnsi="宋体" w:cs="宋体"/>
          <w:b w:val="0"/>
          <w:color w:val="auto"/>
          <w:szCs w:val="24"/>
          <w:shd w:val="clear" w:color="auto" w:fill="FFFFFF"/>
          <w:lang w:val="en-US" w:eastAsia="zh-CN"/>
        </w:rPr>
        <w:t>11</w:t>
      </w:r>
      <w:r>
        <w:rPr>
          <w:rStyle w:val="21"/>
          <w:rFonts w:hint="eastAsia" w:ascii="宋体" w:hAnsi="宋体" w:cs="宋体"/>
          <w:b w:val="0"/>
          <w:color w:val="auto"/>
          <w:szCs w:val="24"/>
          <w:shd w:val="clear" w:color="auto" w:fill="FFFFFF"/>
        </w:rPr>
        <w:t>日上午9:00至11:00之间</w:t>
      </w:r>
      <w:r>
        <w:rPr>
          <w:rFonts w:hint="eastAsia" w:ascii="宋体" w:hAnsi="宋体" w:cs="宋体"/>
          <w:color w:val="auto"/>
          <w:szCs w:val="24"/>
          <w:shd w:val="clear" w:color="auto" w:fill="FFFFFF"/>
        </w:rPr>
        <w:t>，其他时间不接收</w:t>
      </w:r>
      <w:r>
        <w:rPr>
          <w:rFonts w:hint="eastAsia" w:ascii="宋体" w:hAnsi="宋体" w:cs="宋体"/>
          <w:color w:val="auto"/>
          <w:szCs w:val="24"/>
          <w:shd w:val="clear" w:color="auto" w:fill="FFFFFF"/>
          <w:lang w:val="en-US" w:eastAsia="zh-CN"/>
        </w:rPr>
        <w:t>响应</w:t>
      </w:r>
      <w:r>
        <w:rPr>
          <w:rFonts w:hint="eastAsia" w:ascii="宋体" w:hAnsi="宋体" w:cs="宋体"/>
          <w:color w:val="auto"/>
          <w:szCs w:val="24"/>
          <w:shd w:val="clear" w:color="auto" w:fill="FFFFFF"/>
        </w:rPr>
        <w:t>材料，在规定时间内未</w:t>
      </w:r>
      <w:r>
        <w:rPr>
          <w:rFonts w:hint="eastAsia" w:ascii="宋体" w:hAnsi="宋体" w:cs="宋体"/>
          <w:color w:val="auto"/>
          <w:szCs w:val="24"/>
          <w:shd w:val="clear" w:color="auto" w:fill="FFFFFF"/>
          <w:lang w:val="en-US" w:eastAsia="zh-CN"/>
        </w:rPr>
        <w:t>投递响应文件</w:t>
      </w:r>
      <w:r>
        <w:rPr>
          <w:rFonts w:hint="eastAsia" w:ascii="宋体" w:hAnsi="宋体" w:cs="宋体"/>
          <w:color w:val="auto"/>
          <w:szCs w:val="24"/>
          <w:shd w:val="clear" w:color="auto" w:fill="FFFFFF"/>
        </w:rPr>
        <w:t>者视为自动弃权。</w:t>
      </w:r>
    </w:p>
    <w:p w14:paraId="1FF969BC">
      <w:pPr>
        <w:pStyle w:val="15"/>
        <w:spacing w:beforeAutospacing="0" w:afterAutospacing="0" w:line="520" w:lineRule="exact"/>
        <w:ind w:firstLine="480" w:firstLineChars="200"/>
        <w:jc w:val="both"/>
        <w:rPr>
          <w:rFonts w:hint="eastAsia" w:ascii="宋体" w:hAnsi="宋体" w:cs="宋体"/>
          <w:color w:val="auto"/>
          <w:szCs w:val="24"/>
          <w:shd w:val="clear" w:color="auto" w:fill="FFFFFF"/>
        </w:rPr>
        <w:sectPr>
          <w:pgSz w:w="11906" w:h="16838"/>
          <w:pgMar w:top="1418" w:right="1418" w:bottom="1418" w:left="1418" w:header="851" w:footer="850" w:gutter="0"/>
          <w:pgNumType w:fmt="upperRoman" w:start="1"/>
          <w:cols w:space="425" w:num="1"/>
          <w:docGrid w:type="linesAndChars" w:linePitch="326" w:charSpace="0"/>
        </w:sectPr>
      </w:pPr>
      <w:r>
        <w:rPr>
          <w:rFonts w:hint="eastAsia" w:ascii="宋体" w:hAnsi="宋体" w:cs="宋体"/>
          <w:color w:val="auto"/>
          <w:szCs w:val="24"/>
          <w:shd w:val="clear" w:color="auto" w:fill="FFFFFF"/>
        </w:rPr>
        <w:t>2、地点：南宁市青秀区教育路7号广西艺术学院雕塑楼107室，联系人：李老师，朱老师，高老师，联系电话：0771-5327987. </w:t>
      </w:r>
    </w:p>
    <w:p w14:paraId="2B4EF0B9">
      <w:pPr>
        <w:pStyle w:val="15"/>
        <w:spacing w:beforeAutospacing="0" w:afterAutospacing="0" w:line="520" w:lineRule="exact"/>
        <w:jc w:val="both"/>
        <w:rPr>
          <w:rFonts w:hint="eastAsia" w:ascii="宋体" w:hAnsi="宋体" w:cs="宋体"/>
          <w:color w:val="auto"/>
          <w:szCs w:val="24"/>
          <w:shd w:val="clear" w:color="auto" w:fill="FFFFFF"/>
        </w:rPr>
      </w:pPr>
      <w:r>
        <w:rPr>
          <w:rFonts w:hint="eastAsia" w:ascii="宋体" w:hAnsi="宋体" w:cs="宋体"/>
          <w:color w:val="auto"/>
          <w:szCs w:val="24"/>
          <w:shd w:val="clear" w:color="auto" w:fill="FFFFFF"/>
        </w:rPr>
        <w:t>八、本次采购的相关信息（包括但不限于采购公告与附件及其修改、补充、澄清等，下同）在广西艺术学院主页的“机构设置-财务资产处-招标公告”栏（网址：</w:t>
      </w:r>
      <w:r>
        <w:fldChar w:fldCharType="begin"/>
      </w:r>
      <w:r>
        <w:instrText xml:space="preserve"> HYPERLINK "https://cwc.gxau.edu.cn/zbgg2%EF%BC%89%E4%B8%8A%E5%8F%91%E5%B8%83%EF%BC%8C%E6%9C%AC%E6%AC%A1%E9%87%87%E8%B4%AD%E7%9A%84%E7%9B%B8%E5%85%B3%E4%BF%A1%E6%81%AF%E4%B8%80%E7%BB%8F%E5%9C%A8%E4%B8%8A%E8%BF%B0%E7%BD%91%E7%AB%99%E5%8F%91%E5%B8%83%EF%BC%8C%E5%8D%B3%E8%A7%86%E4%B8%BA%E5%B7%B2%E5%8F%91%E9%80%81%E7%BB%99%E6%8A%95%E6%A0%87%E4%BA%BA%E3%80%82%E6%8A%95%E6%A0%87%E4%BA%BA%E6%8D%AE%E6%AD%A4%E5%8F%82%E4%B8%8E%E6%9C%AC%E6%AC%A1%E9%87%87%E8%B4%AD%E6%B4%BB%E5%8A%A8%EF%BC%8C%E5%8D%B3%E8%A7%86%E4%B8%BA%E5%AF%B9%E6%9C%AC%E6%AC%A1%E9%87%87%E8%B4%AD%E7%9A%84%E7%9B%B8%E5%85%B3%E4%BF%A1%E6%81%AF%E3%80%81%E5%86%85%E5%AE%B9%E5%8F%8A%E8%A7%84%E5%88%99%E6%B2%A1%E6%9C%89%E5%BC%82%E8%AE%AE%E3%80%82" </w:instrText>
      </w:r>
      <w:r>
        <w:fldChar w:fldCharType="separate"/>
      </w:r>
      <w:r>
        <w:rPr>
          <w:rFonts w:hint="eastAsia" w:ascii="宋体" w:hAnsi="宋体" w:cs="宋体"/>
          <w:color w:val="auto"/>
          <w:szCs w:val="24"/>
          <w:shd w:val="clear" w:color="auto" w:fill="FFFFFF"/>
        </w:rPr>
        <w:t>https://cwc.gxau.edu.cn/zbgg2）上发布，本次采购的相关信息一经在上述网站发布，即视为已发送给</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w:t>
      </w:r>
      <w:r>
        <w:rPr>
          <w:rFonts w:hint="eastAsia" w:ascii="宋体" w:hAnsi="宋体" w:cs="宋体"/>
          <w:color w:val="auto"/>
          <w:szCs w:val="24"/>
          <w:shd w:val="clear" w:color="auto" w:fill="FFFFFF"/>
          <w:lang w:val="en-US" w:eastAsia="zh-CN"/>
        </w:rPr>
        <w:t>供应商</w:t>
      </w:r>
      <w:r>
        <w:rPr>
          <w:rFonts w:hint="eastAsia" w:ascii="宋体" w:hAnsi="宋体" w:cs="宋体"/>
          <w:color w:val="auto"/>
          <w:szCs w:val="24"/>
          <w:shd w:val="clear" w:color="auto" w:fill="FFFFFF"/>
        </w:rPr>
        <w:t>据此参与本次采购活动，即视为对本次采购的相关信息、内容及规则没有异议。</w:t>
      </w:r>
      <w:r>
        <w:rPr>
          <w:rFonts w:hint="eastAsia" w:ascii="宋体" w:hAnsi="宋体" w:cs="宋体"/>
          <w:color w:val="auto"/>
          <w:szCs w:val="24"/>
          <w:shd w:val="clear" w:color="auto" w:fill="FFFFFF"/>
        </w:rPr>
        <w:fldChar w:fldCharType="end"/>
      </w:r>
    </w:p>
    <w:p w14:paraId="1236F67B">
      <w:pPr>
        <w:pStyle w:val="15"/>
        <w:spacing w:beforeAutospacing="0" w:afterAutospacing="0" w:line="520" w:lineRule="exact"/>
        <w:jc w:val="both"/>
        <w:rPr>
          <w:rFonts w:hint="eastAsia" w:ascii="宋体" w:hAnsi="宋体" w:cs="宋体"/>
          <w:color w:val="auto"/>
          <w:szCs w:val="24"/>
          <w:shd w:val="clear" w:color="auto" w:fill="FFFFFF"/>
        </w:rPr>
      </w:pPr>
    </w:p>
    <w:p w14:paraId="1F898E83">
      <w:pPr>
        <w:pStyle w:val="15"/>
        <w:spacing w:beforeAutospacing="0" w:afterAutospacing="0" w:line="520" w:lineRule="exact"/>
        <w:jc w:val="both"/>
        <w:rPr>
          <w:rFonts w:hint="eastAsia" w:ascii="宋体" w:hAnsi="宋体" w:cs="宋体"/>
          <w:color w:val="auto"/>
          <w:szCs w:val="24"/>
          <w:shd w:val="clear" w:color="auto" w:fill="FFFFFF"/>
        </w:rPr>
      </w:pPr>
    </w:p>
    <w:p w14:paraId="0F47C376">
      <w:pPr>
        <w:pStyle w:val="15"/>
        <w:spacing w:beforeAutospacing="0" w:afterAutospacing="0" w:line="520" w:lineRule="exact"/>
        <w:jc w:val="both"/>
        <w:rPr>
          <w:rFonts w:hint="eastAsia" w:ascii="宋体" w:hAnsi="宋体" w:cs="宋体"/>
          <w:color w:val="auto"/>
          <w:szCs w:val="24"/>
          <w:shd w:val="clear" w:color="auto" w:fill="FFFFFF"/>
        </w:rPr>
      </w:pPr>
    </w:p>
    <w:p w14:paraId="0562A466">
      <w:pPr>
        <w:spacing w:line="520" w:lineRule="exact"/>
        <w:jc w:val="both"/>
        <w:rPr>
          <w:rFonts w:hint="eastAsia"/>
          <w:b/>
          <w:bCs/>
          <w:lang w:val="en-US" w:eastAsia="zh-CN"/>
        </w:rPr>
        <w:sectPr>
          <w:pgSz w:w="11906" w:h="16838"/>
          <w:pgMar w:top="1418" w:right="1418" w:bottom="1418" w:left="1418" w:header="851" w:footer="850" w:gutter="0"/>
          <w:pgNumType w:fmt="upperRoman" w:start="1"/>
          <w:cols w:space="425" w:num="1"/>
          <w:docGrid w:type="linesAndChars" w:linePitch="326" w:charSpace="0"/>
        </w:sectPr>
      </w:pPr>
    </w:p>
    <w:p w14:paraId="4E2D46EE">
      <w:pPr>
        <w:spacing w:line="520" w:lineRule="exact"/>
        <w:jc w:val="both"/>
        <w:rPr>
          <w:rFonts w:hint="default" w:ascii="宋体" w:hAnsi="宋体" w:eastAsia="宋体" w:cs="宋体"/>
          <w:b/>
          <w:bCs/>
          <w:color w:val="auto"/>
          <w:szCs w:val="24"/>
          <w:lang w:val="en-US" w:eastAsia="zh-CN"/>
        </w:rPr>
      </w:pPr>
      <w:r>
        <w:rPr>
          <w:rFonts w:hint="eastAsia"/>
          <w:b/>
          <w:bCs/>
          <w:lang w:val="en-US" w:eastAsia="zh-CN"/>
        </w:rPr>
        <w:t>附件1 采购需求</w:t>
      </w:r>
      <w:r>
        <w:rPr>
          <w:rFonts w:hint="eastAsia" w:ascii="宋体" w:hAnsi="宋体" w:cs="宋体"/>
          <w:b/>
          <w:bCs/>
          <w:i w:val="0"/>
          <w:iCs w:val="0"/>
          <w:snapToGrid w:val="0"/>
          <w:color w:val="000000"/>
          <w:kern w:val="0"/>
          <w:sz w:val="24"/>
          <w:szCs w:val="24"/>
          <w:u w:val="none"/>
          <w:lang w:val="en-US" w:eastAsia="zh-CN" w:bidi="ar"/>
        </w:rPr>
        <w:t>（本项目不允许负偏离）</w:t>
      </w:r>
    </w:p>
    <w:tbl>
      <w:tblPr>
        <w:tblStyle w:val="18"/>
        <w:tblW w:w="138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0"/>
        <w:gridCol w:w="3082"/>
        <w:gridCol w:w="7855"/>
        <w:gridCol w:w="1094"/>
        <w:gridCol w:w="1094"/>
      </w:tblGrid>
      <w:tr w14:paraId="17C7B1D9">
        <w:tblPrEx>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550C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序号</w:t>
            </w:r>
          </w:p>
        </w:tc>
        <w:tc>
          <w:tcPr>
            <w:tcW w:w="3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E0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采购品目</w:t>
            </w:r>
          </w:p>
        </w:tc>
        <w:tc>
          <w:tcPr>
            <w:tcW w:w="7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0343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技术参数</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2CF7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采购数量</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83BD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计量单位</w:t>
            </w:r>
          </w:p>
        </w:tc>
      </w:tr>
      <w:tr w14:paraId="66A5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E92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snapToGrid w:val="0"/>
                <w:color w:val="000000"/>
                <w:kern w:val="0"/>
                <w:sz w:val="24"/>
                <w:szCs w:val="24"/>
                <w:u w:val="none"/>
                <w:lang w:val="en-US" w:eastAsia="zh-CN" w:bidi="ar"/>
              </w:rPr>
              <w:t>1</w:t>
            </w:r>
          </w:p>
        </w:tc>
        <w:tc>
          <w:tcPr>
            <w:tcW w:w="3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D9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无人机综合保险服务1</w:t>
            </w:r>
          </w:p>
        </w:tc>
        <w:tc>
          <w:tcPr>
            <w:tcW w:w="7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149F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本项为</w:t>
            </w:r>
            <w:r>
              <w:rPr>
                <w:rFonts w:hint="eastAsia" w:ascii="宋体" w:hAnsi="宋体" w:cs="宋体"/>
                <w:i w:val="0"/>
                <w:iCs w:val="0"/>
                <w:snapToGrid w:val="0"/>
                <w:color w:val="000000"/>
                <w:kern w:val="0"/>
                <w:sz w:val="24"/>
                <w:szCs w:val="24"/>
                <w:u w:val="none"/>
                <w:lang w:val="en-US" w:eastAsia="zh-CN" w:bidi="ar"/>
              </w:rPr>
              <w:t>采购服务，</w:t>
            </w:r>
            <w:r>
              <w:rPr>
                <w:rFonts w:hint="eastAsia" w:ascii="宋体" w:hAnsi="宋体" w:eastAsia="宋体" w:cs="宋体"/>
                <w:i w:val="0"/>
                <w:iCs w:val="0"/>
                <w:snapToGrid w:val="0"/>
                <w:color w:val="000000"/>
                <w:kern w:val="0"/>
                <w:sz w:val="24"/>
                <w:szCs w:val="24"/>
                <w:u w:val="none"/>
                <w:lang w:val="en-US" w:eastAsia="zh-CN" w:bidi="ar"/>
              </w:rPr>
              <w:t>采购人现有大疆 Matrice 4E（经纬 4E，高精度扫描测绘建模）无人机整体签订综合保险框架合同。本项目采用差异化险种投保年限：因设备原有一年机损险，设备综合财产损失险不投保首年，仅投保设备激活验收合格后第2、3、4整年，共计3年；无人机第三者责任险全程投保，覆盖设备激活验收合格后第1至第5整年，共计5年。支持采购人一次性全额支付对应周期保费，承保方按年度逐年出具独立合规保单，保障全程无缝衔接，无保障断档、无服务空白。</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本项目保险包含设备综合财产损失险 + 无人机第三者责任险两大险种，具体保障要求如下：</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1、设备综合财产损失险（保障周期3年）：DJI Matrice 4E 飞行平台、本次采购的原厂智能飞行电池全部纳入承保范围，所有设备唯一序列号完整录入保单设备清单。保障范围包含碰撞、坠落、进水、意外损毁、遗失等各类意外情形，全面覆盖设备维修、零部件更换、整机重置等相关损失。</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2、无人机第三者责任险（保障周期5年）：单次事故赔偿限额不低于 100 万元，全程覆盖设备激活后第1至第5年飞行作业引发的第三方人身伤亡、财产损失及相关法律、调解费用，满足民航飞行合规及运营资质办理要求。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被保险人为采购单位全称，全套保单资料（承保页、设备清单页、保险期限页、保额明细页等）完整规范，可用于项目审计、资产备案、民航资质办理及各类核查工作。各险种在各自对应保险周期内，保障标准、赔付规则、理赔服务保持统一，不得擅自缩减保障范围、降低赔付额度。</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交付要求：设备验收时同步提交保险公司盖章生效的保险框架总合同及首年保单；后续第2、3、4、5年度由服务商主动对接完成续保并推送正式保单，免费提供设备信息录入、保单归档、理赔协助、备案资料整理等配套服务，无额外隐形收费。</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60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0A5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w:t>
            </w:r>
          </w:p>
        </w:tc>
      </w:tr>
      <w:tr w14:paraId="0C884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2" w:hRule="atLeast"/>
        </w:trPr>
        <w:tc>
          <w:tcPr>
            <w:tcW w:w="6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77A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snapToGrid w:val="0"/>
                <w:color w:val="000000"/>
                <w:kern w:val="0"/>
                <w:sz w:val="24"/>
                <w:szCs w:val="24"/>
                <w:u w:val="none"/>
                <w:lang w:val="en-US" w:eastAsia="zh-CN" w:bidi="ar"/>
              </w:rPr>
              <w:t>2</w:t>
            </w:r>
          </w:p>
        </w:tc>
        <w:tc>
          <w:tcPr>
            <w:tcW w:w="3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9D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无人机综合保险服务2</w:t>
            </w:r>
          </w:p>
        </w:tc>
        <w:tc>
          <w:tcPr>
            <w:tcW w:w="78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8BAA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 xml:space="preserve"> 本项为采购服务，因设备暂未激活，本项目采用差异化险种周期投保模式：设备综合财产损失险不投保设备激活后首年，仅投保设备激活验收合格后第2、3、4整年，共计3年；无人机第三者责任险全程投保，覆盖设备激活验收合格后第1至第5整年，共计5年。所有险种保障周期无缝衔接、无保障断档、无服务空白期。本项目支持一次性全额支付对应周期保费，承保机构按年度逐年独立出具合规1年期电子+纸质正式保单。</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 本次保险服务明确区分第三者责任险、设备财产损失险承保范围，所有承保设备均为采购人固定资产台账在册设备，全部设备唯一SN序列号须完整录入保单明细台账，保障范围清晰无争议：</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2.1 无人机第三者责任险承保范围（满足民航运营证年审、空域申报）</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承保设备：Matrice 400飞行平台。保障飞行作业产生的第三方人身伤亡、财产损失及相关法务费用，满足民航监管合规要求。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2.2 全套设备综合财产损失险承保范围（全覆盖硬件资产风险）</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承保设备：Matrice 400飞行平台、禅思L2激光雷达、禅思P1全画幅航测相机、无人机机载电脑及全部原厂配套安装配件、线材。全额覆盖全套设备硬件损坏、炸机、碰撞、进水、坠落、恶劣天气、意外丢失等全场景维修、置换损失。</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3. 被保险人必须为采购单位全称，保单需包含完整的承保信息页、保额明细页、设备SN清单页、保险起止日期页、免责说明页等全套资料，可直接用于民航无人机运营合格证办理、年度年审、空域飞行计划申报、科研项目审计、资产备案及各类上级核查。</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4. 年度保单险种及最低保障标准（各险种保障周期内标准统一、无降标、无缩水）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（1）无人机第三者责任险：单次事故赔偿限额≥100万元，连续保障5年，全面覆盖飞行作业引发的第三方人身伤亡、财物损毁、诉讼调解等全部合规费用，完全满足民航监管硬性要求；</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2）设备综合财产损失险：按设备实际原值足额投保，保障周期为激活后第2、3、4年（共3年），覆盖全套承保设备的意外损坏、整机损毁、设备丢失、维修置换等全部资产损失风险，全面兜底科研飞行作业风险。</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5. 分年度风险适配要求：采购人设备激活首年仅投保第三者责任险，不投保设备财产损失险；设备机损险投保周期（第2–4年）无原厂无忧质保、无任何原厂保修置换服务。保险框架合同须明确：三年机损险周期内足额承担全部承保设备的维修、定损、更换、重置赔付成本，完全填补原厂服务到期后的设备风险空白，全周期赔付标准、理赔时效、服务等级保持一致。</w:t>
            </w:r>
            <w:r>
              <w:rPr>
                <w:rFonts w:hint="eastAsia" w:ascii="宋体" w:hAnsi="宋体" w:eastAsia="宋体" w:cs="宋体"/>
                <w:i w:val="0"/>
                <w:iCs w:val="0"/>
                <w:snapToGrid w:val="0"/>
                <w:color w:val="000000"/>
                <w:kern w:val="0"/>
                <w:sz w:val="24"/>
                <w:szCs w:val="24"/>
                <w:u w:val="none"/>
                <w:lang w:val="en-US" w:eastAsia="zh-CN" w:bidi="ar"/>
              </w:rPr>
              <w:br w:type="textWrapping"/>
            </w:r>
            <w:r>
              <w:rPr>
                <w:rFonts w:hint="eastAsia" w:ascii="宋体" w:hAnsi="宋体" w:eastAsia="宋体" w:cs="宋体"/>
                <w:i w:val="0"/>
                <w:iCs w:val="0"/>
                <w:snapToGrid w:val="0"/>
                <w:color w:val="000000"/>
                <w:kern w:val="0"/>
                <w:sz w:val="24"/>
                <w:szCs w:val="24"/>
                <w:u w:val="none"/>
                <w:lang w:val="en-US" w:eastAsia="zh-CN" w:bidi="ar"/>
              </w:rPr>
              <w:t>6. 服务交付要求：项目验收同步提交保险公司盖章生效的保险框架总合同原件、首年全套完整保单资料；第2、3、4、5年度由服务商主动对接续保出单，按期推送合规年度保单。全程免费提供设备SN录入、保单更新、资料归档、理赔协助、民航备案资料整理等全套配套服务，无任何隐形收费、附加服务费。</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9A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1</w:t>
            </w:r>
          </w:p>
        </w:tc>
        <w:tc>
          <w:tcPr>
            <w:tcW w:w="10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C6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w:t>
            </w:r>
          </w:p>
        </w:tc>
      </w:tr>
    </w:tbl>
    <w:p w14:paraId="0CED7370">
      <w:pPr>
        <w:spacing w:line="520" w:lineRule="exact"/>
        <w:ind w:firstLine="480" w:firstLineChars="200"/>
        <w:jc w:val="both"/>
        <w:rPr>
          <w:rFonts w:ascii="宋体" w:hAnsi="宋体" w:cs="宋体"/>
          <w:b/>
          <w:bCs/>
          <w:color w:val="auto"/>
          <w:szCs w:val="24"/>
        </w:rPr>
      </w:pPr>
    </w:p>
    <w:p w14:paraId="35DB98C3">
      <w:pPr>
        <w:spacing w:line="520" w:lineRule="exact"/>
        <w:jc w:val="both"/>
        <w:rPr>
          <w:rFonts w:ascii="宋体" w:hAnsi="宋体" w:cs="宋体"/>
          <w:b/>
          <w:bCs/>
          <w:color w:val="auto"/>
          <w:szCs w:val="24"/>
        </w:rPr>
      </w:pPr>
    </w:p>
    <w:p w14:paraId="79AD2FAF">
      <w:pPr>
        <w:spacing w:line="520" w:lineRule="exact"/>
        <w:jc w:val="both"/>
        <w:rPr>
          <w:rFonts w:ascii="宋体" w:hAnsi="宋体" w:cs="宋体"/>
          <w:b/>
          <w:bCs/>
          <w:color w:val="auto"/>
          <w:szCs w:val="24"/>
        </w:rPr>
      </w:pPr>
      <w:bookmarkStart w:id="0" w:name="_Toc20532"/>
    </w:p>
    <w:p w14:paraId="2C243698">
      <w:pPr>
        <w:pStyle w:val="2"/>
        <w:rPr>
          <w:rFonts w:ascii="宋体" w:hAnsi="宋体" w:cs="宋体"/>
          <w:b/>
          <w:bCs/>
          <w:color w:val="auto"/>
          <w:szCs w:val="24"/>
        </w:rPr>
      </w:pPr>
    </w:p>
    <w:p w14:paraId="2BACC032">
      <w:pPr>
        <w:pStyle w:val="2"/>
        <w:rPr>
          <w:rFonts w:ascii="宋体" w:hAnsi="宋体" w:cs="宋体"/>
          <w:b/>
          <w:bCs/>
          <w:color w:val="auto"/>
          <w:szCs w:val="24"/>
        </w:rPr>
      </w:pPr>
    </w:p>
    <w:p w14:paraId="23631775">
      <w:pPr>
        <w:pStyle w:val="2"/>
        <w:rPr>
          <w:rFonts w:ascii="宋体" w:hAnsi="宋体" w:cs="宋体"/>
          <w:b/>
          <w:bCs/>
          <w:color w:val="auto"/>
          <w:szCs w:val="24"/>
        </w:rPr>
      </w:pPr>
    </w:p>
    <w:p w14:paraId="74BFC961">
      <w:pPr>
        <w:pStyle w:val="2"/>
        <w:rPr>
          <w:rFonts w:ascii="宋体" w:hAnsi="宋体" w:cs="宋体"/>
          <w:b/>
          <w:bCs/>
          <w:color w:val="auto"/>
          <w:szCs w:val="24"/>
        </w:rPr>
      </w:pPr>
    </w:p>
    <w:p w14:paraId="4B64D4C1">
      <w:pPr>
        <w:pStyle w:val="2"/>
        <w:rPr>
          <w:rFonts w:ascii="宋体" w:hAnsi="宋体" w:cs="宋体"/>
          <w:b/>
          <w:bCs/>
          <w:color w:val="auto"/>
          <w:szCs w:val="24"/>
        </w:rPr>
      </w:pPr>
    </w:p>
    <w:p w14:paraId="15E89708">
      <w:pPr>
        <w:pStyle w:val="2"/>
        <w:rPr>
          <w:rFonts w:ascii="宋体" w:hAnsi="宋体" w:cs="宋体"/>
          <w:b/>
          <w:bCs/>
          <w:color w:val="auto"/>
          <w:szCs w:val="24"/>
        </w:rPr>
      </w:pPr>
    </w:p>
    <w:p w14:paraId="2EDEE267">
      <w:pPr>
        <w:pStyle w:val="2"/>
        <w:rPr>
          <w:rFonts w:ascii="宋体" w:hAnsi="宋体" w:cs="宋体"/>
          <w:b/>
          <w:bCs/>
          <w:color w:val="auto"/>
          <w:szCs w:val="24"/>
        </w:rPr>
      </w:pPr>
    </w:p>
    <w:p w14:paraId="1C0031F5">
      <w:pPr>
        <w:pStyle w:val="2"/>
        <w:ind w:left="0" w:leftChars="0" w:firstLine="0" w:firstLineChars="0"/>
        <w:rPr>
          <w:rFonts w:ascii="宋体" w:hAnsi="宋体" w:cs="宋体"/>
          <w:b/>
          <w:bCs/>
          <w:color w:val="auto"/>
          <w:szCs w:val="24"/>
        </w:rPr>
        <w:sectPr>
          <w:pgSz w:w="16838" w:h="11906" w:orient="landscape"/>
          <w:pgMar w:top="1418" w:right="1418" w:bottom="1418" w:left="1418" w:header="851" w:footer="850" w:gutter="0"/>
          <w:pgNumType w:fmt="upperRoman" w:start="1"/>
          <w:cols w:space="425" w:num="1"/>
          <w:docGrid w:type="linesAndChars" w:linePitch="326" w:charSpace="0"/>
        </w:sectPr>
      </w:pPr>
    </w:p>
    <w:bookmarkEnd w:id="0"/>
    <w:p w14:paraId="35CCC46B">
      <w:pPr>
        <w:spacing w:before="50" w:after="120" w:afterLines="50" w:line="360" w:lineRule="auto"/>
        <w:jc w:val="both"/>
        <w:rPr>
          <w:rFonts w:ascii="仿宋" w:hAnsi="仿宋" w:eastAsia="仿宋"/>
          <w:b/>
          <w:color w:val="auto"/>
          <w:sz w:val="32"/>
          <w:szCs w:val="32"/>
        </w:rPr>
      </w:pPr>
      <w:r>
        <w:rPr>
          <w:rFonts w:hint="eastAsia" w:ascii="仿宋" w:hAnsi="仿宋" w:eastAsia="仿宋"/>
          <w:b/>
          <w:color w:val="auto"/>
          <w:sz w:val="32"/>
          <w:szCs w:val="32"/>
        </w:rPr>
        <w:t>附件</w:t>
      </w:r>
      <w:r>
        <w:rPr>
          <w:rFonts w:hint="eastAsia" w:ascii="仿宋" w:hAnsi="仿宋" w:eastAsia="仿宋"/>
          <w:b/>
          <w:color w:val="auto"/>
          <w:sz w:val="32"/>
          <w:szCs w:val="32"/>
          <w:lang w:val="en-US" w:eastAsia="zh-CN"/>
        </w:rPr>
        <w:t>2</w:t>
      </w:r>
      <w:r>
        <w:rPr>
          <w:rFonts w:hint="eastAsia" w:ascii="仿宋" w:hAnsi="仿宋" w:eastAsia="仿宋"/>
          <w:b/>
          <w:color w:val="auto"/>
          <w:sz w:val="32"/>
          <w:szCs w:val="32"/>
        </w:rPr>
        <w:t>：</w:t>
      </w:r>
      <w:r>
        <w:rPr>
          <w:rFonts w:hint="eastAsia" w:ascii="仿宋" w:hAnsi="仿宋" w:eastAsia="仿宋"/>
          <w:b/>
          <w:color w:val="auto"/>
          <w:sz w:val="32"/>
          <w:szCs w:val="32"/>
          <w:lang w:val="en-US" w:eastAsia="zh-CN"/>
        </w:rPr>
        <w:t>供应商</w:t>
      </w:r>
      <w:r>
        <w:rPr>
          <w:rFonts w:hint="eastAsia" w:ascii="仿宋" w:hAnsi="仿宋" w:eastAsia="仿宋"/>
          <w:b/>
          <w:color w:val="auto"/>
          <w:sz w:val="32"/>
          <w:szCs w:val="32"/>
        </w:rPr>
        <w:t>直接控股、管理关系信息表</w:t>
      </w:r>
    </w:p>
    <w:tbl>
      <w:tblPr>
        <w:tblStyle w:val="18"/>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309"/>
        <w:gridCol w:w="1384"/>
        <w:gridCol w:w="2410"/>
        <w:gridCol w:w="3934"/>
      </w:tblGrid>
      <w:tr w14:paraId="0554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6EAD5214">
            <w:pPr>
              <w:spacing w:before="120" w:beforeLines="50" w:after="50"/>
              <w:jc w:val="center"/>
              <w:rPr>
                <w:rFonts w:ascii="仿宋" w:hAnsi="仿宋" w:eastAsia="仿宋"/>
                <w:b/>
                <w:color w:val="auto"/>
              </w:rPr>
            </w:pPr>
            <w:r>
              <w:rPr>
                <w:rFonts w:hint="eastAsia" w:ascii="仿宋" w:hAnsi="仿宋" w:eastAsia="仿宋"/>
                <w:b/>
                <w:color w:val="auto"/>
                <w:lang w:val="en-US" w:eastAsia="zh-CN"/>
              </w:rPr>
              <w:t>供应商</w:t>
            </w:r>
            <w:r>
              <w:rPr>
                <w:rFonts w:ascii="仿宋" w:hAnsi="仿宋" w:eastAsia="仿宋"/>
                <w:b/>
                <w:color w:val="auto"/>
              </w:rPr>
              <w:t>直接控股股东信息表</w:t>
            </w:r>
          </w:p>
        </w:tc>
        <w:tc>
          <w:tcPr>
            <w:tcW w:w="3934" w:type="dxa"/>
            <w:shd w:val="clear" w:color="auto" w:fill="F2DBDB"/>
            <w:vAlign w:val="center"/>
          </w:tcPr>
          <w:p w14:paraId="38C845B2">
            <w:pPr>
              <w:spacing w:before="120" w:beforeLines="50" w:after="50"/>
              <w:jc w:val="center"/>
              <w:rPr>
                <w:rFonts w:ascii="仿宋" w:hAnsi="仿宋" w:eastAsia="仿宋"/>
                <w:b/>
                <w:color w:val="auto"/>
              </w:rPr>
            </w:pPr>
            <w:r>
              <w:rPr>
                <w:rFonts w:ascii="仿宋" w:hAnsi="仿宋" w:eastAsia="仿宋"/>
                <w:b/>
                <w:color w:val="auto"/>
              </w:rPr>
              <w:t>说明</w:t>
            </w:r>
          </w:p>
        </w:tc>
      </w:tr>
      <w:tr w14:paraId="5699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4F8EE96C">
            <w:pPr>
              <w:spacing w:line="360" w:lineRule="exact"/>
              <w:jc w:val="center"/>
              <w:rPr>
                <w:rFonts w:ascii="仿宋" w:hAnsi="仿宋" w:eastAsia="仿宋" w:cs="宋体"/>
                <w:b/>
                <w:bCs/>
                <w:color w:val="auto"/>
              </w:rPr>
            </w:pPr>
            <w:r>
              <w:rPr>
                <w:rFonts w:ascii="仿宋" w:hAnsi="仿宋" w:eastAsia="仿宋" w:cs="宋体"/>
                <w:b/>
                <w:bCs/>
                <w:color w:val="auto"/>
              </w:rPr>
              <w:t>序号</w:t>
            </w:r>
          </w:p>
        </w:tc>
        <w:tc>
          <w:tcPr>
            <w:tcW w:w="1309" w:type="dxa"/>
            <w:vAlign w:val="center"/>
          </w:tcPr>
          <w:p w14:paraId="66241925">
            <w:pPr>
              <w:spacing w:line="360" w:lineRule="exact"/>
              <w:jc w:val="center"/>
              <w:rPr>
                <w:rFonts w:ascii="仿宋" w:hAnsi="仿宋" w:eastAsia="仿宋" w:cs="宋体"/>
                <w:b/>
                <w:bCs/>
                <w:color w:val="auto"/>
              </w:rPr>
            </w:pPr>
            <w:r>
              <w:rPr>
                <w:rFonts w:ascii="仿宋" w:hAnsi="仿宋" w:eastAsia="仿宋" w:cs="宋体"/>
                <w:b/>
                <w:bCs/>
                <w:color w:val="auto"/>
              </w:rPr>
              <w:t>直接控股股东名称</w:t>
            </w:r>
          </w:p>
        </w:tc>
        <w:tc>
          <w:tcPr>
            <w:tcW w:w="1384" w:type="dxa"/>
            <w:vAlign w:val="center"/>
          </w:tcPr>
          <w:p w14:paraId="0FB91B62">
            <w:pPr>
              <w:spacing w:line="360" w:lineRule="exact"/>
              <w:jc w:val="center"/>
              <w:rPr>
                <w:rFonts w:ascii="仿宋" w:hAnsi="仿宋" w:eastAsia="仿宋" w:cs="宋体"/>
                <w:b/>
                <w:bCs/>
                <w:color w:val="auto"/>
              </w:rPr>
            </w:pPr>
            <w:r>
              <w:rPr>
                <w:rFonts w:ascii="仿宋" w:hAnsi="仿宋" w:eastAsia="仿宋" w:cs="宋体"/>
                <w:b/>
                <w:bCs/>
                <w:color w:val="auto"/>
              </w:rPr>
              <w:t>出资比例</w:t>
            </w:r>
          </w:p>
        </w:tc>
        <w:tc>
          <w:tcPr>
            <w:tcW w:w="2410" w:type="dxa"/>
            <w:vAlign w:val="center"/>
          </w:tcPr>
          <w:p w14:paraId="3F987B76">
            <w:pPr>
              <w:spacing w:line="360" w:lineRule="exact"/>
              <w:jc w:val="center"/>
              <w:rPr>
                <w:rFonts w:ascii="仿宋" w:hAnsi="仿宋" w:eastAsia="仿宋" w:cs="宋体"/>
                <w:b/>
                <w:bCs/>
                <w:color w:val="auto"/>
              </w:rPr>
            </w:pPr>
            <w:r>
              <w:rPr>
                <w:rFonts w:ascii="仿宋" w:hAnsi="仿宋" w:eastAsia="仿宋" w:cs="宋体"/>
                <w:b/>
                <w:bCs/>
                <w:color w:val="auto"/>
              </w:rPr>
              <w:t>身份证号码或者统一社会信用代码</w:t>
            </w:r>
          </w:p>
        </w:tc>
        <w:tc>
          <w:tcPr>
            <w:tcW w:w="3934" w:type="dxa"/>
            <w:vMerge w:val="restart"/>
            <w:vAlign w:val="center"/>
          </w:tcPr>
          <w:p w14:paraId="40B714D3">
            <w:pPr>
              <w:rPr>
                <w:rFonts w:ascii="仿宋" w:hAnsi="仿宋" w:eastAsia="仿宋"/>
                <w:color w:val="auto"/>
              </w:rPr>
            </w:pPr>
            <w:r>
              <w:rPr>
                <w:rFonts w:ascii="仿宋" w:hAnsi="仿宋" w:eastAsia="仿宋"/>
                <w:color w:val="auto"/>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125FB31">
            <w:pPr>
              <w:rPr>
                <w:rFonts w:ascii="仿宋" w:hAnsi="仿宋" w:eastAsia="仿宋"/>
                <w:color w:val="auto"/>
              </w:rPr>
            </w:pPr>
            <w:r>
              <w:rPr>
                <w:rFonts w:ascii="仿宋" w:hAnsi="仿宋" w:eastAsia="仿宋"/>
                <w:color w:val="auto"/>
              </w:rPr>
              <w:t>2.本表所指的控股关系仅限于直接控股关系，不包括间接的控股关系。公司实际控制人与公司之间的关系不属于本表所指的直接控股关系。</w:t>
            </w:r>
          </w:p>
          <w:p w14:paraId="0D600C99">
            <w:pPr>
              <w:rPr>
                <w:rFonts w:ascii="仿宋" w:hAnsi="仿宋" w:eastAsia="仿宋" w:cs="宋体"/>
                <w:b/>
                <w:bCs/>
                <w:color w:val="auto"/>
              </w:rPr>
            </w:pPr>
            <w:r>
              <w:rPr>
                <w:rFonts w:ascii="仿宋" w:hAnsi="仿宋" w:eastAsia="仿宋"/>
                <w:color w:val="auto"/>
              </w:rPr>
              <w:t>3.供应商不存在直接控股股东的，则填“无”。</w:t>
            </w:r>
          </w:p>
        </w:tc>
      </w:tr>
      <w:tr w14:paraId="40FF8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545DE153">
            <w:pPr>
              <w:spacing w:before="120" w:beforeLines="50" w:after="50"/>
              <w:jc w:val="center"/>
              <w:rPr>
                <w:rFonts w:ascii="仿宋" w:hAnsi="仿宋" w:eastAsia="仿宋"/>
                <w:b/>
                <w:color w:val="auto"/>
              </w:rPr>
            </w:pPr>
            <w:r>
              <w:rPr>
                <w:rFonts w:ascii="仿宋" w:hAnsi="仿宋" w:eastAsia="仿宋"/>
                <w:b/>
                <w:color w:val="auto"/>
              </w:rPr>
              <w:t>1</w:t>
            </w:r>
          </w:p>
        </w:tc>
        <w:tc>
          <w:tcPr>
            <w:tcW w:w="1309" w:type="dxa"/>
          </w:tcPr>
          <w:p w14:paraId="3C262ECB">
            <w:pPr>
              <w:spacing w:before="120" w:beforeLines="50" w:after="50"/>
              <w:rPr>
                <w:rFonts w:ascii="仿宋" w:hAnsi="仿宋" w:eastAsia="仿宋"/>
                <w:b/>
                <w:color w:val="auto"/>
              </w:rPr>
            </w:pPr>
          </w:p>
        </w:tc>
        <w:tc>
          <w:tcPr>
            <w:tcW w:w="1384" w:type="dxa"/>
          </w:tcPr>
          <w:p w14:paraId="2CC377B7">
            <w:pPr>
              <w:spacing w:before="120" w:beforeLines="50" w:after="50"/>
              <w:rPr>
                <w:rFonts w:ascii="仿宋" w:hAnsi="仿宋" w:eastAsia="仿宋"/>
                <w:b/>
                <w:color w:val="auto"/>
              </w:rPr>
            </w:pPr>
          </w:p>
        </w:tc>
        <w:tc>
          <w:tcPr>
            <w:tcW w:w="2410" w:type="dxa"/>
          </w:tcPr>
          <w:p w14:paraId="6D7B5F18">
            <w:pPr>
              <w:spacing w:before="120" w:beforeLines="50" w:after="50"/>
              <w:rPr>
                <w:rFonts w:ascii="仿宋" w:hAnsi="仿宋" w:eastAsia="仿宋"/>
                <w:b/>
                <w:color w:val="auto"/>
              </w:rPr>
            </w:pPr>
          </w:p>
        </w:tc>
        <w:tc>
          <w:tcPr>
            <w:tcW w:w="3934" w:type="dxa"/>
            <w:vMerge w:val="continue"/>
          </w:tcPr>
          <w:p w14:paraId="627C94A0">
            <w:pPr>
              <w:rPr>
                <w:rFonts w:ascii="仿宋" w:hAnsi="仿宋" w:eastAsia="仿宋"/>
                <w:color w:val="auto"/>
              </w:rPr>
            </w:pPr>
          </w:p>
        </w:tc>
      </w:tr>
      <w:tr w14:paraId="2158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2964A72E">
            <w:pPr>
              <w:spacing w:before="120" w:beforeLines="50" w:after="50"/>
              <w:jc w:val="center"/>
              <w:rPr>
                <w:rFonts w:ascii="仿宋" w:hAnsi="仿宋" w:eastAsia="仿宋"/>
                <w:b/>
                <w:color w:val="auto"/>
              </w:rPr>
            </w:pPr>
            <w:r>
              <w:rPr>
                <w:rFonts w:ascii="仿宋" w:hAnsi="仿宋" w:eastAsia="仿宋"/>
                <w:b/>
                <w:color w:val="auto"/>
              </w:rPr>
              <w:t>2</w:t>
            </w:r>
          </w:p>
        </w:tc>
        <w:tc>
          <w:tcPr>
            <w:tcW w:w="1309" w:type="dxa"/>
          </w:tcPr>
          <w:p w14:paraId="2392F662">
            <w:pPr>
              <w:spacing w:before="120" w:beforeLines="50" w:after="50"/>
              <w:rPr>
                <w:rFonts w:ascii="仿宋" w:hAnsi="仿宋" w:eastAsia="仿宋"/>
                <w:b/>
                <w:color w:val="auto"/>
              </w:rPr>
            </w:pPr>
          </w:p>
        </w:tc>
        <w:tc>
          <w:tcPr>
            <w:tcW w:w="1384" w:type="dxa"/>
          </w:tcPr>
          <w:p w14:paraId="168C3D78">
            <w:pPr>
              <w:spacing w:before="120" w:beforeLines="50" w:after="50"/>
              <w:rPr>
                <w:rFonts w:ascii="仿宋" w:hAnsi="仿宋" w:eastAsia="仿宋"/>
                <w:b/>
                <w:color w:val="auto"/>
              </w:rPr>
            </w:pPr>
          </w:p>
        </w:tc>
        <w:tc>
          <w:tcPr>
            <w:tcW w:w="2410" w:type="dxa"/>
          </w:tcPr>
          <w:p w14:paraId="3788166D">
            <w:pPr>
              <w:spacing w:before="120" w:beforeLines="50" w:after="50"/>
              <w:rPr>
                <w:rFonts w:ascii="仿宋" w:hAnsi="仿宋" w:eastAsia="仿宋"/>
                <w:b/>
                <w:color w:val="auto"/>
              </w:rPr>
            </w:pPr>
          </w:p>
        </w:tc>
        <w:tc>
          <w:tcPr>
            <w:tcW w:w="3934" w:type="dxa"/>
            <w:vMerge w:val="continue"/>
          </w:tcPr>
          <w:p w14:paraId="659C7384">
            <w:pPr>
              <w:spacing w:before="120" w:beforeLines="50" w:after="50"/>
              <w:rPr>
                <w:rFonts w:ascii="仿宋" w:hAnsi="仿宋" w:eastAsia="仿宋"/>
                <w:b/>
                <w:color w:val="auto"/>
              </w:rPr>
            </w:pPr>
          </w:p>
        </w:tc>
      </w:tr>
      <w:tr w14:paraId="44AAF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Borders>
              <w:bottom w:val="single" w:color="auto" w:sz="4" w:space="0"/>
            </w:tcBorders>
          </w:tcPr>
          <w:p w14:paraId="524A8C27">
            <w:pPr>
              <w:spacing w:before="120" w:beforeLines="50" w:after="50"/>
              <w:jc w:val="center"/>
              <w:rPr>
                <w:rFonts w:ascii="仿宋" w:hAnsi="仿宋" w:eastAsia="仿宋"/>
                <w:b/>
                <w:color w:val="auto"/>
              </w:rPr>
            </w:pPr>
            <w:r>
              <w:rPr>
                <w:rFonts w:ascii="仿宋" w:hAnsi="仿宋" w:eastAsia="仿宋" w:cs="宋体"/>
                <w:color w:val="auto"/>
              </w:rPr>
              <w:t>……</w:t>
            </w:r>
          </w:p>
        </w:tc>
        <w:tc>
          <w:tcPr>
            <w:tcW w:w="1309" w:type="dxa"/>
            <w:tcBorders>
              <w:bottom w:val="single" w:color="auto" w:sz="4" w:space="0"/>
            </w:tcBorders>
          </w:tcPr>
          <w:p w14:paraId="61A53F65">
            <w:pPr>
              <w:spacing w:before="120" w:beforeLines="50" w:after="50"/>
              <w:rPr>
                <w:rFonts w:ascii="仿宋" w:hAnsi="仿宋" w:eastAsia="仿宋"/>
                <w:b/>
                <w:color w:val="auto"/>
              </w:rPr>
            </w:pPr>
          </w:p>
        </w:tc>
        <w:tc>
          <w:tcPr>
            <w:tcW w:w="1384" w:type="dxa"/>
            <w:tcBorders>
              <w:bottom w:val="single" w:color="auto" w:sz="4" w:space="0"/>
            </w:tcBorders>
          </w:tcPr>
          <w:p w14:paraId="22FECB21">
            <w:pPr>
              <w:spacing w:before="120" w:beforeLines="50" w:after="50"/>
              <w:rPr>
                <w:rFonts w:ascii="仿宋" w:hAnsi="仿宋" w:eastAsia="仿宋"/>
                <w:b/>
                <w:color w:val="auto"/>
              </w:rPr>
            </w:pPr>
          </w:p>
        </w:tc>
        <w:tc>
          <w:tcPr>
            <w:tcW w:w="2410" w:type="dxa"/>
            <w:tcBorders>
              <w:bottom w:val="single" w:color="auto" w:sz="4" w:space="0"/>
            </w:tcBorders>
          </w:tcPr>
          <w:p w14:paraId="77684265">
            <w:pPr>
              <w:spacing w:before="120" w:beforeLines="50" w:after="50"/>
              <w:rPr>
                <w:rFonts w:ascii="仿宋" w:hAnsi="仿宋" w:eastAsia="仿宋"/>
                <w:b/>
                <w:color w:val="auto"/>
              </w:rPr>
            </w:pPr>
          </w:p>
        </w:tc>
        <w:tc>
          <w:tcPr>
            <w:tcW w:w="3934" w:type="dxa"/>
            <w:vMerge w:val="continue"/>
            <w:tcBorders>
              <w:bottom w:val="single" w:color="auto" w:sz="4" w:space="0"/>
            </w:tcBorders>
          </w:tcPr>
          <w:p w14:paraId="418D138F">
            <w:pPr>
              <w:spacing w:before="120" w:beforeLines="50" w:after="50"/>
              <w:rPr>
                <w:rFonts w:ascii="仿宋" w:hAnsi="仿宋" w:eastAsia="仿宋"/>
                <w:b/>
                <w:color w:val="auto"/>
              </w:rPr>
            </w:pPr>
          </w:p>
        </w:tc>
      </w:tr>
      <w:tr w14:paraId="0858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5920" w:type="dxa"/>
            <w:gridSpan w:val="4"/>
            <w:shd w:val="clear" w:color="auto" w:fill="F2DBDB"/>
            <w:vAlign w:val="center"/>
          </w:tcPr>
          <w:p w14:paraId="576AF5A0">
            <w:pPr>
              <w:spacing w:before="120" w:beforeLines="50" w:after="50"/>
              <w:jc w:val="center"/>
              <w:rPr>
                <w:rFonts w:ascii="仿宋" w:hAnsi="仿宋" w:eastAsia="仿宋"/>
                <w:b/>
                <w:color w:val="auto"/>
              </w:rPr>
            </w:pPr>
            <w:r>
              <w:rPr>
                <w:rFonts w:hint="eastAsia" w:ascii="仿宋" w:hAnsi="仿宋" w:eastAsia="仿宋"/>
                <w:b/>
                <w:color w:val="auto"/>
                <w:lang w:val="en-US" w:eastAsia="zh-CN"/>
              </w:rPr>
              <w:t>供应商</w:t>
            </w:r>
            <w:r>
              <w:rPr>
                <w:rFonts w:ascii="仿宋" w:hAnsi="仿宋" w:eastAsia="仿宋"/>
                <w:b/>
                <w:color w:val="auto"/>
              </w:rPr>
              <w:t>直接管理关系信息表</w:t>
            </w:r>
          </w:p>
        </w:tc>
        <w:tc>
          <w:tcPr>
            <w:tcW w:w="3934" w:type="dxa"/>
            <w:shd w:val="clear" w:color="auto" w:fill="F2DBDB"/>
            <w:vAlign w:val="center"/>
          </w:tcPr>
          <w:p w14:paraId="1B0D6E18">
            <w:pPr>
              <w:spacing w:before="120" w:beforeLines="50" w:after="50"/>
              <w:jc w:val="center"/>
              <w:rPr>
                <w:rFonts w:ascii="仿宋" w:hAnsi="仿宋" w:eastAsia="仿宋"/>
                <w:b/>
                <w:color w:val="auto"/>
              </w:rPr>
            </w:pPr>
            <w:r>
              <w:rPr>
                <w:rFonts w:ascii="仿宋" w:hAnsi="仿宋" w:eastAsia="仿宋"/>
                <w:b/>
                <w:color w:val="auto"/>
              </w:rPr>
              <w:t>说明</w:t>
            </w:r>
          </w:p>
        </w:tc>
      </w:tr>
      <w:tr w14:paraId="012D3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24DF59EF">
            <w:pPr>
              <w:spacing w:before="120" w:beforeLines="50" w:after="50"/>
              <w:jc w:val="center"/>
              <w:rPr>
                <w:rFonts w:ascii="仿宋" w:hAnsi="仿宋" w:eastAsia="仿宋"/>
                <w:b/>
                <w:color w:val="auto"/>
              </w:rPr>
            </w:pPr>
            <w:r>
              <w:rPr>
                <w:rFonts w:ascii="仿宋" w:hAnsi="仿宋" w:eastAsia="仿宋" w:cs="宋体"/>
                <w:b/>
                <w:bCs/>
                <w:color w:val="auto"/>
              </w:rPr>
              <w:t>序号</w:t>
            </w:r>
          </w:p>
        </w:tc>
        <w:tc>
          <w:tcPr>
            <w:tcW w:w="2693" w:type="dxa"/>
            <w:gridSpan w:val="2"/>
            <w:vAlign w:val="center"/>
          </w:tcPr>
          <w:p w14:paraId="44F918C6">
            <w:pPr>
              <w:spacing w:before="120" w:beforeLines="50" w:after="50"/>
              <w:jc w:val="center"/>
              <w:rPr>
                <w:rFonts w:ascii="仿宋" w:hAnsi="仿宋" w:eastAsia="仿宋"/>
                <w:b/>
                <w:color w:val="auto"/>
              </w:rPr>
            </w:pPr>
            <w:r>
              <w:rPr>
                <w:rFonts w:ascii="仿宋" w:hAnsi="仿宋" w:eastAsia="仿宋" w:cs="宋体"/>
                <w:b/>
                <w:bCs/>
                <w:color w:val="auto"/>
              </w:rPr>
              <w:t>直接管理关系单位名称</w:t>
            </w:r>
          </w:p>
        </w:tc>
        <w:tc>
          <w:tcPr>
            <w:tcW w:w="2410" w:type="dxa"/>
            <w:vAlign w:val="center"/>
          </w:tcPr>
          <w:p w14:paraId="1FE4034D">
            <w:pPr>
              <w:spacing w:before="120" w:beforeLines="50" w:after="50"/>
              <w:jc w:val="center"/>
              <w:rPr>
                <w:rFonts w:ascii="仿宋" w:hAnsi="仿宋" w:eastAsia="仿宋"/>
                <w:b/>
                <w:color w:val="auto"/>
              </w:rPr>
            </w:pPr>
            <w:r>
              <w:rPr>
                <w:rFonts w:ascii="仿宋" w:hAnsi="仿宋" w:eastAsia="仿宋" w:cs="宋体"/>
                <w:b/>
                <w:bCs/>
                <w:color w:val="auto"/>
              </w:rPr>
              <w:t>统一社会信用代码</w:t>
            </w:r>
          </w:p>
        </w:tc>
        <w:tc>
          <w:tcPr>
            <w:tcW w:w="3934" w:type="dxa"/>
            <w:vMerge w:val="restart"/>
            <w:vAlign w:val="center"/>
          </w:tcPr>
          <w:p w14:paraId="616E87FA">
            <w:pPr>
              <w:rPr>
                <w:rFonts w:ascii="仿宋" w:hAnsi="仿宋" w:eastAsia="仿宋"/>
                <w:color w:val="auto"/>
              </w:rPr>
            </w:pPr>
            <w:r>
              <w:rPr>
                <w:rFonts w:ascii="仿宋" w:hAnsi="仿宋" w:eastAsia="仿宋"/>
                <w:color w:val="auto"/>
              </w:rPr>
              <w:t>1.管理关系：是指不具有出资持股关系的其他单位之间存在的管理与被管理关系，如一些上下级关系的事业单位和团体组织。</w:t>
            </w:r>
          </w:p>
          <w:p w14:paraId="788019E1">
            <w:pPr>
              <w:rPr>
                <w:rFonts w:ascii="仿宋" w:hAnsi="仿宋" w:eastAsia="仿宋"/>
                <w:color w:val="auto"/>
              </w:rPr>
            </w:pPr>
            <w:r>
              <w:rPr>
                <w:rFonts w:ascii="仿宋" w:hAnsi="仿宋" w:eastAsia="仿宋"/>
                <w:color w:val="auto"/>
              </w:rPr>
              <w:t>2.本表所指的管理关系仅限于直接管理关系，不包括间接的管理关系。</w:t>
            </w:r>
          </w:p>
          <w:p w14:paraId="7F3D2EE9">
            <w:pPr>
              <w:rPr>
                <w:rFonts w:ascii="仿宋" w:hAnsi="仿宋" w:eastAsia="仿宋"/>
                <w:color w:val="auto"/>
              </w:rPr>
            </w:pPr>
            <w:r>
              <w:rPr>
                <w:rFonts w:ascii="仿宋" w:hAnsi="仿宋" w:eastAsia="仿宋"/>
                <w:color w:val="auto"/>
              </w:rPr>
              <w:t>3.供应商不存在直接管理关系的，则填“无”。</w:t>
            </w:r>
          </w:p>
        </w:tc>
      </w:tr>
      <w:tr w14:paraId="09A9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10EDA838">
            <w:pPr>
              <w:spacing w:before="120" w:beforeLines="50" w:after="50"/>
              <w:jc w:val="center"/>
              <w:rPr>
                <w:rFonts w:ascii="仿宋" w:hAnsi="仿宋" w:eastAsia="仿宋"/>
                <w:b/>
                <w:color w:val="auto"/>
              </w:rPr>
            </w:pPr>
            <w:r>
              <w:rPr>
                <w:rFonts w:ascii="仿宋" w:hAnsi="仿宋" w:eastAsia="仿宋"/>
                <w:b/>
                <w:color w:val="auto"/>
              </w:rPr>
              <w:t>1</w:t>
            </w:r>
          </w:p>
        </w:tc>
        <w:tc>
          <w:tcPr>
            <w:tcW w:w="2693" w:type="dxa"/>
            <w:gridSpan w:val="2"/>
            <w:vAlign w:val="center"/>
          </w:tcPr>
          <w:p w14:paraId="73F49C44">
            <w:pPr>
              <w:spacing w:before="120" w:beforeLines="50" w:after="50"/>
              <w:jc w:val="center"/>
              <w:rPr>
                <w:rFonts w:ascii="仿宋" w:hAnsi="仿宋" w:eastAsia="仿宋" w:cs="宋体"/>
                <w:b/>
                <w:bCs/>
                <w:color w:val="auto"/>
              </w:rPr>
            </w:pPr>
          </w:p>
        </w:tc>
        <w:tc>
          <w:tcPr>
            <w:tcW w:w="2410" w:type="dxa"/>
            <w:vAlign w:val="center"/>
          </w:tcPr>
          <w:p w14:paraId="47C762D9">
            <w:pPr>
              <w:spacing w:before="120" w:beforeLines="50" w:after="50"/>
              <w:jc w:val="center"/>
              <w:rPr>
                <w:rFonts w:ascii="仿宋" w:hAnsi="仿宋" w:eastAsia="仿宋" w:cs="宋体"/>
                <w:b/>
                <w:bCs/>
                <w:color w:val="auto"/>
              </w:rPr>
            </w:pPr>
          </w:p>
        </w:tc>
        <w:tc>
          <w:tcPr>
            <w:tcW w:w="3934" w:type="dxa"/>
            <w:vMerge w:val="continue"/>
            <w:vAlign w:val="center"/>
          </w:tcPr>
          <w:p w14:paraId="32367F80">
            <w:pPr>
              <w:rPr>
                <w:rFonts w:ascii="仿宋" w:hAnsi="仿宋" w:eastAsia="仿宋"/>
                <w:color w:val="auto"/>
              </w:rPr>
            </w:pPr>
          </w:p>
        </w:tc>
      </w:tr>
      <w:tr w14:paraId="1BB0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tcPr>
          <w:p w14:paraId="2D27CEDA">
            <w:pPr>
              <w:spacing w:before="120" w:beforeLines="50" w:after="50"/>
              <w:jc w:val="center"/>
              <w:rPr>
                <w:rFonts w:ascii="仿宋" w:hAnsi="仿宋" w:eastAsia="仿宋"/>
                <w:b/>
                <w:color w:val="auto"/>
              </w:rPr>
            </w:pPr>
            <w:r>
              <w:rPr>
                <w:rFonts w:ascii="仿宋" w:hAnsi="仿宋" w:eastAsia="仿宋"/>
                <w:b/>
                <w:color w:val="auto"/>
              </w:rPr>
              <w:t>2</w:t>
            </w:r>
          </w:p>
        </w:tc>
        <w:tc>
          <w:tcPr>
            <w:tcW w:w="2693" w:type="dxa"/>
            <w:gridSpan w:val="2"/>
            <w:vAlign w:val="center"/>
          </w:tcPr>
          <w:p w14:paraId="05944D0B">
            <w:pPr>
              <w:spacing w:before="120" w:beforeLines="50" w:after="50"/>
              <w:jc w:val="center"/>
              <w:rPr>
                <w:rFonts w:ascii="仿宋" w:hAnsi="仿宋" w:eastAsia="仿宋" w:cs="宋体"/>
                <w:b/>
                <w:bCs/>
                <w:color w:val="auto"/>
              </w:rPr>
            </w:pPr>
          </w:p>
        </w:tc>
        <w:tc>
          <w:tcPr>
            <w:tcW w:w="2410" w:type="dxa"/>
            <w:vAlign w:val="center"/>
          </w:tcPr>
          <w:p w14:paraId="0B995D22">
            <w:pPr>
              <w:spacing w:before="120" w:beforeLines="50" w:after="50"/>
              <w:jc w:val="center"/>
              <w:rPr>
                <w:rFonts w:ascii="仿宋" w:hAnsi="仿宋" w:eastAsia="仿宋" w:cs="宋体"/>
                <w:b/>
                <w:bCs/>
                <w:color w:val="auto"/>
              </w:rPr>
            </w:pPr>
          </w:p>
        </w:tc>
        <w:tc>
          <w:tcPr>
            <w:tcW w:w="3934" w:type="dxa"/>
            <w:vMerge w:val="continue"/>
            <w:vAlign w:val="center"/>
          </w:tcPr>
          <w:p w14:paraId="7BCF9FAF">
            <w:pPr>
              <w:rPr>
                <w:rFonts w:ascii="仿宋" w:hAnsi="仿宋" w:eastAsia="仿宋"/>
                <w:color w:val="auto"/>
              </w:rPr>
            </w:pPr>
          </w:p>
        </w:tc>
      </w:tr>
      <w:tr w14:paraId="1F17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Align w:val="center"/>
          </w:tcPr>
          <w:p w14:paraId="3B704ABA">
            <w:pPr>
              <w:spacing w:before="120" w:beforeLines="50" w:after="50"/>
              <w:jc w:val="center"/>
              <w:rPr>
                <w:rFonts w:ascii="仿宋" w:hAnsi="仿宋" w:eastAsia="仿宋"/>
                <w:b/>
                <w:color w:val="auto"/>
              </w:rPr>
            </w:pPr>
            <w:r>
              <w:rPr>
                <w:rFonts w:ascii="仿宋" w:hAnsi="仿宋" w:eastAsia="仿宋" w:cs="宋体"/>
                <w:color w:val="auto"/>
              </w:rPr>
              <w:t>……</w:t>
            </w:r>
          </w:p>
        </w:tc>
        <w:tc>
          <w:tcPr>
            <w:tcW w:w="2693" w:type="dxa"/>
            <w:gridSpan w:val="2"/>
            <w:vAlign w:val="center"/>
          </w:tcPr>
          <w:p w14:paraId="74DA90E3">
            <w:pPr>
              <w:spacing w:before="120" w:beforeLines="50" w:after="50"/>
              <w:jc w:val="center"/>
              <w:rPr>
                <w:rFonts w:ascii="仿宋" w:hAnsi="仿宋" w:eastAsia="仿宋" w:cs="宋体"/>
                <w:b/>
                <w:bCs/>
                <w:color w:val="auto"/>
              </w:rPr>
            </w:pPr>
          </w:p>
        </w:tc>
        <w:tc>
          <w:tcPr>
            <w:tcW w:w="2410" w:type="dxa"/>
            <w:vAlign w:val="center"/>
          </w:tcPr>
          <w:p w14:paraId="7422AFE7">
            <w:pPr>
              <w:spacing w:before="120" w:beforeLines="50" w:after="50"/>
              <w:jc w:val="center"/>
              <w:rPr>
                <w:rFonts w:ascii="仿宋" w:hAnsi="仿宋" w:eastAsia="仿宋" w:cs="宋体"/>
                <w:b/>
                <w:bCs/>
                <w:color w:val="auto"/>
              </w:rPr>
            </w:pPr>
          </w:p>
        </w:tc>
        <w:tc>
          <w:tcPr>
            <w:tcW w:w="3934" w:type="dxa"/>
            <w:vMerge w:val="continue"/>
            <w:vAlign w:val="center"/>
          </w:tcPr>
          <w:p w14:paraId="7C436802">
            <w:pPr>
              <w:rPr>
                <w:rFonts w:ascii="仿宋" w:hAnsi="仿宋" w:eastAsia="仿宋"/>
                <w:color w:val="auto"/>
              </w:rPr>
            </w:pPr>
          </w:p>
        </w:tc>
      </w:tr>
    </w:tbl>
    <w:p w14:paraId="0FC7E1F7">
      <w:pPr>
        <w:spacing w:line="360" w:lineRule="auto"/>
        <w:rPr>
          <w:rFonts w:ascii="仿宋" w:hAnsi="仿宋" w:eastAsia="仿宋"/>
          <w:color w:val="auto"/>
        </w:rPr>
      </w:pPr>
    </w:p>
    <w:p w14:paraId="0218A5D5">
      <w:pPr>
        <w:spacing w:line="360" w:lineRule="auto"/>
        <w:rPr>
          <w:rFonts w:ascii="仿宋" w:hAnsi="仿宋" w:eastAsia="仿宋"/>
          <w:color w:val="auto"/>
        </w:rPr>
      </w:pPr>
    </w:p>
    <w:p w14:paraId="5787A884">
      <w:pPr>
        <w:spacing w:line="360" w:lineRule="auto"/>
        <w:ind w:firstLine="4620" w:firstLineChars="2100"/>
        <w:rPr>
          <w:rFonts w:ascii="仿宋" w:hAnsi="仿宋" w:eastAsia="仿宋" w:cs="方正仿宋_GB2312"/>
          <w:color w:val="auto"/>
          <w:sz w:val="22"/>
          <w:u w:val="single"/>
        </w:rPr>
      </w:pPr>
      <w:r>
        <w:rPr>
          <w:rFonts w:hint="eastAsia" w:ascii="仿宋" w:hAnsi="仿宋" w:eastAsia="仿宋" w:cs="方正仿宋_GB2312"/>
          <w:color w:val="auto"/>
          <w:sz w:val="22"/>
          <w:lang w:val="en-US" w:eastAsia="zh-CN"/>
        </w:rPr>
        <w:t>供应商</w:t>
      </w:r>
      <w:r>
        <w:rPr>
          <w:rFonts w:hint="eastAsia" w:ascii="仿宋" w:hAnsi="仿宋" w:eastAsia="仿宋" w:cs="方正仿宋_GB2312"/>
          <w:color w:val="auto"/>
          <w:sz w:val="22"/>
          <w:lang w:val="zh-CN"/>
        </w:rPr>
        <w:t>名称(</w:t>
      </w:r>
      <w:r>
        <w:rPr>
          <w:rFonts w:hint="eastAsia" w:ascii="仿宋" w:hAnsi="仿宋" w:eastAsia="仿宋" w:cs="方正仿宋_GB2312"/>
          <w:color w:val="auto"/>
          <w:sz w:val="22"/>
        </w:rPr>
        <w:t>公章</w:t>
      </w:r>
      <w:r>
        <w:rPr>
          <w:rFonts w:hint="eastAsia" w:ascii="仿宋" w:hAnsi="仿宋" w:eastAsia="仿宋" w:cs="方正仿宋_GB2312"/>
          <w:color w:val="auto"/>
          <w:sz w:val="22"/>
          <w:lang w:val="zh-CN"/>
        </w:rPr>
        <w:t>)：</w:t>
      </w:r>
      <w:r>
        <w:rPr>
          <w:rFonts w:hint="eastAsia" w:ascii="仿宋" w:hAnsi="仿宋" w:eastAsia="仿宋" w:cs="方正仿宋_GB2312"/>
          <w:color w:val="auto"/>
          <w:sz w:val="22"/>
          <w:u w:val="single"/>
          <w:lang w:val="zh-CN"/>
        </w:rPr>
        <w:t xml:space="preserve"> </w:t>
      </w:r>
      <w:r>
        <w:rPr>
          <w:rFonts w:ascii="仿宋" w:hAnsi="仿宋" w:eastAsia="仿宋" w:cs="方正仿宋_GB2312"/>
          <w:color w:val="auto"/>
          <w:sz w:val="22"/>
          <w:u w:val="single"/>
          <w:lang w:val="zh-CN"/>
        </w:rPr>
        <w:t xml:space="preserve">         </w:t>
      </w:r>
    </w:p>
    <w:p w14:paraId="4B2DBBF4">
      <w:pPr>
        <w:spacing w:line="360" w:lineRule="auto"/>
        <w:ind w:firstLine="4730" w:firstLineChars="2150"/>
        <w:rPr>
          <w:rFonts w:ascii="宋体" w:hAnsi="宋体" w:cs="宋体"/>
          <w:b/>
          <w:bCs/>
          <w:color w:val="auto"/>
          <w:szCs w:val="24"/>
        </w:rPr>
      </w:pPr>
      <w:r>
        <w:rPr>
          <w:rFonts w:hint="eastAsia" w:ascii="仿宋" w:hAnsi="仿宋" w:eastAsia="仿宋" w:cs="方正仿宋_GB2312"/>
          <w:color w:val="auto"/>
          <w:sz w:val="22"/>
          <w:lang w:val="zh-CN"/>
        </w:rPr>
        <w:t>日期</w:t>
      </w:r>
      <w:r>
        <w:rPr>
          <w:rFonts w:hint="eastAsia" w:ascii="仿宋" w:hAnsi="仿宋" w:eastAsia="仿宋" w:cs="方正仿宋_GB2312"/>
          <w:color w:val="auto"/>
          <w:sz w:val="22"/>
        </w:rPr>
        <w:t xml:space="preserve">：  年  </w:t>
      </w:r>
      <w:r>
        <w:rPr>
          <w:rFonts w:hint="eastAsia" w:ascii="仿宋" w:hAnsi="仿宋" w:eastAsia="仿宋" w:cs="方正仿宋_GB2312"/>
          <w:color w:val="auto"/>
          <w:sz w:val="22"/>
          <w:lang w:val="zh-CN"/>
        </w:rPr>
        <w:t>月</w:t>
      </w:r>
      <w:r>
        <w:rPr>
          <w:rFonts w:hint="eastAsia" w:ascii="仿宋" w:hAnsi="仿宋" w:eastAsia="仿宋" w:cs="方正仿宋_GB2312"/>
          <w:color w:val="auto"/>
          <w:sz w:val="22"/>
        </w:rPr>
        <w:t xml:space="preserve">   </w:t>
      </w:r>
      <w:r>
        <w:rPr>
          <w:rFonts w:hint="eastAsia" w:ascii="仿宋" w:hAnsi="仿宋" w:eastAsia="仿宋" w:cs="方正仿宋_GB2312"/>
          <w:color w:val="auto"/>
          <w:sz w:val="22"/>
          <w:lang w:val="zh-CN"/>
        </w:rPr>
        <w:t>日</w:t>
      </w:r>
    </w:p>
    <w:p w14:paraId="06626D42">
      <w:pPr>
        <w:pStyle w:val="15"/>
        <w:spacing w:beforeAutospacing="0" w:afterAutospacing="0" w:line="520" w:lineRule="exact"/>
        <w:jc w:val="both"/>
        <w:rPr>
          <w:rFonts w:hint="eastAsia" w:ascii="宋体" w:hAnsi="宋体" w:cs="宋体"/>
          <w:color w:val="auto"/>
          <w:szCs w:val="24"/>
          <w:shd w:val="clear" w:color="auto" w:fill="FFFFFF"/>
        </w:rPr>
      </w:pPr>
    </w:p>
    <w:p w14:paraId="67ACF72A">
      <w:pPr>
        <w:spacing w:line="520" w:lineRule="exact"/>
        <w:jc w:val="both"/>
        <w:rPr>
          <w:rFonts w:ascii="宋体" w:hAnsi="宋体" w:cs="宋体"/>
          <w:color w:val="auto"/>
          <w:szCs w:val="24"/>
        </w:rPr>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9B557">
    <w:pPr>
      <w:pStyle w:val="11"/>
      <w:ind w:firstLine="480"/>
      <w:rPr>
        <w:sz w:val="24"/>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273D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6774B">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CF9C9">
    <w:pPr>
      <w:pStyle w:val="1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64F432"/>
    <w:multiLevelType w:val="singleLevel"/>
    <w:tmpl w:val="3F64F432"/>
    <w:lvl w:ilvl="0" w:tentative="0">
      <w:start w:val="1"/>
      <w:numFmt w:val="chineseCounting"/>
      <w:suff w:val="nothing"/>
      <w:lvlText w:val="%1、"/>
      <w:lvlJc w:val="left"/>
      <w:rPr>
        <w:rFonts w:hint="eastAsia"/>
      </w:rPr>
    </w:lvl>
  </w:abstractNum>
  <w:abstractNum w:abstractNumId="1">
    <w:nsid w:val="5127590E"/>
    <w:multiLevelType w:val="singleLevel"/>
    <w:tmpl w:val="5127590E"/>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2Njc3Y2YwZjIzNjU0NGNmZDhiMmM2YzA4NGE5MjEifQ=="/>
  </w:docVars>
  <w:rsids>
    <w:rsidRoot w:val="009A1D84"/>
    <w:rsid w:val="000632C7"/>
    <w:rsid w:val="001B61FE"/>
    <w:rsid w:val="00296E1B"/>
    <w:rsid w:val="002C497A"/>
    <w:rsid w:val="003F2F88"/>
    <w:rsid w:val="00472FCD"/>
    <w:rsid w:val="00574D7A"/>
    <w:rsid w:val="00634229"/>
    <w:rsid w:val="0069166C"/>
    <w:rsid w:val="0070136D"/>
    <w:rsid w:val="00703594"/>
    <w:rsid w:val="00715FDF"/>
    <w:rsid w:val="007537BD"/>
    <w:rsid w:val="008F6A16"/>
    <w:rsid w:val="009A1D84"/>
    <w:rsid w:val="009C314F"/>
    <w:rsid w:val="00AF2D5D"/>
    <w:rsid w:val="00CF037C"/>
    <w:rsid w:val="015B4FE6"/>
    <w:rsid w:val="01C25065"/>
    <w:rsid w:val="01ED6A83"/>
    <w:rsid w:val="02B240F8"/>
    <w:rsid w:val="05656433"/>
    <w:rsid w:val="080C30FA"/>
    <w:rsid w:val="081B2B32"/>
    <w:rsid w:val="084131A2"/>
    <w:rsid w:val="09EC7123"/>
    <w:rsid w:val="0AA52950"/>
    <w:rsid w:val="0AD33307"/>
    <w:rsid w:val="0B5F1461"/>
    <w:rsid w:val="0C3A179C"/>
    <w:rsid w:val="0C5C3FFF"/>
    <w:rsid w:val="0C640D76"/>
    <w:rsid w:val="0CA37841"/>
    <w:rsid w:val="0CB03EC9"/>
    <w:rsid w:val="0CDB6F07"/>
    <w:rsid w:val="112A26A6"/>
    <w:rsid w:val="11C77310"/>
    <w:rsid w:val="12584CB9"/>
    <w:rsid w:val="12B01938"/>
    <w:rsid w:val="12FC629A"/>
    <w:rsid w:val="130D310F"/>
    <w:rsid w:val="137B32C6"/>
    <w:rsid w:val="13F53078"/>
    <w:rsid w:val="14356AAB"/>
    <w:rsid w:val="143C5FF9"/>
    <w:rsid w:val="159F4E8D"/>
    <w:rsid w:val="15C72899"/>
    <w:rsid w:val="165275C4"/>
    <w:rsid w:val="17386D59"/>
    <w:rsid w:val="178367B1"/>
    <w:rsid w:val="17AF353E"/>
    <w:rsid w:val="180833CC"/>
    <w:rsid w:val="1A4A739A"/>
    <w:rsid w:val="1B4848F3"/>
    <w:rsid w:val="1C105709"/>
    <w:rsid w:val="1CA83733"/>
    <w:rsid w:val="1D8965DF"/>
    <w:rsid w:val="1EFF1A3F"/>
    <w:rsid w:val="1F6410B2"/>
    <w:rsid w:val="1F66307C"/>
    <w:rsid w:val="1FEB5F80"/>
    <w:rsid w:val="208657A5"/>
    <w:rsid w:val="20D37767"/>
    <w:rsid w:val="218B1D89"/>
    <w:rsid w:val="22166A7B"/>
    <w:rsid w:val="230A30AA"/>
    <w:rsid w:val="2383647E"/>
    <w:rsid w:val="23945FA1"/>
    <w:rsid w:val="23B67ACD"/>
    <w:rsid w:val="26DB348E"/>
    <w:rsid w:val="26DC74C0"/>
    <w:rsid w:val="27FC457D"/>
    <w:rsid w:val="297E18EB"/>
    <w:rsid w:val="2A7035BA"/>
    <w:rsid w:val="2B915045"/>
    <w:rsid w:val="2C524329"/>
    <w:rsid w:val="2DA03BFD"/>
    <w:rsid w:val="2DFE5702"/>
    <w:rsid w:val="2E6A7D67"/>
    <w:rsid w:val="2E801900"/>
    <w:rsid w:val="2EF86DCE"/>
    <w:rsid w:val="2F5A0B58"/>
    <w:rsid w:val="30282266"/>
    <w:rsid w:val="303269F5"/>
    <w:rsid w:val="30DC4843"/>
    <w:rsid w:val="313C1E8F"/>
    <w:rsid w:val="318B634B"/>
    <w:rsid w:val="32345A12"/>
    <w:rsid w:val="337E5C2D"/>
    <w:rsid w:val="348953EB"/>
    <w:rsid w:val="34F85D17"/>
    <w:rsid w:val="35700359"/>
    <w:rsid w:val="35ED034B"/>
    <w:rsid w:val="362D1E01"/>
    <w:rsid w:val="369915A3"/>
    <w:rsid w:val="37D87716"/>
    <w:rsid w:val="38AA300C"/>
    <w:rsid w:val="391A5826"/>
    <w:rsid w:val="3AF410E4"/>
    <w:rsid w:val="3C055F1F"/>
    <w:rsid w:val="3D1B331C"/>
    <w:rsid w:val="3D8A5B15"/>
    <w:rsid w:val="3EC97404"/>
    <w:rsid w:val="3F184D91"/>
    <w:rsid w:val="3F433CFA"/>
    <w:rsid w:val="3F822DE4"/>
    <w:rsid w:val="3FE604E4"/>
    <w:rsid w:val="40026051"/>
    <w:rsid w:val="40976F94"/>
    <w:rsid w:val="40E4190F"/>
    <w:rsid w:val="423942D4"/>
    <w:rsid w:val="4264474B"/>
    <w:rsid w:val="433F6EE1"/>
    <w:rsid w:val="435117C9"/>
    <w:rsid w:val="443A04B0"/>
    <w:rsid w:val="447B4A86"/>
    <w:rsid w:val="44BE3175"/>
    <w:rsid w:val="45412397"/>
    <w:rsid w:val="456C67E4"/>
    <w:rsid w:val="46EF569F"/>
    <w:rsid w:val="48462F2E"/>
    <w:rsid w:val="488570E6"/>
    <w:rsid w:val="4A6873F9"/>
    <w:rsid w:val="4AD00929"/>
    <w:rsid w:val="4AF75449"/>
    <w:rsid w:val="4B3A2B43"/>
    <w:rsid w:val="4CC307BC"/>
    <w:rsid w:val="4DA846DC"/>
    <w:rsid w:val="4DCA7EE2"/>
    <w:rsid w:val="4E2313EB"/>
    <w:rsid w:val="4F4F687F"/>
    <w:rsid w:val="50204905"/>
    <w:rsid w:val="51143E36"/>
    <w:rsid w:val="516106F8"/>
    <w:rsid w:val="51AB552C"/>
    <w:rsid w:val="51B41622"/>
    <w:rsid w:val="526A2C4E"/>
    <w:rsid w:val="52BA4C95"/>
    <w:rsid w:val="53207B19"/>
    <w:rsid w:val="53552B55"/>
    <w:rsid w:val="53796510"/>
    <w:rsid w:val="53E7515D"/>
    <w:rsid w:val="55006289"/>
    <w:rsid w:val="551D5A65"/>
    <w:rsid w:val="5639410B"/>
    <w:rsid w:val="56AE39B3"/>
    <w:rsid w:val="57C47E0F"/>
    <w:rsid w:val="587850EB"/>
    <w:rsid w:val="59305AC2"/>
    <w:rsid w:val="5B1E6CC5"/>
    <w:rsid w:val="5B326E69"/>
    <w:rsid w:val="5BE03293"/>
    <w:rsid w:val="5CDA2160"/>
    <w:rsid w:val="5D3A4C25"/>
    <w:rsid w:val="5DA077CF"/>
    <w:rsid w:val="5FFEFFBF"/>
    <w:rsid w:val="604C78A9"/>
    <w:rsid w:val="606F2D34"/>
    <w:rsid w:val="60B63B00"/>
    <w:rsid w:val="60F23E5F"/>
    <w:rsid w:val="6209447F"/>
    <w:rsid w:val="62744735"/>
    <w:rsid w:val="62AB48E3"/>
    <w:rsid w:val="6435296A"/>
    <w:rsid w:val="64514064"/>
    <w:rsid w:val="64B21544"/>
    <w:rsid w:val="65A03519"/>
    <w:rsid w:val="65EE47FE"/>
    <w:rsid w:val="6626777D"/>
    <w:rsid w:val="666D7522"/>
    <w:rsid w:val="66795D12"/>
    <w:rsid w:val="67387F90"/>
    <w:rsid w:val="67452B44"/>
    <w:rsid w:val="685E2658"/>
    <w:rsid w:val="689F0032"/>
    <w:rsid w:val="692F585A"/>
    <w:rsid w:val="69BA5C11"/>
    <w:rsid w:val="69C97A5C"/>
    <w:rsid w:val="69D96491"/>
    <w:rsid w:val="6A75729C"/>
    <w:rsid w:val="6AAD2EDA"/>
    <w:rsid w:val="6ABC5093"/>
    <w:rsid w:val="6AED3C1F"/>
    <w:rsid w:val="6B2F7D93"/>
    <w:rsid w:val="6CD27F47"/>
    <w:rsid w:val="6D500D6A"/>
    <w:rsid w:val="6DB12CE1"/>
    <w:rsid w:val="6E113780"/>
    <w:rsid w:val="6E5B2C4D"/>
    <w:rsid w:val="6F382294"/>
    <w:rsid w:val="72214F74"/>
    <w:rsid w:val="72E476B5"/>
    <w:rsid w:val="749A169F"/>
    <w:rsid w:val="751A73BE"/>
    <w:rsid w:val="76070F80"/>
    <w:rsid w:val="76172A46"/>
    <w:rsid w:val="761A73D1"/>
    <w:rsid w:val="767318FC"/>
    <w:rsid w:val="76B57238"/>
    <w:rsid w:val="76D27B8A"/>
    <w:rsid w:val="77324802"/>
    <w:rsid w:val="777D3BB6"/>
    <w:rsid w:val="780E2ADE"/>
    <w:rsid w:val="78B65CA8"/>
    <w:rsid w:val="79A44345"/>
    <w:rsid w:val="7AB66663"/>
    <w:rsid w:val="7AE33054"/>
    <w:rsid w:val="7B2138CA"/>
    <w:rsid w:val="7B441319"/>
    <w:rsid w:val="7D1846E5"/>
    <w:rsid w:val="7E055BB5"/>
    <w:rsid w:val="7E843AFA"/>
    <w:rsid w:val="7E925393"/>
    <w:rsid w:val="7FB75E28"/>
    <w:rsid w:val="BE5F7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宋体" w:cs="Arial"/>
      <w:snapToGrid w:val="0"/>
      <w:color w:val="000000"/>
      <w:sz w:val="24"/>
      <w:szCs w:val="21"/>
      <w:lang w:val="en-US" w:eastAsia="zh-CN" w:bidi="ar-SA"/>
    </w:rPr>
  </w:style>
  <w:style w:type="paragraph" w:styleId="4">
    <w:name w:val="heading 1"/>
    <w:basedOn w:val="1"/>
    <w:next w:val="1"/>
    <w:qFormat/>
    <w:uiPriority w:val="0"/>
    <w:pPr>
      <w:keepNext/>
      <w:keepLines/>
      <w:spacing w:before="340" w:after="330" w:line="576" w:lineRule="auto"/>
      <w:jc w:val="center"/>
      <w:outlineLvl w:val="0"/>
    </w:pPr>
    <w:rPr>
      <w:b/>
      <w:kern w:val="44"/>
      <w:sz w:val="44"/>
    </w:rPr>
  </w:style>
  <w:style w:type="paragraph" w:styleId="5">
    <w:name w:val="heading 2"/>
    <w:basedOn w:val="1"/>
    <w:next w:val="1"/>
    <w:link w:val="25"/>
    <w:semiHidden/>
    <w:unhideWhenUsed/>
    <w:qFormat/>
    <w:uiPriority w:val="0"/>
    <w:pPr>
      <w:keepNext/>
      <w:keepLines/>
      <w:spacing w:before="260" w:after="260" w:line="416" w:lineRule="auto"/>
      <w:jc w:val="center"/>
      <w:outlineLvl w:val="1"/>
    </w:pPr>
    <w:rPr>
      <w:rFonts w:ascii="等线 Light" w:hAnsi="等线 Light"/>
      <w:b/>
      <w:bCs/>
      <w:sz w:val="30"/>
      <w:szCs w:val="32"/>
    </w:rPr>
  </w:style>
  <w:style w:type="paragraph" w:styleId="6">
    <w:name w:val="heading 4"/>
    <w:basedOn w:val="1"/>
    <w:next w:val="1"/>
    <w:unhideWhenUsed/>
    <w:qFormat/>
    <w:uiPriority w:val="0"/>
    <w:pPr>
      <w:keepNext/>
      <w:keepLines/>
      <w:spacing w:before="280" w:after="290" w:line="372" w:lineRule="auto"/>
      <w:jc w:val="center"/>
      <w:outlineLvl w:val="3"/>
    </w:pPr>
    <w:rPr>
      <w:rFonts w:cs="Times New Roman"/>
      <w:b/>
      <w:szCs w:val="2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semiHidden/>
    <w:unhideWhenUsed/>
    <w:qFormat/>
    <w:uiPriority w:val="99"/>
    <w:pPr>
      <w:ind w:firstLine="420" w:firstLineChars="100"/>
    </w:pPr>
  </w:style>
  <w:style w:type="paragraph" w:styleId="3">
    <w:name w:val="Body Text"/>
    <w:basedOn w:val="1"/>
    <w:unhideWhenUsed/>
    <w:qFormat/>
    <w:uiPriority w:val="0"/>
    <w:pPr>
      <w:spacing w:after="120"/>
    </w:pPr>
  </w:style>
  <w:style w:type="paragraph" w:styleId="7">
    <w:name w:val="annotation text"/>
    <w:basedOn w:val="1"/>
    <w:link w:val="33"/>
    <w:qFormat/>
    <w:uiPriority w:val="0"/>
  </w:style>
  <w:style w:type="paragraph" w:styleId="8">
    <w:name w:val="toc 3"/>
    <w:basedOn w:val="1"/>
    <w:next w:val="1"/>
    <w:qFormat/>
    <w:uiPriority w:val="39"/>
    <w:pPr>
      <w:ind w:left="200" w:leftChars="200"/>
    </w:pPr>
    <w:rPr>
      <w:sz w:val="28"/>
    </w:rPr>
  </w:style>
  <w:style w:type="paragraph" w:styleId="9">
    <w:name w:val="Plain Text"/>
    <w:basedOn w:val="1"/>
    <w:next w:val="1"/>
    <w:qFormat/>
    <w:uiPriority w:val="0"/>
    <w:rPr>
      <w:rFonts w:ascii="宋体" w:hAnsi="Courier New"/>
      <w:szCs w:val="20"/>
    </w:rPr>
  </w:style>
  <w:style w:type="paragraph" w:styleId="10">
    <w:name w:val="Balloon Text"/>
    <w:basedOn w:val="1"/>
    <w:link w:val="32"/>
    <w:qFormat/>
    <w:uiPriority w:val="0"/>
    <w:rPr>
      <w:sz w:val="18"/>
      <w:szCs w:val="18"/>
    </w:rPr>
  </w:style>
  <w:style w:type="paragraph" w:styleId="11">
    <w:name w:val="footer"/>
    <w:basedOn w:val="1"/>
    <w:qFormat/>
    <w:uiPriority w:val="0"/>
    <w:pPr>
      <w:tabs>
        <w:tab w:val="center" w:pos="4153"/>
        <w:tab w:val="right" w:pos="8306"/>
      </w:tabs>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3">
    <w:name w:val="toc 1"/>
    <w:basedOn w:val="1"/>
    <w:next w:val="1"/>
    <w:qFormat/>
    <w:uiPriority w:val="0"/>
    <w:pPr>
      <w:tabs>
        <w:tab w:val="right" w:leader="dot" w:pos="8296"/>
        <w:tab w:val="right" w:leader="dot" w:pos="8398"/>
      </w:tabs>
      <w:spacing w:before="120" w:after="120" w:line="320" w:lineRule="exact"/>
      <w:ind w:firstLine="840" w:firstLineChars="400"/>
    </w:pPr>
    <w:rPr>
      <w:rFonts w:ascii="方正仿宋_GB2312" w:hAnsi="宋体" w:eastAsia="方正仿宋_GB2312" w:cs="Courier New"/>
      <w:bCs/>
      <w:caps/>
    </w:rPr>
  </w:style>
  <w:style w:type="paragraph" w:styleId="14">
    <w:name w:val="toc 2"/>
    <w:basedOn w:val="1"/>
    <w:next w:val="1"/>
    <w:qFormat/>
    <w:uiPriority w:val="39"/>
    <w:pPr>
      <w:tabs>
        <w:tab w:val="right" w:leader="dot" w:pos="8296"/>
      </w:tabs>
    </w:pPr>
    <w:rPr>
      <w:sz w:val="28"/>
    </w:rPr>
  </w:style>
  <w:style w:type="paragraph" w:styleId="15">
    <w:name w:val="Normal (Web)"/>
    <w:basedOn w:val="1"/>
    <w:qFormat/>
    <w:uiPriority w:val="0"/>
    <w:pPr>
      <w:spacing w:beforeAutospacing="1" w:afterAutospacing="1"/>
    </w:pPr>
    <w:rPr>
      <w:rFonts w:cs="Times New Roman"/>
    </w:rPr>
  </w:style>
  <w:style w:type="paragraph" w:styleId="16">
    <w:name w:val="Title"/>
    <w:basedOn w:val="1"/>
    <w:next w:val="1"/>
    <w:qFormat/>
    <w:uiPriority w:val="0"/>
    <w:pPr>
      <w:spacing w:before="240" w:after="60"/>
      <w:jc w:val="center"/>
      <w:outlineLvl w:val="0"/>
    </w:pPr>
    <w:rPr>
      <w:rFonts w:asciiTheme="majorHAnsi" w:hAnsiTheme="majorHAnsi" w:eastAsiaTheme="majorEastAsia" w:cstheme="majorBidi"/>
      <w:b/>
      <w:bCs/>
      <w:sz w:val="32"/>
      <w:szCs w:val="32"/>
    </w:rPr>
  </w:style>
  <w:style w:type="paragraph" w:styleId="17">
    <w:name w:val="annotation subject"/>
    <w:basedOn w:val="7"/>
    <w:next w:val="7"/>
    <w:link w:val="34"/>
    <w:qFormat/>
    <w:uiPriority w:val="0"/>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annotation reference"/>
    <w:basedOn w:val="20"/>
    <w:qFormat/>
    <w:uiPriority w:val="0"/>
    <w:rPr>
      <w:sz w:val="21"/>
      <w:szCs w:val="21"/>
    </w:rPr>
  </w:style>
  <w:style w:type="paragraph" w:customStyle="1" w:styleId="24">
    <w:name w:val="Title1"/>
    <w:basedOn w:val="1"/>
    <w:next w:val="1"/>
    <w:qFormat/>
    <w:uiPriority w:val="99"/>
    <w:pPr>
      <w:jc w:val="center"/>
      <w:outlineLvl w:val="0"/>
    </w:pPr>
    <w:rPr>
      <w:rFonts w:ascii="Calibri Light" w:hAnsi="Calibri Light"/>
      <w:b/>
    </w:rPr>
  </w:style>
  <w:style w:type="character" w:customStyle="1" w:styleId="25">
    <w:name w:val="标题 2 字符"/>
    <w:link w:val="5"/>
    <w:qFormat/>
    <w:uiPriority w:val="99"/>
    <w:rPr>
      <w:rFonts w:ascii="等线 Light" w:hAnsi="等线 Light" w:eastAsia="宋体" w:cs="Times New Roman"/>
      <w:sz w:val="30"/>
    </w:rPr>
  </w:style>
  <w:style w:type="paragraph" w:customStyle="1" w:styleId="26">
    <w:name w:val="p0"/>
    <w:basedOn w:val="1"/>
    <w:qFormat/>
    <w:uiPriority w:val="0"/>
    <w:rPr>
      <w:rFonts w:eastAsia="Times New Roman" w:cs="宋体"/>
    </w:rPr>
  </w:style>
  <w:style w:type="paragraph" w:customStyle="1" w:styleId="27">
    <w:name w:val="Default"/>
    <w:next w:val="28"/>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28">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29">
    <w:name w:val="自定义标题1"/>
    <w:qFormat/>
    <w:uiPriority w:val="0"/>
    <w:pPr>
      <w:spacing w:before="50" w:beforeLines="50" w:after="50" w:afterLines="50" w:line="360" w:lineRule="auto"/>
      <w:outlineLvl w:val="0"/>
    </w:pPr>
    <w:rPr>
      <w:rFonts w:ascii="Times New Roman" w:hAnsi="Times New Roman" w:eastAsia="黑体" w:cs="Times New Roman"/>
      <w:b/>
      <w:snapToGrid w:val="0"/>
      <w:kern w:val="44"/>
      <w:sz w:val="30"/>
      <w:lang w:val="en-US" w:eastAsia="zh-CN" w:bidi="ar-SA"/>
    </w:rPr>
  </w:style>
  <w:style w:type="paragraph" w:customStyle="1" w:styleId="30">
    <w:name w:val="自定义正文"/>
    <w:basedOn w:val="1"/>
    <w:qFormat/>
    <w:uiPriority w:val="0"/>
    <w:pPr>
      <w:snapToGrid/>
      <w:contextualSpacing/>
    </w:pPr>
  </w:style>
  <w:style w:type="paragraph" w:customStyle="1" w:styleId="31">
    <w:name w:val="自定义标题2"/>
    <w:qFormat/>
    <w:uiPriority w:val="0"/>
    <w:pPr>
      <w:spacing w:line="360" w:lineRule="auto"/>
      <w:jc w:val="both"/>
      <w:outlineLvl w:val="1"/>
    </w:pPr>
    <w:rPr>
      <w:rFonts w:ascii="Arial" w:hAnsi="Arial" w:eastAsia="宋体" w:cs="Times New Roman"/>
      <w:b/>
      <w:snapToGrid w:val="0"/>
      <w:kern w:val="44"/>
      <w:sz w:val="28"/>
      <w:lang w:val="en-US" w:eastAsia="zh-CN" w:bidi="ar-SA"/>
    </w:rPr>
  </w:style>
  <w:style w:type="character" w:customStyle="1" w:styleId="32">
    <w:name w:val="批注框文本 字符"/>
    <w:basedOn w:val="20"/>
    <w:link w:val="10"/>
    <w:qFormat/>
    <w:uiPriority w:val="0"/>
    <w:rPr>
      <w:rFonts w:ascii="Arial" w:hAnsi="Arial" w:cs="Arial"/>
      <w:snapToGrid w:val="0"/>
      <w:color w:val="000000"/>
      <w:sz w:val="18"/>
      <w:szCs w:val="18"/>
    </w:rPr>
  </w:style>
  <w:style w:type="character" w:customStyle="1" w:styleId="33">
    <w:name w:val="批注文字 字符"/>
    <w:basedOn w:val="20"/>
    <w:link w:val="7"/>
    <w:qFormat/>
    <w:uiPriority w:val="0"/>
    <w:rPr>
      <w:rFonts w:ascii="Arial" w:hAnsi="Arial" w:cs="Arial"/>
      <w:snapToGrid w:val="0"/>
      <w:color w:val="000000"/>
      <w:sz w:val="24"/>
      <w:szCs w:val="21"/>
    </w:rPr>
  </w:style>
  <w:style w:type="character" w:customStyle="1" w:styleId="34">
    <w:name w:val="批注主题 字符"/>
    <w:basedOn w:val="33"/>
    <w:link w:val="17"/>
    <w:qFormat/>
    <w:uiPriority w:val="0"/>
    <w:rPr>
      <w:rFonts w:ascii="Arial" w:hAnsi="Arial" w:cs="Arial"/>
      <w:b/>
      <w:bCs/>
      <w:snapToGrid w:val="0"/>
      <w:color w:val="000000"/>
      <w:sz w:val="24"/>
      <w:szCs w:val="21"/>
    </w:rPr>
  </w:style>
  <w:style w:type="paragraph" w:customStyle="1" w:styleId="35">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列出段落1"/>
    <w:basedOn w:val="1"/>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7</Pages>
  <Words>1899</Words>
  <Characters>1979</Characters>
  <Lines>95</Lines>
  <Paragraphs>26</Paragraphs>
  <TotalTime>24</TotalTime>
  <ScaleCrop>false</ScaleCrop>
  <LinksUpToDate>false</LinksUpToDate>
  <CharactersWithSpaces>1993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2023-02-20T17:34:00Z</dcterms:created>
  <dc:creator>GXTT</dc:creator>
  <cp:lastModifiedBy>李建波</cp:lastModifiedBy>
  <cp:lastPrinted>2024-10-15T01:11:00Z</cp:lastPrinted>
  <dcterms:modified xsi:type="dcterms:W3CDTF">2026-11-05T04:20:10Z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61548C3561F24658BF1AFBD96107F0CF_13</vt:lpwstr>
  </property>
  <property fmtid="{D5CDD505-2E9C-101B-9397-08002B2CF9AE}" pid="4" name="KSOTemplateDocerSaveRecord">
    <vt:lpwstr>eyJoZGlkIjoiYWU0ZTY2MzNiOGEyZGQ2MzllNTA0Nzk4MmU4MWVkZTQiLCJ1c2VySWQiOiIxNzIxNjA5MjIwIn0=</vt:lpwstr>
  </property>
</Properties>
</file>