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8194D">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sz w:val="24"/>
        </w:rPr>
        <w:t>广西艺术学院2026年高原学科建设“音乐+科技”设备购置项目采购文件</w:t>
      </w:r>
    </w:p>
    <w:p w14:paraId="55E8194E">
      <w:pPr>
        <w:pStyle w:val="3"/>
        <w:widowControl/>
        <w:shd w:val="clear" w:color="auto" w:fill="FFFFFF"/>
        <w:spacing w:beforeAutospacing="0" w:afterAutospacing="0" w:line="480" w:lineRule="exact"/>
        <w:ind w:firstLine="480"/>
        <w:jc w:val="both"/>
        <w:rPr>
          <w:rFonts w:ascii="宋体" w:hAnsi="宋体" w:cs="宋体"/>
          <w:sz w:val="22"/>
          <w:szCs w:val="22"/>
        </w:rPr>
      </w:pPr>
    </w:p>
    <w:p w14:paraId="55E8194F">
      <w:pPr>
        <w:pStyle w:val="3"/>
        <w:widowControl/>
        <w:shd w:val="clear" w:color="auto" w:fill="FFFFFF"/>
        <w:spacing w:beforeAutospacing="0" w:afterAutospacing="0" w:line="480" w:lineRule="exact"/>
        <w:jc w:val="both"/>
        <w:rPr>
          <w:rFonts w:ascii="宋体" w:hAnsi="宋体" w:cs="宋体"/>
          <w:sz w:val="22"/>
          <w:szCs w:val="22"/>
        </w:rPr>
      </w:pPr>
      <w:r>
        <w:rPr>
          <w:rFonts w:hint="eastAsia" w:ascii="宋体" w:hAnsi="宋体" w:cs="宋体"/>
          <w:sz w:val="22"/>
          <w:szCs w:val="22"/>
        </w:rPr>
        <w:t>项目说明</w:t>
      </w:r>
    </w:p>
    <w:p w14:paraId="55E81950">
      <w:pPr>
        <w:pStyle w:val="3"/>
        <w:widowControl/>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本项目采购预算未达到广西壮族自治区政府采购的限额标准，同时本项目的采购内容也未列入广西壮族自治区政府集中采购目录，因此，本项目不属于政府采购项目。</w:t>
      </w:r>
    </w:p>
    <w:p w14:paraId="55E81951">
      <w:pPr>
        <w:pStyle w:val="3"/>
        <w:spacing w:before="156" w:beforeLines="50" w:beforeAutospacing="0" w:afterAutospacing="0" w:line="480" w:lineRule="exact"/>
        <w:jc w:val="both"/>
        <w:rPr>
          <w:rFonts w:ascii="宋体" w:hAnsi="宋体" w:cs="宋体"/>
          <w:b/>
          <w:bCs/>
          <w:sz w:val="22"/>
          <w:szCs w:val="22"/>
          <w:shd w:val="clear" w:color="auto" w:fill="FFFFFF"/>
        </w:rPr>
      </w:pPr>
      <w:r>
        <w:rPr>
          <w:rFonts w:hint="eastAsia" w:ascii="宋体" w:hAnsi="宋体" w:cs="宋体"/>
          <w:b/>
          <w:bCs/>
          <w:sz w:val="22"/>
          <w:szCs w:val="22"/>
          <w:shd w:val="clear" w:color="auto" w:fill="FFFFFF"/>
        </w:rPr>
        <w:t>一、项目基本情况</w:t>
      </w:r>
    </w:p>
    <w:p w14:paraId="55E81952">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（一）项目名称：广西艺术学院2026年高原学科建设“音乐+科技”设备购置项目</w:t>
      </w:r>
    </w:p>
    <w:p w14:paraId="55E81953">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（二）采购方式：学校集中采购</w:t>
      </w:r>
    </w:p>
    <w:p w14:paraId="55E81954">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（三）采购内容：“音乐+科技”培育项目设备一批</w:t>
      </w:r>
    </w:p>
    <w:p w14:paraId="55E81955">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（四）采购预算：</w:t>
      </w:r>
      <w:r>
        <w:rPr>
          <w:rFonts w:hint="eastAsia" w:ascii="宋体" w:hAnsi="宋体" w:cs="宋体"/>
          <w:sz w:val="22"/>
          <w:szCs w:val="22"/>
          <w:lang w:val="en-US" w:eastAsia="zh-CN"/>
        </w:rPr>
        <w:t>19.981</w:t>
      </w:r>
      <w:r>
        <w:rPr>
          <w:rFonts w:hint="eastAsia" w:ascii="宋体" w:hAnsi="宋体" w:cs="宋体"/>
          <w:sz w:val="22"/>
          <w:szCs w:val="22"/>
        </w:rPr>
        <w:t>万元</w:t>
      </w:r>
    </w:p>
    <w:p w14:paraId="55E81956">
      <w:pPr>
        <w:pStyle w:val="3"/>
        <w:spacing w:before="156" w:beforeLines="50" w:beforeAutospacing="0" w:afterAutospacing="0" w:line="480" w:lineRule="exact"/>
        <w:jc w:val="both"/>
        <w:rPr>
          <w:rFonts w:ascii="宋体" w:hAnsi="宋体" w:cs="宋体"/>
          <w:b/>
          <w:bCs/>
          <w:sz w:val="22"/>
          <w:szCs w:val="22"/>
          <w:shd w:val="clear" w:color="auto" w:fill="FFFFFF"/>
        </w:rPr>
      </w:pPr>
      <w:r>
        <w:rPr>
          <w:rFonts w:hint="eastAsia" w:ascii="宋体" w:hAnsi="宋体" w:cs="宋体"/>
          <w:b/>
          <w:bCs/>
          <w:sz w:val="22"/>
          <w:szCs w:val="22"/>
          <w:shd w:val="clear" w:color="auto" w:fill="FFFFFF"/>
        </w:rPr>
        <w:t>二、采购需求</w:t>
      </w:r>
    </w:p>
    <w:p w14:paraId="55E81957">
      <w:pPr>
        <w:pStyle w:val="3"/>
        <w:shd w:val="clear" w:color="auto" w:fill="FFFFFF"/>
        <w:spacing w:beforeAutospacing="0" w:afterAutospacing="0" w:line="480" w:lineRule="exact"/>
        <w:ind w:firstLine="480"/>
        <w:jc w:val="both"/>
        <w:rPr>
          <w:rFonts w:ascii="宋体" w:hAnsi="宋体" w:cs="宋体"/>
          <w:b/>
          <w:bCs/>
          <w:sz w:val="22"/>
          <w:szCs w:val="22"/>
          <w:shd w:val="clear" w:color="auto" w:fill="FFFFFF"/>
        </w:rPr>
      </w:pPr>
      <w:r>
        <w:rPr>
          <w:rFonts w:hint="eastAsia" w:ascii="宋体" w:hAnsi="宋体" w:cs="宋体"/>
          <w:sz w:val="22"/>
          <w:szCs w:val="22"/>
        </w:rPr>
        <w:t>详见采购文件附件1。</w:t>
      </w:r>
    </w:p>
    <w:p w14:paraId="55E81958">
      <w:pPr>
        <w:pStyle w:val="3"/>
        <w:spacing w:before="156" w:beforeLines="50" w:beforeAutospacing="0" w:afterAutospacing="0" w:line="480" w:lineRule="exact"/>
        <w:jc w:val="both"/>
        <w:rPr>
          <w:rFonts w:ascii="宋体" w:hAnsi="宋体" w:cs="宋体"/>
          <w:b/>
          <w:bCs/>
          <w:sz w:val="22"/>
          <w:szCs w:val="22"/>
          <w:shd w:val="clear" w:color="auto" w:fill="FFFFFF"/>
        </w:rPr>
      </w:pPr>
      <w:r>
        <w:rPr>
          <w:rFonts w:hint="eastAsia" w:ascii="宋体" w:hAnsi="宋体" w:cs="宋体"/>
          <w:b/>
          <w:bCs/>
          <w:sz w:val="22"/>
          <w:szCs w:val="22"/>
          <w:shd w:val="clear" w:color="auto" w:fill="FFFFFF"/>
        </w:rPr>
        <w:t>三、供应商资格要求</w:t>
      </w:r>
    </w:p>
    <w:p w14:paraId="55E81959">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（一）在中华人民共和国境内注册，具有独立承担民事责任能力、能够履行本项目合同的法人或其他组织，持有有效的营业执照。</w:t>
      </w:r>
    </w:p>
    <w:p w14:paraId="55E8195A">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二）未被列入失信被执行人名单、重大税收违法案件当事人名单、政府采购严重违法失信行为记录名单，信用信息以最新的信用中国网站和中国政府采购网公布为准，请提供信用中国网站和中国政府采购网的查询结果信息。信用信息应当于响应文件递交截止时间前10个自然日内完成查询、下载或截图，所获取的信用信息报告、查询截图资料均须加盖供应商公章。</w:t>
      </w:r>
    </w:p>
    <w:p w14:paraId="55E8195B">
      <w:pPr>
        <w:pStyle w:val="3"/>
        <w:shd w:val="clear" w:color="auto" w:fill="FFFFFF"/>
        <w:spacing w:beforeAutospacing="0" w:afterAutospacing="0" w:line="480" w:lineRule="exact"/>
        <w:ind w:firstLine="420"/>
        <w:jc w:val="both"/>
        <w:rPr>
          <w:rFonts w:ascii="微软雅黑" w:hAnsi="微软雅黑" w:eastAsia="微软雅黑" w:cs="微软雅黑"/>
          <w:sz w:val="28"/>
          <w:szCs w:val="28"/>
        </w:rPr>
      </w:pPr>
      <w:r>
        <w:rPr>
          <w:rFonts w:ascii="楷体" w:hAnsi="楷体" w:eastAsia="楷体" w:cs="楷体"/>
          <w:sz w:val="22"/>
          <w:szCs w:val="22"/>
          <w:shd w:val="clear" w:color="auto" w:fill="FFFFFF"/>
        </w:rPr>
        <w:t>1.</w:t>
      </w:r>
      <w:r>
        <w:rPr>
          <w:rFonts w:hint="eastAsia" w:ascii="楷体" w:hAnsi="楷体" w:eastAsia="楷体" w:cs="楷体"/>
          <w:sz w:val="22"/>
          <w:szCs w:val="22"/>
          <w:shd w:val="clear" w:color="auto" w:fill="FFFFFF"/>
        </w:rPr>
        <w:t>“信用中国”查询方法：在“信用中国”网站顶部“信用信息”搜索栏中，输入信用主体名称或者统一社会信用代码，点击&lt;搜索&gt;。在搜索结果列表中，点击信用主体名称，访问「信用信息详情页」。在「信用信息详情页」点击&lt;下载信用信息报告&gt;按钮，即可完成下载。</w:t>
      </w:r>
    </w:p>
    <w:p w14:paraId="55E8195C">
      <w:pPr>
        <w:pStyle w:val="3"/>
        <w:shd w:val="clear" w:color="auto" w:fill="FFFFFF"/>
        <w:spacing w:beforeAutospacing="0" w:afterAutospacing="0" w:line="480" w:lineRule="exact"/>
        <w:ind w:firstLine="420"/>
        <w:jc w:val="both"/>
        <w:rPr>
          <w:rFonts w:ascii="楷体" w:hAnsi="楷体" w:eastAsia="楷体" w:cs="楷体"/>
          <w:sz w:val="22"/>
          <w:szCs w:val="22"/>
          <w:shd w:val="clear" w:color="auto" w:fill="FFFFFF"/>
        </w:rPr>
      </w:pPr>
      <w:r>
        <w:rPr>
          <w:rFonts w:hint="eastAsia" w:ascii="楷体" w:hAnsi="楷体" w:eastAsia="楷体" w:cs="楷体"/>
          <w:sz w:val="22"/>
          <w:szCs w:val="22"/>
          <w:shd w:val="clear" w:color="auto" w:fill="FFFFFF"/>
        </w:rPr>
        <w:t>2.“中国政府采购网”查询方法：点击“中国政府采购网”网站左侧“政府采购严重违法失信行为记录名单”进行查询。</w:t>
      </w:r>
    </w:p>
    <w:p w14:paraId="55E8195D">
      <w:pPr>
        <w:pStyle w:val="3"/>
        <w:shd w:val="clear" w:color="auto" w:fill="FFFFFF"/>
        <w:spacing w:beforeAutospacing="0" w:afterAutospacing="0" w:line="480" w:lineRule="exact"/>
        <w:ind w:firstLine="480"/>
        <w:jc w:val="both"/>
        <w:rPr>
          <w:rFonts w:ascii="宋体" w:hAnsi="宋体" w:cs="宋体"/>
          <w:sz w:val="22"/>
          <w:szCs w:val="22"/>
        </w:rPr>
      </w:pPr>
      <w:r>
        <w:rPr>
          <w:rFonts w:hint="eastAsia" w:ascii="宋体" w:hAnsi="宋体" w:cs="宋体"/>
          <w:sz w:val="22"/>
          <w:szCs w:val="22"/>
        </w:rPr>
        <w:t>（三）本项目不接受联合体。单位负责人为同一人或者存在直接控股、管理关系的不同供应商，不得参加同一合同项下的采购活动。提供采购文件附件2。</w:t>
      </w:r>
    </w:p>
    <w:p w14:paraId="55E8195E">
      <w:pPr>
        <w:pStyle w:val="3"/>
        <w:spacing w:before="156" w:beforeLines="50" w:beforeAutospacing="0" w:afterAutospacing="0" w:line="480" w:lineRule="exact"/>
        <w:jc w:val="both"/>
        <w:rPr>
          <w:rFonts w:ascii="宋体" w:hAnsi="宋体" w:cs="宋体"/>
          <w:b/>
          <w:bCs/>
          <w:sz w:val="22"/>
          <w:szCs w:val="22"/>
        </w:rPr>
      </w:pPr>
      <w:r>
        <w:rPr>
          <w:rFonts w:hint="eastAsia" w:ascii="宋体" w:hAnsi="宋体" w:cs="宋体"/>
          <w:b/>
          <w:bCs/>
          <w:sz w:val="22"/>
          <w:szCs w:val="22"/>
          <w:shd w:val="clear" w:color="auto" w:fill="FFFFFF"/>
        </w:rPr>
        <w:t>四、报价要求</w:t>
      </w:r>
    </w:p>
    <w:p w14:paraId="55E8195F">
      <w:pPr>
        <w:pStyle w:val="3"/>
        <w:spacing w:beforeAutospacing="0" w:afterAutospacing="0" w:line="480" w:lineRule="exact"/>
        <w:ind w:firstLine="440" w:firstLineChars="200"/>
        <w:jc w:val="both"/>
        <w:rPr>
          <w:rFonts w:ascii="宋体" w:hAnsi="宋体" w:cs="宋体"/>
          <w:sz w:val="22"/>
          <w:szCs w:val="22"/>
        </w:rPr>
      </w:pPr>
      <w:r>
        <w:rPr>
          <w:rFonts w:ascii="宋体" w:hAnsi="宋体" w:cs="宋体"/>
          <w:sz w:val="22"/>
          <w:szCs w:val="22"/>
        </w:rPr>
        <w:t>（一）</w:t>
      </w:r>
      <w:r>
        <w:rPr>
          <w:rFonts w:hint="eastAsia" w:cstheme="minorBidi"/>
          <w:kern w:val="2"/>
        </w:rPr>
        <w:t>有效的</w:t>
      </w:r>
      <w:r>
        <w:rPr>
          <w:rFonts w:hint="eastAsia" w:ascii="宋体" w:hAnsi="宋体" w:cs="宋体"/>
          <w:sz w:val="22"/>
          <w:szCs w:val="22"/>
          <w:shd w:val="clear" w:color="auto" w:fill="FFFFFF"/>
        </w:rPr>
        <w:t>营业执照复印件。</w:t>
      </w:r>
    </w:p>
    <w:p w14:paraId="55E81960">
      <w:pPr>
        <w:pStyle w:val="3"/>
        <w:spacing w:beforeAutospacing="0" w:afterAutospacing="0" w:line="480" w:lineRule="exact"/>
        <w:ind w:firstLine="440" w:firstLineChars="200"/>
        <w:jc w:val="both"/>
        <w:rPr>
          <w:rFonts w:ascii="宋体" w:hAnsi="宋体" w:cs="宋体"/>
          <w:sz w:val="22"/>
          <w:szCs w:val="22"/>
        </w:rPr>
      </w:pPr>
      <w:r>
        <w:rPr>
          <w:rFonts w:ascii="宋体" w:hAnsi="宋体" w:cs="宋体"/>
          <w:sz w:val="22"/>
          <w:szCs w:val="22"/>
        </w:rPr>
        <w:t>（二）</w:t>
      </w:r>
      <w:r>
        <w:rPr>
          <w:rFonts w:hint="eastAsia" w:ascii="宋体" w:hAnsi="宋体" w:cs="宋体"/>
          <w:sz w:val="22"/>
          <w:szCs w:val="22"/>
          <w:shd w:val="clear" w:color="auto" w:fill="FFFFFF"/>
        </w:rPr>
        <w:t>根据第三大点“供应商资格要求”提供对应的相关证明材料。</w:t>
      </w:r>
    </w:p>
    <w:p w14:paraId="55E81961">
      <w:pPr>
        <w:pStyle w:val="3"/>
        <w:spacing w:beforeAutospacing="0" w:afterAutospacing="0" w:line="480" w:lineRule="exact"/>
        <w:ind w:firstLine="440" w:firstLineChars="200"/>
        <w:jc w:val="both"/>
        <w:rPr>
          <w:rFonts w:ascii="宋体" w:hAnsi="宋体" w:cs="宋体"/>
          <w:sz w:val="22"/>
          <w:szCs w:val="22"/>
        </w:rPr>
      </w:pPr>
      <w:r>
        <w:rPr>
          <w:rFonts w:ascii="宋体" w:hAnsi="宋体" w:cs="宋体"/>
          <w:sz w:val="22"/>
          <w:szCs w:val="22"/>
        </w:rPr>
        <w:t>（三）</w:t>
      </w:r>
      <w:r>
        <w:rPr>
          <w:rFonts w:hint="eastAsia" w:ascii="宋体" w:hAnsi="宋体" w:cs="宋体"/>
          <w:sz w:val="22"/>
          <w:szCs w:val="22"/>
          <w:shd w:val="clear" w:color="auto" w:fill="FFFFFF"/>
        </w:rPr>
        <w:t>法人代表授权书（格式自拟）、法人代表身份证复印件、被授权人身份证复印件。</w:t>
      </w:r>
    </w:p>
    <w:p w14:paraId="55E81962">
      <w:pPr>
        <w:pStyle w:val="3"/>
        <w:spacing w:beforeAutospacing="0" w:afterAutospacing="0" w:line="480" w:lineRule="exact"/>
        <w:ind w:firstLine="440" w:firstLineChars="200"/>
        <w:jc w:val="both"/>
        <w:rPr>
          <w:rFonts w:ascii="宋体" w:hAnsi="宋体" w:cs="宋体"/>
          <w:sz w:val="22"/>
          <w:szCs w:val="22"/>
          <w:shd w:val="clear" w:color="auto" w:fill="FFFFFF"/>
        </w:rPr>
      </w:pPr>
      <w:r>
        <w:rPr>
          <w:rFonts w:ascii="宋体" w:hAnsi="宋体" w:cs="宋体"/>
          <w:sz w:val="22"/>
          <w:szCs w:val="22"/>
        </w:rPr>
        <w:t>（四）</w:t>
      </w:r>
      <w:r>
        <w:rPr>
          <w:rFonts w:hint="eastAsia" w:ascii="宋体" w:hAnsi="宋体" w:cs="宋体"/>
          <w:sz w:val="22"/>
          <w:szCs w:val="22"/>
          <w:shd w:val="clear" w:color="auto" w:fill="FFFFFF"/>
        </w:rPr>
        <w:t>报价函（格式自拟）。</w:t>
      </w:r>
    </w:p>
    <w:p w14:paraId="55E81963">
      <w:pPr>
        <w:pStyle w:val="3"/>
        <w:spacing w:beforeAutospacing="0" w:afterAutospacing="0" w:line="480" w:lineRule="exact"/>
        <w:ind w:firstLine="440" w:firstLineChars="200"/>
        <w:jc w:val="both"/>
        <w:rPr>
          <w:rFonts w:ascii="宋体" w:hAnsi="宋体" w:cs="宋体"/>
          <w:sz w:val="22"/>
          <w:szCs w:val="22"/>
          <w:shd w:val="clear" w:color="auto" w:fill="FFFFFF"/>
        </w:rPr>
      </w:pPr>
      <w:r>
        <w:rPr>
          <w:rFonts w:hint="eastAsia" w:ascii="宋体" w:hAnsi="宋体" w:cs="宋体"/>
          <w:sz w:val="22"/>
          <w:szCs w:val="22"/>
          <w:shd w:val="clear" w:color="auto" w:fill="FFFFFF"/>
        </w:rPr>
        <w:t>（五）技术、商务偏离表（格式自拟，需逐条对应采购需求，清晰标注</w:t>
      </w:r>
      <w:r>
        <w:rPr>
          <w:rFonts w:ascii="宋体" w:hAnsi="宋体" w:cs="宋体"/>
          <w:sz w:val="22"/>
          <w:szCs w:val="22"/>
        </w:rPr>
        <w:t>无偏离/正偏离</w:t>
      </w:r>
      <w:r>
        <w:rPr>
          <w:rFonts w:hint="eastAsia" w:ascii="宋体" w:hAnsi="宋体" w:cs="宋体"/>
          <w:sz w:val="22"/>
          <w:szCs w:val="22"/>
        </w:rPr>
        <w:t>/</w:t>
      </w:r>
      <w:r>
        <w:rPr>
          <w:rFonts w:ascii="宋体" w:hAnsi="宋体" w:cs="宋体"/>
          <w:sz w:val="22"/>
          <w:szCs w:val="22"/>
        </w:rPr>
        <w:t>负偏离</w:t>
      </w:r>
      <w:r>
        <w:rPr>
          <w:rFonts w:hint="eastAsia" w:ascii="宋体" w:hAnsi="宋体" w:cs="宋体"/>
          <w:sz w:val="22"/>
          <w:szCs w:val="22"/>
        </w:rPr>
        <w:t>，</w:t>
      </w:r>
      <w:r>
        <w:rPr>
          <w:rFonts w:ascii="宋体" w:hAnsi="宋体" w:cs="宋体"/>
          <w:sz w:val="22"/>
          <w:szCs w:val="22"/>
        </w:rPr>
        <w:t>负偏离须</w:t>
      </w:r>
      <w:r>
        <w:rPr>
          <w:rFonts w:hint="eastAsia" w:ascii="宋体" w:hAnsi="宋体" w:cs="宋体"/>
          <w:sz w:val="22"/>
          <w:szCs w:val="22"/>
        </w:rPr>
        <w:t>详述</w:t>
      </w:r>
      <w:r>
        <w:rPr>
          <w:rFonts w:ascii="宋体" w:hAnsi="宋体" w:cs="宋体"/>
          <w:sz w:val="22"/>
          <w:szCs w:val="22"/>
        </w:rPr>
        <w:t>原因</w:t>
      </w:r>
      <w:r>
        <w:rPr>
          <w:rFonts w:hint="eastAsia" w:ascii="宋体" w:hAnsi="宋体" w:cs="宋体"/>
          <w:sz w:val="22"/>
          <w:szCs w:val="22"/>
          <w:shd w:val="clear" w:color="auto" w:fill="FFFFFF"/>
        </w:rPr>
        <w:t>）。</w:t>
      </w:r>
    </w:p>
    <w:p w14:paraId="55E81964">
      <w:pPr>
        <w:pStyle w:val="3"/>
        <w:spacing w:beforeAutospacing="0" w:afterAutospacing="0" w:line="480" w:lineRule="exact"/>
        <w:ind w:firstLine="440" w:firstLineChars="200"/>
        <w:jc w:val="both"/>
        <w:rPr>
          <w:rFonts w:ascii="宋体" w:hAnsi="宋体" w:cs="宋体"/>
          <w:sz w:val="22"/>
          <w:szCs w:val="22"/>
          <w:shd w:val="clear" w:color="auto" w:fill="FFFFFF"/>
        </w:rPr>
      </w:pPr>
      <w:r>
        <w:rPr>
          <w:rFonts w:hint="eastAsia" w:ascii="宋体" w:hAnsi="宋体" w:cs="宋体"/>
          <w:sz w:val="22"/>
          <w:szCs w:val="22"/>
          <w:shd w:val="clear" w:color="auto" w:fill="FFFFFF"/>
        </w:rPr>
        <w:t>（六）服务方案、服务承诺（格式自拟）。</w:t>
      </w:r>
    </w:p>
    <w:p w14:paraId="55E81965">
      <w:pPr>
        <w:pStyle w:val="3"/>
        <w:spacing w:beforeAutospacing="0" w:afterAutospacing="0" w:line="480" w:lineRule="exact"/>
        <w:ind w:firstLine="440" w:firstLineChars="200"/>
        <w:jc w:val="both"/>
        <w:rPr>
          <w:rFonts w:ascii="宋体" w:hAnsi="宋体" w:cs="宋体"/>
          <w:sz w:val="22"/>
          <w:szCs w:val="22"/>
        </w:rPr>
      </w:pPr>
      <w:r>
        <w:rPr>
          <w:rStyle w:val="6"/>
          <w:rFonts w:hint="eastAsia" w:ascii="宋体" w:hAnsi="宋体" w:cs="宋体"/>
          <w:b w:val="0"/>
          <w:sz w:val="22"/>
          <w:szCs w:val="22"/>
          <w:shd w:val="clear" w:color="auto" w:fill="FFFFFF"/>
        </w:rPr>
        <w:t>注：所有材料必须一正一副，均须加盖公章，</w:t>
      </w:r>
      <w:r>
        <w:rPr>
          <w:rFonts w:ascii="宋体" w:hAnsi="宋体" w:cs="宋体"/>
          <w:sz w:val="22"/>
          <w:szCs w:val="22"/>
        </w:rPr>
        <w:t>统一</w:t>
      </w:r>
      <w:r>
        <w:rPr>
          <w:rFonts w:hint="eastAsia" w:ascii="宋体" w:hAnsi="宋体" w:cs="宋体"/>
          <w:sz w:val="22"/>
          <w:szCs w:val="22"/>
        </w:rPr>
        <w:t>封装至同</w:t>
      </w:r>
      <w:r>
        <w:rPr>
          <w:rStyle w:val="6"/>
          <w:rFonts w:ascii="宋体" w:hAnsi="宋体" w:cs="宋体"/>
          <w:b w:val="0"/>
          <w:bCs/>
          <w:sz w:val="22"/>
          <w:szCs w:val="22"/>
        </w:rPr>
        <w:t>一个密封袋</w:t>
      </w:r>
      <w:r>
        <w:rPr>
          <w:rStyle w:val="6"/>
          <w:rFonts w:hint="eastAsia" w:ascii="宋体" w:hAnsi="宋体" w:cs="宋体"/>
          <w:b w:val="0"/>
          <w:bCs/>
          <w:sz w:val="22"/>
          <w:szCs w:val="22"/>
        </w:rPr>
        <w:t>，</w:t>
      </w:r>
      <w:r>
        <w:rPr>
          <w:rFonts w:hint="eastAsia" w:ascii="宋体" w:hAnsi="宋体" w:cs="宋体"/>
          <w:sz w:val="22"/>
          <w:szCs w:val="22"/>
        </w:rPr>
        <w:t>密封处加盖公章。</w:t>
      </w:r>
    </w:p>
    <w:p w14:paraId="55E81966">
      <w:pPr>
        <w:pStyle w:val="3"/>
        <w:spacing w:before="156" w:beforeLines="50" w:beforeAutospacing="0" w:afterAutospacing="0" w:line="480" w:lineRule="exact"/>
        <w:jc w:val="both"/>
        <w:rPr>
          <w:rFonts w:ascii="宋体" w:hAnsi="宋体" w:cs="宋体"/>
          <w:b/>
          <w:bCs/>
          <w:sz w:val="22"/>
          <w:szCs w:val="22"/>
        </w:rPr>
      </w:pPr>
      <w:r>
        <w:rPr>
          <w:rFonts w:hint="eastAsia" w:ascii="宋体" w:hAnsi="宋体" w:cs="宋体"/>
          <w:b/>
          <w:bCs/>
          <w:sz w:val="22"/>
          <w:szCs w:val="22"/>
          <w:shd w:val="clear" w:color="auto" w:fill="FFFFFF"/>
        </w:rPr>
        <w:t>五、成交方式</w:t>
      </w:r>
    </w:p>
    <w:p w14:paraId="55E81967">
      <w:pPr>
        <w:pStyle w:val="3"/>
        <w:shd w:val="clear" w:color="auto" w:fill="FFFFFF"/>
        <w:spacing w:beforeAutospacing="0" w:afterAutospacing="0" w:line="480" w:lineRule="exact"/>
        <w:ind w:firstLine="480"/>
        <w:jc w:val="both"/>
        <w:rPr>
          <w:rStyle w:val="6"/>
          <w:rFonts w:ascii="宋体" w:hAnsi="宋体" w:cs="宋体"/>
          <w:b w:val="0"/>
          <w:sz w:val="22"/>
          <w:szCs w:val="22"/>
          <w:shd w:val="clear" w:color="auto" w:fill="FFFFFF"/>
        </w:rPr>
      </w:pPr>
      <w:r>
        <w:rPr>
          <w:rFonts w:hint="eastAsia" w:ascii="宋体" w:hAnsi="宋体" w:cs="宋体"/>
          <w:sz w:val="22"/>
          <w:szCs w:val="22"/>
        </w:rPr>
        <w:t>在符合资质与采购需求基础上，从合格的报名单位中以最低价方式选定成交人</w:t>
      </w:r>
      <w:r>
        <w:rPr>
          <w:rStyle w:val="6"/>
          <w:rFonts w:hint="eastAsia" w:ascii="宋体" w:hAnsi="宋体" w:cs="宋体"/>
          <w:b w:val="0"/>
          <w:sz w:val="22"/>
          <w:szCs w:val="22"/>
          <w:shd w:val="clear" w:color="auto" w:fill="FFFFFF"/>
        </w:rPr>
        <w:t>。</w:t>
      </w:r>
      <w:r>
        <w:rPr>
          <w:rFonts w:hint="eastAsia" w:ascii="宋体" w:hAnsi="宋体" w:cs="宋体"/>
          <w:sz w:val="22"/>
          <w:szCs w:val="22"/>
        </w:rPr>
        <w:t>评审小组认为供应商的报价明显低于其他通过符合性审查供应商的报价，有可能影响产品质量或者不能诚信履约的，应当按照《关于推动解决政府采购异常低价问题的通知》（财库〔2026〕2号）的相关要求进行处理，并可在评审现场合理的时间内要求供应商提供书面说明，必要时提交相关证明材料；供应商不能证明其报价合理性的，评审小组应当将其作为无效响应处理。</w:t>
      </w:r>
    </w:p>
    <w:p w14:paraId="55E81968">
      <w:pPr>
        <w:pStyle w:val="3"/>
        <w:spacing w:beforeAutospacing="0" w:afterAutospacing="0" w:line="480" w:lineRule="exact"/>
        <w:jc w:val="both"/>
        <w:rPr>
          <w:rFonts w:ascii="宋体" w:hAnsi="宋体" w:cs="宋体"/>
          <w:b/>
          <w:bCs/>
          <w:sz w:val="22"/>
          <w:szCs w:val="22"/>
        </w:rPr>
      </w:pPr>
      <w:r>
        <w:rPr>
          <w:rFonts w:hint="eastAsia" w:ascii="宋体" w:hAnsi="宋体" w:cs="宋体"/>
          <w:b/>
          <w:bCs/>
          <w:sz w:val="22"/>
          <w:szCs w:val="22"/>
          <w:shd w:val="clear" w:color="auto" w:fill="FFFFFF"/>
        </w:rPr>
        <w:t>六、报价截止时间与地点</w:t>
      </w:r>
    </w:p>
    <w:p w14:paraId="55E81969">
      <w:pPr>
        <w:pStyle w:val="3"/>
        <w:spacing w:beforeAutospacing="0" w:afterAutospacing="0" w:line="480" w:lineRule="exact"/>
        <w:ind w:firstLine="440" w:firstLineChars="200"/>
        <w:jc w:val="both"/>
        <w:rPr>
          <w:rFonts w:ascii="宋体" w:hAnsi="宋体" w:cs="宋体"/>
          <w:sz w:val="22"/>
          <w:szCs w:val="22"/>
        </w:rPr>
      </w:pPr>
      <w:r>
        <w:rPr>
          <w:rFonts w:ascii="宋体" w:hAnsi="宋体" w:cs="宋体"/>
          <w:sz w:val="22"/>
          <w:szCs w:val="22"/>
        </w:rPr>
        <w:t>（一）</w:t>
      </w:r>
      <w:r>
        <w:rPr>
          <w:rFonts w:hint="eastAsia" w:ascii="宋体" w:hAnsi="宋体" w:cs="宋体"/>
          <w:sz w:val="22"/>
          <w:szCs w:val="22"/>
          <w:shd w:val="clear" w:color="auto" w:fill="FFFFFF"/>
        </w:rPr>
        <w:t>时间：</w:t>
      </w:r>
      <w:r>
        <w:rPr>
          <w:rStyle w:val="6"/>
          <w:rFonts w:hint="eastAsia" w:ascii="宋体" w:hAnsi="宋体" w:cs="宋体"/>
          <w:b w:val="0"/>
          <w:sz w:val="22"/>
          <w:szCs w:val="22"/>
          <w:shd w:val="clear" w:color="auto" w:fill="FFFFFF"/>
        </w:rPr>
        <w:t>凡愿意且符合条件的供应商，请于</w:t>
      </w:r>
      <w:r>
        <w:rPr>
          <w:rStyle w:val="6"/>
          <w:rFonts w:hint="eastAsia" w:ascii="宋体" w:hAnsi="宋体" w:cs="宋体"/>
          <w:b w:val="0"/>
          <w:sz w:val="22"/>
          <w:szCs w:val="22"/>
          <w:highlight w:val="none"/>
          <w:shd w:val="clear" w:color="auto" w:fill="FFFFFF"/>
        </w:rPr>
        <w:t>2026年1</w:t>
      </w:r>
      <w:r>
        <w:rPr>
          <w:rStyle w:val="6"/>
          <w:rFonts w:hint="eastAsia" w:ascii="宋体" w:hAnsi="宋体" w:cs="宋体"/>
          <w:b w:val="0"/>
          <w:sz w:val="22"/>
          <w:szCs w:val="22"/>
          <w:highlight w:val="none"/>
          <w:shd w:val="clear" w:color="auto" w:fill="FFFFFF"/>
          <w:lang w:val="en-US" w:eastAsia="zh-CN"/>
        </w:rPr>
        <w:t>1</w:t>
      </w:r>
      <w:r>
        <w:rPr>
          <w:rStyle w:val="6"/>
          <w:rFonts w:hint="eastAsia" w:ascii="宋体" w:hAnsi="宋体" w:cs="宋体"/>
          <w:b w:val="0"/>
          <w:sz w:val="22"/>
          <w:szCs w:val="22"/>
          <w:highlight w:val="none"/>
          <w:shd w:val="clear" w:color="auto" w:fill="FFFFFF"/>
        </w:rPr>
        <w:t>月</w:t>
      </w:r>
      <w:r>
        <w:rPr>
          <w:rStyle w:val="6"/>
          <w:rFonts w:hint="eastAsia" w:ascii="宋体" w:hAnsi="宋体" w:cs="宋体"/>
          <w:b w:val="0"/>
          <w:sz w:val="22"/>
          <w:szCs w:val="22"/>
          <w:highlight w:val="none"/>
          <w:shd w:val="clear" w:color="auto" w:fill="FFFFFF"/>
          <w:lang w:val="en-US" w:eastAsia="zh-CN"/>
        </w:rPr>
        <w:t>3</w:t>
      </w:r>
      <w:r>
        <w:rPr>
          <w:rStyle w:val="6"/>
          <w:rFonts w:hint="eastAsia" w:ascii="宋体" w:hAnsi="宋体" w:cs="宋体"/>
          <w:b w:val="0"/>
          <w:sz w:val="22"/>
          <w:szCs w:val="22"/>
          <w:highlight w:val="none"/>
          <w:shd w:val="clear" w:color="auto" w:fill="FFFFFF"/>
        </w:rPr>
        <w:t>日上午9:00至11:00</w:t>
      </w:r>
      <w:r>
        <w:rPr>
          <w:rFonts w:hint="eastAsia" w:ascii="宋体" w:hAnsi="宋体" w:cs="宋体"/>
          <w:sz w:val="22"/>
          <w:szCs w:val="22"/>
          <w:highlight w:val="none"/>
          <w:shd w:val="clear" w:color="auto" w:fill="FFFFFF"/>
        </w:rPr>
        <w:t>，将报价文件密封送达广西艺术学院财务资产处，</w:t>
      </w:r>
      <w:r>
        <w:rPr>
          <w:rFonts w:hint="eastAsia" w:ascii="宋体" w:hAnsi="宋体" w:cs="宋体"/>
          <w:sz w:val="22"/>
          <w:szCs w:val="22"/>
          <w:shd w:val="clear" w:color="auto" w:fill="FFFFFF"/>
        </w:rPr>
        <w:t>其他时间不接收响应材料。</w:t>
      </w:r>
    </w:p>
    <w:p w14:paraId="55E8196A">
      <w:pPr>
        <w:pStyle w:val="3"/>
        <w:spacing w:beforeAutospacing="0" w:afterAutospacing="0" w:line="480" w:lineRule="exact"/>
        <w:ind w:firstLine="440" w:firstLineChars="200"/>
        <w:jc w:val="both"/>
        <w:rPr>
          <w:rFonts w:ascii="宋体" w:hAnsi="宋体" w:cs="宋体"/>
          <w:sz w:val="22"/>
          <w:szCs w:val="22"/>
          <w:shd w:val="clear" w:color="auto" w:fill="FFFFFF"/>
        </w:rPr>
      </w:pPr>
      <w:r>
        <w:rPr>
          <w:rFonts w:hint="eastAsia" w:ascii="宋体" w:hAnsi="宋体" w:cs="宋体"/>
          <w:sz w:val="22"/>
          <w:szCs w:val="22"/>
          <w:shd w:val="clear" w:color="auto" w:fill="FFFFFF"/>
          <w:lang w:bidi="ar"/>
        </w:rPr>
        <w:t>（二）</w:t>
      </w:r>
      <w:r>
        <w:rPr>
          <w:rFonts w:hint="eastAsia" w:ascii="宋体" w:hAnsi="宋体" w:cs="宋体"/>
          <w:sz w:val="22"/>
          <w:szCs w:val="22"/>
          <w:shd w:val="clear" w:color="auto" w:fill="FFFFFF"/>
        </w:rPr>
        <w:t>地点：南宁市青秀区教育路7号广西艺术学院雕塑楼107室</w:t>
      </w:r>
      <w:r>
        <w:rPr>
          <w:rFonts w:hint="eastAsia" w:ascii="宋体" w:hAnsi="宋体" w:cs="宋体"/>
          <w:sz w:val="22"/>
          <w:szCs w:val="22"/>
        </w:rPr>
        <w:t>财务资产处采购管理科；</w:t>
      </w:r>
      <w:r>
        <w:rPr>
          <w:rFonts w:hint="eastAsia" w:ascii="宋体" w:hAnsi="宋体" w:cs="宋体"/>
          <w:sz w:val="22"/>
          <w:szCs w:val="22"/>
          <w:shd w:val="clear" w:color="auto" w:fill="FFFFFF"/>
        </w:rPr>
        <w:t>联系人：</w:t>
      </w:r>
      <w:r>
        <w:rPr>
          <w:rFonts w:hint="eastAsia" w:ascii="宋体" w:hAnsi="宋体" w:cs="宋体"/>
          <w:sz w:val="22"/>
          <w:szCs w:val="22"/>
        </w:rPr>
        <w:t>高老师，朱老师，李老师</w:t>
      </w:r>
      <w:r>
        <w:rPr>
          <w:rFonts w:hint="eastAsia" w:ascii="宋体" w:hAnsi="宋体" w:cs="宋体"/>
          <w:sz w:val="22"/>
          <w:szCs w:val="22"/>
          <w:shd w:val="clear" w:color="auto" w:fill="FFFFFF"/>
        </w:rPr>
        <w:t>；联系电话：0771-5327987. </w:t>
      </w:r>
    </w:p>
    <w:p w14:paraId="55E8196B">
      <w:pPr>
        <w:pStyle w:val="3"/>
        <w:spacing w:beforeAutospacing="0" w:afterAutospacing="0" w:line="480" w:lineRule="exact"/>
        <w:jc w:val="both"/>
        <w:rPr>
          <w:rFonts w:ascii="宋体" w:hAnsi="宋体" w:cs="宋体"/>
          <w:sz w:val="22"/>
          <w:szCs w:val="22"/>
          <w:shd w:val="clear" w:color="auto" w:fill="FFFFFF"/>
        </w:rPr>
      </w:pPr>
      <w:r>
        <w:rPr>
          <w:rFonts w:hint="eastAsia" w:ascii="宋体" w:hAnsi="宋体" w:cs="宋体"/>
          <w:sz w:val="22"/>
          <w:szCs w:val="22"/>
          <w:shd w:val="clear" w:color="auto" w:fill="FFFFFF"/>
        </w:rPr>
        <w:t>七、本次采购的相关信息（包括但不限于采购公告与附件及其修改、补充、澄清等，下同）在广西艺术学院主页的“机构设置-财务资产处-招标公</w:t>
      </w:r>
      <w:bookmarkStart w:id="0" w:name="_GoBack"/>
      <w:bookmarkEnd w:id="0"/>
      <w:r>
        <w:rPr>
          <w:rFonts w:hint="eastAsia" w:ascii="宋体" w:hAnsi="宋体" w:cs="宋体"/>
          <w:sz w:val="22"/>
          <w:szCs w:val="22"/>
          <w:shd w:val="clear" w:color="auto" w:fill="FFFFFF"/>
        </w:rPr>
        <w:t>告”栏（网址：</w:t>
      </w:r>
      <w:r>
        <w:fldChar w:fldCharType="begin"/>
      </w:r>
      <w:r>
        <w:instrText xml:space="preserve"> HYPERLINK "https://cwc.gxau.edu.cn/zbgg2%EF%BC%89%E4%B8%8A%E5%8F%91%E5%B8%83%EF%BC%8C%E6%9C%AC%E6%AC%A1%E9%87%87%E8%B4%AD%E7%9A%84%E7%9B%B8%E5%85%B3%E4%BF%A1%E6%81%AF%E4%B8%80%E7%BB%8F%E5%9C%A8%E4%B8%8A%E8%BF%B0%E7%BD%91%E7%AB%99%E5%8F%91%E5%B8%83%EF%BC%8C%E5%8D%B3%E8%A7%86%E4%B8%BA%E5%B7%B2%E5%8F%91%E9%80%81%E7%BB%99%E6%8A%95%E6%A0%87%E4%BA%BA%E3%80%82%E6%8A%95%E6%A0%87%E4%BA%BA%E6%8D%AE%E6%AD%A4%E5%8F%82%E4%B8%8E%E6%9C%AC%E6%AC%A1%E9%87%87%E8%B4%AD%E6%B4%BB%E5%8A%A8%EF%BC%8C%E5%8D%B3%E8%A7%86%E4%B8%BA%E5%AF%B9%E6%9C%AC%E6%AC%A1%E9%87%87%E8%B4%AD%E7%9A%84%E7%9B%B8%E5%85%B3%E4%BF%A1%E6%81%AF%E3%80%81%E5%86%85%E5%AE%B9%E5%8F%8A%E8%A7%84%E5%88%99%E6%B2%A1%E6%9C%89%E5%BC%82%E8%AE%AE%E3%80%82" </w:instrText>
      </w:r>
      <w:r>
        <w:fldChar w:fldCharType="separate"/>
      </w:r>
      <w:r>
        <w:rPr>
          <w:rFonts w:hint="eastAsia" w:ascii="宋体" w:hAnsi="宋体" w:cs="宋体"/>
          <w:sz w:val="22"/>
          <w:szCs w:val="22"/>
          <w:shd w:val="clear" w:color="auto" w:fill="FFFFFF"/>
        </w:rPr>
        <w:t>https://cwc.gxau.edu.cn/zbgg2）上发布，本次采购的相关信息一经在上述网站发布，即视为已发送给供应商。供应商据此参与本次采购活动，即视为对本次采购的相关信息、内容及规则没有异议。</w:t>
      </w:r>
      <w:r>
        <w:rPr>
          <w:rFonts w:hint="eastAsia" w:ascii="宋体" w:hAnsi="宋体" w:cs="宋体"/>
          <w:sz w:val="22"/>
          <w:szCs w:val="22"/>
          <w:shd w:val="clear" w:color="auto" w:fill="FFFFFF"/>
        </w:rPr>
        <w:fldChar w:fldCharType="end"/>
      </w:r>
    </w:p>
    <w:p w14:paraId="55E8196C">
      <w:pPr>
        <w:rPr>
          <w:rFonts w:ascii="宋体" w:hAnsi="宋体" w:cs="宋体"/>
          <w:sz w:val="22"/>
          <w:szCs w:val="22"/>
          <w:shd w:val="clear" w:color="auto" w:fill="FFFFFF"/>
        </w:rPr>
      </w:pPr>
      <w:r>
        <w:rPr>
          <w:rFonts w:hint="eastAsia" w:ascii="宋体" w:hAnsi="宋体" w:cs="宋体"/>
          <w:sz w:val="22"/>
          <w:szCs w:val="22"/>
          <w:shd w:val="clear" w:color="auto" w:fill="FFFFFF"/>
        </w:rPr>
        <w:br w:type="page"/>
      </w:r>
    </w:p>
    <w:p w14:paraId="55E8196D">
      <w:pPr>
        <w:pStyle w:val="3"/>
        <w:spacing w:beforeAutospacing="0" w:afterAutospacing="0" w:line="480" w:lineRule="exact"/>
        <w:jc w:val="both"/>
        <w:rPr>
          <w:rFonts w:ascii="宋体" w:hAnsi="宋体" w:cs="宋体"/>
          <w:sz w:val="22"/>
          <w:szCs w:val="22"/>
          <w:shd w:val="clear" w:color="auto" w:fill="FFFFFF"/>
        </w:rPr>
      </w:pPr>
      <w:r>
        <w:rPr>
          <w:rFonts w:hint="eastAsia" w:ascii="宋体" w:hAnsi="宋体" w:cs="宋体"/>
          <w:sz w:val="22"/>
          <w:szCs w:val="22"/>
          <w:shd w:val="clear" w:color="auto" w:fill="FFFFFF"/>
        </w:rPr>
        <w:t>附件1采购需求</w:t>
      </w:r>
    </w:p>
    <w:tbl>
      <w:tblPr>
        <w:tblStyle w:val="4"/>
        <w:tblW w:w="9132" w:type="dxa"/>
        <w:tblInd w:w="93" w:type="dxa"/>
        <w:tblLayout w:type="fixed"/>
        <w:tblCellMar>
          <w:top w:w="0" w:type="dxa"/>
          <w:left w:w="108" w:type="dxa"/>
          <w:bottom w:w="0" w:type="dxa"/>
          <w:right w:w="108" w:type="dxa"/>
        </w:tblCellMar>
      </w:tblPr>
      <w:tblGrid>
        <w:gridCol w:w="667"/>
        <w:gridCol w:w="1328"/>
        <w:gridCol w:w="666"/>
        <w:gridCol w:w="600"/>
        <w:gridCol w:w="4401"/>
        <w:gridCol w:w="1470"/>
      </w:tblGrid>
      <w:tr w14:paraId="55E81974">
        <w:tblPrEx>
          <w:tblCellMar>
            <w:top w:w="0" w:type="dxa"/>
            <w:left w:w="108" w:type="dxa"/>
            <w:bottom w:w="0" w:type="dxa"/>
            <w:right w:w="108" w:type="dxa"/>
          </w:tblCellMar>
        </w:tblPrEx>
        <w:trPr>
          <w:trHeight w:val="81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6E">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rPr>
              <w:t>序号</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6F">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采购品目</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70">
            <w:pPr>
              <w:widowControl/>
              <w:jc w:val="center"/>
              <w:textAlignment w:val="center"/>
              <w:rPr>
                <w:rFonts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采购数量</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71">
            <w:pPr>
              <w:widowControl/>
              <w:jc w:val="center"/>
              <w:textAlignment w:val="center"/>
              <w:rPr>
                <w:rFonts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计量单位</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72">
            <w:pPr>
              <w:widowControl/>
              <w:jc w:val="left"/>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技术参数（详细）</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73">
            <w:pPr>
              <w:widowControl/>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参考品牌型号</w:t>
            </w:r>
          </w:p>
        </w:tc>
      </w:tr>
      <w:tr w14:paraId="55E8197B">
        <w:tblPrEx>
          <w:tblCellMar>
            <w:top w:w="0" w:type="dxa"/>
            <w:left w:w="108" w:type="dxa"/>
            <w:bottom w:w="0" w:type="dxa"/>
            <w:right w:w="108" w:type="dxa"/>
          </w:tblCellMar>
        </w:tblPrEx>
        <w:trPr>
          <w:trHeight w:val="254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75">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76">
            <w:pPr>
              <w:widowControl/>
              <w:jc w:val="both"/>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低音音箱</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77">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78">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只</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79">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1.不小于10英寸低音扬声器</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2.连续可变低通滤波器（50 Hz 至130 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3.输入增益控制（-30 dB 至+6 dB，连续可变）、极性反转开关和接地开关</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170 瓦（RMS）的AB类放大器</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4.可达到113 dB SPL，频率响应为20 至200 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5.左右平衡的XLR 和1/4 英寸TRS 和非平衡RCA 主要输入</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6.左右平衡的XLR 和1/4 英寸TRS 输出以及XLR 低音扬声器输出，可连接第二个 Sub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7.带有省电模式功能</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7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PreSonus Eris Pro Sub 10  /JBL LSR310S /Fluid FC10S</w:t>
            </w:r>
          </w:p>
        </w:tc>
      </w:tr>
      <w:tr w14:paraId="55E81982">
        <w:tblPrEx>
          <w:tblCellMar>
            <w:top w:w="0" w:type="dxa"/>
            <w:left w:w="108" w:type="dxa"/>
            <w:bottom w:w="0" w:type="dxa"/>
            <w:right w:w="108" w:type="dxa"/>
          </w:tblCellMar>
        </w:tblPrEx>
        <w:trPr>
          <w:trHeight w:val="274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7C">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2</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7D">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AI运算工作站</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7E">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7F">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台</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80">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1.CPU 参照或相当于英特尔⑧酷睿UItra 9-275HX</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2.显卡 参照或相当于Geforce® RTX 5090 LAPTOP</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3.内存 64G 5600MT/s SO-DIMM DDR5</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4.硬盘1T PCle 4.0 NVMe SSD</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5.散热 参照或相当于双高压风扇一体式均热板</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6.特性 强悍散热 性能稳定Wi-Fi 6E</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7.尺寸 高约332mm*长约212mm*宽约45mm(底座：约49.5mm)</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8.系统 参照或相当于Windows 11家庭中文版</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9.附件 接口扩展坞*1/底座*1</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81">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1.雷神 MIX-G II</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2.ASUS/华硕 ROG NUC 20周年版</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3.FEVM FA80G</w:t>
            </w:r>
          </w:p>
        </w:tc>
      </w:tr>
      <w:tr w14:paraId="55E81989">
        <w:tblPrEx>
          <w:tblCellMar>
            <w:top w:w="0" w:type="dxa"/>
            <w:left w:w="108" w:type="dxa"/>
            <w:bottom w:w="0" w:type="dxa"/>
            <w:right w:w="108" w:type="dxa"/>
          </w:tblCellMar>
        </w:tblPrEx>
        <w:trPr>
          <w:trHeight w:val="241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83">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3</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84">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沉浸式视频回放器</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85">
            <w:pPr>
              <w:widowControl/>
              <w:jc w:val="center"/>
              <w:textAlignment w:val="center"/>
              <w:rPr>
                <w:rStyle w:val="8"/>
                <w:rFonts w:hint="default"/>
                <w:sz w:val="18"/>
                <w:szCs w:val="18"/>
                <w:lang w:bidi="ar"/>
              </w:rPr>
            </w:pPr>
            <w:r>
              <w:rPr>
                <w:rFonts w:hint="eastAsia" w:ascii="宋体" w:hAnsi="宋体" w:eastAsia="宋体" w:cs="宋体"/>
                <w:color w:val="000000"/>
                <w:kern w:val="0"/>
                <w:sz w:val="18"/>
                <w:szCs w:val="18"/>
                <w:lang w:bidi="ar"/>
              </w:rPr>
              <w:t>1</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86">
            <w:pPr>
              <w:widowControl/>
              <w:jc w:val="center"/>
              <w:textAlignment w:val="center"/>
              <w:rPr>
                <w:rStyle w:val="8"/>
                <w:rFonts w:hint="default"/>
                <w:sz w:val="18"/>
                <w:szCs w:val="18"/>
                <w:lang w:bidi="ar"/>
              </w:rPr>
            </w:pPr>
            <w:r>
              <w:rPr>
                <w:rFonts w:hint="eastAsia" w:ascii="宋体" w:hAnsi="宋体" w:eastAsia="宋体" w:cs="宋体"/>
                <w:color w:val="000000"/>
                <w:kern w:val="0"/>
                <w:sz w:val="18"/>
                <w:szCs w:val="18"/>
                <w:lang w:bidi="ar"/>
              </w:rPr>
              <w:t>套</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87">
            <w:pPr>
              <w:widowControl/>
              <w:jc w:val="left"/>
              <w:textAlignment w:val="center"/>
              <w:rPr>
                <w:rFonts w:ascii="宋体" w:hAnsi="宋体" w:eastAsia="宋体" w:cs="宋体"/>
                <w:color w:val="000000"/>
                <w:sz w:val="18"/>
                <w:szCs w:val="18"/>
              </w:rPr>
            </w:pPr>
            <w:r>
              <w:rPr>
                <w:rStyle w:val="8"/>
                <w:rFonts w:hint="default"/>
                <w:sz w:val="18"/>
                <w:szCs w:val="18"/>
                <w:lang w:bidi="ar"/>
              </w:rPr>
              <w:t>1.产品类型：MR 混合现实一体机（VR / 透视双模），支持 6DoF 空间定位与追踪。</w:t>
            </w:r>
            <w:r>
              <w:rPr>
                <w:rStyle w:val="8"/>
                <w:rFonts w:hint="default"/>
                <w:sz w:val="18"/>
                <w:szCs w:val="18"/>
                <w:lang w:bidi="ar"/>
              </w:rPr>
              <w:br w:type="textWrapping"/>
            </w:r>
            <w:r>
              <w:rPr>
                <w:rStyle w:val="8"/>
                <w:rFonts w:hint="default"/>
                <w:sz w:val="18"/>
                <w:szCs w:val="18"/>
                <w:lang w:bidi="ar"/>
              </w:rPr>
              <w:t>2.核心平台：搭载性能相当于或优于高通骁龙 XR2 Gen2 处理器；配置 12GB LPDDR5 运行内存、256GB/512GB UFS 3.1 存储空间。</w:t>
            </w:r>
            <w:r>
              <w:rPr>
                <w:rStyle w:val="8"/>
                <w:rFonts w:hint="default"/>
                <w:sz w:val="18"/>
                <w:szCs w:val="18"/>
                <w:lang w:bidi="ar"/>
              </w:rPr>
              <w:br w:type="textWrapping"/>
            </w:r>
            <w:r>
              <w:rPr>
                <w:rStyle w:val="8"/>
                <w:rFonts w:hint="default"/>
                <w:sz w:val="18"/>
                <w:szCs w:val="18"/>
                <w:lang w:bidi="ar"/>
              </w:rPr>
              <w:t>3.显示系统：采用双目光学透镜，单眼分辨率 2160×2160，双眼总分辨率 4320×2160，刷新率 90Hz，视场角 105°；默认渲染分辨率 1920×1920，像素密度 1200PPI，平均 PPD 20.6、中心区域 PPD 22.5；支持 58–72mm 无级电动瞳距调节。</w:t>
            </w:r>
            <w:r>
              <w:rPr>
                <w:rStyle w:val="8"/>
                <w:rFonts w:hint="default"/>
                <w:sz w:val="18"/>
                <w:szCs w:val="18"/>
                <w:lang w:bidi="ar"/>
              </w:rPr>
              <w:br w:type="textWrapping"/>
            </w:r>
            <w:r>
              <w:rPr>
                <w:rStyle w:val="8"/>
                <w:rFonts w:hint="default"/>
                <w:sz w:val="18"/>
                <w:szCs w:val="18"/>
                <w:lang w:bidi="ar"/>
              </w:rPr>
              <w:t>4.MR 透视与传感：配备双目 3200 万像素彩色透视摄像头、深度感知摄像头、4 颗环境追踪摄像头；提供 800 万像素、中心区域 22.5PPD 低畸变透视画面，支持最高 72Hz MR 画面帧对齐，透视延迟约 20ms。</w:t>
            </w:r>
            <w:r>
              <w:rPr>
                <w:rStyle w:val="8"/>
                <w:rFonts w:hint="default"/>
                <w:sz w:val="18"/>
                <w:szCs w:val="18"/>
                <w:lang w:bidi="ar"/>
              </w:rPr>
              <w:br w:type="textWrapping"/>
            </w:r>
            <w:r>
              <w:rPr>
                <w:rStyle w:val="8"/>
                <w:rFonts w:hint="default"/>
                <w:sz w:val="18"/>
                <w:szCs w:val="18"/>
                <w:lang w:bidi="ar"/>
              </w:rPr>
              <w:t>5.音频系统：内置双立体声扬声器，四麦克风阵列，支持空间音频录制与播放。</w:t>
            </w:r>
            <w:r>
              <w:rPr>
                <w:rStyle w:val="8"/>
                <w:rFonts w:hint="default"/>
                <w:sz w:val="18"/>
                <w:szCs w:val="18"/>
                <w:lang w:bidi="ar"/>
              </w:rPr>
              <w:br w:type="textWrapping"/>
            </w:r>
            <w:r>
              <w:rPr>
                <w:rStyle w:val="8"/>
                <w:rFonts w:hint="default"/>
                <w:sz w:val="18"/>
                <w:szCs w:val="18"/>
                <w:lang w:bidi="ar"/>
              </w:rPr>
              <w:t>6.手柄与交互：标配 2.4G 无线手柄，支持多模态追踪算法，高精度低延迟；支持手势追踪、头部追踪、空间建图与虚实融合。</w:t>
            </w:r>
            <w:r>
              <w:rPr>
                <w:rStyle w:val="8"/>
                <w:rFonts w:hint="default"/>
                <w:sz w:val="18"/>
                <w:szCs w:val="18"/>
                <w:lang w:bidi="ar"/>
              </w:rPr>
              <w:br w:type="textWrapping"/>
            </w:r>
            <w:r>
              <w:rPr>
                <w:rStyle w:val="8"/>
                <w:rFonts w:hint="default"/>
                <w:sz w:val="18"/>
                <w:szCs w:val="18"/>
                <w:lang w:bidi="ar"/>
              </w:rPr>
              <w:t>7.电池与续航：内置 5700mAh（额定）/5770mAh（典型）锂电池，支持 QC4 + 快充，最高 45W；典型使用续航约 2–3 小时。</w:t>
            </w:r>
            <w:r>
              <w:rPr>
                <w:rStyle w:val="8"/>
                <w:rFonts w:hint="default"/>
                <w:sz w:val="18"/>
                <w:szCs w:val="18"/>
                <w:lang w:bidi="ar"/>
              </w:rPr>
              <w:br w:type="textWrapping"/>
            </w:r>
            <w:r>
              <w:rPr>
                <w:rStyle w:val="8"/>
                <w:rFonts w:hint="default"/>
                <w:sz w:val="18"/>
                <w:szCs w:val="18"/>
                <w:lang w:bidi="ar"/>
              </w:rPr>
              <w:t>8.佩戴设计：前后平衡式结构，前端主体约 304g、整机约 580g；柔软透气面罩，支持近视镜片适配，无需佩戴眼镜。</w:t>
            </w:r>
            <w:r>
              <w:rPr>
                <w:rStyle w:val="8"/>
                <w:rFonts w:hint="default"/>
                <w:sz w:val="18"/>
                <w:szCs w:val="18"/>
                <w:lang w:bidi="ar"/>
              </w:rPr>
              <w:br w:type="textWrapping"/>
            </w:r>
            <w:r>
              <w:rPr>
                <w:rStyle w:val="8"/>
                <w:rFonts w:hint="default"/>
                <w:sz w:val="18"/>
                <w:szCs w:val="18"/>
                <w:lang w:bidi="ar"/>
              </w:rPr>
              <w:t>9.连接与接口：支持 Wi</w:t>
            </w:r>
            <w:r>
              <w:rPr>
                <w:rStyle w:val="8"/>
                <w:rFonts w:hint="default"/>
                <w:sz w:val="18"/>
                <w:szCs w:val="18"/>
                <w:lang w:bidi="ar"/>
              </w:rPr>
              <w:noBreakHyphen/>
            </w:r>
            <w:r>
              <w:rPr>
                <w:rStyle w:val="8"/>
                <w:rFonts w:hint="default"/>
                <w:sz w:val="18"/>
                <w:szCs w:val="18"/>
                <w:lang w:bidi="ar"/>
              </w:rPr>
              <w:t>Fi 6、蓝牙 5.3；配备 USB</w:t>
            </w:r>
            <w:r>
              <w:rPr>
                <w:rStyle w:val="8"/>
                <w:rFonts w:hint="default"/>
                <w:sz w:val="18"/>
                <w:szCs w:val="18"/>
                <w:lang w:bidi="ar"/>
              </w:rPr>
              <w:noBreakHyphen/>
            </w:r>
            <w:r>
              <w:rPr>
                <w:rStyle w:val="8"/>
                <w:rFonts w:hint="default"/>
                <w:sz w:val="18"/>
                <w:szCs w:val="18"/>
                <w:lang w:bidi="ar"/>
              </w:rPr>
              <w:t>C 接口，支持充电、数据传输及视频输出。</w:t>
            </w:r>
            <w:r>
              <w:rPr>
                <w:rStyle w:val="9"/>
                <w:rFonts w:hint="default"/>
                <w:sz w:val="18"/>
                <w:szCs w:val="18"/>
                <w:lang w:bidi="ar"/>
              </w:rPr>
              <w:br w:type="textWrapping"/>
            </w:r>
            <w:r>
              <w:rPr>
                <w:rStyle w:val="9"/>
                <w:rFonts w:hint="default"/>
                <w:sz w:val="18"/>
                <w:szCs w:val="18"/>
                <w:lang w:bidi="ar"/>
              </w:rPr>
              <w:t>10.系统与生态：基于 Android 定制系统，支持SteamVR 串流、空间视频拍摄 / 播放、多窗口办公投屏。</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88">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PICO 4 Ultra MR</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Meta Quest 3 MR 一体机</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HTC VIVE Focus Vision MR 一体机</w:t>
            </w:r>
          </w:p>
        </w:tc>
      </w:tr>
      <w:tr w14:paraId="55E81990">
        <w:tblPrEx>
          <w:tblCellMar>
            <w:top w:w="0" w:type="dxa"/>
            <w:left w:w="108" w:type="dxa"/>
            <w:bottom w:w="0" w:type="dxa"/>
            <w:right w:w="108" w:type="dxa"/>
          </w:tblCellMar>
        </w:tblPrEx>
        <w:trPr>
          <w:trHeight w:val="264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8A">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4</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8B">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虚拟现实智能眼镜</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8C">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1</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8D">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套</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8E">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1.屏幕： Mirco-OLED/玻璃透镜</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2.分辨率：3840x3840</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3.PPD：53/57/50</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4.HFOV:116/106/140</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5.刷新率：72/90Hz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6.瞳距：自调节</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7.追踪方式：内外向追踪</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8F">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小派Super 57PPD/Micor-OLED/super Ultrawide</w:t>
            </w:r>
          </w:p>
        </w:tc>
      </w:tr>
      <w:tr w14:paraId="55E81997">
        <w:tblPrEx>
          <w:tblCellMar>
            <w:top w:w="0" w:type="dxa"/>
            <w:left w:w="108" w:type="dxa"/>
            <w:bottom w:w="0" w:type="dxa"/>
            <w:right w:w="108" w:type="dxa"/>
          </w:tblCellMar>
        </w:tblPrEx>
        <w:trPr>
          <w:trHeight w:val="416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91">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5</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92">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智能自适应音柱</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93">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94">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只</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95">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1.频率响应范围（-3 dB） 45 Hz -17 kHz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2.频率响应范围（-10 dB） 35 Hz -20 kHz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3.覆盖范围（-6 dB）[H x V] 130 ° x 20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4.最大声压级:141dB</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5.系统类型:有源四分频系统</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6.换能单元 1 x 18" 低音单元(4"VC)</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        12 x 3.5" 中低音单元(1"VC)</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        6 x 3.5" 中音单元(1"VC)</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        4 x 0.5" 压缩高音单元(1"VC)</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7.箱体类型：低音倒相箱,中音封闭式音柱`高</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音多层波导管阵列</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8.DSP功能描述：48kHz/24bit 带有拓展动态,1.1ms</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9.固有延迟，可实现分频、压限、EQ、电平处理、低噪声AD-DA转换功能</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96">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SE  Audiotechnik-M-9A/SMR AA-66P/GLS-G12</w:t>
            </w:r>
          </w:p>
        </w:tc>
      </w:tr>
      <w:tr w14:paraId="55E8199E">
        <w:tblPrEx>
          <w:tblCellMar>
            <w:top w:w="0" w:type="dxa"/>
            <w:left w:w="108" w:type="dxa"/>
            <w:bottom w:w="0" w:type="dxa"/>
            <w:right w:w="108" w:type="dxa"/>
          </w:tblCellMar>
        </w:tblPrEx>
        <w:trPr>
          <w:trHeight w:val="404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98">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6</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99">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智能自适应点声源</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9A">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8</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9B">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只</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9C">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1.频率响应范围(-3dB)1: 125 Hz-18kHz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2.频率响应范围(-10dB)1: 95 Hz-20kHz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3.覆盖范围 (-6 dB) [H x V]: 120° x 16°</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4.最大声压级: 130dB</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5.系统类型：有源两分频系统</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6.分频频点：1.9KHZ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7.扬声器单元: MF: 8 x 2.8" 钕磁中音单元 (0.8" VC)，</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HF: 7 x 1" 钕磁球顶高音单元 (1" VC)</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8.箱体类型：倒相箱</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9.额度功率： 700W</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 xml:space="preserve">10.安全系数：吊挂18pcs保持12倍安全系数 </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11.DSP功能描述：48kHz/24bit 带有拓展动态,1.1ms</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12.固有延迟，可实现分频、压限、EQ、电平处理、低噪声AD-DA转换功能</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9D">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SE  Audiotechnik/ M-FXA G2/SMR AA-29B/GLS-G7</w:t>
            </w:r>
          </w:p>
        </w:tc>
      </w:tr>
      <w:tr w14:paraId="55E819A5">
        <w:tblPrEx>
          <w:tblCellMar>
            <w:top w:w="0" w:type="dxa"/>
            <w:left w:w="108" w:type="dxa"/>
            <w:bottom w:w="0" w:type="dxa"/>
            <w:right w:w="108" w:type="dxa"/>
          </w:tblCellMar>
        </w:tblPrEx>
        <w:trPr>
          <w:trHeight w:val="238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9F">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7</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A0">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智能自适应低音声源</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A1">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4</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A2">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只</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A3">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1.频率响应范围 (-3 dB)1:  34 Hz - 210 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2.频率响应范围 (-10 dB)1:  28 Hz - 260 Hz</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3.最大声压级:  138 dB</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4.谐波失真: ≤ 3%</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5.额定功率:  1600W</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6.系统类型:有源系统</w:t>
            </w:r>
            <w:r>
              <w:rPr>
                <w:rFonts w:hint="eastAsia" w:ascii="宋体" w:hAnsi="宋体" w:eastAsia="宋体" w:cs="宋体"/>
                <w:color w:val="000000"/>
                <w:kern w:val="0"/>
                <w:sz w:val="18"/>
                <w:szCs w:val="18"/>
                <w:lang w:bidi="ar"/>
              </w:rPr>
              <w:br w:type="textWrapping"/>
            </w:r>
            <w:r>
              <w:rPr>
                <w:rFonts w:hint="eastAsia" w:ascii="宋体" w:hAnsi="宋体" w:eastAsia="宋体" w:cs="宋体"/>
                <w:color w:val="000000"/>
                <w:kern w:val="0"/>
                <w:sz w:val="18"/>
                <w:szCs w:val="18"/>
                <w:lang w:bidi="ar"/>
              </w:rPr>
              <w:t>7.扬声器单元:1 x 18" 单元 (4" 音圈)</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A4">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SE Audiotechnik/ B18A/SMR AA-18B/GLS-G18</w:t>
            </w:r>
          </w:p>
        </w:tc>
      </w:tr>
      <w:tr w14:paraId="55E819AC">
        <w:tblPrEx>
          <w:tblCellMar>
            <w:top w:w="0" w:type="dxa"/>
            <w:left w:w="108" w:type="dxa"/>
            <w:bottom w:w="0" w:type="dxa"/>
            <w:right w:w="108" w:type="dxa"/>
          </w:tblCellMar>
        </w:tblPrEx>
        <w:trPr>
          <w:trHeight w:val="72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A6">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8</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A7">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智能声源支撑系统</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A8">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4</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A9">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套</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AA">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原厂配件</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AB">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SE/SMR/GLS</w:t>
            </w:r>
          </w:p>
        </w:tc>
      </w:tr>
      <w:tr w14:paraId="55E819B3">
        <w:tblPrEx>
          <w:tblCellMar>
            <w:top w:w="0" w:type="dxa"/>
            <w:left w:w="108" w:type="dxa"/>
            <w:bottom w:w="0" w:type="dxa"/>
            <w:right w:w="108" w:type="dxa"/>
          </w:tblCellMar>
        </w:tblPrEx>
        <w:trPr>
          <w:trHeight w:val="720" w:hRule="atLeast"/>
        </w:trPr>
        <w:tc>
          <w:tcPr>
            <w:tcW w:w="667" w:type="dxa"/>
            <w:tcBorders>
              <w:top w:val="single" w:color="000000" w:sz="4" w:space="0"/>
              <w:left w:val="single" w:color="000000" w:sz="4" w:space="0"/>
              <w:bottom w:val="single" w:color="000000" w:sz="4" w:space="0"/>
              <w:right w:val="single" w:color="000000" w:sz="4" w:space="0"/>
            </w:tcBorders>
            <w:vAlign w:val="center"/>
          </w:tcPr>
          <w:p w14:paraId="55E819AD">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9</w:t>
            </w:r>
          </w:p>
        </w:tc>
        <w:tc>
          <w:tcPr>
            <w:tcW w:w="1328" w:type="dxa"/>
            <w:tcBorders>
              <w:top w:val="single" w:color="000000" w:sz="4" w:space="0"/>
              <w:left w:val="single" w:color="000000" w:sz="4" w:space="0"/>
              <w:bottom w:val="single" w:color="000000" w:sz="4" w:space="0"/>
              <w:right w:val="single" w:color="000000" w:sz="4" w:space="0"/>
            </w:tcBorders>
            <w:vAlign w:val="center"/>
          </w:tcPr>
          <w:p w14:paraId="55E819AE">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智能声源接口转接件</w:t>
            </w:r>
          </w:p>
        </w:tc>
        <w:tc>
          <w:tcPr>
            <w:tcW w:w="666" w:type="dxa"/>
            <w:tcBorders>
              <w:top w:val="single" w:color="000000" w:sz="4" w:space="0"/>
              <w:left w:val="single" w:color="000000" w:sz="4" w:space="0"/>
              <w:bottom w:val="single" w:color="000000" w:sz="4" w:space="0"/>
              <w:right w:val="single" w:color="000000" w:sz="4" w:space="0"/>
            </w:tcBorders>
            <w:vAlign w:val="center"/>
          </w:tcPr>
          <w:p w14:paraId="55E819AF">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2</w:t>
            </w:r>
          </w:p>
        </w:tc>
        <w:tc>
          <w:tcPr>
            <w:tcW w:w="600" w:type="dxa"/>
            <w:tcBorders>
              <w:top w:val="single" w:color="000000" w:sz="4" w:space="0"/>
              <w:left w:val="single" w:color="000000" w:sz="4" w:space="0"/>
              <w:bottom w:val="single" w:color="000000" w:sz="4" w:space="0"/>
              <w:right w:val="single" w:color="000000" w:sz="4" w:space="0"/>
            </w:tcBorders>
            <w:vAlign w:val="center"/>
          </w:tcPr>
          <w:p w14:paraId="55E819B0">
            <w:pPr>
              <w:widowControl/>
              <w:jc w:val="center"/>
              <w:textAlignment w:val="center"/>
              <w:rPr>
                <w:rFonts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只</w:t>
            </w:r>
          </w:p>
        </w:tc>
        <w:tc>
          <w:tcPr>
            <w:tcW w:w="4401" w:type="dxa"/>
            <w:tcBorders>
              <w:top w:val="single" w:color="000000" w:sz="4" w:space="0"/>
              <w:left w:val="single" w:color="000000" w:sz="4" w:space="0"/>
              <w:bottom w:val="single" w:color="000000" w:sz="4" w:space="0"/>
              <w:right w:val="single" w:color="000000" w:sz="4" w:space="0"/>
            </w:tcBorders>
            <w:vAlign w:val="center"/>
          </w:tcPr>
          <w:p w14:paraId="55E819B1">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原厂转接头配件</w:t>
            </w:r>
          </w:p>
        </w:tc>
        <w:tc>
          <w:tcPr>
            <w:tcW w:w="1470" w:type="dxa"/>
            <w:tcBorders>
              <w:top w:val="single" w:color="000000" w:sz="4" w:space="0"/>
              <w:left w:val="single" w:color="000000" w:sz="4" w:space="0"/>
              <w:bottom w:val="single" w:color="000000" w:sz="4" w:space="0"/>
              <w:right w:val="single" w:color="000000" w:sz="4" w:space="0"/>
            </w:tcBorders>
            <w:vAlign w:val="center"/>
          </w:tcPr>
          <w:p w14:paraId="55E819B2">
            <w:pPr>
              <w:widowControl/>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SE/SMR/GLS</w:t>
            </w:r>
          </w:p>
        </w:tc>
      </w:tr>
    </w:tbl>
    <w:p w14:paraId="55E819B4">
      <w:pPr>
        <w:pStyle w:val="3"/>
        <w:spacing w:beforeAutospacing="0" w:afterAutospacing="0" w:line="480" w:lineRule="exact"/>
        <w:jc w:val="both"/>
        <w:rPr>
          <w:rFonts w:ascii="宋体" w:hAnsi="宋体" w:cs="宋体"/>
          <w:sz w:val="22"/>
          <w:szCs w:val="22"/>
          <w:shd w:val="clear" w:color="auto" w:fill="FFFFFF"/>
        </w:rPr>
      </w:pPr>
      <w:r>
        <w:rPr>
          <w:rFonts w:ascii="宋体" w:hAnsi="宋体" w:eastAsia="宋体" w:cs="宋体"/>
          <w:sz w:val="22"/>
          <w:szCs w:val="22"/>
        </w:rPr>
        <w:t>注：本采购需求所列</w:t>
      </w:r>
      <w:r>
        <w:rPr>
          <w:rFonts w:hint="eastAsia" w:ascii="宋体" w:hAnsi="宋体" w:eastAsia="宋体" w:cs="宋体"/>
          <w:sz w:val="22"/>
          <w:szCs w:val="22"/>
        </w:rPr>
        <w:t>参考</w:t>
      </w:r>
      <w:r>
        <w:rPr>
          <w:rFonts w:ascii="宋体" w:hAnsi="宋体" w:eastAsia="宋体" w:cs="宋体"/>
          <w:sz w:val="22"/>
          <w:szCs w:val="22"/>
        </w:rPr>
        <w:t>品牌</w:t>
      </w:r>
      <w:r>
        <w:rPr>
          <w:rFonts w:hint="eastAsia" w:ascii="宋体" w:hAnsi="宋体" w:eastAsia="宋体" w:cs="宋体"/>
          <w:sz w:val="22"/>
          <w:szCs w:val="22"/>
        </w:rPr>
        <w:t>型号</w:t>
      </w:r>
      <w:r>
        <w:rPr>
          <w:rFonts w:ascii="宋体" w:hAnsi="宋体" w:eastAsia="宋体" w:cs="宋体"/>
          <w:sz w:val="22"/>
          <w:szCs w:val="22"/>
        </w:rPr>
        <w:t>仅作为产品档次、技术性能的参考示范，供应商可提供同等档次其他品牌产品。</w:t>
      </w:r>
    </w:p>
    <w:p w14:paraId="55E819B5">
      <w:pPr>
        <w:pStyle w:val="3"/>
        <w:spacing w:beforeAutospacing="0" w:afterAutospacing="0" w:line="480" w:lineRule="exact"/>
        <w:ind w:firstLine="440" w:firstLineChars="200"/>
        <w:jc w:val="both"/>
        <w:rPr>
          <w:rFonts w:ascii="宋体" w:hAnsi="宋体" w:cs="宋体"/>
          <w:sz w:val="22"/>
          <w:szCs w:val="22"/>
          <w:shd w:val="clear" w:color="auto" w:fill="FFFFFF"/>
        </w:rPr>
      </w:pPr>
    </w:p>
    <w:p w14:paraId="55E819B6">
      <w:pPr>
        <w:pStyle w:val="3"/>
        <w:spacing w:beforeAutospacing="0" w:afterAutospacing="0" w:line="480" w:lineRule="exact"/>
        <w:ind w:firstLine="440" w:firstLineChars="200"/>
        <w:jc w:val="both"/>
        <w:rPr>
          <w:rFonts w:ascii="宋体" w:hAnsi="宋体" w:cs="宋体"/>
          <w:sz w:val="22"/>
          <w:szCs w:val="22"/>
          <w:shd w:val="clear" w:color="auto" w:fill="FFFFFF"/>
        </w:rPr>
      </w:pPr>
      <w:r>
        <w:rPr>
          <w:rFonts w:hint="eastAsia" w:ascii="宋体" w:hAnsi="宋体" w:cs="宋体"/>
          <w:sz w:val="22"/>
          <w:szCs w:val="22"/>
          <w:shd w:val="clear" w:color="auto" w:fill="FFFFFF"/>
        </w:rPr>
        <w:t>供货时间：自合同签订之日起</w:t>
      </w:r>
      <w:r>
        <w:rPr>
          <w:rFonts w:hint="eastAsia" w:ascii="宋体" w:hAnsi="宋体" w:cs="宋体"/>
          <w:sz w:val="22"/>
          <w:szCs w:val="22"/>
          <w:highlight w:val="none"/>
          <w:shd w:val="clear" w:color="auto" w:fill="FFFFFF"/>
        </w:rPr>
        <w:t>30个</w:t>
      </w:r>
      <w:r>
        <w:rPr>
          <w:rFonts w:hint="eastAsia" w:ascii="宋体" w:hAnsi="宋体" w:cs="宋体"/>
          <w:sz w:val="22"/>
          <w:szCs w:val="22"/>
          <w:shd w:val="clear" w:color="auto" w:fill="FFFFFF"/>
        </w:rPr>
        <w:t>日历日内供货。</w:t>
      </w:r>
    </w:p>
    <w:p w14:paraId="55E819B7">
      <w:pPr>
        <w:pStyle w:val="3"/>
        <w:spacing w:beforeAutospacing="0" w:afterAutospacing="0" w:line="480" w:lineRule="exact"/>
        <w:ind w:firstLine="440" w:firstLineChars="200"/>
        <w:jc w:val="both"/>
        <w:rPr>
          <w:rFonts w:ascii="宋体" w:hAnsi="宋体" w:cs="宋体"/>
          <w:sz w:val="22"/>
          <w:szCs w:val="22"/>
          <w:shd w:val="clear" w:color="auto" w:fill="FFFFFF"/>
        </w:rPr>
      </w:pPr>
    </w:p>
    <w:p w14:paraId="55E819B8"/>
    <w:p w14:paraId="55E819B9">
      <w:pPr>
        <w:sectPr>
          <w:pgSz w:w="11906" w:h="16838"/>
          <w:pgMar w:top="1440" w:right="1800" w:bottom="1440" w:left="1800" w:header="851" w:footer="992" w:gutter="0"/>
          <w:cols w:space="425" w:num="1"/>
          <w:docGrid w:type="lines" w:linePitch="312" w:charSpace="0"/>
        </w:sectPr>
      </w:pPr>
    </w:p>
    <w:p w14:paraId="55E819BA">
      <w:r>
        <w:rPr>
          <w:rFonts w:hint="eastAsia"/>
        </w:rPr>
        <w:t>附件2供应商直接控股、管理关系信息表</w:t>
      </w:r>
    </w:p>
    <w:p w14:paraId="55E819BB">
      <w:pPr>
        <w:spacing w:before="50" w:after="156" w:afterLines="50" w:line="360" w:lineRule="auto"/>
        <w:jc w:val="center"/>
        <w:rPr>
          <w:rFonts w:ascii="仿宋" w:hAnsi="仿宋" w:eastAsia="仿宋"/>
          <w:b/>
        </w:rPr>
      </w:pPr>
      <w:r>
        <w:rPr>
          <w:rFonts w:hint="eastAsia" w:ascii="仿宋" w:hAnsi="仿宋" w:eastAsia="仿宋"/>
          <w:b/>
        </w:rPr>
        <w:t>供应商直接控股、管理关系信息表</w:t>
      </w:r>
    </w:p>
    <w:tbl>
      <w:tblPr>
        <w:tblStyle w:val="4"/>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09"/>
        <w:gridCol w:w="1384"/>
        <w:gridCol w:w="2410"/>
        <w:gridCol w:w="3934"/>
      </w:tblGrid>
      <w:tr w14:paraId="55E8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55E819BC">
            <w:pPr>
              <w:spacing w:before="156" w:beforeLines="50" w:after="50"/>
              <w:jc w:val="center"/>
              <w:rPr>
                <w:rFonts w:ascii="仿宋" w:hAnsi="仿宋" w:eastAsia="仿宋"/>
                <w:b/>
                <w:szCs w:val="18"/>
              </w:rPr>
            </w:pPr>
            <w:r>
              <w:rPr>
                <w:rFonts w:hint="eastAsia" w:ascii="仿宋" w:hAnsi="仿宋" w:eastAsia="仿宋"/>
                <w:b/>
                <w:szCs w:val="18"/>
              </w:rPr>
              <w:t>供应商</w:t>
            </w:r>
            <w:r>
              <w:rPr>
                <w:rFonts w:ascii="仿宋" w:hAnsi="仿宋" w:eastAsia="仿宋"/>
                <w:b/>
                <w:szCs w:val="18"/>
              </w:rPr>
              <w:t>直接控股股东信息表</w:t>
            </w:r>
          </w:p>
        </w:tc>
        <w:tc>
          <w:tcPr>
            <w:tcW w:w="3934" w:type="dxa"/>
            <w:shd w:val="clear" w:color="auto" w:fill="F2DBDB"/>
            <w:vAlign w:val="center"/>
          </w:tcPr>
          <w:p w14:paraId="55E819BD">
            <w:pPr>
              <w:spacing w:before="156" w:beforeLines="50" w:after="50"/>
              <w:jc w:val="center"/>
              <w:rPr>
                <w:rFonts w:ascii="仿宋" w:hAnsi="仿宋" w:eastAsia="仿宋"/>
                <w:b/>
                <w:szCs w:val="18"/>
              </w:rPr>
            </w:pPr>
            <w:r>
              <w:rPr>
                <w:rFonts w:ascii="仿宋" w:hAnsi="仿宋" w:eastAsia="仿宋"/>
                <w:b/>
                <w:szCs w:val="18"/>
              </w:rPr>
              <w:t>说明</w:t>
            </w:r>
          </w:p>
        </w:tc>
      </w:tr>
      <w:tr w14:paraId="55E8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55E819BF">
            <w:pPr>
              <w:spacing w:line="360" w:lineRule="exact"/>
              <w:jc w:val="center"/>
              <w:rPr>
                <w:rFonts w:ascii="仿宋" w:hAnsi="仿宋" w:eastAsia="仿宋" w:cs="宋体"/>
                <w:b/>
                <w:bCs/>
                <w:szCs w:val="18"/>
              </w:rPr>
            </w:pPr>
            <w:r>
              <w:rPr>
                <w:rFonts w:ascii="仿宋" w:hAnsi="仿宋" w:eastAsia="仿宋" w:cs="宋体"/>
                <w:b/>
                <w:bCs/>
                <w:szCs w:val="18"/>
              </w:rPr>
              <w:t>序号</w:t>
            </w:r>
          </w:p>
        </w:tc>
        <w:tc>
          <w:tcPr>
            <w:tcW w:w="1309" w:type="dxa"/>
            <w:vAlign w:val="center"/>
          </w:tcPr>
          <w:p w14:paraId="55E819C0">
            <w:pPr>
              <w:spacing w:line="360" w:lineRule="exact"/>
              <w:jc w:val="center"/>
              <w:rPr>
                <w:rFonts w:ascii="仿宋" w:hAnsi="仿宋" w:eastAsia="仿宋" w:cs="宋体"/>
                <w:b/>
                <w:bCs/>
                <w:szCs w:val="18"/>
              </w:rPr>
            </w:pPr>
            <w:r>
              <w:rPr>
                <w:rFonts w:ascii="仿宋" w:hAnsi="仿宋" w:eastAsia="仿宋" w:cs="宋体"/>
                <w:b/>
                <w:bCs/>
                <w:szCs w:val="18"/>
              </w:rPr>
              <w:t>直接控股股东名称</w:t>
            </w:r>
          </w:p>
        </w:tc>
        <w:tc>
          <w:tcPr>
            <w:tcW w:w="1384" w:type="dxa"/>
            <w:vAlign w:val="center"/>
          </w:tcPr>
          <w:p w14:paraId="55E819C1">
            <w:pPr>
              <w:spacing w:line="360" w:lineRule="exact"/>
              <w:jc w:val="center"/>
              <w:rPr>
                <w:rFonts w:ascii="仿宋" w:hAnsi="仿宋" w:eastAsia="仿宋" w:cs="宋体"/>
                <w:b/>
                <w:bCs/>
                <w:szCs w:val="18"/>
              </w:rPr>
            </w:pPr>
            <w:r>
              <w:rPr>
                <w:rFonts w:ascii="仿宋" w:hAnsi="仿宋" w:eastAsia="仿宋" w:cs="宋体"/>
                <w:b/>
                <w:bCs/>
                <w:szCs w:val="18"/>
              </w:rPr>
              <w:t>出资比例</w:t>
            </w:r>
          </w:p>
        </w:tc>
        <w:tc>
          <w:tcPr>
            <w:tcW w:w="2410" w:type="dxa"/>
            <w:vAlign w:val="center"/>
          </w:tcPr>
          <w:p w14:paraId="55E819C2">
            <w:pPr>
              <w:spacing w:line="360" w:lineRule="exact"/>
              <w:jc w:val="center"/>
              <w:rPr>
                <w:rFonts w:ascii="仿宋" w:hAnsi="仿宋" w:eastAsia="仿宋" w:cs="宋体"/>
                <w:b/>
                <w:bCs/>
                <w:szCs w:val="18"/>
              </w:rPr>
            </w:pPr>
            <w:r>
              <w:rPr>
                <w:rFonts w:ascii="仿宋" w:hAnsi="仿宋" w:eastAsia="仿宋" w:cs="宋体"/>
                <w:b/>
                <w:bCs/>
                <w:szCs w:val="18"/>
              </w:rPr>
              <w:t>身份证号码或者统一社会信用代码</w:t>
            </w:r>
          </w:p>
        </w:tc>
        <w:tc>
          <w:tcPr>
            <w:tcW w:w="3934" w:type="dxa"/>
            <w:vMerge w:val="restart"/>
            <w:vAlign w:val="center"/>
          </w:tcPr>
          <w:p w14:paraId="55E819C3">
            <w:pPr>
              <w:rPr>
                <w:rFonts w:ascii="仿宋" w:hAnsi="仿宋" w:eastAsia="仿宋"/>
                <w:szCs w:val="18"/>
              </w:rPr>
            </w:pPr>
            <w:r>
              <w:rPr>
                <w:rFonts w:ascii="仿宋" w:hAnsi="仿宋" w:eastAsia="仿宋"/>
                <w:szCs w:val="18"/>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5E819C4">
            <w:pPr>
              <w:rPr>
                <w:rFonts w:ascii="仿宋" w:hAnsi="仿宋" w:eastAsia="仿宋"/>
                <w:szCs w:val="18"/>
              </w:rPr>
            </w:pPr>
            <w:r>
              <w:rPr>
                <w:rFonts w:ascii="仿宋" w:hAnsi="仿宋" w:eastAsia="仿宋"/>
                <w:szCs w:val="18"/>
              </w:rPr>
              <w:t>2.本表所指的控股关系仅限于直接控股关系，不包括间接的控股关系。公司实际控制人与公司之间的关系不属于本表所指的直接控股关系。</w:t>
            </w:r>
          </w:p>
          <w:p w14:paraId="55E819C5">
            <w:pPr>
              <w:rPr>
                <w:rFonts w:ascii="仿宋" w:hAnsi="仿宋" w:eastAsia="仿宋" w:cs="宋体"/>
                <w:b/>
                <w:bCs/>
                <w:szCs w:val="18"/>
              </w:rPr>
            </w:pPr>
            <w:r>
              <w:rPr>
                <w:rFonts w:ascii="仿宋" w:hAnsi="仿宋" w:eastAsia="仿宋"/>
                <w:szCs w:val="18"/>
              </w:rPr>
              <w:t>3.供应商不存在直接控股股东的，则填“无”。</w:t>
            </w:r>
          </w:p>
        </w:tc>
      </w:tr>
      <w:tr w14:paraId="55E8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55E819C7">
            <w:pPr>
              <w:spacing w:before="156" w:beforeLines="50" w:after="50"/>
              <w:jc w:val="center"/>
              <w:rPr>
                <w:rFonts w:ascii="仿宋" w:hAnsi="仿宋" w:eastAsia="仿宋"/>
                <w:b/>
                <w:szCs w:val="18"/>
              </w:rPr>
            </w:pPr>
            <w:r>
              <w:rPr>
                <w:rFonts w:ascii="仿宋" w:hAnsi="仿宋" w:eastAsia="仿宋"/>
                <w:b/>
                <w:szCs w:val="18"/>
              </w:rPr>
              <w:t>1</w:t>
            </w:r>
          </w:p>
        </w:tc>
        <w:tc>
          <w:tcPr>
            <w:tcW w:w="1309" w:type="dxa"/>
          </w:tcPr>
          <w:p w14:paraId="55E819C8">
            <w:pPr>
              <w:spacing w:before="156" w:beforeLines="50" w:after="50"/>
              <w:rPr>
                <w:rFonts w:ascii="仿宋" w:hAnsi="仿宋" w:eastAsia="仿宋"/>
                <w:b/>
                <w:szCs w:val="18"/>
              </w:rPr>
            </w:pPr>
          </w:p>
        </w:tc>
        <w:tc>
          <w:tcPr>
            <w:tcW w:w="1384" w:type="dxa"/>
          </w:tcPr>
          <w:p w14:paraId="55E819C9">
            <w:pPr>
              <w:spacing w:before="156" w:beforeLines="50" w:after="50"/>
              <w:rPr>
                <w:rFonts w:ascii="仿宋" w:hAnsi="仿宋" w:eastAsia="仿宋"/>
                <w:b/>
                <w:szCs w:val="18"/>
              </w:rPr>
            </w:pPr>
          </w:p>
        </w:tc>
        <w:tc>
          <w:tcPr>
            <w:tcW w:w="2410" w:type="dxa"/>
          </w:tcPr>
          <w:p w14:paraId="55E819CA">
            <w:pPr>
              <w:spacing w:before="156" w:beforeLines="50" w:after="50"/>
              <w:rPr>
                <w:rFonts w:ascii="仿宋" w:hAnsi="仿宋" w:eastAsia="仿宋"/>
                <w:b/>
                <w:szCs w:val="18"/>
              </w:rPr>
            </w:pPr>
          </w:p>
        </w:tc>
        <w:tc>
          <w:tcPr>
            <w:tcW w:w="3934" w:type="dxa"/>
            <w:vMerge w:val="continue"/>
          </w:tcPr>
          <w:p w14:paraId="55E819CB">
            <w:pPr>
              <w:rPr>
                <w:rFonts w:ascii="仿宋" w:hAnsi="仿宋" w:eastAsia="仿宋"/>
                <w:szCs w:val="18"/>
              </w:rPr>
            </w:pPr>
          </w:p>
        </w:tc>
      </w:tr>
      <w:tr w14:paraId="55E8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55E819CD">
            <w:pPr>
              <w:spacing w:before="156" w:beforeLines="50" w:after="50"/>
              <w:jc w:val="center"/>
              <w:rPr>
                <w:rFonts w:ascii="仿宋" w:hAnsi="仿宋" w:eastAsia="仿宋"/>
                <w:b/>
                <w:szCs w:val="18"/>
              </w:rPr>
            </w:pPr>
            <w:r>
              <w:rPr>
                <w:rFonts w:ascii="仿宋" w:hAnsi="仿宋" w:eastAsia="仿宋"/>
                <w:b/>
                <w:szCs w:val="18"/>
              </w:rPr>
              <w:t>2</w:t>
            </w:r>
          </w:p>
        </w:tc>
        <w:tc>
          <w:tcPr>
            <w:tcW w:w="1309" w:type="dxa"/>
          </w:tcPr>
          <w:p w14:paraId="55E819CE">
            <w:pPr>
              <w:spacing w:before="156" w:beforeLines="50" w:after="50"/>
              <w:rPr>
                <w:rFonts w:ascii="仿宋" w:hAnsi="仿宋" w:eastAsia="仿宋"/>
                <w:b/>
                <w:szCs w:val="18"/>
              </w:rPr>
            </w:pPr>
          </w:p>
        </w:tc>
        <w:tc>
          <w:tcPr>
            <w:tcW w:w="1384" w:type="dxa"/>
          </w:tcPr>
          <w:p w14:paraId="55E819CF">
            <w:pPr>
              <w:spacing w:before="156" w:beforeLines="50" w:after="50"/>
              <w:rPr>
                <w:rFonts w:ascii="仿宋" w:hAnsi="仿宋" w:eastAsia="仿宋"/>
                <w:b/>
                <w:szCs w:val="18"/>
              </w:rPr>
            </w:pPr>
          </w:p>
        </w:tc>
        <w:tc>
          <w:tcPr>
            <w:tcW w:w="2410" w:type="dxa"/>
          </w:tcPr>
          <w:p w14:paraId="55E819D0">
            <w:pPr>
              <w:spacing w:before="156" w:beforeLines="50" w:after="50"/>
              <w:rPr>
                <w:rFonts w:ascii="仿宋" w:hAnsi="仿宋" w:eastAsia="仿宋"/>
                <w:b/>
                <w:szCs w:val="18"/>
              </w:rPr>
            </w:pPr>
          </w:p>
        </w:tc>
        <w:tc>
          <w:tcPr>
            <w:tcW w:w="3934" w:type="dxa"/>
            <w:vMerge w:val="continue"/>
          </w:tcPr>
          <w:p w14:paraId="55E819D1">
            <w:pPr>
              <w:spacing w:before="156" w:beforeLines="50" w:after="50"/>
              <w:rPr>
                <w:rFonts w:ascii="仿宋" w:hAnsi="仿宋" w:eastAsia="仿宋"/>
                <w:b/>
                <w:szCs w:val="18"/>
              </w:rPr>
            </w:pPr>
          </w:p>
        </w:tc>
      </w:tr>
      <w:tr w14:paraId="55E8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bottom w:val="single" w:color="auto" w:sz="4" w:space="0"/>
            </w:tcBorders>
          </w:tcPr>
          <w:p w14:paraId="55E819D3">
            <w:pPr>
              <w:spacing w:before="156" w:beforeLines="50" w:after="50"/>
              <w:jc w:val="center"/>
              <w:rPr>
                <w:rFonts w:ascii="仿宋" w:hAnsi="仿宋" w:eastAsia="仿宋"/>
                <w:b/>
                <w:szCs w:val="18"/>
              </w:rPr>
            </w:pPr>
            <w:r>
              <w:rPr>
                <w:rFonts w:ascii="仿宋" w:hAnsi="仿宋" w:eastAsia="仿宋" w:cs="宋体"/>
                <w:szCs w:val="18"/>
              </w:rPr>
              <w:t>……</w:t>
            </w:r>
          </w:p>
        </w:tc>
        <w:tc>
          <w:tcPr>
            <w:tcW w:w="1309" w:type="dxa"/>
            <w:tcBorders>
              <w:bottom w:val="single" w:color="auto" w:sz="4" w:space="0"/>
            </w:tcBorders>
          </w:tcPr>
          <w:p w14:paraId="55E819D4">
            <w:pPr>
              <w:spacing w:before="156" w:beforeLines="50" w:after="50"/>
              <w:rPr>
                <w:rFonts w:ascii="仿宋" w:hAnsi="仿宋" w:eastAsia="仿宋"/>
                <w:b/>
                <w:szCs w:val="18"/>
              </w:rPr>
            </w:pPr>
          </w:p>
        </w:tc>
        <w:tc>
          <w:tcPr>
            <w:tcW w:w="1384" w:type="dxa"/>
            <w:tcBorders>
              <w:bottom w:val="single" w:color="auto" w:sz="4" w:space="0"/>
            </w:tcBorders>
          </w:tcPr>
          <w:p w14:paraId="55E819D5">
            <w:pPr>
              <w:spacing w:before="156" w:beforeLines="50" w:after="50"/>
              <w:rPr>
                <w:rFonts w:ascii="仿宋" w:hAnsi="仿宋" w:eastAsia="仿宋"/>
                <w:b/>
                <w:szCs w:val="18"/>
              </w:rPr>
            </w:pPr>
          </w:p>
        </w:tc>
        <w:tc>
          <w:tcPr>
            <w:tcW w:w="2410" w:type="dxa"/>
            <w:tcBorders>
              <w:bottom w:val="single" w:color="auto" w:sz="4" w:space="0"/>
            </w:tcBorders>
          </w:tcPr>
          <w:p w14:paraId="55E819D6">
            <w:pPr>
              <w:spacing w:before="156" w:beforeLines="50" w:after="50"/>
              <w:rPr>
                <w:rFonts w:ascii="仿宋" w:hAnsi="仿宋" w:eastAsia="仿宋"/>
                <w:b/>
                <w:szCs w:val="18"/>
              </w:rPr>
            </w:pPr>
          </w:p>
        </w:tc>
        <w:tc>
          <w:tcPr>
            <w:tcW w:w="3934" w:type="dxa"/>
            <w:vMerge w:val="continue"/>
            <w:tcBorders>
              <w:bottom w:val="single" w:color="auto" w:sz="4" w:space="0"/>
            </w:tcBorders>
          </w:tcPr>
          <w:p w14:paraId="55E819D7">
            <w:pPr>
              <w:spacing w:before="156" w:beforeLines="50" w:after="50"/>
              <w:rPr>
                <w:rFonts w:ascii="仿宋" w:hAnsi="仿宋" w:eastAsia="仿宋"/>
                <w:b/>
                <w:szCs w:val="18"/>
              </w:rPr>
            </w:pPr>
          </w:p>
        </w:tc>
      </w:tr>
      <w:tr w14:paraId="55E8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55E819D9">
            <w:pPr>
              <w:spacing w:before="156" w:beforeLines="50" w:after="50"/>
              <w:jc w:val="center"/>
              <w:rPr>
                <w:rFonts w:ascii="仿宋" w:hAnsi="仿宋" w:eastAsia="仿宋"/>
                <w:b/>
                <w:szCs w:val="18"/>
              </w:rPr>
            </w:pPr>
            <w:r>
              <w:rPr>
                <w:rFonts w:hint="eastAsia" w:ascii="仿宋" w:hAnsi="仿宋" w:eastAsia="仿宋"/>
                <w:b/>
                <w:szCs w:val="18"/>
              </w:rPr>
              <w:t>供应商</w:t>
            </w:r>
            <w:r>
              <w:rPr>
                <w:rFonts w:ascii="仿宋" w:hAnsi="仿宋" w:eastAsia="仿宋"/>
                <w:b/>
                <w:szCs w:val="18"/>
              </w:rPr>
              <w:t>直接管理关系信息表</w:t>
            </w:r>
          </w:p>
        </w:tc>
        <w:tc>
          <w:tcPr>
            <w:tcW w:w="3934" w:type="dxa"/>
            <w:shd w:val="clear" w:color="auto" w:fill="F2DBDB"/>
            <w:vAlign w:val="center"/>
          </w:tcPr>
          <w:p w14:paraId="55E819DA">
            <w:pPr>
              <w:spacing w:before="156" w:beforeLines="50" w:after="50"/>
              <w:jc w:val="center"/>
              <w:rPr>
                <w:rFonts w:ascii="仿宋" w:hAnsi="仿宋" w:eastAsia="仿宋"/>
                <w:b/>
                <w:szCs w:val="18"/>
              </w:rPr>
            </w:pPr>
            <w:r>
              <w:rPr>
                <w:rFonts w:ascii="仿宋" w:hAnsi="仿宋" w:eastAsia="仿宋"/>
                <w:b/>
                <w:szCs w:val="18"/>
              </w:rPr>
              <w:t>说明</w:t>
            </w:r>
          </w:p>
        </w:tc>
      </w:tr>
      <w:tr w14:paraId="55E8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55E819DC">
            <w:pPr>
              <w:spacing w:before="156" w:beforeLines="50" w:after="50"/>
              <w:jc w:val="center"/>
              <w:rPr>
                <w:rFonts w:ascii="仿宋" w:hAnsi="仿宋" w:eastAsia="仿宋"/>
                <w:b/>
                <w:szCs w:val="18"/>
              </w:rPr>
            </w:pPr>
            <w:r>
              <w:rPr>
                <w:rFonts w:ascii="仿宋" w:hAnsi="仿宋" w:eastAsia="仿宋" w:cs="宋体"/>
                <w:b/>
                <w:bCs/>
                <w:szCs w:val="18"/>
              </w:rPr>
              <w:t>序号</w:t>
            </w:r>
          </w:p>
        </w:tc>
        <w:tc>
          <w:tcPr>
            <w:tcW w:w="2693" w:type="dxa"/>
            <w:gridSpan w:val="2"/>
            <w:vAlign w:val="center"/>
          </w:tcPr>
          <w:p w14:paraId="55E819DD">
            <w:pPr>
              <w:spacing w:before="156" w:beforeLines="50" w:after="50"/>
              <w:jc w:val="center"/>
              <w:rPr>
                <w:rFonts w:ascii="仿宋" w:hAnsi="仿宋" w:eastAsia="仿宋"/>
                <w:b/>
                <w:szCs w:val="18"/>
              </w:rPr>
            </w:pPr>
            <w:r>
              <w:rPr>
                <w:rFonts w:ascii="仿宋" w:hAnsi="仿宋" w:eastAsia="仿宋" w:cs="宋体"/>
                <w:b/>
                <w:bCs/>
                <w:szCs w:val="18"/>
              </w:rPr>
              <w:t>直接管理关系单位名称</w:t>
            </w:r>
          </w:p>
        </w:tc>
        <w:tc>
          <w:tcPr>
            <w:tcW w:w="2410" w:type="dxa"/>
            <w:vAlign w:val="center"/>
          </w:tcPr>
          <w:p w14:paraId="55E819DE">
            <w:pPr>
              <w:spacing w:before="156" w:beforeLines="50" w:after="50"/>
              <w:jc w:val="center"/>
              <w:rPr>
                <w:rFonts w:ascii="仿宋" w:hAnsi="仿宋" w:eastAsia="仿宋"/>
                <w:b/>
                <w:szCs w:val="18"/>
              </w:rPr>
            </w:pPr>
            <w:r>
              <w:rPr>
                <w:rFonts w:ascii="仿宋" w:hAnsi="仿宋" w:eastAsia="仿宋" w:cs="宋体"/>
                <w:b/>
                <w:bCs/>
                <w:szCs w:val="18"/>
              </w:rPr>
              <w:t>统一社会信用代码</w:t>
            </w:r>
          </w:p>
        </w:tc>
        <w:tc>
          <w:tcPr>
            <w:tcW w:w="3934" w:type="dxa"/>
            <w:vMerge w:val="restart"/>
            <w:vAlign w:val="center"/>
          </w:tcPr>
          <w:p w14:paraId="55E819DF">
            <w:pPr>
              <w:rPr>
                <w:rFonts w:ascii="仿宋" w:hAnsi="仿宋" w:eastAsia="仿宋"/>
                <w:szCs w:val="18"/>
              </w:rPr>
            </w:pPr>
            <w:r>
              <w:rPr>
                <w:rFonts w:ascii="仿宋" w:hAnsi="仿宋" w:eastAsia="仿宋"/>
                <w:szCs w:val="18"/>
              </w:rPr>
              <w:t>1.管理关系：是指不具有出资持股关系的其他单位之间存在的管理与被管理关系，如一些上下级关系的事业单位和团体组织。</w:t>
            </w:r>
          </w:p>
          <w:p w14:paraId="55E819E0">
            <w:pPr>
              <w:rPr>
                <w:rFonts w:ascii="仿宋" w:hAnsi="仿宋" w:eastAsia="仿宋"/>
                <w:szCs w:val="18"/>
              </w:rPr>
            </w:pPr>
            <w:r>
              <w:rPr>
                <w:rFonts w:ascii="仿宋" w:hAnsi="仿宋" w:eastAsia="仿宋"/>
                <w:szCs w:val="18"/>
              </w:rPr>
              <w:t>2.本表所指的管理关系仅限于直接管理关系，不包括间接的管理关系。</w:t>
            </w:r>
          </w:p>
          <w:p w14:paraId="55E819E1">
            <w:pPr>
              <w:rPr>
                <w:rFonts w:ascii="仿宋" w:hAnsi="仿宋" w:eastAsia="仿宋"/>
                <w:szCs w:val="18"/>
              </w:rPr>
            </w:pPr>
            <w:r>
              <w:rPr>
                <w:rFonts w:ascii="仿宋" w:hAnsi="仿宋" w:eastAsia="仿宋"/>
                <w:szCs w:val="18"/>
              </w:rPr>
              <w:t>3.供应商不存在直接管理关系的，则填“无”。</w:t>
            </w:r>
          </w:p>
        </w:tc>
      </w:tr>
      <w:tr w14:paraId="55E8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55E819E3">
            <w:pPr>
              <w:spacing w:before="156" w:beforeLines="50" w:after="50"/>
              <w:jc w:val="center"/>
              <w:rPr>
                <w:rFonts w:ascii="仿宋" w:hAnsi="仿宋" w:eastAsia="仿宋"/>
                <w:b/>
                <w:szCs w:val="18"/>
              </w:rPr>
            </w:pPr>
            <w:r>
              <w:rPr>
                <w:rFonts w:ascii="仿宋" w:hAnsi="仿宋" w:eastAsia="仿宋"/>
                <w:b/>
                <w:szCs w:val="18"/>
              </w:rPr>
              <w:t>1</w:t>
            </w:r>
          </w:p>
        </w:tc>
        <w:tc>
          <w:tcPr>
            <w:tcW w:w="2693" w:type="dxa"/>
            <w:gridSpan w:val="2"/>
            <w:vAlign w:val="center"/>
          </w:tcPr>
          <w:p w14:paraId="55E819E4">
            <w:pPr>
              <w:spacing w:before="156" w:beforeLines="50" w:after="50"/>
              <w:jc w:val="center"/>
              <w:rPr>
                <w:rFonts w:ascii="仿宋" w:hAnsi="仿宋" w:eastAsia="仿宋" w:cs="宋体"/>
                <w:b/>
                <w:bCs/>
                <w:szCs w:val="18"/>
              </w:rPr>
            </w:pPr>
          </w:p>
        </w:tc>
        <w:tc>
          <w:tcPr>
            <w:tcW w:w="2410" w:type="dxa"/>
            <w:vAlign w:val="center"/>
          </w:tcPr>
          <w:p w14:paraId="55E819E5">
            <w:pPr>
              <w:spacing w:before="156" w:beforeLines="50" w:after="50"/>
              <w:jc w:val="center"/>
              <w:rPr>
                <w:rFonts w:ascii="仿宋" w:hAnsi="仿宋" w:eastAsia="仿宋" w:cs="宋体"/>
                <w:b/>
                <w:bCs/>
                <w:szCs w:val="18"/>
              </w:rPr>
            </w:pPr>
          </w:p>
        </w:tc>
        <w:tc>
          <w:tcPr>
            <w:tcW w:w="3934" w:type="dxa"/>
            <w:vMerge w:val="continue"/>
            <w:vAlign w:val="center"/>
          </w:tcPr>
          <w:p w14:paraId="55E819E6">
            <w:pPr>
              <w:rPr>
                <w:rFonts w:ascii="仿宋" w:hAnsi="仿宋" w:eastAsia="仿宋"/>
                <w:szCs w:val="18"/>
              </w:rPr>
            </w:pPr>
          </w:p>
        </w:tc>
      </w:tr>
      <w:tr w14:paraId="55E8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55E819E8">
            <w:pPr>
              <w:spacing w:before="156" w:beforeLines="50" w:after="50"/>
              <w:jc w:val="center"/>
              <w:rPr>
                <w:rFonts w:ascii="仿宋" w:hAnsi="仿宋" w:eastAsia="仿宋"/>
                <w:b/>
                <w:szCs w:val="18"/>
              </w:rPr>
            </w:pPr>
            <w:r>
              <w:rPr>
                <w:rFonts w:ascii="仿宋" w:hAnsi="仿宋" w:eastAsia="仿宋"/>
                <w:b/>
                <w:szCs w:val="18"/>
              </w:rPr>
              <w:t>2</w:t>
            </w:r>
          </w:p>
        </w:tc>
        <w:tc>
          <w:tcPr>
            <w:tcW w:w="2693" w:type="dxa"/>
            <w:gridSpan w:val="2"/>
            <w:vAlign w:val="center"/>
          </w:tcPr>
          <w:p w14:paraId="55E819E9">
            <w:pPr>
              <w:spacing w:before="156" w:beforeLines="50" w:after="50"/>
              <w:jc w:val="center"/>
              <w:rPr>
                <w:rFonts w:ascii="仿宋" w:hAnsi="仿宋" w:eastAsia="仿宋" w:cs="宋体"/>
                <w:b/>
                <w:bCs/>
                <w:szCs w:val="18"/>
              </w:rPr>
            </w:pPr>
          </w:p>
        </w:tc>
        <w:tc>
          <w:tcPr>
            <w:tcW w:w="2410" w:type="dxa"/>
            <w:vAlign w:val="center"/>
          </w:tcPr>
          <w:p w14:paraId="55E819EA">
            <w:pPr>
              <w:spacing w:before="156" w:beforeLines="50" w:after="50"/>
              <w:jc w:val="center"/>
              <w:rPr>
                <w:rFonts w:ascii="仿宋" w:hAnsi="仿宋" w:eastAsia="仿宋" w:cs="宋体"/>
                <w:b/>
                <w:bCs/>
                <w:szCs w:val="18"/>
              </w:rPr>
            </w:pPr>
          </w:p>
        </w:tc>
        <w:tc>
          <w:tcPr>
            <w:tcW w:w="3934" w:type="dxa"/>
            <w:vMerge w:val="continue"/>
            <w:vAlign w:val="center"/>
          </w:tcPr>
          <w:p w14:paraId="55E819EB">
            <w:pPr>
              <w:rPr>
                <w:rFonts w:ascii="仿宋" w:hAnsi="仿宋" w:eastAsia="仿宋"/>
                <w:szCs w:val="18"/>
              </w:rPr>
            </w:pPr>
          </w:p>
        </w:tc>
      </w:tr>
      <w:tr w14:paraId="55E8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55E819ED">
            <w:pPr>
              <w:spacing w:before="156" w:beforeLines="50" w:after="50"/>
              <w:jc w:val="center"/>
              <w:rPr>
                <w:rFonts w:ascii="仿宋" w:hAnsi="仿宋" w:eastAsia="仿宋"/>
                <w:b/>
                <w:szCs w:val="18"/>
              </w:rPr>
            </w:pPr>
            <w:r>
              <w:rPr>
                <w:rFonts w:ascii="仿宋" w:hAnsi="仿宋" w:eastAsia="仿宋" w:cs="宋体"/>
                <w:szCs w:val="18"/>
              </w:rPr>
              <w:t>……</w:t>
            </w:r>
          </w:p>
        </w:tc>
        <w:tc>
          <w:tcPr>
            <w:tcW w:w="2693" w:type="dxa"/>
            <w:gridSpan w:val="2"/>
            <w:vAlign w:val="center"/>
          </w:tcPr>
          <w:p w14:paraId="55E819EE">
            <w:pPr>
              <w:spacing w:before="156" w:beforeLines="50" w:after="50"/>
              <w:jc w:val="center"/>
              <w:rPr>
                <w:rFonts w:ascii="仿宋" w:hAnsi="仿宋" w:eastAsia="仿宋" w:cs="宋体"/>
                <w:b/>
                <w:bCs/>
                <w:szCs w:val="18"/>
              </w:rPr>
            </w:pPr>
          </w:p>
        </w:tc>
        <w:tc>
          <w:tcPr>
            <w:tcW w:w="2410" w:type="dxa"/>
            <w:vAlign w:val="center"/>
          </w:tcPr>
          <w:p w14:paraId="55E819EF">
            <w:pPr>
              <w:spacing w:before="156" w:beforeLines="50" w:after="50"/>
              <w:jc w:val="center"/>
              <w:rPr>
                <w:rFonts w:ascii="仿宋" w:hAnsi="仿宋" w:eastAsia="仿宋" w:cs="宋体"/>
                <w:b/>
                <w:bCs/>
                <w:szCs w:val="18"/>
              </w:rPr>
            </w:pPr>
          </w:p>
        </w:tc>
        <w:tc>
          <w:tcPr>
            <w:tcW w:w="3934" w:type="dxa"/>
            <w:vMerge w:val="continue"/>
            <w:vAlign w:val="center"/>
          </w:tcPr>
          <w:p w14:paraId="55E819F0">
            <w:pPr>
              <w:rPr>
                <w:rFonts w:ascii="仿宋" w:hAnsi="仿宋" w:eastAsia="仿宋"/>
                <w:szCs w:val="18"/>
              </w:rPr>
            </w:pPr>
          </w:p>
        </w:tc>
      </w:tr>
    </w:tbl>
    <w:p w14:paraId="55E819F2">
      <w:pPr>
        <w:spacing w:line="360" w:lineRule="auto"/>
        <w:rPr>
          <w:rFonts w:ascii="仿宋" w:hAnsi="仿宋" w:eastAsia="仿宋"/>
          <w:szCs w:val="18"/>
        </w:rPr>
      </w:pPr>
    </w:p>
    <w:p w14:paraId="55E819F3">
      <w:pPr>
        <w:spacing w:line="360" w:lineRule="auto"/>
        <w:rPr>
          <w:rFonts w:ascii="仿宋" w:hAnsi="仿宋" w:eastAsia="仿宋"/>
        </w:rPr>
      </w:pPr>
    </w:p>
    <w:p w14:paraId="55E819F4">
      <w:pPr>
        <w:spacing w:line="360" w:lineRule="auto"/>
        <w:rPr>
          <w:rFonts w:ascii="仿宋" w:hAnsi="仿宋" w:eastAsia="仿宋"/>
        </w:rPr>
      </w:pPr>
    </w:p>
    <w:p w14:paraId="55E819F5">
      <w:pPr>
        <w:spacing w:line="360" w:lineRule="auto"/>
        <w:ind w:firstLine="4620" w:firstLineChars="2100"/>
        <w:rPr>
          <w:rFonts w:ascii="仿宋" w:hAnsi="仿宋" w:eastAsia="仿宋" w:cs="仿宋_GB2312"/>
          <w:sz w:val="22"/>
          <w:u w:val="single"/>
        </w:rPr>
      </w:pPr>
      <w:r>
        <w:rPr>
          <w:rFonts w:hint="eastAsia" w:ascii="仿宋" w:hAnsi="仿宋" w:eastAsia="仿宋" w:cs="仿宋_GB2312"/>
          <w:sz w:val="22"/>
        </w:rPr>
        <w:t>供应商</w:t>
      </w:r>
      <w:r>
        <w:rPr>
          <w:rFonts w:hint="eastAsia" w:ascii="仿宋" w:hAnsi="仿宋" w:eastAsia="仿宋" w:cs="仿宋_GB2312"/>
          <w:sz w:val="22"/>
          <w:lang w:val="zh-CN"/>
        </w:rPr>
        <w:t>名称(</w:t>
      </w:r>
      <w:r>
        <w:rPr>
          <w:rFonts w:hint="eastAsia" w:ascii="仿宋" w:hAnsi="仿宋" w:eastAsia="仿宋" w:cs="仿宋_GB2312"/>
          <w:sz w:val="22"/>
        </w:rPr>
        <w:t>公章</w:t>
      </w:r>
      <w:r>
        <w:rPr>
          <w:rFonts w:hint="eastAsia" w:ascii="仿宋" w:hAnsi="仿宋" w:eastAsia="仿宋" w:cs="仿宋_GB2312"/>
          <w:sz w:val="22"/>
          <w:lang w:val="zh-CN"/>
        </w:rPr>
        <w:t>)：</w:t>
      </w:r>
      <w:r>
        <w:rPr>
          <w:rFonts w:hint="eastAsia" w:ascii="仿宋" w:hAnsi="仿宋" w:eastAsia="仿宋" w:cs="仿宋_GB2312"/>
          <w:sz w:val="22"/>
          <w:u w:val="single"/>
          <w:lang w:val="zh-CN"/>
        </w:rPr>
        <w:t xml:space="preserve"> </w:t>
      </w:r>
      <w:r>
        <w:rPr>
          <w:rFonts w:ascii="仿宋" w:hAnsi="仿宋" w:eastAsia="仿宋" w:cs="仿宋_GB2312"/>
          <w:sz w:val="22"/>
          <w:u w:val="single"/>
          <w:lang w:val="zh-CN"/>
        </w:rPr>
        <w:t xml:space="preserve">         </w:t>
      </w:r>
    </w:p>
    <w:p w14:paraId="55E819F6">
      <w:pPr>
        <w:spacing w:line="360" w:lineRule="auto"/>
        <w:ind w:firstLine="4730" w:firstLineChars="2150"/>
        <w:rPr>
          <w:rFonts w:ascii="宋体" w:hAnsi="宋体" w:cs="宋体"/>
          <w:b/>
          <w:bCs/>
        </w:rPr>
      </w:pPr>
      <w:r>
        <w:rPr>
          <w:rFonts w:hint="eastAsia" w:ascii="仿宋" w:hAnsi="仿宋" w:eastAsia="仿宋" w:cs="仿宋_GB2312"/>
          <w:sz w:val="22"/>
          <w:lang w:val="zh-CN"/>
        </w:rPr>
        <w:t>日期</w:t>
      </w:r>
      <w:r>
        <w:rPr>
          <w:rFonts w:hint="eastAsia" w:ascii="仿宋" w:hAnsi="仿宋" w:eastAsia="仿宋" w:cs="仿宋_GB2312"/>
          <w:sz w:val="22"/>
        </w:rPr>
        <w:t xml:space="preserve">：  年  </w:t>
      </w:r>
      <w:r>
        <w:rPr>
          <w:rFonts w:hint="eastAsia" w:ascii="仿宋" w:hAnsi="仿宋" w:eastAsia="仿宋" w:cs="仿宋_GB2312"/>
          <w:sz w:val="22"/>
          <w:lang w:val="zh-CN"/>
        </w:rPr>
        <w:t>月</w:t>
      </w:r>
      <w:r>
        <w:rPr>
          <w:rFonts w:hint="eastAsia" w:ascii="仿宋" w:hAnsi="仿宋" w:eastAsia="仿宋" w:cs="仿宋_GB2312"/>
          <w:sz w:val="22"/>
        </w:rPr>
        <w:t xml:space="preserve">   </w:t>
      </w:r>
      <w:r>
        <w:rPr>
          <w:rFonts w:hint="eastAsia" w:ascii="仿宋" w:hAnsi="仿宋" w:eastAsia="仿宋" w:cs="仿宋_GB2312"/>
          <w:sz w:val="22"/>
          <w:lang w:val="zh-CN"/>
        </w:rPr>
        <w:t>日</w:t>
      </w:r>
    </w:p>
    <w:p w14:paraId="55E819F7"/>
    <w:sectPr>
      <w:pgSz w:w="11906" w:h="16838"/>
      <w:pgMar w:top="1440" w:right="1800" w:bottom="1440" w:left="180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2">
      <wne:fci wne:fciName="DeleteAllCommentsInDoc"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682"/>
    <w:rsid w:val="001A6899"/>
    <w:rsid w:val="001E0682"/>
    <w:rsid w:val="00413F9F"/>
    <w:rsid w:val="008832EF"/>
    <w:rsid w:val="00AE5436"/>
    <w:rsid w:val="00B32B2E"/>
    <w:rsid w:val="00DA4812"/>
    <w:rsid w:val="00FA7A0D"/>
    <w:rsid w:val="00FC141A"/>
    <w:rsid w:val="03372CE5"/>
    <w:rsid w:val="0A011E6B"/>
    <w:rsid w:val="1B503E0B"/>
    <w:rsid w:val="1B7D03DC"/>
    <w:rsid w:val="1C6C1269"/>
    <w:rsid w:val="1EED6780"/>
    <w:rsid w:val="213D0E32"/>
    <w:rsid w:val="22F75627"/>
    <w:rsid w:val="264F3F4E"/>
    <w:rsid w:val="280C6A49"/>
    <w:rsid w:val="2C8C2C4F"/>
    <w:rsid w:val="308D0020"/>
    <w:rsid w:val="32EC3150"/>
    <w:rsid w:val="36C84533"/>
    <w:rsid w:val="3B635109"/>
    <w:rsid w:val="401819D8"/>
    <w:rsid w:val="4395459C"/>
    <w:rsid w:val="49A406BA"/>
    <w:rsid w:val="4ACC5BD9"/>
    <w:rsid w:val="4DAB2C61"/>
    <w:rsid w:val="566F347E"/>
    <w:rsid w:val="56DF3E0F"/>
    <w:rsid w:val="66BF6F1B"/>
    <w:rsid w:val="6797454E"/>
    <w:rsid w:val="697B6931"/>
    <w:rsid w:val="6CDD60A6"/>
    <w:rsid w:val="707C68CB"/>
    <w:rsid w:val="70B22D11"/>
    <w:rsid w:val="74BE6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character" w:styleId="7">
    <w:name w:val="annotation reference"/>
    <w:basedOn w:val="5"/>
    <w:uiPriority w:val="0"/>
    <w:rPr>
      <w:sz w:val="21"/>
      <w:szCs w:val="21"/>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51"/>
    <w:basedOn w:val="5"/>
    <w:uiPriority w:val="0"/>
    <w:rPr>
      <w:rFonts w:hint="eastAsia" w:ascii="宋体" w:hAnsi="宋体" w:eastAsia="宋体" w:cs="宋体"/>
      <w:color w:val="000000"/>
      <w:sz w:val="22"/>
      <w:szCs w:val="22"/>
      <w:u w:val="none"/>
    </w:rPr>
  </w:style>
  <w:style w:type="paragraph" w:customStyle="1" w:styleId="10">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microsoft.com/office/2006/relationships/keyMapCustomizations" Target="customizations.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705</Words>
  <Characters>719</Characters>
  <Lines>40</Lines>
  <Paragraphs>11</Paragraphs>
  <TotalTime>18</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2026-10-23T04:01:00Z</dcterms:created>
  <dc:creator>Lenovo</dc:creator>
  <cp:lastModifiedBy>Gao</cp:lastModifiedBy>
  <dcterms:modified xsi:type="dcterms:W3CDTF">2026-10-28T00:24:45Z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88F7F6E305C44C4BB0297B39F2E900EA_12</vt:lpwstr>
  </property>
  <property fmtid="{D5CDD505-2E9C-101B-9397-08002B2CF9AE}" pid="4" name="KSOTemplateDocerSaveRecord">
    <vt:lpwstr>eyJoZGlkIjoiNDg1MWEwZTQ3YzY5MDQyNzg0OTEwMGU2MDMxMDQyZGYiLCJ1c2VySWQiOiIyOTc5NjgzMzQifQ==</vt:lpwstr>
  </property>
</Properties>
</file>