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88DBE">
      <w:pPr>
        <w:jc w:val="center"/>
        <w:rPr>
          <w:rFonts w:ascii="黑体" w:hAnsi="黑体" w:eastAsia="黑体"/>
          <w:b/>
          <w:color w:val="auto"/>
          <w:sz w:val="36"/>
          <w:szCs w:val="36"/>
          <w:highlight w:val="none"/>
        </w:rPr>
      </w:pPr>
      <w:r>
        <w:rPr>
          <w:rFonts w:hint="eastAsia" w:ascii="黑体" w:hAnsi="黑体" w:eastAsia="黑体"/>
          <w:b/>
          <w:color w:val="auto"/>
          <w:sz w:val="36"/>
          <w:szCs w:val="36"/>
          <w:highlight w:val="none"/>
        </w:rPr>
        <w:t>广西艺术学院2026年-2028年办公区饮用水供应服务项目</w:t>
      </w:r>
      <w:r>
        <w:rPr>
          <w:rFonts w:hint="eastAsia" w:ascii="黑体" w:hAnsi="黑体" w:eastAsia="黑体"/>
          <w:b/>
          <w:color w:val="auto"/>
          <w:sz w:val="36"/>
          <w:szCs w:val="36"/>
          <w:highlight w:val="none"/>
          <w:lang w:eastAsia="zh-CN"/>
        </w:rPr>
        <w:t>（</w:t>
      </w:r>
      <w:r>
        <w:rPr>
          <w:rFonts w:hint="eastAsia" w:ascii="黑体" w:hAnsi="黑体" w:eastAsia="黑体"/>
          <w:b/>
          <w:color w:val="auto"/>
          <w:sz w:val="36"/>
          <w:szCs w:val="36"/>
          <w:highlight w:val="none"/>
          <w:lang w:val="en-US" w:eastAsia="zh-CN"/>
        </w:rPr>
        <w:t>重2）</w:t>
      </w:r>
      <w:r>
        <w:rPr>
          <w:rFonts w:hint="eastAsia" w:ascii="黑体" w:hAnsi="黑体" w:eastAsia="黑体"/>
          <w:b/>
          <w:color w:val="auto"/>
          <w:sz w:val="36"/>
          <w:szCs w:val="36"/>
          <w:highlight w:val="none"/>
        </w:rPr>
        <w:t>采购文件</w:t>
      </w:r>
    </w:p>
    <w:p w14:paraId="53BCCE98">
      <w:pPr>
        <w:spacing w:line="360" w:lineRule="auto"/>
        <w:jc w:val="center"/>
        <w:rPr>
          <w:rFonts w:ascii="黑体" w:hAnsi="黑体" w:eastAsia="黑体"/>
          <w:b/>
          <w:color w:val="auto"/>
          <w:sz w:val="36"/>
          <w:szCs w:val="36"/>
          <w:highlight w:val="none"/>
        </w:rPr>
      </w:pPr>
    </w:p>
    <w:p w14:paraId="422F8CE4">
      <w:pPr>
        <w:spacing w:before="156" w:beforeLines="50" w:line="380" w:lineRule="exact"/>
        <w:jc w:val="left"/>
        <w:outlineLvl w:val="0"/>
        <w:rPr>
          <w:rFonts w:hint="default" w:asciiTheme="minorEastAsia" w:hAnsiTheme="minorEastAsia" w:eastAsiaTheme="minorEastAsia"/>
          <w:b/>
          <w:color w:val="auto"/>
          <w:szCs w:val="21"/>
          <w:highlight w:val="none"/>
          <w:lang w:val="en-US" w:eastAsia="zh-CN"/>
        </w:rPr>
      </w:pPr>
      <w:r>
        <w:rPr>
          <w:rFonts w:hint="eastAsia" w:asciiTheme="minorEastAsia" w:hAnsiTheme="minorEastAsia"/>
          <w:b/>
          <w:color w:val="auto"/>
          <w:szCs w:val="21"/>
          <w:highlight w:val="none"/>
        </w:rPr>
        <w:t>一、</w:t>
      </w:r>
      <w:r>
        <w:rPr>
          <w:rFonts w:hint="eastAsia" w:asciiTheme="minorEastAsia" w:hAnsiTheme="minorEastAsia"/>
          <w:b/>
          <w:color w:val="auto"/>
          <w:szCs w:val="21"/>
          <w:highlight w:val="none"/>
          <w:lang w:val="en-US" w:eastAsia="zh-CN"/>
        </w:rPr>
        <w:t>项目基本情况</w:t>
      </w:r>
    </w:p>
    <w:p w14:paraId="39AEEC5F">
      <w:pPr>
        <w:spacing w:line="380" w:lineRule="exact"/>
        <w:ind w:firstLine="420" w:firstLineChars="200"/>
        <w:jc w:val="left"/>
        <w:rPr>
          <w:rFonts w:hint="eastAsia" w:asciiTheme="minorEastAsia" w:hAnsiTheme="minorEastAsia"/>
          <w:color w:val="auto"/>
          <w:szCs w:val="21"/>
          <w:highlight w:val="none"/>
          <w:lang w:val="en-US" w:eastAsia="zh-CN"/>
        </w:rPr>
      </w:pP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lang w:val="en-US" w:eastAsia="zh-CN"/>
        </w:rPr>
        <w:t>一）项目名称：广西艺术学院2026年-2028年办公区饮用水供应服务项目（重2）。</w:t>
      </w:r>
    </w:p>
    <w:p w14:paraId="738B43B2">
      <w:pPr>
        <w:spacing w:line="380" w:lineRule="exact"/>
        <w:ind w:firstLine="420" w:firstLineChars="200"/>
        <w:jc w:val="left"/>
        <w:rPr>
          <w:rFonts w:hint="eastAsia" w:asciiTheme="minorEastAsia" w:hAnsiTheme="minorEastAsia"/>
          <w:color w:val="auto"/>
          <w:szCs w:val="21"/>
          <w:highlight w:val="none"/>
          <w:lang w:val="en-US" w:eastAsia="zh-CN"/>
        </w:rPr>
      </w:pPr>
      <w:r>
        <w:rPr>
          <w:rFonts w:hint="eastAsia" w:asciiTheme="minorEastAsia" w:hAnsiTheme="minorEastAsia"/>
          <w:color w:val="auto"/>
          <w:szCs w:val="21"/>
          <w:highlight w:val="none"/>
          <w:lang w:val="en-US" w:eastAsia="zh-CN"/>
        </w:rPr>
        <w:t>（二）采购方式：学校集中采购。</w:t>
      </w:r>
    </w:p>
    <w:p w14:paraId="7B06B3DB">
      <w:pPr>
        <w:spacing w:line="380" w:lineRule="exact"/>
        <w:ind w:firstLine="420" w:firstLineChars="200"/>
        <w:jc w:val="left"/>
        <w:rPr>
          <w:rFonts w:hint="eastAsia" w:asciiTheme="majorEastAsia" w:hAnsiTheme="majorEastAsia" w:eastAsiaTheme="majorEastAsia" w:cstheme="majorEastAsia"/>
          <w:bCs/>
          <w:color w:val="auto"/>
          <w:szCs w:val="21"/>
          <w:highlight w:val="none"/>
        </w:rPr>
      </w:pPr>
      <w:r>
        <w:rPr>
          <w:rFonts w:hint="eastAsia" w:asciiTheme="minorEastAsia" w:hAnsiTheme="minorEastAsia"/>
          <w:color w:val="auto"/>
          <w:szCs w:val="21"/>
          <w:highlight w:val="none"/>
          <w:lang w:val="en-US" w:eastAsia="zh-CN"/>
        </w:rPr>
        <w:t>（三）采购内容：</w:t>
      </w:r>
      <w:r>
        <w:rPr>
          <w:rFonts w:hint="eastAsia" w:asciiTheme="minorEastAsia" w:hAnsiTheme="minorEastAsia"/>
          <w:color w:val="auto"/>
          <w:szCs w:val="21"/>
          <w:highlight w:val="none"/>
        </w:rPr>
        <w:t>南湖</w:t>
      </w:r>
      <w:r>
        <w:rPr>
          <w:rFonts w:asciiTheme="minorEastAsia" w:hAnsiTheme="minorEastAsia"/>
          <w:color w:val="auto"/>
          <w:szCs w:val="21"/>
          <w:highlight w:val="none"/>
        </w:rPr>
        <w:t>校区</w:t>
      </w:r>
      <w:r>
        <w:rPr>
          <w:rFonts w:hint="eastAsia" w:asciiTheme="minorEastAsia" w:hAnsiTheme="minorEastAsia"/>
          <w:color w:val="auto"/>
          <w:szCs w:val="21"/>
          <w:highlight w:val="none"/>
        </w:rPr>
        <w:t>、相思湖</w:t>
      </w:r>
      <w:r>
        <w:rPr>
          <w:rFonts w:asciiTheme="minorEastAsia" w:hAnsiTheme="minorEastAsia"/>
          <w:color w:val="auto"/>
          <w:szCs w:val="21"/>
          <w:highlight w:val="none"/>
        </w:rPr>
        <w:t>校区</w:t>
      </w:r>
      <w:r>
        <w:rPr>
          <w:rFonts w:hint="eastAsia" w:asciiTheme="minorEastAsia" w:hAnsiTheme="minorEastAsia"/>
          <w:color w:val="auto"/>
          <w:szCs w:val="21"/>
          <w:highlight w:val="none"/>
        </w:rPr>
        <w:t>共两个</w:t>
      </w:r>
      <w:r>
        <w:rPr>
          <w:rFonts w:asciiTheme="minorEastAsia" w:hAnsiTheme="minorEastAsia"/>
          <w:color w:val="auto"/>
          <w:szCs w:val="21"/>
          <w:highlight w:val="none"/>
        </w:rPr>
        <w:t>校区</w:t>
      </w:r>
      <w:r>
        <w:rPr>
          <w:rFonts w:hint="eastAsia" w:asciiTheme="majorEastAsia" w:hAnsiTheme="majorEastAsia" w:eastAsiaTheme="majorEastAsia" w:cstheme="majorEastAsia"/>
          <w:bCs/>
          <w:color w:val="auto"/>
          <w:szCs w:val="21"/>
          <w:highlight w:val="none"/>
        </w:rPr>
        <w:t>办公区</w:t>
      </w:r>
      <w:bookmarkStart w:id="0" w:name="_Hlk173905093"/>
      <w:bookmarkStart w:id="1" w:name="_Hlk173906613"/>
      <w:r>
        <w:rPr>
          <w:rFonts w:hint="eastAsia" w:asciiTheme="majorEastAsia" w:hAnsiTheme="majorEastAsia" w:eastAsiaTheme="majorEastAsia" w:cstheme="majorEastAsia"/>
          <w:bCs/>
          <w:color w:val="auto"/>
          <w:szCs w:val="21"/>
          <w:highlight w:val="none"/>
        </w:rPr>
        <w:t>瓶装水及</w:t>
      </w:r>
      <w:bookmarkEnd w:id="0"/>
      <w:r>
        <w:rPr>
          <w:rFonts w:hint="eastAsia" w:asciiTheme="majorEastAsia" w:hAnsiTheme="majorEastAsia" w:eastAsiaTheme="majorEastAsia" w:cstheme="majorEastAsia"/>
          <w:bCs/>
          <w:color w:val="auto"/>
          <w:szCs w:val="21"/>
          <w:highlight w:val="none"/>
        </w:rPr>
        <w:t>桶装水</w:t>
      </w:r>
      <w:bookmarkEnd w:id="1"/>
      <w:r>
        <w:rPr>
          <w:rFonts w:hint="eastAsia" w:asciiTheme="majorEastAsia" w:hAnsiTheme="majorEastAsia" w:eastAsiaTheme="majorEastAsia" w:cstheme="majorEastAsia"/>
          <w:bCs/>
          <w:color w:val="auto"/>
          <w:szCs w:val="21"/>
          <w:highlight w:val="none"/>
        </w:rPr>
        <w:t>供应商1家。</w:t>
      </w:r>
    </w:p>
    <w:p w14:paraId="75CD9905">
      <w:pPr>
        <w:spacing w:line="380" w:lineRule="exact"/>
        <w:ind w:firstLine="420" w:firstLineChars="200"/>
        <w:jc w:val="left"/>
        <w:rPr>
          <w:rFonts w:asciiTheme="minorEastAsia" w:hAnsiTheme="minorEastAsia"/>
          <w:color w:val="auto"/>
          <w:szCs w:val="21"/>
          <w:highlight w:val="none"/>
        </w:rPr>
      </w:pPr>
      <w:r>
        <w:rPr>
          <w:rFonts w:hint="eastAsia" w:asciiTheme="majorEastAsia" w:hAnsiTheme="majorEastAsia" w:eastAsiaTheme="majorEastAsia" w:cstheme="majorEastAsia"/>
          <w:bCs/>
          <w:color w:val="auto"/>
          <w:szCs w:val="21"/>
          <w:highlight w:val="none"/>
          <w:lang w:eastAsia="zh-CN"/>
        </w:rPr>
        <w:t>（</w:t>
      </w:r>
      <w:r>
        <w:rPr>
          <w:rFonts w:hint="eastAsia" w:asciiTheme="majorEastAsia" w:hAnsiTheme="majorEastAsia" w:eastAsiaTheme="majorEastAsia" w:cstheme="majorEastAsia"/>
          <w:bCs/>
          <w:color w:val="auto"/>
          <w:szCs w:val="21"/>
          <w:highlight w:val="none"/>
          <w:lang w:val="en-US" w:eastAsia="zh-CN"/>
        </w:rPr>
        <w:t>四）</w:t>
      </w:r>
      <w:r>
        <w:rPr>
          <w:rFonts w:hint="eastAsia" w:asciiTheme="minorEastAsia" w:hAnsiTheme="minorEastAsia"/>
          <w:b w:val="0"/>
          <w:bCs w:val="0"/>
          <w:color w:val="auto"/>
          <w:szCs w:val="21"/>
          <w:highlight w:val="none"/>
        </w:rPr>
        <w:t>服务</w:t>
      </w:r>
      <w:r>
        <w:rPr>
          <w:b w:val="0"/>
          <w:bCs w:val="0"/>
          <w:color w:val="auto"/>
          <w:szCs w:val="21"/>
          <w:highlight w:val="none"/>
        </w:rPr>
        <w:t>期限</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rPr>
        <w:t>自</w:t>
      </w:r>
      <w:r>
        <w:rPr>
          <w:rFonts w:asciiTheme="minorEastAsia" w:hAnsiTheme="minorEastAsia"/>
          <w:color w:val="auto"/>
          <w:szCs w:val="21"/>
          <w:highlight w:val="none"/>
        </w:rPr>
        <w:t>合同签订</w:t>
      </w:r>
      <w:r>
        <w:rPr>
          <w:rFonts w:hint="eastAsia" w:asciiTheme="minorEastAsia" w:hAnsiTheme="minorEastAsia"/>
          <w:color w:val="auto"/>
          <w:szCs w:val="21"/>
          <w:highlight w:val="none"/>
        </w:rPr>
        <w:t>之日</w:t>
      </w:r>
      <w:r>
        <w:rPr>
          <w:rFonts w:asciiTheme="minorEastAsia" w:hAnsiTheme="minorEastAsia"/>
          <w:color w:val="auto"/>
          <w:szCs w:val="21"/>
          <w:highlight w:val="none"/>
        </w:rPr>
        <w:t>起</w:t>
      </w:r>
      <w:r>
        <w:rPr>
          <w:rFonts w:hint="eastAsia" w:asciiTheme="minorEastAsia" w:hAnsiTheme="minorEastAsia"/>
          <w:color w:val="auto"/>
          <w:szCs w:val="21"/>
          <w:highlight w:val="none"/>
        </w:rPr>
        <w:t>2</w:t>
      </w:r>
      <w:r>
        <w:rPr>
          <w:rFonts w:asciiTheme="minorEastAsia" w:hAnsiTheme="minorEastAsia"/>
          <w:color w:val="auto"/>
          <w:szCs w:val="21"/>
          <w:highlight w:val="none"/>
        </w:rPr>
        <w:t>年</w:t>
      </w:r>
      <w:r>
        <w:rPr>
          <w:rFonts w:hint="eastAsia" w:asciiTheme="minorEastAsia" w:hAnsiTheme="minorEastAsia"/>
          <w:color w:val="auto"/>
          <w:szCs w:val="21"/>
          <w:highlight w:val="none"/>
        </w:rPr>
        <w:t>。</w:t>
      </w:r>
    </w:p>
    <w:p w14:paraId="22DEDC60">
      <w:pPr>
        <w:spacing w:before="156" w:beforeLines="50" w:line="380" w:lineRule="exact"/>
        <w:jc w:val="left"/>
        <w:outlineLvl w:val="0"/>
        <w:rPr>
          <w:rFonts w:hint="default" w:asciiTheme="minorEastAsia" w:hAnsiTheme="minorEastAsia" w:eastAsiaTheme="minorEastAsia"/>
          <w:b/>
          <w:color w:val="auto"/>
          <w:szCs w:val="21"/>
          <w:highlight w:val="none"/>
          <w:lang w:val="en-US" w:eastAsia="zh-CN"/>
        </w:rPr>
      </w:pPr>
      <w:r>
        <w:rPr>
          <w:rFonts w:hint="eastAsia" w:asciiTheme="minorEastAsia" w:hAnsiTheme="minorEastAsia"/>
          <w:b/>
          <w:color w:val="auto"/>
          <w:szCs w:val="21"/>
          <w:highlight w:val="none"/>
        </w:rPr>
        <w:t>三、</w:t>
      </w:r>
      <w:r>
        <w:rPr>
          <w:rFonts w:hint="eastAsia" w:asciiTheme="minorEastAsia" w:hAnsiTheme="minorEastAsia"/>
          <w:b/>
          <w:color w:val="auto"/>
          <w:szCs w:val="21"/>
          <w:highlight w:val="none"/>
          <w:lang w:val="en-US" w:eastAsia="zh-CN"/>
        </w:rPr>
        <w:t>项目概况</w:t>
      </w:r>
    </w:p>
    <w:p w14:paraId="1672337E">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（一）成交供应商在经营服务期间产生的经营成本、管理费用及税金等，均由供应商自行承担。</w:t>
      </w:r>
      <w:r>
        <w:rPr>
          <w:rFonts w:asciiTheme="minorEastAsia" w:hAnsiTheme="minorEastAsia"/>
          <w:color w:val="auto"/>
          <w:szCs w:val="21"/>
          <w:highlight w:val="none"/>
        </w:rPr>
        <w:t xml:space="preserve"> </w:t>
      </w:r>
    </w:p>
    <w:p w14:paraId="05A8AC44">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（二）学校不收取管理费。</w:t>
      </w:r>
    </w:p>
    <w:p w14:paraId="252DB540">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（三）本项目主要为教职工办公区域</w:t>
      </w:r>
      <w:r>
        <w:rPr>
          <w:rFonts w:hint="eastAsia" w:asciiTheme="minorEastAsia" w:hAnsiTheme="minorEastAsia"/>
          <w:color w:val="auto"/>
          <w:szCs w:val="21"/>
          <w:highlight w:val="none"/>
          <w:lang w:val="en-US" w:eastAsia="zh-CN"/>
        </w:rPr>
        <w:t>供应饮用水</w:t>
      </w:r>
      <w:r>
        <w:rPr>
          <w:rFonts w:hint="eastAsia" w:asciiTheme="minorEastAsia" w:hAnsiTheme="minorEastAsia"/>
          <w:color w:val="auto"/>
          <w:szCs w:val="21"/>
          <w:highlight w:val="none"/>
        </w:rPr>
        <w:t>。学校将向各部门（单位）提供成交供应商的供水信息（含电话、价格），供各部门（单位）自行选择、订购瓶装水及桶装水。</w:t>
      </w:r>
    </w:p>
    <w:p w14:paraId="348EE4E4">
      <w:pPr>
        <w:spacing w:before="156" w:beforeLines="50" w:line="380" w:lineRule="exact"/>
        <w:jc w:val="left"/>
        <w:outlineLvl w:val="0"/>
        <w:rPr>
          <w:rStyle w:val="12"/>
          <w:color w:val="auto"/>
          <w:highlight w:val="none"/>
        </w:rPr>
      </w:pPr>
      <w:r>
        <w:rPr>
          <w:rFonts w:hint="eastAsia" w:asciiTheme="minorEastAsia" w:hAnsiTheme="minorEastAsia"/>
          <w:b/>
          <w:color w:val="auto"/>
          <w:szCs w:val="21"/>
          <w:highlight w:val="none"/>
        </w:rPr>
        <w:t>四、采购需求</w:t>
      </w:r>
    </w:p>
    <w:p w14:paraId="3320E2F4">
      <w:pPr>
        <w:spacing w:before="0" w:beforeLines="-2147483648" w:line="380" w:lineRule="exact"/>
        <w:ind w:firstLine="420" w:firstLineChars="200"/>
        <w:jc w:val="left"/>
        <w:outlineLvl w:val="9"/>
        <w:rPr>
          <w:rFonts w:hint="default" w:asciiTheme="minorEastAsia" w:hAnsiTheme="minorEastAsia" w:eastAsiaTheme="minorEastAsia"/>
          <w:color w:val="auto"/>
          <w:highlight w:val="none"/>
          <w:lang w:val="en-US" w:eastAsia="zh-CN"/>
        </w:rPr>
      </w:pPr>
      <w:r>
        <w:rPr>
          <w:rFonts w:hint="eastAsia" w:asciiTheme="minorEastAsia" w:hAnsiTheme="minorEastAsia"/>
          <w:color w:val="auto"/>
          <w:highlight w:val="none"/>
          <w:lang w:val="en-US" w:eastAsia="zh-CN"/>
        </w:rPr>
        <w:t>根据往年办公区饮用水供应量测算，每年费用约10万元，最终金额以实际结算为准。</w:t>
      </w:r>
    </w:p>
    <w:p w14:paraId="19503A61">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（一）供货</w:t>
      </w:r>
      <w:r>
        <w:rPr>
          <w:rFonts w:asciiTheme="minorEastAsia" w:hAnsiTheme="minorEastAsia"/>
          <w:color w:val="auto"/>
          <w:szCs w:val="21"/>
          <w:highlight w:val="none"/>
        </w:rPr>
        <w:t>内容</w:t>
      </w:r>
    </w:p>
    <w:p w14:paraId="25DB441B">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1.规格要求：</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085"/>
        <w:gridCol w:w="1920"/>
        <w:gridCol w:w="1067"/>
        <w:gridCol w:w="2320"/>
      </w:tblGrid>
      <w:tr w14:paraId="56C5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6" w:type="dxa"/>
            <w:vAlign w:val="center"/>
          </w:tcPr>
          <w:p w14:paraId="53A66345">
            <w:pPr>
              <w:widowControl/>
              <w:spacing w:line="380" w:lineRule="exact"/>
              <w:jc w:val="center"/>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序号</w:t>
            </w:r>
          </w:p>
        </w:tc>
        <w:tc>
          <w:tcPr>
            <w:tcW w:w="2085" w:type="dxa"/>
            <w:vAlign w:val="center"/>
          </w:tcPr>
          <w:p w14:paraId="313B3C4A">
            <w:pPr>
              <w:widowControl/>
              <w:spacing w:line="380" w:lineRule="exact"/>
              <w:jc w:val="center"/>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产品名称</w:t>
            </w:r>
          </w:p>
        </w:tc>
        <w:tc>
          <w:tcPr>
            <w:tcW w:w="1920" w:type="dxa"/>
            <w:vAlign w:val="center"/>
          </w:tcPr>
          <w:p w14:paraId="48849DC7">
            <w:pPr>
              <w:widowControl/>
              <w:spacing w:line="380" w:lineRule="exact"/>
              <w:jc w:val="center"/>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规格型号</w:t>
            </w:r>
          </w:p>
        </w:tc>
        <w:tc>
          <w:tcPr>
            <w:tcW w:w="1067" w:type="dxa"/>
            <w:vAlign w:val="center"/>
          </w:tcPr>
          <w:p w14:paraId="48CF7A49">
            <w:pPr>
              <w:widowControl/>
              <w:spacing w:line="380" w:lineRule="exact"/>
              <w:jc w:val="center"/>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单位</w:t>
            </w:r>
          </w:p>
        </w:tc>
        <w:tc>
          <w:tcPr>
            <w:tcW w:w="2320" w:type="dxa"/>
            <w:vAlign w:val="center"/>
          </w:tcPr>
          <w:p w14:paraId="5A930F78">
            <w:pPr>
              <w:widowControl/>
              <w:spacing w:line="380" w:lineRule="exact"/>
              <w:jc w:val="center"/>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最高限价（元）</w:t>
            </w:r>
          </w:p>
        </w:tc>
      </w:tr>
      <w:tr w14:paraId="647FD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696" w:type="dxa"/>
            <w:vAlign w:val="center"/>
          </w:tcPr>
          <w:p w14:paraId="6C9A97E9">
            <w:pPr>
              <w:widowControl/>
              <w:spacing w:line="380" w:lineRule="exact"/>
              <w:jc w:val="center"/>
              <w:rPr>
                <w:rFonts w:ascii="宋体" w:hAnsi="宋体" w:eastAsia="宋体" w:cs="宋体"/>
                <w:color w:val="auto"/>
                <w:kern w:val="0"/>
                <w:sz w:val="18"/>
                <w:szCs w:val="18"/>
                <w:highlight w:val="none"/>
              </w:rPr>
            </w:pPr>
            <w:r>
              <w:rPr>
                <w:rFonts w:ascii="宋体" w:hAnsi="宋体" w:eastAsia="宋体" w:cs="宋体"/>
                <w:color w:val="auto"/>
                <w:kern w:val="0"/>
                <w:sz w:val="18"/>
                <w:szCs w:val="18"/>
                <w:highlight w:val="none"/>
              </w:rPr>
              <w:t>1</w:t>
            </w:r>
          </w:p>
        </w:tc>
        <w:tc>
          <w:tcPr>
            <w:tcW w:w="2085" w:type="dxa"/>
            <w:vAlign w:val="center"/>
          </w:tcPr>
          <w:p w14:paraId="01C2C686">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桶装水（循环桶）</w:t>
            </w:r>
          </w:p>
        </w:tc>
        <w:tc>
          <w:tcPr>
            <w:tcW w:w="1920" w:type="dxa"/>
            <w:vAlign w:val="center"/>
          </w:tcPr>
          <w:p w14:paraId="2846C657">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不低于</w:t>
            </w:r>
            <w:r>
              <w:rPr>
                <w:rFonts w:ascii="宋体" w:hAnsi="宋体" w:cs="宋体"/>
                <w:color w:val="auto"/>
                <w:kern w:val="0"/>
                <w:sz w:val="18"/>
                <w:szCs w:val="18"/>
                <w:highlight w:val="none"/>
              </w:rPr>
              <w:t>17</w:t>
            </w:r>
            <w:r>
              <w:rPr>
                <w:rFonts w:hint="eastAsia" w:ascii="宋体" w:hAnsi="宋体" w:cs="宋体"/>
                <w:color w:val="auto"/>
                <w:kern w:val="0"/>
                <w:sz w:val="18"/>
                <w:szCs w:val="18"/>
                <w:highlight w:val="none"/>
              </w:rPr>
              <w:t>L</w:t>
            </w:r>
            <w:r>
              <w:rPr>
                <w:rFonts w:ascii="宋体" w:hAnsi="宋体" w:cs="宋体"/>
                <w:color w:val="auto"/>
                <w:kern w:val="0"/>
                <w:sz w:val="18"/>
                <w:szCs w:val="18"/>
                <w:highlight w:val="none"/>
              </w:rPr>
              <w:t>/</w:t>
            </w:r>
            <w:r>
              <w:rPr>
                <w:rFonts w:hint="eastAsia" w:ascii="宋体" w:hAnsi="宋体" w:cs="宋体"/>
                <w:color w:val="auto"/>
                <w:kern w:val="0"/>
                <w:sz w:val="18"/>
                <w:szCs w:val="18"/>
                <w:highlight w:val="none"/>
              </w:rPr>
              <w:t>桶</w:t>
            </w:r>
          </w:p>
        </w:tc>
        <w:tc>
          <w:tcPr>
            <w:tcW w:w="1067" w:type="dxa"/>
            <w:vAlign w:val="center"/>
          </w:tcPr>
          <w:p w14:paraId="651689AA">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元/桶</w:t>
            </w:r>
          </w:p>
        </w:tc>
        <w:tc>
          <w:tcPr>
            <w:tcW w:w="2320" w:type="dxa"/>
            <w:vAlign w:val="center"/>
          </w:tcPr>
          <w:p w14:paraId="2CAC2E7A">
            <w:pPr>
              <w:widowControl/>
              <w:spacing w:line="380" w:lineRule="exact"/>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w:t>
            </w:r>
          </w:p>
        </w:tc>
      </w:tr>
      <w:tr w14:paraId="192E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6" w:type="dxa"/>
            <w:vAlign w:val="center"/>
          </w:tcPr>
          <w:p w14:paraId="16949A14">
            <w:pPr>
              <w:widowControl/>
              <w:spacing w:line="380" w:lineRule="exact"/>
              <w:jc w:val="center"/>
              <w:rPr>
                <w:rFonts w:ascii="宋体" w:hAnsi="宋体" w:eastAsia="宋体" w:cs="宋体"/>
                <w:color w:val="auto"/>
                <w:kern w:val="0"/>
                <w:sz w:val="18"/>
                <w:szCs w:val="18"/>
                <w:highlight w:val="none"/>
              </w:rPr>
            </w:pPr>
            <w:r>
              <w:rPr>
                <w:rFonts w:ascii="宋体" w:hAnsi="宋体" w:eastAsia="宋体" w:cs="宋体"/>
                <w:color w:val="auto"/>
                <w:kern w:val="0"/>
                <w:sz w:val="18"/>
                <w:szCs w:val="18"/>
                <w:highlight w:val="none"/>
              </w:rPr>
              <w:t>2</w:t>
            </w:r>
          </w:p>
        </w:tc>
        <w:tc>
          <w:tcPr>
            <w:tcW w:w="2085" w:type="dxa"/>
            <w:vAlign w:val="center"/>
          </w:tcPr>
          <w:p w14:paraId="5DE7B9CB">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桶装水（一次性桶）</w:t>
            </w:r>
          </w:p>
        </w:tc>
        <w:tc>
          <w:tcPr>
            <w:tcW w:w="1920" w:type="dxa"/>
            <w:vAlign w:val="center"/>
          </w:tcPr>
          <w:p w14:paraId="1DCF9A5B">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不低于</w:t>
            </w:r>
            <w:r>
              <w:rPr>
                <w:rFonts w:ascii="宋体" w:hAnsi="宋体" w:cs="宋体"/>
                <w:color w:val="auto"/>
                <w:kern w:val="0"/>
                <w:sz w:val="18"/>
                <w:szCs w:val="18"/>
                <w:highlight w:val="none"/>
              </w:rPr>
              <w:t>15</w:t>
            </w:r>
            <w:r>
              <w:rPr>
                <w:rFonts w:hint="eastAsia" w:ascii="宋体" w:hAnsi="宋体" w:cs="宋体"/>
                <w:color w:val="auto"/>
                <w:kern w:val="0"/>
                <w:sz w:val="18"/>
                <w:szCs w:val="18"/>
                <w:highlight w:val="none"/>
              </w:rPr>
              <w:t>L</w:t>
            </w:r>
            <w:r>
              <w:rPr>
                <w:rFonts w:ascii="宋体" w:hAnsi="宋体" w:cs="宋体"/>
                <w:color w:val="auto"/>
                <w:kern w:val="0"/>
                <w:sz w:val="18"/>
                <w:szCs w:val="18"/>
                <w:highlight w:val="none"/>
              </w:rPr>
              <w:t>/</w:t>
            </w:r>
            <w:r>
              <w:rPr>
                <w:rFonts w:hint="eastAsia" w:ascii="宋体" w:hAnsi="宋体" w:cs="宋体"/>
                <w:color w:val="auto"/>
                <w:kern w:val="0"/>
                <w:sz w:val="18"/>
                <w:szCs w:val="18"/>
                <w:highlight w:val="none"/>
              </w:rPr>
              <w:t>桶</w:t>
            </w:r>
          </w:p>
        </w:tc>
        <w:tc>
          <w:tcPr>
            <w:tcW w:w="1067" w:type="dxa"/>
            <w:vAlign w:val="center"/>
          </w:tcPr>
          <w:p w14:paraId="73C5EC49">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元/桶</w:t>
            </w:r>
          </w:p>
        </w:tc>
        <w:tc>
          <w:tcPr>
            <w:tcW w:w="2320" w:type="dxa"/>
            <w:vAlign w:val="center"/>
          </w:tcPr>
          <w:p w14:paraId="0B06A682">
            <w:pPr>
              <w:widowControl/>
              <w:spacing w:line="380" w:lineRule="exact"/>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19</w:t>
            </w:r>
          </w:p>
        </w:tc>
      </w:tr>
      <w:tr w14:paraId="7A72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6" w:type="dxa"/>
            <w:vAlign w:val="center"/>
          </w:tcPr>
          <w:p w14:paraId="25C96A34">
            <w:pPr>
              <w:widowControl/>
              <w:spacing w:line="380" w:lineRule="exact"/>
              <w:jc w:val="center"/>
              <w:rPr>
                <w:rFonts w:ascii="宋体" w:hAnsi="宋体" w:eastAsia="宋体" w:cs="宋体"/>
                <w:color w:val="auto"/>
                <w:kern w:val="0"/>
                <w:sz w:val="18"/>
                <w:szCs w:val="18"/>
                <w:highlight w:val="none"/>
              </w:rPr>
            </w:pPr>
            <w:r>
              <w:rPr>
                <w:rFonts w:ascii="宋体" w:hAnsi="宋体" w:eastAsia="宋体" w:cs="宋体"/>
                <w:color w:val="auto"/>
                <w:kern w:val="0"/>
                <w:sz w:val="18"/>
                <w:szCs w:val="18"/>
                <w:highlight w:val="none"/>
              </w:rPr>
              <w:t>3</w:t>
            </w:r>
          </w:p>
        </w:tc>
        <w:tc>
          <w:tcPr>
            <w:tcW w:w="2085" w:type="dxa"/>
            <w:vAlign w:val="center"/>
          </w:tcPr>
          <w:p w14:paraId="3AFC2262">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瓶装水（小瓶）</w:t>
            </w:r>
          </w:p>
        </w:tc>
        <w:tc>
          <w:tcPr>
            <w:tcW w:w="1920" w:type="dxa"/>
            <w:vAlign w:val="center"/>
          </w:tcPr>
          <w:p w14:paraId="75BFED1A">
            <w:pPr>
              <w:widowControl/>
              <w:spacing w:line="380" w:lineRule="exact"/>
              <w:jc w:val="center"/>
              <w:rPr>
                <w:rFonts w:hint="default" w:ascii="宋体" w:hAnsi="宋体" w:cs="宋体" w:eastAsiaTheme="minorEastAsia"/>
                <w:color w:val="auto"/>
                <w:kern w:val="0"/>
                <w:sz w:val="18"/>
                <w:szCs w:val="18"/>
                <w:highlight w:val="none"/>
                <w:lang w:val="en-US" w:eastAsia="zh-CN"/>
              </w:rPr>
            </w:pPr>
            <w:r>
              <w:rPr>
                <w:rFonts w:ascii="宋体" w:hAnsi="宋体" w:cs="宋体"/>
                <w:color w:val="auto"/>
                <w:kern w:val="0"/>
                <w:sz w:val="18"/>
                <w:szCs w:val="18"/>
                <w:highlight w:val="none"/>
              </w:rPr>
              <w:t>350</w:t>
            </w:r>
            <w:r>
              <w:rPr>
                <w:rFonts w:hint="eastAsia" w:ascii="宋体" w:hAnsi="宋体" w:cs="宋体"/>
                <w:color w:val="auto"/>
                <w:kern w:val="0"/>
                <w:sz w:val="18"/>
                <w:szCs w:val="18"/>
                <w:highlight w:val="none"/>
              </w:rPr>
              <w:t>ml/瓶</w:t>
            </w:r>
            <w:r>
              <w:rPr>
                <w:rFonts w:hint="eastAsia" w:ascii="宋体" w:hAnsi="宋体" w:cs="宋体"/>
                <w:color w:val="auto"/>
                <w:kern w:val="0"/>
                <w:sz w:val="18"/>
                <w:szCs w:val="18"/>
                <w:highlight w:val="none"/>
                <w:lang w:val="en-US" w:eastAsia="zh-CN"/>
              </w:rPr>
              <w:t>至500ml/瓶（不含500ml/瓶）</w:t>
            </w:r>
          </w:p>
        </w:tc>
        <w:tc>
          <w:tcPr>
            <w:tcW w:w="1067" w:type="dxa"/>
            <w:vAlign w:val="center"/>
          </w:tcPr>
          <w:p w14:paraId="6C32E991">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元/箱</w:t>
            </w:r>
          </w:p>
        </w:tc>
        <w:tc>
          <w:tcPr>
            <w:tcW w:w="2320" w:type="dxa"/>
            <w:vAlign w:val="center"/>
          </w:tcPr>
          <w:p w14:paraId="78373ED5">
            <w:pPr>
              <w:widowControl/>
              <w:spacing w:line="380" w:lineRule="exact"/>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lang w:val="en-US" w:eastAsia="zh-CN"/>
              </w:rPr>
              <w:t>26</w:t>
            </w:r>
            <w:r>
              <w:rPr>
                <w:rFonts w:hint="eastAsia" w:ascii="宋体" w:hAnsi="宋体" w:eastAsia="宋体" w:cs="宋体"/>
                <w:color w:val="auto"/>
                <w:kern w:val="0"/>
                <w:sz w:val="18"/>
                <w:szCs w:val="18"/>
                <w:highlight w:val="none"/>
              </w:rPr>
              <w:t>（每箱24瓶）</w:t>
            </w:r>
          </w:p>
        </w:tc>
      </w:tr>
      <w:tr w14:paraId="1153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6" w:type="dxa"/>
            <w:vAlign w:val="center"/>
          </w:tcPr>
          <w:p w14:paraId="0CA16925">
            <w:pPr>
              <w:widowControl/>
              <w:spacing w:line="380" w:lineRule="exact"/>
              <w:jc w:val="center"/>
              <w:rPr>
                <w:rFonts w:ascii="宋体" w:hAnsi="宋体" w:eastAsia="宋体" w:cs="宋体"/>
                <w:strike w:val="0"/>
                <w:color w:val="auto"/>
                <w:kern w:val="0"/>
                <w:sz w:val="18"/>
                <w:szCs w:val="18"/>
                <w:highlight w:val="none"/>
              </w:rPr>
            </w:pPr>
            <w:r>
              <w:rPr>
                <w:rFonts w:hint="eastAsia" w:ascii="宋体" w:hAnsi="宋体" w:eastAsia="宋体" w:cs="宋体"/>
                <w:strike w:val="0"/>
                <w:color w:val="auto"/>
                <w:kern w:val="0"/>
                <w:sz w:val="18"/>
                <w:szCs w:val="18"/>
                <w:highlight w:val="none"/>
              </w:rPr>
              <w:t>4</w:t>
            </w:r>
          </w:p>
        </w:tc>
        <w:tc>
          <w:tcPr>
            <w:tcW w:w="2085" w:type="dxa"/>
            <w:vAlign w:val="center"/>
          </w:tcPr>
          <w:p w14:paraId="6322A035">
            <w:pPr>
              <w:widowControl/>
              <w:spacing w:line="380" w:lineRule="exact"/>
              <w:jc w:val="center"/>
              <w:rPr>
                <w:rFonts w:ascii="宋体" w:hAnsi="宋体" w:cs="宋体"/>
                <w:strike w:val="0"/>
                <w:color w:val="auto"/>
                <w:kern w:val="0"/>
                <w:sz w:val="18"/>
                <w:szCs w:val="18"/>
                <w:highlight w:val="none"/>
              </w:rPr>
            </w:pPr>
            <w:r>
              <w:rPr>
                <w:rFonts w:hint="eastAsia" w:ascii="宋体" w:hAnsi="宋体" w:cs="宋体"/>
                <w:strike w:val="0"/>
                <w:color w:val="auto"/>
                <w:kern w:val="0"/>
                <w:sz w:val="18"/>
                <w:szCs w:val="18"/>
                <w:highlight w:val="none"/>
              </w:rPr>
              <w:t>瓶装水（中瓶）</w:t>
            </w:r>
          </w:p>
        </w:tc>
        <w:tc>
          <w:tcPr>
            <w:tcW w:w="1920" w:type="dxa"/>
            <w:vAlign w:val="center"/>
          </w:tcPr>
          <w:p w14:paraId="07379020">
            <w:pPr>
              <w:widowControl/>
              <w:spacing w:line="380" w:lineRule="exact"/>
              <w:jc w:val="center"/>
              <w:rPr>
                <w:rFonts w:ascii="宋体" w:hAnsi="宋体" w:cs="宋体"/>
                <w:strike w:val="0"/>
                <w:color w:val="auto"/>
                <w:kern w:val="0"/>
                <w:sz w:val="18"/>
                <w:szCs w:val="18"/>
                <w:highlight w:val="none"/>
              </w:rPr>
            </w:pPr>
            <w:r>
              <w:rPr>
                <w:rFonts w:hint="eastAsia" w:ascii="宋体" w:hAnsi="宋体" w:cs="宋体"/>
                <w:strike w:val="0"/>
                <w:color w:val="auto"/>
                <w:kern w:val="0"/>
                <w:sz w:val="18"/>
                <w:szCs w:val="18"/>
                <w:highlight w:val="none"/>
                <w:lang w:val="en-US" w:eastAsia="zh-CN"/>
              </w:rPr>
              <w:t>500ml/瓶至60</w:t>
            </w:r>
            <w:r>
              <w:rPr>
                <w:rFonts w:hint="eastAsia" w:ascii="宋体" w:hAnsi="宋体" w:cs="宋体"/>
                <w:strike w:val="0"/>
                <w:color w:val="auto"/>
                <w:kern w:val="0"/>
                <w:sz w:val="18"/>
                <w:szCs w:val="18"/>
                <w:highlight w:val="none"/>
              </w:rPr>
              <w:t>0ml</w:t>
            </w:r>
            <w:r>
              <w:rPr>
                <w:rFonts w:ascii="宋体" w:hAnsi="宋体" w:cs="宋体"/>
                <w:strike w:val="0"/>
                <w:color w:val="auto"/>
                <w:kern w:val="0"/>
                <w:sz w:val="18"/>
                <w:szCs w:val="18"/>
                <w:highlight w:val="none"/>
              </w:rPr>
              <w:t>/</w:t>
            </w:r>
            <w:r>
              <w:rPr>
                <w:rFonts w:hint="eastAsia" w:ascii="宋体" w:hAnsi="宋体" w:cs="宋体"/>
                <w:strike w:val="0"/>
                <w:color w:val="auto"/>
                <w:kern w:val="0"/>
                <w:sz w:val="18"/>
                <w:szCs w:val="18"/>
                <w:highlight w:val="none"/>
              </w:rPr>
              <w:t>瓶</w:t>
            </w:r>
          </w:p>
        </w:tc>
        <w:tc>
          <w:tcPr>
            <w:tcW w:w="1067" w:type="dxa"/>
            <w:vAlign w:val="center"/>
          </w:tcPr>
          <w:p w14:paraId="08434D65">
            <w:pPr>
              <w:widowControl/>
              <w:spacing w:line="380" w:lineRule="exact"/>
              <w:jc w:val="center"/>
              <w:rPr>
                <w:rFonts w:ascii="宋体" w:hAnsi="宋体" w:cs="宋体"/>
                <w:strike w:val="0"/>
                <w:color w:val="auto"/>
                <w:kern w:val="0"/>
                <w:sz w:val="18"/>
                <w:szCs w:val="18"/>
                <w:highlight w:val="none"/>
              </w:rPr>
            </w:pPr>
            <w:r>
              <w:rPr>
                <w:rFonts w:hint="eastAsia" w:ascii="宋体" w:hAnsi="宋体" w:cs="宋体"/>
                <w:strike w:val="0"/>
                <w:color w:val="auto"/>
                <w:kern w:val="0"/>
                <w:sz w:val="18"/>
                <w:szCs w:val="18"/>
                <w:highlight w:val="none"/>
              </w:rPr>
              <w:t>元/箱</w:t>
            </w:r>
          </w:p>
        </w:tc>
        <w:tc>
          <w:tcPr>
            <w:tcW w:w="2320" w:type="dxa"/>
            <w:vAlign w:val="center"/>
          </w:tcPr>
          <w:p w14:paraId="30FB6F84">
            <w:pPr>
              <w:widowControl/>
              <w:spacing w:line="380" w:lineRule="exact"/>
              <w:jc w:val="center"/>
              <w:rPr>
                <w:rFonts w:ascii="宋体" w:hAnsi="宋体" w:eastAsia="宋体" w:cs="宋体"/>
                <w:strike w:val="0"/>
                <w:color w:val="auto"/>
                <w:kern w:val="0"/>
                <w:sz w:val="18"/>
                <w:szCs w:val="18"/>
                <w:highlight w:val="none"/>
              </w:rPr>
            </w:pPr>
            <w:r>
              <w:rPr>
                <w:rFonts w:hint="eastAsia" w:ascii="宋体" w:hAnsi="宋体" w:eastAsia="宋体" w:cs="宋体"/>
                <w:strike w:val="0"/>
                <w:color w:val="auto"/>
                <w:kern w:val="0"/>
                <w:sz w:val="18"/>
                <w:szCs w:val="18"/>
                <w:highlight w:val="none"/>
                <w:lang w:eastAsia="zh-CN"/>
              </w:rPr>
              <w:t>3</w:t>
            </w:r>
            <w:r>
              <w:rPr>
                <w:rFonts w:hint="eastAsia" w:ascii="宋体" w:hAnsi="宋体" w:eastAsia="宋体" w:cs="宋体"/>
                <w:strike w:val="0"/>
                <w:color w:val="auto"/>
                <w:kern w:val="0"/>
                <w:sz w:val="18"/>
                <w:szCs w:val="18"/>
                <w:highlight w:val="none"/>
                <w:lang w:val="en-US" w:eastAsia="zh-CN"/>
              </w:rPr>
              <w:t>0</w:t>
            </w:r>
            <w:r>
              <w:rPr>
                <w:rFonts w:hint="eastAsia" w:ascii="宋体" w:hAnsi="宋体" w:eastAsia="宋体" w:cs="宋体"/>
                <w:strike w:val="0"/>
                <w:color w:val="auto"/>
                <w:kern w:val="0"/>
                <w:sz w:val="18"/>
                <w:szCs w:val="18"/>
                <w:highlight w:val="none"/>
              </w:rPr>
              <w:t>（每箱24瓶）</w:t>
            </w:r>
          </w:p>
        </w:tc>
      </w:tr>
    </w:tbl>
    <w:p w14:paraId="4F3D2823">
      <w:pPr>
        <w:spacing w:line="380" w:lineRule="exact"/>
        <w:ind w:firstLine="420" w:firstLineChars="200"/>
        <w:jc w:val="left"/>
        <w:rPr>
          <w:rFonts w:hint="default" w:asciiTheme="minorEastAsia" w:hAnsiTheme="minorEastAsia" w:eastAsiaTheme="minorEastAsia"/>
          <w:color w:val="auto"/>
          <w:szCs w:val="21"/>
          <w:highlight w:val="none"/>
          <w:lang w:val="en-US" w:eastAsia="zh-CN"/>
        </w:rPr>
      </w:pPr>
      <w:r>
        <w:rPr>
          <w:rFonts w:hint="eastAsia" w:asciiTheme="minorEastAsia" w:hAnsiTheme="minorEastAsia"/>
          <w:color w:val="auto"/>
          <w:szCs w:val="21"/>
          <w:highlight w:val="none"/>
        </w:rPr>
        <w:t>2.瓶装水及桶装水</w:t>
      </w:r>
      <w:r>
        <w:rPr>
          <w:rFonts w:asciiTheme="minorEastAsia" w:hAnsiTheme="minorEastAsia"/>
          <w:color w:val="auto"/>
          <w:szCs w:val="21"/>
          <w:highlight w:val="none"/>
        </w:rPr>
        <w:t>的价格</w:t>
      </w:r>
      <w:r>
        <w:rPr>
          <w:rFonts w:hint="eastAsia" w:asciiTheme="minorEastAsia" w:hAnsiTheme="minorEastAsia"/>
          <w:color w:val="auto"/>
          <w:szCs w:val="21"/>
          <w:highlight w:val="none"/>
        </w:rPr>
        <w:t>低</w:t>
      </w:r>
      <w:r>
        <w:rPr>
          <w:rFonts w:asciiTheme="minorEastAsia" w:hAnsiTheme="minorEastAsia"/>
          <w:color w:val="auto"/>
          <w:szCs w:val="21"/>
          <w:highlight w:val="none"/>
        </w:rPr>
        <w:t>于校内及市场同类产品的价格</w:t>
      </w:r>
      <w:r>
        <w:rPr>
          <w:rFonts w:hint="eastAsia" w:asciiTheme="minorEastAsia" w:hAnsiTheme="minorEastAsia"/>
          <w:color w:val="auto"/>
          <w:szCs w:val="21"/>
          <w:highlight w:val="none"/>
          <w:lang w:eastAsia="zh-CN"/>
        </w:rPr>
        <w:t>（</w:t>
      </w:r>
      <w:r>
        <w:rPr>
          <w:rFonts w:hint="eastAsia"/>
          <w:color w:val="auto"/>
          <w:highlight w:val="none"/>
        </w:rPr>
        <w:t>响应文件中提供承诺函</w:t>
      </w:r>
      <w:r>
        <w:rPr>
          <w:rFonts w:hint="eastAsia"/>
          <w:color w:val="auto"/>
          <w:highlight w:val="none"/>
          <w:lang w:eastAsia="zh-CN"/>
        </w:rPr>
        <w:t>，</w:t>
      </w:r>
      <w:r>
        <w:rPr>
          <w:rFonts w:hint="eastAsia"/>
          <w:color w:val="auto"/>
          <w:highlight w:val="none"/>
        </w:rPr>
        <w:t>格式自拟）</w:t>
      </w:r>
      <w:r>
        <w:rPr>
          <w:rFonts w:hint="eastAsia" w:asciiTheme="minorEastAsia" w:hAnsiTheme="minorEastAsia"/>
          <w:color w:val="auto"/>
          <w:szCs w:val="21"/>
          <w:highlight w:val="none"/>
        </w:rPr>
        <w:t>，超过最高限价的视为无效响应。每类产品仅限投一种</w:t>
      </w:r>
      <w:r>
        <w:rPr>
          <w:rStyle w:val="12"/>
          <w:rFonts w:hint="eastAsia"/>
          <w:color w:val="auto"/>
          <w:highlight w:val="none"/>
          <w:lang w:val="en-US" w:eastAsia="zh-CN"/>
        </w:rPr>
        <w:t>品牌</w:t>
      </w:r>
      <w:r>
        <w:rPr>
          <w:rFonts w:hint="eastAsia" w:asciiTheme="minorEastAsia" w:hAnsiTheme="minorEastAsia"/>
          <w:color w:val="auto"/>
          <w:szCs w:val="21"/>
          <w:highlight w:val="none"/>
        </w:rPr>
        <w:t>。</w:t>
      </w:r>
    </w:p>
    <w:p w14:paraId="1A6F6720">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3.每个校区至少</w:t>
      </w:r>
      <w:r>
        <w:rPr>
          <w:rFonts w:hint="eastAsia" w:asciiTheme="minorEastAsia" w:hAnsiTheme="minorEastAsia"/>
          <w:color w:val="auto"/>
          <w:szCs w:val="21"/>
          <w:highlight w:val="none"/>
          <w:lang w:val="en-US" w:eastAsia="zh-CN"/>
        </w:rPr>
        <w:t>配备</w:t>
      </w:r>
      <w:r>
        <w:rPr>
          <w:rFonts w:hint="eastAsia" w:asciiTheme="minorEastAsia" w:hAnsiTheme="minorEastAsia"/>
          <w:color w:val="auto"/>
          <w:szCs w:val="21"/>
          <w:highlight w:val="none"/>
        </w:rPr>
        <w:t>一名专职送水人员。</w:t>
      </w:r>
    </w:p>
    <w:p w14:paraId="24D3A455">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（二）饮用水质量安全</w:t>
      </w:r>
    </w:p>
    <w:p w14:paraId="67B249E0">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1.供应商应保证瓶装水及桶装水货源充足。每批水出厂均需检验（</w:t>
      </w:r>
      <w:r>
        <w:rPr>
          <w:rFonts w:hint="eastAsia"/>
          <w:color w:val="auto"/>
          <w:highlight w:val="none"/>
        </w:rPr>
        <w:t>有检测能力的检测机构</w:t>
      </w:r>
      <w:r>
        <w:rPr>
          <w:rFonts w:hint="eastAsia" w:asciiTheme="minorEastAsia" w:hAnsiTheme="minorEastAsia"/>
          <w:color w:val="auto"/>
          <w:szCs w:val="21"/>
          <w:highlight w:val="none"/>
        </w:rPr>
        <w:t>出具检测报告），</w:t>
      </w:r>
      <w:r>
        <w:rPr>
          <w:rFonts w:asciiTheme="minorEastAsia" w:hAnsiTheme="minorEastAsia"/>
          <w:color w:val="auto"/>
          <w:szCs w:val="21"/>
          <w:highlight w:val="none"/>
        </w:rPr>
        <w:t>校方</w:t>
      </w:r>
      <w:r>
        <w:rPr>
          <w:rFonts w:hint="eastAsia" w:asciiTheme="minorEastAsia" w:hAnsiTheme="minorEastAsia"/>
          <w:color w:val="auto"/>
          <w:szCs w:val="21"/>
          <w:highlight w:val="none"/>
        </w:rPr>
        <w:t>有权不定期抽查检测报告、</w:t>
      </w:r>
      <w:r>
        <w:rPr>
          <w:rFonts w:hint="eastAsia" w:asciiTheme="minorEastAsia" w:hAnsiTheme="minorEastAsia"/>
          <w:color w:val="auto"/>
          <w:szCs w:val="21"/>
          <w:highlight w:val="none"/>
          <w:lang w:val="en-US" w:eastAsia="zh-CN"/>
        </w:rPr>
        <w:t>市场监督管理</w:t>
      </w:r>
      <w:r>
        <w:rPr>
          <w:rFonts w:asciiTheme="minorEastAsia" w:hAnsiTheme="minorEastAsia"/>
          <w:color w:val="auto"/>
          <w:szCs w:val="21"/>
          <w:highlight w:val="none"/>
        </w:rPr>
        <w:t>部门的年度抽检报告</w:t>
      </w:r>
      <w:r>
        <w:rPr>
          <w:rFonts w:hint="eastAsia" w:asciiTheme="minorEastAsia" w:hAnsiTheme="minorEastAsia"/>
          <w:color w:val="auto"/>
          <w:szCs w:val="21"/>
          <w:highlight w:val="none"/>
        </w:rPr>
        <w:t>。</w:t>
      </w:r>
    </w:p>
    <w:p w14:paraId="42108040">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2</w:t>
      </w:r>
      <w:r>
        <w:rPr>
          <w:rFonts w:asciiTheme="minorEastAsia" w:hAnsiTheme="minorEastAsia"/>
          <w:color w:val="auto"/>
          <w:szCs w:val="21"/>
          <w:highlight w:val="none"/>
        </w:rPr>
        <w:t>.</w:t>
      </w:r>
      <w:r>
        <w:rPr>
          <w:rFonts w:hint="eastAsia" w:asciiTheme="minorEastAsia" w:hAnsiTheme="minorEastAsia"/>
          <w:color w:val="auto"/>
          <w:szCs w:val="21"/>
          <w:highlight w:val="none"/>
        </w:rPr>
        <w:t>供应商提供的瓶装水及桶装水须符合GB 19298‑2014《食品安全国家标准 包装饮用水》</w:t>
      </w:r>
      <w:r>
        <w:rPr>
          <w:rFonts w:hint="eastAsia" w:asciiTheme="minorEastAsia" w:hAnsiTheme="minorEastAsia"/>
          <w:color w:val="auto"/>
          <w:szCs w:val="21"/>
          <w:highlight w:val="none"/>
          <w:lang w:eastAsia="zh-CN"/>
        </w:rPr>
        <w:t>，其溴酸盐含量均应 ≤ 0.01 mg/L</w:t>
      </w:r>
      <w:r>
        <w:rPr>
          <w:rFonts w:hint="eastAsia" w:asciiTheme="minorEastAsia" w:hAnsiTheme="minorEastAsia"/>
          <w:color w:val="auto"/>
          <w:szCs w:val="21"/>
          <w:highlight w:val="none"/>
        </w:rPr>
        <w:t>（</w:t>
      </w:r>
      <w:r>
        <w:rPr>
          <w:rFonts w:hint="eastAsia" w:asciiTheme="minorEastAsia" w:hAnsiTheme="minorEastAsia"/>
          <w:color w:val="auto"/>
          <w:szCs w:val="21"/>
          <w:highlight w:val="none"/>
          <w:lang w:val="en-US" w:eastAsia="zh-CN"/>
        </w:rPr>
        <w:t>须</w:t>
      </w:r>
      <w:r>
        <w:rPr>
          <w:rFonts w:hint="eastAsia" w:asciiTheme="minorEastAsia" w:hAnsiTheme="minorEastAsia"/>
          <w:color w:val="auto"/>
          <w:szCs w:val="21"/>
          <w:highlight w:val="none"/>
        </w:rPr>
        <w:t>提供2026年</w:t>
      </w:r>
      <w:r>
        <w:rPr>
          <w:rFonts w:hint="eastAsia" w:asciiTheme="minorEastAsia" w:hAnsiTheme="minorEastAsia"/>
          <w:color w:val="auto"/>
          <w:szCs w:val="21"/>
          <w:highlight w:val="none"/>
          <w:lang w:val="en-US" w:eastAsia="zh-CN"/>
        </w:rPr>
        <w:t>1月1日</w:t>
      </w:r>
      <w:r>
        <w:rPr>
          <w:rFonts w:hint="eastAsia" w:asciiTheme="minorEastAsia" w:hAnsiTheme="minorEastAsia"/>
          <w:color w:val="auto"/>
          <w:szCs w:val="21"/>
          <w:highlight w:val="none"/>
        </w:rPr>
        <w:t>以来</w:t>
      </w:r>
      <w:r>
        <w:rPr>
          <w:rFonts w:hint="eastAsia" w:asciiTheme="minorEastAsia" w:hAnsiTheme="minorEastAsia" w:eastAsiaTheme="minorEastAsia" w:cstheme="minorBidi"/>
          <w:b w:val="0"/>
          <w:bCs w:val="0"/>
          <w:i w:val="0"/>
          <w:iCs w:val="0"/>
          <w:caps w:val="0"/>
          <w:color w:val="auto"/>
          <w:spacing w:val="0"/>
          <w:sz w:val="21"/>
          <w:szCs w:val="21"/>
          <w:highlight w:val="none"/>
          <w:shd w:val="clear" w:fill="auto"/>
        </w:rPr>
        <w:t>且在</w:t>
      </w:r>
      <w:r>
        <w:rPr>
          <w:rFonts w:hint="eastAsia" w:asciiTheme="minorEastAsia" w:hAnsiTheme="minorEastAsia" w:cstheme="minorBidi"/>
          <w:b w:val="0"/>
          <w:bCs w:val="0"/>
          <w:i w:val="0"/>
          <w:iCs w:val="0"/>
          <w:caps w:val="0"/>
          <w:color w:val="auto"/>
          <w:spacing w:val="0"/>
          <w:sz w:val="21"/>
          <w:szCs w:val="21"/>
          <w:highlight w:val="none"/>
          <w:shd w:val="clear"/>
          <w:lang w:val="en-US" w:eastAsia="zh-CN"/>
        </w:rPr>
        <w:t>响应</w:t>
      </w:r>
      <w:r>
        <w:rPr>
          <w:rFonts w:hint="eastAsia" w:asciiTheme="minorEastAsia" w:hAnsiTheme="minorEastAsia" w:eastAsiaTheme="minorEastAsia" w:cstheme="minorBidi"/>
          <w:b w:val="0"/>
          <w:bCs w:val="0"/>
          <w:i w:val="0"/>
          <w:iCs w:val="0"/>
          <w:caps w:val="0"/>
          <w:color w:val="auto"/>
          <w:spacing w:val="0"/>
          <w:sz w:val="21"/>
          <w:szCs w:val="21"/>
          <w:highlight w:val="none"/>
          <w:shd w:val="clear" w:fill="auto"/>
        </w:rPr>
        <w:t>截止时间仍</w:t>
      </w:r>
      <w:r>
        <w:rPr>
          <w:rFonts w:hint="eastAsia" w:asciiTheme="minorEastAsia" w:hAnsiTheme="minorEastAsia"/>
          <w:color w:val="auto"/>
          <w:szCs w:val="21"/>
          <w:highlight w:val="none"/>
        </w:rPr>
        <w:t>有效的</w:t>
      </w:r>
      <w:r>
        <w:rPr>
          <w:rFonts w:hint="eastAsia" w:asciiTheme="minorEastAsia" w:hAnsiTheme="minorEastAsia"/>
          <w:color w:val="auto"/>
          <w:szCs w:val="21"/>
          <w:highlight w:val="none"/>
          <w:lang w:val="en-US" w:eastAsia="zh-CN"/>
        </w:rPr>
        <w:t>最新</w:t>
      </w:r>
      <w:r>
        <w:rPr>
          <w:rFonts w:hint="eastAsia" w:asciiTheme="minorEastAsia" w:hAnsiTheme="minorEastAsia"/>
          <w:color w:val="auto"/>
          <w:szCs w:val="21"/>
          <w:highlight w:val="none"/>
        </w:rPr>
        <w:t>检测报告，检测报告应覆盖所投瓶装水、桶装水产品/规格</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rPr>
        <w:t>否则响应无效）。</w:t>
      </w:r>
    </w:p>
    <w:p w14:paraId="1AF86B9B">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3</w:t>
      </w:r>
      <w:r>
        <w:rPr>
          <w:rFonts w:hint="eastAsia" w:asciiTheme="minorEastAsia" w:hAnsiTheme="minorEastAsia"/>
          <w:color w:val="auto"/>
          <w:szCs w:val="21"/>
          <w:highlight w:val="none"/>
        </w:rPr>
        <w:t>.在合同期内，供应商应积极配合校方开展相关卫生安全的检查，随时接受上级卫生监督部门、物价部门、质检部门及</w:t>
      </w:r>
      <w:r>
        <w:rPr>
          <w:rFonts w:hint="eastAsia" w:asciiTheme="minorEastAsia" w:hAnsiTheme="minorEastAsia"/>
          <w:color w:val="auto"/>
          <w:szCs w:val="21"/>
          <w:highlight w:val="none"/>
          <w:lang w:val="en-US" w:eastAsia="zh-CN"/>
        </w:rPr>
        <w:t>市场监督部门</w:t>
      </w:r>
      <w:r>
        <w:rPr>
          <w:rFonts w:hint="eastAsia" w:asciiTheme="minorEastAsia" w:hAnsiTheme="minorEastAsia"/>
          <w:color w:val="auto"/>
          <w:szCs w:val="21"/>
          <w:highlight w:val="none"/>
        </w:rPr>
        <w:t>检查，接受并遵守校方相关职能部门对服务质量、经营等方面的监督管理和检查工作。</w:t>
      </w:r>
    </w:p>
    <w:p w14:paraId="78CAAE7D">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4</w:t>
      </w:r>
      <w:r>
        <w:rPr>
          <w:rFonts w:hint="eastAsia" w:asciiTheme="minorEastAsia" w:hAnsiTheme="minorEastAsia"/>
          <w:color w:val="auto"/>
          <w:szCs w:val="21"/>
          <w:highlight w:val="none"/>
        </w:rPr>
        <w:t>.供应商对产品质量负责，承担因质量问题而造成的全部后果。如供应商供水质量不符合国家标准，供应商应无条件更换合格用水，并承担由此造成校方及用水人的损失。</w:t>
      </w:r>
    </w:p>
    <w:p w14:paraId="6FBB2F77">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5</w:t>
      </w:r>
      <w:r>
        <w:rPr>
          <w:rFonts w:hint="eastAsia" w:asciiTheme="minorEastAsia" w:hAnsiTheme="minorEastAsia"/>
          <w:color w:val="auto"/>
          <w:szCs w:val="21"/>
          <w:highlight w:val="none"/>
        </w:rPr>
        <w:t>.如经卫生检疫部门或相关质量监督局等政府相关部门认定，确属供应商因供水质量问题造成事故的，由供应商按《食品安全法》的相关规定承担相应的责任，校方有权予以解除合同。</w:t>
      </w:r>
    </w:p>
    <w:p w14:paraId="683E92C6">
      <w:pPr>
        <w:spacing w:line="380" w:lineRule="exact"/>
        <w:ind w:firstLine="420" w:firstLineChars="200"/>
        <w:jc w:val="left"/>
        <w:rPr>
          <w:rFonts w:hint="default" w:asciiTheme="minorEastAsia" w:hAnsiTheme="minorEastAsia" w:eastAsiaTheme="minorEastAsia"/>
          <w:color w:val="auto"/>
          <w:szCs w:val="21"/>
          <w:highlight w:val="none"/>
          <w:lang w:val="en-US" w:eastAsia="zh-CN"/>
        </w:rPr>
      </w:pPr>
      <w:r>
        <w:rPr>
          <w:rFonts w:hint="eastAsia" w:asciiTheme="minorEastAsia" w:hAnsiTheme="minorEastAsia"/>
          <w:color w:val="auto"/>
          <w:szCs w:val="21"/>
          <w:highlight w:val="none"/>
        </w:rPr>
        <w:t>6.严禁配送临期</w:t>
      </w:r>
      <w:r>
        <w:rPr>
          <w:rStyle w:val="12"/>
          <w:rFonts w:hint="eastAsia"/>
          <w:color w:val="auto"/>
          <w:highlight w:val="none"/>
          <w:lang w:eastAsia="zh-CN"/>
        </w:rPr>
        <w:t>（</w:t>
      </w:r>
      <w:r>
        <w:rPr>
          <w:rFonts w:hint="eastAsia" w:asciiTheme="minorEastAsia" w:hAnsiTheme="minorEastAsia"/>
          <w:color w:val="auto"/>
          <w:szCs w:val="21"/>
          <w:highlight w:val="none"/>
        </w:rPr>
        <w:t>距离保质期届满不足45天</w:t>
      </w:r>
      <w:r>
        <w:rPr>
          <w:rFonts w:hint="eastAsia" w:asciiTheme="minorEastAsia" w:hAnsiTheme="minorEastAsia"/>
          <w:color w:val="auto"/>
          <w:szCs w:val="21"/>
          <w:highlight w:val="none"/>
          <w:lang w:val="en-US" w:eastAsia="zh-CN"/>
        </w:rPr>
        <w:t>[桶装水]</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lang w:val="en-US" w:eastAsia="zh-CN"/>
        </w:rPr>
        <w:t>90天[瓶装水]</w:t>
      </w:r>
      <w:r>
        <w:rPr>
          <w:rStyle w:val="12"/>
          <w:rFonts w:hint="eastAsia"/>
          <w:color w:val="auto"/>
          <w:highlight w:val="none"/>
          <w:lang w:eastAsia="zh-CN"/>
        </w:rPr>
        <w:t>）</w:t>
      </w:r>
      <w:r>
        <w:rPr>
          <w:rFonts w:hint="eastAsia" w:asciiTheme="minorEastAsia" w:hAnsiTheme="minorEastAsia"/>
          <w:color w:val="auto"/>
          <w:szCs w:val="21"/>
          <w:highlight w:val="none"/>
        </w:rPr>
        <w:t>或已过期的产品。</w:t>
      </w:r>
    </w:p>
    <w:p w14:paraId="006F0F06">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（三）用水服务响应、结算方式</w:t>
      </w:r>
    </w:p>
    <w:p w14:paraId="5A0B809F">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1.供应商必须保障水的正常供应，合同期内（含寒暑假期间）均须安排专职人员送水，不得以任何理由中断或延迟供水。瓶装水及桶装水的配送响应时间必须</w:t>
      </w:r>
      <w:r>
        <w:rPr>
          <w:rFonts w:hint="eastAsia" w:asciiTheme="minorEastAsia" w:hAnsiTheme="minorEastAsia"/>
          <w:b/>
          <w:bCs/>
          <w:color w:val="auto"/>
          <w:szCs w:val="21"/>
          <w:highlight w:val="none"/>
        </w:rPr>
        <w:t>在3小时以内</w:t>
      </w:r>
      <w:r>
        <w:rPr>
          <w:rFonts w:hint="eastAsia" w:asciiTheme="minorEastAsia" w:hAnsiTheme="minorEastAsia"/>
          <w:b w:val="0"/>
          <w:bCs w:val="0"/>
          <w:color w:val="auto"/>
          <w:szCs w:val="21"/>
          <w:highlight w:val="none"/>
          <w:lang w:eastAsia="zh-CN"/>
        </w:rPr>
        <w:t>（</w:t>
      </w:r>
      <w:r>
        <w:rPr>
          <w:rFonts w:hint="eastAsia"/>
          <w:color w:val="auto"/>
          <w:highlight w:val="none"/>
        </w:rPr>
        <w:t>从接单到配送到用户处的时间在3小时以内</w:t>
      </w:r>
      <w:r>
        <w:rPr>
          <w:rStyle w:val="12"/>
          <w:rFonts w:hint="eastAsia"/>
          <w:color w:val="auto"/>
          <w:highlight w:val="none"/>
          <w:lang w:eastAsia="zh-CN"/>
        </w:rPr>
        <w:t>）</w:t>
      </w:r>
      <w:r>
        <w:rPr>
          <w:rFonts w:hint="eastAsia" w:asciiTheme="minorEastAsia" w:hAnsiTheme="minorEastAsia"/>
          <w:color w:val="auto"/>
          <w:szCs w:val="21"/>
          <w:highlight w:val="none"/>
        </w:rPr>
        <w:t>，并承担出厂送至用户过程的所有费用。</w:t>
      </w:r>
    </w:p>
    <w:p w14:paraId="3C4C7565">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2.如有用户对</w:t>
      </w:r>
      <w:r>
        <w:rPr>
          <w:rFonts w:asciiTheme="minorEastAsia" w:hAnsiTheme="minorEastAsia"/>
          <w:color w:val="auto"/>
          <w:szCs w:val="21"/>
          <w:highlight w:val="none"/>
        </w:rPr>
        <w:t>用水</w:t>
      </w:r>
      <w:r>
        <w:rPr>
          <w:rFonts w:hint="eastAsia" w:asciiTheme="minorEastAsia" w:hAnsiTheme="minorEastAsia"/>
          <w:color w:val="auto"/>
          <w:szCs w:val="21"/>
          <w:highlight w:val="none"/>
        </w:rPr>
        <w:t>质量或服务提出投诉的，供应商须在1小时内响应，2小时内到现场处置。用户反映水中有杂质等质量问题的，供应商须当场确认后无条件</w:t>
      </w:r>
      <w:r>
        <w:rPr>
          <w:rFonts w:hint="eastAsia" w:asciiTheme="minorEastAsia" w:hAnsiTheme="minorEastAsia"/>
          <w:color w:val="auto"/>
          <w:szCs w:val="21"/>
          <w:highlight w:val="none"/>
          <w:lang w:val="en-US" w:eastAsia="zh-CN"/>
        </w:rPr>
        <w:t>在2小时内</w:t>
      </w:r>
      <w:r>
        <w:rPr>
          <w:rFonts w:hint="eastAsia" w:asciiTheme="minorEastAsia" w:hAnsiTheme="minorEastAsia"/>
          <w:color w:val="auto"/>
          <w:szCs w:val="21"/>
          <w:highlight w:val="none"/>
        </w:rPr>
        <w:t>更换问题产品，确保用户</w:t>
      </w:r>
      <w:r>
        <w:rPr>
          <w:rFonts w:hint="eastAsia" w:asciiTheme="minorEastAsia" w:hAnsiTheme="minorEastAsia"/>
          <w:color w:val="auto"/>
          <w:szCs w:val="21"/>
          <w:highlight w:val="none"/>
          <w:lang w:val="en-US" w:eastAsia="zh-CN"/>
        </w:rPr>
        <w:t>安全、</w:t>
      </w:r>
      <w:r>
        <w:rPr>
          <w:rFonts w:hint="eastAsia" w:asciiTheme="minorEastAsia" w:hAnsiTheme="minorEastAsia"/>
          <w:color w:val="auto"/>
          <w:szCs w:val="21"/>
          <w:highlight w:val="none"/>
        </w:rPr>
        <w:t>正常用水。</w:t>
      </w:r>
    </w:p>
    <w:p w14:paraId="76B7BAB8">
      <w:pPr>
        <w:widowControl/>
        <w:shd w:val="clear" w:color="auto" w:fill="FFFFFF"/>
        <w:spacing w:line="380" w:lineRule="exact"/>
        <w:ind w:firstLine="420" w:firstLineChars="200"/>
        <w:jc w:val="left"/>
        <w:textAlignment w:val="baseline"/>
        <w:rPr>
          <w:rFonts w:asciiTheme="minorEastAsia" w:hAnsiTheme="minorEastAsia"/>
          <w:color w:val="auto"/>
          <w:szCs w:val="21"/>
          <w:highlight w:val="none"/>
        </w:rPr>
      </w:pPr>
      <w:r>
        <w:rPr>
          <w:rFonts w:hint="eastAsia" w:asciiTheme="minorEastAsia" w:hAnsiTheme="minorEastAsia"/>
          <w:color w:val="auto"/>
          <w:szCs w:val="21"/>
          <w:highlight w:val="none"/>
        </w:rPr>
        <w:t>3.结算方式：</w:t>
      </w:r>
      <w:r>
        <w:rPr>
          <w:rFonts w:hint="eastAsia" w:asciiTheme="minorEastAsia" w:hAnsiTheme="minorEastAsia"/>
          <w:color w:val="auto"/>
          <w:szCs w:val="21"/>
          <w:highlight w:val="none"/>
          <w:lang w:val="en-US" w:eastAsia="zh-CN"/>
        </w:rPr>
        <w:t>原则上</w:t>
      </w:r>
      <w:r>
        <w:rPr>
          <w:rFonts w:hint="eastAsia" w:asciiTheme="minorEastAsia" w:hAnsiTheme="minorEastAsia" w:cstheme="minorEastAsia"/>
          <w:color w:val="auto"/>
          <w:kern w:val="0"/>
          <w:szCs w:val="21"/>
          <w:highlight w:val="none"/>
        </w:rPr>
        <w:t>按季度结算，每季度结算一次。</w:t>
      </w:r>
      <w:r>
        <w:rPr>
          <w:rStyle w:val="12"/>
          <w:rFonts w:hint="eastAsia"/>
          <w:color w:val="auto"/>
          <w:highlight w:val="none"/>
          <w:lang w:val="en-US" w:eastAsia="zh-CN"/>
        </w:rPr>
        <w:t>其中，</w:t>
      </w:r>
      <w:r>
        <w:rPr>
          <w:rFonts w:hint="eastAsia" w:asciiTheme="minorEastAsia" w:hAnsiTheme="minorEastAsia" w:cstheme="minorEastAsia"/>
          <w:color w:val="auto"/>
          <w:kern w:val="0"/>
          <w:szCs w:val="21"/>
          <w:highlight w:val="none"/>
        </w:rPr>
        <w:t>每年12月10日前完成</w:t>
      </w:r>
      <w:r>
        <w:rPr>
          <w:rFonts w:hint="eastAsia" w:asciiTheme="minorEastAsia" w:hAnsiTheme="minorEastAsia" w:cstheme="minorEastAsia"/>
          <w:color w:val="auto"/>
          <w:kern w:val="0"/>
          <w:szCs w:val="21"/>
          <w:highlight w:val="none"/>
          <w:lang w:val="en-US" w:eastAsia="zh-CN"/>
        </w:rPr>
        <w:t>1-11月</w:t>
      </w:r>
      <w:r>
        <w:rPr>
          <w:rFonts w:hint="eastAsia" w:asciiTheme="minorEastAsia" w:hAnsiTheme="minorEastAsia" w:cstheme="minorEastAsia"/>
          <w:color w:val="auto"/>
          <w:kern w:val="0"/>
          <w:szCs w:val="21"/>
          <w:highlight w:val="none"/>
        </w:rPr>
        <w:t>水费的结算，12月的水费于次年3月底前结算完毕。报账结算时，供应商需提供各部门（单位）的用水登记表（须有用水部门相关人员的签字，一式三份）。</w:t>
      </w:r>
    </w:p>
    <w:p w14:paraId="51EB9B95">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（四）水桶的</w:t>
      </w:r>
      <w:r>
        <w:rPr>
          <w:rFonts w:asciiTheme="minorEastAsia" w:hAnsiTheme="minorEastAsia"/>
          <w:color w:val="auto"/>
          <w:szCs w:val="21"/>
          <w:highlight w:val="none"/>
        </w:rPr>
        <w:t>日常</w:t>
      </w:r>
      <w:r>
        <w:rPr>
          <w:rFonts w:hint="eastAsia" w:asciiTheme="minorEastAsia" w:hAnsiTheme="minorEastAsia"/>
          <w:color w:val="auto"/>
          <w:szCs w:val="21"/>
          <w:highlight w:val="none"/>
        </w:rPr>
        <w:t>管理</w:t>
      </w:r>
    </w:p>
    <w:p w14:paraId="36BF2823">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水桶的日常管理由供应商负责，所用水桶必须是符合卫生要求的PC</w:t>
      </w:r>
      <w:r>
        <w:rPr>
          <w:rFonts w:hint="eastAsia" w:asciiTheme="minorEastAsia" w:hAnsiTheme="minorEastAsia"/>
          <w:color w:val="auto"/>
          <w:szCs w:val="21"/>
          <w:highlight w:val="none"/>
          <w:lang w:val="en-US" w:eastAsia="zh-CN"/>
        </w:rPr>
        <w:t>桶或</w:t>
      </w:r>
      <w:r>
        <w:rPr>
          <w:rFonts w:hint="eastAsia" w:asciiTheme="minorEastAsia" w:hAnsiTheme="minorEastAsia"/>
          <w:color w:val="auto"/>
          <w:szCs w:val="21"/>
          <w:highlight w:val="none"/>
        </w:rPr>
        <w:t>PET桶，</w:t>
      </w:r>
      <w:r>
        <w:rPr>
          <w:rFonts w:hint="eastAsia" w:asciiTheme="minorEastAsia" w:hAnsiTheme="minorEastAsia" w:eastAsiaTheme="minorEastAsia" w:cstheme="minorBidi"/>
          <w:i w:val="0"/>
          <w:iCs w:val="0"/>
          <w:caps w:val="0"/>
          <w:color w:val="auto"/>
          <w:spacing w:val="0"/>
          <w:sz w:val="21"/>
          <w:szCs w:val="21"/>
          <w:highlight w:val="none"/>
          <w:shd w:val="clear"/>
        </w:rPr>
        <w:t>桶体表面清洁、无污垢</w:t>
      </w:r>
      <w:r>
        <w:rPr>
          <w:rFonts w:hint="eastAsia" w:asciiTheme="minorEastAsia" w:hAnsiTheme="minorEastAsia"/>
          <w:color w:val="auto"/>
          <w:szCs w:val="21"/>
          <w:highlight w:val="none"/>
        </w:rPr>
        <w:t>，商标清晰规范，桶装饮用水有外包装袋。</w:t>
      </w:r>
    </w:p>
    <w:p w14:paraId="2623BDFD">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（五）送水服务要求</w:t>
      </w:r>
    </w:p>
    <w:p w14:paraId="013E0A74">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1.供应商应严格遵守《中华人民共和国劳动法》和相关用工规定，建立人员档案并上报采购人统一存档，依法用工并承担相应法律责任，采购人不承担连带责任。</w:t>
      </w:r>
    </w:p>
    <w:p w14:paraId="3D5844AF">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2.送水员工的工资、日常生活饮食、起居用房、运输工具等所有费用由供应商负责提供和管理。</w:t>
      </w:r>
    </w:p>
    <w:p w14:paraId="4C4D5C86">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3.供应商安排的送水人员须责任心强，具备饮水机维修技能，仪容仪表整洁，举止文明，微笑服务，持有效健康证上岗（健康证办理及体检费用由供应商承担），统一着工作服并佩戴工作证。供应商应对其送水人员进行统一管理和培训。</w:t>
      </w:r>
    </w:p>
    <w:p w14:paraId="176C0208">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4.供应商要加强对送水员工的日常安全教育与安全管理，避免任何安全事故的发生。</w:t>
      </w:r>
    </w:p>
    <w:p w14:paraId="13FC6923">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5.供应商自成交之日起，应在</w:t>
      </w:r>
      <w:r>
        <w:rPr>
          <w:rFonts w:hint="eastAsia" w:asciiTheme="minorEastAsia" w:hAnsiTheme="minorEastAsia"/>
          <w:color w:val="auto"/>
          <w:szCs w:val="21"/>
          <w:highlight w:val="none"/>
          <w:lang w:val="en-US" w:eastAsia="zh-CN"/>
        </w:rPr>
        <w:t>签订合同后</w:t>
      </w:r>
      <w:r>
        <w:rPr>
          <w:rFonts w:hint="eastAsia" w:asciiTheme="minorEastAsia" w:hAnsiTheme="minorEastAsia"/>
          <w:color w:val="auto"/>
          <w:szCs w:val="21"/>
          <w:highlight w:val="none"/>
        </w:rPr>
        <w:t>7个</w:t>
      </w:r>
      <w:r>
        <w:rPr>
          <w:rFonts w:asciiTheme="minorEastAsia" w:hAnsiTheme="minorEastAsia"/>
          <w:color w:val="auto"/>
          <w:szCs w:val="21"/>
          <w:highlight w:val="none"/>
        </w:rPr>
        <w:t>自然</w:t>
      </w:r>
      <w:r>
        <w:rPr>
          <w:rFonts w:hint="eastAsia" w:asciiTheme="minorEastAsia" w:hAnsiTheme="minorEastAsia"/>
          <w:color w:val="auto"/>
          <w:szCs w:val="21"/>
          <w:highlight w:val="none"/>
        </w:rPr>
        <w:t>日内安排专人与前送水单位交接完毕。</w:t>
      </w:r>
    </w:p>
    <w:p w14:paraId="4BD807B2">
      <w:pPr>
        <w:spacing w:before="156" w:beforeLines="50" w:line="380" w:lineRule="exact"/>
        <w:jc w:val="left"/>
        <w:outlineLvl w:val="0"/>
        <w:rPr>
          <w:rFonts w:asciiTheme="minorEastAsia" w:hAnsiTheme="minorEastAsia"/>
          <w:b/>
          <w:color w:val="auto"/>
          <w:szCs w:val="21"/>
          <w:highlight w:val="none"/>
        </w:rPr>
      </w:pPr>
      <w:bookmarkStart w:id="2" w:name="_Hlk173917195"/>
      <w:r>
        <w:rPr>
          <w:rFonts w:hint="eastAsia" w:asciiTheme="minorEastAsia" w:hAnsiTheme="minorEastAsia"/>
          <w:b/>
          <w:color w:val="auto"/>
          <w:szCs w:val="21"/>
          <w:highlight w:val="none"/>
        </w:rPr>
        <w:t>五、供应商资格要求</w:t>
      </w:r>
    </w:p>
    <w:bookmarkEnd w:id="2"/>
    <w:p w14:paraId="4A896F97">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（一）在中华人民共和国境内注册，具有独立承担民事责任和履行合同能力的</w:t>
      </w:r>
      <w:r>
        <w:rPr>
          <w:rFonts w:hint="eastAsia" w:asciiTheme="minorEastAsia" w:hAnsiTheme="minorEastAsia"/>
          <w:color w:val="auto"/>
          <w:szCs w:val="21"/>
          <w:highlight w:val="none"/>
          <w:lang w:val="en-US" w:eastAsia="zh-CN"/>
        </w:rPr>
        <w:t>法人或其他组织</w:t>
      </w:r>
      <w:r>
        <w:rPr>
          <w:rFonts w:hint="eastAsia" w:asciiTheme="minorEastAsia" w:hAnsiTheme="minorEastAsia"/>
          <w:color w:val="auto"/>
          <w:szCs w:val="21"/>
          <w:highlight w:val="none"/>
        </w:rPr>
        <w:t>，持有有效的《营业执照》。</w:t>
      </w:r>
    </w:p>
    <w:p w14:paraId="158AC202">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（二）供应商为瓶装水及桶装水生产企业的，须提交有效的《食品生产许可证》和《取水许可证》。</w:t>
      </w:r>
    </w:p>
    <w:p w14:paraId="07418B84">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（三）所投产品必须符合最新国家饮用水卫生标准，供应商须提交具备资质的检测机构出具的证明其产品检测合格的水质合格检测报告。</w:t>
      </w:r>
    </w:p>
    <w:p w14:paraId="11CB7073">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四）供应商为瓶装水及桶装水代理商的，须提交所代理产品生产企业有效的《食品生产许可证》和《取水许可证》，同时提供产品代理的有效证明文件（如代理合同、代理证书等）或产品生产企业有效的授权委托书。</w:t>
      </w:r>
    </w:p>
    <w:p w14:paraId="6F9FC809">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（五）须具有良好的商业信誉和健全的财务会计制度；参加本次采购活动前三年内，在经营活动中没有违法记录（以书面承诺形式声明）；</w:t>
      </w:r>
    </w:p>
    <w:p w14:paraId="0BDB0BC2">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（六）具有较强的项目管理、技术服务和组织实施能力，满足采购文件规定的配送和服务要求，具有履行合同所必需的设备和专业技术能力。</w:t>
      </w:r>
    </w:p>
    <w:p w14:paraId="6D5ED86E">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（七）熟悉上述服务项目，具有类似项目的实施经验</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lang w:val="en-US" w:eastAsia="zh-CN"/>
        </w:rPr>
        <w:t>提供2023年1月1日以来至少1个同类饮用水供应服务项目的合同或中标（成交）通知书复印件</w:t>
      </w:r>
      <w:r>
        <w:rPr>
          <w:rFonts w:hint="eastAsia" w:asciiTheme="minorEastAsia" w:hAnsiTheme="minorEastAsia"/>
          <w:color w:val="auto"/>
          <w:szCs w:val="21"/>
          <w:highlight w:val="none"/>
        </w:rPr>
        <w:t>。</w:t>
      </w:r>
    </w:p>
    <w:p w14:paraId="6AA1F4AF">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（八）具有较强的本地化服务能力，配有较强的专业技术队伍，能提供快速的售后服务响应</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lang w:val="en-US" w:eastAsia="zh-CN"/>
        </w:rPr>
        <w:t>以书面承诺形式声明</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rPr>
        <w:t>。</w:t>
      </w:r>
    </w:p>
    <w:p w14:paraId="41D724EE">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（九）须在规定时间内报名响应本项目。</w:t>
      </w:r>
    </w:p>
    <w:p w14:paraId="07A2BE05">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（十）本项目不接受联合体响应。</w:t>
      </w:r>
    </w:p>
    <w:p w14:paraId="3DCD6812">
      <w:pPr>
        <w:spacing w:before="156" w:beforeLines="50" w:line="380" w:lineRule="exact"/>
        <w:jc w:val="left"/>
        <w:outlineLvl w:val="0"/>
        <w:rPr>
          <w:rFonts w:asciiTheme="minorEastAsia" w:hAnsiTheme="minorEastAsia"/>
          <w:b/>
          <w:color w:val="auto"/>
          <w:szCs w:val="21"/>
          <w:highlight w:val="none"/>
        </w:rPr>
      </w:pPr>
      <w:r>
        <w:rPr>
          <w:rFonts w:hint="eastAsia" w:asciiTheme="minorEastAsia" w:hAnsiTheme="minorEastAsia"/>
          <w:b/>
          <w:color w:val="auto"/>
          <w:szCs w:val="21"/>
          <w:highlight w:val="none"/>
        </w:rPr>
        <w:t>六、响应文件要求</w:t>
      </w:r>
    </w:p>
    <w:p w14:paraId="7ED0A649">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供应商</w:t>
      </w:r>
      <w:r>
        <w:rPr>
          <w:rFonts w:hint="eastAsia" w:asciiTheme="minorEastAsia" w:hAnsiTheme="minorEastAsia"/>
          <w:color w:val="auto"/>
          <w:szCs w:val="21"/>
          <w:highlight w:val="none"/>
          <w:lang w:val="en-US" w:eastAsia="zh-CN"/>
        </w:rPr>
        <w:t>须</w:t>
      </w:r>
      <w:r>
        <w:rPr>
          <w:rFonts w:hint="eastAsia" w:asciiTheme="minorEastAsia" w:hAnsiTheme="minorEastAsia"/>
          <w:color w:val="auto"/>
          <w:szCs w:val="21"/>
          <w:highlight w:val="none"/>
        </w:rPr>
        <w:t>按采购文件要求提交响应文件</w:t>
      </w:r>
      <w:r>
        <w:rPr>
          <w:rFonts w:hint="eastAsia" w:asciiTheme="minorEastAsia" w:hAnsiTheme="minorEastAsia"/>
          <w:color w:val="auto"/>
          <w:szCs w:val="21"/>
          <w:highlight w:val="none"/>
          <w:lang w:eastAsia="zh-CN"/>
        </w:rPr>
        <w:t>（正本1份、副本1份）</w:t>
      </w:r>
      <w:r>
        <w:rPr>
          <w:rFonts w:hint="eastAsia" w:asciiTheme="minorEastAsia" w:hAnsiTheme="minorEastAsia"/>
          <w:color w:val="auto"/>
          <w:szCs w:val="21"/>
          <w:highlight w:val="none"/>
        </w:rPr>
        <w:t>，所有材料必须密封并加盖公章提供。</w:t>
      </w:r>
    </w:p>
    <w:p w14:paraId="49DE84B1">
      <w:pPr>
        <w:spacing w:before="156" w:beforeLines="50" w:line="380" w:lineRule="exact"/>
        <w:jc w:val="left"/>
        <w:outlineLvl w:val="0"/>
        <w:rPr>
          <w:rFonts w:asciiTheme="minorEastAsia" w:hAnsiTheme="minorEastAsia"/>
          <w:b/>
          <w:color w:val="auto"/>
          <w:szCs w:val="21"/>
          <w:highlight w:val="none"/>
        </w:rPr>
      </w:pPr>
      <w:r>
        <w:rPr>
          <w:rFonts w:hint="eastAsia" w:asciiTheme="minorEastAsia" w:hAnsiTheme="minorEastAsia"/>
          <w:b/>
          <w:color w:val="auto"/>
          <w:szCs w:val="21"/>
          <w:highlight w:val="none"/>
        </w:rPr>
        <w:t>七、评审方法</w:t>
      </w:r>
    </w:p>
    <w:p w14:paraId="0157528C">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我单位根据各</w:t>
      </w:r>
      <w:r>
        <w:rPr>
          <w:rFonts w:hint="eastAsia" w:asciiTheme="minorEastAsia" w:hAnsiTheme="minorEastAsia"/>
          <w:color w:val="auto"/>
          <w:szCs w:val="21"/>
          <w:highlight w:val="none"/>
        </w:rPr>
        <w:t>供应商</w:t>
      </w:r>
      <w:r>
        <w:rPr>
          <w:rFonts w:asciiTheme="minorEastAsia" w:hAnsiTheme="minorEastAsia"/>
          <w:color w:val="auto"/>
          <w:szCs w:val="21"/>
          <w:highlight w:val="none"/>
        </w:rPr>
        <w:t>的</w:t>
      </w:r>
      <w:r>
        <w:rPr>
          <w:rFonts w:hint="eastAsia" w:asciiTheme="minorEastAsia" w:hAnsiTheme="minorEastAsia"/>
          <w:color w:val="auto"/>
          <w:szCs w:val="21"/>
          <w:highlight w:val="none"/>
        </w:rPr>
        <w:t>响应文件</w:t>
      </w:r>
      <w:r>
        <w:rPr>
          <w:rFonts w:asciiTheme="minorEastAsia" w:hAnsiTheme="minorEastAsia"/>
          <w:color w:val="auto"/>
          <w:szCs w:val="21"/>
          <w:highlight w:val="none"/>
        </w:rPr>
        <w:t>进行比较，采用综合评分法对供应商进行评分。评分细则如下：</w:t>
      </w:r>
    </w:p>
    <w:p w14:paraId="25032F2C">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（一）</w:t>
      </w:r>
      <w:r>
        <w:rPr>
          <w:rFonts w:hint="eastAsia" w:asciiTheme="minorEastAsia" w:hAnsiTheme="minorEastAsia"/>
          <w:color w:val="auto"/>
          <w:szCs w:val="21"/>
          <w:highlight w:val="none"/>
        </w:rPr>
        <w:t>评审</w:t>
      </w:r>
      <w:r>
        <w:rPr>
          <w:rFonts w:asciiTheme="minorEastAsia" w:hAnsiTheme="minorEastAsia"/>
          <w:color w:val="auto"/>
          <w:szCs w:val="21"/>
          <w:highlight w:val="none"/>
        </w:rPr>
        <w:t>原则</w:t>
      </w:r>
    </w:p>
    <w:p w14:paraId="59F13657">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评审</w:t>
      </w:r>
      <w:r>
        <w:rPr>
          <w:rFonts w:asciiTheme="minorEastAsia" w:hAnsiTheme="minorEastAsia"/>
          <w:color w:val="auto"/>
          <w:szCs w:val="21"/>
          <w:highlight w:val="none"/>
        </w:rPr>
        <w:t>依据：评委将以</w:t>
      </w:r>
      <w:r>
        <w:rPr>
          <w:rFonts w:hint="eastAsia" w:asciiTheme="minorEastAsia" w:hAnsiTheme="minorEastAsia"/>
          <w:color w:val="auto"/>
          <w:szCs w:val="21"/>
          <w:highlight w:val="none"/>
        </w:rPr>
        <w:t>响应</w:t>
      </w:r>
      <w:r>
        <w:rPr>
          <w:rFonts w:asciiTheme="minorEastAsia" w:hAnsiTheme="minorEastAsia"/>
          <w:color w:val="auto"/>
          <w:szCs w:val="21"/>
          <w:highlight w:val="none"/>
        </w:rPr>
        <w:t>文件为</w:t>
      </w:r>
      <w:r>
        <w:rPr>
          <w:rFonts w:hint="eastAsia" w:asciiTheme="minorEastAsia" w:hAnsiTheme="minorEastAsia"/>
          <w:color w:val="auto"/>
          <w:szCs w:val="21"/>
          <w:highlight w:val="none"/>
        </w:rPr>
        <w:t>评审</w:t>
      </w:r>
      <w:r>
        <w:rPr>
          <w:rFonts w:asciiTheme="minorEastAsia" w:hAnsiTheme="minorEastAsia"/>
          <w:color w:val="auto"/>
          <w:szCs w:val="21"/>
          <w:highlight w:val="none"/>
        </w:rPr>
        <w:t>依据，对供应商的</w:t>
      </w:r>
      <w:r>
        <w:rPr>
          <w:rFonts w:hint="eastAsia" w:asciiTheme="minorEastAsia" w:hAnsiTheme="minorEastAsia"/>
          <w:color w:val="auto"/>
          <w:szCs w:val="21"/>
          <w:highlight w:val="none"/>
        </w:rPr>
        <w:t>响应</w:t>
      </w:r>
      <w:r>
        <w:rPr>
          <w:rFonts w:asciiTheme="minorEastAsia" w:hAnsiTheme="minorEastAsia"/>
          <w:color w:val="auto"/>
          <w:szCs w:val="21"/>
          <w:highlight w:val="none"/>
        </w:rPr>
        <w:t>报价、</w:t>
      </w:r>
      <w:r>
        <w:rPr>
          <w:rFonts w:hint="eastAsia" w:asciiTheme="minorEastAsia" w:hAnsiTheme="minorEastAsia"/>
          <w:color w:val="auto"/>
          <w:szCs w:val="21"/>
          <w:highlight w:val="none"/>
        </w:rPr>
        <w:t>品牌、服务方案</w:t>
      </w:r>
      <w:r>
        <w:rPr>
          <w:rFonts w:asciiTheme="minorEastAsia" w:hAnsiTheme="minorEastAsia"/>
          <w:color w:val="auto"/>
          <w:szCs w:val="21"/>
          <w:highlight w:val="none"/>
        </w:rPr>
        <w:t>、</w:t>
      </w:r>
      <w:r>
        <w:rPr>
          <w:rFonts w:hint="eastAsia" w:asciiTheme="minorEastAsia" w:hAnsiTheme="minorEastAsia"/>
          <w:color w:val="auto"/>
          <w:szCs w:val="21"/>
          <w:highlight w:val="none"/>
        </w:rPr>
        <w:t>人员及响应时间</w:t>
      </w:r>
      <w:r>
        <w:rPr>
          <w:rFonts w:asciiTheme="minorEastAsia" w:hAnsiTheme="minorEastAsia"/>
          <w:color w:val="auto"/>
          <w:szCs w:val="21"/>
          <w:highlight w:val="none"/>
        </w:rPr>
        <w:t>等内容按百分制打分。</w:t>
      </w:r>
    </w:p>
    <w:p w14:paraId="2ADA1F34">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（二）</w:t>
      </w:r>
      <w:r>
        <w:rPr>
          <w:rFonts w:hint="eastAsia" w:asciiTheme="minorEastAsia" w:hAnsiTheme="minorEastAsia"/>
          <w:color w:val="auto"/>
          <w:szCs w:val="21"/>
          <w:highlight w:val="none"/>
        </w:rPr>
        <w:t>评审</w:t>
      </w:r>
      <w:r>
        <w:rPr>
          <w:rFonts w:asciiTheme="minorEastAsia" w:hAnsiTheme="minorEastAsia"/>
          <w:color w:val="auto"/>
          <w:szCs w:val="21"/>
          <w:highlight w:val="none"/>
        </w:rPr>
        <w:t>方法</w:t>
      </w:r>
    </w:p>
    <w:p w14:paraId="485E4E01">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1. 对</w:t>
      </w:r>
      <w:r>
        <w:rPr>
          <w:rFonts w:hint="eastAsia" w:asciiTheme="minorEastAsia" w:hAnsiTheme="minorEastAsia"/>
          <w:color w:val="auto"/>
          <w:szCs w:val="21"/>
          <w:highlight w:val="none"/>
          <w:lang w:val="en-US" w:eastAsia="zh-CN"/>
        </w:rPr>
        <w:t>满足资格要求、</w:t>
      </w:r>
      <w:r>
        <w:rPr>
          <w:rFonts w:asciiTheme="minorEastAsia" w:hAnsiTheme="minorEastAsia"/>
          <w:color w:val="auto"/>
          <w:szCs w:val="21"/>
          <w:highlight w:val="none"/>
        </w:rPr>
        <w:t>进入详评的，采用百分制综合评分法。</w:t>
      </w:r>
    </w:p>
    <w:p w14:paraId="6577F932">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2. 计分办法（按四舍五入取至百分位）</w:t>
      </w:r>
      <w:r>
        <w:rPr>
          <w:rFonts w:hint="eastAsia" w:asciiTheme="minorEastAsia" w:hAnsiTheme="minorEastAsia"/>
          <w:color w:val="auto"/>
          <w:szCs w:val="21"/>
          <w:highlight w:val="none"/>
        </w:rPr>
        <w:t>：</w:t>
      </w:r>
    </w:p>
    <w:tbl>
      <w:tblPr>
        <w:tblStyle w:val="9"/>
        <w:tblW w:w="85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890"/>
        <w:gridCol w:w="795"/>
        <w:gridCol w:w="5025"/>
      </w:tblGrid>
      <w:tr w14:paraId="23EB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shd w:val="clear" w:color="auto" w:fill="E7E6E6" w:themeFill="background2"/>
          </w:tcPr>
          <w:p w14:paraId="723631E5">
            <w:pPr>
              <w:spacing w:line="380" w:lineRule="exact"/>
              <w:jc w:val="center"/>
              <w:rPr>
                <w:rFonts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评分项</w:t>
            </w:r>
          </w:p>
        </w:tc>
        <w:tc>
          <w:tcPr>
            <w:tcW w:w="1890" w:type="dxa"/>
            <w:shd w:val="clear" w:color="auto" w:fill="E7E6E6" w:themeFill="background2"/>
          </w:tcPr>
          <w:p w14:paraId="22E82233">
            <w:pPr>
              <w:spacing w:line="380" w:lineRule="exact"/>
              <w:jc w:val="center"/>
              <w:rPr>
                <w:rFonts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评分分项</w:t>
            </w:r>
          </w:p>
        </w:tc>
        <w:tc>
          <w:tcPr>
            <w:tcW w:w="795" w:type="dxa"/>
            <w:shd w:val="clear" w:color="auto" w:fill="E7E6E6" w:themeFill="background2"/>
          </w:tcPr>
          <w:p w14:paraId="79F90A5E">
            <w:pPr>
              <w:spacing w:line="380" w:lineRule="exact"/>
              <w:jc w:val="center"/>
              <w:rPr>
                <w:rFonts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分值</w:t>
            </w:r>
          </w:p>
        </w:tc>
        <w:tc>
          <w:tcPr>
            <w:tcW w:w="5025" w:type="dxa"/>
            <w:shd w:val="clear" w:color="auto" w:fill="E7E6E6" w:themeFill="background2"/>
          </w:tcPr>
          <w:p w14:paraId="5F1595E1">
            <w:pPr>
              <w:spacing w:line="380" w:lineRule="exact"/>
              <w:jc w:val="center"/>
              <w:rPr>
                <w:rFonts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评分细则</w:t>
            </w:r>
          </w:p>
        </w:tc>
      </w:tr>
      <w:tr w14:paraId="5AB4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restart"/>
          </w:tcPr>
          <w:p w14:paraId="6F76C672">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价</w:t>
            </w:r>
          </w:p>
          <w:p w14:paraId="48F5D860">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格</w:t>
            </w:r>
          </w:p>
          <w:p w14:paraId="4F694967">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分</w:t>
            </w:r>
          </w:p>
          <w:p w14:paraId="6F17F276">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16</w:t>
            </w:r>
            <w:r>
              <w:rPr>
                <w:rFonts w:hint="eastAsia" w:ascii="宋体" w:hAnsi="宋体" w:eastAsia="宋体" w:cs="宋体"/>
                <w:color w:val="auto"/>
                <w:sz w:val="18"/>
                <w:szCs w:val="18"/>
                <w:highlight w:val="none"/>
              </w:rPr>
              <w:t>分）</w:t>
            </w:r>
          </w:p>
        </w:tc>
        <w:tc>
          <w:tcPr>
            <w:tcW w:w="1890" w:type="dxa"/>
          </w:tcPr>
          <w:p w14:paraId="4451C078">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1.桶装水（循环桶）</w:t>
            </w:r>
          </w:p>
          <w:p w14:paraId="40FA93DA">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价格分</w:t>
            </w:r>
          </w:p>
        </w:tc>
        <w:tc>
          <w:tcPr>
            <w:tcW w:w="795" w:type="dxa"/>
          </w:tcPr>
          <w:p w14:paraId="451C9339">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w:t>
            </w:r>
          </w:p>
        </w:tc>
        <w:tc>
          <w:tcPr>
            <w:tcW w:w="5025" w:type="dxa"/>
          </w:tcPr>
          <w:p w14:paraId="76A22768">
            <w:pPr>
              <w:jc w:val="left"/>
              <w:rPr>
                <w:rFonts w:hint="eastAsia" w:hAnsi="Cambria Math" w:eastAsiaTheme="minorEastAsia"/>
                <w:color w:val="auto"/>
                <w:szCs w:val="21"/>
                <w:highlight w:val="none"/>
                <w:lang w:eastAsia="zh-CN"/>
              </w:rPr>
            </w:pPr>
            <w:r>
              <w:rPr>
                <w:rFonts w:hint="eastAsia" w:ascii="宋体" w:hAnsi="宋体" w:eastAsia="宋体" w:cs="宋体"/>
                <w:color w:val="auto"/>
                <w:sz w:val="18"/>
                <w:szCs w:val="18"/>
                <w:highlight w:val="none"/>
              </w:rPr>
              <w:t xml:space="preserve">价格分 = </w:t>
            </w:r>
            <m:oMath>
              <m:f>
                <m:fPr>
                  <m:ctrlPr>
                    <w:rPr>
                      <w:rFonts w:ascii="Cambria Math" w:hAnsi="Cambria Math"/>
                      <w:i/>
                      <w:color w:val="auto"/>
                      <w:sz w:val="28"/>
                      <w:szCs w:val="28"/>
                      <w:highlight w:val="none"/>
                    </w:rPr>
                  </m:ctrlPr>
                </m:fPr>
                <m:num>
                  <m:r>
                    <m:rPr>
                      <m:sty m:val="p"/>
                    </m:rPr>
                    <w:rPr>
                      <w:rFonts w:hint="eastAsia" w:ascii="宋体" w:hAnsi="宋体" w:eastAsia="宋体" w:cs="宋体"/>
                      <w:color w:val="auto"/>
                      <w:sz w:val="28"/>
                      <w:szCs w:val="28"/>
                      <w:highlight w:val="none"/>
                    </w:rPr>
                    <m:t>所有供应商中桶装水（循环桶）最低价</m:t>
                  </m:r>
                  <m:ctrlPr>
                    <w:rPr>
                      <w:rFonts w:ascii="Cambria Math" w:hAnsi="Cambria Math"/>
                      <w:i/>
                      <w:color w:val="auto"/>
                      <w:sz w:val="28"/>
                      <w:szCs w:val="28"/>
                      <w:highlight w:val="none"/>
                    </w:rPr>
                  </m:ctrlPr>
                </m:num>
                <m:den>
                  <m:r>
                    <m:rPr>
                      <m:sty m:val="p"/>
                    </m:rPr>
                    <w:rPr>
                      <w:rFonts w:hint="eastAsia" w:ascii="宋体" w:hAnsi="宋体" w:eastAsia="宋体" w:cs="宋体"/>
                      <w:color w:val="auto"/>
                      <w:sz w:val="28"/>
                      <w:szCs w:val="28"/>
                      <w:highlight w:val="none"/>
                    </w:rPr>
                    <m:t>该供应商桶装水（循环桶）报价</m:t>
                  </m:r>
                  <m:ctrlPr>
                    <w:rPr>
                      <w:rFonts w:ascii="Cambria Math" w:hAnsi="Cambria Math"/>
                      <w:i/>
                      <w:color w:val="auto"/>
                      <w:sz w:val="28"/>
                      <w:szCs w:val="28"/>
                      <w:highlight w:val="none"/>
                    </w:rPr>
                  </m:ctrlPr>
                </m:den>
              </m:f>
            </m:oMath>
            <w:r>
              <w:rPr>
                <w:rFonts w:hint="eastAsia" w:hAnsi="Cambria Math"/>
                <w:color w:val="auto"/>
                <w:szCs w:val="21"/>
                <w:highlight w:val="none"/>
              </w:rPr>
              <w:t>×</w:t>
            </w:r>
            <w:r>
              <w:rPr>
                <w:rFonts w:hint="eastAsia" w:hAnsi="Cambria Math"/>
                <w:color w:val="auto"/>
                <w:szCs w:val="21"/>
                <w:highlight w:val="none"/>
                <w:lang w:val="en-US" w:eastAsia="zh-CN"/>
              </w:rPr>
              <w:t>4</w:t>
            </w:r>
          </w:p>
          <w:p w14:paraId="0BCD7289">
            <w:pPr>
              <w:jc w:val="left"/>
              <w:rPr>
                <w:rFonts w:ascii="宋体" w:hAnsi="宋体" w:cs="宋体"/>
                <w:color w:val="auto"/>
                <w:sz w:val="18"/>
                <w:szCs w:val="18"/>
                <w:highlight w:val="none"/>
              </w:rPr>
            </w:pPr>
            <w:r>
              <w:rPr>
                <w:rFonts w:hint="eastAsia" w:ascii="宋体" w:hAnsi="宋体" w:eastAsia="宋体" w:cs="宋体"/>
                <w:color w:val="auto"/>
                <w:sz w:val="18"/>
                <w:szCs w:val="18"/>
                <w:highlight w:val="none"/>
              </w:rPr>
              <w:t>以所有供应商提供的最低</w:t>
            </w:r>
            <w:r>
              <w:rPr>
                <w:rFonts w:hint="eastAsia" w:ascii="宋体" w:hAnsi="宋体" w:eastAsia="宋体" w:cs="宋体"/>
                <w:color w:val="auto"/>
                <w:sz w:val="18"/>
                <w:szCs w:val="18"/>
                <w:highlight w:val="none"/>
                <w:lang w:val="en-US" w:eastAsia="zh-CN"/>
              </w:rPr>
              <w:t>有效报价</w:t>
            </w:r>
            <w:r>
              <w:rPr>
                <w:rFonts w:hint="eastAsia" w:ascii="宋体" w:hAnsi="宋体" w:eastAsia="宋体" w:cs="宋体"/>
                <w:color w:val="auto"/>
                <w:sz w:val="18"/>
                <w:szCs w:val="18"/>
                <w:highlight w:val="none"/>
              </w:rPr>
              <w:t>为满分</w:t>
            </w:r>
          </w:p>
        </w:tc>
      </w:tr>
      <w:tr w14:paraId="2388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2AE20D3B">
            <w:pPr>
              <w:spacing w:line="380" w:lineRule="exact"/>
              <w:jc w:val="left"/>
              <w:rPr>
                <w:rFonts w:ascii="宋体" w:hAnsi="宋体" w:eastAsia="宋体" w:cs="宋体"/>
                <w:color w:val="auto"/>
                <w:sz w:val="18"/>
                <w:szCs w:val="18"/>
                <w:highlight w:val="none"/>
              </w:rPr>
            </w:pPr>
          </w:p>
        </w:tc>
        <w:tc>
          <w:tcPr>
            <w:tcW w:w="1890" w:type="dxa"/>
          </w:tcPr>
          <w:p w14:paraId="5AF0C295">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2.桶装水（一次性桶）</w:t>
            </w:r>
          </w:p>
          <w:p w14:paraId="763BC1BD">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价格分</w:t>
            </w:r>
          </w:p>
        </w:tc>
        <w:tc>
          <w:tcPr>
            <w:tcW w:w="795" w:type="dxa"/>
          </w:tcPr>
          <w:p w14:paraId="1F0ED5BC">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w:t>
            </w:r>
          </w:p>
        </w:tc>
        <w:tc>
          <w:tcPr>
            <w:tcW w:w="5025" w:type="dxa"/>
          </w:tcPr>
          <w:p w14:paraId="0001EFF0">
            <w:pPr>
              <w:jc w:val="left"/>
              <w:rPr>
                <w:rFonts w:hint="eastAsia" w:hAnsi="Cambria Math" w:eastAsiaTheme="minorEastAsia"/>
                <w:color w:val="auto"/>
                <w:szCs w:val="21"/>
                <w:highlight w:val="none"/>
                <w:lang w:eastAsia="zh-CN"/>
              </w:rPr>
            </w:pPr>
            <w:r>
              <w:rPr>
                <w:rFonts w:hint="eastAsia" w:ascii="宋体" w:hAnsi="宋体" w:eastAsia="宋体" w:cs="宋体"/>
                <w:color w:val="auto"/>
                <w:sz w:val="18"/>
                <w:szCs w:val="18"/>
                <w:highlight w:val="none"/>
              </w:rPr>
              <w:t xml:space="preserve">价格分 = </w:t>
            </w:r>
            <m:oMath>
              <m:f>
                <m:fPr>
                  <m:ctrlPr>
                    <w:rPr>
                      <w:rFonts w:ascii="Cambria Math" w:hAnsi="Cambria Math"/>
                      <w:i/>
                      <w:color w:val="auto"/>
                      <w:sz w:val="28"/>
                      <w:szCs w:val="28"/>
                      <w:highlight w:val="none"/>
                    </w:rPr>
                  </m:ctrlPr>
                </m:fPr>
                <m:num>
                  <m:r>
                    <m:rPr>
                      <m:sty m:val="p"/>
                    </m:rPr>
                    <w:rPr>
                      <w:rFonts w:hint="eastAsia" w:ascii="宋体" w:hAnsi="宋体" w:eastAsia="宋体" w:cs="宋体"/>
                      <w:color w:val="auto"/>
                      <w:sz w:val="28"/>
                      <w:szCs w:val="28"/>
                      <w:highlight w:val="none"/>
                    </w:rPr>
                    <m:t>所有供应商中桶装水（</m:t>
                  </m:r>
                  <m:r>
                    <m:rPr>
                      <m:sty m:val="p"/>
                    </m:rPr>
                    <w:rPr>
                      <w:rFonts w:hint="eastAsia" w:ascii="Cambria Math" w:hAnsi="Cambria Math" w:eastAsia="宋体" w:cs="宋体"/>
                      <w:color w:val="auto"/>
                      <w:sz w:val="28"/>
                      <w:szCs w:val="28"/>
                      <w:highlight w:val="none"/>
                    </w:rPr>
                    <m:t>一次性桶</m:t>
                  </m:r>
                  <m:r>
                    <m:rPr>
                      <m:sty m:val="p"/>
                    </m:rPr>
                    <w:rPr>
                      <w:rFonts w:hint="eastAsia" w:ascii="宋体" w:hAnsi="宋体" w:eastAsia="宋体" w:cs="宋体"/>
                      <w:color w:val="auto"/>
                      <w:sz w:val="28"/>
                      <w:szCs w:val="28"/>
                      <w:highlight w:val="none"/>
                    </w:rPr>
                    <m:t>）最低价</m:t>
                  </m:r>
                  <m:ctrlPr>
                    <w:rPr>
                      <w:rFonts w:ascii="Cambria Math" w:hAnsi="Cambria Math"/>
                      <w:i/>
                      <w:color w:val="auto"/>
                      <w:sz w:val="28"/>
                      <w:szCs w:val="28"/>
                      <w:highlight w:val="none"/>
                    </w:rPr>
                  </m:ctrlPr>
                </m:num>
                <m:den>
                  <m:r>
                    <m:rPr>
                      <m:sty m:val="p"/>
                    </m:rPr>
                    <w:rPr>
                      <w:rFonts w:hint="eastAsia" w:ascii="宋体" w:hAnsi="宋体" w:eastAsia="宋体" w:cs="宋体"/>
                      <w:color w:val="auto"/>
                      <w:sz w:val="28"/>
                      <w:szCs w:val="28"/>
                      <w:highlight w:val="none"/>
                    </w:rPr>
                    <m:t>该供应商桶装水（</m:t>
                  </m:r>
                  <m:r>
                    <m:rPr>
                      <m:sty m:val="p"/>
                    </m:rPr>
                    <w:rPr>
                      <w:rFonts w:hint="eastAsia" w:ascii="Cambria Math" w:hAnsi="Cambria Math" w:eastAsia="宋体" w:cs="宋体"/>
                      <w:color w:val="auto"/>
                      <w:sz w:val="28"/>
                      <w:szCs w:val="28"/>
                      <w:highlight w:val="none"/>
                    </w:rPr>
                    <m:t>一次性桶</m:t>
                  </m:r>
                  <m:r>
                    <m:rPr>
                      <m:sty m:val="p"/>
                    </m:rPr>
                    <w:rPr>
                      <w:rFonts w:hint="eastAsia" w:ascii="宋体" w:hAnsi="宋体" w:eastAsia="宋体" w:cs="宋体"/>
                      <w:color w:val="auto"/>
                      <w:sz w:val="28"/>
                      <w:szCs w:val="28"/>
                      <w:highlight w:val="none"/>
                    </w:rPr>
                    <m:t>）报价</m:t>
                  </m:r>
                  <m:ctrlPr>
                    <w:rPr>
                      <w:rFonts w:ascii="Cambria Math" w:hAnsi="Cambria Math"/>
                      <w:i/>
                      <w:color w:val="auto"/>
                      <w:sz w:val="28"/>
                      <w:szCs w:val="28"/>
                      <w:highlight w:val="none"/>
                    </w:rPr>
                  </m:ctrlPr>
                </m:den>
              </m:f>
            </m:oMath>
            <w:r>
              <w:rPr>
                <w:rFonts w:hint="eastAsia" w:hAnsi="Cambria Math"/>
                <w:color w:val="auto"/>
                <w:szCs w:val="21"/>
                <w:highlight w:val="none"/>
              </w:rPr>
              <w:t>×</w:t>
            </w:r>
            <w:r>
              <w:rPr>
                <w:rFonts w:hint="eastAsia" w:hAnsi="Cambria Math"/>
                <w:color w:val="auto"/>
                <w:szCs w:val="21"/>
                <w:highlight w:val="none"/>
                <w:lang w:val="en-US" w:eastAsia="zh-CN"/>
              </w:rPr>
              <w:t>4</w:t>
            </w:r>
          </w:p>
          <w:p w14:paraId="34303060">
            <w:pPr>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以所有供应商提供的最低</w:t>
            </w:r>
            <w:r>
              <w:rPr>
                <w:rFonts w:hint="eastAsia" w:ascii="宋体" w:hAnsi="宋体" w:eastAsia="宋体" w:cs="宋体"/>
                <w:color w:val="auto"/>
                <w:sz w:val="18"/>
                <w:szCs w:val="18"/>
                <w:highlight w:val="none"/>
                <w:lang w:val="en-US" w:eastAsia="zh-CN"/>
              </w:rPr>
              <w:t>有效报价</w:t>
            </w:r>
            <w:r>
              <w:rPr>
                <w:rFonts w:hint="eastAsia" w:ascii="宋体" w:hAnsi="宋体" w:eastAsia="宋体" w:cs="宋体"/>
                <w:color w:val="auto"/>
                <w:sz w:val="18"/>
                <w:szCs w:val="18"/>
                <w:highlight w:val="none"/>
              </w:rPr>
              <w:t>为满分</w:t>
            </w:r>
          </w:p>
        </w:tc>
      </w:tr>
      <w:tr w14:paraId="428E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6659D93F">
            <w:pPr>
              <w:spacing w:line="380" w:lineRule="exact"/>
              <w:jc w:val="left"/>
              <w:rPr>
                <w:rFonts w:ascii="宋体" w:hAnsi="宋体" w:eastAsia="宋体" w:cs="宋体"/>
                <w:color w:val="auto"/>
                <w:sz w:val="18"/>
                <w:szCs w:val="18"/>
                <w:highlight w:val="none"/>
              </w:rPr>
            </w:pPr>
          </w:p>
        </w:tc>
        <w:tc>
          <w:tcPr>
            <w:tcW w:w="1890" w:type="dxa"/>
          </w:tcPr>
          <w:p w14:paraId="67A510E7">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3.瓶装水（小瓶）</w:t>
            </w:r>
          </w:p>
          <w:p w14:paraId="2B40BF42">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价格分</w:t>
            </w:r>
          </w:p>
        </w:tc>
        <w:tc>
          <w:tcPr>
            <w:tcW w:w="795" w:type="dxa"/>
          </w:tcPr>
          <w:p w14:paraId="2019D139">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w:t>
            </w:r>
          </w:p>
        </w:tc>
        <w:tc>
          <w:tcPr>
            <w:tcW w:w="5025" w:type="dxa"/>
          </w:tcPr>
          <w:p w14:paraId="37CDFF96">
            <w:pPr>
              <w:jc w:val="left"/>
              <w:rPr>
                <w:rFonts w:hint="eastAsia" w:hAnsi="Cambria Math" w:eastAsiaTheme="minorEastAsia"/>
                <w:color w:val="auto"/>
                <w:szCs w:val="21"/>
                <w:highlight w:val="none"/>
                <w:lang w:eastAsia="zh-CN"/>
              </w:rPr>
            </w:pPr>
            <w:r>
              <w:rPr>
                <w:rFonts w:hint="eastAsia" w:ascii="宋体" w:hAnsi="宋体" w:eastAsia="宋体" w:cs="宋体"/>
                <w:color w:val="auto"/>
                <w:sz w:val="18"/>
                <w:szCs w:val="18"/>
                <w:highlight w:val="none"/>
              </w:rPr>
              <w:t xml:space="preserve">价格分 = </w:t>
            </w:r>
            <m:oMath>
              <m:f>
                <m:fPr>
                  <m:ctrlPr>
                    <w:rPr>
                      <w:rFonts w:ascii="Cambria Math" w:hAnsi="Cambria Math"/>
                      <w:i/>
                      <w:color w:val="auto"/>
                      <w:sz w:val="28"/>
                      <w:szCs w:val="28"/>
                      <w:highlight w:val="none"/>
                    </w:rPr>
                  </m:ctrlPr>
                </m:fPr>
                <m:num>
                  <m:r>
                    <m:rPr>
                      <m:sty m:val="p"/>
                    </m:rPr>
                    <w:rPr>
                      <w:rFonts w:hint="eastAsia" w:ascii="宋体" w:hAnsi="宋体" w:eastAsia="宋体" w:cs="宋体"/>
                      <w:color w:val="auto"/>
                      <w:sz w:val="28"/>
                      <w:szCs w:val="28"/>
                      <w:highlight w:val="none"/>
                    </w:rPr>
                    <m:t>所有供应商中</m:t>
                  </m:r>
                  <m:r>
                    <m:rPr>
                      <m:sty m:val="p"/>
                    </m:rPr>
                    <w:rPr>
                      <w:rFonts w:hint="eastAsia" w:ascii="Cambria Math" w:hAnsi="Cambria Math" w:eastAsia="宋体" w:cs="宋体"/>
                      <w:color w:val="auto"/>
                      <w:sz w:val="28"/>
                      <w:szCs w:val="28"/>
                      <w:highlight w:val="none"/>
                    </w:rPr>
                    <m:t>瓶装水（小瓶）</m:t>
                  </m:r>
                  <m:r>
                    <m:rPr>
                      <m:sty m:val="p"/>
                    </m:rPr>
                    <w:rPr>
                      <w:rFonts w:hint="eastAsia" w:ascii="宋体" w:hAnsi="宋体" w:eastAsia="宋体" w:cs="宋体"/>
                      <w:color w:val="auto"/>
                      <w:sz w:val="28"/>
                      <w:szCs w:val="28"/>
                      <w:highlight w:val="none"/>
                    </w:rPr>
                    <m:t>最低价</m:t>
                  </m:r>
                  <m:ctrlPr>
                    <w:rPr>
                      <w:rFonts w:ascii="Cambria Math" w:hAnsi="Cambria Math"/>
                      <w:i/>
                      <w:color w:val="auto"/>
                      <w:sz w:val="28"/>
                      <w:szCs w:val="28"/>
                      <w:highlight w:val="none"/>
                    </w:rPr>
                  </m:ctrlPr>
                </m:num>
                <m:den>
                  <m:r>
                    <m:rPr>
                      <m:sty m:val="p"/>
                    </m:rPr>
                    <w:rPr>
                      <w:rFonts w:hint="eastAsia" w:ascii="宋体" w:hAnsi="宋体" w:eastAsia="宋体" w:cs="宋体"/>
                      <w:color w:val="auto"/>
                      <w:sz w:val="28"/>
                      <w:szCs w:val="28"/>
                      <w:highlight w:val="none"/>
                    </w:rPr>
                    <m:t>该供应商</m:t>
                  </m:r>
                  <m:r>
                    <m:rPr>
                      <m:sty m:val="p"/>
                    </m:rPr>
                    <w:rPr>
                      <w:rFonts w:hint="eastAsia" w:ascii="Cambria Math" w:hAnsi="Cambria Math" w:eastAsia="宋体" w:cs="宋体"/>
                      <w:color w:val="auto"/>
                      <w:sz w:val="28"/>
                      <w:szCs w:val="28"/>
                      <w:highlight w:val="none"/>
                    </w:rPr>
                    <m:t>瓶装水（小瓶）</m:t>
                  </m:r>
                  <m:r>
                    <m:rPr>
                      <m:sty m:val="p"/>
                    </m:rPr>
                    <w:rPr>
                      <w:rFonts w:hint="eastAsia" w:ascii="宋体" w:hAnsi="宋体" w:eastAsia="宋体" w:cs="宋体"/>
                      <w:color w:val="auto"/>
                      <w:sz w:val="28"/>
                      <w:szCs w:val="28"/>
                      <w:highlight w:val="none"/>
                    </w:rPr>
                    <m:t>报价</m:t>
                  </m:r>
                  <m:ctrlPr>
                    <w:rPr>
                      <w:rFonts w:ascii="Cambria Math" w:hAnsi="Cambria Math"/>
                      <w:i/>
                      <w:color w:val="auto"/>
                      <w:sz w:val="28"/>
                      <w:szCs w:val="28"/>
                      <w:highlight w:val="none"/>
                    </w:rPr>
                  </m:ctrlPr>
                </m:den>
              </m:f>
            </m:oMath>
            <w:r>
              <w:rPr>
                <w:rFonts w:hint="eastAsia" w:hAnsi="Cambria Math"/>
                <w:color w:val="auto"/>
                <w:szCs w:val="21"/>
                <w:highlight w:val="none"/>
              </w:rPr>
              <w:t>×</w:t>
            </w:r>
            <w:r>
              <w:rPr>
                <w:rFonts w:hint="eastAsia" w:hAnsi="Cambria Math"/>
                <w:color w:val="auto"/>
                <w:szCs w:val="21"/>
                <w:highlight w:val="none"/>
                <w:lang w:val="en-US" w:eastAsia="zh-CN"/>
              </w:rPr>
              <w:t>4</w:t>
            </w:r>
          </w:p>
          <w:p w14:paraId="56DD6A3B">
            <w:pPr>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以所有供应商提供的最低</w:t>
            </w:r>
            <w:r>
              <w:rPr>
                <w:rFonts w:hint="eastAsia" w:ascii="宋体" w:hAnsi="宋体" w:eastAsia="宋体" w:cs="宋体"/>
                <w:color w:val="auto"/>
                <w:sz w:val="18"/>
                <w:szCs w:val="18"/>
                <w:highlight w:val="none"/>
                <w:lang w:val="en-US" w:eastAsia="zh-CN"/>
              </w:rPr>
              <w:t>有效报价</w:t>
            </w:r>
            <w:r>
              <w:rPr>
                <w:rFonts w:hint="eastAsia" w:ascii="宋体" w:hAnsi="宋体" w:eastAsia="宋体" w:cs="宋体"/>
                <w:color w:val="auto"/>
                <w:sz w:val="18"/>
                <w:szCs w:val="18"/>
                <w:highlight w:val="none"/>
              </w:rPr>
              <w:t>为满分</w:t>
            </w:r>
          </w:p>
        </w:tc>
      </w:tr>
      <w:tr w14:paraId="0275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0D9BA2EB">
            <w:pPr>
              <w:spacing w:line="380" w:lineRule="exact"/>
              <w:jc w:val="left"/>
              <w:rPr>
                <w:rFonts w:ascii="宋体" w:hAnsi="宋体" w:eastAsia="宋体" w:cs="宋体"/>
                <w:color w:val="auto"/>
                <w:sz w:val="18"/>
                <w:szCs w:val="18"/>
                <w:highlight w:val="none"/>
              </w:rPr>
            </w:pPr>
          </w:p>
        </w:tc>
        <w:tc>
          <w:tcPr>
            <w:tcW w:w="1890" w:type="dxa"/>
          </w:tcPr>
          <w:p w14:paraId="742B5D5A">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4.瓶装水（中瓶）</w:t>
            </w:r>
          </w:p>
          <w:p w14:paraId="7331CB99">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价格分</w:t>
            </w:r>
          </w:p>
        </w:tc>
        <w:tc>
          <w:tcPr>
            <w:tcW w:w="795" w:type="dxa"/>
          </w:tcPr>
          <w:p w14:paraId="5160C796">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w:t>
            </w:r>
          </w:p>
        </w:tc>
        <w:tc>
          <w:tcPr>
            <w:tcW w:w="5025" w:type="dxa"/>
          </w:tcPr>
          <w:p w14:paraId="385E1D95">
            <w:pPr>
              <w:jc w:val="left"/>
              <w:rPr>
                <w:rFonts w:hint="eastAsia" w:hAnsi="Cambria Math" w:eastAsiaTheme="minorEastAsia"/>
                <w:color w:val="auto"/>
                <w:szCs w:val="21"/>
                <w:highlight w:val="none"/>
                <w:lang w:eastAsia="zh-CN"/>
              </w:rPr>
            </w:pPr>
            <w:r>
              <w:rPr>
                <w:rFonts w:hint="eastAsia" w:ascii="宋体" w:hAnsi="宋体" w:eastAsia="宋体" w:cs="宋体"/>
                <w:color w:val="auto"/>
                <w:sz w:val="18"/>
                <w:szCs w:val="18"/>
                <w:highlight w:val="none"/>
              </w:rPr>
              <w:t xml:space="preserve">价格分 = </w:t>
            </w:r>
            <m:oMath>
              <m:f>
                <m:fPr>
                  <m:ctrlPr>
                    <w:rPr>
                      <w:rFonts w:ascii="Cambria Math" w:hAnsi="Cambria Math"/>
                      <w:i/>
                      <w:color w:val="auto"/>
                      <w:sz w:val="28"/>
                      <w:szCs w:val="28"/>
                      <w:highlight w:val="none"/>
                    </w:rPr>
                  </m:ctrlPr>
                </m:fPr>
                <m:num>
                  <m:r>
                    <m:rPr>
                      <m:sty m:val="p"/>
                    </m:rPr>
                    <w:rPr>
                      <w:rFonts w:hint="eastAsia" w:ascii="宋体" w:hAnsi="宋体" w:eastAsia="宋体" w:cs="宋体"/>
                      <w:color w:val="auto"/>
                      <w:sz w:val="28"/>
                      <w:szCs w:val="28"/>
                      <w:highlight w:val="none"/>
                    </w:rPr>
                    <m:t>所有供应商中</m:t>
                  </m:r>
                  <m:r>
                    <m:rPr>
                      <m:sty m:val="p"/>
                    </m:rPr>
                    <w:rPr>
                      <w:rFonts w:hint="eastAsia" w:ascii="Cambria Math" w:hAnsi="Cambria Math" w:eastAsia="宋体" w:cs="宋体"/>
                      <w:color w:val="auto"/>
                      <w:sz w:val="28"/>
                      <w:szCs w:val="28"/>
                      <w:highlight w:val="none"/>
                    </w:rPr>
                    <m:t>瓶装水（中瓶）</m:t>
                  </m:r>
                  <m:r>
                    <m:rPr>
                      <m:sty m:val="p"/>
                    </m:rPr>
                    <w:rPr>
                      <w:rFonts w:hint="eastAsia" w:ascii="宋体" w:hAnsi="宋体" w:eastAsia="宋体" w:cs="宋体"/>
                      <w:color w:val="auto"/>
                      <w:sz w:val="28"/>
                      <w:szCs w:val="28"/>
                      <w:highlight w:val="none"/>
                    </w:rPr>
                    <m:t>最低价</m:t>
                  </m:r>
                  <m:ctrlPr>
                    <w:rPr>
                      <w:rFonts w:ascii="Cambria Math" w:hAnsi="Cambria Math"/>
                      <w:i/>
                      <w:color w:val="auto"/>
                      <w:sz w:val="28"/>
                      <w:szCs w:val="28"/>
                      <w:highlight w:val="none"/>
                    </w:rPr>
                  </m:ctrlPr>
                </m:num>
                <m:den>
                  <m:r>
                    <m:rPr>
                      <m:sty m:val="p"/>
                    </m:rPr>
                    <w:rPr>
                      <w:rFonts w:hint="eastAsia" w:ascii="宋体" w:hAnsi="宋体" w:eastAsia="宋体" w:cs="宋体"/>
                      <w:color w:val="auto"/>
                      <w:sz w:val="28"/>
                      <w:szCs w:val="28"/>
                      <w:highlight w:val="none"/>
                    </w:rPr>
                    <m:t>该供应商</m:t>
                  </m:r>
                  <m:r>
                    <m:rPr>
                      <m:sty m:val="p"/>
                    </m:rPr>
                    <w:rPr>
                      <w:rFonts w:hint="eastAsia" w:ascii="Cambria Math" w:hAnsi="Cambria Math" w:eastAsia="宋体" w:cs="宋体"/>
                      <w:color w:val="auto"/>
                      <w:sz w:val="28"/>
                      <w:szCs w:val="28"/>
                      <w:highlight w:val="none"/>
                    </w:rPr>
                    <m:t>瓶装水（中瓶）</m:t>
                  </m:r>
                  <m:r>
                    <m:rPr>
                      <m:sty m:val="p"/>
                    </m:rPr>
                    <w:rPr>
                      <w:rFonts w:hint="eastAsia" w:ascii="宋体" w:hAnsi="宋体" w:eastAsia="宋体" w:cs="宋体"/>
                      <w:color w:val="auto"/>
                      <w:sz w:val="28"/>
                      <w:szCs w:val="28"/>
                      <w:highlight w:val="none"/>
                    </w:rPr>
                    <m:t>报价</m:t>
                  </m:r>
                  <m:ctrlPr>
                    <w:rPr>
                      <w:rFonts w:ascii="Cambria Math" w:hAnsi="Cambria Math"/>
                      <w:i/>
                      <w:color w:val="auto"/>
                      <w:sz w:val="28"/>
                      <w:szCs w:val="28"/>
                      <w:highlight w:val="none"/>
                    </w:rPr>
                  </m:ctrlPr>
                </m:den>
              </m:f>
            </m:oMath>
            <w:r>
              <w:rPr>
                <w:rFonts w:hint="eastAsia" w:hAnsi="Cambria Math"/>
                <w:color w:val="auto"/>
                <w:szCs w:val="21"/>
                <w:highlight w:val="none"/>
              </w:rPr>
              <w:t>×</w:t>
            </w:r>
            <w:r>
              <w:rPr>
                <w:rFonts w:hint="eastAsia" w:hAnsi="Cambria Math"/>
                <w:color w:val="auto"/>
                <w:szCs w:val="21"/>
                <w:highlight w:val="none"/>
                <w:lang w:val="en-US" w:eastAsia="zh-CN"/>
              </w:rPr>
              <w:t>4</w:t>
            </w:r>
          </w:p>
          <w:p w14:paraId="5E3AC1C9">
            <w:pPr>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以所有供应商提供的最低</w:t>
            </w:r>
            <w:r>
              <w:rPr>
                <w:rFonts w:hint="eastAsia" w:ascii="宋体" w:hAnsi="宋体" w:eastAsia="宋体" w:cs="宋体"/>
                <w:color w:val="auto"/>
                <w:sz w:val="18"/>
                <w:szCs w:val="18"/>
                <w:highlight w:val="none"/>
                <w:lang w:val="en-US" w:eastAsia="zh-CN"/>
              </w:rPr>
              <w:t>有效报价</w:t>
            </w:r>
            <w:r>
              <w:rPr>
                <w:rFonts w:hint="eastAsia" w:ascii="宋体" w:hAnsi="宋体" w:eastAsia="宋体" w:cs="宋体"/>
                <w:color w:val="auto"/>
                <w:sz w:val="18"/>
                <w:szCs w:val="18"/>
                <w:highlight w:val="none"/>
              </w:rPr>
              <w:t>为满分</w:t>
            </w:r>
          </w:p>
        </w:tc>
      </w:tr>
      <w:tr w14:paraId="6333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restart"/>
          </w:tcPr>
          <w:p w14:paraId="56101396">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技</w:t>
            </w:r>
          </w:p>
          <w:p w14:paraId="0E43319B">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术</w:t>
            </w:r>
          </w:p>
          <w:p w14:paraId="71DF7D13">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分</w:t>
            </w:r>
          </w:p>
          <w:p w14:paraId="343ED40C">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75</w:t>
            </w:r>
            <w:r>
              <w:rPr>
                <w:rFonts w:hint="eastAsia" w:ascii="宋体" w:hAnsi="宋体" w:eastAsia="宋体" w:cs="宋体"/>
                <w:color w:val="auto"/>
                <w:sz w:val="18"/>
                <w:szCs w:val="18"/>
                <w:highlight w:val="none"/>
              </w:rPr>
              <w:t>分）</w:t>
            </w:r>
          </w:p>
        </w:tc>
        <w:tc>
          <w:tcPr>
            <w:tcW w:w="1890" w:type="dxa"/>
          </w:tcPr>
          <w:p w14:paraId="722019D2">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1.人员安排</w:t>
            </w:r>
          </w:p>
        </w:tc>
        <w:tc>
          <w:tcPr>
            <w:tcW w:w="795" w:type="dxa"/>
          </w:tcPr>
          <w:p w14:paraId="2CC44E80">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w:t>
            </w:r>
          </w:p>
        </w:tc>
        <w:tc>
          <w:tcPr>
            <w:tcW w:w="5025" w:type="dxa"/>
          </w:tcPr>
          <w:p w14:paraId="30152EAB">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每个校区至少提供1名专职送水人员，在此基础上，</w:t>
            </w:r>
            <w:r>
              <w:rPr>
                <w:rFonts w:hint="eastAsia" w:ascii="宋体" w:hAnsi="宋体" w:eastAsia="宋体" w:cs="宋体"/>
                <w:color w:val="auto"/>
                <w:sz w:val="18"/>
                <w:szCs w:val="18"/>
                <w:highlight w:val="none"/>
                <w:lang w:val="en-US" w:eastAsia="zh-CN"/>
              </w:rPr>
              <w:t>每</w:t>
            </w:r>
            <w:r>
              <w:rPr>
                <w:rFonts w:hint="eastAsia" w:ascii="宋体" w:hAnsi="宋体" w:eastAsia="宋体" w:cs="宋体"/>
                <w:color w:val="auto"/>
                <w:sz w:val="18"/>
                <w:szCs w:val="18"/>
                <w:highlight w:val="none"/>
              </w:rPr>
              <w:t>个校区每增加1名专职送水人员</w:t>
            </w:r>
            <w:r>
              <w:rPr>
                <w:rFonts w:hint="eastAsia" w:ascii="宋体" w:hAnsi="宋体" w:eastAsia="宋体" w:cs="宋体"/>
                <w:color w:val="auto"/>
                <w:sz w:val="18"/>
                <w:szCs w:val="18"/>
                <w:highlight w:val="none"/>
                <w:lang w:val="en-US" w:eastAsia="zh-CN"/>
              </w:rPr>
              <w:t>得</w:t>
            </w:r>
            <w:r>
              <w:rPr>
                <w:rFonts w:hint="eastAsia" w:ascii="宋体" w:hAnsi="宋体" w:eastAsia="宋体" w:cs="宋体"/>
                <w:color w:val="auto"/>
                <w:sz w:val="18"/>
                <w:szCs w:val="18"/>
                <w:highlight w:val="none"/>
              </w:rPr>
              <w:t>1分，每个校区满分2分</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本项</w:t>
            </w:r>
            <w:r>
              <w:rPr>
                <w:rFonts w:hint="eastAsia" w:ascii="宋体" w:hAnsi="宋体" w:eastAsia="宋体" w:cs="宋体"/>
                <w:color w:val="auto"/>
                <w:sz w:val="18"/>
                <w:szCs w:val="18"/>
                <w:highlight w:val="none"/>
              </w:rPr>
              <w:t>满分</w:t>
            </w: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分。须提供身份证及劳动合同复印件，否则不得分。</w:t>
            </w:r>
          </w:p>
        </w:tc>
      </w:tr>
      <w:tr w14:paraId="67CB6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3F70F764">
            <w:pPr>
              <w:spacing w:line="380" w:lineRule="exact"/>
              <w:jc w:val="center"/>
              <w:rPr>
                <w:rFonts w:ascii="宋体" w:hAnsi="宋体" w:eastAsia="宋体" w:cs="宋体"/>
                <w:color w:val="auto"/>
                <w:sz w:val="18"/>
                <w:szCs w:val="18"/>
                <w:highlight w:val="none"/>
              </w:rPr>
            </w:pPr>
          </w:p>
        </w:tc>
        <w:tc>
          <w:tcPr>
            <w:tcW w:w="1890" w:type="dxa"/>
          </w:tcPr>
          <w:p w14:paraId="58717EF4">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2.响应时间</w:t>
            </w:r>
          </w:p>
        </w:tc>
        <w:tc>
          <w:tcPr>
            <w:tcW w:w="795" w:type="dxa"/>
          </w:tcPr>
          <w:p w14:paraId="42894B00">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5分</w:t>
            </w:r>
          </w:p>
        </w:tc>
        <w:tc>
          <w:tcPr>
            <w:tcW w:w="5025" w:type="dxa"/>
          </w:tcPr>
          <w:p w14:paraId="0DA0396E">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配送</w:t>
            </w:r>
            <w:r>
              <w:rPr>
                <w:rFonts w:hint="eastAsia" w:ascii="宋体" w:hAnsi="宋体" w:eastAsia="宋体" w:cs="宋体"/>
                <w:color w:val="auto"/>
                <w:sz w:val="18"/>
                <w:szCs w:val="18"/>
                <w:highlight w:val="none"/>
              </w:rPr>
              <w:t>响应时间</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从接单到配送到用户处的时间在3小时以内</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不超过3小时，在3小时基础上每减少0.5小时得1分，满分5分。</w:t>
            </w:r>
          </w:p>
        </w:tc>
      </w:tr>
      <w:tr w14:paraId="4A81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740D7F8F">
            <w:pPr>
              <w:spacing w:line="380" w:lineRule="exact"/>
              <w:jc w:val="center"/>
              <w:rPr>
                <w:rFonts w:ascii="宋体" w:hAnsi="宋体" w:eastAsia="宋体" w:cs="宋体"/>
                <w:color w:val="auto"/>
                <w:sz w:val="18"/>
                <w:szCs w:val="18"/>
                <w:highlight w:val="none"/>
              </w:rPr>
            </w:pPr>
          </w:p>
        </w:tc>
        <w:tc>
          <w:tcPr>
            <w:tcW w:w="1890" w:type="dxa"/>
          </w:tcPr>
          <w:p w14:paraId="5AAF22A4">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3.服务方案</w:t>
            </w:r>
          </w:p>
        </w:tc>
        <w:tc>
          <w:tcPr>
            <w:tcW w:w="795" w:type="dxa"/>
          </w:tcPr>
          <w:p w14:paraId="478CD727">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30分</w:t>
            </w:r>
          </w:p>
        </w:tc>
        <w:tc>
          <w:tcPr>
            <w:tcW w:w="5025" w:type="dxa"/>
          </w:tcPr>
          <w:p w14:paraId="552A6BA8">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从以下三个方面进行打分：</w:t>
            </w:r>
          </w:p>
          <w:p w14:paraId="09BA1962">
            <w:pPr>
              <w:spacing w:line="380" w:lineRule="exact"/>
              <w:jc w:val="left"/>
              <w:rPr>
                <w:rFonts w:ascii="宋体" w:hAnsi="宋体" w:eastAsia="宋体" w:cs="宋体"/>
                <w:color w:val="auto"/>
                <w:sz w:val="18"/>
                <w:szCs w:val="18"/>
                <w:highlight w:val="none"/>
                <w:u w:val="single"/>
              </w:rPr>
            </w:pPr>
            <w:r>
              <w:rPr>
                <w:rFonts w:hint="eastAsia" w:ascii="宋体" w:hAnsi="宋体" w:eastAsia="宋体" w:cs="宋体"/>
                <w:color w:val="auto"/>
                <w:sz w:val="18"/>
                <w:szCs w:val="18"/>
                <w:highlight w:val="none"/>
                <w:u w:val="single"/>
              </w:rPr>
              <w:t>①供货保障方案（10分）</w:t>
            </w:r>
          </w:p>
          <w:p w14:paraId="3E9733EC">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一档（4分）：供应计划内容不完整，库存管理或应急措施描述不清或缺失，缺乏可操作性。</w:t>
            </w:r>
          </w:p>
          <w:p w14:paraId="05CAC9B7">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二档（7分）：有基本的供应计划、库存管理和应急措施，但内容较为笼统，针对性一般，部分环节缺乏具体操作说明。</w:t>
            </w:r>
          </w:p>
          <w:p w14:paraId="2CE93075">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三档（10分）：供应计划内容完整、逻辑清晰，有明确的水源供应渠道和稳定的供货能力保障；库存管理制度健全，有合理的备货计划；应急备选方案具体可行，对货源紧张、运输中断等突发情况均有应对措施。</w:t>
            </w:r>
          </w:p>
          <w:p w14:paraId="5E0CE4F4">
            <w:pPr>
              <w:spacing w:line="380" w:lineRule="exact"/>
              <w:jc w:val="left"/>
              <w:rPr>
                <w:rFonts w:ascii="宋体" w:hAnsi="宋体" w:eastAsia="宋体" w:cs="宋体"/>
                <w:color w:val="auto"/>
                <w:sz w:val="18"/>
                <w:szCs w:val="18"/>
                <w:highlight w:val="none"/>
                <w:u w:val="single"/>
              </w:rPr>
            </w:pPr>
            <w:r>
              <w:rPr>
                <w:rFonts w:hint="eastAsia" w:ascii="宋体" w:hAnsi="宋体" w:eastAsia="宋体" w:cs="宋体"/>
                <w:color w:val="auto"/>
                <w:sz w:val="18"/>
                <w:szCs w:val="18"/>
                <w:highlight w:val="none"/>
                <w:u w:val="single"/>
              </w:rPr>
              <w:t>②质量保障方案（10分）</w:t>
            </w:r>
          </w:p>
          <w:p w14:paraId="76BD0274">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一档（4分）：质量控制措施描述模糊或缺失，无追溯机制，质量问题处理方式不明确。</w:t>
            </w:r>
          </w:p>
          <w:p w14:paraId="02116DCD">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二档（7分）：有基本的质量控制措施和质量问题处理流程，但未覆盖全流程或内容不够具体，追溯机制不够清晰。</w:t>
            </w:r>
          </w:p>
          <w:p w14:paraId="133EE9C1">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三档（10分）：质量控制措施覆盖生产、运输、存储全流程，有明确的产品检验标准和流程；建立了完善的问题追溯机制，对质量问题能准确追溯至具体批次；对质量投诉或不合格产品有明确的处理流程和责任承担方式。</w:t>
            </w:r>
          </w:p>
          <w:p w14:paraId="44580D31">
            <w:pPr>
              <w:spacing w:line="380" w:lineRule="exact"/>
              <w:jc w:val="left"/>
              <w:rPr>
                <w:rFonts w:ascii="宋体" w:hAnsi="宋体" w:eastAsia="宋体" w:cs="宋体"/>
                <w:color w:val="auto"/>
                <w:sz w:val="18"/>
                <w:szCs w:val="18"/>
                <w:highlight w:val="none"/>
                <w:u w:val="single"/>
              </w:rPr>
            </w:pPr>
            <w:r>
              <w:rPr>
                <w:rFonts w:hint="eastAsia" w:ascii="宋体" w:hAnsi="宋体" w:eastAsia="宋体" w:cs="宋体"/>
                <w:color w:val="auto"/>
                <w:sz w:val="18"/>
                <w:szCs w:val="18"/>
                <w:highlight w:val="none"/>
                <w:u w:val="single"/>
              </w:rPr>
              <w:t>③应急服务方案（10分）</w:t>
            </w:r>
          </w:p>
          <w:p w14:paraId="524273C2">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一档（4分）：应急方案内容缺失或空泛，无可操作性。</w:t>
            </w:r>
          </w:p>
          <w:p w14:paraId="32E2C657">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二档（7分）：有基本的应急措施和响应流程，但预案内容不完整，部分紧急情况未覆盖或处理方式不够具体。</w:t>
            </w:r>
          </w:p>
          <w:p w14:paraId="0F4DFC97">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三档（10分）：对突发大量用水（如学校大型活动）、配送设备故障、极端天气导致配送延误等紧急情况均有具体、可行的应对预案；预案中包含明确的启动条件、处理流程、责任人及替代方案，可操作性强。</w:t>
            </w:r>
          </w:p>
        </w:tc>
      </w:tr>
      <w:tr w14:paraId="40B6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868" w:type="dxa"/>
            <w:vMerge w:val="continue"/>
          </w:tcPr>
          <w:p w14:paraId="3328ED13">
            <w:pPr>
              <w:spacing w:line="380" w:lineRule="exact"/>
              <w:jc w:val="center"/>
              <w:rPr>
                <w:rFonts w:ascii="宋体" w:hAnsi="宋体" w:eastAsia="宋体" w:cs="宋体"/>
                <w:color w:val="auto"/>
                <w:sz w:val="18"/>
                <w:szCs w:val="18"/>
                <w:highlight w:val="none"/>
              </w:rPr>
            </w:pPr>
          </w:p>
        </w:tc>
        <w:tc>
          <w:tcPr>
            <w:tcW w:w="1890" w:type="dxa"/>
          </w:tcPr>
          <w:p w14:paraId="282427F0">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4.个性化定制服务</w:t>
            </w:r>
          </w:p>
        </w:tc>
        <w:tc>
          <w:tcPr>
            <w:tcW w:w="795" w:type="dxa"/>
          </w:tcPr>
          <w:p w14:paraId="0C14C65B">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3分</w:t>
            </w:r>
          </w:p>
        </w:tc>
        <w:tc>
          <w:tcPr>
            <w:tcW w:w="5025" w:type="dxa"/>
          </w:tcPr>
          <w:p w14:paraId="44856EEF">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提供针对我校的个性化定制服务，包括但不限于加入我校LOGO、联名款、专用订水APP等，每提供一项被认可的定制服务加1分，满分3分。</w:t>
            </w:r>
          </w:p>
        </w:tc>
      </w:tr>
      <w:tr w14:paraId="653E4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5CDA27F3">
            <w:pPr>
              <w:spacing w:line="380" w:lineRule="exact"/>
              <w:jc w:val="center"/>
              <w:rPr>
                <w:rFonts w:ascii="宋体" w:hAnsi="宋体" w:eastAsia="宋体" w:cs="宋体"/>
                <w:color w:val="auto"/>
                <w:sz w:val="18"/>
                <w:szCs w:val="18"/>
                <w:highlight w:val="none"/>
              </w:rPr>
            </w:pPr>
          </w:p>
        </w:tc>
        <w:tc>
          <w:tcPr>
            <w:tcW w:w="1890" w:type="dxa"/>
          </w:tcPr>
          <w:p w14:paraId="661C28AB">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5.定点水站服务</w:t>
            </w:r>
          </w:p>
        </w:tc>
        <w:tc>
          <w:tcPr>
            <w:tcW w:w="795" w:type="dxa"/>
          </w:tcPr>
          <w:p w14:paraId="6F634BB5">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3分</w:t>
            </w:r>
          </w:p>
        </w:tc>
        <w:tc>
          <w:tcPr>
            <w:tcW w:w="5025" w:type="dxa"/>
          </w:tcPr>
          <w:p w14:paraId="63B03513">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距每个校区2公里以内（含2公里）已有水站，或承诺在签订合同一个月内在离两个校区2公里范围内设立供水站并投入使用，得3分。</w:t>
            </w:r>
          </w:p>
          <w:p w14:paraId="5BDF935B">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①已有水站的供应商需提供证明材料，包括但不限于：水站地址、以百度地图规划的“驾车“路线最短距离为准的距离示意图（截图须清晰显示起止点、规格路线、距离数值）。</w:t>
            </w:r>
          </w:p>
          <w:p w14:paraId="3A0F860B">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②承诺设立水站的，须提供书面承诺函（格式自拟），明确承诺在签订合同后一个月内完成设立并投入使用，否则视为违约。</w:t>
            </w:r>
          </w:p>
        </w:tc>
      </w:tr>
      <w:tr w14:paraId="5F25B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052FF21E">
            <w:pPr>
              <w:spacing w:line="380" w:lineRule="exact"/>
              <w:jc w:val="center"/>
              <w:rPr>
                <w:rFonts w:ascii="宋体" w:hAnsi="宋体" w:eastAsia="宋体" w:cs="宋体"/>
                <w:color w:val="auto"/>
                <w:sz w:val="18"/>
                <w:szCs w:val="18"/>
                <w:highlight w:val="none"/>
              </w:rPr>
            </w:pPr>
          </w:p>
        </w:tc>
        <w:tc>
          <w:tcPr>
            <w:tcW w:w="1890" w:type="dxa"/>
          </w:tcPr>
          <w:p w14:paraId="3DEEE100">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6.售后服务方案</w:t>
            </w:r>
          </w:p>
        </w:tc>
        <w:tc>
          <w:tcPr>
            <w:tcW w:w="795" w:type="dxa"/>
          </w:tcPr>
          <w:p w14:paraId="429DCFE0">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12</w:t>
            </w:r>
            <w:r>
              <w:rPr>
                <w:rFonts w:hint="eastAsia" w:ascii="宋体" w:hAnsi="宋体" w:eastAsia="宋体" w:cs="宋体"/>
                <w:color w:val="auto"/>
                <w:sz w:val="18"/>
                <w:szCs w:val="18"/>
                <w:highlight w:val="none"/>
              </w:rPr>
              <w:t>分</w:t>
            </w:r>
          </w:p>
        </w:tc>
        <w:tc>
          <w:tcPr>
            <w:tcW w:w="5025" w:type="dxa"/>
          </w:tcPr>
          <w:p w14:paraId="6C02191C">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一档（</w:t>
            </w:r>
            <w:r>
              <w:rPr>
                <w:rFonts w:hint="eastAsia" w:ascii="宋体" w:hAnsi="宋体" w:eastAsia="宋体" w:cs="宋体"/>
                <w:color w:val="auto"/>
                <w:sz w:val="18"/>
                <w:szCs w:val="18"/>
                <w:highlight w:val="none"/>
                <w:lang w:val="en-US" w:eastAsia="zh-CN"/>
              </w:rPr>
              <w:t>6</w:t>
            </w:r>
            <w:r>
              <w:rPr>
                <w:rFonts w:hint="eastAsia" w:ascii="宋体" w:hAnsi="宋体" w:eastAsia="宋体" w:cs="宋体"/>
                <w:color w:val="auto"/>
                <w:sz w:val="18"/>
                <w:szCs w:val="18"/>
                <w:highlight w:val="none"/>
              </w:rPr>
              <w:t>分）：有基本售后服务方案，能满足一定需求。</w:t>
            </w:r>
          </w:p>
          <w:p w14:paraId="0F0BDFE3">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二档（</w:t>
            </w:r>
            <w:r>
              <w:rPr>
                <w:rFonts w:hint="eastAsia" w:ascii="宋体" w:hAnsi="宋体" w:eastAsia="宋体" w:cs="宋体"/>
                <w:color w:val="auto"/>
                <w:sz w:val="18"/>
                <w:szCs w:val="18"/>
                <w:highlight w:val="none"/>
                <w:lang w:val="en-US" w:eastAsia="zh-CN"/>
              </w:rPr>
              <w:t>9</w:t>
            </w:r>
            <w:r>
              <w:rPr>
                <w:rFonts w:hint="eastAsia" w:ascii="宋体" w:hAnsi="宋体" w:eastAsia="宋体" w:cs="宋体"/>
                <w:color w:val="auto"/>
                <w:sz w:val="18"/>
                <w:szCs w:val="18"/>
                <w:highlight w:val="none"/>
              </w:rPr>
              <w:t>分）：针对饮用水服务质量、安全保障有详细售后服务方案，清晰、完备、有条理，有详细理赔机制。</w:t>
            </w:r>
          </w:p>
          <w:p w14:paraId="5A404F1D">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三档（</w:t>
            </w:r>
            <w:r>
              <w:rPr>
                <w:rFonts w:hint="eastAsia" w:ascii="宋体" w:hAnsi="宋体" w:eastAsia="宋体" w:cs="宋体"/>
                <w:color w:val="auto"/>
                <w:sz w:val="18"/>
                <w:szCs w:val="18"/>
                <w:highlight w:val="none"/>
                <w:lang w:val="en-US" w:eastAsia="zh-CN"/>
              </w:rPr>
              <w:t>12</w:t>
            </w:r>
            <w:r>
              <w:rPr>
                <w:rFonts w:hint="eastAsia" w:ascii="宋体" w:hAnsi="宋体" w:eastAsia="宋体" w:cs="宋体"/>
                <w:color w:val="auto"/>
                <w:sz w:val="18"/>
                <w:szCs w:val="18"/>
                <w:highlight w:val="none"/>
              </w:rPr>
              <w:t>分）：达到二档要求，且售后服务承诺优于采购文件要求。</w:t>
            </w:r>
          </w:p>
        </w:tc>
      </w:tr>
      <w:tr w14:paraId="65A5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0CE187E0">
            <w:pPr>
              <w:spacing w:line="380" w:lineRule="exact"/>
              <w:jc w:val="center"/>
              <w:rPr>
                <w:rFonts w:ascii="宋体" w:hAnsi="宋体" w:eastAsia="宋体" w:cs="宋体"/>
                <w:color w:val="auto"/>
                <w:sz w:val="18"/>
                <w:szCs w:val="18"/>
                <w:highlight w:val="none"/>
              </w:rPr>
            </w:pPr>
          </w:p>
        </w:tc>
        <w:tc>
          <w:tcPr>
            <w:tcW w:w="1890" w:type="dxa"/>
          </w:tcPr>
          <w:p w14:paraId="58CAAEC6">
            <w:pPr>
              <w:spacing w:line="380" w:lineRule="exact"/>
              <w:jc w:val="left"/>
              <w:rPr>
                <w:rFonts w:ascii="宋体" w:hAnsi="宋体" w:eastAsia="宋体" w:cs="宋体"/>
                <w:strike/>
                <w:color w:val="auto"/>
                <w:sz w:val="18"/>
                <w:szCs w:val="18"/>
                <w:highlight w:val="none"/>
              </w:rPr>
            </w:pPr>
            <w:r>
              <w:rPr>
                <w:rFonts w:hint="eastAsia" w:ascii="宋体" w:hAnsi="宋体" w:eastAsia="宋体" w:cs="宋体"/>
                <w:strike w:val="0"/>
                <w:color w:val="auto"/>
                <w:sz w:val="18"/>
                <w:szCs w:val="18"/>
                <w:highlight w:val="none"/>
              </w:rPr>
              <w:t>7.水源认证分</w:t>
            </w:r>
          </w:p>
        </w:tc>
        <w:tc>
          <w:tcPr>
            <w:tcW w:w="795" w:type="dxa"/>
          </w:tcPr>
          <w:p w14:paraId="66CF508A">
            <w:pPr>
              <w:spacing w:line="380" w:lineRule="exact"/>
              <w:jc w:val="left"/>
              <w:rPr>
                <w:rFonts w:ascii="宋体" w:hAnsi="宋体" w:eastAsia="宋体" w:cs="宋体"/>
                <w:strike/>
                <w:color w:val="auto"/>
                <w:sz w:val="18"/>
                <w:szCs w:val="18"/>
                <w:highlight w:val="none"/>
              </w:rPr>
            </w:pPr>
            <w:r>
              <w:rPr>
                <w:rFonts w:hint="eastAsia" w:ascii="宋体" w:hAnsi="宋体" w:eastAsia="宋体" w:cs="宋体"/>
                <w:strike w:val="0"/>
                <w:color w:val="auto"/>
                <w:sz w:val="18"/>
                <w:szCs w:val="18"/>
                <w:highlight w:val="none"/>
                <w:lang w:val="en-US" w:eastAsia="zh-CN"/>
              </w:rPr>
              <w:t>8</w:t>
            </w:r>
            <w:r>
              <w:rPr>
                <w:rFonts w:hint="eastAsia" w:ascii="宋体" w:hAnsi="宋体" w:eastAsia="宋体" w:cs="宋体"/>
                <w:strike w:val="0"/>
                <w:color w:val="auto"/>
                <w:sz w:val="18"/>
                <w:szCs w:val="18"/>
                <w:highlight w:val="none"/>
              </w:rPr>
              <w:t>分</w:t>
            </w:r>
          </w:p>
        </w:tc>
        <w:tc>
          <w:tcPr>
            <w:tcW w:w="5025" w:type="dxa"/>
          </w:tcPr>
          <w:p w14:paraId="282DB2F2">
            <w:pPr>
              <w:spacing w:line="380" w:lineRule="exact"/>
              <w:jc w:val="left"/>
              <w:rPr>
                <w:rFonts w:ascii="宋体" w:hAnsi="宋体" w:eastAsia="宋体" w:cs="宋体"/>
                <w:strike/>
                <w:color w:val="auto"/>
                <w:sz w:val="18"/>
                <w:szCs w:val="18"/>
                <w:highlight w:val="none"/>
              </w:rPr>
            </w:pPr>
            <w:r>
              <w:rPr>
                <w:rFonts w:hint="eastAsia" w:ascii="宋体" w:hAnsi="宋体" w:eastAsia="宋体" w:cs="宋体"/>
                <w:strike w:val="0"/>
                <w:color w:val="auto"/>
                <w:sz w:val="18"/>
                <w:szCs w:val="18"/>
                <w:highlight w:val="none"/>
              </w:rPr>
              <w:t>响应产品水源为</w:t>
            </w:r>
            <w:r>
              <w:rPr>
                <w:rFonts w:hint="eastAsia" w:ascii="宋体" w:hAnsi="宋体" w:eastAsia="宋体" w:cs="宋体"/>
                <w:strike w:val="0"/>
                <w:color w:val="auto"/>
                <w:sz w:val="18"/>
                <w:szCs w:val="18"/>
                <w:highlight w:val="none"/>
                <w:lang w:val="en-US" w:eastAsia="zh-CN"/>
              </w:rPr>
              <w:t>饮用</w:t>
            </w:r>
            <w:r>
              <w:rPr>
                <w:rFonts w:hint="eastAsia" w:ascii="宋体" w:hAnsi="宋体" w:eastAsia="宋体" w:cs="宋体"/>
                <w:strike w:val="0"/>
                <w:color w:val="auto"/>
                <w:sz w:val="18"/>
                <w:szCs w:val="18"/>
                <w:highlight w:val="none"/>
              </w:rPr>
              <w:t>天然泉水</w:t>
            </w:r>
            <w:r>
              <w:rPr>
                <w:rFonts w:hint="eastAsia" w:ascii="宋体" w:hAnsi="宋体" w:eastAsia="宋体" w:cs="宋体"/>
                <w:strike w:val="0"/>
                <w:color w:val="auto"/>
                <w:sz w:val="18"/>
                <w:szCs w:val="18"/>
                <w:highlight w:val="none"/>
                <w:lang w:eastAsia="zh-CN"/>
              </w:rPr>
              <w:t>，</w:t>
            </w:r>
            <w:r>
              <w:rPr>
                <w:rFonts w:hint="eastAsia" w:ascii="宋体" w:hAnsi="宋体" w:eastAsia="宋体" w:cs="宋体"/>
                <w:strike w:val="0"/>
                <w:color w:val="auto"/>
                <w:sz w:val="18"/>
                <w:szCs w:val="18"/>
                <w:highlight w:val="none"/>
                <w:lang w:val="en-US" w:eastAsia="zh-CN"/>
              </w:rPr>
              <w:t>且</w:t>
            </w:r>
            <w:r>
              <w:rPr>
                <w:rFonts w:hint="eastAsia" w:ascii="宋体" w:hAnsi="宋体" w:eastAsia="宋体" w:cs="宋体"/>
                <w:strike w:val="0"/>
                <w:color w:val="auto"/>
                <w:sz w:val="18"/>
                <w:szCs w:val="18"/>
                <w:highlight w:val="none"/>
              </w:rPr>
              <w:t>符合T/GXPZS 001‑2018《饮用天然泉水》，</w:t>
            </w:r>
            <w:r>
              <w:rPr>
                <w:rFonts w:hint="eastAsia" w:ascii="宋体" w:hAnsi="宋体" w:eastAsia="宋体" w:cs="宋体"/>
                <w:color w:val="auto"/>
                <w:sz w:val="18"/>
                <w:szCs w:val="18"/>
                <w:highlight w:val="none"/>
                <w:lang w:val="en-US" w:eastAsia="zh-CN"/>
              </w:rPr>
              <w:t>每有1个产品得2分，满分8</w:t>
            </w:r>
            <w:r>
              <w:rPr>
                <w:rFonts w:hint="eastAsia" w:ascii="宋体" w:hAnsi="宋体" w:eastAsia="宋体" w:cs="宋体"/>
                <w:color w:val="auto"/>
                <w:sz w:val="18"/>
                <w:szCs w:val="18"/>
                <w:highlight w:val="none"/>
              </w:rPr>
              <w:t>分。须提供每个计分产品对应的</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2026年1月1日以来且在响应截止时间仍有效的最新检测报告</w:t>
            </w:r>
            <w:r>
              <w:rPr>
                <w:rFonts w:hint="eastAsia" w:ascii="宋体" w:hAnsi="宋体" w:eastAsia="宋体" w:cs="宋体"/>
                <w:color w:val="auto"/>
                <w:sz w:val="18"/>
                <w:szCs w:val="18"/>
                <w:highlight w:val="none"/>
                <w:lang w:eastAsia="zh-CN"/>
              </w:rPr>
              <w:t>，</w:t>
            </w:r>
            <w:r>
              <w:rPr>
                <w:rStyle w:val="10"/>
                <w:rFonts w:hint="eastAsia" w:ascii="宋体" w:hAnsi="宋体" w:eastAsia="宋体" w:cs="宋体"/>
                <w:strike w:val="0"/>
                <w:color w:val="auto"/>
                <w:sz w:val="18"/>
                <w:szCs w:val="18"/>
                <w:highlight w:val="none"/>
              </w:rPr>
              <w:t>未提供或不符合的，不得分。</w:t>
            </w:r>
          </w:p>
        </w:tc>
      </w:tr>
      <w:tr w14:paraId="4849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41499323">
            <w:pPr>
              <w:spacing w:line="380" w:lineRule="exact"/>
              <w:jc w:val="center"/>
              <w:rPr>
                <w:rFonts w:ascii="宋体" w:hAnsi="宋体" w:eastAsia="宋体" w:cs="宋体"/>
                <w:color w:val="auto"/>
                <w:sz w:val="18"/>
                <w:szCs w:val="18"/>
                <w:highlight w:val="none"/>
              </w:rPr>
            </w:pPr>
          </w:p>
        </w:tc>
        <w:tc>
          <w:tcPr>
            <w:tcW w:w="1890" w:type="dxa"/>
          </w:tcPr>
          <w:p w14:paraId="1E9AF348">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8.扶贫产品分</w:t>
            </w:r>
          </w:p>
        </w:tc>
        <w:tc>
          <w:tcPr>
            <w:tcW w:w="795" w:type="dxa"/>
          </w:tcPr>
          <w:p w14:paraId="4CEC4D0D">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w:t>
            </w:r>
          </w:p>
        </w:tc>
        <w:tc>
          <w:tcPr>
            <w:tcW w:w="5025" w:type="dxa"/>
          </w:tcPr>
          <w:p w14:paraId="35BC71DD">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响应产品为扶贫产品的</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每有1个得1分，满分4</w:t>
            </w:r>
            <w:r>
              <w:rPr>
                <w:rFonts w:hint="eastAsia" w:ascii="宋体" w:hAnsi="宋体" w:eastAsia="宋体" w:cs="宋体"/>
                <w:color w:val="auto"/>
                <w:sz w:val="18"/>
                <w:szCs w:val="18"/>
                <w:highlight w:val="none"/>
              </w:rPr>
              <w:t>分。须提供扶贫产品标志等证明材料，否则不得分。</w:t>
            </w:r>
          </w:p>
        </w:tc>
      </w:tr>
      <w:tr w14:paraId="6ACF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24A63EB9">
            <w:pPr>
              <w:spacing w:line="380" w:lineRule="exact"/>
              <w:jc w:val="center"/>
              <w:rPr>
                <w:rFonts w:ascii="宋体" w:hAnsi="宋体" w:eastAsia="宋体" w:cs="宋体"/>
                <w:color w:val="auto"/>
                <w:sz w:val="18"/>
                <w:szCs w:val="18"/>
                <w:highlight w:val="none"/>
              </w:rPr>
            </w:pPr>
          </w:p>
        </w:tc>
        <w:tc>
          <w:tcPr>
            <w:tcW w:w="1890" w:type="dxa"/>
          </w:tcPr>
          <w:p w14:paraId="413B2955">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9.饮用水安全指标分</w:t>
            </w:r>
          </w:p>
        </w:tc>
        <w:tc>
          <w:tcPr>
            <w:tcW w:w="795" w:type="dxa"/>
          </w:tcPr>
          <w:p w14:paraId="006B2C93">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6</w:t>
            </w:r>
            <w:r>
              <w:rPr>
                <w:rFonts w:hint="eastAsia" w:ascii="宋体" w:hAnsi="宋体" w:eastAsia="宋体" w:cs="宋体"/>
                <w:color w:val="auto"/>
                <w:sz w:val="18"/>
                <w:szCs w:val="18"/>
                <w:highlight w:val="none"/>
              </w:rPr>
              <w:t>分</w:t>
            </w:r>
          </w:p>
        </w:tc>
        <w:tc>
          <w:tcPr>
            <w:tcW w:w="5025" w:type="dxa"/>
          </w:tcPr>
          <w:p w14:paraId="329D3F7A">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在满足</w:t>
            </w:r>
            <w:r>
              <w:rPr>
                <w:rFonts w:hint="eastAsia" w:ascii="宋体" w:hAnsi="宋体" w:eastAsia="宋体" w:cs="宋体"/>
                <w:color w:val="auto"/>
                <w:sz w:val="18"/>
                <w:szCs w:val="18"/>
                <w:highlight w:val="none"/>
                <w:lang w:val="en-US" w:eastAsia="zh-CN"/>
              </w:rPr>
              <w:t>采购需求</w:t>
            </w:r>
            <w:r>
              <w:rPr>
                <w:rFonts w:hint="eastAsia" w:ascii="宋体" w:hAnsi="宋体" w:eastAsia="宋体" w:cs="宋体"/>
                <w:color w:val="auto"/>
                <w:sz w:val="18"/>
                <w:szCs w:val="18"/>
                <w:highlight w:val="none"/>
              </w:rPr>
              <w:t>的基础上，供应商所投</w:t>
            </w:r>
            <w:r>
              <w:rPr>
                <w:rFonts w:hint="eastAsia" w:ascii="宋体" w:hAnsi="宋体" w:eastAsia="宋体" w:cs="宋体"/>
                <w:color w:val="auto"/>
                <w:sz w:val="18"/>
                <w:szCs w:val="18"/>
                <w:highlight w:val="none"/>
                <w:lang w:val="en-US" w:eastAsia="zh-CN"/>
              </w:rPr>
              <w:t>全部</w:t>
            </w:r>
            <w:r>
              <w:rPr>
                <w:rFonts w:hint="eastAsia" w:ascii="宋体" w:hAnsi="宋体" w:eastAsia="宋体" w:cs="宋体"/>
                <w:color w:val="auto"/>
                <w:sz w:val="18"/>
                <w:szCs w:val="18"/>
                <w:highlight w:val="none"/>
              </w:rPr>
              <w:t>桶装水和瓶装水溴酸盐含量均≤0.009mg/L（含）的，得</w:t>
            </w:r>
            <w:r>
              <w:rPr>
                <w:rFonts w:hint="eastAsia" w:ascii="宋体" w:hAnsi="宋体" w:eastAsia="宋体" w:cs="宋体"/>
                <w:color w:val="auto"/>
                <w:sz w:val="18"/>
                <w:szCs w:val="18"/>
                <w:highlight w:val="none"/>
                <w:lang w:val="en-US" w:eastAsia="zh-CN"/>
              </w:rPr>
              <w:t>6</w:t>
            </w:r>
            <w:r>
              <w:rPr>
                <w:rFonts w:hint="eastAsia" w:ascii="宋体" w:hAnsi="宋体" w:eastAsia="宋体" w:cs="宋体"/>
                <w:color w:val="auto"/>
                <w:sz w:val="18"/>
                <w:szCs w:val="18"/>
                <w:highlight w:val="none"/>
              </w:rPr>
              <w:t>分。须提供2026年1月1日以来且在响应截止时间仍有效的最新检测报告</w:t>
            </w:r>
            <w:r>
              <w:rPr>
                <w:rFonts w:hint="eastAsia" w:ascii="宋体" w:hAnsi="宋体" w:eastAsia="宋体" w:cs="宋体"/>
                <w:color w:val="auto"/>
                <w:sz w:val="18"/>
                <w:szCs w:val="18"/>
                <w:highlight w:val="none"/>
                <w:lang w:eastAsia="zh-CN"/>
              </w:rPr>
              <w:t>，</w:t>
            </w:r>
            <w:r>
              <w:rPr>
                <w:rFonts w:hint="eastAsia" w:ascii="宋体" w:hAnsi="宋体" w:eastAsia="宋体" w:cs="宋体"/>
                <w:strike w:val="0"/>
                <w:color w:val="auto"/>
                <w:sz w:val="18"/>
                <w:szCs w:val="18"/>
                <w:highlight w:val="none"/>
              </w:rPr>
              <w:t>未提供或不符合的，不得分。</w:t>
            </w:r>
          </w:p>
        </w:tc>
      </w:tr>
      <w:tr w14:paraId="5C6B6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868" w:type="dxa"/>
          </w:tcPr>
          <w:p w14:paraId="7F83D336">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商</w:t>
            </w:r>
          </w:p>
          <w:p w14:paraId="2298F73A">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务</w:t>
            </w:r>
          </w:p>
          <w:p w14:paraId="1EA0BC86">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分</w:t>
            </w:r>
          </w:p>
          <w:p w14:paraId="50A741DF">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9</w:t>
            </w:r>
            <w:r>
              <w:rPr>
                <w:rFonts w:hint="eastAsia" w:ascii="宋体" w:hAnsi="宋体" w:eastAsia="宋体" w:cs="宋体"/>
                <w:color w:val="auto"/>
                <w:sz w:val="18"/>
                <w:szCs w:val="18"/>
                <w:highlight w:val="none"/>
              </w:rPr>
              <w:t>分）</w:t>
            </w:r>
          </w:p>
        </w:tc>
        <w:tc>
          <w:tcPr>
            <w:tcW w:w="1890" w:type="dxa"/>
          </w:tcPr>
          <w:p w14:paraId="30C94C50">
            <w:pPr>
              <w:spacing w:line="380" w:lineRule="exact"/>
              <w:jc w:val="left"/>
              <w:rPr>
                <w:rFonts w:hint="eastAsia" w:ascii="宋体" w:hAnsi="宋体" w:eastAsia="宋体" w:cs="宋体"/>
                <w:strike/>
                <w:color w:val="auto"/>
                <w:sz w:val="18"/>
                <w:szCs w:val="18"/>
                <w:highlight w:val="none"/>
              </w:rPr>
            </w:pPr>
          </w:p>
          <w:p w14:paraId="0AB24873">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历年业绩</w:t>
            </w:r>
          </w:p>
        </w:tc>
        <w:tc>
          <w:tcPr>
            <w:tcW w:w="795" w:type="dxa"/>
          </w:tcPr>
          <w:p w14:paraId="617ED684">
            <w:pPr>
              <w:spacing w:line="380" w:lineRule="exact"/>
              <w:jc w:val="left"/>
              <w:rPr>
                <w:rFonts w:hint="eastAsia" w:ascii="宋体" w:hAnsi="宋体" w:eastAsia="宋体" w:cs="宋体"/>
                <w:strike/>
                <w:color w:val="auto"/>
                <w:sz w:val="18"/>
                <w:szCs w:val="18"/>
                <w:highlight w:val="none"/>
              </w:rPr>
            </w:pPr>
          </w:p>
          <w:p w14:paraId="7662B02E">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9</w:t>
            </w:r>
            <w:r>
              <w:rPr>
                <w:rFonts w:hint="eastAsia" w:ascii="宋体" w:hAnsi="宋体" w:eastAsia="宋体" w:cs="宋体"/>
                <w:color w:val="auto"/>
                <w:sz w:val="18"/>
                <w:szCs w:val="18"/>
                <w:highlight w:val="none"/>
              </w:rPr>
              <w:t>分</w:t>
            </w:r>
          </w:p>
        </w:tc>
        <w:tc>
          <w:tcPr>
            <w:tcW w:w="5025" w:type="dxa"/>
          </w:tcPr>
          <w:p w14:paraId="453A61E6">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供应商自2023年1月1日至响应截止时间，每提供一个类似饮用水供应服务项目业绩（同类项目）得</w:t>
            </w:r>
            <w:r>
              <w:rPr>
                <w:rFonts w:hint="eastAsia" w:ascii="宋体" w:hAnsi="宋体" w:eastAsia="宋体" w:cs="宋体"/>
                <w:color w:val="auto"/>
                <w:sz w:val="18"/>
                <w:szCs w:val="18"/>
                <w:highlight w:val="none"/>
                <w:lang w:val="en-US" w:eastAsia="zh-CN"/>
              </w:rPr>
              <w:t>3</w:t>
            </w:r>
            <w:r>
              <w:rPr>
                <w:rFonts w:hint="eastAsia" w:ascii="宋体" w:hAnsi="宋体" w:eastAsia="宋体" w:cs="宋体"/>
                <w:color w:val="auto"/>
                <w:sz w:val="18"/>
                <w:szCs w:val="18"/>
                <w:highlight w:val="none"/>
              </w:rPr>
              <w:t>分，满分</w:t>
            </w:r>
            <w:r>
              <w:rPr>
                <w:rFonts w:hint="eastAsia" w:ascii="宋体" w:hAnsi="宋体" w:eastAsia="宋体" w:cs="宋体"/>
                <w:color w:val="auto"/>
                <w:sz w:val="18"/>
                <w:szCs w:val="18"/>
                <w:highlight w:val="none"/>
                <w:lang w:val="en-US" w:eastAsia="zh-CN"/>
              </w:rPr>
              <w:t>9</w:t>
            </w:r>
            <w:r>
              <w:rPr>
                <w:rFonts w:hint="eastAsia" w:ascii="宋体" w:hAnsi="宋体" w:eastAsia="宋体" w:cs="宋体"/>
                <w:color w:val="auto"/>
                <w:sz w:val="18"/>
                <w:szCs w:val="18"/>
                <w:highlight w:val="none"/>
              </w:rPr>
              <w:t>分。以有效的合同复印件或成交通知书复印件为准。</w:t>
            </w:r>
          </w:p>
        </w:tc>
      </w:tr>
      <w:tr w14:paraId="3DE3E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tcPr>
          <w:p w14:paraId="3E3EE5AE">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合计</w:t>
            </w:r>
          </w:p>
        </w:tc>
        <w:tc>
          <w:tcPr>
            <w:tcW w:w="1890" w:type="dxa"/>
          </w:tcPr>
          <w:p w14:paraId="702C306E">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总分</w:t>
            </w:r>
          </w:p>
        </w:tc>
        <w:tc>
          <w:tcPr>
            <w:tcW w:w="795" w:type="dxa"/>
          </w:tcPr>
          <w:p w14:paraId="18EF6F4B">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100分</w:t>
            </w:r>
          </w:p>
        </w:tc>
        <w:tc>
          <w:tcPr>
            <w:tcW w:w="5025" w:type="dxa"/>
          </w:tcPr>
          <w:p w14:paraId="79FC66E5">
            <w:pPr>
              <w:spacing w:line="380" w:lineRule="exact"/>
              <w:jc w:val="left"/>
              <w:rPr>
                <w:rFonts w:ascii="宋体" w:hAnsi="宋体" w:eastAsia="宋体" w:cs="宋体"/>
                <w:color w:val="auto"/>
                <w:sz w:val="18"/>
                <w:szCs w:val="18"/>
                <w:highlight w:val="none"/>
              </w:rPr>
            </w:pPr>
          </w:p>
        </w:tc>
      </w:tr>
    </w:tbl>
    <w:p w14:paraId="325AEF05">
      <w:pPr>
        <w:spacing w:line="380" w:lineRule="exact"/>
        <w:ind w:firstLine="560"/>
        <w:jc w:val="left"/>
        <w:rPr>
          <w:rFonts w:asciiTheme="minorEastAsia" w:hAnsiTheme="minorEastAsia"/>
          <w:b/>
          <w:bCs/>
          <w:color w:val="auto"/>
          <w:szCs w:val="21"/>
          <w:highlight w:val="none"/>
        </w:rPr>
      </w:pPr>
      <w:r>
        <w:rPr>
          <w:rFonts w:asciiTheme="minorEastAsia" w:hAnsiTheme="minorEastAsia"/>
          <w:b/>
          <w:bCs/>
          <w:color w:val="auto"/>
          <w:szCs w:val="21"/>
          <w:highlight w:val="none"/>
        </w:rPr>
        <w:t>注：请各位供应商严格按照评分办法</w:t>
      </w:r>
      <w:r>
        <w:rPr>
          <w:rFonts w:hint="eastAsia" w:asciiTheme="minorEastAsia" w:hAnsiTheme="minorEastAsia"/>
          <w:b/>
          <w:bCs/>
          <w:color w:val="auto"/>
          <w:szCs w:val="21"/>
          <w:highlight w:val="none"/>
        </w:rPr>
        <w:t>逐项</w:t>
      </w:r>
      <w:r>
        <w:rPr>
          <w:rFonts w:asciiTheme="minorEastAsia" w:hAnsiTheme="minorEastAsia"/>
          <w:b/>
          <w:bCs/>
          <w:color w:val="auto"/>
          <w:szCs w:val="21"/>
          <w:highlight w:val="none"/>
        </w:rPr>
        <w:t>准备</w:t>
      </w:r>
      <w:r>
        <w:rPr>
          <w:rFonts w:hint="eastAsia" w:asciiTheme="minorEastAsia" w:hAnsiTheme="minorEastAsia"/>
          <w:b/>
          <w:bCs/>
          <w:color w:val="auto"/>
          <w:szCs w:val="21"/>
          <w:highlight w:val="none"/>
        </w:rPr>
        <w:t>响应文件</w:t>
      </w:r>
      <w:r>
        <w:rPr>
          <w:rFonts w:asciiTheme="minorEastAsia" w:hAnsiTheme="minorEastAsia"/>
          <w:b/>
          <w:bCs/>
          <w:color w:val="auto"/>
          <w:szCs w:val="21"/>
          <w:highlight w:val="none"/>
        </w:rPr>
        <w:t>。</w:t>
      </w:r>
    </w:p>
    <w:p w14:paraId="6449F8C8">
      <w:pPr>
        <w:spacing w:line="380" w:lineRule="exact"/>
        <w:ind w:firstLine="422" w:firstLineChars="200"/>
        <w:jc w:val="left"/>
        <w:rPr>
          <w:rFonts w:asciiTheme="minorEastAsia" w:hAnsiTheme="minorEastAsia"/>
          <w:b/>
          <w:bCs/>
          <w:color w:val="auto"/>
          <w:szCs w:val="21"/>
          <w:highlight w:val="none"/>
        </w:rPr>
      </w:pPr>
      <w:r>
        <w:rPr>
          <w:rFonts w:asciiTheme="minorEastAsia" w:hAnsiTheme="minorEastAsia"/>
          <w:b/>
          <w:bCs/>
          <w:color w:val="auto"/>
          <w:szCs w:val="21"/>
          <w:highlight w:val="none"/>
        </w:rPr>
        <w:t>（三）成交候选人推荐原则</w:t>
      </w:r>
    </w:p>
    <w:p w14:paraId="010601C8">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评审</w:t>
      </w:r>
      <w:r>
        <w:rPr>
          <w:rFonts w:asciiTheme="minorEastAsia" w:hAnsiTheme="minorEastAsia"/>
          <w:color w:val="auto"/>
          <w:szCs w:val="21"/>
          <w:highlight w:val="none"/>
        </w:rPr>
        <w:t>委员会将根据总得分由高到低排列次序（得分相同时，以</w:t>
      </w:r>
      <w:r>
        <w:rPr>
          <w:rFonts w:hint="eastAsia"/>
          <w:color w:val="auto"/>
          <w:highlight w:val="none"/>
        </w:rPr>
        <w:t>4类水报价合计</w:t>
      </w:r>
      <w:r>
        <w:rPr>
          <w:rFonts w:asciiTheme="minorEastAsia" w:hAnsiTheme="minorEastAsia"/>
          <w:color w:val="auto"/>
          <w:szCs w:val="21"/>
          <w:highlight w:val="none"/>
        </w:rPr>
        <w:t>由低到高顺序排列；得分相同且</w:t>
      </w:r>
      <w:r>
        <w:rPr>
          <w:rFonts w:hint="eastAsia" w:asciiTheme="minorEastAsia" w:hAnsiTheme="minorEastAsia"/>
          <w:color w:val="auto"/>
          <w:szCs w:val="21"/>
          <w:highlight w:val="none"/>
        </w:rPr>
        <w:t>响应</w:t>
      </w:r>
      <w:r>
        <w:rPr>
          <w:rFonts w:asciiTheme="minorEastAsia" w:hAnsiTheme="minorEastAsia"/>
          <w:color w:val="auto"/>
          <w:szCs w:val="21"/>
          <w:highlight w:val="none"/>
        </w:rPr>
        <w:t>报价相同的，按</w:t>
      </w:r>
      <w:r>
        <w:rPr>
          <w:rFonts w:hint="eastAsia" w:asciiTheme="minorEastAsia" w:hAnsiTheme="minorEastAsia"/>
          <w:color w:val="auto"/>
          <w:szCs w:val="21"/>
          <w:highlight w:val="none"/>
        </w:rPr>
        <w:t>技术分由高到低排序</w:t>
      </w:r>
      <w:r>
        <w:rPr>
          <w:rFonts w:asciiTheme="minorEastAsia" w:hAnsiTheme="minorEastAsia"/>
          <w:color w:val="auto"/>
          <w:szCs w:val="21"/>
          <w:highlight w:val="none"/>
        </w:rPr>
        <w:t>）并推荐成交候选供应商。</w:t>
      </w:r>
    </w:p>
    <w:p w14:paraId="24E715E9">
      <w:pPr>
        <w:spacing w:before="156" w:beforeLines="50" w:line="380" w:lineRule="exact"/>
        <w:jc w:val="left"/>
        <w:outlineLvl w:val="0"/>
        <w:rPr>
          <w:rFonts w:asciiTheme="minorEastAsia" w:hAnsiTheme="minorEastAsia"/>
          <w:b/>
          <w:color w:val="auto"/>
          <w:szCs w:val="21"/>
          <w:highlight w:val="none"/>
        </w:rPr>
      </w:pPr>
      <w:r>
        <w:rPr>
          <w:rFonts w:hint="eastAsia" w:asciiTheme="minorEastAsia" w:hAnsiTheme="minorEastAsia"/>
          <w:b/>
          <w:color w:val="auto"/>
          <w:szCs w:val="21"/>
          <w:highlight w:val="none"/>
        </w:rPr>
        <w:t>八、其他说明</w:t>
      </w:r>
    </w:p>
    <w:p w14:paraId="0E5B5FD6">
      <w:pPr>
        <w:pStyle w:val="6"/>
        <w:widowControl/>
        <w:spacing w:beforeAutospacing="0" w:afterAutospacing="0" w:line="380" w:lineRule="exact"/>
        <w:ind w:firstLine="408"/>
        <w:rPr>
          <w:rFonts w:asciiTheme="minorEastAsia" w:hAnsiTheme="minorEastAsia" w:cstheme="minorBidi"/>
          <w:color w:val="auto"/>
          <w:kern w:val="2"/>
          <w:sz w:val="21"/>
          <w:szCs w:val="21"/>
          <w:highlight w:val="none"/>
        </w:rPr>
      </w:pPr>
      <w:r>
        <w:rPr>
          <w:rFonts w:hint="eastAsia" w:asciiTheme="minorEastAsia" w:hAnsiTheme="minorEastAsia" w:cstheme="minorBidi"/>
          <w:color w:val="auto"/>
          <w:kern w:val="2"/>
          <w:sz w:val="21"/>
          <w:szCs w:val="21"/>
          <w:highlight w:val="none"/>
        </w:rPr>
        <w:t>（一）各供应商须在2026年</w:t>
      </w:r>
      <w:r>
        <w:rPr>
          <w:rFonts w:hint="eastAsia" w:asciiTheme="minorEastAsia" w:hAnsiTheme="minorEastAsia" w:cstheme="minorBidi"/>
          <w:color w:val="auto"/>
          <w:kern w:val="2"/>
          <w:sz w:val="21"/>
          <w:szCs w:val="21"/>
          <w:highlight w:val="none"/>
          <w:lang w:val="en-US" w:eastAsia="zh-CN"/>
        </w:rPr>
        <w:t>10</w:t>
      </w:r>
      <w:r>
        <w:rPr>
          <w:rFonts w:hint="eastAsia" w:asciiTheme="minorEastAsia" w:hAnsiTheme="minorEastAsia" w:cstheme="minorBidi"/>
          <w:color w:val="auto"/>
          <w:kern w:val="2"/>
          <w:sz w:val="21"/>
          <w:szCs w:val="21"/>
          <w:highlight w:val="none"/>
        </w:rPr>
        <w:t>月</w:t>
      </w:r>
      <w:r>
        <w:rPr>
          <w:rFonts w:hint="eastAsia" w:asciiTheme="minorEastAsia" w:hAnsiTheme="minorEastAsia" w:cstheme="minorBidi"/>
          <w:color w:val="auto"/>
          <w:kern w:val="2"/>
          <w:sz w:val="21"/>
          <w:szCs w:val="21"/>
          <w:highlight w:val="none"/>
          <w:lang w:val="en-US" w:eastAsia="zh-CN"/>
        </w:rPr>
        <w:t>23</w:t>
      </w:r>
      <w:r>
        <w:rPr>
          <w:rFonts w:hint="eastAsia" w:asciiTheme="minorEastAsia" w:hAnsiTheme="minorEastAsia" w:cstheme="minorBidi"/>
          <w:color w:val="auto"/>
          <w:kern w:val="2"/>
          <w:sz w:val="21"/>
          <w:szCs w:val="21"/>
          <w:highlight w:val="none"/>
        </w:rPr>
        <w:t>日</w:t>
      </w:r>
      <w:r>
        <w:rPr>
          <w:rFonts w:hint="eastAsia" w:asciiTheme="minorEastAsia" w:hAnsiTheme="minorEastAsia" w:cstheme="minorBidi"/>
          <w:color w:val="auto"/>
          <w:kern w:val="2"/>
          <w:sz w:val="21"/>
          <w:szCs w:val="21"/>
          <w:highlight w:val="none"/>
          <w:lang w:val="en-US" w:eastAsia="zh-CN"/>
        </w:rPr>
        <w:t>上午9</w:t>
      </w:r>
      <w:r>
        <w:rPr>
          <w:rFonts w:hint="eastAsia" w:asciiTheme="minorEastAsia" w:hAnsiTheme="minorEastAsia" w:cstheme="minorBidi"/>
          <w:color w:val="auto"/>
          <w:kern w:val="2"/>
          <w:sz w:val="21"/>
          <w:szCs w:val="21"/>
          <w:highlight w:val="none"/>
        </w:rPr>
        <w:t>:</w:t>
      </w:r>
      <w:r>
        <w:rPr>
          <w:rFonts w:hint="eastAsia" w:asciiTheme="minorEastAsia" w:hAnsiTheme="minorEastAsia" w:cstheme="minorBidi"/>
          <w:color w:val="auto"/>
          <w:kern w:val="2"/>
          <w:sz w:val="21"/>
          <w:szCs w:val="21"/>
          <w:highlight w:val="none"/>
          <w:lang w:val="en-US" w:eastAsia="zh-CN"/>
        </w:rPr>
        <w:t>00</w:t>
      </w:r>
      <w:r>
        <w:rPr>
          <w:rFonts w:hint="eastAsia" w:asciiTheme="minorEastAsia" w:hAnsiTheme="minorEastAsia" w:cstheme="minorBidi"/>
          <w:color w:val="auto"/>
          <w:kern w:val="2"/>
          <w:sz w:val="21"/>
          <w:szCs w:val="21"/>
          <w:highlight w:val="none"/>
        </w:rPr>
        <w:t>-</w:t>
      </w:r>
      <w:r>
        <w:rPr>
          <w:rFonts w:hint="eastAsia" w:asciiTheme="minorEastAsia" w:hAnsiTheme="minorEastAsia" w:cstheme="minorBidi"/>
          <w:color w:val="auto"/>
          <w:kern w:val="2"/>
          <w:sz w:val="21"/>
          <w:szCs w:val="21"/>
          <w:highlight w:val="none"/>
          <w:lang w:val="en-US" w:eastAsia="zh-CN"/>
        </w:rPr>
        <w:t>11</w:t>
      </w:r>
      <w:r>
        <w:rPr>
          <w:rFonts w:hint="eastAsia" w:asciiTheme="minorEastAsia" w:hAnsiTheme="minorEastAsia" w:cstheme="minorBidi"/>
          <w:color w:val="auto"/>
          <w:kern w:val="2"/>
          <w:sz w:val="21"/>
          <w:szCs w:val="21"/>
          <w:highlight w:val="none"/>
        </w:rPr>
        <w:t>:</w:t>
      </w:r>
      <w:r>
        <w:rPr>
          <w:rFonts w:hint="eastAsia" w:asciiTheme="minorEastAsia" w:hAnsiTheme="minorEastAsia" w:cstheme="minorBidi"/>
          <w:color w:val="auto"/>
          <w:kern w:val="2"/>
          <w:sz w:val="21"/>
          <w:szCs w:val="21"/>
          <w:highlight w:val="none"/>
          <w:lang w:val="en-US" w:eastAsia="zh-CN"/>
        </w:rPr>
        <w:t>00</w:t>
      </w:r>
      <w:r>
        <w:rPr>
          <w:rFonts w:hint="eastAsia" w:asciiTheme="minorEastAsia" w:hAnsiTheme="minorEastAsia" w:cstheme="minorBidi"/>
          <w:color w:val="auto"/>
          <w:kern w:val="2"/>
          <w:sz w:val="21"/>
          <w:szCs w:val="21"/>
          <w:highlight w:val="none"/>
        </w:rPr>
        <w:t>之间自带响应文件到南宁市青秀区教育路7号广西艺术学院雕塑楼1</w:t>
      </w:r>
      <w:bookmarkStart w:id="6" w:name="_GoBack"/>
      <w:bookmarkEnd w:id="6"/>
      <w:r>
        <w:rPr>
          <w:rFonts w:hint="eastAsia" w:asciiTheme="minorEastAsia" w:hAnsiTheme="minorEastAsia" w:cstheme="minorBidi"/>
          <w:color w:val="auto"/>
          <w:kern w:val="2"/>
          <w:sz w:val="21"/>
          <w:szCs w:val="21"/>
          <w:highlight w:val="none"/>
        </w:rPr>
        <w:t>07室，联系人：高老师，朱老师，李老师，联系电话：0771-5327987，逾期者被视为放弃响应资格。</w:t>
      </w:r>
    </w:p>
    <w:p w14:paraId="23E6F92B">
      <w:pPr>
        <w:pStyle w:val="2"/>
        <w:ind w:firstLine="420" w:firstLineChars="200"/>
        <w:rPr>
          <w:rFonts w:ascii="宋体" w:hAnsi="宋体" w:eastAsia="宋体" w:cs="宋体"/>
          <w:color w:val="auto"/>
          <w:szCs w:val="21"/>
          <w:highlight w:val="none"/>
          <w:shd w:val="clear" w:color="auto" w:fill="FFFFFF"/>
        </w:rPr>
      </w:pPr>
      <w:r>
        <w:rPr>
          <w:rFonts w:hint="eastAsia" w:asciiTheme="minorEastAsia" w:hAnsiTheme="minorEastAsia"/>
          <w:color w:val="auto"/>
          <w:szCs w:val="21"/>
          <w:highlight w:val="none"/>
        </w:rPr>
        <w:t>（二）</w:t>
      </w:r>
      <w:r>
        <w:rPr>
          <w:rFonts w:hint="eastAsia" w:ascii="宋体" w:hAnsi="宋体" w:eastAsia="宋体" w:cs="宋体"/>
          <w:color w:val="auto"/>
          <w:szCs w:val="21"/>
          <w:highlight w:val="none"/>
          <w:shd w:val="clear" w:color="auto" w:fill="FFFFFF"/>
        </w:rPr>
        <w:t>本次采购的相关信息（包括但不限于采购公告与附件及其修改、补充、澄清等，下同）在广西艺术学院主页的“机构设置-财务资产处-招标公告”栏（网址：https://cwc.gxau.edu.cn/zbgg2）上发布，本次采购的相关信息一经在上述网站发布，即视为已发送给供应商。供应商据此参与本次采购活动</w:t>
      </w:r>
      <w:r>
        <w:rPr>
          <w:rFonts w:hint="eastAsia"/>
          <w:color w:val="auto"/>
          <w:highlight w:val="none"/>
        </w:rPr>
        <w:t>并按时提交响应文件</w:t>
      </w:r>
      <w:r>
        <w:rPr>
          <w:rFonts w:hint="eastAsia" w:ascii="宋体" w:hAnsi="宋体" w:eastAsia="宋体" w:cs="宋体"/>
          <w:color w:val="auto"/>
          <w:szCs w:val="21"/>
          <w:highlight w:val="none"/>
          <w:shd w:val="clear" w:color="auto" w:fill="FFFFFF"/>
        </w:rPr>
        <w:t>，即视为对本次采购的相关信息、内容及规则没有异议。</w:t>
      </w:r>
      <w:bookmarkStart w:id="3" w:name="_Toc515355259"/>
    </w:p>
    <w:p w14:paraId="2812B524">
      <w:pPr>
        <w:rPr>
          <w:rFonts w:ascii="宋体" w:hAnsi="宋体" w:eastAsia="宋体" w:cs="宋体"/>
          <w:color w:val="auto"/>
          <w:szCs w:val="21"/>
          <w:highlight w:val="none"/>
          <w:shd w:val="clear" w:color="auto" w:fill="FFFFFF"/>
        </w:rPr>
      </w:pPr>
      <w:r>
        <w:rPr>
          <w:rFonts w:hint="eastAsia" w:ascii="宋体" w:hAnsi="宋体" w:eastAsia="宋体" w:cs="宋体"/>
          <w:color w:val="auto"/>
          <w:szCs w:val="21"/>
          <w:highlight w:val="none"/>
          <w:shd w:val="clear" w:color="auto" w:fill="FFFFFF"/>
        </w:rPr>
        <w:br w:type="page"/>
      </w:r>
    </w:p>
    <w:bookmarkEnd w:id="3"/>
    <w:p w14:paraId="49534EAB">
      <w:pPr>
        <w:spacing w:line="380" w:lineRule="exact"/>
        <w:jc w:val="left"/>
        <w:rPr>
          <w:b/>
          <w:color w:val="auto"/>
          <w:szCs w:val="21"/>
          <w:highlight w:val="none"/>
        </w:rPr>
      </w:pPr>
      <w:r>
        <w:rPr>
          <w:rFonts w:hint="eastAsia"/>
          <w:b/>
          <w:color w:val="auto"/>
          <w:szCs w:val="21"/>
          <w:highlight w:val="none"/>
        </w:rPr>
        <w:t>合同范本（以最终签订的版本为准）</w:t>
      </w:r>
    </w:p>
    <w:p w14:paraId="496E74D7">
      <w:pPr>
        <w:pStyle w:val="6"/>
        <w:widowControl/>
        <w:spacing w:beforeAutospacing="0" w:afterAutospacing="0" w:line="480" w:lineRule="auto"/>
        <w:jc w:val="center"/>
        <w:textAlignment w:val="baseline"/>
        <w:rPr>
          <w:rFonts w:asciiTheme="minorEastAsia" w:hAnsiTheme="minorEastAsia" w:cstheme="minorEastAsia"/>
          <w:b/>
          <w:color w:val="auto"/>
          <w:sz w:val="36"/>
          <w:szCs w:val="36"/>
          <w:highlight w:val="none"/>
        </w:rPr>
      </w:pPr>
    </w:p>
    <w:p w14:paraId="10D9F7E3">
      <w:pPr>
        <w:pStyle w:val="6"/>
        <w:widowControl/>
        <w:spacing w:beforeAutospacing="0" w:afterAutospacing="0" w:line="480" w:lineRule="auto"/>
        <w:jc w:val="center"/>
        <w:textAlignment w:val="baseline"/>
        <w:rPr>
          <w:rFonts w:asciiTheme="minorEastAsia" w:hAnsiTheme="minorEastAsia" w:cstheme="minorEastAsia"/>
          <w:b/>
          <w:color w:val="auto"/>
          <w:sz w:val="32"/>
          <w:szCs w:val="32"/>
          <w:highlight w:val="none"/>
        </w:rPr>
      </w:pPr>
      <w:r>
        <w:rPr>
          <w:rFonts w:hint="eastAsia" w:asciiTheme="minorEastAsia" w:hAnsiTheme="minorEastAsia" w:cstheme="minorEastAsia"/>
          <w:b/>
          <w:color w:val="auto"/>
          <w:sz w:val="32"/>
          <w:szCs w:val="32"/>
          <w:highlight w:val="none"/>
        </w:rPr>
        <w:t>广西艺术学院2026年-2028年办公区饮用水供应</w:t>
      </w:r>
    </w:p>
    <w:p w14:paraId="2D2A4549">
      <w:pPr>
        <w:pStyle w:val="6"/>
        <w:widowControl/>
        <w:spacing w:beforeAutospacing="0" w:afterAutospacing="0" w:line="480" w:lineRule="auto"/>
        <w:jc w:val="center"/>
        <w:textAlignment w:val="baseline"/>
        <w:rPr>
          <w:rFonts w:asciiTheme="minorEastAsia" w:hAnsiTheme="minorEastAsia" w:cstheme="minorEastAsia"/>
          <w:b/>
          <w:color w:val="auto"/>
          <w:sz w:val="32"/>
          <w:szCs w:val="32"/>
          <w:highlight w:val="none"/>
        </w:rPr>
      </w:pPr>
      <w:r>
        <w:rPr>
          <w:rFonts w:hint="eastAsia" w:asciiTheme="minorEastAsia" w:hAnsiTheme="minorEastAsia" w:cstheme="minorEastAsia"/>
          <w:b/>
          <w:color w:val="auto"/>
          <w:sz w:val="32"/>
          <w:szCs w:val="32"/>
          <w:highlight w:val="none"/>
        </w:rPr>
        <w:t>服务合同</w:t>
      </w:r>
    </w:p>
    <w:p w14:paraId="73C885FB">
      <w:pPr>
        <w:pStyle w:val="6"/>
        <w:widowControl/>
        <w:spacing w:beforeAutospacing="0" w:afterAutospacing="0" w:line="360" w:lineRule="auto"/>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订购方（甲方）：广西艺术学院</w:t>
      </w:r>
    </w:p>
    <w:p w14:paraId="049DC968">
      <w:pPr>
        <w:pStyle w:val="6"/>
        <w:widowControl/>
        <w:spacing w:beforeAutospacing="0" w:afterAutospacing="0" w:line="360" w:lineRule="auto"/>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配送方（乙方）：</w:t>
      </w:r>
    </w:p>
    <w:p w14:paraId="33221D79">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甲、乙双方本着公正、诚信、互惠互利、友好合作的原则，由乙方负责向甲方提供饮用水配送服务事宜，为保证双方的权益，立此协议。</w:t>
      </w:r>
    </w:p>
    <w:p w14:paraId="6BDC8F03">
      <w:pPr>
        <w:pStyle w:val="6"/>
        <w:widowControl/>
        <w:spacing w:beforeAutospacing="0" w:afterAutospacing="0" w:line="360" w:lineRule="auto"/>
        <w:textAlignment w:val="baseline"/>
        <w:rPr>
          <w:rFonts w:asciiTheme="minorEastAsia" w:hAnsiTheme="minorEastAsia" w:cstheme="minorEastAsia"/>
          <w:b/>
          <w:bCs/>
          <w:color w:val="auto"/>
          <w:sz w:val="21"/>
          <w:szCs w:val="21"/>
          <w:highlight w:val="none"/>
        </w:rPr>
      </w:pPr>
      <w:r>
        <w:rPr>
          <w:rFonts w:hint="eastAsia" w:asciiTheme="minorEastAsia" w:hAnsiTheme="minorEastAsia" w:cstheme="minorEastAsia"/>
          <w:b/>
          <w:bCs/>
          <w:color w:val="auto"/>
          <w:sz w:val="21"/>
          <w:szCs w:val="21"/>
          <w:highlight w:val="none"/>
        </w:rPr>
        <w:t>一、配送服务期限</w:t>
      </w:r>
    </w:p>
    <w:p w14:paraId="68D8009D">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shd w:val="clear" w:color="auto" w:fill="FFFFFF"/>
        </w:rPr>
      </w:pPr>
      <w:r>
        <w:rPr>
          <w:rFonts w:hint="eastAsia" w:asciiTheme="minorEastAsia" w:hAnsiTheme="minorEastAsia" w:cstheme="minorEastAsia"/>
          <w:color w:val="auto"/>
          <w:sz w:val="21"/>
          <w:szCs w:val="21"/>
          <w:highlight w:val="none"/>
        </w:rPr>
        <w:t>1.广西艺术学院（甲方）</w:t>
      </w:r>
      <w:bookmarkStart w:id="4" w:name="_Hlk176208657"/>
      <w:r>
        <w:rPr>
          <w:rFonts w:hint="eastAsia" w:asciiTheme="minorEastAsia" w:hAnsiTheme="minorEastAsia" w:cstheme="minorEastAsia"/>
          <w:color w:val="auto"/>
          <w:sz w:val="21"/>
          <w:szCs w:val="21"/>
          <w:highlight w:val="none"/>
          <w:shd w:val="clear" w:color="auto" w:fill="FFFFFF"/>
        </w:rPr>
        <w:t>南湖校区、相思湖校区共两个校区</w:t>
      </w:r>
      <w:bookmarkEnd w:id="4"/>
      <w:r>
        <w:rPr>
          <w:rFonts w:hint="eastAsia" w:asciiTheme="minorEastAsia" w:hAnsiTheme="minorEastAsia" w:cstheme="minorEastAsia"/>
          <w:color w:val="auto"/>
          <w:sz w:val="21"/>
          <w:szCs w:val="21"/>
          <w:highlight w:val="none"/>
          <w:shd w:val="clear" w:color="auto" w:fill="FFFFFF"/>
        </w:rPr>
        <w:t>办公区瓶装水及桶装水供应自签订合同之日起</w:t>
      </w:r>
      <w:r>
        <w:rPr>
          <w:rFonts w:asciiTheme="minorEastAsia" w:hAnsiTheme="minorEastAsia" w:cstheme="minorEastAsia"/>
          <w:color w:val="auto"/>
          <w:sz w:val="21"/>
          <w:szCs w:val="21"/>
          <w:highlight w:val="none"/>
          <w:shd w:val="clear" w:color="auto" w:fill="FFFFFF"/>
        </w:rPr>
        <w:t>2</w:t>
      </w:r>
      <w:r>
        <w:rPr>
          <w:rFonts w:hint="eastAsia" w:asciiTheme="minorEastAsia" w:hAnsiTheme="minorEastAsia" w:cstheme="minorEastAsia"/>
          <w:color w:val="auto"/>
          <w:sz w:val="21"/>
          <w:szCs w:val="21"/>
          <w:highlight w:val="none"/>
          <w:shd w:val="clear" w:color="auto" w:fill="FFFFFF"/>
        </w:rPr>
        <w:t>年。</w:t>
      </w:r>
    </w:p>
    <w:p w14:paraId="0A3449AC">
      <w:pPr>
        <w:widowControl/>
        <w:shd w:val="clear" w:color="auto" w:fill="FFFFFF"/>
        <w:spacing w:line="360" w:lineRule="auto"/>
        <w:ind w:firstLine="420" w:firstLineChars="200"/>
        <w:jc w:val="left"/>
        <w:textAlignment w:val="baseline"/>
        <w:rPr>
          <w:rFonts w:asciiTheme="minorEastAsia" w:hAnsiTheme="minorEastAsia" w:cstheme="minorEastAsia"/>
          <w:color w:val="auto"/>
          <w:kern w:val="0"/>
          <w:szCs w:val="21"/>
          <w:highlight w:val="none"/>
        </w:rPr>
      </w:pPr>
      <w:r>
        <w:rPr>
          <w:rFonts w:hint="eastAsia" w:asciiTheme="minorEastAsia" w:hAnsiTheme="minorEastAsia" w:cstheme="minorEastAsia"/>
          <w:color w:val="auto"/>
          <w:kern w:val="0"/>
          <w:szCs w:val="21"/>
          <w:highlight w:val="none"/>
        </w:rPr>
        <w:t>2.甲方将向各部门（单位）教职工提供成交供应商的供水信息（含电话、价格），供各部门（单位）自行选择、订购瓶装水及桶装水。</w:t>
      </w:r>
    </w:p>
    <w:p w14:paraId="60A7207C">
      <w:pPr>
        <w:pStyle w:val="6"/>
        <w:widowControl/>
        <w:spacing w:beforeAutospacing="0" w:afterAutospacing="0" w:line="360" w:lineRule="auto"/>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b/>
          <w:bCs/>
          <w:color w:val="auto"/>
          <w:sz w:val="21"/>
          <w:szCs w:val="21"/>
          <w:highlight w:val="none"/>
        </w:rPr>
        <w:t>二、供货内容</w:t>
      </w:r>
    </w:p>
    <w:p w14:paraId="6F579B6F">
      <w:pPr>
        <w:spacing w:line="360" w:lineRule="auto"/>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乙方向甲方供应办公饮用水（含瓶装水及桶装水），规格型号如下：</w:t>
      </w:r>
    </w:p>
    <w:tbl>
      <w:tblPr>
        <w:tblStyle w:val="8"/>
        <w:tblW w:w="51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3666"/>
        <w:gridCol w:w="2740"/>
        <w:gridCol w:w="1401"/>
      </w:tblGrid>
      <w:tr w14:paraId="6AF2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04" w:type="dxa"/>
            <w:vAlign w:val="center"/>
          </w:tcPr>
          <w:p w14:paraId="3A9367CD">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3666" w:type="dxa"/>
            <w:vAlign w:val="center"/>
          </w:tcPr>
          <w:p w14:paraId="2E9B0F51">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产品名称</w:t>
            </w:r>
          </w:p>
        </w:tc>
        <w:tc>
          <w:tcPr>
            <w:tcW w:w="2740" w:type="dxa"/>
            <w:vAlign w:val="center"/>
          </w:tcPr>
          <w:p w14:paraId="385A9CEB">
            <w:pPr>
              <w:widowControl/>
              <w:jc w:val="center"/>
              <w:rPr>
                <w:rFonts w:ascii="宋体" w:hAnsi="宋体" w:cs="宋体"/>
                <w:b/>
                <w:color w:val="auto"/>
                <w:kern w:val="0"/>
                <w:szCs w:val="21"/>
                <w:highlight w:val="none"/>
              </w:rPr>
            </w:pPr>
            <w:bookmarkStart w:id="5" w:name="_Hlk176208144"/>
            <w:r>
              <w:rPr>
                <w:rFonts w:hint="eastAsia" w:ascii="宋体" w:hAnsi="宋体" w:cs="宋体"/>
                <w:b/>
                <w:color w:val="auto"/>
                <w:kern w:val="0"/>
                <w:szCs w:val="21"/>
                <w:highlight w:val="none"/>
              </w:rPr>
              <w:t>规格型号</w:t>
            </w:r>
            <w:bookmarkEnd w:id="5"/>
          </w:p>
        </w:tc>
        <w:tc>
          <w:tcPr>
            <w:tcW w:w="1401" w:type="dxa"/>
            <w:vAlign w:val="center"/>
          </w:tcPr>
          <w:p w14:paraId="656D5774">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单位</w:t>
            </w:r>
          </w:p>
        </w:tc>
      </w:tr>
      <w:tr w14:paraId="3A340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04" w:type="dxa"/>
            <w:vAlign w:val="center"/>
          </w:tcPr>
          <w:p w14:paraId="39F8B601">
            <w:pPr>
              <w:widowControl/>
              <w:spacing w:line="360" w:lineRule="auto"/>
              <w:jc w:val="center"/>
              <w:rPr>
                <w:rFonts w:ascii="宋体" w:hAnsi="宋体" w:cs="宋体"/>
                <w:color w:val="auto"/>
                <w:kern w:val="0"/>
                <w:szCs w:val="21"/>
                <w:highlight w:val="none"/>
              </w:rPr>
            </w:pPr>
            <w:r>
              <w:rPr>
                <w:rFonts w:ascii="宋体" w:hAnsi="宋体" w:cs="宋体"/>
                <w:color w:val="auto"/>
                <w:kern w:val="0"/>
                <w:szCs w:val="21"/>
                <w:highlight w:val="none"/>
              </w:rPr>
              <w:t>1</w:t>
            </w:r>
          </w:p>
        </w:tc>
        <w:tc>
          <w:tcPr>
            <w:tcW w:w="3666" w:type="dxa"/>
            <w:vAlign w:val="center"/>
          </w:tcPr>
          <w:p w14:paraId="306622FE">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桶装水（循环桶）</w:t>
            </w:r>
          </w:p>
        </w:tc>
        <w:tc>
          <w:tcPr>
            <w:tcW w:w="2740" w:type="dxa"/>
            <w:vAlign w:val="center"/>
          </w:tcPr>
          <w:p w14:paraId="081C1B9A">
            <w:pPr>
              <w:widowControl/>
              <w:spacing w:line="360" w:lineRule="auto"/>
              <w:jc w:val="center"/>
              <w:rPr>
                <w:rFonts w:ascii="宋体" w:hAnsi="宋体" w:cs="宋体"/>
                <w:color w:val="auto"/>
                <w:kern w:val="0"/>
                <w:szCs w:val="21"/>
                <w:highlight w:val="none"/>
              </w:rPr>
            </w:pPr>
          </w:p>
        </w:tc>
        <w:tc>
          <w:tcPr>
            <w:tcW w:w="1401" w:type="dxa"/>
            <w:vAlign w:val="center"/>
          </w:tcPr>
          <w:p w14:paraId="53CEC090">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元/桶</w:t>
            </w:r>
          </w:p>
        </w:tc>
      </w:tr>
      <w:tr w14:paraId="3092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04" w:type="dxa"/>
            <w:vAlign w:val="center"/>
          </w:tcPr>
          <w:p w14:paraId="3C93FDFB">
            <w:pPr>
              <w:widowControl/>
              <w:spacing w:line="360" w:lineRule="auto"/>
              <w:jc w:val="center"/>
              <w:rPr>
                <w:rFonts w:ascii="宋体" w:hAnsi="宋体" w:cs="宋体"/>
                <w:color w:val="auto"/>
                <w:kern w:val="0"/>
                <w:szCs w:val="21"/>
                <w:highlight w:val="none"/>
              </w:rPr>
            </w:pPr>
            <w:r>
              <w:rPr>
                <w:rFonts w:ascii="宋体" w:hAnsi="宋体" w:cs="宋体"/>
                <w:color w:val="auto"/>
                <w:kern w:val="0"/>
                <w:szCs w:val="21"/>
                <w:highlight w:val="none"/>
              </w:rPr>
              <w:t>2</w:t>
            </w:r>
          </w:p>
        </w:tc>
        <w:tc>
          <w:tcPr>
            <w:tcW w:w="3666" w:type="dxa"/>
            <w:vAlign w:val="center"/>
          </w:tcPr>
          <w:p w14:paraId="32FBF81F">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桶装水（一次性桶）</w:t>
            </w:r>
          </w:p>
        </w:tc>
        <w:tc>
          <w:tcPr>
            <w:tcW w:w="2740" w:type="dxa"/>
            <w:vAlign w:val="center"/>
          </w:tcPr>
          <w:p w14:paraId="187F5D51">
            <w:pPr>
              <w:widowControl/>
              <w:spacing w:line="360" w:lineRule="auto"/>
              <w:jc w:val="center"/>
              <w:rPr>
                <w:rFonts w:ascii="宋体" w:hAnsi="宋体" w:cs="宋体"/>
                <w:color w:val="auto"/>
                <w:kern w:val="0"/>
                <w:szCs w:val="21"/>
                <w:highlight w:val="none"/>
              </w:rPr>
            </w:pPr>
          </w:p>
        </w:tc>
        <w:tc>
          <w:tcPr>
            <w:tcW w:w="1401" w:type="dxa"/>
            <w:vAlign w:val="center"/>
          </w:tcPr>
          <w:p w14:paraId="20C46F6B">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元/桶</w:t>
            </w:r>
          </w:p>
        </w:tc>
      </w:tr>
      <w:tr w14:paraId="2247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04" w:type="dxa"/>
            <w:vAlign w:val="center"/>
          </w:tcPr>
          <w:p w14:paraId="475BFEB6">
            <w:pPr>
              <w:widowControl/>
              <w:spacing w:line="360" w:lineRule="auto"/>
              <w:jc w:val="center"/>
              <w:rPr>
                <w:rFonts w:ascii="宋体" w:hAnsi="宋体" w:cs="宋体"/>
                <w:color w:val="auto"/>
                <w:kern w:val="0"/>
                <w:szCs w:val="21"/>
                <w:highlight w:val="none"/>
              </w:rPr>
            </w:pPr>
            <w:r>
              <w:rPr>
                <w:rFonts w:ascii="宋体" w:hAnsi="宋体" w:cs="宋体"/>
                <w:color w:val="auto"/>
                <w:kern w:val="0"/>
                <w:szCs w:val="21"/>
                <w:highlight w:val="none"/>
              </w:rPr>
              <w:t>3</w:t>
            </w:r>
          </w:p>
        </w:tc>
        <w:tc>
          <w:tcPr>
            <w:tcW w:w="3666" w:type="dxa"/>
            <w:vAlign w:val="center"/>
          </w:tcPr>
          <w:p w14:paraId="2AB26DEA">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瓶装水（小瓶）</w:t>
            </w:r>
          </w:p>
        </w:tc>
        <w:tc>
          <w:tcPr>
            <w:tcW w:w="2740" w:type="dxa"/>
            <w:vAlign w:val="center"/>
          </w:tcPr>
          <w:p w14:paraId="5CE8E9A2">
            <w:pPr>
              <w:widowControl/>
              <w:spacing w:line="360" w:lineRule="auto"/>
              <w:jc w:val="center"/>
              <w:rPr>
                <w:rFonts w:ascii="宋体" w:hAnsi="宋体" w:cs="宋体"/>
                <w:color w:val="auto"/>
                <w:kern w:val="0"/>
                <w:szCs w:val="21"/>
                <w:highlight w:val="none"/>
              </w:rPr>
            </w:pPr>
          </w:p>
        </w:tc>
        <w:tc>
          <w:tcPr>
            <w:tcW w:w="1401" w:type="dxa"/>
            <w:vAlign w:val="center"/>
          </w:tcPr>
          <w:p w14:paraId="5FEA1A3B">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元/箱</w:t>
            </w:r>
          </w:p>
        </w:tc>
      </w:tr>
      <w:tr w14:paraId="7DCC8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04" w:type="dxa"/>
            <w:vAlign w:val="center"/>
          </w:tcPr>
          <w:p w14:paraId="797119CF">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4</w:t>
            </w:r>
          </w:p>
        </w:tc>
        <w:tc>
          <w:tcPr>
            <w:tcW w:w="3666" w:type="dxa"/>
            <w:vAlign w:val="center"/>
          </w:tcPr>
          <w:p w14:paraId="7A39FE8C">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瓶装水（中瓶）</w:t>
            </w:r>
          </w:p>
        </w:tc>
        <w:tc>
          <w:tcPr>
            <w:tcW w:w="2740" w:type="dxa"/>
            <w:vAlign w:val="center"/>
          </w:tcPr>
          <w:p w14:paraId="6EC89966">
            <w:pPr>
              <w:widowControl/>
              <w:spacing w:line="360" w:lineRule="auto"/>
              <w:jc w:val="center"/>
              <w:rPr>
                <w:rFonts w:ascii="宋体" w:hAnsi="宋体" w:cs="宋体"/>
                <w:color w:val="auto"/>
                <w:kern w:val="0"/>
                <w:szCs w:val="21"/>
                <w:highlight w:val="none"/>
              </w:rPr>
            </w:pPr>
          </w:p>
        </w:tc>
        <w:tc>
          <w:tcPr>
            <w:tcW w:w="1401" w:type="dxa"/>
            <w:vAlign w:val="center"/>
          </w:tcPr>
          <w:p w14:paraId="18420179">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元/箱</w:t>
            </w:r>
          </w:p>
        </w:tc>
      </w:tr>
    </w:tbl>
    <w:p w14:paraId="145052F7">
      <w:pPr>
        <w:pStyle w:val="6"/>
        <w:widowControl/>
        <w:spacing w:beforeAutospacing="0" w:afterAutospacing="0" w:line="500" w:lineRule="exact"/>
        <w:textAlignment w:val="baseline"/>
        <w:rPr>
          <w:rFonts w:asciiTheme="minorEastAsia" w:hAnsiTheme="minorEastAsia" w:cstheme="minorEastAsia"/>
          <w:b/>
          <w:bCs/>
          <w:color w:val="auto"/>
          <w:sz w:val="21"/>
          <w:szCs w:val="21"/>
          <w:highlight w:val="none"/>
        </w:rPr>
      </w:pPr>
      <w:r>
        <w:rPr>
          <w:rFonts w:hint="eastAsia" w:asciiTheme="minorEastAsia" w:hAnsiTheme="minorEastAsia" w:cstheme="minorEastAsia"/>
          <w:b/>
          <w:bCs/>
          <w:color w:val="auto"/>
          <w:sz w:val="21"/>
          <w:szCs w:val="21"/>
          <w:highlight w:val="none"/>
        </w:rPr>
        <w:t>三、商品价格</w:t>
      </w:r>
    </w:p>
    <w:tbl>
      <w:tblPr>
        <w:tblStyle w:val="8"/>
        <w:tblW w:w="5189" w:type="pct"/>
        <w:jc w:val="center"/>
        <w:tblLayout w:type="fixed"/>
        <w:tblCellMar>
          <w:top w:w="0" w:type="dxa"/>
          <w:left w:w="30" w:type="dxa"/>
          <w:bottom w:w="0" w:type="dxa"/>
          <w:right w:w="30" w:type="dxa"/>
        </w:tblCellMar>
      </w:tblPr>
      <w:tblGrid>
        <w:gridCol w:w="584"/>
        <w:gridCol w:w="1188"/>
        <w:gridCol w:w="2291"/>
        <w:gridCol w:w="1021"/>
        <w:gridCol w:w="925"/>
        <w:gridCol w:w="1748"/>
        <w:gridCol w:w="925"/>
      </w:tblGrid>
      <w:tr w14:paraId="138DC105">
        <w:tblPrEx>
          <w:tblCellMar>
            <w:top w:w="0" w:type="dxa"/>
            <w:left w:w="30" w:type="dxa"/>
            <w:bottom w:w="0" w:type="dxa"/>
            <w:right w:w="30" w:type="dxa"/>
          </w:tblCellMar>
        </w:tblPrEx>
        <w:trPr>
          <w:trHeight w:val="788" w:hRule="atLeast"/>
          <w:jc w:val="center"/>
        </w:trPr>
        <w:tc>
          <w:tcPr>
            <w:tcW w:w="584" w:type="dxa"/>
            <w:tcBorders>
              <w:top w:val="single" w:color="auto" w:sz="6" w:space="0"/>
              <w:left w:val="single" w:color="auto" w:sz="6" w:space="0"/>
              <w:bottom w:val="single" w:color="auto" w:sz="6" w:space="0"/>
              <w:right w:val="single" w:color="auto" w:sz="6" w:space="0"/>
            </w:tcBorders>
            <w:shd w:val="clear" w:color="auto" w:fill="auto"/>
            <w:vAlign w:val="center"/>
          </w:tcPr>
          <w:p w14:paraId="5A40B377">
            <w:pPr>
              <w:autoSpaceDE w:val="0"/>
              <w:autoSpaceDN w:val="0"/>
              <w:adjustRightInd w:val="0"/>
              <w:jc w:val="center"/>
              <w:rPr>
                <w:rFonts w:cs="Arial"/>
                <w:b/>
                <w:bCs/>
                <w:color w:val="auto"/>
                <w:szCs w:val="21"/>
                <w:highlight w:val="none"/>
              </w:rPr>
            </w:pPr>
            <w:r>
              <w:rPr>
                <w:rFonts w:hint="eastAsia" w:cs="Arial"/>
                <w:b/>
                <w:bCs/>
                <w:color w:val="auto"/>
                <w:szCs w:val="21"/>
                <w:highlight w:val="none"/>
              </w:rPr>
              <w:t>序号</w:t>
            </w:r>
          </w:p>
        </w:tc>
        <w:tc>
          <w:tcPr>
            <w:tcW w:w="1188" w:type="dxa"/>
            <w:tcBorders>
              <w:top w:val="single" w:color="auto" w:sz="6" w:space="0"/>
              <w:left w:val="nil"/>
              <w:bottom w:val="single" w:color="auto" w:sz="6" w:space="0"/>
              <w:right w:val="single" w:color="auto" w:sz="4" w:space="0"/>
            </w:tcBorders>
            <w:shd w:val="clear" w:color="auto" w:fill="auto"/>
            <w:vAlign w:val="center"/>
          </w:tcPr>
          <w:p w14:paraId="38BA9959">
            <w:pPr>
              <w:autoSpaceDE w:val="0"/>
              <w:autoSpaceDN w:val="0"/>
              <w:adjustRightInd w:val="0"/>
              <w:jc w:val="center"/>
              <w:rPr>
                <w:rFonts w:cs="Arial"/>
                <w:b/>
                <w:bCs/>
                <w:color w:val="auto"/>
                <w:szCs w:val="21"/>
                <w:highlight w:val="none"/>
              </w:rPr>
            </w:pPr>
            <w:r>
              <w:rPr>
                <w:rFonts w:hint="eastAsia" w:cs="Arial"/>
                <w:b/>
                <w:bCs/>
                <w:color w:val="auto"/>
                <w:szCs w:val="21"/>
                <w:highlight w:val="none"/>
              </w:rPr>
              <w:t>产品名称</w:t>
            </w:r>
          </w:p>
        </w:tc>
        <w:tc>
          <w:tcPr>
            <w:tcW w:w="2291" w:type="dxa"/>
            <w:tcBorders>
              <w:top w:val="single" w:color="auto" w:sz="4" w:space="0"/>
              <w:left w:val="single" w:color="auto" w:sz="4" w:space="0"/>
              <w:bottom w:val="single" w:color="auto" w:sz="4" w:space="0"/>
              <w:right w:val="single" w:color="auto" w:sz="4" w:space="0"/>
            </w:tcBorders>
            <w:shd w:val="clear" w:color="auto" w:fill="auto"/>
            <w:vAlign w:val="center"/>
          </w:tcPr>
          <w:p w14:paraId="65911D79">
            <w:pPr>
              <w:autoSpaceDE w:val="0"/>
              <w:autoSpaceDN w:val="0"/>
              <w:adjustRightInd w:val="0"/>
              <w:jc w:val="center"/>
              <w:rPr>
                <w:rFonts w:cs="Arial"/>
                <w:b/>
                <w:bCs/>
                <w:color w:val="auto"/>
                <w:szCs w:val="21"/>
                <w:highlight w:val="none"/>
              </w:rPr>
            </w:pPr>
            <w:r>
              <w:rPr>
                <w:rFonts w:hint="eastAsia" w:cs="Arial"/>
                <w:b/>
                <w:bCs/>
                <w:color w:val="auto"/>
                <w:szCs w:val="21"/>
                <w:highlight w:val="none"/>
              </w:rPr>
              <w:t>品牌、生产厂家</w:t>
            </w:r>
          </w:p>
        </w:tc>
        <w:tc>
          <w:tcPr>
            <w:tcW w:w="1021" w:type="dxa"/>
            <w:tcBorders>
              <w:top w:val="single" w:color="auto" w:sz="6" w:space="0"/>
              <w:left w:val="single" w:color="auto" w:sz="4" w:space="0"/>
              <w:bottom w:val="single" w:color="auto" w:sz="6" w:space="0"/>
              <w:right w:val="single" w:color="auto" w:sz="4" w:space="0"/>
            </w:tcBorders>
            <w:shd w:val="clear" w:color="auto" w:fill="auto"/>
            <w:vAlign w:val="center"/>
          </w:tcPr>
          <w:p w14:paraId="16C3E7EB">
            <w:pPr>
              <w:autoSpaceDE w:val="0"/>
              <w:autoSpaceDN w:val="0"/>
              <w:adjustRightInd w:val="0"/>
              <w:jc w:val="center"/>
              <w:rPr>
                <w:rFonts w:cs="Arial"/>
                <w:b/>
                <w:bCs/>
                <w:color w:val="auto"/>
                <w:szCs w:val="21"/>
                <w:highlight w:val="none"/>
              </w:rPr>
            </w:pPr>
            <w:r>
              <w:rPr>
                <w:rFonts w:hint="eastAsia" w:cs="Arial"/>
                <w:b/>
                <w:bCs/>
                <w:color w:val="auto"/>
                <w:szCs w:val="21"/>
                <w:highlight w:val="none"/>
              </w:rPr>
              <w:t>规格型号</w:t>
            </w:r>
          </w:p>
        </w:tc>
        <w:tc>
          <w:tcPr>
            <w:tcW w:w="925" w:type="dxa"/>
            <w:tcBorders>
              <w:top w:val="single" w:color="auto" w:sz="6" w:space="0"/>
              <w:left w:val="single" w:color="auto" w:sz="4" w:space="0"/>
              <w:bottom w:val="single" w:color="auto" w:sz="6" w:space="0"/>
              <w:right w:val="single" w:color="auto" w:sz="4" w:space="0"/>
            </w:tcBorders>
            <w:shd w:val="clear" w:color="auto" w:fill="auto"/>
            <w:vAlign w:val="center"/>
          </w:tcPr>
          <w:p w14:paraId="6F732AE9">
            <w:pPr>
              <w:autoSpaceDE w:val="0"/>
              <w:autoSpaceDN w:val="0"/>
              <w:adjustRightInd w:val="0"/>
              <w:jc w:val="center"/>
              <w:rPr>
                <w:rFonts w:cs="Arial"/>
                <w:b/>
                <w:bCs/>
                <w:color w:val="auto"/>
                <w:szCs w:val="21"/>
                <w:highlight w:val="none"/>
              </w:rPr>
            </w:pPr>
            <w:r>
              <w:rPr>
                <w:rFonts w:hint="eastAsia" w:cs="Arial"/>
                <w:b/>
                <w:bCs/>
                <w:color w:val="auto"/>
                <w:szCs w:val="21"/>
                <w:highlight w:val="none"/>
              </w:rPr>
              <w:t>单位</w:t>
            </w:r>
          </w:p>
        </w:tc>
        <w:tc>
          <w:tcPr>
            <w:tcW w:w="1748" w:type="dxa"/>
            <w:tcBorders>
              <w:top w:val="single" w:color="auto" w:sz="6" w:space="0"/>
              <w:left w:val="single" w:color="auto" w:sz="4" w:space="0"/>
              <w:bottom w:val="single" w:color="auto" w:sz="6" w:space="0"/>
              <w:right w:val="single" w:color="auto" w:sz="6" w:space="0"/>
            </w:tcBorders>
            <w:shd w:val="clear" w:color="auto" w:fill="auto"/>
            <w:vAlign w:val="center"/>
          </w:tcPr>
          <w:p w14:paraId="6A25EB1B">
            <w:pPr>
              <w:autoSpaceDE w:val="0"/>
              <w:autoSpaceDN w:val="0"/>
              <w:adjustRightInd w:val="0"/>
              <w:jc w:val="center"/>
              <w:rPr>
                <w:rFonts w:cs="Arial"/>
                <w:b/>
                <w:bCs/>
                <w:color w:val="auto"/>
                <w:szCs w:val="21"/>
                <w:highlight w:val="none"/>
              </w:rPr>
            </w:pPr>
            <w:r>
              <w:rPr>
                <w:rFonts w:hint="eastAsia" w:cs="Arial"/>
                <w:b/>
                <w:bCs/>
                <w:color w:val="auto"/>
                <w:szCs w:val="21"/>
                <w:highlight w:val="none"/>
              </w:rPr>
              <w:t>价格（元）</w:t>
            </w:r>
          </w:p>
        </w:tc>
        <w:tc>
          <w:tcPr>
            <w:tcW w:w="925" w:type="dxa"/>
            <w:tcBorders>
              <w:top w:val="single" w:color="auto" w:sz="6" w:space="0"/>
              <w:left w:val="nil"/>
              <w:bottom w:val="single" w:color="auto" w:sz="6" w:space="0"/>
              <w:right w:val="single" w:color="auto" w:sz="6" w:space="0"/>
            </w:tcBorders>
            <w:shd w:val="clear" w:color="auto" w:fill="auto"/>
            <w:vAlign w:val="center"/>
          </w:tcPr>
          <w:p w14:paraId="3A338D9B">
            <w:pPr>
              <w:autoSpaceDE w:val="0"/>
              <w:autoSpaceDN w:val="0"/>
              <w:adjustRightInd w:val="0"/>
              <w:jc w:val="center"/>
              <w:rPr>
                <w:rFonts w:cs="Arial"/>
                <w:b/>
                <w:bCs/>
                <w:color w:val="auto"/>
                <w:szCs w:val="21"/>
                <w:highlight w:val="none"/>
              </w:rPr>
            </w:pPr>
            <w:r>
              <w:rPr>
                <w:rFonts w:hint="eastAsia" w:cs="Arial"/>
                <w:b/>
                <w:bCs/>
                <w:color w:val="auto"/>
                <w:szCs w:val="21"/>
                <w:highlight w:val="none"/>
              </w:rPr>
              <w:t>备注</w:t>
            </w:r>
          </w:p>
        </w:tc>
      </w:tr>
      <w:tr w14:paraId="34BB5FC4">
        <w:tblPrEx>
          <w:tblCellMar>
            <w:top w:w="0" w:type="dxa"/>
            <w:left w:w="30" w:type="dxa"/>
            <w:bottom w:w="0" w:type="dxa"/>
            <w:right w:w="30" w:type="dxa"/>
          </w:tblCellMar>
        </w:tblPrEx>
        <w:trPr>
          <w:trHeight w:val="522" w:hRule="atLeast"/>
          <w:jc w:val="center"/>
        </w:trPr>
        <w:tc>
          <w:tcPr>
            <w:tcW w:w="584" w:type="dxa"/>
            <w:tcBorders>
              <w:top w:val="single" w:color="auto" w:sz="6" w:space="0"/>
              <w:left w:val="single" w:color="auto" w:sz="6" w:space="0"/>
              <w:bottom w:val="single" w:color="auto" w:sz="6" w:space="0"/>
              <w:right w:val="single" w:color="auto" w:sz="6" w:space="0"/>
            </w:tcBorders>
            <w:vAlign w:val="center"/>
          </w:tcPr>
          <w:p w14:paraId="6F4899F7">
            <w:pPr>
              <w:autoSpaceDE w:val="0"/>
              <w:autoSpaceDN w:val="0"/>
              <w:adjustRightInd w:val="0"/>
              <w:jc w:val="center"/>
              <w:rPr>
                <w:rFonts w:cs="Arial"/>
                <w:color w:val="auto"/>
                <w:szCs w:val="21"/>
                <w:highlight w:val="none"/>
              </w:rPr>
            </w:pPr>
            <w:r>
              <w:rPr>
                <w:rFonts w:ascii="宋体" w:hAnsi="宋体" w:cs="宋体"/>
                <w:color w:val="auto"/>
                <w:szCs w:val="21"/>
                <w:highlight w:val="none"/>
              </w:rPr>
              <w:t>1</w:t>
            </w:r>
          </w:p>
        </w:tc>
        <w:tc>
          <w:tcPr>
            <w:tcW w:w="1188" w:type="dxa"/>
            <w:tcBorders>
              <w:top w:val="single" w:color="auto" w:sz="6" w:space="0"/>
              <w:left w:val="nil"/>
              <w:bottom w:val="single" w:color="auto" w:sz="6" w:space="0"/>
              <w:right w:val="single" w:color="auto" w:sz="4" w:space="0"/>
            </w:tcBorders>
            <w:vAlign w:val="center"/>
          </w:tcPr>
          <w:p w14:paraId="096D7EFA">
            <w:pPr>
              <w:jc w:val="center"/>
              <w:rPr>
                <w:rFonts w:cs="Arial"/>
                <w:color w:val="auto"/>
                <w:szCs w:val="21"/>
                <w:highlight w:val="none"/>
              </w:rPr>
            </w:pPr>
            <w:r>
              <w:rPr>
                <w:rFonts w:hint="eastAsia" w:ascii="宋体" w:hAnsi="宋体" w:cs="宋体"/>
                <w:color w:val="auto"/>
                <w:szCs w:val="21"/>
                <w:highlight w:val="none"/>
              </w:rPr>
              <w:t>桶装水（循环桶）</w:t>
            </w:r>
          </w:p>
        </w:tc>
        <w:tc>
          <w:tcPr>
            <w:tcW w:w="2291" w:type="dxa"/>
            <w:tcBorders>
              <w:top w:val="single" w:color="auto" w:sz="4" w:space="0"/>
              <w:left w:val="single" w:color="auto" w:sz="4" w:space="0"/>
              <w:bottom w:val="single" w:color="auto" w:sz="4" w:space="0"/>
              <w:right w:val="single" w:color="auto" w:sz="4" w:space="0"/>
            </w:tcBorders>
            <w:vAlign w:val="center"/>
          </w:tcPr>
          <w:p w14:paraId="1945B57A">
            <w:pPr>
              <w:jc w:val="center"/>
              <w:rPr>
                <w:rFonts w:cs="宋体"/>
                <w:color w:val="auto"/>
                <w:szCs w:val="21"/>
                <w:highlight w:val="none"/>
              </w:rPr>
            </w:pPr>
          </w:p>
        </w:tc>
        <w:tc>
          <w:tcPr>
            <w:tcW w:w="1021" w:type="dxa"/>
            <w:tcBorders>
              <w:top w:val="single" w:color="auto" w:sz="6" w:space="0"/>
              <w:left w:val="single" w:color="auto" w:sz="4" w:space="0"/>
              <w:bottom w:val="single" w:color="auto" w:sz="6" w:space="0"/>
              <w:right w:val="single" w:color="auto" w:sz="4" w:space="0"/>
            </w:tcBorders>
            <w:vAlign w:val="center"/>
          </w:tcPr>
          <w:p w14:paraId="4CE013CB">
            <w:pPr>
              <w:jc w:val="center"/>
              <w:rPr>
                <w:color w:val="auto"/>
                <w:szCs w:val="21"/>
                <w:highlight w:val="none"/>
              </w:rPr>
            </w:pPr>
          </w:p>
        </w:tc>
        <w:tc>
          <w:tcPr>
            <w:tcW w:w="925" w:type="dxa"/>
            <w:tcBorders>
              <w:top w:val="single" w:color="auto" w:sz="6" w:space="0"/>
              <w:left w:val="single" w:color="auto" w:sz="4" w:space="0"/>
              <w:bottom w:val="single" w:color="auto" w:sz="6" w:space="0"/>
              <w:right w:val="single" w:color="auto" w:sz="4" w:space="0"/>
            </w:tcBorders>
            <w:vAlign w:val="center"/>
          </w:tcPr>
          <w:p w14:paraId="61053A0D">
            <w:pPr>
              <w:autoSpaceDE w:val="0"/>
              <w:autoSpaceDN w:val="0"/>
              <w:adjustRightInd w:val="0"/>
              <w:jc w:val="center"/>
              <w:rPr>
                <w:rFonts w:cs="Arial"/>
                <w:color w:val="auto"/>
                <w:szCs w:val="21"/>
                <w:highlight w:val="none"/>
              </w:rPr>
            </w:pPr>
            <w:r>
              <w:rPr>
                <w:rFonts w:hint="eastAsia" w:ascii="宋体" w:hAnsi="宋体" w:cs="宋体"/>
                <w:color w:val="auto"/>
                <w:szCs w:val="21"/>
                <w:highlight w:val="none"/>
              </w:rPr>
              <w:t>元/桶</w:t>
            </w:r>
          </w:p>
        </w:tc>
        <w:tc>
          <w:tcPr>
            <w:tcW w:w="1748" w:type="dxa"/>
            <w:tcBorders>
              <w:top w:val="single" w:color="auto" w:sz="6" w:space="0"/>
              <w:left w:val="single" w:color="auto" w:sz="4" w:space="0"/>
              <w:bottom w:val="single" w:color="auto" w:sz="6" w:space="0"/>
              <w:right w:val="single" w:color="auto" w:sz="6" w:space="0"/>
            </w:tcBorders>
            <w:vAlign w:val="center"/>
          </w:tcPr>
          <w:p w14:paraId="59057E3D">
            <w:pPr>
              <w:autoSpaceDE w:val="0"/>
              <w:autoSpaceDN w:val="0"/>
              <w:adjustRightInd w:val="0"/>
              <w:jc w:val="center"/>
              <w:rPr>
                <w:rFonts w:cs="Arial"/>
                <w:color w:val="auto"/>
                <w:szCs w:val="21"/>
                <w:highlight w:val="none"/>
              </w:rPr>
            </w:pPr>
          </w:p>
        </w:tc>
        <w:tc>
          <w:tcPr>
            <w:tcW w:w="925" w:type="dxa"/>
            <w:tcBorders>
              <w:top w:val="single" w:color="auto" w:sz="6" w:space="0"/>
              <w:left w:val="nil"/>
              <w:bottom w:val="single" w:color="auto" w:sz="6" w:space="0"/>
              <w:right w:val="single" w:color="auto" w:sz="6" w:space="0"/>
            </w:tcBorders>
            <w:vAlign w:val="center"/>
          </w:tcPr>
          <w:p w14:paraId="59D8729F">
            <w:pPr>
              <w:jc w:val="center"/>
              <w:rPr>
                <w:rFonts w:cs="Arial"/>
                <w:color w:val="auto"/>
                <w:szCs w:val="21"/>
                <w:highlight w:val="none"/>
              </w:rPr>
            </w:pPr>
          </w:p>
        </w:tc>
      </w:tr>
      <w:tr w14:paraId="32B13432">
        <w:tblPrEx>
          <w:tblCellMar>
            <w:top w:w="0" w:type="dxa"/>
            <w:left w:w="30" w:type="dxa"/>
            <w:bottom w:w="0" w:type="dxa"/>
            <w:right w:w="30" w:type="dxa"/>
          </w:tblCellMar>
        </w:tblPrEx>
        <w:trPr>
          <w:trHeight w:val="597" w:hRule="atLeast"/>
          <w:jc w:val="center"/>
        </w:trPr>
        <w:tc>
          <w:tcPr>
            <w:tcW w:w="584" w:type="dxa"/>
            <w:tcBorders>
              <w:top w:val="single" w:color="auto" w:sz="6" w:space="0"/>
              <w:left w:val="single" w:color="auto" w:sz="6" w:space="0"/>
              <w:bottom w:val="single" w:color="auto" w:sz="6" w:space="0"/>
              <w:right w:val="single" w:color="auto" w:sz="6" w:space="0"/>
            </w:tcBorders>
            <w:vAlign w:val="center"/>
          </w:tcPr>
          <w:p w14:paraId="5B069568">
            <w:pPr>
              <w:autoSpaceDE w:val="0"/>
              <w:autoSpaceDN w:val="0"/>
              <w:adjustRightInd w:val="0"/>
              <w:jc w:val="center"/>
              <w:rPr>
                <w:rFonts w:cs="Arial"/>
                <w:color w:val="auto"/>
                <w:szCs w:val="21"/>
                <w:highlight w:val="none"/>
              </w:rPr>
            </w:pPr>
            <w:r>
              <w:rPr>
                <w:rFonts w:ascii="宋体" w:hAnsi="宋体" w:cs="宋体"/>
                <w:color w:val="auto"/>
                <w:szCs w:val="21"/>
                <w:highlight w:val="none"/>
              </w:rPr>
              <w:t>2</w:t>
            </w:r>
          </w:p>
        </w:tc>
        <w:tc>
          <w:tcPr>
            <w:tcW w:w="1188" w:type="dxa"/>
            <w:tcBorders>
              <w:top w:val="single" w:color="auto" w:sz="6" w:space="0"/>
              <w:left w:val="nil"/>
              <w:bottom w:val="single" w:color="auto" w:sz="6" w:space="0"/>
              <w:right w:val="single" w:color="auto" w:sz="4" w:space="0"/>
            </w:tcBorders>
            <w:vAlign w:val="center"/>
          </w:tcPr>
          <w:p w14:paraId="1AB302D6">
            <w:pPr>
              <w:jc w:val="center"/>
              <w:rPr>
                <w:rFonts w:cs="Arial"/>
                <w:color w:val="auto"/>
                <w:szCs w:val="21"/>
                <w:highlight w:val="none"/>
              </w:rPr>
            </w:pPr>
            <w:r>
              <w:rPr>
                <w:rFonts w:hint="eastAsia" w:ascii="宋体" w:hAnsi="宋体" w:cs="宋体"/>
                <w:color w:val="auto"/>
                <w:szCs w:val="21"/>
                <w:highlight w:val="none"/>
              </w:rPr>
              <w:t>桶装水（一次性桶）</w:t>
            </w:r>
          </w:p>
        </w:tc>
        <w:tc>
          <w:tcPr>
            <w:tcW w:w="2291" w:type="dxa"/>
            <w:tcBorders>
              <w:top w:val="single" w:color="auto" w:sz="4" w:space="0"/>
              <w:left w:val="single" w:color="auto" w:sz="4" w:space="0"/>
              <w:bottom w:val="single" w:color="auto" w:sz="4" w:space="0"/>
              <w:right w:val="single" w:color="auto" w:sz="4" w:space="0"/>
            </w:tcBorders>
            <w:vAlign w:val="center"/>
          </w:tcPr>
          <w:p w14:paraId="7C2484F3">
            <w:pPr>
              <w:jc w:val="center"/>
              <w:rPr>
                <w:rFonts w:cs="宋体"/>
                <w:color w:val="auto"/>
                <w:szCs w:val="21"/>
                <w:highlight w:val="none"/>
              </w:rPr>
            </w:pPr>
          </w:p>
        </w:tc>
        <w:tc>
          <w:tcPr>
            <w:tcW w:w="1021" w:type="dxa"/>
            <w:tcBorders>
              <w:top w:val="single" w:color="auto" w:sz="6" w:space="0"/>
              <w:left w:val="single" w:color="auto" w:sz="4" w:space="0"/>
              <w:bottom w:val="single" w:color="auto" w:sz="6" w:space="0"/>
              <w:right w:val="single" w:color="auto" w:sz="4" w:space="0"/>
            </w:tcBorders>
            <w:vAlign w:val="center"/>
          </w:tcPr>
          <w:p w14:paraId="49B75B9D">
            <w:pPr>
              <w:jc w:val="center"/>
              <w:rPr>
                <w:color w:val="auto"/>
                <w:szCs w:val="21"/>
                <w:highlight w:val="none"/>
              </w:rPr>
            </w:pPr>
          </w:p>
        </w:tc>
        <w:tc>
          <w:tcPr>
            <w:tcW w:w="925" w:type="dxa"/>
            <w:tcBorders>
              <w:top w:val="single" w:color="auto" w:sz="6" w:space="0"/>
              <w:left w:val="single" w:color="auto" w:sz="4" w:space="0"/>
              <w:bottom w:val="single" w:color="auto" w:sz="6" w:space="0"/>
              <w:right w:val="single" w:color="auto" w:sz="4" w:space="0"/>
            </w:tcBorders>
            <w:vAlign w:val="center"/>
          </w:tcPr>
          <w:p w14:paraId="1A3DF5E0">
            <w:pPr>
              <w:autoSpaceDE w:val="0"/>
              <w:autoSpaceDN w:val="0"/>
              <w:adjustRightInd w:val="0"/>
              <w:jc w:val="center"/>
              <w:rPr>
                <w:rFonts w:cs="Arial"/>
                <w:color w:val="auto"/>
                <w:szCs w:val="21"/>
                <w:highlight w:val="none"/>
              </w:rPr>
            </w:pPr>
            <w:r>
              <w:rPr>
                <w:rFonts w:hint="eastAsia" w:ascii="宋体" w:hAnsi="宋体" w:cs="宋体"/>
                <w:color w:val="auto"/>
                <w:szCs w:val="21"/>
                <w:highlight w:val="none"/>
              </w:rPr>
              <w:t>元/桶</w:t>
            </w:r>
          </w:p>
        </w:tc>
        <w:tc>
          <w:tcPr>
            <w:tcW w:w="1748" w:type="dxa"/>
            <w:tcBorders>
              <w:top w:val="single" w:color="auto" w:sz="6" w:space="0"/>
              <w:left w:val="single" w:color="auto" w:sz="4" w:space="0"/>
              <w:bottom w:val="single" w:color="auto" w:sz="6" w:space="0"/>
              <w:right w:val="single" w:color="auto" w:sz="6" w:space="0"/>
            </w:tcBorders>
            <w:vAlign w:val="center"/>
          </w:tcPr>
          <w:p w14:paraId="4C526C11">
            <w:pPr>
              <w:autoSpaceDE w:val="0"/>
              <w:autoSpaceDN w:val="0"/>
              <w:adjustRightInd w:val="0"/>
              <w:jc w:val="center"/>
              <w:rPr>
                <w:rFonts w:cs="Arial"/>
                <w:color w:val="auto"/>
                <w:szCs w:val="21"/>
                <w:highlight w:val="none"/>
              </w:rPr>
            </w:pPr>
          </w:p>
        </w:tc>
        <w:tc>
          <w:tcPr>
            <w:tcW w:w="925" w:type="dxa"/>
            <w:tcBorders>
              <w:top w:val="single" w:color="auto" w:sz="6" w:space="0"/>
              <w:left w:val="nil"/>
              <w:bottom w:val="single" w:color="auto" w:sz="6" w:space="0"/>
              <w:right w:val="single" w:color="auto" w:sz="6" w:space="0"/>
            </w:tcBorders>
            <w:vAlign w:val="center"/>
          </w:tcPr>
          <w:p w14:paraId="68A2C7D6">
            <w:pPr>
              <w:jc w:val="center"/>
              <w:rPr>
                <w:rFonts w:cs="Arial"/>
                <w:color w:val="auto"/>
                <w:szCs w:val="21"/>
                <w:highlight w:val="none"/>
              </w:rPr>
            </w:pPr>
          </w:p>
        </w:tc>
      </w:tr>
      <w:tr w14:paraId="52FCADBE">
        <w:tblPrEx>
          <w:tblCellMar>
            <w:top w:w="0" w:type="dxa"/>
            <w:left w:w="30" w:type="dxa"/>
            <w:bottom w:w="0" w:type="dxa"/>
            <w:right w:w="30" w:type="dxa"/>
          </w:tblCellMar>
        </w:tblPrEx>
        <w:trPr>
          <w:trHeight w:val="531" w:hRule="atLeast"/>
          <w:jc w:val="center"/>
        </w:trPr>
        <w:tc>
          <w:tcPr>
            <w:tcW w:w="584" w:type="dxa"/>
            <w:tcBorders>
              <w:top w:val="single" w:color="auto" w:sz="6" w:space="0"/>
              <w:left w:val="single" w:color="auto" w:sz="6" w:space="0"/>
              <w:bottom w:val="single" w:color="auto" w:sz="6" w:space="0"/>
              <w:right w:val="single" w:color="auto" w:sz="6" w:space="0"/>
            </w:tcBorders>
            <w:vAlign w:val="center"/>
          </w:tcPr>
          <w:p w14:paraId="3BC90E9A">
            <w:pPr>
              <w:autoSpaceDE w:val="0"/>
              <w:autoSpaceDN w:val="0"/>
              <w:adjustRightInd w:val="0"/>
              <w:jc w:val="center"/>
              <w:rPr>
                <w:rFonts w:cs="Arial"/>
                <w:color w:val="auto"/>
                <w:szCs w:val="21"/>
                <w:highlight w:val="none"/>
              </w:rPr>
            </w:pPr>
            <w:r>
              <w:rPr>
                <w:rFonts w:ascii="宋体" w:hAnsi="宋体" w:cs="宋体"/>
                <w:color w:val="auto"/>
                <w:szCs w:val="21"/>
                <w:highlight w:val="none"/>
              </w:rPr>
              <w:t>3</w:t>
            </w:r>
          </w:p>
        </w:tc>
        <w:tc>
          <w:tcPr>
            <w:tcW w:w="1188" w:type="dxa"/>
            <w:tcBorders>
              <w:top w:val="single" w:color="auto" w:sz="6" w:space="0"/>
              <w:left w:val="nil"/>
              <w:bottom w:val="single" w:color="auto" w:sz="6" w:space="0"/>
              <w:right w:val="single" w:color="auto" w:sz="4" w:space="0"/>
            </w:tcBorders>
            <w:vAlign w:val="center"/>
          </w:tcPr>
          <w:p w14:paraId="01BB53C1">
            <w:pPr>
              <w:jc w:val="center"/>
              <w:rPr>
                <w:rFonts w:cs="Arial"/>
                <w:color w:val="auto"/>
                <w:szCs w:val="21"/>
                <w:highlight w:val="none"/>
              </w:rPr>
            </w:pPr>
            <w:r>
              <w:rPr>
                <w:rFonts w:hint="eastAsia" w:ascii="宋体" w:hAnsi="宋体" w:cs="宋体"/>
                <w:color w:val="auto"/>
                <w:szCs w:val="21"/>
                <w:highlight w:val="none"/>
              </w:rPr>
              <w:t>瓶装水（小瓶）</w:t>
            </w:r>
          </w:p>
        </w:tc>
        <w:tc>
          <w:tcPr>
            <w:tcW w:w="2291" w:type="dxa"/>
            <w:tcBorders>
              <w:top w:val="single" w:color="auto" w:sz="4" w:space="0"/>
              <w:left w:val="single" w:color="auto" w:sz="4" w:space="0"/>
              <w:bottom w:val="single" w:color="auto" w:sz="4" w:space="0"/>
              <w:right w:val="single" w:color="auto" w:sz="4" w:space="0"/>
            </w:tcBorders>
            <w:vAlign w:val="center"/>
          </w:tcPr>
          <w:p w14:paraId="1782EB47">
            <w:pPr>
              <w:jc w:val="center"/>
              <w:rPr>
                <w:rFonts w:cs="宋体"/>
                <w:color w:val="auto"/>
                <w:szCs w:val="21"/>
                <w:highlight w:val="none"/>
              </w:rPr>
            </w:pPr>
          </w:p>
        </w:tc>
        <w:tc>
          <w:tcPr>
            <w:tcW w:w="1021" w:type="dxa"/>
            <w:tcBorders>
              <w:top w:val="single" w:color="auto" w:sz="6" w:space="0"/>
              <w:left w:val="single" w:color="auto" w:sz="4" w:space="0"/>
              <w:bottom w:val="single" w:color="auto" w:sz="6" w:space="0"/>
              <w:right w:val="single" w:color="auto" w:sz="4" w:space="0"/>
            </w:tcBorders>
            <w:vAlign w:val="center"/>
          </w:tcPr>
          <w:p w14:paraId="7F25AAC7">
            <w:pPr>
              <w:jc w:val="center"/>
              <w:rPr>
                <w:color w:val="auto"/>
                <w:szCs w:val="21"/>
                <w:highlight w:val="none"/>
              </w:rPr>
            </w:pPr>
          </w:p>
        </w:tc>
        <w:tc>
          <w:tcPr>
            <w:tcW w:w="925" w:type="dxa"/>
            <w:tcBorders>
              <w:top w:val="single" w:color="auto" w:sz="6" w:space="0"/>
              <w:left w:val="single" w:color="auto" w:sz="4" w:space="0"/>
              <w:bottom w:val="single" w:color="auto" w:sz="6" w:space="0"/>
              <w:right w:val="single" w:color="auto" w:sz="4" w:space="0"/>
            </w:tcBorders>
            <w:vAlign w:val="center"/>
          </w:tcPr>
          <w:p w14:paraId="5911D667">
            <w:pPr>
              <w:autoSpaceDE w:val="0"/>
              <w:autoSpaceDN w:val="0"/>
              <w:adjustRightInd w:val="0"/>
              <w:jc w:val="center"/>
              <w:rPr>
                <w:rFonts w:cs="Arial"/>
                <w:color w:val="auto"/>
                <w:szCs w:val="21"/>
                <w:highlight w:val="none"/>
              </w:rPr>
            </w:pPr>
            <w:r>
              <w:rPr>
                <w:rFonts w:hint="eastAsia" w:ascii="宋体" w:hAnsi="宋体" w:cs="宋体"/>
                <w:color w:val="auto"/>
                <w:szCs w:val="21"/>
                <w:highlight w:val="none"/>
              </w:rPr>
              <w:t>元/箱</w:t>
            </w:r>
          </w:p>
        </w:tc>
        <w:tc>
          <w:tcPr>
            <w:tcW w:w="1748" w:type="dxa"/>
            <w:tcBorders>
              <w:top w:val="single" w:color="auto" w:sz="6" w:space="0"/>
              <w:left w:val="single" w:color="auto" w:sz="4" w:space="0"/>
              <w:bottom w:val="single" w:color="auto" w:sz="6" w:space="0"/>
              <w:right w:val="single" w:color="auto" w:sz="6" w:space="0"/>
            </w:tcBorders>
            <w:vAlign w:val="center"/>
          </w:tcPr>
          <w:p w14:paraId="63C67EAA">
            <w:pPr>
              <w:autoSpaceDE w:val="0"/>
              <w:autoSpaceDN w:val="0"/>
              <w:adjustRightInd w:val="0"/>
              <w:jc w:val="center"/>
              <w:rPr>
                <w:rFonts w:cs="Arial"/>
                <w:color w:val="auto"/>
                <w:szCs w:val="21"/>
                <w:highlight w:val="none"/>
              </w:rPr>
            </w:pPr>
          </w:p>
        </w:tc>
        <w:tc>
          <w:tcPr>
            <w:tcW w:w="925" w:type="dxa"/>
            <w:tcBorders>
              <w:top w:val="single" w:color="auto" w:sz="6" w:space="0"/>
              <w:left w:val="nil"/>
              <w:bottom w:val="single" w:color="auto" w:sz="6" w:space="0"/>
              <w:right w:val="single" w:color="auto" w:sz="6" w:space="0"/>
            </w:tcBorders>
            <w:vAlign w:val="center"/>
          </w:tcPr>
          <w:p w14:paraId="6190C114">
            <w:pPr>
              <w:jc w:val="center"/>
              <w:rPr>
                <w:rFonts w:cs="Arial"/>
                <w:color w:val="auto"/>
                <w:szCs w:val="21"/>
                <w:highlight w:val="none"/>
              </w:rPr>
            </w:pPr>
          </w:p>
        </w:tc>
      </w:tr>
      <w:tr w14:paraId="1ED41A3C">
        <w:tblPrEx>
          <w:tblCellMar>
            <w:top w:w="0" w:type="dxa"/>
            <w:left w:w="30" w:type="dxa"/>
            <w:bottom w:w="0" w:type="dxa"/>
            <w:right w:w="30" w:type="dxa"/>
          </w:tblCellMar>
        </w:tblPrEx>
        <w:trPr>
          <w:trHeight w:val="608" w:hRule="atLeast"/>
          <w:jc w:val="center"/>
        </w:trPr>
        <w:tc>
          <w:tcPr>
            <w:tcW w:w="584" w:type="dxa"/>
            <w:tcBorders>
              <w:top w:val="single" w:color="auto" w:sz="6" w:space="0"/>
              <w:left w:val="single" w:color="auto" w:sz="6" w:space="0"/>
              <w:bottom w:val="single" w:color="auto" w:sz="6" w:space="0"/>
              <w:right w:val="single" w:color="auto" w:sz="6" w:space="0"/>
            </w:tcBorders>
            <w:vAlign w:val="center"/>
          </w:tcPr>
          <w:p w14:paraId="1525E40B">
            <w:pPr>
              <w:autoSpaceDE w:val="0"/>
              <w:autoSpaceDN w:val="0"/>
              <w:adjustRightInd w:val="0"/>
              <w:jc w:val="center"/>
              <w:rPr>
                <w:rFonts w:cs="Arial"/>
                <w:color w:val="auto"/>
                <w:szCs w:val="21"/>
                <w:highlight w:val="none"/>
              </w:rPr>
            </w:pPr>
            <w:r>
              <w:rPr>
                <w:rFonts w:hint="eastAsia" w:ascii="宋体" w:hAnsi="宋体" w:cs="宋体"/>
                <w:color w:val="auto"/>
                <w:szCs w:val="21"/>
                <w:highlight w:val="none"/>
              </w:rPr>
              <w:t>4</w:t>
            </w:r>
          </w:p>
        </w:tc>
        <w:tc>
          <w:tcPr>
            <w:tcW w:w="1188" w:type="dxa"/>
            <w:tcBorders>
              <w:top w:val="single" w:color="auto" w:sz="6" w:space="0"/>
              <w:left w:val="nil"/>
              <w:bottom w:val="single" w:color="auto" w:sz="6" w:space="0"/>
              <w:right w:val="single" w:color="auto" w:sz="4" w:space="0"/>
            </w:tcBorders>
            <w:vAlign w:val="center"/>
          </w:tcPr>
          <w:p w14:paraId="60CAFB09">
            <w:pPr>
              <w:jc w:val="center"/>
              <w:rPr>
                <w:rFonts w:cs="Arial"/>
                <w:color w:val="auto"/>
                <w:szCs w:val="21"/>
                <w:highlight w:val="none"/>
              </w:rPr>
            </w:pPr>
            <w:r>
              <w:rPr>
                <w:rFonts w:hint="eastAsia" w:ascii="宋体" w:hAnsi="宋体" w:cs="宋体"/>
                <w:color w:val="auto"/>
                <w:szCs w:val="21"/>
                <w:highlight w:val="none"/>
              </w:rPr>
              <w:t>瓶装水（中瓶）</w:t>
            </w:r>
          </w:p>
        </w:tc>
        <w:tc>
          <w:tcPr>
            <w:tcW w:w="2291" w:type="dxa"/>
            <w:tcBorders>
              <w:top w:val="single" w:color="auto" w:sz="4" w:space="0"/>
              <w:left w:val="single" w:color="auto" w:sz="4" w:space="0"/>
              <w:bottom w:val="single" w:color="auto" w:sz="4" w:space="0"/>
              <w:right w:val="single" w:color="auto" w:sz="4" w:space="0"/>
            </w:tcBorders>
            <w:vAlign w:val="center"/>
          </w:tcPr>
          <w:p w14:paraId="0B5D9EC2">
            <w:pPr>
              <w:jc w:val="center"/>
              <w:rPr>
                <w:rFonts w:cs="宋体"/>
                <w:color w:val="auto"/>
                <w:szCs w:val="21"/>
                <w:highlight w:val="none"/>
              </w:rPr>
            </w:pPr>
          </w:p>
        </w:tc>
        <w:tc>
          <w:tcPr>
            <w:tcW w:w="1021" w:type="dxa"/>
            <w:tcBorders>
              <w:top w:val="single" w:color="auto" w:sz="6" w:space="0"/>
              <w:left w:val="single" w:color="auto" w:sz="4" w:space="0"/>
              <w:bottom w:val="single" w:color="auto" w:sz="6" w:space="0"/>
              <w:right w:val="single" w:color="auto" w:sz="4" w:space="0"/>
            </w:tcBorders>
            <w:vAlign w:val="center"/>
          </w:tcPr>
          <w:p w14:paraId="4033D545">
            <w:pPr>
              <w:jc w:val="center"/>
              <w:rPr>
                <w:color w:val="auto"/>
                <w:szCs w:val="21"/>
                <w:highlight w:val="none"/>
              </w:rPr>
            </w:pPr>
          </w:p>
        </w:tc>
        <w:tc>
          <w:tcPr>
            <w:tcW w:w="925" w:type="dxa"/>
            <w:tcBorders>
              <w:top w:val="single" w:color="auto" w:sz="6" w:space="0"/>
              <w:left w:val="single" w:color="auto" w:sz="4" w:space="0"/>
              <w:bottom w:val="single" w:color="auto" w:sz="6" w:space="0"/>
              <w:right w:val="single" w:color="auto" w:sz="4" w:space="0"/>
            </w:tcBorders>
            <w:vAlign w:val="center"/>
          </w:tcPr>
          <w:p w14:paraId="052A8BE3">
            <w:pPr>
              <w:autoSpaceDE w:val="0"/>
              <w:autoSpaceDN w:val="0"/>
              <w:adjustRightInd w:val="0"/>
              <w:jc w:val="center"/>
              <w:rPr>
                <w:rFonts w:cs="Arial"/>
                <w:color w:val="auto"/>
                <w:szCs w:val="21"/>
                <w:highlight w:val="none"/>
              </w:rPr>
            </w:pPr>
            <w:r>
              <w:rPr>
                <w:rFonts w:hint="eastAsia" w:ascii="宋体" w:hAnsi="宋体" w:cs="宋体"/>
                <w:color w:val="auto"/>
                <w:szCs w:val="21"/>
                <w:highlight w:val="none"/>
              </w:rPr>
              <w:t>元/箱</w:t>
            </w:r>
          </w:p>
        </w:tc>
        <w:tc>
          <w:tcPr>
            <w:tcW w:w="1748" w:type="dxa"/>
            <w:tcBorders>
              <w:top w:val="single" w:color="auto" w:sz="6" w:space="0"/>
              <w:left w:val="single" w:color="auto" w:sz="4" w:space="0"/>
              <w:bottom w:val="single" w:color="auto" w:sz="6" w:space="0"/>
              <w:right w:val="single" w:color="auto" w:sz="6" w:space="0"/>
            </w:tcBorders>
            <w:vAlign w:val="center"/>
          </w:tcPr>
          <w:p w14:paraId="44BEE406">
            <w:pPr>
              <w:autoSpaceDE w:val="0"/>
              <w:autoSpaceDN w:val="0"/>
              <w:adjustRightInd w:val="0"/>
              <w:jc w:val="center"/>
              <w:rPr>
                <w:rFonts w:cs="Arial"/>
                <w:color w:val="auto"/>
                <w:szCs w:val="21"/>
                <w:highlight w:val="none"/>
              </w:rPr>
            </w:pPr>
          </w:p>
        </w:tc>
        <w:tc>
          <w:tcPr>
            <w:tcW w:w="925" w:type="dxa"/>
            <w:tcBorders>
              <w:top w:val="single" w:color="auto" w:sz="6" w:space="0"/>
              <w:left w:val="nil"/>
              <w:bottom w:val="single" w:color="auto" w:sz="6" w:space="0"/>
              <w:right w:val="single" w:color="auto" w:sz="6" w:space="0"/>
            </w:tcBorders>
            <w:vAlign w:val="center"/>
          </w:tcPr>
          <w:p w14:paraId="107B79CA">
            <w:pPr>
              <w:jc w:val="center"/>
              <w:rPr>
                <w:rFonts w:cs="Arial"/>
                <w:color w:val="auto"/>
                <w:szCs w:val="21"/>
                <w:highlight w:val="none"/>
              </w:rPr>
            </w:pPr>
          </w:p>
        </w:tc>
      </w:tr>
    </w:tbl>
    <w:p w14:paraId="623C56C7">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合同期内，乙方所供应水的价格不得高于上述表中列出的价格。</w:t>
      </w:r>
    </w:p>
    <w:p w14:paraId="4901E13E">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备注：循环桶押金需缴纳</w:t>
      </w:r>
      <w:r>
        <w:rPr>
          <w:rFonts w:hint="eastAsia" w:asciiTheme="minorEastAsia" w:hAnsiTheme="minorEastAsia" w:cstheme="minorEastAsia"/>
          <w:color w:val="auto"/>
          <w:sz w:val="21"/>
          <w:szCs w:val="21"/>
          <w:highlight w:val="none"/>
          <w:u w:val="single"/>
        </w:rPr>
        <w:t xml:space="preserve">    </w:t>
      </w:r>
      <w:r>
        <w:rPr>
          <w:rFonts w:hint="eastAsia" w:asciiTheme="minorEastAsia" w:hAnsiTheme="minorEastAsia" w:cstheme="minorEastAsia"/>
          <w:color w:val="auto"/>
          <w:sz w:val="21"/>
          <w:szCs w:val="21"/>
          <w:highlight w:val="none"/>
        </w:rPr>
        <w:t>元/个，合同到期不续期的情况下如数退还，如有损坏或丢失按</w:t>
      </w:r>
      <w:r>
        <w:rPr>
          <w:rFonts w:hint="eastAsia" w:asciiTheme="minorEastAsia" w:hAnsiTheme="minorEastAsia" w:cstheme="minorEastAsia"/>
          <w:color w:val="auto"/>
          <w:sz w:val="21"/>
          <w:szCs w:val="21"/>
          <w:highlight w:val="none"/>
          <w:u w:val="single"/>
        </w:rPr>
        <w:t xml:space="preserve">    </w:t>
      </w:r>
      <w:r>
        <w:rPr>
          <w:rFonts w:hint="eastAsia" w:asciiTheme="minorEastAsia" w:hAnsiTheme="minorEastAsia" w:cstheme="minorEastAsia"/>
          <w:color w:val="auto"/>
          <w:sz w:val="21"/>
          <w:szCs w:val="21"/>
          <w:highlight w:val="none"/>
        </w:rPr>
        <w:t>元/个扣除押金。</w:t>
      </w:r>
    </w:p>
    <w:p w14:paraId="16AB772D">
      <w:pPr>
        <w:pStyle w:val="6"/>
        <w:widowControl/>
        <w:numPr>
          <w:ilvl w:val="0"/>
          <w:numId w:val="1"/>
        </w:numPr>
        <w:spacing w:beforeAutospacing="0" w:afterAutospacing="0" w:line="360" w:lineRule="auto"/>
        <w:textAlignment w:val="baseline"/>
        <w:rPr>
          <w:rFonts w:asciiTheme="minorEastAsia" w:hAnsiTheme="minorEastAsia" w:cstheme="minorEastAsia"/>
          <w:b/>
          <w:bCs/>
          <w:color w:val="auto"/>
          <w:sz w:val="21"/>
          <w:szCs w:val="21"/>
          <w:highlight w:val="none"/>
        </w:rPr>
      </w:pPr>
      <w:r>
        <w:rPr>
          <w:rFonts w:hint="eastAsia" w:asciiTheme="minorEastAsia" w:hAnsiTheme="minorEastAsia" w:cstheme="minorEastAsia"/>
          <w:b/>
          <w:bCs/>
          <w:color w:val="auto"/>
          <w:sz w:val="21"/>
          <w:szCs w:val="21"/>
          <w:highlight w:val="none"/>
        </w:rPr>
        <w:t>人员安排</w:t>
      </w:r>
    </w:p>
    <w:p w14:paraId="21196AD5">
      <w:pPr>
        <w:snapToGrid w:val="0"/>
        <w:spacing w:before="50" w:line="360" w:lineRule="auto"/>
        <w:ind w:firstLine="420" w:firstLineChars="200"/>
        <w:jc w:val="left"/>
        <w:rPr>
          <w:rFonts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乙方在甲方南湖校区配置</w:t>
      </w:r>
      <w:r>
        <w:rPr>
          <w:rFonts w:hint="eastAsia" w:ascii="宋体" w:hAnsi="宋体" w:cs="宋体"/>
          <w:color w:val="auto"/>
          <w:kern w:val="0"/>
          <w:szCs w:val="21"/>
          <w:highlight w:val="none"/>
          <w:u w:val="single"/>
          <w:shd w:val="clear" w:color="auto" w:fill="FFFFFF"/>
        </w:rPr>
        <w:t xml:space="preserve">   </w:t>
      </w:r>
      <w:r>
        <w:rPr>
          <w:rFonts w:hint="eastAsia" w:ascii="宋体" w:hAnsi="宋体" w:cs="宋体"/>
          <w:color w:val="auto"/>
          <w:kern w:val="0"/>
          <w:szCs w:val="21"/>
          <w:highlight w:val="none"/>
          <w:shd w:val="clear" w:color="auto" w:fill="FFFFFF"/>
        </w:rPr>
        <w:t>名专职送水人员，相思湖校区配置</w:t>
      </w:r>
      <w:r>
        <w:rPr>
          <w:rFonts w:hint="eastAsia" w:ascii="宋体" w:hAnsi="宋体" w:cs="宋体"/>
          <w:color w:val="auto"/>
          <w:kern w:val="0"/>
          <w:szCs w:val="21"/>
          <w:highlight w:val="none"/>
          <w:u w:val="single"/>
          <w:shd w:val="clear" w:color="auto" w:fill="FFFFFF"/>
        </w:rPr>
        <w:t xml:space="preserve">   </w:t>
      </w:r>
      <w:r>
        <w:rPr>
          <w:rFonts w:hint="eastAsia" w:ascii="宋体" w:hAnsi="宋体" w:cs="宋体"/>
          <w:color w:val="auto"/>
          <w:kern w:val="0"/>
          <w:szCs w:val="21"/>
          <w:highlight w:val="none"/>
          <w:shd w:val="clear" w:color="auto" w:fill="FFFFFF"/>
        </w:rPr>
        <w:t>名专职送水人员。</w:t>
      </w:r>
    </w:p>
    <w:p w14:paraId="7D672A4B">
      <w:pPr>
        <w:snapToGrid w:val="0"/>
        <w:spacing w:before="50" w:line="360" w:lineRule="auto"/>
        <w:jc w:val="left"/>
        <w:rPr>
          <w:rFonts w:ascii="宋体" w:hAnsi="宋体" w:cs="宋体"/>
          <w:b/>
          <w:bCs/>
          <w:color w:val="auto"/>
          <w:kern w:val="0"/>
          <w:szCs w:val="21"/>
          <w:highlight w:val="none"/>
          <w:shd w:val="clear" w:color="auto" w:fill="FFFFFF"/>
        </w:rPr>
      </w:pPr>
      <w:r>
        <w:rPr>
          <w:rFonts w:hint="eastAsia" w:ascii="宋体" w:hAnsi="宋体" w:cs="宋体"/>
          <w:b/>
          <w:bCs/>
          <w:color w:val="auto"/>
          <w:kern w:val="0"/>
          <w:szCs w:val="21"/>
          <w:highlight w:val="none"/>
          <w:shd w:val="clear" w:color="auto" w:fill="FFFFFF"/>
        </w:rPr>
        <w:t>五、日常管理</w:t>
      </w:r>
    </w:p>
    <w:p w14:paraId="13C072AE">
      <w:pPr>
        <w:widowControl/>
        <w:shd w:val="clear" w:color="auto" w:fill="FFFFFF"/>
        <w:spacing w:line="360" w:lineRule="auto"/>
        <w:ind w:firstLine="420" w:firstLineChars="200"/>
        <w:jc w:val="left"/>
        <w:textAlignment w:val="baseline"/>
        <w:rPr>
          <w:rFonts w:ascii="宋体" w:hAnsi="宋体" w:cs="宋体"/>
          <w:color w:val="auto"/>
          <w:szCs w:val="21"/>
          <w:highlight w:val="none"/>
        </w:rPr>
      </w:pPr>
      <w:r>
        <w:rPr>
          <w:rFonts w:hint="eastAsia" w:asciiTheme="minorEastAsia" w:hAnsiTheme="minorEastAsia" w:cstheme="minorEastAsia"/>
          <w:color w:val="auto"/>
          <w:kern w:val="0"/>
          <w:szCs w:val="21"/>
          <w:highlight w:val="none"/>
        </w:rPr>
        <w:t>1.乙方必须保障水的正常供应，安排专职人员送水，瓶装水及桶装水的配送响应时间必须</w:t>
      </w:r>
      <w:r>
        <w:rPr>
          <w:rFonts w:hint="eastAsia" w:asciiTheme="minorEastAsia" w:hAnsiTheme="minorEastAsia" w:cstheme="minorEastAsia"/>
          <w:bCs/>
          <w:color w:val="auto"/>
          <w:kern w:val="0"/>
          <w:szCs w:val="21"/>
          <w:highlight w:val="none"/>
        </w:rPr>
        <w:t>在</w:t>
      </w:r>
      <w:r>
        <w:rPr>
          <w:rFonts w:hint="eastAsia" w:ascii="宋体" w:hAnsi="宋体" w:cs="宋体"/>
          <w:color w:val="auto"/>
          <w:kern w:val="0"/>
          <w:szCs w:val="21"/>
          <w:highlight w:val="none"/>
          <w:u w:val="single"/>
          <w:shd w:val="clear" w:color="auto" w:fill="FFFFFF"/>
        </w:rPr>
        <w:t xml:space="preserve">   </w:t>
      </w:r>
      <w:r>
        <w:rPr>
          <w:rFonts w:hint="eastAsia" w:asciiTheme="minorEastAsia" w:hAnsiTheme="minorEastAsia" w:cstheme="minorEastAsia"/>
          <w:bCs/>
          <w:color w:val="auto"/>
          <w:kern w:val="0"/>
          <w:szCs w:val="21"/>
          <w:highlight w:val="none"/>
        </w:rPr>
        <w:t>分钟以内</w:t>
      </w:r>
      <w:r>
        <w:rPr>
          <w:rFonts w:hint="eastAsia" w:asciiTheme="minorEastAsia" w:hAnsiTheme="minorEastAsia" w:cstheme="minorEastAsia"/>
          <w:color w:val="auto"/>
          <w:kern w:val="0"/>
          <w:szCs w:val="21"/>
          <w:highlight w:val="none"/>
        </w:rPr>
        <w:t>，并承担瓶装水及桶装水出厂送至用户过程的所有费用；如有用户就用水或产品出现质量问题，须</w:t>
      </w:r>
      <w:r>
        <w:rPr>
          <w:rFonts w:hint="eastAsia" w:ascii="宋体" w:hAnsi="宋体" w:cs="宋体"/>
          <w:color w:val="auto"/>
          <w:kern w:val="0"/>
          <w:szCs w:val="21"/>
          <w:highlight w:val="none"/>
          <w:u w:val="single"/>
          <w:shd w:val="clear" w:color="auto" w:fill="FFFFFF"/>
        </w:rPr>
        <w:t xml:space="preserve">   </w:t>
      </w:r>
      <w:r>
        <w:rPr>
          <w:rFonts w:hint="eastAsia" w:asciiTheme="minorEastAsia" w:hAnsiTheme="minorEastAsia" w:cstheme="minorEastAsia"/>
          <w:color w:val="auto"/>
          <w:kern w:val="0"/>
          <w:szCs w:val="21"/>
          <w:highlight w:val="none"/>
        </w:rPr>
        <w:t>小时内响应，</w:t>
      </w:r>
      <w:r>
        <w:rPr>
          <w:rFonts w:hint="eastAsia" w:ascii="宋体" w:hAnsi="宋体" w:cs="宋体"/>
          <w:color w:val="auto"/>
          <w:kern w:val="0"/>
          <w:szCs w:val="21"/>
          <w:highlight w:val="none"/>
          <w:u w:val="single"/>
          <w:shd w:val="clear" w:color="auto" w:fill="FFFFFF"/>
        </w:rPr>
        <w:t xml:space="preserve">   </w:t>
      </w:r>
      <w:r>
        <w:rPr>
          <w:rFonts w:hint="eastAsia" w:asciiTheme="minorEastAsia" w:hAnsiTheme="minorEastAsia" w:cstheme="minorEastAsia"/>
          <w:color w:val="auto"/>
          <w:kern w:val="0"/>
          <w:szCs w:val="21"/>
          <w:highlight w:val="none"/>
        </w:rPr>
        <w:t>小时内到现场处置；</w:t>
      </w:r>
    </w:p>
    <w:p w14:paraId="7AC5DB1D">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2.水桶的日常管理由乙方负责，</w:t>
      </w:r>
      <w:r>
        <w:rPr>
          <w:rFonts w:hint="eastAsia" w:asciiTheme="minorEastAsia" w:hAnsiTheme="minorEastAsia"/>
          <w:color w:val="auto"/>
          <w:szCs w:val="21"/>
          <w:highlight w:val="none"/>
        </w:rPr>
        <w:t>所用水桶必须是符合卫生要求的PC/PET桶，桶表面保持洁净无垢，商标清晰、规范，桶装饮用水有外包装袋。</w:t>
      </w:r>
    </w:p>
    <w:p w14:paraId="3B6EDD7B">
      <w:pPr>
        <w:spacing w:line="360" w:lineRule="auto"/>
        <w:ind w:firstLine="420" w:firstLineChars="200"/>
        <w:rPr>
          <w:rFonts w:ascii="宋体" w:hAnsi="宋体" w:cs="宋体"/>
          <w:color w:val="auto"/>
          <w:szCs w:val="21"/>
          <w:highlight w:val="none"/>
          <w:shd w:val="clear" w:color="auto" w:fill="FFFFFF"/>
        </w:rPr>
      </w:pPr>
      <w:r>
        <w:rPr>
          <w:rFonts w:hint="eastAsia" w:ascii="宋体" w:hAnsi="宋体" w:cs="宋体"/>
          <w:color w:val="auto"/>
          <w:szCs w:val="21"/>
          <w:highlight w:val="none"/>
        </w:rPr>
        <w:t>3.乙方</w:t>
      </w:r>
      <w:r>
        <w:rPr>
          <w:rFonts w:hint="eastAsia" w:ascii="宋体" w:hAnsi="宋体" w:cs="宋体"/>
          <w:color w:val="auto"/>
          <w:szCs w:val="21"/>
          <w:highlight w:val="none"/>
          <w:shd w:val="clear" w:color="auto" w:fill="FFFFFF"/>
        </w:rPr>
        <w:t>每学期初须提供一次近期《产品检验报告书》；</w:t>
      </w:r>
    </w:p>
    <w:p w14:paraId="64E558E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shd w:val="clear" w:color="auto" w:fill="FFFFFF"/>
        </w:rPr>
        <w:t>4.乙方须自备《送水数量及空桶归还登记本》《清洗服务签收本》等相关收据。</w:t>
      </w:r>
    </w:p>
    <w:p w14:paraId="76811A64">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六、个性化定制服务</w:t>
      </w:r>
    </w:p>
    <w:p w14:paraId="3E837025">
      <w:pPr>
        <w:spacing w:line="360" w:lineRule="auto"/>
        <w:ind w:firstLine="600"/>
        <w:rPr>
          <w:rFonts w:ascii="宋体" w:hAnsi="宋体" w:eastAsia="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kern w:val="0"/>
          <w:szCs w:val="21"/>
          <w:highlight w:val="none"/>
          <w:u w:val="single"/>
          <w:shd w:val="clear" w:color="auto" w:fill="FFFFFF"/>
        </w:rPr>
        <w:t xml:space="preserve">   </w:t>
      </w:r>
      <w:r>
        <w:rPr>
          <w:rFonts w:hint="eastAsia" w:ascii="宋体" w:hAnsi="宋体" w:cs="宋体"/>
          <w:color w:val="auto"/>
          <w:szCs w:val="21"/>
          <w:highlight w:val="none"/>
        </w:rPr>
        <w:t>。</w:t>
      </w:r>
    </w:p>
    <w:p w14:paraId="03A215FD">
      <w:pPr>
        <w:spacing w:line="360" w:lineRule="auto"/>
        <w:ind w:firstLine="6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kern w:val="0"/>
          <w:szCs w:val="21"/>
          <w:highlight w:val="none"/>
          <w:u w:val="single"/>
          <w:shd w:val="clear" w:color="auto" w:fill="FFFFFF"/>
        </w:rPr>
        <w:t xml:space="preserve">   </w:t>
      </w:r>
      <w:r>
        <w:rPr>
          <w:rFonts w:hint="eastAsia" w:ascii="宋体" w:hAnsi="宋体" w:cs="宋体"/>
          <w:color w:val="auto"/>
          <w:szCs w:val="21"/>
          <w:highlight w:val="none"/>
        </w:rPr>
        <w:t>。</w:t>
      </w:r>
    </w:p>
    <w:p w14:paraId="6EB9135A">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七、定点水站服务</w:t>
      </w:r>
    </w:p>
    <w:p w14:paraId="5ECEB60B">
      <w:pPr>
        <w:spacing w:line="360" w:lineRule="auto"/>
        <w:ind w:firstLine="600"/>
        <w:rPr>
          <w:rFonts w:ascii="宋体" w:hAnsi="宋体" w:cs="宋体"/>
          <w:color w:val="auto"/>
          <w:szCs w:val="21"/>
          <w:highlight w:val="none"/>
        </w:rPr>
      </w:pPr>
      <w:r>
        <w:rPr>
          <w:rFonts w:hint="eastAsia" w:ascii="宋体" w:hAnsi="宋体" w:cs="宋体"/>
          <w:color w:val="auto"/>
          <w:szCs w:val="21"/>
          <w:highlight w:val="none"/>
        </w:rPr>
        <w:t>乙方须在甲方南湖校区和相思湖校区的每个校区2公里范围内均设立定点水站。</w:t>
      </w:r>
    </w:p>
    <w:p w14:paraId="186635C9">
      <w:pPr>
        <w:widowControl/>
        <w:numPr>
          <w:ilvl w:val="0"/>
          <w:numId w:val="2"/>
        </w:numPr>
        <w:spacing w:line="360" w:lineRule="auto"/>
        <w:ind w:right="300"/>
        <w:rPr>
          <w:rFonts w:ascii="宋体" w:hAnsi="宋体" w:cs="宋体"/>
          <w:b/>
          <w:bCs/>
          <w:color w:val="auto"/>
          <w:szCs w:val="21"/>
          <w:highlight w:val="none"/>
        </w:rPr>
      </w:pPr>
      <w:r>
        <w:rPr>
          <w:rFonts w:hint="eastAsia" w:ascii="宋体" w:hAnsi="宋体" w:cs="宋体"/>
          <w:b/>
          <w:bCs/>
          <w:color w:val="auto"/>
          <w:szCs w:val="21"/>
          <w:highlight w:val="none"/>
        </w:rPr>
        <w:t>售后服务</w:t>
      </w:r>
    </w:p>
    <w:p w14:paraId="539DF9F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1.为保证饮水机的卫生，乙方须按甲方要求，每学期免费提供饮水机清洗、消毒服务一次，如因卫生防疫等原因，须按相应要求免费提供多次清洗、消毒服务；</w:t>
      </w:r>
    </w:p>
    <w:p w14:paraId="1EFBAE59">
      <w:pPr>
        <w:pStyle w:val="6"/>
        <w:widowControl/>
        <w:spacing w:beforeAutospacing="0" w:afterAutospacing="0" w:line="360" w:lineRule="auto"/>
        <w:ind w:right="300" w:firstLine="420" w:firstLineChars="200"/>
        <w:jc w:val="both"/>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2.乙方须在校内醒目位置设置饮水卫生公告，告知饮水安全须知。一旦发现水质出现异色异味等，要立即停止饮用，并向有关部门报告；</w:t>
      </w:r>
    </w:p>
    <w:p w14:paraId="1B21BD14">
      <w:pPr>
        <w:pStyle w:val="6"/>
        <w:widowControl/>
        <w:spacing w:beforeAutospacing="0" w:afterAutospacing="0" w:line="360" w:lineRule="auto"/>
        <w:ind w:right="300" w:firstLine="420" w:firstLineChars="200"/>
        <w:jc w:val="both"/>
        <w:rPr>
          <w:rFonts w:asciiTheme="minorEastAsia" w:hAnsiTheme="minorEastAsia" w:cstheme="minorEastAsia"/>
          <w:color w:val="auto"/>
          <w:sz w:val="21"/>
          <w:szCs w:val="21"/>
          <w:highlight w:val="none"/>
        </w:rPr>
      </w:pPr>
      <w:r>
        <w:rPr>
          <w:rFonts w:hint="eastAsia" w:ascii="宋体" w:hAnsi="宋体" w:cs="宋体"/>
          <w:color w:val="auto"/>
          <w:sz w:val="21"/>
          <w:szCs w:val="21"/>
          <w:highlight w:val="none"/>
          <w:shd w:val="clear" w:color="auto" w:fill="FFFFFF"/>
        </w:rPr>
        <w:t>3.发现饮水污染事故和水源性传染病现象，乙方须立即启动《饮水突发事故和水源性传染病应急处理预案》，停止师生的饮用水供应，并保护好水源，等待有关部门前来检测。同时上报上级有关部门和卫生系统防疫部门，最大限度地减小损失。</w:t>
      </w:r>
    </w:p>
    <w:p w14:paraId="172F91B4">
      <w:pPr>
        <w:shd w:val="clear" w:color="auto" w:fill="FFFFFF"/>
        <w:spacing w:line="360" w:lineRule="auto"/>
        <w:jc w:val="left"/>
        <w:textAlignment w:val="baseline"/>
        <w:rPr>
          <w:rFonts w:asciiTheme="minorEastAsia" w:hAnsiTheme="minorEastAsia" w:cstheme="minorEastAsia"/>
          <w:b/>
          <w:bCs/>
          <w:color w:val="auto"/>
          <w:szCs w:val="21"/>
          <w:highlight w:val="none"/>
        </w:rPr>
      </w:pPr>
      <w:r>
        <w:rPr>
          <w:rFonts w:hint="eastAsia" w:asciiTheme="minorEastAsia" w:hAnsiTheme="minorEastAsia" w:cstheme="minorEastAsia"/>
          <w:b/>
          <w:bCs/>
          <w:color w:val="auto"/>
          <w:kern w:val="0"/>
          <w:szCs w:val="21"/>
          <w:highlight w:val="none"/>
        </w:rPr>
        <w:t>九、结算方式</w:t>
      </w:r>
    </w:p>
    <w:p w14:paraId="1F583093">
      <w:pPr>
        <w:widowControl/>
        <w:shd w:val="clear" w:color="auto" w:fill="FFFFFF"/>
        <w:spacing w:line="360" w:lineRule="auto"/>
        <w:ind w:firstLine="420" w:firstLineChars="200"/>
        <w:jc w:val="left"/>
        <w:textAlignment w:val="baseline"/>
        <w:rPr>
          <w:rFonts w:asciiTheme="minorEastAsia" w:hAnsiTheme="minorEastAsia" w:cstheme="minorEastAsia"/>
          <w:color w:val="auto"/>
          <w:kern w:val="0"/>
          <w:szCs w:val="21"/>
          <w:highlight w:val="none"/>
        </w:rPr>
      </w:pPr>
      <w:r>
        <w:rPr>
          <w:rFonts w:hint="eastAsia" w:asciiTheme="minorEastAsia" w:hAnsiTheme="minorEastAsia" w:cstheme="minorEastAsia"/>
          <w:color w:val="auto"/>
          <w:kern w:val="0"/>
          <w:szCs w:val="21"/>
          <w:highlight w:val="none"/>
        </w:rPr>
        <w:t>原则上按季度结算，每季度结算一次。其中，每年12月10日前完成1-11月水费的结算，12月的水费于次年3月底前结算完毕。报账结算时，</w:t>
      </w:r>
      <w:r>
        <w:rPr>
          <w:rFonts w:hint="eastAsia" w:asciiTheme="minorEastAsia" w:hAnsiTheme="minorEastAsia" w:cstheme="minorEastAsia"/>
          <w:color w:val="auto"/>
          <w:kern w:val="0"/>
          <w:szCs w:val="21"/>
          <w:highlight w:val="none"/>
          <w:lang w:val="en-US" w:eastAsia="zh-CN"/>
        </w:rPr>
        <w:t>乙方</w:t>
      </w:r>
      <w:r>
        <w:rPr>
          <w:rFonts w:hint="eastAsia" w:asciiTheme="minorEastAsia" w:hAnsiTheme="minorEastAsia" w:cstheme="minorEastAsia"/>
          <w:color w:val="auto"/>
          <w:kern w:val="0"/>
          <w:szCs w:val="21"/>
          <w:highlight w:val="none"/>
        </w:rPr>
        <w:t>需提供各部门（单位）的用水登记表（须有用水部门相关人员的签字，一式三份）。</w:t>
      </w:r>
    </w:p>
    <w:p w14:paraId="100F64FC">
      <w:pPr>
        <w:widowControl/>
        <w:shd w:val="clear" w:color="auto" w:fill="FFFFFF"/>
        <w:spacing w:line="360" w:lineRule="auto"/>
        <w:jc w:val="left"/>
        <w:textAlignment w:val="baseline"/>
        <w:rPr>
          <w:rFonts w:asciiTheme="minorEastAsia" w:hAnsiTheme="minorEastAsia" w:cstheme="minorEastAsia"/>
          <w:b/>
          <w:bCs/>
          <w:color w:val="auto"/>
          <w:kern w:val="0"/>
          <w:szCs w:val="21"/>
          <w:highlight w:val="none"/>
        </w:rPr>
      </w:pPr>
      <w:r>
        <w:rPr>
          <w:rFonts w:hint="eastAsia" w:asciiTheme="minorEastAsia" w:hAnsiTheme="minorEastAsia" w:cstheme="minorEastAsia"/>
          <w:b/>
          <w:bCs/>
          <w:color w:val="auto"/>
          <w:kern w:val="0"/>
          <w:szCs w:val="21"/>
          <w:highlight w:val="none"/>
        </w:rPr>
        <w:t>十、</w:t>
      </w:r>
      <w:r>
        <w:rPr>
          <w:rFonts w:hint="eastAsia" w:asciiTheme="minorEastAsia" w:hAnsiTheme="minorEastAsia" w:cstheme="minorEastAsia"/>
          <w:b/>
          <w:bCs/>
          <w:color w:val="auto"/>
          <w:szCs w:val="21"/>
          <w:highlight w:val="none"/>
        </w:rPr>
        <w:t>双方的责任及权利</w:t>
      </w:r>
    </w:p>
    <w:p w14:paraId="20B4C9DA">
      <w:pPr>
        <w:widowControl/>
        <w:shd w:val="clear" w:color="auto" w:fill="FFFFFF"/>
        <w:spacing w:line="360" w:lineRule="auto"/>
        <w:ind w:firstLine="525" w:firstLineChars="250"/>
        <w:jc w:val="left"/>
        <w:textAlignment w:val="baseline"/>
        <w:rPr>
          <w:rFonts w:asciiTheme="minorEastAsia" w:hAnsiTheme="minorEastAsia" w:cstheme="minorEastAsia"/>
          <w:color w:val="auto"/>
          <w:kern w:val="0"/>
          <w:szCs w:val="21"/>
          <w:highlight w:val="none"/>
        </w:rPr>
      </w:pPr>
      <w:r>
        <w:rPr>
          <w:rFonts w:hint="eastAsia" w:asciiTheme="minorEastAsia" w:hAnsiTheme="minorEastAsia" w:cstheme="minorEastAsia"/>
          <w:color w:val="auto"/>
          <w:szCs w:val="21"/>
          <w:highlight w:val="none"/>
        </w:rPr>
        <w:t>1.乙方在</w:t>
      </w:r>
      <w:r>
        <w:rPr>
          <w:rFonts w:hint="eastAsia" w:asciiTheme="minorEastAsia" w:hAnsiTheme="minorEastAsia" w:cstheme="minorEastAsia"/>
          <w:color w:val="auto"/>
          <w:kern w:val="0"/>
          <w:szCs w:val="21"/>
          <w:highlight w:val="none"/>
        </w:rPr>
        <w:t>经营服务期间产生的经营成本、管理费用及税金等自行承担。甲方不收取管理费，但要求乙方在价格上要让利于甲方，乙方所供产品价格须低于市场同类产品价格。乙方应保证桶装水货源充足。每批水出厂均需检验（须卫生监督所认可的化验室出具检测报告）；</w:t>
      </w:r>
    </w:p>
    <w:p w14:paraId="1E476D26">
      <w:pPr>
        <w:shd w:val="clear" w:color="auto" w:fill="FFFFFF"/>
        <w:spacing w:line="360" w:lineRule="auto"/>
        <w:ind w:firstLine="525" w:firstLineChars="250"/>
        <w:jc w:val="left"/>
        <w:textAlignment w:val="baseline"/>
        <w:rPr>
          <w:rFonts w:asciiTheme="minorEastAsia" w:hAnsiTheme="minorEastAsia" w:cstheme="minorEastAsia"/>
          <w:color w:val="auto"/>
          <w:szCs w:val="21"/>
          <w:highlight w:val="none"/>
        </w:rPr>
      </w:pPr>
      <w:r>
        <w:rPr>
          <w:rFonts w:hint="eastAsia" w:asciiTheme="minorEastAsia" w:hAnsiTheme="minorEastAsia" w:cstheme="minorEastAsia"/>
          <w:color w:val="auto"/>
          <w:szCs w:val="21"/>
          <w:highlight w:val="none"/>
        </w:rPr>
        <w:t>2.乙方遵守《中华人民共和国劳动法》和相关用工规定，建立人员档案并上报</w:t>
      </w:r>
      <w:r>
        <w:rPr>
          <w:rFonts w:hint="eastAsia" w:asciiTheme="minorEastAsia" w:hAnsiTheme="minorEastAsia" w:cstheme="minorEastAsia"/>
          <w:color w:val="auto"/>
          <w:szCs w:val="21"/>
          <w:highlight w:val="none"/>
          <w:lang w:val="en-US" w:eastAsia="zh-CN"/>
        </w:rPr>
        <w:t>采购</w:t>
      </w:r>
      <w:r>
        <w:rPr>
          <w:rFonts w:hint="eastAsia" w:asciiTheme="minorEastAsia" w:hAnsiTheme="minorEastAsia" w:cstheme="minorEastAsia"/>
          <w:color w:val="auto"/>
          <w:szCs w:val="21"/>
          <w:highlight w:val="none"/>
        </w:rPr>
        <w:t>人统一存档，依法用工并承担相应法律责任，甲方不承担连带责任；</w:t>
      </w:r>
    </w:p>
    <w:p w14:paraId="325036C9">
      <w:pPr>
        <w:shd w:val="clear" w:color="auto" w:fill="FFFFFF"/>
        <w:spacing w:line="360" w:lineRule="auto"/>
        <w:ind w:firstLine="525" w:firstLineChars="250"/>
        <w:jc w:val="left"/>
        <w:textAlignment w:val="baseline"/>
        <w:rPr>
          <w:rFonts w:asciiTheme="minorEastAsia" w:hAnsiTheme="minorEastAsia" w:cstheme="minorEastAsia"/>
          <w:color w:val="auto"/>
          <w:szCs w:val="21"/>
          <w:highlight w:val="none"/>
        </w:rPr>
      </w:pPr>
      <w:r>
        <w:rPr>
          <w:rFonts w:hint="eastAsia" w:asciiTheme="minorEastAsia" w:hAnsiTheme="minorEastAsia" w:cstheme="minorEastAsia"/>
          <w:color w:val="auto"/>
          <w:szCs w:val="21"/>
          <w:highlight w:val="none"/>
        </w:rPr>
        <w:t>3.送水员工的工资、日常生活饮食、起居用房、运输工具等所有费用由乙方负责提供和管理；</w:t>
      </w:r>
    </w:p>
    <w:p w14:paraId="67E7A4FB">
      <w:pPr>
        <w:shd w:val="clear" w:color="auto" w:fill="FFFFFF"/>
        <w:spacing w:line="360" w:lineRule="auto"/>
        <w:ind w:firstLine="525" w:firstLineChars="250"/>
        <w:jc w:val="left"/>
        <w:textAlignment w:val="baseline"/>
        <w:rPr>
          <w:rFonts w:asciiTheme="minorEastAsia" w:hAnsiTheme="minorEastAsia" w:cstheme="minorEastAsia"/>
          <w:color w:val="auto"/>
          <w:szCs w:val="21"/>
          <w:highlight w:val="none"/>
        </w:rPr>
      </w:pPr>
      <w:r>
        <w:rPr>
          <w:rFonts w:hint="eastAsia" w:asciiTheme="minorEastAsia" w:hAnsiTheme="minorEastAsia" w:cstheme="minorEastAsia"/>
          <w:color w:val="auto"/>
          <w:szCs w:val="21"/>
          <w:highlight w:val="none"/>
        </w:rPr>
        <w:t>4.乙方</w:t>
      </w:r>
      <w:r>
        <w:rPr>
          <w:rFonts w:hint="eastAsia" w:asciiTheme="minorEastAsia" w:hAnsiTheme="minorEastAsia"/>
          <w:color w:val="auto"/>
          <w:szCs w:val="21"/>
          <w:highlight w:val="none"/>
        </w:rPr>
        <w:t>安</w:t>
      </w:r>
      <w:r>
        <w:rPr>
          <w:rFonts w:hint="eastAsia" w:asciiTheme="minorEastAsia" w:hAnsiTheme="minorEastAsia" w:cstheme="minorEastAsia"/>
          <w:color w:val="auto"/>
          <w:szCs w:val="21"/>
          <w:highlight w:val="none"/>
        </w:rPr>
        <w:t>排的送水人员须责任心强，具备饮水机维修技能，仪容仪表整洁，举止文明，微笑服务，持有效健康证上岗（健康证办理及体检费用由乙方承担），统一着工作服并佩戴工作证。乙方应对其送水人员进行统一管理和培训。乙方要加强对送水员工的日常安全教育与安全管理，避免任何安全事故的发生；</w:t>
      </w:r>
    </w:p>
    <w:p w14:paraId="30500CFC">
      <w:pPr>
        <w:widowControl/>
        <w:shd w:val="clear" w:color="auto" w:fill="FFFFFF"/>
        <w:spacing w:line="360" w:lineRule="auto"/>
        <w:ind w:firstLine="525" w:firstLineChars="250"/>
        <w:jc w:val="left"/>
        <w:textAlignment w:val="baseline"/>
        <w:rPr>
          <w:rFonts w:asciiTheme="minorEastAsia" w:hAnsiTheme="minorEastAsia" w:cstheme="minorEastAsia"/>
          <w:color w:val="auto"/>
          <w:kern w:val="0"/>
          <w:szCs w:val="21"/>
          <w:highlight w:val="none"/>
        </w:rPr>
      </w:pPr>
      <w:r>
        <w:rPr>
          <w:rFonts w:hint="eastAsia" w:asciiTheme="minorEastAsia" w:hAnsiTheme="minorEastAsia" w:cstheme="minorEastAsia"/>
          <w:color w:val="auto"/>
          <w:kern w:val="0"/>
          <w:szCs w:val="21"/>
          <w:highlight w:val="none"/>
        </w:rPr>
        <w:t>5.在合同期内，乙方应积极配合甲方开展相关卫生安全的检查，随时接受上级卫生监督部门、物价部门、质检部门及工商部门的检查，接受并遵守甲方相关职能部门对服务质量、经营等方面的监督管理和检查考核工作；</w:t>
      </w:r>
    </w:p>
    <w:p w14:paraId="2A39A959">
      <w:pPr>
        <w:widowControl/>
        <w:shd w:val="clear" w:color="auto" w:fill="FFFFFF"/>
        <w:spacing w:line="360" w:lineRule="auto"/>
        <w:ind w:firstLine="525" w:firstLineChars="250"/>
        <w:jc w:val="left"/>
        <w:textAlignment w:val="baseline"/>
        <w:rPr>
          <w:rFonts w:hint="default" w:asciiTheme="minorEastAsia" w:hAnsiTheme="minorEastAsia" w:eastAsiaTheme="minorEastAsia" w:cstheme="minorEastAsia"/>
          <w:color w:val="auto"/>
          <w:kern w:val="0"/>
          <w:szCs w:val="21"/>
          <w:highlight w:val="none"/>
          <w:lang w:val="en-US" w:eastAsia="zh-CN"/>
        </w:rPr>
      </w:pPr>
      <w:r>
        <w:rPr>
          <w:rFonts w:hint="eastAsia" w:asciiTheme="minorEastAsia" w:hAnsiTheme="minorEastAsia" w:cstheme="minorEastAsia"/>
          <w:color w:val="auto"/>
          <w:kern w:val="0"/>
          <w:szCs w:val="21"/>
          <w:highlight w:val="none"/>
        </w:rPr>
        <w:t>6.乙方对产品（含瓶装水及桶装水）质量负责，承担因质量问题而造成的全部后果。如乙方供水质量不符合国家标准，乙方应无条件更换合格用水，并承担由此造成甲方及用水人的损失；如经卫生检疫部门或相关质量监督局等政府相关部门认定，确属乙方因供水质量问题造成事故的，由乙方按《食品安全法》的相关规定承担相应的责任，甲方有权予以解除合同；</w:t>
      </w:r>
    </w:p>
    <w:p w14:paraId="5BC9C666">
      <w:pPr>
        <w:spacing w:line="360" w:lineRule="auto"/>
        <w:ind w:firstLine="420" w:firstLineChars="200"/>
        <w:jc w:val="left"/>
        <w:rPr>
          <w:rFonts w:ascii="宋体" w:hAnsi="宋体" w:cs="宋体"/>
          <w:color w:val="auto"/>
          <w:szCs w:val="21"/>
          <w:highlight w:val="none"/>
        </w:rPr>
      </w:pPr>
      <w:r>
        <w:rPr>
          <w:rFonts w:hint="eastAsia" w:asciiTheme="minorEastAsia" w:hAnsiTheme="minorEastAsia" w:cstheme="minorEastAsia"/>
          <w:color w:val="auto"/>
          <w:kern w:val="0"/>
          <w:szCs w:val="21"/>
          <w:highlight w:val="none"/>
        </w:rPr>
        <w:t>7.乙方提供的</w:t>
      </w:r>
      <w:r>
        <w:rPr>
          <w:rFonts w:hint="eastAsia" w:ascii="宋体" w:hAnsi="宋体" w:cs="宋体"/>
          <w:color w:val="auto"/>
          <w:szCs w:val="21"/>
          <w:highlight w:val="none"/>
        </w:rPr>
        <w:t>饮用水必须符合国家颁发的包装饮用水食品安全国家标准，同批次水供货后留样48小时。如有用户投诉或出现质量问题，</w:t>
      </w:r>
      <w:r>
        <w:rPr>
          <w:rFonts w:ascii="宋体" w:hAnsi="宋体" w:cs="宋体"/>
          <w:color w:val="auto"/>
          <w:szCs w:val="21"/>
          <w:highlight w:val="none"/>
        </w:rPr>
        <w:t>0.5</w:t>
      </w:r>
      <w:r>
        <w:rPr>
          <w:rFonts w:hint="eastAsia" w:ascii="宋体" w:hAnsi="宋体" w:cs="宋体"/>
          <w:color w:val="auto"/>
          <w:szCs w:val="21"/>
          <w:highlight w:val="none"/>
        </w:rPr>
        <w:t>小时内响应，</w:t>
      </w:r>
      <w:r>
        <w:rPr>
          <w:rFonts w:ascii="宋体" w:hAnsi="宋体" w:cs="宋体"/>
          <w:color w:val="auto"/>
          <w:szCs w:val="21"/>
          <w:highlight w:val="none"/>
        </w:rPr>
        <w:t>1</w:t>
      </w:r>
      <w:r>
        <w:rPr>
          <w:rFonts w:hint="eastAsia" w:ascii="宋体" w:hAnsi="宋体" w:cs="宋体"/>
          <w:color w:val="auto"/>
          <w:szCs w:val="21"/>
          <w:highlight w:val="none"/>
        </w:rPr>
        <w:t>小时内到现场处置，24小时内做出处置方案提交甲方，并在甲方指定时间内妥当处置完毕；</w:t>
      </w:r>
    </w:p>
    <w:p w14:paraId="374A67B5">
      <w:pPr>
        <w:widowControl/>
        <w:spacing w:line="360" w:lineRule="auto"/>
        <w:ind w:firstLine="420" w:firstLineChars="2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rPr>
        <w:t>8.在合同期内，乙方</w:t>
      </w:r>
      <w:r>
        <w:rPr>
          <w:rFonts w:hint="eastAsia" w:ascii="宋体" w:hAnsi="宋体" w:cs="宋体"/>
          <w:color w:val="auto"/>
          <w:szCs w:val="21"/>
          <w:highlight w:val="none"/>
          <w:lang w:val="en-US" w:eastAsia="zh-CN"/>
        </w:rPr>
        <w:t>或生产商</w:t>
      </w:r>
      <w:r>
        <w:rPr>
          <w:rFonts w:hint="eastAsia" w:ascii="宋体" w:hAnsi="宋体" w:cs="宋体"/>
          <w:color w:val="auto"/>
          <w:szCs w:val="21"/>
          <w:highlight w:val="none"/>
        </w:rPr>
        <w:t>被列入国家、广西或南宁市市场监督管理局公布的</w:t>
      </w:r>
      <w:r>
        <w:rPr>
          <w:rFonts w:hint="eastAsia" w:ascii="宋体" w:hAnsi="宋体" w:cs="宋体"/>
          <w:color w:val="auto"/>
          <w:szCs w:val="21"/>
          <w:highlight w:val="none"/>
          <w:lang w:val="en-US" w:eastAsia="zh-CN"/>
        </w:rPr>
        <w:t>严重</w:t>
      </w:r>
      <w:r>
        <w:rPr>
          <w:rFonts w:hint="eastAsia" w:ascii="宋体" w:hAnsi="宋体" w:cs="宋体"/>
          <w:color w:val="auto"/>
          <w:szCs w:val="21"/>
          <w:highlight w:val="none"/>
        </w:rPr>
        <w:t>违法失信名单或</w:t>
      </w:r>
      <w:r>
        <w:rPr>
          <w:rFonts w:hint="eastAsia" w:ascii="宋体" w:hAnsi="宋体" w:cs="宋体"/>
          <w:color w:val="auto"/>
          <w:szCs w:val="21"/>
          <w:highlight w:val="none"/>
          <w:lang w:val="en-US" w:eastAsia="zh-CN"/>
        </w:rPr>
        <w:t>所供产品被列入</w:t>
      </w:r>
      <w:r>
        <w:rPr>
          <w:rFonts w:hint="eastAsia" w:ascii="宋体" w:hAnsi="宋体" w:cs="宋体"/>
          <w:color w:val="auto"/>
          <w:szCs w:val="21"/>
          <w:highlight w:val="none"/>
        </w:rPr>
        <w:t>抽检不合格名单，则与甲方签订的合同自动解除，乙方负责处理善后事宜并承担由此造成的损失，甲方有权重新采购供应商。</w:t>
      </w:r>
    </w:p>
    <w:p w14:paraId="170AD6C2">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9.</w:t>
      </w:r>
      <w:r>
        <w:rPr>
          <w:rFonts w:ascii="宋体" w:hAnsi="宋体" w:cs="宋体"/>
          <w:color w:val="auto"/>
          <w:szCs w:val="21"/>
          <w:highlight w:val="none"/>
        </w:rPr>
        <w:t>如生产商的供应水规格有变动</w:t>
      </w:r>
      <w:r>
        <w:rPr>
          <w:rFonts w:hint="eastAsia" w:ascii="宋体" w:hAnsi="宋体" w:cs="宋体"/>
          <w:color w:val="auto"/>
          <w:szCs w:val="21"/>
          <w:highlight w:val="none"/>
        </w:rPr>
        <w:t>或停产</w:t>
      </w:r>
      <w:r>
        <w:rPr>
          <w:rFonts w:ascii="宋体" w:hAnsi="宋体" w:cs="宋体"/>
          <w:color w:val="auto"/>
          <w:szCs w:val="21"/>
          <w:highlight w:val="none"/>
        </w:rPr>
        <w:t>，且对本项目的供应有影响，则需经双方协商再确定</w:t>
      </w:r>
      <w:r>
        <w:rPr>
          <w:rFonts w:hint="eastAsia" w:ascii="宋体" w:hAnsi="宋体" w:cs="宋体"/>
          <w:color w:val="auto"/>
          <w:szCs w:val="21"/>
          <w:highlight w:val="none"/>
        </w:rPr>
        <w:t>，乙方须提供相关的产品变动或停产证明材料</w:t>
      </w:r>
      <w:r>
        <w:rPr>
          <w:rFonts w:ascii="宋体" w:hAnsi="宋体" w:cs="宋体"/>
          <w:color w:val="auto"/>
          <w:szCs w:val="21"/>
          <w:highlight w:val="none"/>
        </w:rPr>
        <w:t>。</w:t>
      </w:r>
    </w:p>
    <w:p w14:paraId="03BDEF7B">
      <w:pPr>
        <w:pStyle w:val="6"/>
        <w:widowControl/>
        <w:spacing w:beforeAutospacing="0" w:afterAutospacing="0" w:line="360" w:lineRule="auto"/>
        <w:textAlignment w:val="baseline"/>
        <w:rPr>
          <w:rFonts w:asciiTheme="minorEastAsia" w:hAnsiTheme="minorEastAsia" w:cstheme="minorEastAsia"/>
          <w:b/>
          <w:bCs/>
          <w:color w:val="auto"/>
          <w:sz w:val="21"/>
          <w:szCs w:val="21"/>
          <w:highlight w:val="none"/>
        </w:rPr>
      </w:pPr>
      <w:r>
        <w:rPr>
          <w:rFonts w:hint="eastAsia" w:asciiTheme="minorEastAsia" w:hAnsiTheme="minorEastAsia" w:cstheme="minorEastAsia"/>
          <w:b/>
          <w:bCs/>
          <w:color w:val="auto"/>
          <w:sz w:val="21"/>
          <w:szCs w:val="21"/>
          <w:highlight w:val="none"/>
        </w:rPr>
        <w:t>十一、协议生效及其他</w:t>
      </w:r>
    </w:p>
    <w:p w14:paraId="7319A3B8">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1.本协议经双方代表签字加盖公章后生效。</w:t>
      </w:r>
    </w:p>
    <w:p w14:paraId="02A88E2E">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2.本协议一式两份，双方各执一份。</w:t>
      </w:r>
    </w:p>
    <w:p w14:paraId="5231952F">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3.本协议未尽事宜，双方协商解决。协商履行如有争议，协商不成的，向甲方住所地有管辖权的法院提起诉讼。</w:t>
      </w:r>
    </w:p>
    <w:p w14:paraId="257B4EC8">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p>
    <w:p w14:paraId="62192A61">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p>
    <w:p w14:paraId="246C0357">
      <w:pPr>
        <w:pStyle w:val="6"/>
        <w:widowControl/>
        <w:spacing w:beforeAutospacing="0" w:afterAutospacing="0" w:line="360" w:lineRule="auto"/>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甲方：（盖章）                     乙方：（盖章）</w:t>
      </w:r>
    </w:p>
    <w:p w14:paraId="0C951989">
      <w:pPr>
        <w:pStyle w:val="6"/>
        <w:widowControl/>
        <w:spacing w:beforeAutospacing="0" w:afterAutospacing="0" w:line="360" w:lineRule="auto"/>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委托代理人：                       委托代理人：</w:t>
      </w:r>
    </w:p>
    <w:p w14:paraId="5039C8EC">
      <w:pPr>
        <w:pStyle w:val="6"/>
        <w:widowControl/>
        <w:spacing w:beforeAutospacing="0" w:afterAutospacing="0" w:line="360" w:lineRule="auto"/>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 xml:space="preserve">年    月    日                     年    月   日  </w:t>
      </w:r>
    </w:p>
    <w:p w14:paraId="75820733">
      <w:pPr>
        <w:adjustRightInd w:val="0"/>
        <w:snapToGrid w:val="0"/>
        <w:spacing w:line="360" w:lineRule="auto"/>
        <w:ind w:firstLine="630" w:firstLineChars="300"/>
        <w:rPr>
          <w:rFonts w:ascii="宋体" w:hAnsi="宋体" w:eastAsia="宋体"/>
          <w:color w:val="auto"/>
          <w:szCs w:val="21"/>
          <w:highlight w:val="none"/>
          <w:shd w:val="clear" w:color="auto" w:fill="FFFFFF"/>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9778274"/>
    </w:sdtPr>
    <w:sdtContent>
      <w:sdt>
        <w:sdtPr>
          <w:id w:val="1728636285"/>
        </w:sdtPr>
        <w:sdtContent>
          <w:p w14:paraId="32DA09E8">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25</w:t>
            </w:r>
            <w:r>
              <w:rPr>
                <w:b/>
                <w:bCs/>
                <w:sz w:val="24"/>
                <w:szCs w:val="24"/>
              </w:rPr>
              <w:fldChar w:fldCharType="end"/>
            </w:r>
          </w:p>
        </w:sdtContent>
      </w:sdt>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8F078"/>
    <w:multiLevelType w:val="singleLevel"/>
    <w:tmpl w:val="C4B8F078"/>
    <w:lvl w:ilvl="0" w:tentative="0">
      <w:start w:val="4"/>
      <w:numFmt w:val="chineseCounting"/>
      <w:suff w:val="nothing"/>
      <w:lvlText w:val="%1、"/>
      <w:lvlJc w:val="left"/>
      <w:rPr>
        <w:rFonts w:hint="eastAsia"/>
      </w:rPr>
    </w:lvl>
  </w:abstractNum>
  <w:abstractNum w:abstractNumId="1">
    <w:nsid w:val="69678A12"/>
    <w:multiLevelType w:val="singleLevel"/>
    <w:tmpl w:val="69678A12"/>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yNDhmOWU4ZDRkMzNmMmFkYWMwMmFjZTJmOGM4YjgifQ=="/>
  </w:docVars>
  <w:rsids>
    <w:rsidRoot w:val="00C36CEE"/>
    <w:rsid w:val="0002359D"/>
    <w:rsid w:val="00067B26"/>
    <w:rsid w:val="000A6D42"/>
    <w:rsid w:val="000D0AC5"/>
    <w:rsid w:val="000D5540"/>
    <w:rsid w:val="000D5703"/>
    <w:rsid w:val="00100647"/>
    <w:rsid w:val="00170464"/>
    <w:rsid w:val="001747A9"/>
    <w:rsid w:val="00205B4C"/>
    <w:rsid w:val="002418EA"/>
    <w:rsid w:val="0024588B"/>
    <w:rsid w:val="0026155E"/>
    <w:rsid w:val="00285E17"/>
    <w:rsid w:val="002E4C1B"/>
    <w:rsid w:val="0034507F"/>
    <w:rsid w:val="003651AA"/>
    <w:rsid w:val="00375600"/>
    <w:rsid w:val="00383BCE"/>
    <w:rsid w:val="003A6018"/>
    <w:rsid w:val="003B536F"/>
    <w:rsid w:val="0041780A"/>
    <w:rsid w:val="00471891"/>
    <w:rsid w:val="00504DD5"/>
    <w:rsid w:val="005C72E6"/>
    <w:rsid w:val="00613C61"/>
    <w:rsid w:val="00614657"/>
    <w:rsid w:val="0063342B"/>
    <w:rsid w:val="00635BF3"/>
    <w:rsid w:val="0065282A"/>
    <w:rsid w:val="00656374"/>
    <w:rsid w:val="006C4480"/>
    <w:rsid w:val="006D372C"/>
    <w:rsid w:val="006E1E48"/>
    <w:rsid w:val="00717C44"/>
    <w:rsid w:val="00756F01"/>
    <w:rsid w:val="007E0277"/>
    <w:rsid w:val="007F2B42"/>
    <w:rsid w:val="0082722C"/>
    <w:rsid w:val="00861C88"/>
    <w:rsid w:val="0093057A"/>
    <w:rsid w:val="009A13CD"/>
    <w:rsid w:val="009E0DF3"/>
    <w:rsid w:val="009F63B1"/>
    <w:rsid w:val="00A06B60"/>
    <w:rsid w:val="00A17588"/>
    <w:rsid w:val="00A46FEF"/>
    <w:rsid w:val="00A53BD1"/>
    <w:rsid w:val="00A75E42"/>
    <w:rsid w:val="00A8433E"/>
    <w:rsid w:val="00AA4B98"/>
    <w:rsid w:val="00AB6D27"/>
    <w:rsid w:val="00AC31CF"/>
    <w:rsid w:val="00AE5625"/>
    <w:rsid w:val="00B17F60"/>
    <w:rsid w:val="00BA01FD"/>
    <w:rsid w:val="00BE17EA"/>
    <w:rsid w:val="00BE6FE1"/>
    <w:rsid w:val="00C267F6"/>
    <w:rsid w:val="00C36CEE"/>
    <w:rsid w:val="00C6487D"/>
    <w:rsid w:val="00C96190"/>
    <w:rsid w:val="00CA3C74"/>
    <w:rsid w:val="00CA54B3"/>
    <w:rsid w:val="00CF589D"/>
    <w:rsid w:val="00D30970"/>
    <w:rsid w:val="00D72A4C"/>
    <w:rsid w:val="00E01F6D"/>
    <w:rsid w:val="00E1519D"/>
    <w:rsid w:val="00E43EF0"/>
    <w:rsid w:val="00E44C4C"/>
    <w:rsid w:val="00EF2D11"/>
    <w:rsid w:val="00F0201A"/>
    <w:rsid w:val="00F2794F"/>
    <w:rsid w:val="00F61048"/>
    <w:rsid w:val="00FC5342"/>
    <w:rsid w:val="00FD5221"/>
    <w:rsid w:val="00FF25A4"/>
    <w:rsid w:val="017E246C"/>
    <w:rsid w:val="024A1379"/>
    <w:rsid w:val="03BD3D36"/>
    <w:rsid w:val="0495039A"/>
    <w:rsid w:val="05073102"/>
    <w:rsid w:val="06306D9E"/>
    <w:rsid w:val="07BC5CB5"/>
    <w:rsid w:val="07C30891"/>
    <w:rsid w:val="08041267"/>
    <w:rsid w:val="083A41C5"/>
    <w:rsid w:val="0A077B18"/>
    <w:rsid w:val="0A1E6855"/>
    <w:rsid w:val="0ACF0761"/>
    <w:rsid w:val="0BFE2F7A"/>
    <w:rsid w:val="0D015CD9"/>
    <w:rsid w:val="0D1D41D1"/>
    <w:rsid w:val="0D892ADE"/>
    <w:rsid w:val="0E437B8A"/>
    <w:rsid w:val="0EFE7ED6"/>
    <w:rsid w:val="0F3B721C"/>
    <w:rsid w:val="0FF80611"/>
    <w:rsid w:val="10807A09"/>
    <w:rsid w:val="111B22AE"/>
    <w:rsid w:val="14172CFF"/>
    <w:rsid w:val="149A0996"/>
    <w:rsid w:val="14BF69C0"/>
    <w:rsid w:val="153E27FD"/>
    <w:rsid w:val="15DC3ADE"/>
    <w:rsid w:val="16166D2C"/>
    <w:rsid w:val="16AF39B2"/>
    <w:rsid w:val="17563788"/>
    <w:rsid w:val="17932769"/>
    <w:rsid w:val="18CE2F35"/>
    <w:rsid w:val="19226802"/>
    <w:rsid w:val="19CE265C"/>
    <w:rsid w:val="1A134FCE"/>
    <w:rsid w:val="1A6C0A1A"/>
    <w:rsid w:val="1A8A39C8"/>
    <w:rsid w:val="1C5E1EC1"/>
    <w:rsid w:val="1C856F63"/>
    <w:rsid w:val="1CA034BD"/>
    <w:rsid w:val="1E054F96"/>
    <w:rsid w:val="1E6A7C08"/>
    <w:rsid w:val="1FE06494"/>
    <w:rsid w:val="22F01826"/>
    <w:rsid w:val="24A15599"/>
    <w:rsid w:val="250749B9"/>
    <w:rsid w:val="25111E59"/>
    <w:rsid w:val="259D2A0B"/>
    <w:rsid w:val="27735817"/>
    <w:rsid w:val="27BA213E"/>
    <w:rsid w:val="28F85835"/>
    <w:rsid w:val="29185CC0"/>
    <w:rsid w:val="296C7758"/>
    <w:rsid w:val="299018E8"/>
    <w:rsid w:val="2A647001"/>
    <w:rsid w:val="2C6B38FF"/>
    <w:rsid w:val="2C754236"/>
    <w:rsid w:val="2E33592B"/>
    <w:rsid w:val="2E97342B"/>
    <w:rsid w:val="2EF24033"/>
    <w:rsid w:val="2F6E5BE1"/>
    <w:rsid w:val="2F95728F"/>
    <w:rsid w:val="2FA24E09"/>
    <w:rsid w:val="2FD01127"/>
    <w:rsid w:val="33F42871"/>
    <w:rsid w:val="348E47AF"/>
    <w:rsid w:val="349B5A74"/>
    <w:rsid w:val="34A123A8"/>
    <w:rsid w:val="3566572C"/>
    <w:rsid w:val="362E209A"/>
    <w:rsid w:val="36E27D84"/>
    <w:rsid w:val="389007D2"/>
    <w:rsid w:val="39657649"/>
    <w:rsid w:val="3A722D23"/>
    <w:rsid w:val="3B991C0D"/>
    <w:rsid w:val="3BC211E2"/>
    <w:rsid w:val="3BC53016"/>
    <w:rsid w:val="3C002E69"/>
    <w:rsid w:val="3E7A4A5C"/>
    <w:rsid w:val="3ED24F3F"/>
    <w:rsid w:val="3F4D2428"/>
    <w:rsid w:val="403A1773"/>
    <w:rsid w:val="418C03D5"/>
    <w:rsid w:val="41931096"/>
    <w:rsid w:val="41C77D64"/>
    <w:rsid w:val="41D950BF"/>
    <w:rsid w:val="41EB3DD1"/>
    <w:rsid w:val="4296483F"/>
    <w:rsid w:val="43CC2BFE"/>
    <w:rsid w:val="444075F5"/>
    <w:rsid w:val="4463252D"/>
    <w:rsid w:val="44B244EA"/>
    <w:rsid w:val="451924DA"/>
    <w:rsid w:val="46A87F70"/>
    <w:rsid w:val="4761325D"/>
    <w:rsid w:val="47901277"/>
    <w:rsid w:val="47914E5F"/>
    <w:rsid w:val="48632455"/>
    <w:rsid w:val="49310E5B"/>
    <w:rsid w:val="497242CA"/>
    <w:rsid w:val="499E7A28"/>
    <w:rsid w:val="4A061506"/>
    <w:rsid w:val="4BD77A60"/>
    <w:rsid w:val="4C321D1B"/>
    <w:rsid w:val="4C351ACB"/>
    <w:rsid w:val="4D785BA5"/>
    <w:rsid w:val="4D841E4A"/>
    <w:rsid w:val="4EBA03CA"/>
    <w:rsid w:val="50DD7DD7"/>
    <w:rsid w:val="5330093D"/>
    <w:rsid w:val="543213E1"/>
    <w:rsid w:val="55A724FC"/>
    <w:rsid w:val="55DF1F84"/>
    <w:rsid w:val="56832648"/>
    <w:rsid w:val="57161D4B"/>
    <w:rsid w:val="59E36C8A"/>
    <w:rsid w:val="5A4D5951"/>
    <w:rsid w:val="5B0F5E27"/>
    <w:rsid w:val="5B3000E1"/>
    <w:rsid w:val="5BC55C74"/>
    <w:rsid w:val="5C29050B"/>
    <w:rsid w:val="5C624DD6"/>
    <w:rsid w:val="5CF07D1B"/>
    <w:rsid w:val="5DBC1EC9"/>
    <w:rsid w:val="5E222A50"/>
    <w:rsid w:val="5E3B4D5E"/>
    <w:rsid w:val="5FA57495"/>
    <w:rsid w:val="609D1752"/>
    <w:rsid w:val="61BE5FEB"/>
    <w:rsid w:val="62393354"/>
    <w:rsid w:val="62855EA9"/>
    <w:rsid w:val="62A66733"/>
    <w:rsid w:val="632B11F7"/>
    <w:rsid w:val="64F10906"/>
    <w:rsid w:val="658440CF"/>
    <w:rsid w:val="660035B2"/>
    <w:rsid w:val="661C77D5"/>
    <w:rsid w:val="67C021CA"/>
    <w:rsid w:val="6AD92BA9"/>
    <w:rsid w:val="6B7B7A03"/>
    <w:rsid w:val="6B832D54"/>
    <w:rsid w:val="6C5F7E55"/>
    <w:rsid w:val="6C8E4A3A"/>
    <w:rsid w:val="6CBD0FB5"/>
    <w:rsid w:val="6CC8288A"/>
    <w:rsid w:val="6CCD1611"/>
    <w:rsid w:val="6D681DBA"/>
    <w:rsid w:val="6F1337EC"/>
    <w:rsid w:val="6FF3358E"/>
    <w:rsid w:val="73BA353C"/>
    <w:rsid w:val="74387B64"/>
    <w:rsid w:val="759E3EB5"/>
    <w:rsid w:val="75EB5092"/>
    <w:rsid w:val="77196CC9"/>
    <w:rsid w:val="797012F4"/>
    <w:rsid w:val="799A1AF4"/>
    <w:rsid w:val="79FC3536"/>
    <w:rsid w:val="7A8022E5"/>
    <w:rsid w:val="7B143A1C"/>
    <w:rsid w:val="7B5D2FC4"/>
    <w:rsid w:val="7C4412E3"/>
    <w:rsid w:val="7D2F6048"/>
    <w:rsid w:val="7D492CF3"/>
    <w:rsid w:val="7D643B5B"/>
    <w:rsid w:val="7D816EFC"/>
    <w:rsid w:val="7DB906BC"/>
    <w:rsid w:val="7E2C7CF9"/>
    <w:rsid w:val="7F621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alloon Text"/>
    <w:basedOn w:val="1"/>
    <w:link w:val="17"/>
    <w:qFormat/>
    <w:uiPriority w:val="0"/>
    <w:rPr>
      <w:sz w:val="18"/>
      <w:szCs w:val="18"/>
    </w:rPr>
  </w:style>
  <w:style w:type="paragraph" w:styleId="4">
    <w:name w:val="footer"/>
    <w:basedOn w:val="1"/>
    <w:link w:val="14"/>
    <w:qFormat/>
    <w:uiPriority w:val="99"/>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annotation subject"/>
    <w:basedOn w:val="2"/>
    <w:next w:val="2"/>
    <w:link w:val="16"/>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annotation reference"/>
    <w:basedOn w:val="10"/>
    <w:qFormat/>
    <w:uiPriority w:val="0"/>
    <w:rPr>
      <w:sz w:val="21"/>
      <w:szCs w:val="21"/>
    </w:rPr>
  </w:style>
  <w:style w:type="character" w:customStyle="1" w:styleId="13">
    <w:name w:val="页眉 字符"/>
    <w:basedOn w:val="10"/>
    <w:link w:val="5"/>
    <w:qFormat/>
    <w:uiPriority w:val="0"/>
    <w:rPr>
      <w:rFonts w:asciiTheme="minorHAnsi" w:hAnsiTheme="minorHAnsi" w:eastAsiaTheme="minorEastAsia" w:cstheme="minorBidi"/>
      <w:kern w:val="2"/>
      <w:sz w:val="18"/>
      <w:szCs w:val="18"/>
    </w:rPr>
  </w:style>
  <w:style w:type="character" w:customStyle="1" w:styleId="14">
    <w:name w:val="页脚 字符"/>
    <w:basedOn w:val="10"/>
    <w:link w:val="4"/>
    <w:qFormat/>
    <w:uiPriority w:val="99"/>
    <w:rPr>
      <w:rFonts w:asciiTheme="minorHAnsi" w:hAnsiTheme="minorHAnsi" w:eastAsiaTheme="minorEastAsia" w:cstheme="minorBidi"/>
      <w:kern w:val="2"/>
      <w:sz w:val="18"/>
      <w:szCs w:val="18"/>
    </w:rPr>
  </w:style>
  <w:style w:type="character" w:customStyle="1" w:styleId="15">
    <w:name w:val="批注文字 字符"/>
    <w:basedOn w:val="10"/>
    <w:link w:val="2"/>
    <w:qFormat/>
    <w:uiPriority w:val="0"/>
    <w:rPr>
      <w:rFonts w:asciiTheme="minorHAnsi" w:hAnsiTheme="minorHAnsi" w:eastAsiaTheme="minorEastAsia" w:cstheme="minorBidi"/>
      <w:kern w:val="2"/>
      <w:sz w:val="21"/>
      <w:szCs w:val="22"/>
    </w:rPr>
  </w:style>
  <w:style w:type="character" w:customStyle="1" w:styleId="16">
    <w:name w:val="批注主题 字符"/>
    <w:basedOn w:val="15"/>
    <w:link w:val="7"/>
    <w:qFormat/>
    <w:uiPriority w:val="0"/>
    <w:rPr>
      <w:rFonts w:asciiTheme="minorHAnsi" w:hAnsiTheme="minorHAnsi" w:eastAsiaTheme="minorEastAsia" w:cstheme="minorBidi"/>
      <w:b/>
      <w:bCs/>
      <w:kern w:val="2"/>
      <w:sz w:val="21"/>
      <w:szCs w:val="22"/>
    </w:rPr>
  </w:style>
  <w:style w:type="character" w:customStyle="1" w:styleId="17">
    <w:name w:val="批注框文本 字符"/>
    <w:basedOn w:val="10"/>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6791</Words>
  <Characters>7052</Characters>
  <Lines>71</Lines>
  <Paragraphs>20</Paragraphs>
  <TotalTime>5</TotalTime>
  <ScaleCrop>false</ScaleCrop>
  <LinksUpToDate>false</LinksUpToDate>
  <CharactersWithSpaces>7180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2021-04-28T02:19:00Z</dcterms:created>
  <dc:creator>DELL</dc:creator>
  <cp:lastModifiedBy>Gao</cp:lastModifiedBy>
  <cp:lastPrinted>2024-08-20T08:42:00Z</cp:lastPrinted>
  <dcterms:modified xsi:type="dcterms:W3CDTF">2026-10-16T09:16:39Z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6188FB4F759B4D408BC8465C36659ED2_13</vt:lpwstr>
  </property>
  <property fmtid="{D5CDD505-2E9C-101B-9397-08002B2CF9AE}" pid="4" name="KSOTemplateDocerSaveRecord">
    <vt:lpwstr>eyJoZGlkIjoiNDg1MWEwZTQ3YzY5MDQyNzg0OTEwMGU2MDMxMDQyZGYiLCJ1c2VySWQiOiIyOTc5NjgzMzQifQ==</vt:lpwstr>
  </property>
</Properties>
</file>