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088DBE">
      <w:pPr>
        <w:jc w:val="center"/>
        <w:rPr>
          <w:rFonts w:ascii="黑体" w:hAnsi="黑体" w:eastAsia="黑体"/>
          <w:b/>
          <w:color w:val="auto"/>
          <w:sz w:val="36"/>
          <w:szCs w:val="36"/>
          <w:highlight w:val="none"/>
        </w:rPr>
      </w:pPr>
      <w:r>
        <w:rPr>
          <w:rFonts w:hint="eastAsia" w:ascii="黑体" w:hAnsi="黑体" w:eastAsia="黑体"/>
          <w:b/>
          <w:color w:val="auto"/>
          <w:sz w:val="36"/>
          <w:szCs w:val="36"/>
          <w:highlight w:val="none"/>
        </w:rPr>
        <w:t>广西艺术学院2026年-2028年办公区饮用水供应服务项目</w:t>
      </w:r>
      <w:r>
        <w:rPr>
          <w:rFonts w:hint="eastAsia" w:ascii="黑体" w:hAnsi="黑体" w:eastAsia="黑体"/>
          <w:b/>
          <w:color w:val="auto"/>
          <w:sz w:val="36"/>
          <w:szCs w:val="36"/>
          <w:highlight w:val="none"/>
          <w:lang w:eastAsia="zh-CN"/>
        </w:rPr>
        <w:t>（</w:t>
      </w:r>
      <w:r>
        <w:rPr>
          <w:rFonts w:hint="eastAsia" w:ascii="黑体" w:hAnsi="黑体" w:eastAsia="黑体"/>
          <w:b/>
          <w:color w:val="auto"/>
          <w:sz w:val="36"/>
          <w:szCs w:val="36"/>
          <w:highlight w:val="none"/>
          <w:lang w:val="en-US" w:eastAsia="zh-CN"/>
        </w:rPr>
        <w:t>重）</w:t>
      </w:r>
      <w:r>
        <w:rPr>
          <w:rFonts w:hint="eastAsia" w:ascii="黑体" w:hAnsi="黑体" w:eastAsia="黑体"/>
          <w:b/>
          <w:color w:val="auto"/>
          <w:sz w:val="36"/>
          <w:szCs w:val="36"/>
          <w:highlight w:val="none"/>
        </w:rPr>
        <w:t>采购文件</w:t>
      </w:r>
    </w:p>
    <w:p w14:paraId="53BCCE98">
      <w:pPr>
        <w:spacing w:line="360" w:lineRule="auto"/>
        <w:jc w:val="center"/>
        <w:rPr>
          <w:rFonts w:ascii="黑体" w:hAnsi="黑体" w:eastAsia="黑体"/>
          <w:b/>
          <w:color w:val="auto"/>
          <w:sz w:val="36"/>
          <w:szCs w:val="36"/>
          <w:highlight w:val="none"/>
        </w:rPr>
      </w:pPr>
    </w:p>
    <w:p w14:paraId="422F8CE4">
      <w:pPr>
        <w:spacing w:before="156" w:beforeLines="50" w:line="380" w:lineRule="exact"/>
        <w:jc w:val="left"/>
        <w:outlineLvl w:val="0"/>
        <w:rPr>
          <w:rFonts w:hint="default" w:asciiTheme="minorEastAsia" w:hAnsiTheme="minorEastAsia" w:eastAsiaTheme="minorEastAsia"/>
          <w:b/>
          <w:color w:val="auto"/>
          <w:szCs w:val="21"/>
          <w:highlight w:val="none"/>
          <w:lang w:val="en-US" w:eastAsia="zh-CN"/>
        </w:rPr>
      </w:pPr>
      <w:r>
        <w:rPr>
          <w:rFonts w:hint="eastAsia" w:asciiTheme="minorEastAsia" w:hAnsiTheme="minorEastAsia"/>
          <w:b/>
          <w:color w:val="auto"/>
          <w:szCs w:val="21"/>
          <w:highlight w:val="none"/>
        </w:rPr>
        <w:t>一、</w:t>
      </w:r>
      <w:r>
        <w:rPr>
          <w:rFonts w:hint="eastAsia" w:asciiTheme="minorEastAsia" w:hAnsiTheme="minorEastAsia"/>
          <w:b/>
          <w:color w:val="auto"/>
          <w:szCs w:val="21"/>
          <w:highlight w:val="none"/>
          <w:lang w:val="en-US" w:eastAsia="zh-CN"/>
        </w:rPr>
        <w:t>项目基本情况</w:t>
      </w:r>
    </w:p>
    <w:p w14:paraId="39AEEC5F">
      <w:pPr>
        <w:spacing w:line="380" w:lineRule="exact"/>
        <w:ind w:firstLine="420" w:firstLineChars="200"/>
        <w:jc w:val="left"/>
        <w:rPr>
          <w:rFonts w:hint="eastAsia" w:asciiTheme="minorEastAsia" w:hAnsiTheme="minorEastAsia"/>
          <w:color w:val="auto"/>
          <w:szCs w:val="21"/>
          <w:highlight w:val="none"/>
          <w:lang w:val="en-US" w:eastAsia="zh-CN"/>
        </w:rPr>
      </w:pPr>
      <w:r>
        <w:rPr>
          <w:rFonts w:hint="eastAsia" w:asciiTheme="minorEastAsia" w:hAnsiTheme="minorEastAsia"/>
          <w:color w:val="auto"/>
          <w:szCs w:val="21"/>
          <w:highlight w:val="none"/>
          <w:lang w:eastAsia="zh-CN"/>
        </w:rPr>
        <w:t>（</w:t>
      </w:r>
      <w:r>
        <w:rPr>
          <w:rFonts w:hint="eastAsia" w:asciiTheme="minorEastAsia" w:hAnsiTheme="minorEastAsia"/>
          <w:color w:val="auto"/>
          <w:szCs w:val="21"/>
          <w:highlight w:val="none"/>
          <w:lang w:val="en-US" w:eastAsia="zh-CN"/>
        </w:rPr>
        <w:t>一）项目名称：广西艺术学院2026年-2028年办公区饮用水供应服务项目（重）。</w:t>
      </w:r>
    </w:p>
    <w:p w14:paraId="738B43B2">
      <w:pPr>
        <w:spacing w:line="380" w:lineRule="exact"/>
        <w:ind w:firstLine="420" w:firstLineChars="200"/>
        <w:jc w:val="left"/>
        <w:rPr>
          <w:rFonts w:hint="eastAsia" w:asciiTheme="minorEastAsia" w:hAnsiTheme="minorEastAsia"/>
          <w:color w:val="auto"/>
          <w:szCs w:val="21"/>
          <w:highlight w:val="none"/>
          <w:lang w:val="en-US" w:eastAsia="zh-CN"/>
        </w:rPr>
      </w:pPr>
      <w:r>
        <w:rPr>
          <w:rFonts w:hint="eastAsia" w:asciiTheme="minorEastAsia" w:hAnsiTheme="minorEastAsia"/>
          <w:color w:val="auto"/>
          <w:szCs w:val="21"/>
          <w:highlight w:val="none"/>
          <w:lang w:val="en-US" w:eastAsia="zh-CN"/>
        </w:rPr>
        <w:t>（二）采购方式：学校集中采购。</w:t>
      </w:r>
    </w:p>
    <w:p w14:paraId="7B06B3DB">
      <w:pPr>
        <w:spacing w:line="380" w:lineRule="exact"/>
        <w:ind w:firstLine="420" w:firstLineChars="200"/>
        <w:jc w:val="left"/>
        <w:rPr>
          <w:rFonts w:hint="eastAsia" w:asciiTheme="majorEastAsia" w:hAnsiTheme="majorEastAsia" w:eastAsiaTheme="majorEastAsia" w:cstheme="majorEastAsia"/>
          <w:bCs/>
          <w:color w:val="auto"/>
          <w:szCs w:val="21"/>
          <w:highlight w:val="none"/>
        </w:rPr>
      </w:pPr>
      <w:r>
        <w:rPr>
          <w:rFonts w:hint="eastAsia" w:asciiTheme="minorEastAsia" w:hAnsiTheme="minorEastAsia"/>
          <w:color w:val="auto"/>
          <w:szCs w:val="21"/>
          <w:highlight w:val="none"/>
          <w:lang w:val="en-US" w:eastAsia="zh-CN"/>
        </w:rPr>
        <w:t>（三）采购内容：</w:t>
      </w:r>
      <w:r>
        <w:rPr>
          <w:rFonts w:hint="eastAsia" w:asciiTheme="minorEastAsia" w:hAnsiTheme="minorEastAsia"/>
          <w:color w:val="auto"/>
          <w:szCs w:val="21"/>
          <w:highlight w:val="none"/>
        </w:rPr>
        <w:t>南湖</w:t>
      </w:r>
      <w:r>
        <w:rPr>
          <w:rFonts w:asciiTheme="minorEastAsia" w:hAnsiTheme="minorEastAsia"/>
          <w:color w:val="auto"/>
          <w:szCs w:val="21"/>
          <w:highlight w:val="none"/>
        </w:rPr>
        <w:t>校区</w:t>
      </w:r>
      <w:r>
        <w:rPr>
          <w:rFonts w:hint="eastAsia" w:asciiTheme="minorEastAsia" w:hAnsiTheme="minorEastAsia"/>
          <w:color w:val="auto"/>
          <w:szCs w:val="21"/>
          <w:highlight w:val="none"/>
        </w:rPr>
        <w:t>、相思湖</w:t>
      </w:r>
      <w:r>
        <w:rPr>
          <w:rFonts w:asciiTheme="minorEastAsia" w:hAnsiTheme="minorEastAsia"/>
          <w:color w:val="auto"/>
          <w:szCs w:val="21"/>
          <w:highlight w:val="none"/>
        </w:rPr>
        <w:t>校区</w:t>
      </w:r>
      <w:r>
        <w:rPr>
          <w:rFonts w:hint="eastAsia" w:asciiTheme="minorEastAsia" w:hAnsiTheme="minorEastAsia"/>
          <w:color w:val="auto"/>
          <w:szCs w:val="21"/>
          <w:highlight w:val="none"/>
        </w:rPr>
        <w:t>共两个</w:t>
      </w:r>
      <w:r>
        <w:rPr>
          <w:rFonts w:asciiTheme="minorEastAsia" w:hAnsiTheme="minorEastAsia"/>
          <w:color w:val="auto"/>
          <w:szCs w:val="21"/>
          <w:highlight w:val="none"/>
        </w:rPr>
        <w:t>校区</w:t>
      </w:r>
      <w:r>
        <w:rPr>
          <w:rFonts w:hint="eastAsia" w:asciiTheme="majorEastAsia" w:hAnsiTheme="majorEastAsia" w:eastAsiaTheme="majorEastAsia" w:cstheme="majorEastAsia"/>
          <w:bCs/>
          <w:color w:val="auto"/>
          <w:szCs w:val="21"/>
          <w:highlight w:val="none"/>
        </w:rPr>
        <w:t>办公区</w:t>
      </w:r>
      <w:bookmarkStart w:id="0" w:name="_Hlk173905093"/>
      <w:bookmarkStart w:id="1" w:name="_Hlk173906613"/>
      <w:r>
        <w:rPr>
          <w:rFonts w:hint="eastAsia" w:asciiTheme="majorEastAsia" w:hAnsiTheme="majorEastAsia" w:eastAsiaTheme="majorEastAsia" w:cstheme="majorEastAsia"/>
          <w:bCs/>
          <w:color w:val="auto"/>
          <w:szCs w:val="21"/>
          <w:highlight w:val="none"/>
        </w:rPr>
        <w:t>瓶装水及</w:t>
      </w:r>
      <w:bookmarkEnd w:id="0"/>
      <w:r>
        <w:rPr>
          <w:rFonts w:hint="eastAsia" w:asciiTheme="majorEastAsia" w:hAnsiTheme="majorEastAsia" w:eastAsiaTheme="majorEastAsia" w:cstheme="majorEastAsia"/>
          <w:bCs/>
          <w:color w:val="auto"/>
          <w:szCs w:val="21"/>
          <w:highlight w:val="none"/>
        </w:rPr>
        <w:t>桶装水</w:t>
      </w:r>
      <w:bookmarkEnd w:id="1"/>
      <w:r>
        <w:rPr>
          <w:rFonts w:hint="eastAsia" w:asciiTheme="majorEastAsia" w:hAnsiTheme="majorEastAsia" w:eastAsiaTheme="majorEastAsia" w:cstheme="majorEastAsia"/>
          <w:bCs/>
          <w:color w:val="auto"/>
          <w:szCs w:val="21"/>
          <w:highlight w:val="none"/>
        </w:rPr>
        <w:t>供应商1家。</w:t>
      </w:r>
    </w:p>
    <w:p w14:paraId="75CD9905">
      <w:pPr>
        <w:spacing w:line="380" w:lineRule="exact"/>
        <w:ind w:firstLine="420" w:firstLineChars="200"/>
        <w:jc w:val="left"/>
        <w:rPr>
          <w:rFonts w:asciiTheme="minorEastAsia" w:hAnsiTheme="minorEastAsia"/>
          <w:color w:val="auto"/>
          <w:szCs w:val="21"/>
          <w:highlight w:val="none"/>
        </w:rPr>
      </w:pPr>
      <w:r>
        <w:rPr>
          <w:rFonts w:hint="eastAsia" w:asciiTheme="majorEastAsia" w:hAnsiTheme="majorEastAsia" w:eastAsiaTheme="majorEastAsia" w:cstheme="majorEastAsia"/>
          <w:bCs/>
          <w:color w:val="auto"/>
          <w:szCs w:val="21"/>
          <w:highlight w:val="none"/>
          <w:lang w:eastAsia="zh-CN"/>
        </w:rPr>
        <w:t>（</w:t>
      </w:r>
      <w:r>
        <w:rPr>
          <w:rFonts w:hint="eastAsia" w:asciiTheme="majorEastAsia" w:hAnsiTheme="majorEastAsia" w:eastAsiaTheme="majorEastAsia" w:cstheme="majorEastAsia"/>
          <w:bCs/>
          <w:color w:val="auto"/>
          <w:szCs w:val="21"/>
          <w:highlight w:val="none"/>
          <w:lang w:val="en-US" w:eastAsia="zh-CN"/>
        </w:rPr>
        <w:t>四）</w:t>
      </w:r>
      <w:r>
        <w:rPr>
          <w:rFonts w:hint="eastAsia" w:asciiTheme="minorEastAsia" w:hAnsiTheme="minorEastAsia"/>
          <w:b w:val="0"/>
          <w:bCs w:val="0"/>
          <w:color w:val="auto"/>
          <w:szCs w:val="21"/>
          <w:highlight w:val="none"/>
        </w:rPr>
        <w:t>服务</w:t>
      </w:r>
      <w:r>
        <w:rPr>
          <w:b w:val="0"/>
          <w:bCs w:val="0"/>
          <w:color w:val="auto"/>
          <w:szCs w:val="21"/>
          <w:highlight w:val="none"/>
        </w:rPr>
        <w:t>期限</w:t>
      </w:r>
      <w:r>
        <w:rPr>
          <w:rFonts w:hint="eastAsia" w:asciiTheme="minorEastAsia" w:hAnsiTheme="minorEastAsia"/>
          <w:color w:val="auto"/>
          <w:szCs w:val="21"/>
          <w:highlight w:val="none"/>
          <w:lang w:eastAsia="zh-CN"/>
        </w:rPr>
        <w:t>：</w:t>
      </w:r>
      <w:r>
        <w:rPr>
          <w:rFonts w:hint="eastAsia" w:asciiTheme="minorEastAsia" w:hAnsiTheme="minorEastAsia"/>
          <w:color w:val="auto"/>
          <w:szCs w:val="21"/>
          <w:highlight w:val="none"/>
        </w:rPr>
        <w:t>自</w:t>
      </w:r>
      <w:r>
        <w:rPr>
          <w:rFonts w:asciiTheme="minorEastAsia" w:hAnsiTheme="minorEastAsia"/>
          <w:color w:val="auto"/>
          <w:szCs w:val="21"/>
          <w:highlight w:val="none"/>
        </w:rPr>
        <w:t>合同签订</w:t>
      </w:r>
      <w:r>
        <w:rPr>
          <w:rFonts w:hint="eastAsia" w:asciiTheme="minorEastAsia" w:hAnsiTheme="minorEastAsia"/>
          <w:color w:val="auto"/>
          <w:szCs w:val="21"/>
          <w:highlight w:val="none"/>
        </w:rPr>
        <w:t>之日</w:t>
      </w:r>
      <w:r>
        <w:rPr>
          <w:rFonts w:asciiTheme="minorEastAsia" w:hAnsiTheme="minorEastAsia"/>
          <w:color w:val="auto"/>
          <w:szCs w:val="21"/>
          <w:highlight w:val="none"/>
        </w:rPr>
        <w:t>起</w:t>
      </w:r>
      <w:r>
        <w:rPr>
          <w:rFonts w:hint="eastAsia" w:asciiTheme="minorEastAsia" w:hAnsiTheme="minorEastAsia"/>
          <w:color w:val="auto"/>
          <w:szCs w:val="21"/>
          <w:highlight w:val="none"/>
        </w:rPr>
        <w:t>2</w:t>
      </w:r>
      <w:r>
        <w:rPr>
          <w:rFonts w:asciiTheme="minorEastAsia" w:hAnsiTheme="minorEastAsia"/>
          <w:color w:val="auto"/>
          <w:szCs w:val="21"/>
          <w:highlight w:val="none"/>
        </w:rPr>
        <w:t>年</w:t>
      </w:r>
      <w:r>
        <w:rPr>
          <w:rFonts w:hint="eastAsia" w:asciiTheme="minorEastAsia" w:hAnsiTheme="minorEastAsia"/>
          <w:color w:val="auto"/>
          <w:szCs w:val="21"/>
          <w:highlight w:val="none"/>
        </w:rPr>
        <w:t>。</w:t>
      </w:r>
    </w:p>
    <w:p w14:paraId="22DEDC60">
      <w:pPr>
        <w:spacing w:before="156" w:beforeLines="50" w:line="380" w:lineRule="exact"/>
        <w:jc w:val="left"/>
        <w:outlineLvl w:val="0"/>
        <w:rPr>
          <w:rFonts w:hint="default" w:asciiTheme="minorEastAsia" w:hAnsiTheme="minorEastAsia" w:eastAsiaTheme="minorEastAsia"/>
          <w:b/>
          <w:color w:val="auto"/>
          <w:szCs w:val="21"/>
          <w:highlight w:val="none"/>
          <w:lang w:val="en-US" w:eastAsia="zh-CN"/>
        </w:rPr>
      </w:pPr>
      <w:r>
        <w:rPr>
          <w:rFonts w:hint="eastAsia" w:asciiTheme="minorEastAsia" w:hAnsiTheme="minorEastAsia"/>
          <w:b/>
          <w:color w:val="auto"/>
          <w:szCs w:val="21"/>
          <w:highlight w:val="none"/>
        </w:rPr>
        <w:t>三、</w:t>
      </w:r>
      <w:r>
        <w:rPr>
          <w:rFonts w:hint="eastAsia" w:asciiTheme="minorEastAsia" w:hAnsiTheme="minorEastAsia"/>
          <w:b/>
          <w:color w:val="auto"/>
          <w:szCs w:val="21"/>
          <w:highlight w:val="none"/>
          <w:lang w:val="en-US" w:eastAsia="zh-CN"/>
        </w:rPr>
        <w:t>项目概况</w:t>
      </w:r>
    </w:p>
    <w:p w14:paraId="1672337E">
      <w:pPr>
        <w:spacing w:line="380" w:lineRule="exact"/>
        <w:ind w:firstLine="420" w:firstLineChars="200"/>
        <w:jc w:val="left"/>
        <w:rPr>
          <w:rFonts w:asciiTheme="minorEastAsia" w:hAnsiTheme="minorEastAsia"/>
          <w:color w:val="auto"/>
          <w:szCs w:val="21"/>
          <w:highlight w:val="none"/>
        </w:rPr>
      </w:pPr>
      <w:r>
        <w:rPr>
          <w:rFonts w:hint="eastAsia" w:asciiTheme="minorEastAsia" w:hAnsiTheme="minorEastAsia"/>
          <w:color w:val="auto"/>
          <w:szCs w:val="21"/>
          <w:highlight w:val="none"/>
        </w:rPr>
        <w:t>（一）成交供应商在经营服务期间产生的经营成本、管理费用及税金等，均由供应商自行承担。</w:t>
      </w:r>
      <w:r>
        <w:rPr>
          <w:rFonts w:asciiTheme="minorEastAsia" w:hAnsiTheme="minorEastAsia"/>
          <w:color w:val="auto"/>
          <w:szCs w:val="21"/>
          <w:highlight w:val="none"/>
        </w:rPr>
        <w:t xml:space="preserve"> </w:t>
      </w:r>
    </w:p>
    <w:p w14:paraId="05A8AC44">
      <w:pPr>
        <w:spacing w:line="380" w:lineRule="exact"/>
        <w:ind w:firstLine="420" w:firstLineChars="200"/>
        <w:jc w:val="left"/>
        <w:rPr>
          <w:rFonts w:asciiTheme="minorEastAsia" w:hAnsiTheme="minorEastAsia"/>
          <w:color w:val="auto"/>
          <w:szCs w:val="21"/>
          <w:highlight w:val="none"/>
        </w:rPr>
      </w:pPr>
      <w:r>
        <w:rPr>
          <w:rFonts w:hint="eastAsia" w:asciiTheme="minorEastAsia" w:hAnsiTheme="minorEastAsia"/>
          <w:color w:val="auto"/>
          <w:szCs w:val="21"/>
          <w:highlight w:val="none"/>
        </w:rPr>
        <w:t>（二）学校不收取管理费。</w:t>
      </w:r>
    </w:p>
    <w:p w14:paraId="252DB540">
      <w:pPr>
        <w:spacing w:line="380" w:lineRule="exact"/>
        <w:ind w:firstLine="420" w:firstLineChars="200"/>
        <w:jc w:val="left"/>
        <w:rPr>
          <w:rFonts w:asciiTheme="minorEastAsia" w:hAnsiTheme="minorEastAsia"/>
          <w:color w:val="auto"/>
          <w:szCs w:val="21"/>
          <w:highlight w:val="none"/>
        </w:rPr>
      </w:pPr>
      <w:r>
        <w:rPr>
          <w:rFonts w:hint="eastAsia" w:asciiTheme="minorEastAsia" w:hAnsiTheme="minorEastAsia"/>
          <w:color w:val="auto"/>
          <w:szCs w:val="21"/>
          <w:highlight w:val="none"/>
        </w:rPr>
        <w:t>（三）本项目主要为教职工办公区域</w:t>
      </w:r>
      <w:r>
        <w:rPr>
          <w:rFonts w:hint="eastAsia" w:asciiTheme="minorEastAsia" w:hAnsiTheme="minorEastAsia"/>
          <w:color w:val="auto"/>
          <w:szCs w:val="21"/>
          <w:highlight w:val="none"/>
          <w:lang w:val="en-US" w:eastAsia="zh-CN"/>
        </w:rPr>
        <w:t>供应饮用水</w:t>
      </w:r>
      <w:r>
        <w:rPr>
          <w:rFonts w:hint="eastAsia" w:asciiTheme="minorEastAsia" w:hAnsiTheme="minorEastAsia"/>
          <w:color w:val="auto"/>
          <w:szCs w:val="21"/>
          <w:highlight w:val="none"/>
        </w:rPr>
        <w:t>。学校将向各部门（单位）提供成交供应商的供水信息（含电话、价格），供各部门（单位）自行选择、订购瓶装水及桶装水。</w:t>
      </w:r>
    </w:p>
    <w:p w14:paraId="348EE4E4">
      <w:pPr>
        <w:spacing w:before="156" w:beforeLines="50" w:line="380" w:lineRule="exact"/>
        <w:jc w:val="left"/>
        <w:outlineLvl w:val="0"/>
        <w:rPr>
          <w:rStyle w:val="12"/>
          <w:color w:val="auto"/>
          <w:highlight w:val="none"/>
        </w:rPr>
      </w:pPr>
      <w:r>
        <w:rPr>
          <w:rFonts w:hint="eastAsia" w:asciiTheme="minorEastAsia" w:hAnsiTheme="minorEastAsia"/>
          <w:b/>
          <w:color w:val="auto"/>
          <w:szCs w:val="21"/>
          <w:highlight w:val="none"/>
        </w:rPr>
        <w:t>四、采购需求</w:t>
      </w:r>
    </w:p>
    <w:p w14:paraId="3320E2F4">
      <w:pPr>
        <w:spacing w:before="0" w:beforeLines="-2147483648" w:line="380" w:lineRule="exact"/>
        <w:ind w:firstLine="420" w:firstLineChars="200"/>
        <w:jc w:val="left"/>
        <w:outlineLvl w:val="9"/>
        <w:rPr>
          <w:rFonts w:hint="default" w:asciiTheme="minorEastAsia" w:hAnsiTheme="minorEastAsia" w:eastAsiaTheme="minorEastAsia"/>
          <w:color w:val="auto"/>
          <w:highlight w:val="none"/>
          <w:lang w:val="en-US" w:eastAsia="zh-CN"/>
        </w:rPr>
      </w:pPr>
      <w:r>
        <w:rPr>
          <w:rFonts w:hint="eastAsia" w:asciiTheme="minorEastAsia" w:hAnsiTheme="minorEastAsia"/>
          <w:color w:val="auto"/>
          <w:highlight w:val="none"/>
          <w:lang w:val="en-US" w:eastAsia="zh-CN"/>
        </w:rPr>
        <w:t>根据往年办公区饮用水供应量测算，每年费用约10万元，最终金额以实际结算为准。</w:t>
      </w:r>
    </w:p>
    <w:p w14:paraId="19503A61">
      <w:pPr>
        <w:spacing w:line="380" w:lineRule="exact"/>
        <w:ind w:firstLine="420" w:firstLineChars="200"/>
        <w:jc w:val="left"/>
        <w:rPr>
          <w:rFonts w:asciiTheme="minorEastAsia" w:hAnsiTheme="minorEastAsia"/>
          <w:color w:val="auto"/>
          <w:szCs w:val="21"/>
          <w:highlight w:val="none"/>
        </w:rPr>
      </w:pPr>
      <w:r>
        <w:rPr>
          <w:rFonts w:hint="eastAsia" w:asciiTheme="minorEastAsia" w:hAnsiTheme="minorEastAsia"/>
          <w:color w:val="auto"/>
          <w:szCs w:val="21"/>
          <w:highlight w:val="none"/>
        </w:rPr>
        <w:t>（一）供货</w:t>
      </w:r>
      <w:r>
        <w:rPr>
          <w:rFonts w:asciiTheme="minorEastAsia" w:hAnsiTheme="minorEastAsia"/>
          <w:color w:val="auto"/>
          <w:szCs w:val="21"/>
          <w:highlight w:val="none"/>
        </w:rPr>
        <w:t>内容</w:t>
      </w:r>
    </w:p>
    <w:p w14:paraId="25DB441B">
      <w:pPr>
        <w:spacing w:line="380" w:lineRule="exact"/>
        <w:ind w:firstLine="420" w:firstLineChars="200"/>
        <w:jc w:val="left"/>
        <w:rPr>
          <w:rFonts w:asciiTheme="minorEastAsia" w:hAnsiTheme="minorEastAsia"/>
          <w:color w:val="auto"/>
          <w:szCs w:val="21"/>
          <w:highlight w:val="none"/>
        </w:rPr>
      </w:pPr>
      <w:r>
        <w:rPr>
          <w:rFonts w:hint="eastAsia" w:asciiTheme="minorEastAsia" w:hAnsiTheme="minorEastAsia"/>
          <w:color w:val="auto"/>
          <w:szCs w:val="21"/>
          <w:highlight w:val="none"/>
        </w:rPr>
        <w:t>1.规格要求：</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6"/>
        <w:gridCol w:w="2085"/>
        <w:gridCol w:w="1920"/>
        <w:gridCol w:w="1067"/>
        <w:gridCol w:w="2320"/>
      </w:tblGrid>
      <w:tr w14:paraId="56C55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96" w:type="dxa"/>
            <w:vAlign w:val="center"/>
          </w:tcPr>
          <w:p w14:paraId="53A66345">
            <w:pPr>
              <w:widowControl/>
              <w:spacing w:line="380" w:lineRule="exact"/>
              <w:jc w:val="center"/>
              <w:rPr>
                <w:rFonts w:ascii="宋体" w:hAnsi="宋体" w:cs="宋体"/>
                <w:b/>
                <w:color w:val="auto"/>
                <w:kern w:val="0"/>
                <w:sz w:val="18"/>
                <w:szCs w:val="18"/>
                <w:highlight w:val="none"/>
              </w:rPr>
            </w:pPr>
            <w:r>
              <w:rPr>
                <w:rFonts w:hint="eastAsia" w:ascii="宋体" w:hAnsi="宋体" w:cs="宋体"/>
                <w:b/>
                <w:color w:val="auto"/>
                <w:kern w:val="0"/>
                <w:sz w:val="18"/>
                <w:szCs w:val="18"/>
                <w:highlight w:val="none"/>
              </w:rPr>
              <w:t>序号</w:t>
            </w:r>
          </w:p>
        </w:tc>
        <w:tc>
          <w:tcPr>
            <w:tcW w:w="2085" w:type="dxa"/>
            <w:vAlign w:val="center"/>
          </w:tcPr>
          <w:p w14:paraId="313B3C4A">
            <w:pPr>
              <w:widowControl/>
              <w:spacing w:line="380" w:lineRule="exact"/>
              <w:jc w:val="center"/>
              <w:rPr>
                <w:rFonts w:ascii="宋体" w:hAnsi="宋体" w:cs="宋体"/>
                <w:b/>
                <w:color w:val="auto"/>
                <w:kern w:val="0"/>
                <w:sz w:val="18"/>
                <w:szCs w:val="18"/>
                <w:highlight w:val="none"/>
              </w:rPr>
            </w:pPr>
            <w:r>
              <w:rPr>
                <w:rFonts w:hint="eastAsia" w:ascii="宋体" w:hAnsi="宋体" w:cs="宋体"/>
                <w:b/>
                <w:color w:val="auto"/>
                <w:kern w:val="0"/>
                <w:sz w:val="18"/>
                <w:szCs w:val="18"/>
                <w:highlight w:val="none"/>
              </w:rPr>
              <w:t>产品名称</w:t>
            </w:r>
          </w:p>
        </w:tc>
        <w:tc>
          <w:tcPr>
            <w:tcW w:w="1920" w:type="dxa"/>
            <w:vAlign w:val="center"/>
          </w:tcPr>
          <w:p w14:paraId="48849DC7">
            <w:pPr>
              <w:widowControl/>
              <w:spacing w:line="380" w:lineRule="exact"/>
              <w:jc w:val="center"/>
              <w:rPr>
                <w:rFonts w:ascii="宋体" w:hAnsi="宋体" w:cs="宋体"/>
                <w:b/>
                <w:color w:val="auto"/>
                <w:kern w:val="0"/>
                <w:sz w:val="18"/>
                <w:szCs w:val="18"/>
                <w:highlight w:val="none"/>
              </w:rPr>
            </w:pPr>
            <w:r>
              <w:rPr>
                <w:rFonts w:hint="eastAsia" w:ascii="宋体" w:hAnsi="宋体" w:cs="宋体"/>
                <w:b/>
                <w:color w:val="auto"/>
                <w:kern w:val="0"/>
                <w:sz w:val="18"/>
                <w:szCs w:val="18"/>
                <w:highlight w:val="none"/>
              </w:rPr>
              <w:t>规格型号</w:t>
            </w:r>
          </w:p>
        </w:tc>
        <w:tc>
          <w:tcPr>
            <w:tcW w:w="1067" w:type="dxa"/>
            <w:vAlign w:val="center"/>
          </w:tcPr>
          <w:p w14:paraId="48CF7A49">
            <w:pPr>
              <w:widowControl/>
              <w:spacing w:line="380" w:lineRule="exact"/>
              <w:jc w:val="center"/>
              <w:rPr>
                <w:rFonts w:ascii="宋体" w:hAnsi="宋体" w:cs="宋体"/>
                <w:b/>
                <w:color w:val="auto"/>
                <w:kern w:val="0"/>
                <w:sz w:val="18"/>
                <w:szCs w:val="18"/>
                <w:highlight w:val="none"/>
              </w:rPr>
            </w:pPr>
            <w:r>
              <w:rPr>
                <w:rFonts w:hint="eastAsia" w:ascii="宋体" w:hAnsi="宋体" w:cs="宋体"/>
                <w:b/>
                <w:color w:val="auto"/>
                <w:kern w:val="0"/>
                <w:sz w:val="18"/>
                <w:szCs w:val="18"/>
                <w:highlight w:val="none"/>
              </w:rPr>
              <w:t>单位</w:t>
            </w:r>
          </w:p>
        </w:tc>
        <w:tc>
          <w:tcPr>
            <w:tcW w:w="2320" w:type="dxa"/>
            <w:vAlign w:val="center"/>
          </w:tcPr>
          <w:p w14:paraId="5A930F78">
            <w:pPr>
              <w:widowControl/>
              <w:spacing w:line="380" w:lineRule="exact"/>
              <w:jc w:val="center"/>
              <w:rPr>
                <w:rFonts w:ascii="宋体" w:hAnsi="宋体" w:cs="宋体"/>
                <w:b/>
                <w:color w:val="auto"/>
                <w:kern w:val="0"/>
                <w:sz w:val="18"/>
                <w:szCs w:val="18"/>
                <w:highlight w:val="none"/>
              </w:rPr>
            </w:pPr>
            <w:r>
              <w:rPr>
                <w:rFonts w:hint="eastAsia" w:ascii="宋体" w:hAnsi="宋体" w:cs="宋体"/>
                <w:b/>
                <w:color w:val="auto"/>
                <w:kern w:val="0"/>
                <w:sz w:val="18"/>
                <w:szCs w:val="18"/>
                <w:highlight w:val="none"/>
              </w:rPr>
              <w:t>最高限价（元）</w:t>
            </w:r>
          </w:p>
        </w:tc>
      </w:tr>
      <w:tr w14:paraId="647FD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jc w:val="center"/>
        </w:trPr>
        <w:tc>
          <w:tcPr>
            <w:tcW w:w="696" w:type="dxa"/>
            <w:vAlign w:val="center"/>
          </w:tcPr>
          <w:p w14:paraId="6C9A97E9">
            <w:pPr>
              <w:widowControl/>
              <w:spacing w:line="380" w:lineRule="exact"/>
              <w:jc w:val="center"/>
              <w:rPr>
                <w:rFonts w:ascii="宋体" w:hAnsi="宋体" w:eastAsia="宋体" w:cs="宋体"/>
                <w:color w:val="auto"/>
                <w:kern w:val="0"/>
                <w:sz w:val="18"/>
                <w:szCs w:val="18"/>
                <w:highlight w:val="none"/>
              </w:rPr>
            </w:pPr>
            <w:r>
              <w:rPr>
                <w:rFonts w:ascii="宋体" w:hAnsi="宋体" w:eastAsia="宋体" w:cs="宋体"/>
                <w:color w:val="auto"/>
                <w:kern w:val="0"/>
                <w:sz w:val="18"/>
                <w:szCs w:val="18"/>
                <w:highlight w:val="none"/>
              </w:rPr>
              <w:t>1</w:t>
            </w:r>
          </w:p>
        </w:tc>
        <w:tc>
          <w:tcPr>
            <w:tcW w:w="2085" w:type="dxa"/>
            <w:vAlign w:val="center"/>
          </w:tcPr>
          <w:p w14:paraId="01C2C686">
            <w:pPr>
              <w:widowControl/>
              <w:spacing w:line="38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桶装水（循环桶）</w:t>
            </w:r>
          </w:p>
        </w:tc>
        <w:tc>
          <w:tcPr>
            <w:tcW w:w="1920" w:type="dxa"/>
            <w:vAlign w:val="center"/>
          </w:tcPr>
          <w:p w14:paraId="2846C657">
            <w:pPr>
              <w:widowControl/>
              <w:spacing w:line="38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lang w:val="en-US" w:eastAsia="zh-CN"/>
              </w:rPr>
              <w:t>不低于</w:t>
            </w:r>
            <w:r>
              <w:rPr>
                <w:rFonts w:ascii="宋体" w:hAnsi="宋体" w:cs="宋体"/>
                <w:color w:val="auto"/>
                <w:kern w:val="0"/>
                <w:sz w:val="18"/>
                <w:szCs w:val="18"/>
                <w:highlight w:val="none"/>
              </w:rPr>
              <w:t>17</w:t>
            </w:r>
            <w:r>
              <w:rPr>
                <w:rFonts w:hint="eastAsia" w:ascii="宋体" w:hAnsi="宋体" w:cs="宋体"/>
                <w:color w:val="auto"/>
                <w:kern w:val="0"/>
                <w:sz w:val="18"/>
                <w:szCs w:val="18"/>
                <w:highlight w:val="none"/>
              </w:rPr>
              <w:t>L</w:t>
            </w:r>
            <w:r>
              <w:rPr>
                <w:rFonts w:ascii="宋体" w:hAnsi="宋体" w:cs="宋体"/>
                <w:color w:val="auto"/>
                <w:kern w:val="0"/>
                <w:sz w:val="18"/>
                <w:szCs w:val="18"/>
                <w:highlight w:val="none"/>
              </w:rPr>
              <w:t>/</w:t>
            </w:r>
            <w:r>
              <w:rPr>
                <w:rFonts w:hint="eastAsia" w:ascii="宋体" w:hAnsi="宋体" w:cs="宋体"/>
                <w:color w:val="auto"/>
                <w:kern w:val="0"/>
                <w:sz w:val="18"/>
                <w:szCs w:val="18"/>
                <w:highlight w:val="none"/>
              </w:rPr>
              <w:t>桶</w:t>
            </w:r>
          </w:p>
        </w:tc>
        <w:tc>
          <w:tcPr>
            <w:tcW w:w="1067" w:type="dxa"/>
            <w:vAlign w:val="center"/>
          </w:tcPr>
          <w:p w14:paraId="651689AA">
            <w:pPr>
              <w:widowControl/>
              <w:spacing w:line="38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元/桶</w:t>
            </w:r>
          </w:p>
        </w:tc>
        <w:tc>
          <w:tcPr>
            <w:tcW w:w="2320" w:type="dxa"/>
            <w:vAlign w:val="center"/>
          </w:tcPr>
          <w:p w14:paraId="2CAC2E7A">
            <w:pPr>
              <w:widowControl/>
              <w:spacing w:line="380" w:lineRule="exact"/>
              <w:jc w:val="center"/>
              <w:rPr>
                <w:rFonts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w:t>
            </w:r>
          </w:p>
        </w:tc>
      </w:tr>
      <w:tr w14:paraId="192E7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96" w:type="dxa"/>
            <w:vAlign w:val="center"/>
          </w:tcPr>
          <w:p w14:paraId="16949A14">
            <w:pPr>
              <w:widowControl/>
              <w:spacing w:line="380" w:lineRule="exact"/>
              <w:jc w:val="center"/>
              <w:rPr>
                <w:rFonts w:ascii="宋体" w:hAnsi="宋体" w:eastAsia="宋体" w:cs="宋体"/>
                <w:color w:val="auto"/>
                <w:kern w:val="0"/>
                <w:sz w:val="18"/>
                <w:szCs w:val="18"/>
                <w:highlight w:val="none"/>
              </w:rPr>
            </w:pPr>
            <w:r>
              <w:rPr>
                <w:rFonts w:ascii="宋体" w:hAnsi="宋体" w:eastAsia="宋体" w:cs="宋体"/>
                <w:color w:val="auto"/>
                <w:kern w:val="0"/>
                <w:sz w:val="18"/>
                <w:szCs w:val="18"/>
                <w:highlight w:val="none"/>
              </w:rPr>
              <w:t>2</w:t>
            </w:r>
          </w:p>
        </w:tc>
        <w:tc>
          <w:tcPr>
            <w:tcW w:w="2085" w:type="dxa"/>
            <w:vAlign w:val="center"/>
          </w:tcPr>
          <w:p w14:paraId="5DE7B9CB">
            <w:pPr>
              <w:widowControl/>
              <w:spacing w:line="38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桶装水（一次性桶）</w:t>
            </w:r>
          </w:p>
        </w:tc>
        <w:tc>
          <w:tcPr>
            <w:tcW w:w="1920" w:type="dxa"/>
            <w:vAlign w:val="center"/>
          </w:tcPr>
          <w:p w14:paraId="1DCF9A5B">
            <w:pPr>
              <w:widowControl/>
              <w:spacing w:line="38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lang w:val="en-US" w:eastAsia="zh-CN"/>
              </w:rPr>
              <w:t>不低于</w:t>
            </w:r>
            <w:r>
              <w:rPr>
                <w:rFonts w:ascii="宋体" w:hAnsi="宋体" w:cs="宋体"/>
                <w:color w:val="auto"/>
                <w:kern w:val="0"/>
                <w:sz w:val="18"/>
                <w:szCs w:val="18"/>
                <w:highlight w:val="none"/>
              </w:rPr>
              <w:t>15</w:t>
            </w:r>
            <w:r>
              <w:rPr>
                <w:rFonts w:hint="eastAsia" w:ascii="宋体" w:hAnsi="宋体" w:cs="宋体"/>
                <w:color w:val="auto"/>
                <w:kern w:val="0"/>
                <w:sz w:val="18"/>
                <w:szCs w:val="18"/>
                <w:highlight w:val="none"/>
              </w:rPr>
              <w:t>L</w:t>
            </w:r>
            <w:r>
              <w:rPr>
                <w:rFonts w:ascii="宋体" w:hAnsi="宋体" w:cs="宋体"/>
                <w:color w:val="auto"/>
                <w:kern w:val="0"/>
                <w:sz w:val="18"/>
                <w:szCs w:val="18"/>
                <w:highlight w:val="none"/>
              </w:rPr>
              <w:t>/</w:t>
            </w:r>
            <w:r>
              <w:rPr>
                <w:rFonts w:hint="eastAsia" w:ascii="宋体" w:hAnsi="宋体" w:cs="宋体"/>
                <w:color w:val="auto"/>
                <w:kern w:val="0"/>
                <w:sz w:val="18"/>
                <w:szCs w:val="18"/>
                <w:highlight w:val="none"/>
              </w:rPr>
              <w:t>桶</w:t>
            </w:r>
          </w:p>
        </w:tc>
        <w:tc>
          <w:tcPr>
            <w:tcW w:w="1067" w:type="dxa"/>
            <w:vAlign w:val="center"/>
          </w:tcPr>
          <w:p w14:paraId="73C5EC49">
            <w:pPr>
              <w:widowControl/>
              <w:spacing w:line="38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元/桶</w:t>
            </w:r>
          </w:p>
        </w:tc>
        <w:tc>
          <w:tcPr>
            <w:tcW w:w="2320" w:type="dxa"/>
            <w:vAlign w:val="center"/>
          </w:tcPr>
          <w:p w14:paraId="0B06A682">
            <w:pPr>
              <w:widowControl/>
              <w:spacing w:line="380" w:lineRule="exact"/>
              <w:jc w:val="center"/>
              <w:rPr>
                <w:rFonts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19</w:t>
            </w:r>
          </w:p>
        </w:tc>
      </w:tr>
      <w:tr w14:paraId="7A726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96" w:type="dxa"/>
            <w:vAlign w:val="center"/>
          </w:tcPr>
          <w:p w14:paraId="25C96A34">
            <w:pPr>
              <w:widowControl/>
              <w:spacing w:line="380" w:lineRule="exact"/>
              <w:jc w:val="center"/>
              <w:rPr>
                <w:rFonts w:ascii="宋体" w:hAnsi="宋体" w:eastAsia="宋体" w:cs="宋体"/>
                <w:color w:val="auto"/>
                <w:kern w:val="0"/>
                <w:sz w:val="18"/>
                <w:szCs w:val="18"/>
                <w:highlight w:val="none"/>
              </w:rPr>
            </w:pPr>
            <w:r>
              <w:rPr>
                <w:rFonts w:ascii="宋体" w:hAnsi="宋体" w:eastAsia="宋体" w:cs="宋体"/>
                <w:color w:val="auto"/>
                <w:kern w:val="0"/>
                <w:sz w:val="18"/>
                <w:szCs w:val="18"/>
                <w:highlight w:val="none"/>
              </w:rPr>
              <w:t>3</w:t>
            </w:r>
          </w:p>
        </w:tc>
        <w:tc>
          <w:tcPr>
            <w:tcW w:w="2085" w:type="dxa"/>
            <w:vAlign w:val="center"/>
          </w:tcPr>
          <w:p w14:paraId="3AFC2262">
            <w:pPr>
              <w:widowControl/>
              <w:spacing w:line="38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瓶装水（小瓶）</w:t>
            </w:r>
          </w:p>
        </w:tc>
        <w:tc>
          <w:tcPr>
            <w:tcW w:w="1920" w:type="dxa"/>
            <w:vAlign w:val="center"/>
          </w:tcPr>
          <w:p w14:paraId="75BFED1A">
            <w:pPr>
              <w:widowControl/>
              <w:spacing w:line="380" w:lineRule="exact"/>
              <w:jc w:val="center"/>
              <w:rPr>
                <w:rFonts w:hint="default" w:ascii="宋体" w:hAnsi="宋体" w:cs="宋体" w:eastAsiaTheme="minorEastAsia"/>
                <w:color w:val="auto"/>
                <w:kern w:val="0"/>
                <w:sz w:val="18"/>
                <w:szCs w:val="18"/>
                <w:highlight w:val="none"/>
                <w:lang w:val="en-US" w:eastAsia="zh-CN"/>
              </w:rPr>
            </w:pPr>
            <w:r>
              <w:rPr>
                <w:rFonts w:ascii="宋体" w:hAnsi="宋体" w:cs="宋体"/>
                <w:color w:val="auto"/>
                <w:kern w:val="0"/>
                <w:sz w:val="18"/>
                <w:szCs w:val="18"/>
                <w:highlight w:val="none"/>
              </w:rPr>
              <w:t>350</w:t>
            </w:r>
            <w:r>
              <w:rPr>
                <w:rFonts w:hint="eastAsia" w:ascii="宋体" w:hAnsi="宋体" w:cs="宋体"/>
                <w:color w:val="auto"/>
                <w:kern w:val="0"/>
                <w:sz w:val="18"/>
                <w:szCs w:val="18"/>
                <w:highlight w:val="none"/>
              </w:rPr>
              <w:t>ml/瓶</w:t>
            </w:r>
            <w:r>
              <w:rPr>
                <w:rFonts w:hint="eastAsia" w:ascii="宋体" w:hAnsi="宋体" w:cs="宋体"/>
                <w:color w:val="auto"/>
                <w:kern w:val="0"/>
                <w:sz w:val="18"/>
                <w:szCs w:val="18"/>
                <w:highlight w:val="none"/>
                <w:lang w:val="en-US" w:eastAsia="zh-CN"/>
              </w:rPr>
              <w:t>至500ml/瓶（不含500ml/瓶）</w:t>
            </w:r>
          </w:p>
        </w:tc>
        <w:tc>
          <w:tcPr>
            <w:tcW w:w="1067" w:type="dxa"/>
            <w:vAlign w:val="center"/>
          </w:tcPr>
          <w:p w14:paraId="6C32E991">
            <w:pPr>
              <w:widowControl/>
              <w:spacing w:line="38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元/箱</w:t>
            </w:r>
          </w:p>
        </w:tc>
        <w:tc>
          <w:tcPr>
            <w:tcW w:w="2320" w:type="dxa"/>
            <w:vAlign w:val="center"/>
          </w:tcPr>
          <w:p w14:paraId="78373ED5">
            <w:pPr>
              <w:widowControl/>
              <w:spacing w:line="380" w:lineRule="exact"/>
              <w:jc w:val="center"/>
              <w:rPr>
                <w:rFonts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lang w:val="en-US" w:eastAsia="zh-CN"/>
              </w:rPr>
              <w:t>26</w:t>
            </w:r>
            <w:r>
              <w:rPr>
                <w:rFonts w:hint="eastAsia" w:ascii="宋体" w:hAnsi="宋体" w:eastAsia="宋体" w:cs="宋体"/>
                <w:color w:val="auto"/>
                <w:kern w:val="0"/>
                <w:sz w:val="18"/>
                <w:szCs w:val="18"/>
                <w:highlight w:val="none"/>
              </w:rPr>
              <w:t>（每箱24瓶）</w:t>
            </w:r>
          </w:p>
        </w:tc>
      </w:tr>
      <w:tr w14:paraId="11538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96" w:type="dxa"/>
            <w:vAlign w:val="center"/>
          </w:tcPr>
          <w:p w14:paraId="0CA16925">
            <w:pPr>
              <w:widowControl/>
              <w:spacing w:line="380" w:lineRule="exact"/>
              <w:jc w:val="center"/>
              <w:rPr>
                <w:rFonts w:ascii="宋体" w:hAnsi="宋体" w:eastAsia="宋体" w:cs="宋体"/>
                <w:strike w:val="0"/>
                <w:color w:val="auto"/>
                <w:kern w:val="0"/>
                <w:sz w:val="18"/>
                <w:szCs w:val="18"/>
                <w:highlight w:val="none"/>
              </w:rPr>
            </w:pPr>
            <w:r>
              <w:rPr>
                <w:rFonts w:hint="eastAsia" w:ascii="宋体" w:hAnsi="宋体" w:eastAsia="宋体" w:cs="宋体"/>
                <w:strike w:val="0"/>
                <w:color w:val="auto"/>
                <w:kern w:val="0"/>
                <w:sz w:val="18"/>
                <w:szCs w:val="18"/>
                <w:highlight w:val="none"/>
              </w:rPr>
              <w:t>4</w:t>
            </w:r>
          </w:p>
        </w:tc>
        <w:tc>
          <w:tcPr>
            <w:tcW w:w="2085" w:type="dxa"/>
            <w:vAlign w:val="center"/>
          </w:tcPr>
          <w:p w14:paraId="6322A035">
            <w:pPr>
              <w:widowControl/>
              <w:spacing w:line="380" w:lineRule="exact"/>
              <w:jc w:val="center"/>
              <w:rPr>
                <w:rFonts w:ascii="宋体" w:hAnsi="宋体" w:cs="宋体"/>
                <w:strike w:val="0"/>
                <w:color w:val="auto"/>
                <w:kern w:val="0"/>
                <w:sz w:val="18"/>
                <w:szCs w:val="18"/>
                <w:highlight w:val="none"/>
              </w:rPr>
            </w:pPr>
            <w:r>
              <w:rPr>
                <w:rFonts w:hint="eastAsia" w:ascii="宋体" w:hAnsi="宋体" w:cs="宋体"/>
                <w:strike w:val="0"/>
                <w:color w:val="auto"/>
                <w:kern w:val="0"/>
                <w:sz w:val="18"/>
                <w:szCs w:val="18"/>
                <w:highlight w:val="none"/>
              </w:rPr>
              <w:t>瓶装水（中瓶）</w:t>
            </w:r>
          </w:p>
        </w:tc>
        <w:tc>
          <w:tcPr>
            <w:tcW w:w="1920" w:type="dxa"/>
            <w:vAlign w:val="center"/>
          </w:tcPr>
          <w:p w14:paraId="07379020">
            <w:pPr>
              <w:widowControl/>
              <w:spacing w:line="380" w:lineRule="exact"/>
              <w:jc w:val="center"/>
              <w:rPr>
                <w:rFonts w:ascii="宋体" w:hAnsi="宋体" w:cs="宋体"/>
                <w:strike w:val="0"/>
                <w:color w:val="auto"/>
                <w:kern w:val="0"/>
                <w:sz w:val="18"/>
                <w:szCs w:val="18"/>
                <w:highlight w:val="none"/>
              </w:rPr>
            </w:pPr>
            <w:r>
              <w:rPr>
                <w:rFonts w:hint="eastAsia" w:ascii="宋体" w:hAnsi="宋体" w:cs="宋体"/>
                <w:strike w:val="0"/>
                <w:color w:val="auto"/>
                <w:kern w:val="0"/>
                <w:sz w:val="18"/>
                <w:szCs w:val="18"/>
                <w:highlight w:val="none"/>
                <w:lang w:val="en-US" w:eastAsia="zh-CN"/>
              </w:rPr>
              <w:t>500ml/瓶至60</w:t>
            </w:r>
            <w:r>
              <w:rPr>
                <w:rFonts w:hint="eastAsia" w:ascii="宋体" w:hAnsi="宋体" w:cs="宋体"/>
                <w:strike w:val="0"/>
                <w:color w:val="auto"/>
                <w:kern w:val="0"/>
                <w:sz w:val="18"/>
                <w:szCs w:val="18"/>
                <w:highlight w:val="none"/>
              </w:rPr>
              <w:t>0ml</w:t>
            </w:r>
            <w:r>
              <w:rPr>
                <w:rFonts w:ascii="宋体" w:hAnsi="宋体" w:cs="宋体"/>
                <w:strike w:val="0"/>
                <w:color w:val="auto"/>
                <w:kern w:val="0"/>
                <w:sz w:val="18"/>
                <w:szCs w:val="18"/>
                <w:highlight w:val="none"/>
              </w:rPr>
              <w:t>/</w:t>
            </w:r>
            <w:r>
              <w:rPr>
                <w:rFonts w:hint="eastAsia" w:ascii="宋体" w:hAnsi="宋体" w:cs="宋体"/>
                <w:strike w:val="0"/>
                <w:color w:val="auto"/>
                <w:kern w:val="0"/>
                <w:sz w:val="18"/>
                <w:szCs w:val="18"/>
                <w:highlight w:val="none"/>
              </w:rPr>
              <w:t>瓶</w:t>
            </w:r>
          </w:p>
        </w:tc>
        <w:tc>
          <w:tcPr>
            <w:tcW w:w="1067" w:type="dxa"/>
            <w:vAlign w:val="center"/>
          </w:tcPr>
          <w:p w14:paraId="08434D65">
            <w:pPr>
              <w:widowControl/>
              <w:spacing w:line="380" w:lineRule="exact"/>
              <w:jc w:val="center"/>
              <w:rPr>
                <w:rFonts w:ascii="宋体" w:hAnsi="宋体" w:cs="宋体"/>
                <w:strike w:val="0"/>
                <w:color w:val="auto"/>
                <w:kern w:val="0"/>
                <w:sz w:val="18"/>
                <w:szCs w:val="18"/>
                <w:highlight w:val="none"/>
              </w:rPr>
            </w:pPr>
            <w:r>
              <w:rPr>
                <w:rFonts w:hint="eastAsia" w:ascii="宋体" w:hAnsi="宋体" w:cs="宋体"/>
                <w:strike w:val="0"/>
                <w:color w:val="auto"/>
                <w:kern w:val="0"/>
                <w:sz w:val="18"/>
                <w:szCs w:val="18"/>
                <w:highlight w:val="none"/>
              </w:rPr>
              <w:t>元/箱</w:t>
            </w:r>
          </w:p>
        </w:tc>
        <w:tc>
          <w:tcPr>
            <w:tcW w:w="2320" w:type="dxa"/>
            <w:vAlign w:val="center"/>
          </w:tcPr>
          <w:p w14:paraId="30FB6F84">
            <w:pPr>
              <w:widowControl/>
              <w:spacing w:line="380" w:lineRule="exact"/>
              <w:jc w:val="center"/>
              <w:rPr>
                <w:rFonts w:ascii="宋体" w:hAnsi="宋体" w:eastAsia="宋体" w:cs="宋体"/>
                <w:strike w:val="0"/>
                <w:color w:val="auto"/>
                <w:kern w:val="0"/>
                <w:sz w:val="18"/>
                <w:szCs w:val="18"/>
                <w:highlight w:val="none"/>
              </w:rPr>
            </w:pPr>
            <w:r>
              <w:rPr>
                <w:rFonts w:hint="eastAsia" w:ascii="宋体" w:hAnsi="宋体" w:eastAsia="宋体" w:cs="宋体"/>
                <w:strike w:val="0"/>
                <w:color w:val="auto"/>
                <w:kern w:val="0"/>
                <w:sz w:val="18"/>
                <w:szCs w:val="18"/>
                <w:highlight w:val="none"/>
                <w:lang w:eastAsia="zh-CN"/>
              </w:rPr>
              <w:t>3</w:t>
            </w:r>
            <w:r>
              <w:rPr>
                <w:rFonts w:hint="eastAsia" w:ascii="宋体" w:hAnsi="宋体" w:eastAsia="宋体" w:cs="宋体"/>
                <w:strike w:val="0"/>
                <w:color w:val="auto"/>
                <w:kern w:val="0"/>
                <w:sz w:val="18"/>
                <w:szCs w:val="18"/>
                <w:highlight w:val="none"/>
                <w:lang w:val="en-US" w:eastAsia="zh-CN"/>
              </w:rPr>
              <w:t>0</w:t>
            </w:r>
            <w:r>
              <w:rPr>
                <w:rFonts w:hint="eastAsia" w:ascii="宋体" w:hAnsi="宋体" w:eastAsia="宋体" w:cs="宋体"/>
                <w:strike w:val="0"/>
                <w:color w:val="auto"/>
                <w:kern w:val="0"/>
                <w:sz w:val="18"/>
                <w:szCs w:val="18"/>
                <w:highlight w:val="none"/>
              </w:rPr>
              <w:t>（每箱24瓶）</w:t>
            </w:r>
          </w:p>
        </w:tc>
      </w:tr>
    </w:tbl>
    <w:p w14:paraId="4F3D2823">
      <w:pPr>
        <w:spacing w:line="380" w:lineRule="exact"/>
        <w:ind w:firstLine="420" w:firstLineChars="200"/>
        <w:jc w:val="left"/>
        <w:rPr>
          <w:rFonts w:hint="default" w:asciiTheme="minorEastAsia" w:hAnsiTheme="minorEastAsia" w:eastAsiaTheme="minorEastAsia"/>
          <w:color w:val="auto"/>
          <w:szCs w:val="21"/>
          <w:highlight w:val="none"/>
          <w:lang w:val="en-US" w:eastAsia="zh-CN"/>
        </w:rPr>
      </w:pPr>
      <w:r>
        <w:rPr>
          <w:rFonts w:hint="eastAsia" w:asciiTheme="minorEastAsia" w:hAnsiTheme="minorEastAsia"/>
          <w:color w:val="auto"/>
          <w:szCs w:val="21"/>
          <w:highlight w:val="none"/>
        </w:rPr>
        <w:t>2.瓶装水及桶装水</w:t>
      </w:r>
      <w:r>
        <w:rPr>
          <w:rFonts w:asciiTheme="minorEastAsia" w:hAnsiTheme="minorEastAsia"/>
          <w:color w:val="auto"/>
          <w:szCs w:val="21"/>
          <w:highlight w:val="none"/>
        </w:rPr>
        <w:t>的价格</w:t>
      </w:r>
      <w:r>
        <w:rPr>
          <w:rFonts w:hint="eastAsia" w:asciiTheme="minorEastAsia" w:hAnsiTheme="minorEastAsia"/>
          <w:color w:val="auto"/>
          <w:szCs w:val="21"/>
          <w:highlight w:val="none"/>
        </w:rPr>
        <w:t>低</w:t>
      </w:r>
      <w:r>
        <w:rPr>
          <w:rFonts w:asciiTheme="minorEastAsia" w:hAnsiTheme="minorEastAsia"/>
          <w:color w:val="auto"/>
          <w:szCs w:val="21"/>
          <w:highlight w:val="none"/>
        </w:rPr>
        <w:t>于校内及市场同类产品的价格</w:t>
      </w:r>
      <w:r>
        <w:rPr>
          <w:rFonts w:hint="eastAsia" w:asciiTheme="minorEastAsia" w:hAnsiTheme="minorEastAsia"/>
          <w:color w:val="auto"/>
          <w:szCs w:val="21"/>
          <w:highlight w:val="none"/>
          <w:lang w:eastAsia="zh-CN"/>
        </w:rPr>
        <w:t>（</w:t>
      </w:r>
      <w:r>
        <w:rPr>
          <w:rFonts w:hint="eastAsia"/>
          <w:color w:val="auto"/>
          <w:highlight w:val="none"/>
        </w:rPr>
        <w:t>响应文件中提供承诺函</w:t>
      </w:r>
      <w:r>
        <w:rPr>
          <w:rFonts w:hint="eastAsia"/>
          <w:color w:val="auto"/>
          <w:highlight w:val="none"/>
          <w:lang w:eastAsia="zh-CN"/>
        </w:rPr>
        <w:t>，</w:t>
      </w:r>
      <w:r>
        <w:rPr>
          <w:rFonts w:hint="eastAsia"/>
          <w:color w:val="auto"/>
          <w:highlight w:val="none"/>
        </w:rPr>
        <w:t>格式自拟）</w:t>
      </w:r>
      <w:r>
        <w:rPr>
          <w:rFonts w:hint="eastAsia" w:asciiTheme="minorEastAsia" w:hAnsiTheme="minorEastAsia"/>
          <w:color w:val="auto"/>
          <w:szCs w:val="21"/>
          <w:highlight w:val="none"/>
        </w:rPr>
        <w:t>，超过最高限价的视为无效响应。每类产品仅限投一种</w:t>
      </w:r>
      <w:r>
        <w:rPr>
          <w:rStyle w:val="12"/>
          <w:rFonts w:hint="eastAsia"/>
          <w:color w:val="auto"/>
          <w:highlight w:val="none"/>
          <w:lang w:val="en-US" w:eastAsia="zh-CN"/>
        </w:rPr>
        <w:t>品牌</w:t>
      </w:r>
      <w:r>
        <w:rPr>
          <w:rFonts w:hint="eastAsia" w:asciiTheme="minorEastAsia" w:hAnsiTheme="minorEastAsia"/>
          <w:color w:val="auto"/>
          <w:szCs w:val="21"/>
          <w:highlight w:val="none"/>
        </w:rPr>
        <w:t>。</w:t>
      </w:r>
    </w:p>
    <w:p w14:paraId="1A6F6720">
      <w:pPr>
        <w:spacing w:line="380" w:lineRule="exact"/>
        <w:ind w:firstLine="420" w:firstLineChars="200"/>
        <w:jc w:val="left"/>
        <w:rPr>
          <w:rFonts w:asciiTheme="minorEastAsia" w:hAnsiTheme="minorEastAsia"/>
          <w:color w:val="auto"/>
          <w:szCs w:val="21"/>
          <w:highlight w:val="none"/>
        </w:rPr>
      </w:pPr>
      <w:r>
        <w:rPr>
          <w:rFonts w:hint="eastAsia" w:asciiTheme="minorEastAsia" w:hAnsiTheme="minorEastAsia"/>
          <w:color w:val="auto"/>
          <w:szCs w:val="21"/>
          <w:highlight w:val="none"/>
        </w:rPr>
        <w:t>3.每个校区至少</w:t>
      </w:r>
      <w:r>
        <w:rPr>
          <w:rFonts w:hint="eastAsia" w:asciiTheme="minorEastAsia" w:hAnsiTheme="minorEastAsia"/>
          <w:color w:val="auto"/>
          <w:szCs w:val="21"/>
          <w:highlight w:val="none"/>
          <w:lang w:val="en-US" w:eastAsia="zh-CN"/>
        </w:rPr>
        <w:t>配备</w:t>
      </w:r>
      <w:r>
        <w:rPr>
          <w:rFonts w:hint="eastAsia" w:asciiTheme="minorEastAsia" w:hAnsiTheme="minorEastAsia"/>
          <w:color w:val="auto"/>
          <w:szCs w:val="21"/>
          <w:highlight w:val="none"/>
        </w:rPr>
        <w:t>一名专职送水人员。</w:t>
      </w:r>
    </w:p>
    <w:p w14:paraId="24D3A455">
      <w:pPr>
        <w:spacing w:line="380" w:lineRule="exact"/>
        <w:ind w:firstLine="420" w:firstLineChars="200"/>
        <w:jc w:val="left"/>
        <w:rPr>
          <w:rFonts w:asciiTheme="minorEastAsia" w:hAnsiTheme="minorEastAsia"/>
          <w:color w:val="auto"/>
          <w:szCs w:val="21"/>
          <w:highlight w:val="none"/>
        </w:rPr>
      </w:pPr>
      <w:r>
        <w:rPr>
          <w:rFonts w:hint="eastAsia" w:asciiTheme="minorEastAsia" w:hAnsiTheme="minorEastAsia"/>
          <w:color w:val="auto"/>
          <w:szCs w:val="21"/>
          <w:highlight w:val="none"/>
        </w:rPr>
        <w:t>（二）饮用水质量安全</w:t>
      </w:r>
    </w:p>
    <w:p w14:paraId="67B249E0">
      <w:pPr>
        <w:spacing w:line="380" w:lineRule="exact"/>
        <w:ind w:firstLine="420" w:firstLineChars="200"/>
        <w:jc w:val="left"/>
        <w:rPr>
          <w:rFonts w:asciiTheme="minorEastAsia" w:hAnsiTheme="minorEastAsia"/>
          <w:color w:val="auto"/>
          <w:szCs w:val="21"/>
          <w:highlight w:val="none"/>
        </w:rPr>
      </w:pPr>
      <w:r>
        <w:rPr>
          <w:rFonts w:hint="eastAsia" w:asciiTheme="minorEastAsia" w:hAnsiTheme="minorEastAsia"/>
          <w:color w:val="auto"/>
          <w:szCs w:val="21"/>
          <w:highlight w:val="none"/>
        </w:rPr>
        <w:t>1.供应商应保证瓶装水及桶装水货源充足。每批水出厂均需检验（</w:t>
      </w:r>
      <w:r>
        <w:rPr>
          <w:rFonts w:hint="eastAsia"/>
          <w:color w:val="auto"/>
          <w:highlight w:val="none"/>
        </w:rPr>
        <w:t>有检测能力的检测机构</w:t>
      </w:r>
      <w:r>
        <w:rPr>
          <w:rFonts w:hint="eastAsia" w:asciiTheme="minorEastAsia" w:hAnsiTheme="minorEastAsia"/>
          <w:color w:val="auto"/>
          <w:szCs w:val="21"/>
          <w:highlight w:val="none"/>
        </w:rPr>
        <w:t>出具检测报告），</w:t>
      </w:r>
      <w:r>
        <w:rPr>
          <w:rFonts w:asciiTheme="minorEastAsia" w:hAnsiTheme="minorEastAsia"/>
          <w:color w:val="auto"/>
          <w:szCs w:val="21"/>
          <w:highlight w:val="none"/>
        </w:rPr>
        <w:t>校方</w:t>
      </w:r>
      <w:r>
        <w:rPr>
          <w:rFonts w:hint="eastAsia" w:asciiTheme="minorEastAsia" w:hAnsiTheme="minorEastAsia"/>
          <w:color w:val="auto"/>
          <w:szCs w:val="21"/>
          <w:highlight w:val="none"/>
        </w:rPr>
        <w:t>有权不定期抽查检测报告、</w:t>
      </w:r>
      <w:r>
        <w:rPr>
          <w:rFonts w:hint="eastAsia" w:asciiTheme="minorEastAsia" w:hAnsiTheme="minorEastAsia"/>
          <w:color w:val="auto"/>
          <w:szCs w:val="21"/>
          <w:highlight w:val="none"/>
          <w:lang w:val="en-US" w:eastAsia="zh-CN"/>
        </w:rPr>
        <w:t>市场监督管理</w:t>
      </w:r>
      <w:r>
        <w:rPr>
          <w:rFonts w:asciiTheme="minorEastAsia" w:hAnsiTheme="minorEastAsia"/>
          <w:color w:val="auto"/>
          <w:szCs w:val="21"/>
          <w:highlight w:val="none"/>
        </w:rPr>
        <w:t>部门的年度抽检报告</w:t>
      </w:r>
      <w:r>
        <w:rPr>
          <w:rFonts w:hint="eastAsia" w:asciiTheme="minorEastAsia" w:hAnsiTheme="minorEastAsia"/>
          <w:color w:val="auto"/>
          <w:szCs w:val="21"/>
          <w:highlight w:val="none"/>
        </w:rPr>
        <w:t>。</w:t>
      </w:r>
    </w:p>
    <w:p w14:paraId="42108040">
      <w:pPr>
        <w:spacing w:line="380" w:lineRule="exact"/>
        <w:ind w:firstLine="420" w:firstLineChars="200"/>
        <w:jc w:val="left"/>
        <w:rPr>
          <w:rFonts w:asciiTheme="minorEastAsia" w:hAnsiTheme="minorEastAsia"/>
          <w:color w:val="auto"/>
          <w:szCs w:val="21"/>
          <w:highlight w:val="none"/>
        </w:rPr>
      </w:pPr>
      <w:r>
        <w:rPr>
          <w:rFonts w:hint="eastAsia" w:asciiTheme="minorEastAsia" w:hAnsiTheme="minorEastAsia"/>
          <w:color w:val="auto"/>
          <w:szCs w:val="21"/>
          <w:highlight w:val="none"/>
        </w:rPr>
        <w:t>2</w:t>
      </w:r>
      <w:r>
        <w:rPr>
          <w:rFonts w:asciiTheme="minorEastAsia" w:hAnsiTheme="minorEastAsia"/>
          <w:color w:val="auto"/>
          <w:szCs w:val="21"/>
          <w:highlight w:val="none"/>
        </w:rPr>
        <w:t>.</w:t>
      </w:r>
      <w:r>
        <w:rPr>
          <w:rFonts w:hint="eastAsia" w:asciiTheme="minorEastAsia" w:hAnsiTheme="minorEastAsia"/>
          <w:color w:val="auto"/>
          <w:szCs w:val="21"/>
          <w:highlight w:val="none"/>
        </w:rPr>
        <w:t>供应商提供的瓶装水及桶装水须符合GB 19298‑2014《食品安全国家标准 包装饮用水》</w:t>
      </w:r>
      <w:r>
        <w:rPr>
          <w:rFonts w:hint="eastAsia" w:asciiTheme="minorEastAsia" w:hAnsiTheme="minorEastAsia"/>
          <w:color w:val="auto"/>
          <w:szCs w:val="21"/>
          <w:highlight w:val="none"/>
          <w:lang w:eastAsia="zh-CN"/>
        </w:rPr>
        <w:t>，其溴酸盐含量均应 ≤ 0.01 mg/L</w:t>
      </w:r>
      <w:r>
        <w:rPr>
          <w:rFonts w:hint="eastAsia" w:asciiTheme="minorEastAsia" w:hAnsiTheme="minorEastAsia"/>
          <w:color w:val="auto"/>
          <w:szCs w:val="21"/>
          <w:highlight w:val="none"/>
        </w:rPr>
        <w:t>（</w:t>
      </w:r>
      <w:r>
        <w:rPr>
          <w:rFonts w:hint="eastAsia" w:asciiTheme="minorEastAsia" w:hAnsiTheme="minorEastAsia"/>
          <w:color w:val="auto"/>
          <w:szCs w:val="21"/>
          <w:highlight w:val="none"/>
          <w:lang w:val="en-US" w:eastAsia="zh-CN"/>
        </w:rPr>
        <w:t>须</w:t>
      </w:r>
      <w:r>
        <w:rPr>
          <w:rFonts w:hint="eastAsia" w:asciiTheme="minorEastAsia" w:hAnsiTheme="minorEastAsia"/>
          <w:color w:val="auto"/>
          <w:szCs w:val="21"/>
          <w:highlight w:val="none"/>
        </w:rPr>
        <w:t>提供2026年</w:t>
      </w:r>
      <w:r>
        <w:rPr>
          <w:rFonts w:hint="eastAsia" w:asciiTheme="minorEastAsia" w:hAnsiTheme="minorEastAsia"/>
          <w:color w:val="auto"/>
          <w:szCs w:val="21"/>
          <w:highlight w:val="none"/>
          <w:lang w:val="en-US" w:eastAsia="zh-CN"/>
        </w:rPr>
        <w:t>1月1日</w:t>
      </w:r>
      <w:r>
        <w:rPr>
          <w:rFonts w:hint="eastAsia" w:asciiTheme="minorEastAsia" w:hAnsiTheme="minorEastAsia"/>
          <w:color w:val="auto"/>
          <w:szCs w:val="21"/>
          <w:highlight w:val="none"/>
        </w:rPr>
        <w:t>以来</w:t>
      </w:r>
      <w:r>
        <w:rPr>
          <w:rFonts w:hint="eastAsia" w:asciiTheme="minorEastAsia" w:hAnsiTheme="minorEastAsia" w:eastAsiaTheme="minorEastAsia" w:cstheme="minorBidi"/>
          <w:b w:val="0"/>
          <w:bCs w:val="0"/>
          <w:i w:val="0"/>
          <w:iCs w:val="0"/>
          <w:caps w:val="0"/>
          <w:color w:val="auto"/>
          <w:spacing w:val="0"/>
          <w:sz w:val="21"/>
          <w:szCs w:val="21"/>
          <w:highlight w:val="none"/>
          <w:shd w:val="clear" w:fill="auto"/>
        </w:rPr>
        <w:t>且在</w:t>
      </w:r>
      <w:r>
        <w:rPr>
          <w:rFonts w:hint="eastAsia" w:asciiTheme="minorEastAsia" w:hAnsiTheme="minorEastAsia" w:cstheme="minorBidi"/>
          <w:b w:val="0"/>
          <w:bCs w:val="0"/>
          <w:i w:val="0"/>
          <w:iCs w:val="0"/>
          <w:caps w:val="0"/>
          <w:color w:val="auto"/>
          <w:spacing w:val="0"/>
          <w:sz w:val="21"/>
          <w:szCs w:val="21"/>
          <w:highlight w:val="none"/>
          <w:shd w:val="clear"/>
          <w:lang w:val="en-US" w:eastAsia="zh-CN"/>
        </w:rPr>
        <w:t>响应</w:t>
      </w:r>
      <w:r>
        <w:rPr>
          <w:rFonts w:hint="eastAsia" w:asciiTheme="minorEastAsia" w:hAnsiTheme="minorEastAsia" w:eastAsiaTheme="minorEastAsia" w:cstheme="minorBidi"/>
          <w:b w:val="0"/>
          <w:bCs w:val="0"/>
          <w:i w:val="0"/>
          <w:iCs w:val="0"/>
          <w:caps w:val="0"/>
          <w:color w:val="auto"/>
          <w:spacing w:val="0"/>
          <w:sz w:val="21"/>
          <w:szCs w:val="21"/>
          <w:highlight w:val="none"/>
          <w:shd w:val="clear" w:fill="auto"/>
        </w:rPr>
        <w:t>截止时间仍</w:t>
      </w:r>
      <w:r>
        <w:rPr>
          <w:rFonts w:hint="eastAsia" w:asciiTheme="minorEastAsia" w:hAnsiTheme="minorEastAsia"/>
          <w:color w:val="auto"/>
          <w:szCs w:val="21"/>
          <w:highlight w:val="none"/>
        </w:rPr>
        <w:t>有效的</w:t>
      </w:r>
      <w:r>
        <w:rPr>
          <w:rFonts w:hint="eastAsia" w:asciiTheme="minorEastAsia" w:hAnsiTheme="minorEastAsia"/>
          <w:color w:val="auto"/>
          <w:szCs w:val="21"/>
          <w:highlight w:val="none"/>
          <w:lang w:val="en-US" w:eastAsia="zh-CN"/>
        </w:rPr>
        <w:t>最新</w:t>
      </w:r>
      <w:r>
        <w:rPr>
          <w:rFonts w:hint="eastAsia" w:asciiTheme="minorEastAsia" w:hAnsiTheme="minorEastAsia"/>
          <w:color w:val="auto"/>
          <w:szCs w:val="21"/>
          <w:highlight w:val="none"/>
        </w:rPr>
        <w:t>检测报告，检测报告应覆盖所投瓶装水、桶装水产品/规格</w:t>
      </w:r>
      <w:r>
        <w:rPr>
          <w:rFonts w:hint="eastAsia" w:asciiTheme="minorEastAsia" w:hAnsiTheme="minorEastAsia"/>
          <w:color w:val="auto"/>
          <w:szCs w:val="21"/>
          <w:highlight w:val="none"/>
          <w:lang w:eastAsia="zh-CN"/>
        </w:rPr>
        <w:t>，</w:t>
      </w:r>
      <w:r>
        <w:rPr>
          <w:rFonts w:hint="eastAsia" w:asciiTheme="minorEastAsia" w:hAnsiTheme="minorEastAsia"/>
          <w:color w:val="auto"/>
          <w:szCs w:val="21"/>
          <w:highlight w:val="none"/>
        </w:rPr>
        <w:t>否则响应无效）。</w:t>
      </w:r>
    </w:p>
    <w:p w14:paraId="1AF86B9B">
      <w:pPr>
        <w:spacing w:line="380" w:lineRule="exact"/>
        <w:ind w:firstLine="420" w:firstLineChars="200"/>
        <w:jc w:val="left"/>
        <w:rPr>
          <w:rFonts w:asciiTheme="minorEastAsia" w:hAnsiTheme="minorEastAsia"/>
          <w:color w:val="auto"/>
          <w:szCs w:val="21"/>
          <w:highlight w:val="none"/>
        </w:rPr>
      </w:pPr>
      <w:r>
        <w:rPr>
          <w:rFonts w:asciiTheme="minorEastAsia" w:hAnsiTheme="minorEastAsia"/>
          <w:color w:val="auto"/>
          <w:szCs w:val="21"/>
          <w:highlight w:val="none"/>
        </w:rPr>
        <w:t>3</w:t>
      </w:r>
      <w:r>
        <w:rPr>
          <w:rFonts w:hint="eastAsia" w:asciiTheme="minorEastAsia" w:hAnsiTheme="minorEastAsia"/>
          <w:color w:val="auto"/>
          <w:szCs w:val="21"/>
          <w:highlight w:val="none"/>
        </w:rPr>
        <w:t>.在合同期内，供应商应积极配合校方开展相关卫生安全的检查，随时接受上级卫生监督部门、物价部门、质检部门及</w:t>
      </w:r>
      <w:r>
        <w:rPr>
          <w:rFonts w:hint="eastAsia" w:asciiTheme="minorEastAsia" w:hAnsiTheme="minorEastAsia"/>
          <w:color w:val="auto"/>
          <w:szCs w:val="21"/>
          <w:highlight w:val="none"/>
          <w:lang w:val="en-US" w:eastAsia="zh-CN"/>
        </w:rPr>
        <w:t>市场监督部门</w:t>
      </w:r>
      <w:r>
        <w:rPr>
          <w:rFonts w:hint="eastAsia" w:asciiTheme="minorEastAsia" w:hAnsiTheme="minorEastAsia"/>
          <w:color w:val="auto"/>
          <w:szCs w:val="21"/>
          <w:highlight w:val="none"/>
        </w:rPr>
        <w:t>检查，接受并遵守校方相关职能部门对服务质量、经营等方面的监督管理和检查工作。</w:t>
      </w:r>
    </w:p>
    <w:p w14:paraId="78CAAE7D">
      <w:pPr>
        <w:spacing w:line="380" w:lineRule="exact"/>
        <w:ind w:firstLine="420" w:firstLineChars="200"/>
        <w:jc w:val="left"/>
        <w:rPr>
          <w:rFonts w:asciiTheme="minorEastAsia" w:hAnsiTheme="minorEastAsia"/>
          <w:color w:val="auto"/>
          <w:szCs w:val="21"/>
          <w:highlight w:val="none"/>
        </w:rPr>
      </w:pPr>
      <w:r>
        <w:rPr>
          <w:rFonts w:asciiTheme="minorEastAsia" w:hAnsiTheme="minorEastAsia"/>
          <w:color w:val="auto"/>
          <w:szCs w:val="21"/>
          <w:highlight w:val="none"/>
        </w:rPr>
        <w:t>4</w:t>
      </w:r>
      <w:r>
        <w:rPr>
          <w:rFonts w:hint="eastAsia" w:asciiTheme="minorEastAsia" w:hAnsiTheme="minorEastAsia"/>
          <w:color w:val="auto"/>
          <w:szCs w:val="21"/>
          <w:highlight w:val="none"/>
        </w:rPr>
        <w:t>.供应商对产品质量负责，承担因质量问题而造成的全部后果。如供应商供水质量不符合国家标准，供应商应无条件更换合格用水，并承担由此造成校方及用水人的损失。</w:t>
      </w:r>
    </w:p>
    <w:p w14:paraId="6FBB2F77">
      <w:pPr>
        <w:spacing w:line="380" w:lineRule="exact"/>
        <w:ind w:firstLine="420" w:firstLineChars="200"/>
        <w:jc w:val="left"/>
        <w:rPr>
          <w:rFonts w:asciiTheme="minorEastAsia" w:hAnsiTheme="minorEastAsia"/>
          <w:color w:val="auto"/>
          <w:szCs w:val="21"/>
          <w:highlight w:val="none"/>
        </w:rPr>
      </w:pPr>
      <w:r>
        <w:rPr>
          <w:rFonts w:asciiTheme="minorEastAsia" w:hAnsiTheme="minorEastAsia"/>
          <w:color w:val="auto"/>
          <w:szCs w:val="21"/>
          <w:highlight w:val="none"/>
        </w:rPr>
        <w:t>5</w:t>
      </w:r>
      <w:r>
        <w:rPr>
          <w:rFonts w:hint="eastAsia" w:asciiTheme="minorEastAsia" w:hAnsiTheme="minorEastAsia"/>
          <w:color w:val="auto"/>
          <w:szCs w:val="21"/>
          <w:highlight w:val="none"/>
        </w:rPr>
        <w:t>.如经卫生检疫部门或相关质量监督局等政府相关部门认定，确属供应商因供水质量问题造成事故的，由供应商按《食品安全法》的相关规定承担相应的责任，校方有权予以解除合同。</w:t>
      </w:r>
    </w:p>
    <w:p w14:paraId="683E92C6">
      <w:pPr>
        <w:spacing w:line="380" w:lineRule="exact"/>
        <w:ind w:firstLine="420" w:firstLineChars="200"/>
        <w:jc w:val="left"/>
        <w:rPr>
          <w:rFonts w:hint="default" w:asciiTheme="minorEastAsia" w:hAnsiTheme="minorEastAsia" w:eastAsiaTheme="minorEastAsia"/>
          <w:color w:val="auto"/>
          <w:szCs w:val="21"/>
          <w:highlight w:val="none"/>
          <w:lang w:val="en-US" w:eastAsia="zh-CN"/>
        </w:rPr>
      </w:pPr>
      <w:r>
        <w:rPr>
          <w:rFonts w:hint="eastAsia" w:asciiTheme="minorEastAsia" w:hAnsiTheme="minorEastAsia"/>
          <w:color w:val="auto"/>
          <w:szCs w:val="21"/>
          <w:highlight w:val="none"/>
        </w:rPr>
        <w:t>6.严禁配送临期</w:t>
      </w:r>
      <w:r>
        <w:rPr>
          <w:rStyle w:val="12"/>
          <w:rFonts w:hint="eastAsia"/>
          <w:color w:val="auto"/>
          <w:highlight w:val="none"/>
          <w:lang w:eastAsia="zh-CN"/>
        </w:rPr>
        <w:t>（</w:t>
      </w:r>
      <w:r>
        <w:rPr>
          <w:rFonts w:hint="eastAsia" w:asciiTheme="minorEastAsia" w:hAnsiTheme="minorEastAsia"/>
          <w:color w:val="auto"/>
          <w:szCs w:val="21"/>
          <w:highlight w:val="none"/>
        </w:rPr>
        <w:t>距离保质期届满不足45天</w:t>
      </w:r>
      <w:r>
        <w:rPr>
          <w:rFonts w:hint="eastAsia" w:asciiTheme="minorEastAsia" w:hAnsiTheme="minorEastAsia"/>
          <w:color w:val="auto"/>
          <w:szCs w:val="21"/>
          <w:highlight w:val="none"/>
          <w:lang w:val="en-US" w:eastAsia="zh-CN"/>
        </w:rPr>
        <w:t>[桶装水]</w:t>
      </w:r>
      <w:r>
        <w:rPr>
          <w:rFonts w:hint="eastAsia" w:asciiTheme="minorEastAsia" w:hAnsiTheme="minorEastAsia"/>
          <w:color w:val="auto"/>
          <w:szCs w:val="21"/>
          <w:highlight w:val="none"/>
          <w:lang w:eastAsia="zh-CN"/>
        </w:rPr>
        <w:t>、</w:t>
      </w:r>
      <w:r>
        <w:rPr>
          <w:rFonts w:hint="eastAsia" w:asciiTheme="minorEastAsia" w:hAnsiTheme="minorEastAsia"/>
          <w:color w:val="auto"/>
          <w:szCs w:val="21"/>
          <w:highlight w:val="none"/>
          <w:lang w:val="en-US" w:eastAsia="zh-CN"/>
        </w:rPr>
        <w:t>90天[瓶装水]</w:t>
      </w:r>
      <w:r>
        <w:rPr>
          <w:rStyle w:val="12"/>
          <w:rFonts w:hint="eastAsia"/>
          <w:color w:val="auto"/>
          <w:highlight w:val="none"/>
          <w:lang w:eastAsia="zh-CN"/>
        </w:rPr>
        <w:t>）</w:t>
      </w:r>
      <w:r>
        <w:rPr>
          <w:rFonts w:hint="eastAsia" w:asciiTheme="minorEastAsia" w:hAnsiTheme="minorEastAsia"/>
          <w:color w:val="auto"/>
          <w:szCs w:val="21"/>
          <w:highlight w:val="none"/>
        </w:rPr>
        <w:t>或已过期的产品。</w:t>
      </w:r>
    </w:p>
    <w:p w14:paraId="006F0F06">
      <w:pPr>
        <w:spacing w:line="380" w:lineRule="exact"/>
        <w:ind w:firstLine="420" w:firstLineChars="200"/>
        <w:jc w:val="left"/>
        <w:rPr>
          <w:rFonts w:asciiTheme="minorEastAsia" w:hAnsiTheme="minorEastAsia"/>
          <w:color w:val="auto"/>
          <w:szCs w:val="21"/>
          <w:highlight w:val="none"/>
        </w:rPr>
      </w:pPr>
      <w:r>
        <w:rPr>
          <w:rFonts w:hint="eastAsia" w:asciiTheme="minorEastAsia" w:hAnsiTheme="minorEastAsia"/>
          <w:color w:val="auto"/>
          <w:szCs w:val="21"/>
          <w:highlight w:val="none"/>
        </w:rPr>
        <w:t>（三）用水服务响应、结算方式</w:t>
      </w:r>
    </w:p>
    <w:p w14:paraId="5A0B809F">
      <w:pPr>
        <w:spacing w:line="380" w:lineRule="exact"/>
        <w:ind w:firstLine="420" w:firstLineChars="200"/>
        <w:jc w:val="left"/>
        <w:rPr>
          <w:rFonts w:asciiTheme="minorEastAsia" w:hAnsiTheme="minorEastAsia"/>
          <w:color w:val="auto"/>
          <w:szCs w:val="21"/>
          <w:highlight w:val="none"/>
        </w:rPr>
      </w:pPr>
      <w:r>
        <w:rPr>
          <w:rFonts w:hint="eastAsia" w:asciiTheme="minorEastAsia" w:hAnsiTheme="minorEastAsia"/>
          <w:color w:val="auto"/>
          <w:szCs w:val="21"/>
          <w:highlight w:val="none"/>
        </w:rPr>
        <w:t>1.供应商必须保障水的正常供应，合同期内（含寒暑假期间）均须安排专职人员送水，不得以任何理由中断或延迟供水。瓶装水及桶装水的配送响应时间必须</w:t>
      </w:r>
      <w:r>
        <w:rPr>
          <w:rFonts w:hint="eastAsia" w:asciiTheme="minorEastAsia" w:hAnsiTheme="minorEastAsia"/>
          <w:b/>
          <w:bCs/>
          <w:color w:val="auto"/>
          <w:szCs w:val="21"/>
          <w:highlight w:val="none"/>
        </w:rPr>
        <w:t>在3小时以内</w:t>
      </w:r>
      <w:r>
        <w:rPr>
          <w:rFonts w:hint="eastAsia" w:asciiTheme="minorEastAsia" w:hAnsiTheme="minorEastAsia"/>
          <w:b w:val="0"/>
          <w:bCs w:val="0"/>
          <w:color w:val="auto"/>
          <w:szCs w:val="21"/>
          <w:highlight w:val="none"/>
          <w:lang w:eastAsia="zh-CN"/>
        </w:rPr>
        <w:t>（</w:t>
      </w:r>
      <w:r>
        <w:rPr>
          <w:rFonts w:hint="eastAsia"/>
          <w:color w:val="auto"/>
          <w:highlight w:val="none"/>
        </w:rPr>
        <w:t>从接单到配送到用户处的时间在3小时以内</w:t>
      </w:r>
      <w:r>
        <w:rPr>
          <w:rStyle w:val="12"/>
          <w:rFonts w:hint="eastAsia"/>
          <w:color w:val="auto"/>
          <w:highlight w:val="none"/>
          <w:lang w:eastAsia="zh-CN"/>
        </w:rPr>
        <w:t>）</w:t>
      </w:r>
      <w:r>
        <w:rPr>
          <w:rFonts w:hint="eastAsia" w:asciiTheme="minorEastAsia" w:hAnsiTheme="minorEastAsia"/>
          <w:color w:val="auto"/>
          <w:szCs w:val="21"/>
          <w:highlight w:val="none"/>
        </w:rPr>
        <w:t>，并承担出厂送至用户过程的所有费用。</w:t>
      </w:r>
    </w:p>
    <w:p w14:paraId="3C4C7565">
      <w:pPr>
        <w:spacing w:line="380" w:lineRule="exact"/>
        <w:ind w:firstLine="420" w:firstLineChars="200"/>
        <w:jc w:val="left"/>
        <w:rPr>
          <w:rFonts w:asciiTheme="minorEastAsia" w:hAnsiTheme="minorEastAsia"/>
          <w:color w:val="auto"/>
          <w:szCs w:val="21"/>
          <w:highlight w:val="none"/>
        </w:rPr>
      </w:pPr>
      <w:r>
        <w:rPr>
          <w:rFonts w:hint="eastAsia" w:asciiTheme="minorEastAsia" w:hAnsiTheme="minorEastAsia"/>
          <w:color w:val="auto"/>
          <w:szCs w:val="21"/>
          <w:highlight w:val="none"/>
        </w:rPr>
        <w:t>2.如有用户对</w:t>
      </w:r>
      <w:r>
        <w:rPr>
          <w:rFonts w:asciiTheme="minorEastAsia" w:hAnsiTheme="minorEastAsia"/>
          <w:color w:val="auto"/>
          <w:szCs w:val="21"/>
          <w:highlight w:val="none"/>
        </w:rPr>
        <w:t>用水</w:t>
      </w:r>
      <w:r>
        <w:rPr>
          <w:rFonts w:hint="eastAsia" w:asciiTheme="minorEastAsia" w:hAnsiTheme="minorEastAsia"/>
          <w:color w:val="auto"/>
          <w:szCs w:val="21"/>
          <w:highlight w:val="none"/>
        </w:rPr>
        <w:t>质量或服务提出投诉的，供应商须在1小时内响应，2小时内到现场处置。用户反映水中有杂质等质量问题的，供应商须当场确认后无条件</w:t>
      </w:r>
      <w:r>
        <w:rPr>
          <w:rFonts w:hint="eastAsia" w:asciiTheme="minorEastAsia" w:hAnsiTheme="minorEastAsia"/>
          <w:color w:val="auto"/>
          <w:szCs w:val="21"/>
          <w:highlight w:val="none"/>
          <w:lang w:val="en-US" w:eastAsia="zh-CN"/>
        </w:rPr>
        <w:t>在2小时内</w:t>
      </w:r>
      <w:r>
        <w:rPr>
          <w:rFonts w:hint="eastAsia" w:asciiTheme="minorEastAsia" w:hAnsiTheme="minorEastAsia"/>
          <w:color w:val="auto"/>
          <w:szCs w:val="21"/>
          <w:highlight w:val="none"/>
        </w:rPr>
        <w:t>更换问题产品，确保用户</w:t>
      </w:r>
      <w:r>
        <w:rPr>
          <w:rFonts w:hint="eastAsia" w:asciiTheme="minorEastAsia" w:hAnsiTheme="minorEastAsia"/>
          <w:color w:val="auto"/>
          <w:szCs w:val="21"/>
          <w:highlight w:val="none"/>
          <w:lang w:val="en-US" w:eastAsia="zh-CN"/>
        </w:rPr>
        <w:t>安全、</w:t>
      </w:r>
      <w:r>
        <w:rPr>
          <w:rFonts w:hint="eastAsia" w:asciiTheme="minorEastAsia" w:hAnsiTheme="minorEastAsia"/>
          <w:color w:val="auto"/>
          <w:szCs w:val="21"/>
          <w:highlight w:val="none"/>
        </w:rPr>
        <w:t>正常用水。</w:t>
      </w:r>
    </w:p>
    <w:p w14:paraId="76B7BAB8">
      <w:pPr>
        <w:widowControl/>
        <w:shd w:val="clear" w:color="auto" w:fill="FFFFFF"/>
        <w:spacing w:line="380" w:lineRule="exact"/>
        <w:ind w:firstLine="420" w:firstLineChars="200"/>
        <w:jc w:val="left"/>
        <w:textAlignment w:val="baseline"/>
        <w:rPr>
          <w:rFonts w:asciiTheme="minorEastAsia" w:hAnsiTheme="minorEastAsia"/>
          <w:color w:val="auto"/>
          <w:szCs w:val="21"/>
          <w:highlight w:val="none"/>
        </w:rPr>
      </w:pPr>
      <w:r>
        <w:rPr>
          <w:rFonts w:hint="eastAsia" w:asciiTheme="minorEastAsia" w:hAnsiTheme="minorEastAsia"/>
          <w:color w:val="auto"/>
          <w:szCs w:val="21"/>
          <w:highlight w:val="none"/>
        </w:rPr>
        <w:t>3.结算方式：</w:t>
      </w:r>
      <w:r>
        <w:rPr>
          <w:rFonts w:hint="eastAsia" w:asciiTheme="minorEastAsia" w:hAnsiTheme="minorEastAsia"/>
          <w:color w:val="auto"/>
          <w:szCs w:val="21"/>
          <w:highlight w:val="none"/>
          <w:lang w:val="en-US" w:eastAsia="zh-CN"/>
        </w:rPr>
        <w:t>原则上</w:t>
      </w:r>
      <w:r>
        <w:rPr>
          <w:rFonts w:hint="eastAsia" w:asciiTheme="minorEastAsia" w:hAnsiTheme="minorEastAsia" w:cstheme="minorEastAsia"/>
          <w:color w:val="auto"/>
          <w:kern w:val="0"/>
          <w:szCs w:val="21"/>
          <w:highlight w:val="none"/>
        </w:rPr>
        <w:t>按季度结算，每季度结算一次。</w:t>
      </w:r>
      <w:r>
        <w:rPr>
          <w:rStyle w:val="12"/>
          <w:rFonts w:hint="eastAsia"/>
          <w:color w:val="auto"/>
          <w:highlight w:val="none"/>
          <w:lang w:val="en-US" w:eastAsia="zh-CN"/>
        </w:rPr>
        <w:t>其中，</w:t>
      </w:r>
      <w:r>
        <w:rPr>
          <w:rFonts w:hint="eastAsia" w:asciiTheme="minorEastAsia" w:hAnsiTheme="minorEastAsia" w:cstheme="minorEastAsia"/>
          <w:color w:val="auto"/>
          <w:kern w:val="0"/>
          <w:szCs w:val="21"/>
          <w:highlight w:val="none"/>
        </w:rPr>
        <w:t>每年12月10日前完成</w:t>
      </w:r>
      <w:r>
        <w:rPr>
          <w:rFonts w:hint="eastAsia" w:asciiTheme="minorEastAsia" w:hAnsiTheme="minorEastAsia" w:cstheme="minorEastAsia"/>
          <w:color w:val="auto"/>
          <w:kern w:val="0"/>
          <w:szCs w:val="21"/>
          <w:highlight w:val="none"/>
          <w:lang w:val="en-US" w:eastAsia="zh-CN"/>
        </w:rPr>
        <w:t>1-11月</w:t>
      </w:r>
      <w:r>
        <w:rPr>
          <w:rFonts w:hint="eastAsia" w:asciiTheme="minorEastAsia" w:hAnsiTheme="minorEastAsia" w:cstheme="minorEastAsia"/>
          <w:color w:val="auto"/>
          <w:kern w:val="0"/>
          <w:szCs w:val="21"/>
          <w:highlight w:val="none"/>
        </w:rPr>
        <w:t>水费的结算，12月的水费于次年3月底前结算完毕。报账结算时，供应商需提供各部门（单位）的用水登记表（须有用水部门相关人员的签字，一式三份）。</w:t>
      </w:r>
    </w:p>
    <w:p w14:paraId="51EB9B95">
      <w:pPr>
        <w:spacing w:line="380" w:lineRule="exact"/>
        <w:ind w:firstLine="420" w:firstLineChars="200"/>
        <w:jc w:val="left"/>
        <w:rPr>
          <w:rFonts w:asciiTheme="minorEastAsia" w:hAnsiTheme="minorEastAsia"/>
          <w:color w:val="auto"/>
          <w:szCs w:val="21"/>
          <w:highlight w:val="none"/>
        </w:rPr>
      </w:pPr>
      <w:r>
        <w:rPr>
          <w:rFonts w:hint="eastAsia" w:asciiTheme="minorEastAsia" w:hAnsiTheme="minorEastAsia"/>
          <w:color w:val="auto"/>
          <w:szCs w:val="21"/>
          <w:highlight w:val="none"/>
        </w:rPr>
        <w:t>（四）水桶的</w:t>
      </w:r>
      <w:r>
        <w:rPr>
          <w:rFonts w:asciiTheme="minorEastAsia" w:hAnsiTheme="minorEastAsia"/>
          <w:color w:val="auto"/>
          <w:szCs w:val="21"/>
          <w:highlight w:val="none"/>
        </w:rPr>
        <w:t>日常</w:t>
      </w:r>
      <w:r>
        <w:rPr>
          <w:rFonts w:hint="eastAsia" w:asciiTheme="minorEastAsia" w:hAnsiTheme="minorEastAsia"/>
          <w:color w:val="auto"/>
          <w:szCs w:val="21"/>
          <w:highlight w:val="none"/>
        </w:rPr>
        <w:t>管理</w:t>
      </w:r>
    </w:p>
    <w:p w14:paraId="36BF2823">
      <w:pPr>
        <w:spacing w:line="380" w:lineRule="exact"/>
        <w:ind w:firstLine="420" w:firstLineChars="200"/>
        <w:jc w:val="left"/>
        <w:rPr>
          <w:rFonts w:asciiTheme="minorEastAsia" w:hAnsiTheme="minorEastAsia"/>
          <w:color w:val="auto"/>
          <w:szCs w:val="21"/>
          <w:highlight w:val="none"/>
        </w:rPr>
      </w:pPr>
      <w:r>
        <w:rPr>
          <w:rFonts w:hint="eastAsia" w:asciiTheme="minorEastAsia" w:hAnsiTheme="minorEastAsia"/>
          <w:color w:val="auto"/>
          <w:szCs w:val="21"/>
          <w:highlight w:val="none"/>
        </w:rPr>
        <w:t>水桶的日常管理由供应商负责，所用水桶必须是符合卫生要求的PC</w:t>
      </w:r>
      <w:r>
        <w:rPr>
          <w:rFonts w:hint="eastAsia" w:asciiTheme="minorEastAsia" w:hAnsiTheme="minorEastAsia"/>
          <w:color w:val="auto"/>
          <w:szCs w:val="21"/>
          <w:highlight w:val="none"/>
          <w:lang w:val="en-US" w:eastAsia="zh-CN"/>
        </w:rPr>
        <w:t>桶或</w:t>
      </w:r>
      <w:r>
        <w:rPr>
          <w:rFonts w:hint="eastAsia" w:asciiTheme="minorEastAsia" w:hAnsiTheme="minorEastAsia"/>
          <w:color w:val="auto"/>
          <w:szCs w:val="21"/>
          <w:highlight w:val="none"/>
        </w:rPr>
        <w:t>PET桶，</w:t>
      </w:r>
      <w:r>
        <w:rPr>
          <w:rFonts w:hint="eastAsia" w:asciiTheme="minorEastAsia" w:hAnsiTheme="minorEastAsia" w:eastAsiaTheme="minorEastAsia" w:cstheme="minorBidi"/>
          <w:i w:val="0"/>
          <w:iCs w:val="0"/>
          <w:caps w:val="0"/>
          <w:color w:val="auto"/>
          <w:spacing w:val="0"/>
          <w:sz w:val="21"/>
          <w:szCs w:val="21"/>
          <w:highlight w:val="none"/>
          <w:shd w:val="clear"/>
        </w:rPr>
        <w:t>桶体表面清洁、无污垢</w:t>
      </w:r>
      <w:r>
        <w:rPr>
          <w:rFonts w:hint="eastAsia" w:asciiTheme="minorEastAsia" w:hAnsiTheme="minorEastAsia"/>
          <w:color w:val="auto"/>
          <w:szCs w:val="21"/>
          <w:highlight w:val="none"/>
        </w:rPr>
        <w:t>，商标清晰规范，桶装饮用水有外包装袋。</w:t>
      </w:r>
    </w:p>
    <w:p w14:paraId="2623BDFD">
      <w:pPr>
        <w:spacing w:line="380" w:lineRule="exact"/>
        <w:ind w:firstLine="420" w:firstLineChars="200"/>
        <w:jc w:val="left"/>
        <w:rPr>
          <w:rFonts w:asciiTheme="minorEastAsia" w:hAnsiTheme="minorEastAsia"/>
          <w:color w:val="auto"/>
          <w:szCs w:val="21"/>
          <w:highlight w:val="none"/>
        </w:rPr>
      </w:pPr>
      <w:r>
        <w:rPr>
          <w:rFonts w:hint="eastAsia" w:asciiTheme="minorEastAsia" w:hAnsiTheme="minorEastAsia"/>
          <w:color w:val="auto"/>
          <w:szCs w:val="21"/>
          <w:highlight w:val="none"/>
        </w:rPr>
        <w:t>（五）送水服务要求</w:t>
      </w:r>
    </w:p>
    <w:p w14:paraId="013E0A74">
      <w:pPr>
        <w:spacing w:line="380" w:lineRule="exact"/>
        <w:ind w:firstLine="420" w:firstLineChars="200"/>
        <w:jc w:val="left"/>
        <w:rPr>
          <w:rFonts w:asciiTheme="minorEastAsia" w:hAnsiTheme="minorEastAsia"/>
          <w:color w:val="auto"/>
          <w:szCs w:val="21"/>
          <w:highlight w:val="none"/>
        </w:rPr>
      </w:pPr>
      <w:r>
        <w:rPr>
          <w:rFonts w:hint="eastAsia" w:asciiTheme="minorEastAsia" w:hAnsiTheme="minorEastAsia"/>
          <w:color w:val="auto"/>
          <w:szCs w:val="21"/>
          <w:highlight w:val="none"/>
        </w:rPr>
        <w:t>1.供应商应严格遵守《中华人民共和国劳动法》和相关用工规定，建立人员档案并上报采购人统一存档，依法用工并承担相应法律责任，采购人不承担连带责任。</w:t>
      </w:r>
    </w:p>
    <w:p w14:paraId="3D5844AF">
      <w:pPr>
        <w:spacing w:line="380" w:lineRule="exact"/>
        <w:ind w:firstLine="420" w:firstLineChars="200"/>
        <w:jc w:val="left"/>
        <w:rPr>
          <w:rFonts w:asciiTheme="minorEastAsia" w:hAnsiTheme="minorEastAsia"/>
          <w:color w:val="auto"/>
          <w:szCs w:val="21"/>
          <w:highlight w:val="none"/>
        </w:rPr>
      </w:pPr>
      <w:r>
        <w:rPr>
          <w:rFonts w:hint="eastAsia" w:asciiTheme="minorEastAsia" w:hAnsiTheme="minorEastAsia"/>
          <w:color w:val="auto"/>
          <w:szCs w:val="21"/>
          <w:highlight w:val="none"/>
        </w:rPr>
        <w:t>2.送水员工的工资、日常生活饮食、起居用房、运输工具等所有费用由供应商负责提供和管理。</w:t>
      </w:r>
    </w:p>
    <w:p w14:paraId="4C4D5C86">
      <w:pPr>
        <w:spacing w:line="380" w:lineRule="exact"/>
        <w:ind w:firstLine="420" w:firstLineChars="200"/>
        <w:jc w:val="left"/>
        <w:rPr>
          <w:rFonts w:asciiTheme="minorEastAsia" w:hAnsiTheme="minorEastAsia"/>
          <w:color w:val="auto"/>
          <w:szCs w:val="21"/>
          <w:highlight w:val="none"/>
        </w:rPr>
      </w:pPr>
      <w:r>
        <w:rPr>
          <w:rFonts w:hint="eastAsia" w:asciiTheme="minorEastAsia" w:hAnsiTheme="minorEastAsia"/>
          <w:color w:val="auto"/>
          <w:szCs w:val="21"/>
          <w:highlight w:val="none"/>
        </w:rPr>
        <w:t>3.供应商安排的送水人员须责任心强，具备饮水机维修技能，仪容仪表整洁，举止文明，微笑服务，持有效健康证上岗（健康证办理及体检费用由供应商承担），统一着工作服并佩戴工作证。供应商应对其送水人员进行统一管理和培训。</w:t>
      </w:r>
    </w:p>
    <w:p w14:paraId="176C0208">
      <w:pPr>
        <w:spacing w:line="380" w:lineRule="exact"/>
        <w:ind w:firstLine="420" w:firstLineChars="200"/>
        <w:jc w:val="left"/>
        <w:rPr>
          <w:rFonts w:asciiTheme="minorEastAsia" w:hAnsiTheme="minorEastAsia"/>
          <w:color w:val="auto"/>
          <w:szCs w:val="21"/>
          <w:highlight w:val="none"/>
        </w:rPr>
      </w:pPr>
      <w:r>
        <w:rPr>
          <w:rFonts w:hint="eastAsia" w:asciiTheme="minorEastAsia" w:hAnsiTheme="minorEastAsia"/>
          <w:color w:val="auto"/>
          <w:szCs w:val="21"/>
          <w:highlight w:val="none"/>
        </w:rPr>
        <w:t>4.供应商要加强对送水员工的日常安全教育与安全管理，避免任何安全事故的发生。</w:t>
      </w:r>
    </w:p>
    <w:p w14:paraId="13FC6923">
      <w:pPr>
        <w:spacing w:line="380" w:lineRule="exact"/>
        <w:ind w:firstLine="420" w:firstLineChars="200"/>
        <w:jc w:val="left"/>
        <w:rPr>
          <w:rFonts w:asciiTheme="minorEastAsia" w:hAnsiTheme="minorEastAsia"/>
          <w:color w:val="auto"/>
          <w:szCs w:val="21"/>
          <w:highlight w:val="none"/>
        </w:rPr>
      </w:pPr>
      <w:r>
        <w:rPr>
          <w:rFonts w:hint="eastAsia" w:asciiTheme="minorEastAsia" w:hAnsiTheme="minorEastAsia"/>
          <w:color w:val="auto"/>
          <w:szCs w:val="21"/>
          <w:highlight w:val="none"/>
        </w:rPr>
        <w:t>5.供应商自成交之日起，应在</w:t>
      </w:r>
      <w:r>
        <w:rPr>
          <w:rFonts w:hint="eastAsia" w:asciiTheme="minorEastAsia" w:hAnsiTheme="minorEastAsia"/>
          <w:color w:val="auto"/>
          <w:szCs w:val="21"/>
          <w:highlight w:val="none"/>
          <w:lang w:val="en-US" w:eastAsia="zh-CN"/>
        </w:rPr>
        <w:t>签订合同后</w:t>
      </w:r>
      <w:r>
        <w:rPr>
          <w:rFonts w:hint="eastAsia" w:asciiTheme="minorEastAsia" w:hAnsiTheme="minorEastAsia"/>
          <w:color w:val="auto"/>
          <w:szCs w:val="21"/>
          <w:highlight w:val="none"/>
        </w:rPr>
        <w:t>7个</w:t>
      </w:r>
      <w:r>
        <w:rPr>
          <w:rFonts w:asciiTheme="minorEastAsia" w:hAnsiTheme="minorEastAsia"/>
          <w:color w:val="auto"/>
          <w:szCs w:val="21"/>
          <w:highlight w:val="none"/>
        </w:rPr>
        <w:t>自然</w:t>
      </w:r>
      <w:r>
        <w:rPr>
          <w:rFonts w:hint="eastAsia" w:asciiTheme="minorEastAsia" w:hAnsiTheme="minorEastAsia"/>
          <w:color w:val="auto"/>
          <w:szCs w:val="21"/>
          <w:highlight w:val="none"/>
        </w:rPr>
        <w:t>日内安排专人与前送水单位交接完毕。</w:t>
      </w:r>
    </w:p>
    <w:p w14:paraId="4BD807B2">
      <w:pPr>
        <w:spacing w:before="156" w:beforeLines="50" w:line="380" w:lineRule="exact"/>
        <w:jc w:val="left"/>
        <w:outlineLvl w:val="0"/>
        <w:rPr>
          <w:rFonts w:asciiTheme="minorEastAsia" w:hAnsiTheme="minorEastAsia"/>
          <w:b/>
          <w:color w:val="auto"/>
          <w:szCs w:val="21"/>
          <w:highlight w:val="none"/>
        </w:rPr>
      </w:pPr>
      <w:bookmarkStart w:id="2" w:name="_Hlk173917195"/>
      <w:r>
        <w:rPr>
          <w:rFonts w:hint="eastAsia" w:asciiTheme="minorEastAsia" w:hAnsiTheme="minorEastAsia"/>
          <w:b/>
          <w:color w:val="auto"/>
          <w:szCs w:val="21"/>
          <w:highlight w:val="none"/>
        </w:rPr>
        <w:t>五、供应商资格要求</w:t>
      </w:r>
    </w:p>
    <w:bookmarkEnd w:id="2"/>
    <w:p w14:paraId="4A896F97">
      <w:pPr>
        <w:spacing w:line="380" w:lineRule="exact"/>
        <w:ind w:firstLine="420" w:firstLineChars="200"/>
        <w:jc w:val="left"/>
        <w:rPr>
          <w:rFonts w:asciiTheme="minorEastAsia" w:hAnsiTheme="minorEastAsia"/>
          <w:color w:val="auto"/>
          <w:szCs w:val="21"/>
          <w:highlight w:val="none"/>
        </w:rPr>
      </w:pPr>
      <w:r>
        <w:rPr>
          <w:rFonts w:hint="eastAsia" w:asciiTheme="minorEastAsia" w:hAnsiTheme="minorEastAsia"/>
          <w:color w:val="auto"/>
          <w:szCs w:val="21"/>
          <w:highlight w:val="none"/>
        </w:rPr>
        <w:t>（一）在中华人民共和国境内注册，具有独立承担民事责任和履行合同能力的</w:t>
      </w:r>
      <w:r>
        <w:rPr>
          <w:rFonts w:hint="eastAsia" w:asciiTheme="minorEastAsia" w:hAnsiTheme="minorEastAsia"/>
          <w:color w:val="auto"/>
          <w:szCs w:val="21"/>
          <w:highlight w:val="none"/>
          <w:lang w:val="en-US" w:eastAsia="zh-CN"/>
        </w:rPr>
        <w:t>法人或其他组织</w:t>
      </w:r>
      <w:r>
        <w:rPr>
          <w:rFonts w:hint="eastAsia" w:asciiTheme="minorEastAsia" w:hAnsiTheme="minorEastAsia"/>
          <w:color w:val="auto"/>
          <w:szCs w:val="21"/>
          <w:highlight w:val="none"/>
        </w:rPr>
        <w:t>，持有有效的《营业执照》，经营范围涵盖饮用水相关业务。</w:t>
      </w:r>
    </w:p>
    <w:p w14:paraId="158AC202">
      <w:pPr>
        <w:spacing w:line="380" w:lineRule="exact"/>
        <w:ind w:firstLine="420" w:firstLineChars="200"/>
        <w:jc w:val="left"/>
        <w:rPr>
          <w:rFonts w:asciiTheme="minorEastAsia" w:hAnsiTheme="minorEastAsia"/>
          <w:color w:val="auto"/>
          <w:szCs w:val="21"/>
          <w:highlight w:val="none"/>
        </w:rPr>
      </w:pPr>
      <w:r>
        <w:rPr>
          <w:rFonts w:hint="eastAsia" w:asciiTheme="minorEastAsia" w:hAnsiTheme="minorEastAsia"/>
          <w:color w:val="auto"/>
          <w:szCs w:val="21"/>
          <w:highlight w:val="none"/>
        </w:rPr>
        <w:t>（二）供应商为瓶装水及桶装水生产企业的，须提交有效的《食品生产许可证》和《取水许可证》。</w:t>
      </w:r>
    </w:p>
    <w:p w14:paraId="07418B84">
      <w:pPr>
        <w:spacing w:line="380" w:lineRule="exact"/>
        <w:ind w:firstLine="420" w:firstLineChars="200"/>
        <w:jc w:val="left"/>
        <w:rPr>
          <w:rFonts w:asciiTheme="minorEastAsia" w:hAnsiTheme="minorEastAsia"/>
          <w:color w:val="auto"/>
          <w:szCs w:val="21"/>
          <w:highlight w:val="none"/>
        </w:rPr>
      </w:pPr>
      <w:r>
        <w:rPr>
          <w:rFonts w:hint="eastAsia" w:asciiTheme="minorEastAsia" w:hAnsiTheme="minorEastAsia"/>
          <w:color w:val="auto"/>
          <w:szCs w:val="21"/>
          <w:highlight w:val="none"/>
        </w:rPr>
        <w:t>（三）所投产品必须符合最新国家饮用水卫生标准，供应商须提交具备资质的检测机构出具的证明其产品检测合格的水质合格检测报告。</w:t>
      </w:r>
    </w:p>
    <w:p w14:paraId="11CB7073">
      <w:pPr>
        <w:spacing w:line="380" w:lineRule="exact"/>
        <w:ind w:firstLine="420" w:firstLineChars="200"/>
        <w:jc w:val="left"/>
        <w:rPr>
          <w:rFonts w:asciiTheme="minorEastAsia" w:hAnsiTheme="minorEastAsia"/>
          <w:color w:val="auto"/>
          <w:szCs w:val="21"/>
          <w:highlight w:val="none"/>
        </w:rPr>
      </w:pPr>
      <w:r>
        <w:rPr>
          <w:rFonts w:hint="eastAsia" w:asciiTheme="minorEastAsia" w:hAnsiTheme="minorEastAsia"/>
          <w:color w:val="auto"/>
          <w:szCs w:val="21"/>
          <w:highlight w:val="none"/>
        </w:rPr>
        <w:t>（四）供应商为瓶装水及桶装水代理商的，须提交所代理产品生产企业有效的《食品生产许可证》和《取水许可证》，同时提供产品代理的有效证明文件（如代理合同、代理证书等）或产品生产企业有效的授权委托书。</w:t>
      </w:r>
    </w:p>
    <w:p w14:paraId="6F9FC809">
      <w:pPr>
        <w:spacing w:line="380" w:lineRule="exact"/>
        <w:ind w:firstLine="420" w:firstLineChars="200"/>
        <w:jc w:val="left"/>
        <w:rPr>
          <w:rFonts w:asciiTheme="minorEastAsia" w:hAnsiTheme="minorEastAsia"/>
          <w:color w:val="auto"/>
          <w:szCs w:val="21"/>
          <w:highlight w:val="none"/>
        </w:rPr>
      </w:pPr>
      <w:r>
        <w:rPr>
          <w:rFonts w:hint="eastAsia" w:asciiTheme="minorEastAsia" w:hAnsiTheme="minorEastAsia"/>
          <w:color w:val="auto"/>
          <w:szCs w:val="21"/>
          <w:highlight w:val="none"/>
        </w:rPr>
        <w:t>（五）须具有良好的商业信誉和健全的财务会计制度；参加本次采购活动前三年内，在经营活动中没有违法记录（以书面承诺形式声明）；</w:t>
      </w:r>
    </w:p>
    <w:p w14:paraId="0BDB0BC2">
      <w:pPr>
        <w:spacing w:line="380" w:lineRule="exact"/>
        <w:ind w:firstLine="420" w:firstLineChars="200"/>
        <w:jc w:val="left"/>
        <w:rPr>
          <w:rFonts w:asciiTheme="minorEastAsia" w:hAnsiTheme="minorEastAsia"/>
          <w:color w:val="auto"/>
          <w:szCs w:val="21"/>
          <w:highlight w:val="none"/>
        </w:rPr>
      </w:pPr>
      <w:r>
        <w:rPr>
          <w:rFonts w:hint="eastAsia" w:asciiTheme="minorEastAsia" w:hAnsiTheme="minorEastAsia"/>
          <w:color w:val="auto"/>
          <w:szCs w:val="21"/>
          <w:highlight w:val="none"/>
        </w:rPr>
        <w:t>（六）具有较强的项目管理、技术服务和组织实施能力，满足采购文件规定的配送和服务要求，具有履行合同所必需的设备和专业技术能力。</w:t>
      </w:r>
    </w:p>
    <w:p w14:paraId="6D5ED86E">
      <w:pPr>
        <w:spacing w:line="380" w:lineRule="exact"/>
        <w:ind w:firstLine="420" w:firstLineChars="200"/>
        <w:jc w:val="left"/>
        <w:rPr>
          <w:rFonts w:asciiTheme="minorEastAsia" w:hAnsiTheme="minorEastAsia"/>
          <w:color w:val="auto"/>
          <w:szCs w:val="21"/>
          <w:highlight w:val="none"/>
        </w:rPr>
      </w:pPr>
      <w:r>
        <w:rPr>
          <w:rFonts w:hint="eastAsia" w:asciiTheme="minorEastAsia" w:hAnsiTheme="minorEastAsia"/>
          <w:color w:val="auto"/>
          <w:szCs w:val="21"/>
          <w:highlight w:val="none"/>
        </w:rPr>
        <w:t>（七）熟悉上述服务项目，具有类似项目的实施经验</w:t>
      </w:r>
      <w:r>
        <w:rPr>
          <w:rFonts w:hint="eastAsia" w:asciiTheme="minorEastAsia" w:hAnsiTheme="minorEastAsia"/>
          <w:color w:val="auto"/>
          <w:szCs w:val="21"/>
          <w:highlight w:val="none"/>
          <w:lang w:eastAsia="zh-CN"/>
        </w:rPr>
        <w:t>，</w:t>
      </w:r>
      <w:r>
        <w:rPr>
          <w:rFonts w:hint="eastAsia" w:asciiTheme="minorEastAsia" w:hAnsiTheme="minorEastAsia"/>
          <w:color w:val="auto"/>
          <w:szCs w:val="21"/>
          <w:highlight w:val="none"/>
          <w:lang w:val="en-US" w:eastAsia="zh-CN"/>
        </w:rPr>
        <w:t>提供2023年1月1日以来至少1个同类饮用水供应服务项目的合同或中标（成交）通知书复印件</w:t>
      </w:r>
      <w:r>
        <w:rPr>
          <w:rFonts w:hint="eastAsia" w:asciiTheme="minorEastAsia" w:hAnsiTheme="minorEastAsia"/>
          <w:color w:val="auto"/>
          <w:szCs w:val="21"/>
          <w:highlight w:val="none"/>
        </w:rPr>
        <w:t>。</w:t>
      </w:r>
    </w:p>
    <w:p w14:paraId="6AA1F4AF">
      <w:pPr>
        <w:spacing w:line="380" w:lineRule="exact"/>
        <w:ind w:firstLine="420" w:firstLineChars="200"/>
        <w:jc w:val="left"/>
        <w:rPr>
          <w:rFonts w:asciiTheme="minorEastAsia" w:hAnsiTheme="minorEastAsia"/>
          <w:color w:val="auto"/>
          <w:szCs w:val="21"/>
          <w:highlight w:val="none"/>
        </w:rPr>
      </w:pPr>
      <w:r>
        <w:rPr>
          <w:rFonts w:hint="eastAsia" w:asciiTheme="minorEastAsia" w:hAnsiTheme="minorEastAsia"/>
          <w:color w:val="auto"/>
          <w:szCs w:val="21"/>
          <w:highlight w:val="none"/>
        </w:rPr>
        <w:t>（八）具有较强的本地化服务能力，配有较强的专业技术队伍，能提供快速的售后服务响应</w:t>
      </w:r>
      <w:r>
        <w:rPr>
          <w:rFonts w:hint="eastAsia" w:asciiTheme="minorEastAsia" w:hAnsiTheme="minorEastAsia"/>
          <w:color w:val="auto"/>
          <w:szCs w:val="21"/>
          <w:highlight w:val="none"/>
          <w:lang w:eastAsia="zh-CN"/>
        </w:rPr>
        <w:t>（</w:t>
      </w:r>
      <w:r>
        <w:rPr>
          <w:rFonts w:hint="eastAsia" w:asciiTheme="minorEastAsia" w:hAnsiTheme="minorEastAsia"/>
          <w:color w:val="auto"/>
          <w:szCs w:val="21"/>
          <w:highlight w:val="none"/>
          <w:lang w:val="en-US" w:eastAsia="zh-CN"/>
        </w:rPr>
        <w:t>以书面承诺形式声明</w:t>
      </w:r>
      <w:r>
        <w:rPr>
          <w:rFonts w:hint="eastAsia" w:asciiTheme="minorEastAsia" w:hAnsiTheme="minorEastAsia"/>
          <w:color w:val="auto"/>
          <w:szCs w:val="21"/>
          <w:highlight w:val="none"/>
          <w:lang w:eastAsia="zh-CN"/>
        </w:rPr>
        <w:t>）</w:t>
      </w:r>
      <w:r>
        <w:rPr>
          <w:rFonts w:hint="eastAsia" w:asciiTheme="minorEastAsia" w:hAnsiTheme="minorEastAsia"/>
          <w:color w:val="auto"/>
          <w:szCs w:val="21"/>
          <w:highlight w:val="none"/>
        </w:rPr>
        <w:t>。</w:t>
      </w:r>
    </w:p>
    <w:p w14:paraId="41D724EE">
      <w:pPr>
        <w:spacing w:line="380" w:lineRule="exact"/>
        <w:ind w:firstLine="420" w:firstLineChars="200"/>
        <w:jc w:val="left"/>
        <w:rPr>
          <w:rFonts w:asciiTheme="minorEastAsia" w:hAnsiTheme="minorEastAsia"/>
          <w:color w:val="auto"/>
          <w:szCs w:val="21"/>
          <w:highlight w:val="none"/>
        </w:rPr>
      </w:pPr>
      <w:r>
        <w:rPr>
          <w:rFonts w:hint="eastAsia" w:asciiTheme="minorEastAsia" w:hAnsiTheme="minorEastAsia"/>
          <w:color w:val="auto"/>
          <w:szCs w:val="21"/>
          <w:highlight w:val="none"/>
        </w:rPr>
        <w:t>（九）须在规定时间内报名响应本项目。</w:t>
      </w:r>
    </w:p>
    <w:p w14:paraId="07A2BE05">
      <w:pPr>
        <w:spacing w:line="380" w:lineRule="exact"/>
        <w:ind w:firstLine="420" w:firstLineChars="200"/>
        <w:jc w:val="left"/>
        <w:rPr>
          <w:rFonts w:asciiTheme="minorEastAsia" w:hAnsiTheme="minorEastAsia"/>
          <w:color w:val="auto"/>
          <w:szCs w:val="21"/>
          <w:highlight w:val="none"/>
        </w:rPr>
      </w:pPr>
      <w:r>
        <w:rPr>
          <w:rFonts w:hint="eastAsia" w:asciiTheme="minorEastAsia" w:hAnsiTheme="minorEastAsia"/>
          <w:color w:val="auto"/>
          <w:szCs w:val="21"/>
          <w:highlight w:val="none"/>
        </w:rPr>
        <w:t>（十）本项目不接受联合体响应。</w:t>
      </w:r>
    </w:p>
    <w:p w14:paraId="3DCD6812">
      <w:pPr>
        <w:spacing w:before="156" w:beforeLines="50" w:line="380" w:lineRule="exact"/>
        <w:jc w:val="left"/>
        <w:outlineLvl w:val="0"/>
        <w:rPr>
          <w:rFonts w:asciiTheme="minorEastAsia" w:hAnsiTheme="minorEastAsia"/>
          <w:b/>
          <w:color w:val="auto"/>
          <w:szCs w:val="21"/>
          <w:highlight w:val="none"/>
        </w:rPr>
      </w:pPr>
      <w:r>
        <w:rPr>
          <w:rFonts w:hint="eastAsia" w:asciiTheme="minorEastAsia" w:hAnsiTheme="minorEastAsia"/>
          <w:b/>
          <w:color w:val="auto"/>
          <w:szCs w:val="21"/>
          <w:highlight w:val="none"/>
        </w:rPr>
        <w:t>六、响应文件要求</w:t>
      </w:r>
    </w:p>
    <w:p w14:paraId="7ED0A649">
      <w:pPr>
        <w:spacing w:line="380" w:lineRule="exact"/>
        <w:ind w:firstLine="420" w:firstLineChars="200"/>
        <w:jc w:val="left"/>
        <w:rPr>
          <w:rFonts w:asciiTheme="minorEastAsia" w:hAnsiTheme="minorEastAsia"/>
          <w:color w:val="auto"/>
          <w:szCs w:val="21"/>
          <w:highlight w:val="none"/>
        </w:rPr>
      </w:pPr>
      <w:r>
        <w:rPr>
          <w:rFonts w:hint="eastAsia" w:asciiTheme="minorEastAsia" w:hAnsiTheme="minorEastAsia"/>
          <w:color w:val="auto"/>
          <w:szCs w:val="21"/>
          <w:highlight w:val="none"/>
        </w:rPr>
        <w:t>供应商</w:t>
      </w:r>
      <w:r>
        <w:rPr>
          <w:rFonts w:hint="eastAsia" w:asciiTheme="minorEastAsia" w:hAnsiTheme="minorEastAsia"/>
          <w:color w:val="auto"/>
          <w:szCs w:val="21"/>
          <w:highlight w:val="none"/>
          <w:lang w:val="en-US" w:eastAsia="zh-CN"/>
        </w:rPr>
        <w:t>须</w:t>
      </w:r>
      <w:r>
        <w:rPr>
          <w:rFonts w:hint="eastAsia" w:asciiTheme="minorEastAsia" w:hAnsiTheme="minorEastAsia"/>
          <w:color w:val="auto"/>
          <w:szCs w:val="21"/>
          <w:highlight w:val="none"/>
        </w:rPr>
        <w:t>按采购文件要求提交响应文件</w:t>
      </w:r>
      <w:r>
        <w:rPr>
          <w:rFonts w:hint="eastAsia" w:asciiTheme="minorEastAsia" w:hAnsiTheme="minorEastAsia"/>
          <w:color w:val="auto"/>
          <w:szCs w:val="21"/>
          <w:highlight w:val="none"/>
          <w:lang w:eastAsia="zh-CN"/>
        </w:rPr>
        <w:t>（正本1份、副本1份）</w:t>
      </w:r>
      <w:r>
        <w:rPr>
          <w:rFonts w:hint="eastAsia" w:asciiTheme="minorEastAsia" w:hAnsiTheme="minorEastAsia"/>
          <w:color w:val="auto"/>
          <w:szCs w:val="21"/>
          <w:highlight w:val="none"/>
        </w:rPr>
        <w:t>，所有材料必须密封并加盖公章提供。</w:t>
      </w:r>
    </w:p>
    <w:p w14:paraId="49DE84B1">
      <w:pPr>
        <w:spacing w:before="156" w:beforeLines="50" w:line="380" w:lineRule="exact"/>
        <w:jc w:val="left"/>
        <w:outlineLvl w:val="0"/>
        <w:rPr>
          <w:rFonts w:asciiTheme="minorEastAsia" w:hAnsiTheme="minorEastAsia"/>
          <w:b/>
          <w:color w:val="auto"/>
          <w:szCs w:val="21"/>
          <w:highlight w:val="none"/>
        </w:rPr>
      </w:pPr>
      <w:r>
        <w:rPr>
          <w:rFonts w:hint="eastAsia" w:asciiTheme="minorEastAsia" w:hAnsiTheme="minorEastAsia"/>
          <w:b/>
          <w:color w:val="auto"/>
          <w:szCs w:val="21"/>
          <w:highlight w:val="none"/>
        </w:rPr>
        <w:t>七、评审方法</w:t>
      </w:r>
    </w:p>
    <w:p w14:paraId="0157528C">
      <w:pPr>
        <w:spacing w:line="380" w:lineRule="exact"/>
        <w:ind w:firstLine="420" w:firstLineChars="200"/>
        <w:jc w:val="left"/>
        <w:rPr>
          <w:rFonts w:asciiTheme="minorEastAsia" w:hAnsiTheme="minorEastAsia"/>
          <w:color w:val="auto"/>
          <w:szCs w:val="21"/>
          <w:highlight w:val="none"/>
        </w:rPr>
      </w:pPr>
      <w:r>
        <w:rPr>
          <w:rFonts w:asciiTheme="minorEastAsia" w:hAnsiTheme="minorEastAsia"/>
          <w:color w:val="auto"/>
          <w:szCs w:val="21"/>
          <w:highlight w:val="none"/>
        </w:rPr>
        <w:t>我单位根据各</w:t>
      </w:r>
      <w:r>
        <w:rPr>
          <w:rFonts w:hint="eastAsia" w:asciiTheme="minorEastAsia" w:hAnsiTheme="minorEastAsia"/>
          <w:color w:val="auto"/>
          <w:szCs w:val="21"/>
          <w:highlight w:val="none"/>
        </w:rPr>
        <w:t>供应商</w:t>
      </w:r>
      <w:r>
        <w:rPr>
          <w:rFonts w:asciiTheme="minorEastAsia" w:hAnsiTheme="minorEastAsia"/>
          <w:color w:val="auto"/>
          <w:szCs w:val="21"/>
          <w:highlight w:val="none"/>
        </w:rPr>
        <w:t>的</w:t>
      </w:r>
      <w:r>
        <w:rPr>
          <w:rFonts w:hint="eastAsia" w:asciiTheme="minorEastAsia" w:hAnsiTheme="minorEastAsia"/>
          <w:color w:val="auto"/>
          <w:szCs w:val="21"/>
          <w:highlight w:val="none"/>
        </w:rPr>
        <w:t>响应文件</w:t>
      </w:r>
      <w:r>
        <w:rPr>
          <w:rFonts w:asciiTheme="minorEastAsia" w:hAnsiTheme="minorEastAsia"/>
          <w:color w:val="auto"/>
          <w:szCs w:val="21"/>
          <w:highlight w:val="none"/>
        </w:rPr>
        <w:t>进行比较，采用综合评分法对供应商进行评分。评分细则如下：</w:t>
      </w:r>
    </w:p>
    <w:p w14:paraId="25032F2C">
      <w:pPr>
        <w:spacing w:line="380" w:lineRule="exact"/>
        <w:ind w:firstLine="420" w:firstLineChars="200"/>
        <w:jc w:val="left"/>
        <w:rPr>
          <w:rFonts w:asciiTheme="minorEastAsia" w:hAnsiTheme="minorEastAsia"/>
          <w:color w:val="auto"/>
          <w:szCs w:val="21"/>
          <w:highlight w:val="none"/>
        </w:rPr>
      </w:pPr>
      <w:r>
        <w:rPr>
          <w:rFonts w:asciiTheme="minorEastAsia" w:hAnsiTheme="minorEastAsia"/>
          <w:color w:val="auto"/>
          <w:szCs w:val="21"/>
          <w:highlight w:val="none"/>
        </w:rPr>
        <w:t>（一）</w:t>
      </w:r>
      <w:r>
        <w:rPr>
          <w:rFonts w:hint="eastAsia" w:asciiTheme="minorEastAsia" w:hAnsiTheme="minorEastAsia"/>
          <w:color w:val="auto"/>
          <w:szCs w:val="21"/>
          <w:highlight w:val="none"/>
        </w:rPr>
        <w:t>评审</w:t>
      </w:r>
      <w:r>
        <w:rPr>
          <w:rFonts w:asciiTheme="minorEastAsia" w:hAnsiTheme="minorEastAsia"/>
          <w:color w:val="auto"/>
          <w:szCs w:val="21"/>
          <w:highlight w:val="none"/>
        </w:rPr>
        <w:t>原则</w:t>
      </w:r>
    </w:p>
    <w:p w14:paraId="59F13657">
      <w:pPr>
        <w:spacing w:line="380" w:lineRule="exact"/>
        <w:ind w:firstLine="420" w:firstLineChars="200"/>
        <w:jc w:val="left"/>
        <w:rPr>
          <w:rFonts w:asciiTheme="minorEastAsia" w:hAnsiTheme="minorEastAsia"/>
          <w:color w:val="auto"/>
          <w:szCs w:val="21"/>
          <w:highlight w:val="none"/>
        </w:rPr>
      </w:pPr>
      <w:r>
        <w:rPr>
          <w:rFonts w:hint="eastAsia" w:asciiTheme="minorEastAsia" w:hAnsiTheme="minorEastAsia"/>
          <w:color w:val="auto"/>
          <w:szCs w:val="21"/>
          <w:highlight w:val="none"/>
        </w:rPr>
        <w:t>评审</w:t>
      </w:r>
      <w:r>
        <w:rPr>
          <w:rFonts w:asciiTheme="minorEastAsia" w:hAnsiTheme="minorEastAsia"/>
          <w:color w:val="auto"/>
          <w:szCs w:val="21"/>
          <w:highlight w:val="none"/>
        </w:rPr>
        <w:t>依据：评委将以</w:t>
      </w:r>
      <w:r>
        <w:rPr>
          <w:rFonts w:hint="eastAsia" w:asciiTheme="minorEastAsia" w:hAnsiTheme="minorEastAsia"/>
          <w:color w:val="auto"/>
          <w:szCs w:val="21"/>
          <w:highlight w:val="none"/>
        </w:rPr>
        <w:t>响应</w:t>
      </w:r>
      <w:r>
        <w:rPr>
          <w:rFonts w:asciiTheme="minorEastAsia" w:hAnsiTheme="minorEastAsia"/>
          <w:color w:val="auto"/>
          <w:szCs w:val="21"/>
          <w:highlight w:val="none"/>
        </w:rPr>
        <w:t>文件为</w:t>
      </w:r>
      <w:r>
        <w:rPr>
          <w:rFonts w:hint="eastAsia" w:asciiTheme="minorEastAsia" w:hAnsiTheme="minorEastAsia"/>
          <w:color w:val="auto"/>
          <w:szCs w:val="21"/>
          <w:highlight w:val="none"/>
        </w:rPr>
        <w:t>评审</w:t>
      </w:r>
      <w:r>
        <w:rPr>
          <w:rFonts w:asciiTheme="minorEastAsia" w:hAnsiTheme="minorEastAsia"/>
          <w:color w:val="auto"/>
          <w:szCs w:val="21"/>
          <w:highlight w:val="none"/>
        </w:rPr>
        <w:t>依据，对供应商的</w:t>
      </w:r>
      <w:r>
        <w:rPr>
          <w:rFonts w:hint="eastAsia" w:asciiTheme="minorEastAsia" w:hAnsiTheme="minorEastAsia"/>
          <w:color w:val="auto"/>
          <w:szCs w:val="21"/>
          <w:highlight w:val="none"/>
        </w:rPr>
        <w:t>响应</w:t>
      </w:r>
      <w:r>
        <w:rPr>
          <w:rFonts w:asciiTheme="minorEastAsia" w:hAnsiTheme="minorEastAsia"/>
          <w:color w:val="auto"/>
          <w:szCs w:val="21"/>
          <w:highlight w:val="none"/>
        </w:rPr>
        <w:t>报价、</w:t>
      </w:r>
      <w:r>
        <w:rPr>
          <w:rFonts w:hint="eastAsia" w:asciiTheme="minorEastAsia" w:hAnsiTheme="minorEastAsia"/>
          <w:color w:val="auto"/>
          <w:szCs w:val="21"/>
          <w:highlight w:val="none"/>
        </w:rPr>
        <w:t>品牌、服务方案</w:t>
      </w:r>
      <w:r>
        <w:rPr>
          <w:rFonts w:asciiTheme="minorEastAsia" w:hAnsiTheme="minorEastAsia"/>
          <w:color w:val="auto"/>
          <w:szCs w:val="21"/>
          <w:highlight w:val="none"/>
        </w:rPr>
        <w:t>、</w:t>
      </w:r>
      <w:r>
        <w:rPr>
          <w:rFonts w:hint="eastAsia" w:asciiTheme="minorEastAsia" w:hAnsiTheme="minorEastAsia"/>
          <w:color w:val="auto"/>
          <w:szCs w:val="21"/>
          <w:highlight w:val="none"/>
        </w:rPr>
        <w:t>人员及响应时间</w:t>
      </w:r>
      <w:r>
        <w:rPr>
          <w:rFonts w:asciiTheme="minorEastAsia" w:hAnsiTheme="minorEastAsia"/>
          <w:color w:val="auto"/>
          <w:szCs w:val="21"/>
          <w:highlight w:val="none"/>
        </w:rPr>
        <w:t>等内容按百分制打分。</w:t>
      </w:r>
    </w:p>
    <w:p w14:paraId="2ADA1F34">
      <w:pPr>
        <w:spacing w:line="380" w:lineRule="exact"/>
        <w:ind w:firstLine="420" w:firstLineChars="200"/>
        <w:jc w:val="left"/>
        <w:rPr>
          <w:rFonts w:asciiTheme="minorEastAsia" w:hAnsiTheme="minorEastAsia"/>
          <w:color w:val="auto"/>
          <w:szCs w:val="21"/>
          <w:highlight w:val="none"/>
        </w:rPr>
      </w:pPr>
      <w:r>
        <w:rPr>
          <w:rFonts w:asciiTheme="minorEastAsia" w:hAnsiTheme="minorEastAsia"/>
          <w:color w:val="auto"/>
          <w:szCs w:val="21"/>
          <w:highlight w:val="none"/>
        </w:rPr>
        <w:t>（二）</w:t>
      </w:r>
      <w:r>
        <w:rPr>
          <w:rFonts w:hint="eastAsia" w:asciiTheme="minorEastAsia" w:hAnsiTheme="minorEastAsia"/>
          <w:color w:val="auto"/>
          <w:szCs w:val="21"/>
          <w:highlight w:val="none"/>
        </w:rPr>
        <w:t>评审</w:t>
      </w:r>
      <w:r>
        <w:rPr>
          <w:rFonts w:asciiTheme="minorEastAsia" w:hAnsiTheme="minorEastAsia"/>
          <w:color w:val="auto"/>
          <w:szCs w:val="21"/>
          <w:highlight w:val="none"/>
        </w:rPr>
        <w:t>方法</w:t>
      </w:r>
    </w:p>
    <w:p w14:paraId="485E4E01">
      <w:pPr>
        <w:spacing w:line="380" w:lineRule="exact"/>
        <w:ind w:firstLine="420" w:firstLineChars="200"/>
        <w:jc w:val="left"/>
        <w:rPr>
          <w:rFonts w:asciiTheme="minorEastAsia" w:hAnsiTheme="minorEastAsia"/>
          <w:color w:val="auto"/>
          <w:szCs w:val="21"/>
          <w:highlight w:val="none"/>
        </w:rPr>
      </w:pPr>
      <w:r>
        <w:rPr>
          <w:rFonts w:asciiTheme="minorEastAsia" w:hAnsiTheme="minorEastAsia"/>
          <w:color w:val="auto"/>
          <w:szCs w:val="21"/>
          <w:highlight w:val="none"/>
        </w:rPr>
        <w:t>1. 对</w:t>
      </w:r>
      <w:r>
        <w:rPr>
          <w:rFonts w:hint="eastAsia" w:asciiTheme="minorEastAsia" w:hAnsiTheme="minorEastAsia"/>
          <w:color w:val="auto"/>
          <w:szCs w:val="21"/>
          <w:highlight w:val="none"/>
          <w:lang w:val="en-US" w:eastAsia="zh-CN"/>
        </w:rPr>
        <w:t>满足资格要求、</w:t>
      </w:r>
      <w:r>
        <w:rPr>
          <w:rFonts w:asciiTheme="minorEastAsia" w:hAnsiTheme="minorEastAsia"/>
          <w:color w:val="auto"/>
          <w:szCs w:val="21"/>
          <w:highlight w:val="none"/>
        </w:rPr>
        <w:t>进入详评的，采用百分制综合评分法。</w:t>
      </w:r>
    </w:p>
    <w:p w14:paraId="6577F932">
      <w:pPr>
        <w:spacing w:line="380" w:lineRule="exact"/>
        <w:ind w:firstLine="420" w:firstLineChars="200"/>
        <w:jc w:val="left"/>
        <w:rPr>
          <w:rFonts w:asciiTheme="minorEastAsia" w:hAnsiTheme="minorEastAsia"/>
          <w:color w:val="auto"/>
          <w:szCs w:val="21"/>
          <w:highlight w:val="none"/>
        </w:rPr>
      </w:pPr>
      <w:r>
        <w:rPr>
          <w:rFonts w:asciiTheme="minorEastAsia" w:hAnsiTheme="minorEastAsia"/>
          <w:color w:val="auto"/>
          <w:szCs w:val="21"/>
          <w:highlight w:val="none"/>
        </w:rPr>
        <w:t>2. 计分办法（按四舍五入取至百分位）</w:t>
      </w:r>
      <w:r>
        <w:rPr>
          <w:rFonts w:hint="eastAsia" w:asciiTheme="minorEastAsia" w:hAnsiTheme="minorEastAsia"/>
          <w:color w:val="auto"/>
          <w:szCs w:val="21"/>
          <w:highlight w:val="none"/>
        </w:rPr>
        <w:t>：</w:t>
      </w:r>
    </w:p>
    <w:tbl>
      <w:tblPr>
        <w:tblStyle w:val="9"/>
        <w:tblW w:w="857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8"/>
        <w:gridCol w:w="1890"/>
        <w:gridCol w:w="795"/>
        <w:gridCol w:w="5025"/>
      </w:tblGrid>
      <w:tr w14:paraId="23EBA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8" w:type="dxa"/>
            <w:shd w:val="clear" w:color="auto" w:fill="E7E6E6" w:themeFill="background2"/>
          </w:tcPr>
          <w:p w14:paraId="723631E5">
            <w:pPr>
              <w:spacing w:line="380" w:lineRule="exact"/>
              <w:jc w:val="center"/>
              <w:rPr>
                <w:rFonts w:ascii="宋体" w:hAnsi="宋体" w:eastAsia="宋体" w:cs="宋体"/>
                <w:b/>
                <w:bCs/>
                <w:color w:val="auto"/>
                <w:sz w:val="18"/>
                <w:szCs w:val="18"/>
                <w:highlight w:val="none"/>
              </w:rPr>
            </w:pPr>
            <w:r>
              <w:rPr>
                <w:rFonts w:hint="eastAsia" w:ascii="宋体" w:hAnsi="宋体" w:eastAsia="宋体" w:cs="宋体"/>
                <w:b/>
                <w:bCs/>
                <w:color w:val="auto"/>
                <w:sz w:val="18"/>
                <w:szCs w:val="18"/>
                <w:highlight w:val="none"/>
              </w:rPr>
              <w:t>评分项</w:t>
            </w:r>
          </w:p>
        </w:tc>
        <w:tc>
          <w:tcPr>
            <w:tcW w:w="1890" w:type="dxa"/>
            <w:shd w:val="clear" w:color="auto" w:fill="E7E6E6" w:themeFill="background2"/>
          </w:tcPr>
          <w:p w14:paraId="22E82233">
            <w:pPr>
              <w:spacing w:line="380" w:lineRule="exact"/>
              <w:jc w:val="center"/>
              <w:rPr>
                <w:rFonts w:ascii="宋体" w:hAnsi="宋体" w:eastAsia="宋体" w:cs="宋体"/>
                <w:b/>
                <w:bCs/>
                <w:color w:val="auto"/>
                <w:sz w:val="18"/>
                <w:szCs w:val="18"/>
                <w:highlight w:val="none"/>
              </w:rPr>
            </w:pPr>
            <w:r>
              <w:rPr>
                <w:rFonts w:hint="eastAsia" w:ascii="宋体" w:hAnsi="宋体" w:eastAsia="宋体" w:cs="宋体"/>
                <w:b/>
                <w:bCs/>
                <w:color w:val="auto"/>
                <w:sz w:val="18"/>
                <w:szCs w:val="18"/>
                <w:highlight w:val="none"/>
              </w:rPr>
              <w:t>评分分项</w:t>
            </w:r>
          </w:p>
        </w:tc>
        <w:tc>
          <w:tcPr>
            <w:tcW w:w="795" w:type="dxa"/>
            <w:shd w:val="clear" w:color="auto" w:fill="E7E6E6" w:themeFill="background2"/>
          </w:tcPr>
          <w:p w14:paraId="79F90A5E">
            <w:pPr>
              <w:spacing w:line="380" w:lineRule="exact"/>
              <w:jc w:val="center"/>
              <w:rPr>
                <w:rFonts w:ascii="宋体" w:hAnsi="宋体" w:eastAsia="宋体" w:cs="宋体"/>
                <w:b/>
                <w:bCs/>
                <w:color w:val="auto"/>
                <w:sz w:val="18"/>
                <w:szCs w:val="18"/>
                <w:highlight w:val="none"/>
              </w:rPr>
            </w:pPr>
            <w:r>
              <w:rPr>
                <w:rFonts w:hint="eastAsia" w:ascii="宋体" w:hAnsi="宋体" w:eastAsia="宋体" w:cs="宋体"/>
                <w:b/>
                <w:bCs/>
                <w:color w:val="auto"/>
                <w:sz w:val="18"/>
                <w:szCs w:val="18"/>
                <w:highlight w:val="none"/>
              </w:rPr>
              <w:t>分值</w:t>
            </w:r>
          </w:p>
        </w:tc>
        <w:tc>
          <w:tcPr>
            <w:tcW w:w="5025" w:type="dxa"/>
            <w:shd w:val="clear" w:color="auto" w:fill="E7E6E6" w:themeFill="background2"/>
          </w:tcPr>
          <w:p w14:paraId="5F1595E1">
            <w:pPr>
              <w:spacing w:line="380" w:lineRule="exact"/>
              <w:jc w:val="center"/>
              <w:rPr>
                <w:rFonts w:ascii="宋体" w:hAnsi="宋体" w:eastAsia="宋体" w:cs="宋体"/>
                <w:b/>
                <w:bCs/>
                <w:color w:val="auto"/>
                <w:sz w:val="18"/>
                <w:szCs w:val="18"/>
                <w:highlight w:val="none"/>
              </w:rPr>
            </w:pPr>
            <w:r>
              <w:rPr>
                <w:rFonts w:hint="eastAsia" w:ascii="宋体" w:hAnsi="宋体" w:eastAsia="宋体" w:cs="宋体"/>
                <w:b/>
                <w:bCs/>
                <w:color w:val="auto"/>
                <w:sz w:val="18"/>
                <w:szCs w:val="18"/>
                <w:highlight w:val="none"/>
              </w:rPr>
              <w:t>评分细则</w:t>
            </w:r>
          </w:p>
        </w:tc>
      </w:tr>
      <w:tr w14:paraId="5AB48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8" w:type="dxa"/>
            <w:vMerge w:val="restart"/>
          </w:tcPr>
          <w:p w14:paraId="6F76C672">
            <w:pPr>
              <w:spacing w:line="380" w:lineRule="exact"/>
              <w:jc w:val="center"/>
              <w:rPr>
                <w:rFonts w:ascii="宋体" w:hAnsi="宋体" w:eastAsia="宋体" w:cs="宋体"/>
                <w:color w:val="auto"/>
                <w:sz w:val="18"/>
                <w:szCs w:val="18"/>
                <w:highlight w:val="none"/>
              </w:rPr>
            </w:pPr>
            <w:r>
              <w:rPr>
                <w:rFonts w:hint="eastAsia" w:ascii="宋体" w:hAnsi="宋体" w:eastAsia="宋体" w:cs="宋体"/>
                <w:color w:val="auto"/>
                <w:sz w:val="18"/>
                <w:szCs w:val="18"/>
                <w:highlight w:val="none"/>
              </w:rPr>
              <w:t>价</w:t>
            </w:r>
          </w:p>
          <w:p w14:paraId="48F5D860">
            <w:pPr>
              <w:spacing w:line="380" w:lineRule="exact"/>
              <w:jc w:val="center"/>
              <w:rPr>
                <w:rFonts w:ascii="宋体" w:hAnsi="宋体" w:eastAsia="宋体" w:cs="宋体"/>
                <w:color w:val="auto"/>
                <w:sz w:val="18"/>
                <w:szCs w:val="18"/>
                <w:highlight w:val="none"/>
              </w:rPr>
            </w:pPr>
            <w:r>
              <w:rPr>
                <w:rFonts w:hint="eastAsia" w:ascii="宋体" w:hAnsi="宋体" w:eastAsia="宋体" w:cs="宋体"/>
                <w:color w:val="auto"/>
                <w:sz w:val="18"/>
                <w:szCs w:val="18"/>
                <w:highlight w:val="none"/>
              </w:rPr>
              <w:t>格</w:t>
            </w:r>
          </w:p>
          <w:p w14:paraId="4F694967">
            <w:pPr>
              <w:spacing w:line="380" w:lineRule="exact"/>
              <w:jc w:val="center"/>
              <w:rPr>
                <w:rFonts w:ascii="宋体" w:hAnsi="宋体" w:eastAsia="宋体" w:cs="宋体"/>
                <w:color w:val="auto"/>
                <w:sz w:val="18"/>
                <w:szCs w:val="18"/>
                <w:highlight w:val="none"/>
              </w:rPr>
            </w:pPr>
            <w:r>
              <w:rPr>
                <w:rFonts w:hint="eastAsia" w:ascii="宋体" w:hAnsi="宋体" w:eastAsia="宋体" w:cs="宋体"/>
                <w:color w:val="auto"/>
                <w:sz w:val="18"/>
                <w:szCs w:val="18"/>
                <w:highlight w:val="none"/>
              </w:rPr>
              <w:t>分</w:t>
            </w:r>
          </w:p>
          <w:p w14:paraId="6F17F276">
            <w:pPr>
              <w:spacing w:line="380" w:lineRule="exact"/>
              <w:jc w:val="center"/>
              <w:rPr>
                <w:rFonts w:ascii="宋体" w:hAnsi="宋体" w:eastAsia="宋体" w:cs="宋体"/>
                <w:color w:val="auto"/>
                <w:sz w:val="18"/>
                <w:szCs w:val="18"/>
                <w:highlight w:val="none"/>
              </w:rPr>
            </w:pPr>
            <w:r>
              <w:rPr>
                <w:rFonts w:hint="eastAsia" w:ascii="宋体" w:hAnsi="宋体" w:eastAsia="宋体" w:cs="宋体"/>
                <w:color w:val="auto"/>
                <w:sz w:val="18"/>
                <w:szCs w:val="18"/>
                <w:highlight w:val="none"/>
              </w:rPr>
              <w:t>（</w:t>
            </w:r>
            <w:r>
              <w:rPr>
                <w:rFonts w:hint="eastAsia" w:ascii="宋体" w:hAnsi="宋体" w:eastAsia="宋体" w:cs="宋体"/>
                <w:color w:val="auto"/>
                <w:sz w:val="18"/>
                <w:szCs w:val="18"/>
                <w:highlight w:val="none"/>
                <w:lang w:val="en-US" w:eastAsia="zh-CN"/>
              </w:rPr>
              <w:t>16</w:t>
            </w:r>
            <w:r>
              <w:rPr>
                <w:rFonts w:hint="eastAsia" w:ascii="宋体" w:hAnsi="宋体" w:eastAsia="宋体" w:cs="宋体"/>
                <w:color w:val="auto"/>
                <w:sz w:val="18"/>
                <w:szCs w:val="18"/>
                <w:highlight w:val="none"/>
              </w:rPr>
              <w:t>分）</w:t>
            </w:r>
          </w:p>
        </w:tc>
        <w:tc>
          <w:tcPr>
            <w:tcW w:w="1890" w:type="dxa"/>
          </w:tcPr>
          <w:p w14:paraId="4451C078">
            <w:pPr>
              <w:spacing w:line="380" w:lineRule="exact"/>
              <w:jc w:val="left"/>
              <w:rPr>
                <w:rFonts w:ascii="宋体" w:hAnsi="宋体" w:eastAsia="宋体" w:cs="宋体"/>
                <w:color w:val="auto"/>
                <w:sz w:val="18"/>
                <w:szCs w:val="18"/>
                <w:highlight w:val="none"/>
              </w:rPr>
            </w:pPr>
            <w:r>
              <w:rPr>
                <w:rFonts w:hint="eastAsia" w:ascii="宋体" w:hAnsi="宋体" w:eastAsia="宋体" w:cs="宋体"/>
                <w:color w:val="auto"/>
                <w:sz w:val="18"/>
                <w:szCs w:val="18"/>
                <w:highlight w:val="none"/>
              </w:rPr>
              <w:t>1.桶装水（循环桶）</w:t>
            </w:r>
          </w:p>
          <w:p w14:paraId="40FA93DA">
            <w:pPr>
              <w:spacing w:line="380" w:lineRule="exact"/>
              <w:jc w:val="left"/>
              <w:rPr>
                <w:rFonts w:ascii="宋体" w:hAnsi="宋体" w:eastAsia="宋体" w:cs="宋体"/>
                <w:color w:val="auto"/>
                <w:sz w:val="18"/>
                <w:szCs w:val="18"/>
                <w:highlight w:val="none"/>
              </w:rPr>
            </w:pPr>
            <w:r>
              <w:rPr>
                <w:rFonts w:hint="eastAsia" w:ascii="宋体" w:hAnsi="宋体" w:eastAsia="宋体" w:cs="宋体"/>
                <w:color w:val="auto"/>
                <w:sz w:val="18"/>
                <w:szCs w:val="18"/>
                <w:highlight w:val="none"/>
              </w:rPr>
              <w:t>价格分</w:t>
            </w:r>
          </w:p>
        </w:tc>
        <w:tc>
          <w:tcPr>
            <w:tcW w:w="795" w:type="dxa"/>
          </w:tcPr>
          <w:p w14:paraId="451C9339">
            <w:pPr>
              <w:spacing w:line="380" w:lineRule="exact"/>
              <w:jc w:val="left"/>
              <w:rPr>
                <w:rFonts w:ascii="宋体" w:hAnsi="宋体" w:eastAsia="宋体" w:cs="宋体"/>
                <w:color w:val="auto"/>
                <w:sz w:val="18"/>
                <w:szCs w:val="18"/>
                <w:highlight w:val="none"/>
              </w:rPr>
            </w:pPr>
            <w:r>
              <w:rPr>
                <w:rFonts w:hint="eastAsia" w:ascii="宋体" w:hAnsi="宋体" w:eastAsia="宋体" w:cs="宋体"/>
                <w:color w:val="auto"/>
                <w:sz w:val="18"/>
                <w:szCs w:val="18"/>
                <w:highlight w:val="none"/>
                <w:lang w:val="en-US" w:eastAsia="zh-CN"/>
              </w:rPr>
              <w:t>4</w:t>
            </w:r>
            <w:r>
              <w:rPr>
                <w:rFonts w:hint="eastAsia" w:ascii="宋体" w:hAnsi="宋体" w:eastAsia="宋体" w:cs="宋体"/>
                <w:color w:val="auto"/>
                <w:sz w:val="18"/>
                <w:szCs w:val="18"/>
                <w:highlight w:val="none"/>
              </w:rPr>
              <w:t>分</w:t>
            </w:r>
          </w:p>
        </w:tc>
        <w:tc>
          <w:tcPr>
            <w:tcW w:w="5025" w:type="dxa"/>
          </w:tcPr>
          <w:p w14:paraId="76A22768">
            <w:pPr>
              <w:jc w:val="left"/>
              <w:rPr>
                <w:rFonts w:hint="eastAsia" w:hAnsi="Cambria Math" w:eastAsiaTheme="minorEastAsia"/>
                <w:color w:val="auto"/>
                <w:szCs w:val="21"/>
                <w:highlight w:val="none"/>
                <w:lang w:eastAsia="zh-CN"/>
              </w:rPr>
            </w:pPr>
            <w:r>
              <w:rPr>
                <w:rFonts w:hint="eastAsia" w:ascii="宋体" w:hAnsi="宋体" w:eastAsia="宋体" w:cs="宋体"/>
                <w:color w:val="auto"/>
                <w:sz w:val="18"/>
                <w:szCs w:val="18"/>
                <w:highlight w:val="none"/>
              </w:rPr>
              <w:t xml:space="preserve">价格分 = </w:t>
            </w:r>
            <m:oMath>
              <m:f>
                <m:fPr>
                  <m:ctrlPr>
                    <w:rPr>
                      <w:rFonts w:ascii="Cambria Math" w:hAnsi="Cambria Math"/>
                      <w:i/>
                      <w:color w:val="auto"/>
                      <w:sz w:val="28"/>
                      <w:szCs w:val="28"/>
                      <w:highlight w:val="none"/>
                    </w:rPr>
                  </m:ctrlPr>
                </m:fPr>
                <m:num>
                  <m:r>
                    <m:rPr>
                      <m:sty m:val="p"/>
                    </m:rPr>
                    <w:rPr>
                      <w:rFonts w:hint="eastAsia" w:ascii="宋体" w:hAnsi="宋体" w:eastAsia="宋体" w:cs="宋体"/>
                      <w:color w:val="auto"/>
                      <w:sz w:val="28"/>
                      <w:szCs w:val="28"/>
                      <w:highlight w:val="none"/>
                    </w:rPr>
                    <m:t>所有供应商中桶装水（循环桶）最低价</m:t>
                  </m:r>
                  <m:ctrlPr>
                    <w:rPr>
                      <w:rFonts w:ascii="Cambria Math" w:hAnsi="Cambria Math"/>
                      <w:i/>
                      <w:color w:val="auto"/>
                      <w:sz w:val="28"/>
                      <w:szCs w:val="28"/>
                      <w:highlight w:val="none"/>
                    </w:rPr>
                  </m:ctrlPr>
                </m:num>
                <m:den>
                  <m:r>
                    <m:rPr>
                      <m:sty m:val="p"/>
                    </m:rPr>
                    <w:rPr>
                      <w:rFonts w:hint="eastAsia" w:ascii="宋体" w:hAnsi="宋体" w:eastAsia="宋体" w:cs="宋体"/>
                      <w:color w:val="auto"/>
                      <w:sz w:val="28"/>
                      <w:szCs w:val="28"/>
                      <w:highlight w:val="none"/>
                    </w:rPr>
                    <m:t>该供应商桶装水（循环桶）报价</m:t>
                  </m:r>
                  <m:ctrlPr>
                    <w:rPr>
                      <w:rFonts w:ascii="Cambria Math" w:hAnsi="Cambria Math"/>
                      <w:i/>
                      <w:color w:val="auto"/>
                      <w:sz w:val="28"/>
                      <w:szCs w:val="28"/>
                      <w:highlight w:val="none"/>
                    </w:rPr>
                  </m:ctrlPr>
                </m:den>
              </m:f>
            </m:oMath>
            <w:r>
              <w:rPr>
                <w:rFonts w:hint="eastAsia" w:hAnsi="Cambria Math"/>
                <w:color w:val="auto"/>
                <w:szCs w:val="21"/>
                <w:highlight w:val="none"/>
              </w:rPr>
              <w:t>×</w:t>
            </w:r>
            <w:r>
              <w:rPr>
                <w:rFonts w:hint="eastAsia" w:hAnsi="Cambria Math"/>
                <w:color w:val="auto"/>
                <w:szCs w:val="21"/>
                <w:highlight w:val="none"/>
                <w:lang w:val="en-US" w:eastAsia="zh-CN"/>
              </w:rPr>
              <w:t>4</w:t>
            </w:r>
          </w:p>
          <w:p w14:paraId="0BCD7289">
            <w:pPr>
              <w:jc w:val="left"/>
              <w:rPr>
                <w:rFonts w:ascii="宋体" w:hAnsi="宋体" w:cs="宋体"/>
                <w:color w:val="auto"/>
                <w:sz w:val="18"/>
                <w:szCs w:val="18"/>
                <w:highlight w:val="none"/>
              </w:rPr>
            </w:pPr>
            <w:r>
              <w:rPr>
                <w:rFonts w:hint="eastAsia" w:ascii="宋体" w:hAnsi="宋体" w:eastAsia="宋体" w:cs="宋体"/>
                <w:color w:val="auto"/>
                <w:sz w:val="18"/>
                <w:szCs w:val="18"/>
                <w:highlight w:val="none"/>
              </w:rPr>
              <w:t>以所有供应商提供的最低</w:t>
            </w:r>
            <w:r>
              <w:rPr>
                <w:rFonts w:hint="eastAsia" w:ascii="宋体" w:hAnsi="宋体" w:eastAsia="宋体" w:cs="宋体"/>
                <w:color w:val="auto"/>
                <w:sz w:val="18"/>
                <w:szCs w:val="18"/>
                <w:highlight w:val="none"/>
                <w:lang w:val="en-US" w:eastAsia="zh-CN"/>
              </w:rPr>
              <w:t>有效报价</w:t>
            </w:r>
            <w:r>
              <w:rPr>
                <w:rFonts w:hint="eastAsia" w:ascii="宋体" w:hAnsi="宋体" w:eastAsia="宋体" w:cs="宋体"/>
                <w:color w:val="auto"/>
                <w:sz w:val="18"/>
                <w:szCs w:val="18"/>
                <w:highlight w:val="none"/>
              </w:rPr>
              <w:t>为满分</w:t>
            </w:r>
          </w:p>
        </w:tc>
      </w:tr>
      <w:tr w14:paraId="23880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8" w:type="dxa"/>
            <w:vMerge w:val="continue"/>
          </w:tcPr>
          <w:p w14:paraId="2AE20D3B">
            <w:pPr>
              <w:spacing w:line="380" w:lineRule="exact"/>
              <w:jc w:val="left"/>
              <w:rPr>
                <w:rFonts w:ascii="宋体" w:hAnsi="宋体" w:eastAsia="宋体" w:cs="宋体"/>
                <w:color w:val="auto"/>
                <w:sz w:val="18"/>
                <w:szCs w:val="18"/>
                <w:highlight w:val="none"/>
              </w:rPr>
            </w:pPr>
          </w:p>
        </w:tc>
        <w:tc>
          <w:tcPr>
            <w:tcW w:w="1890" w:type="dxa"/>
          </w:tcPr>
          <w:p w14:paraId="5AF0C295">
            <w:pPr>
              <w:spacing w:line="380" w:lineRule="exact"/>
              <w:jc w:val="left"/>
              <w:rPr>
                <w:rFonts w:ascii="宋体" w:hAnsi="宋体" w:eastAsia="宋体" w:cs="宋体"/>
                <w:color w:val="auto"/>
                <w:sz w:val="18"/>
                <w:szCs w:val="18"/>
                <w:highlight w:val="none"/>
              </w:rPr>
            </w:pPr>
            <w:r>
              <w:rPr>
                <w:rFonts w:hint="eastAsia" w:ascii="宋体" w:hAnsi="宋体" w:eastAsia="宋体" w:cs="宋体"/>
                <w:color w:val="auto"/>
                <w:sz w:val="18"/>
                <w:szCs w:val="18"/>
                <w:highlight w:val="none"/>
              </w:rPr>
              <w:t>2.桶装水（一次性桶）</w:t>
            </w:r>
          </w:p>
          <w:p w14:paraId="763BC1BD">
            <w:pPr>
              <w:spacing w:line="380" w:lineRule="exact"/>
              <w:jc w:val="left"/>
              <w:rPr>
                <w:rFonts w:ascii="宋体" w:hAnsi="宋体" w:eastAsia="宋体" w:cs="宋体"/>
                <w:color w:val="auto"/>
                <w:sz w:val="18"/>
                <w:szCs w:val="18"/>
                <w:highlight w:val="none"/>
              </w:rPr>
            </w:pPr>
            <w:r>
              <w:rPr>
                <w:rFonts w:hint="eastAsia" w:ascii="宋体" w:hAnsi="宋体" w:eastAsia="宋体" w:cs="宋体"/>
                <w:color w:val="auto"/>
                <w:sz w:val="18"/>
                <w:szCs w:val="18"/>
                <w:highlight w:val="none"/>
              </w:rPr>
              <w:t>价格分</w:t>
            </w:r>
          </w:p>
        </w:tc>
        <w:tc>
          <w:tcPr>
            <w:tcW w:w="795" w:type="dxa"/>
          </w:tcPr>
          <w:p w14:paraId="1F0ED5BC">
            <w:pPr>
              <w:spacing w:line="380" w:lineRule="exact"/>
              <w:jc w:val="left"/>
              <w:rPr>
                <w:rFonts w:ascii="宋体" w:hAnsi="宋体" w:eastAsia="宋体" w:cs="宋体"/>
                <w:color w:val="auto"/>
                <w:sz w:val="18"/>
                <w:szCs w:val="18"/>
                <w:highlight w:val="none"/>
              </w:rPr>
            </w:pPr>
            <w:r>
              <w:rPr>
                <w:rFonts w:hint="eastAsia" w:ascii="宋体" w:hAnsi="宋体" w:eastAsia="宋体" w:cs="宋体"/>
                <w:color w:val="auto"/>
                <w:sz w:val="18"/>
                <w:szCs w:val="18"/>
                <w:highlight w:val="none"/>
                <w:lang w:val="en-US" w:eastAsia="zh-CN"/>
              </w:rPr>
              <w:t>4</w:t>
            </w:r>
            <w:r>
              <w:rPr>
                <w:rFonts w:hint="eastAsia" w:ascii="宋体" w:hAnsi="宋体" w:eastAsia="宋体" w:cs="宋体"/>
                <w:color w:val="auto"/>
                <w:sz w:val="18"/>
                <w:szCs w:val="18"/>
                <w:highlight w:val="none"/>
              </w:rPr>
              <w:t>分</w:t>
            </w:r>
          </w:p>
        </w:tc>
        <w:tc>
          <w:tcPr>
            <w:tcW w:w="5025" w:type="dxa"/>
          </w:tcPr>
          <w:p w14:paraId="0001EFF0">
            <w:pPr>
              <w:jc w:val="left"/>
              <w:rPr>
                <w:rFonts w:hint="eastAsia" w:hAnsi="Cambria Math" w:eastAsiaTheme="minorEastAsia"/>
                <w:color w:val="auto"/>
                <w:szCs w:val="21"/>
                <w:highlight w:val="none"/>
                <w:lang w:eastAsia="zh-CN"/>
              </w:rPr>
            </w:pPr>
            <w:r>
              <w:rPr>
                <w:rFonts w:hint="eastAsia" w:ascii="宋体" w:hAnsi="宋体" w:eastAsia="宋体" w:cs="宋体"/>
                <w:color w:val="auto"/>
                <w:sz w:val="18"/>
                <w:szCs w:val="18"/>
                <w:highlight w:val="none"/>
              </w:rPr>
              <w:t xml:space="preserve">价格分 = </w:t>
            </w:r>
            <m:oMath>
              <m:f>
                <m:fPr>
                  <m:ctrlPr>
                    <w:rPr>
                      <w:rFonts w:ascii="Cambria Math" w:hAnsi="Cambria Math"/>
                      <w:i/>
                      <w:color w:val="auto"/>
                      <w:sz w:val="28"/>
                      <w:szCs w:val="28"/>
                      <w:highlight w:val="none"/>
                    </w:rPr>
                  </m:ctrlPr>
                </m:fPr>
                <m:num>
                  <m:r>
                    <m:rPr>
                      <m:sty m:val="p"/>
                    </m:rPr>
                    <w:rPr>
                      <w:rFonts w:hint="eastAsia" w:ascii="宋体" w:hAnsi="宋体" w:eastAsia="宋体" w:cs="宋体"/>
                      <w:color w:val="auto"/>
                      <w:sz w:val="28"/>
                      <w:szCs w:val="28"/>
                      <w:highlight w:val="none"/>
                    </w:rPr>
                    <m:t>所有供应商中桶装水（</m:t>
                  </m:r>
                  <m:r>
                    <m:rPr>
                      <m:sty m:val="p"/>
                    </m:rPr>
                    <w:rPr>
                      <w:rFonts w:hint="eastAsia" w:ascii="Cambria Math" w:hAnsi="Cambria Math" w:eastAsia="宋体" w:cs="宋体"/>
                      <w:color w:val="auto"/>
                      <w:sz w:val="28"/>
                      <w:szCs w:val="28"/>
                      <w:highlight w:val="none"/>
                    </w:rPr>
                    <m:t>一次性桶</m:t>
                  </m:r>
                  <m:r>
                    <m:rPr>
                      <m:sty m:val="p"/>
                    </m:rPr>
                    <w:rPr>
                      <w:rFonts w:hint="eastAsia" w:ascii="宋体" w:hAnsi="宋体" w:eastAsia="宋体" w:cs="宋体"/>
                      <w:color w:val="auto"/>
                      <w:sz w:val="28"/>
                      <w:szCs w:val="28"/>
                      <w:highlight w:val="none"/>
                    </w:rPr>
                    <m:t>）最低价</m:t>
                  </m:r>
                  <m:ctrlPr>
                    <w:rPr>
                      <w:rFonts w:ascii="Cambria Math" w:hAnsi="Cambria Math"/>
                      <w:i/>
                      <w:color w:val="auto"/>
                      <w:sz w:val="28"/>
                      <w:szCs w:val="28"/>
                      <w:highlight w:val="none"/>
                    </w:rPr>
                  </m:ctrlPr>
                </m:num>
                <m:den>
                  <m:r>
                    <m:rPr>
                      <m:sty m:val="p"/>
                    </m:rPr>
                    <w:rPr>
                      <w:rFonts w:hint="eastAsia" w:ascii="宋体" w:hAnsi="宋体" w:eastAsia="宋体" w:cs="宋体"/>
                      <w:color w:val="auto"/>
                      <w:sz w:val="28"/>
                      <w:szCs w:val="28"/>
                      <w:highlight w:val="none"/>
                    </w:rPr>
                    <m:t>该供应商桶装水（</m:t>
                  </m:r>
                  <m:r>
                    <m:rPr>
                      <m:sty m:val="p"/>
                    </m:rPr>
                    <w:rPr>
                      <w:rFonts w:hint="eastAsia" w:ascii="Cambria Math" w:hAnsi="Cambria Math" w:eastAsia="宋体" w:cs="宋体"/>
                      <w:color w:val="auto"/>
                      <w:sz w:val="28"/>
                      <w:szCs w:val="28"/>
                      <w:highlight w:val="none"/>
                    </w:rPr>
                    <m:t>一次性桶</m:t>
                  </m:r>
                  <m:r>
                    <m:rPr>
                      <m:sty m:val="p"/>
                    </m:rPr>
                    <w:rPr>
                      <w:rFonts w:hint="eastAsia" w:ascii="宋体" w:hAnsi="宋体" w:eastAsia="宋体" w:cs="宋体"/>
                      <w:color w:val="auto"/>
                      <w:sz w:val="28"/>
                      <w:szCs w:val="28"/>
                      <w:highlight w:val="none"/>
                    </w:rPr>
                    <m:t>）报价</m:t>
                  </m:r>
                  <m:ctrlPr>
                    <w:rPr>
                      <w:rFonts w:ascii="Cambria Math" w:hAnsi="Cambria Math"/>
                      <w:i/>
                      <w:color w:val="auto"/>
                      <w:sz w:val="28"/>
                      <w:szCs w:val="28"/>
                      <w:highlight w:val="none"/>
                    </w:rPr>
                  </m:ctrlPr>
                </m:den>
              </m:f>
            </m:oMath>
            <w:r>
              <w:rPr>
                <w:rFonts w:hint="eastAsia" w:hAnsi="Cambria Math"/>
                <w:color w:val="auto"/>
                <w:szCs w:val="21"/>
                <w:highlight w:val="none"/>
              </w:rPr>
              <w:t>×</w:t>
            </w:r>
            <w:r>
              <w:rPr>
                <w:rFonts w:hint="eastAsia" w:hAnsi="Cambria Math"/>
                <w:color w:val="auto"/>
                <w:szCs w:val="21"/>
                <w:highlight w:val="none"/>
                <w:lang w:val="en-US" w:eastAsia="zh-CN"/>
              </w:rPr>
              <w:t>4</w:t>
            </w:r>
          </w:p>
          <w:p w14:paraId="34303060">
            <w:pPr>
              <w:jc w:val="left"/>
              <w:rPr>
                <w:rFonts w:ascii="宋体" w:hAnsi="宋体" w:eastAsia="宋体" w:cs="宋体"/>
                <w:color w:val="auto"/>
                <w:sz w:val="18"/>
                <w:szCs w:val="18"/>
                <w:highlight w:val="none"/>
              </w:rPr>
            </w:pPr>
            <w:r>
              <w:rPr>
                <w:rFonts w:hint="eastAsia" w:ascii="宋体" w:hAnsi="宋体" w:eastAsia="宋体" w:cs="宋体"/>
                <w:color w:val="auto"/>
                <w:sz w:val="18"/>
                <w:szCs w:val="18"/>
                <w:highlight w:val="none"/>
              </w:rPr>
              <w:t>以所有供应商提供的最低</w:t>
            </w:r>
            <w:r>
              <w:rPr>
                <w:rFonts w:hint="eastAsia" w:ascii="宋体" w:hAnsi="宋体" w:eastAsia="宋体" w:cs="宋体"/>
                <w:color w:val="auto"/>
                <w:sz w:val="18"/>
                <w:szCs w:val="18"/>
                <w:highlight w:val="none"/>
                <w:lang w:val="en-US" w:eastAsia="zh-CN"/>
              </w:rPr>
              <w:t>有效报价</w:t>
            </w:r>
            <w:r>
              <w:rPr>
                <w:rFonts w:hint="eastAsia" w:ascii="宋体" w:hAnsi="宋体" w:eastAsia="宋体" w:cs="宋体"/>
                <w:color w:val="auto"/>
                <w:sz w:val="18"/>
                <w:szCs w:val="18"/>
                <w:highlight w:val="none"/>
              </w:rPr>
              <w:t>为满分</w:t>
            </w:r>
          </w:p>
        </w:tc>
      </w:tr>
      <w:tr w14:paraId="428EE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8" w:type="dxa"/>
            <w:vMerge w:val="continue"/>
          </w:tcPr>
          <w:p w14:paraId="6659D93F">
            <w:pPr>
              <w:spacing w:line="380" w:lineRule="exact"/>
              <w:jc w:val="left"/>
              <w:rPr>
                <w:rFonts w:ascii="宋体" w:hAnsi="宋体" w:eastAsia="宋体" w:cs="宋体"/>
                <w:color w:val="auto"/>
                <w:sz w:val="18"/>
                <w:szCs w:val="18"/>
                <w:highlight w:val="none"/>
              </w:rPr>
            </w:pPr>
          </w:p>
        </w:tc>
        <w:tc>
          <w:tcPr>
            <w:tcW w:w="1890" w:type="dxa"/>
          </w:tcPr>
          <w:p w14:paraId="67A510E7">
            <w:pPr>
              <w:spacing w:line="380" w:lineRule="exact"/>
              <w:jc w:val="left"/>
              <w:rPr>
                <w:rFonts w:ascii="宋体" w:hAnsi="宋体" w:eastAsia="宋体" w:cs="宋体"/>
                <w:color w:val="auto"/>
                <w:sz w:val="18"/>
                <w:szCs w:val="18"/>
                <w:highlight w:val="none"/>
              </w:rPr>
            </w:pPr>
            <w:r>
              <w:rPr>
                <w:rFonts w:hint="eastAsia" w:ascii="宋体" w:hAnsi="宋体" w:eastAsia="宋体" w:cs="宋体"/>
                <w:color w:val="auto"/>
                <w:sz w:val="18"/>
                <w:szCs w:val="18"/>
                <w:highlight w:val="none"/>
              </w:rPr>
              <w:t>3.瓶装水（小瓶）</w:t>
            </w:r>
          </w:p>
          <w:p w14:paraId="2B40BF42">
            <w:pPr>
              <w:spacing w:line="380" w:lineRule="exact"/>
              <w:jc w:val="left"/>
              <w:rPr>
                <w:rFonts w:ascii="宋体" w:hAnsi="宋体" w:eastAsia="宋体" w:cs="宋体"/>
                <w:color w:val="auto"/>
                <w:sz w:val="18"/>
                <w:szCs w:val="18"/>
                <w:highlight w:val="none"/>
              </w:rPr>
            </w:pPr>
            <w:r>
              <w:rPr>
                <w:rFonts w:hint="eastAsia" w:ascii="宋体" w:hAnsi="宋体" w:eastAsia="宋体" w:cs="宋体"/>
                <w:color w:val="auto"/>
                <w:sz w:val="18"/>
                <w:szCs w:val="18"/>
                <w:highlight w:val="none"/>
              </w:rPr>
              <w:t>价格分</w:t>
            </w:r>
          </w:p>
        </w:tc>
        <w:tc>
          <w:tcPr>
            <w:tcW w:w="795" w:type="dxa"/>
          </w:tcPr>
          <w:p w14:paraId="2019D139">
            <w:pPr>
              <w:spacing w:line="380" w:lineRule="exact"/>
              <w:jc w:val="left"/>
              <w:rPr>
                <w:rFonts w:ascii="宋体" w:hAnsi="宋体" w:eastAsia="宋体" w:cs="宋体"/>
                <w:color w:val="auto"/>
                <w:sz w:val="18"/>
                <w:szCs w:val="18"/>
                <w:highlight w:val="none"/>
              </w:rPr>
            </w:pPr>
            <w:r>
              <w:rPr>
                <w:rFonts w:hint="eastAsia" w:ascii="宋体" w:hAnsi="宋体" w:eastAsia="宋体" w:cs="宋体"/>
                <w:color w:val="auto"/>
                <w:sz w:val="18"/>
                <w:szCs w:val="18"/>
                <w:highlight w:val="none"/>
                <w:lang w:val="en-US" w:eastAsia="zh-CN"/>
              </w:rPr>
              <w:t>4</w:t>
            </w:r>
            <w:r>
              <w:rPr>
                <w:rFonts w:hint="eastAsia" w:ascii="宋体" w:hAnsi="宋体" w:eastAsia="宋体" w:cs="宋体"/>
                <w:color w:val="auto"/>
                <w:sz w:val="18"/>
                <w:szCs w:val="18"/>
                <w:highlight w:val="none"/>
              </w:rPr>
              <w:t>分</w:t>
            </w:r>
          </w:p>
        </w:tc>
        <w:tc>
          <w:tcPr>
            <w:tcW w:w="5025" w:type="dxa"/>
          </w:tcPr>
          <w:p w14:paraId="37CDFF96">
            <w:pPr>
              <w:jc w:val="left"/>
              <w:rPr>
                <w:rFonts w:hint="eastAsia" w:hAnsi="Cambria Math" w:eastAsiaTheme="minorEastAsia"/>
                <w:color w:val="auto"/>
                <w:szCs w:val="21"/>
                <w:highlight w:val="none"/>
                <w:lang w:eastAsia="zh-CN"/>
              </w:rPr>
            </w:pPr>
            <w:r>
              <w:rPr>
                <w:rFonts w:hint="eastAsia" w:ascii="宋体" w:hAnsi="宋体" w:eastAsia="宋体" w:cs="宋体"/>
                <w:color w:val="auto"/>
                <w:sz w:val="18"/>
                <w:szCs w:val="18"/>
                <w:highlight w:val="none"/>
              </w:rPr>
              <w:t xml:space="preserve">价格分 = </w:t>
            </w:r>
            <m:oMath>
              <m:f>
                <m:fPr>
                  <m:ctrlPr>
                    <w:rPr>
                      <w:rFonts w:ascii="Cambria Math" w:hAnsi="Cambria Math"/>
                      <w:i/>
                      <w:color w:val="auto"/>
                      <w:sz w:val="28"/>
                      <w:szCs w:val="28"/>
                      <w:highlight w:val="none"/>
                    </w:rPr>
                  </m:ctrlPr>
                </m:fPr>
                <m:num>
                  <m:r>
                    <m:rPr>
                      <m:sty m:val="p"/>
                    </m:rPr>
                    <w:rPr>
                      <w:rFonts w:hint="eastAsia" w:ascii="宋体" w:hAnsi="宋体" w:eastAsia="宋体" w:cs="宋体"/>
                      <w:color w:val="auto"/>
                      <w:sz w:val="28"/>
                      <w:szCs w:val="28"/>
                      <w:highlight w:val="none"/>
                    </w:rPr>
                    <m:t>所有供应商中</m:t>
                  </m:r>
                  <m:r>
                    <m:rPr>
                      <m:sty m:val="p"/>
                    </m:rPr>
                    <w:rPr>
                      <w:rFonts w:hint="eastAsia" w:ascii="Cambria Math" w:hAnsi="Cambria Math" w:eastAsia="宋体" w:cs="宋体"/>
                      <w:color w:val="auto"/>
                      <w:sz w:val="28"/>
                      <w:szCs w:val="28"/>
                      <w:highlight w:val="none"/>
                    </w:rPr>
                    <m:t>瓶装水（小瓶）</m:t>
                  </m:r>
                  <m:r>
                    <m:rPr>
                      <m:sty m:val="p"/>
                    </m:rPr>
                    <w:rPr>
                      <w:rFonts w:hint="eastAsia" w:ascii="宋体" w:hAnsi="宋体" w:eastAsia="宋体" w:cs="宋体"/>
                      <w:color w:val="auto"/>
                      <w:sz w:val="28"/>
                      <w:szCs w:val="28"/>
                      <w:highlight w:val="none"/>
                    </w:rPr>
                    <m:t>最低价</m:t>
                  </m:r>
                  <m:ctrlPr>
                    <w:rPr>
                      <w:rFonts w:ascii="Cambria Math" w:hAnsi="Cambria Math"/>
                      <w:i/>
                      <w:color w:val="auto"/>
                      <w:sz w:val="28"/>
                      <w:szCs w:val="28"/>
                      <w:highlight w:val="none"/>
                    </w:rPr>
                  </m:ctrlPr>
                </m:num>
                <m:den>
                  <m:r>
                    <m:rPr>
                      <m:sty m:val="p"/>
                    </m:rPr>
                    <w:rPr>
                      <w:rFonts w:hint="eastAsia" w:ascii="宋体" w:hAnsi="宋体" w:eastAsia="宋体" w:cs="宋体"/>
                      <w:color w:val="auto"/>
                      <w:sz w:val="28"/>
                      <w:szCs w:val="28"/>
                      <w:highlight w:val="none"/>
                    </w:rPr>
                    <m:t>该供应商</m:t>
                  </m:r>
                  <m:r>
                    <m:rPr>
                      <m:sty m:val="p"/>
                    </m:rPr>
                    <w:rPr>
                      <w:rFonts w:hint="eastAsia" w:ascii="Cambria Math" w:hAnsi="Cambria Math" w:eastAsia="宋体" w:cs="宋体"/>
                      <w:color w:val="auto"/>
                      <w:sz w:val="28"/>
                      <w:szCs w:val="28"/>
                      <w:highlight w:val="none"/>
                    </w:rPr>
                    <m:t>瓶装水（小瓶）</m:t>
                  </m:r>
                  <m:r>
                    <m:rPr>
                      <m:sty m:val="p"/>
                    </m:rPr>
                    <w:rPr>
                      <w:rFonts w:hint="eastAsia" w:ascii="宋体" w:hAnsi="宋体" w:eastAsia="宋体" w:cs="宋体"/>
                      <w:color w:val="auto"/>
                      <w:sz w:val="28"/>
                      <w:szCs w:val="28"/>
                      <w:highlight w:val="none"/>
                    </w:rPr>
                    <m:t>报价</m:t>
                  </m:r>
                  <m:ctrlPr>
                    <w:rPr>
                      <w:rFonts w:ascii="Cambria Math" w:hAnsi="Cambria Math"/>
                      <w:i/>
                      <w:color w:val="auto"/>
                      <w:sz w:val="28"/>
                      <w:szCs w:val="28"/>
                      <w:highlight w:val="none"/>
                    </w:rPr>
                  </m:ctrlPr>
                </m:den>
              </m:f>
            </m:oMath>
            <w:r>
              <w:rPr>
                <w:rFonts w:hint="eastAsia" w:hAnsi="Cambria Math"/>
                <w:color w:val="auto"/>
                <w:szCs w:val="21"/>
                <w:highlight w:val="none"/>
              </w:rPr>
              <w:t>×</w:t>
            </w:r>
            <w:r>
              <w:rPr>
                <w:rFonts w:hint="eastAsia" w:hAnsi="Cambria Math"/>
                <w:color w:val="auto"/>
                <w:szCs w:val="21"/>
                <w:highlight w:val="none"/>
                <w:lang w:val="en-US" w:eastAsia="zh-CN"/>
              </w:rPr>
              <w:t>4</w:t>
            </w:r>
          </w:p>
          <w:p w14:paraId="56DD6A3B">
            <w:pPr>
              <w:jc w:val="left"/>
              <w:rPr>
                <w:rFonts w:ascii="宋体" w:hAnsi="宋体" w:eastAsia="宋体" w:cs="宋体"/>
                <w:color w:val="auto"/>
                <w:sz w:val="18"/>
                <w:szCs w:val="18"/>
                <w:highlight w:val="none"/>
              </w:rPr>
            </w:pPr>
            <w:r>
              <w:rPr>
                <w:rFonts w:hint="eastAsia" w:ascii="宋体" w:hAnsi="宋体" w:eastAsia="宋体" w:cs="宋体"/>
                <w:color w:val="auto"/>
                <w:sz w:val="18"/>
                <w:szCs w:val="18"/>
                <w:highlight w:val="none"/>
              </w:rPr>
              <w:t>以所有供应商提供的最低</w:t>
            </w:r>
            <w:r>
              <w:rPr>
                <w:rFonts w:hint="eastAsia" w:ascii="宋体" w:hAnsi="宋体" w:eastAsia="宋体" w:cs="宋体"/>
                <w:color w:val="auto"/>
                <w:sz w:val="18"/>
                <w:szCs w:val="18"/>
                <w:highlight w:val="none"/>
                <w:lang w:val="en-US" w:eastAsia="zh-CN"/>
              </w:rPr>
              <w:t>有效报价</w:t>
            </w:r>
            <w:r>
              <w:rPr>
                <w:rFonts w:hint="eastAsia" w:ascii="宋体" w:hAnsi="宋体" w:eastAsia="宋体" w:cs="宋体"/>
                <w:color w:val="auto"/>
                <w:sz w:val="18"/>
                <w:szCs w:val="18"/>
                <w:highlight w:val="none"/>
              </w:rPr>
              <w:t>为满分</w:t>
            </w:r>
          </w:p>
        </w:tc>
      </w:tr>
      <w:tr w14:paraId="0275E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8" w:type="dxa"/>
            <w:vMerge w:val="continue"/>
          </w:tcPr>
          <w:p w14:paraId="0D9BA2EB">
            <w:pPr>
              <w:spacing w:line="380" w:lineRule="exact"/>
              <w:jc w:val="left"/>
              <w:rPr>
                <w:rFonts w:ascii="宋体" w:hAnsi="宋体" w:eastAsia="宋体" w:cs="宋体"/>
                <w:color w:val="auto"/>
                <w:sz w:val="18"/>
                <w:szCs w:val="18"/>
                <w:highlight w:val="none"/>
              </w:rPr>
            </w:pPr>
          </w:p>
        </w:tc>
        <w:tc>
          <w:tcPr>
            <w:tcW w:w="1890" w:type="dxa"/>
          </w:tcPr>
          <w:p w14:paraId="742B5D5A">
            <w:pPr>
              <w:spacing w:line="380" w:lineRule="exact"/>
              <w:jc w:val="left"/>
              <w:rPr>
                <w:rFonts w:ascii="宋体" w:hAnsi="宋体" w:eastAsia="宋体" w:cs="宋体"/>
                <w:color w:val="auto"/>
                <w:sz w:val="18"/>
                <w:szCs w:val="18"/>
                <w:highlight w:val="none"/>
              </w:rPr>
            </w:pPr>
            <w:r>
              <w:rPr>
                <w:rFonts w:hint="eastAsia" w:ascii="宋体" w:hAnsi="宋体" w:eastAsia="宋体" w:cs="宋体"/>
                <w:color w:val="auto"/>
                <w:sz w:val="18"/>
                <w:szCs w:val="18"/>
                <w:highlight w:val="none"/>
              </w:rPr>
              <w:t>4.瓶装水（中瓶）</w:t>
            </w:r>
          </w:p>
          <w:p w14:paraId="7331CB99">
            <w:pPr>
              <w:spacing w:line="380" w:lineRule="exact"/>
              <w:jc w:val="left"/>
              <w:rPr>
                <w:rFonts w:ascii="宋体" w:hAnsi="宋体" w:eastAsia="宋体" w:cs="宋体"/>
                <w:color w:val="auto"/>
                <w:sz w:val="18"/>
                <w:szCs w:val="18"/>
                <w:highlight w:val="none"/>
              </w:rPr>
            </w:pPr>
            <w:r>
              <w:rPr>
                <w:rFonts w:hint="eastAsia" w:ascii="宋体" w:hAnsi="宋体" w:eastAsia="宋体" w:cs="宋体"/>
                <w:color w:val="auto"/>
                <w:sz w:val="18"/>
                <w:szCs w:val="18"/>
                <w:highlight w:val="none"/>
              </w:rPr>
              <w:t>价格分</w:t>
            </w:r>
          </w:p>
        </w:tc>
        <w:tc>
          <w:tcPr>
            <w:tcW w:w="795" w:type="dxa"/>
          </w:tcPr>
          <w:p w14:paraId="5160C796">
            <w:pPr>
              <w:spacing w:line="380" w:lineRule="exact"/>
              <w:jc w:val="left"/>
              <w:rPr>
                <w:rFonts w:ascii="宋体" w:hAnsi="宋体" w:eastAsia="宋体" w:cs="宋体"/>
                <w:color w:val="auto"/>
                <w:sz w:val="18"/>
                <w:szCs w:val="18"/>
                <w:highlight w:val="none"/>
              </w:rPr>
            </w:pPr>
            <w:r>
              <w:rPr>
                <w:rFonts w:hint="eastAsia" w:ascii="宋体" w:hAnsi="宋体" w:eastAsia="宋体" w:cs="宋体"/>
                <w:color w:val="auto"/>
                <w:sz w:val="18"/>
                <w:szCs w:val="18"/>
                <w:highlight w:val="none"/>
                <w:lang w:val="en-US" w:eastAsia="zh-CN"/>
              </w:rPr>
              <w:t>4</w:t>
            </w:r>
            <w:r>
              <w:rPr>
                <w:rFonts w:hint="eastAsia" w:ascii="宋体" w:hAnsi="宋体" w:eastAsia="宋体" w:cs="宋体"/>
                <w:color w:val="auto"/>
                <w:sz w:val="18"/>
                <w:szCs w:val="18"/>
                <w:highlight w:val="none"/>
              </w:rPr>
              <w:t>分</w:t>
            </w:r>
          </w:p>
        </w:tc>
        <w:tc>
          <w:tcPr>
            <w:tcW w:w="5025" w:type="dxa"/>
          </w:tcPr>
          <w:p w14:paraId="385E1D95">
            <w:pPr>
              <w:jc w:val="left"/>
              <w:rPr>
                <w:rFonts w:hint="eastAsia" w:hAnsi="Cambria Math" w:eastAsiaTheme="minorEastAsia"/>
                <w:color w:val="auto"/>
                <w:szCs w:val="21"/>
                <w:highlight w:val="none"/>
                <w:lang w:eastAsia="zh-CN"/>
              </w:rPr>
            </w:pPr>
            <w:r>
              <w:rPr>
                <w:rFonts w:hint="eastAsia" w:ascii="宋体" w:hAnsi="宋体" w:eastAsia="宋体" w:cs="宋体"/>
                <w:color w:val="auto"/>
                <w:sz w:val="18"/>
                <w:szCs w:val="18"/>
                <w:highlight w:val="none"/>
              </w:rPr>
              <w:t xml:space="preserve">价格分 = </w:t>
            </w:r>
            <m:oMath>
              <m:f>
                <m:fPr>
                  <m:ctrlPr>
                    <w:rPr>
                      <w:rFonts w:ascii="Cambria Math" w:hAnsi="Cambria Math"/>
                      <w:i/>
                      <w:color w:val="auto"/>
                      <w:sz w:val="28"/>
                      <w:szCs w:val="28"/>
                      <w:highlight w:val="none"/>
                    </w:rPr>
                  </m:ctrlPr>
                </m:fPr>
                <m:num>
                  <m:r>
                    <m:rPr>
                      <m:sty m:val="p"/>
                    </m:rPr>
                    <w:rPr>
                      <w:rFonts w:hint="eastAsia" w:ascii="宋体" w:hAnsi="宋体" w:eastAsia="宋体" w:cs="宋体"/>
                      <w:color w:val="auto"/>
                      <w:sz w:val="28"/>
                      <w:szCs w:val="28"/>
                      <w:highlight w:val="none"/>
                    </w:rPr>
                    <m:t>所有供应商中</m:t>
                  </m:r>
                  <m:r>
                    <m:rPr>
                      <m:sty m:val="p"/>
                    </m:rPr>
                    <w:rPr>
                      <w:rFonts w:hint="eastAsia" w:ascii="Cambria Math" w:hAnsi="Cambria Math" w:eastAsia="宋体" w:cs="宋体"/>
                      <w:color w:val="auto"/>
                      <w:sz w:val="28"/>
                      <w:szCs w:val="28"/>
                      <w:highlight w:val="none"/>
                    </w:rPr>
                    <m:t>瓶装水（中瓶）</m:t>
                  </m:r>
                  <m:r>
                    <m:rPr>
                      <m:sty m:val="p"/>
                    </m:rPr>
                    <w:rPr>
                      <w:rFonts w:hint="eastAsia" w:ascii="宋体" w:hAnsi="宋体" w:eastAsia="宋体" w:cs="宋体"/>
                      <w:color w:val="auto"/>
                      <w:sz w:val="28"/>
                      <w:szCs w:val="28"/>
                      <w:highlight w:val="none"/>
                    </w:rPr>
                    <m:t>最低价</m:t>
                  </m:r>
                  <m:ctrlPr>
                    <w:rPr>
                      <w:rFonts w:ascii="Cambria Math" w:hAnsi="Cambria Math"/>
                      <w:i/>
                      <w:color w:val="auto"/>
                      <w:sz w:val="28"/>
                      <w:szCs w:val="28"/>
                      <w:highlight w:val="none"/>
                    </w:rPr>
                  </m:ctrlPr>
                </m:num>
                <m:den>
                  <m:r>
                    <m:rPr>
                      <m:sty m:val="p"/>
                    </m:rPr>
                    <w:rPr>
                      <w:rFonts w:hint="eastAsia" w:ascii="宋体" w:hAnsi="宋体" w:eastAsia="宋体" w:cs="宋体"/>
                      <w:color w:val="auto"/>
                      <w:sz w:val="28"/>
                      <w:szCs w:val="28"/>
                      <w:highlight w:val="none"/>
                    </w:rPr>
                    <m:t>该供应商</m:t>
                  </m:r>
                  <m:r>
                    <m:rPr>
                      <m:sty m:val="p"/>
                    </m:rPr>
                    <w:rPr>
                      <w:rFonts w:hint="eastAsia" w:ascii="Cambria Math" w:hAnsi="Cambria Math" w:eastAsia="宋体" w:cs="宋体"/>
                      <w:color w:val="auto"/>
                      <w:sz w:val="28"/>
                      <w:szCs w:val="28"/>
                      <w:highlight w:val="none"/>
                    </w:rPr>
                    <m:t>瓶装水（中瓶）</m:t>
                  </m:r>
                  <m:r>
                    <m:rPr>
                      <m:sty m:val="p"/>
                    </m:rPr>
                    <w:rPr>
                      <w:rFonts w:hint="eastAsia" w:ascii="宋体" w:hAnsi="宋体" w:eastAsia="宋体" w:cs="宋体"/>
                      <w:color w:val="auto"/>
                      <w:sz w:val="28"/>
                      <w:szCs w:val="28"/>
                      <w:highlight w:val="none"/>
                    </w:rPr>
                    <m:t>报价</m:t>
                  </m:r>
                  <m:ctrlPr>
                    <w:rPr>
                      <w:rFonts w:ascii="Cambria Math" w:hAnsi="Cambria Math"/>
                      <w:i/>
                      <w:color w:val="auto"/>
                      <w:sz w:val="28"/>
                      <w:szCs w:val="28"/>
                      <w:highlight w:val="none"/>
                    </w:rPr>
                  </m:ctrlPr>
                </m:den>
              </m:f>
            </m:oMath>
            <w:r>
              <w:rPr>
                <w:rFonts w:hint="eastAsia" w:hAnsi="Cambria Math"/>
                <w:color w:val="auto"/>
                <w:szCs w:val="21"/>
                <w:highlight w:val="none"/>
              </w:rPr>
              <w:t>×</w:t>
            </w:r>
            <w:r>
              <w:rPr>
                <w:rFonts w:hint="eastAsia" w:hAnsi="Cambria Math"/>
                <w:color w:val="auto"/>
                <w:szCs w:val="21"/>
                <w:highlight w:val="none"/>
                <w:lang w:val="en-US" w:eastAsia="zh-CN"/>
              </w:rPr>
              <w:t>4</w:t>
            </w:r>
          </w:p>
          <w:p w14:paraId="5E3AC1C9">
            <w:pPr>
              <w:jc w:val="left"/>
              <w:rPr>
                <w:rFonts w:ascii="宋体" w:hAnsi="宋体" w:eastAsia="宋体" w:cs="宋体"/>
                <w:color w:val="auto"/>
                <w:sz w:val="18"/>
                <w:szCs w:val="18"/>
                <w:highlight w:val="none"/>
              </w:rPr>
            </w:pPr>
            <w:r>
              <w:rPr>
                <w:rFonts w:hint="eastAsia" w:ascii="宋体" w:hAnsi="宋体" w:eastAsia="宋体" w:cs="宋体"/>
                <w:color w:val="auto"/>
                <w:sz w:val="18"/>
                <w:szCs w:val="18"/>
                <w:highlight w:val="none"/>
              </w:rPr>
              <w:t>以所有供应商提供的最低</w:t>
            </w:r>
            <w:r>
              <w:rPr>
                <w:rFonts w:hint="eastAsia" w:ascii="宋体" w:hAnsi="宋体" w:eastAsia="宋体" w:cs="宋体"/>
                <w:color w:val="auto"/>
                <w:sz w:val="18"/>
                <w:szCs w:val="18"/>
                <w:highlight w:val="none"/>
                <w:lang w:val="en-US" w:eastAsia="zh-CN"/>
              </w:rPr>
              <w:t>有效报价</w:t>
            </w:r>
            <w:r>
              <w:rPr>
                <w:rFonts w:hint="eastAsia" w:ascii="宋体" w:hAnsi="宋体" w:eastAsia="宋体" w:cs="宋体"/>
                <w:color w:val="auto"/>
                <w:sz w:val="18"/>
                <w:szCs w:val="18"/>
                <w:highlight w:val="none"/>
              </w:rPr>
              <w:t>为满分</w:t>
            </w:r>
          </w:p>
        </w:tc>
      </w:tr>
      <w:tr w14:paraId="63339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8" w:type="dxa"/>
            <w:vMerge w:val="restart"/>
          </w:tcPr>
          <w:p w14:paraId="56101396">
            <w:pPr>
              <w:spacing w:line="380" w:lineRule="exact"/>
              <w:jc w:val="center"/>
              <w:rPr>
                <w:rFonts w:ascii="宋体" w:hAnsi="宋体" w:eastAsia="宋体" w:cs="宋体"/>
                <w:color w:val="auto"/>
                <w:sz w:val="18"/>
                <w:szCs w:val="18"/>
                <w:highlight w:val="none"/>
              </w:rPr>
            </w:pPr>
            <w:r>
              <w:rPr>
                <w:rFonts w:hint="eastAsia" w:ascii="宋体" w:hAnsi="宋体" w:eastAsia="宋体" w:cs="宋体"/>
                <w:color w:val="auto"/>
                <w:sz w:val="18"/>
                <w:szCs w:val="18"/>
                <w:highlight w:val="none"/>
              </w:rPr>
              <w:t>技</w:t>
            </w:r>
          </w:p>
          <w:p w14:paraId="0E43319B">
            <w:pPr>
              <w:spacing w:line="380" w:lineRule="exact"/>
              <w:jc w:val="center"/>
              <w:rPr>
                <w:rFonts w:ascii="宋体" w:hAnsi="宋体" w:eastAsia="宋体" w:cs="宋体"/>
                <w:color w:val="auto"/>
                <w:sz w:val="18"/>
                <w:szCs w:val="18"/>
                <w:highlight w:val="none"/>
              </w:rPr>
            </w:pPr>
            <w:r>
              <w:rPr>
                <w:rFonts w:hint="eastAsia" w:ascii="宋体" w:hAnsi="宋体" w:eastAsia="宋体" w:cs="宋体"/>
                <w:color w:val="auto"/>
                <w:sz w:val="18"/>
                <w:szCs w:val="18"/>
                <w:highlight w:val="none"/>
              </w:rPr>
              <w:t>术</w:t>
            </w:r>
          </w:p>
          <w:p w14:paraId="71DF7D13">
            <w:pPr>
              <w:spacing w:line="380" w:lineRule="exact"/>
              <w:jc w:val="center"/>
              <w:rPr>
                <w:rFonts w:ascii="宋体" w:hAnsi="宋体" w:eastAsia="宋体" w:cs="宋体"/>
                <w:color w:val="auto"/>
                <w:sz w:val="18"/>
                <w:szCs w:val="18"/>
                <w:highlight w:val="none"/>
              </w:rPr>
            </w:pPr>
            <w:r>
              <w:rPr>
                <w:rFonts w:hint="eastAsia" w:ascii="宋体" w:hAnsi="宋体" w:eastAsia="宋体" w:cs="宋体"/>
                <w:color w:val="auto"/>
                <w:sz w:val="18"/>
                <w:szCs w:val="18"/>
                <w:highlight w:val="none"/>
              </w:rPr>
              <w:t>分</w:t>
            </w:r>
          </w:p>
          <w:p w14:paraId="343ED40C">
            <w:pPr>
              <w:spacing w:line="380" w:lineRule="exact"/>
              <w:jc w:val="center"/>
              <w:rPr>
                <w:rFonts w:ascii="宋体" w:hAnsi="宋体" w:eastAsia="宋体" w:cs="宋体"/>
                <w:color w:val="auto"/>
                <w:sz w:val="18"/>
                <w:szCs w:val="18"/>
                <w:highlight w:val="none"/>
              </w:rPr>
            </w:pPr>
            <w:r>
              <w:rPr>
                <w:rFonts w:hint="eastAsia" w:ascii="宋体" w:hAnsi="宋体" w:eastAsia="宋体" w:cs="宋体"/>
                <w:color w:val="auto"/>
                <w:sz w:val="18"/>
                <w:szCs w:val="18"/>
                <w:highlight w:val="none"/>
              </w:rPr>
              <w:t>（</w:t>
            </w:r>
            <w:r>
              <w:rPr>
                <w:rFonts w:hint="eastAsia" w:ascii="宋体" w:hAnsi="宋体" w:eastAsia="宋体" w:cs="宋体"/>
                <w:color w:val="auto"/>
                <w:sz w:val="18"/>
                <w:szCs w:val="18"/>
                <w:highlight w:val="none"/>
                <w:lang w:val="en-US" w:eastAsia="zh-CN"/>
              </w:rPr>
              <w:t>75</w:t>
            </w:r>
            <w:r>
              <w:rPr>
                <w:rFonts w:hint="eastAsia" w:ascii="宋体" w:hAnsi="宋体" w:eastAsia="宋体" w:cs="宋体"/>
                <w:color w:val="auto"/>
                <w:sz w:val="18"/>
                <w:szCs w:val="18"/>
                <w:highlight w:val="none"/>
              </w:rPr>
              <w:t>分）</w:t>
            </w:r>
          </w:p>
        </w:tc>
        <w:tc>
          <w:tcPr>
            <w:tcW w:w="1890" w:type="dxa"/>
          </w:tcPr>
          <w:p w14:paraId="722019D2">
            <w:pPr>
              <w:spacing w:line="380" w:lineRule="exact"/>
              <w:jc w:val="left"/>
              <w:rPr>
                <w:rFonts w:ascii="宋体" w:hAnsi="宋体" w:eastAsia="宋体" w:cs="宋体"/>
                <w:color w:val="auto"/>
                <w:sz w:val="18"/>
                <w:szCs w:val="18"/>
                <w:highlight w:val="none"/>
              </w:rPr>
            </w:pPr>
            <w:r>
              <w:rPr>
                <w:rFonts w:hint="eastAsia" w:ascii="宋体" w:hAnsi="宋体" w:eastAsia="宋体" w:cs="宋体"/>
                <w:color w:val="auto"/>
                <w:sz w:val="18"/>
                <w:szCs w:val="18"/>
                <w:highlight w:val="none"/>
              </w:rPr>
              <w:t>1.人员安排</w:t>
            </w:r>
          </w:p>
        </w:tc>
        <w:tc>
          <w:tcPr>
            <w:tcW w:w="795" w:type="dxa"/>
          </w:tcPr>
          <w:p w14:paraId="2CC44E80">
            <w:pPr>
              <w:spacing w:line="380" w:lineRule="exact"/>
              <w:jc w:val="left"/>
              <w:rPr>
                <w:rFonts w:ascii="宋体" w:hAnsi="宋体" w:eastAsia="宋体" w:cs="宋体"/>
                <w:color w:val="auto"/>
                <w:sz w:val="18"/>
                <w:szCs w:val="18"/>
                <w:highlight w:val="none"/>
              </w:rPr>
            </w:pPr>
            <w:r>
              <w:rPr>
                <w:rFonts w:hint="eastAsia" w:ascii="宋体" w:hAnsi="宋体" w:eastAsia="宋体" w:cs="宋体"/>
                <w:color w:val="auto"/>
                <w:sz w:val="18"/>
                <w:szCs w:val="18"/>
                <w:highlight w:val="none"/>
                <w:lang w:val="en-US" w:eastAsia="zh-CN"/>
              </w:rPr>
              <w:t>4</w:t>
            </w:r>
            <w:r>
              <w:rPr>
                <w:rFonts w:hint="eastAsia" w:ascii="宋体" w:hAnsi="宋体" w:eastAsia="宋体" w:cs="宋体"/>
                <w:color w:val="auto"/>
                <w:sz w:val="18"/>
                <w:szCs w:val="18"/>
                <w:highlight w:val="none"/>
              </w:rPr>
              <w:t>分</w:t>
            </w:r>
          </w:p>
        </w:tc>
        <w:tc>
          <w:tcPr>
            <w:tcW w:w="5025" w:type="dxa"/>
          </w:tcPr>
          <w:p w14:paraId="30152EAB">
            <w:pPr>
              <w:spacing w:line="380" w:lineRule="exact"/>
              <w:jc w:val="left"/>
              <w:rPr>
                <w:rFonts w:ascii="宋体" w:hAnsi="宋体" w:eastAsia="宋体" w:cs="宋体"/>
                <w:color w:val="auto"/>
                <w:sz w:val="18"/>
                <w:szCs w:val="18"/>
                <w:highlight w:val="none"/>
              </w:rPr>
            </w:pPr>
            <w:r>
              <w:rPr>
                <w:rFonts w:hint="eastAsia" w:ascii="宋体" w:hAnsi="宋体" w:eastAsia="宋体" w:cs="宋体"/>
                <w:color w:val="auto"/>
                <w:sz w:val="18"/>
                <w:szCs w:val="18"/>
                <w:highlight w:val="none"/>
              </w:rPr>
              <w:t>每个校区至少提供1名专职送水人员，在此基础上，</w:t>
            </w:r>
            <w:r>
              <w:rPr>
                <w:rFonts w:hint="eastAsia" w:ascii="宋体" w:hAnsi="宋体" w:eastAsia="宋体" w:cs="宋体"/>
                <w:color w:val="auto"/>
                <w:sz w:val="18"/>
                <w:szCs w:val="18"/>
                <w:highlight w:val="none"/>
                <w:lang w:val="en-US" w:eastAsia="zh-CN"/>
              </w:rPr>
              <w:t>每</w:t>
            </w:r>
            <w:r>
              <w:rPr>
                <w:rFonts w:hint="eastAsia" w:ascii="宋体" w:hAnsi="宋体" w:eastAsia="宋体" w:cs="宋体"/>
                <w:color w:val="auto"/>
                <w:sz w:val="18"/>
                <w:szCs w:val="18"/>
                <w:highlight w:val="none"/>
              </w:rPr>
              <w:t>个校区每增加1名专职送水人员</w:t>
            </w:r>
            <w:r>
              <w:rPr>
                <w:rFonts w:hint="eastAsia" w:ascii="宋体" w:hAnsi="宋体" w:eastAsia="宋体" w:cs="宋体"/>
                <w:color w:val="auto"/>
                <w:sz w:val="18"/>
                <w:szCs w:val="18"/>
                <w:highlight w:val="none"/>
                <w:lang w:val="en-US" w:eastAsia="zh-CN"/>
              </w:rPr>
              <w:t>得</w:t>
            </w:r>
            <w:r>
              <w:rPr>
                <w:rFonts w:hint="eastAsia" w:ascii="宋体" w:hAnsi="宋体" w:eastAsia="宋体" w:cs="宋体"/>
                <w:color w:val="auto"/>
                <w:sz w:val="18"/>
                <w:szCs w:val="18"/>
                <w:highlight w:val="none"/>
              </w:rPr>
              <w:t>1分，每个校区满分2分</w:t>
            </w:r>
            <w:r>
              <w:rPr>
                <w:rFonts w:hint="eastAsia" w:ascii="宋体" w:hAnsi="宋体" w:eastAsia="宋体" w:cs="宋体"/>
                <w:color w:val="auto"/>
                <w:sz w:val="18"/>
                <w:szCs w:val="18"/>
                <w:highlight w:val="none"/>
                <w:lang w:eastAsia="zh-CN"/>
              </w:rPr>
              <w:t>，</w:t>
            </w:r>
            <w:r>
              <w:rPr>
                <w:rFonts w:hint="eastAsia" w:ascii="宋体" w:hAnsi="宋体" w:eastAsia="宋体" w:cs="宋体"/>
                <w:color w:val="auto"/>
                <w:sz w:val="18"/>
                <w:szCs w:val="18"/>
                <w:highlight w:val="none"/>
                <w:lang w:val="en-US" w:eastAsia="zh-CN"/>
              </w:rPr>
              <w:t>本项</w:t>
            </w:r>
            <w:r>
              <w:rPr>
                <w:rFonts w:hint="eastAsia" w:ascii="宋体" w:hAnsi="宋体" w:eastAsia="宋体" w:cs="宋体"/>
                <w:color w:val="auto"/>
                <w:sz w:val="18"/>
                <w:szCs w:val="18"/>
                <w:highlight w:val="none"/>
              </w:rPr>
              <w:t>满分</w:t>
            </w:r>
            <w:r>
              <w:rPr>
                <w:rFonts w:hint="eastAsia" w:ascii="宋体" w:hAnsi="宋体" w:eastAsia="宋体" w:cs="宋体"/>
                <w:color w:val="auto"/>
                <w:sz w:val="18"/>
                <w:szCs w:val="18"/>
                <w:highlight w:val="none"/>
                <w:lang w:val="en-US" w:eastAsia="zh-CN"/>
              </w:rPr>
              <w:t>4</w:t>
            </w:r>
            <w:r>
              <w:rPr>
                <w:rFonts w:hint="eastAsia" w:ascii="宋体" w:hAnsi="宋体" w:eastAsia="宋体" w:cs="宋体"/>
                <w:color w:val="auto"/>
                <w:sz w:val="18"/>
                <w:szCs w:val="18"/>
                <w:highlight w:val="none"/>
              </w:rPr>
              <w:t>分。须提供身份证及劳动合同复印件，否则不得分。</w:t>
            </w:r>
          </w:p>
        </w:tc>
      </w:tr>
      <w:tr w14:paraId="67CB6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8" w:type="dxa"/>
            <w:vMerge w:val="continue"/>
          </w:tcPr>
          <w:p w14:paraId="3F70F764">
            <w:pPr>
              <w:spacing w:line="380" w:lineRule="exact"/>
              <w:jc w:val="center"/>
              <w:rPr>
                <w:rFonts w:ascii="宋体" w:hAnsi="宋体" w:eastAsia="宋体" w:cs="宋体"/>
                <w:color w:val="auto"/>
                <w:sz w:val="18"/>
                <w:szCs w:val="18"/>
                <w:highlight w:val="none"/>
              </w:rPr>
            </w:pPr>
          </w:p>
        </w:tc>
        <w:tc>
          <w:tcPr>
            <w:tcW w:w="1890" w:type="dxa"/>
          </w:tcPr>
          <w:p w14:paraId="58717EF4">
            <w:pPr>
              <w:spacing w:line="380" w:lineRule="exact"/>
              <w:jc w:val="left"/>
              <w:rPr>
                <w:rFonts w:ascii="宋体" w:hAnsi="宋体" w:eastAsia="宋体" w:cs="宋体"/>
                <w:color w:val="auto"/>
                <w:sz w:val="18"/>
                <w:szCs w:val="18"/>
                <w:highlight w:val="none"/>
              </w:rPr>
            </w:pPr>
            <w:r>
              <w:rPr>
                <w:rFonts w:hint="eastAsia" w:ascii="宋体" w:hAnsi="宋体" w:eastAsia="宋体" w:cs="宋体"/>
                <w:color w:val="auto"/>
                <w:sz w:val="18"/>
                <w:szCs w:val="18"/>
                <w:highlight w:val="none"/>
              </w:rPr>
              <w:t>2.响应时间</w:t>
            </w:r>
          </w:p>
        </w:tc>
        <w:tc>
          <w:tcPr>
            <w:tcW w:w="795" w:type="dxa"/>
          </w:tcPr>
          <w:p w14:paraId="42894B00">
            <w:pPr>
              <w:spacing w:line="380" w:lineRule="exact"/>
              <w:jc w:val="left"/>
              <w:rPr>
                <w:rFonts w:ascii="宋体" w:hAnsi="宋体" w:eastAsia="宋体" w:cs="宋体"/>
                <w:color w:val="auto"/>
                <w:sz w:val="18"/>
                <w:szCs w:val="18"/>
                <w:highlight w:val="none"/>
              </w:rPr>
            </w:pPr>
            <w:r>
              <w:rPr>
                <w:rFonts w:hint="eastAsia" w:ascii="宋体" w:hAnsi="宋体" w:eastAsia="宋体" w:cs="宋体"/>
                <w:color w:val="auto"/>
                <w:sz w:val="18"/>
                <w:szCs w:val="18"/>
                <w:highlight w:val="none"/>
              </w:rPr>
              <w:t>5分</w:t>
            </w:r>
          </w:p>
        </w:tc>
        <w:tc>
          <w:tcPr>
            <w:tcW w:w="5025" w:type="dxa"/>
          </w:tcPr>
          <w:p w14:paraId="0DA0396E">
            <w:pPr>
              <w:spacing w:line="380" w:lineRule="exact"/>
              <w:jc w:val="left"/>
              <w:rPr>
                <w:rFonts w:ascii="宋体" w:hAnsi="宋体" w:eastAsia="宋体" w:cs="宋体"/>
                <w:color w:val="auto"/>
                <w:sz w:val="18"/>
                <w:szCs w:val="18"/>
                <w:highlight w:val="none"/>
              </w:rPr>
            </w:pPr>
            <w:r>
              <w:rPr>
                <w:rFonts w:hint="eastAsia" w:ascii="宋体" w:hAnsi="宋体" w:eastAsia="宋体" w:cs="宋体"/>
                <w:color w:val="auto"/>
                <w:sz w:val="18"/>
                <w:szCs w:val="18"/>
                <w:highlight w:val="none"/>
                <w:lang w:val="en-US" w:eastAsia="zh-CN"/>
              </w:rPr>
              <w:t>配送</w:t>
            </w:r>
            <w:r>
              <w:rPr>
                <w:rFonts w:hint="eastAsia" w:ascii="宋体" w:hAnsi="宋体" w:eastAsia="宋体" w:cs="宋体"/>
                <w:color w:val="auto"/>
                <w:sz w:val="18"/>
                <w:szCs w:val="18"/>
                <w:highlight w:val="none"/>
              </w:rPr>
              <w:t>响应时间</w:t>
            </w:r>
            <w:r>
              <w:rPr>
                <w:rFonts w:hint="eastAsia" w:ascii="宋体" w:hAnsi="宋体" w:eastAsia="宋体" w:cs="宋体"/>
                <w:color w:val="auto"/>
                <w:sz w:val="18"/>
                <w:szCs w:val="18"/>
                <w:highlight w:val="none"/>
                <w:lang w:eastAsia="zh-CN"/>
              </w:rPr>
              <w:t>（</w:t>
            </w:r>
            <w:r>
              <w:rPr>
                <w:rFonts w:hint="eastAsia" w:ascii="宋体" w:hAnsi="宋体" w:eastAsia="宋体" w:cs="宋体"/>
                <w:color w:val="auto"/>
                <w:sz w:val="18"/>
                <w:szCs w:val="18"/>
                <w:highlight w:val="none"/>
              </w:rPr>
              <w:t>从接单到配送到用户处的时间在3小时以内</w:t>
            </w:r>
            <w:r>
              <w:rPr>
                <w:rFonts w:hint="eastAsia" w:ascii="宋体" w:hAnsi="宋体" w:eastAsia="宋体" w:cs="宋体"/>
                <w:color w:val="auto"/>
                <w:sz w:val="18"/>
                <w:szCs w:val="18"/>
                <w:highlight w:val="none"/>
                <w:lang w:eastAsia="zh-CN"/>
              </w:rPr>
              <w:t>）</w:t>
            </w:r>
            <w:r>
              <w:rPr>
                <w:rFonts w:hint="eastAsia" w:ascii="宋体" w:hAnsi="宋体" w:eastAsia="宋体" w:cs="宋体"/>
                <w:color w:val="auto"/>
                <w:sz w:val="18"/>
                <w:szCs w:val="18"/>
                <w:highlight w:val="none"/>
              </w:rPr>
              <w:t>不超过3小时，在3小时基础上每减少0.5小时得1分，满分5分。</w:t>
            </w:r>
          </w:p>
        </w:tc>
      </w:tr>
      <w:tr w14:paraId="4A810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8" w:type="dxa"/>
            <w:vMerge w:val="continue"/>
          </w:tcPr>
          <w:p w14:paraId="740D7F8F">
            <w:pPr>
              <w:spacing w:line="380" w:lineRule="exact"/>
              <w:jc w:val="center"/>
              <w:rPr>
                <w:rFonts w:ascii="宋体" w:hAnsi="宋体" w:eastAsia="宋体" w:cs="宋体"/>
                <w:color w:val="auto"/>
                <w:sz w:val="18"/>
                <w:szCs w:val="18"/>
                <w:highlight w:val="none"/>
              </w:rPr>
            </w:pPr>
          </w:p>
        </w:tc>
        <w:tc>
          <w:tcPr>
            <w:tcW w:w="1890" w:type="dxa"/>
          </w:tcPr>
          <w:p w14:paraId="5AAF22A4">
            <w:pPr>
              <w:spacing w:line="380" w:lineRule="exact"/>
              <w:jc w:val="left"/>
              <w:rPr>
                <w:rFonts w:ascii="宋体" w:hAnsi="宋体" w:eastAsia="宋体" w:cs="宋体"/>
                <w:color w:val="auto"/>
                <w:sz w:val="18"/>
                <w:szCs w:val="18"/>
                <w:highlight w:val="none"/>
              </w:rPr>
            </w:pPr>
            <w:r>
              <w:rPr>
                <w:rFonts w:hint="eastAsia" w:ascii="宋体" w:hAnsi="宋体" w:eastAsia="宋体" w:cs="宋体"/>
                <w:color w:val="auto"/>
                <w:sz w:val="18"/>
                <w:szCs w:val="18"/>
                <w:highlight w:val="none"/>
              </w:rPr>
              <w:t>3.服务方案</w:t>
            </w:r>
          </w:p>
        </w:tc>
        <w:tc>
          <w:tcPr>
            <w:tcW w:w="795" w:type="dxa"/>
          </w:tcPr>
          <w:p w14:paraId="478CD727">
            <w:pPr>
              <w:spacing w:line="380" w:lineRule="exact"/>
              <w:jc w:val="left"/>
              <w:rPr>
                <w:rFonts w:ascii="宋体" w:hAnsi="宋体" w:eastAsia="宋体" w:cs="宋体"/>
                <w:color w:val="auto"/>
                <w:sz w:val="18"/>
                <w:szCs w:val="18"/>
                <w:highlight w:val="none"/>
              </w:rPr>
            </w:pPr>
            <w:r>
              <w:rPr>
                <w:rFonts w:hint="eastAsia" w:ascii="宋体" w:hAnsi="宋体" w:eastAsia="宋体" w:cs="宋体"/>
                <w:color w:val="auto"/>
                <w:sz w:val="18"/>
                <w:szCs w:val="18"/>
                <w:highlight w:val="none"/>
              </w:rPr>
              <w:t>30分</w:t>
            </w:r>
          </w:p>
        </w:tc>
        <w:tc>
          <w:tcPr>
            <w:tcW w:w="5025" w:type="dxa"/>
          </w:tcPr>
          <w:p w14:paraId="552A6BA8">
            <w:pPr>
              <w:spacing w:line="380" w:lineRule="exact"/>
              <w:jc w:val="left"/>
              <w:rPr>
                <w:rFonts w:ascii="宋体" w:hAnsi="宋体" w:eastAsia="宋体" w:cs="宋体"/>
                <w:color w:val="auto"/>
                <w:sz w:val="18"/>
                <w:szCs w:val="18"/>
                <w:highlight w:val="none"/>
              </w:rPr>
            </w:pPr>
            <w:r>
              <w:rPr>
                <w:rFonts w:hint="eastAsia" w:ascii="宋体" w:hAnsi="宋体" w:eastAsia="宋体" w:cs="宋体"/>
                <w:color w:val="auto"/>
                <w:sz w:val="18"/>
                <w:szCs w:val="18"/>
                <w:highlight w:val="none"/>
              </w:rPr>
              <w:t>从以下三个方面进行打分：</w:t>
            </w:r>
          </w:p>
          <w:p w14:paraId="09BA1962">
            <w:pPr>
              <w:spacing w:line="380" w:lineRule="exact"/>
              <w:jc w:val="left"/>
              <w:rPr>
                <w:rFonts w:ascii="宋体" w:hAnsi="宋体" w:eastAsia="宋体" w:cs="宋体"/>
                <w:color w:val="auto"/>
                <w:sz w:val="18"/>
                <w:szCs w:val="18"/>
                <w:highlight w:val="none"/>
                <w:u w:val="single"/>
              </w:rPr>
            </w:pPr>
            <w:r>
              <w:rPr>
                <w:rFonts w:hint="eastAsia" w:ascii="宋体" w:hAnsi="宋体" w:eastAsia="宋体" w:cs="宋体"/>
                <w:color w:val="auto"/>
                <w:sz w:val="18"/>
                <w:szCs w:val="18"/>
                <w:highlight w:val="none"/>
                <w:u w:val="single"/>
              </w:rPr>
              <w:t>①供货保障方案（10分）</w:t>
            </w:r>
          </w:p>
          <w:p w14:paraId="3E9733EC">
            <w:pPr>
              <w:spacing w:line="380" w:lineRule="exact"/>
              <w:jc w:val="left"/>
              <w:rPr>
                <w:rFonts w:ascii="宋体" w:hAnsi="宋体" w:eastAsia="宋体" w:cs="宋体"/>
                <w:color w:val="auto"/>
                <w:sz w:val="18"/>
                <w:szCs w:val="18"/>
                <w:highlight w:val="none"/>
              </w:rPr>
            </w:pPr>
            <w:r>
              <w:rPr>
                <w:rFonts w:hint="eastAsia" w:ascii="宋体" w:hAnsi="宋体" w:eastAsia="宋体" w:cs="宋体"/>
                <w:color w:val="auto"/>
                <w:sz w:val="18"/>
                <w:szCs w:val="18"/>
                <w:highlight w:val="none"/>
              </w:rPr>
              <w:t>一档（4分）：供应计划内容不完整，库存管理或应急措施描述不清或缺失，缺乏可操作性。</w:t>
            </w:r>
          </w:p>
          <w:p w14:paraId="05CAC9B7">
            <w:pPr>
              <w:spacing w:line="380" w:lineRule="exact"/>
              <w:jc w:val="left"/>
              <w:rPr>
                <w:rFonts w:ascii="宋体" w:hAnsi="宋体" w:eastAsia="宋体" w:cs="宋体"/>
                <w:color w:val="auto"/>
                <w:sz w:val="18"/>
                <w:szCs w:val="18"/>
                <w:highlight w:val="none"/>
              </w:rPr>
            </w:pPr>
            <w:r>
              <w:rPr>
                <w:rFonts w:hint="eastAsia" w:ascii="宋体" w:hAnsi="宋体" w:eastAsia="宋体" w:cs="宋体"/>
                <w:color w:val="auto"/>
                <w:sz w:val="18"/>
                <w:szCs w:val="18"/>
                <w:highlight w:val="none"/>
              </w:rPr>
              <w:t>二档（7分）：有基本的供应计划、库存管理和应急措施，但内容较为笼统，针对性一般，部分环节缺乏具体操作说明。</w:t>
            </w:r>
          </w:p>
          <w:p w14:paraId="2CE93075">
            <w:pPr>
              <w:spacing w:line="380" w:lineRule="exact"/>
              <w:jc w:val="left"/>
              <w:rPr>
                <w:rFonts w:ascii="宋体" w:hAnsi="宋体" w:eastAsia="宋体" w:cs="宋体"/>
                <w:color w:val="auto"/>
                <w:sz w:val="18"/>
                <w:szCs w:val="18"/>
                <w:highlight w:val="none"/>
              </w:rPr>
            </w:pPr>
            <w:r>
              <w:rPr>
                <w:rFonts w:hint="eastAsia" w:ascii="宋体" w:hAnsi="宋体" w:eastAsia="宋体" w:cs="宋体"/>
                <w:color w:val="auto"/>
                <w:sz w:val="18"/>
                <w:szCs w:val="18"/>
                <w:highlight w:val="none"/>
              </w:rPr>
              <w:t>三档（10分）：供应计划内容完整、逻辑清晰，有明确的水源供应渠道和稳定的供货能力保障；库存管理制度健全，有合理的备货计划；应急备选方案具体可行，对货源紧张、运输中断等突发情况均有应对措施。</w:t>
            </w:r>
          </w:p>
          <w:p w14:paraId="5E0CE4F4">
            <w:pPr>
              <w:spacing w:line="380" w:lineRule="exact"/>
              <w:jc w:val="left"/>
              <w:rPr>
                <w:rFonts w:ascii="宋体" w:hAnsi="宋体" w:eastAsia="宋体" w:cs="宋体"/>
                <w:color w:val="auto"/>
                <w:sz w:val="18"/>
                <w:szCs w:val="18"/>
                <w:highlight w:val="none"/>
                <w:u w:val="single"/>
              </w:rPr>
            </w:pPr>
            <w:r>
              <w:rPr>
                <w:rFonts w:hint="eastAsia" w:ascii="宋体" w:hAnsi="宋体" w:eastAsia="宋体" w:cs="宋体"/>
                <w:color w:val="auto"/>
                <w:sz w:val="18"/>
                <w:szCs w:val="18"/>
                <w:highlight w:val="none"/>
                <w:u w:val="single"/>
              </w:rPr>
              <w:t>②质量保障方案（10分）</w:t>
            </w:r>
          </w:p>
          <w:p w14:paraId="76BD0274">
            <w:pPr>
              <w:spacing w:line="380" w:lineRule="exact"/>
              <w:jc w:val="left"/>
              <w:rPr>
                <w:rFonts w:ascii="宋体" w:hAnsi="宋体" w:eastAsia="宋体" w:cs="宋体"/>
                <w:color w:val="auto"/>
                <w:sz w:val="18"/>
                <w:szCs w:val="18"/>
                <w:highlight w:val="none"/>
              </w:rPr>
            </w:pPr>
            <w:r>
              <w:rPr>
                <w:rFonts w:hint="eastAsia" w:ascii="宋体" w:hAnsi="宋体" w:eastAsia="宋体" w:cs="宋体"/>
                <w:color w:val="auto"/>
                <w:sz w:val="18"/>
                <w:szCs w:val="18"/>
                <w:highlight w:val="none"/>
              </w:rPr>
              <w:t>一档（4分）：质量控制措施描述模糊或缺失，无追溯机制，质量问题处理方式不明确。</w:t>
            </w:r>
          </w:p>
          <w:p w14:paraId="02116DCD">
            <w:pPr>
              <w:spacing w:line="380" w:lineRule="exact"/>
              <w:jc w:val="left"/>
              <w:rPr>
                <w:rFonts w:ascii="宋体" w:hAnsi="宋体" w:eastAsia="宋体" w:cs="宋体"/>
                <w:color w:val="auto"/>
                <w:sz w:val="18"/>
                <w:szCs w:val="18"/>
                <w:highlight w:val="none"/>
              </w:rPr>
            </w:pPr>
            <w:r>
              <w:rPr>
                <w:rFonts w:hint="eastAsia" w:ascii="宋体" w:hAnsi="宋体" w:eastAsia="宋体" w:cs="宋体"/>
                <w:color w:val="auto"/>
                <w:sz w:val="18"/>
                <w:szCs w:val="18"/>
                <w:highlight w:val="none"/>
              </w:rPr>
              <w:t>二档（7分）：有基本的质量控制措施和质量问题处理流程，但未覆盖全流程或内容不够具体，追溯机制不够清晰。</w:t>
            </w:r>
          </w:p>
          <w:p w14:paraId="133EE9C1">
            <w:pPr>
              <w:spacing w:line="380" w:lineRule="exact"/>
              <w:jc w:val="left"/>
              <w:rPr>
                <w:rFonts w:ascii="宋体" w:hAnsi="宋体" w:eastAsia="宋体" w:cs="宋体"/>
                <w:color w:val="auto"/>
                <w:sz w:val="18"/>
                <w:szCs w:val="18"/>
                <w:highlight w:val="none"/>
              </w:rPr>
            </w:pPr>
            <w:r>
              <w:rPr>
                <w:rFonts w:hint="eastAsia" w:ascii="宋体" w:hAnsi="宋体" w:eastAsia="宋体" w:cs="宋体"/>
                <w:color w:val="auto"/>
                <w:sz w:val="18"/>
                <w:szCs w:val="18"/>
                <w:highlight w:val="none"/>
              </w:rPr>
              <w:t>三档（10分）：质量控制措施覆盖生产、运输、存储全流程，有明确的产品检验标准和流程；建立了完善的问题追溯机制，对质量问题能准确追溯至具体批次；对质量投诉或不合格产品有明确的处理流程和责任承担方式。</w:t>
            </w:r>
          </w:p>
          <w:p w14:paraId="44580D31">
            <w:pPr>
              <w:spacing w:line="380" w:lineRule="exact"/>
              <w:jc w:val="left"/>
              <w:rPr>
                <w:rFonts w:ascii="宋体" w:hAnsi="宋体" w:eastAsia="宋体" w:cs="宋体"/>
                <w:color w:val="auto"/>
                <w:sz w:val="18"/>
                <w:szCs w:val="18"/>
                <w:highlight w:val="none"/>
                <w:u w:val="single"/>
              </w:rPr>
            </w:pPr>
            <w:r>
              <w:rPr>
                <w:rFonts w:hint="eastAsia" w:ascii="宋体" w:hAnsi="宋体" w:eastAsia="宋体" w:cs="宋体"/>
                <w:color w:val="auto"/>
                <w:sz w:val="18"/>
                <w:szCs w:val="18"/>
                <w:highlight w:val="none"/>
                <w:u w:val="single"/>
              </w:rPr>
              <w:t>③应急服务方案（10分）</w:t>
            </w:r>
          </w:p>
          <w:p w14:paraId="524273C2">
            <w:pPr>
              <w:spacing w:line="380" w:lineRule="exact"/>
              <w:jc w:val="left"/>
              <w:rPr>
                <w:rFonts w:ascii="宋体" w:hAnsi="宋体" w:eastAsia="宋体" w:cs="宋体"/>
                <w:color w:val="auto"/>
                <w:sz w:val="18"/>
                <w:szCs w:val="18"/>
                <w:highlight w:val="none"/>
              </w:rPr>
            </w:pPr>
            <w:r>
              <w:rPr>
                <w:rFonts w:hint="eastAsia" w:ascii="宋体" w:hAnsi="宋体" w:eastAsia="宋体" w:cs="宋体"/>
                <w:color w:val="auto"/>
                <w:sz w:val="18"/>
                <w:szCs w:val="18"/>
                <w:highlight w:val="none"/>
              </w:rPr>
              <w:t>一档（4分）：应急方案内容缺失或空泛，无可操作性。</w:t>
            </w:r>
          </w:p>
          <w:p w14:paraId="32E2C657">
            <w:pPr>
              <w:spacing w:line="380" w:lineRule="exact"/>
              <w:jc w:val="left"/>
              <w:rPr>
                <w:rFonts w:ascii="宋体" w:hAnsi="宋体" w:eastAsia="宋体" w:cs="宋体"/>
                <w:color w:val="auto"/>
                <w:sz w:val="18"/>
                <w:szCs w:val="18"/>
                <w:highlight w:val="none"/>
              </w:rPr>
            </w:pPr>
            <w:r>
              <w:rPr>
                <w:rFonts w:hint="eastAsia" w:ascii="宋体" w:hAnsi="宋体" w:eastAsia="宋体" w:cs="宋体"/>
                <w:color w:val="auto"/>
                <w:sz w:val="18"/>
                <w:szCs w:val="18"/>
                <w:highlight w:val="none"/>
              </w:rPr>
              <w:t>二档（7分）：有基本的应急措施和响应流程，但预案内容不完整，部分紧急情况未覆盖或处理方式不够具体。</w:t>
            </w:r>
          </w:p>
          <w:p w14:paraId="0F4DFC97">
            <w:pPr>
              <w:spacing w:line="380" w:lineRule="exact"/>
              <w:jc w:val="left"/>
              <w:rPr>
                <w:rFonts w:ascii="宋体" w:hAnsi="宋体" w:eastAsia="宋体" w:cs="宋体"/>
                <w:color w:val="auto"/>
                <w:sz w:val="18"/>
                <w:szCs w:val="18"/>
                <w:highlight w:val="none"/>
              </w:rPr>
            </w:pPr>
            <w:r>
              <w:rPr>
                <w:rFonts w:hint="eastAsia" w:ascii="宋体" w:hAnsi="宋体" w:eastAsia="宋体" w:cs="宋体"/>
                <w:color w:val="auto"/>
                <w:sz w:val="18"/>
                <w:szCs w:val="18"/>
                <w:highlight w:val="none"/>
              </w:rPr>
              <w:t>三档（10分）：对突发大量用水（如学校大型活动）、配送设备故障、极端天气导致配送延误等紧急情况均有具体、可行的应对预案；预案中包含明确的启动条件、处理流程、责任人及替代方案，可操作性强。</w:t>
            </w:r>
          </w:p>
        </w:tc>
      </w:tr>
      <w:tr w14:paraId="40B64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8" w:hRule="atLeast"/>
        </w:trPr>
        <w:tc>
          <w:tcPr>
            <w:tcW w:w="868" w:type="dxa"/>
            <w:vMerge w:val="continue"/>
          </w:tcPr>
          <w:p w14:paraId="3328ED13">
            <w:pPr>
              <w:spacing w:line="380" w:lineRule="exact"/>
              <w:jc w:val="center"/>
              <w:rPr>
                <w:rFonts w:ascii="宋体" w:hAnsi="宋体" w:eastAsia="宋体" w:cs="宋体"/>
                <w:color w:val="auto"/>
                <w:sz w:val="18"/>
                <w:szCs w:val="18"/>
                <w:highlight w:val="none"/>
              </w:rPr>
            </w:pPr>
          </w:p>
        </w:tc>
        <w:tc>
          <w:tcPr>
            <w:tcW w:w="1890" w:type="dxa"/>
          </w:tcPr>
          <w:p w14:paraId="282427F0">
            <w:pPr>
              <w:spacing w:line="380" w:lineRule="exact"/>
              <w:jc w:val="left"/>
              <w:rPr>
                <w:rFonts w:ascii="宋体" w:hAnsi="宋体" w:eastAsia="宋体" w:cs="宋体"/>
                <w:color w:val="auto"/>
                <w:sz w:val="18"/>
                <w:szCs w:val="18"/>
                <w:highlight w:val="none"/>
              </w:rPr>
            </w:pPr>
            <w:r>
              <w:rPr>
                <w:rFonts w:hint="eastAsia" w:ascii="宋体" w:hAnsi="宋体" w:eastAsia="宋体" w:cs="宋体"/>
                <w:color w:val="auto"/>
                <w:sz w:val="18"/>
                <w:szCs w:val="18"/>
                <w:highlight w:val="none"/>
              </w:rPr>
              <w:t>4.个性化定制服务</w:t>
            </w:r>
          </w:p>
        </w:tc>
        <w:tc>
          <w:tcPr>
            <w:tcW w:w="795" w:type="dxa"/>
          </w:tcPr>
          <w:p w14:paraId="0C14C65B">
            <w:pPr>
              <w:spacing w:line="380" w:lineRule="exact"/>
              <w:jc w:val="left"/>
              <w:rPr>
                <w:rFonts w:ascii="宋体" w:hAnsi="宋体" w:eastAsia="宋体" w:cs="宋体"/>
                <w:color w:val="auto"/>
                <w:sz w:val="18"/>
                <w:szCs w:val="18"/>
                <w:highlight w:val="none"/>
              </w:rPr>
            </w:pPr>
            <w:r>
              <w:rPr>
                <w:rFonts w:hint="eastAsia" w:ascii="宋体" w:hAnsi="宋体" w:eastAsia="宋体" w:cs="宋体"/>
                <w:color w:val="auto"/>
                <w:sz w:val="18"/>
                <w:szCs w:val="18"/>
                <w:highlight w:val="none"/>
              </w:rPr>
              <w:t>3分</w:t>
            </w:r>
          </w:p>
        </w:tc>
        <w:tc>
          <w:tcPr>
            <w:tcW w:w="5025" w:type="dxa"/>
          </w:tcPr>
          <w:p w14:paraId="44856EEF">
            <w:pPr>
              <w:spacing w:line="380" w:lineRule="exact"/>
              <w:jc w:val="left"/>
              <w:rPr>
                <w:rFonts w:ascii="宋体" w:hAnsi="宋体" w:eastAsia="宋体" w:cs="宋体"/>
                <w:color w:val="auto"/>
                <w:sz w:val="18"/>
                <w:szCs w:val="18"/>
                <w:highlight w:val="none"/>
              </w:rPr>
            </w:pPr>
            <w:r>
              <w:rPr>
                <w:rFonts w:hint="eastAsia" w:ascii="宋体" w:hAnsi="宋体" w:eastAsia="宋体" w:cs="宋体"/>
                <w:color w:val="auto"/>
                <w:sz w:val="18"/>
                <w:szCs w:val="18"/>
                <w:highlight w:val="none"/>
              </w:rPr>
              <w:t>提供针对我校的个性化定制服务，包括但不限于加入我校LOGO、联名款、专用订水APP等，每提供一项被认可的定制服务加1分，满分3分。</w:t>
            </w:r>
          </w:p>
        </w:tc>
      </w:tr>
      <w:tr w14:paraId="653E4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8" w:type="dxa"/>
            <w:vMerge w:val="continue"/>
          </w:tcPr>
          <w:p w14:paraId="5CDA27F3">
            <w:pPr>
              <w:spacing w:line="380" w:lineRule="exact"/>
              <w:jc w:val="center"/>
              <w:rPr>
                <w:rFonts w:ascii="宋体" w:hAnsi="宋体" w:eastAsia="宋体" w:cs="宋体"/>
                <w:color w:val="auto"/>
                <w:sz w:val="18"/>
                <w:szCs w:val="18"/>
                <w:highlight w:val="none"/>
              </w:rPr>
            </w:pPr>
          </w:p>
        </w:tc>
        <w:tc>
          <w:tcPr>
            <w:tcW w:w="1890" w:type="dxa"/>
          </w:tcPr>
          <w:p w14:paraId="661C28AB">
            <w:pPr>
              <w:spacing w:line="380" w:lineRule="exact"/>
              <w:jc w:val="left"/>
              <w:rPr>
                <w:rFonts w:ascii="宋体" w:hAnsi="宋体" w:eastAsia="宋体" w:cs="宋体"/>
                <w:color w:val="auto"/>
                <w:sz w:val="18"/>
                <w:szCs w:val="18"/>
                <w:highlight w:val="none"/>
              </w:rPr>
            </w:pPr>
            <w:r>
              <w:rPr>
                <w:rFonts w:hint="eastAsia" w:ascii="宋体" w:hAnsi="宋体" w:eastAsia="宋体" w:cs="宋体"/>
                <w:color w:val="auto"/>
                <w:sz w:val="18"/>
                <w:szCs w:val="18"/>
                <w:highlight w:val="none"/>
              </w:rPr>
              <w:t>5.定点水站服务</w:t>
            </w:r>
          </w:p>
        </w:tc>
        <w:tc>
          <w:tcPr>
            <w:tcW w:w="795" w:type="dxa"/>
          </w:tcPr>
          <w:p w14:paraId="6F634BB5">
            <w:pPr>
              <w:spacing w:line="380" w:lineRule="exact"/>
              <w:jc w:val="left"/>
              <w:rPr>
                <w:rFonts w:ascii="宋体" w:hAnsi="宋体" w:eastAsia="宋体" w:cs="宋体"/>
                <w:color w:val="auto"/>
                <w:sz w:val="18"/>
                <w:szCs w:val="18"/>
                <w:highlight w:val="none"/>
              </w:rPr>
            </w:pPr>
            <w:r>
              <w:rPr>
                <w:rFonts w:hint="eastAsia" w:ascii="宋体" w:hAnsi="宋体" w:eastAsia="宋体" w:cs="宋体"/>
                <w:color w:val="auto"/>
                <w:sz w:val="18"/>
                <w:szCs w:val="18"/>
                <w:highlight w:val="none"/>
              </w:rPr>
              <w:t>3分</w:t>
            </w:r>
          </w:p>
        </w:tc>
        <w:tc>
          <w:tcPr>
            <w:tcW w:w="5025" w:type="dxa"/>
          </w:tcPr>
          <w:p w14:paraId="63B03513">
            <w:pPr>
              <w:spacing w:line="380" w:lineRule="exact"/>
              <w:jc w:val="left"/>
              <w:rPr>
                <w:rFonts w:ascii="宋体" w:hAnsi="宋体" w:eastAsia="宋体" w:cs="宋体"/>
                <w:color w:val="auto"/>
                <w:sz w:val="18"/>
                <w:szCs w:val="18"/>
                <w:highlight w:val="none"/>
              </w:rPr>
            </w:pPr>
            <w:r>
              <w:rPr>
                <w:rFonts w:hint="eastAsia" w:ascii="宋体" w:hAnsi="宋体" w:eastAsia="宋体" w:cs="宋体"/>
                <w:color w:val="auto"/>
                <w:sz w:val="18"/>
                <w:szCs w:val="18"/>
                <w:highlight w:val="none"/>
              </w:rPr>
              <w:t>距每个校区2公里以内（含2公里）已有水站，或承诺在签订合同一个月内在离两个校区2公里范围内设立供水站并投入使用，得3分。</w:t>
            </w:r>
          </w:p>
          <w:p w14:paraId="5BDF935B">
            <w:pPr>
              <w:spacing w:line="380" w:lineRule="exact"/>
              <w:jc w:val="left"/>
              <w:rPr>
                <w:rFonts w:ascii="宋体" w:hAnsi="宋体" w:eastAsia="宋体" w:cs="宋体"/>
                <w:color w:val="auto"/>
                <w:sz w:val="18"/>
                <w:szCs w:val="18"/>
                <w:highlight w:val="none"/>
              </w:rPr>
            </w:pPr>
            <w:r>
              <w:rPr>
                <w:rFonts w:hint="eastAsia" w:ascii="宋体" w:hAnsi="宋体" w:eastAsia="宋体" w:cs="宋体"/>
                <w:color w:val="auto"/>
                <w:sz w:val="18"/>
                <w:szCs w:val="18"/>
                <w:highlight w:val="none"/>
              </w:rPr>
              <w:t>①已有水站的供应商需提供证明材料，包括但不限于：水站地址、以百度地图规划的“驾车“路线最短距离为准的距离示意图（截图须清晰显示起止点、规格路线、距离数值）。</w:t>
            </w:r>
          </w:p>
          <w:p w14:paraId="3A0F860B">
            <w:pPr>
              <w:spacing w:line="380" w:lineRule="exact"/>
              <w:jc w:val="left"/>
              <w:rPr>
                <w:rFonts w:ascii="宋体" w:hAnsi="宋体" w:eastAsia="宋体" w:cs="宋体"/>
                <w:color w:val="auto"/>
                <w:sz w:val="18"/>
                <w:szCs w:val="18"/>
                <w:highlight w:val="none"/>
              </w:rPr>
            </w:pPr>
            <w:r>
              <w:rPr>
                <w:rFonts w:hint="eastAsia" w:ascii="宋体" w:hAnsi="宋体" w:eastAsia="宋体" w:cs="宋体"/>
                <w:color w:val="auto"/>
                <w:sz w:val="18"/>
                <w:szCs w:val="18"/>
                <w:highlight w:val="none"/>
              </w:rPr>
              <w:t>②承诺设立水站的，须提供书面承诺函（格式自拟），明确承诺在签订合同后一个月内完成设立并投入使用，否则视为违约。</w:t>
            </w:r>
          </w:p>
        </w:tc>
      </w:tr>
      <w:tr w14:paraId="5F25B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8" w:type="dxa"/>
            <w:vMerge w:val="continue"/>
          </w:tcPr>
          <w:p w14:paraId="052FF21E">
            <w:pPr>
              <w:spacing w:line="380" w:lineRule="exact"/>
              <w:jc w:val="center"/>
              <w:rPr>
                <w:rFonts w:ascii="宋体" w:hAnsi="宋体" w:eastAsia="宋体" w:cs="宋体"/>
                <w:color w:val="auto"/>
                <w:sz w:val="18"/>
                <w:szCs w:val="18"/>
                <w:highlight w:val="none"/>
              </w:rPr>
            </w:pPr>
          </w:p>
        </w:tc>
        <w:tc>
          <w:tcPr>
            <w:tcW w:w="1890" w:type="dxa"/>
          </w:tcPr>
          <w:p w14:paraId="3DEEE100">
            <w:pPr>
              <w:spacing w:line="380" w:lineRule="exact"/>
              <w:jc w:val="left"/>
              <w:rPr>
                <w:rFonts w:ascii="宋体" w:hAnsi="宋体" w:eastAsia="宋体" w:cs="宋体"/>
                <w:color w:val="auto"/>
                <w:sz w:val="18"/>
                <w:szCs w:val="18"/>
                <w:highlight w:val="none"/>
              </w:rPr>
            </w:pPr>
            <w:r>
              <w:rPr>
                <w:rFonts w:hint="eastAsia" w:ascii="宋体" w:hAnsi="宋体" w:eastAsia="宋体" w:cs="宋体"/>
                <w:color w:val="auto"/>
                <w:sz w:val="18"/>
                <w:szCs w:val="18"/>
                <w:highlight w:val="none"/>
              </w:rPr>
              <w:t>6.售后服务方案</w:t>
            </w:r>
          </w:p>
        </w:tc>
        <w:tc>
          <w:tcPr>
            <w:tcW w:w="795" w:type="dxa"/>
          </w:tcPr>
          <w:p w14:paraId="429DCFE0">
            <w:pPr>
              <w:spacing w:line="380" w:lineRule="exact"/>
              <w:jc w:val="left"/>
              <w:rPr>
                <w:rFonts w:ascii="宋体" w:hAnsi="宋体" w:eastAsia="宋体" w:cs="宋体"/>
                <w:color w:val="auto"/>
                <w:sz w:val="18"/>
                <w:szCs w:val="18"/>
                <w:highlight w:val="none"/>
              </w:rPr>
            </w:pPr>
            <w:r>
              <w:rPr>
                <w:rFonts w:hint="eastAsia" w:ascii="宋体" w:hAnsi="宋体" w:eastAsia="宋体" w:cs="宋体"/>
                <w:color w:val="auto"/>
                <w:sz w:val="18"/>
                <w:szCs w:val="18"/>
                <w:highlight w:val="none"/>
                <w:lang w:val="en-US" w:eastAsia="zh-CN"/>
              </w:rPr>
              <w:t>12</w:t>
            </w:r>
            <w:r>
              <w:rPr>
                <w:rFonts w:hint="eastAsia" w:ascii="宋体" w:hAnsi="宋体" w:eastAsia="宋体" w:cs="宋体"/>
                <w:color w:val="auto"/>
                <w:sz w:val="18"/>
                <w:szCs w:val="18"/>
                <w:highlight w:val="none"/>
              </w:rPr>
              <w:t>分</w:t>
            </w:r>
          </w:p>
        </w:tc>
        <w:tc>
          <w:tcPr>
            <w:tcW w:w="5025" w:type="dxa"/>
          </w:tcPr>
          <w:p w14:paraId="6C02191C">
            <w:pPr>
              <w:spacing w:line="380" w:lineRule="exact"/>
              <w:jc w:val="left"/>
              <w:rPr>
                <w:rFonts w:ascii="宋体" w:hAnsi="宋体" w:eastAsia="宋体" w:cs="宋体"/>
                <w:color w:val="auto"/>
                <w:sz w:val="18"/>
                <w:szCs w:val="18"/>
                <w:highlight w:val="none"/>
              </w:rPr>
            </w:pPr>
            <w:r>
              <w:rPr>
                <w:rFonts w:hint="eastAsia" w:ascii="宋体" w:hAnsi="宋体" w:eastAsia="宋体" w:cs="宋体"/>
                <w:color w:val="auto"/>
                <w:sz w:val="18"/>
                <w:szCs w:val="18"/>
                <w:highlight w:val="none"/>
              </w:rPr>
              <w:t>一档（</w:t>
            </w:r>
            <w:r>
              <w:rPr>
                <w:rFonts w:hint="eastAsia" w:ascii="宋体" w:hAnsi="宋体" w:eastAsia="宋体" w:cs="宋体"/>
                <w:color w:val="auto"/>
                <w:sz w:val="18"/>
                <w:szCs w:val="18"/>
                <w:highlight w:val="none"/>
                <w:lang w:val="en-US" w:eastAsia="zh-CN"/>
              </w:rPr>
              <w:t>6</w:t>
            </w:r>
            <w:r>
              <w:rPr>
                <w:rFonts w:hint="eastAsia" w:ascii="宋体" w:hAnsi="宋体" w:eastAsia="宋体" w:cs="宋体"/>
                <w:color w:val="auto"/>
                <w:sz w:val="18"/>
                <w:szCs w:val="18"/>
                <w:highlight w:val="none"/>
              </w:rPr>
              <w:t>分）：有基本售后服务方案，能满足一定需求。</w:t>
            </w:r>
          </w:p>
          <w:p w14:paraId="0F0BDFE3">
            <w:pPr>
              <w:spacing w:line="380" w:lineRule="exact"/>
              <w:jc w:val="left"/>
              <w:rPr>
                <w:rFonts w:ascii="宋体" w:hAnsi="宋体" w:eastAsia="宋体" w:cs="宋体"/>
                <w:color w:val="auto"/>
                <w:sz w:val="18"/>
                <w:szCs w:val="18"/>
                <w:highlight w:val="none"/>
              </w:rPr>
            </w:pPr>
            <w:r>
              <w:rPr>
                <w:rFonts w:hint="eastAsia" w:ascii="宋体" w:hAnsi="宋体" w:eastAsia="宋体" w:cs="宋体"/>
                <w:color w:val="auto"/>
                <w:sz w:val="18"/>
                <w:szCs w:val="18"/>
                <w:highlight w:val="none"/>
              </w:rPr>
              <w:t>二档（</w:t>
            </w:r>
            <w:r>
              <w:rPr>
                <w:rFonts w:hint="eastAsia" w:ascii="宋体" w:hAnsi="宋体" w:eastAsia="宋体" w:cs="宋体"/>
                <w:color w:val="auto"/>
                <w:sz w:val="18"/>
                <w:szCs w:val="18"/>
                <w:highlight w:val="none"/>
                <w:lang w:val="en-US" w:eastAsia="zh-CN"/>
              </w:rPr>
              <w:t>9</w:t>
            </w:r>
            <w:r>
              <w:rPr>
                <w:rFonts w:hint="eastAsia" w:ascii="宋体" w:hAnsi="宋体" w:eastAsia="宋体" w:cs="宋体"/>
                <w:color w:val="auto"/>
                <w:sz w:val="18"/>
                <w:szCs w:val="18"/>
                <w:highlight w:val="none"/>
              </w:rPr>
              <w:t>分）：针对饮用水服务质量、安全保障有详细售后服务方案，清晰、完备、有条理，有详细理赔机制。</w:t>
            </w:r>
          </w:p>
          <w:p w14:paraId="5A404F1D">
            <w:pPr>
              <w:spacing w:line="380" w:lineRule="exact"/>
              <w:jc w:val="left"/>
              <w:rPr>
                <w:rFonts w:ascii="宋体" w:hAnsi="宋体" w:eastAsia="宋体" w:cs="宋体"/>
                <w:color w:val="auto"/>
                <w:sz w:val="18"/>
                <w:szCs w:val="18"/>
                <w:highlight w:val="none"/>
              </w:rPr>
            </w:pPr>
            <w:r>
              <w:rPr>
                <w:rFonts w:hint="eastAsia" w:ascii="宋体" w:hAnsi="宋体" w:eastAsia="宋体" w:cs="宋体"/>
                <w:color w:val="auto"/>
                <w:sz w:val="18"/>
                <w:szCs w:val="18"/>
                <w:highlight w:val="none"/>
              </w:rPr>
              <w:t>三档（</w:t>
            </w:r>
            <w:r>
              <w:rPr>
                <w:rFonts w:hint="eastAsia" w:ascii="宋体" w:hAnsi="宋体" w:eastAsia="宋体" w:cs="宋体"/>
                <w:color w:val="auto"/>
                <w:sz w:val="18"/>
                <w:szCs w:val="18"/>
                <w:highlight w:val="none"/>
                <w:lang w:val="en-US" w:eastAsia="zh-CN"/>
              </w:rPr>
              <w:t>12</w:t>
            </w:r>
            <w:r>
              <w:rPr>
                <w:rFonts w:hint="eastAsia" w:ascii="宋体" w:hAnsi="宋体" w:eastAsia="宋体" w:cs="宋体"/>
                <w:color w:val="auto"/>
                <w:sz w:val="18"/>
                <w:szCs w:val="18"/>
                <w:highlight w:val="none"/>
              </w:rPr>
              <w:t>分）：达到二档要求，且售后服务承诺优于采购文件要求。</w:t>
            </w:r>
          </w:p>
        </w:tc>
      </w:tr>
      <w:tr w14:paraId="65A5E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8" w:type="dxa"/>
            <w:vMerge w:val="continue"/>
          </w:tcPr>
          <w:p w14:paraId="0CE187E0">
            <w:pPr>
              <w:spacing w:line="380" w:lineRule="exact"/>
              <w:jc w:val="center"/>
              <w:rPr>
                <w:rFonts w:ascii="宋体" w:hAnsi="宋体" w:eastAsia="宋体" w:cs="宋体"/>
                <w:color w:val="auto"/>
                <w:sz w:val="18"/>
                <w:szCs w:val="18"/>
                <w:highlight w:val="none"/>
              </w:rPr>
            </w:pPr>
          </w:p>
        </w:tc>
        <w:tc>
          <w:tcPr>
            <w:tcW w:w="1890" w:type="dxa"/>
          </w:tcPr>
          <w:p w14:paraId="58CAAEC6">
            <w:pPr>
              <w:spacing w:line="380" w:lineRule="exact"/>
              <w:jc w:val="left"/>
              <w:rPr>
                <w:rFonts w:ascii="宋体" w:hAnsi="宋体" w:eastAsia="宋体" w:cs="宋体"/>
                <w:strike/>
                <w:color w:val="auto"/>
                <w:sz w:val="18"/>
                <w:szCs w:val="18"/>
                <w:highlight w:val="none"/>
              </w:rPr>
            </w:pPr>
            <w:r>
              <w:rPr>
                <w:rFonts w:hint="eastAsia" w:ascii="宋体" w:hAnsi="宋体" w:eastAsia="宋体" w:cs="宋体"/>
                <w:strike w:val="0"/>
                <w:color w:val="auto"/>
                <w:sz w:val="18"/>
                <w:szCs w:val="18"/>
                <w:highlight w:val="none"/>
              </w:rPr>
              <w:t>7.水源认证分</w:t>
            </w:r>
          </w:p>
        </w:tc>
        <w:tc>
          <w:tcPr>
            <w:tcW w:w="795" w:type="dxa"/>
          </w:tcPr>
          <w:p w14:paraId="66CF508A">
            <w:pPr>
              <w:spacing w:line="380" w:lineRule="exact"/>
              <w:jc w:val="left"/>
              <w:rPr>
                <w:rFonts w:ascii="宋体" w:hAnsi="宋体" w:eastAsia="宋体" w:cs="宋体"/>
                <w:strike/>
                <w:color w:val="auto"/>
                <w:sz w:val="18"/>
                <w:szCs w:val="18"/>
                <w:highlight w:val="none"/>
              </w:rPr>
            </w:pPr>
            <w:r>
              <w:rPr>
                <w:rFonts w:hint="eastAsia" w:ascii="宋体" w:hAnsi="宋体" w:eastAsia="宋体" w:cs="宋体"/>
                <w:strike w:val="0"/>
                <w:color w:val="auto"/>
                <w:sz w:val="18"/>
                <w:szCs w:val="18"/>
                <w:highlight w:val="none"/>
                <w:lang w:val="en-US" w:eastAsia="zh-CN"/>
              </w:rPr>
              <w:t>8</w:t>
            </w:r>
            <w:r>
              <w:rPr>
                <w:rFonts w:hint="eastAsia" w:ascii="宋体" w:hAnsi="宋体" w:eastAsia="宋体" w:cs="宋体"/>
                <w:strike w:val="0"/>
                <w:color w:val="auto"/>
                <w:sz w:val="18"/>
                <w:szCs w:val="18"/>
                <w:highlight w:val="none"/>
              </w:rPr>
              <w:t>分</w:t>
            </w:r>
          </w:p>
        </w:tc>
        <w:tc>
          <w:tcPr>
            <w:tcW w:w="5025" w:type="dxa"/>
          </w:tcPr>
          <w:p w14:paraId="282DB2F2">
            <w:pPr>
              <w:spacing w:line="380" w:lineRule="exact"/>
              <w:jc w:val="left"/>
              <w:rPr>
                <w:rFonts w:ascii="宋体" w:hAnsi="宋体" w:eastAsia="宋体" w:cs="宋体"/>
                <w:strike/>
                <w:color w:val="auto"/>
                <w:sz w:val="18"/>
                <w:szCs w:val="18"/>
                <w:highlight w:val="none"/>
              </w:rPr>
            </w:pPr>
            <w:r>
              <w:rPr>
                <w:rFonts w:hint="eastAsia" w:ascii="宋体" w:hAnsi="宋体" w:eastAsia="宋体" w:cs="宋体"/>
                <w:strike w:val="0"/>
                <w:color w:val="auto"/>
                <w:sz w:val="18"/>
                <w:szCs w:val="18"/>
                <w:highlight w:val="none"/>
              </w:rPr>
              <w:t>响</w:t>
            </w:r>
            <w:bookmarkStart w:id="6" w:name="_GoBack"/>
            <w:r>
              <w:rPr>
                <w:rFonts w:hint="eastAsia" w:ascii="宋体" w:hAnsi="宋体" w:eastAsia="宋体" w:cs="宋体"/>
                <w:strike w:val="0"/>
                <w:color w:val="auto"/>
                <w:sz w:val="18"/>
                <w:szCs w:val="18"/>
                <w:highlight w:val="none"/>
              </w:rPr>
              <w:t>应产品水源为</w:t>
            </w:r>
            <w:r>
              <w:rPr>
                <w:rFonts w:hint="eastAsia" w:ascii="宋体" w:hAnsi="宋体" w:eastAsia="宋体" w:cs="宋体"/>
                <w:strike w:val="0"/>
                <w:color w:val="auto"/>
                <w:sz w:val="18"/>
                <w:szCs w:val="18"/>
                <w:highlight w:val="none"/>
                <w:lang w:val="en-US" w:eastAsia="zh-CN"/>
              </w:rPr>
              <w:t>饮用</w:t>
            </w:r>
            <w:r>
              <w:rPr>
                <w:rFonts w:hint="eastAsia" w:ascii="宋体" w:hAnsi="宋体" w:eastAsia="宋体" w:cs="宋体"/>
                <w:strike w:val="0"/>
                <w:color w:val="auto"/>
                <w:sz w:val="18"/>
                <w:szCs w:val="18"/>
                <w:highlight w:val="none"/>
              </w:rPr>
              <w:t>天然泉水</w:t>
            </w:r>
            <w:r>
              <w:rPr>
                <w:rFonts w:hint="eastAsia" w:ascii="宋体" w:hAnsi="宋体" w:eastAsia="宋体" w:cs="宋体"/>
                <w:strike w:val="0"/>
                <w:color w:val="auto"/>
                <w:sz w:val="18"/>
                <w:szCs w:val="18"/>
                <w:highlight w:val="none"/>
                <w:lang w:eastAsia="zh-CN"/>
              </w:rPr>
              <w:t>，</w:t>
            </w:r>
            <w:r>
              <w:rPr>
                <w:rFonts w:hint="eastAsia" w:ascii="宋体" w:hAnsi="宋体" w:eastAsia="宋体" w:cs="宋体"/>
                <w:strike w:val="0"/>
                <w:color w:val="auto"/>
                <w:sz w:val="18"/>
                <w:szCs w:val="18"/>
                <w:highlight w:val="none"/>
                <w:lang w:val="en-US" w:eastAsia="zh-CN"/>
              </w:rPr>
              <w:t>且</w:t>
            </w:r>
            <w:r>
              <w:rPr>
                <w:rFonts w:hint="eastAsia" w:ascii="宋体" w:hAnsi="宋体" w:eastAsia="宋体" w:cs="宋体"/>
                <w:strike w:val="0"/>
                <w:color w:val="auto"/>
                <w:sz w:val="18"/>
                <w:szCs w:val="18"/>
                <w:highlight w:val="none"/>
              </w:rPr>
              <w:t>符合T/GXPZS 001‑2018《饮用天然泉水》，</w:t>
            </w:r>
            <w:r>
              <w:rPr>
                <w:rFonts w:hint="eastAsia" w:ascii="宋体" w:hAnsi="宋体" w:eastAsia="宋体" w:cs="宋体"/>
                <w:color w:val="auto"/>
                <w:sz w:val="18"/>
                <w:szCs w:val="18"/>
                <w:highlight w:val="none"/>
                <w:lang w:val="en-US" w:eastAsia="zh-CN"/>
              </w:rPr>
              <w:t>每有1个产品得2分，满分8</w:t>
            </w:r>
            <w:r>
              <w:rPr>
                <w:rFonts w:hint="eastAsia" w:ascii="宋体" w:hAnsi="宋体" w:eastAsia="宋体" w:cs="宋体"/>
                <w:color w:val="auto"/>
                <w:sz w:val="18"/>
                <w:szCs w:val="18"/>
                <w:highlight w:val="none"/>
              </w:rPr>
              <w:t>分。须提供每个计分产品对应的</w:t>
            </w:r>
            <w:r>
              <w:rPr>
                <w:rFonts w:hint="eastAsia" w:ascii="宋体" w:hAnsi="宋体" w:eastAsia="宋体" w:cs="宋体"/>
                <w:color w:val="auto"/>
                <w:sz w:val="18"/>
                <w:szCs w:val="18"/>
                <w:highlight w:val="none"/>
                <w:lang w:eastAsia="zh-CN"/>
              </w:rPr>
              <w:t>、</w:t>
            </w:r>
            <w:r>
              <w:rPr>
                <w:rFonts w:hint="eastAsia" w:ascii="宋体" w:hAnsi="宋体" w:eastAsia="宋体" w:cs="宋体"/>
                <w:color w:val="auto"/>
                <w:sz w:val="18"/>
                <w:szCs w:val="18"/>
                <w:highlight w:val="none"/>
              </w:rPr>
              <w:t>2026年1月1日以来且在响应截止时间仍有效的最新检测报告</w:t>
            </w:r>
            <w:r>
              <w:rPr>
                <w:rFonts w:hint="eastAsia" w:ascii="宋体" w:hAnsi="宋体" w:eastAsia="宋体" w:cs="宋体"/>
                <w:color w:val="auto"/>
                <w:sz w:val="18"/>
                <w:szCs w:val="18"/>
                <w:highlight w:val="none"/>
                <w:lang w:eastAsia="zh-CN"/>
              </w:rPr>
              <w:t>，</w:t>
            </w:r>
            <w:r>
              <w:rPr>
                <w:rStyle w:val="10"/>
                <w:rFonts w:hint="eastAsia" w:ascii="宋体" w:hAnsi="宋体" w:eastAsia="宋体" w:cs="宋体"/>
                <w:strike w:val="0"/>
                <w:color w:val="auto"/>
                <w:sz w:val="18"/>
                <w:szCs w:val="18"/>
                <w:highlight w:val="none"/>
              </w:rPr>
              <w:t>未提供或不符合的，不得分。</w:t>
            </w:r>
            <w:bookmarkEnd w:id="6"/>
          </w:p>
        </w:tc>
      </w:tr>
      <w:tr w14:paraId="48498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8" w:type="dxa"/>
            <w:vMerge w:val="continue"/>
          </w:tcPr>
          <w:p w14:paraId="41499323">
            <w:pPr>
              <w:spacing w:line="380" w:lineRule="exact"/>
              <w:jc w:val="center"/>
              <w:rPr>
                <w:rFonts w:ascii="宋体" w:hAnsi="宋体" w:eastAsia="宋体" w:cs="宋体"/>
                <w:color w:val="auto"/>
                <w:sz w:val="18"/>
                <w:szCs w:val="18"/>
                <w:highlight w:val="none"/>
              </w:rPr>
            </w:pPr>
          </w:p>
        </w:tc>
        <w:tc>
          <w:tcPr>
            <w:tcW w:w="1890" w:type="dxa"/>
          </w:tcPr>
          <w:p w14:paraId="1E9AF348">
            <w:pPr>
              <w:spacing w:line="380" w:lineRule="exact"/>
              <w:jc w:val="left"/>
              <w:rPr>
                <w:rFonts w:ascii="宋体" w:hAnsi="宋体" w:eastAsia="宋体" w:cs="宋体"/>
                <w:color w:val="auto"/>
                <w:sz w:val="18"/>
                <w:szCs w:val="18"/>
                <w:highlight w:val="none"/>
              </w:rPr>
            </w:pPr>
            <w:r>
              <w:rPr>
                <w:rFonts w:hint="eastAsia" w:ascii="宋体" w:hAnsi="宋体" w:eastAsia="宋体" w:cs="宋体"/>
                <w:color w:val="auto"/>
                <w:sz w:val="18"/>
                <w:szCs w:val="18"/>
                <w:highlight w:val="none"/>
              </w:rPr>
              <w:t>8.扶贫产品分</w:t>
            </w:r>
          </w:p>
        </w:tc>
        <w:tc>
          <w:tcPr>
            <w:tcW w:w="795" w:type="dxa"/>
          </w:tcPr>
          <w:p w14:paraId="4CEC4D0D">
            <w:pPr>
              <w:spacing w:line="380" w:lineRule="exact"/>
              <w:jc w:val="left"/>
              <w:rPr>
                <w:rFonts w:ascii="宋体" w:hAnsi="宋体" w:eastAsia="宋体" w:cs="宋体"/>
                <w:color w:val="auto"/>
                <w:sz w:val="18"/>
                <w:szCs w:val="18"/>
                <w:highlight w:val="none"/>
              </w:rPr>
            </w:pPr>
            <w:r>
              <w:rPr>
                <w:rFonts w:hint="eastAsia" w:ascii="宋体" w:hAnsi="宋体" w:eastAsia="宋体" w:cs="宋体"/>
                <w:color w:val="auto"/>
                <w:sz w:val="18"/>
                <w:szCs w:val="18"/>
                <w:highlight w:val="none"/>
                <w:lang w:val="en-US" w:eastAsia="zh-CN"/>
              </w:rPr>
              <w:t>4</w:t>
            </w:r>
            <w:r>
              <w:rPr>
                <w:rFonts w:hint="eastAsia" w:ascii="宋体" w:hAnsi="宋体" w:eastAsia="宋体" w:cs="宋体"/>
                <w:color w:val="auto"/>
                <w:sz w:val="18"/>
                <w:szCs w:val="18"/>
                <w:highlight w:val="none"/>
              </w:rPr>
              <w:t>分</w:t>
            </w:r>
          </w:p>
        </w:tc>
        <w:tc>
          <w:tcPr>
            <w:tcW w:w="5025" w:type="dxa"/>
          </w:tcPr>
          <w:p w14:paraId="35BC71DD">
            <w:pPr>
              <w:spacing w:line="380" w:lineRule="exact"/>
              <w:jc w:val="left"/>
              <w:rPr>
                <w:rFonts w:ascii="宋体" w:hAnsi="宋体" w:eastAsia="宋体" w:cs="宋体"/>
                <w:color w:val="auto"/>
                <w:sz w:val="18"/>
                <w:szCs w:val="18"/>
                <w:highlight w:val="none"/>
              </w:rPr>
            </w:pPr>
            <w:r>
              <w:rPr>
                <w:rFonts w:hint="eastAsia" w:ascii="宋体" w:hAnsi="宋体" w:eastAsia="宋体" w:cs="宋体"/>
                <w:color w:val="auto"/>
                <w:sz w:val="18"/>
                <w:szCs w:val="18"/>
                <w:highlight w:val="none"/>
              </w:rPr>
              <w:t>响应产品为扶贫产品的</w:t>
            </w:r>
            <w:r>
              <w:rPr>
                <w:rFonts w:hint="eastAsia" w:ascii="宋体" w:hAnsi="宋体" w:eastAsia="宋体" w:cs="宋体"/>
                <w:color w:val="auto"/>
                <w:sz w:val="18"/>
                <w:szCs w:val="18"/>
                <w:highlight w:val="none"/>
                <w:lang w:eastAsia="zh-CN"/>
              </w:rPr>
              <w:t>，</w:t>
            </w:r>
            <w:r>
              <w:rPr>
                <w:rFonts w:hint="eastAsia" w:ascii="宋体" w:hAnsi="宋体" w:eastAsia="宋体" w:cs="宋体"/>
                <w:color w:val="auto"/>
                <w:sz w:val="18"/>
                <w:szCs w:val="18"/>
                <w:highlight w:val="none"/>
                <w:lang w:val="en-US" w:eastAsia="zh-CN"/>
              </w:rPr>
              <w:t>每有1个得1分，满分4</w:t>
            </w:r>
            <w:r>
              <w:rPr>
                <w:rFonts w:hint="eastAsia" w:ascii="宋体" w:hAnsi="宋体" w:eastAsia="宋体" w:cs="宋体"/>
                <w:color w:val="auto"/>
                <w:sz w:val="18"/>
                <w:szCs w:val="18"/>
                <w:highlight w:val="none"/>
              </w:rPr>
              <w:t>分。须提供扶贫产品标志等证明材料，否则不得分。</w:t>
            </w:r>
          </w:p>
        </w:tc>
      </w:tr>
      <w:tr w14:paraId="6ACF7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8" w:type="dxa"/>
            <w:vMerge w:val="continue"/>
          </w:tcPr>
          <w:p w14:paraId="24A63EB9">
            <w:pPr>
              <w:spacing w:line="380" w:lineRule="exact"/>
              <w:jc w:val="center"/>
              <w:rPr>
                <w:rFonts w:ascii="宋体" w:hAnsi="宋体" w:eastAsia="宋体" w:cs="宋体"/>
                <w:color w:val="auto"/>
                <w:sz w:val="18"/>
                <w:szCs w:val="18"/>
                <w:highlight w:val="none"/>
              </w:rPr>
            </w:pPr>
          </w:p>
        </w:tc>
        <w:tc>
          <w:tcPr>
            <w:tcW w:w="1890" w:type="dxa"/>
          </w:tcPr>
          <w:p w14:paraId="413B2955">
            <w:pPr>
              <w:spacing w:line="380" w:lineRule="exact"/>
              <w:jc w:val="left"/>
              <w:rPr>
                <w:rFonts w:ascii="宋体" w:hAnsi="宋体" w:eastAsia="宋体" w:cs="宋体"/>
                <w:color w:val="auto"/>
                <w:sz w:val="18"/>
                <w:szCs w:val="18"/>
                <w:highlight w:val="none"/>
              </w:rPr>
            </w:pPr>
            <w:r>
              <w:rPr>
                <w:rFonts w:hint="eastAsia" w:ascii="宋体" w:hAnsi="宋体" w:eastAsia="宋体" w:cs="宋体"/>
                <w:color w:val="auto"/>
                <w:sz w:val="18"/>
                <w:szCs w:val="18"/>
                <w:highlight w:val="none"/>
              </w:rPr>
              <w:t>9.饮用水安全指标分</w:t>
            </w:r>
          </w:p>
        </w:tc>
        <w:tc>
          <w:tcPr>
            <w:tcW w:w="795" w:type="dxa"/>
          </w:tcPr>
          <w:p w14:paraId="006B2C93">
            <w:pPr>
              <w:spacing w:line="380" w:lineRule="exact"/>
              <w:jc w:val="left"/>
              <w:rPr>
                <w:rFonts w:ascii="宋体" w:hAnsi="宋体" w:eastAsia="宋体" w:cs="宋体"/>
                <w:color w:val="auto"/>
                <w:sz w:val="18"/>
                <w:szCs w:val="18"/>
                <w:highlight w:val="none"/>
              </w:rPr>
            </w:pPr>
            <w:r>
              <w:rPr>
                <w:rFonts w:hint="eastAsia" w:ascii="宋体" w:hAnsi="宋体" w:eastAsia="宋体" w:cs="宋体"/>
                <w:color w:val="auto"/>
                <w:sz w:val="18"/>
                <w:szCs w:val="18"/>
                <w:highlight w:val="none"/>
                <w:lang w:val="en-US" w:eastAsia="zh-CN"/>
              </w:rPr>
              <w:t>6</w:t>
            </w:r>
            <w:r>
              <w:rPr>
                <w:rFonts w:hint="eastAsia" w:ascii="宋体" w:hAnsi="宋体" w:eastAsia="宋体" w:cs="宋体"/>
                <w:color w:val="auto"/>
                <w:sz w:val="18"/>
                <w:szCs w:val="18"/>
                <w:highlight w:val="none"/>
              </w:rPr>
              <w:t>分</w:t>
            </w:r>
          </w:p>
        </w:tc>
        <w:tc>
          <w:tcPr>
            <w:tcW w:w="5025" w:type="dxa"/>
          </w:tcPr>
          <w:p w14:paraId="329D3F7A">
            <w:pPr>
              <w:spacing w:line="380" w:lineRule="exact"/>
              <w:jc w:val="left"/>
              <w:rPr>
                <w:rFonts w:ascii="宋体" w:hAnsi="宋体" w:eastAsia="宋体" w:cs="宋体"/>
                <w:color w:val="auto"/>
                <w:sz w:val="18"/>
                <w:szCs w:val="18"/>
                <w:highlight w:val="none"/>
              </w:rPr>
            </w:pPr>
            <w:r>
              <w:rPr>
                <w:rFonts w:hint="eastAsia" w:ascii="宋体" w:hAnsi="宋体" w:eastAsia="宋体" w:cs="宋体"/>
                <w:color w:val="auto"/>
                <w:sz w:val="18"/>
                <w:szCs w:val="18"/>
                <w:highlight w:val="none"/>
              </w:rPr>
              <w:t>在满足</w:t>
            </w:r>
            <w:r>
              <w:rPr>
                <w:rFonts w:hint="eastAsia" w:ascii="宋体" w:hAnsi="宋体" w:eastAsia="宋体" w:cs="宋体"/>
                <w:color w:val="auto"/>
                <w:sz w:val="18"/>
                <w:szCs w:val="18"/>
                <w:highlight w:val="none"/>
                <w:lang w:val="en-US" w:eastAsia="zh-CN"/>
              </w:rPr>
              <w:t>采购需求</w:t>
            </w:r>
            <w:r>
              <w:rPr>
                <w:rFonts w:hint="eastAsia" w:ascii="宋体" w:hAnsi="宋体" w:eastAsia="宋体" w:cs="宋体"/>
                <w:color w:val="auto"/>
                <w:sz w:val="18"/>
                <w:szCs w:val="18"/>
                <w:highlight w:val="none"/>
              </w:rPr>
              <w:t>的基础上，供应商所投</w:t>
            </w:r>
            <w:r>
              <w:rPr>
                <w:rFonts w:hint="eastAsia" w:ascii="宋体" w:hAnsi="宋体" w:eastAsia="宋体" w:cs="宋体"/>
                <w:color w:val="auto"/>
                <w:sz w:val="18"/>
                <w:szCs w:val="18"/>
                <w:highlight w:val="none"/>
                <w:lang w:val="en-US" w:eastAsia="zh-CN"/>
              </w:rPr>
              <w:t>全部</w:t>
            </w:r>
            <w:r>
              <w:rPr>
                <w:rFonts w:hint="eastAsia" w:ascii="宋体" w:hAnsi="宋体" w:eastAsia="宋体" w:cs="宋体"/>
                <w:color w:val="auto"/>
                <w:sz w:val="18"/>
                <w:szCs w:val="18"/>
                <w:highlight w:val="none"/>
              </w:rPr>
              <w:t>桶装水和瓶装水溴酸盐含量均≤0.009mg/L（含）的，得</w:t>
            </w:r>
            <w:r>
              <w:rPr>
                <w:rFonts w:hint="eastAsia" w:ascii="宋体" w:hAnsi="宋体" w:eastAsia="宋体" w:cs="宋体"/>
                <w:color w:val="auto"/>
                <w:sz w:val="18"/>
                <w:szCs w:val="18"/>
                <w:highlight w:val="none"/>
                <w:lang w:val="en-US" w:eastAsia="zh-CN"/>
              </w:rPr>
              <w:t>6</w:t>
            </w:r>
            <w:r>
              <w:rPr>
                <w:rFonts w:hint="eastAsia" w:ascii="宋体" w:hAnsi="宋体" w:eastAsia="宋体" w:cs="宋体"/>
                <w:color w:val="auto"/>
                <w:sz w:val="18"/>
                <w:szCs w:val="18"/>
                <w:highlight w:val="none"/>
              </w:rPr>
              <w:t>分。须提供2026年1月1日以来且在响应截止时间仍有效的最新检测报告</w:t>
            </w:r>
            <w:r>
              <w:rPr>
                <w:rFonts w:hint="eastAsia" w:ascii="宋体" w:hAnsi="宋体" w:eastAsia="宋体" w:cs="宋体"/>
                <w:color w:val="auto"/>
                <w:sz w:val="18"/>
                <w:szCs w:val="18"/>
                <w:highlight w:val="none"/>
                <w:lang w:eastAsia="zh-CN"/>
              </w:rPr>
              <w:t>，</w:t>
            </w:r>
            <w:r>
              <w:rPr>
                <w:rFonts w:hint="eastAsia" w:ascii="宋体" w:hAnsi="宋体" w:eastAsia="宋体" w:cs="宋体"/>
                <w:strike w:val="0"/>
                <w:color w:val="auto"/>
                <w:sz w:val="18"/>
                <w:szCs w:val="18"/>
                <w:highlight w:val="none"/>
              </w:rPr>
              <w:t>未提供或不符合的，不得分。</w:t>
            </w:r>
          </w:p>
        </w:tc>
      </w:tr>
      <w:tr w14:paraId="5C6B6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0" w:hRule="atLeast"/>
        </w:trPr>
        <w:tc>
          <w:tcPr>
            <w:tcW w:w="868" w:type="dxa"/>
          </w:tcPr>
          <w:p w14:paraId="7F83D336">
            <w:pPr>
              <w:spacing w:line="380" w:lineRule="exact"/>
              <w:jc w:val="center"/>
              <w:rPr>
                <w:rFonts w:ascii="宋体" w:hAnsi="宋体" w:eastAsia="宋体" w:cs="宋体"/>
                <w:color w:val="auto"/>
                <w:sz w:val="18"/>
                <w:szCs w:val="18"/>
                <w:highlight w:val="none"/>
              </w:rPr>
            </w:pPr>
            <w:r>
              <w:rPr>
                <w:rFonts w:hint="eastAsia" w:ascii="宋体" w:hAnsi="宋体" w:eastAsia="宋体" w:cs="宋体"/>
                <w:color w:val="auto"/>
                <w:sz w:val="18"/>
                <w:szCs w:val="18"/>
                <w:highlight w:val="none"/>
              </w:rPr>
              <w:t>商</w:t>
            </w:r>
          </w:p>
          <w:p w14:paraId="2298F73A">
            <w:pPr>
              <w:spacing w:line="380" w:lineRule="exact"/>
              <w:jc w:val="center"/>
              <w:rPr>
                <w:rFonts w:ascii="宋体" w:hAnsi="宋体" w:eastAsia="宋体" w:cs="宋体"/>
                <w:color w:val="auto"/>
                <w:sz w:val="18"/>
                <w:szCs w:val="18"/>
                <w:highlight w:val="none"/>
              </w:rPr>
            </w:pPr>
            <w:r>
              <w:rPr>
                <w:rFonts w:hint="eastAsia" w:ascii="宋体" w:hAnsi="宋体" w:eastAsia="宋体" w:cs="宋体"/>
                <w:color w:val="auto"/>
                <w:sz w:val="18"/>
                <w:szCs w:val="18"/>
                <w:highlight w:val="none"/>
              </w:rPr>
              <w:t>务</w:t>
            </w:r>
          </w:p>
          <w:p w14:paraId="1EA0BC86">
            <w:pPr>
              <w:spacing w:line="380" w:lineRule="exact"/>
              <w:jc w:val="center"/>
              <w:rPr>
                <w:rFonts w:ascii="宋体" w:hAnsi="宋体" w:eastAsia="宋体" w:cs="宋体"/>
                <w:color w:val="auto"/>
                <w:sz w:val="18"/>
                <w:szCs w:val="18"/>
                <w:highlight w:val="none"/>
              </w:rPr>
            </w:pPr>
            <w:r>
              <w:rPr>
                <w:rFonts w:hint="eastAsia" w:ascii="宋体" w:hAnsi="宋体" w:eastAsia="宋体" w:cs="宋体"/>
                <w:color w:val="auto"/>
                <w:sz w:val="18"/>
                <w:szCs w:val="18"/>
                <w:highlight w:val="none"/>
              </w:rPr>
              <w:t>分</w:t>
            </w:r>
          </w:p>
          <w:p w14:paraId="50A741DF">
            <w:pPr>
              <w:spacing w:line="380" w:lineRule="exact"/>
              <w:jc w:val="center"/>
              <w:rPr>
                <w:rFonts w:ascii="宋体" w:hAnsi="宋体" w:eastAsia="宋体" w:cs="宋体"/>
                <w:color w:val="auto"/>
                <w:sz w:val="18"/>
                <w:szCs w:val="18"/>
                <w:highlight w:val="none"/>
              </w:rPr>
            </w:pPr>
            <w:r>
              <w:rPr>
                <w:rFonts w:hint="eastAsia" w:ascii="宋体" w:hAnsi="宋体" w:eastAsia="宋体" w:cs="宋体"/>
                <w:color w:val="auto"/>
                <w:sz w:val="18"/>
                <w:szCs w:val="18"/>
                <w:highlight w:val="none"/>
              </w:rPr>
              <w:t>（</w:t>
            </w:r>
            <w:r>
              <w:rPr>
                <w:rFonts w:hint="eastAsia" w:ascii="宋体" w:hAnsi="宋体" w:eastAsia="宋体" w:cs="宋体"/>
                <w:color w:val="auto"/>
                <w:sz w:val="18"/>
                <w:szCs w:val="18"/>
                <w:highlight w:val="none"/>
                <w:lang w:val="en-US" w:eastAsia="zh-CN"/>
              </w:rPr>
              <w:t>9</w:t>
            </w:r>
            <w:r>
              <w:rPr>
                <w:rFonts w:hint="eastAsia" w:ascii="宋体" w:hAnsi="宋体" w:eastAsia="宋体" w:cs="宋体"/>
                <w:color w:val="auto"/>
                <w:sz w:val="18"/>
                <w:szCs w:val="18"/>
                <w:highlight w:val="none"/>
              </w:rPr>
              <w:t>分）</w:t>
            </w:r>
          </w:p>
        </w:tc>
        <w:tc>
          <w:tcPr>
            <w:tcW w:w="1890" w:type="dxa"/>
          </w:tcPr>
          <w:p w14:paraId="30C94C50">
            <w:pPr>
              <w:spacing w:line="380" w:lineRule="exact"/>
              <w:jc w:val="left"/>
              <w:rPr>
                <w:rFonts w:hint="eastAsia" w:ascii="宋体" w:hAnsi="宋体" w:eastAsia="宋体" w:cs="宋体"/>
                <w:strike/>
                <w:color w:val="auto"/>
                <w:sz w:val="18"/>
                <w:szCs w:val="18"/>
                <w:highlight w:val="none"/>
              </w:rPr>
            </w:pPr>
          </w:p>
          <w:p w14:paraId="0AB24873">
            <w:pPr>
              <w:spacing w:line="380" w:lineRule="exact"/>
              <w:jc w:val="left"/>
              <w:rPr>
                <w:rFonts w:ascii="宋体" w:hAnsi="宋体" w:eastAsia="宋体" w:cs="宋体"/>
                <w:color w:val="auto"/>
                <w:sz w:val="18"/>
                <w:szCs w:val="18"/>
                <w:highlight w:val="none"/>
              </w:rPr>
            </w:pPr>
            <w:r>
              <w:rPr>
                <w:rFonts w:hint="eastAsia" w:ascii="宋体" w:hAnsi="宋体" w:eastAsia="宋体" w:cs="宋体"/>
                <w:color w:val="auto"/>
                <w:sz w:val="18"/>
                <w:szCs w:val="18"/>
                <w:highlight w:val="none"/>
              </w:rPr>
              <w:t>历年业绩</w:t>
            </w:r>
          </w:p>
        </w:tc>
        <w:tc>
          <w:tcPr>
            <w:tcW w:w="795" w:type="dxa"/>
          </w:tcPr>
          <w:p w14:paraId="617ED684">
            <w:pPr>
              <w:spacing w:line="380" w:lineRule="exact"/>
              <w:jc w:val="left"/>
              <w:rPr>
                <w:rFonts w:hint="eastAsia" w:ascii="宋体" w:hAnsi="宋体" w:eastAsia="宋体" w:cs="宋体"/>
                <w:strike/>
                <w:color w:val="auto"/>
                <w:sz w:val="18"/>
                <w:szCs w:val="18"/>
                <w:highlight w:val="none"/>
              </w:rPr>
            </w:pPr>
          </w:p>
          <w:p w14:paraId="7662B02E">
            <w:pPr>
              <w:spacing w:line="380" w:lineRule="exact"/>
              <w:jc w:val="left"/>
              <w:rPr>
                <w:rFonts w:ascii="宋体" w:hAnsi="宋体" w:eastAsia="宋体" w:cs="宋体"/>
                <w:color w:val="auto"/>
                <w:sz w:val="18"/>
                <w:szCs w:val="18"/>
                <w:highlight w:val="none"/>
              </w:rPr>
            </w:pPr>
            <w:r>
              <w:rPr>
                <w:rFonts w:hint="eastAsia" w:ascii="宋体" w:hAnsi="宋体" w:eastAsia="宋体" w:cs="宋体"/>
                <w:color w:val="auto"/>
                <w:sz w:val="18"/>
                <w:szCs w:val="18"/>
                <w:highlight w:val="none"/>
                <w:lang w:val="en-US" w:eastAsia="zh-CN"/>
              </w:rPr>
              <w:t>9</w:t>
            </w:r>
            <w:r>
              <w:rPr>
                <w:rFonts w:hint="eastAsia" w:ascii="宋体" w:hAnsi="宋体" w:eastAsia="宋体" w:cs="宋体"/>
                <w:color w:val="auto"/>
                <w:sz w:val="18"/>
                <w:szCs w:val="18"/>
                <w:highlight w:val="none"/>
              </w:rPr>
              <w:t>分</w:t>
            </w:r>
          </w:p>
        </w:tc>
        <w:tc>
          <w:tcPr>
            <w:tcW w:w="5025" w:type="dxa"/>
          </w:tcPr>
          <w:p w14:paraId="453A61E6">
            <w:pPr>
              <w:spacing w:line="380" w:lineRule="exact"/>
              <w:jc w:val="left"/>
              <w:rPr>
                <w:rFonts w:ascii="宋体" w:hAnsi="宋体" w:eastAsia="宋体" w:cs="宋体"/>
                <w:color w:val="auto"/>
                <w:sz w:val="18"/>
                <w:szCs w:val="18"/>
                <w:highlight w:val="none"/>
              </w:rPr>
            </w:pPr>
            <w:r>
              <w:rPr>
                <w:rFonts w:hint="eastAsia" w:ascii="宋体" w:hAnsi="宋体" w:eastAsia="宋体" w:cs="宋体"/>
                <w:color w:val="auto"/>
                <w:sz w:val="18"/>
                <w:szCs w:val="18"/>
                <w:highlight w:val="none"/>
              </w:rPr>
              <w:t>供应商自2023年1月1日至响应截止时间，每提供一个类似饮用水供应服务项目业绩（同类项目）得</w:t>
            </w:r>
            <w:r>
              <w:rPr>
                <w:rFonts w:hint="eastAsia" w:ascii="宋体" w:hAnsi="宋体" w:eastAsia="宋体" w:cs="宋体"/>
                <w:color w:val="auto"/>
                <w:sz w:val="18"/>
                <w:szCs w:val="18"/>
                <w:highlight w:val="none"/>
                <w:lang w:val="en-US" w:eastAsia="zh-CN"/>
              </w:rPr>
              <w:t>3</w:t>
            </w:r>
            <w:r>
              <w:rPr>
                <w:rFonts w:hint="eastAsia" w:ascii="宋体" w:hAnsi="宋体" w:eastAsia="宋体" w:cs="宋体"/>
                <w:color w:val="auto"/>
                <w:sz w:val="18"/>
                <w:szCs w:val="18"/>
                <w:highlight w:val="none"/>
              </w:rPr>
              <w:t>分，满分</w:t>
            </w:r>
            <w:r>
              <w:rPr>
                <w:rFonts w:hint="eastAsia" w:ascii="宋体" w:hAnsi="宋体" w:eastAsia="宋体" w:cs="宋体"/>
                <w:color w:val="auto"/>
                <w:sz w:val="18"/>
                <w:szCs w:val="18"/>
                <w:highlight w:val="none"/>
                <w:lang w:val="en-US" w:eastAsia="zh-CN"/>
              </w:rPr>
              <w:t>9</w:t>
            </w:r>
            <w:r>
              <w:rPr>
                <w:rFonts w:hint="eastAsia" w:ascii="宋体" w:hAnsi="宋体" w:eastAsia="宋体" w:cs="宋体"/>
                <w:color w:val="auto"/>
                <w:sz w:val="18"/>
                <w:szCs w:val="18"/>
                <w:highlight w:val="none"/>
              </w:rPr>
              <w:t>分。以有效的合同复印件或成交通知书复印件为准。</w:t>
            </w:r>
          </w:p>
        </w:tc>
      </w:tr>
      <w:tr w14:paraId="3DE3E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8" w:type="dxa"/>
          </w:tcPr>
          <w:p w14:paraId="3E3EE5AE">
            <w:pPr>
              <w:spacing w:line="380" w:lineRule="exact"/>
              <w:jc w:val="center"/>
              <w:rPr>
                <w:rFonts w:ascii="宋体" w:hAnsi="宋体" w:eastAsia="宋体" w:cs="宋体"/>
                <w:color w:val="auto"/>
                <w:sz w:val="18"/>
                <w:szCs w:val="18"/>
                <w:highlight w:val="none"/>
              </w:rPr>
            </w:pPr>
            <w:r>
              <w:rPr>
                <w:rFonts w:hint="eastAsia" w:ascii="宋体" w:hAnsi="宋体" w:eastAsia="宋体" w:cs="宋体"/>
                <w:color w:val="auto"/>
                <w:sz w:val="18"/>
                <w:szCs w:val="18"/>
                <w:highlight w:val="none"/>
              </w:rPr>
              <w:t>合计</w:t>
            </w:r>
          </w:p>
        </w:tc>
        <w:tc>
          <w:tcPr>
            <w:tcW w:w="1890" w:type="dxa"/>
          </w:tcPr>
          <w:p w14:paraId="702C306E">
            <w:pPr>
              <w:spacing w:line="380" w:lineRule="exact"/>
              <w:jc w:val="left"/>
              <w:rPr>
                <w:rFonts w:ascii="宋体" w:hAnsi="宋体" w:eastAsia="宋体" w:cs="宋体"/>
                <w:color w:val="auto"/>
                <w:sz w:val="18"/>
                <w:szCs w:val="18"/>
                <w:highlight w:val="none"/>
              </w:rPr>
            </w:pPr>
            <w:r>
              <w:rPr>
                <w:rFonts w:hint="eastAsia" w:ascii="宋体" w:hAnsi="宋体" w:eastAsia="宋体" w:cs="宋体"/>
                <w:color w:val="auto"/>
                <w:sz w:val="18"/>
                <w:szCs w:val="18"/>
                <w:highlight w:val="none"/>
              </w:rPr>
              <w:t>总分</w:t>
            </w:r>
          </w:p>
        </w:tc>
        <w:tc>
          <w:tcPr>
            <w:tcW w:w="795" w:type="dxa"/>
          </w:tcPr>
          <w:p w14:paraId="18EF6F4B">
            <w:pPr>
              <w:spacing w:line="380" w:lineRule="exact"/>
              <w:jc w:val="left"/>
              <w:rPr>
                <w:rFonts w:ascii="宋体" w:hAnsi="宋体" w:eastAsia="宋体" w:cs="宋体"/>
                <w:color w:val="auto"/>
                <w:sz w:val="18"/>
                <w:szCs w:val="18"/>
                <w:highlight w:val="none"/>
              </w:rPr>
            </w:pPr>
            <w:r>
              <w:rPr>
                <w:rFonts w:hint="eastAsia" w:ascii="宋体" w:hAnsi="宋体" w:eastAsia="宋体" w:cs="宋体"/>
                <w:color w:val="auto"/>
                <w:sz w:val="18"/>
                <w:szCs w:val="18"/>
                <w:highlight w:val="none"/>
              </w:rPr>
              <w:t>100分</w:t>
            </w:r>
          </w:p>
        </w:tc>
        <w:tc>
          <w:tcPr>
            <w:tcW w:w="5025" w:type="dxa"/>
          </w:tcPr>
          <w:p w14:paraId="79FC66E5">
            <w:pPr>
              <w:spacing w:line="380" w:lineRule="exact"/>
              <w:jc w:val="left"/>
              <w:rPr>
                <w:rFonts w:ascii="宋体" w:hAnsi="宋体" w:eastAsia="宋体" w:cs="宋体"/>
                <w:color w:val="auto"/>
                <w:sz w:val="18"/>
                <w:szCs w:val="18"/>
                <w:highlight w:val="none"/>
              </w:rPr>
            </w:pPr>
          </w:p>
        </w:tc>
      </w:tr>
    </w:tbl>
    <w:p w14:paraId="325AEF05">
      <w:pPr>
        <w:spacing w:line="380" w:lineRule="exact"/>
        <w:ind w:firstLine="560"/>
        <w:jc w:val="left"/>
        <w:rPr>
          <w:rFonts w:asciiTheme="minorEastAsia" w:hAnsiTheme="minorEastAsia"/>
          <w:b/>
          <w:bCs/>
          <w:color w:val="auto"/>
          <w:szCs w:val="21"/>
          <w:highlight w:val="none"/>
        </w:rPr>
      </w:pPr>
      <w:r>
        <w:rPr>
          <w:rFonts w:asciiTheme="minorEastAsia" w:hAnsiTheme="minorEastAsia"/>
          <w:b/>
          <w:bCs/>
          <w:color w:val="auto"/>
          <w:szCs w:val="21"/>
          <w:highlight w:val="none"/>
        </w:rPr>
        <w:t>注：请各位供应商严格按照评分办法</w:t>
      </w:r>
      <w:r>
        <w:rPr>
          <w:rFonts w:hint="eastAsia" w:asciiTheme="minorEastAsia" w:hAnsiTheme="minorEastAsia"/>
          <w:b/>
          <w:bCs/>
          <w:color w:val="auto"/>
          <w:szCs w:val="21"/>
          <w:highlight w:val="none"/>
        </w:rPr>
        <w:t>逐项</w:t>
      </w:r>
      <w:r>
        <w:rPr>
          <w:rFonts w:asciiTheme="minorEastAsia" w:hAnsiTheme="minorEastAsia"/>
          <w:b/>
          <w:bCs/>
          <w:color w:val="auto"/>
          <w:szCs w:val="21"/>
          <w:highlight w:val="none"/>
        </w:rPr>
        <w:t>准备</w:t>
      </w:r>
      <w:r>
        <w:rPr>
          <w:rFonts w:hint="eastAsia" w:asciiTheme="minorEastAsia" w:hAnsiTheme="minorEastAsia"/>
          <w:b/>
          <w:bCs/>
          <w:color w:val="auto"/>
          <w:szCs w:val="21"/>
          <w:highlight w:val="none"/>
        </w:rPr>
        <w:t>响应文件</w:t>
      </w:r>
      <w:r>
        <w:rPr>
          <w:rFonts w:asciiTheme="minorEastAsia" w:hAnsiTheme="minorEastAsia"/>
          <w:b/>
          <w:bCs/>
          <w:color w:val="auto"/>
          <w:szCs w:val="21"/>
          <w:highlight w:val="none"/>
        </w:rPr>
        <w:t>。</w:t>
      </w:r>
    </w:p>
    <w:p w14:paraId="6449F8C8">
      <w:pPr>
        <w:spacing w:line="380" w:lineRule="exact"/>
        <w:ind w:firstLine="422" w:firstLineChars="200"/>
        <w:jc w:val="left"/>
        <w:rPr>
          <w:rFonts w:asciiTheme="minorEastAsia" w:hAnsiTheme="minorEastAsia"/>
          <w:b/>
          <w:bCs/>
          <w:color w:val="auto"/>
          <w:szCs w:val="21"/>
          <w:highlight w:val="none"/>
        </w:rPr>
      </w:pPr>
      <w:r>
        <w:rPr>
          <w:rFonts w:asciiTheme="minorEastAsia" w:hAnsiTheme="minorEastAsia"/>
          <w:b/>
          <w:bCs/>
          <w:color w:val="auto"/>
          <w:szCs w:val="21"/>
          <w:highlight w:val="none"/>
        </w:rPr>
        <w:t>（三）成交候选人推荐原则</w:t>
      </w:r>
    </w:p>
    <w:p w14:paraId="010601C8">
      <w:pPr>
        <w:spacing w:line="380" w:lineRule="exact"/>
        <w:ind w:firstLine="420" w:firstLineChars="200"/>
        <w:jc w:val="left"/>
        <w:rPr>
          <w:rFonts w:asciiTheme="minorEastAsia" w:hAnsiTheme="minorEastAsia"/>
          <w:color w:val="auto"/>
          <w:szCs w:val="21"/>
          <w:highlight w:val="none"/>
        </w:rPr>
      </w:pPr>
      <w:r>
        <w:rPr>
          <w:rFonts w:hint="eastAsia" w:asciiTheme="minorEastAsia" w:hAnsiTheme="minorEastAsia"/>
          <w:color w:val="auto"/>
          <w:szCs w:val="21"/>
          <w:highlight w:val="none"/>
        </w:rPr>
        <w:t>评审</w:t>
      </w:r>
      <w:r>
        <w:rPr>
          <w:rFonts w:asciiTheme="minorEastAsia" w:hAnsiTheme="minorEastAsia"/>
          <w:color w:val="auto"/>
          <w:szCs w:val="21"/>
          <w:highlight w:val="none"/>
        </w:rPr>
        <w:t>委员会将根据总得分由高到低排列次序（得分相同时，以</w:t>
      </w:r>
      <w:r>
        <w:rPr>
          <w:rFonts w:hint="eastAsia"/>
          <w:color w:val="auto"/>
          <w:highlight w:val="none"/>
        </w:rPr>
        <w:t>4类水报价合计</w:t>
      </w:r>
      <w:r>
        <w:rPr>
          <w:rFonts w:asciiTheme="minorEastAsia" w:hAnsiTheme="minorEastAsia"/>
          <w:color w:val="auto"/>
          <w:szCs w:val="21"/>
          <w:highlight w:val="none"/>
        </w:rPr>
        <w:t>由低到高顺序排列；得分相同且</w:t>
      </w:r>
      <w:r>
        <w:rPr>
          <w:rFonts w:hint="eastAsia" w:asciiTheme="minorEastAsia" w:hAnsiTheme="minorEastAsia"/>
          <w:color w:val="auto"/>
          <w:szCs w:val="21"/>
          <w:highlight w:val="none"/>
        </w:rPr>
        <w:t>响应</w:t>
      </w:r>
      <w:r>
        <w:rPr>
          <w:rFonts w:asciiTheme="minorEastAsia" w:hAnsiTheme="minorEastAsia"/>
          <w:color w:val="auto"/>
          <w:szCs w:val="21"/>
          <w:highlight w:val="none"/>
        </w:rPr>
        <w:t>报价相同的，按</w:t>
      </w:r>
      <w:r>
        <w:rPr>
          <w:rFonts w:hint="eastAsia" w:asciiTheme="minorEastAsia" w:hAnsiTheme="minorEastAsia"/>
          <w:color w:val="auto"/>
          <w:szCs w:val="21"/>
          <w:highlight w:val="none"/>
        </w:rPr>
        <w:t>技术分由高到低排序</w:t>
      </w:r>
      <w:r>
        <w:rPr>
          <w:rFonts w:asciiTheme="minorEastAsia" w:hAnsiTheme="minorEastAsia"/>
          <w:color w:val="auto"/>
          <w:szCs w:val="21"/>
          <w:highlight w:val="none"/>
        </w:rPr>
        <w:t>）并推荐成交候选供应商。</w:t>
      </w:r>
    </w:p>
    <w:p w14:paraId="24E715E9">
      <w:pPr>
        <w:spacing w:before="156" w:beforeLines="50" w:line="380" w:lineRule="exact"/>
        <w:jc w:val="left"/>
        <w:outlineLvl w:val="0"/>
        <w:rPr>
          <w:rFonts w:asciiTheme="minorEastAsia" w:hAnsiTheme="minorEastAsia"/>
          <w:b/>
          <w:color w:val="auto"/>
          <w:szCs w:val="21"/>
          <w:highlight w:val="none"/>
        </w:rPr>
      </w:pPr>
      <w:r>
        <w:rPr>
          <w:rFonts w:hint="eastAsia" w:asciiTheme="minorEastAsia" w:hAnsiTheme="minorEastAsia"/>
          <w:b/>
          <w:color w:val="auto"/>
          <w:szCs w:val="21"/>
          <w:highlight w:val="none"/>
        </w:rPr>
        <w:t>八、其他说明</w:t>
      </w:r>
    </w:p>
    <w:p w14:paraId="0E5B5FD6">
      <w:pPr>
        <w:pStyle w:val="6"/>
        <w:widowControl/>
        <w:spacing w:beforeAutospacing="0" w:afterAutospacing="0" w:line="380" w:lineRule="exact"/>
        <w:ind w:firstLine="408"/>
        <w:rPr>
          <w:rFonts w:asciiTheme="minorEastAsia" w:hAnsiTheme="minorEastAsia" w:cstheme="minorBidi"/>
          <w:color w:val="auto"/>
          <w:kern w:val="2"/>
          <w:sz w:val="21"/>
          <w:szCs w:val="21"/>
          <w:highlight w:val="none"/>
        </w:rPr>
      </w:pPr>
      <w:r>
        <w:rPr>
          <w:rFonts w:hint="eastAsia" w:asciiTheme="minorEastAsia" w:hAnsiTheme="minorEastAsia" w:cstheme="minorBidi"/>
          <w:color w:val="auto"/>
          <w:kern w:val="2"/>
          <w:sz w:val="21"/>
          <w:szCs w:val="21"/>
          <w:highlight w:val="none"/>
        </w:rPr>
        <w:t>（一）各供应商须在2026年9月</w:t>
      </w:r>
      <w:r>
        <w:rPr>
          <w:rFonts w:hint="eastAsia" w:asciiTheme="minorEastAsia" w:hAnsiTheme="minorEastAsia" w:cstheme="minorBidi"/>
          <w:color w:val="auto"/>
          <w:kern w:val="2"/>
          <w:sz w:val="21"/>
          <w:szCs w:val="21"/>
          <w:highlight w:val="none"/>
          <w:lang w:val="en-US" w:eastAsia="zh-CN"/>
        </w:rPr>
        <w:t>15</w:t>
      </w:r>
      <w:r>
        <w:rPr>
          <w:rFonts w:hint="eastAsia" w:asciiTheme="minorEastAsia" w:hAnsiTheme="minorEastAsia" w:cstheme="minorBidi"/>
          <w:color w:val="auto"/>
          <w:kern w:val="2"/>
          <w:sz w:val="21"/>
          <w:szCs w:val="21"/>
          <w:highlight w:val="none"/>
        </w:rPr>
        <w:t>日</w:t>
      </w:r>
      <w:r>
        <w:rPr>
          <w:rFonts w:hint="eastAsia" w:asciiTheme="minorEastAsia" w:hAnsiTheme="minorEastAsia" w:cstheme="minorBidi"/>
          <w:color w:val="auto"/>
          <w:kern w:val="2"/>
          <w:sz w:val="21"/>
          <w:szCs w:val="21"/>
          <w:highlight w:val="none"/>
          <w:lang w:val="en-US" w:eastAsia="zh-CN"/>
        </w:rPr>
        <w:t>上午9</w:t>
      </w:r>
      <w:r>
        <w:rPr>
          <w:rFonts w:hint="eastAsia" w:asciiTheme="minorEastAsia" w:hAnsiTheme="minorEastAsia" w:cstheme="minorBidi"/>
          <w:color w:val="auto"/>
          <w:kern w:val="2"/>
          <w:sz w:val="21"/>
          <w:szCs w:val="21"/>
          <w:highlight w:val="none"/>
        </w:rPr>
        <w:t>:</w:t>
      </w:r>
      <w:r>
        <w:rPr>
          <w:rFonts w:hint="eastAsia" w:asciiTheme="minorEastAsia" w:hAnsiTheme="minorEastAsia" w:cstheme="minorBidi"/>
          <w:color w:val="auto"/>
          <w:kern w:val="2"/>
          <w:sz w:val="21"/>
          <w:szCs w:val="21"/>
          <w:highlight w:val="none"/>
          <w:lang w:val="en-US" w:eastAsia="zh-CN"/>
        </w:rPr>
        <w:t>00</w:t>
      </w:r>
      <w:r>
        <w:rPr>
          <w:rFonts w:hint="eastAsia" w:asciiTheme="minorEastAsia" w:hAnsiTheme="minorEastAsia" w:cstheme="minorBidi"/>
          <w:color w:val="auto"/>
          <w:kern w:val="2"/>
          <w:sz w:val="21"/>
          <w:szCs w:val="21"/>
          <w:highlight w:val="none"/>
        </w:rPr>
        <w:t>-</w:t>
      </w:r>
      <w:r>
        <w:rPr>
          <w:rFonts w:hint="eastAsia" w:asciiTheme="minorEastAsia" w:hAnsiTheme="minorEastAsia" w:cstheme="minorBidi"/>
          <w:color w:val="auto"/>
          <w:kern w:val="2"/>
          <w:sz w:val="21"/>
          <w:szCs w:val="21"/>
          <w:highlight w:val="none"/>
          <w:lang w:val="en-US" w:eastAsia="zh-CN"/>
        </w:rPr>
        <w:t>11</w:t>
      </w:r>
      <w:r>
        <w:rPr>
          <w:rFonts w:hint="eastAsia" w:asciiTheme="minorEastAsia" w:hAnsiTheme="minorEastAsia" w:cstheme="minorBidi"/>
          <w:color w:val="auto"/>
          <w:kern w:val="2"/>
          <w:sz w:val="21"/>
          <w:szCs w:val="21"/>
          <w:highlight w:val="none"/>
        </w:rPr>
        <w:t>:</w:t>
      </w:r>
      <w:r>
        <w:rPr>
          <w:rFonts w:hint="eastAsia" w:asciiTheme="minorEastAsia" w:hAnsiTheme="minorEastAsia" w:cstheme="minorBidi"/>
          <w:color w:val="auto"/>
          <w:kern w:val="2"/>
          <w:sz w:val="21"/>
          <w:szCs w:val="21"/>
          <w:highlight w:val="none"/>
          <w:lang w:val="en-US" w:eastAsia="zh-CN"/>
        </w:rPr>
        <w:t>00</w:t>
      </w:r>
      <w:r>
        <w:rPr>
          <w:rFonts w:hint="eastAsia" w:asciiTheme="minorEastAsia" w:hAnsiTheme="minorEastAsia" w:cstheme="minorBidi"/>
          <w:color w:val="auto"/>
          <w:kern w:val="2"/>
          <w:sz w:val="21"/>
          <w:szCs w:val="21"/>
          <w:highlight w:val="none"/>
        </w:rPr>
        <w:t>之间自带响应文件到南宁市青秀区教育路7号广西艺术学院雕塑楼107室，联系人：高老师，朱老师，李老师，联系电话：0771-5327987，逾期者被视为放弃响应资格。</w:t>
      </w:r>
    </w:p>
    <w:p w14:paraId="23E6F92B">
      <w:pPr>
        <w:pStyle w:val="2"/>
        <w:ind w:firstLine="420" w:firstLineChars="200"/>
        <w:rPr>
          <w:rFonts w:ascii="宋体" w:hAnsi="宋体" w:eastAsia="宋体" w:cs="宋体"/>
          <w:color w:val="auto"/>
          <w:szCs w:val="21"/>
          <w:highlight w:val="none"/>
          <w:shd w:val="clear" w:color="auto" w:fill="FFFFFF"/>
        </w:rPr>
      </w:pPr>
      <w:r>
        <w:rPr>
          <w:rFonts w:hint="eastAsia" w:asciiTheme="minorEastAsia" w:hAnsiTheme="minorEastAsia"/>
          <w:color w:val="auto"/>
          <w:szCs w:val="21"/>
          <w:highlight w:val="none"/>
        </w:rPr>
        <w:t>（二）</w:t>
      </w:r>
      <w:r>
        <w:rPr>
          <w:rFonts w:hint="eastAsia" w:ascii="宋体" w:hAnsi="宋体" w:eastAsia="宋体" w:cs="宋体"/>
          <w:color w:val="auto"/>
          <w:szCs w:val="21"/>
          <w:highlight w:val="none"/>
          <w:shd w:val="clear" w:color="auto" w:fill="FFFFFF"/>
        </w:rPr>
        <w:t>本次采购的相关信息（包括但不限于采购公告与附件及其修改、补充、澄清等，下同）在广西艺术学院主页的“机构设置-财务资产处-招标公告”栏（网址：https://cwc.gxau.edu.cn/zbgg2）上发布，本次采购的相关信息一经在上述网站发布，即视为已发送给供应商。供应商据此参与本次采购活动</w:t>
      </w:r>
      <w:r>
        <w:rPr>
          <w:rFonts w:hint="eastAsia"/>
          <w:color w:val="auto"/>
          <w:highlight w:val="none"/>
        </w:rPr>
        <w:t>并按时提交响应文件</w:t>
      </w:r>
      <w:r>
        <w:rPr>
          <w:rFonts w:hint="eastAsia" w:ascii="宋体" w:hAnsi="宋体" w:eastAsia="宋体" w:cs="宋体"/>
          <w:color w:val="auto"/>
          <w:szCs w:val="21"/>
          <w:highlight w:val="none"/>
          <w:shd w:val="clear" w:color="auto" w:fill="FFFFFF"/>
        </w:rPr>
        <w:t>，即视为对本次采购的相关信息、内容及规则没有异议。</w:t>
      </w:r>
      <w:bookmarkStart w:id="3" w:name="_Toc515355259"/>
    </w:p>
    <w:p w14:paraId="2812B524">
      <w:pPr>
        <w:rPr>
          <w:rFonts w:ascii="宋体" w:hAnsi="宋体" w:eastAsia="宋体" w:cs="宋体"/>
          <w:color w:val="auto"/>
          <w:szCs w:val="21"/>
          <w:highlight w:val="none"/>
          <w:shd w:val="clear" w:color="auto" w:fill="FFFFFF"/>
        </w:rPr>
      </w:pPr>
      <w:r>
        <w:rPr>
          <w:rFonts w:hint="eastAsia" w:ascii="宋体" w:hAnsi="宋体" w:eastAsia="宋体" w:cs="宋体"/>
          <w:color w:val="auto"/>
          <w:szCs w:val="21"/>
          <w:highlight w:val="none"/>
          <w:shd w:val="clear" w:color="auto" w:fill="FFFFFF"/>
        </w:rPr>
        <w:br w:type="page"/>
      </w:r>
    </w:p>
    <w:bookmarkEnd w:id="3"/>
    <w:p w14:paraId="49534EAB">
      <w:pPr>
        <w:spacing w:line="380" w:lineRule="exact"/>
        <w:jc w:val="left"/>
        <w:rPr>
          <w:b/>
          <w:color w:val="auto"/>
          <w:szCs w:val="21"/>
          <w:highlight w:val="none"/>
        </w:rPr>
      </w:pPr>
      <w:r>
        <w:rPr>
          <w:rFonts w:hint="eastAsia"/>
          <w:b/>
          <w:color w:val="auto"/>
          <w:szCs w:val="21"/>
          <w:highlight w:val="none"/>
        </w:rPr>
        <w:t>合同范本（以最终签订的版本为准）</w:t>
      </w:r>
    </w:p>
    <w:p w14:paraId="496E74D7">
      <w:pPr>
        <w:pStyle w:val="6"/>
        <w:widowControl/>
        <w:spacing w:beforeAutospacing="0" w:afterAutospacing="0" w:line="480" w:lineRule="auto"/>
        <w:jc w:val="center"/>
        <w:textAlignment w:val="baseline"/>
        <w:rPr>
          <w:rFonts w:asciiTheme="minorEastAsia" w:hAnsiTheme="minorEastAsia" w:cstheme="minorEastAsia"/>
          <w:b/>
          <w:color w:val="auto"/>
          <w:sz w:val="36"/>
          <w:szCs w:val="36"/>
          <w:highlight w:val="none"/>
        </w:rPr>
      </w:pPr>
    </w:p>
    <w:p w14:paraId="10D9F7E3">
      <w:pPr>
        <w:pStyle w:val="6"/>
        <w:widowControl/>
        <w:spacing w:beforeAutospacing="0" w:afterAutospacing="0" w:line="480" w:lineRule="auto"/>
        <w:jc w:val="center"/>
        <w:textAlignment w:val="baseline"/>
        <w:rPr>
          <w:rFonts w:asciiTheme="minorEastAsia" w:hAnsiTheme="minorEastAsia" w:cstheme="minorEastAsia"/>
          <w:b/>
          <w:color w:val="auto"/>
          <w:sz w:val="32"/>
          <w:szCs w:val="32"/>
          <w:highlight w:val="none"/>
        </w:rPr>
      </w:pPr>
      <w:r>
        <w:rPr>
          <w:rFonts w:hint="eastAsia" w:asciiTheme="minorEastAsia" w:hAnsiTheme="minorEastAsia" w:cstheme="minorEastAsia"/>
          <w:b/>
          <w:color w:val="auto"/>
          <w:sz w:val="32"/>
          <w:szCs w:val="32"/>
          <w:highlight w:val="none"/>
        </w:rPr>
        <w:t>广西艺术学院2026年-2028年办公区饮用水供应</w:t>
      </w:r>
    </w:p>
    <w:p w14:paraId="2D2A4549">
      <w:pPr>
        <w:pStyle w:val="6"/>
        <w:widowControl/>
        <w:spacing w:beforeAutospacing="0" w:afterAutospacing="0" w:line="480" w:lineRule="auto"/>
        <w:jc w:val="center"/>
        <w:textAlignment w:val="baseline"/>
        <w:rPr>
          <w:rFonts w:asciiTheme="minorEastAsia" w:hAnsiTheme="minorEastAsia" w:cstheme="minorEastAsia"/>
          <w:b/>
          <w:color w:val="auto"/>
          <w:sz w:val="32"/>
          <w:szCs w:val="32"/>
          <w:highlight w:val="none"/>
        </w:rPr>
      </w:pPr>
      <w:r>
        <w:rPr>
          <w:rFonts w:hint="eastAsia" w:asciiTheme="minorEastAsia" w:hAnsiTheme="minorEastAsia" w:cstheme="minorEastAsia"/>
          <w:b/>
          <w:color w:val="auto"/>
          <w:sz w:val="32"/>
          <w:szCs w:val="32"/>
          <w:highlight w:val="none"/>
        </w:rPr>
        <w:t>服务合同</w:t>
      </w:r>
    </w:p>
    <w:p w14:paraId="73C885FB">
      <w:pPr>
        <w:pStyle w:val="6"/>
        <w:widowControl/>
        <w:spacing w:beforeAutospacing="0" w:afterAutospacing="0" w:line="360" w:lineRule="auto"/>
        <w:textAlignment w:val="baseline"/>
        <w:rPr>
          <w:rFonts w:asciiTheme="minorEastAsia" w:hAnsiTheme="minorEastAsia" w:cstheme="minorEastAsia"/>
          <w:color w:val="auto"/>
          <w:sz w:val="21"/>
          <w:szCs w:val="21"/>
          <w:highlight w:val="none"/>
        </w:rPr>
      </w:pPr>
      <w:r>
        <w:rPr>
          <w:rFonts w:hint="eastAsia" w:asciiTheme="minorEastAsia" w:hAnsiTheme="minorEastAsia" w:cstheme="minorEastAsia"/>
          <w:color w:val="auto"/>
          <w:sz w:val="21"/>
          <w:szCs w:val="21"/>
          <w:highlight w:val="none"/>
        </w:rPr>
        <w:t>订购方（甲方）：广西艺术学院</w:t>
      </w:r>
    </w:p>
    <w:p w14:paraId="049DC968">
      <w:pPr>
        <w:pStyle w:val="6"/>
        <w:widowControl/>
        <w:spacing w:beforeAutospacing="0" w:afterAutospacing="0" w:line="360" w:lineRule="auto"/>
        <w:textAlignment w:val="baseline"/>
        <w:rPr>
          <w:rFonts w:asciiTheme="minorEastAsia" w:hAnsiTheme="minorEastAsia" w:cstheme="minorEastAsia"/>
          <w:color w:val="auto"/>
          <w:sz w:val="21"/>
          <w:szCs w:val="21"/>
          <w:highlight w:val="none"/>
        </w:rPr>
      </w:pPr>
      <w:r>
        <w:rPr>
          <w:rFonts w:hint="eastAsia" w:asciiTheme="minorEastAsia" w:hAnsiTheme="minorEastAsia" w:cstheme="minorEastAsia"/>
          <w:color w:val="auto"/>
          <w:sz w:val="21"/>
          <w:szCs w:val="21"/>
          <w:highlight w:val="none"/>
        </w:rPr>
        <w:t>配送方（乙方）：</w:t>
      </w:r>
    </w:p>
    <w:p w14:paraId="33221D79">
      <w:pPr>
        <w:pStyle w:val="6"/>
        <w:widowControl/>
        <w:spacing w:beforeAutospacing="0" w:afterAutospacing="0" w:line="360" w:lineRule="auto"/>
        <w:ind w:firstLine="420" w:firstLineChars="200"/>
        <w:textAlignment w:val="baseline"/>
        <w:rPr>
          <w:rFonts w:asciiTheme="minorEastAsia" w:hAnsiTheme="minorEastAsia" w:cstheme="minorEastAsia"/>
          <w:color w:val="auto"/>
          <w:sz w:val="21"/>
          <w:szCs w:val="21"/>
          <w:highlight w:val="none"/>
        </w:rPr>
      </w:pPr>
      <w:r>
        <w:rPr>
          <w:rFonts w:hint="eastAsia" w:asciiTheme="minorEastAsia" w:hAnsiTheme="minorEastAsia" w:cstheme="minorEastAsia"/>
          <w:color w:val="auto"/>
          <w:sz w:val="21"/>
          <w:szCs w:val="21"/>
          <w:highlight w:val="none"/>
        </w:rPr>
        <w:t>甲、乙双方本着公正、诚信、互惠互利、友好合作的原则，由乙方负责向甲方提供饮用水配送服务事宜，为保证双方的权益，立此协议。</w:t>
      </w:r>
    </w:p>
    <w:p w14:paraId="6BDC8F03">
      <w:pPr>
        <w:pStyle w:val="6"/>
        <w:widowControl/>
        <w:spacing w:beforeAutospacing="0" w:afterAutospacing="0" w:line="360" w:lineRule="auto"/>
        <w:textAlignment w:val="baseline"/>
        <w:rPr>
          <w:rFonts w:asciiTheme="minorEastAsia" w:hAnsiTheme="minorEastAsia" w:cstheme="minorEastAsia"/>
          <w:b/>
          <w:bCs/>
          <w:color w:val="auto"/>
          <w:sz w:val="21"/>
          <w:szCs w:val="21"/>
          <w:highlight w:val="none"/>
        </w:rPr>
      </w:pPr>
      <w:r>
        <w:rPr>
          <w:rFonts w:hint="eastAsia" w:asciiTheme="minorEastAsia" w:hAnsiTheme="minorEastAsia" w:cstheme="minorEastAsia"/>
          <w:b/>
          <w:bCs/>
          <w:color w:val="auto"/>
          <w:sz w:val="21"/>
          <w:szCs w:val="21"/>
          <w:highlight w:val="none"/>
        </w:rPr>
        <w:t>一、配送服务期限</w:t>
      </w:r>
    </w:p>
    <w:p w14:paraId="68D8009D">
      <w:pPr>
        <w:pStyle w:val="6"/>
        <w:widowControl/>
        <w:spacing w:beforeAutospacing="0" w:afterAutospacing="0" w:line="360" w:lineRule="auto"/>
        <w:ind w:firstLine="420" w:firstLineChars="200"/>
        <w:textAlignment w:val="baseline"/>
        <w:rPr>
          <w:rFonts w:asciiTheme="minorEastAsia" w:hAnsiTheme="minorEastAsia" w:cstheme="minorEastAsia"/>
          <w:color w:val="auto"/>
          <w:sz w:val="21"/>
          <w:szCs w:val="21"/>
          <w:highlight w:val="none"/>
          <w:shd w:val="clear" w:color="auto" w:fill="FFFFFF"/>
        </w:rPr>
      </w:pPr>
      <w:r>
        <w:rPr>
          <w:rFonts w:hint="eastAsia" w:asciiTheme="minorEastAsia" w:hAnsiTheme="minorEastAsia" w:cstheme="minorEastAsia"/>
          <w:color w:val="auto"/>
          <w:sz w:val="21"/>
          <w:szCs w:val="21"/>
          <w:highlight w:val="none"/>
        </w:rPr>
        <w:t>1.广西艺术学院（甲方）</w:t>
      </w:r>
      <w:bookmarkStart w:id="4" w:name="_Hlk176208657"/>
      <w:r>
        <w:rPr>
          <w:rFonts w:hint="eastAsia" w:asciiTheme="minorEastAsia" w:hAnsiTheme="minorEastAsia" w:cstheme="minorEastAsia"/>
          <w:color w:val="auto"/>
          <w:sz w:val="21"/>
          <w:szCs w:val="21"/>
          <w:highlight w:val="none"/>
          <w:shd w:val="clear" w:color="auto" w:fill="FFFFFF"/>
        </w:rPr>
        <w:t>南湖校区、相思湖校区共两个校区</w:t>
      </w:r>
      <w:bookmarkEnd w:id="4"/>
      <w:r>
        <w:rPr>
          <w:rFonts w:hint="eastAsia" w:asciiTheme="minorEastAsia" w:hAnsiTheme="minorEastAsia" w:cstheme="minorEastAsia"/>
          <w:color w:val="auto"/>
          <w:sz w:val="21"/>
          <w:szCs w:val="21"/>
          <w:highlight w:val="none"/>
          <w:shd w:val="clear" w:color="auto" w:fill="FFFFFF"/>
        </w:rPr>
        <w:t>办公区瓶装水及桶装水供应自签订合同之日起</w:t>
      </w:r>
      <w:r>
        <w:rPr>
          <w:rFonts w:asciiTheme="minorEastAsia" w:hAnsiTheme="minorEastAsia" w:cstheme="minorEastAsia"/>
          <w:color w:val="auto"/>
          <w:sz w:val="21"/>
          <w:szCs w:val="21"/>
          <w:highlight w:val="none"/>
          <w:shd w:val="clear" w:color="auto" w:fill="FFFFFF"/>
        </w:rPr>
        <w:t>2</w:t>
      </w:r>
      <w:r>
        <w:rPr>
          <w:rFonts w:hint="eastAsia" w:asciiTheme="minorEastAsia" w:hAnsiTheme="minorEastAsia" w:cstheme="minorEastAsia"/>
          <w:color w:val="auto"/>
          <w:sz w:val="21"/>
          <w:szCs w:val="21"/>
          <w:highlight w:val="none"/>
          <w:shd w:val="clear" w:color="auto" w:fill="FFFFFF"/>
        </w:rPr>
        <w:t>年。</w:t>
      </w:r>
    </w:p>
    <w:p w14:paraId="0A3449AC">
      <w:pPr>
        <w:widowControl/>
        <w:shd w:val="clear" w:color="auto" w:fill="FFFFFF"/>
        <w:spacing w:line="360" w:lineRule="auto"/>
        <w:ind w:firstLine="420" w:firstLineChars="200"/>
        <w:jc w:val="left"/>
        <w:textAlignment w:val="baseline"/>
        <w:rPr>
          <w:rFonts w:asciiTheme="minorEastAsia" w:hAnsiTheme="minorEastAsia" w:cstheme="minorEastAsia"/>
          <w:color w:val="auto"/>
          <w:kern w:val="0"/>
          <w:szCs w:val="21"/>
          <w:highlight w:val="none"/>
        </w:rPr>
      </w:pPr>
      <w:r>
        <w:rPr>
          <w:rFonts w:hint="eastAsia" w:asciiTheme="minorEastAsia" w:hAnsiTheme="minorEastAsia" w:cstheme="minorEastAsia"/>
          <w:color w:val="auto"/>
          <w:kern w:val="0"/>
          <w:szCs w:val="21"/>
          <w:highlight w:val="none"/>
        </w:rPr>
        <w:t>2.甲方将向各部门（单位）教职工提供成交供应商的供水信息（含电话、价格），供各部门（单位）自行选择、订购瓶装水及桶装水。</w:t>
      </w:r>
    </w:p>
    <w:p w14:paraId="60A7207C">
      <w:pPr>
        <w:pStyle w:val="6"/>
        <w:widowControl/>
        <w:spacing w:beforeAutospacing="0" w:afterAutospacing="0" w:line="360" w:lineRule="auto"/>
        <w:textAlignment w:val="baseline"/>
        <w:rPr>
          <w:rFonts w:asciiTheme="minorEastAsia" w:hAnsiTheme="minorEastAsia" w:cstheme="minorEastAsia"/>
          <w:color w:val="auto"/>
          <w:sz w:val="21"/>
          <w:szCs w:val="21"/>
          <w:highlight w:val="none"/>
        </w:rPr>
      </w:pPr>
      <w:r>
        <w:rPr>
          <w:rFonts w:hint="eastAsia" w:asciiTheme="minorEastAsia" w:hAnsiTheme="minorEastAsia" w:cstheme="minorEastAsia"/>
          <w:b/>
          <w:bCs/>
          <w:color w:val="auto"/>
          <w:sz w:val="21"/>
          <w:szCs w:val="21"/>
          <w:highlight w:val="none"/>
        </w:rPr>
        <w:t>二、供货内容</w:t>
      </w:r>
    </w:p>
    <w:p w14:paraId="6F579B6F">
      <w:pPr>
        <w:spacing w:line="360" w:lineRule="auto"/>
        <w:ind w:firstLine="420" w:firstLineChars="200"/>
        <w:jc w:val="left"/>
        <w:rPr>
          <w:rFonts w:asciiTheme="minorEastAsia" w:hAnsiTheme="minorEastAsia"/>
          <w:color w:val="auto"/>
          <w:szCs w:val="21"/>
          <w:highlight w:val="none"/>
        </w:rPr>
      </w:pPr>
      <w:r>
        <w:rPr>
          <w:rFonts w:hint="eastAsia" w:asciiTheme="minorEastAsia" w:hAnsiTheme="minorEastAsia"/>
          <w:color w:val="auto"/>
          <w:szCs w:val="21"/>
          <w:highlight w:val="none"/>
        </w:rPr>
        <w:t>乙方向甲方供应办公饮用水（含瓶装水及桶装水），规格型号如下：</w:t>
      </w:r>
    </w:p>
    <w:tbl>
      <w:tblPr>
        <w:tblStyle w:val="8"/>
        <w:tblW w:w="511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4"/>
        <w:gridCol w:w="3666"/>
        <w:gridCol w:w="2740"/>
        <w:gridCol w:w="1401"/>
      </w:tblGrid>
      <w:tr w14:paraId="6AF2D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904" w:type="dxa"/>
            <w:vAlign w:val="center"/>
          </w:tcPr>
          <w:p w14:paraId="3A9367CD">
            <w:pPr>
              <w:widowControl/>
              <w:jc w:val="center"/>
              <w:rPr>
                <w:rFonts w:ascii="宋体" w:hAnsi="宋体" w:cs="宋体"/>
                <w:b/>
                <w:color w:val="auto"/>
                <w:kern w:val="0"/>
                <w:szCs w:val="21"/>
                <w:highlight w:val="none"/>
              </w:rPr>
            </w:pPr>
            <w:r>
              <w:rPr>
                <w:rFonts w:hint="eastAsia" w:ascii="宋体" w:hAnsi="宋体" w:cs="宋体"/>
                <w:b/>
                <w:color w:val="auto"/>
                <w:kern w:val="0"/>
                <w:szCs w:val="21"/>
                <w:highlight w:val="none"/>
              </w:rPr>
              <w:t>序号</w:t>
            </w:r>
          </w:p>
        </w:tc>
        <w:tc>
          <w:tcPr>
            <w:tcW w:w="3666" w:type="dxa"/>
            <w:vAlign w:val="center"/>
          </w:tcPr>
          <w:p w14:paraId="2E9B0F51">
            <w:pPr>
              <w:widowControl/>
              <w:jc w:val="center"/>
              <w:rPr>
                <w:rFonts w:ascii="宋体" w:hAnsi="宋体" w:cs="宋体"/>
                <w:b/>
                <w:color w:val="auto"/>
                <w:kern w:val="0"/>
                <w:szCs w:val="21"/>
                <w:highlight w:val="none"/>
              </w:rPr>
            </w:pPr>
            <w:r>
              <w:rPr>
                <w:rFonts w:hint="eastAsia" w:ascii="宋体" w:hAnsi="宋体" w:cs="宋体"/>
                <w:b/>
                <w:color w:val="auto"/>
                <w:kern w:val="0"/>
                <w:szCs w:val="21"/>
                <w:highlight w:val="none"/>
              </w:rPr>
              <w:t>产品名称</w:t>
            </w:r>
          </w:p>
        </w:tc>
        <w:tc>
          <w:tcPr>
            <w:tcW w:w="2740" w:type="dxa"/>
            <w:vAlign w:val="center"/>
          </w:tcPr>
          <w:p w14:paraId="385A9CEB">
            <w:pPr>
              <w:widowControl/>
              <w:jc w:val="center"/>
              <w:rPr>
                <w:rFonts w:ascii="宋体" w:hAnsi="宋体" w:cs="宋体"/>
                <w:b/>
                <w:color w:val="auto"/>
                <w:kern w:val="0"/>
                <w:szCs w:val="21"/>
                <w:highlight w:val="none"/>
              </w:rPr>
            </w:pPr>
            <w:bookmarkStart w:id="5" w:name="_Hlk176208144"/>
            <w:r>
              <w:rPr>
                <w:rFonts w:hint="eastAsia" w:ascii="宋体" w:hAnsi="宋体" w:cs="宋体"/>
                <w:b/>
                <w:color w:val="auto"/>
                <w:kern w:val="0"/>
                <w:szCs w:val="21"/>
                <w:highlight w:val="none"/>
              </w:rPr>
              <w:t>规格型号</w:t>
            </w:r>
            <w:bookmarkEnd w:id="5"/>
          </w:p>
        </w:tc>
        <w:tc>
          <w:tcPr>
            <w:tcW w:w="1401" w:type="dxa"/>
            <w:vAlign w:val="center"/>
          </w:tcPr>
          <w:p w14:paraId="656D5774">
            <w:pPr>
              <w:widowControl/>
              <w:jc w:val="center"/>
              <w:rPr>
                <w:rFonts w:ascii="宋体" w:hAnsi="宋体" w:cs="宋体"/>
                <w:b/>
                <w:color w:val="auto"/>
                <w:kern w:val="0"/>
                <w:szCs w:val="21"/>
                <w:highlight w:val="none"/>
              </w:rPr>
            </w:pPr>
            <w:r>
              <w:rPr>
                <w:rFonts w:hint="eastAsia" w:ascii="宋体" w:hAnsi="宋体" w:cs="宋体"/>
                <w:b/>
                <w:color w:val="auto"/>
                <w:kern w:val="0"/>
                <w:szCs w:val="21"/>
                <w:highlight w:val="none"/>
              </w:rPr>
              <w:t>单位</w:t>
            </w:r>
          </w:p>
        </w:tc>
      </w:tr>
      <w:tr w14:paraId="3A340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jc w:val="center"/>
        </w:trPr>
        <w:tc>
          <w:tcPr>
            <w:tcW w:w="904" w:type="dxa"/>
            <w:vAlign w:val="center"/>
          </w:tcPr>
          <w:p w14:paraId="39F8B601">
            <w:pPr>
              <w:widowControl/>
              <w:spacing w:line="360" w:lineRule="auto"/>
              <w:jc w:val="center"/>
              <w:rPr>
                <w:rFonts w:ascii="宋体" w:hAnsi="宋体" w:cs="宋体"/>
                <w:color w:val="auto"/>
                <w:kern w:val="0"/>
                <w:szCs w:val="21"/>
                <w:highlight w:val="none"/>
              </w:rPr>
            </w:pPr>
            <w:r>
              <w:rPr>
                <w:rFonts w:ascii="宋体" w:hAnsi="宋体" w:cs="宋体"/>
                <w:color w:val="auto"/>
                <w:kern w:val="0"/>
                <w:szCs w:val="21"/>
                <w:highlight w:val="none"/>
              </w:rPr>
              <w:t>1</w:t>
            </w:r>
          </w:p>
        </w:tc>
        <w:tc>
          <w:tcPr>
            <w:tcW w:w="3666" w:type="dxa"/>
            <w:vAlign w:val="center"/>
          </w:tcPr>
          <w:p w14:paraId="306622FE">
            <w:pPr>
              <w:widowControl/>
              <w:spacing w:line="360" w:lineRule="auto"/>
              <w:jc w:val="center"/>
              <w:rPr>
                <w:rFonts w:ascii="宋体" w:hAnsi="宋体" w:cs="宋体"/>
                <w:color w:val="auto"/>
                <w:kern w:val="0"/>
                <w:szCs w:val="21"/>
                <w:highlight w:val="none"/>
              </w:rPr>
            </w:pPr>
            <w:r>
              <w:rPr>
                <w:rFonts w:hint="eastAsia" w:ascii="宋体" w:hAnsi="宋体" w:cs="宋体"/>
                <w:color w:val="auto"/>
                <w:kern w:val="0"/>
                <w:szCs w:val="21"/>
                <w:highlight w:val="none"/>
              </w:rPr>
              <w:t>桶装水（循环桶）</w:t>
            </w:r>
          </w:p>
        </w:tc>
        <w:tc>
          <w:tcPr>
            <w:tcW w:w="2740" w:type="dxa"/>
            <w:vAlign w:val="center"/>
          </w:tcPr>
          <w:p w14:paraId="081C1B9A">
            <w:pPr>
              <w:widowControl/>
              <w:spacing w:line="360" w:lineRule="auto"/>
              <w:jc w:val="center"/>
              <w:rPr>
                <w:rFonts w:ascii="宋体" w:hAnsi="宋体" w:cs="宋体"/>
                <w:color w:val="auto"/>
                <w:kern w:val="0"/>
                <w:szCs w:val="21"/>
                <w:highlight w:val="none"/>
              </w:rPr>
            </w:pPr>
          </w:p>
        </w:tc>
        <w:tc>
          <w:tcPr>
            <w:tcW w:w="1401" w:type="dxa"/>
            <w:vAlign w:val="center"/>
          </w:tcPr>
          <w:p w14:paraId="53CEC090">
            <w:pPr>
              <w:widowControl/>
              <w:spacing w:line="360" w:lineRule="auto"/>
              <w:jc w:val="center"/>
              <w:rPr>
                <w:rFonts w:ascii="宋体" w:hAnsi="宋体" w:cs="宋体"/>
                <w:color w:val="auto"/>
                <w:kern w:val="0"/>
                <w:szCs w:val="21"/>
                <w:highlight w:val="none"/>
              </w:rPr>
            </w:pPr>
            <w:r>
              <w:rPr>
                <w:rFonts w:hint="eastAsia" w:ascii="宋体" w:hAnsi="宋体" w:cs="宋体"/>
                <w:color w:val="auto"/>
                <w:kern w:val="0"/>
                <w:szCs w:val="21"/>
                <w:highlight w:val="none"/>
              </w:rPr>
              <w:t>元/桶</w:t>
            </w:r>
          </w:p>
        </w:tc>
      </w:tr>
      <w:tr w14:paraId="3092C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904" w:type="dxa"/>
            <w:vAlign w:val="center"/>
          </w:tcPr>
          <w:p w14:paraId="3C93FDFB">
            <w:pPr>
              <w:widowControl/>
              <w:spacing w:line="360" w:lineRule="auto"/>
              <w:jc w:val="center"/>
              <w:rPr>
                <w:rFonts w:ascii="宋体" w:hAnsi="宋体" w:cs="宋体"/>
                <w:color w:val="auto"/>
                <w:kern w:val="0"/>
                <w:szCs w:val="21"/>
                <w:highlight w:val="none"/>
              </w:rPr>
            </w:pPr>
            <w:r>
              <w:rPr>
                <w:rFonts w:ascii="宋体" w:hAnsi="宋体" w:cs="宋体"/>
                <w:color w:val="auto"/>
                <w:kern w:val="0"/>
                <w:szCs w:val="21"/>
                <w:highlight w:val="none"/>
              </w:rPr>
              <w:t>2</w:t>
            </w:r>
          </w:p>
        </w:tc>
        <w:tc>
          <w:tcPr>
            <w:tcW w:w="3666" w:type="dxa"/>
            <w:vAlign w:val="center"/>
          </w:tcPr>
          <w:p w14:paraId="32FBF81F">
            <w:pPr>
              <w:widowControl/>
              <w:spacing w:line="360" w:lineRule="auto"/>
              <w:jc w:val="center"/>
              <w:rPr>
                <w:rFonts w:ascii="宋体" w:hAnsi="宋体" w:cs="宋体"/>
                <w:color w:val="auto"/>
                <w:kern w:val="0"/>
                <w:szCs w:val="21"/>
                <w:highlight w:val="none"/>
              </w:rPr>
            </w:pPr>
            <w:r>
              <w:rPr>
                <w:rFonts w:hint="eastAsia" w:ascii="宋体" w:hAnsi="宋体" w:cs="宋体"/>
                <w:color w:val="auto"/>
                <w:kern w:val="0"/>
                <w:szCs w:val="21"/>
                <w:highlight w:val="none"/>
              </w:rPr>
              <w:t>桶装水（一次性桶）</w:t>
            </w:r>
          </w:p>
        </w:tc>
        <w:tc>
          <w:tcPr>
            <w:tcW w:w="2740" w:type="dxa"/>
            <w:vAlign w:val="center"/>
          </w:tcPr>
          <w:p w14:paraId="187F5D51">
            <w:pPr>
              <w:widowControl/>
              <w:spacing w:line="360" w:lineRule="auto"/>
              <w:jc w:val="center"/>
              <w:rPr>
                <w:rFonts w:ascii="宋体" w:hAnsi="宋体" w:cs="宋体"/>
                <w:color w:val="auto"/>
                <w:kern w:val="0"/>
                <w:szCs w:val="21"/>
                <w:highlight w:val="none"/>
              </w:rPr>
            </w:pPr>
          </w:p>
        </w:tc>
        <w:tc>
          <w:tcPr>
            <w:tcW w:w="1401" w:type="dxa"/>
            <w:vAlign w:val="center"/>
          </w:tcPr>
          <w:p w14:paraId="20C46F6B">
            <w:pPr>
              <w:widowControl/>
              <w:spacing w:line="360" w:lineRule="auto"/>
              <w:jc w:val="center"/>
              <w:rPr>
                <w:rFonts w:ascii="宋体" w:hAnsi="宋体" w:cs="宋体"/>
                <w:color w:val="auto"/>
                <w:kern w:val="0"/>
                <w:szCs w:val="21"/>
                <w:highlight w:val="none"/>
              </w:rPr>
            </w:pPr>
            <w:r>
              <w:rPr>
                <w:rFonts w:hint="eastAsia" w:ascii="宋体" w:hAnsi="宋体" w:cs="宋体"/>
                <w:color w:val="auto"/>
                <w:kern w:val="0"/>
                <w:szCs w:val="21"/>
                <w:highlight w:val="none"/>
              </w:rPr>
              <w:t>元/桶</w:t>
            </w:r>
          </w:p>
        </w:tc>
      </w:tr>
      <w:tr w14:paraId="22474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904" w:type="dxa"/>
            <w:vAlign w:val="center"/>
          </w:tcPr>
          <w:p w14:paraId="475BFEB6">
            <w:pPr>
              <w:widowControl/>
              <w:spacing w:line="360" w:lineRule="auto"/>
              <w:jc w:val="center"/>
              <w:rPr>
                <w:rFonts w:ascii="宋体" w:hAnsi="宋体" w:cs="宋体"/>
                <w:color w:val="auto"/>
                <w:kern w:val="0"/>
                <w:szCs w:val="21"/>
                <w:highlight w:val="none"/>
              </w:rPr>
            </w:pPr>
            <w:r>
              <w:rPr>
                <w:rFonts w:ascii="宋体" w:hAnsi="宋体" w:cs="宋体"/>
                <w:color w:val="auto"/>
                <w:kern w:val="0"/>
                <w:szCs w:val="21"/>
                <w:highlight w:val="none"/>
              </w:rPr>
              <w:t>3</w:t>
            </w:r>
          </w:p>
        </w:tc>
        <w:tc>
          <w:tcPr>
            <w:tcW w:w="3666" w:type="dxa"/>
            <w:vAlign w:val="center"/>
          </w:tcPr>
          <w:p w14:paraId="2AB26DEA">
            <w:pPr>
              <w:widowControl/>
              <w:spacing w:line="360" w:lineRule="auto"/>
              <w:jc w:val="center"/>
              <w:rPr>
                <w:rFonts w:ascii="宋体" w:hAnsi="宋体" w:cs="宋体"/>
                <w:color w:val="auto"/>
                <w:kern w:val="0"/>
                <w:szCs w:val="21"/>
                <w:highlight w:val="none"/>
              </w:rPr>
            </w:pPr>
            <w:r>
              <w:rPr>
                <w:rFonts w:hint="eastAsia" w:ascii="宋体" w:hAnsi="宋体" w:cs="宋体"/>
                <w:color w:val="auto"/>
                <w:kern w:val="0"/>
                <w:szCs w:val="21"/>
                <w:highlight w:val="none"/>
              </w:rPr>
              <w:t>瓶装水（小瓶）</w:t>
            </w:r>
          </w:p>
        </w:tc>
        <w:tc>
          <w:tcPr>
            <w:tcW w:w="2740" w:type="dxa"/>
            <w:vAlign w:val="center"/>
          </w:tcPr>
          <w:p w14:paraId="5CE8E9A2">
            <w:pPr>
              <w:widowControl/>
              <w:spacing w:line="360" w:lineRule="auto"/>
              <w:jc w:val="center"/>
              <w:rPr>
                <w:rFonts w:ascii="宋体" w:hAnsi="宋体" w:cs="宋体"/>
                <w:color w:val="auto"/>
                <w:kern w:val="0"/>
                <w:szCs w:val="21"/>
                <w:highlight w:val="none"/>
              </w:rPr>
            </w:pPr>
          </w:p>
        </w:tc>
        <w:tc>
          <w:tcPr>
            <w:tcW w:w="1401" w:type="dxa"/>
            <w:vAlign w:val="center"/>
          </w:tcPr>
          <w:p w14:paraId="5FEA1A3B">
            <w:pPr>
              <w:widowControl/>
              <w:spacing w:line="360" w:lineRule="auto"/>
              <w:jc w:val="center"/>
              <w:rPr>
                <w:rFonts w:ascii="宋体" w:hAnsi="宋体" w:cs="宋体"/>
                <w:color w:val="auto"/>
                <w:kern w:val="0"/>
                <w:szCs w:val="21"/>
                <w:highlight w:val="none"/>
              </w:rPr>
            </w:pPr>
            <w:r>
              <w:rPr>
                <w:rFonts w:hint="eastAsia" w:ascii="宋体" w:hAnsi="宋体" w:cs="宋体"/>
                <w:color w:val="auto"/>
                <w:kern w:val="0"/>
                <w:szCs w:val="21"/>
                <w:highlight w:val="none"/>
              </w:rPr>
              <w:t>元/箱</w:t>
            </w:r>
          </w:p>
        </w:tc>
      </w:tr>
      <w:tr w14:paraId="7DCC8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904" w:type="dxa"/>
            <w:vAlign w:val="center"/>
          </w:tcPr>
          <w:p w14:paraId="797119CF">
            <w:pPr>
              <w:widowControl/>
              <w:spacing w:line="360" w:lineRule="auto"/>
              <w:jc w:val="center"/>
              <w:rPr>
                <w:rFonts w:ascii="宋体" w:hAnsi="宋体" w:cs="宋体"/>
                <w:color w:val="auto"/>
                <w:kern w:val="0"/>
                <w:szCs w:val="21"/>
                <w:highlight w:val="none"/>
              </w:rPr>
            </w:pPr>
            <w:r>
              <w:rPr>
                <w:rFonts w:hint="eastAsia" w:ascii="宋体" w:hAnsi="宋体" w:cs="宋体"/>
                <w:color w:val="auto"/>
                <w:kern w:val="0"/>
                <w:szCs w:val="21"/>
                <w:highlight w:val="none"/>
              </w:rPr>
              <w:t>4</w:t>
            </w:r>
          </w:p>
        </w:tc>
        <w:tc>
          <w:tcPr>
            <w:tcW w:w="3666" w:type="dxa"/>
            <w:vAlign w:val="center"/>
          </w:tcPr>
          <w:p w14:paraId="7A39FE8C">
            <w:pPr>
              <w:widowControl/>
              <w:spacing w:line="360" w:lineRule="auto"/>
              <w:jc w:val="center"/>
              <w:rPr>
                <w:rFonts w:ascii="宋体" w:hAnsi="宋体" w:cs="宋体"/>
                <w:color w:val="auto"/>
                <w:kern w:val="0"/>
                <w:szCs w:val="21"/>
                <w:highlight w:val="none"/>
              </w:rPr>
            </w:pPr>
            <w:r>
              <w:rPr>
                <w:rFonts w:hint="eastAsia" w:ascii="宋体" w:hAnsi="宋体" w:cs="宋体"/>
                <w:color w:val="auto"/>
                <w:kern w:val="0"/>
                <w:szCs w:val="21"/>
                <w:highlight w:val="none"/>
              </w:rPr>
              <w:t>瓶装水（中瓶）</w:t>
            </w:r>
          </w:p>
        </w:tc>
        <w:tc>
          <w:tcPr>
            <w:tcW w:w="2740" w:type="dxa"/>
            <w:vAlign w:val="center"/>
          </w:tcPr>
          <w:p w14:paraId="6EC89966">
            <w:pPr>
              <w:widowControl/>
              <w:spacing w:line="360" w:lineRule="auto"/>
              <w:jc w:val="center"/>
              <w:rPr>
                <w:rFonts w:ascii="宋体" w:hAnsi="宋体" w:cs="宋体"/>
                <w:color w:val="auto"/>
                <w:kern w:val="0"/>
                <w:szCs w:val="21"/>
                <w:highlight w:val="none"/>
              </w:rPr>
            </w:pPr>
          </w:p>
        </w:tc>
        <w:tc>
          <w:tcPr>
            <w:tcW w:w="1401" w:type="dxa"/>
            <w:vAlign w:val="center"/>
          </w:tcPr>
          <w:p w14:paraId="18420179">
            <w:pPr>
              <w:widowControl/>
              <w:spacing w:line="360" w:lineRule="auto"/>
              <w:jc w:val="center"/>
              <w:rPr>
                <w:rFonts w:ascii="宋体" w:hAnsi="宋体" w:cs="宋体"/>
                <w:color w:val="auto"/>
                <w:kern w:val="0"/>
                <w:szCs w:val="21"/>
                <w:highlight w:val="none"/>
              </w:rPr>
            </w:pPr>
            <w:r>
              <w:rPr>
                <w:rFonts w:hint="eastAsia" w:ascii="宋体" w:hAnsi="宋体" w:cs="宋体"/>
                <w:color w:val="auto"/>
                <w:kern w:val="0"/>
                <w:szCs w:val="21"/>
                <w:highlight w:val="none"/>
              </w:rPr>
              <w:t>元/箱</w:t>
            </w:r>
          </w:p>
        </w:tc>
      </w:tr>
    </w:tbl>
    <w:p w14:paraId="145052F7">
      <w:pPr>
        <w:pStyle w:val="6"/>
        <w:widowControl/>
        <w:spacing w:beforeAutospacing="0" w:afterAutospacing="0" w:line="500" w:lineRule="exact"/>
        <w:textAlignment w:val="baseline"/>
        <w:rPr>
          <w:rFonts w:asciiTheme="minorEastAsia" w:hAnsiTheme="minorEastAsia" w:cstheme="minorEastAsia"/>
          <w:b/>
          <w:bCs/>
          <w:color w:val="auto"/>
          <w:sz w:val="21"/>
          <w:szCs w:val="21"/>
          <w:highlight w:val="none"/>
        </w:rPr>
      </w:pPr>
      <w:r>
        <w:rPr>
          <w:rFonts w:hint="eastAsia" w:asciiTheme="minorEastAsia" w:hAnsiTheme="minorEastAsia" w:cstheme="minorEastAsia"/>
          <w:b/>
          <w:bCs/>
          <w:color w:val="auto"/>
          <w:sz w:val="21"/>
          <w:szCs w:val="21"/>
          <w:highlight w:val="none"/>
        </w:rPr>
        <w:t>三、商品价格</w:t>
      </w:r>
    </w:p>
    <w:tbl>
      <w:tblPr>
        <w:tblStyle w:val="8"/>
        <w:tblW w:w="5189" w:type="pct"/>
        <w:jc w:val="center"/>
        <w:tblLayout w:type="fixed"/>
        <w:tblCellMar>
          <w:top w:w="0" w:type="dxa"/>
          <w:left w:w="30" w:type="dxa"/>
          <w:bottom w:w="0" w:type="dxa"/>
          <w:right w:w="30" w:type="dxa"/>
        </w:tblCellMar>
      </w:tblPr>
      <w:tblGrid>
        <w:gridCol w:w="584"/>
        <w:gridCol w:w="1188"/>
        <w:gridCol w:w="2291"/>
        <w:gridCol w:w="1021"/>
        <w:gridCol w:w="925"/>
        <w:gridCol w:w="1748"/>
        <w:gridCol w:w="925"/>
      </w:tblGrid>
      <w:tr w14:paraId="138DC105">
        <w:tblPrEx>
          <w:tblCellMar>
            <w:top w:w="0" w:type="dxa"/>
            <w:left w:w="30" w:type="dxa"/>
            <w:bottom w:w="0" w:type="dxa"/>
            <w:right w:w="30" w:type="dxa"/>
          </w:tblCellMar>
        </w:tblPrEx>
        <w:trPr>
          <w:trHeight w:val="788" w:hRule="atLeast"/>
          <w:jc w:val="center"/>
        </w:trPr>
        <w:tc>
          <w:tcPr>
            <w:tcW w:w="584" w:type="dxa"/>
            <w:tcBorders>
              <w:top w:val="single" w:color="auto" w:sz="6" w:space="0"/>
              <w:left w:val="single" w:color="auto" w:sz="6" w:space="0"/>
              <w:bottom w:val="single" w:color="auto" w:sz="6" w:space="0"/>
              <w:right w:val="single" w:color="auto" w:sz="6" w:space="0"/>
            </w:tcBorders>
            <w:shd w:val="clear" w:color="auto" w:fill="auto"/>
            <w:vAlign w:val="center"/>
          </w:tcPr>
          <w:p w14:paraId="5A40B377">
            <w:pPr>
              <w:autoSpaceDE w:val="0"/>
              <w:autoSpaceDN w:val="0"/>
              <w:adjustRightInd w:val="0"/>
              <w:jc w:val="center"/>
              <w:rPr>
                <w:rFonts w:cs="Arial"/>
                <w:b/>
                <w:bCs/>
                <w:color w:val="auto"/>
                <w:szCs w:val="21"/>
                <w:highlight w:val="none"/>
              </w:rPr>
            </w:pPr>
            <w:r>
              <w:rPr>
                <w:rFonts w:hint="eastAsia" w:cs="Arial"/>
                <w:b/>
                <w:bCs/>
                <w:color w:val="auto"/>
                <w:szCs w:val="21"/>
                <w:highlight w:val="none"/>
              </w:rPr>
              <w:t>序号</w:t>
            </w:r>
          </w:p>
        </w:tc>
        <w:tc>
          <w:tcPr>
            <w:tcW w:w="1188" w:type="dxa"/>
            <w:tcBorders>
              <w:top w:val="single" w:color="auto" w:sz="6" w:space="0"/>
              <w:left w:val="nil"/>
              <w:bottom w:val="single" w:color="auto" w:sz="6" w:space="0"/>
              <w:right w:val="single" w:color="auto" w:sz="4" w:space="0"/>
            </w:tcBorders>
            <w:shd w:val="clear" w:color="auto" w:fill="auto"/>
            <w:vAlign w:val="center"/>
          </w:tcPr>
          <w:p w14:paraId="38BA9959">
            <w:pPr>
              <w:autoSpaceDE w:val="0"/>
              <w:autoSpaceDN w:val="0"/>
              <w:adjustRightInd w:val="0"/>
              <w:jc w:val="center"/>
              <w:rPr>
                <w:rFonts w:cs="Arial"/>
                <w:b/>
                <w:bCs/>
                <w:color w:val="auto"/>
                <w:szCs w:val="21"/>
                <w:highlight w:val="none"/>
              </w:rPr>
            </w:pPr>
            <w:r>
              <w:rPr>
                <w:rFonts w:hint="eastAsia" w:cs="Arial"/>
                <w:b/>
                <w:bCs/>
                <w:color w:val="auto"/>
                <w:szCs w:val="21"/>
                <w:highlight w:val="none"/>
              </w:rPr>
              <w:t>产品名称</w:t>
            </w:r>
          </w:p>
        </w:tc>
        <w:tc>
          <w:tcPr>
            <w:tcW w:w="2291" w:type="dxa"/>
            <w:tcBorders>
              <w:top w:val="single" w:color="auto" w:sz="4" w:space="0"/>
              <w:left w:val="single" w:color="auto" w:sz="4" w:space="0"/>
              <w:bottom w:val="single" w:color="auto" w:sz="4" w:space="0"/>
              <w:right w:val="single" w:color="auto" w:sz="4" w:space="0"/>
            </w:tcBorders>
            <w:shd w:val="clear" w:color="auto" w:fill="auto"/>
            <w:vAlign w:val="center"/>
          </w:tcPr>
          <w:p w14:paraId="65911D79">
            <w:pPr>
              <w:autoSpaceDE w:val="0"/>
              <w:autoSpaceDN w:val="0"/>
              <w:adjustRightInd w:val="0"/>
              <w:jc w:val="center"/>
              <w:rPr>
                <w:rFonts w:cs="Arial"/>
                <w:b/>
                <w:bCs/>
                <w:color w:val="auto"/>
                <w:szCs w:val="21"/>
                <w:highlight w:val="none"/>
              </w:rPr>
            </w:pPr>
            <w:r>
              <w:rPr>
                <w:rFonts w:hint="eastAsia" w:cs="Arial"/>
                <w:b/>
                <w:bCs/>
                <w:color w:val="auto"/>
                <w:szCs w:val="21"/>
                <w:highlight w:val="none"/>
              </w:rPr>
              <w:t>品牌、生产厂家</w:t>
            </w:r>
          </w:p>
        </w:tc>
        <w:tc>
          <w:tcPr>
            <w:tcW w:w="1021" w:type="dxa"/>
            <w:tcBorders>
              <w:top w:val="single" w:color="auto" w:sz="6" w:space="0"/>
              <w:left w:val="single" w:color="auto" w:sz="4" w:space="0"/>
              <w:bottom w:val="single" w:color="auto" w:sz="6" w:space="0"/>
              <w:right w:val="single" w:color="auto" w:sz="4" w:space="0"/>
            </w:tcBorders>
            <w:shd w:val="clear" w:color="auto" w:fill="auto"/>
            <w:vAlign w:val="center"/>
          </w:tcPr>
          <w:p w14:paraId="16C3E7EB">
            <w:pPr>
              <w:autoSpaceDE w:val="0"/>
              <w:autoSpaceDN w:val="0"/>
              <w:adjustRightInd w:val="0"/>
              <w:jc w:val="center"/>
              <w:rPr>
                <w:rFonts w:cs="Arial"/>
                <w:b/>
                <w:bCs/>
                <w:color w:val="auto"/>
                <w:szCs w:val="21"/>
                <w:highlight w:val="none"/>
              </w:rPr>
            </w:pPr>
            <w:r>
              <w:rPr>
                <w:rFonts w:hint="eastAsia" w:cs="Arial"/>
                <w:b/>
                <w:bCs/>
                <w:color w:val="auto"/>
                <w:szCs w:val="21"/>
                <w:highlight w:val="none"/>
              </w:rPr>
              <w:t>规格型号</w:t>
            </w:r>
          </w:p>
        </w:tc>
        <w:tc>
          <w:tcPr>
            <w:tcW w:w="925" w:type="dxa"/>
            <w:tcBorders>
              <w:top w:val="single" w:color="auto" w:sz="6" w:space="0"/>
              <w:left w:val="single" w:color="auto" w:sz="4" w:space="0"/>
              <w:bottom w:val="single" w:color="auto" w:sz="6" w:space="0"/>
              <w:right w:val="single" w:color="auto" w:sz="4" w:space="0"/>
            </w:tcBorders>
            <w:shd w:val="clear" w:color="auto" w:fill="auto"/>
            <w:vAlign w:val="center"/>
          </w:tcPr>
          <w:p w14:paraId="6F732AE9">
            <w:pPr>
              <w:autoSpaceDE w:val="0"/>
              <w:autoSpaceDN w:val="0"/>
              <w:adjustRightInd w:val="0"/>
              <w:jc w:val="center"/>
              <w:rPr>
                <w:rFonts w:cs="Arial"/>
                <w:b/>
                <w:bCs/>
                <w:color w:val="auto"/>
                <w:szCs w:val="21"/>
                <w:highlight w:val="none"/>
              </w:rPr>
            </w:pPr>
            <w:r>
              <w:rPr>
                <w:rFonts w:hint="eastAsia" w:cs="Arial"/>
                <w:b/>
                <w:bCs/>
                <w:color w:val="auto"/>
                <w:szCs w:val="21"/>
                <w:highlight w:val="none"/>
              </w:rPr>
              <w:t>单位</w:t>
            </w:r>
          </w:p>
        </w:tc>
        <w:tc>
          <w:tcPr>
            <w:tcW w:w="1748" w:type="dxa"/>
            <w:tcBorders>
              <w:top w:val="single" w:color="auto" w:sz="6" w:space="0"/>
              <w:left w:val="single" w:color="auto" w:sz="4" w:space="0"/>
              <w:bottom w:val="single" w:color="auto" w:sz="6" w:space="0"/>
              <w:right w:val="single" w:color="auto" w:sz="6" w:space="0"/>
            </w:tcBorders>
            <w:shd w:val="clear" w:color="auto" w:fill="auto"/>
            <w:vAlign w:val="center"/>
          </w:tcPr>
          <w:p w14:paraId="6A25EB1B">
            <w:pPr>
              <w:autoSpaceDE w:val="0"/>
              <w:autoSpaceDN w:val="0"/>
              <w:adjustRightInd w:val="0"/>
              <w:jc w:val="center"/>
              <w:rPr>
                <w:rFonts w:cs="Arial"/>
                <w:b/>
                <w:bCs/>
                <w:color w:val="auto"/>
                <w:szCs w:val="21"/>
                <w:highlight w:val="none"/>
              </w:rPr>
            </w:pPr>
            <w:r>
              <w:rPr>
                <w:rFonts w:hint="eastAsia" w:cs="Arial"/>
                <w:b/>
                <w:bCs/>
                <w:color w:val="auto"/>
                <w:szCs w:val="21"/>
                <w:highlight w:val="none"/>
              </w:rPr>
              <w:t>价格（元）</w:t>
            </w:r>
          </w:p>
        </w:tc>
        <w:tc>
          <w:tcPr>
            <w:tcW w:w="925" w:type="dxa"/>
            <w:tcBorders>
              <w:top w:val="single" w:color="auto" w:sz="6" w:space="0"/>
              <w:left w:val="nil"/>
              <w:bottom w:val="single" w:color="auto" w:sz="6" w:space="0"/>
              <w:right w:val="single" w:color="auto" w:sz="6" w:space="0"/>
            </w:tcBorders>
            <w:shd w:val="clear" w:color="auto" w:fill="auto"/>
            <w:vAlign w:val="center"/>
          </w:tcPr>
          <w:p w14:paraId="3A338D9B">
            <w:pPr>
              <w:autoSpaceDE w:val="0"/>
              <w:autoSpaceDN w:val="0"/>
              <w:adjustRightInd w:val="0"/>
              <w:jc w:val="center"/>
              <w:rPr>
                <w:rFonts w:cs="Arial"/>
                <w:b/>
                <w:bCs/>
                <w:color w:val="auto"/>
                <w:szCs w:val="21"/>
                <w:highlight w:val="none"/>
              </w:rPr>
            </w:pPr>
            <w:r>
              <w:rPr>
                <w:rFonts w:hint="eastAsia" w:cs="Arial"/>
                <w:b/>
                <w:bCs/>
                <w:color w:val="auto"/>
                <w:szCs w:val="21"/>
                <w:highlight w:val="none"/>
              </w:rPr>
              <w:t>备注</w:t>
            </w:r>
          </w:p>
        </w:tc>
      </w:tr>
      <w:tr w14:paraId="34BB5FC4">
        <w:tblPrEx>
          <w:tblCellMar>
            <w:top w:w="0" w:type="dxa"/>
            <w:left w:w="30" w:type="dxa"/>
            <w:bottom w:w="0" w:type="dxa"/>
            <w:right w:w="30" w:type="dxa"/>
          </w:tblCellMar>
        </w:tblPrEx>
        <w:trPr>
          <w:trHeight w:val="522" w:hRule="atLeast"/>
          <w:jc w:val="center"/>
        </w:trPr>
        <w:tc>
          <w:tcPr>
            <w:tcW w:w="584" w:type="dxa"/>
            <w:tcBorders>
              <w:top w:val="single" w:color="auto" w:sz="6" w:space="0"/>
              <w:left w:val="single" w:color="auto" w:sz="6" w:space="0"/>
              <w:bottom w:val="single" w:color="auto" w:sz="6" w:space="0"/>
              <w:right w:val="single" w:color="auto" w:sz="6" w:space="0"/>
            </w:tcBorders>
            <w:vAlign w:val="center"/>
          </w:tcPr>
          <w:p w14:paraId="6F4899F7">
            <w:pPr>
              <w:autoSpaceDE w:val="0"/>
              <w:autoSpaceDN w:val="0"/>
              <w:adjustRightInd w:val="0"/>
              <w:jc w:val="center"/>
              <w:rPr>
                <w:rFonts w:cs="Arial"/>
                <w:color w:val="auto"/>
                <w:szCs w:val="21"/>
                <w:highlight w:val="none"/>
              </w:rPr>
            </w:pPr>
            <w:r>
              <w:rPr>
                <w:rFonts w:ascii="宋体" w:hAnsi="宋体" w:cs="宋体"/>
                <w:color w:val="auto"/>
                <w:szCs w:val="21"/>
                <w:highlight w:val="none"/>
              </w:rPr>
              <w:t>1</w:t>
            </w:r>
          </w:p>
        </w:tc>
        <w:tc>
          <w:tcPr>
            <w:tcW w:w="1188" w:type="dxa"/>
            <w:tcBorders>
              <w:top w:val="single" w:color="auto" w:sz="6" w:space="0"/>
              <w:left w:val="nil"/>
              <w:bottom w:val="single" w:color="auto" w:sz="6" w:space="0"/>
              <w:right w:val="single" w:color="auto" w:sz="4" w:space="0"/>
            </w:tcBorders>
            <w:vAlign w:val="center"/>
          </w:tcPr>
          <w:p w14:paraId="096D7EFA">
            <w:pPr>
              <w:jc w:val="center"/>
              <w:rPr>
                <w:rFonts w:cs="Arial"/>
                <w:color w:val="auto"/>
                <w:szCs w:val="21"/>
                <w:highlight w:val="none"/>
              </w:rPr>
            </w:pPr>
            <w:r>
              <w:rPr>
                <w:rFonts w:hint="eastAsia" w:ascii="宋体" w:hAnsi="宋体" w:cs="宋体"/>
                <w:color w:val="auto"/>
                <w:szCs w:val="21"/>
                <w:highlight w:val="none"/>
              </w:rPr>
              <w:t>桶装水（循环桶）</w:t>
            </w:r>
          </w:p>
        </w:tc>
        <w:tc>
          <w:tcPr>
            <w:tcW w:w="2291" w:type="dxa"/>
            <w:tcBorders>
              <w:top w:val="single" w:color="auto" w:sz="4" w:space="0"/>
              <w:left w:val="single" w:color="auto" w:sz="4" w:space="0"/>
              <w:bottom w:val="single" w:color="auto" w:sz="4" w:space="0"/>
              <w:right w:val="single" w:color="auto" w:sz="4" w:space="0"/>
            </w:tcBorders>
            <w:vAlign w:val="center"/>
          </w:tcPr>
          <w:p w14:paraId="1945B57A">
            <w:pPr>
              <w:jc w:val="center"/>
              <w:rPr>
                <w:rFonts w:cs="宋体"/>
                <w:color w:val="auto"/>
                <w:szCs w:val="21"/>
                <w:highlight w:val="none"/>
              </w:rPr>
            </w:pPr>
          </w:p>
        </w:tc>
        <w:tc>
          <w:tcPr>
            <w:tcW w:w="1021" w:type="dxa"/>
            <w:tcBorders>
              <w:top w:val="single" w:color="auto" w:sz="6" w:space="0"/>
              <w:left w:val="single" w:color="auto" w:sz="4" w:space="0"/>
              <w:bottom w:val="single" w:color="auto" w:sz="6" w:space="0"/>
              <w:right w:val="single" w:color="auto" w:sz="4" w:space="0"/>
            </w:tcBorders>
            <w:vAlign w:val="center"/>
          </w:tcPr>
          <w:p w14:paraId="4CE013CB">
            <w:pPr>
              <w:jc w:val="center"/>
              <w:rPr>
                <w:color w:val="auto"/>
                <w:szCs w:val="21"/>
                <w:highlight w:val="none"/>
              </w:rPr>
            </w:pPr>
          </w:p>
        </w:tc>
        <w:tc>
          <w:tcPr>
            <w:tcW w:w="925" w:type="dxa"/>
            <w:tcBorders>
              <w:top w:val="single" w:color="auto" w:sz="6" w:space="0"/>
              <w:left w:val="single" w:color="auto" w:sz="4" w:space="0"/>
              <w:bottom w:val="single" w:color="auto" w:sz="6" w:space="0"/>
              <w:right w:val="single" w:color="auto" w:sz="4" w:space="0"/>
            </w:tcBorders>
            <w:vAlign w:val="center"/>
          </w:tcPr>
          <w:p w14:paraId="61053A0D">
            <w:pPr>
              <w:autoSpaceDE w:val="0"/>
              <w:autoSpaceDN w:val="0"/>
              <w:adjustRightInd w:val="0"/>
              <w:jc w:val="center"/>
              <w:rPr>
                <w:rFonts w:cs="Arial"/>
                <w:color w:val="auto"/>
                <w:szCs w:val="21"/>
                <w:highlight w:val="none"/>
              </w:rPr>
            </w:pPr>
            <w:r>
              <w:rPr>
                <w:rFonts w:hint="eastAsia" w:ascii="宋体" w:hAnsi="宋体" w:cs="宋体"/>
                <w:color w:val="auto"/>
                <w:szCs w:val="21"/>
                <w:highlight w:val="none"/>
              </w:rPr>
              <w:t>元/桶</w:t>
            </w:r>
          </w:p>
        </w:tc>
        <w:tc>
          <w:tcPr>
            <w:tcW w:w="1748" w:type="dxa"/>
            <w:tcBorders>
              <w:top w:val="single" w:color="auto" w:sz="6" w:space="0"/>
              <w:left w:val="single" w:color="auto" w:sz="4" w:space="0"/>
              <w:bottom w:val="single" w:color="auto" w:sz="6" w:space="0"/>
              <w:right w:val="single" w:color="auto" w:sz="6" w:space="0"/>
            </w:tcBorders>
            <w:vAlign w:val="center"/>
          </w:tcPr>
          <w:p w14:paraId="59057E3D">
            <w:pPr>
              <w:autoSpaceDE w:val="0"/>
              <w:autoSpaceDN w:val="0"/>
              <w:adjustRightInd w:val="0"/>
              <w:jc w:val="center"/>
              <w:rPr>
                <w:rFonts w:cs="Arial"/>
                <w:color w:val="auto"/>
                <w:szCs w:val="21"/>
                <w:highlight w:val="none"/>
              </w:rPr>
            </w:pPr>
          </w:p>
        </w:tc>
        <w:tc>
          <w:tcPr>
            <w:tcW w:w="925" w:type="dxa"/>
            <w:tcBorders>
              <w:top w:val="single" w:color="auto" w:sz="6" w:space="0"/>
              <w:left w:val="nil"/>
              <w:bottom w:val="single" w:color="auto" w:sz="6" w:space="0"/>
              <w:right w:val="single" w:color="auto" w:sz="6" w:space="0"/>
            </w:tcBorders>
            <w:vAlign w:val="center"/>
          </w:tcPr>
          <w:p w14:paraId="59D8729F">
            <w:pPr>
              <w:jc w:val="center"/>
              <w:rPr>
                <w:rFonts w:cs="Arial"/>
                <w:color w:val="auto"/>
                <w:szCs w:val="21"/>
                <w:highlight w:val="none"/>
              </w:rPr>
            </w:pPr>
          </w:p>
        </w:tc>
      </w:tr>
      <w:tr w14:paraId="32B13432">
        <w:tblPrEx>
          <w:tblCellMar>
            <w:top w:w="0" w:type="dxa"/>
            <w:left w:w="30" w:type="dxa"/>
            <w:bottom w:w="0" w:type="dxa"/>
            <w:right w:w="30" w:type="dxa"/>
          </w:tblCellMar>
        </w:tblPrEx>
        <w:trPr>
          <w:trHeight w:val="597" w:hRule="atLeast"/>
          <w:jc w:val="center"/>
        </w:trPr>
        <w:tc>
          <w:tcPr>
            <w:tcW w:w="584" w:type="dxa"/>
            <w:tcBorders>
              <w:top w:val="single" w:color="auto" w:sz="6" w:space="0"/>
              <w:left w:val="single" w:color="auto" w:sz="6" w:space="0"/>
              <w:bottom w:val="single" w:color="auto" w:sz="6" w:space="0"/>
              <w:right w:val="single" w:color="auto" w:sz="6" w:space="0"/>
            </w:tcBorders>
            <w:vAlign w:val="center"/>
          </w:tcPr>
          <w:p w14:paraId="5B069568">
            <w:pPr>
              <w:autoSpaceDE w:val="0"/>
              <w:autoSpaceDN w:val="0"/>
              <w:adjustRightInd w:val="0"/>
              <w:jc w:val="center"/>
              <w:rPr>
                <w:rFonts w:cs="Arial"/>
                <w:color w:val="auto"/>
                <w:szCs w:val="21"/>
                <w:highlight w:val="none"/>
              </w:rPr>
            </w:pPr>
            <w:r>
              <w:rPr>
                <w:rFonts w:ascii="宋体" w:hAnsi="宋体" w:cs="宋体"/>
                <w:color w:val="auto"/>
                <w:szCs w:val="21"/>
                <w:highlight w:val="none"/>
              </w:rPr>
              <w:t>2</w:t>
            </w:r>
          </w:p>
        </w:tc>
        <w:tc>
          <w:tcPr>
            <w:tcW w:w="1188" w:type="dxa"/>
            <w:tcBorders>
              <w:top w:val="single" w:color="auto" w:sz="6" w:space="0"/>
              <w:left w:val="nil"/>
              <w:bottom w:val="single" w:color="auto" w:sz="6" w:space="0"/>
              <w:right w:val="single" w:color="auto" w:sz="4" w:space="0"/>
            </w:tcBorders>
            <w:vAlign w:val="center"/>
          </w:tcPr>
          <w:p w14:paraId="1AB302D6">
            <w:pPr>
              <w:jc w:val="center"/>
              <w:rPr>
                <w:rFonts w:cs="Arial"/>
                <w:color w:val="auto"/>
                <w:szCs w:val="21"/>
                <w:highlight w:val="none"/>
              </w:rPr>
            </w:pPr>
            <w:r>
              <w:rPr>
                <w:rFonts w:hint="eastAsia" w:ascii="宋体" w:hAnsi="宋体" w:cs="宋体"/>
                <w:color w:val="auto"/>
                <w:szCs w:val="21"/>
                <w:highlight w:val="none"/>
              </w:rPr>
              <w:t>桶装水（一次性桶）</w:t>
            </w:r>
          </w:p>
        </w:tc>
        <w:tc>
          <w:tcPr>
            <w:tcW w:w="2291" w:type="dxa"/>
            <w:tcBorders>
              <w:top w:val="single" w:color="auto" w:sz="4" w:space="0"/>
              <w:left w:val="single" w:color="auto" w:sz="4" w:space="0"/>
              <w:bottom w:val="single" w:color="auto" w:sz="4" w:space="0"/>
              <w:right w:val="single" w:color="auto" w:sz="4" w:space="0"/>
            </w:tcBorders>
            <w:vAlign w:val="center"/>
          </w:tcPr>
          <w:p w14:paraId="7C2484F3">
            <w:pPr>
              <w:jc w:val="center"/>
              <w:rPr>
                <w:rFonts w:cs="宋体"/>
                <w:color w:val="auto"/>
                <w:szCs w:val="21"/>
                <w:highlight w:val="none"/>
              </w:rPr>
            </w:pPr>
          </w:p>
        </w:tc>
        <w:tc>
          <w:tcPr>
            <w:tcW w:w="1021" w:type="dxa"/>
            <w:tcBorders>
              <w:top w:val="single" w:color="auto" w:sz="6" w:space="0"/>
              <w:left w:val="single" w:color="auto" w:sz="4" w:space="0"/>
              <w:bottom w:val="single" w:color="auto" w:sz="6" w:space="0"/>
              <w:right w:val="single" w:color="auto" w:sz="4" w:space="0"/>
            </w:tcBorders>
            <w:vAlign w:val="center"/>
          </w:tcPr>
          <w:p w14:paraId="49B75B9D">
            <w:pPr>
              <w:jc w:val="center"/>
              <w:rPr>
                <w:color w:val="auto"/>
                <w:szCs w:val="21"/>
                <w:highlight w:val="none"/>
              </w:rPr>
            </w:pPr>
          </w:p>
        </w:tc>
        <w:tc>
          <w:tcPr>
            <w:tcW w:w="925" w:type="dxa"/>
            <w:tcBorders>
              <w:top w:val="single" w:color="auto" w:sz="6" w:space="0"/>
              <w:left w:val="single" w:color="auto" w:sz="4" w:space="0"/>
              <w:bottom w:val="single" w:color="auto" w:sz="6" w:space="0"/>
              <w:right w:val="single" w:color="auto" w:sz="4" w:space="0"/>
            </w:tcBorders>
            <w:vAlign w:val="center"/>
          </w:tcPr>
          <w:p w14:paraId="1A3DF5E0">
            <w:pPr>
              <w:autoSpaceDE w:val="0"/>
              <w:autoSpaceDN w:val="0"/>
              <w:adjustRightInd w:val="0"/>
              <w:jc w:val="center"/>
              <w:rPr>
                <w:rFonts w:cs="Arial"/>
                <w:color w:val="auto"/>
                <w:szCs w:val="21"/>
                <w:highlight w:val="none"/>
              </w:rPr>
            </w:pPr>
            <w:r>
              <w:rPr>
                <w:rFonts w:hint="eastAsia" w:ascii="宋体" w:hAnsi="宋体" w:cs="宋体"/>
                <w:color w:val="auto"/>
                <w:szCs w:val="21"/>
                <w:highlight w:val="none"/>
              </w:rPr>
              <w:t>元/桶</w:t>
            </w:r>
          </w:p>
        </w:tc>
        <w:tc>
          <w:tcPr>
            <w:tcW w:w="1748" w:type="dxa"/>
            <w:tcBorders>
              <w:top w:val="single" w:color="auto" w:sz="6" w:space="0"/>
              <w:left w:val="single" w:color="auto" w:sz="4" w:space="0"/>
              <w:bottom w:val="single" w:color="auto" w:sz="6" w:space="0"/>
              <w:right w:val="single" w:color="auto" w:sz="6" w:space="0"/>
            </w:tcBorders>
            <w:vAlign w:val="center"/>
          </w:tcPr>
          <w:p w14:paraId="4C526C11">
            <w:pPr>
              <w:autoSpaceDE w:val="0"/>
              <w:autoSpaceDN w:val="0"/>
              <w:adjustRightInd w:val="0"/>
              <w:jc w:val="center"/>
              <w:rPr>
                <w:rFonts w:cs="Arial"/>
                <w:color w:val="auto"/>
                <w:szCs w:val="21"/>
                <w:highlight w:val="none"/>
              </w:rPr>
            </w:pPr>
          </w:p>
        </w:tc>
        <w:tc>
          <w:tcPr>
            <w:tcW w:w="925" w:type="dxa"/>
            <w:tcBorders>
              <w:top w:val="single" w:color="auto" w:sz="6" w:space="0"/>
              <w:left w:val="nil"/>
              <w:bottom w:val="single" w:color="auto" w:sz="6" w:space="0"/>
              <w:right w:val="single" w:color="auto" w:sz="6" w:space="0"/>
            </w:tcBorders>
            <w:vAlign w:val="center"/>
          </w:tcPr>
          <w:p w14:paraId="68A2C7D6">
            <w:pPr>
              <w:jc w:val="center"/>
              <w:rPr>
                <w:rFonts w:cs="Arial"/>
                <w:color w:val="auto"/>
                <w:szCs w:val="21"/>
                <w:highlight w:val="none"/>
              </w:rPr>
            </w:pPr>
          </w:p>
        </w:tc>
      </w:tr>
      <w:tr w14:paraId="52FCADBE">
        <w:tblPrEx>
          <w:tblCellMar>
            <w:top w:w="0" w:type="dxa"/>
            <w:left w:w="30" w:type="dxa"/>
            <w:bottom w:w="0" w:type="dxa"/>
            <w:right w:w="30" w:type="dxa"/>
          </w:tblCellMar>
        </w:tblPrEx>
        <w:trPr>
          <w:trHeight w:val="531" w:hRule="atLeast"/>
          <w:jc w:val="center"/>
        </w:trPr>
        <w:tc>
          <w:tcPr>
            <w:tcW w:w="584" w:type="dxa"/>
            <w:tcBorders>
              <w:top w:val="single" w:color="auto" w:sz="6" w:space="0"/>
              <w:left w:val="single" w:color="auto" w:sz="6" w:space="0"/>
              <w:bottom w:val="single" w:color="auto" w:sz="6" w:space="0"/>
              <w:right w:val="single" w:color="auto" w:sz="6" w:space="0"/>
            </w:tcBorders>
            <w:vAlign w:val="center"/>
          </w:tcPr>
          <w:p w14:paraId="3BC90E9A">
            <w:pPr>
              <w:autoSpaceDE w:val="0"/>
              <w:autoSpaceDN w:val="0"/>
              <w:adjustRightInd w:val="0"/>
              <w:jc w:val="center"/>
              <w:rPr>
                <w:rFonts w:cs="Arial"/>
                <w:color w:val="auto"/>
                <w:szCs w:val="21"/>
                <w:highlight w:val="none"/>
              </w:rPr>
            </w:pPr>
            <w:r>
              <w:rPr>
                <w:rFonts w:ascii="宋体" w:hAnsi="宋体" w:cs="宋体"/>
                <w:color w:val="auto"/>
                <w:szCs w:val="21"/>
                <w:highlight w:val="none"/>
              </w:rPr>
              <w:t>3</w:t>
            </w:r>
          </w:p>
        </w:tc>
        <w:tc>
          <w:tcPr>
            <w:tcW w:w="1188" w:type="dxa"/>
            <w:tcBorders>
              <w:top w:val="single" w:color="auto" w:sz="6" w:space="0"/>
              <w:left w:val="nil"/>
              <w:bottom w:val="single" w:color="auto" w:sz="6" w:space="0"/>
              <w:right w:val="single" w:color="auto" w:sz="4" w:space="0"/>
            </w:tcBorders>
            <w:vAlign w:val="center"/>
          </w:tcPr>
          <w:p w14:paraId="01BB53C1">
            <w:pPr>
              <w:jc w:val="center"/>
              <w:rPr>
                <w:rFonts w:cs="Arial"/>
                <w:color w:val="auto"/>
                <w:szCs w:val="21"/>
                <w:highlight w:val="none"/>
              </w:rPr>
            </w:pPr>
            <w:r>
              <w:rPr>
                <w:rFonts w:hint="eastAsia" w:ascii="宋体" w:hAnsi="宋体" w:cs="宋体"/>
                <w:color w:val="auto"/>
                <w:szCs w:val="21"/>
                <w:highlight w:val="none"/>
              </w:rPr>
              <w:t>瓶装水（小瓶）</w:t>
            </w:r>
          </w:p>
        </w:tc>
        <w:tc>
          <w:tcPr>
            <w:tcW w:w="2291" w:type="dxa"/>
            <w:tcBorders>
              <w:top w:val="single" w:color="auto" w:sz="4" w:space="0"/>
              <w:left w:val="single" w:color="auto" w:sz="4" w:space="0"/>
              <w:bottom w:val="single" w:color="auto" w:sz="4" w:space="0"/>
              <w:right w:val="single" w:color="auto" w:sz="4" w:space="0"/>
            </w:tcBorders>
            <w:vAlign w:val="center"/>
          </w:tcPr>
          <w:p w14:paraId="1782EB47">
            <w:pPr>
              <w:jc w:val="center"/>
              <w:rPr>
                <w:rFonts w:cs="宋体"/>
                <w:color w:val="auto"/>
                <w:szCs w:val="21"/>
                <w:highlight w:val="none"/>
              </w:rPr>
            </w:pPr>
          </w:p>
        </w:tc>
        <w:tc>
          <w:tcPr>
            <w:tcW w:w="1021" w:type="dxa"/>
            <w:tcBorders>
              <w:top w:val="single" w:color="auto" w:sz="6" w:space="0"/>
              <w:left w:val="single" w:color="auto" w:sz="4" w:space="0"/>
              <w:bottom w:val="single" w:color="auto" w:sz="6" w:space="0"/>
              <w:right w:val="single" w:color="auto" w:sz="4" w:space="0"/>
            </w:tcBorders>
            <w:vAlign w:val="center"/>
          </w:tcPr>
          <w:p w14:paraId="7F25AAC7">
            <w:pPr>
              <w:jc w:val="center"/>
              <w:rPr>
                <w:color w:val="auto"/>
                <w:szCs w:val="21"/>
                <w:highlight w:val="none"/>
              </w:rPr>
            </w:pPr>
          </w:p>
        </w:tc>
        <w:tc>
          <w:tcPr>
            <w:tcW w:w="925" w:type="dxa"/>
            <w:tcBorders>
              <w:top w:val="single" w:color="auto" w:sz="6" w:space="0"/>
              <w:left w:val="single" w:color="auto" w:sz="4" w:space="0"/>
              <w:bottom w:val="single" w:color="auto" w:sz="6" w:space="0"/>
              <w:right w:val="single" w:color="auto" w:sz="4" w:space="0"/>
            </w:tcBorders>
            <w:vAlign w:val="center"/>
          </w:tcPr>
          <w:p w14:paraId="5911D667">
            <w:pPr>
              <w:autoSpaceDE w:val="0"/>
              <w:autoSpaceDN w:val="0"/>
              <w:adjustRightInd w:val="0"/>
              <w:jc w:val="center"/>
              <w:rPr>
                <w:rFonts w:cs="Arial"/>
                <w:color w:val="auto"/>
                <w:szCs w:val="21"/>
                <w:highlight w:val="none"/>
              </w:rPr>
            </w:pPr>
            <w:r>
              <w:rPr>
                <w:rFonts w:hint="eastAsia" w:ascii="宋体" w:hAnsi="宋体" w:cs="宋体"/>
                <w:color w:val="auto"/>
                <w:szCs w:val="21"/>
                <w:highlight w:val="none"/>
              </w:rPr>
              <w:t>元/箱</w:t>
            </w:r>
          </w:p>
        </w:tc>
        <w:tc>
          <w:tcPr>
            <w:tcW w:w="1748" w:type="dxa"/>
            <w:tcBorders>
              <w:top w:val="single" w:color="auto" w:sz="6" w:space="0"/>
              <w:left w:val="single" w:color="auto" w:sz="4" w:space="0"/>
              <w:bottom w:val="single" w:color="auto" w:sz="6" w:space="0"/>
              <w:right w:val="single" w:color="auto" w:sz="6" w:space="0"/>
            </w:tcBorders>
            <w:vAlign w:val="center"/>
          </w:tcPr>
          <w:p w14:paraId="63C67EAA">
            <w:pPr>
              <w:autoSpaceDE w:val="0"/>
              <w:autoSpaceDN w:val="0"/>
              <w:adjustRightInd w:val="0"/>
              <w:jc w:val="center"/>
              <w:rPr>
                <w:rFonts w:cs="Arial"/>
                <w:color w:val="auto"/>
                <w:szCs w:val="21"/>
                <w:highlight w:val="none"/>
              </w:rPr>
            </w:pPr>
          </w:p>
        </w:tc>
        <w:tc>
          <w:tcPr>
            <w:tcW w:w="925" w:type="dxa"/>
            <w:tcBorders>
              <w:top w:val="single" w:color="auto" w:sz="6" w:space="0"/>
              <w:left w:val="nil"/>
              <w:bottom w:val="single" w:color="auto" w:sz="6" w:space="0"/>
              <w:right w:val="single" w:color="auto" w:sz="6" w:space="0"/>
            </w:tcBorders>
            <w:vAlign w:val="center"/>
          </w:tcPr>
          <w:p w14:paraId="6190C114">
            <w:pPr>
              <w:jc w:val="center"/>
              <w:rPr>
                <w:rFonts w:cs="Arial"/>
                <w:color w:val="auto"/>
                <w:szCs w:val="21"/>
                <w:highlight w:val="none"/>
              </w:rPr>
            </w:pPr>
          </w:p>
        </w:tc>
      </w:tr>
      <w:tr w14:paraId="1ED41A3C">
        <w:tblPrEx>
          <w:tblCellMar>
            <w:top w:w="0" w:type="dxa"/>
            <w:left w:w="30" w:type="dxa"/>
            <w:bottom w:w="0" w:type="dxa"/>
            <w:right w:w="30" w:type="dxa"/>
          </w:tblCellMar>
        </w:tblPrEx>
        <w:trPr>
          <w:trHeight w:val="608" w:hRule="atLeast"/>
          <w:jc w:val="center"/>
        </w:trPr>
        <w:tc>
          <w:tcPr>
            <w:tcW w:w="584" w:type="dxa"/>
            <w:tcBorders>
              <w:top w:val="single" w:color="auto" w:sz="6" w:space="0"/>
              <w:left w:val="single" w:color="auto" w:sz="6" w:space="0"/>
              <w:bottom w:val="single" w:color="auto" w:sz="6" w:space="0"/>
              <w:right w:val="single" w:color="auto" w:sz="6" w:space="0"/>
            </w:tcBorders>
            <w:vAlign w:val="center"/>
          </w:tcPr>
          <w:p w14:paraId="1525E40B">
            <w:pPr>
              <w:autoSpaceDE w:val="0"/>
              <w:autoSpaceDN w:val="0"/>
              <w:adjustRightInd w:val="0"/>
              <w:jc w:val="center"/>
              <w:rPr>
                <w:rFonts w:cs="Arial"/>
                <w:color w:val="auto"/>
                <w:szCs w:val="21"/>
                <w:highlight w:val="none"/>
              </w:rPr>
            </w:pPr>
            <w:r>
              <w:rPr>
                <w:rFonts w:hint="eastAsia" w:ascii="宋体" w:hAnsi="宋体" w:cs="宋体"/>
                <w:color w:val="auto"/>
                <w:szCs w:val="21"/>
                <w:highlight w:val="none"/>
              </w:rPr>
              <w:t>4</w:t>
            </w:r>
          </w:p>
        </w:tc>
        <w:tc>
          <w:tcPr>
            <w:tcW w:w="1188" w:type="dxa"/>
            <w:tcBorders>
              <w:top w:val="single" w:color="auto" w:sz="6" w:space="0"/>
              <w:left w:val="nil"/>
              <w:bottom w:val="single" w:color="auto" w:sz="6" w:space="0"/>
              <w:right w:val="single" w:color="auto" w:sz="4" w:space="0"/>
            </w:tcBorders>
            <w:vAlign w:val="center"/>
          </w:tcPr>
          <w:p w14:paraId="60CAFB09">
            <w:pPr>
              <w:jc w:val="center"/>
              <w:rPr>
                <w:rFonts w:cs="Arial"/>
                <w:color w:val="auto"/>
                <w:szCs w:val="21"/>
                <w:highlight w:val="none"/>
              </w:rPr>
            </w:pPr>
            <w:r>
              <w:rPr>
                <w:rFonts w:hint="eastAsia" w:ascii="宋体" w:hAnsi="宋体" w:cs="宋体"/>
                <w:color w:val="auto"/>
                <w:szCs w:val="21"/>
                <w:highlight w:val="none"/>
              </w:rPr>
              <w:t>瓶装水（中瓶）</w:t>
            </w:r>
          </w:p>
        </w:tc>
        <w:tc>
          <w:tcPr>
            <w:tcW w:w="2291" w:type="dxa"/>
            <w:tcBorders>
              <w:top w:val="single" w:color="auto" w:sz="4" w:space="0"/>
              <w:left w:val="single" w:color="auto" w:sz="4" w:space="0"/>
              <w:bottom w:val="single" w:color="auto" w:sz="4" w:space="0"/>
              <w:right w:val="single" w:color="auto" w:sz="4" w:space="0"/>
            </w:tcBorders>
            <w:vAlign w:val="center"/>
          </w:tcPr>
          <w:p w14:paraId="0B5D9EC2">
            <w:pPr>
              <w:jc w:val="center"/>
              <w:rPr>
                <w:rFonts w:cs="宋体"/>
                <w:color w:val="auto"/>
                <w:szCs w:val="21"/>
                <w:highlight w:val="none"/>
              </w:rPr>
            </w:pPr>
          </w:p>
        </w:tc>
        <w:tc>
          <w:tcPr>
            <w:tcW w:w="1021" w:type="dxa"/>
            <w:tcBorders>
              <w:top w:val="single" w:color="auto" w:sz="6" w:space="0"/>
              <w:left w:val="single" w:color="auto" w:sz="4" w:space="0"/>
              <w:bottom w:val="single" w:color="auto" w:sz="6" w:space="0"/>
              <w:right w:val="single" w:color="auto" w:sz="4" w:space="0"/>
            </w:tcBorders>
            <w:vAlign w:val="center"/>
          </w:tcPr>
          <w:p w14:paraId="4033D545">
            <w:pPr>
              <w:jc w:val="center"/>
              <w:rPr>
                <w:color w:val="auto"/>
                <w:szCs w:val="21"/>
                <w:highlight w:val="none"/>
              </w:rPr>
            </w:pPr>
          </w:p>
        </w:tc>
        <w:tc>
          <w:tcPr>
            <w:tcW w:w="925" w:type="dxa"/>
            <w:tcBorders>
              <w:top w:val="single" w:color="auto" w:sz="6" w:space="0"/>
              <w:left w:val="single" w:color="auto" w:sz="4" w:space="0"/>
              <w:bottom w:val="single" w:color="auto" w:sz="6" w:space="0"/>
              <w:right w:val="single" w:color="auto" w:sz="4" w:space="0"/>
            </w:tcBorders>
            <w:vAlign w:val="center"/>
          </w:tcPr>
          <w:p w14:paraId="052A8BE3">
            <w:pPr>
              <w:autoSpaceDE w:val="0"/>
              <w:autoSpaceDN w:val="0"/>
              <w:adjustRightInd w:val="0"/>
              <w:jc w:val="center"/>
              <w:rPr>
                <w:rFonts w:cs="Arial"/>
                <w:color w:val="auto"/>
                <w:szCs w:val="21"/>
                <w:highlight w:val="none"/>
              </w:rPr>
            </w:pPr>
            <w:r>
              <w:rPr>
                <w:rFonts w:hint="eastAsia" w:ascii="宋体" w:hAnsi="宋体" w:cs="宋体"/>
                <w:color w:val="auto"/>
                <w:szCs w:val="21"/>
                <w:highlight w:val="none"/>
              </w:rPr>
              <w:t>元/箱</w:t>
            </w:r>
          </w:p>
        </w:tc>
        <w:tc>
          <w:tcPr>
            <w:tcW w:w="1748" w:type="dxa"/>
            <w:tcBorders>
              <w:top w:val="single" w:color="auto" w:sz="6" w:space="0"/>
              <w:left w:val="single" w:color="auto" w:sz="4" w:space="0"/>
              <w:bottom w:val="single" w:color="auto" w:sz="6" w:space="0"/>
              <w:right w:val="single" w:color="auto" w:sz="6" w:space="0"/>
            </w:tcBorders>
            <w:vAlign w:val="center"/>
          </w:tcPr>
          <w:p w14:paraId="44BEE406">
            <w:pPr>
              <w:autoSpaceDE w:val="0"/>
              <w:autoSpaceDN w:val="0"/>
              <w:adjustRightInd w:val="0"/>
              <w:jc w:val="center"/>
              <w:rPr>
                <w:rFonts w:cs="Arial"/>
                <w:color w:val="auto"/>
                <w:szCs w:val="21"/>
                <w:highlight w:val="none"/>
              </w:rPr>
            </w:pPr>
          </w:p>
        </w:tc>
        <w:tc>
          <w:tcPr>
            <w:tcW w:w="925" w:type="dxa"/>
            <w:tcBorders>
              <w:top w:val="single" w:color="auto" w:sz="6" w:space="0"/>
              <w:left w:val="nil"/>
              <w:bottom w:val="single" w:color="auto" w:sz="6" w:space="0"/>
              <w:right w:val="single" w:color="auto" w:sz="6" w:space="0"/>
            </w:tcBorders>
            <w:vAlign w:val="center"/>
          </w:tcPr>
          <w:p w14:paraId="107B79CA">
            <w:pPr>
              <w:jc w:val="center"/>
              <w:rPr>
                <w:rFonts w:cs="Arial"/>
                <w:color w:val="auto"/>
                <w:szCs w:val="21"/>
                <w:highlight w:val="none"/>
              </w:rPr>
            </w:pPr>
          </w:p>
        </w:tc>
      </w:tr>
    </w:tbl>
    <w:p w14:paraId="623C56C7">
      <w:pPr>
        <w:pStyle w:val="6"/>
        <w:widowControl/>
        <w:spacing w:beforeAutospacing="0" w:afterAutospacing="0" w:line="360" w:lineRule="auto"/>
        <w:ind w:firstLine="420" w:firstLineChars="200"/>
        <w:textAlignment w:val="baseline"/>
        <w:rPr>
          <w:rFonts w:asciiTheme="minorEastAsia" w:hAnsiTheme="minorEastAsia" w:cstheme="minorEastAsia"/>
          <w:color w:val="auto"/>
          <w:sz w:val="21"/>
          <w:szCs w:val="21"/>
          <w:highlight w:val="none"/>
        </w:rPr>
      </w:pPr>
      <w:r>
        <w:rPr>
          <w:rFonts w:hint="eastAsia" w:asciiTheme="minorEastAsia" w:hAnsiTheme="minorEastAsia" w:cstheme="minorEastAsia"/>
          <w:color w:val="auto"/>
          <w:sz w:val="21"/>
          <w:szCs w:val="21"/>
          <w:highlight w:val="none"/>
        </w:rPr>
        <w:t>合同期内，乙方所供应水的价格不得高于上述表中列出的价格。</w:t>
      </w:r>
    </w:p>
    <w:p w14:paraId="4901E13E">
      <w:pPr>
        <w:pStyle w:val="6"/>
        <w:widowControl/>
        <w:spacing w:beforeAutospacing="0" w:afterAutospacing="0" w:line="360" w:lineRule="auto"/>
        <w:ind w:firstLine="420" w:firstLineChars="200"/>
        <w:textAlignment w:val="baseline"/>
        <w:rPr>
          <w:rFonts w:asciiTheme="minorEastAsia" w:hAnsiTheme="minorEastAsia" w:cstheme="minorEastAsia"/>
          <w:color w:val="auto"/>
          <w:sz w:val="21"/>
          <w:szCs w:val="21"/>
          <w:highlight w:val="none"/>
        </w:rPr>
      </w:pPr>
      <w:r>
        <w:rPr>
          <w:rFonts w:hint="eastAsia" w:asciiTheme="minorEastAsia" w:hAnsiTheme="minorEastAsia" w:cstheme="minorEastAsia"/>
          <w:color w:val="auto"/>
          <w:sz w:val="21"/>
          <w:szCs w:val="21"/>
          <w:highlight w:val="none"/>
        </w:rPr>
        <w:t>备注：循环桶押金需缴纳</w:t>
      </w:r>
      <w:r>
        <w:rPr>
          <w:rFonts w:hint="eastAsia" w:asciiTheme="minorEastAsia" w:hAnsiTheme="minorEastAsia" w:cstheme="minorEastAsia"/>
          <w:color w:val="auto"/>
          <w:sz w:val="21"/>
          <w:szCs w:val="21"/>
          <w:highlight w:val="none"/>
          <w:u w:val="single"/>
        </w:rPr>
        <w:t xml:space="preserve">    </w:t>
      </w:r>
      <w:r>
        <w:rPr>
          <w:rFonts w:hint="eastAsia" w:asciiTheme="minorEastAsia" w:hAnsiTheme="minorEastAsia" w:cstheme="minorEastAsia"/>
          <w:color w:val="auto"/>
          <w:sz w:val="21"/>
          <w:szCs w:val="21"/>
          <w:highlight w:val="none"/>
        </w:rPr>
        <w:t>元/个，合同到期不续期的情况下如数退还，如有损坏或丢失按</w:t>
      </w:r>
      <w:r>
        <w:rPr>
          <w:rFonts w:hint="eastAsia" w:asciiTheme="minorEastAsia" w:hAnsiTheme="minorEastAsia" w:cstheme="minorEastAsia"/>
          <w:color w:val="auto"/>
          <w:sz w:val="21"/>
          <w:szCs w:val="21"/>
          <w:highlight w:val="none"/>
          <w:u w:val="single"/>
        </w:rPr>
        <w:t xml:space="preserve">    </w:t>
      </w:r>
      <w:r>
        <w:rPr>
          <w:rFonts w:hint="eastAsia" w:asciiTheme="minorEastAsia" w:hAnsiTheme="minorEastAsia" w:cstheme="minorEastAsia"/>
          <w:color w:val="auto"/>
          <w:sz w:val="21"/>
          <w:szCs w:val="21"/>
          <w:highlight w:val="none"/>
        </w:rPr>
        <w:t>元/个扣除押金。</w:t>
      </w:r>
    </w:p>
    <w:p w14:paraId="16AB772D">
      <w:pPr>
        <w:pStyle w:val="6"/>
        <w:widowControl/>
        <w:numPr>
          <w:ilvl w:val="0"/>
          <w:numId w:val="1"/>
        </w:numPr>
        <w:spacing w:beforeAutospacing="0" w:afterAutospacing="0" w:line="360" w:lineRule="auto"/>
        <w:textAlignment w:val="baseline"/>
        <w:rPr>
          <w:rFonts w:asciiTheme="minorEastAsia" w:hAnsiTheme="minorEastAsia" w:cstheme="minorEastAsia"/>
          <w:b/>
          <w:bCs/>
          <w:color w:val="auto"/>
          <w:sz w:val="21"/>
          <w:szCs w:val="21"/>
          <w:highlight w:val="none"/>
        </w:rPr>
      </w:pPr>
      <w:r>
        <w:rPr>
          <w:rFonts w:hint="eastAsia" w:asciiTheme="minorEastAsia" w:hAnsiTheme="minorEastAsia" w:cstheme="minorEastAsia"/>
          <w:b/>
          <w:bCs/>
          <w:color w:val="auto"/>
          <w:sz w:val="21"/>
          <w:szCs w:val="21"/>
          <w:highlight w:val="none"/>
        </w:rPr>
        <w:t>人员安排</w:t>
      </w:r>
    </w:p>
    <w:p w14:paraId="21196AD5">
      <w:pPr>
        <w:snapToGrid w:val="0"/>
        <w:spacing w:before="50" w:line="360" w:lineRule="auto"/>
        <w:ind w:firstLine="420" w:firstLineChars="200"/>
        <w:jc w:val="left"/>
        <w:rPr>
          <w:rFonts w:ascii="宋体" w:hAnsi="宋体" w:cs="宋体"/>
          <w:color w:val="auto"/>
          <w:kern w:val="0"/>
          <w:szCs w:val="21"/>
          <w:highlight w:val="none"/>
          <w:shd w:val="clear" w:color="auto" w:fill="FFFFFF"/>
        </w:rPr>
      </w:pPr>
      <w:r>
        <w:rPr>
          <w:rFonts w:hint="eastAsia" w:ascii="宋体" w:hAnsi="宋体" w:cs="宋体"/>
          <w:color w:val="auto"/>
          <w:kern w:val="0"/>
          <w:szCs w:val="21"/>
          <w:highlight w:val="none"/>
          <w:shd w:val="clear" w:color="auto" w:fill="FFFFFF"/>
        </w:rPr>
        <w:t>乙方在甲方南湖校区配置</w:t>
      </w:r>
      <w:r>
        <w:rPr>
          <w:rFonts w:hint="eastAsia" w:ascii="宋体" w:hAnsi="宋体" w:cs="宋体"/>
          <w:color w:val="auto"/>
          <w:kern w:val="0"/>
          <w:szCs w:val="21"/>
          <w:highlight w:val="none"/>
          <w:u w:val="single"/>
          <w:shd w:val="clear" w:color="auto" w:fill="FFFFFF"/>
        </w:rPr>
        <w:t xml:space="preserve">   </w:t>
      </w:r>
      <w:r>
        <w:rPr>
          <w:rFonts w:hint="eastAsia" w:ascii="宋体" w:hAnsi="宋体" w:cs="宋体"/>
          <w:color w:val="auto"/>
          <w:kern w:val="0"/>
          <w:szCs w:val="21"/>
          <w:highlight w:val="none"/>
          <w:shd w:val="clear" w:color="auto" w:fill="FFFFFF"/>
        </w:rPr>
        <w:t>名专职送水人员，相思湖校区配置</w:t>
      </w:r>
      <w:r>
        <w:rPr>
          <w:rFonts w:hint="eastAsia" w:ascii="宋体" w:hAnsi="宋体" w:cs="宋体"/>
          <w:color w:val="auto"/>
          <w:kern w:val="0"/>
          <w:szCs w:val="21"/>
          <w:highlight w:val="none"/>
          <w:u w:val="single"/>
          <w:shd w:val="clear" w:color="auto" w:fill="FFFFFF"/>
        </w:rPr>
        <w:t xml:space="preserve">   </w:t>
      </w:r>
      <w:r>
        <w:rPr>
          <w:rFonts w:hint="eastAsia" w:ascii="宋体" w:hAnsi="宋体" w:cs="宋体"/>
          <w:color w:val="auto"/>
          <w:kern w:val="0"/>
          <w:szCs w:val="21"/>
          <w:highlight w:val="none"/>
          <w:shd w:val="clear" w:color="auto" w:fill="FFFFFF"/>
        </w:rPr>
        <w:t>名专职送水人员。</w:t>
      </w:r>
    </w:p>
    <w:p w14:paraId="7D672A4B">
      <w:pPr>
        <w:snapToGrid w:val="0"/>
        <w:spacing w:before="50" w:line="360" w:lineRule="auto"/>
        <w:jc w:val="left"/>
        <w:rPr>
          <w:rFonts w:ascii="宋体" w:hAnsi="宋体" w:cs="宋体"/>
          <w:b/>
          <w:bCs/>
          <w:color w:val="auto"/>
          <w:kern w:val="0"/>
          <w:szCs w:val="21"/>
          <w:highlight w:val="none"/>
          <w:shd w:val="clear" w:color="auto" w:fill="FFFFFF"/>
        </w:rPr>
      </w:pPr>
      <w:r>
        <w:rPr>
          <w:rFonts w:hint="eastAsia" w:ascii="宋体" w:hAnsi="宋体" w:cs="宋体"/>
          <w:b/>
          <w:bCs/>
          <w:color w:val="auto"/>
          <w:kern w:val="0"/>
          <w:szCs w:val="21"/>
          <w:highlight w:val="none"/>
          <w:shd w:val="clear" w:color="auto" w:fill="FFFFFF"/>
        </w:rPr>
        <w:t>五、日常管理</w:t>
      </w:r>
    </w:p>
    <w:p w14:paraId="13C072AE">
      <w:pPr>
        <w:widowControl/>
        <w:shd w:val="clear" w:color="auto" w:fill="FFFFFF"/>
        <w:spacing w:line="360" w:lineRule="auto"/>
        <w:ind w:firstLine="420" w:firstLineChars="200"/>
        <w:jc w:val="left"/>
        <w:textAlignment w:val="baseline"/>
        <w:rPr>
          <w:rFonts w:ascii="宋体" w:hAnsi="宋体" w:cs="宋体"/>
          <w:color w:val="auto"/>
          <w:szCs w:val="21"/>
          <w:highlight w:val="none"/>
        </w:rPr>
      </w:pPr>
      <w:r>
        <w:rPr>
          <w:rFonts w:hint="eastAsia" w:asciiTheme="minorEastAsia" w:hAnsiTheme="minorEastAsia" w:cstheme="minorEastAsia"/>
          <w:color w:val="auto"/>
          <w:kern w:val="0"/>
          <w:szCs w:val="21"/>
          <w:highlight w:val="none"/>
        </w:rPr>
        <w:t>1.乙方必须保障水的正常供应，安排专职人员送水，瓶装水及桶装水的配送响应时间必须</w:t>
      </w:r>
      <w:r>
        <w:rPr>
          <w:rFonts w:hint="eastAsia" w:asciiTheme="minorEastAsia" w:hAnsiTheme="minorEastAsia" w:cstheme="minorEastAsia"/>
          <w:bCs/>
          <w:color w:val="auto"/>
          <w:kern w:val="0"/>
          <w:szCs w:val="21"/>
          <w:highlight w:val="none"/>
        </w:rPr>
        <w:t>在</w:t>
      </w:r>
      <w:r>
        <w:rPr>
          <w:rFonts w:hint="eastAsia" w:ascii="宋体" w:hAnsi="宋体" w:cs="宋体"/>
          <w:color w:val="auto"/>
          <w:kern w:val="0"/>
          <w:szCs w:val="21"/>
          <w:highlight w:val="none"/>
          <w:u w:val="single"/>
          <w:shd w:val="clear" w:color="auto" w:fill="FFFFFF"/>
        </w:rPr>
        <w:t xml:space="preserve">   </w:t>
      </w:r>
      <w:r>
        <w:rPr>
          <w:rFonts w:hint="eastAsia" w:asciiTheme="minorEastAsia" w:hAnsiTheme="minorEastAsia" w:cstheme="minorEastAsia"/>
          <w:bCs/>
          <w:color w:val="auto"/>
          <w:kern w:val="0"/>
          <w:szCs w:val="21"/>
          <w:highlight w:val="none"/>
        </w:rPr>
        <w:t>分钟以内</w:t>
      </w:r>
      <w:r>
        <w:rPr>
          <w:rFonts w:hint="eastAsia" w:asciiTheme="minorEastAsia" w:hAnsiTheme="minorEastAsia" w:cstheme="minorEastAsia"/>
          <w:color w:val="auto"/>
          <w:kern w:val="0"/>
          <w:szCs w:val="21"/>
          <w:highlight w:val="none"/>
        </w:rPr>
        <w:t>，并承担瓶装水及桶装水出厂送至用户过程的所有费用；如有用户就用水或产品出现质量问题，须</w:t>
      </w:r>
      <w:r>
        <w:rPr>
          <w:rFonts w:hint="eastAsia" w:ascii="宋体" w:hAnsi="宋体" w:cs="宋体"/>
          <w:color w:val="auto"/>
          <w:kern w:val="0"/>
          <w:szCs w:val="21"/>
          <w:highlight w:val="none"/>
          <w:u w:val="single"/>
          <w:shd w:val="clear" w:color="auto" w:fill="FFFFFF"/>
        </w:rPr>
        <w:t xml:space="preserve">   </w:t>
      </w:r>
      <w:r>
        <w:rPr>
          <w:rFonts w:hint="eastAsia" w:asciiTheme="minorEastAsia" w:hAnsiTheme="minorEastAsia" w:cstheme="minorEastAsia"/>
          <w:color w:val="auto"/>
          <w:kern w:val="0"/>
          <w:szCs w:val="21"/>
          <w:highlight w:val="none"/>
        </w:rPr>
        <w:t>小时内响应，</w:t>
      </w:r>
      <w:r>
        <w:rPr>
          <w:rFonts w:hint="eastAsia" w:ascii="宋体" w:hAnsi="宋体" w:cs="宋体"/>
          <w:color w:val="auto"/>
          <w:kern w:val="0"/>
          <w:szCs w:val="21"/>
          <w:highlight w:val="none"/>
          <w:u w:val="single"/>
          <w:shd w:val="clear" w:color="auto" w:fill="FFFFFF"/>
        </w:rPr>
        <w:t xml:space="preserve">   </w:t>
      </w:r>
      <w:r>
        <w:rPr>
          <w:rFonts w:hint="eastAsia" w:asciiTheme="minorEastAsia" w:hAnsiTheme="minorEastAsia" w:cstheme="minorEastAsia"/>
          <w:color w:val="auto"/>
          <w:kern w:val="0"/>
          <w:szCs w:val="21"/>
          <w:highlight w:val="none"/>
        </w:rPr>
        <w:t>小时内到现场处置；</w:t>
      </w:r>
    </w:p>
    <w:p w14:paraId="7AC5DB1D">
      <w:pPr>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2.水桶的日常管理由乙方负责，</w:t>
      </w:r>
      <w:r>
        <w:rPr>
          <w:rFonts w:hint="eastAsia" w:asciiTheme="minorEastAsia" w:hAnsiTheme="minorEastAsia"/>
          <w:color w:val="auto"/>
          <w:szCs w:val="21"/>
          <w:highlight w:val="none"/>
        </w:rPr>
        <w:t>所用水桶必须是符合卫生要求的PC/PET桶，桶表面保持洁净无垢，商标清晰、规范，桶装饮用水有外包装袋。</w:t>
      </w:r>
    </w:p>
    <w:p w14:paraId="3B6EDD7B">
      <w:pPr>
        <w:spacing w:line="360" w:lineRule="auto"/>
        <w:ind w:firstLine="420" w:firstLineChars="200"/>
        <w:rPr>
          <w:rFonts w:ascii="宋体" w:hAnsi="宋体" w:cs="宋体"/>
          <w:color w:val="auto"/>
          <w:szCs w:val="21"/>
          <w:highlight w:val="none"/>
          <w:shd w:val="clear" w:color="auto" w:fill="FFFFFF"/>
        </w:rPr>
      </w:pPr>
      <w:r>
        <w:rPr>
          <w:rFonts w:hint="eastAsia" w:ascii="宋体" w:hAnsi="宋体" w:cs="宋体"/>
          <w:color w:val="auto"/>
          <w:szCs w:val="21"/>
          <w:highlight w:val="none"/>
        </w:rPr>
        <w:t>3.乙方</w:t>
      </w:r>
      <w:r>
        <w:rPr>
          <w:rFonts w:hint="eastAsia" w:ascii="宋体" w:hAnsi="宋体" w:cs="宋体"/>
          <w:color w:val="auto"/>
          <w:szCs w:val="21"/>
          <w:highlight w:val="none"/>
          <w:shd w:val="clear" w:color="auto" w:fill="FFFFFF"/>
        </w:rPr>
        <w:t>每学期初须提供一次近期《产品检验报告书》；</w:t>
      </w:r>
    </w:p>
    <w:p w14:paraId="64E558E3">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shd w:val="clear" w:color="auto" w:fill="FFFFFF"/>
        </w:rPr>
        <w:t>4.乙方须自备《送水数量及空桶归还登记本》《清洗服务签收本》等相关收据。</w:t>
      </w:r>
    </w:p>
    <w:p w14:paraId="76811A64">
      <w:pPr>
        <w:spacing w:line="360" w:lineRule="auto"/>
        <w:rPr>
          <w:rFonts w:ascii="宋体" w:hAnsi="宋体" w:cs="宋体"/>
          <w:b/>
          <w:bCs/>
          <w:color w:val="auto"/>
          <w:szCs w:val="21"/>
          <w:highlight w:val="none"/>
        </w:rPr>
      </w:pPr>
      <w:r>
        <w:rPr>
          <w:rFonts w:hint="eastAsia" w:ascii="宋体" w:hAnsi="宋体" w:cs="宋体"/>
          <w:b/>
          <w:bCs/>
          <w:color w:val="auto"/>
          <w:szCs w:val="21"/>
          <w:highlight w:val="none"/>
        </w:rPr>
        <w:t>六、个性化定制服务</w:t>
      </w:r>
    </w:p>
    <w:p w14:paraId="3E837025">
      <w:pPr>
        <w:spacing w:line="360" w:lineRule="auto"/>
        <w:ind w:firstLine="600"/>
        <w:rPr>
          <w:rFonts w:ascii="宋体" w:hAnsi="宋体" w:eastAsia="宋体" w:cs="宋体"/>
          <w:color w:val="auto"/>
          <w:szCs w:val="21"/>
          <w:highlight w:val="none"/>
        </w:rPr>
      </w:pPr>
      <w:r>
        <w:rPr>
          <w:rFonts w:hint="eastAsia" w:ascii="宋体" w:hAnsi="宋体" w:cs="宋体"/>
          <w:color w:val="auto"/>
          <w:szCs w:val="21"/>
          <w:highlight w:val="none"/>
        </w:rPr>
        <w:t>1.</w:t>
      </w:r>
      <w:r>
        <w:rPr>
          <w:rFonts w:hint="eastAsia" w:ascii="宋体" w:hAnsi="宋体" w:cs="宋体"/>
          <w:color w:val="auto"/>
          <w:kern w:val="0"/>
          <w:szCs w:val="21"/>
          <w:highlight w:val="none"/>
          <w:u w:val="single"/>
          <w:shd w:val="clear" w:color="auto" w:fill="FFFFFF"/>
        </w:rPr>
        <w:t xml:space="preserve">   </w:t>
      </w:r>
      <w:r>
        <w:rPr>
          <w:rFonts w:hint="eastAsia" w:ascii="宋体" w:hAnsi="宋体" w:cs="宋体"/>
          <w:color w:val="auto"/>
          <w:szCs w:val="21"/>
          <w:highlight w:val="none"/>
        </w:rPr>
        <w:t>。</w:t>
      </w:r>
    </w:p>
    <w:p w14:paraId="03A215FD">
      <w:pPr>
        <w:spacing w:line="360" w:lineRule="auto"/>
        <w:ind w:firstLine="600"/>
        <w:rPr>
          <w:rFonts w:ascii="宋体" w:hAnsi="宋体" w:cs="宋体"/>
          <w:color w:val="auto"/>
          <w:szCs w:val="21"/>
          <w:highlight w:val="none"/>
        </w:rPr>
      </w:pPr>
      <w:r>
        <w:rPr>
          <w:rFonts w:hint="eastAsia" w:ascii="宋体" w:hAnsi="宋体" w:cs="宋体"/>
          <w:color w:val="auto"/>
          <w:szCs w:val="21"/>
          <w:highlight w:val="none"/>
        </w:rPr>
        <w:t>2.</w:t>
      </w:r>
      <w:r>
        <w:rPr>
          <w:rFonts w:hint="eastAsia" w:ascii="宋体" w:hAnsi="宋体" w:cs="宋体"/>
          <w:color w:val="auto"/>
          <w:kern w:val="0"/>
          <w:szCs w:val="21"/>
          <w:highlight w:val="none"/>
          <w:u w:val="single"/>
          <w:shd w:val="clear" w:color="auto" w:fill="FFFFFF"/>
        </w:rPr>
        <w:t xml:space="preserve">   </w:t>
      </w:r>
      <w:r>
        <w:rPr>
          <w:rFonts w:hint="eastAsia" w:ascii="宋体" w:hAnsi="宋体" w:cs="宋体"/>
          <w:color w:val="auto"/>
          <w:szCs w:val="21"/>
          <w:highlight w:val="none"/>
        </w:rPr>
        <w:t>。</w:t>
      </w:r>
    </w:p>
    <w:p w14:paraId="6EB9135A">
      <w:pPr>
        <w:spacing w:line="360" w:lineRule="auto"/>
        <w:rPr>
          <w:rFonts w:ascii="宋体" w:hAnsi="宋体" w:cs="宋体"/>
          <w:b/>
          <w:bCs/>
          <w:color w:val="auto"/>
          <w:szCs w:val="21"/>
          <w:highlight w:val="none"/>
        </w:rPr>
      </w:pPr>
      <w:r>
        <w:rPr>
          <w:rFonts w:hint="eastAsia" w:ascii="宋体" w:hAnsi="宋体" w:cs="宋体"/>
          <w:b/>
          <w:bCs/>
          <w:color w:val="auto"/>
          <w:szCs w:val="21"/>
          <w:highlight w:val="none"/>
        </w:rPr>
        <w:t>七、定点水站服务</w:t>
      </w:r>
    </w:p>
    <w:p w14:paraId="5ECEB60B">
      <w:pPr>
        <w:spacing w:line="360" w:lineRule="auto"/>
        <w:ind w:firstLine="600"/>
        <w:rPr>
          <w:rFonts w:ascii="宋体" w:hAnsi="宋体" w:cs="宋体"/>
          <w:color w:val="auto"/>
          <w:szCs w:val="21"/>
          <w:highlight w:val="none"/>
        </w:rPr>
      </w:pPr>
      <w:r>
        <w:rPr>
          <w:rFonts w:hint="eastAsia" w:ascii="宋体" w:hAnsi="宋体" w:cs="宋体"/>
          <w:color w:val="auto"/>
          <w:szCs w:val="21"/>
          <w:highlight w:val="none"/>
        </w:rPr>
        <w:t>乙方须在甲方南湖校区和相思湖校区的每个校区2公里范围内均设立定点水站。</w:t>
      </w:r>
    </w:p>
    <w:p w14:paraId="186635C9">
      <w:pPr>
        <w:widowControl/>
        <w:numPr>
          <w:ilvl w:val="0"/>
          <w:numId w:val="2"/>
        </w:numPr>
        <w:spacing w:line="360" w:lineRule="auto"/>
        <w:ind w:right="300"/>
        <w:rPr>
          <w:rFonts w:ascii="宋体" w:hAnsi="宋体" w:cs="宋体"/>
          <w:b/>
          <w:bCs/>
          <w:color w:val="auto"/>
          <w:szCs w:val="21"/>
          <w:highlight w:val="none"/>
        </w:rPr>
      </w:pPr>
      <w:r>
        <w:rPr>
          <w:rFonts w:hint="eastAsia" w:ascii="宋体" w:hAnsi="宋体" w:cs="宋体"/>
          <w:b/>
          <w:bCs/>
          <w:color w:val="auto"/>
          <w:szCs w:val="21"/>
          <w:highlight w:val="none"/>
        </w:rPr>
        <w:t>售后服务</w:t>
      </w:r>
    </w:p>
    <w:p w14:paraId="539DF9F1">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1.为保证饮水机的卫生，乙方须按甲方要求，每学期免费提供饮水机清洗、消毒服务一次，如因卫生防疫等原因，须按相应要求免费提供多次清洗、消毒服务；</w:t>
      </w:r>
    </w:p>
    <w:p w14:paraId="1EFBAE59">
      <w:pPr>
        <w:pStyle w:val="6"/>
        <w:widowControl/>
        <w:spacing w:beforeAutospacing="0" w:afterAutospacing="0" w:line="360" w:lineRule="auto"/>
        <w:ind w:right="300" w:firstLine="420" w:firstLineChars="200"/>
        <w:jc w:val="both"/>
        <w:rPr>
          <w:rFonts w:ascii="宋体" w:hAnsi="宋体" w:cs="宋体"/>
          <w:color w:val="auto"/>
          <w:sz w:val="21"/>
          <w:szCs w:val="21"/>
          <w:highlight w:val="none"/>
          <w:shd w:val="clear" w:color="auto" w:fill="FFFFFF"/>
        </w:rPr>
      </w:pPr>
      <w:r>
        <w:rPr>
          <w:rFonts w:hint="eastAsia" w:ascii="宋体" w:hAnsi="宋体" w:cs="宋体"/>
          <w:color w:val="auto"/>
          <w:sz w:val="21"/>
          <w:szCs w:val="21"/>
          <w:highlight w:val="none"/>
          <w:shd w:val="clear" w:color="auto" w:fill="FFFFFF"/>
        </w:rPr>
        <w:t>2.乙方须在校内醒目位置设置饮水卫生公告，告知饮水安全须知。一旦发现水质出现异色异味等，要立即停止饮用，并向有关部门报告；</w:t>
      </w:r>
    </w:p>
    <w:p w14:paraId="1B21BD14">
      <w:pPr>
        <w:pStyle w:val="6"/>
        <w:widowControl/>
        <w:spacing w:beforeAutospacing="0" w:afterAutospacing="0" w:line="360" w:lineRule="auto"/>
        <w:ind w:right="300" w:firstLine="420" w:firstLineChars="200"/>
        <w:jc w:val="both"/>
        <w:rPr>
          <w:rFonts w:asciiTheme="minorEastAsia" w:hAnsiTheme="minorEastAsia" w:cstheme="minorEastAsia"/>
          <w:color w:val="auto"/>
          <w:sz w:val="21"/>
          <w:szCs w:val="21"/>
          <w:highlight w:val="none"/>
        </w:rPr>
      </w:pPr>
      <w:r>
        <w:rPr>
          <w:rFonts w:hint="eastAsia" w:ascii="宋体" w:hAnsi="宋体" w:cs="宋体"/>
          <w:color w:val="auto"/>
          <w:sz w:val="21"/>
          <w:szCs w:val="21"/>
          <w:highlight w:val="none"/>
          <w:shd w:val="clear" w:color="auto" w:fill="FFFFFF"/>
        </w:rPr>
        <w:t>3.发现饮水污染事故和水源性传染病现象，乙方须立即启动《饮水突发事故和水源性传染病应急处理预案》，停止师生的饮用水供应，并保护好水源，等待有关部门前来检测。同时上报上级有关部门和卫生系统防疫部门，最大限度地减小损失。</w:t>
      </w:r>
    </w:p>
    <w:p w14:paraId="172F91B4">
      <w:pPr>
        <w:shd w:val="clear" w:color="auto" w:fill="FFFFFF"/>
        <w:spacing w:line="360" w:lineRule="auto"/>
        <w:jc w:val="left"/>
        <w:textAlignment w:val="baseline"/>
        <w:rPr>
          <w:rFonts w:asciiTheme="minorEastAsia" w:hAnsiTheme="minorEastAsia" w:cstheme="minorEastAsia"/>
          <w:b/>
          <w:bCs/>
          <w:color w:val="auto"/>
          <w:szCs w:val="21"/>
          <w:highlight w:val="none"/>
        </w:rPr>
      </w:pPr>
      <w:r>
        <w:rPr>
          <w:rFonts w:hint="eastAsia" w:asciiTheme="minorEastAsia" w:hAnsiTheme="minorEastAsia" w:cstheme="minorEastAsia"/>
          <w:b/>
          <w:bCs/>
          <w:color w:val="auto"/>
          <w:kern w:val="0"/>
          <w:szCs w:val="21"/>
          <w:highlight w:val="none"/>
        </w:rPr>
        <w:t>九、结算方式</w:t>
      </w:r>
    </w:p>
    <w:p w14:paraId="1F583093">
      <w:pPr>
        <w:widowControl/>
        <w:shd w:val="clear" w:color="auto" w:fill="FFFFFF"/>
        <w:spacing w:line="360" w:lineRule="auto"/>
        <w:ind w:firstLine="420" w:firstLineChars="200"/>
        <w:jc w:val="left"/>
        <w:textAlignment w:val="baseline"/>
        <w:rPr>
          <w:rFonts w:asciiTheme="minorEastAsia" w:hAnsiTheme="minorEastAsia" w:cstheme="minorEastAsia"/>
          <w:color w:val="auto"/>
          <w:kern w:val="0"/>
          <w:szCs w:val="21"/>
          <w:highlight w:val="none"/>
        </w:rPr>
      </w:pPr>
      <w:r>
        <w:rPr>
          <w:rFonts w:hint="eastAsia" w:asciiTheme="minorEastAsia" w:hAnsiTheme="minorEastAsia" w:cstheme="minorEastAsia"/>
          <w:color w:val="auto"/>
          <w:kern w:val="0"/>
          <w:szCs w:val="21"/>
          <w:highlight w:val="none"/>
        </w:rPr>
        <w:t>原则上按季度结算，每季度结算一次。其中，每年12月10日前完成1-11月水费的结算，12月的水费于次年3月底前结算完毕。报账结算时，</w:t>
      </w:r>
      <w:r>
        <w:rPr>
          <w:rFonts w:hint="eastAsia" w:asciiTheme="minorEastAsia" w:hAnsiTheme="minorEastAsia" w:cstheme="minorEastAsia"/>
          <w:color w:val="auto"/>
          <w:kern w:val="0"/>
          <w:szCs w:val="21"/>
          <w:highlight w:val="none"/>
          <w:lang w:val="en-US" w:eastAsia="zh-CN"/>
        </w:rPr>
        <w:t>乙方</w:t>
      </w:r>
      <w:r>
        <w:rPr>
          <w:rFonts w:hint="eastAsia" w:asciiTheme="minorEastAsia" w:hAnsiTheme="minorEastAsia" w:cstheme="minorEastAsia"/>
          <w:color w:val="auto"/>
          <w:kern w:val="0"/>
          <w:szCs w:val="21"/>
          <w:highlight w:val="none"/>
        </w:rPr>
        <w:t>需提供各部门（单位）的用水登记表（须有用水部门相关人员的签字，一式三份）。</w:t>
      </w:r>
    </w:p>
    <w:p w14:paraId="100F64FC">
      <w:pPr>
        <w:widowControl/>
        <w:shd w:val="clear" w:color="auto" w:fill="FFFFFF"/>
        <w:spacing w:line="360" w:lineRule="auto"/>
        <w:jc w:val="left"/>
        <w:textAlignment w:val="baseline"/>
        <w:rPr>
          <w:rFonts w:asciiTheme="minorEastAsia" w:hAnsiTheme="minorEastAsia" w:cstheme="minorEastAsia"/>
          <w:b/>
          <w:bCs/>
          <w:color w:val="auto"/>
          <w:kern w:val="0"/>
          <w:szCs w:val="21"/>
          <w:highlight w:val="none"/>
        </w:rPr>
      </w:pPr>
      <w:r>
        <w:rPr>
          <w:rFonts w:hint="eastAsia" w:asciiTheme="minorEastAsia" w:hAnsiTheme="minorEastAsia" w:cstheme="minorEastAsia"/>
          <w:b/>
          <w:bCs/>
          <w:color w:val="auto"/>
          <w:kern w:val="0"/>
          <w:szCs w:val="21"/>
          <w:highlight w:val="none"/>
        </w:rPr>
        <w:t>十、</w:t>
      </w:r>
      <w:r>
        <w:rPr>
          <w:rFonts w:hint="eastAsia" w:asciiTheme="minorEastAsia" w:hAnsiTheme="minorEastAsia" w:cstheme="minorEastAsia"/>
          <w:b/>
          <w:bCs/>
          <w:color w:val="auto"/>
          <w:szCs w:val="21"/>
          <w:highlight w:val="none"/>
        </w:rPr>
        <w:t>双方的责任及权利</w:t>
      </w:r>
    </w:p>
    <w:p w14:paraId="20B4C9DA">
      <w:pPr>
        <w:widowControl/>
        <w:shd w:val="clear" w:color="auto" w:fill="FFFFFF"/>
        <w:spacing w:line="360" w:lineRule="auto"/>
        <w:ind w:firstLine="525" w:firstLineChars="250"/>
        <w:jc w:val="left"/>
        <w:textAlignment w:val="baseline"/>
        <w:rPr>
          <w:rFonts w:asciiTheme="minorEastAsia" w:hAnsiTheme="minorEastAsia" w:cstheme="minorEastAsia"/>
          <w:color w:val="auto"/>
          <w:kern w:val="0"/>
          <w:szCs w:val="21"/>
          <w:highlight w:val="none"/>
        </w:rPr>
      </w:pPr>
      <w:r>
        <w:rPr>
          <w:rFonts w:hint="eastAsia" w:asciiTheme="minorEastAsia" w:hAnsiTheme="minorEastAsia" w:cstheme="minorEastAsia"/>
          <w:color w:val="auto"/>
          <w:szCs w:val="21"/>
          <w:highlight w:val="none"/>
        </w:rPr>
        <w:t>1.乙方在</w:t>
      </w:r>
      <w:r>
        <w:rPr>
          <w:rFonts w:hint="eastAsia" w:asciiTheme="minorEastAsia" w:hAnsiTheme="minorEastAsia" w:cstheme="minorEastAsia"/>
          <w:color w:val="auto"/>
          <w:kern w:val="0"/>
          <w:szCs w:val="21"/>
          <w:highlight w:val="none"/>
        </w:rPr>
        <w:t>经营服务期间产生的经营成本、管理费用及税金等自行承担。甲方不收取管理费，但要求乙方在价格上要让利于甲方，乙方所供产品价格须低于市场同类产品价格。乙方应保证桶装水货源充足。每批水出厂均需检验（须卫生监督所认可的化验室出具检测报告）；</w:t>
      </w:r>
    </w:p>
    <w:p w14:paraId="1E476D26">
      <w:pPr>
        <w:shd w:val="clear" w:color="auto" w:fill="FFFFFF"/>
        <w:spacing w:line="360" w:lineRule="auto"/>
        <w:ind w:firstLine="525" w:firstLineChars="250"/>
        <w:jc w:val="left"/>
        <w:textAlignment w:val="baseline"/>
        <w:rPr>
          <w:rFonts w:asciiTheme="minorEastAsia" w:hAnsiTheme="minorEastAsia" w:cstheme="minorEastAsia"/>
          <w:color w:val="auto"/>
          <w:szCs w:val="21"/>
          <w:highlight w:val="none"/>
        </w:rPr>
      </w:pPr>
      <w:r>
        <w:rPr>
          <w:rFonts w:hint="eastAsia" w:asciiTheme="minorEastAsia" w:hAnsiTheme="minorEastAsia" w:cstheme="minorEastAsia"/>
          <w:color w:val="auto"/>
          <w:szCs w:val="21"/>
          <w:highlight w:val="none"/>
        </w:rPr>
        <w:t>2.乙方遵守《中华人民共和国劳动法》和相关用工规定，建立人员档案并上报</w:t>
      </w:r>
      <w:r>
        <w:rPr>
          <w:rFonts w:hint="eastAsia" w:asciiTheme="minorEastAsia" w:hAnsiTheme="minorEastAsia" w:cstheme="minorEastAsia"/>
          <w:color w:val="auto"/>
          <w:szCs w:val="21"/>
          <w:highlight w:val="none"/>
          <w:lang w:val="en-US" w:eastAsia="zh-CN"/>
        </w:rPr>
        <w:t>采购</w:t>
      </w:r>
      <w:r>
        <w:rPr>
          <w:rFonts w:hint="eastAsia" w:asciiTheme="minorEastAsia" w:hAnsiTheme="minorEastAsia" w:cstheme="minorEastAsia"/>
          <w:color w:val="auto"/>
          <w:szCs w:val="21"/>
          <w:highlight w:val="none"/>
        </w:rPr>
        <w:t>人统一存档，依法用工并承担相应法律责任，甲方不承担连带责任；</w:t>
      </w:r>
    </w:p>
    <w:p w14:paraId="325036C9">
      <w:pPr>
        <w:shd w:val="clear" w:color="auto" w:fill="FFFFFF"/>
        <w:spacing w:line="360" w:lineRule="auto"/>
        <w:ind w:firstLine="525" w:firstLineChars="250"/>
        <w:jc w:val="left"/>
        <w:textAlignment w:val="baseline"/>
        <w:rPr>
          <w:rFonts w:asciiTheme="minorEastAsia" w:hAnsiTheme="minorEastAsia" w:cstheme="minorEastAsia"/>
          <w:color w:val="auto"/>
          <w:szCs w:val="21"/>
          <w:highlight w:val="none"/>
        </w:rPr>
      </w:pPr>
      <w:r>
        <w:rPr>
          <w:rFonts w:hint="eastAsia" w:asciiTheme="minorEastAsia" w:hAnsiTheme="minorEastAsia" w:cstheme="minorEastAsia"/>
          <w:color w:val="auto"/>
          <w:szCs w:val="21"/>
          <w:highlight w:val="none"/>
        </w:rPr>
        <w:t>3.送水员工的工资、日常生活饮食、起居用房、运输工具等所有费用由乙方负责提供和管理；</w:t>
      </w:r>
    </w:p>
    <w:p w14:paraId="67E7A4FB">
      <w:pPr>
        <w:shd w:val="clear" w:color="auto" w:fill="FFFFFF"/>
        <w:spacing w:line="360" w:lineRule="auto"/>
        <w:ind w:firstLine="525" w:firstLineChars="250"/>
        <w:jc w:val="left"/>
        <w:textAlignment w:val="baseline"/>
        <w:rPr>
          <w:rFonts w:asciiTheme="minorEastAsia" w:hAnsiTheme="minorEastAsia" w:cstheme="minorEastAsia"/>
          <w:color w:val="auto"/>
          <w:szCs w:val="21"/>
          <w:highlight w:val="none"/>
        </w:rPr>
      </w:pPr>
      <w:r>
        <w:rPr>
          <w:rFonts w:hint="eastAsia" w:asciiTheme="minorEastAsia" w:hAnsiTheme="minorEastAsia" w:cstheme="minorEastAsia"/>
          <w:color w:val="auto"/>
          <w:szCs w:val="21"/>
          <w:highlight w:val="none"/>
        </w:rPr>
        <w:t>4.乙方</w:t>
      </w:r>
      <w:r>
        <w:rPr>
          <w:rFonts w:hint="eastAsia" w:asciiTheme="minorEastAsia" w:hAnsiTheme="minorEastAsia"/>
          <w:color w:val="auto"/>
          <w:szCs w:val="21"/>
          <w:highlight w:val="none"/>
        </w:rPr>
        <w:t>安</w:t>
      </w:r>
      <w:r>
        <w:rPr>
          <w:rFonts w:hint="eastAsia" w:asciiTheme="minorEastAsia" w:hAnsiTheme="minorEastAsia" w:cstheme="minorEastAsia"/>
          <w:color w:val="auto"/>
          <w:szCs w:val="21"/>
          <w:highlight w:val="none"/>
        </w:rPr>
        <w:t>排的送水人员须责任心强，具备饮水机维修技能，仪容仪表整洁，举止文明，微笑服务，持有效健康证上岗（健康证办理及体检费用由乙方承担），统一着工作服并佩戴工作证。乙方应对其送水人员进行统一管理和培训。乙方要加强对送水员工的日常安全教育与安全管理，避免任何安全事故的发生；</w:t>
      </w:r>
    </w:p>
    <w:p w14:paraId="30500CFC">
      <w:pPr>
        <w:widowControl/>
        <w:shd w:val="clear" w:color="auto" w:fill="FFFFFF"/>
        <w:spacing w:line="360" w:lineRule="auto"/>
        <w:ind w:firstLine="525" w:firstLineChars="250"/>
        <w:jc w:val="left"/>
        <w:textAlignment w:val="baseline"/>
        <w:rPr>
          <w:rFonts w:asciiTheme="minorEastAsia" w:hAnsiTheme="minorEastAsia" w:cstheme="minorEastAsia"/>
          <w:color w:val="auto"/>
          <w:kern w:val="0"/>
          <w:szCs w:val="21"/>
          <w:highlight w:val="none"/>
        </w:rPr>
      </w:pPr>
      <w:r>
        <w:rPr>
          <w:rFonts w:hint="eastAsia" w:asciiTheme="minorEastAsia" w:hAnsiTheme="minorEastAsia" w:cstheme="minorEastAsia"/>
          <w:color w:val="auto"/>
          <w:kern w:val="0"/>
          <w:szCs w:val="21"/>
          <w:highlight w:val="none"/>
        </w:rPr>
        <w:t>5.在合同期内，乙方应积极配合甲方开展相关卫生安全的检查，随时接受上级卫生监督部门、物价部门、质检部门及工商部门的检查，接受并遵守甲方相关职能部门对服务质量、经营等方面的监督管理和检查考核工作；</w:t>
      </w:r>
    </w:p>
    <w:p w14:paraId="2A39A959">
      <w:pPr>
        <w:widowControl/>
        <w:shd w:val="clear" w:color="auto" w:fill="FFFFFF"/>
        <w:spacing w:line="360" w:lineRule="auto"/>
        <w:ind w:firstLine="525" w:firstLineChars="250"/>
        <w:jc w:val="left"/>
        <w:textAlignment w:val="baseline"/>
        <w:rPr>
          <w:rFonts w:hint="default" w:asciiTheme="minorEastAsia" w:hAnsiTheme="minorEastAsia" w:eastAsiaTheme="minorEastAsia" w:cstheme="minorEastAsia"/>
          <w:color w:val="auto"/>
          <w:kern w:val="0"/>
          <w:szCs w:val="21"/>
          <w:highlight w:val="none"/>
          <w:lang w:val="en-US" w:eastAsia="zh-CN"/>
        </w:rPr>
      </w:pPr>
      <w:r>
        <w:rPr>
          <w:rFonts w:hint="eastAsia" w:asciiTheme="minorEastAsia" w:hAnsiTheme="minorEastAsia" w:cstheme="minorEastAsia"/>
          <w:color w:val="auto"/>
          <w:kern w:val="0"/>
          <w:szCs w:val="21"/>
          <w:highlight w:val="none"/>
        </w:rPr>
        <w:t>6.乙方对产品（含瓶装水及桶装水）质量负责，承担因质量问题而造成的全部后果。如乙方供水质量不符合国家标准，乙方应无条件更换合格用水，并承担由此造成甲方及用水人的损失；如经卫生检疫部门或相关质量监督局等政府相关部门认定，确属乙方因供水质量问题造成事故的，由乙方按《食品安全法》的相关规定承担相应的责任，甲方有权予以解除合同；</w:t>
      </w:r>
    </w:p>
    <w:p w14:paraId="5BC9C666">
      <w:pPr>
        <w:spacing w:line="360" w:lineRule="auto"/>
        <w:ind w:firstLine="420" w:firstLineChars="200"/>
        <w:jc w:val="left"/>
        <w:rPr>
          <w:rFonts w:ascii="宋体" w:hAnsi="宋体" w:cs="宋体"/>
          <w:color w:val="auto"/>
          <w:szCs w:val="21"/>
          <w:highlight w:val="none"/>
        </w:rPr>
      </w:pPr>
      <w:r>
        <w:rPr>
          <w:rFonts w:hint="eastAsia" w:asciiTheme="minorEastAsia" w:hAnsiTheme="minorEastAsia" w:cstheme="minorEastAsia"/>
          <w:color w:val="auto"/>
          <w:kern w:val="0"/>
          <w:szCs w:val="21"/>
          <w:highlight w:val="none"/>
        </w:rPr>
        <w:t>7.乙方提供的</w:t>
      </w:r>
      <w:r>
        <w:rPr>
          <w:rFonts w:hint="eastAsia" w:ascii="宋体" w:hAnsi="宋体" w:cs="宋体"/>
          <w:color w:val="auto"/>
          <w:szCs w:val="21"/>
          <w:highlight w:val="none"/>
        </w:rPr>
        <w:t>饮用水必须符合国家颁发的包装饮用水食品安全国家标准，同批次水供货后留样48小时。如有用户投诉或出现质量问题，</w:t>
      </w:r>
      <w:r>
        <w:rPr>
          <w:rFonts w:ascii="宋体" w:hAnsi="宋体" w:cs="宋体"/>
          <w:color w:val="auto"/>
          <w:szCs w:val="21"/>
          <w:highlight w:val="none"/>
        </w:rPr>
        <w:t>0.5</w:t>
      </w:r>
      <w:r>
        <w:rPr>
          <w:rFonts w:hint="eastAsia" w:ascii="宋体" w:hAnsi="宋体" w:cs="宋体"/>
          <w:color w:val="auto"/>
          <w:szCs w:val="21"/>
          <w:highlight w:val="none"/>
        </w:rPr>
        <w:t>小时内响应，</w:t>
      </w:r>
      <w:r>
        <w:rPr>
          <w:rFonts w:ascii="宋体" w:hAnsi="宋体" w:cs="宋体"/>
          <w:color w:val="auto"/>
          <w:szCs w:val="21"/>
          <w:highlight w:val="none"/>
        </w:rPr>
        <w:t>1</w:t>
      </w:r>
      <w:r>
        <w:rPr>
          <w:rFonts w:hint="eastAsia" w:ascii="宋体" w:hAnsi="宋体" w:cs="宋体"/>
          <w:color w:val="auto"/>
          <w:szCs w:val="21"/>
          <w:highlight w:val="none"/>
        </w:rPr>
        <w:t>小时内到现场处置，24小时内做出处置方案提交甲方，并在甲方指定时间内妥当处置完毕；</w:t>
      </w:r>
    </w:p>
    <w:p w14:paraId="374A67B5">
      <w:pPr>
        <w:widowControl/>
        <w:spacing w:line="360" w:lineRule="auto"/>
        <w:ind w:firstLine="420" w:firstLineChars="200"/>
        <w:jc w:val="left"/>
        <w:rPr>
          <w:rFonts w:hint="default" w:ascii="宋体" w:hAnsi="宋体" w:cs="宋体" w:eastAsiaTheme="minorEastAsia"/>
          <w:color w:val="auto"/>
          <w:szCs w:val="21"/>
          <w:highlight w:val="none"/>
          <w:lang w:val="en-US" w:eastAsia="zh-CN"/>
        </w:rPr>
      </w:pPr>
      <w:r>
        <w:rPr>
          <w:rFonts w:hint="eastAsia" w:ascii="宋体" w:hAnsi="宋体" w:cs="宋体"/>
          <w:color w:val="auto"/>
          <w:szCs w:val="21"/>
          <w:highlight w:val="none"/>
        </w:rPr>
        <w:t>8.在合同期内，乙方</w:t>
      </w:r>
      <w:r>
        <w:rPr>
          <w:rFonts w:hint="eastAsia" w:ascii="宋体" w:hAnsi="宋体" w:cs="宋体"/>
          <w:color w:val="auto"/>
          <w:szCs w:val="21"/>
          <w:highlight w:val="none"/>
          <w:lang w:val="en-US" w:eastAsia="zh-CN"/>
        </w:rPr>
        <w:t>或生产商</w:t>
      </w:r>
      <w:r>
        <w:rPr>
          <w:rFonts w:hint="eastAsia" w:ascii="宋体" w:hAnsi="宋体" w:cs="宋体"/>
          <w:color w:val="auto"/>
          <w:szCs w:val="21"/>
          <w:highlight w:val="none"/>
        </w:rPr>
        <w:t>被列入国家、广西或南宁市市场监督管理局公布的</w:t>
      </w:r>
      <w:r>
        <w:rPr>
          <w:rFonts w:hint="eastAsia" w:ascii="宋体" w:hAnsi="宋体" w:cs="宋体"/>
          <w:color w:val="auto"/>
          <w:szCs w:val="21"/>
          <w:highlight w:val="none"/>
          <w:lang w:val="en-US" w:eastAsia="zh-CN"/>
        </w:rPr>
        <w:t>严重</w:t>
      </w:r>
      <w:r>
        <w:rPr>
          <w:rFonts w:hint="eastAsia" w:ascii="宋体" w:hAnsi="宋体" w:cs="宋体"/>
          <w:color w:val="auto"/>
          <w:szCs w:val="21"/>
          <w:highlight w:val="none"/>
        </w:rPr>
        <w:t>违法失信名单或</w:t>
      </w:r>
      <w:r>
        <w:rPr>
          <w:rFonts w:hint="eastAsia" w:ascii="宋体" w:hAnsi="宋体" w:cs="宋体"/>
          <w:color w:val="auto"/>
          <w:szCs w:val="21"/>
          <w:highlight w:val="none"/>
          <w:lang w:val="en-US" w:eastAsia="zh-CN"/>
        </w:rPr>
        <w:t>所供产品被列入</w:t>
      </w:r>
      <w:r>
        <w:rPr>
          <w:rFonts w:hint="eastAsia" w:ascii="宋体" w:hAnsi="宋体" w:cs="宋体"/>
          <w:color w:val="auto"/>
          <w:szCs w:val="21"/>
          <w:highlight w:val="none"/>
        </w:rPr>
        <w:t>抽检不合格名单，则与甲方签订的合同自动解除，乙方负责处理善后事宜并承担由此造成的损失，甲方有权重新采购供应商。</w:t>
      </w:r>
    </w:p>
    <w:p w14:paraId="170AD6C2">
      <w:pPr>
        <w:widowControl/>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9.</w:t>
      </w:r>
      <w:r>
        <w:rPr>
          <w:rFonts w:ascii="宋体" w:hAnsi="宋体" w:cs="宋体"/>
          <w:color w:val="auto"/>
          <w:szCs w:val="21"/>
          <w:highlight w:val="none"/>
        </w:rPr>
        <w:t>如生产商的供应水规格有变动</w:t>
      </w:r>
      <w:r>
        <w:rPr>
          <w:rFonts w:hint="eastAsia" w:ascii="宋体" w:hAnsi="宋体" w:cs="宋体"/>
          <w:color w:val="auto"/>
          <w:szCs w:val="21"/>
          <w:highlight w:val="none"/>
        </w:rPr>
        <w:t>或停产</w:t>
      </w:r>
      <w:r>
        <w:rPr>
          <w:rFonts w:ascii="宋体" w:hAnsi="宋体" w:cs="宋体"/>
          <w:color w:val="auto"/>
          <w:szCs w:val="21"/>
          <w:highlight w:val="none"/>
        </w:rPr>
        <w:t>，且对本项目的供应有影响，则需经双方协商再确定</w:t>
      </w:r>
      <w:r>
        <w:rPr>
          <w:rFonts w:hint="eastAsia" w:ascii="宋体" w:hAnsi="宋体" w:cs="宋体"/>
          <w:color w:val="auto"/>
          <w:szCs w:val="21"/>
          <w:highlight w:val="none"/>
        </w:rPr>
        <w:t>，乙方须提供相关的产品变动或停产证明材料</w:t>
      </w:r>
      <w:r>
        <w:rPr>
          <w:rFonts w:ascii="宋体" w:hAnsi="宋体" w:cs="宋体"/>
          <w:color w:val="auto"/>
          <w:szCs w:val="21"/>
          <w:highlight w:val="none"/>
        </w:rPr>
        <w:t>。</w:t>
      </w:r>
    </w:p>
    <w:p w14:paraId="03BDEF7B">
      <w:pPr>
        <w:pStyle w:val="6"/>
        <w:widowControl/>
        <w:spacing w:beforeAutospacing="0" w:afterAutospacing="0" w:line="360" w:lineRule="auto"/>
        <w:textAlignment w:val="baseline"/>
        <w:rPr>
          <w:rFonts w:asciiTheme="minorEastAsia" w:hAnsiTheme="minorEastAsia" w:cstheme="minorEastAsia"/>
          <w:b/>
          <w:bCs/>
          <w:color w:val="auto"/>
          <w:sz w:val="21"/>
          <w:szCs w:val="21"/>
          <w:highlight w:val="none"/>
        </w:rPr>
      </w:pPr>
      <w:r>
        <w:rPr>
          <w:rFonts w:hint="eastAsia" w:asciiTheme="minorEastAsia" w:hAnsiTheme="minorEastAsia" w:cstheme="minorEastAsia"/>
          <w:b/>
          <w:bCs/>
          <w:color w:val="auto"/>
          <w:sz w:val="21"/>
          <w:szCs w:val="21"/>
          <w:highlight w:val="none"/>
        </w:rPr>
        <w:t>十一、协议生效及其他</w:t>
      </w:r>
    </w:p>
    <w:p w14:paraId="7319A3B8">
      <w:pPr>
        <w:pStyle w:val="6"/>
        <w:widowControl/>
        <w:spacing w:beforeAutospacing="0" w:afterAutospacing="0" w:line="360" w:lineRule="auto"/>
        <w:ind w:firstLine="420" w:firstLineChars="200"/>
        <w:textAlignment w:val="baseline"/>
        <w:rPr>
          <w:rFonts w:asciiTheme="minorEastAsia" w:hAnsiTheme="minorEastAsia" w:cstheme="minorEastAsia"/>
          <w:color w:val="auto"/>
          <w:sz w:val="21"/>
          <w:szCs w:val="21"/>
          <w:highlight w:val="none"/>
        </w:rPr>
      </w:pPr>
      <w:r>
        <w:rPr>
          <w:rFonts w:hint="eastAsia" w:asciiTheme="minorEastAsia" w:hAnsiTheme="minorEastAsia" w:cstheme="minorEastAsia"/>
          <w:color w:val="auto"/>
          <w:sz w:val="21"/>
          <w:szCs w:val="21"/>
          <w:highlight w:val="none"/>
        </w:rPr>
        <w:t>1.本协议经双方代表签字加盖公章后生效。</w:t>
      </w:r>
    </w:p>
    <w:p w14:paraId="02A88E2E">
      <w:pPr>
        <w:pStyle w:val="6"/>
        <w:widowControl/>
        <w:spacing w:beforeAutospacing="0" w:afterAutospacing="0" w:line="360" w:lineRule="auto"/>
        <w:ind w:firstLine="420" w:firstLineChars="200"/>
        <w:textAlignment w:val="baseline"/>
        <w:rPr>
          <w:rFonts w:asciiTheme="minorEastAsia" w:hAnsiTheme="minorEastAsia" w:cstheme="minorEastAsia"/>
          <w:color w:val="auto"/>
          <w:sz w:val="21"/>
          <w:szCs w:val="21"/>
          <w:highlight w:val="none"/>
        </w:rPr>
      </w:pPr>
      <w:r>
        <w:rPr>
          <w:rFonts w:hint="eastAsia" w:asciiTheme="minorEastAsia" w:hAnsiTheme="minorEastAsia" w:cstheme="minorEastAsia"/>
          <w:color w:val="auto"/>
          <w:sz w:val="21"/>
          <w:szCs w:val="21"/>
          <w:highlight w:val="none"/>
        </w:rPr>
        <w:t>2.本协议一式两份，双方各执一份。</w:t>
      </w:r>
    </w:p>
    <w:p w14:paraId="5231952F">
      <w:pPr>
        <w:pStyle w:val="6"/>
        <w:widowControl/>
        <w:spacing w:beforeAutospacing="0" w:afterAutospacing="0" w:line="360" w:lineRule="auto"/>
        <w:ind w:firstLine="420" w:firstLineChars="200"/>
        <w:textAlignment w:val="baseline"/>
        <w:rPr>
          <w:rFonts w:asciiTheme="minorEastAsia" w:hAnsiTheme="minorEastAsia" w:cstheme="minorEastAsia"/>
          <w:color w:val="auto"/>
          <w:sz w:val="21"/>
          <w:szCs w:val="21"/>
          <w:highlight w:val="none"/>
        </w:rPr>
      </w:pPr>
      <w:r>
        <w:rPr>
          <w:rFonts w:hint="eastAsia" w:asciiTheme="minorEastAsia" w:hAnsiTheme="minorEastAsia" w:cstheme="minorEastAsia"/>
          <w:color w:val="auto"/>
          <w:sz w:val="21"/>
          <w:szCs w:val="21"/>
          <w:highlight w:val="none"/>
        </w:rPr>
        <w:t>3.本协议未尽事宜，双方协商解决。协商履行如有争议，协商不成的，向甲方住所地有管辖权的法院提起诉讼。</w:t>
      </w:r>
    </w:p>
    <w:p w14:paraId="257B4EC8">
      <w:pPr>
        <w:pStyle w:val="6"/>
        <w:widowControl/>
        <w:spacing w:beforeAutospacing="0" w:afterAutospacing="0" w:line="360" w:lineRule="auto"/>
        <w:ind w:firstLine="420" w:firstLineChars="200"/>
        <w:textAlignment w:val="baseline"/>
        <w:rPr>
          <w:rFonts w:asciiTheme="minorEastAsia" w:hAnsiTheme="minorEastAsia" w:cstheme="minorEastAsia"/>
          <w:color w:val="auto"/>
          <w:sz w:val="21"/>
          <w:szCs w:val="21"/>
          <w:highlight w:val="none"/>
        </w:rPr>
      </w:pPr>
    </w:p>
    <w:p w14:paraId="62192A61">
      <w:pPr>
        <w:pStyle w:val="6"/>
        <w:widowControl/>
        <w:spacing w:beforeAutospacing="0" w:afterAutospacing="0" w:line="360" w:lineRule="auto"/>
        <w:ind w:firstLine="420" w:firstLineChars="200"/>
        <w:textAlignment w:val="baseline"/>
        <w:rPr>
          <w:rFonts w:asciiTheme="minorEastAsia" w:hAnsiTheme="minorEastAsia" w:cstheme="minorEastAsia"/>
          <w:color w:val="auto"/>
          <w:sz w:val="21"/>
          <w:szCs w:val="21"/>
          <w:highlight w:val="none"/>
        </w:rPr>
      </w:pPr>
    </w:p>
    <w:p w14:paraId="246C0357">
      <w:pPr>
        <w:pStyle w:val="6"/>
        <w:widowControl/>
        <w:spacing w:beforeAutospacing="0" w:afterAutospacing="0" w:line="360" w:lineRule="auto"/>
        <w:textAlignment w:val="baseline"/>
        <w:rPr>
          <w:rFonts w:asciiTheme="minorEastAsia" w:hAnsiTheme="minorEastAsia" w:cstheme="minorEastAsia"/>
          <w:color w:val="auto"/>
          <w:sz w:val="21"/>
          <w:szCs w:val="21"/>
          <w:highlight w:val="none"/>
        </w:rPr>
      </w:pPr>
      <w:r>
        <w:rPr>
          <w:rFonts w:hint="eastAsia" w:asciiTheme="minorEastAsia" w:hAnsiTheme="minorEastAsia" w:cstheme="minorEastAsia"/>
          <w:color w:val="auto"/>
          <w:sz w:val="21"/>
          <w:szCs w:val="21"/>
          <w:highlight w:val="none"/>
        </w:rPr>
        <w:t>甲方：（盖章）                     乙方：（盖章）</w:t>
      </w:r>
    </w:p>
    <w:p w14:paraId="0C951989">
      <w:pPr>
        <w:pStyle w:val="6"/>
        <w:widowControl/>
        <w:spacing w:beforeAutospacing="0" w:afterAutospacing="0" w:line="360" w:lineRule="auto"/>
        <w:textAlignment w:val="baseline"/>
        <w:rPr>
          <w:rFonts w:asciiTheme="minorEastAsia" w:hAnsiTheme="minorEastAsia" w:cstheme="minorEastAsia"/>
          <w:color w:val="auto"/>
          <w:sz w:val="21"/>
          <w:szCs w:val="21"/>
          <w:highlight w:val="none"/>
        </w:rPr>
      </w:pPr>
      <w:r>
        <w:rPr>
          <w:rFonts w:hint="eastAsia" w:asciiTheme="minorEastAsia" w:hAnsiTheme="minorEastAsia" w:cstheme="minorEastAsia"/>
          <w:color w:val="auto"/>
          <w:sz w:val="21"/>
          <w:szCs w:val="21"/>
          <w:highlight w:val="none"/>
        </w:rPr>
        <w:t>委托代理人：                       委托代理人：</w:t>
      </w:r>
    </w:p>
    <w:p w14:paraId="5039C8EC">
      <w:pPr>
        <w:pStyle w:val="6"/>
        <w:widowControl/>
        <w:spacing w:beforeAutospacing="0" w:afterAutospacing="0" w:line="360" w:lineRule="auto"/>
        <w:textAlignment w:val="baseline"/>
        <w:rPr>
          <w:rFonts w:asciiTheme="minorEastAsia" w:hAnsiTheme="minorEastAsia" w:cstheme="minorEastAsia"/>
          <w:color w:val="auto"/>
          <w:sz w:val="21"/>
          <w:szCs w:val="21"/>
          <w:highlight w:val="none"/>
        </w:rPr>
      </w:pPr>
      <w:r>
        <w:rPr>
          <w:rFonts w:hint="eastAsia" w:asciiTheme="minorEastAsia" w:hAnsiTheme="minorEastAsia" w:cstheme="minorEastAsia"/>
          <w:color w:val="auto"/>
          <w:sz w:val="21"/>
          <w:szCs w:val="21"/>
          <w:highlight w:val="none"/>
        </w:rPr>
        <w:t xml:space="preserve">年    月    日                     年    月   日  </w:t>
      </w:r>
    </w:p>
    <w:p w14:paraId="75820733">
      <w:pPr>
        <w:adjustRightInd w:val="0"/>
        <w:snapToGrid w:val="0"/>
        <w:spacing w:line="360" w:lineRule="auto"/>
        <w:ind w:firstLine="630" w:firstLineChars="300"/>
        <w:rPr>
          <w:rFonts w:ascii="宋体" w:hAnsi="宋体" w:eastAsia="宋体"/>
          <w:color w:val="auto"/>
          <w:szCs w:val="21"/>
          <w:highlight w:val="none"/>
          <w:shd w:val="clear" w:color="auto" w:fill="FFFFFF"/>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Math">
    <w:panose1 w:val="02040503050406030204"/>
    <w:charset w:val="00"/>
    <w:family w:val="roman"/>
    <w:pitch w:val="default"/>
    <w:sig w:usb0="E00006FF" w:usb1="420024FF" w:usb2="02000000" w:usb3="00000000" w:csb0="2000019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609778274"/>
    </w:sdtPr>
    <w:sdtContent>
      <w:sdt>
        <w:sdtPr>
          <w:id w:val="1728636285"/>
        </w:sdtPr>
        <w:sdtContent>
          <w:p w14:paraId="32DA09E8">
            <w:pPr>
              <w:pStyle w:val="4"/>
              <w:jc w:val="center"/>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rPr>
              <w:t>25</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25</w:t>
            </w:r>
            <w:r>
              <w:rPr>
                <w:b/>
                <w:bCs/>
                <w:sz w:val="24"/>
                <w:szCs w:val="24"/>
              </w:rPr>
              <w:fldChar w:fldCharType="end"/>
            </w:r>
          </w:p>
        </w:sdtContent>
      </w:sdt>
    </w:sdtContent>
  </w:sdt>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4B8F078"/>
    <w:multiLevelType w:val="singleLevel"/>
    <w:tmpl w:val="C4B8F078"/>
    <w:lvl w:ilvl="0" w:tentative="0">
      <w:start w:val="4"/>
      <w:numFmt w:val="chineseCounting"/>
      <w:suff w:val="nothing"/>
      <w:lvlText w:val="%1、"/>
      <w:lvlJc w:val="left"/>
      <w:rPr>
        <w:rFonts w:hint="eastAsia"/>
      </w:rPr>
    </w:lvl>
  </w:abstractNum>
  <w:abstractNum w:abstractNumId="1">
    <w:nsid w:val="69678A12"/>
    <w:multiLevelType w:val="singleLevel"/>
    <w:tmpl w:val="69678A12"/>
    <w:lvl w:ilvl="0" w:tentative="0">
      <w:start w:val="8"/>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UyNDhmOWU4ZDRkMzNmMmFkYWMwMmFjZTJmOGM4YjgifQ=="/>
  </w:docVars>
  <w:rsids>
    <w:rsidRoot w:val="00C36CEE"/>
    <w:rsid w:val="0002359D"/>
    <w:rsid w:val="00067B26"/>
    <w:rsid w:val="000A6D42"/>
    <w:rsid w:val="000D0AC5"/>
    <w:rsid w:val="000D5540"/>
    <w:rsid w:val="000D5703"/>
    <w:rsid w:val="00100647"/>
    <w:rsid w:val="00170464"/>
    <w:rsid w:val="001747A9"/>
    <w:rsid w:val="00205B4C"/>
    <w:rsid w:val="002418EA"/>
    <w:rsid w:val="0024588B"/>
    <w:rsid w:val="0026155E"/>
    <w:rsid w:val="00285E17"/>
    <w:rsid w:val="002E4C1B"/>
    <w:rsid w:val="0034507F"/>
    <w:rsid w:val="003651AA"/>
    <w:rsid w:val="00375600"/>
    <w:rsid w:val="00383BCE"/>
    <w:rsid w:val="003A6018"/>
    <w:rsid w:val="003B536F"/>
    <w:rsid w:val="0041780A"/>
    <w:rsid w:val="00471891"/>
    <w:rsid w:val="00504DD5"/>
    <w:rsid w:val="005C72E6"/>
    <w:rsid w:val="00613C61"/>
    <w:rsid w:val="00614657"/>
    <w:rsid w:val="0063342B"/>
    <w:rsid w:val="00635BF3"/>
    <w:rsid w:val="0065282A"/>
    <w:rsid w:val="00656374"/>
    <w:rsid w:val="006C4480"/>
    <w:rsid w:val="006D372C"/>
    <w:rsid w:val="006E1E48"/>
    <w:rsid w:val="00717C44"/>
    <w:rsid w:val="00756F01"/>
    <w:rsid w:val="007E0277"/>
    <w:rsid w:val="007F2B42"/>
    <w:rsid w:val="0082722C"/>
    <w:rsid w:val="00861C88"/>
    <w:rsid w:val="0093057A"/>
    <w:rsid w:val="009A13CD"/>
    <w:rsid w:val="009E0DF3"/>
    <w:rsid w:val="009F63B1"/>
    <w:rsid w:val="00A06B60"/>
    <w:rsid w:val="00A17588"/>
    <w:rsid w:val="00A46FEF"/>
    <w:rsid w:val="00A53BD1"/>
    <w:rsid w:val="00A75E42"/>
    <w:rsid w:val="00A8433E"/>
    <w:rsid w:val="00AA4B98"/>
    <w:rsid w:val="00AB6D27"/>
    <w:rsid w:val="00AC31CF"/>
    <w:rsid w:val="00AE5625"/>
    <w:rsid w:val="00B17F60"/>
    <w:rsid w:val="00BA01FD"/>
    <w:rsid w:val="00BE17EA"/>
    <w:rsid w:val="00BE6FE1"/>
    <w:rsid w:val="00C267F6"/>
    <w:rsid w:val="00C36CEE"/>
    <w:rsid w:val="00C6487D"/>
    <w:rsid w:val="00C96190"/>
    <w:rsid w:val="00CA3C74"/>
    <w:rsid w:val="00CA54B3"/>
    <w:rsid w:val="00CF589D"/>
    <w:rsid w:val="00D30970"/>
    <w:rsid w:val="00D72A4C"/>
    <w:rsid w:val="00E01F6D"/>
    <w:rsid w:val="00E1519D"/>
    <w:rsid w:val="00E43EF0"/>
    <w:rsid w:val="00E44C4C"/>
    <w:rsid w:val="00EF2D11"/>
    <w:rsid w:val="00F0201A"/>
    <w:rsid w:val="00F2794F"/>
    <w:rsid w:val="00F61048"/>
    <w:rsid w:val="00FC5342"/>
    <w:rsid w:val="00FD5221"/>
    <w:rsid w:val="00FF25A4"/>
    <w:rsid w:val="017E246C"/>
    <w:rsid w:val="024A1379"/>
    <w:rsid w:val="03BD3D36"/>
    <w:rsid w:val="0495039A"/>
    <w:rsid w:val="05073102"/>
    <w:rsid w:val="06306D9E"/>
    <w:rsid w:val="07BC5CB5"/>
    <w:rsid w:val="07C30891"/>
    <w:rsid w:val="08041267"/>
    <w:rsid w:val="083A41C5"/>
    <w:rsid w:val="0A077B18"/>
    <w:rsid w:val="0A1E6855"/>
    <w:rsid w:val="0ACF0761"/>
    <w:rsid w:val="0BFE2F7A"/>
    <w:rsid w:val="0D015CD9"/>
    <w:rsid w:val="0D1D41D1"/>
    <w:rsid w:val="0D892ADE"/>
    <w:rsid w:val="0E437B8A"/>
    <w:rsid w:val="0EFE7ED6"/>
    <w:rsid w:val="0F3B721C"/>
    <w:rsid w:val="0FF80611"/>
    <w:rsid w:val="10807A09"/>
    <w:rsid w:val="111B22AE"/>
    <w:rsid w:val="14172CFF"/>
    <w:rsid w:val="149A0996"/>
    <w:rsid w:val="14BF69C0"/>
    <w:rsid w:val="153E27FD"/>
    <w:rsid w:val="15DC3ADE"/>
    <w:rsid w:val="16166D2C"/>
    <w:rsid w:val="16AF39B2"/>
    <w:rsid w:val="17563788"/>
    <w:rsid w:val="17932769"/>
    <w:rsid w:val="18CE2F35"/>
    <w:rsid w:val="19226802"/>
    <w:rsid w:val="19CE265C"/>
    <w:rsid w:val="1A134FCE"/>
    <w:rsid w:val="1A6C0A1A"/>
    <w:rsid w:val="1A8A39C8"/>
    <w:rsid w:val="1C5E1EC1"/>
    <w:rsid w:val="1C856F63"/>
    <w:rsid w:val="1CA034BD"/>
    <w:rsid w:val="1E054F96"/>
    <w:rsid w:val="1E6A7C08"/>
    <w:rsid w:val="1FE06494"/>
    <w:rsid w:val="22F01826"/>
    <w:rsid w:val="24A15599"/>
    <w:rsid w:val="250749B9"/>
    <w:rsid w:val="25111E59"/>
    <w:rsid w:val="259D2A0B"/>
    <w:rsid w:val="27735817"/>
    <w:rsid w:val="27BA213E"/>
    <w:rsid w:val="28F85835"/>
    <w:rsid w:val="29185CC0"/>
    <w:rsid w:val="296C7758"/>
    <w:rsid w:val="299018E8"/>
    <w:rsid w:val="2A647001"/>
    <w:rsid w:val="2C6B38FF"/>
    <w:rsid w:val="2C754236"/>
    <w:rsid w:val="2E33592B"/>
    <w:rsid w:val="2E97342B"/>
    <w:rsid w:val="2EF24033"/>
    <w:rsid w:val="2F6E5BE1"/>
    <w:rsid w:val="2F95728F"/>
    <w:rsid w:val="2FA24E09"/>
    <w:rsid w:val="2FD01127"/>
    <w:rsid w:val="33F42871"/>
    <w:rsid w:val="348E47AF"/>
    <w:rsid w:val="349B5A74"/>
    <w:rsid w:val="34A123A8"/>
    <w:rsid w:val="3566572C"/>
    <w:rsid w:val="362E209A"/>
    <w:rsid w:val="36E27D84"/>
    <w:rsid w:val="389007D2"/>
    <w:rsid w:val="39657649"/>
    <w:rsid w:val="3A722D23"/>
    <w:rsid w:val="3B991C0D"/>
    <w:rsid w:val="3BC211E2"/>
    <w:rsid w:val="3BC53016"/>
    <w:rsid w:val="3C002E69"/>
    <w:rsid w:val="3E7A4A5C"/>
    <w:rsid w:val="3ED24F3F"/>
    <w:rsid w:val="3F4D2428"/>
    <w:rsid w:val="403A1773"/>
    <w:rsid w:val="418C03D5"/>
    <w:rsid w:val="41931096"/>
    <w:rsid w:val="41C77D64"/>
    <w:rsid w:val="41D950BF"/>
    <w:rsid w:val="41EB3DD1"/>
    <w:rsid w:val="4296483F"/>
    <w:rsid w:val="43CC2BFE"/>
    <w:rsid w:val="444075F5"/>
    <w:rsid w:val="4463252D"/>
    <w:rsid w:val="44B244EA"/>
    <w:rsid w:val="451924DA"/>
    <w:rsid w:val="46A87F70"/>
    <w:rsid w:val="4761325D"/>
    <w:rsid w:val="47901277"/>
    <w:rsid w:val="47914E5F"/>
    <w:rsid w:val="48632455"/>
    <w:rsid w:val="49310E5B"/>
    <w:rsid w:val="497242CA"/>
    <w:rsid w:val="499E7A28"/>
    <w:rsid w:val="4A061506"/>
    <w:rsid w:val="4BD77A60"/>
    <w:rsid w:val="4C321D1B"/>
    <w:rsid w:val="4C351ACB"/>
    <w:rsid w:val="4D785BA5"/>
    <w:rsid w:val="4D841E4A"/>
    <w:rsid w:val="50DD7DD7"/>
    <w:rsid w:val="5330093D"/>
    <w:rsid w:val="543213E1"/>
    <w:rsid w:val="55A724FC"/>
    <w:rsid w:val="55DF1F84"/>
    <w:rsid w:val="56832648"/>
    <w:rsid w:val="57161D4B"/>
    <w:rsid w:val="59E36C8A"/>
    <w:rsid w:val="5A4D5951"/>
    <w:rsid w:val="5B0F5E27"/>
    <w:rsid w:val="5B3000E1"/>
    <w:rsid w:val="5BC55C74"/>
    <w:rsid w:val="5C29050B"/>
    <w:rsid w:val="5C624DD6"/>
    <w:rsid w:val="5CF07D1B"/>
    <w:rsid w:val="5DBC1EC9"/>
    <w:rsid w:val="5E222A50"/>
    <w:rsid w:val="5E3B4D5E"/>
    <w:rsid w:val="5FA57495"/>
    <w:rsid w:val="609D1752"/>
    <w:rsid w:val="61BE5FEB"/>
    <w:rsid w:val="62393354"/>
    <w:rsid w:val="62855EA9"/>
    <w:rsid w:val="62A66733"/>
    <w:rsid w:val="632B11F7"/>
    <w:rsid w:val="64F10906"/>
    <w:rsid w:val="658440CF"/>
    <w:rsid w:val="660035B2"/>
    <w:rsid w:val="661C77D5"/>
    <w:rsid w:val="67C021CA"/>
    <w:rsid w:val="6AD92BA9"/>
    <w:rsid w:val="6B7B7A03"/>
    <w:rsid w:val="6B832D54"/>
    <w:rsid w:val="6C5F7E55"/>
    <w:rsid w:val="6C8E4A3A"/>
    <w:rsid w:val="6CBD0FB5"/>
    <w:rsid w:val="6CC8288A"/>
    <w:rsid w:val="6CCD1611"/>
    <w:rsid w:val="6D681DBA"/>
    <w:rsid w:val="6F1337EC"/>
    <w:rsid w:val="6FF3358E"/>
    <w:rsid w:val="73BA353C"/>
    <w:rsid w:val="74387B64"/>
    <w:rsid w:val="759E3EB5"/>
    <w:rsid w:val="75EB5092"/>
    <w:rsid w:val="77196CC9"/>
    <w:rsid w:val="797012F4"/>
    <w:rsid w:val="799A1AF4"/>
    <w:rsid w:val="79FC3536"/>
    <w:rsid w:val="7A8022E5"/>
    <w:rsid w:val="7B143A1C"/>
    <w:rsid w:val="7B5D2FC4"/>
    <w:rsid w:val="7C4412E3"/>
    <w:rsid w:val="7D2F6048"/>
    <w:rsid w:val="7D492CF3"/>
    <w:rsid w:val="7D643B5B"/>
    <w:rsid w:val="7DB906BC"/>
    <w:rsid w:val="7E2C7CF9"/>
    <w:rsid w:val="7F621AB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5"/>
    <w:qFormat/>
    <w:uiPriority w:val="0"/>
    <w:pPr>
      <w:jc w:val="left"/>
    </w:pPr>
  </w:style>
  <w:style w:type="paragraph" w:styleId="3">
    <w:name w:val="Balloon Text"/>
    <w:basedOn w:val="1"/>
    <w:link w:val="17"/>
    <w:qFormat/>
    <w:uiPriority w:val="0"/>
    <w:rPr>
      <w:sz w:val="18"/>
      <w:szCs w:val="18"/>
    </w:rPr>
  </w:style>
  <w:style w:type="paragraph" w:styleId="4">
    <w:name w:val="footer"/>
    <w:basedOn w:val="1"/>
    <w:link w:val="14"/>
    <w:qFormat/>
    <w:uiPriority w:val="99"/>
    <w:pPr>
      <w:tabs>
        <w:tab w:val="center" w:pos="4153"/>
        <w:tab w:val="right" w:pos="8306"/>
      </w:tabs>
      <w:snapToGrid w:val="0"/>
      <w:jc w:val="left"/>
    </w:pPr>
    <w:rPr>
      <w:sz w:val="18"/>
      <w:szCs w:val="18"/>
    </w:rPr>
  </w:style>
  <w:style w:type="paragraph" w:styleId="5">
    <w:name w:val="header"/>
    <w:basedOn w:val="1"/>
    <w:link w:val="13"/>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0"/>
    <w:pPr>
      <w:spacing w:beforeAutospacing="1" w:afterAutospacing="1"/>
      <w:jc w:val="left"/>
    </w:pPr>
    <w:rPr>
      <w:rFonts w:cs="Times New Roman"/>
      <w:kern w:val="0"/>
      <w:sz w:val="24"/>
    </w:rPr>
  </w:style>
  <w:style w:type="paragraph" w:styleId="7">
    <w:name w:val="annotation subject"/>
    <w:basedOn w:val="2"/>
    <w:next w:val="2"/>
    <w:link w:val="16"/>
    <w:qFormat/>
    <w:uiPriority w:val="0"/>
    <w:rPr>
      <w:b/>
      <w:bCs/>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annotation reference"/>
    <w:basedOn w:val="10"/>
    <w:qFormat/>
    <w:uiPriority w:val="0"/>
    <w:rPr>
      <w:sz w:val="21"/>
      <w:szCs w:val="21"/>
    </w:rPr>
  </w:style>
  <w:style w:type="character" w:customStyle="1" w:styleId="13">
    <w:name w:val="页眉 字符"/>
    <w:basedOn w:val="10"/>
    <w:link w:val="5"/>
    <w:qFormat/>
    <w:uiPriority w:val="0"/>
    <w:rPr>
      <w:rFonts w:asciiTheme="minorHAnsi" w:hAnsiTheme="minorHAnsi" w:eastAsiaTheme="minorEastAsia" w:cstheme="minorBidi"/>
      <w:kern w:val="2"/>
      <w:sz w:val="18"/>
      <w:szCs w:val="18"/>
    </w:rPr>
  </w:style>
  <w:style w:type="character" w:customStyle="1" w:styleId="14">
    <w:name w:val="页脚 字符"/>
    <w:basedOn w:val="10"/>
    <w:link w:val="4"/>
    <w:qFormat/>
    <w:uiPriority w:val="99"/>
    <w:rPr>
      <w:rFonts w:asciiTheme="minorHAnsi" w:hAnsiTheme="minorHAnsi" w:eastAsiaTheme="minorEastAsia" w:cstheme="minorBidi"/>
      <w:kern w:val="2"/>
      <w:sz w:val="18"/>
      <w:szCs w:val="18"/>
    </w:rPr>
  </w:style>
  <w:style w:type="character" w:customStyle="1" w:styleId="15">
    <w:name w:val="批注文字 字符"/>
    <w:basedOn w:val="10"/>
    <w:link w:val="2"/>
    <w:qFormat/>
    <w:uiPriority w:val="0"/>
    <w:rPr>
      <w:rFonts w:asciiTheme="minorHAnsi" w:hAnsiTheme="minorHAnsi" w:eastAsiaTheme="minorEastAsia" w:cstheme="minorBidi"/>
      <w:kern w:val="2"/>
      <w:sz w:val="21"/>
      <w:szCs w:val="22"/>
    </w:rPr>
  </w:style>
  <w:style w:type="character" w:customStyle="1" w:styleId="16">
    <w:name w:val="批注主题 字符"/>
    <w:basedOn w:val="15"/>
    <w:link w:val="7"/>
    <w:qFormat/>
    <w:uiPriority w:val="0"/>
    <w:rPr>
      <w:rFonts w:asciiTheme="minorHAnsi" w:hAnsiTheme="minorHAnsi" w:eastAsiaTheme="minorEastAsia" w:cstheme="minorBidi"/>
      <w:b/>
      <w:bCs/>
      <w:kern w:val="2"/>
      <w:sz w:val="21"/>
      <w:szCs w:val="22"/>
    </w:rPr>
  </w:style>
  <w:style w:type="character" w:customStyle="1" w:styleId="17">
    <w:name w:val="批注框文本 字符"/>
    <w:basedOn w:val="10"/>
    <w:link w:val="3"/>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6797</Words>
  <Characters>7059</Characters>
  <Lines>71</Lines>
  <Paragraphs>20</Paragraphs>
  <TotalTime>4</TotalTime>
  <ScaleCrop>false</ScaleCrop>
  <LinksUpToDate>false</LinksUpToDate>
  <CharactersWithSpaces>7187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2021-04-28T02:19:00Z</dcterms:created>
  <dc:creator>DELL</dc:creator>
  <cp:lastModifiedBy>Gao</cp:lastModifiedBy>
  <cp:lastPrinted>2024-08-20T08:42:00Z</cp:lastPrinted>
  <dcterms:modified xsi:type="dcterms:W3CDTF">2026-10-09T00:37:35Z</dcterms:modified>
  <cp:revision>67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6188FB4F759B4D408BC8465C36659ED2_13</vt:lpwstr>
  </property>
  <property fmtid="{D5CDD505-2E9C-101B-9397-08002B2CF9AE}" pid="4" name="KSOTemplateDocerSaveRecord">
    <vt:lpwstr>eyJoZGlkIjoiNDg1MWEwZTQ3YzY5MDQyNzg0OTEwMGU2MDMxMDQyZGYiLCJ1c2VySWQiOiIyOTc5NjgzMzQifQ==</vt:lpwstr>
  </property>
</Properties>
</file>