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highlight w:val="none"/>
        </w:rPr>
      </w:pPr>
      <w:r>
        <w:rPr>
          <w:rFonts w:hint="eastAsia" w:hAnsi="宋体"/>
          <w:color w:val="auto"/>
          <w:sz w:val="44"/>
          <w:szCs w:val="44"/>
          <w:highlight w:val="none"/>
        </w:rPr>
        <w:t>广西壮族自治区政府采购中心</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广西艺术学院教学设备采购（二）项目（GXZC2025-G1-003273-CGZX）</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公开招标文件预公示</w:t>
      </w:r>
    </w:p>
    <w:p>
      <w:pPr>
        <w:spacing w:line="560" w:lineRule="exact"/>
        <w:rPr>
          <w:rFonts w:hint="eastAsia" w:hAnsi="宋体"/>
          <w:color w:val="auto"/>
          <w:sz w:val="32"/>
          <w:szCs w:val="32"/>
          <w:highlight w:val="none"/>
        </w:rPr>
      </w:pPr>
    </w:p>
    <w:p>
      <w:pPr>
        <w:spacing w:line="460" w:lineRule="exact"/>
        <w:rPr>
          <w:rFonts w:hint="eastAsia" w:hAnsi="宋体"/>
          <w:color w:val="auto"/>
          <w:sz w:val="32"/>
          <w:szCs w:val="32"/>
          <w:highlight w:val="none"/>
        </w:rPr>
      </w:pPr>
      <w:r>
        <w:rPr>
          <w:rFonts w:hint="eastAsia" w:hAnsi="宋体"/>
          <w:color w:val="auto"/>
          <w:sz w:val="32"/>
          <w:szCs w:val="32"/>
          <w:highlight w:val="none"/>
        </w:rPr>
        <w:t>各有关供应商：</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我中心受</w:t>
      </w:r>
      <w:r>
        <w:rPr>
          <w:rFonts w:hint="eastAsia" w:hAnsi="宋体"/>
          <w:color w:val="auto"/>
          <w:sz w:val="32"/>
          <w:szCs w:val="32"/>
          <w:highlight w:val="none"/>
          <w:lang w:eastAsia="zh-CN"/>
        </w:rPr>
        <w:t>采购单位</w:t>
      </w:r>
      <w:r>
        <w:rPr>
          <w:rFonts w:hint="eastAsia" w:hAnsi="宋体"/>
          <w:color w:val="auto"/>
          <w:sz w:val="32"/>
          <w:szCs w:val="32"/>
          <w:highlight w:val="none"/>
        </w:rPr>
        <w:t>委托，拟对广西艺术学院教学设备采购（二）</w:t>
      </w:r>
      <w:r>
        <w:rPr>
          <w:rFonts w:hint="eastAsia" w:hAnsi="宋体"/>
          <w:color w:val="auto"/>
          <w:sz w:val="32"/>
          <w:szCs w:val="32"/>
          <w:highlight w:val="none"/>
          <w:u w:val="single"/>
        </w:rPr>
        <w:t>（GXZC2025-G1-003273-CGZX）</w:t>
      </w:r>
      <w:r>
        <w:rPr>
          <w:rFonts w:hint="eastAsia" w:hAnsi="宋体"/>
          <w:color w:val="auto"/>
          <w:sz w:val="32"/>
          <w:szCs w:val="32"/>
          <w:highlight w:val="none"/>
        </w:rPr>
        <w:t>进行公开招标采购，为了保障政府采购各方当事人合法权益，现对本项目的供应商资格条件要求、技术参数及性能（配置）要求、评标办法及评分标准等内容予以预公示。各有关供应商、专业人员等若认为本项目上述要求存在唯一性或排他性等问题，请于</w:t>
      </w:r>
      <w:r>
        <w:rPr>
          <w:rFonts w:hint="eastAsia" w:hAnsi="宋体"/>
          <w:b/>
          <w:bCs/>
          <w:color w:val="auto"/>
          <w:sz w:val="32"/>
          <w:szCs w:val="32"/>
          <w:highlight w:val="none"/>
          <w:u w:val="single"/>
        </w:rPr>
        <w:t>202</w:t>
      </w:r>
      <w:r>
        <w:rPr>
          <w:rFonts w:hint="eastAsia" w:hAnsi="宋体"/>
          <w:b/>
          <w:bCs/>
          <w:color w:val="auto"/>
          <w:sz w:val="32"/>
          <w:szCs w:val="32"/>
          <w:highlight w:val="none"/>
          <w:u w:val="single"/>
          <w:lang w:val="en-US" w:eastAsia="zh-CN"/>
        </w:rPr>
        <w:t>5</w:t>
      </w:r>
      <w:r>
        <w:rPr>
          <w:rFonts w:hint="eastAsia" w:hAnsi="宋体"/>
          <w:b/>
          <w:bCs/>
          <w:color w:val="auto"/>
          <w:sz w:val="32"/>
          <w:szCs w:val="32"/>
          <w:highlight w:val="none"/>
          <w:u w:val="single"/>
        </w:rPr>
        <w:t>年</w:t>
      </w:r>
      <w:r>
        <w:rPr>
          <w:rFonts w:hint="default" w:hAnsi="宋体"/>
          <w:b/>
          <w:bCs/>
          <w:color w:val="auto"/>
          <w:sz w:val="32"/>
          <w:szCs w:val="32"/>
          <w:highlight w:val="none"/>
          <w:u w:val="single"/>
          <w:lang w:val="en"/>
        </w:rPr>
        <w:t>11</w:t>
      </w:r>
      <w:r>
        <w:rPr>
          <w:rFonts w:hint="eastAsia" w:hAnsi="宋体"/>
          <w:b/>
          <w:bCs/>
          <w:color w:val="auto"/>
          <w:sz w:val="32"/>
          <w:szCs w:val="32"/>
          <w:highlight w:val="none"/>
          <w:u w:val="single"/>
        </w:rPr>
        <w:t>月</w:t>
      </w:r>
      <w:r>
        <w:rPr>
          <w:rFonts w:hint="default" w:hAnsi="宋体"/>
          <w:b/>
          <w:bCs/>
          <w:color w:val="auto"/>
          <w:sz w:val="32"/>
          <w:szCs w:val="32"/>
          <w:highlight w:val="none"/>
          <w:u w:val="single"/>
          <w:lang w:val="en"/>
        </w:rPr>
        <w:t>6</w:t>
      </w:r>
      <w:r>
        <w:rPr>
          <w:rFonts w:hint="eastAsia" w:hAnsi="宋体"/>
          <w:b/>
          <w:bCs/>
          <w:color w:val="auto"/>
          <w:sz w:val="32"/>
          <w:szCs w:val="32"/>
          <w:highlight w:val="none"/>
          <w:u w:val="single"/>
        </w:rPr>
        <w:t>日 17时</w:t>
      </w:r>
      <w:r>
        <w:rPr>
          <w:rFonts w:hint="eastAsia" w:hAnsi="宋体"/>
          <w:color w:val="auto"/>
          <w:sz w:val="32"/>
          <w:szCs w:val="32"/>
          <w:highlight w:val="none"/>
        </w:rPr>
        <w:t>前以书面形式(意见函须加盖公章)向我中心反映，以便我中心完善采购文件。</w:t>
      </w:r>
      <w:r>
        <w:rPr>
          <w:rFonts w:hint="eastAsia" w:hAnsi="宋体"/>
          <w:b/>
          <w:bCs/>
          <w:color w:val="auto"/>
          <w:sz w:val="32"/>
          <w:szCs w:val="32"/>
          <w:highlight w:val="none"/>
        </w:rPr>
        <w:t>如供应商需提交意见函</w:t>
      </w:r>
      <w:r>
        <w:rPr>
          <w:rFonts w:hint="eastAsia" w:hAnsi="宋体"/>
          <w:color w:val="auto"/>
          <w:sz w:val="32"/>
          <w:szCs w:val="32"/>
          <w:highlight w:val="none"/>
        </w:rPr>
        <w:t>，请携带</w:t>
      </w:r>
      <w:r>
        <w:rPr>
          <w:rFonts w:hint="eastAsia" w:hAnsi="宋体"/>
          <w:b/>
          <w:bCs/>
          <w:color w:val="auto"/>
          <w:sz w:val="32"/>
          <w:szCs w:val="32"/>
          <w:highlight w:val="none"/>
        </w:rPr>
        <w:t>企业营业执照（或事业单位法人证书）副本复印件</w:t>
      </w:r>
      <w:r>
        <w:rPr>
          <w:rFonts w:hint="eastAsia" w:hAnsi="宋体"/>
          <w:color w:val="auto"/>
          <w:sz w:val="32"/>
          <w:szCs w:val="32"/>
          <w:highlight w:val="none"/>
        </w:rPr>
        <w:t>（加盖公章，一份）、</w:t>
      </w:r>
      <w:r>
        <w:rPr>
          <w:rFonts w:hint="eastAsia" w:hAnsi="宋体"/>
          <w:b/>
          <w:bCs/>
          <w:color w:val="auto"/>
          <w:sz w:val="32"/>
          <w:szCs w:val="32"/>
          <w:highlight w:val="none"/>
        </w:rPr>
        <w:t>经办人身份证原件及复印件</w:t>
      </w:r>
      <w:r>
        <w:rPr>
          <w:rFonts w:hint="eastAsia" w:hAnsi="宋体"/>
          <w:color w:val="auto"/>
          <w:sz w:val="32"/>
          <w:szCs w:val="32"/>
          <w:highlight w:val="none"/>
        </w:rPr>
        <w:t>（加盖公章，一份）</w:t>
      </w:r>
      <w:r>
        <w:rPr>
          <w:rFonts w:hint="eastAsia" w:hAnsi="宋体"/>
          <w:b/>
          <w:bCs/>
          <w:color w:val="auto"/>
          <w:sz w:val="32"/>
          <w:szCs w:val="32"/>
          <w:highlight w:val="none"/>
        </w:rPr>
        <w:t>提交意见函原件</w:t>
      </w:r>
      <w:r>
        <w:rPr>
          <w:rFonts w:hint="eastAsia" w:hAnsi="宋体"/>
          <w:color w:val="auto"/>
          <w:sz w:val="32"/>
          <w:szCs w:val="32"/>
          <w:highlight w:val="none"/>
        </w:rPr>
        <w:t>。意见函应注明联系人和联系方式。专业人员个人请提交意见签名，并附身份证、职称等复印件。</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对各有关供应商、专业人员等逾期送达、匿名送达以及其他不符合上述条件的意见函件我中心不予受理。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联系地址：广西南宁市青秀区</w:t>
      </w:r>
      <w:r>
        <w:rPr>
          <w:rFonts w:hint="eastAsia" w:hAnsi="宋体"/>
          <w:b/>
          <w:bCs/>
          <w:color w:val="auto"/>
          <w:sz w:val="32"/>
          <w:szCs w:val="32"/>
          <w:highlight w:val="none"/>
        </w:rPr>
        <w:t>星湖路22号</w:t>
      </w:r>
      <w:r>
        <w:rPr>
          <w:rFonts w:hint="eastAsia" w:hAnsi="宋体"/>
          <w:b w:val="0"/>
          <w:bCs w:val="0"/>
          <w:color w:val="auto"/>
          <w:sz w:val="32"/>
          <w:szCs w:val="32"/>
          <w:highlight w:val="none"/>
        </w:rPr>
        <w:t>广西壮族自治区公</w:t>
      </w:r>
      <w:r>
        <w:rPr>
          <w:rFonts w:hint="eastAsia" w:hAnsi="宋体"/>
          <w:b w:val="0"/>
          <w:bCs w:val="0"/>
          <w:color w:val="auto"/>
          <w:sz w:val="32"/>
          <w:szCs w:val="32"/>
          <w:highlight w:val="none"/>
          <w:lang w:eastAsia="zh-CN"/>
        </w:rPr>
        <w:t>共</w:t>
      </w:r>
      <w:r>
        <w:rPr>
          <w:rFonts w:hint="eastAsia" w:hAnsi="宋体"/>
          <w:b w:val="0"/>
          <w:bCs w:val="0"/>
          <w:color w:val="auto"/>
          <w:sz w:val="32"/>
          <w:szCs w:val="32"/>
          <w:highlight w:val="none"/>
        </w:rPr>
        <w:t>资源交易中心（广西壮族自治区政府采购中心）</w:t>
      </w:r>
      <w:r>
        <w:rPr>
          <w:rFonts w:hint="eastAsia" w:hAnsi="宋体"/>
          <w:b/>
          <w:bCs/>
          <w:color w:val="auto"/>
          <w:sz w:val="32"/>
          <w:szCs w:val="32"/>
          <w:highlight w:val="none"/>
        </w:rPr>
        <w:t xml:space="preserve">综合楼二楼208室 </w:t>
      </w:r>
      <w:r>
        <w:rPr>
          <w:rFonts w:hint="eastAsia" w:hAnsi="宋体"/>
          <w:color w:val="auto"/>
          <w:sz w:val="32"/>
          <w:szCs w:val="32"/>
          <w:highlight w:val="none"/>
        </w:rPr>
        <w:t xml:space="preserve">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ind w:firstLine="800" w:firstLineChars="250"/>
        <w:rPr>
          <w:rFonts w:hint="default" w:hAnsi="宋体" w:eastAsia="宋体"/>
          <w:color w:val="auto"/>
          <w:sz w:val="32"/>
          <w:szCs w:val="32"/>
          <w:highlight w:val="none"/>
          <w:lang w:val="en-US" w:eastAsia="zh-CN"/>
        </w:rPr>
      </w:pPr>
      <w:r>
        <w:rPr>
          <w:rFonts w:hint="eastAsia" w:hAnsi="宋体"/>
          <w:color w:val="auto"/>
          <w:sz w:val="32"/>
          <w:szCs w:val="32"/>
          <w:highlight w:val="none"/>
        </w:rPr>
        <w:t>联系人：张国铨       联系电话：0771-</w:t>
      </w:r>
      <w:r>
        <w:rPr>
          <w:rFonts w:hint="eastAsia" w:hAnsi="宋体"/>
          <w:color w:val="auto"/>
          <w:sz w:val="32"/>
          <w:szCs w:val="32"/>
          <w:highlight w:val="none"/>
          <w:lang w:val="en-US" w:eastAsia="zh-CN"/>
        </w:rPr>
        <w:t>8600343</w:t>
      </w:r>
    </w:p>
    <w:p>
      <w:pPr>
        <w:spacing w:line="460" w:lineRule="exact"/>
        <w:ind w:firstLine="800" w:firstLineChars="250"/>
        <w:rPr>
          <w:rFonts w:hint="eastAsia" w:hAnsi="宋体"/>
          <w:color w:val="auto"/>
          <w:sz w:val="32"/>
          <w:szCs w:val="32"/>
          <w:highlight w:val="none"/>
        </w:rPr>
      </w:pPr>
      <w:r>
        <w:rPr>
          <w:rFonts w:hint="eastAsia" w:hAnsi="宋体"/>
          <w:color w:val="auto"/>
          <w:sz w:val="32"/>
          <w:szCs w:val="32"/>
          <w:highlight w:val="none"/>
        </w:rPr>
        <w:t>附：广西艺术学院教学设备采购（二）项目（GXZC2025-G1-003273-CGZX）公开招标文件预公示内容</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jc w:val="right"/>
        <w:rPr>
          <w:rFonts w:hint="eastAsia" w:hAnsi="宋体"/>
          <w:color w:val="auto"/>
          <w:sz w:val="32"/>
          <w:szCs w:val="32"/>
          <w:highlight w:val="none"/>
        </w:rPr>
      </w:pPr>
      <w:r>
        <w:rPr>
          <w:rFonts w:hint="eastAsia" w:hAnsi="宋体"/>
          <w:color w:val="auto"/>
          <w:sz w:val="32"/>
          <w:szCs w:val="32"/>
          <w:highlight w:val="none"/>
        </w:rPr>
        <w:t xml:space="preserve">                             广西壮族自治区政府采购中心                            </w:t>
      </w:r>
      <w:r>
        <w:rPr>
          <w:rFonts w:hAnsi="宋体"/>
          <w:color w:val="auto"/>
          <w:sz w:val="32"/>
          <w:szCs w:val="32"/>
          <w:highlight w:val="none"/>
        </w:rPr>
        <w:t>20</w:t>
      </w:r>
      <w:r>
        <w:rPr>
          <w:rFonts w:hint="eastAsia" w:hAnsi="宋体"/>
          <w:color w:val="auto"/>
          <w:sz w:val="32"/>
          <w:szCs w:val="32"/>
          <w:highlight w:val="none"/>
        </w:rPr>
        <w:t>2</w:t>
      </w:r>
      <w:r>
        <w:rPr>
          <w:rFonts w:hint="eastAsia" w:hAnsi="宋体"/>
          <w:color w:val="auto"/>
          <w:sz w:val="32"/>
          <w:szCs w:val="32"/>
          <w:highlight w:val="none"/>
          <w:lang w:val="en-US" w:eastAsia="zh-CN"/>
        </w:rPr>
        <w:t>5</w:t>
      </w:r>
      <w:r>
        <w:rPr>
          <w:rFonts w:hint="eastAsia" w:hAnsi="宋体"/>
          <w:color w:val="auto"/>
          <w:sz w:val="32"/>
          <w:szCs w:val="32"/>
          <w:highlight w:val="none"/>
        </w:rPr>
        <w:t>年</w:t>
      </w:r>
      <w:r>
        <w:rPr>
          <w:rFonts w:hint="default" w:hAnsi="宋体"/>
          <w:color w:val="auto"/>
          <w:sz w:val="32"/>
          <w:szCs w:val="32"/>
          <w:highlight w:val="none"/>
          <w:lang w:val="en"/>
        </w:rPr>
        <w:t>11</w:t>
      </w:r>
      <w:r>
        <w:rPr>
          <w:rFonts w:hint="eastAsia" w:hAnsi="宋体"/>
          <w:color w:val="auto"/>
          <w:sz w:val="32"/>
          <w:szCs w:val="32"/>
          <w:highlight w:val="none"/>
        </w:rPr>
        <w:t>月</w:t>
      </w:r>
      <w:r>
        <w:rPr>
          <w:rFonts w:hint="default" w:hAnsi="宋体"/>
          <w:color w:val="auto"/>
          <w:sz w:val="32"/>
          <w:szCs w:val="32"/>
          <w:highlight w:val="none"/>
          <w:lang w:val="en"/>
        </w:rPr>
        <w:t>3</w:t>
      </w:r>
      <w:r>
        <w:rPr>
          <w:rFonts w:hint="eastAsia" w:hAnsi="宋体"/>
          <w:color w:val="auto"/>
          <w:sz w:val="32"/>
          <w:szCs w:val="32"/>
          <w:highlight w:val="none"/>
        </w:rPr>
        <w:t>日</w:t>
      </w:r>
    </w:p>
    <w:p>
      <w:pPr>
        <w:pStyle w:val="227"/>
        <w:widowControl w:val="0"/>
        <w:spacing w:afterLines="0"/>
        <w:ind w:firstLine="3855" w:firstLineChars="1200"/>
        <w:rPr>
          <w:rFonts w:hint="eastAsia"/>
          <w:b/>
          <w:color w:val="auto"/>
          <w:sz w:val="32"/>
          <w:szCs w:val="32"/>
          <w:highlight w:val="none"/>
        </w:rPr>
      </w:pPr>
    </w:p>
    <w:p>
      <w:pPr>
        <w:pStyle w:val="227"/>
        <w:widowControl w:val="0"/>
        <w:spacing w:afterLines="0"/>
        <w:ind w:firstLine="3855" w:firstLineChars="1200"/>
        <w:rPr>
          <w:rFonts w:hint="eastAsia"/>
          <w:b/>
          <w:color w:val="auto"/>
          <w:sz w:val="32"/>
          <w:szCs w:val="32"/>
          <w:highlight w:val="none"/>
        </w:rPr>
      </w:pPr>
    </w:p>
    <w:p>
      <w:pPr>
        <w:pStyle w:val="227"/>
        <w:widowControl w:val="0"/>
        <w:spacing w:afterLines="0"/>
        <w:ind w:firstLine="3855" w:firstLineChars="1200"/>
        <w:rPr>
          <w:b/>
          <w:color w:val="auto"/>
          <w:sz w:val="32"/>
          <w:szCs w:val="32"/>
          <w:highlight w:val="none"/>
        </w:rPr>
      </w:pPr>
      <w:r>
        <w:rPr>
          <w:rFonts w:hint="eastAsia"/>
          <w:b/>
          <w:color w:val="auto"/>
          <w:sz w:val="32"/>
          <w:szCs w:val="32"/>
          <w:highlight w:val="none"/>
        </w:rPr>
        <w:t>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jc w:val="center"/>
        <w:rPr>
          <w:rFonts w:hint="eastAsia"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hint="eastAsia" w:ascii="宋体" w:hAnsi="宋体"/>
          <w:color w:val="auto"/>
          <w:szCs w:val="21"/>
          <w:highlight w:val="none"/>
        </w:rPr>
      </w:pPr>
      <w:r>
        <w:rPr>
          <w:rFonts w:hint="eastAsia" w:ascii="Times New Roman" w:eastAsia="宋体"/>
          <w:b w:val="0"/>
          <w:color w:val="auto"/>
          <w:sz w:val="21"/>
          <w:szCs w:val="24"/>
          <w:highlight w:val="none"/>
          <w:lang w:val="en-US" w:eastAsia="zh-CN"/>
        </w:rPr>
        <w:t>广西艺术学院</w:t>
      </w:r>
      <w:r>
        <w:rPr>
          <w:rFonts w:hint="eastAsia"/>
          <w:b w:val="0"/>
          <w:color w:val="auto"/>
          <w:sz w:val="21"/>
          <w:szCs w:val="24"/>
          <w:highlight w:val="none"/>
          <w:lang w:val="en-US" w:eastAsia="zh-CN"/>
        </w:rPr>
        <w:t>教学设备采购（二）</w:t>
      </w:r>
      <w:r>
        <w:rPr>
          <w:color w:val="auto"/>
          <w:highlight w:val="none"/>
        </w:rPr>
        <w:t>项目的潜在投标人应在</w:t>
      </w:r>
      <w:r>
        <w:rPr>
          <w:color w:val="auto"/>
          <w:highlight w:val="none"/>
          <w:lang w:val="en"/>
        </w:rPr>
        <w:t>广西政府采购云平台（网址：http://www.gcy.zfcg.gxzf.gov.cn）</w:t>
      </w:r>
      <w:r>
        <w:rPr>
          <w:color w:val="auto"/>
          <w:highlight w:val="none"/>
        </w:rPr>
        <w:t xml:space="preserve">获取招标文件，并于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color w:val="auto"/>
          <w:highlight w:val="none"/>
        </w:rPr>
        <w:t xml:space="preserve"> 10:00（北京时间）前递交投标文件。</w:t>
      </w:r>
    </w:p>
    <w:p>
      <w:pPr>
        <w:adjustRightInd w:val="0"/>
        <w:snapToGrid w:val="0"/>
        <w:spacing w:line="340" w:lineRule="exact"/>
        <w:ind w:firstLine="421" w:firstLineChars="200"/>
        <w:rPr>
          <w:rFonts w:hint="eastAsia"/>
          <w:b/>
          <w:color w:val="auto"/>
          <w:highlight w:val="none"/>
        </w:rPr>
      </w:pPr>
      <w:bookmarkStart w:id="0" w:name="_Toc28359009"/>
      <w:bookmarkStart w:id="1" w:name="_Toc28359086"/>
      <w:r>
        <w:rPr>
          <w:rFonts w:hint="eastAsia"/>
          <w:b/>
          <w:color w:val="auto"/>
          <w:highlight w:val="none"/>
        </w:rPr>
        <w:t>一、项目基本情况</w:t>
      </w:r>
    </w:p>
    <w:p>
      <w:pPr>
        <w:adjustRightInd w:val="0"/>
        <w:snapToGrid w:val="0"/>
        <w:spacing w:line="340" w:lineRule="exact"/>
        <w:ind w:firstLine="420" w:firstLineChars="200"/>
        <w:rPr>
          <w:rFonts w:hint="eastAsia"/>
          <w:color w:val="auto"/>
          <w:highlight w:val="none"/>
        </w:rPr>
      </w:pPr>
      <w:r>
        <w:rPr>
          <w:rFonts w:hint="eastAsia"/>
          <w:color w:val="auto"/>
          <w:highlight w:val="none"/>
        </w:rPr>
        <w:t>项目编号：GXZC2025-G1-003273-CGZX</w:t>
      </w:r>
    </w:p>
    <w:p>
      <w:pPr>
        <w:adjustRightInd w:val="0"/>
        <w:snapToGrid w:val="0"/>
        <w:spacing w:line="340" w:lineRule="exact"/>
        <w:ind w:firstLine="420" w:firstLineChars="200"/>
        <w:rPr>
          <w:rFonts w:hint="eastAsia"/>
          <w:color w:val="auto"/>
          <w:highlight w:val="none"/>
          <w:lang w:val="en"/>
        </w:rPr>
      </w:pPr>
      <w:r>
        <w:rPr>
          <w:rFonts w:hint="eastAsia"/>
          <w:color w:val="auto"/>
          <w:highlight w:val="none"/>
        </w:rPr>
        <w:t>项目名称：</w:t>
      </w:r>
      <w:r>
        <w:rPr>
          <w:rFonts w:hint="eastAsia" w:ascii="Times New Roman" w:eastAsia="宋体"/>
          <w:b w:val="0"/>
          <w:color w:val="auto"/>
          <w:sz w:val="21"/>
          <w:szCs w:val="24"/>
          <w:highlight w:val="none"/>
          <w:lang w:val="en-US" w:eastAsia="zh-CN"/>
        </w:rPr>
        <w:t>广西艺术学院</w:t>
      </w:r>
      <w:r>
        <w:rPr>
          <w:rFonts w:hint="eastAsia"/>
          <w:b w:val="0"/>
          <w:color w:val="auto"/>
          <w:sz w:val="21"/>
          <w:szCs w:val="24"/>
          <w:highlight w:val="none"/>
          <w:lang w:val="en-US" w:eastAsia="zh-CN"/>
        </w:rPr>
        <w:t>教学设备采购（二）</w:t>
      </w:r>
    </w:p>
    <w:p>
      <w:pPr>
        <w:adjustRightInd w:val="0"/>
        <w:snapToGrid w:val="0"/>
        <w:spacing w:line="340" w:lineRule="exact"/>
        <w:ind w:firstLine="420" w:firstLineChars="200"/>
        <w:rPr>
          <w:rFonts w:hint="default" w:eastAsia="宋体"/>
          <w:color w:val="auto"/>
          <w:highlight w:val="none"/>
          <w:lang w:val="en-US" w:eastAsia="zh-CN"/>
        </w:rPr>
      </w:pPr>
      <w:r>
        <w:rPr>
          <w:rFonts w:hint="eastAsia"/>
          <w:color w:val="auto"/>
          <w:highlight w:val="none"/>
        </w:rPr>
        <w:t>预算总金额（元）：</w:t>
      </w:r>
      <w:r>
        <w:rPr>
          <w:rFonts w:hint="eastAsia"/>
          <w:color w:val="auto"/>
          <w:highlight w:val="none"/>
          <w:lang w:val="en-US" w:eastAsia="zh-CN"/>
        </w:rPr>
        <w:t>6612799.53</w:t>
      </w:r>
    </w:p>
    <w:p>
      <w:pPr>
        <w:adjustRightInd w:val="0"/>
        <w:snapToGrid w:val="0"/>
        <w:spacing w:line="340" w:lineRule="exact"/>
        <w:ind w:firstLine="420" w:firstLineChars="200"/>
        <w:rPr>
          <w:rFonts w:hint="eastAsia"/>
          <w:color w:val="auto"/>
          <w:highlight w:val="none"/>
        </w:rPr>
      </w:pPr>
      <w:r>
        <w:rPr>
          <w:rFonts w:hint="eastAsia"/>
          <w:color w:val="auto"/>
          <w:highlight w:val="none"/>
        </w:rPr>
        <w:t>采购需求：</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标项一：</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数智造型艺术应用工程研究中心</w:t>
      </w:r>
      <w:r>
        <w:rPr>
          <w:rFonts w:hint="eastAsia"/>
          <w:b/>
          <w:bCs/>
          <w:color w:val="auto"/>
          <w:sz w:val="21"/>
          <w:szCs w:val="24"/>
          <w:highlight w:val="none"/>
          <w:lang w:val="en-US" w:eastAsia="zh-CN"/>
        </w:rPr>
        <w:t>及</w:t>
      </w:r>
      <w:r>
        <w:rPr>
          <w:rFonts w:hint="eastAsia" w:ascii="Times New Roman" w:eastAsia="宋体"/>
          <w:b/>
          <w:bCs/>
          <w:color w:val="auto"/>
          <w:sz w:val="21"/>
          <w:szCs w:val="24"/>
          <w:highlight w:val="none"/>
          <w:lang w:val="en-US" w:eastAsia="zh-CN"/>
        </w:rPr>
        <w:t>相思湖校区教学科研设备</w:t>
      </w:r>
    </w:p>
    <w:p>
      <w:pPr>
        <w:adjustRightInd w:val="0"/>
        <w:snapToGrid w:val="0"/>
        <w:spacing w:line="340" w:lineRule="exact"/>
        <w:ind w:firstLine="420" w:firstLineChars="200"/>
        <w:rPr>
          <w:rFonts w:hint="default" w:eastAsia="宋体"/>
          <w:color w:val="auto"/>
          <w:highlight w:val="none"/>
          <w:lang w:val="en-US" w:eastAsia="zh-CN"/>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预算金额（元）:</w:t>
      </w:r>
      <w:r>
        <w:rPr>
          <w:rFonts w:hint="eastAsia"/>
          <w:color w:val="auto"/>
          <w:highlight w:val="none"/>
          <w:lang w:val="en-US" w:eastAsia="zh-CN"/>
        </w:rPr>
        <w:t>2188690.00</w:t>
      </w:r>
    </w:p>
    <w:p>
      <w:pPr>
        <w:adjustRightInd w:val="0"/>
        <w:snapToGrid w:val="0"/>
        <w:spacing w:line="340" w:lineRule="exact"/>
        <w:ind w:firstLine="420" w:firstLineChars="200"/>
        <w:rPr>
          <w:rFonts w:hint="eastAsia"/>
          <w:color w:val="auto"/>
          <w:highlight w:val="none"/>
        </w:rPr>
      </w:pPr>
      <w:r>
        <w:rPr>
          <w:rFonts w:hint="eastAsia"/>
          <w:color w:val="auto"/>
          <w:highlight w:val="none"/>
        </w:rPr>
        <w:t>简要规格描述或项目基本概况介绍、用途：</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 xml:space="preserve">最高限价（如有）： </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40" w:lineRule="exact"/>
        <w:ind w:firstLine="420" w:firstLineChars="200"/>
        <w:rPr>
          <w:rFonts w:hint="eastAsia"/>
          <w:color w:val="auto"/>
          <w:highlight w:val="none"/>
        </w:rPr>
      </w:pPr>
      <w:r>
        <w:rPr>
          <w:rFonts w:hint="eastAsia"/>
          <w:color w:val="auto"/>
          <w:highlight w:val="none"/>
        </w:rPr>
        <w:t>采购需求：</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二</w:t>
      </w:r>
      <w:r>
        <w:rPr>
          <w:rFonts w:hint="eastAsia"/>
          <w:color w:val="auto"/>
          <w:highlight w:val="none"/>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南湖校区教学科研设备</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预算金额（元）:</w:t>
      </w:r>
      <w:r>
        <w:rPr>
          <w:rFonts w:hint="eastAsia"/>
          <w:color w:val="auto"/>
          <w:highlight w:val="none"/>
          <w:lang w:val="en-US" w:eastAsia="zh-CN"/>
        </w:rPr>
        <w:t>973936</w:t>
      </w:r>
      <w:r>
        <w:rPr>
          <w:rFonts w:hint="eastAsia"/>
          <w:color w:val="auto"/>
          <w:highlight w:val="none"/>
        </w:rPr>
        <w:t xml:space="preserve">.00    </w:t>
      </w:r>
    </w:p>
    <w:p>
      <w:pPr>
        <w:adjustRightInd w:val="0"/>
        <w:snapToGrid w:val="0"/>
        <w:spacing w:line="340" w:lineRule="exact"/>
        <w:ind w:firstLine="420" w:firstLineChars="200"/>
        <w:rPr>
          <w:rFonts w:hint="eastAsia"/>
          <w:color w:val="auto"/>
          <w:highlight w:val="none"/>
        </w:rPr>
      </w:pPr>
      <w:r>
        <w:rPr>
          <w:rFonts w:hint="eastAsia"/>
          <w:color w:val="auto"/>
          <w:highlight w:val="none"/>
        </w:rPr>
        <w:t>简要规格描述或项目基本概况介绍、用途：</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三</w:t>
      </w:r>
      <w:r>
        <w:rPr>
          <w:rFonts w:hint="eastAsia"/>
          <w:color w:val="auto"/>
          <w:highlight w:val="none"/>
        </w:rPr>
        <w:t>：</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相思湖校区教学科研设备</w:t>
      </w:r>
      <w:r>
        <w:rPr>
          <w:rFonts w:hint="eastAsia"/>
          <w:b/>
          <w:bCs/>
          <w:color w:val="auto"/>
          <w:sz w:val="21"/>
          <w:szCs w:val="24"/>
          <w:highlight w:val="none"/>
          <w:lang w:val="en-US" w:eastAsia="zh-CN"/>
        </w:rPr>
        <w:t>及专业教室多媒体</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eastAsia"/>
          <w:color w:val="auto"/>
          <w:highlight w:val="none"/>
          <w:lang w:val="en-US" w:eastAsia="zh-CN"/>
        </w:rPr>
        <w:t>691940</w:t>
      </w:r>
      <w:r>
        <w:rPr>
          <w:rFonts w:hint="eastAsia"/>
          <w:color w:val="auto"/>
          <w:highlight w:val="none"/>
        </w:rPr>
        <w:t>.00</w:t>
      </w:r>
      <w:r>
        <w:rPr>
          <w:rFonts w:hint="eastAsia"/>
          <w:color w:val="auto"/>
          <w:highlight w:val="none"/>
        </w:rPr>
        <w:br w:type="textWrapping"/>
      </w:r>
      <w:r>
        <w:rPr>
          <w:rFonts w:hint="eastAsia"/>
          <w:color w:val="auto"/>
          <w:highlight w:val="none"/>
        </w:rPr>
        <w:t xml:space="preserve">    简要规格描述或项目基本概况介绍、用途：</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四</w:t>
      </w:r>
      <w:r>
        <w:rPr>
          <w:rFonts w:hint="eastAsia"/>
          <w:color w:val="auto"/>
          <w:highlight w:val="none"/>
        </w:rPr>
        <w:t>：</w:t>
      </w:r>
    </w:p>
    <w:p>
      <w:pPr>
        <w:adjustRightInd w:val="0"/>
        <w:snapToGrid w:val="0"/>
        <w:spacing w:line="340" w:lineRule="exact"/>
        <w:ind w:firstLine="420" w:firstLineChars="200"/>
        <w:rPr>
          <w:rFonts w:hint="default"/>
          <w:color w:val="auto"/>
          <w:highlight w:val="none"/>
          <w:lang w:val="en-US"/>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南湖校区教学科研设备</w:t>
      </w:r>
      <w:r>
        <w:rPr>
          <w:rFonts w:hint="eastAsia"/>
          <w:b/>
          <w:bCs/>
          <w:color w:val="auto"/>
          <w:sz w:val="21"/>
          <w:szCs w:val="24"/>
          <w:highlight w:val="none"/>
          <w:lang w:val="en-US" w:eastAsia="zh-CN"/>
        </w:rPr>
        <w:t>及专业教室多媒体</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eastAsia"/>
          <w:color w:val="auto"/>
          <w:highlight w:val="none"/>
          <w:lang w:val="en-US" w:eastAsia="zh-CN"/>
        </w:rPr>
        <w:t>449444.56</w:t>
      </w:r>
      <w:r>
        <w:rPr>
          <w:rFonts w:hint="eastAsia"/>
          <w:color w:val="auto"/>
          <w:highlight w:val="none"/>
        </w:rPr>
        <w:br w:type="textWrapping"/>
      </w:r>
      <w:r>
        <w:rPr>
          <w:rFonts w:hint="eastAsia"/>
          <w:color w:val="auto"/>
          <w:highlight w:val="none"/>
        </w:rPr>
        <w:t xml:space="preserve">    简要规格描述或项目基本概况介绍、用途：</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40" w:lineRule="exact"/>
        <w:ind w:firstLine="420" w:firstLineChars="200"/>
        <w:rPr>
          <w:rFonts w:hint="eastAsia"/>
          <w:color w:val="auto"/>
          <w:highlight w:val="none"/>
        </w:rPr>
      </w:pPr>
      <w:r>
        <w:rPr>
          <w:rFonts w:hint="eastAsia"/>
          <w:color w:val="auto"/>
          <w:highlight w:val="none"/>
        </w:rPr>
        <w:t>标项</w:t>
      </w:r>
      <w:r>
        <w:rPr>
          <w:rFonts w:hint="eastAsia"/>
          <w:color w:val="auto"/>
          <w:highlight w:val="none"/>
          <w:lang w:val="en-US" w:eastAsia="zh-CN"/>
        </w:rPr>
        <w:t>五</w:t>
      </w:r>
      <w:r>
        <w:rPr>
          <w:rFonts w:hint="eastAsia"/>
          <w:color w:val="auto"/>
          <w:highlight w:val="none"/>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标项名称: </w:t>
      </w:r>
      <w:r>
        <w:rPr>
          <w:rFonts w:hint="eastAsia" w:ascii="Times New Roman" w:eastAsia="宋体"/>
          <w:b/>
          <w:bCs/>
          <w:color w:val="auto"/>
          <w:sz w:val="21"/>
          <w:szCs w:val="24"/>
          <w:highlight w:val="none"/>
          <w:lang w:val="en-US" w:eastAsia="zh-CN"/>
        </w:rPr>
        <w:t>民族艺术教育教学综合楼提升工程设备</w:t>
      </w:r>
    </w:p>
    <w:p>
      <w:pPr>
        <w:adjustRightInd w:val="0"/>
        <w:snapToGrid w:val="0"/>
        <w:spacing w:line="340" w:lineRule="exact"/>
        <w:ind w:firstLine="420" w:firstLineChars="200"/>
        <w:rPr>
          <w:rFonts w:hint="eastAsia"/>
          <w:color w:val="auto"/>
          <w:highlight w:val="none"/>
        </w:rPr>
      </w:pPr>
      <w:r>
        <w:rPr>
          <w:rFonts w:hint="eastAsia"/>
          <w:color w:val="auto"/>
          <w:highlight w:val="none"/>
        </w:rPr>
        <w:t xml:space="preserve">数量:1 </w:t>
      </w:r>
      <w:r>
        <w:rPr>
          <w:rFonts w:hint="eastAsia"/>
          <w:color w:val="auto"/>
          <w:highlight w:val="none"/>
        </w:rPr>
        <w:br w:type="textWrapping"/>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预算金额（元）: </w:t>
      </w:r>
      <w:r>
        <w:rPr>
          <w:rFonts w:hint="default" w:ascii="Times New Roman" w:hAnsi="Times New Roman"/>
          <w:b w:val="0"/>
          <w:color w:val="auto"/>
          <w:highlight w:val="none"/>
          <w:lang w:val="en-US" w:eastAsia="zh-CN"/>
        </w:rPr>
        <w:t>2308788.97</w:t>
      </w:r>
      <w:r>
        <w:rPr>
          <w:rFonts w:hint="default"/>
          <w:color w:val="auto"/>
          <w:highlight w:val="none"/>
        </w:rPr>
        <w:t xml:space="preserve"> </w:t>
      </w:r>
      <w:r>
        <w:rPr>
          <w:rFonts w:hint="eastAsia"/>
          <w:color w:val="auto"/>
          <w:highlight w:val="none"/>
        </w:rPr>
        <w:t xml:space="preserve">   </w:t>
      </w:r>
    </w:p>
    <w:p>
      <w:pPr>
        <w:adjustRightInd w:val="0"/>
        <w:snapToGrid w:val="0"/>
        <w:spacing w:line="340" w:lineRule="exact"/>
        <w:ind w:firstLine="420" w:firstLineChars="200"/>
        <w:rPr>
          <w:rFonts w:hint="eastAsia"/>
          <w:color w:val="auto"/>
          <w:highlight w:val="none"/>
        </w:rPr>
      </w:pPr>
      <w:r>
        <w:rPr>
          <w:rFonts w:hint="eastAsia"/>
          <w:color w:val="auto"/>
          <w:highlight w:val="none"/>
        </w:rPr>
        <w:t>简要规格描述或项目基本概况介绍、用途：，</w:t>
      </w:r>
      <w:r>
        <w:rPr>
          <w:rFonts w:hint="eastAsia"/>
          <w:color w:val="auto"/>
          <w:highlight w:val="none"/>
          <w:lang w:val="en"/>
        </w:rPr>
        <w:t>如需进一步了解详细内容，详见采购文件。</w:t>
      </w:r>
    </w:p>
    <w:p>
      <w:pPr>
        <w:adjustRightInd w:val="0"/>
        <w:snapToGrid w:val="0"/>
        <w:spacing w:line="340" w:lineRule="exact"/>
        <w:ind w:firstLine="420" w:firstLineChars="200"/>
        <w:rPr>
          <w:color w:val="auto"/>
          <w:highlight w:val="none"/>
          <w:lang w:val="en"/>
        </w:rPr>
      </w:pPr>
      <w:r>
        <w:rPr>
          <w:rFonts w:hint="eastAsia"/>
          <w:color w:val="auto"/>
          <w:highlight w:val="none"/>
        </w:rPr>
        <w:t>最高限价（如有）：</w:t>
      </w:r>
      <w:r>
        <w:rPr>
          <w:color w:val="auto"/>
          <w:highlight w:val="none"/>
          <w:lang w:val="en"/>
        </w:rPr>
        <w:t>/</w:t>
      </w:r>
    </w:p>
    <w:p>
      <w:pPr>
        <w:adjustRightInd w:val="0"/>
        <w:snapToGrid w:val="0"/>
        <w:spacing w:line="340" w:lineRule="exact"/>
        <w:ind w:firstLine="420" w:firstLineChars="200"/>
        <w:rPr>
          <w:rFonts w:hint="eastAsia"/>
          <w:color w:val="auto"/>
          <w:highlight w:val="none"/>
        </w:rPr>
      </w:pPr>
      <w:r>
        <w:rPr>
          <w:rFonts w:hint="eastAsia"/>
          <w:color w:val="auto"/>
          <w:highlight w:val="none"/>
        </w:rPr>
        <w:t>合同履约期限：自合同签订之日起至项目履约完毕</w:t>
      </w:r>
    </w:p>
    <w:p>
      <w:pPr>
        <w:adjustRightInd w:val="0"/>
        <w:snapToGrid w:val="0"/>
        <w:spacing w:line="340" w:lineRule="exact"/>
        <w:ind w:firstLine="420" w:firstLineChars="200"/>
        <w:rPr>
          <w:rFonts w:hint="eastAsia"/>
          <w:color w:val="auto"/>
          <w:highlight w:val="none"/>
        </w:rPr>
      </w:pPr>
      <w:r>
        <w:rPr>
          <w:rFonts w:hint="eastAsia"/>
          <w:color w:val="auto"/>
          <w:highlight w:val="none"/>
        </w:rPr>
        <w:t>本项目（否）接受联合体</w:t>
      </w:r>
      <w:r>
        <w:rPr>
          <w:rFonts w:hint="eastAsia"/>
          <w:color w:val="auto"/>
          <w:highlight w:val="none"/>
          <w:lang w:eastAsia="zh-CN"/>
        </w:rPr>
        <w:t>投标</w:t>
      </w:r>
      <w:r>
        <w:rPr>
          <w:rFonts w:hint="eastAsia"/>
          <w:color w:val="auto"/>
          <w:highlight w:val="none"/>
        </w:rPr>
        <w:br w:type="textWrapping"/>
      </w:r>
      <w:r>
        <w:rPr>
          <w:rFonts w:hint="eastAsia"/>
          <w:color w:val="auto"/>
          <w:highlight w:val="none"/>
        </w:rPr>
        <w:t>备注：本项目为线上电子招标项目，有意向参与本项目的供应商应当做好参与全流程电子招投标交易的充分准备.</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二、申请人的资格要求：</w:t>
      </w:r>
    </w:p>
    <w:p>
      <w:pPr>
        <w:adjustRightInd w:val="0"/>
        <w:snapToGrid w:val="0"/>
        <w:spacing w:line="360" w:lineRule="exact"/>
        <w:ind w:firstLine="420" w:firstLineChars="200"/>
        <w:rPr>
          <w:rFonts w:hint="eastAsia"/>
          <w:color w:val="auto"/>
          <w:highlight w:val="none"/>
        </w:rPr>
      </w:pPr>
      <w:r>
        <w:rPr>
          <w:rFonts w:hint="eastAsia"/>
          <w:color w:val="auto"/>
          <w:highlight w:val="none"/>
        </w:rPr>
        <w:t>1.满足《中华人民共和国政府采购法》第二十二条规定；</w:t>
      </w:r>
    </w:p>
    <w:p>
      <w:pPr>
        <w:adjustRightInd w:val="0"/>
        <w:snapToGrid w:val="0"/>
        <w:spacing w:line="360" w:lineRule="exact"/>
        <w:ind w:firstLine="420" w:firstLineChars="200"/>
        <w:rPr>
          <w:rFonts w:hint="eastAsia"/>
          <w:color w:val="auto"/>
          <w:highlight w:val="none"/>
        </w:rPr>
      </w:pPr>
      <w:r>
        <w:rPr>
          <w:rFonts w:hint="eastAsia"/>
          <w:color w:val="auto"/>
          <w:highlight w:val="none"/>
        </w:rPr>
        <w:t>2.落实政府采购政策需满足的资格要求：</w:t>
      </w:r>
      <w:r>
        <w:rPr>
          <w:color w:val="auto"/>
          <w:highlight w:val="none"/>
          <w:lang w:val="en"/>
        </w:rPr>
        <w:t>分标1</w:t>
      </w:r>
      <w:r>
        <w:rPr>
          <w:rFonts w:hint="eastAsia"/>
          <w:color w:val="auto"/>
          <w:highlight w:val="none"/>
          <w:lang w:val="en"/>
        </w:rPr>
        <w:t>、</w:t>
      </w:r>
      <w:r>
        <w:rPr>
          <w:rFonts w:hint="eastAsia"/>
          <w:color w:val="auto"/>
          <w:highlight w:val="none"/>
        </w:rPr>
        <w:t>2、3、4</w:t>
      </w:r>
      <w:r>
        <w:rPr>
          <w:rFonts w:hint="eastAsia"/>
          <w:color w:val="auto"/>
          <w:highlight w:val="none"/>
          <w:lang w:eastAsia="zh-CN"/>
        </w:rPr>
        <w:t>、</w:t>
      </w:r>
      <w:r>
        <w:rPr>
          <w:rFonts w:hint="eastAsia"/>
          <w:color w:val="auto"/>
          <w:highlight w:val="none"/>
          <w:lang w:val="en-US" w:eastAsia="zh-CN"/>
        </w:rPr>
        <w:t>5</w:t>
      </w:r>
      <w:r>
        <w:rPr>
          <w:color w:val="auto"/>
          <w:highlight w:val="none"/>
          <w:lang w:val="en"/>
        </w:rPr>
        <w:t>：</w:t>
      </w:r>
      <w:r>
        <w:rPr>
          <w:rFonts w:hint="eastAsia"/>
          <w:color w:val="auto"/>
          <w:highlight w:val="none"/>
        </w:rPr>
        <w:t xml:space="preserve">无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3.本项目的特定资格要求：无 </w:t>
      </w:r>
    </w:p>
    <w:p>
      <w:pPr>
        <w:adjustRightInd w:val="0"/>
        <w:snapToGrid w:val="0"/>
        <w:spacing w:line="360" w:lineRule="exact"/>
        <w:ind w:firstLine="421" w:firstLineChars="200"/>
        <w:rPr>
          <w:rFonts w:hint="eastAsia"/>
          <w:b/>
          <w:color w:val="auto"/>
          <w:highlight w:val="none"/>
        </w:rPr>
      </w:pPr>
    </w:p>
    <w:p>
      <w:pPr>
        <w:adjustRightInd w:val="0"/>
        <w:snapToGrid w:val="0"/>
        <w:spacing w:line="360" w:lineRule="exact"/>
        <w:ind w:firstLine="421" w:firstLineChars="200"/>
        <w:rPr>
          <w:rFonts w:hint="eastAsia"/>
          <w:b/>
          <w:color w:val="auto"/>
          <w:highlight w:val="none"/>
        </w:rPr>
      </w:pPr>
      <w:r>
        <w:rPr>
          <w:rFonts w:hint="eastAsia"/>
          <w:b/>
          <w:color w:val="auto"/>
          <w:highlight w:val="none"/>
        </w:rPr>
        <w:t xml:space="preserve">三、获取招标文件 </w:t>
      </w:r>
    </w:p>
    <w:p>
      <w:pPr>
        <w:adjustRightInd w:val="0"/>
        <w:snapToGrid w:val="0"/>
        <w:spacing w:line="360" w:lineRule="exact"/>
        <w:ind w:firstLine="420" w:firstLineChars="200"/>
        <w:rPr>
          <w:rFonts w:hint="eastAsia"/>
          <w:color w:val="auto"/>
          <w:highlight w:val="none"/>
        </w:rPr>
      </w:pPr>
      <w:r>
        <w:rPr>
          <w:rFonts w:hint="eastAsia"/>
          <w:color w:val="auto"/>
          <w:highlight w:val="none"/>
        </w:rPr>
        <w:t>时间：</w:t>
      </w:r>
      <w:r>
        <w:rPr>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color w:val="auto"/>
          <w:highlight w:val="none"/>
        </w:rPr>
        <w:t>至2025年</w:t>
      </w:r>
      <w:r>
        <w:rPr>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color w:val="auto"/>
          <w:highlight w:val="none"/>
        </w:rPr>
        <w:t xml:space="preserve"> ，每天上午0</w:t>
      </w:r>
      <w:r>
        <w:rPr>
          <w:rFonts w:hint="eastAsia"/>
          <w:color w:val="auto"/>
          <w:highlight w:val="none"/>
          <w:lang w:val="en"/>
        </w:rPr>
        <w:t>0</w:t>
      </w:r>
      <w:r>
        <w:rPr>
          <w:rFonts w:hint="eastAsia"/>
          <w:color w:val="auto"/>
          <w:highlight w:val="none"/>
        </w:rPr>
        <w:t>:00至12:00，下午12:00至23</w:t>
      </w:r>
      <w:r>
        <w:rPr>
          <w:rFonts w:hint="eastAsia"/>
          <w:color w:val="auto"/>
          <w:highlight w:val="none"/>
          <w:lang w:val="en-US" w:eastAsia="zh-CN"/>
        </w:rPr>
        <w:t>:</w:t>
      </w:r>
      <w:r>
        <w:rPr>
          <w:rFonts w:hint="eastAsia"/>
          <w:color w:val="auto"/>
          <w:highlight w:val="none"/>
        </w:rPr>
        <w:t>59（北京时间，法定节假日除外）</w:t>
      </w:r>
    </w:p>
    <w:p>
      <w:pPr>
        <w:adjustRightInd w:val="0"/>
        <w:snapToGrid w:val="0"/>
        <w:spacing w:line="360" w:lineRule="exact"/>
        <w:ind w:firstLine="420" w:firstLineChars="200"/>
        <w:rPr>
          <w:rFonts w:hint="eastAsia"/>
          <w:color w:val="auto"/>
          <w:highlight w:val="none"/>
        </w:rPr>
      </w:pPr>
      <w:r>
        <w:rPr>
          <w:rFonts w:hint="eastAsia"/>
          <w:color w:val="auto"/>
          <w:highlight w:val="none"/>
        </w:rPr>
        <w:t>地点（网址）：</w:t>
      </w:r>
      <w:r>
        <w:rPr>
          <w:color w:val="auto"/>
          <w:highlight w:val="none"/>
          <w:lang w:val="en"/>
        </w:rPr>
        <w:t>广西政府采购云平台（网址：http://www.gcy.zfcg.gxzf.gov.cn）</w:t>
      </w:r>
      <w:r>
        <w:rPr>
          <w:rFonts w:hint="eastAsia"/>
          <w:color w:val="auto"/>
          <w:highlight w:val="none"/>
        </w:rPr>
        <w:t xml:space="preserve"> </w:t>
      </w:r>
    </w:p>
    <w:p>
      <w:pPr>
        <w:adjustRightInd w:val="0"/>
        <w:snapToGrid w:val="0"/>
        <w:spacing w:line="360" w:lineRule="exact"/>
        <w:ind w:firstLine="420" w:firstLineChars="200"/>
        <w:rPr>
          <w:rFonts w:hint="eastAsia"/>
          <w:color w:val="auto"/>
          <w:highlight w:val="none"/>
        </w:rPr>
      </w:pPr>
      <w:r>
        <w:rPr>
          <w:rFonts w:hint="eastAsia"/>
          <w:color w:val="auto"/>
          <w:highlight w:val="none"/>
        </w:rPr>
        <w:t>方式：请登录</w:t>
      </w:r>
      <w:r>
        <w:rPr>
          <w:color w:val="auto"/>
          <w:highlight w:val="none"/>
          <w:lang w:val="en"/>
        </w:rPr>
        <w:t>广西政府采购云平台（网址：http://www.gcy.zfcg.gxzf.gov.cn）</w:t>
      </w:r>
      <w:r>
        <w:rPr>
          <w:rFonts w:hint="eastAsia"/>
          <w:color w:val="auto"/>
          <w:highlight w:val="none"/>
        </w:rPr>
        <w:t>进行报名并获取采购文件；未注册的供应商可在广西政府采购云平台完成注册后再行报名。如在操作过程中遇到问题或需技术支持，请致电</w:t>
      </w:r>
      <w:r>
        <w:rPr>
          <w:color w:val="auto"/>
          <w:highlight w:val="none"/>
          <w:lang w:val="en"/>
        </w:rPr>
        <w:t>广西政府采购云</w:t>
      </w:r>
      <w:r>
        <w:rPr>
          <w:rFonts w:hint="eastAsia"/>
          <w:color w:val="auto"/>
          <w:highlight w:val="none"/>
        </w:rPr>
        <w:t>客服热线：95763。提示：公开招标公告附件内的招标文件仅供阅览使用；供应商只有在“</w:t>
      </w:r>
      <w:r>
        <w:rPr>
          <w:color w:val="auto"/>
          <w:highlight w:val="none"/>
          <w:lang w:val="en"/>
        </w:rPr>
        <w:t>广西政府采购云平台</w:t>
      </w:r>
      <w:r>
        <w:rPr>
          <w:rFonts w:hint="eastAsia"/>
          <w:color w:val="auto"/>
          <w:highlight w:val="none"/>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售价（元）：0 </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四、提交投标文件截止时间、开标时间和地点</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提交投标文件截止时间：</w:t>
      </w:r>
      <w:r>
        <w:rPr>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color w:val="auto"/>
          <w:highlight w:val="none"/>
        </w:rPr>
        <w:t>10:00（北京时间）</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投标地点（网址）：http://www.zcygov.cn（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开标时间：</w:t>
      </w:r>
      <w:r>
        <w:rPr>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color w:val="auto"/>
          <w:highlight w:val="none"/>
        </w:rPr>
        <w:t xml:space="preserve">10:00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开标地点：广西壮族自治区南宁市青秀区广西政府采购云平台开标大厅</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 xml:space="preserve">五、公告期限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自本公告发布之日起5个工作日。</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六、其他补充事宜</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1.投标保证金（人民币）：</w:t>
      </w:r>
      <w:r>
        <w:rPr>
          <w:rFonts w:hint="eastAsia"/>
          <w:b/>
          <w:bCs/>
          <w:color w:val="auto"/>
          <w:highlight w:val="none"/>
        </w:rPr>
        <w:t>分标</w:t>
      </w:r>
      <w:r>
        <w:rPr>
          <w:b/>
          <w:bCs/>
          <w:color w:val="auto"/>
          <w:highlight w:val="none"/>
          <w:lang w:val="en"/>
        </w:rPr>
        <w:t>1</w:t>
      </w:r>
      <w:r>
        <w:rPr>
          <w:rFonts w:hint="eastAsia"/>
          <w:b/>
          <w:bCs/>
          <w:color w:val="auto"/>
          <w:highlight w:val="none"/>
        </w:rPr>
        <w:t>：</w:t>
      </w:r>
      <w:r>
        <w:rPr>
          <w:rFonts w:hint="eastAsia"/>
          <w:b/>
          <w:bCs/>
          <w:color w:val="auto"/>
          <w:highlight w:val="none"/>
          <w:lang w:val="en-US" w:eastAsia="zh-CN"/>
        </w:rPr>
        <w:t>2</w:t>
      </w:r>
      <w:r>
        <w:rPr>
          <w:rFonts w:hint="default"/>
          <w:b/>
          <w:bCs/>
          <w:color w:val="auto"/>
          <w:highlight w:val="none"/>
          <w:lang w:val="en" w:eastAsia="zh-CN"/>
        </w:rPr>
        <w:t>.1</w:t>
      </w:r>
      <w:r>
        <w:rPr>
          <w:rFonts w:hint="eastAsia"/>
          <w:b/>
          <w:bCs/>
          <w:color w:val="auto"/>
          <w:highlight w:val="none"/>
        </w:rPr>
        <w:t>万元</w:t>
      </w:r>
      <w:r>
        <w:rPr>
          <w:rFonts w:hint="eastAsia"/>
          <w:b/>
          <w:bCs/>
          <w:color w:val="auto"/>
          <w:highlight w:val="none"/>
          <w:lang w:eastAsia="zh-CN"/>
        </w:rPr>
        <w:t>；分标</w:t>
      </w:r>
      <w:r>
        <w:rPr>
          <w:rFonts w:hint="eastAsia"/>
          <w:b/>
          <w:bCs/>
          <w:color w:val="auto"/>
          <w:highlight w:val="none"/>
          <w:lang w:val="en-US" w:eastAsia="zh-CN"/>
        </w:rPr>
        <w:t xml:space="preserve">2： </w:t>
      </w:r>
      <w:r>
        <w:rPr>
          <w:rFonts w:hint="default"/>
          <w:b/>
          <w:bCs/>
          <w:color w:val="auto"/>
          <w:highlight w:val="none"/>
          <w:lang w:val="en" w:eastAsia="zh-CN"/>
        </w:rPr>
        <w:t>0.9</w:t>
      </w:r>
      <w:r>
        <w:rPr>
          <w:rFonts w:hint="eastAsia"/>
          <w:b/>
          <w:bCs/>
          <w:color w:val="auto"/>
          <w:highlight w:val="none"/>
          <w:lang w:val="en-US" w:eastAsia="zh-CN"/>
        </w:rPr>
        <w:t>万元；分标3：0.</w:t>
      </w:r>
      <w:r>
        <w:rPr>
          <w:rFonts w:hint="default"/>
          <w:b/>
          <w:bCs/>
          <w:color w:val="auto"/>
          <w:highlight w:val="none"/>
          <w:lang w:val="en" w:eastAsia="zh-CN"/>
        </w:rPr>
        <w:t>6</w:t>
      </w:r>
      <w:r>
        <w:rPr>
          <w:rFonts w:hint="eastAsia"/>
          <w:b/>
          <w:bCs/>
          <w:color w:val="auto"/>
          <w:highlight w:val="none"/>
          <w:lang w:val="en-US" w:eastAsia="zh-CN"/>
        </w:rPr>
        <w:t>万元；分标4：0.</w:t>
      </w:r>
      <w:r>
        <w:rPr>
          <w:rFonts w:hint="default"/>
          <w:b/>
          <w:bCs/>
          <w:color w:val="auto"/>
          <w:highlight w:val="none"/>
          <w:lang w:val="en" w:eastAsia="zh-CN"/>
        </w:rPr>
        <w:t>4</w:t>
      </w:r>
      <w:r>
        <w:rPr>
          <w:rFonts w:hint="eastAsia"/>
          <w:b/>
          <w:bCs/>
          <w:color w:val="auto"/>
          <w:highlight w:val="none"/>
          <w:lang w:val="en-US" w:eastAsia="zh-CN"/>
        </w:rPr>
        <w:t xml:space="preserve"> 万元；分标5：2</w:t>
      </w:r>
      <w:r>
        <w:rPr>
          <w:rFonts w:hint="default"/>
          <w:b/>
          <w:bCs/>
          <w:color w:val="auto"/>
          <w:highlight w:val="none"/>
          <w:lang w:val="en" w:eastAsia="zh-CN"/>
        </w:rPr>
        <w:t>.3</w:t>
      </w:r>
      <w:r>
        <w:rPr>
          <w:rFonts w:hint="eastAsia"/>
          <w:b/>
          <w:bCs/>
          <w:color w:val="auto"/>
          <w:highlight w:val="none"/>
          <w:lang w:val="en-US" w:eastAsia="zh-CN"/>
        </w:rPr>
        <w:t>万元。</w:t>
      </w:r>
      <w:r>
        <w:rPr>
          <w:rFonts w:hint="eastAsia"/>
          <w:color w:val="auto"/>
          <w:highlight w:val="none"/>
        </w:rPr>
        <w:t>(必须足额交纳)</w:t>
      </w:r>
    </w:p>
    <w:p>
      <w:pPr>
        <w:adjustRightInd w:val="0"/>
        <w:snapToGrid w:val="0"/>
        <w:spacing w:line="360" w:lineRule="exact"/>
        <w:ind w:firstLine="420" w:firstLineChars="200"/>
        <w:rPr>
          <w:rFonts w:hint="eastAsia"/>
          <w:color w:val="auto"/>
          <w:highlight w:val="none"/>
        </w:rPr>
      </w:pPr>
      <w:r>
        <w:rPr>
          <w:rFonts w:hint="eastAsia"/>
          <w:color w:val="auto"/>
          <w:highlight w:val="none"/>
        </w:rPr>
        <w:t>（1）投标保证金交纳形式：支票、汇票、本票、金融机构、担保机构出具的保函等非现金形式。</w:t>
      </w:r>
    </w:p>
    <w:p>
      <w:pPr>
        <w:adjustRightInd w:val="0"/>
        <w:snapToGrid w:val="0"/>
        <w:spacing w:line="360" w:lineRule="exact"/>
        <w:ind w:firstLine="420" w:firstLineChars="200"/>
        <w:rPr>
          <w:rFonts w:hint="eastAsia"/>
          <w:color w:val="auto"/>
          <w:highlight w:val="none"/>
        </w:rPr>
      </w:pPr>
      <w:r>
        <w:rPr>
          <w:rFonts w:hint="eastAsia"/>
          <w:color w:val="auto"/>
          <w:highlight w:val="none"/>
        </w:rPr>
        <w:t>（2）采用网上银行转账形式的，投标人应于提交投标文件截止时间前将投标保证金交至以下账户。</w:t>
      </w:r>
    </w:p>
    <w:p>
      <w:pPr>
        <w:adjustRightInd w:val="0"/>
        <w:snapToGrid w:val="0"/>
        <w:spacing w:line="360" w:lineRule="exact"/>
        <w:ind w:firstLine="421" w:firstLineChars="200"/>
        <w:rPr>
          <w:rFonts w:hint="eastAsia"/>
          <w:b/>
          <w:bCs/>
          <w:color w:val="auto"/>
          <w:highlight w:val="none"/>
        </w:rPr>
      </w:pPr>
      <w:r>
        <w:rPr>
          <w:rFonts w:hint="eastAsia"/>
          <w:b/>
          <w:bCs/>
          <w:color w:val="auto"/>
          <w:highlight w:val="none"/>
        </w:rPr>
        <w:t>开户名称：广西壮族自治区政府采购中心</w:t>
      </w:r>
    </w:p>
    <w:p>
      <w:pPr>
        <w:adjustRightInd w:val="0"/>
        <w:snapToGrid w:val="0"/>
        <w:spacing w:line="360" w:lineRule="exact"/>
        <w:ind w:firstLine="421" w:firstLineChars="200"/>
        <w:rPr>
          <w:rFonts w:hint="eastAsia"/>
          <w:b/>
          <w:bCs/>
          <w:color w:val="auto"/>
          <w:highlight w:val="none"/>
        </w:rPr>
      </w:pPr>
      <w:r>
        <w:rPr>
          <w:rFonts w:hint="eastAsia"/>
          <w:b/>
          <w:bCs/>
          <w:color w:val="auto"/>
          <w:highlight w:val="none"/>
        </w:rPr>
        <w:t>开户银行：中国农业银行股份有限公司南宁市古城支行</w:t>
      </w:r>
    </w:p>
    <w:p>
      <w:pPr>
        <w:adjustRightInd w:val="0"/>
        <w:snapToGrid w:val="0"/>
        <w:spacing w:line="360" w:lineRule="exact"/>
        <w:ind w:firstLine="421" w:firstLineChars="200"/>
        <w:rPr>
          <w:rFonts w:hint="eastAsia"/>
          <w:color w:val="auto"/>
          <w:highlight w:val="none"/>
        </w:rPr>
      </w:pPr>
      <w:r>
        <w:rPr>
          <w:rFonts w:hint="eastAsia"/>
          <w:b/>
          <w:bCs/>
          <w:color w:val="auto"/>
          <w:highlight w:val="none"/>
        </w:rPr>
        <w:t>银行账号：20009101040051648</w:t>
      </w:r>
    </w:p>
    <w:p>
      <w:pPr>
        <w:adjustRightInd w:val="0"/>
        <w:snapToGrid w:val="0"/>
        <w:spacing w:line="360" w:lineRule="exact"/>
        <w:ind w:firstLine="420" w:firstLineChars="200"/>
        <w:rPr>
          <w:rFonts w:hint="eastAsia"/>
          <w:color w:val="auto"/>
          <w:highlight w:val="none"/>
        </w:rPr>
      </w:pPr>
      <w:r>
        <w:rPr>
          <w:rFonts w:hint="eastAsia"/>
          <w:color w:val="auto"/>
          <w:highlight w:val="none"/>
        </w:rPr>
        <w:t>（3）采用支票、汇票、本票或者保函等形式的，投标人应于提交投标文件截止时间前递交单独密封的支票、汇票、本票或者保函原件至我中心财务处。</w:t>
      </w:r>
    </w:p>
    <w:p>
      <w:pPr>
        <w:adjustRightInd w:val="0"/>
        <w:snapToGrid w:val="0"/>
        <w:spacing w:line="360" w:lineRule="exact"/>
        <w:ind w:firstLine="420" w:firstLineChars="200"/>
        <w:rPr>
          <w:rFonts w:hint="eastAsia"/>
          <w:color w:val="auto"/>
          <w:highlight w:val="none"/>
        </w:rPr>
      </w:pPr>
      <w:r>
        <w:rPr>
          <w:rFonts w:hint="eastAsia"/>
          <w:color w:val="auto"/>
          <w:highlight w:val="none"/>
        </w:rPr>
        <w:t>（4）本中心财务处联系方式：</w:t>
      </w:r>
    </w:p>
    <w:p>
      <w:pPr>
        <w:adjustRightInd w:val="0"/>
        <w:snapToGrid w:val="0"/>
        <w:spacing w:line="360" w:lineRule="exact"/>
        <w:ind w:firstLine="420" w:firstLineChars="200"/>
        <w:rPr>
          <w:color w:val="auto"/>
          <w:highlight w:val="none"/>
          <w:lang w:val="en"/>
        </w:rPr>
      </w:pPr>
      <w:r>
        <w:rPr>
          <w:color w:val="auto"/>
          <w:highlight w:val="none"/>
          <w:lang w:val="en"/>
        </w:rPr>
        <w:t>地址：广西南宁市星湖路22号广西壮族自治区政府采购中心综合楼3楼306室； 电话：0771-8600309。</w:t>
      </w:r>
    </w:p>
    <w:p>
      <w:pPr>
        <w:adjustRightInd w:val="0"/>
        <w:snapToGrid w:val="0"/>
        <w:spacing w:line="360" w:lineRule="exact"/>
        <w:ind w:firstLine="420" w:firstLineChars="200"/>
        <w:rPr>
          <w:rFonts w:hint="eastAsia"/>
          <w:color w:val="auto"/>
          <w:highlight w:val="none"/>
        </w:rPr>
      </w:pPr>
      <w:r>
        <w:rPr>
          <w:rFonts w:hint="eastAsia"/>
          <w:color w:val="auto"/>
          <w:highlight w:val="none"/>
        </w:rPr>
        <w:t>2.本项目需要落实的政府采购政策</w:t>
      </w:r>
    </w:p>
    <w:p>
      <w:pPr>
        <w:adjustRightInd w:val="0"/>
        <w:snapToGrid w:val="0"/>
        <w:spacing w:line="360" w:lineRule="exact"/>
        <w:ind w:firstLine="420" w:firstLineChars="200"/>
        <w:rPr>
          <w:rFonts w:hint="eastAsia"/>
          <w:color w:val="auto"/>
          <w:highlight w:val="none"/>
        </w:rPr>
      </w:pPr>
      <w:r>
        <w:rPr>
          <w:rFonts w:hint="eastAsia"/>
          <w:color w:val="auto"/>
          <w:highlight w:val="none"/>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adjustRightInd w:val="0"/>
        <w:snapToGrid w:val="0"/>
        <w:spacing w:line="360" w:lineRule="exact"/>
        <w:ind w:firstLine="420" w:firstLineChars="200"/>
        <w:rPr>
          <w:rFonts w:hint="eastAsia"/>
          <w:color w:val="auto"/>
          <w:highlight w:val="none"/>
        </w:rPr>
      </w:pPr>
      <w:r>
        <w:rPr>
          <w:rFonts w:hint="eastAsia"/>
          <w:color w:val="auto"/>
          <w:highlight w:val="none"/>
        </w:rPr>
        <w:t>3.网上公告媒体查询</w:t>
      </w:r>
    </w:p>
    <w:p>
      <w:pPr>
        <w:adjustRightInd w:val="0"/>
        <w:snapToGrid w:val="0"/>
        <w:spacing w:line="360" w:lineRule="exact"/>
        <w:ind w:firstLine="420" w:firstLineChars="200"/>
        <w:rPr>
          <w:rFonts w:hint="eastAsia"/>
          <w:color w:val="auto"/>
          <w:highlight w:val="none"/>
        </w:rPr>
      </w:pPr>
      <w:r>
        <w:rPr>
          <w:rFonts w:hint="eastAsia"/>
          <w:color w:val="auto"/>
          <w:highlight w:val="none"/>
        </w:rPr>
        <w:t>中国政府采购网（www.ccgp.gov.cn）、广西壮族自治区政府采购网（zfcg.gxzf.gov.cn）、广西壮族自治区政府采购中心网站（gxggzy.gxzf.gov.cn）。</w:t>
      </w:r>
    </w:p>
    <w:p>
      <w:pPr>
        <w:adjustRightInd w:val="0"/>
        <w:snapToGrid w:val="0"/>
        <w:spacing w:line="360" w:lineRule="exact"/>
        <w:ind w:firstLine="420" w:firstLineChars="200"/>
        <w:rPr>
          <w:rFonts w:hint="eastAsia"/>
          <w:color w:val="auto"/>
          <w:highlight w:val="none"/>
        </w:rPr>
      </w:pPr>
      <w:r>
        <w:rPr>
          <w:rFonts w:hint="eastAsia"/>
          <w:color w:val="auto"/>
          <w:highlight w:val="none"/>
        </w:rPr>
        <w:t>4.其他注意事项</w:t>
      </w:r>
    </w:p>
    <w:p>
      <w:pPr>
        <w:adjustRightInd w:val="0"/>
        <w:snapToGrid w:val="0"/>
        <w:spacing w:line="360" w:lineRule="exact"/>
        <w:ind w:firstLine="420" w:firstLineChars="200"/>
        <w:rPr>
          <w:rFonts w:hint="eastAsia"/>
          <w:color w:val="auto"/>
          <w:highlight w:val="none"/>
        </w:rPr>
      </w:pPr>
      <w:r>
        <w:rPr>
          <w:rFonts w:hint="eastAsia"/>
          <w:color w:val="auto"/>
          <w:highlight w:val="none"/>
        </w:rPr>
        <w:t>（1）本项目实行电子投标，供应商应按照本项目招标文件和</w:t>
      </w:r>
      <w:r>
        <w:rPr>
          <w:color w:val="auto"/>
          <w:highlight w:val="none"/>
          <w:lang w:val="en"/>
        </w:rPr>
        <w:t>广西政府采购云平台</w:t>
      </w:r>
      <w:r>
        <w:rPr>
          <w:rFonts w:hint="eastAsia"/>
          <w:color w:val="auto"/>
          <w:highlight w:val="none"/>
        </w:rPr>
        <w:t>的要求编制、加密并提交投标文件。供应商在使用系统参与投标过程中遇到涉及平台使用的任何问题，可致电</w:t>
      </w:r>
      <w:r>
        <w:rPr>
          <w:color w:val="auto"/>
          <w:highlight w:val="none"/>
          <w:lang w:val="en"/>
        </w:rPr>
        <w:t>广西政府采购云平台</w:t>
      </w:r>
      <w:r>
        <w:rPr>
          <w:rFonts w:hint="eastAsia"/>
          <w:color w:val="auto"/>
          <w:highlight w:val="none"/>
        </w:rPr>
        <w:t xml:space="preserve">技术支持热线咨询，联系方式：95763。 </w:t>
      </w:r>
    </w:p>
    <w:p>
      <w:pPr>
        <w:adjustRightInd w:val="0"/>
        <w:snapToGrid w:val="0"/>
        <w:spacing w:line="360" w:lineRule="exact"/>
        <w:ind w:firstLine="420" w:firstLineChars="200"/>
        <w:rPr>
          <w:rFonts w:hint="eastAsia"/>
          <w:color w:val="auto"/>
          <w:highlight w:val="none"/>
        </w:rPr>
      </w:pPr>
      <w:r>
        <w:rPr>
          <w:rFonts w:hint="eastAsia"/>
          <w:color w:val="auto"/>
          <w:highlight w:val="none"/>
        </w:rPr>
        <w:t>（2）供应商应及时熟悉掌握电子标系统操作指南（见</w:t>
      </w:r>
      <w:r>
        <w:rPr>
          <w:color w:val="auto"/>
          <w:highlight w:val="none"/>
          <w:lang w:val="en"/>
        </w:rPr>
        <w:t>广西政府采购云</w:t>
      </w:r>
      <w:r>
        <w:rPr>
          <w:rFonts w:hint="eastAsia"/>
          <w:color w:val="auto"/>
          <w:highlight w:val="none"/>
        </w:rPr>
        <w:t>电子卖场首页右上角—服务中心—帮助文档—项目采购）：</w:t>
      </w:r>
      <w:r>
        <w:rPr>
          <w:rFonts w:hint="eastAsia"/>
          <w:color w:val="auto"/>
          <w:highlight w:val="none"/>
        </w:rPr>
        <w:fldChar w:fldCharType="begin"/>
      </w:r>
      <w:r>
        <w:rPr>
          <w:rFonts w:hint="eastAsia"/>
          <w:color w:val="auto"/>
          <w:highlight w:val="none"/>
        </w:rPr>
        <w:instrText xml:space="preserve"> HYPERLINK "https://service.zcygov.cn/#/knowledges/tree?tag=AG1DtGwBFdiHxlNdhY0r。" </w:instrText>
      </w:r>
      <w:r>
        <w:rPr>
          <w:rFonts w:hint="eastAsia"/>
          <w:color w:val="auto"/>
          <w:highlight w:val="none"/>
        </w:rPr>
        <w:fldChar w:fldCharType="separate"/>
      </w:r>
      <w:r>
        <w:rPr>
          <w:rFonts w:hint="eastAsia"/>
          <w:color w:val="auto"/>
          <w:highlight w:val="none"/>
        </w:rPr>
        <w:t>https://service.zcygov.cn/#/knowledges/tree?tag=AG1DtGwBFdiHxlNdhY0r。</w:t>
      </w:r>
      <w:r>
        <w:rPr>
          <w:rFonts w:hint="eastAsia"/>
          <w:color w:val="auto"/>
          <w:highlight w:val="none"/>
        </w:rPr>
        <w:fldChar w:fldCharType="end"/>
      </w:r>
    </w:p>
    <w:p>
      <w:pPr>
        <w:adjustRightInd w:val="0"/>
        <w:snapToGrid w:val="0"/>
        <w:spacing w:line="360" w:lineRule="exact"/>
        <w:ind w:firstLine="420" w:firstLineChars="200"/>
        <w:rPr>
          <w:rFonts w:hint="eastAsia"/>
          <w:color w:val="auto"/>
          <w:highlight w:val="none"/>
        </w:rPr>
      </w:pPr>
      <w:r>
        <w:rPr>
          <w:rFonts w:hint="eastAsia"/>
          <w:color w:val="auto"/>
          <w:highlight w:val="none"/>
        </w:rPr>
        <w:t>（3）供应商应及时完成CA申领和绑定（见广西壮族自治区政府采购网—办事服务—下载专区-政采云CA证书办理操作指南）。</w:t>
      </w:r>
    </w:p>
    <w:p>
      <w:pPr>
        <w:adjustRightInd w:val="0"/>
        <w:snapToGrid w:val="0"/>
        <w:spacing w:line="360" w:lineRule="exact"/>
        <w:ind w:firstLine="420" w:firstLineChars="200"/>
        <w:rPr>
          <w:rFonts w:hint="eastAsia"/>
          <w:color w:val="auto"/>
          <w:highlight w:val="none"/>
        </w:rPr>
      </w:pPr>
      <w:r>
        <w:rPr>
          <w:rFonts w:hint="eastAsia"/>
          <w:color w:val="auto"/>
          <w:highlight w:val="none"/>
        </w:rPr>
        <w:t>（4）供应商通过</w:t>
      </w:r>
      <w:r>
        <w:rPr>
          <w:color w:val="auto"/>
          <w:highlight w:val="none"/>
          <w:lang w:val="en"/>
        </w:rPr>
        <w:t>广西政府采购云</w:t>
      </w:r>
      <w:r>
        <w:rPr>
          <w:rFonts w:hint="eastAsia"/>
          <w:color w:val="auto"/>
          <w:highlight w:val="none"/>
        </w:rPr>
        <w:t>投标客户端软件制作投标文件，</w:t>
      </w:r>
      <w:r>
        <w:rPr>
          <w:color w:val="auto"/>
          <w:highlight w:val="none"/>
          <w:lang w:val="en"/>
        </w:rPr>
        <w:t>广西政府采购云</w:t>
      </w:r>
      <w:r>
        <w:rPr>
          <w:rFonts w:hint="eastAsia"/>
          <w:color w:val="auto"/>
          <w:highlight w:val="none"/>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360" w:lineRule="exact"/>
        <w:ind w:firstLine="420" w:firstLineChars="200"/>
        <w:rPr>
          <w:rFonts w:hint="eastAsia"/>
          <w:color w:val="auto"/>
          <w:highlight w:val="none"/>
        </w:rPr>
      </w:pPr>
      <w:r>
        <w:rPr>
          <w:rFonts w:hint="eastAsia"/>
          <w:color w:val="auto"/>
          <w:highlight w:val="none"/>
        </w:rPr>
        <w:t>（5）因未注册入库、未办理CA数字证书、CA证书故障、操作不当等原因造成无法投标或投标失败等后果由供应商自行承担。</w:t>
      </w:r>
    </w:p>
    <w:p>
      <w:pPr>
        <w:adjustRightInd w:val="0"/>
        <w:snapToGrid w:val="0"/>
        <w:spacing w:line="360" w:lineRule="exact"/>
        <w:ind w:firstLine="420" w:firstLineChars="200"/>
        <w:rPr>
          <w:rFonts w:hint="eastAsia"/>
          <w:color w:val="auto"/>
          <w:highlight w:val="none"/>
        </w:rPr>
      </w:pPr>
      <w:r>
        <w:rPr>
          <w:rFonts w:hint="eastAsia"/>
          <w:color w:val="auto"/>
          <w:highlight w:val="none"/>
        </w:rPr>
        <w:t>（6）投标文件网上提交截止后，</w:t>
      </w:r>
      <w:r>
        <w:rPr>
          <w:color w:val="auto"/>
          <w:highlight w:val="none"/>
          <w:lang w:val="en"/>
        </w:rPr>
        <w:t>广西政府采购云</w:t>
      </w:r>
      <w:r>
        <w:rPr>
          <w:rFonts w:hint="eastAsia"/>
          <w:color w:val="auto"/>
          <w:highlight w:val="none"/>
        </w:rPr>
        <w:t>（电子标系统）自动提取所有投标文件，各供应商须在开标开始后30分钟内对上传</w:t>
      </w:r>
      <w:r>
        <w:rPr>
          <w:color w:val="auto"/>
          <w:highlight w:val="none"/>
          <w:lang w:val="en"/>
        </w:rPr>
        <w:t>广西政府采购云</w:t>
      </w:r>
      <w:r>
        <w:rPr>
          <w:rFonts w:hint="eastAsia"/>
          <w:color w:val="auto"/>
          <w:highlight w:val="none"/>
        </w:rPr>
        <w:t>的投标文件进行解密，所有供应商在规定的解密时限内解密完成或解密时限结束后，我中心开启投标文件；供应商超过解密时限的，系统默认自动放弃。</w:t>
      </w:r>
    </w:p>
    <w:p>
      <w:pPr>
        <w:adjustRightInd w:val="0"/>
        <w:snapToGrid w:val="0"/>
        <w:spacing w:line="360" w:lineRule="exact"/>
        <w:ind w:firstLine="421" w:firstLineChars="200"/>
        <w:rPr>
          <w:b/>
          <w:color w:val="auto"/>
          <w:highlight w:val="none"/>
        </w:rPr>
      </w:pPr>
      <w:r>
        <w:rPr>
          <w:b/>
          <w:color w:val="auto"/>
          <w:highlight w:val="none"/>
        </w:rPr>
        <w:t xml:space="preserve">  </w:t>
      </w:r>
    </w:p>
    <w:p>
      <w:pPr>
        <w:adjustRightInd w:val="0"/>
        <w:snapToGrid w:val="0"/>
        <w:spacing w:line="360" w:lineRule="exact"/>
        <w:ind w:firstLine="421" w:firstLineChars="200"/>
        <w:rPr>
          <w:rFonts w:hint="eastAsia"/>
          <w:b/>
          <w:color w:val="auto"/>
          <w:highlight w:val="none"/>
        </w:rPr>
      </w:pPr>
      <w:r>
        <w:rPr>
          <w:rFonts w:hint="eastAsia"/>
          <w:b/>
          <w:color w:val="auto"/>
          <w:highlight w:val="none"/>
        </w:rPr>
        <w:t>七、对本次采购提出询问，请按以下方式联系</w:t>
      </w:r>
    </w:p>
    <w:p>
      <w:pPr>
        <w:adjustRightInd w:val="0"/>
        <w:snapToGrid w:val="0"/>
        <w:spacing w:line="360" w:lineRule="exact"/>
        <w:ind w:firstLine="421" w:firstLineChars="200"/>
        <w:rPr>
          <w:rFonts w:hint="eastAsia"/>
          <w:color w:val="auto"/>
          <w:highlight w:val="none"/>
        </w:rPr>
      </w:pPr>
      <w:r>
        <w:rPr>
          <w:rFonts w:hint="eastAsia"/>
          <w:b/>
          <w:color w:val="auto"/>
          <w:highlight w:val="none"/>
        </w:rPr>
        <w:t xml:space="preserve"> </w:t>
      </w:r>
      <w:r>
        <w:rPr>
          <w:rFonts w:hint="eastAsia"/>
          <w:color w:val="auto"/>
          <w:highlight w:val="none"/>
        </w:rPr>
        <w:t xml:space="preserve">   1.采购人信息</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名    称：</w:t>
      </w:r>
      <w:r>
        <w:rPr>
          <w:color w:val="auto"/>
          <w:highlight w:val="none"/>
          <w:lang w:val="en"/>
        </w:rPr>
        <w:t>广西艺术学院</w:t>
      </w:r>
      <w:r>
        <w:rPr>
          <w:rFonts w:hint="eastAsia"/>
          <w:color w:val="auto"/>
          <w:highlight w:val="none"/>
        </w:rPr>
        <w:t xml:space="preserve"> </w:t>
      </w:r>
    </w:p>
    <w:p>
      <w:pPr>
        <w:adjustRightInd w:val="0"/>
        <w:snapToGrid w:val="0"/>
        <w:spacing w:line="360" w:lineRule="exact"/>
        <w:ind w:firstLine="420" w:firstLineChars="200"/>
        <w:rPr>
          <w:rFonts w:hint="default" w:eastAsia="宋体"/>
          <w:color w:val="auto"/>
          <w:highlight w:val="none"/>
          <w:lang w:val="en-US" w:eastAsia="zh-CN"/>
        </w:rPr>
      </w:pPr>
      <w:r>
        <w:rPr>
          <w:rFonts w:hint="eastAsia"/>
          <w:color w:val="auto"/>
          <w:highlight w:val="none"/>
        </w:rPr>
        <w:t xml:space="preserve">    地    址：</w:t>
      </w:r>
      <w:r>
        <w:rPr>
          <w:rFonts w:hint="eastAsia"/>
          <w:color w:val="auto"/>
          <w:highlight w:val="none"/>
          <w:lang w:val="en-US" w:eastAsia="zh-CN"/>
        </w:rPr>
        <w:t>广西南宁市教育路7号</w:t>
      </w:r>
    </w:p>
    <w:p>
      <w:pPr>
        <w:adjustRightInd w:val="0"/>
        <w:snapToGrid w:val="0"/>
        <w:spacing w:line="360" w:lineRule="exact"/>
        <w:ind w:firstLine="420" w:firstLineChars="200"/>
        <w:rPr>
          <w:rFonts w:hint="eastAsia" w:eastAsia="宋体"/>
          <w:color w:val="auto"/>
          <w:highlight w:val="none"/>
          <w:lang w:val="en-US" w:eastAsia="zh-CN"/>
        </w:rPr>
      </w:pPr>
      <w:r>
        <w:rPr>
          <w:rFonts w:hint="eastAsia"/>
          <w:color w:val="auto"/>
          <w:highlight w:val="none"/>
        </w:rPr>
        <w:t xml:space="preserve">    项目联系人：</w:t>
      </w:r>
      <w:r>
        <w:rPr>
          <w:rFonts w:hint="eastAsia"/>
          <w:color w:val="auto"/>
          <w:highlight w:val="none"/>
          <w:lang w:val="en-US" w:eastAsia="zh-CN"/>
        </w:rPr>
        <w:t>傅老师</w:t>
      </w:r>
    </w:p>
    <w:p>
      <w:pPr>
        <w:adjustRightInd w:val="0"/>
        <w:snapToGrid w:val="0"/>
        <w:spacing w:line="360" w:lineRule="exact"/>
        <w:ind w:firstLine="420" w:firstLineChars="200"/>
        <w:rPr>
          <w:rFonts w:hint="default" w:eastAsia="宋体"/>
          <w:color w:val="auto"/>
          <w:highlight w:val="none"/>
          <w:lang w:val="en-US" w:eastAsia="zh-CN"/>
        </w:rPr>
      </w:pPr>
      <w:r>
        <w:rPr>
          <w:color w:val="auto"/>
          <w:highlight w:val="none"/>
        </w:rPr>
        <w:t xml:space="preserve">    </w:t>
      </w:r>
      <w:r>
        <w:rPr>
          <w:rFonts w:hint="eastAsia"/>
          <w:color w:val="auto"/>
          <w:highlight w:val="none"/>
        </w:rPr>
        <w:t>项目联系方式：0771-</w:t>
      </w:r>
      <w:r>
        <w:rPr>
          <w:rFonts w:hint="eastAsia"/>
          <w:color w:val="auto"/>
          <w:highlight w:val="none"/>
          <w:lang w:val="en-US" w:eastAsia="zh-CN"/>
        </w:rPr>
        <w:t>5317987</w:t>
      </w:r>
    </w:p>
    <w:p>
      <w:pPr>
        <w:adjustRightInd w:val="0"/>
        <w:snapToGrid w:val="0"/>
        <w:spacing w:line="360" w:lineRule="exact"/>
        <w:ind w:firstLine="420" w:firstLineChars="200"/>
        <w:rPr>
          <w:rFonts w:hint="eastAsia"/>
          <w:color w:val="auto"/>
          <w:highlight w:val="none"/>
        </w:rPr>
      </w:pPr>
      <w:r>
        <w:rPr>
          <w:color w:val="auto"/>
          <w:highlight w:val="none"/>
        </w:rPr>
        <w:t xml:space="preserve">    </w:t>
      </w:r>
      <w:r>
        <w:rPr>
          <w:rFonts w:hint="eastAsia"/>
          <w:color w:val="auto"/>
          <w:highlight w:val="none"/>
        </w:rPr>
        <w:t>2.采购代理机构信息</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名    称：广西壮族自治区政府采购中心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地    址：广西南宁市星湖路22号  </w:t>
      </w:r>
    </w:p>
    <w:p>
      <w:pPr>
        <w:adjustRightInd w:val="0"/>
        <w:snapToGrid w:val="0"/>
        <w:spacing w:line="360" w:lineRule="exact"/>
        <w:ind w:firstLine="420" w:firstLineChars="200"/>
        <w:rPr>
          <w:rFonts w:hint="eastAsia"/>
          <w:color w:val="auto"/>
          <w:highlight w:val="none"/>
        </w:rPr>
      </w:pPr>
      <w:r>
        <w:rPr>
          <w:rFonts w:hint="eastAsia"/>
          <w:color w:val="auto"/>
          <w:highlight w:val="none"/>
        </w:rPr>
        <w:t xml:space="preserve">    项目联系人：</w:t>
      </w:r>
    </w:p>
    <w:p>
      <w:pPr>
        <w:adjustRightInd w:val="0"/>
        <w:snapToGrid w:val="0"/>
        <w:spacing w:line="360" w:lineRule="exact"/>
        <w:ind w:firstLine="420" w:firstLineChars="200"/>
        <w:rPr>
          <w:rFonts w:hint="default" w:ascii="宋体" w:hAnsi="宋体" w:eastAsia="宋体" w:cs="宋体"/>
          <w:color w:val="auto"/>
          <w:highlight w:val="none"/>
          <w:lang w:val="en-US" w:eastAsia="zh-CN"/>
        </w:rPr>
      </w:pPr>
      <w:r>
        <w:rPr>
          <w:rFonts w:hint="eastAsia"/>
          <w:color w:val="auto"/>
          <w:highlight w:val="none"/>
        </w:rPr>
        <w:t xml:space="preserve">    项目联系方式：0771-</w:t>
      </w:r>
      <w:r>
        <w:rPr>
          <w:color w:val="auto"/>
          <w:highlight w:val="none"/>
          <w:lang w:val="en"/>
        </w:rPr>
        <w:t>8600</w:t>
      </w:r>
      <w:r>
        <w:rPr>
          <w:rFonts w:hint="eastAsia"/>
          <w:color w:val="auto"/>
          <w:highlight w:val="none"/>
          <w:lang w:val="en-US" w:eastAsia="zh-CN"/>
        </w:rPr>
        <w:t>343</w:t>
      </w:r>
    </w:p>
    <w:p>
      <w:pPr>
        <w:adjustRightInd w:val="0"/>
        <w:snapToGrid w:val="0"/>
        <w:spacing w:line="380" w:lineRule="exact"/>
        <w:ind w:firstLine="630" w:firstLineChars="300"/>
        <w:rPr>
          <w:rFonts w:hint="eastAsia" w:ascii="宋体" w:hAnsi="宋体" w:cs="宋体"/>
          <w:color w:val="auto"/>
          <w:highlight w:val="none"/>
        </w:rPr>
      </w:pPr>
    </w:p>
    <w:bookmarkEnd w:id="0"/>
    <w:bookmarkEnd w:id="1"/>
    <w:p>
      <w:pPr>
        <w:snapToGrid w:val="0"/>
        <w:spacing w:line="380" w:lineRule="exact"/>
        <w:ind w:left="238"/>
        <w:jc w:val="center"/>
        <w:rPr>
          <w:rFonts w:ascii="宋体" w:cs="宋体"/>
          <w:color w:val="auto"/>
          <w:highlight w:val="none"/>
        </w:rPr>
      </w:pPr>
      <w:r>
        <w:rPr>
          <w:rFonts w:hint="eastAsia" w:ascii="宋体" w:hAnsi="宋体" w:cs="宋体"/>
          <w:color w:val="auto"/>
          <w:highlight w:val="none"/>
        </w:rPr>
        <w:t xml:space="preserve">                                广西壮族自治区政府采购中心</w:t>
      </w:r>
    </w:p>
    <w:p>
      <w:pPr>
        <w:snapToGrid w:val="0"/>
        <w:spacing w:line="380" w:lineRule="exact"/>
        <w:ind w:left="238"/>
        <w:jc w:val="center"/>
        <w:rPr>
          <w:rFonts w:ascii="黑体" w:eastAsia="黑体"/>
          <w:color w:val="auto"/>
          <w:sz w:val="32"/>
          <w:szCs w:val="32"/>
          <w:highlight w:val="none"/>
          <w:lang w:val="en"/>
        </w:rPr>
      </w:pPr>
      <w:r>
        <w:rPr>
          <w:rFonts w:hint="eastAsia" w:ascii="宋体" w:hAnsi="宋体" w:cs="宋体"/>
          <w:color w:val="auto"/>
          <w:highlight w:val="none"/>
        </w:rPr>
        <w:t xml:space="preserve">                                 </w:t>
      </w:r>
      <w:r>
        <w:rPr>
          <w:rFonts w:ascii="宋体" w:hAnsi="宋体" w:cs="宋体"/>
          <w:color w:val="auto"/>
          <w:highlight w:val="none"/>
          <w:lang w:val="en"/>
        </w:rPr>
        <w:t>2025年</w:t>
      </w:r>
      <w:r>
        <w:rPr>
          <w:rFonts w:hint="eastAsia" w:ascii="宋体" w:hAnsi="宋体" w:cs="宋体"/>
          <w:color w:val="auto"/>
          <w:highlight w:val="none"/>
          <w:lang w:val="en-US" w:eastAsia="zh-CN"/>
        </w:rPr>
        <w:t xml:space="preserve">  </w:t>
      </w:r>
      <w:r>
        <w:rPr>
          <w:rFonts w:ascii="宋体" w:hAnsi="宋体" w:cs="宋体"/>
          <w:color w:val="auto"/>
          <w:highlight w:val="none"/>
          <w:lang w:val="en"/>
        </w:rPr>
        <w:t>月</w:t>
      </w:r>
      <w:r>
        <w:rPr>
          <w:rFonts w:hint="eastAsia" w:ascii="宋体" w:hAnsi="宋体" w:cs="宋体"/>
          <w:color w:val="auto"/>
          <w:highlight w:val="none"/>
          <w:lang w:val="en-US" w:eastAsia="zh-CN"/>
        </w:rPr>
        <w:t xml:space="preserve"> </w:t>
      </w:r>
      <w:r>
        <w:rPr>
          <w:rFonts w:ascii="宋体" w:hAnsi="宋体" w:cs="宋体"/>
          <w:color w:val="auto"/>
          <w:highlight w:val="none"/>
          <w:lang w:val="en"/>
        </w:rPr>
        <w:t>日</w:t>
      </w:r>
    </w:p>
    <w:p>
      <w:pPr>
        <w:snapToGrid w:val="0"/>
        <w:spacing w:before="156" w:beforeLines="50" w:after="156" w:afterLines="50" w:line="360" w:lineRule="exact"/>
        <w:ind w:left="238"/>
        <w:jc w:val="center"/>
        <w:rPr>
          <w:rFonts w:hint="eastAsia" w:ascii="黑体" w:eastAsia="黑体"/>
          <w:color w:val="auto"/>
          <w:sz w:val="32"/>
          <w:szCs w:val="32"/>
          <w:highlight w:val="none"/>
        </w:rPr>
      </w:pPr>
      <w:r>
        <w:rPr>
          <w:rFonts w:hint="eastAsia" w:ascii="黑体" w:eastAsia="黑体"/>
          <w:color w:val="auto"/>
          <w:sz w:val="32"/>
          <w:szCs w:val="32"/>
          <w:highlight w:val="none"/>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pStyle w:val="5"/>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rPr>
      </w:pPr>
    </w:p>
    <w:p>
      <w:pPr>
        <w:snapToGrid w:val="0"/>
        <w:spacing w:before="156" w:beforeLines="50" w:after="156" w:afterLines="50"/>
        <w:ind w:left="238"/>
        <w:jc w:val="center"/>
        <w:rPr>
          <w:rFonts w:hint="eastAsia" w:ascii="黑体" w:eastAsia="黑体"/>
          <w:color w:val="auto"/>
          <w:sz w:val="36"/>
          <w:szCs w:val="36"/>
          <w:highlight w:val="none"/>
        </w:rPr>
      </w:pPr>
    </w:p>
    <w:p>
      <w:pPr>
        <w:snapToGrid w:val="0"/>
        <w:spacing w:before="156" w:beforeLines="50" w:after="156" w:afterLines="50"/>
        <w:ind w:left="238"/>
        <w:jc w:val="center"/>
        <w:rPr>
          <w:rFonts w:hint="eastAsia" w:ascii="黑体" w:eastAsia="黑体"/>
          <w:color w:val="auto"/>
          <w:sz w:val="36"/>
          <w:szCs w:val="36"/>
          <w:highlight w:val="none"/>
        </w:rPr>
      </w:pPr>
      <w:r>
        <w:rPr>
          <w:rFonts w:hint="eastAsia" w:ascii="仿宋_GB2312" w:eastAsia="仿宋_GB2312"/>
          <w:b/>
          <w:color w:val="auto"/>
          <w:sz w:val="36"/>
          <w:szCs w:val="36"/>
          <w:highlight w:val="none"/>
        </w:rPr>
        <w:t xml:space="preserve">第二章  </w:t>
      </w:r>
      <w:r>
        <w:rPr>
          <w:rFonts w:hint="eastAsia" w:ascii="仿宋_GB2312" w:eastAsia="仿宋_GB2312"/>
          <w:b/>
          <w:bCs/>
          <w:color w:val="auto"/>
          <w:sz w:val="36"/>
          <w:szCs w:val="36"/>
          <w:highlight w:val="none"/>
        </w:rPr>
        <w:t>招</w:t>
      </w:r>
      <w:r>
        <w:rPr>
          <w:rFonts w:hint="eastAsia" w:ascii="仿宋_GB2312" w:eastAsia="仿宋_GB2312"/>
          <w:b/>
          <w:color w:val="auto"/>
          <w:sz w:val="36"/>
          <w:szCs w:val="36"/>
          <w:highlight w:val="none"/>
        </w:rPr>
        <w:t>标项目采购需求</w:t>
      </w:r>
    </w:p>
    <w:p>
      <w:pPr>
        <w:jc w:val="center"/>
        <w:rPr>
          <w:rFonts w:ascii="宋体" w:hAnsi="宋体"/>
          <w:b/>
          <w:dstrike/>
          <w:color w:val="auto"/>
          <w:sz w:val="36"/>
          <w:szCs w:val="36"/>
          <w:highlight w:val="none"/>
        </w:rPr>
      </w:pPr>
      <w:r>
        <w:rPr>
          <w:color w:val="auto"/>
          <w:highlight w:val="none"/>
        </w:rPr>
        <w:br w:type="page"/>
      </w:r>
      <w:r>
        <w:rPr>
          <w:rFonts w:hint="eastAsia" w:ascii="宋体" w:hAnsi="宋体"/>
          <w:b/>
          <w:bCs/>
          <w:color w:val="auto"/>
          <w:sz w:val="36"/>
          <w:szCs w:val="36"/>
          <w:highlight w:val="none"/>
        </w:rPr>
        <w:t>招标项目采购需求</w:t>
      </w:r>
    </w:p>
    <w:p>
      <w:pPr>
        <w:ind w:left="6" w:firstLine="431"/>
        <w:rPr>
          <w:rFonts w:hint="eastAsia" w:ascii="宋体" w:hAnsi="宋体"/>
          <w:b/>
          <w:bCs/>
          <w:color w:val="auto"/>
          <w:szCs w:val="21"/>
          <w:highlight w:val="none"/>
        </w:rPr>
      </w:pP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b/>
          <w:bCs/>
          <w:color w:val="auto"/>
          <w:szCs w:val="21"/>
          <w:highlight w:val="none"/>
          <w:lang w:eastAsia="zh-CN"/>
        </w:rPr>
        <w:t>、</w:t>
      </w:r>
      <w:r>
        <w:rPr>
          <w:rFonts w:hint="eastAsia" w:ascii="宋体" w:hAnsi="宋体"/>
          <w:b/>
          <w:bCs/>
          <w:color w:val="auto"/>
          <w:szCs w:val="21"/>
          <w:highlight w:val="none"/>
        </w:rPr>
        <w:t>本需求的货物品牌型号、技术参数及其性能（配置）仅起参考作用，投标人可选用其他品牌型号替代，但这些替代的产品要实质上相当于或优于参考品牌型号及其技术参数性能（配置）要求。</w:t>
      </w: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2</w:t>
      </w:r>
      <w:r>
        <w:rPr>
          <w:rFonts w:hint="eastAsia" w:ascii="宋体" w:hAnsi="宋体"/>
          <w:b/>
          <w:bCs/>
          <w:color w:val="auto"/>
          <w:szCs w:val="21"/>
          <w:highlight w:val="none"/>
          <w:lang w:eastAsia="zh-CN"/>
        </w:rPr>
        <w:t>、</w:t>
      </w:r>
      <w:r>
        <w:rPr>
          <w:rFonts w:hint="eastAsia" w:ascii="宋体" w:hAnsi="宋体"/>
          <w:b/>
          <w:bCs/>
          <w:color w:val="auto"/>
          <w:szCs w:val="21"/>
          <w:highlight w:val="none"/>
        </w:rPr>
        <w:t>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264" w:lineRule="auto"/>
        <w:ind w:firstLine="420"/>
        <w:rPr>
          <w:rFonts w:hint="eastAsia" w:ascii="宋体" w:hAnsi="宋体"/>
          <w:b/>
          <w:bCs/>
          <w:color w:val="auto"/>
          <w:szCs w:val="21"/>
          <w:highlight w:val="none"/>
        </w:rPr>
      </w:pPr>
      <w:r>
        <w:rPr>
          <w:rFonts w:hint="eastAsia" w:ascii="宋体" w:hAnsi="宋体"/>
          <w:b/>
          <w:bCs/>
          <w:color w:val="auto"/>
          <w:szCs w:val="21"/>
          <w:highlight w:val="none"/>
        </w:rPr>
        <w:t>3</w:t>
      </w:r>
      <w:r>
        <w:rPr>
          <w:rFonts w:hint="eastAsia" w:ascii="宋体" w:hAnsi="宋体"/>
          <w:b/>
          <w:bCs/>
          <w:color w:val="auto"/>
          <w:szCs w:val="21"/>
          <w:highlight w:val="none"/>
          <w:lang w:eastAsia="zh-CN"/>
        </w:rPr>
        <w:t>、</w:t>
      </w:r>
      <w:r>
        <w:rPr>
          <w:rFonts w:hint="eastAsia" w:ascii="宋体" w:hAnsi="宋体"/>
          <w:b/>
          <w:bCs/>
          <w:color w:val="auto"/>
          <w:szCs w:val="21"/>
          <w:highlight w:val="none"/>
        </w:rPr>
        <w:t>主要技术参数及性能（配置）要求中的“≥”和“≤”偏离说明，“≥”：“=”为无偏离，“＞”为正偏离；“＜”为负偏离，“≤”：“=”为无偏离，“＜”为正偏离，“＞”为负偏离。</w:t>
      </w:r>
    </w:p>
    <w:p>
      <w:pPr>
        <w:spacing w:line="264" w:lineRule="auto"/>
        <w:ind w:firstLine="420"/>
        <w:rPr>
          <w:rFonts w:ascii="宋体" w:hAnsi="宋体"/>
          <w:b/>
          <w:bCs/>
          <w:color w:val="auto"/>
          <w:szCs w:val="21"/>
          <w:highlight w:val="none"/>
          <w:lang w:val="en"/>
        </w:rPr>
      </w:pPr>
      <w:r>
        <w:rPr>
          <w:rFonts w:hint="eastAsia" w:ascii="宋体" w:hAnsi="宋体"/>
          <w:b/>
          <w:bCs/>
          <w:color w:val="auto"/>
          <w:szCs w:val="21"/>
          <w:highlight w:val="none"/>
        </w:rPr>
        <w:t>4</w:t>
      </w:r>
      <w:r>
        <w:rPr>
          <w:rFonts w:hint="eastAsia" w:ascii="宋体" w:hAnsi="宋体"/>
          <w:b/>
          <w:bCs/>
          <w:color w:val="auto"/>
          <w:szCs w:val="21"/>
          <w:highlight w:val="none"/>
          <w:lang w:eastAsia="zh-CN"/>
        </w:rPr>
        <w:t>、</w:t>
      </w:r>
      <w:r>
        <w:rPr>
          <w:rFonts w:hint="eastAsia" w:ascii="宋体" w:hAnsi="宋体"/>
          <w:b/>
          <w:bCs/>
          <w:color w:val="auto"/>
          <w:szCs w:val="21"/>
          <w:highlight w:val="none"/>
        </w:rPr>
        <w:t>本一览表“</w:t>
      </w:r>
      <w:r>
        <w:rPr>
          <w:rFonts w:hint="eastAsia" w:ascii="宋体" w:hAnsi="宋体" w:cs="宋体"/>
          <w:b/>
          <w:color w:val="auto"/>
          <w:kern w:val="0"/>
          <w:szCs w:val="21"/>
          <w:highlight w:val="none"/>
        </w:rPr>
        <w:t>主要</w:t>
      </w:r>
      <w:r>
        <w:rPr>
          <w:rFonts w:hint="eastAsia" w:ascii="宋体" w:hAnsi="宋体"/>
          <w:b/>
          <w:bCs/>
          <w:color w:val="auto"/>
          <w:szCs w:val="21"/>
          <w:highlight w:val="none"/>
        </w:rPr>
        <w:t>技术参数及性能（配置）要求”及“商务及其他要求表”中标明“</w:t>
      </w:r>
      <w:r>
        <w:rPr>
          <w:rFonts w:hint="eastAsia" w:ascii="宋体" w:hAnsi="宋体" w:cs="宋体"/>
          <w:color w:val="auto"/>
          <w:kern w:val="0"/>
          <w:szCs w:val="21"/>
          <w:highlight w:val="none"/>
        </w:rPr>
        <w:t>▲</w:t>
      </w:r>
      <w:r>
        <w:rPr>
          <w:rFonts w:hint="eastAsia" w:ascii="宋体" w:hAnsi="宋体"/>
          <w:b/>
          <w:bCs/>
          <w:color w:val="auto"/>
          <w:szCs w:val="21"/>
          <w:highlight w:val="none"/>
        </w:rPr>
        <w:t>”号的参数为必须响应的实质性要求。</w:t>
      </w:r>
      <w:r>
        <w:rPr>
          <w:rFonts w:hint="eastAsia" w:ascii="宋体" w:hAnsi="宋体" w:cs="宋体"/>
          <w:b/>
          <w:bCs/>
          <w:color w:val="auto"/>
          <w:szCs w:val="21"/>
          <w:highlight w:val="none"/>
        </w:rPr>
        <w:t>标记“</w:t>
      </w:r>
      <w:r>
        <w:rPr>
          <w:rFonts w:hint="eastAsia" w:ascii="宋体" w:hAnsi="宋体" w:cs="宋体"/>
          <w:color w:val="auto"/>
          <w:highlight w:val="none"/>
          <w:lang w:val="en"/>
        </w:rPr>
        <w:t>★</w:t>
      </w:r>
      <w:r>
        <w:rPr>
          <w:rFonts w:hint="eastAsia" w:ascii="宋体" w:hAnsi="宋体" w:cs="宋体"/>
          <w:b/>
          <w:bCs/>
          <w:color w:val="auto"/>
          <w:szCs w:val="21"/>
          <w:highlight w:val="none"/>
        </w:rPr>
        <w:t>”的技术参数正偏离作为加分项。</w:t>
      </w:r>
    </w:p>
    <w:p>
      <w:pPr>
        <w:spacing w:line="264" w:lineRule="auto"/>
        <w:ind w:firstLine="420"/>
        <w:rPr>
          <w:rFonts w:hint="eastAsia" w:ascii="宋体" w:hAnsi="宋体"/>
          <w:b/>
          <w:bCs/>
          <w:color w:val="auto"/>
          <w:szCs w:val="21"/>
          <w:highlight w:val="none"/>
        </w:rPr>
      </w:pPr>
      <w:r>
        <w:rPr>
          <w:rFonts w:hint="eastAsia" w:ascii="宋体" w:hAnsi="宋体" w:cs="宋体"/>
          <w:b/>
          <w:bCs/>
          <w:color w:val="auto"/>
          <w:highlight w:val="none"/>
        </w:rPr>
        <w:t>5</w:t>
      </w:r>
      <w:r>
        <w:rPr>
          <w:rFonts w:hint="eastAsia" w:ascii="宋体" w:hAnsi="宋体" w:cs="宋体"/>
          <w:b/>
          <w:bCs/>
          <w:color w:val="auto"/>
          <w:highlight w:val="none"/>
          <w:lang w:eastAsia="zh-CN"/>
        </w:rPr>
        <w:t>、</w:t>
      </w:r>
      <w:r>
        <w:rPr>
          <w:rFonts w:hint="eastAsia" w:ascii="宋体" w:hAnsi="宋体"/>
          <w:b/>
          <w:color w:val="auto"/>
          <w:highlight w:val="none"/>
        </w:rPr>
        <w:t>分标</w:t>
      </w:r>
      <w:r>
        <w:rPr>
          <w:rFonts w:ascii="宋体" w:hAnsi="宋体"/>
          <w:b/>
          <w:color w:val="auto"/>
          <w:highlight w:val="none"/>
          <w:lang w:val="en"/>
        </w:rPr>
        <w:t>1</w:t>
      </w:r>
      <w:r>
        <w:rPr>
          <w:rFonts w:hint="eastAsia" w:ascii="宋体" w:hAnsi="宋体"/>
          <w:b/>
          <w:color w:val="auto"/>
          <w:highlight w:val="none"/>
          <w:lang w:val="en"/>
        </w:rPr>
        <w:t>、</w:t>
      </w:r>
      <w:r>
        <w:rPr>
          <w:rFonts w:hint="eastAsia" w:ascii="宋体" w:hAnsi="宋体"/>
          <w:b/>
          <w:color w:val="auto"/>
          <w:highlight w:val="none"/>
        </w:rPr>
        <w:t>2、3、4</w:t>
      </w:r>
      <w:r>
        <w:rPr>
          <w:rFonts w:hint="eastAsia" w:ascii="宋体" w:hAnsi="宋体"/>
          <w:b/>
          <w:color w:val="auto"/>
          <w:highlight w:val="none"/>
          <w:lang w:eastAsia="zh-CN"/>
        </w:rPr>
        <w:t>、</w:t>
      </w:r>
      <w:r>
        <w:rPr>
          <w:rFonts w:hint="eastAsia" w:ascii="宋体" w:hAnsi="宋体"/>
          <w:b/>
          <w:color w:val="auto"/>
          <w:highlight w:val="none"/>
          <w:lang w:val="en-US" w:eastAsia="zh-CN"/>
        </w:rPr>
        <w:t>5</w:t>
      </w:r>
      <w:r>
        <w:rPr>
          <w:rFonts w:ascii="宋体" w:hAnsi="宋体"/>
          <w:b/>
          <w:bCs/>
          <w:color w:val="auto"/>
          <w:szCs w:val="21"/>
          <w:highlight w:val="none"/>
        </w:rPr>
        <w:t>采购标的对应的中小企业划分标准所属行业为</w:t>
      </w:r>
      <w:r>
        <w:rPr>
          <w:rFonts w:hint="eastAsia" w:ascii="宋体" w:hAnsi="宋体"/>
          <w:b/>
          <w:bCs/>
          <w:color w:val="auto"/>
          <w:szCs w:val="21"/>
          <w:highlight w:val="none"/>
        </w:rPr>
        <w:t>：工业。</w:t>
      </w:r>
    </w:p>
    <w:p>
      <w:pPr>
        <w:spacing w:line="264" w:lineRule="auto"/>
        <w:ind w:firstLine="413" w:firstLineChars="196"/>
        <w:rPr>
          <w:rFonts w:hint="eastAsia" w:ascii="宋体" w:hAnsi="宋体" w:eastAsia="宋体"/>
          <w:b/>
          <w:bCs w:val="0"/>
          <w:color w:val="auto"/>
          <w:highlight w:val="none"/>
          <w:lang w:val="en-US" w:eastAsia="zh-CN"/>
        </w:rPr>
      </w:pPr>
      <w:r>
        <w:rPr>
          <w:rFonts w:hint="eastAsia" w:ascii="宋体" w:hAnsi="宋体"/>
          <w:b/>
          <w:bCs w:val="0"/>
          <w:color w:val="auto"/>
          <w:highlight w:val="none"/>
          <w:lang w:val="en-US" w:eastAsia="zh-CN"/>
        </w:rPr>
        <w:t>6、本项目采购预算：</w:t>
      </w:r>
      <w:r>
        <w:rPr>
          <w:rFonts w:hint="eastAsia"/>
          <w:b/>
          <w:bCs w:val="0"/>
          <w:color w:val="auto"/>
          <w:highlight w:val="none"/>
          <w:lang w:val="en-US" w:eastAsia="zh-CN"/>
        </w:rPr>
        <w:t>6612799.53</w:t>
      </w:r>
      <w:r>
        <w:rPr>
          <w:rFonts w:hint="eastAsia" w:ascii="宋体" w:hAnsi="宋体"/>
          <w:b/>
          <w:bCs w:val="0"/>
          <w:color w:val="auto"/>
          <w:highlight w:val="none"/>
          <w:lang w:val="en-US" w:eastAsia="zh-CN"/>
        </w:rPr>
        <w:t>元。分标1：</w:t>
      </w:r>
      <w:r>
        <w:rPr>
          <w:rFonts w:hint="eastAsia" w:ascii="宋体" w:hAnsi="宋体"/>
          <w:b/>
          <w:bCs w:val="0"/>
          <w:color w:val="auto"/>
          <w:highlight w:val="none"/>
          <w:u w:val="single"/>
          <w:lang w:val="en-US" w:eastAsia="zh-CN"/>
        </w:rPr>
        <w:t>2188690.00</w:t>
      </w:r>
      <w:r>
        <w:rPr>
          <w:rFonts w:hint="eastAsia" w:ascii="宋体" w:hAnsi="宋体"/>
          <w:b/>
          <w:bCs w:val="0"/>
          <w:color w:val="auto"/>
          <w:highlight w:val="none"/>
          <w:lang w:val="en-US" w:eastAsia="zh-CN"/>
        </w:rPr>
        <w:t>元；分标2:</w:t>
      </w:r>
      <w:r>
        <w:rPr>
          <w:rFonts w:hint="eastAsia" w:ascii="宋体" w:hAnsi="宋体"/>
          <w:b/>
          <w:bCs w:val="0"/>
          <w:color w:val="auto"/>
          <w:highlight w:val="none"/>
          <w:u w:val="single"/>
          <w:lang w:val="en-US" w:eastAsia="zh-CN"/>
        </w:rPr>
        <w:t xml:space="preserve"> 973936.00</w:t>
      </w:r>
      <w:r>
        <w:rPr>
          <w:rFonts w:hint="eastAsia" w:ascii="宋体" w:hAnsi="宋体"/>
          <w:b/>
          <w:bCs w:val="0"/>
          <w:color w:val="auto"/>
          <w:highlight w:val="none"/>
          <w:lang w:val="en-US" w:eastAsia="zh-CN"/>
        </w:rPr>
        <w:t>元；分标3：</w:t>
      </w:r>
      <w:r>
        <w:rPr>
          <w:rFonts w:hint="eastAsia" w:ascii="宋体" w:hAnsi="宋体"/>
          <w:b/>
          <w:bCs w:val="0"/>
          <w:color w:val="auto"/>
          <w:highlight w:val="none"/>
          <w:u w:val="single"/>
          <w:lang w:val="en-US" w:eastAsia="zh-CN"/>
        </w:rPr>
        <w:t xml:space="preserve"> 691940.00</w:t>
      </w:r>
      <w:r>
        <w:rPr>
          <w:rFonts w:hint="eastAsia" w:ascii="宋体" w:hAnsi="宋体"/>
          <w:b/>
          <w:bCs w:val="0"/>
          <w:color w:val="auto"/>
          <w:highlight w:val="none"/>
          <w:lang w:val="en-US" w:eastAsia="zh-CN"/>
        </w:rPr>
        <w:t>元；分标4：</w:t>
      </w:r>
      <w:r>
        <w:rPr>
          <w:rFonts w:hint="eastAsia" w:ascii="宋体" w:hAnsi="宋体"/>
          <w:b/>
          <w:bCs w:val="0"/>
          <w:color w:val="auto"/>
          <w:highlight w:val="none"/>
          <w:u w:val="single"/>
          <w:lang w:val="en-US" w:eastAsia="zh-CN"/>
        </w:rPr>
        <w:t>44944</w:t>
      </w:r>
      <w:r>
        <w:rPr>
          <w:rFonts w:hint="default" w:ascii="宋体" w:hAnsi="宋体"/>
          <w:b/>
          <w:bCs w:val="0"/>
          <w:color w:val="auto"/>
          <w:highlight w:val="none"/>
          <w:u w:val="single"/>
          <w:lang w:val="en" w:eastAsia="zh-CN"/>
        </w:rPr>
        <w:t>4</w:t>
      </w:r>
      <w:r>
        <w:rPr>
          <w:rFonts w:hint="eastAsia" w:ascii="宋体" w:hAnsi="宋体"/>
          <w:b/>
          <w:bCs w:val="0"/>
          <w:color w:val="auto"/>
          <w:highlight w:val="none"/>
          <w:u w:val="single"/>
          <w:lang w:val="en-US" w:eastAsia="zh-CN"/>
        </w:rPr>
        <w:t>.</w:t>
      </w:r>
      <w:r>
        <w:rPr>
          <w:rFonts w:hint="default" w:ascii="宋体" w:hAnsi="宋体"/>
          <w:b/>
          <w:bCs w:val="0"/>
          <w:color w:val="auto"/>
          <w:highlight w:val="none"/>
          <w:u w:val="single"/>
          <w:lang w:val="en" w:eastAsia="zh-CN"/>
        </w:rPr>
        <w:t>56</w:t>
      </w:r>
      <w:r>
        <w:rPr>
          <w:rFonts w:hint="eastAsia" w:ascii="宋体" w:hAnsi="宋体"/>
          <w:b/>
          <w:bCs w:val="0"/>
          <w:color w:val="auto"/>
          <w:highlight w:val="none"/>
          <w:lang w:val="en-US" w:eastAsia="zh-CN"/>
        </w:rPr>
        <w:t>元；分标5：</w:t>
      </w:r>
      <w:r>
        <w:rPr>
          <w:rFonts w:hint="eastAsia" w:ascii="宋体" w:hAnsi="宋体"/>
          <w:b/>
          <w:bCs w:val="0"/>
          <w:color w:val="auto"/>
          <w:highlight w:val="none"/>
          <w:u w:val="single"/>
          <w:lang w:val="en-US" w:eastAsia="zh-CN"/>
        </w:rPr>
        <w:t>2308788.97</w:t>
      </w:r>
      <w:r>
        <w:rPr>
          <w:rFonts w:hint="eastAsia" w:ascii="宋体" w:hAnsi="宋体"/>
          <w:b/>
          <w:bCs w:val="0"/>
          <w:color w:val="auto"/>
          <w:highlight w:val="none"/>
          <w:lang w:val="en-US" w:eastAsia="zh-CN"/>
        </w:rPr>
        <w:t>元。</w:t>
      </w:r>
    </w:p>
    <w:p>
      <w:pPr>
        <w:spacing w:line="360" w:lineRule="auto"/>
        <w:ind w:firstLine="413" w:firstLineChars="196"/>
        <w:rPr>
          <w:rFonts w:ascii="宋体" w:hAnsi="Calibri"/>
          <w:b/>
          <w:bCs w:val="0"/>
          <w:color w:val="auto"/>
          <w:highlight w:val="none"/>
        </w:rPr>
      </w:pPr>
      <w:r>
        <w:rPr>
          <w:rFonts w:hint="eastAsia" w:ascii="宋体" w:hAnsi="宋体"/>
          <w:b/>
          <w:bCs w:val="0"/>
          <w:color w:val="auto"/>
          <w:highlight w:val="none"/>
        </w:rPr>
        <w:t>分标</w:t>
      </w:r>
      <w:r>
        <w:rPr>
          <w:rFonts w:ascii="宋体" w:hAnsi="宋体"/>
          <w:b/>
          <w:bCs w:val="0"/>
          <w:color w:val="auto"/>
          <w:highlight w:val="none"/>
          <w:lang w:val="en"/>
        </w:rPr>
        <w:t>1</w:t>
      </w:r>
      <w:r>
        <w:rPr>
          <w:rFonts w:hint="eastAsia" w:ascii="宋体" w:hAnsi="宋体"/>
          <w:b/>
          <w:bCs w:val="0"/>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3D陶瓷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成型尺寸 ≥300×300×400mm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打印技术 液态沉积型 LDM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最小层厚精度 0.2mm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最薄壁厚精度 0.5mm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定位精度 ≤0.0125mm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是否支撑断电续打和暂停续打支持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打印速度 30-150mm/s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机箱结构 封闭式结构（三面亚克力大观察窗）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储料箱 悬挂式</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10</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照明功能 内置照明LED照明</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挤出针头内径 可选: 0.6/0.8/1/1.2/1.5/2/3mm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显示屏幕特性 3.2寸全彩全彩触摸屏，有以下功能按键:选择文件打印、手动移动任何一轴、启动和关闭热风系统，热风温度设置，挤出速度，移动速度等</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highlight w:val="none"/>
                <w:lang w:val="en"/>
              </w:rPr>
              <w:t>★</w:t>
            </w:r>
            <w:r>
              <w:rPr>
                <w:rFonts w:hint="eastAsia" w:ascii="宋体" w:hAnsi="宋体" w:cs="宋体"/>
                <w:color w:val="auto"/>
                <w:sz w:val="21"/>
                <w:szCs w:val="21"/>
                <w:highlight w:val="none"/>
              </w:rPr>
              <w:t>13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中央处理器（CPU） 32位ARM CPU+2560单片机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外储存器 支持SD卡拔插及USB连接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挤出方式 精确可调的安全压力加机加不锈钢耐磨螺杆挤出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恒温系统 附加恒温热风系统（温度可自由设定）加强打印结构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操作系统支持 Windows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文件格式支持 STL、OBJ等3D格式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机器外观表面处理 钣金高温烤漆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20</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机箱</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470 x560 x700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包装</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680 x 590 x 820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温度可设定室温到45度任意设置，热风系统满负荷功率为800瓦，风量平均值23.86CFM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随机附送6公斤白瓷泥，数显无油静音便携式空压机一台， 20个打印针头，三块陶瓷打印板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耗材标准 绿色环保无任何有机物添加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可用耗材 陶泥、瓷泥、紫砂泥、硅橡胶等粘土类碳化硅/凝胶等具有一定流动性、黏性、可塑性的材料；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适用范围 产品开发、一定批量的生产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提供一年质保,保修范围:非人为损坏的故障；</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东文宋体" w:hAnsi="东文宋体" w:eastAsia="东文宋体" w:cs="东文宋体"/>
                <w:color w:val="auto"/>
                <w:sz w:val="21"/>
                <w:szCs w:val="21"/>
                <w:highlight w:val="none"/>
              </w:rPr>
              <w:t>①</w:t>
            </w:r>
            <w:r>
              <w:rPr>
                <w:rFonts w:hint="eastAsia" w:ascii="宋体" w:hAnsi="宋体" w:cs="宋体"/>
                <w:color w:val="auto"/>
                <w:sz w:val="21"/>
                <w:szCs w:val="21"/>
                <w:highlight w:val="none"/>
              </w:rPr>
              <w:t>主机12个月免费售后服务，其包含主机三轴，外框以及电路部件的更换服务；</w:t>
            </w:r>
          </w:p>
          <w:p>
            <w:pPr>
              <w:pStyle w:val="51"/>
              <w:spacing w:line="264" w:lineRule="auto"/>
              <w:ind w:left="0" w:leftChars="0" w:firstLine="0" w:firstLineChars="0"/>
              <w:jc w:val="left"/>
              <w:rPr>
                <w:rFonts w:hint="eastAsia" w:ascii="宋体" w:hAnsi="宋体" w:cs="宋体"/>
                <w:color w:val="auto"/>
                <w:sz w:val="21"/>
                <w:szCs w:val="21"/>
                <w:highlight w:val="none"/>
              </w:rPr>
            </w:pPr>
            <w:r>
              <w:rPr>
                <w:rFonts w:hint="eastAsia" w:ascii="汉仪书宋二S" w:hAnsi="汉仪书宋二S" w:eastAsia="汉仪书宋二S" w:cs="汉仪书宋二S"/>
                <w:color w:val="auto"/>
                <w:sz w:val="21"/>
                <w:szCs w:val="21"/>
                <w:highlight w:val="none"/>
              </w:rPr>
              <w:t>②</w:t>
            </w:r>
            <w:r>
              <w:rPr>
                <w:rFonts w:hint="eastAsia" w:ascii="宋体" w:hAnsi="宋体" w:cs="宋体"/>
                <w:color w:val="auto"/>
                <w:sz w:val="21"/>
                <w:szCs w:val="21"/>
                <w:highlight w:val="none"/>
              </w:rPr>
              <w:t>易损件提供6个月的配件赠送服务；</w:t>
            </w:r>
          </w:p>
          <w:p>
            <w:pPr>
              <w:pStyle w:val="51"/>
              <w:spacing w:line="264" w:lineRule="auto"/>
              <w:ind w:left="0" w:leftChars="0" w:firstLine="0" w:firstLineChars="0"/>
              <w:jc w:val="left"/>
              <w:rPr>
                <w:rFonts w:hint="eastAsia" w:ascii="宋体" w:hAnsi="宋体" w:cs="宋体"/>
                <w:color w:val="auto"/>
                <w:sz w:val="21"/>
                <w:szCs w:val="21"/>
                <w:highlight w:val="none"/>
              </w:rPr>
            </w:pPr>
            <w:r>
              <w:rPr>
                <w:rFonts w:hint="eastAsia" w:ascii="汉仪书宋二S" w:hAnsi="汉仪书宋二S" w:eastAsia="汉仪书宋二S" w:cs="汉仪书宋二S"/>
                <w:color w:val="auto"/>
                <w:sz w:val="21"/>
                <w:szCs w:val="21"/>
                <w:highlight w:val="none"/>
              </w:rPr>
              <w:t>③</w:t>
            </w:r>
            <w:r>
              <w:rPr>
                <w:rFonts w:hint="eastAsia" w:ascii="宋体" w:hAnsi="宋体" w:cs="宋体"/>
                <w:color w:val="auto"/>
                <w:sz w:val="21"/>
                <w:szCs w:val="21"/>
                <w:highlight w:val="none"/>
              </w:rPr>
              <w:t>耗材不在售后要求条款范围内；                                                                                                                                   ▲28</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配套云端三维渲染引擎平台，对3D数据大小在云端进行轻量化、云渲染及三维分享，不需要安装任何客户端。支持多种材质系统和多属性材质，以及各种类型光源与开合动画系统，实现对产品的快速三维渲染和展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▲29</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配备三维模型素材库，提供不低于100个账号免费下载名额。素材库数量不低于1.5万个，涵盖不少于10种类别，素材拥有20个以上特色专题。素材库包含网站及APP</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大型</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光固化</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一、硬件配置</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 w:val="21"/>
                <w:szCs w:val="21"/>
                <w:highlight w:val="none"/>
              </w:rPr>
              <w:t>▲</w:t>
            </w:r>
            <w:r>
              <w:rPr>
                <w:rFonts w:hint="eastAsia" w:ascii="宋体" w:hAnsi="宋体" w:cs="宋体"/>
                <w:color w:val="auto"/>
                <w:szCs w:val="21"/>
                <w:highlight w:val="none"/>
              </w:rPr>
              <w:t>1. 固体激光器：要求采用品牌的风冷固体激光器，波长355nm,功率为≥1500mW（出口功率），光斑直径0.12-0.8mm，脉冲稳定性≤10%，功率稳定性≤6%；</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2. 振镜扫描器：典型扫描速度8-15m/s,最大扫描速度18m/s,增益误差&lt;5mrad;零点漂移&lt;5mrad;跟踪误差&lt;3mrad;重复性&lt;2.2urad；</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 w:val="21"/>
                <w:szCs w:val="21"/>
                <w:highlight w:val="none"/>
              </w:rPr>
              <w:t>▲</w:t>
            </w:r>
            <w:r>
              <w:rPr>
                <w:rFonts w:hint="eastAsia" w:ascii="宋体" w:hAnsi="宋体" w:cs="宋体"/>
                <w:color w:val="auto"/>
                <w:szCs w:val="21"/>
                <w:highlight w:val="none"/>
              </w:rPr>
              <w:t>3. 成型范围：≥800*800*550mm(L×W×H)；</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4. 分层厚度：0.07-0.25mm；</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5. 成型精度： ±0.15mm（L≤100mm）or ±0.15% x L（L&gt;100mm）；</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6. 电气控制系统要求采用上下位机的控制架构，以通过主从式控制方式, 提高控制系统的可靠性、稳定性；电气系统中接有多路滤波器，减少外部EMI信号对设备的影响，同时保证设备本身的EMI的抑制能力；电气系统中电源入口接有漏电保护器，各电源支路都接有熔断器，需要控制大电流都采用接触器控制，提高电气系统的安全性能；</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7. 光斑：具备可变光斑技术及专利，光斑直径0.12-0.8mm，可以识别截面信息，自动在单层截面内切换大小光斑；</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8. 采用前聚焦方式，聚焦镜位于光路模块内部，不暴露于外部，以保证密封性，抵抗外来因素如灰尘杂质等的影响；</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 xml:space="preserve">9. 刮板：要求真空吸附式刮刀并具备专利，保证在全部成型区液面不平度≤0.02mm； </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10. 铸铝型加热板：为避免热气加快导轨、电机等精密部件的腐蚀，向上升起的热气也影响到光学镜片的正常工作等，要求为非热风加热方式，树脂槽加热要求采用电加热板，要求采用双路冗余保护，保证效果和安全性 ；</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11. 具备自动标定功能：采用自动标定技术并具备专利证明，对成型平面不少于1500个点进行位置自动标定，避免手动标定精度及稳定性的缺陷；</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12. 控制方式：工业控制计算机，主频1.6G，内存2G，硬盘500G，带15寸以上显示器；</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13. 要求配套提供使用DPC制作工艺包，用PC机分担工控机的计算量。通过将路径规划、光学参数优化的计算工作放在了安装于PC上的DPC里，使得机器控制软件只用去负责执行规划好的路径，缓解了工控机的计算压力，并使得路径规划更加智能化。可节省客户摸索材料及成型特性的时间，提高客户打件质量；</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14. 功率检测：要求激光功率在线检测，自动匹配扫描速度；</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15. 垂直分辨率：小于或等于0.00125mm；</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16. 重复精度：不大于0.01mm；</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17. 额定输入功率：2.8KVA；</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18. 安全警示：具备三色报警指示灯，具备安全警示标识；</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二、设备软件配置</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设备控制软件：要求设备控制软件具有自主知识产权，全中文界面，要求软件终身免费升级；</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要求具备偏差设置功能，保证做件精度 ，用户可对做件参数进行保存与调用；</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要求具备液位检测\液位补偿：保证液平面精确检测、自动液位补偿；</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要求能实现一键操作，实现刮刀清理/刮刀测试/激光功率检测/自动液位调整/回零；</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软件需具备时间模拟完成时间和剩余时间显示图形化显示加工进度。</w:t>
            </w:r>
          </w:p>
          <w:p>
            <w:pPr>
              <w:pStyle w:val="8"/>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三、附件 提供3D打印仿真实训平台，需包含3D打印单元仿真场景、设备以及典型工作任务，其中仿真场景以全景仿真的手段呈现，体现3D打印实训环境，能够自由漫步仿真场景中，认知设备、完成典型工作任务；主要典型设备依据真实设备参数，进行仿真建模，支持交互操作，点击场景中的关键设备，如三维扫描仪、3D打印机、图形工作站等，可360度旋转，多维度查看设备、学习设备知识，进行互动操作；典型工作任务包括3D打印设备认知及基本操作等；需内置3D打印模型库，涵盖工业制造、器械制造、生活用品、工艺品制造、建筑行业等各领域等至少500种模型数据，包括.stp及.igs等多格式类型，方便学生随时下载，进行创新设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笔记本</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内存：不低于64GB DDR5 4800MHz</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硬盘：不小于2TB</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显卡：不低于RTX 3060 Laptop</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处理器：不低于i7-12700H性能</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显示屏幕：不小于16英寸</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接口：不少于USB-A 3.2 Gen 1x2、雷电4x1、HDMI 2.0x1、3.5mm音频x1SD读卡器x1</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软件平台：配套云端三维渲染引擎平台对3D数据大小在云端进行轻量化、云渲染及三维分享，不需要安装任何客户端。支持多种材质系统和多属性材质，以及各种类型光源与开合动画系统，实现对产品的快速三维渲染和展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电脑主机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内存：不低于64GB</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硬盘：不小于2TB SSD</w:t>
            </w:r>
            <w:r>
              <w:rPr>
                <w:rFonts w:hint="eastAsia" w:ascii="宋体" w:hAnsi="宋体" w:cs="宋体"/>
                <w:color w:val="auto"/>
                <w:szCs w:val="21"/>
                <w:highlight w:val="none"/>
                <w:lang w:eastAsia="zh-CN"/>
              </w:rPr>
              <w:t>；</w:t>
            </w:r>
          </w:p>
          <w:p>
            <w:pPr>
              <w:pStyle w:val="8"/>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显卡：不低于RTX 5080</w:t>
            </w:r>
            <w:r>
              <w:rPr>
                <w:rFonts w:hint="eastAsia" w:ascii="宋体" w:hAnsi="宋体" w:cs="宋体"/>
                <w:color w:val="auto"/>
                <w:szCs w:val="21"/>
                <w:highlight w:val="none"/>
                <w:lang w:eastAsia="zh-CN"/>
              </w:rPr>
              <w:t>；</w:t>
            </w:r>
          </w:p>
          <w:p>
            <w:pPr>
              <w:pStyle w:val="8"/>
              <w:spacing w:line="264" w:lineRule="auto"/>
              <w:ind w:left="0" w:leftChars="0" w:firstLine="0" w:firstLineChars="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处理器：不低于Ultra7 265K性能</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屏幕尺寸：不小于27英寸</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分辨率：不低于2560X1440</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屏幕刷新率：不低于100Hz</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接口：HDMI DP1.4Type-C</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面板技术：IPS技术</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折叠桌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 1200*600*750 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2．材质：</w:t>
            </w:r>
            <w:r>
              <w:rPr>
                <w:rFonts w:hint="eastAsia" w:ascii="宋体" w:hAnsi="宋体" w:cs="宋体"/>
                <w:color w:val="auto"/>
                <w:szCs w:val="21"/>
                <w:highlight w:val="none"/>
              </w:rPr>
              <w:t>桌面采用≧25mm厚，档板≧15mm厚E1级环保型</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钢架：采用可折叠钢制桌架，主管采用≧1.5mm厚壁钢管，连接杆采用≧1.2mm厚圆形冷轧管，书网采用≧1.0mm厚圆形冷轧管，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8"/>
              <w:numPr>
                <w:ilvl w:val="255"/>
                <w:numId w:val="0"/>
              </w:num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4．脚轮：采用优质尼龙静音万向带刹车脚轮，移动杂音小，耐磨性大。</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其中</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板符合GB/T 15102-2017《浸渍胶膜纸饰面纤维板和刨花板》、</w:t>
            </w:r>
            <w:r>
              <w:rPr>
                <w:rFonts w:hint="eastAsia" w:cs="宋体"/>
                <w:color w:val="auto"/>
                <w:szCs w:val="21"/>
                <w:highlight w:val="none"/>
              </w:rPr>
              <w:t>GB/T 39600-2021《人造板及其制品甲醛释放量分级、GB/T 35607-2024《绿色产品评价 家具》和</w:t>
            </w:r>
            <w:r>
              <w:rPr>
                <w:rFonts w:cs="宋体"/>
                <w:color w:val="auto"/>
                <w:szCs w:val="21"/>
                <w:highlight w:val="none"/>
              </w:rPr>
              <w:t>HJ 571-20</w:t>
            </w:r>
            <w:r>
              <w:rPr>
                <w:rFonts w:hint="eastAsia" w:cs="宋体"/>
                <w:color w:val="auto"/>
                <w:szCs w:val="21"/>
                <w:highlight w:val="none"/>
              </w:rPr>
              <w:t>10</w:t>
            </w:r>
            <w:r>
              <w:rPr>
                <w:rFonts w:cs="宋体"/>
                <w:color w:val="auto"/>
                <w:szCs w:val="21"/>
                <w:highlight w:val="none"/>
              </w:rPr>
              <w:t>《环境标志产品技术要求人造板及其制品 》</w:t>
            </w:r>
            <w:r>
              <w:rPr>
                <w:rFonts w:hint="eastAsia" w:cs="宋体"/>
                <w:color w:val="auto"/>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Cs w:val="21"/>
                <w:highlight w:val="none"/>
              </w:rPr>
              <w:t>《家具用封边条技术要求》和GB 28481-2012《塑料家具中有害物质限量》标准要求</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六边桌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1．规格：直径1800mm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，6张单桌随意拼接式；</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szCs w:val="21"/>
                <w:highlight w:val="none"/>
              </w:rPr>
              <w:t>桌面采用≧25mm厚，档板≧15mm厚E1级环保型</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钢架：采用可折叠钢制桌架，主管采用≧1.5mm厚壁钢管，连接杆采用≧1.2mm厚圆形冷轧管，书网采用≧1.0mm厚圆形冷轧管，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8"/>
              <w:numPr>
                <w:ilvl w:val="255"/>
                <w:numId w:val="0"/>
              </w:num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4．脚轮：采用优质尼龙静音万向带刹车脚轮，移动杂音小，耐磨性大。</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szCs w:val="21"/>
                <w:highlight w:val="none"/>
              </w:rPr>
              <w:t>其中</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板符合GB/T 15102-2017《浸渍胶膜纸饰面纤维板和刨花板》、</w:t>
            </w:r>
            <w:r>
              <w:rPr>
                <w:rFonts w:hint="eastAsia" w:cs="宋体"/>
                <w:color w:val="auto"/>
                <w:szCs w:val="21"/>
                <w:highlight w:val="none"/>
              </w:rPr>
              <w:t>GB/T 39600-2021《人造板及其制品甲醛释放量分级、GB/T 35607-2024《绿色产品评价 家具》和</w:t>
            </w:r>
            <w:r>
              <w:rPr>
                <w:rFonts w:cs="宋体"/>
                <w:color w:val="auto"/>
                <w:szCs w:val="21"/>
                <w:highlight w:val="none"/>
              </w:rPr>
              <w:t>HJ 571-20</w:t>
            </w:r>
            <w:r>
              <w:rPr>
                <w:rFonts w:hint="eastAsia" w:cs="宋体"/>
                <w:color w:val="auto"/>
                <w:szCs w:val="21"/>
                <w:highlight w:val="none"/>
              </w:rPr>
              <w:t>10</w:t>
            </w:r>
            <w:r>
              <w:rPr>
                <w:rFonts w:cs="宋体"/>
                <w:color w:val="auto"/>
                <w:szCs w:val="21"/>
                <w:highlight w:val="none"/>
              </w:rPr>
              <w:t>《环境标志产品技术要求人造板及其制品 》</w:t>
            </w:r>
            <w:r>
              <w:rPr>
                <w:rFonts w:hint="eastAsia" w:cs="宋体"/>
                <w:color w:val="auto"/>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Cs w:val="21"/>
                <w:highlight w:val="none"/>
              </w:rPr>
              <w:t>《家具用封边条技术要求》和GB 28481-2012《塑料家具中有害物质限量》标准要求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长条桌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1．规格：长6800*宽1800*高760mm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rPr>
              <w:t xml:space="preserve">； </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2．材质：整体采用国标E1级高密度纤维板，外贴胡桃木皮，实木造型封边，桌面白色烤漆，厚度≧50mm,带滑动式线盒；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2匹空调壁挂式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壁挂式，冷暖型，能效等级一级，制冷量8400W， 制冷功率2548W，制热量8500W，制热功率2249W，内机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尺寸:长1080*高320*宽230， 重</w:t>
            </w:r>
            <w:r>
              <w:rPr>
                <w:rFonts w:hint="eastAsia" w:ascii="宋体" w:hAnsi="宋体" w:cs="宋体"/>
                <w:color w:val="auto"/>
                <w:kern w:val="0"/>
                <w:szCs w:val="21"/>
                <w:highlight w:val="none"/>
                <w:lang w:val="en-US" w:eastAsia="zh-CN"/>
              </w:rPr>
              <w:t>约</w:t>
            </w:r>
            <w:r>
              <w:rPr>
                <w:rFonts w:hint="eastAsia" w:ascii="宋体" w:hAnsi="宋体" w:cs="宋体"/>
                <w:color w:val="auto"/>
                <w:kern w:val="0"/>
                <w:szCs w:val="21"/>
                <w:highlight w:val="none"/>
              </w:rPr>
              <w:t>15.5kg</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外机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尺寸:长833*高655*宽322， 重</w:t>
            </w:r>
            <w:r>
              <w:rPr>
                <w:rFonts w:hint="eastAsia" w:ascii="宋体" w:hAnsi="宋体" w:cs="宋体"/>
                <w:color w:val="auto"/>
                <w:kern w:val="0"/>
                <w:szCs w:val="21"/>
                <w:highlight w:val="none"/>
                <w:lang w:val="en-US" w:eastAsia="zh-CN"/>
              </w:rPr>
              <w:t>约</w:t>
            </w:r>
            <w:r>
              <w:rPr>
                <w:rFonts w:hint="eastAsia" w:ascii="宋体" w:hAnsi="宋体" w:cs="宋体"/>
                <w:color w:val="auto"/>
                <w:kern w:val="0"/>
                <w:szCs w:val="21"/>
                <w:highlight w:val="none"/>
              </w:rPr>
              <w:t>53kg</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5匹空调立柜式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立柜式，冷暖型，能效等级三级，内机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尺寸507x320x1770mm，外机</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尺寸980x790x427mm，外机包装</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尺寸1080x480x842mm，制冷量7350W，制冷功率2300W，制热量8050W，制热功率2480W</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陶艺桌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材质：实木</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木质材质：松木</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款式定位：经济型</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颜色分类：140*60*75实木桌面、板面厚5厘米</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流行元素：原木</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风格：简约现代</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是否带滚轮：否</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桌面是否可调节：是</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是否组装：是</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是否带散：否</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是否可定制：是</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是否可折叠：否</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二步梯櫈</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8"/>
              <w:numPr>
                <w:ilvl w:val="0"/>
                <w:numId w:val="0"/>
              </w:numPr>
              <w:spacing w:line="264" w:lineRule="auto"/>
              <w:ind w:firstLine="0"/>
              <w:rPr>
                <w:color w:val="auto"/>
                <w:highlight w:val="none"/>
              </w:rPr>
            </w:pPr>
            <w:r>
              <w:rPr>
                <w:rFonts w:hint="eastAsia" w:ascii="宋体" w:hAnsi="宋体" w:cs="宋体"/>
                <w:color w:val="auto"/>
                <w:kern w:val="0"/>
                <w:szCs w:val="21"/>
                <w:highlight w:val="none"/>
              </w:rPr>
              <w:t>1．规格：长440*宽510*高660mm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pStyle w:val="8"/>
              <w:spacing w:line="264" w:lineRule="auto"/>
              <w:ind w:firstLine="0"/>
              <w:rPr>
                <w:rFonts w:ascii="宋体" w:hAnsi="宋体" w:cs="宋体"/>
                <w:color w:val="auto"/>
                <w:kern w:val="0"/>
                <w:szCs w:val="21"/>
                <w:highlight w:val="none"/>
              </w:rPr>
            </w:pPr>
            <w:r>
              <w:rPr>
                <w:rFonts w:hint="eastAsia" w:ascii="宋体" w:hAnsi="宋体" w:cs="宋体"/>
                <w:color w:val="auto"/>
                <w:kern w:val="0"/>
                <w:szCs w:val="21"/>
                <w:highlight w:val="none"/>
              </w:rPr>
              <w:t>2．材质：采用加厚PP材质，一体式免安装，可叠加收纳。侧背加强筋，五金加固防滑条，加厚PP材质，承重：≥150kg</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3．颜色：灰色</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打印复印扫描</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一体机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1．输稿器：支持输稿器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2．类型：彩色</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3．最大支持幅面：A3</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4．连接方式：有线，WIFI，USB</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5．扫描功能：馈纸式扫描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6．网络打印：支持有线和无线网络打印</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7．基础功能：打印；复印；扫描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★8．打印速度：≥28页/分钟</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9．纸张输入容量：250页</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10．双面打印：自动双面</w:t>
            </w:r>
            <w:r>
              <w:rPr>
                <w:rFonts w:hint="eastAsia" w:ascii="宋体" w:hAnsi="宋体" w:cs="宋体"/>
                <w:color w:val="auto"/>
                <w:kern w:val="0"/>
                <w:szCs w:val="21"/>
                <w:highlight w:val="none"/>
                <w:lang w:eastAsia="zh-CN"/>
              </w:rPr>
              <w:t>；</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11．端口：WiFi端口；USB；以太网</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雕塑工业重型储货架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尺寸：长200*宽60*高200cm 冷轧钢板，加厚加粗，超强承重，单层承重500kg 防潮抗锈双重酸洗磷化工艺 颜色：环保喷涂哑光黑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27英寸，100Hz，HDMI DP1.4Type-C接口，分辨率：2K2560X1440,</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尺寸：613.2mmX356.7mm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电脑套装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1.处理器：不低于 i9-14900K 速度:3.2GHz；</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2. 内存: 不低于64G；</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 USB 接口数:4个；速度:3.2GHz；</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 显卡:不低于 RTX A5000-24GB；</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5. 显示器屏幕尺寸：不小于27寸；</w:t>
            </w:r>
          </w:p>
          <w:p>
            <w:pPr>
              <w:pStyle w:val="8"/>
              <w:spacing w:line="264" w:lineRule="auto"/>
              <w:ind w:left="0" w:leftChars="0"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6. 硬盘容量：不低于512SSD+2T ；</w:t>
            </w:r>
          </w:p>
          <w:p>
            <w:pPr>
              <w:pStyle w:val="8"/>
              <w:spacing w:line="264"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 系统：不低于Windows 11 家庭中文版</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3D打印机                                                                                                                                                                                       具身智能模型打印机: </w:t>
            </w:r>
          </w:p>
          <w:p>
            <w:pPr>
              <w:pStyle w:val="51"/>
              <w:spacing w:line="264" w:lineRule="auto"/>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w:t>
            </w:r>
            <w:r>
              <w:rPr>
                <w:rFonts w:hint="eastAsia"/>
                <w:color w:val="auto"/>
                <w:highlight w:val="none"/>
                <w:lang w:val="en-US" w:eastAsia="zh-CN"/>
              </w:rPr>
              <w:t>.</w:t>
            </w:r>
            <w:r>
              <w:rPr>
                <w:rFonts w:hint="eastAsia" w:ascii="宋体" w:hAnsi="宋体" w:cs="宋体"/>
                <w:color w:val="auto"/>
                <w:sz w:val="21"/>
                <w:szCs w:val="21"/>
                <w:highlight w:val="none"/>
              </w:rPr>
              <w:t>技术参数 A1,机身打印尺寸: 256 x 256 x 256 mm³,框架: 钢材+铝型材,工具头,热端: 全金属</w:t>
            </w:r>
            <w:r>
              <w:rPr>
                <w:rFonts w:hint="eastAsia" w:ascii="宋体" w:hAnsi="宋体" w:cs="宋体"/>
                <w:color w:val="auto"/>
                <w:sz w:val="21"/>
                <w:szCs w:val="21"/>
                <w:highlight w:val="none"/>
                <w:lang w:val="en-US"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挤出机齿轮: 硬化钢,喷嘴: 不锈钢,喷嘴最高温度: 300 ℃,喷嘴直径（默认自带）: 0.4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喷嘴直径（可选）: 0.2 mm, 0.6 mm, 0.8 mm,工具头切刀: 内置线材直径: 1.75 mm</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热床可支持的打印面板: 纹理 PEI 打印面板,低温打印面板,高温打印面板,纹理+光面PEI打印面板</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热床支持最高温度: 100 ℃,速度:工具头最大移动速度: 500 mm/s,工具头最大移动加速度: 10000 mm/s²</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热端最大流速: 28 mm³/s @ABS（模型: 150*150mm单层外壁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线材: Bambu ABS; 温度: 280℃）,冷却,部件冷却风扇: 闭环控制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热端风扇: 闭环控制</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支持耗材类型</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P</w:t>
            </w:r>
            <w:r>
              <w:rPr>
                <w:rFonts w:hint="eastAsia" w:ascii="宋体" w:hAnsi="宋体" w:cs="宋体"/>
                <w:color w:val="auto"/>
                <w:sz w:val="21"/>
                <w:szCs w:val="21"/>
                <w:highlight w:val="none"/>
              </w:rPr>
              <w:t>LA，PETG，TPU，PVA: 适合打印ABS，ASA，PC，PA，PET，碳/玻璃纤维增强线材: 不推荐</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传感器</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监控摄像头: 低帧率相机 最高 1920 x 1080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支持延时摄影</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断料检测: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线料用量: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断电续打: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缠料检测: 支持</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物理大小</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 xml:space="preserve">产品尺寸: </w:t>
            </w:r>
            <w:r>
              <w:rPr>
                <w:rFonts w:hint="eastAsia" w:ascii="宋体" w:hAnsi="宋体" w:cs="宋体"/>
                <w:color w:val="auto"/>
                <w:sz w:val="21"/>
                <w:szCs w:val="21"/>
                <w:highlight w:val="none"/>
                <w:lang w:eastAsia="zh-CN"/>
              </w:rPr>
              <w:t>约</w:t>
            </w:r>
            <w:r>
              <w:rPr>
                <w:rFonts w:hint="eastAsia" w:ascii="宋体" w:hAnsi="宋体" w:cs="宋体"/>
                <w:color w:val="auto"/>
                <w:sz w:val="21"/>
                <w:szCs w:val="21"/>
                <w:highlight w:val="none"/>
              </w:rPr>
              <w:t>465 x 410 x 430 mm³</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净重: </w:t>
            </w:r>
            <w:r>
              <w:rPr>
                <w:rFonts w:hint="eastAsia" w:ascii="宋体" w:hAnsi="宋体" w:cs="宋体"/>
                <w:color w:val="auto"/>
                <w:sz w:val="21"/>
                <w:szCs w:val="21"/>
                <w:highlight w:val="none"/>
                <w:lang w:eastAsia="zh-CN"/>
              </w:rPr>
              <w:t>约</w:t>
            </w:r>
            <w:r>
              <w:rPr>
                <w:rFonts w:hint="eastAsia" w:ascii="宋体" w:hAnsi="宋体" w:cs="宋体"/>
                <w:color w:val="auto"/>
                <w:sz w:val="21"/>
                <w:szCs w:val="21"/>
                <w:highlight w:val="none"/>
              </w:rPr>
              <w:t>8.3 kg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电气参数</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输入电压: 100-240 VAC, 50/60 Hz</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最大功率: 1300W@220V， 350W@110V</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电子器件</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显示屏: 3.5 英寸 320 x 240  触摸屏</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通讯: Wi-Fi, Bambu-Bus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存储: Micro SD卡</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操作界面: 触摸屏，手机端 APP，电脑端应用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运动控制器: 双核 Cortex-M4 处理器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软件</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切片软件: Bambu Studio 支持其他可导出标准 G 代码的第三方切片机，如 SuperSlicer，PrusaSlicer 和 Cura，但部分智能功能可能不支持。</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切片软件可支持操作系统: MacOS, Windows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无线网络</w:t>
            </w:r>
          </w:p>
          <w:p>
            <w:pPr>
              <w:pStyle w:val="51"/>
              <w:numPr>
                <w:ilvl w:val="-1"/>
                <w:numId w:val="0"/>
              </w:numPr>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 xml:space="preserve">频率范围: 2412 MHz - 2472 MHz (CE) </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2412 MHz - 2462 MHz (FCC)</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2400 MHz - 2483.5 MHz (SRRC)</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发射功率（EIRP）: ≤ 21.5 dBm (FCC) ≤ 20 dBm (CE/SRRC)</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协议: IEEE 802.11 b/g/n</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耗材：</w:t>
            </w:r>
          </w:p>
          <w:p>
            <w:pPr>
              <w:pStyle w:val="51"/>
              <w:numPr>
                <w:ilvl w:val="-1"/>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适用上述3D打印机PLA Basic高速打印耗材家用多色高速机器BambuLab非原装1kg线径1.75mm韧性线材CMYK1716,玉石白1kg【含料盘PLA】,黑色1kg【含料盘PLA】,灰色1kg【含料盘PLA】,银色1kg【含料盘PLA】,红色1kg【含料盘PLA】,黄色1kg【含料盘PLA】,蓝色1kg【含料盘PLA】,绿色1kg【含料盘PLA】,木色1kg【含料盘PLA】,青色1kg【含料盘PLA】,肤色1kg【含料盘PLA】,透明色1kg【含料盘PLA】,咖啡色1kg【含料盘PLA】,浅蓝色1kg【含料盘PLA】,浅绿色1kg【含料盘PLA】,玫红色1kg【含料盘PLA】 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色一套，共15套</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整机原厂保修1年</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中标签订合同后须提供原厂售后服务承诺函(原厂售后服务承诺函应包含产品序列号、保修期、400电话等信息)</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三维</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ind w:firstLine="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手持三维扫描仪                                                                                                                                                                                                  1.电源输入：14.4V</w:t>
            </w:r>
            <w:r>
              <w:rPr>
                <w:rFonts w:hint="eastAsia" w:ascii="宋体" w:hAnsi="宋体" w:cs="宋体"/>
                <w:color w:val="auto"/>
                <w:szCs w:val="21"/>
                <w:highlight w:val="none"/>
                <w:lang w:eastAsia="zh-CN"/>
              </w:rPr>
              <w:t>；</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2.产品外壳：航空铝</w:t>
            </w:r>
            <w:r>
              <w:rPr>
                <w:rFonts w:hint="eastAsia" w:ascii="宋体" w:hAnsi="宋体" w:cs="宋体"/>
                <w:color w:val="auto"/>
                <w:szCs w:val="21"/>
                <w:highlight w:val="none"/>
                <w:lang w:eastAsia="zh-CN"/>
              </w:rPr>
              <w:t>；</w:t>
            </w:r>
          </w:p>
          <w:p>
            <w:pPr>
              <w:pStyle w:val="8"/>
              <w:ind w:firstLine="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rPr>
              <w:t>3.功率＜20W</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4.供电方式：弹夹电池/外部供电</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参考</w:t>
            </w:r>
            <w:r>
              <w:rPr>
                <w:rFonts w:hint="eastAsia" w:ascii="宋体" w:hAnsi="宋体" w:cs="宋体"/>
                <w:color w:val="auto"/>
                <w:szCs w:val="21"/>
                <w:highlight w:val="none"/>
              </w:rPr>
              <w:t>重量：760g（不带电池），1073g（带电池）</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6.总工作时长：1.5小时</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7.数据接口：USB3.1 Gen2</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8.电池容量：1900mAh</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9.内部存储：TF卡 256G（可替换）</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10.相机数量：4</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11.无线连接：WIFI/蓝牙</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12.视觉辅助定位：支持</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13.工作温度：-20℃~+50℃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14.APP WIFI 距离20m</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15.防护等级：IP54</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16.RTK 模块：支持</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17.扫描性能：激光线数：40线</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18.激光等级：Class/905nm</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rPr>
              <w:t>19.相对精度：1.2cm</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20.绝对精度：3cm</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21.重复精度：2cm</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22.水平度精度：0.015°</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23.扫描距离：0.1m~40m@10%，70m@80%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24.视角范围：360°*-7~+52°</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25.扫描方式：移动式</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26.点云频率：20万点/s</w:t>
            </w:r>
            <w:r>
              <w:rPr>
                <w:rFonts w:hint="eastAsia" w:ascii="宋体" w:hAnsi="宋体" w:cs="宋体"/>
                <w:color w:val="auto"/>
                <w:szCs w:val="21"/>
                <w:highlight w:val="none"/>
                <w:lang w:eastAsia="zh-CN"/>
              </w:rPr>
              <w:t>；</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27.断点续扫：支持 </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28.数据及存储：解算方式实时解算/混合解算</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rPr>
              <w:t>29.解算软件：L Studio PC端后处理软件</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30.点云格式：.Las</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31.实时彩色点云：支持</w:t>
            </w:r>
            <w:r>
              <w:rPr>
                <w:rFonts w:hint="eastAsia" w:ascii="宋体" w:hAnsi="宋体" w:cs="宋体"/>
                <w:color w:val="auto"/>
                <w:szCs w:val="21"/>
                <w:highlight w:val="none"/>
                <w:lang w:eastAsia="zh-CN"/>
              </w:rPr>
              <w:t>；</w:t>
            </w:r>
          </w:p>
          <w:p>
            <w:pPr>
              <w:pStyle w:val="8"/>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32.视觉模块：相机场视角</w:t>
            </w:r>
            <w:r>
              <w:rPr>
                <w:rFonts w:hint="eastAsia" w:ascii="宋体" w:hAnsi="宋体" w:cs="宋体"/>
                <w:color w:val="auto"/>
                <w:szCs w:val="21"/>
                <w:highlight w:val="none"/>
                <w:lang w:eastAsia="zh-CN"/>
              </w:rPr>
              <w:t>；</w:t>
            </w:r>
          </w:p>
          <w:p>
            <w:pPr>
              <w:pStyle w:val="8"/>
              <w:ind w:firstLine="0"/>
              <w:rPr>
                <w:rFonts w:hint="eastAsia" w:ascii="宋体" w:hAnsi="宋体" w:cs="宋体"/>
                <w:color w:val="auto"/>
                <w:szCs w:val="21"/>
                <w:highlight w:val="none"/>
              </w:rPr>
            </w:pPr>
            <w:r>
              <w:rPr>
                <w:rFonts w:hint="eastAsia" w:ascii="宋体" w:hAnsi="宋体" w:cs="宋体"/>
                <w:color w:val="auto"/>
                <w:szCs w:val="21"/>
                <w:highlight w:val="none"/>
              </w:rPr>
              <w:t>33.彩色全景HDV 360*360°</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pPr>
              <w:pStyle w:val="8"/>
              <w:ind w:firstLine="0" w:firstLineChars="0"/>
              <w:jc w:val="left"/>
              <w:rPr>
                <w:rFonts w:hint="eastAsia" w:ascii="宋体" w:hAnsi="宋体" w:cs="宋体"/>
                <w:color w:val="auto"/>
                <w:szCs w:val="21"/>
                <w:highlight w:val="none"/>
                <w:lang w:eastAsia="zh-CN"/>
              </w:rPr>
            </w:pPr>
            <w:r>
              <w:rPr>
                <w:rFonts w:hint="eastAsia" w:ascii="宋体" w:hAnsi="宋体" w:cs="宋体"/>
                <w:color w:val="auto"/>
                <w:szCs w:val="21"/>
                <w:highlight w:val="none"/>
              </w:rPr>
              <w:t>34.相机分辨率：5600万</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35.支持手机APP和PC端后处理软件</w:t>
            </w:r>
            <w:r>
              <w:rPr>
                <w:rFonts w:hint="eastAsia" w:ascii="宋体" w:hAnsi="宋体" w:cs="宋体"/>
                <w:color w:val="auto"/>
                <w:szCs w:val="21"/>
                <w:highlight w:val="none"/>
                <w:lang w:eastAsia="zh-CN"/>
              </w:rPr>
              <w:t>；</w:t>
            </w:r>
          </w:p>
          <w:p>
            <w:pPr>
              <w:pStyle w:val="8"/>
              <w:ind w:firstLine="0" w:firstLineChars="0"/>
              <w:jc w:val="left"/>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工业级高精度手持式彩色纹理人体立体逆向建模测绘三维激光扫描仪器设备抄数机Scanner。</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1.扫描模式：手持快速扫描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2.扫描仪</w:t>
            </w:r>
            <w:r>
              <w:rPr>
                <w:rFonts w:hint="eastAsia" w:ascii="宋体" w:hAnsi="宋体" w:cs="宋体"/>
                <w:color w:val="auto"/>
                <w:kern w:val="0"/>
                <w:szCs w:val="21"/>
                <w:highlight w:val="none"/>
                <w:lang w:val="en-US" w:eastAsia="zh-CN"/>
              </w:rPr>
              <w:t>参考</w:t>
            </w:r>
            <w:r>
              <w:rPr>
                <w:rFonts w:hint="eastAsia" w:ascii="宋体" w:hAnsi="宋体" w:cs="宋体"/>
                <w:color w:val="auto"/>
                <w:kern w:val="0"/>
                <w:szCs w:val="21"/>
                <w:highlight w:val="none"/>
              </w:rPr>
              <w:t>尺寸及重量：140×94×258mm—850g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3.扫描范围：580×550mm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4.输出格式：OBJ,STL,PLY,ASC,SK</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光源：种类：红外vcsel结构光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可见性：不可见光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安全性：Class1级别LASER(人眼安全)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技术性：组合阵列结构光扫描技术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9</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彩色扫描：支持；</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扫描特征：不贴点扫描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特征拼接、纹理拼接、混合拼接</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人像扫描专属：支持无光扫描、头发扫描、暗黑环境扫描，自动去除人体晃动叠层</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理想扫描距离:350-550 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中大型物品：超远扫描距离(有效):280-1000mm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扫描优化：扫描范围:580x550mm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速度：最大扫描速度1.500,000点/秒</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精细度：点间距0.2 - 3 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精度：点精度(单帧)最高0.1mm、拼接精度最高0.3 mm/m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18</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数据输出：输出格式OBJ, STL, PLY ,ASC,SK</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是否支持3D打印：是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硬件：工作环境温度0-40℃C、21、接口方式USB 3.0、22、扫描仪重量850g、23、扫描仪尺寸140x94x258 mm、构造3组不可见光发射光源、3个相机组、3组补光灯集于一体机身</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21.</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中标签订合同后须提供原厂售后服务承诺函(原厂售后服务承诺函应包含产品序列号、保修期、400电话等信息)。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3D打印机1</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高精度陶瓷3D打印机及耗材:</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1.支持文件格式：stl、obj、GCODE等常见3D建模格式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2.成形空间：120*120*120mm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3.喷头直径：0.3-86mm，提供多种针头可替换</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4.切片软件：slic3r或者cura</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5.系统固件：Marlin</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6.支持耗材：粘土等诸多黏滞流体、浆料、酱料、凝胶、面料等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7.控制系统：支持win、Liuux，用户可自行拓展wifi、蓝牙和断电续打等功能</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8.上位机软件：Repetier或其他开源软件</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9.通信方式：USB2.0/3.0，可另外购买LCD屏实现SD卡脱机操作（整机套餐有带）</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10.耗材：</w:t>
            </w:r>
          </w:p>
          <w:p>
            <w:pPr>
              <w:pStyle w:val="8"/>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.类陶瓷红蜡光敏树脂高精度 LCD/DLP3D打印光固化耗材哑光树脂竹山10件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.锦朝MD8100真陶瓷红蜡光敏树脂高精度高质感LCD/DLP3D打印光固化（白、红各10件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.3D打印机耗材 PLA 大理石 石头 陶瓷材料 1.75MM 石质 打印料线（灰色、白色各10件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3D打印机2</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strike/>
                <w:color w:val="auto"/>
                <w:kern w:val="0"/>
                <w:szCs w:val="21"/>
                <w:highlight w:val="none"/>
              </w:rPr>
            </w:pPr>
            <w:r>
              <w:rPr>
                <w:rFonts w:hint="eastAsia" w:ascii="宋体" w:hAnsi="宋体" w:cs="宋体"/>
                <w:color w:val="auto"/>
                <w:kern w:val="0"/>
                <w:szCs w:val="21"/>
                <w:highlight w:val="none"/>
              </w:rPr>
              <w:t>1.类型 3D打印</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2.接口类型 SD卡脱机打印</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3.打印速度 0~100mm/s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4.分类类别 准工业级</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5.附加功能 断电续打,出错报警,自动关机</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6.版本类型 中国大陆</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7.耗材类型 陶泥材料,陶瓷材料、大漆等软质材料</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8.是否整装 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9.尺寸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 xml:space="preserve"> 650x585x1455mm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10.喷头数量 单喷头</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11.打印范围:</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300mmx300mmx400mm(高)</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12.喷头规格:</w:t>
            </w:r>
            <w:r>
              <w:rPr>
                <w:rFonts w:hint="eastAsia" w:ascii="宋体" w:hAnsi="宋体" w:cs="宋体"/>
                <w:color w:val="auto"/>
                <w:kern w:val="0"/>
                <w:szCs w:val="21"/>
                <w:highlight w:val="none"/>
                <w:lang w:eastAsia="zh-CN"/>
              </w:rPr>
              <w:t>1.0mm---3.0mm</w:t>
            </w:r>
            <w:r>
              <w:rPr>
                <w:rFonts w:hint="eastAsia"/>
                <w:color w:val="auto"/>
                <w:highlight w:val="none"/>
                <w:lang w:eastAsia="zh-CN"/>
              </w:rPr>
              <w:t>提供多种针头可替换；</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13.成型层厚:0.2mm~1.5mm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14.机械精度:0.011mm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15.操作界面:3.5寸彩色触摸屏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16.断电续打:支持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17.自动关机:打完15分钟后无操作自动关机</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18.保护措施:关机后自动切断气源并且2秒内卸除压力</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19.安全措施:机器正面带红色紧急按钮，保证安全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20.断料警报:断料时自动检测并报警，加料后可继续打印</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21.温度控制:打印室内热风整体加热可达80度，温度差士2°</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非单一加热平台</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22.挤出控制:远端空压送料，近端螺杆精确控制喷头流量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两者协调配合，即走即停，出料无延迟、无遗漏平台结构:采用平台沉降结构更稳定，喷头组件采用全金属结构</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不含3D打印或者塑料材质零件</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23.文件格式:STL、OBJ</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24.电源要求:AC100V-AC240V 50Hz/60HZ</w:t>
            </w:r>
            <w:r>
              <w:rPr>
                <w:rFonts w:hint="eastAsia" w:ascii="宋体" w:hAnsi="宋体" w:cs="宋体"/>
                <w:color w:val="auto"/>
                <w:kern w:val="0"/>
                <w:szCs w:val="21"/>
                <w:highlight w:val="none"/>
                <w:lang w:eastAsia="zh-CN"/>
              </w:rPr>
              <w:t>；</w:t>
            </w:r>
          </w:p>
          <w:p>
            <w:pPr>
              <w:pStyle w:val="8"/>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25.支持系统:WindowsXP、Win7、Win8</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26.质保：</w:t>
            </w:r>
            <w:r>
              <w:rPr>
                <w:rFonts w:hint="eastAsia" w:ascii="宋体" w:hAnsi="宋体" w:cs="宋体"/>
                <w:color w:val="auto"/>
                <w:szCs w:val="21"/>
                <w:highlight w:val="none"/>
              </w:rPr>
              <w:t>整机原厂保修1年，中标签订合同后须提供原厂售后服务承诺函(原厂售后服务承诺函应包含产品序列号、保修期、400电话等信息)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rPr>
              <w:t xml:space="preserve">                                                        27.耗材：</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.类陶瓷红蜡光敏树脂高精度 LCD/DLP3D打印光固化耗材哑光树脂竹山10件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.锦朝MD8100真陶瓷红蜡光敏树脂高精度高质感LCD/DLP3D打印光固化（白、红各10件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.3D打印机耗材 PLA 大理石 石头 陶瓷材料 1.75MM 石质 打印料线（灰色、白色各10件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1000g/件）；</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料桶规格:5.0L不锈钢材质，赠送0.5L塑料料桶</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3d打印机3</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工业级大尺寸SLM激光粉末烧结金属3d打印机及耗材</w:t>
            </w:r>
          </w:p>
          <w:p>
            <w:pPr>
              <w:pStyle w:val="8"/>
              <w:numPr>
                <w:ilvl w:val="-1"/>
                <w:numId w:val="0"/>
              </w:numPr>
              <w:spacing w:line="264" w:lineRule="auto"/>
              <w:ind w:firstLine="0"/>
              <w:rPr>
                <w:rFonts w:hint="eastAsia" w:ascii="宋体" w:hAnsi="宋体" w:cs="宋体"/>
                <w:color w:val="auto"/>
                <w:kern w:val="0"/>
                <w:szCs w:val="21"/>
                <w:highlight w:val="none"/>
                <w14:ligatures w14:val="standardContextual"/>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激光器：光纤激光器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14:ligatures w14:val="standardContextual"/>
              </w:rPr>
              <w:t>准直输出，QBH对接头</w:t>
            </w:r>
            <w:r>
              <w:rPr>
                <w:rFonts w:hint="eastAsia" w:ascii="宋体" w:hAnsi="宋体" w:cs="宋体"/>
                <w:color w:val="auto"/>
                <w:kern w:val="0"/>
                <w:szCs w:val="21"/>
                <w:highlight w:val="none"/>
                <w:lang w:eastAsia="zh-CN"/>
                <w14:ligatures w14:val="standardContextual"/>
              </w:rPr>
              <w:t>；</w:t>
            </w:r>
          </w:p>
          <w:p>
            <w:pPr>
              <w:pStyle w:val="8"/>
              <w:numPr>
                <w:ilvl w:val="-1"/>
                <w:numId w:val="0"/>
              </w:numPr>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cs="宋体"/>
                <w:color w:val="auto"/>
                <w:kern w:val="0"/>
                <w:szCs w:val="21"/>
                <w:highlight w:val="none"/>
                <w:lang w:val="en-US" w:eastAsia="zh-CN"/>
                <w14:ligatures w14:val="standardContextual"/>
              </w:rPr>
              <w:t>2.</w:t>
            </w:r>
            <w:r>
              <w:rPr>
                <w:rFonts w:hint="eastAsia" w:ascii="宋体" w:hAnsi="宋体" w:cs="宋体"/>
                <w:color w:val="auto"/>
                <w:kern w:val="0"/>
                <w:szCs w:val="21"/>
                <w:highlight w:val="none"/>
                <w14:ligatures w14:val="standardContextual"/>
              </w:rPr>
              <w:t>理论光斑大小：≥20μm</w:t>
            </w:r>
            <w:r>
              <w:rPr>
                <w:rFonts w:hint="eastAsia" w:ascii="宋体" w:hAnsi="宋体" w:cs="宋体"/>
                <w:color w:val="auto"/>
                <w:kern w:val="0"/>
                <w:szCs w:val="21"/>
                <w:highlight w:val="none"/>
                <w:lang w:eastAsia="zh-CN"/>
                <w14:ligatures w14:val="standardContextual"/>
              </w:rPr>
              <w:t>；</w:t>
            </w:r>
          </w:p>
          <w:p>
            <w:pPr>
              <w:pStyle w:val="8"/>
              <w:numPr>
                <w:ilvl w:val="0"/>
                <w:numId w:val="0"/>
              </w:numPr>
              <w:spacing w:line="264" w:lineRule="auto"/>
              <w:rPr>
                <w:rFonts w:hint="eastAsia" w:ascii="宋体" w:hAnsi="宋体" w:eastAsia="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3.分层厚度：10-50微米</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4.激光波长：1060～1080nm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5.激光器寿命：≥100000h</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6.激光器输出功率范围：10%-100%</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.扫描系统：</w:t>
            </w:r>
            <w:r>
              <w:rPr>
                <w:rFonts w:hint="eastAsia" w:ascii="宋体" w:hAnsi="宋体" w:cs="宋体"/>
                <w:color w:val="auto"/>
                <w:kern w:val="0"/>
                <w:szCs w:val="21"/>
                <w:highlight w:val="none"/>
                <w14:ligatures w14:val="standardContextual"/>
              </w:rPr>
              <w:t>采用高精度扫描系统</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14:ligatures w14:val="standardContextual"/>
              </w:rPr>
              <w:t>8.</w:t>
            </w:r>
            <w:r>
              <w:rPr>
                <w:rFonts w:hint="eastAsia" w:ascii="宋体" w:hAnsi="宋体" w:cs="宋体"/>
                <w:color w:val="auto"/>
                <w:kern w:val="0"/>
                <w:szCs w:val="21"/>
                <w:highlight w:val="none"/>
              </w:rPr>
              <w:t>高精度扫描振镜</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14:ligatures w14:val="standardContextual"/>
              </w:rPr>
              <w:t>扫描速度最高2m/s</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9.扫描振镜：位移速度最高7m/s</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10.扫描镜头：恒温补偿校准，新风保护装置实时保护镜片无污染</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11.聚焦镜：采用场镜聚焦</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12.成型速度：2-10cm³/H</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13.成型精度：≤±0.1mm（L≤100 mm）；≤±0.1%×Lmm（L＞100 mm）</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14.操作系统：Windows10</w:t>
            </w:r>
            <w:r>
              <w:rPr>
                <w:rFonts w:hint="eastAsia" w:ascii="宋体" w:hAnsi="宋体" w:cs="宋体"/>
                <w:color w:val="auto"/>
                <w:kern w:val="0"/>
                <w:szCs w:val="21"/>
                <w:highlight w:val="none"/>
                <w:lang w:val="en-US" w:eastAsia="zh-CN"/>
                <w14:ligatures w14:val="standardContextual"/>
              </w:rPr>
              <w:t xml:space="preserve"> </w:t>
            </w:r>
            <w:r>
              <w:rPr>
                <w:rFonts w:hint="eastAsia" w:ascii="宋体" w:hAnsi="宋体" w:cs="宋体"/>
                <w:color w:val="auto"/>
                <w:kern w:val="0"/>
                <w:szCs w:val="21"/>
                <w:highlight w:val="none"/>
                <w14:ligatures w14:val="standardContextual"/>
              </w:rPr>
              <w:t>64位或以上</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15.数据格式：STL文件或其它可转换格式</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16.控制软件：自主研发控制和路径规划软件系统，开源式可操作系统。支持对模型进行分层切片加支撑等。可显示当前成型周期进程（成型总高度、总层数、当前加工层、加工所需时间、开始加工时间、已加工时间）、成型所需粉料高度等参数</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17.智能控制：支持无人值守自动化运行打印，CAD三维数据直接上机，无需软件多次转化等待</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18.软件操作界面：14寸平面液晶显示器，人性化操作台，简洁友好的界面、易学易懂</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19.电源及功率：220V  50/60Hz 20A 1KW</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20.电控系统：具有PLC数字显示控制系统及总成</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21.手/自动控制：设自动控制和手工控制功能，能够自由进行切换</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22.应急控制：在遇到停电、紧急停机或其他故障时，具备自我保护措施，设备具备自诊断功能、安全防护和故障自动报警及数据记录功能</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23.环境温度：设备在环境温度10～26℃；相对湿度≤65%的工作环境下24小时长期稳定工作</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24.成型腔保护气体：无需保护气体</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.成型</w:t>
            </w:r>
            <w:r>
              <w:rPr>
                <w:rFonts w:hint="eastAsia" w:ascii="宋体" w:hAnsi="宋体" w:cs="宋体"/>
                <w:color w:val="auto"/>
                <w:kern w:val="0"/>
                <w:szCs w:val="21"/>
                <w:highlight w:val="none"/>
                <w14:ligatures w14:val="standardContextual"/>
              </w:rPr>
              <w:t>腔</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14:ligatures w14:val="standardContextual"/>
              </w:rPr>
              <w:t>Φ</w:t>
            </w:r>
            <w:r>
              <w:rPr>
                <w:rFonts w:hint="eastAsia" w:ascii="宋体" w:hAnsi="宋体" w:cs="宋体"/>
                <w:color w:val="auto"/>
                <w:kern w:val="0"/>
                <w:szCs w:val="21"/>
                <w:highlight w:val="none"/>
              </w:rPr>
              <w:t>70x50</w:t>
            </w:r>
            <w:r>
              <w:rPr>
                <w:rFonts w:hint="eastAsia" w:ascii="宋体" w:hAnsi="宋体" w:cs="宋体"/>
                <w:color w:val="auto"/>
                <w:kern w:val="0"/>
                <w:szCs w:val="21"/>
                <w:highlight w:val="none"/>
                <w:lang w:val="en-US" w:eastAsia="zh-CN"/>
              </w:rPr>
              <w:t>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26</w:t>
            </w:r>
            <w:r>
              <w:rPr>
                <w:rFonts w:hint="eastAsia" w:ascii="宋体" w:hAnsi="宋体" w:cs="宋体"/>
                <w:color w:val="auto"/>
                <w:kern w:val="0"/>
                <w:szCs w:val="21"/>
                <w:highlight w:val="none"/>
              </w:rPr>
              <w:t>.外形尺寸：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27.工件托盘承重：≥100kg</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eastAsia="宋体" w:cs="宋体"/>
                <w:color w:val="auto"/>
                <w:kern w:val="0"/>
                <w:szCs w:val="21"/>
                <w:highlight w:val="none"/>
                <w:lang w:eastAsia="zh-CN"/>
                <w14:ligatures w14:val="standardContextual"/>
              </w:rPr>
            </w:pPr>
            <w:r>
              <w:rPr>
                <w:rFonts w:hint="eastAsia" w:ascii="宋体" w:hAnsi="宋体" w:cs="宋体"/>
                <w:color w:val="auto"/>
                <w:kern w:val="0"/>
                <w:szCs w:val="21"/>
                <w:highlight w:val="none"/>
                <w14:ligatures w14:val="standardContextual"/>
              </w:rPr>
              <w:t>28.铺粉方式：单向柔性刮刀铺粉</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29.Z轴重复定位精度：±10μm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30.粉缸容积：540cm³</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31.铺粉厚度：10~50μm</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32.成型腔清理材料：支持雷佳专用合金材料，设人性化全弹出式活塞系统，更换粉末更方便更彻底</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33.安全系统：设备设有急停按钮，设备出现异常情况时可使设备硬件系统立即自动停止运行</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34.激光器冷却方式：风冷。温控精度：±0.5℃</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35.安全锁：成型舱设有安全锁，设备正常运行时舱门受保护不能打开</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36</w:t>
            </w:r>
            <w:r>
              <w:rPr>
                <w:rFonts w:hint="eastAsia" w:ascii="宋体" w:hAnsi="宋体" w:cs="宋体"/>
                <w:color w:val="auto"/>
                <w:kern w:val="0"/>
                <w:szCs w:val="21"/>
                <w:highlight w:val="none"/>
              </w:rPr>
              <w:t>.供</w:t>
            </w:r>
            <w:r>
              <w:rPr>
                <w:rFonts w:hint="eastAsia" w:ascii="宋体" w:hAnsi="宋体" w:cs="宋体"/>
                <w:color w:val="auto"/>
                <w:kern w:val="0"/>
                <w:szCs w:val="21"/>
                <w:highlight w:val="none"/>
                <w14:ligatures w14:val="standardContextual"/>
              </w:rPr>
              <w:t>料</w:t>
            </w:r>
            <w:r>
              <w:rPr>
                <w:rFonts w:hint="eastAsia" w:ascii="宋体" w:hAnsi="宋体" w:cs="宋体"/>
                <w:color w:val="auto"/>
                <w:kern w:val="0"/>
                <w:szCs w:val="21"/>
                <w:highlight w:val="none"/>
              </w:rPr>
              <w:t xml:space="preserve">方式：双缸单向送粉 </w:t>
            </w:r>
            <w:r>
              <w:rPr>
                <w:rFonts w:hint="eastAsia" w:ascii="宋体" w:hAnsi="宋体" w:cs="宋体"/>
                <w:color w:val="auto"/>
                <w:kern w:val="0"/>
                <w:szCs w:val="21"/>
                <w:highlight w:val="none"/>
                <w:lang w:eastAsia="zh-CN"/>
              </w:rPr>
              <w:t>；</w:t>
            </w:r>
          </w:p>
          <w:p>
            <w:pPr>
              <w:rPr>
                <w:color w:val="auto"/>
                <w:highlight w:val="none"/>
              </w:rPr>
            </w:pPr>
            <w:r>
              <w:rPr>
                <w:rFonts w:hint="eastAsia" w:ascii="宋体" w:hAnsi="宋体" w:cs="宋体"/>
                <w:color w:val="auto"/>
                <w:kern w:val="0"/>
                <w:szCs w:val="21"/>
                <w:highlight w:val="none"/>
                <w14:ligatures w14:val="standardContextual"/>
              </w:rPr>
              <w:t>37.供粉方式：精密丝杆上送粉</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38.收粉方式：采用快拆式下落式粉缸</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39.高精密过滤系统：过滤精度0.1µm，配置单级高效过滤器，零件生产过程中所产生的烟尘得到有效过滤，成型腔体内部气氛得到稳定长效的保障</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14:ligatures w14:val="standardContextual"/>
              </w:rPr>
              <w:t>40.过滤排放等级：H13级</w:t>
            </w:r>
            <w:r>
              <w:rPr>
                <w:rFonts w:hint="eastAsia" w:ascii="宋体" w:hAnsi="宋体" w:cs="宋体"/>
                <w:color w:val="auto"/>
                <w:kern w:val="0"/>
                <w:szCs w:val="21"/>
                <w:highlight w:val="none"/>
                <w:lang w:eastAsia="zh-CN"/>
                <w14:ligatures w14:val="standardContextual"/>
              </w:rPr>
              <w:t>；</w:t>
            </w:r>
            <w:r>
              <w:rPr>
                <w:rFonts w:hint="eastAsia" w:ascii="宋体" w:hAnsi="宋体" w:cs="宋体"/>
                <w:color w:val="auto"/>
                <w:kern w:val="0"/>
                <w:szCs w:val="21"/>
                <w:highlight w:val="none"/>
                <w14:ligatures w14:val="standardContextual"/>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14:ligatures w14:val="standardContextual"/>
              </w:rPr>
              <w:t>41.粉末材料：专用金属合金材料</w:t>
            </w:r>
            <w:r>
              <w:rPr>
                <w:rFonts w:hint="eastAsia" w:ascii="宋体" w:hAnsi="宋体" w:cs="宋体"/>
                <w:color w:val="auto"/>
                <w:kern w:val="0"/>
                <w:szCs w:val="21"/>
                <w:highlight w:val="none"/>
                <w:lang w:eastAsia="zh-CN"/>
                <w14:ligatures w14:val="standardContextual"/>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▲42.质保：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8"/>
              <w:numPr>
                <w:ilvl w:val="0"/>
                <w:numId w:val="11"/>
              </w:numPr>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耗材：</w:t>
            </w:r>
          </w:p>
          <w:p>
            <w:pPr>
              <w:pStyle w:val="8"/>
              <w:numPr>
                <w:ilvl w:val="0"/>
                <w:numId w:val="0"/>
              </w:numPr>
              <w:spacing w:line="264" w:lineRule="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3D打印纯钛TA1 TA19 TA4 TA10 TA17 TC4 TA15TC11 球形钛合金粉末</w:t>
            </w:r>
            <w:r>
              <w:rPr>
                <w:rFonts w:hint="eastAsia"/>
                <w:strike w:val="0"/>
                <w:dstrike w:val="0"/>
                <w:color w:val="auto"/>
                <w:sz w:val="21"/>
                <w:highlight w:val="none"/>
                <w:lang w:val="en-US" w:eastAsia="zh-CN"/>
              </w:rPr>
              <w:t>1000</w:t>
            </w:r>
            <w:r>
              <w:rPr>
                <w:rFonts w:hint="eastAsia" w:ascii="宋体" w:hAnsi="宋体" w:cs="宋体"/>
                <w:color w:val="auto"/>
                <w:kern w:val="0"/>
                <w:szCs w:val="21"/>
                <w:highlight w:val="none"/>
                <w:lang w:val="en-US" w:eastAsia="zh-CN"/>
              </w:rPr>
              <w:t>g</w:t>
            </w:r>
            <w:r>
              <w:rPr>
                <w:rFonts w:hint="eastAsia" w:ascii="宋体" w:hAnsi="宋体" w:cs="宋体"/>
                <w:color w:val="auto"/>
                <w:kern w:val="0"/>
                <w:szCs w:val="21"/>
                <w:highlight w:val="none"/>
              </w:rPr>
              <w:t>×10组</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.高纯锌颗粒3D打印雾化球形锌颗粒Zn锌单质金属锌粉末冶金锌合金粉（球形Zn 45-105um1000g×10组）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3D打印机4</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打印机工业级大尺寸高精度FDM大型3D打印机及耗材</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1370*1360*1530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1000*1000*1100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4.技术原理：FDM熔融层积成型技术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5.打印精度：+0.1mm(L&lt;100mm)或士0.1%xL(L&gt;100mm)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360KG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7.耗材：</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.3D打印纯钛TA1 TA19 TA4 TA10 TA17 TC4 TA15TC11 球形钛合金粉末（1000g×10组）</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.高纯锌颗粒3D打印雾化球形锌颗粒Zn锌单质金属锌粉末冶金锌合金粉（球形Zn 45-105um1000g×10组）</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.304不锈钢粉316超细不锈钢粉3D打印球形不锈钢注射成型不锈钢颗粒（超细316不锈钢1000g×10组）</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.模具钢18Ni300粉末 3D打印粉末 激光熔覆粉末 金属3D打印服务（15-45/53um1000g×10组）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8"/>
              <w:spacing w:line="264" w:lineRule="auto"/>
              <w:ind w:firstLine="0"/>
              <w:rPr>
                <w:rFonts w:hint="eastAsia" w:ascii="宋体" w:hAnsi="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技术原理 FDM熔融层积成型技术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挤出方式 热融溶挤压</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11.</w:t>
            </w:r>
            <w:r>
              <w:rPr>
                <w:rFonts w:hint="eastAsia" w:ascii="宋体" w:hAnsi="宋体" w:cs="宋体"/>
                <w:color w:val="auto"/>
                <w:kern w:val="0"/>
                <w:szCs w:val="21"/>
                <w:highlight w:val="none"/>
              </w:rPr>
              <w:t>标配喷头 0.5mm</w:t>
            </w:r>
            <w:r>
              <w:rPr>
                <w:rFonts w:hint="eastAsia" w:ascii="宋体" w:hAnsi="宋体" w:cs="宋体"/>
                <w:color w:val="auto"/>
                <w:kern w:val="0"/>
                <w:szCs w:val="21"/>
                <w:highlight w:val="none"/>
                <w:lang w:eastAsia="zh-CN"/>
              </w:rPr>
              <w:t>；</w:t>
            </w:r>
          </w:p>
          <w:p>
            <w:pPr>
              <w:pStyle w:val="8"/>
              <w:spacing w:line="264" w:lineRule="auto"/>
              <w:ind w:firstLine="0"/>
              <w:rPr>
                <w:rFonts w:hint="eastAsia"/>
                <w:color w:val="auto"/>
                <w:highlight w:val="none"/>
                <w:lang w:eastAsia="zh-CN"/>
              </w:rPr>
            </w:pP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 xml:space="preserve">喷头直径 </w:t>
            </w:r>
            <w:r>
              <w:rPr>
                <w:rFonts w:hint="eastAsia" w:ascii="宋体" w:hAnsi="宋体" w:cs="宋体"/>
                <w:color w:val="auto"/>
                <w:kern w:val="0"/>
                <w:szCs w:val="21"/>
                <w:highlight w:val="none"/>
                <w:lang w:eastAsia="zh-CN"/>
              </w:rPr>
              <w:t>：</w:t>
            </w:r>
            <w:r>
              <w:rPr>
                <w:rFonts w:hint="eastAsia"/>
                <w:color w:val="auto"/>
                <w:highlight w:val="none"/>
                <w:lang w:val="en-US" w:eastAsia="zh-CN"/>
              </w:rPr>
              <w:t>0.2</w:t>
            </w:r>
            <w:r>
              <w:rPr>
                <w:rFonts w:hint="eastAsia"/>
                <w:color w:val="auto"/>
                <w:highlight w:val="none"/>
                <w:lang w:eastAsia="zh-CN"/>
              </w:rPr>
              <w:t>mm---</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mm提供多种针头可替换；</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耗材直径 1.75mm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打印精度 +0.1mm(L≤100mm)或士0.1%xL(L&gt;100mm)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打印速度 20-150mm/s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轴定位精度 X轴0.001lmm，Y轴0.001lmm，Z轴0.00125mm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17.</w:t>
            </w:r>
            <w:r>
              <w:rPr>
                <w:rFonts w:hint="eastAsia" w:ascii="宋体" w:hAnsi="宋体" w:cs="宋体"/>
                <w:color w:val="auto"/>
                <w:kern w:val="0"/>
                <w:szCs w:val="21"/>
                <w:highlight w:val="none"/>
              </w:rPr>
              <w:t>打印层厚 0.05-0.4mm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18.</w:t>
            </w:r>
            <w:r>
              <w:rPr>
                <w:rFonts w:hint="eastAsia" w:ascii="宋体" w:hAnsi="宋体" w:cs="宋体"/>
                <w:color w:val="auto"/>
                <w:kern w:val="0"/>
                <w:szCs w:val="21"/>
                <w:highlight w:val="none"/>
              </w:rPr>
              <w:t>打印材料 PLA、TPU、95A、PETG、水溶性材料、木质PLA</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19.</w:t>
            </w:r>
            <w:r>
              <w:rPr>
                <w:rFonts w:hint="eastAsia" w:ascii="宋体" w:hAnsi="宋体" w:cs="宋体"/>
                <w:color w:val="auto"/>
                <w:kern w:val="0"/>
                <w:szCs w:val="21"/>
                <w:highlight w:val="none"/>
              </w:rPr>
              <w:t>定制材料 ABS、PC、尼龙、碳纤维、金属填充材料、增强尼龙、玻纤维增加材料等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打印平台 黑品钢化玻璃</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21.</w:t>
            </w:r>
            <w:r>
              <w:rPr>
                <w:rFonts w:hint="eastAsia" w:ascii="宋体" w:hAnsi="宋体" w:cs="宋体"/>
                <w:color w:val="auto"/>
                <w:kern w:val="0"/>
                <w:szCs w:val="21"/>
                <w:highlight w:val="none"/>
              </w:rPr>
              <w:t>热床温度 30-70°C(可选30-120°C)</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22.</w:t>
            </w:r>
            <w:r>
              <w:rPr>
                <w:rFonts w:hint="eastAsia" w:ascii="宋体" w:hAnsi="宋体" w:cs="宋体"/>
                <w:color w:val="auto"/>
                <w:kern w:val="0"/>
                <w:szCs w:val="21"/>
                <w:highlight w:val="none"/>
              </w:rPr>
              <w:t>喷头温度 175-300°C</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23.</w:t>
            </w:r>
            <w:r>
              <w:rPr>
                <w:rFonts w:hint="eastAsia" w:ascii="宋体" w:hAnsi="宋体" w:cs="宋体"/>
                <w:color w:val="auto"/>
                <w:kern w:val="0"/>
                <w:szCs w:val="21"/>
                <w:highlight w:val="none"/>
              </w:rPr>
              <w:t>恒温腔室温度 35-65°C</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打印连接方式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u盘</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切片软件 CURA官方切片软件</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26.</w:t>
            </w:r>
            <w:r>
              <w:rPr>
                <w:rFonts w:hint="eastAsia" w:ascii="宋体" w:hAnsi="宋体" w:cs="宋体"/>
                <w:color w:val="auto"/>
                <w:kern w:val="0"/>
                <w:szCs w:val="21"/>
                <w:highlight w:val="none"/>
              </w:rPr>
              <w:t>文件格式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STL、OBJ、STP、3MF等转换格式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27.</w:t>
            </w:r>
            <w:r>
              <w:rPr>
                <w:rFonts w:hint="eastAsia" w:ascii="宋体" w:hAnsi="宋体" w:cs="宋体"/>
                <w:color w:val="auto"/>
                <w:kern w:val="0"/>
                <w:szCs w:val="21"/>
                <w:highlight w:val="none"/>
              </w:rPr>
              <w:t>操作系统 WINDOWS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工作电压 110-220V(支持宽电压输入)</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29.</w:t>
            </w:r>
            <w:r>
              <w:rPr>
                <w:rFonts w:hint="eastAsia" w:ascii="宋体" w:hAnsi="宋体" w:cs="宋体"/>
                <w:color w:val="auto"/>
                <w:kern w:val="0"/>
                <w:szCs w:val="21"/>
                <w:highlight w:val="none"/>
              </w:rPr>
              <w:t>设备功率 320-650w</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3D打印机5</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3D打印机及耗材</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1110*685*1470MM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685*385*700MM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3.打印厚度：0.025-0.3MM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4.外形尺寸：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720mm*810mm*1500mm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5.技术原理：FDM熔融层积成型技术</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6.打印精度：+0.1mm(L&lt;100mm)或士0.1%xL(L&gt;100mm)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180KG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8.成型速度:10-20MM/H</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9.技术类型:UV LCD光固化</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10.成型速度 10-20MM/H</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11.打印层厚 0.025-0.3MM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12.像素尺寸 3840*2160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13.屏幕尺寸 32英寸</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14.技术类型 UV LCD光固化</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15.固化波长 405NM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16.环境要求 使用温度10-30°，湿度20%-50%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17.固化箱尺寸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800*500*280MM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18.设备净重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160KG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19.包装重量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180KG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20.整机功率 800W</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21.操作屏幕 5.5寸触摸屏，支持中英文转换</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22.操作系统 WINDOWS7/8/10(32/64位)</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23.文件格式 STL.OBJ.SCL</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24.切片软件 CHITUBOX</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25.连接方式 SD卡/U盘/USB</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26.打印平台 一体成型铝合金平台，无需调平，开机即用                             </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27.质保：</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耗材：</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3D打印机6</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3D打印机及耗材                                           </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1.机身尺寸(mm)：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775*520*735MM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2.成型尺寸(mm)：</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335x200x320mm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3.打印厚度：25-300μm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4.激光斑点：85micron</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5.XY轴精度：25um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48KG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7.成型速度:10-20MM/H</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8.技术类型:Low Force Stereolithography(LFS)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9.成型技术 全新的Low ForceStereolithography(LFS)T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10.激光功率 2x250mW</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11.树脂进料系统 自动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12.树脂盒个数 2个</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13.撑支自动生成，轻易去除</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14.操作系统要求 Windows 7(64-bit)and up Mac OS X 10.10 and up OpenGL 2.1 4GB RAM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15.文件格式要求 STL、0BJ、Form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16.包装参数尺寸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775x520x735 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17.操作温度 自动加热至35°C</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18.温度控制 空气加热打印室</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19.功率 650W 2 Light Processing Unit EN 60825-1:2007 certified</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20.电源要求 100-240V AC 7.5A,50/60 Hz</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21.激光参数 Class 1 Laser Product 405nm 波长 250mW 功率 85micron激光光斑</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22.连接 WiFi、以太网、USB</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23.触摸屏 5.5英寸触摸屏1280x720像素</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szCs w:val="21"/>
                <w:highlight w:val="none"/>
                <w:lang w:eastAsia="zh-CN"/>
              </w:rPr>
            </w:pPr>
            <w:r>
              <w:rPr>
                <w:rFonts w:hint="eastAsia" w:ascii="宋体" w:hAnsi="宋体" w:cs="宋体"/>
                <w:color w:val="auto"/>
                <w:kern w:val="0"/>
                <w:szCs w:val="21"/>
                <w:highlight w:val="none"/>
              </w:rPr>
              <w:t>24.质保</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整机原厂保修1年</w:t>
            </w:r>
            <w:r>
              <w:rPr>
                <w:rFonts w:hint="eastAsia" w:ascii="宋体" w:hAnsi="宋体" w:cs="宋体"/>
                <w:color w:val="auto"/>
                <w:kern w:val="0"/>
                <w:szCs w:val="21"/>
                <w:highlight w:val="none"/>
              </w:rPr>
              <w:t>,</w:t>
            </w:r>
            <w:r>
              <w:rPr>
                <w:rFonts w:hint="eastAsia" w:ascii="宋体" w:hAnsi="宋体" w:cs="宋体"/>
                <w:color w:val="auto"/>
                <w:szCs w:val="21"/>
                <w:highlight w:val="none"/>
              </w:rPr>
              <w:t xml:space="preserve"> 中标签订合同后须提供原厂售后服务承诺函(原厂售后服务承诺函应包含产品序列号、对应功能能数、保修期、400电话等信息</w:t>
            </w:r>
            <w:r>
              <w:rPr>
                <w:rFonts w:hint="eastAsia" w:ascii="宋体" w:hAnsi="宋体" w:cs="宋体"/>
                <w:color w:val="auto"/>
                <w:szCs w:val="21"/>
                <w:highlight w:val="none"/>
                <w:lang w:eastAsia="zh-CN"/>
              </w:rPr>
              <w:t>）；</w:t>
            </w:r>
          </w:p>
          <w:p>
            <w:pPr>
              <w:pStyle w:val="8"/>
              <w:numPr>
                <w:ilvl w:val="-1"/>
                <w:numId w:val="0"/>
              </w:numPr>
              <w:spacing w:line="264" w:lineRule="auto"/>
              <w:ind w:firstLine="0"/>
              <w:rPr>
                <w:rFonts w:hint="eastAsia" w:ascii="宋体" w:hAnsi="宋体" w:cs="宋体"/>
                <w:color w:val="auto"/>
                <w:kern w:val="0"/>
                <w:szCs w:val="21"/>
                <w:highlight w:val="none"/>
              </w:rPr>
            </w:pPr>
            <w:r>
              <w:rPr>
                <w:rFonts w:hint="eastAsia"/>
                <w:color w:val="auto"/>
                <w:highlight w:val="none"/>
                <w:lang w:val="en-US" w:eastAsia="zh-CN"/>
              </w:rPr>
              <w:t>25</w:t>
            </w:r>
            <w:r>
              <w:rPr>
                <w:rFonts w:hint="eastAsia" w:ascii="宋体" w:hAnsi="宋体" w:cs="宋体"/>
                <w:color w:val="auto"/>
                <w:kern w:val="0"/>
                <w:szCs w:val="21"/>
                <w:highlight w:val="none"/>
              </w:rPr>
              <w:t>.耗材：</w:t>
            </w:r>
          </w:p>
          <w:p>
            <w:pPr>
              <w:pStyle w:val="8"/>
              <w:numPr>
                <w:ilvl w:val="-1"/>
                <w:numId w:val="0"/>
              </w:numPr>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.ELEGOO/爱乐酷3d打印耗材pla +1.75mm材料拓竹丝绸哑光透明耗材 （半透明</w:t>
            </w:r>
            <w:r>
              <w:rPr>
                <w:rFonts w:hint="eastAsia" w:ascii="宋体" w:hAnsi="宋体" w:cs="宋体"/>
                <w:color w:val="auto"/>
                <w:kern w:val="0"/>
                <w:szCs w:val="21"/>
                <w:highlight w:val="none"/>
                <w:lang w:val="en-US" w:eastAsia="zh-CN"/>
              </w:rPr>
              <w:t>1000</w:t>
            </w:r>
            <w:r>
              <w:rPr>
                <w:rFonts w:hint="eastAsia" w:ascii="宋体" w:hAnsi="宋体" w:cs="宋体"/>
                <w:color w:val="auto"/>
                <w:kern w:val="0"/>
                <w:szCs w:val="21"/>
                <w:highlight w:val="none"/>
              </w:rPr>
              <w:t>g×10组＋pla丝绸金、银、白</w:t>
            </w:r>
            <w:r>
              <w:rPr>
                <w:rFonts w:hint="eastAsia" w:ascii="宋体" w:hAnsi="宋体" w:cs="宋体"/>
                <w:color w:val="auto"/>
                <w:kern w:val="0"/>
                <w:szCs w:val="21"/>
                <w:highlight w:val="none"/>
                <w:lang w:val="en-US" w:eastAsia="zh-CN"/>
              </w:rPr>
              <w:t>各1000</w:t>
            </w:r>
            <w:r>
              <w:rPr>
                <w:rFonts w:hint="eastAsia" w:ascii="宋体" w:hAnsi="宋体" w:cs="宋体"/>
                <w:color w:val="auto"/>
                <w:kern w:val="0"/>
                <w:szCs w:val="21"/>
                <w:highlight w:val="none"/>
              </w:rPr>
              <w:t>g×10组）</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.SAGUDIO多用途喷笔喷枪颜料模型手办绘画工艺品上色丙烯颜料喷涂32色全色颜料套装+4瓶稀释剂3组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3D打印机7</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多色3D打印机及耗材                                                                         </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1.成型技术 Fused Deposition Modeling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▲2.打印尺寸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350*350*350mm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3.单机机身尺寸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495*515*640mm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4.组合机身尺寸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495*515*916mm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 xml:space="preserve">5.单机净重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35Kg</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6.打印速度 ≤600mm/s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7.加速度 ≤30000mm/s</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8.打印精度 100mm±01mm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9.打印层厚 0.05-0.3mm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10.挤出机类型 近端双齿轮挤出机</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11.耗材直径 1.75mm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12.喷嘴直径 0.4mm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13.喷嘴温度 ≤350℃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14.热床温度 ≤120℃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15.腔体温度 ≤60℃</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16.打印平台 柔性打印平台</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17.调平方式 全自动调平</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18.xyze电机 伺服步进电机</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19.打印方式 U盘/以太网/WiFi</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20.内置存储 32GB EMMC</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21.Wifi 2.4GHz/5GHz</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22.单机RFID耗材读取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23.额定电压 100-240V~AC 50/60Hz</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24.显示屏 4.3寸彩色触摸屏</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rPr>
              <w:t>25.额定功率 1200W</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26.支持耗材 PLA/ABS/PETG/PA-CF/PLA-CF/PET/ASA/PPA-CF等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▲27.AI监控摄像头 标配</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28</w:t>
            </w:r>
            <w:r>
              <w:rPr>
                <w:rFonts w:hint="eastAsia" w:ascii="宋体" w:hAnsi="宋体" w:cs="宋体"/>
                <w:color w:val="auto"/>
                <w:kern w:val="0"/>
                <w:szCs w:val="21"/>
                <w:highlight w:val="none"/>
              </w:rPr>
              <w:t>.AI校准摄像头 标配</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29</w:t>
            </w:r>
            <w:r>
              <w:rPr>
                <w:rFonts w:hint="eastAsia" w:ascii="宋体" w:hAnsi="宋体" w:cs="宋体"/>
                <w:color w:val="auto"/>
                <w:kern w:val="0"/>
                <w:szCs w:val="21"/>
                <w:highlight w:val="none"/>
              </w:rPr>
              <w:t>.断电续打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.自动续料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.缠料检测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.空气净化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.振纹优化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.照明灯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.热床倾斜校正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.主动皮带张紧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.主动腔体加热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38</w:t>
            </w:r>
            <w:r>
              <w:rPr>
                <w:rFonts w:hint="eastAsia" w:ascii="宋体" w:hAnsi="宋体" w:cs="宋体"/>
                <w:color w:val="auto"/>
                <w:kern w:val="0"/>
                <w:szCs w:val="21"/>
                <w:highlight w:val="none"/>
              </w:rPr>
              <w:t>.RFID耗材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39</w:t>
            </w:r>
            <w:r>
              <w:rPr>
                <w:rFonts w:hint="eastAsia" w:ascii="宋体" w:hAnsi="宋体" w:cs="宋体"/>
                <w:color w:val="auto"/>
                <w:kern w:val="0"/>
                <w:szCs w:val="21"/>
                <w:highlight w:val="none"/>
              </w:rPr>
              <w:t>.打印文件格式 Gcode/3MF</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.CFS 支持</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.CFS扩展 &lt;4个</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切片软件：为方便应用切片软件具备几何编辑功能（智能填充、抽壳、打孔等）软件内置了云平台功能，与设备厂家云账号信息同步，同时拥有丰富的3D模型库，方便用户搜索、下载和收藏。您可以在此处登录个人账号，登录后可进入个人中心，查看基本信息、切片、模型和设备信息。模型库提供海量模型供您下载，而下载管理功能则可查看下载进度和已下载文件。（投标时需提供功能截图佐证和软件著作权证书</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43.</w:t>
            </w:r>
            <w:r>
              <w:rPr>
                <w:rFonts w:hint="eastAsia" w:ascii="宋体" w:hAnsi="宋体" w:cs="宋体"/>
                <w:color w:val="auto"/>
                <w:kern w:val="0"/>
                <w:szCs w:val="21"/>
                <w:highlight w:val="none"/>
              </w:rPr>
              <w:t>软件语言 中/英/德/西/法/意/葡/俄/土/日/韩</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.3D打印设备生产厂家为国家高新技术企业并且通过ISO 9001:2015认证（提供相关的证明文件）</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.质保 ：保质一年</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含喷嘴、喷头、屏幕、膜等</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中标签订合同后须提供原厂售后服务承诺函(原厂售后服务承诺函应包含产品序列号、保修期、400电话等信息)</w:t>
            </w:r>
            <w:r>
              <w:rPr>
                <w:rFonts w:hint="eastAsia" w:ascii="宋体" w:hAnsi="宋体" w:cs="宋体"/>
                <w:color w:val="auto"/>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46.</w:t>
            </w:r>
            <w:r>
              <w:rPr>
                <w:rFonts w:hint="eastAsia" w:ascii="宋体" w:hAnsi="宋体" w:cs="宋体"/>
                <w:color w:val="auto"/>
                <w:kern w:val="0"/>
                <w:szCs w:val="21"/>
                <w:highlight w:val="none"/>
              </w:rPr>
              <w:t>耗材：</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.爱乐酷光固化3D打印机耗材高韧性材料LCD通用 405nm波长 光敏树脂ABS树脂-黑、白、灰、红、黄、半透明、蓝、肤色、红陶色、绿（</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.兰博3d打印耗材pla1.75mm 3.0 abs材料3d打印机耗材料（红、黄、蓝、绿、青、蓝、紫、灰、透明、半透明</w:t>
            </w:r>
            <w:r>
              <w:rPr>
                <w:rFonts w:hint="eastAsia" w:ascii="宋体" w:hAnsi="宋体" w:cs="宋体"/>
                <w:color w:val="auto"/>
                <w:kern w:val="0"/>
                <w:szCs w:val="21"/>
                <w:highlight w:val="none"/>
                <w:lang w:val="en-US" w:eastAsia="zh-CN"/>
              </w:rPr>
              <w:t>每种颜色1000</w:t>
            </w:r>
            <w:r>
              <w:rPr>
                <w:rFonts w:hint="eastAsia" w:ascii="宋体" w:hAnsi="宋体" w:cs="宋体"/>
                <w:color w:val="auto"/>
                <w:kern w:val="0"/>
                <w:szCs w:val="21"/>
                <w:highlight w:val="none"/>
              </w:rPr>
              <w:t>g</w:t>
            </w:r>
            <w:r>
              <w:rPr>
                <w:rFonts w:hint="eastAsia" w:ascii="宋体" w:hAnsi="宋体" w:cs="宋体"/>
                <w:color w:val="auto"/>
                <w:kern w:val="0"/>
                <w:szCs w:val="21"/>
                <w:highlight w:val="none"/>
                <w:lang w:val="en-US" w:eastAsia="zh-CN"/>
              </w:rPr>
              <w:t>/组</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每种颜色各10组</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.ELEGOO/爱乐酷3d打印耗材pla +1.75mm材料拓竹丝绸哑光透明耗材 （半透明</w:t>
            </w:r>
            <w:r>
              <w:rPr>
                <w:rFonts w:hint="eastAsia" w:ascii="宋体" w:hAnsi="宋体" w:cs="宋体"/>
                <w:color w:val="auto"/>
                <w:kern w:val="0"/>
                <w:szCs w:val="21"/>
                <w:highlight w:val="none"/>
                <w:lang w:val="en-US" w:eastAsia="zh-CN"/>
              </w:rPr>
              <w:t>1000</w:t>
            </w:r>
            <w:r>
              <w:rPr>
                <w:rFonts w:hint="eastAsia" w:ascii="宋体" w:hAnsi="宋体" w:cs="宋体"/>
                <w:color w:val="auto"/>
                <w:kern w:val="0"/>
                <w:szCs w:val="21"/>
                <w:highlight w:val="none"/>
              </w:rPr>
              <w:t>g×10组＋pla丝绸金、银、白</w:t>
            </w:r>
            <w:r>
              <w:rPr>
                <w:rFonts w:hint="eastAsia" w:ascii="宋体" w:hAnsi="宋体" w:cs="宋体"/>
                <w:color w:val="auto"/>
                <w:kern w:val="0"/>
                <w:szCs w:val="21"/>
                <w:highlight w:val="none"/>
                <w:lang w:val="en-US" w:eastAsia="zh-CN"/>
              </w:rPr>
              <w:t>各1000</w:t>
            </w:r>
            <w:r>
              <w:rPr>
                <w:rFonts w:hint="eastAsia" w:ascii="宋体" w:hAnsi="宋体" w:cs="宋体"/>
                <w:color w:val="auto"/>
                <w:kern w:val="0"/>
                <w:szCs w:val="21"/>
                <w:highlight w:val="none"/>
              </w:rPr>
              <w:t>g×10组）</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.SAGUDIO多用途喷笔喷枪颜料模型手办绘画工艺品上色丙烯颜料喷涂32色全色颜料套装+4瓶稀释剂3组</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.规格：长</w:t>
            </w:r>
            <w:r>
              <w:rPr>
                <w:rFonts w:hint="eastAsia" w:ascii="宋体" w:hAnsi="宋体" w:cs="宋体"/>
                <w:color w:val="auto"/>
                <w:kern w:val="0"/>
                <w:szCs w:val="21"/>
                <w:highlight w:val="none"/>
                <w:lang w:val="en-US" w:eastAsia="zh-CN" w:bidi="ar"/>
              </w:rPr>
              <w:t>660</w:t>
            </w:r>
            <w:r>
              <w:rPr>
                <w:rFonts w:hint="eastAsia" w:ascii="宋体" w:hAnsi="宋体" w:cs="宋体"/>
                <w:color w:val="auto"/>
                <w:kern w:val="0"/>
                <w:szCs w:val="21"/>
                <w:highlight w:val="none"/>
                <w:lang w:bidi="ar"/>
              </w:rPr>
              <w:t>×5</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0×1</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5</w:t>
            </w:r>
            <w:r>
              <w:rPr>
                <w:rFonts w:hint="eastAsia" w:ascii="宋体" w:hAnsi="宋体" w:cs="宋体"/>
                <w:color w:val="auto"/>
                <w:kern w:val="0"/>
                <w:szCs w:val="21"/>
                <w:highlight w:val="none"/>
                <w:lang w:val="en-US" w:eastAsia="zh-CN" w:bidi="ar"/>
              </w:rPr>
              <w:t>0</w:t>
            </w:r>
            <w:r>
              <w:rPr>
                <w:rFonts w:hint="eastAsia" w:ascii="宋体" w:hAnsi="宋体" w:cs="宋体"/>
                <w:color w:val="auto"/>
                <w:kern w:val="0"/>
                <w:szCs w:val="21"/>
                <w:highlight w:val="none"/>
                <w:lang w:bidi="ar"/>
              </w:rPr>
              <w:t>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2.功能：可升降座椅，脊护腰靠，有倾仰功能；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rPr>
              <w:t>▲</w:t>
            </w:r>
            <w:r>
              <w:rPr>
                <w:rFonts w:hint="eastAsia" w:ascii="宋体" w:hAnsi="宋体" w:cs="宋体"/>
                <w:color w:val="auto"/>
                <w:kern w:val="0"/>
                <w:szCs w:val="21"/>
                <w:highlight w:val="none"/>
                <w:lang w:bidi="ar"/>
              </w:rPr>
              <w:t>3.椅架：采用全新料加纤背框及扶手，PP塑胶底壳</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PP塑料通过GB 28481-2012《塑料家具中有害物质限量》、GB/T32487-2016《塑料家具通用技术条件》标准检测合格；≥2.5mm厚度原位锁定蝴蝶底盘</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4.面料：采用高强度耐磨透气网布面料，网布通过GB 18401-2010《国家纺织品基本安全技术规范》标准检测合格；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6.气压棒：采用国标三级电镀气压棒，气压棒通过GB/T 10125-2021《人造气氛腐蚀试验 盐雾试验》、QB/T 3832-1999《轻工产品金属镀层腐蚀试验结果的评价》、QB/T 2280-2016《办公家具 办公椅》、GB/T29525-2013《座椅升降气弹簧 技术条件》标准检测合格；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7.转脚：采用直径≥330mm全新料加纤五星脚，安装5个超强承重静音万向轮，万向轮通过QB/T 4765-2014《家具用脚轮》的要求检测合格</w:t>
            </w:r>
            <w:r>
              <w:rPr>
                <w:rFonts w:hint="eastAsia" w:ascii="宋体" w:hAnsi="宋体" w:cs="宋体"/>
                <w:color w:val="auto"/>
                <w:kern w:val="0"/>
                <w:szCs w:val="21"/>
                <w:highlight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产品</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展示柜</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陈列货柜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产品展示柜陈列货柜包包柜鞋子展示架定制服装店背景墙</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材质：采用国标E0级实木多层板，板材表面采用三聚氰胺贴面纸热压贴面，周边采用≧1.5mm厚的PVC封边条机械封边；</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★板材厚度≧18mm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颜色：原白色，奶白色；</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4.产品规格：多层空间，层板部分可抽拉调节层距高度，可多种摆放方式，支持定制；</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每层安装节能灯带，开关总控暖光调节高亮度LED灯带置于槽内</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底板防潮处理</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一套规格参考尺寸（具体以实际现场定制为准）：</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长0.5m*宽0.4m*高2.4m 1组 。</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长1.0m*宽0.4m*高2.4m 1组。</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长1.5m*宽0.4m*高2.4m 1组。</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长1.2m*宽0.4m*高2.4m 1组。</w:t>
            </w:r>
          </w:p>
          <w:p>
            <w:pPr>
              <w:pStyle w:val="8"/>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每组可分体设计组合，四组为一套（一套整体陈列柜尺寸约长420CM*宽40CM*高240CM.）（国产定制质保时间2年）</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立体墙面展示框</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材质:表面处理木蜡油擦拭工艺：实木抛光磨角，实木标本相框</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安装方式：立体墙面展示框可挂墙，黑胡桃标本框</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棉布压合，背板可吸磁力每个框体配10个原圆形病状吸铁直径约3CM-5CM</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4.配件：五金合页 金属锁扣，外框有机玻璃,吸铁背板卡纸尺寸：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长60CM *宽90CM*外框厚度20CM，中空尺寸：5CM-10CM。单个框体重量约8000g左右，（国产定制质保时间2年）。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化妆椅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塑料靠背升降化妆椅</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贝壳塑料电脑椅小巧久坐会议办公椅职员椅升降椅子学习椅转椅，钢制脚</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材质：塑料，黑色。专用圆凳，外贸升级四级气杆</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浅灰色-透气靠背-静音防刮轮，可选加大加宽</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储存货架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多层可移动带轮储物架</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四层黑色钢架结构主架</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长200厘米×宽60厘米×高210厘米</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带万向轮</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侧面配套洞洞板</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6.立柱蝴蝶孔设计，可根据层高上下调节</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7.结实焊接口</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8.背部加强筋设计，承重升级，坚固耐用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9.层板凹槽加强筋设计，承重更强</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10.表面光滑不易生锈、冷轧钢、钢加厚加粗。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18"/>
                <w:highlight w:val="none"/>
                <w:lang w:eastAsia="zh-CN"/>
              </w:rPr>
            </w:pPr>
            <w:r>
              <w:rPr>
                <w:rFonts w:hint="eastAsia" w:ascii="宋体" w:hAnsi="宋体" w:cs="宋体"/>
                <w:color w:val="auto"/>
                <w:kern w:val="0"/>
                <w:szCs w:val="18"/>
                <w:highlight w:val="none"/>
              </w:rPr>
              <w:t>1.安装简单方便，因为所有支腿都一样，无需费心考虑它们的安装方向</w:t>
            </w:r>
            <w:r>
              <w:rPr>
                <w:rFonts w:hint="eastAsia" w:ascii="宋体" w:hAnsi="宋体" w:cs="宋体"/>
                <w:color w:val="auto"/>
                <w:kern w:val="0"/>
                <w:szCs w:val="18"/>
                <w:highlight w:val="none"/>
                <w:lang w:eastAsia="zh-CN"/>
              </w:rPr>
              <w:t>；</w:t>
            </w:r>
          </w:p>
          <w:p>
            <w:pPr>
              <w:pStyle w:val="8"/>
              <w:spacing w:line="264" w:lineRule="auto"/>
              <w:ind w:firstLine="0"/>
              <w:rPr>
                <w:rFonts w:hint="eastAsia" w:ascii="宋体" w:hAnsi="宋体" w:eastAsia="宋体" w:cs="宋体"/>
                <w:color w:val="auto"/>
                <w:kern w:val="0"/>
                <w:szCs w:val="18"/>
                <w:highlight w:val="none"/>
                <w:lang w:eastAsia="zh-CN"/>
              </w:rPr>
            </w:pPr>
            <w:r>
              <w:rPr>
                <w:rFonts w:hint="eastAsia" w:ascii="宋体" w:hAnsi="宋体" w:cs="宋体"/>
                <w:color w:val="auto"/>
                <w:kern w:val="0"/>
                <w:szCs w:val="18"/>
                <w:highlight w:val="none"/>
              </w:rPr>
              <w:t>2.椅子采用金属底架，椅子可叠放，同时满足如下标准的安全性、耐用性和稳定性要求：EN 12520和EN 1022</w:t>
            </w:r>
            <w:r>
              <w:rPr>
                <w:rFonts w:hint="eastAsia" w:ascii="宋体" w:hAnsi="宋体" w:cs="宋体"/>
                <w:color w:val="auto"/>
                <w:kern w:val="0"/>
                <w:szCs w:val="18"/>
                <w:highlight w:val="none"/>
                <w:lang w:eastAsia="zh-CN"/>
              </w:rPr>
              <w:t>；</w:t>
            </w:r>
          </w:p>
          <w:p>
            <w:pPr>
              <w:pStyle w:val="8"/>
              <w:spacing w:line="264" w:lineRule="auto"/>
              <w:ind w:firstLine="0"/>
              <w:rPr>
                <w:rFonts w:hint="eastAsia" w:ascii="宋体" w:hAnsi="宋体" w:cs="宋体"/>
                <w:color w:val="auto"/>
                <w:kern w:val="0"/>
                <w:szCs w:val="18"/>
                <w:highlight w:val="none"/>
              </w:rPr>
            </w:pPr>
            <w:r>
              <w:rPr>
                <w:rFonts w:hint="eastAsia" w:ascii="宋体" w:hAnsi="宋体" w:cs="宋体"/>
                <w:color w:val="auto"/>
                <w:kern w:val="0"/>
                <w:szCs w:val="18"/>
                <w:highlight w:val="none"/>
              </w:rPr>
              <w:t>3.最多可叠放4张椅子。</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18"/>
                <w:highlight w:val="none"/>
              </w:rPr>
              <w:t>4.尺寸：深度约45厘米、高度约76厘米、座高约46厘米、座宽约39厘米。经检测，最高可承重110公斤</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置物架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1.搁架单元，室内/户外，宽*深*高：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60x27x140CM 每块搁板最大可承重25 公斤</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2.材质：不锈钢金属</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★3.格数：4格</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每块搁板最大可承重25 公斤。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桌子橡木贴面着褐色漆</w:t>
            </w:r>
            <w:r>
              <w:rPr>
                <w:rFonts w:hint="eastAsia" w:ascii="宋体" w:hAnsi="宋体" w:cs="宋体"/>
                <w:color w:val="auto"/>
                <w:kern w:val="0"/>
                <w:szCs w:val="21"/>
                <w:highlight w:val="none"/>
                <w:lang w:eastAsia="zh-CN"/>
              </w:rPr>
              <w:t>；</w:t>
            </w:r>
          </w:p>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桌面尺寸：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220x100 厘米</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整体尺寸：长度</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220 厘米，宽度: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 厘米，高度: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74 厘米，仅限在室内使用</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桌子已经过测试，适合一般的非家用场合，并符合如下标准的安全性、耐用性和稳定性要求：EN 15372和ANSI/BIFMA X:5.5。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铝材桌架海洋板创意洽谈桌书桌办公桌</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200*90*75cm</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默认原木色木蜡油，功能:自由组合,其他/other</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形状:长方形</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kern w:val="0"/>
                <w:szCs w:val="21"/>
                <w:highlight w:val="none"/>
              </w:rPr>
              <w:t>材质:海洋板，适用人数:6人-10人</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环保标准:绿色设计</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海洋板厚度</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2.5</w:t>
            </w:r>
            <w:r>
              <w:rPr>
                <w:rFonts w:hint="eastAsia" w:ascii="宋体" w:hAnsi="宋体" w:cs="宋体"/>
                <w:color w:val="auto"/>
                <w:kern w:val="0"/>
                <w:szCs w:val="21"/>
                <w:highlight w:val="none"/>
                <w:lang w:val="en-US" w:eastAsia="zh-CN"/>
              </w:rPr>
              <w:t>CM</w:t>
            </w:r>
            <w:r>
              <w:rPr>
                <w:rFonts w:hint="eastAsia" w:ascii="宋体" w:hAnsi="宋体" w:cs="宋体"/>
                <w:color w:val="auto"/>
                <w:kern w:val="0"/>
                <w:szCs w:val="21"/>
                <w:highlight w:val="none"/>
              </w:rPr>
              <w:t>，铝型材3*3</w:t>
            </w:r>
            <w:r>
              <w:rPr>
                <w:rFonts w:hint="eastAsia" w:ascii="宋体" w:hAnsi="宋体" w:cs="宋体"/>
                <w:color w:val="auto"/>
                <w:kern w:val="0"/>
                <w:szCs w:val="21"/>
                <w:highlight w:val="none"/>
                <w:lang w:val="en-US" w:eastAsia="zh-CN"/>
              </w:rPr>
              <w:t>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工作转椅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转椅，颜色：克罗夫斯塔白色</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最高承重</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rPr>
              <w:t>110 公斤</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深度：68 厘米，宽度：68 厘米，最大高度：90 厘米</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座宽：</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47 厘米，座深：</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44 厘米，最大座高：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59 厘米，最小座高：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47 厘米</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包装数量：1，高度：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16 厘米，长度：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56 厘米，宽度：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46 厘米，净重</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：8.49 公斤，容量：39.1 公升，重量：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9.88 公斤。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实验室作品收纳柜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展柜：两连体,长*宽*高：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197*55*200cm钢化玻璃（包安装）</w:t>
            </w:r>
            <w:r>
              <w:rPr>
                <w:rFonts w:hint="eastAsia" w:ascii="宋体" w:hAnsi="宋体" w:cs="宋体"/>
                <w:color w:val="auto"/>
                <w:kern w:val="0"/>
                <w:szCs w:val="21"/>
                <w:highlight w:val="none"/>
                <w:lang w:eastAsia="zh-CN"/>
              </w:rPr>
              <w:t>；</w:t>
            </w:r>
          </w:p>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透明材质:钢化玻璃</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框架材质：金属、金属材质、铝合金</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类型：两连体</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长*宽*高：</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197*55*200CM钢化玻璃（包安装）</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包装尺寸：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80*60cm，包装重量：</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80kg，附加功能：拆装,可移动,可升降长度：</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100cm</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6.钢化玻璃层板、LED一体式射灯、可调节地脚、不锈钢门夹、安全门锁、钛合金加厚铝型材。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白色木质烤漆展示台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白色木质烤漆展示台</w:t>
            </w:r>
          </w:p>
          <w:p>
            <w:pPr>
              <w:pStyle w:val="8"/>
              <w:spacing w:line="264" w:lineRule="auto"/>
              <w:ind w:firstLine="0"/>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长30宽30高100CM。</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长30宽30高90CM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长30宽30高70CM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 xml:space="preserve">白色木质烤漆展示台 长方形橱窗模特站台展... </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长30宽30高80CM</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以上四个规格为一套。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收纳书柜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numPr>
                <w:ilvl w:val="-1"/>
                <w:numId w:val="0"/>
              </w:numPr>
              <w:spacing w:line="264" w:lineRule="auto"/>
              <w:ind w:firstLine="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玻璃门书柜，白色</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kern w:val="0"/>
                <w:szCs w:val="21"/>
                <w:highlight w:val="none"/>
              </w:rPr>
              <w:t>尺寸：</w:t>
            </w:r>
            <w:r>
              <w:rPr>
                <w:rFonts w:hint="eastAsia" w:ascii="宋体" w:hAnsi="宋体" w:cs="宋体"/>
                <w:color w:val="auto"/>
                <w:kern w:val="0"/>
                <w:szCs w:val="21"/>
                <w:highlight w:val="none"/>
                <w:lang w:eastAsia="zh-CN"/>
              </w:rPr>
              <w:t>约</w:t>
            </w:r>
            <w:r>
              <w:rPr>
                <w:rFonts w:hint="eastAsia" w:ascii="宋体" w:hAnsi="宋体" w:cs="宋体"/>
                <w:color w:val="auto"/>
                <w:kern w:val="0"/>
                <w:szCs w:val="21"/>
                <w:highlight w:val="none"/>
              </w:rPr>
              <w:t>80x30x202 厘米</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每块搁板最大可承重30 公斤</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柜门：材质：玻璃，厚度约3厘米、长度约194厘米、宽度约40厘米、净重约6.61公斤、包装数量2。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实验室</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8"/>
              <w:numPr>
                <w:ilvl w:val="0"/>
                <w:numId w:val="0"/>
              </w:num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白色，</w:t>
            </w:r>
            <w:r>
              <w:rPr>
                <w:rFonts w:hint="eastAsia" w:ascii="宋体" w:hAnsi="宋体" w:cs="宋体"/>
                <w:color w:val="auto"/>
                <w:kern w:val="0"/>
                <w:szCs w:val="21"/>
                <w:highlight w:val="none"/>
                <w:lang w:eastAsia="zh-CN"/>
              </w:rPr>
              <w:t>约</w:t>
            </w:r>
            <w:r>
              <w:rPr>
                <w:rFonts w:hint="eastAsia" w:ascii="宋体" w:hAnsi="宋体" w:cs="宋体"/>
                <w:color w:val="auto"/>
                <w:szCs w:val="21"/>
                <w:highlight w:val="none"/>
              </w:rPr>
              <w:t>宽度146.5 厘米，深度39 厘米，高度76.5 厘米，每块搁板最大可承重</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13 公斤，材质：人造板</w:t>
            </w:r>
            <w:r>
              <w:rPr>
                <w:rFonts w:hint="eastAsia" w:ascii="宋体" w:hAnsi="宋体" w:cs="宋体"/>
                <w:color w:val="auto"/>
                <w:kern w:val="0"/>
                <w:szCs w:val="21"/>
                <w:highlight w:val="none"/>
                <w:lang w:eastAsia="zh-CN"/>
              </w:rPr>
              <w:t>；</w:t>
            </w:r>
          </w:p>
          <w:p>
            <w:pPr>
              <w:pStyle w:val="8"/>
              <w:numPr>
                <w:ilvl w:val="0"/>
                <w:numId w:val="0"/>
              </w:num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商品带4个插件：（包含：4个抽屉、2个门）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.4个抽屉</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.颜色：白色，材质：人造板</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.一个抽屉尺寸约:高16.3cm、长33cm、宽37.5cm</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.2扇门柜门</w:t>
            </w:r>
            <w:r>
              <w:rPr>
                <w:rFonts w:hint="eastAsia" w:ascii="宋体" w:hAnsi="宋体" w:cs="宋体"/>
                <w:color w:val="auto"/>
                <w:kern w:val="0"/>
                <w:szCs w:val="21"/>
                <w:highlight w:val="none"/>
                <w:lang w:eastAsia="zh-CN"/>
              </w:rPr>
              <w:t>；</w:t>
            </w:r>
          </w:p>
          <w:p>
            <w:pPr>
              <w:pStyle w:val="8"/>
              <w:spacing w:line="264" w:lineRule="auto"/>
              <w:ind w:firstLine="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.颜色：白色，材质：人造板</w:t>
            </w:r>
            <w:r>
              <w:rPr>
                <w:rFonts w:hint="eastAsia" w:ascii="宋体" w:hAnsi="宋体" w:cs="宋体"/>
                <w:color w:val="auto"/>
                <w:kern w:val="0"/>
                <w:szCs w:val="21"/>
                <w:highlight w:val="none"/>
                <w:lang w:eastAsia="zh-CN"/>
              </w:rPr>
              <w:t>；</w:t>
            </w:r>
          </w:p>
          <w:p>
            <w:pPr>
              <w:pStyle w:val="8"/>
              <w:spacing w:line="264" w:lineRule="auto"/>
              <w:ind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.一扇门的尺寸约：长33.5cm、宽33.5cm</w:t>
            </w:r>
            <w:r>
              <w:rPr>
                <w:rFonts w:hint="eastAsia" w:ascii="宋体" w:hAnsi="宋体" w:cs="宋体"/>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kern w:val="0"/>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投标报价是履行合同的最终价格，包括但不限于：</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（1）货物的价格；</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（2）货物的标准附件、备品备件、专用工具的价格；</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（3）运输、装卸、软硬件安装调试、培训、技术支持、售后服务、上门等费用；</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（4）必要的保险费用和各项税费；</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（5）施工（安装）费用；</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自中标通知书发出之日起</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2.交货地点：</w:t>
            </w:r>
            <w:r>
              <w:rPr>
                <w:rFonts w:hint="eastAsia" w:ascii="宋体" w:hAnsi="宋体" w:eastAsia="宋体" w:cs="宋体"/>
                <w:color w:val="auto"/>
                <w:kern w:val="0"/>
                <w:szCs w:val="21"/>
                <w:highlight w:val="none"/>
                <w:lang w:val="en"/>
              </w:rPr>
              <w:t>广西艺术学院</w:t>
            </w:r>
            <w:r>
              <w:rPr>
                <w:rFonts w:hint="eastAsia" w:ascii="宋体" w:hAnsi="宋体" w:eastAsia="宋体" w:cs="宋体"/>
                <w:color w:val="auto"/>
                <w:kern w:val="0"/>
                <w:szCs w:val="21"/>
                <w:highlight w:val="none"/>
              </w:rPr>
              <w:t>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eastAsia="宋体" w:cs="宋体"/>
                <w:color w:val="auto"/>
                <w:kern w:val="0"/>
                <w:szCs w:val="21"/>
                <w:highlight w:val="none"/>
              </w:rPr>
            </w:pPr>
            <w:r>
              <w:rPr>
                <w:rFonts w:hint="eastAsia" w:ascii="宋体" w:hAnsi="宋体"/>
                <w:color w:val="auto"/>
                <w:szCs w:val="21"/>
                <w:highlight w:val="none"/>
              </w:rPr>
              <w:t>▲本项目核心产品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eastAsia="宋体" w:cs="宋体"/>
                <w:color w:val="auto"/>
                <w:kern w:val="0"/>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项号2“大型光固化3D打印机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1.设备必须是全新原厂正品。</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2.分项有质保要求的按分项质保要求，分项没有质保要求的按国家有关产品“三包”规定执行“三包”政策，质保期以通过项目最终验收的验收报告签字日开始计算。</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3.质保期内所有由于质量问题导致的软、硬件产品故障及设备损坏，中标供应商提供保修、人工及更换备件的上门服务，并提供终身维护。质保期内采购人不再支付任何费用。</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4．免费送货上门，免费安装调试合格；</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5．中标供应商必须负责项目设备送货、建设、安装调试与培训，免费提供设备操作培训，提供全套说明书；免费现场培训 2～3 名相关人员至掌握设备操作及日常维护；</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7．提供定期回访及巡检服务；</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8．项目供货及安装过程中产生的残留物或垃圾，需由中标供应商自行清理至校外国家有关部门指定堆放处，产品包装箱及有关产品说明书等处置需经采购人确认后处理。</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2.若采购数量与实际使用数量不一致时，</w:t>
            </w:r>
            <w:r>
              <w:rPr>
                <w:rFonts w:hint="eastAsia" w:ascii="宋体" w:hAnsi="宋体" w:cs="宋体"/>
                <w:color w:val="auto"/>
                <w:kern w:val="0"/>
                <w:szCs w:val="21"/>
                <w:highlight w:val="none"/>
                <w:lang w:eastAsia="zh-CN"/>
              </w:rPr>
              <w:t>中标供应商</w:t>
            </w:r>
            <w:r>
              <w:rPr>
                <w:rFonts w:hint="eastAsia" w:ascii="宋体" w:hAnsi="宋体" w:eastAsia="宋体" w:cs="宋体"/>
                <w:color w:val="auto"/>
                <w:kern w:val="0"/>
                <w:szCs w:val="21"/>
                <w:highlight w:val="none"/>
              </w:rPr>
              <w:t>应根据实际使用量供货，合同的最终结算金额按实际使用量乘以</w:t>
            </w:r>
            <w:r>
              <w:rPr>
                <w:rFonts w:hint="default" w:ascii="宋体" w:hAnsi="宋体" w:cs="宋体"/>
                <w:color w:val="auto"/>
                <w:kern w:val="0"/>
                <w:szCs w:val="21"/>
                <w:highlight w:val="none"/>
                <w:lang w:val="en"/>
              </w:rPr>
              <w:t>中标</w:t>
            </w:r>
            <w:r>
              <w:rPr>
                <w:rFonts w:hint="eastAsia" w:ascii="宋体" w:hAnsi="宋体" w:eastAsia="宋体" w:cs="宋体"/>
                <w:color w:val="auto"/>
                <w:kern w:val="0"/>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1.按本项目中标总金额的5%（如中标供应商为中小企业的，按本项目中标总金额的2%）收取；中标供应商在签订合同前交至指定账户。</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2.履约保证金递交方式：支票、汇票、本票、</w:t>
            </w:r>
            <w:r>
              <w:rPr>
                <w:rFonts w:hint="eastAsia" w:ascii="宋体" w:hAnsi="宋体" w:eastAsia="宋体" w:cs="宋体"/>
                <w:color w:val="auto"/>
                <w:kern w:val="0"/>
                <w:szCs w:val="21"/>
                <w:highlight w:val="none"/>
                <w:lang w:val="en"/>
              </w:rPr>
              <w:t>金融机构</w:t>
            </w:r>
            <w:r>
              <w:rPr>
                <w:rFonts w:hint="eastAsia" w:ascii="宋体" w:hAnsi="宋体" w:eastAsia="宋体" w:cs="宋体"/>
                <w:color w:val="auto"/>
                <w:kern w:val="0"/>
                <w:szCs w:val="21"/>
                <w:highlight w:val="none"/>
              </w:rPr>
              <w:t>、担保机构出具的保函等非现金形式。</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履约保证金指定账户：</w:t>
            </w:r>
          </w:p>
          <w:p>
            <w:pPr>
              <w:pStyle w:val="8"/>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开户名称：</w:t>
            </w:r>
            <w:r>
              <w:rPr>
                <w:rFonts w:hint="eastAsia" w:ascii="宋体" w:hAnsi="宋体" w:eastAsia="宋体" w:cs="宋体"/>
                <w:color w:val="auto"/>
                <w:kern w:val="0"/>
                <w:szCs w:val="21"/>
                <w:highlight w:val="none"/>
                <w:lang w:val="en"/>
              </w:rPr>
              <w:t>广西艺术学院</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w:t>
            </w:r>
            <w:r>
              <w:rPr>
                <w:rFonts w:hint="eastAsia" w:ascii="宋体" w:hAnsi="宋体" w:cs="宋体"/>
                <w:color w:val="auto"/>
                <w:szCs w:val="21"/>
                <w:highlight w:val="none"/>
              </w:rPr>
              <w:t>建行南宁市桃源支行</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w:t>
            </w:r>
            <w:r>
              <w:rPr>
                <w:rFonts w:hint="eastAsia" w:ascii="宋体" w:hAnsi="宋体" w:cs="宋体"/>
                <w:color w:val="auto"/>
                <w:szCs w:val="21"/>
                <w:highlight w:val="none"/>
              </w:rPr>
              <w:t xml:space="preserve">45001604559050500909 </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eastAsia="宋体" w:cs="宋体"/>
                <w:color w:val="auto"/>
                <w:kern w:val="0"/>
                <w:szCs w:val="21"/>
                <w:highlight w:val="none"/>
              </w:rPr>
              <w:t>3.履约保证金退付方式、时间及条件：</w:t>
            </w:r>
            <w:r>
              <w:rPr>
                <w:rFonts w:hint="eastAsia" w:ascii="宋体" w:hAnsi="宋体" w:cs="宋体"/>
                <w:color w:val="auto"/>
                <w:szCs w:val="21"/>
                <w:highlight w:val="none"/>
              </w:rPr>
              <w:t>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4．验收方式和验收材料要求</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（1）采购人在项目完成且收到中标供应商验收申请后5个工作日内组织开展履约验收。</w:t>
            </w:r>
          </w:p>
          <w:p>
            <w:pPr>
              <w:pStyle w:val="8"/>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pStyle w:val="8"/>
              <w:spacing w:line="264" w:lineRule="auto"/>
              <w:ind w:left="0" w:leftChars="0" w:firstLine="0" w:firstLineChars="0"/>
              <w:rPr>
                <w:rFonts w:hint="eastAsia" w:ascii="宋体" w:hAnsi="宋体" w:eastAsia="宋体" w:cs="宋体"/>
                <w:color w:val="auto"/>
                <w:kern w:val="0"/>
                <w:szCs w:val="21"/>
                <w:highlight w:val="none"/>
                <w:lang w:val="e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
              </w:rPr>
              <w:t>本分标货物不接受进口产品（即通过中国海关报关验放进入中国境内且产自关境外的产品）参与投标。</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3.本项目货物涉及的产品及其配件包括但不限于各类芯片等必须符合国家有关政策规定，不得使用国家禁止使用范围内的产品及其配件，否则投标无效。</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hint="eastAsia" w:ascii="宋体" w:hAnsi="宋体" w:eastAsia="宋体" w:cs="宋体"/>
                <w:b/>
                <w:bCs/>
                <w:color w:val="auto"/>
                <w:kern w:val="0"/>
                <w:szCs w:val="21"/>
                <w:highlight w:val="none"/>
              </w:rPr>
              <w:t>采购货物纳入强制性产品认证（3C认证）的，投标人所投产品必须从其规定</w:t>
            </w:r>
            <w:r>
              <w:rPr>
                <w:rFonts w:hint="eastAsia" w:ascii="宋体" w:hAnsi="宋体" w:eastAsia="宋体" w:cs="宋体"/>
                <w:color w:val="auto"/>
                <w:kern w:val="0"/>
                <w:szCs w:val="21"/>
                <w:highlight w:val="none"/>
              </w:rPr>
              <w:t>。</w:t>
            </w:r>
          </w:p>
          <w:p>
            <w:pPr>
              <w:pStyle w:val="8"/>
              <w:spacing w:line="264"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6.如投标人投标产品存在侵犯他人的知识产权或者专利成果行为的，由投标人自行承担相应法律责任。</w:t>
            </w:r>
          </w:p>
        </w:tc>
      </w:tr>
    </w:tbl>
    <w:p>
      <w:pPr>
        <w:pStyle w:val="8"/>
        <w:spacing w:line="264" w:lineRule="auto"/>
        <w:ind w:left="0" w:leftChars="0" w:firstLine="0" w:firstLineChars="0"/>
        <w:rPr>
          <w:rFonts w:hint="eastAsia" w:ascii="宋体" w:hAnsi="宋体" w:eastAsia="宋体" w:cs="宋体"/>
          <w:color w:val="auto"/>
          <w:kern w:val="0"/>
          <w:szCs w:val="21"/>
          <w:highlight w:val="none"/>
        </w:rPr>
      </w:pPr>
    </w:p>
    <w:p>
      <w:pPr>
        <w:snapToGrid w:val="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r>
        <w:rPr>
          <w:rFonts w:hint="eastAsia" w:ascii="仿宋_GB2312" w:eastAsia="仿宋_GB2312"/>
          <w:b/>
          <w:color w:val="auto"/>
          <w:szCs w:val="21"/>
          <w:highlight w:val="none"/>
        </w:rPr>
        <w:br w:type="page"/>
      </w:r>
    </w:p>
    <w:p>
      <w:pPr>
        <w:snapToGrid w:val="0"/>
        <w:rPr>
          <w:rFonts w:hint="eastAsia" w:ascii="仿宋_GB2312" w:eastAsia="仿宋_GB2312"/>
          <w:b/>
          <w:color w:val="auto"/>
          <w:szCs w:val="21"/>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2</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空调</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464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技术</w:t>
            </w:r>
            <w:r>
              <w:rPr>
                <w:rFonts w:hint="eastAsia" w:ascii="宋体" w:hAnsi="宋体" w:cs="宋体"/>
                <w:color w:val="auto"/>
                <w:sz w:val="21"/>
                <w:szCs w:val="21"/>
                <w:highlight w:val="none"/>
              </w:rPr>
              <w:t>参数：冷暖壁挂空调，正1匹，能效等级二级或以上，适用面积10平米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2"/>
                <w:sz w:val="21"/>
                <w:szCs w:val="21"/>
                <w:highlight w:val="none"/>
                <w:lang w:val="en-US" w:eastAsia="zh-CN"/>
              </w:rPr>
              <w:t>1.</w:t>
            </w:r>
            <w:r>
              <w:rPr>
                <w:rFonts w:hint="eastAsia" w:ascii="宋体" w:hAnsi="宋体" w:cs="宋体"/>
                <w:color w:val="auto"/>
                <w:sz w:val="21"/>
                <w:szCs w:val="21"/>
                <w:highlight w:val="none"/>
              </w:rPr>
              <w:t>APF:≥4.84</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额定制冷量(W):≥2660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sz w:val="21"/>
                <w:szCs w:val="21"/>
                <w:highlight w:val="none"/>
              </w:rPr>
              <w:t>额定制冷功率(W):≤620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4.</w:t>
            </w:r>
            <w:r>
              <w:rPr>
                <w:rFonts w:hint="eastAsia" w:ascii="宋体" w:hAnsi="宋体" w:cs="宋体"/>
                <w:color w:val="auto"/>
                <w:sz w:val="21"/>
                <w:szCs w:val="21"/>
                <w:highlight w:val="none"/>
              </w:rPr>
              <w:t>额定制热量(W):≥4050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5.</w:t>
            </w:r>
            <w:r>
              <w:rPr>
                <w:rFonts w:hint="eastAsia" w:ascii="宋体" w:hAnsi="宋体" w:cs="宋体"/>
                <w:color w:val="auto"/>
                <w:sz w:val="21"/>
                <w:szCs w:val="21"/>
                <w:highlight w:val="none"/>
              </w:rPr>
              <w:t>额定制热功率(W):≤1000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电辅热(W):≤850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室内机噪音dB(A）:≤40（高风档）</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室外机噪音dB(A）:≤50（高风档）</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Cs w:val="21"/>
                <w:highlight w:val="none"/>
              </w:rPr>
              <w:t>★</w:t>
            </w:r>
            <w:r>
              <w:rPr>
                <w:rFonts w:hint="eastAsia" w:ascii="宋体" w:hAnsi="宋体" w:cs="宋体"/>
                <w:color w:val="auto"/>
                <w:kern w:val="2"/>
                <w:sz w:val="21"/>
                <w:szCs w:val="21"/>
                <w:highlight w:val="none"/>
                <w:lang w:val="en-US" w:eastAsia="zh-CN"/>
              </w:rPr>
              <w:t>9.</w:t>
            </w:r>
            <w:r>
              <w:rPr>
                <w:rFonts w:hint="eastAsia" w:ascii="宋体" w:hAnsi="宋体" w:cs="宋体"/>
                <w:color w:val="auto"/>
                <w:sz w:val="21"/>
                <w:szCs w:val="21"/>
                <w:highlight w:val="none"/>
              </w:rPr>
              <w:t>循环风量（m³/h):≥670</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kern w:val="0"/>
                <w:szCs w:val="21"/>
                <w:highlight w:val="none"/>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电压/频率（V/Hz）:220V~/50Hz</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11.</w:t>
            </w:r>
            <w:r>
              <w:rPr>
                <w:rFonts w:hint="eastAsia" w:ascii="宋体" w:hAnsi="宋体" w:cs="宋体"/>
                <w:color w:val="auto"/>
                <w:sz w:val="21"/>
                <w:szCs w:val="21"/>
                <w:highlight w:val="none"/>
              </w:rPr>
              <w:t>安装要求：费用包含免费安装服务及全部辅材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按需提供</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，不再另行收取</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12.空调内机具备自清洁功能；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13.空调外机具备清洗除尘功能；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14.空调具备温度自适应调节功能；</w:t>
            </w:r>
          </w:p>
          <w:p>
            <w:pPr>
              <w:pStyle w:val="51"/>
              <w:numPr>
                <w:ilvl w:val="0"/>
                <w:numId w:val="0"/>
              </w:numPr>
              <w:spacing w:line="264" w:lineRule="auto"/>
              <w:ind w:leftChars="0"/>
              <w:rPr>
                <w:rFonts w:hint="eastAsia"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15.空调具备省电节能模式功能。</w:t>
            </w:r>
          </w:p>
          <w:p>
            <w:pPr>
              <w:pStyle w:val="51"/>
              <w:numPr>
                <w:ilvl w:val="0"/>
                <w:numId w:val="0"/>
              </w:numPr>
              <w:spacing w:line="264" w:lineRule="auto"/>
              <w:ind w:leftChars="0"/>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eastAsia="zh-CN"/>
              </w:rPr>
              <w:t>上述</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3、4、5、7项参数投标时须提供有效检测报告或产品彩页佐证，并加盖投标人公章。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kern w:val="0"/>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eastAsia="宋体" w:cs="宋体"/>
                <w:bCs/>
                <w:color w:val="auto"/>
                <w:szCs w:val="21"/>
                <w:highlight w:val="none"/>
                <w:lang w:eastAsia="zh-CN"/>
              </w:rPr>
            </w:pPr>
            <w:r>
              <w:rPr>
                <w:rFonts w:hint="eastAsia" w:ascii="宋体" w:hAnsi="宋体" w:cs="宋体"/>
                <w:color w:val="auto"/>
                <w:kern w:val="0"/>
                <w:szCs w:val="21"/>
                <w:highlight w:val="none"/>
              </w:rPr>
              <w:t>空调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hint="eastAsia" w:ascii="宋体" w:hAnsi="宋体" w:eastAsia="宋体" w:cs="宋体"/>
                <w:color w:val="auto"/>
                <w:szCs w:val="21"/>
                <w:highlight w:val="none"/>
                <w:lang w:eastAsia="zh-CN"/>
              </w:rPr>
            </w:pPr>
            <w:r>
              <w:rPr>
                <w:rFonts w:hint="eastAsia" w:ascii="宋体" w:hAnsi="宋体" w:cs="宋体"/>
                <w:color w:val="auto"/>
                <w:spacing w:val="7"/>
                <w:szCs w:val="21"/>
                <w:highlight w:val="none"/>
              </w:rPr>
              <w:t>2.交货地点：广西艺术学院内采购人指定地点</w:t>
            </w:r>
            <w:r>
              <w:rPr>
                <w:rFonts w:hint="eastAsia" w:ascii="宋体" w:hAnsi="宋体" w:cs="宋体"/>
                <w:color w:val="auto"/>
                <w:spacing w:val="7"/>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val="0"/>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pStyle w:val="2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pStyle w:val="51"/>
        <w:ind w:firstLine="240"/>
        <w:rPr>
          <w:rFonts w:hint="eastAsia" w:ascii="仿宋_GB2312" w:eastAsia="仿宋_GB2312"/>
          <w:b/>
          <w:color w:val="auto"/>
          <w:szCs w:val="21"/>
          <w:highlight w:val="none"/>
        </w:rPr>
      </w:pPr>
    </w:p>
    <w:p>
      <w:pPr>
        <w:snapToGrid w:val="0"/>
        <w:rPr>
          <w:rFonts w:hint="eastAsia" w:ascii="仿宋_GB2312" w:eastAsia="仿宋_GB2312"/>
          <w:b/>
          <w:color w:val="auto"/>
          <w:szCs w:val="21"/>
          <w:highlight w:val="none"/>
        </w:rPr>
      </w:pPr>
    </w:p>
    <w:p>
      <w:pPr>
        <w:spacing w:line="360" w:lineRule="auto"/>
        <w:ind w:firstLine="413" w:firstLineChars="196"/>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pStyle w:val="51"/>
        <w:rPr>
          <w:rFonts w:ascii="宋体" w:hAnsi="宋体"/>
          <w:b/>
          <w:color w:val="auto"/>
          <w:highlight w:val="none"/>
        </w:rPr>
      </w:pPr>
    </w:p>
    <w:p>
      <w:pPr>
        <w:spacing w:line="360" w:lineRule="auto"/>
        <w:ind w:firstLine="413" w:firstLineChars="196"/>
        <w:rPr>
          <w:rFonts w:hint="eastAsia" w:ascii="宋体" w:hAnsi="宋体"/>
          <w:b/>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3</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1．版画收纳柜0号（灰白色上中下三节高1750×1300×930mm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，带轮）；</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2.整体采用国标冷轧钢板制作，三节式，每节五抽，每套共计15抽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表面采用环氧聚脂塑粉经高压静电喷涂，180度高温烘烤熔化成型；</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★冷轧钢板板材厚度≥1.2mm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丝网制</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eastAsia="宋体" w:cs="宋体"/>
                <w:color w:val="auto"/>
                <w:sz w:val="21"/>
                <w:szCs w:val="21"/>
                <w:highlight w:val="none"/>
                <w:lang w:bidi="ar"/>
              </w:rPr>
            </w:pPr>
            <w:r>
              <w:rPr>
                <w:rFonts w:hint="eastAsia" w:ascii="宋体" w:hAnsi="宋体" w:cs="宋体"/>
                <w:color w:val="auto"/>
                <w:sz w:val="21"/>
                <w:szCs w:val="21"/>
                <w:highlight w:val="none"/>
              </w:rPr>
              <w:t>1．规格：1200×2400×750mm（高）</w:t>
            </w:r>
            <w:r>
              <w:rPr>
                <w:rStyle w:val="108"/>
                <w:rFonts w:ascii="宋体" w:hAnsi="宋体" w:eastAsia="宋体" w:cs="宋体"/>
                <w:color w:val="auto"/>
                <w:sz w:val="21"/>
                <w:szCs w:val="21"/>
                <w:highlight w:val="none"/>
                <w:lang w:bidi="ar"/>
              </w:rPr>
              <w:t>（±5mm）；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★2．桌面上配≥12mm厚度钢化玻璃台面，≥80x80mm方通钢管桌架，≥</w:t>
            </w:r>
            <w:r>
              <w:rPr>
                <w:rFonts w:hint="eastAsia" w:ascii="宋体" w:hAnsi="宋体" w:eastAsia="宋体" w:cs="宋体"/>
                <w:color w:val="auto"/>
                <w:kern w:val="2"/>
                <w:sz w:val="21"/>
                <w:szCs w:val="21"/>
                <w:highlight w:val="none"/>
              </w:rPr>
              <w:t>30</w:t>
            </w:r>
            <w:r>
              <w:rPr>
                <w:rFonts w:hint="eastAsia" w:ascii="宋体" w:hAnsi="宋体" w:cs="宋体"/>
                <w:color w:val="auto"/>
                <w:sz w:val="21"/>
                <w:szCs w:val="21"/>
                <w:highlight w:val="none"/>
              </w:rPr>
              <w:t>mm</w:t>
            </w:r>
            <w:r>
              <w:rPr>
                <w:rFonts w:ascii="仿宋" w:hAnsi="仿宋" w:eastAsia="仿宋" w:cs="宋体"/>
                <w:color w:val="auto"/>
                <w:kern w:val="0"/>
                <w:sz w:val="20"/>
                <w:szCs w:val="20"/>
                <w:highlight w:val="none"/>
              </w:rPr>
              <w:t>m</w:t>
            </w:r>
            <w:r>
              <w:rPr>
                <w:rFonts w:hint="eastAsia" w:ascii="宋体" w:hAnsi="宋体" w:cs="宋体"/>
                <w:color w:val="auto"/>
                <w:sz w:val="21"/>
                <w:szCs w:val="21"/>
                <w:highlight w:val="none"/>
              </w:rPr>
              <w:t>木质板面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收纳柜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版画收纳柜0号（灰白色单节高650×1300×930mm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，带轮）；</w:t>
            </w:r>
          </w:p>
          <w:p>
            <w:pPr>
              <w:pStyle w:val="51"/>
              <w:numPr>
                <w:ilvl w:val="0"/>
                <w:numId w:val="0"/>
              </w:numPr>
              <w:spacing w:line="264" w:lineRule="auto"/>
              <w:ind w:left="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2．整体采用国标冷轧钢板制作，表面采用环氧聚脂塑粉经高压静电喷涂，180度高温烘烤熔化成型；</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★冷轧钢板板材厚度≥1.2mm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规格：800（长）×600×600mm（高）；</w:t>
            </w:r>
          </w:p>
          <w:p>
            <w:pPr>
              <w:pStyle w:val="51"/>
              <w:numPr>
                <w:ilvl w:val="0"/>
                <w:numId w:val="0"/>
              </w:numPr>
              <w:spacing w:line="264" w:lineRule="auto"/>
              <w:ind w:left="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2．采用国标冷轧钢板制作，自带万向轮 移动更方便，带移动轮（内隔层，加厚钢板 稳固承重，上层约20cm，下层约40cm，对开门，产品表面色泽均匀平整强有力附着，静电喷涂，防水防潮，易清洁，耐刮痕）</w:t>
            </w:r>
            <w:r>
              <w:rPr>
                <w:rFonts w:hint="eastAsia" w:ascii="宋体" w:hAnsi="宋体" w:cs="宋体"/>
                <w:color w:val="auto"/>
                <w:sz w:val="21"/>
                <w:szCs w:val="21"/>
                <w:highlight w:val="none"/>
                <w:lang w:eastAsia="zh-CN"/>
              </w:rPr>
              <w:t>；</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★板材厚度</w:t>
            </w:r>
            <w:r>
              <w:rPr>
                <w:rStyle w:val="108"/>
                <w:rFonts w:ascii="宋体" w:hAnsi="宋体" w:eastAsia="宋体" w:cs="宋体"/>
                <w:color w:val="auto"/>
                <w:sz w:val="21"/>
                <w:szCs w:val="21"/>
                <w:highlight w:val="none"/>
                <w:lang w:bidi="ar"/>
              </w:rPr>
              <w:t>≥</w:t>
            </w:r>
            <w:r>
              <w:rPr>
                <w:rFonts w:hint="eastAsia" w:ascii="宋体" w:hAnsi="宋体" w:cs="宋体"/>
                <w:color w:val="auto"/>
                <w:sz w:val="21"/>
                <w:szCs w:val="21"/>
                <w:highlight w:val="none"/>
              </w:rPr>
              <w:t>0.7mm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3．其中冷轧钢板符合GB/T 11253-2019</w:t>
            </w:r>
            <w:r>
              <w:rPr>
                <w:rStyle w:val="108"/>
                <w:rFonts w:ascii="宋体" w:hAnsi="宋体" w:eastAsia="宋体" w:cs="宋体"/>
                <w:color w:val="auto"/>
                <w:sz w:val="21"/>
                <w:szCs w:val="21"/>
                <w:highlight w:val="none"/>
                <w:lang w:bidi="ar"/>
              </w:rPr>
              <w:t>《碳素结构钢冷钢板及钢带》标准要求；塑粉符合</w:t>
            </w:r>
            <w:r>
              <w:rPr>
                <w:rFonts w:hint="eastAsia" w:ascii="宋体" w:hAnsi="宋体" w:cs="宋体"/>
                <w:color w:val="auto"/>
                <w:kern w:val="0"/>
                <w:sz w:val="21"/>
                <w:szCs w:val="21"/>
                <w:highlight w:val="none"/>
                <w:lang w:bidi="ar"/>
              </w:rPr>
              <w:t>HG/T 2006-2022《热固性和热塑性粉沫涂料》标准要求。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磨版架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防腐硬木制，木脚榫头设计，侧面榫头增加承重加螺丝固定牢固耐用，800×800×1500mm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耐腐蚀溶剂柜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1．PP酸碱柜试剂化学品药品实验室通风柜安全柜，四门药品柜，加厚</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2．规格：1800×900×450mm无铅环氧树脂漆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3．柜体内外涂有无铅环氧树脂漆，很大程度上增加抗化学品得能力，超强承重力层板，上下灵活调节，自由放置，活动式可调设计层板，上下调节卡位最高承重200KG</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水印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1．1200×2400×750mm（高）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numPr>
                <w:ilvl w:val="0"/>
                <w:numId w:val="12"/>
              </w:numPr>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采用加厚25mm厚度橡胶木指接板桌面，使用实木原料，非人造板材,健康环保，选用国标水性等环保油漆，甲醛释放达到欧盟环保标准，边缘圆角设计，防止磕碰，≥80x80mm黑色异形钢桌</w:t>
            </w:r>
            <w:r>
              <w:rPr>
                <w:rFonts w:hint="eastAsia" w:ascii="宋体" w:hAnsi="宋体" w:cs="宋体"/>
                <w:color w:val="auto"/>
                <w:sz w:val="21"/>
                <w:szCs w:val="21"/>
                <w:highlight w:val="none"/>
                <w:lang w:val="en-US" w:eastAsia="zh-CN"/>
              </w:rPr>
              <w:t>架</w:t>
            </w:r>
            <w:r>
              <w:rPr>
                <w:rFonts w:hint="eastAsia" w:ascii="宋体" w:hAnsi="宋体" w:cs="宋体"/>
                <w:color w:val="auto"/>
                <w:sz w:val="21"/>
                <w:szCs w:val="21"/>
                <w:highlight w:val="none"/>
              </w:rPr>
              <w:t>，桌架表面采用环氧聚脂塑粉经高压静电喷涂，180度高温烘烤熔化成型；</w:t>
            </w:r>
          </w:p>
          <w:p>
            <w:pPr>
              <w:pStyle w:val="51"/>
              <w:numPr>
                <w:ilvl w:val="-1"/>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★配≥12mm厚度钢化玻璃台面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木版画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1．1200x2400cmx750mm（高）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结构稳固,不易开裂,稳固承重；</w:t>
            </w:r>
          </w:p>
          <w:p>
            <w:pPr>
              <w:pStyle w:val="51"/>
              <w:numPr>
                <w:ilvl w:val="-1"/>
                <w:numId w:val="0"/>
              </w:numPr>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★配12mm厚度钢化玻璃台面</w:t>
            </w:r>
            <w:r>
              <w:rPr>
                <w:rFonts w:hint="eastAsia" w:ascii="宋体" w:hAnsi="宋体" w:cs="宋体"/>
                <w:color w:val="auto"/>
                <w:sz w:val="21"/>
                <w:szCs w:val="21"/>
                <w:highlight w:val="none"/>
                <w:lang w:eastAsia="zh-CN"/>
              </w:rPr>
              <w:t>；</w:t>
            </w:r>
          </w:p>
          <w:p>
            <w:pPr>
              <w:pStyle w:val="51"/>
              <w:numPr>
                <w:ilvl w:val="-1"/>
                <w:numId w:val="0"/>
              </w:numPr>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台面</w:t>
            </w:r>
            <w:r>
              <w:rPr>
                <w:rFonts w:hint="eastAsia" w:ascii="宋体" w:hAnsi="宋体" w:cs="宋体"/>
                <w:color w:val="auto"/>
                <w:sz w:val="21"/>
                <w:szCs w:val="21"/>
                <w:highlight w:val="none"/>
              </w:rPr>
              <w:t>防烫抗污 一擦即净耐高温300度以上，抵抗油污，长效透亮易清理,高硬度 耐刮防滑，80×80×1.2mm厚异形钢桌架，桌架表面采用环氧聚脂塑粉经高压静电喷涂，180度高温烘烤熔化成型；</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彩色激光多功能一体机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三合一</w:t>
            </w:r>
            <w:r>
              <w:rPr>
                <w:rFonts w:hint="eastAsia" w:ascii="宋体" w:hAnsi="宋体" w:cs="宋体"/>
                <w:color w:val="auto"/>
                <w:sz w:val="21"/>
                <w:szCs w:val="21"/>
                <w:highlight w:val="none"/>
                <w:lang w:val="en-US" w:eastAsia="zh-CN"/>
              </w:rPr>
              <w:t>功能：</w:t>
            </w:r>
            <w:r>
              <w:rPr>
                <w:rFonts w:hint="eastAsia" w:ascii="宋体" w:hAnsi="宋体" w:cs="宋体"/>
                <w:color w:val="auto"/>
                <w:sz w:val="21"/>
                <w:szCs w:val="21"/>
                <w:highlight w:val="none"/>
              </w:rPr>
              <w:t>打印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复印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扫描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可</w:t>
            </w:r>
            <w:r>
              <w:rPr>
                <w:rFonts w:hint="eastAsia" w:ascii="宋体" w:hAnsi="宋体" w:cs="宋体"/>
                <w:color w:val="auto"/>
                <w:sz w:val="21"/>
                <w:szCs w:val="21"/>
                <w:highlight w:val="none"/>
              </w:rPr>
              <w:t>无线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1．工作长桌桌椅组合，铁艺桌腿，环保板材、结构稳固、防潮防腐防锈处理，轻便耐用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2．加厚25mm桌面配12mm厚度钢化玻璃台面，灰橡木材质</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3．尺寸：长2400宽×1200×高740mm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4．含老板椅8张</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spacing w:line="264" w:lineRule="auto"/>
              <w:ind w:firstLine="0" w:firstLineChars="0"/>
              <w:rPr>
                <w:color w:val="auto"/>
                <w:sz w:val="21"/>
                <w:szCs w:val="21"/>
                <w:highlight w:val="none"/>
              </w:rPr>
            </w:pPr>
            <w:r>
              <w:rPr>
                <w:rFonts w:hint="eastAsia"/>
                <w:color w:val="auto"/>
                <w:sz w:val="21"/>
                <w:szCs w:val="21"/>
                <w:highlight w:val="none"/>
              </w:rPr>
              <w:t>1．使用铁艺桌腿，环保板材、结构稳固、防潮防腐防锈处理，轻便耐用；</w:t>
            </w:r>
          </w:p>
          <w:p>
            <w:pPr>
              <w:pStyle w:val="51"/>
              <w:spacing w:line="264" w:lineRule="auto"/>
              <w:ind w:firstLine="0" w:firstLineChars="0"/>
              <w:rPr>
                <w:color w:val="auto"/>
                <w:sz w:val="21"/>
                <w:szCs w:val="21"/>
                <w:highlight w:val="none"/>
              </w:rPr>
            </w:pPr>
            <w:r>
              <w:rPr>
                <w:rFonts w:hint="eastAsia"/>
                <w:color w:val="auto"/>
                <w:sz w:val="21"/>
                <w:szCs w:val="21"/>
                <w:highlight w:val="none"/>
              </w:rPr>
              <w:t>2．E1健康板材加厚25mm桌面 采用灰橡木色板材；</w:t>
            </w:r>
          </w:p>
          <w:p>
            <w:pPr>
              <w:pStyle w:val="51"/>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rPr>
              <w:t>3．尺寸：长1600</w:t>
            </w:r>
            <w:r>
              <w:rPr>
                <w:rFonts w:hint="eastAsia" w:ascii="宋体" w:hAnsi="宋体" w:cs="宋体"/>
                <w:color w:val="auto"/>
                <w:sz w:val="21"/>
                <w:szCs w:val="21"/>
                <w:highlight w:val="none"/>
              </w:rPr>
              <w:t>×</w:t>
            </w:r>
            <w:r>
              <w:rPr>
                <w:rFonts w:hint="eastAsia"/>
                <w:color w:val="auto"/>
                <w:sz w:val="21"/>
                <w:szCs w:val="21"/>
                <w:highlight w:val="none"/>
              </w:rPr>
              <w:t>宽800</w:t>
            </w:r>
            <w:r>
              <w:rPr>
                <w:rFonts w:hint="eastAsia" w:ascii="宋体" w:hAnsi="宋体" w:cs="宋体"/>
                <w:color w:val="auto"/>
                <w:sz w:val="21"/>
                <w:szCs w:val="21"/>
                <w:highlight w:val="none"/>
              </w:rPr>
              <w:t>×</w:t>
            </w:r>
            <w:r>
              <w:rPr>
                <w:rFonts w:hint="eastAsia"/>
                <w:color w:val="auto"/>
                <w:sz w:val="21"/>
                <w:szCs w:val="21"/>
                <w:highlight w:val="none"/>
              </w:rPr>
              <w:t>高740mm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铁皮</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1．产品类型：双开门铁皮储物文件柜，灰色</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numPr>
                <w:ilvl w:val="0"/>
                <w:numId w:val="0"/>
              </w:numPr>
              <w:spacing w:line="264" w:lineRule="auto"/>
              <w:ind w:left="0"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2．≥1.0mm厚度带背板带万向轮，产品表面色泽均匀平整强有力附着，静电喷涂，防水防潮，易清洁，耐刮痕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3．尺寸：约800x400x1000x320mm</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中号</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储物柜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1．800（长）×600×600mm（高）</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2．带移动轮（内隔层，上层20cm，下层40cm，对开门），≥1.4㎝厚度指接加厚板材，采用优质加厚实木材料打造，甲醛释放量低于国标</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书籍</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展示台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1．玻璃展示柜台，尺寸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约长100cm,宽50cm</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底部采用国标E0级多层实木板柜体，表面三聚氰胺贴面纸热压贴面，封边采用≧1.5mm厚PVC封边条机械封边；结构稳固承载力强，柜体带大容量抽屉，上部展示区采用≧5mm厚的耐高温的3C钢化玻璃制作，要求整体防水易清洗</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★板材厚度≧18mm厚</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 w:val="21"/>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 w:val="21"/>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定制置物架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19.2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平方米</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1．根据现场分别定制多层板储物柜，长度8米，高度约2.4米，深度根据现场分别定制，材料采用国标E0级多层实木板；</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2．★背板厚度≧9mm厚，其它厚度≧18mm厚</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表面三聚氰胺贴面纸热压贴面，封边采用≧1.5mm厚PVC封边条机械封边；</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 w:val="21"/>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 w:val="21"/>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1.规格：长2000×宽1000×高750mm；</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2.采用橡胶木实木台面和桌脚，自然纹理结实耐用，表面采用国标环保油漆喷涂；</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★台面厚度≥50mm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1.</w:t>
            </w:r>
            <w:r>
              <w:rPr>
                <w:rFonts w:hint="eastAsia" w:ascii="宋体" w:hAnsi="宋体" w:cs="宋体"/>
                <w:color w:val="auto"/>
                <w:kern w:val="0"/>
                <w:sz w:val="21"/>
                <w:szCs w:val="21"/>
                <w:highlight w:val="none"/>
                <w:lang w:bidi="ar"/>
              </w:rPr>
              <w:t>规格：长585×570×1005mm</w:t>
            </w:r>
            <w:r>
              <w:rPr>
                <w:rFonts w:hint="eastAsia"/>
                <w:color w:val="auto"/>
                <w:highlight w:val="none"/>
              </w:rPr>
              <w:t>（</w:t>
            </w:r>
            <w:r>
              <w:rPr>
                <w:rFonts w:hint="eastAsia" w:ascii="宋体" w:hAnsi="宋体" w:cs="宋体"/>
                <w:color w:val="auto"/>
                <w:kern w:val="0"/>
                <w:sz w:val="21"/>
                <w:szCs w:val="21"/>
                <w:highlight w:val="none"/>
                <w:lang w:bidi="ar"/>
              </w:rPr>
              <w:t>±5mm</w:t>
            </w:r>
            <w:r>
              <w:rPr>
                <w:rFonts w:hint="eastAsia"/>
                <w:color w:val="auto"/>
                <w:highlight w:val="none"/>
              </w:rPr>
              <w:t>）</w:t>
            </w:r>
            <w:r>
              <w:rPr>
                <w:rFonts w:hint="eastAsia" w:ascii="宋体" w:hAnsi="宋体" w:cs="宋体"/>
                <w:color w:val="auto"/>
                <w:kern w:val="0"/>
                <w:sz w:val="21"/>
                <w:szCs w:val="21"/>
                <w:highlight w:val="none"/>
                <w:lang w:bidi="ar"/>
              </w:rPr>
              <w:t>；</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2.功能：可升降座椅，脊护腰靠，有倾仰功能；</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3.椅架：采用全新料加纤背框及扶手，PP塑胶底壳，PP塑料通过GB 28481-2012《塑料家具中有害物质限量》、GB/T32487-2016《塑料家具通用技术条件》标准检测合格；≥2.5mm厚度原位锁定蝴蝶底盘</w:t>
            </w:r>
            <w:r>
              <w:rPr>
                <w:rFonts w:hint="eastAsia" w:ascii="宋体" w:hAnsi="宋体" w:cs="宋体"/>
                <w:color w:val="auto"/>
                <w:kern w:val="0"/>
                <w:sz w:val="21"/>
                <w:szCs w:val="21"/>
                <w:highlight w:val="none"/>
                <w:lang w:eastAsia="zh-CN" w:bidi="ar"/>
              </w:rPr>
              <w:t>；</w:t>
            </w:r>
          </w:p>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4.面料：采用高强度耐磨透气网布面料，网布通过GB 18401-2010《国家纺织品基本安全技术规范》标准检测合格；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6.气压棒：采用国标三级电镀气压棒，气压棒通过GB/T 10125-2021《人造气氛腐蚀试验 盐雾试验》、QB/T 3832-1999《轻工产品金属镀层腐蚀试验结果的评价》、QB/T 2280-2016《办公家具 办公椅》、GB/T29525-2013《座椅升降气弹簧 技术条件》标准检测合格；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7.转脚：采用直径≥330mm全新料加纤五星脚，安装5个超强承重静音万向轮，万向轮通过QB/T 4765-2014《家具用脚轮》的要求检测合格；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8.颜色：黑色。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rPr>
                <w:rStyle w:val="108"/>
                <w:rFonts w:hint="eastAsia" w:ascii="宋体" w:hAnsi="宋体" w:eastAsia="宋体" w:cs="宋体"/>
                <w:color w:val="auto"/>
                <w:sz w:val="21"/>
                <w:szCs w:val="21"/>
                <w:highlight w:val="none"/>
                <w:lang w:eastAsia="zh-CN" w:bidi="ar"/>
              </w:rPr>
            </w:pPr>
            <w:r>
              <w:rPr>
                <w:rFonts w:hint="eastAsia" w:ascii="宋体" w:hAnsi="宋体" w:cs="宋体"/>
                <w:color w:val="auto"/>
                <w:szCs w:val="21"/>
                <w:highlight w:val="none"/>
              </w:rPr>
              <w:t>1．转角电脑桌长1600*宽1100*高可升降710-1170mm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eastAsia="zh-CN" w:bidi="ar"/>
              </w:rPr>
              <w:t>；</w:t>
            </w:r>
          </w:p>
          <w:p>
            <w:pPr>
              <w:rPr>
                <w:rFonts w:hint="eastAsia" w:ascii="宋体" w:hAnsi="宋体" w:cs="宋体"/>
                <w:color w:val="auto"/>
                <w:szCs w:val="21"/>
                <w:highlight w:val="none"/>
              </w:rPr>
            </w:pPr>
            <w:r>
              <w:rPr>
                <w:rFonts w:hint="eastAsia" w:ascii="宋体" w:hAnsi="宋体" w:cs="宋体"/>
                <w:color w:val="auto"/>
                <w:szCs w:val="21"/>
                <w:highlight w:val="none"/>
              </w:rPr>
              <w:t>2．桌面板采用≧25mm</w:t>
            </w:r>
            <w:r>
              <w:rPr>
                <w:rFonts w:hint="eastAsia" w:ascii="Arial" w:hAnsi="Arial" w:cs="宋体"/>
                <w:color w:val="auto"/>
                <w:szCs w:val="21"/>
                <w:highlight w:val="none"/>
              </w:rPr>
              <w:t>三聚氰胺饰面人造</w:t>
            </w:r>
            <w:r>
              <w:rPr>
                <w:rFonts w:hint="eastAsia" w:ascii="宋体" w:hAnsi="宋体" w:cs="宋体"/>
                <w:color w:val="auto"/>
                <w:szCs w:val="21"/>
                <w:highlight w:val="none"/>
              </w:rPr>
              <w:t>板制作，四边采用≧1.5mm厚PVC封边条机械封边，桌架采用金属升降支撑架；</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板符合GB/T 15102-2017《浸渍胶膜纸饰面纤维板和刨花板》、</w:t>
            </w:r>
            <w:r>
              <w:rPr>
                <w:rFonts w:hint="eastAsia" w:cs="宋体"/>
                <w:color w:val="auto"/>
                <w:sz w:val="21"/>
                <w:szCs w:val="21"/>
                <w:highlight w:val="none"/>
              </w:rPr>
              <w:t>GB/T 39600-2021《人造板及其制品甲醛释放量分级、GB/T 35607-2024《绿色产品评价 家具》和</w:t>
            </w:r>
            <w:r>
              <w:rPr>
                <w:rFonts w:cs="宋体"/>
                <w:color w:val="auto"/>
                <w:sz w:val="21"/>
                <w:szCs w:val="21"/>
                <w:highlight w:val="none"/>
              </w:rPr>
              <w:t>HJ 571-20</w:t>
            </w:r>
            <w:r>
              <w:rPr>
                <w:rFonts w:hint="eastAsia" w:cs="宋体"/>
                <w:color w:val="auto"/>
                <w:sz w:val="21"/>
                <w:szCs w:val="21"/>
                <w:highlight w:val="none"/>
              </w:rPr>
              <w:t>10</w:t>
            </w:r>
            <w:r>
              <w:rPr>
                <w:rFonts w:cs="宋体"/>
                <w:color w:val="auto"/>
                <w:sz w:val="21"/>
                <w:szCs w:val="21"/>
                <w:highlight w:val="none"/>
              </w:rPr>
              <w:t>《环境标志产品技术要求人造板及其制品 》</w:t>
            </w:r>
            <w:r>
              <w:rPr>
                <w:rFonts w:hint="eastAsia" w:cs="宋体"/>
                <w:color w:val="auto"/>
                <w:sz w:val="21"/>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 w:val="21"/>
                <w:szCs w:val="21"/>
                <w:highlight w:val="none"/>
              </w:rPr>
              <w:t>《家具用封边条技术要求》和GB 28481-2012《塑料家具中有害物质限量》标准要求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多功能</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1．规格：1800×2000×750mm</w:t>
            </w:r>
            <w:r>
              <w:rPr>
                <w:rStyle w:val="108"/>
                <w:rFonts w:ascii="宋体" w:hAnsi="宋体" w:eastAsia="宋体" w:cs="宋体"/>
                <w:color w:val="auto"/>
                <w:sz w:val="21"/>
                <w:szCs w:val="21"/>
                <w:highlight w:val="none"/>
                <w:lang w:bidi="ar"/>
              </w:rPr>
              <w:t>（±5mm）</w:t>
            </w:r>
            <w:r>
              <w:rPr>
                <w:rFonts w:hint="eastAsia" w:ascii="宋体" w:hAnsi="宋体" w:cs="宋体"/>
                <w:color w:val="auto"/>
                <w:sz w:val="21"/>
                <w:szCs w:val="21"/>
                <w:highlight w:val="none"/>
              </w:rPr>
              <w:t>；</w:t>
            </w:r>
          </w:p>
          <w:p>
            <w:pPr>
              <w:pStyle w:val="51"/>
              <w:spacing w:line="264" w:lineRule="auto"/>
              <w:ind w:firstLine="0" w:firstLineChars="0"/>
              <w:rPr>
                <w:rFonts w:ascii="宋体" w:hAnsi="宋体" w:cs="宋体"/>
                <w:color w:val="auto"/>
                <w:sz w:val="21"/>
                <w:szCs w:val="21"/>
                <w:highlight w:val="none"/>
              </w:rPr>
            </w:pPr>
            <w:r>
              <w:rPr>
                <w:rStyle w:val="108"/>
                <w:rFonts w:hint="default" w:ascii="宋体" w:hAnsi="宋体" w:eastAsia="宋体" w:cs="宋体"/>
                <w:color w:val="auto"/>
                <w:sz w:val="21"/>
                <w:szCs w:val="21"/>
                <w:highlight w:val="none"/>
                <w:lang w:bidi="ar"/>
              </w:rPr>
              <w:t>2．</w:t>
            </w:r>
            <w:r>
              <w:rPr>
                <w:rStyle w:val="108"/>
                <w:rFonts w:ascii="宋体" w:hAnsi="宋体" w:eastAsia="宋体" w:cs="宋体"/>
                <w:color w:val="auto"/>
                <w:sz w:val="21"/>
                <w:szCs w:val="21"/>
                <w:highlight w:val="none"/>
                <w:lang w:bidi="ar"/>
              </w:rPr>
              <w:t>采用</w:t>
            </w:r>
            <w:r>
              <w:rPr>
                <w:rFonts w:hint="eastAsia" w:ascii="宋体" w:hAnsi="宋体" w:cs="宋体"/>
                <w:color w:val="auto"/>
                <w:sz w:val="21"/>
                <w:szCs w:val="21"/>
                <w:highlight w:val="none"/>
              </w:rPr>
              <w:t>加厚≧25mm厚度橡胶木指接板桌面，使用实木原料，非人造板材,健康环保，选用国标水性等环保油漆，甲醛释放达到欧盟环保标准，边缘圆角设计，防止磕碰，≧1.2mm厚钢桌架配滑动轮，桌架表面采用环氧聚脂塑粉经高压静电喷涂，180度高温烘烤熔化成型；</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3．其中钢管管材符合QB/T 3094-2012</w:t>
            </w:r>
            <w:r>
              <w:rPr>
                <w:rFonts w:hint="eastAsia" w:ascii="宋体" w:hAnsi="宋体" w:cs="宋体"/>
                <w:color w:val="auto"/>
                <w:kern w:val="0"/>
                <w:sz w:val="21"/>
                <w:szCs w:val="21"/>
                <w:highlight w:val="none"/>
                <w:lang w:bidi="ar"/>
              </w:rPr>
              <w:t>《冷拔异形钢管》标准要求；</w:t>
            </w:r>
            <w:r>
              <w:rPr>
                <w:rFonts w:hint="eastAsia" w:ascii="宋体" w:hAnsi="宋体" w:cs="宋体"/>
                <w:color w:val="auto"/>
                <w:sz w:val="21"/>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kern w:val="0"/>
                <w:sz w:val="21"/>
                <w:szCs w:val="21"/>
                <w:highlight w:val="none"/>
                <w:lang w:bidi="ar"/>
              </w:rPr>
            </w:pPr>
            <w:r>
              <w:rPr>
                <w:rFonts w:hint="eastAsia" w:ascii="宋体" w:hAnsi="宋体" w:cs="宋体"/>
                <w:color w:val="auto"/>
                <w:sz w:val="21"/>
                <w:szCs w:val="21"/>
                <w:highlight w:val="none"/>
              </w:rPr>
              <w:t>1．规格：</w:t>
            </w:r>
            <w:r>
              <w:rPr>
                <w:rFonts w:hint="eastAsia" w:ascii="宋体" w:hAnsi="宋体" w:cs="宋体"/>
                <w:color w:val="auto"/>
                <w:kern w:val="0"/>
                <w:sz w:val="21"/>
                <w:szCs w:val="21"/>
                <w:highlight w:val="none"/>
                <w:lang w:bidi="ar"/>
              </w:rPr>
              <w:t>长490×520×880mm</w:t>
            </w:r>
            <w:r>
              <w:rPr>
                <w:rFonts w:hint="eastAsia"/>
                <w:color w:val="auto"/>
                <w:highlight w:val="none"/>
              </w:rPr>
              <w:t>（</w:t>
            </w:r>
            <w:r>
              <w:rPr>
                <w:rFonts w:hint="eastAsia" w:ascii="宋体" w:hAnsi="宋体" w:cs="宋体"/>
                <w:color w:val="auto"/>
                <w:kern w:val="0"/>
                <w:sz w:val="21"/>
                <w:szCs w:val="21"/>
                <w:highlight w:val="none"/>
                <w:lang w:bidi="ar"/>
              </w:rPr>
              <w:t>±5mm</w:t>
            </w:r>
            <w:r>
              <w:rPr>
                <w:rFonts w:hint="eastAsia"/>
                <w:color w:val="auto"/>
                <w:highlight w:val="none"/>
              </w:rPr>
              <w:t>）</w:t>
            </w:r>
            <w:r>
              <w:rPr>
                <w:rFonts w:hint="eastAsia" w:ascii="宋体" w:hAnsi="宋体" w:cs="宋体"/>
                <w:color w:val="auto"/>
                <w:kern w:val="0"/>
                <w:sz w:val="21"/>
                <w:szCs w:val="21"/>
                <w:highlight w:val="none"/>
                <w:lang w:bidi="ar"/>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kern w:val="0"/>
                <w:sz w:val="21"/>
                <w:szCs w:val="21"/>
                <w:highlight w:val="none"/>
                <w:lang w:bidi="ar"/>
              </w:rPr>
              <w:t>2．椅架</w:t>
            </w:r>
            <w:r>
              <w:rPr>
                <w:rFonts w:hint="eastAsia" w:ascii="宋体" w:hAnsi="宋体" w:cs="宋体"/>
                <w:color w:val="auto"/>
                <w:sz w:val="21"/>
                <w:szCs w:val="21"/>
                <w:highlight w:val="none"/>
              </w:rPr>
              <w:t>：采用加粗框架管材椅架；</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3</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面料：采用高强度耐磨透气网布面料，网布通过GB 18401-2010《国家纺织品基本安全技术规范》标准检测合格；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4</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海绵：采用高弹性聚胺脂定型海绵(模具一次成型)高弹阻燃海绵填充，阻燃海绵通过GB/T 10802-2023《通用软质聚氨酯泡沫塑料》、QB/T 2280-2016《办公家具 办公椅》、GB 8624-2012《建筑材料及制品燃烧性能分级》标准检测合格；</w:t>
            </w:r>
            <w:r>
              <w:rPr>
                <w:rFonts w:hint="eastAsia" w:ascii="宋体" w:hAnsi="宋体" w:cs="宋体"/>
                <w:color w:val="auto"/>
                <w:kern w:val="0"/>
                <w:sz w:val="21"/>
                <w:szCs w:val="21"/>
                <w:highlight w:val="none"/>
                <w:lang w:bidi="ar"/>
              </w:rPr>
              <w:br w:type="textWrapping"/>
            </w:r>
            <w:r>
              <w:rPr>
                <w:rFonts w:hint="eastAsia" w:ascii="宋体" w:hAnsi="宋体" w:cs="宋体"/>
                <w:color w:val="auto"/>
                <w:kern w:val="0"/>
                <w:sz w:val="21"/>
                <w:szCs w:val="21"/>
                <w:highlight w:val="none"/>
                <w:lang w:bidi="ar"/>
              </w:rPr>
              <w:t>5</w:t>
            </w:r>
            <w:r>
              <w:rPr>
                <w:rStyle w:val="108"/>
                <w:rFonts w:hint="default" w:ascii="宋体" w:hAnsi="宋体" w:eastAsia="宋体" w:cs="宋体"/>
                <w:color w:val="auto"/>
                <w:sz w:val="21"/>
                <w:szCs w:val="21"/>
                <w:highlight w:val="none"/>
                <w:lang w:bidi="ar"/>
              </w:rPr>
              <w:t>．</w:t>
            </w:r>
            <w:r>
              <w:rPr>
                <w:rFonts w:hint="eastAsia" w:ascii="宋体" w:hAnsi="宋体" w:cs="宋体"/>
                <w:color w:val="auto"/>
                <w:kern w:val="0"/>
                <w:sz w:val="21"/>
                <w:szCs w:val="21"/>
                <w:highlight w:val="none"/>
                <w:lang w:bidi="ar"/>
              </w:rPr>
              <w:t>颜色：黑色。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高清</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扫描仪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A4双面彩色馈纸式文档扫描仪</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扫描宽度达到：24.2 x 35.6 公分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扫描介质重量：25-450 克/平方米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扫描驱动软件带有智能化处理的完美页面扫描功能，完成影像的歪斜校正、原稿尺寸裁剪、去底色、旋转、去白页、加框等功能。可同时得到扫描稿件的黑白、灰度、彩色三种影像输出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全功能扫描仪，支持连续扫描，直通道送纸机构，支持混合纸张扫描，自带扫描影像智能化扫描处理功能，可以扫描身份证等卡片，还可以扫描242mm超宽报表及加长稿件。体积小、功能全，品质稳定，黑白、灰度及彩色扫描同速。进纸采用双滚轮组合，进纸平顺，耗材更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高速USB2.0接口，即插即用。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高清色彩打印机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1．宽幅打印、扫描、复印三合一；</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2．幅面: A4</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3．颜色:彩色</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4．打印速度: 草稿模式：34页；正常速度：黑白22PPM，彩色18PPM</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5．内存:512MB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★6．处理器:1.2GHz</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★7．首页打印:黑白12秒，彩色13秒</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8．打印分辨率:1200×1200dpi</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9．月负荷:30000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10．打印语言:HP PCL3 GUI</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11．接口:USB2.0; 网络:有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12．双面打印:自动双面</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13．随机耗材:800页; 标准耗材1250页/2500页</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14．功耗:手动关闭0.11W待机4.67W睡眠1.17W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15．噪音:声功率6.8B（A）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16．4.3 英寸彩色触控屏</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投影仪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投影技术： 搭载4K画质引擎芯片、搭载4K画质解码芯片以及ASIC控制芯片，并采用DLP色轮成像技术；</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根据ISO21118检测标准，标准亮度：≥6300流明，投标时须提供具备CMA资质的第三方检测机构针对该产品参数的检测值报告复印件，原件备查；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标准物理分辨率：3840x2160DPI或以上，以兼容分辨率应标无效，</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光源：纯激光固态光源，寿命≥20000小时，</w:t>
            </w:r>
            <w:r>
              <w:rPr>
                <w:rFonts w:hint="eastAsia" w:ascii="宋体" w:hAnsi="宋体" w:eastAsia="宋体" w:cs="宋体"/>
                <w:b/>
                <w:bCs/>
                <w:color w:val="auto"/>
                <w:szCs w:val="21"/>
                <w:highlight w:val="none"/>
              </w:rPr>
              <w:t>投标时须提供具备CMA资质的第三方检测机构针对该产品参数的检测值报告复印件</w:t>
            </w:r>
            <w:r>
              <w:rPr>
                <w:rFonts w:hint="eastAsia" w:ascii="宋体" w:hAnsi="宋体" w:eastAsia="宋体" w:cs="宋体"/>
                <w:color w:val="auto"/>
                <w:szCs w:val="21"/>
                <w:highlight w:val="none"/>
              </w:rPr>
              <w:t>，原件备查；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标准对比度：≥6000000：1；</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投影机机身端口配置不少于：HDMI 2.0版本输入接口×3，HDMI输出×1，VGA输入接口×1，USB接口x1，RS232x2，音频输出x1，RJ45x1，光纤输入接口×1，</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 xml:space="preserve">； </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投影机内置安卓P系统，系统运行内存≥3G,机身存储空间≥32G，</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投影机须支持可更换镜头，随机配置1.6倍变焦比镜头，投射比必须满足1.0-1.6，3.5米内投150寸16:9画面，镜头位移范围垂直≥±80%，水平≥±25%，</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支持多画面融合拼接功能；</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支持色彩校正功能，支持校正的色彩数量≥6种</w:t>
            </w:r>
            <w:r>
              <w:rPr>
                <w:rFonts w:hint="eastAsia" w:ascii="宋体" w:hAnsi="宋体" w:eastAsia="宋体" w:cs="宋体"/>
                <w:b/>
                <w:bCs/>
                <w:color w:val="auto"/>
                <w:szCs w:val="21"/>
                <w:highlight w:val="none"/>
              </w:rPr>
              <w:t>，投标时须提供具备CMA资质的第三方检测机构针对该产品参数的检测值报告复印件，原件备查；</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投影机内置蓝牙和NFC近场无线传输功能，蓝牙版本≥5.0；</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内置3种以上无线投屏功能，支持视频平台投屏，支持音频平台投屏；</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通过配置信号开机、定时开机、自动播放、展示模式等功能，实现快捷的“无人值守”演示方案；</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投影机菜单内置MEMC运动补偿和HDR技术，</w:t>
            </w:r>
            <w:r>
              <w:rPr>
                <w:rFonts w:hint="eastAsia" w:ascii="宋体" w:hAnsi="宋体" w:eastAsia="宋体" w:cs="宋体"/>
                <w:b/>
                <w:bCs/>
                <w:color w:val="auto"/>
                <w:szCs w:val="21"/>
                <w:highlight w:val="none"/>
              </w:rPr>
              <w:t>投标时须提供具备CMA资质的第三方检测机构针对该产品参数的检测值报告复印件，原件备查</w:t>
            </w:r>
            <w:r>
              <w:rPr>
                <w:rFonts w:hint="eastAsia" w:ascii="宋体" w:hAnsi="宋体" w:eastAsia="宋体" w:cs="宋体"/>
                <w:color w:val="auto"/>
                <w:szCs w:val="21"/>
                <w:highlight w:val="none"/>
              </w:rPr>
              <w:t>；</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投影具有自动除尘自清洁功能；</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投影机内置双频WIFI2×2（不接受外置），并提供无线热点；</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支持原厂2.4G无线手持麦克风，无需功放即可通过USB接口插入麦克风接收器进行扩声，且支持至少五种以上的声音场景设置；</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功耗（标准）： ≥410W（投标时提供国家强制性产品3C认证证书复印件），最低待机功耗： ≤0.5W；</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散热系统：液冷+风冷扇热系统，可保障7x24小时不间断工作；</w:t>
            </w:r>
          </w:p>
          <w:p>
            <w:pPr>
              <w:spacing w:line="264"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整机重量：≥12.0kg；</w:t>
            </w:r>
          </w:p>
          <w:p>
            <w:pPr>
              <w:spacing w:line="264"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投影机支持内置安装WPS、学习强国等APP软件，并实现应用</w:t>
            </w:r>
            <w:r>
              <w:rPr>
                <w:rFonts w:hint="eastAsia" w:ascii="宋体" w:hAnsi="宋体" w:cs="宋体"/>
                <w:color w:val="auto"/>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22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整机原厂保修≥3年（含光源），中标签订合同后须提供原厂售后服务承诺函(原厂售后服务承诺函应包含产品序列号、报修期、400电话等信息)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台式电脑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spacing w:line="264"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rPr>
              <w:t>1.液晶显示器：23.8英寸；</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2.CPU：第十三代Intel 酷睿   i5-13500 处理器；三级缓存24M；十四核二十线程；</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3.主板芯片组：Intel Q670；</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4.硬盘：机械硬盘：容量2TB，转速7200rpm；固态硬盘：容量512GB   SSD M.2；</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5.内存：容量16 GB DDR5 5600MHz，预留可扩容插槽；</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6.显卡：集成显卡；</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7.光驱：选配（默认无光驱）；</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8.网卡：10/100/1000M自适应，RJ45接口；</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9.正版操作系统：预装Windows 10 64位操作系统</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支持安装正版国产操作系统；</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10.正版办公软件：无。</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11.鼠标、键盘：光电鼠标、标准键盘；</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12.电源：260W 能效90%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110V/220V；</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13.机箱预留装双硬盘的空间；</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14.免费质保：原厂五年（可原厂官网可查实际质保时间）；</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15.是否节能产品：是</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rPr>
              <w:t>16.音箱：内置扬声器，无需外接音响设备。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金属五层货架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组</w:t>
            </w:r>
          </w:p>
        </w:tc>
        <w:tc>
          <w:tcPr>
            <w:tcW w:w="7112" w:type="dxa"/>
            <w:tcBorders>
              <w:top w:val="single" w:color="auto" w:sz="4" w:space="0"/>
              <w:left w:val="single" w:color="auto" w:sz="4" w:space="0"/>
              <w:bottom w:val="single" w:color="auto" w:sz="4" w:space="0"/>
            </w:tcBorders>
            <w:noWrap w:val="0"/>
            <w:vAlign w:val="center"/>
          </w:tcPr>
          <w:p>
            <w:pPr>
              <w:spacing w:line="264" w:lineRule="auto"/>
              <w:rPr>
                <w:color w:val="auto"/>
                <w:highlight w:val="none"/>
              </w:rPr>
            </w:pPr>
            <w:r>
              <w:rPr>
                <w:rFonts w:hint="eastAsia" w:ascii="宋体" w:hAnsi="宋体" w:cs="宋体"/>
                <w:color w:val="auto"/>
                <w:szCs w:val="21"/>
                <w:highlight w:val="none"/>
              </w:rPr>
              <w:t>1．规格：长1500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宽500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高2000mm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tabs>
                <w:tab w:val="left" w:pos="312"/>
              </w:tabs>
              <w:spacing w:line="264" w:lineRule="auto"/>
              <w:rPr>
                <w:rFonts w:ascii="宋体" w:hAnsi="宋体" w:cs="宋体"/>
                <w:color w:val="auto"/>
                <w:szCs w:val="21"/>
                <w:highlight w:val="none"/>
              </w:rPr>
            </w:pPr>
            <w:r>
              <w:rPr>
                <w:rFonts w:hint="eastAsia" w:ascii="宋体" w:hAnsi="宋体" w:cs="宋体"/>
                <w:color w:val="auto"/>
                <w:szCs w:val="21"/>
                <w:highlight w:val="none"/>
              </w:rPr>
              <w:t>2．承重：每层承重≥200kg，存放颜料、材料；每层承重能力强，用于存放各类绘画材料，多层设计，承重高，方便材料分类存放；</w:t>
            </w:r>
          </w:p>
          <w:p>
            <w:pPr>
              <w:tabs>
                <w:tab w:val="left" w:pos="312"/>
              </w:tabs>
              <w:spacing w:line="264" w:lineRule="auto"/>
              <w:rPr>
                <w:rFonts w:ascii="宋体" w:hAnsi="宋体" w:cs="宋体"/>
                <w:color w:val="auto"/>
                <w:szCs w:val="21"/>
                <w:highlight w:val="none"/>
              </w:rPr>
            </w:pPr>
            <w:r>
              <w:rPr>
                <w:rFonts w:hint="eastAsia" w:ascii="宋体" w:hAnsi="宋体" w:cs="宋体"/>
                <w:color w:val="auto"/>
                <w:szCs w:val="21"/>
                <w:highlight w:val="none"/>
              </w:rPr>
              <w:t>3．材质：采用全钢制结构，可拆装，层高可调节，方便移动搬运；</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4．颜色：蓝色。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防爆</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化学品柜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1．双锁设计，存放松节油、酒精；</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2．安全防爆设计，用于存储危险化学品；</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3．多重防爆措施，安全存储化学品，金属材质，30加仑</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旋转</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工具柜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1．360°旋转</w:t>
            </w:r>
            <w:r>
              <w:rPr>
                <w:rFonts w:hint="eastAsia" w:ascii="宋体" w:hAnsi="宋体" w:cs="宋体"/>
                <w:color w:val="auto"/>
                <w:szCs w:val="21"/>
                <w:highlight w:val="none"/>
                <w:lang w:eastAsia="zh-CN"/>
              </w:rPr>
              <w:t>；</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2．6层托盘，存放精密工具，多层托盘，方便工具分类存放；</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3．金属材质</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专业</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1．规格：2400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1000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750mm</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r>
              <w:rPr>
                <w:rFonts w:hint="eastAsia" w:ascii="宋体" w:hAnsi="宋体" w:cs="宋体"/>
                <w:color w:val="auto"/>
                <w:szCs w:val="21"/>
                <w:highlight w:val="none"/>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2．台面采用≧18mm厚国标E0级实木多层板材质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台面</w:t>
            </w:r>
            <w:r>
              <w:rPr>
                <w:rFonts w:hint="eastAsia" w:ascii="宋体" w:hAnsi="宋体" w:cs="宋体"/>
                <w:color w:val="auto"/>
                <w:szCs w:val="21"/>
                <w:highlight w:val="none"/>
              </w:rPr>
              <w:t>表面三聚氰胺贴面纸热压贴面，封边采用≧1.5mm厚PVC封边条机械封边；桌架为可升降式钢制桌架，桌体可调节高度、桌面可调节角度、可翻转倾斜，适应不同创作姿势和需求</w:t>
            </w:r>
            <w:r>
              <w:rPr>
                <w:rFonts w:hint="eastAsia" w:ascii="宋体" w:hAnsi="宋体" w:cs="宋体"/>
                <w:color w:val="auto"/>
                <w:szCs w:val="21"/>
                <w:highlight w:val="none"/>
                <w:lang w:eastAsia="zh-CN"/>
              </w:rPr>
              <w:t>；</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3．其中实木多层板符合、</w:t>
            </w:r>
            <w:r>
              <w:rPr>
                <w:rStyle w:val="108"/>
                <w:rFonts w:ascii="宋体" w:hAnsi="宋体" w:eastAsia="宋体" w:cs="宋体"/>
                <w:color w:val="auto"/>
                <w:sz w:val="21"/>
                <w:szCs w:val="21"/>
                <w:highlight w:val="none"/>
                <w:lang w:bidi="ar"/>
              </w:rPr>
              <w:t>GB/T 9846-2015《普通胶合板》、</w:t>
            </w:r>
            <w:r>
              <w:rPr>
                <w:rStyle w:val="108"/>
                <w:color w:val="auto"/>
                <w:highlight w:val="none"/>
              </w:rPr>
              <w:t>GB/T 35601-2024</w:t>
            </w:r>
            <w:r>
              <w:rPr>
                <w:rStyle w:val="108"/>
                <w:rFonts w:ascii="宋体" w:hAnsi="宋体" w:eastAsia="宋体" w:cs="宋体"/>
                <w:color w:val="auto"/>
                <w:sz w:val="21"/>
                <w:szCs w:val="21"/>
                <w:highlight w:val="none"/>
                <w:lang w:bidi="ar"/>
              </w:rPr>
              <w:t>《绿色产品评价 人造板和木质地板》、</w:t>
            </w:r>
            <w:r>
              <w:rPr>
                <w:rFonts w:hint="eastAsia" w:ascii="宋体" w:hAnsi="宋体" w:cs="宋体"/>
                <w:color w:val="auto"/>
                <w:kern w:val="0"/>
                <w:szCs w:val="21"/>
                <w:highlight w:val="none"/>
                <w:lang w:bidi="ar"/>
              </w:rPr>
              <w:t>GB/T 39600-2021《人造板及其制品甲醛释放量分级》、</w:t>
            </w:r>
            <w:r>
              <w:rPr>
                <w:rStyle w:val="108"/>
                <w:rFonts w:ascii="宋体" w:hAnsi="宋体" w:eastAsia="宋体" w:cs="宋体"/>
                <w:color w:val="auto"/>
                <w:sz w:val="21"/>
                <w:szCs w:val="21"/>
                <w:highlight w:val="none"/>
                <w:lang w:bidi="ar"/>
              </w:rPr>
              <w:t>GB 8624-2012《建筑材料及制品燃烧性能分级》标准要求；PVC封边条符合QB/T 4463-2013</w:t>
            </w:r>
            <w:r>
              <w:rPr>
                <w:rFonts w:hint="eastAsia" w:ascii="宋体" w:hAnsi="宋体" w:cs="宋体"/>
                <w:color w:val="auto"/>
                <w:szCs w:val="21"/>
                <w:highlight w:val="none"/>
              </w:rPr>
              <w:t>《家具用封边条技术要求》和GB 28481-2012《塑料家具中有害物质限量》标准要求；三聚氰胺贴面纸符合GB/T 28995-2022《人造板饰面专用纸》、GB/T 15102-2017《浸渍胶膜纸饰面人造板》、GB 18580-2025《室内装饰装修材料 人造板及其制品中甲醛释放限量》和GB/T 17657-2022《人造板及饰面人造板理化性能试验方法》标准要求</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木版画</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rPr>
                <w:color w:val="auto"/>
                <w:highlight w:val="none"/>
              </w:rPr>
            </w:pPr>
            <w:r>
              <w:rPr>
                <w:rFonts w:hint="eastAsia" w:ascii="宋体" w:hAnsi="宋体" w:cs="宋体"/>
                <w:color w:val="auto"/>
                <w:szCs w:val="21"/>
                <w:highlight w:val="none"/>
              </w:rPr>
              <w:t>1．规格：1200</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2400mm</w:t>
            </w:r>
            <w:r>
              <w:rPr>
                <w:rFonts w:hint="eastAsia" w:ascii="宋体" w:hAnsi="宋体" w:cs="宋体"/>
                <w:color w:val="auto"/>
                <w:kern w:val="0"/>
                <w:szCs w:val="21"/>
                <w:highlight w:val="none"/>
                <w:lang w:bidi="ar"/>
              </w:rPr>
              <w:t>×</w:t>
            </w:r>
            <w:r>
              <w:rPr>
                <w:rFonts w:hint="eastAsia" w:ascii="宋体" w:hAnsi="宋体" w:cs="宋体"/>
                <w:color w:val="auto"/>
                <w:szCs w:val="21"/>
                <w:highlight w:val="none"/>
              </w:rPr>
              <w:t>750mm（高）</w:t>
            </w:r>
            <w:r>
              <w:rPr>
                <w:rFonts w:hint="eastAsia"/>
                <w:color w:val="auto"/>
                <w:highlight w:val="none"/>
              </w:rPr>
              <w:t>（</w:t>
            </w:r>
            <w:r>
              <w:rPr>
                <w:rFonts w:hint="eastAsia" w:ascii="宋体" w:hAnsi="宋体" w:cs="宋体"/>
                <w:color w:val="auto"/>
                <w:kern w:val="0"/>
                <w:szCs w:val="21"/>
                <w:highlight w:val="none"/>
                <w:lang w:bidi="ar"/>
              </w:rPr>
              <w:t>±5mm</w:t>
            </w:r>
            <w:r>
              <w:rPr>
                <w:rFonts w:hint="eastAsia"/>
                <w:color w:val="auto"/>
                <w:highlight w:val="none"/>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2．★配≥12mm厚度钢化玻璃台面</w:t>
            </w:r>
            <w:r>
              <w:rPr>
                <w:rFonts w:hint="eastAsia" w:ascii="宋体" w:hAnsi="宋体" w:cs="宋体"/>
                <w:color w:val="auto"/>
                <w:szCs w:val="21"/>
                <w:highlight w:val="none"/>
                <w:lang w:eastAsia="zh-CN"/>
              </w:rPr>
              <w:t>；</w:t>
            </w:r>
          </w:p>
          <w:p>
            <w:pPr>
              <w:spacing w:line="264"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台面</w:t>
            </w:r>
            <w:r>
              <w:rPr>
                <w:rFonts w:hint="eastAsia" w:ascii="宋体" w:hAnsi="宋体" w:cs="宋体"/>
                <w:color w:val="auto"/>
                <w:szCs w:val="21"/>
                <w:highlight w:val="none"/>
              </w:rPr>
              <w:t>结构稳固,不易开裂,稳固承重,防烫抗污 一擦即净耐高温300度以上，抵抗油污，长效透亮易清理,高硬度 耐刮防滑，80×80×1.2mm厚异形钢桌架，桌架表面采用环氧聚脂塑粉经高压静电喷涂，180度高温烘烤熔化成型</w:t>
            </w:r>
            <w:r>
              <w:rPr>
                <w:rFonts w:hint="eastAsia" w:ascii="宋体" w:hAnsi="宋体" w:cs="宋体"/>
                <w:color w:val="auto"/>
                <w:szCs w:val="21"/>
                <w:highlight w:val="none"/>
                <w:lang w:eastAsia="zh-CN"/>
              </w:rPr>
              <w:t>；</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3．其中钢管管材符合QB/T 3094-2012</w:t>
            </w:r>
            <w:r>
              <w:rPr>
                <w:rFonts w:hint="eastAsia" w:ascii="宋体" w:hAnsi="宋体" w:cs="宋体"/>
                <w:color w:val="auto"/>
                <w:kern w:val="0"/>
                <w:szCs w:val="21"/>
                <w:highlight w:val="none"/>
                <w:lang w:bidi="ar"/>
              </w:rPr>
              <w:t>《冷拔异形钢管》标准要求；</w:t>
            </w:r>
            <w:r>
              <w:rPr>
                <w:rFonts w:hint="eastAsia" w:ascii="宋体" w:hAnsi="宋体" w:cs="宋体"/>
                <w:color w:val="auto"/>
                <w:szCs w:val="21"/>
                <w:highlight w:val="none"/>
              </w:rPr>
              <w:t>橡胶木符合GB/T 29894-2013《木材鉴别方法通则》、GB/T 16734-1997《中国主要木材名称》标准要求；底漆、面漆分别符合GB 18581-2020</w:t>
            </w:r>
            <w:r>
              <w:rPr>
                <w:rFonts w:hint="eastAsia" w:ascii="宋体" w:hAnsi="宋体" w:cs="宋体"/>
                <w:color w:val="auto"/>
                <w:kern w:val="0"/>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凳子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1．坐垫采用优质皮革内部填充高回弹海绵，架子采用碳素钢的架子，气杆采用SGS防爆认证气杆和三级气杆，安全和耐用；</w:t>
            </w:r>
          </w:p>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2．升降范围在61-81mm左右</w:t>
            </w:r>
            <w:r>
              <w:rPr>
                <w:rFonts w:hint="eastAsia" w:ascii="宋体" w:hAnsi="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不锈钢</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实木书架</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按现场定制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实训工作平台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cs="宋体"/>
                <w:color w:val="auto"/>
                <w:sz w:val="21"/>
                <w:szCs w:val="21"/>
                <w:highlight w:val="none"/>
                <w:lang w:bidi="ar"/>
              </w:rPr>
            </w:pPr>
            <w:r>
              <w:rPr>
                <w:rFonts w:hint="eastAsia" w:ascii="宋体" w:hAnsi="宋体" w:cs="宋体"/>
                <w:color w:val="auto"/>
                <w:sz w:val="21"/>
                <w:szCs w:val="21"/>
                <w:highlight w:val="none"/>
              </w:rPr>
              <w:t>1．规格长1600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宽1200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高800mm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2．材质采用100%全橡胶木材质，卯榫结构连接，表面经精细打磨，三底四面喷涂国标环保油漆；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0号底图柜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1．1.2mm 钢质；</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2．一节尺寸：高650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宽1300</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深930mm；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3．抽屉尺寸：高75</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宽1208</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855mm，带可移动式滚轮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实训工作椅子</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1．规格：约宽400*深400*高780mm；</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2．材质采用100%全橡胶木材质，卯榫结构连接，表面经精细打磨，三底四面喷涂国标环保油漆；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3．其中橡胶木符合GB/T 29894-2013《木材鉴别方法通则》、GB/T 16734-1997《中国主要木材名称》标准要求；底漆、面漆分别符合GB 18581-2020</w:t>
            </w:r>
            <w:r>
              <w:rPr>
                <w:rFonts w:hint="eastAsia" w:ascii="宋体" w:hAnsi="宋体" w:cs="宋体"/>
                <w:color w:val="auto"/>
                <w:kern w:val="0"/>
                <w:sz w:val="21"/>
                <w:szCs w:val="21"/>
                <w:highlight w:val="none"/>
                <w:lang w:bidi="ar"/>
              </w:rPr>
              <w:t>《木器涂料中有害物质限量》标准要</w:t>
            </w:r>
            <w:r>
              <w:rPr>
                <w:rFonts w:hint="eastAsia" w:ascii="宋体" w:hAnsi="宋体" w:cs="宋体"/>
                <w:color w:val="auto"/>
                <w:kern w:val="0"/>
                <w:sz w:val="21"/>
                <w:szCs w:val="21"/>
                <w:highlight w:val="none"/>
                <w:lang w:val="en-US" w:eastAsia="zh-CN" w:bidi="ar"/>
              </w:rPr>
              <w:t>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电脑桌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Style w:val="108"/>
                <w:rFonts w:hint="default" w:ascii="宋体" w:hAnsi="宋体" w:cs="宋体"/>
                <w:color w:val="auto"/>
                <w:sz w:val="21"/>
                <w:szCs w:val="21"/>
                <w:highlight w:val="none"/>
                <w:lang w:bidi="ar"/>
              </w:rPr>
            </w:pPr>
            <w:r>
              <w:rPr>
                <w:rFonts w:hint="eastAsia" w:ascii="宋体" w:hAnsi="宋体" w:cs="宋体"/>
                <w:color w:val="auto"/>
                <w:sz w:val="21"/>
                <w:szCs w:val="21"/>
                <w:highlight w:val="none"/>
              </w:rPr>
              <w:t>1.规格:长1400*宽600*高800mm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numPr>
                <w:ilvl w:val="255"/>
                <w:numId w:val="0"/>
              </w:numPr>
              <w:spacing w:line="264"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2.材质：桌面采用≧25mm厚，档板≧15mm厚E1级环保型</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3．其中</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板符合GB/T 15102-2017《浸渍胶膜纸饰面纤维板和刨花板》、</w:t>
            </w:r>
            <w:r>
              <w:rPr>
                <w:rFonts w:hint="eastAsia" w:cs="宋体"/>
                <w:color w:val="auto"/>
                <w:sz w:val="21"/>
                <w:szCs w:val="21"/>
                <w:highlight w:val="none"/>
              </w:rPr>
              <w:t>GB/T 39600-2021《人造板及其制品甲醛释放量分级、GB/T 35607-2024《绿色产品评价 家具》和</w:t>
            </w:r>
            <w:r>
              <w:rPr>
                <w:rFonts w:cs="宋体"/>
                <w:color w:val="auto"/>
                <w:sz w:val="21"/>
                <w:szCs w:val="21"/>
                <w:highlight w:val="none"/>
              </w:rPr>
              <w:t>HJ 571-20</w:t>
            </w:r>
            <w:r>
              <w:rPr>
                <w:rFonts w:hint="eastAsia" w:cs="宋体"/>
                <w:color w:val="auto"/>
                <w:sz w:val="21"/>
                <w:szCs w:val="21"/>
                <w:highlight w:val="none"/>
              </w:rPr>
              <w:t>10</w:t>
            </w:r>
            <w:r>
              <w:rPr>
                <w:rFonts w:cs="宋体"/>
                <w:color w:val="auto"/>
                <w:sz w:val="21"/>
                <w:szCs w:val="21"/>
                <w:highlight w:val="none"/>
              </w:rPr>
              <w:t>《环境标志产品技术要求人造板及其制品 》</w:t>
            </w:r>
            <w:r>
              <w:rPr>
                <w:rFonts w:hint="eastAsia" w:cs="宋体"/>
                <w:color w:val="auto"/>
                <w:sz w:val="21"/>
                <w:szCs w:val="21"/>
                <w:highlight w:val="none"/>
              </w:rPr>
              <w:t>标准要求；</w:t>
            </w:r>
            <w:r>
              <w:rPr>
                <w:rStyle w:val="108"/>
                <w:rFonts w:ascii="宋体" w:hAnsi="宋体" w:eastAsia="宋体" w:cs="宋体"/>
                <w:color w:val="auto"/>
                <w:sz w:val="21"/>
                <w:szCs w:val="21"/>
                <w:highlight w:val="none"/>
                <w:lang w:bidi="ar"/>
              </w:rPr>
              <w:t>PVC封边条符合QB/T 4463-2013</w:t>
            </w:r>
            <w:r>
              <w:rPr>
                <w:rFonts w:hint="eastAsia" w:ascii="宋体" w:hAnsi="宋体" w:cs="宋体"/>
                <w:color w:val="auto"/>
                <w:sz w:val="21"/>
                <w:szCs w:val="21"/>
                <w:highlight w:val="none"/>
              </w:rPr>
              <w:t>《家具用封边条技术要求》和GB 28481-2012《塑料家具中有害物质限量》标准要求</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培训桌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1．规格：长1200*宽550*高750mm</w:t>
            </w:r>
            <w:r>
              <w:rPr>
                <w:rStyle w:val="108"/>
                <w:rFonts w:ascii="宋体" w:hAnsi="宋体" w:eastAsia="宋体" w:cs="宋体"/>
                <w:color w:val="auto"/>
                <w:sz w:val="21"/>
                <w:szCs w:val="21"/>
                <w:highlight w:val="none"/>
                <w:lang w:bidi="ar"/>
              </w:rPr>
              <w:t>（±5mm）</w:t>
            </w:r>
            <w:r>
              <w:rPr>
                <w:rStyle w:val="108"/>
                <w:rFonts w:ascii="宋体" w:hAnsi="宋体" w:cs="宋体"/>
                <w:color w:val="auto"/>
                <w:sz w:val="21"/>
                <w:szCs w:val="21"/>
                <w:highlight w:val="none"/>
                <w:lang w:bidi="ar"/>
              </w:rPr>
              <w:t>；</w:t>
            </w:r>
          </w:p>
          <w:p>
            <w:pPr>
              <w:pStyle w:val="51"/>
              <w:numPr>
                <w:ilvl w:val="0"/>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2．材质：档板≧15mm厚E1级优质环保型</w:t>
            </w:r>
            <w:r>
              <w:rPr>
                <w:rFonts w:hint="eastAsia" w:ascii="Arial" w:hAnsi="Arial" w:cs="宋体"/>
                <w:color w:val="auto"/>
                <w:sz w:val="21"/>
                <w:szCs w:val="21"/>
                <w:highlight w:val="none"/>
              </w:rPr>
              <w:t>三聚氰胺饰面人造</w:t>
            </w:r>
            <w:r>
              <w:rPr>
                <w:rFonts w:hint="eastAsia" w:ascii="宋体" w:hAnsi="宋体" w:cs="宋体"/>
                <w:color w:val="auto"/>
                <w:sz w:val="21"/>
                <w:szCs w:val="21"/>
                <w:highlight w:val="none"/>
              </w:rPr>
              <w:t>板，周边采用≧1.5mm厚PVC封边条机械封边，强度高、刚性好、不易变形、比重合理，所有板材均经防虫防腐化学处理，表面握钉力及静曲强度均达到国际标准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采用可折叠钢制桌架，钢架：采用可折叠钢制桌架，静电粉沫喷涂，表面经过碱洗除油、酸洗除锈、磷化附膜、钝化、静电机器手自动喷涂和高温固化处理</w:t>
            </w:r>
            <w:r>
              <w:rPr>
                <w:rFonts w:hint="eastAsia" w:ascii="宋体" w:hAnsi="宋体" w:cs="宋体"/>
                <w:color w:val="auto"/>
                <w:sz w:val="21"/>
                <w:szCs w:val="21"/>
                <w:highlight w:val="none"/>
                <w:lang w:eastAsia="zh-CN"/>
              </w:rPr>
              <w:t>；</w:t>
            </w:r>
          </w:p>
          <w:p>
            <w:pPr>
              <w:pStyle w:val="51"/>
              <w:numPr>
                <w:ilvl w:val="0"/>
                <w:numId w:val="0"/>
              </w:numPr>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★桌面采用≥25mm厚</w:t>
            </w:r>
            <w:r>
              <w:rPr>
                <w:rFonts w:hint="eastAsia" w:ascii="宋体" w:hAnsi="宋体" w:cs="宋体"/>
                <w:color w:val="auto"/>
                <w:sz w:val="21"/>
                <w:szCs w:val="21"/>
                <w:highlight w:val="none"/>
                <w:lang w:eastAsia="zh-CN"/>
              </w:rPr>
              <w:t>；</w:t>
            </w:r>
          </w:p>
          <w:p>
            <w:pPr>
              <w:pStyle w:val="51"/>
              <w:numPr>
                <w:ilvl w:val="0"/>
                <w:numId w:val="0"/>
              </w:numPr>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★主管采用≥1.5mm厚壁钢管，连接杆采用≥1.2mm厚圆形冷轧管，书网采用≥1.0mm厚圆形冷轧管</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．采用可折叠钢制桌架，脚轮：采用优质尼龙静音万向带刹车脚轮，移动杂音小，耐磨性大。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培训椅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把</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采用高密度透气网布，具有透气性好,抗撕扯等特点。外观色泽均匀，自然，手感柔软，阻燃、防水、防污、防火、防腐性强</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坐垫采用优质棉布，外观色泽均匀，自然，手感柔软。采用优质定型海绵，密度高，表面带有保护面，防氧化、 抗疲劳、耐冲击、回弹力强、不易变形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扶手：PP材料扶手，健康环保无异味，无甲醛无异味</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优质电镀脚，表面经防锈、防潮、防腐酸洗、磷化、除锈、静电机器手自动喷涂和高温固化处理</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脚轮：采用优质增强尼龙玻璃纤维复合，移动杂音小，耐磨性大。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教师</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中控条案</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1.规格：200cm×80cm×75cm，实木结构；</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2.古典书桌设计，烤漆处理；</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3.全部卯榫结构；</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4.支持将本方案中的中控、教师手绘屏、直播系统集成在中控条案中；</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5.砚台：20cm×13cm×2.5cm，材质：螺纹石；</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6.毛笔笔架：36cm×34cm×10cm，材质: 鸡翅木；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7.笔洗：7.5cm×20cm，材质：优质陶瓷；</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8.砚台水滴：陶瓷；</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9.镇尺：加重型黑梓木；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10.笔搁：卧式笔架，材质：实木；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11.毛毡：1×2米，可以水洗反复使用；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12.笔筒：12.5cm×9.5cm，材质: 黑檀；</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13.毛笔套装：笔头材质为纯狼毫；笔杆材质：天然黑湘妃；大号毛笔尺寸：出锋3.8cm、口径1.1cm、全长26.5cm；中号毛笔：出锋3.3cm、口径0.9cm、全长26.0cm；小号毛笔：出锋2.8cm，口径0.8cm，全长25.5cm；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14.配套实木方凳1个。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书法</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临摹桌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1.仿古设计，弧形腿，框架结构：松木；</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2.规格：≤134cm×60cm×75cm；左右两边两个墨盒孔，长宽：≤13.8cm×7.8cm；左右两边两个临摹台开关孔，长宽：≤7.5cm×1.8cm；洗笔器开关孔直径：≤1.6cm；桌面厚度：≥3.5cm；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3.交互式数字临摹台能无缝嵌入至书法桌，嵌入后临摹台与书法桌表面水平，为一体化设计；</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4.书法桌学生一侧具有嵌入式临摹台开关，音频接口，USB接口；</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5.专业笔搁；</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6.配套实木方凳2个。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办公桌椅套装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张</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1.桌面:规格120cm*60cm，基材采用实木材质，</w:t>
            </w:r>
            <w:r>
              <w:rPr>
                <w:rFonts w:hint="eastAsia" w:ascii="宋体" w:hAnsi="宋体" w:cs="宋体"/>
                <w:color w:val="auto"/>
                <w:sz w:val="21"/>
                <w:szCs w:val="21"/>
                <w:highlight w:val="none"/>
                <w:lang w:eastAsia="zh-CN"/>
              </w:rPr>
              <w:t>配备键盘托盘、桌下左右</w:t>
            </w:r>
            <w:r>
              <w:rPr>
                <w:rFonts w:hint="eastAsia" w:ascii="宋体" w:hAnsi="宋体" w:cs="宋体"/>
                <w:color w:val="auto"/>
                <w:sz w:val="21"/>
                <w:szCs w:val="21"/>
                <w:highlight w:val="none"/>
              </w:rPr>
              <w:t>有两个储物区</w:t>
            </w:r>
            <w:r>
              <w:rPr>
                <w:rFonts w:hint="eastAsia" w:ascii="宋体" w:hAnsi="宋体" w:cs="宋体"/>
                <w:color w:val="auto"/>
                <w:sz w:val="21"/>
                <w:szCs w:val="21"/>
                <w:highlight w:val="none"/>
                <w:lang w:eastAsia="zh-CN"/>
              </w:rPr>
              <w:t>（一个主机柜、一组三个抽屉柜，均带锁）；</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配套办公椅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3.整桌高75cm。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本电脑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处理器：英特尔第13代酷睿处理器：i5-13420H（10核标压，主频3.4GHz）</w:t>
            </w:r>
            <w:r>
              <w:rPr>
                <w:rFonts w:hint="eastAsia" w:ascii="宋体" w:hAnsi="宋体" w:cs="宋体"/>
                <w:color w:val="auto"/>
                <w:sz w:val="21"/>
                <w:szCs w:val="21"/>
                <w:highlight w:val="none"/>
                <w:lang w:val="en-US" w:eastAsia="zh-CN"/>
              </w:rPr>
              <w:t>以上；</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存储与内存：内存：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16GB DDR4，</w:t>
            </w:r>
            <w:r>
              <w:rPr>
                <w:rFonts w:hint="eastAsia" w:ascii="宋体" w:hAnsi="宋体" w:cs="宋体"/>
                <w:color w:val="auto"/>
                <w:sz w:val="21"/>
                <w:szCs w:val="21"/>
                <w:highlight w:val="none"/>
                <w:lang w:val="en-US" w:eastAsia="zh-CN"/>
              </w:rPr>
              <w:t>且</w:t>
            </w:r>
            <w:r>
              <w:rPr>
                <w:rFonts w:hint="eastAsia" w:ascii="宋体" w:hAnsi="宋体" w:cs="宋体"/>
                <w:color w:val="auto"/>
                <w:sz w:val="21"/>
                <w:szCs w:val="21"/>
                <w:highlight w:val="none"/>
              </w:rPr>
              <w:t>支持扩展至32GB（单插槽）或48GB（双插槽定制）</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硬盘：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512GB PCIe NVMe SSD，支持1TB或预留2.5英寸HDD扩展位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屏幕与显示：</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14英寸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IPS防眩光屏，</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1920×1080分辨率，</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88%屏占比，</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45% NTSC色域，</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300-350nit亮度，</w:t>
            </w:r>
            <w:r>
              <w:rPr>
                <w:rFonts w:hint="eastAsia" w:ascii="宋体" w:hAnsi="宋体" w:cs="宋体"/>
                <w:color w:val="auto"/>
                <w:sz w:val="21"/>
                <w:szCs w:val="21"/>
                <w:highlight w:val="none"/>
                <w:lang w:val="en-US" w:eastAsia="zh-CN"/>
              </w:rPr>
              <w:t>且</w:t>
            </w:r>
            <w:r>
              <w:rPr>
                <w:rFonts w:hint="eastAsia" w:ascii="宋体" w:hAnsi="宋体" w:cs="宋体"/>
                <w:color w:val="auto"/>
                <w:sz w:val="21"/>
                <w:szCs w:val="21"/>
                <w:highlight w:val="none"/>
              </w:rPr>
              <w:t>支持180°开合</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接口与扩展：全功能USB-C（支持PD充电+DP输出）、</w:t>
            </w:r>
            <w:r>
              <w:rPr>
                <w:rFonts w:hint="eastAsia" w:ascii="宋体" w:hAnsi="宋体" w:cs="宋体"/>
                <w:color w:val="auto"/>
                <w:sz w:val="21"/>
                <w:szCs w:val="21"/>
                <w:highlight w:val="none"/>
                <w:lang w:val="en-US" w:eastAsia="zh-CN"/>
              </w:rPr>
              <w:t>接口包含</w:t>
            </w:r>
            <w:r>
              <w:rPr>
                <w:rFonts w:hint="eastAsia" w:ascii="宋体" w:hAnsi="宋体" w:cs="宋体"/>
                <w:color w:val="auto"/>
                <w:sz w:val="21"/>
                <w:szCs w:val="21"/>
                <w:highlight w:val="none"/>
              </w:rPr>
              <w:t>2×USB-A、HDMI、RJ45网口、3.5mm耳麦接口26</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特色设计：</w:t>
            </w:r>
            <w:r>
              <w:rPr>
                <w:rFonts w:hint="eastAsia" w:ascii="宋体" w:hAnsi="宋体" w:cs="宋体"/>
                <w:color w:val="auto"/>
                <w:sz w:val="21"/>
                <w:szCs w:val="21"/>
                <w:highlight w:val="none"/>
                <w:lang w:val="en-US" w:eastAsia="zh-CN"/>
              </w:rPr>
              <w:t>配备</w:t>
            </w:r>
            <w:r>
              <w:rPr>
                <w:rFonts w:hint="eastAsia" w:ascii="宋体" w:hAnsi="宋体" w:cs="宋体"/>
                <w:color w:val="auto"/>
                <w:sz w:val="21"/>
                <w:szCs w:val="21"/>
                <w:highlight w:val="none"/>
              </w:rPr>
              <w:t>物理防窥摄像头、防泼溅键盘、折叠式网口节省空间</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拷贝桌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尺寸：1200X750X810mm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采用优质钢制桌架，外型结实耐用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12V安全低压</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内置节能LED柔光护眼冷光源、发光均匀稳定、无极触摸调光、低电压弱电流、安全可靠</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台面可多级倾角调节</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桌体中部配有大容量储物隔层空间</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耐压划8mm厚安全钢化玻璃面板 (带定位刻度标尺)等功能</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主要用在：长幅中国字画、书法、古籍、描图、档案等纸纸文献修复作业中德观察、临幕、拷贝、修补、装裱等工艺过程</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大拷贝桌</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个</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尺寸：2400X750X1000mm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采用优质钢制桌架，外型结实耐用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12V安全低压</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内置节能LED柔光护眼冷光源、发光均匀稳定、无极触摸调光、低电压弱电流、安全可靠</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台面可多级倾角调节</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桌体中部配有大容量储物隔层空间</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耐压划8mm厚安全钢化玻璃面板 (带定位刻度标尺)等功能</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主要用在：长幅中国字画、书法、古籍、描图、档案等纸纸文献修复作业中德观察、临幕、拷贝、修补、装裱等工艺过程</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激光</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numPr>
                <w:ilvl w:val="0"/>
                <w:numId w:val="0"/>
              </w:numPr>
              <w:spacing w:line="264" w:lineRule="auto"/>
              <w:ind w:left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A4黑白打印/复印/扫描功能一体机</w:t>
            </w:r>
            <w:r>
              <w:rPr>
                <w:rFonts w:hint="eastAsia" w:ascii="宋体" w:hAnsi="宋体" w:cs="宋体"/>
                <w:color w:val="auto"/>
                <w:sz w:val="21"/>
                <w:szCs w:val="21"/>
                <w:highlight w:val="none"/>
                <w:lang w:eastAsia="zh-CN"/>
              </w:rPr>
              <w:t>；</w:t>
            </w:r>
          </w:p>
          <w:p>
            <w:pPr>
              <w:pStyle w:val="51"/>
              <w:numPr>
                <w:ilvl w:val="0"/>
                <w:numId w:val="0"/>
              </w:numPr>
              <w:spacing w:line="264" w:lineRule="auto"/>
              <w:ind w:left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ADF;40页自动文档进纸器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cs="宋体"/>
                <w:color w:val="auto"/>
                <w:sz w:val="21"/>
                <w:szCs w:val="21"/>
                <w:highlight w:val="none"/>
              </w:rPr>
              <w:t>首页输出时间：黑白（5 秒</w:t>
            </w:r>
            <w:r>
              <w:rPr>
                <w:rFonts w:hint="eastAsia" w:ascii="宋体" w:hAnsi="宋体" w:cs="宋体"/>
                <w:color w:val="auto"/>
                <w:sz w:val="21"/>
                <w:szCs w:val="21"/>
                <w:highlight w:val="none"/>
                <w:lang w:val="en-US" w:eastAsia="zh-CN"/>
              </w:rPr>
              <w:t>以下</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4.</w:t>
            </w:r>
            <w:r>
              <w:rPr>
                <w:rFonts w:hint="eastAsia" w:ascii="宋体" w:hAnsi="宋体" w:cs="宋体"/>
                <w:color w:val="auto"/>
                <w:sz w:val="21"/>
                <w:szCs w:val="21"/>
                <w:highlight w:val="none"/>
              </w:rPr>
              <w:t>A4打印速度：</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30页/分钟；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5.</w:t>
            </w:r>
            <w:r>
              <w:rPr>
                <w:rFonts w:hint="eastAsia" w:ascii="宋体" w:hAnsi="宋体" w:cs="宋体"/>
                <w:color w:val="auto"/>
                <w:sz w:val="21"/>
                <w:szCs w:val="21"/>
                <w:highlight w:val="none"/>
              </w:rPr>
              <w:t>打印负荷：最高</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30,000 页；</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cs="宋体"/>
                <w:color w:val="auto"/>
                <w:sz w:val="21"/>
                <w:szCs w:val="21"/>
                <w:highlight w:val="none"/>
              </w:rPr>
              <w:t>打印精度：</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1200 x 1200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cs="宋体"/>
                <w:color w:val="auto"/>
                <w:sz w:val="21"/>
                <w:szCs w:val="21"/>
                <w:highlight w:val="none"/>
              </w:rPr>
              <w:t>打印语言：</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 xml:space="preserve"> PCL6、GDI；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cs="宋体"/>
                <w:color w:val="auto"/>
                <w:sz w:val="21"/>
                <w:szCs w:val="21"/>
                <w:highlight w:val="none"/>
              </w:rPr>
              <w:t>标配自动双面打印；显示屏：</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cs="宋体"/>
                <w:color w:val="auto"/>
                <w:sz w:val="21"/>
                <w:szCs w:val="21"/>
                <w:highlight w:val="none"/>
              </w:rPr>
              <w:t>双行 LCD 控制面板；</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10.</w:t>
            </w:r>
            <w:r>
              <w:rPr>
                <w:rFonts w:hint="eastAsia" w:ascii="宋体" w:hAnsi="宋体" w:cs="宋体"/>
                <w:color w:val="auto"/>
                <w:sz w:val="21"/>
                <w:szCs w:val="21"/>
                <w:highlight w:val="none"/>
              </w:rPr>
              <w:t>处理器速度：</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600 MHz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cs="宋体"/>
                <w:color w:val="auto"/>
                <w:sz w:val="21"/>
                <w:szCs w:val="21"/>
                <w:highlight w:val="none"/>
              </w:rPr>
              <w:t>内存：2</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56MB；</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12.</w:t>
            </w:r>
            <w:r>
              <w:rPr>
                <w:rFonts w:hint="eastAsia" w:ascii="宋体" w:hAnsi="宋体" w:cs="宋体"/>
                <w:color w:val="auto"/>
                <w:sz w:val="21"/>
                <w:szCs w:val="21"/>
                <w:highlight w:val="none"/>
              </w:rPr>
              <w:t>纸张处理（进纸）：</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250 页进纸盒，1页优先进纸盒；</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13.</w:t>
            </w:r>
            <w:r>
              <w:rPr>
                <w:rFonts w:hint="eastAsia" w:ascii="宋体" w:hAnsi="宋体" w:cs="宋体"/>
                <w:color w:val="auto"/>
                <w:sz w:val="21"/>
                <w:szCs w:val="21"/>
                <w:highlight w:val="none"/>
              </w:rPr>
              <w:t>纸张处理（出纸）：</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120 页面朝下纸盒；</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14.</w:t>
            </w:r>
            <w:r>
              <w:rPr>
                <w:rFonts w:hint="eastAsia" w:ascii="宋体" w:hAnsi="宋体" w:cs="宋体"/>
                <w:color w:val="auto"/>
                <w:sz w:val="21"/>
                <w:szCs w:val="21"/>
                <w:highlight w:val="none"/>
              </w:rPr>
              <w:t>复印速度：黑白：</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30份/分钟；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15.</w:t>
            </w:r>
            <w:r>
              <w:rPr>
                <w:rFonts w:hint="eastAsia" w:ascii="宋体" w:hAnsi="宋体" w:cs="宋体"/>
                <w:color w:val="auto"/>
                <w:sz w:val="21"/>
                <w:szCs w:val="21"/>
                <w:highlight w:val="none"/>
              </w:rPr>
              <w:t>复印分辨率：</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600 x 600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16.</w:t>
            </w:r>
            <w:r>
              <w:rPr>
                <w:rFonts w:hint="eastAsia" w:ascii="宋体" w:hAnsi="宋体" w:cs="宋体"/>
                <w:color w:val="auto"/>
                <w:sz w:val="21"/>
                <w:szCs w:val="21"/>
                <w:highlight w:val="none"/>
              </w:rPr>
              <w:t>复印缩小/放大设置：</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25% 到 400%；</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17.</w:t>
            </w:r>
            <w:r>
              <w:rPr>
                <w:rFonts w:hint="eastAsia" w:ascii="宋体" w:hAnsi="宋体" w:cs="宋体"/>
                <w:color w:val="auto"/>
                <w:sz w:val="21"/>
                <w:szCs w:val="21"/>
                <w:highlight w:val="none"/>
              </w:rPr>
              <w:t>复印量（最大）：</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99 份；</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18.</w:t>
            </w:r>
            <w:r>
              <w:rPr>
                <w:rFonts w:hint="eastAsia" w:ascii="宋体" w:hAnsi="宋体" w:cs="宋体"/>
                <w:color w:val="auto"/>
                <w:sz w:val="21"/>
                <w:szCs w:val="21"/>
                <w:highlight w:val="none"/>
              </w:rPr>
              <w:t>支持身份证复印；</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19.</w:t>
            </w:r>
            <w:r>
              <w:rPr>
                <w:rFonts w:hint="eastAsia" w:ascii="宋体" w:hAnsi="宋体" w:cs="宋体"/>
                <w:color w:val="auto"/>
                <w:sz w:val="21"/>
                <w:szCs w:val="21"/>
                <w:highlight w:val="none"/>
              </w:rPr>
              <w:t>支持单面到双面复印；</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20.</w:t>
            </w:r>
            <w:r>
              <w:rPr>
                <w:rFonts w:hint="eastAsia" w:ascii="宋体" w:hAnsi="宋体" w:cs="宋体"/>
                <w:color w:val="auto"/>
                <w:sz w:val="21"/>
                <w:szCs w:val="21"/>
                <w:highlight w:val="none"/>
              </w:rPr>
              <w:t>扫描分辨率：</w:t>
            </w:r>
            <w:r>
              <w:rPr>
                <w:rFonts w:hint="eastAsia" w:ascii="宋体" w:hAnsi="宋体" w:cs="宋体"/>
                <w:color w:val="auto"/>
                <w:sz w:val="21"/>
                <w:szCs w:val="21"/>
                <w:highlight w:val="none"/>
                <w:lang w:val="en-US" w:eastAsia="zh-CN"/>
              </w:rPr>
              <w:t>不低于</w:t>
            </w:r>
            <w:r>
              <w:rPr>
                <w:rFonts w:hint="eastAsia" w:ascii="宋体" w:hAnsi="宋体" w:cs="宋体"/>
                <w:color w:val="auto"/>
                <w:sz w:val="21"/>
                <w:szCs w:val="21"/>
                <w:highlight w:val="none"/>
              </w:rPr>
              <w:t>1200 x 1200 dpi；</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21.</w:t>
            </w:r>
            <w:r>
              <w:rPr>
                <w:rFonts w:hint="eastAsia" w:ascii="宋体" w:hAnsi="宋体" w:cs="宋体"/>
                <w:color w:val="auto"/>
                <w:sz w:val="21"/>
                <w:szCs w:val="21"/>
                <w:highlight w:val="none"/>
              </w:rPr>
              <w:t>扫描速度：黑白</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15页/分钟；</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22.有</w:t>
            </w:r>
            <w:r>
              <w:rPr>
                <w:rFonts w:hint="eastAsia" w:ascii="宋体" w:hAnsi="宋体" w:cs="宋体"/>
                <w:color w:val="auto"/>
                <w:sz w:val="21"/>
                <w:szCs w:val="21"/>
                <w:highlight w:val="none"/>
              </w:rPr>
              <w:t>自动关机</w:t>
            </w:r>
            <w:r>
              <w:rPr>
                <w:rFonts w:hint="eastAsia" w:ascii="宋体" w:hAnsi="宋体" w:cs="宋体"/>
                <w:color w:val="auto"/>
                <w:sz w:val="21"/>
                <w:szCs w:val="21"/>
                <w:highlight w:val="none"/>
                <w:lang w:eastAsia="zh-CN"/>
              </w:rPr>
              <w:t>功能</w:t>
            </w:r>
            <w:r>
              <w:rPr>
                <w:rFonts w:hint="eastAsia" w:ascii="宋体" w:hAnsi="宋体" w:cs="宋体"/>
                <w:color w:val="auto"/>
                <w:sz w:val="21"/>
                <w:szCs w:val="21"/>
                <w:highlight w:val="none"/>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23.</w:t>
            </w:r>
            <w:r>
              <w:rPr>
                <w:rFonts w:hint="eastAsia" w:ascii="宋体" w:hAnsi="宋体" w:cs="宋体"/>
                <w:color w:val="auto"/>
                <w:sz w:val="21"/>
                <w:szCs w:val="21"/>
                <w:highlight w:val="none"/>
              </w:rPr>
              <w:t>接口：</w:t>
            </w:r>
            <w:r>
              <w:rPr>
                <w:rFonts w:hint="eastAsia" w:ascii="宋体" w:hAnsi="宋体" w:cs="宋体"/>
                <w:color w:val="auto"/>
                <w:sz w:val="21"/>
                <w:szCs w:val="21"/>
                <w:highlight w:val="none"/>
                <w:lang w:val="en-US" w:eastAsia="zh-CN"/>
              </w:rPr>
              <w:t>包含</w:t>
            </w:r>
            <w:r>
              <w:rPr>
                <w:rFonts w:hint="eastAsia" w:ascii="宋体" w:hAnsi="宋体" w:cs="宋体"/>
                <w:color w:val="auto"/>
                <w:sz w:val="21"/>
                <w:szCs w:val="21"/>
                <w:highlight w:val="none"/>
              </w:rPr>
              <w:t>1 个</w:t>
            </w:r>
            <w:r>
              <w:rPr>
                <w:rFonts w:hint="eastAsia" w:ascii="宋体" w:hAnsi="宋体" w:cs="宋体"/>
                <w:color w:val="auto"/>
                <w:sz w:val="21"/>
                <w:szCs w:val="21"/>
                <w:highlight w:val="none"/>
                <w:lang w:val="en-US" w:eastAsia="zh-CN"/>
              </w:rPr>
              <w:t>以上</w:t>
            </w:r>
            <w:r>
              <w:rPr>
                <w:rFonts w:hint="eastAsia" w:ascii="宋体" w:hAnsi="宋体" w:cs="宋体"/>
                <w:color w:val="auto"/>
                <w:sz w:val="21"/>
                <w:szCs w:val="21"/>
                <w:highlight w:val="none"/>
              </w:rPr>
              <w:t xml:space="preserve">高速 USB 2.0;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24.</w:t>
            </w:r>
            <w:r>
              <w:rPr>
                <w:rFonts w:hint="eastAsia" w:ascii="宋体" w:hAnsi="宋体" w:cs="宋体"/>
                <w:color w:val="auto"/>
                <w:sz w:val="21"/>
                <w:szCs w:val="21"/>
                <w:highlight w:val="none"/>
              </w:rPr>
              <w:t>以太网 10/100 Base-TX</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25.</w:t>
            </w:r>
            <w:r>
              <w:rPr>
                <w:rFonts w:hint="eastAsia" w:ascii="宋体" w:hAnsi="宋体" w:cs="宋体"/>
                <w:color w:val="auto"/>
                <w:sz w:val="21"/>
                <w:szCs w:val="21"/>
                <w:highlight w:val="none"/>
              </w:rPr>
              <w:t>随机耗材(成像鼓：</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10,000页，黑色碳粉</w:t>
            </w:r>
            <w:r>
              <w:rPr>
                <w:rFonts w:hint="eastAsia" w:ascii="宋体" w:hAnsi="宋体" w:cs="宋体"/>
                <w:color w:val="auto"/>
                <w:sz w:val="21"/>
                <w:szCs w:val="21"/>
                <w:highlight w:val="none"/>
                <w:lang w:val="en-US" w:eastAsia="zh-CN"/>
              </w:rPr>
              <w:t>不少于</w:t>
            </w:r>
            <w:r>
              <w:rPr>
                <w:rFonts w:hint="eastAsia" w:ascii="宋体" w:hAnsi="宋体" w:cs="宋体"/>
                <w:color w:val="auto"/>
                <w:sz w:val="21"/>
                <w:szCs w:val="21"/>
                <w:highlight w:val="none"/>
              </w:rPr>
              <w:t>1,500页)；</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26.</w:t>
            </w:r>
            <w:r>
              <w:rPr>
                <w:rFonts w:hint="eastAsia" w:ascii="宋体" w:hAnsi="宋体" w:cs="宋体"/>
                <w:color w:val="auto"/>
                <w:sz w:val="21"/>
                <w:szCs w:val="21"/>
                <w:highlight w:val="none"/>
              </w:rPr>
              <w:t>耗材型号： 黑色碳粉盒（约1,500 页） 黑色大容量碳粉盒（约3,000 页） 成像鼓（约10,000 页）</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29.</w:t>
            </w:r>
            <w:r>
              <w:rPr>
                <w:rFonts w:hint="eastAsia" w:ascii="宋体" w:hAnsi="宋体" w:cs="宋体"/>
                <w:color w:val="auto"/>
                <w:sz w:val="21"/>
                <w:szCs w:val="21"/>
                <w:highlight w:val="none"/>
              </w:rPr>
              <w:t>保修：1年上门</w:t>
            </w:r>
            <w:r>
              <w:rPr>
                <w:rFonts w:hint="eastAsia" w:ascii="宋体" w:hAnsi="宋体" w:cs="宋体"/>
                <w:color w:val="auto"/>
                <w:sz w:val="21"/>
                <w:szCs w:val="21"/>
                <w:highlight w:val="none"/>
                <w:lang w:val="en-US" w:eastAsia="zh-CN"/>
              </w:rPr>
              <w:t>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书柜</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US" w:eastAsia="zh-CN"/>
              </w:rPr>
              <w:t>套</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1.2.4米宽，1.8米高，0.35米深；</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2.实木材质，多层定制。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东文宋体" w:hAnsi="东文宋体" w:eastAsia="东文宋体" w:cs="东文宋体"/>
                <w:strike w:val="0"/>
                <w:dstrike w:val="0"/>
                <w:color w:val="auto"/>
                <w:szCs w:val="21"/>
                <w:highlight w:val="none"/>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hint="eastAsia"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▲本项目核心产品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eastAsia="宋体" w:cs="宋体"/>
                <w:color w:val="auto"/>
                <w:spacing w:val="7"/>
                <w:szCs w:val="21"/>
                <w:highlight w:val="none"/>
                <w:lang w:eastAsia="zh-CN"/>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1</w:t>
            </w:r>
            <w:r>
              <w:rPr>
                <w:rFonts w:hint="eastAsia" w:ascii="宋体" w:hAnsi="宋体"/>
                <w:color w:val="auto"/>
                <w:szCs w:val="21"/>
                <w:highlight w:val="none"/>
                <w:u w:val="single"/>
              </w:rPr>
              <w:t>“版画收纳柜”</w:t>
            </w:r>
            <w:r>
              <w:rPr>
                <w:rFonts w:hint="eastAsia" w:ascii="宋体" w:hAnsi="宋体"/>
                <w:color w:val="auto"/>
                <w:szCs w:val="21"/>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val="0"/>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pStyle w:val="2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rPr>
      </w:pPr>
      <w:r>
        <w:rPr>
          <w:rFonts w:hint="eastAsia" w:ascii="仿宋_GB2312" w:eastAsia="仿宋_GB2312"/>
          <w:b/>
          <w:color w:val="auto"/>
          <w:szCs w:val="21"/>
          <w:highlight w:val="none"/>
        </w:rPr>
        <w:br w:type="page"/>
      </w:r>
    </w:p>
    <w:p>
      <w:pPr>
        <w:pStyle w:val="51"/>
        <w:rPr>
          <w:rFonts w:hint="eastAsia"/>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w:t>
      </w:r>
      <w:r>
        <w:rPr>
          <w:rFonts w:hint="eastAsia" w:ascii="宋体" w:hAnsi="宋体"/>
          <w:b/>
          <w:color w:val="auto"/>
          <w:highlight w:val="none"/>
          <w:lang w:val="en-US" w:eastAsia="zh-CN"/>
        </w:rPr>
        <w:t>4</w:t>
      </w:r>
      <w:r>
        <w:rPr>
          <w:rFonts w:hint="eastAsia" w:ascii="宋体" w:hAnsi="宋体"/>
          <w:b/>
          <w:color w:val="auto"/>
          <w:highlight w:val="none"/>
        </w:rPr>
        <w:t>：</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noWrap w:val="0"/>
            <w:vAlign w:val="center"/>
          </w:tcPr>
          <w:p>
            <w:pPr>
              <w:widowControl/>
              <w:spacing w:line="264"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LED屏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室内P1.538，</w:t>
            </w:r>
            <w:r>
              <w:rPr>
                <w:rFonts w:hint="eastAsia" w:ascii="宋体" w:hAnsi="宋体" w:cs="宋体"/>
                <w:color w:val="auto"/>
                <w:sz w:val="21"/>
                <w:szCs w:val="21"/>
                <w:highlight w:val="none"/>
                <w:lang w:val="en-US" w:eastAsia="zh-CN"/>
              </w:rPr>
              <w:t>总面积</w:t>
            </w:r>
            <w:r>
              <w:rPr>
                <w:rFonts w:hint="eastAsia" w:ascii="宋体" w:hAnsi="宋体" w:cs="宋体"/>
                <w:color w:val="auto"/>
                <w:sz w:val="21"/>
                <w:szCs w:val="21"/>
                <w:highlight w:val="none"/>
              </w:rPr>
              <w:t>2.66*1.49m，单元板尺寸 320mm*160mm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像数点间距 1.5mm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像素密度 422500Dots/㎡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SMD1212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 0.44kg±0.01kg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 208*104=21632Dots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1/52恒流驱动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40A PFC电源带单元板数 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亮度 ≥600cd/㎡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屏幕水平视角 140±10度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屏幕垂直视角 130±10度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最佳视距 ≥1.6m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配电功率（每平方最大功率÷78%÷85%） ≤875W/m2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刷新频率 4200Hz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使用寿命 ＞10万小时</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平均无故障时间 ＞1万小时</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35.</w:t>
            </w:r>
            <w:r>
              <w:rPr>
                <w:rFonts w:hint="eastAsia" w:ascii="宋体" w:hAnsi="宋体" w:cs="宋体"/>
                <w:color w:val="auto"/>
                <w:sz w:val="21"/>
                <w:szCs w:val="21"/>
                <w:highlight w:val="none"/>
              </w:rPr>
              <w:t xml:space="preserve">衰减率(工作3年) 1年≤10%，2年≤12%，3年≤15％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36.</w:t>
            </w:r>
            <w:r>
              <w:rPr>
                <w:rFonts w:hint="eastAsia" w:ascii="宋体" w:hAnsi="宋体" w:cs="宋体"/>
                <w:color w:val="auto"/>
                <w:sz w:val="21"/>
                <w:szCs w:val="21"/>
                <w:highlight w:val="none"/>
              </w:rPr>
              <w:t>连续失控点 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37.</w:t>
            </w:r>
            <w:r>
              <w:rPr>
                <w:rFonts w:hint="eastAsia" w:ascii="宋体" w:hAnsi="宋体" w:cs="宋体"/>
                <w:color w:val="auto"/>
                <w:sz w:val="21"/>
                <w:szCs w:val="21"/>
                <w:highlight w:val="none"/>
              </w:rPr>
              <w:t>故障率/死灯率 1年≤0.5‰，2年≤1.1‰，3年≤2.3‰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38.</w:t>
            </w:r>
            <w:r>
              <w:rPr>
                <w:rFonts w:hint="eastAsia" w:ascii="宋体" w:hAnsi="宋体" w:cs="宋体"/>
                <w:color w:val="auto"/>
                <w:sz w:val="21"/>
                <w:szCs w:val="21"/>
                <w:highlight w:val="none"/>
              </w:rPr>
              <w:t xml:space="preserve">离散失控点 ＜0.0001，出厂时为0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39.</w:t>
            </w:r>
            <w:r>
              <w:rPr>
                <w:rFonts w:hint="eastAsia" w:ascii="宋体" w:hAnsi="宋体" w:cs="宋体"/>
                <w:color w:val="auto"/>
                <w:sz w:val="21"/>
                <w:szCs w:val="21"/>
                <w:highlight w:val="none"/>
              </w:rPr>
              <w:t>盲点率 ＜0.0003，出厂时为0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 xml:space="preserve">工作温度范围 -20-40℃ </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41.</w:t>
            </w:r>
            <w:r>
              <w:rPr>
                <w:rFonts w:hint="eastAsia" w:ascii="宋体" w:hAnsi="宋体" w:cs="宋体"/>
                <w:color w:val="auto"/>
                <w:sz w:val="21"/>
                <w:szCs w:val="21"/>
                <w:highlight w:val="none"/>
              </w:rPr>
              <w:t>工作湿度范围 10％-65％RH(无结露)</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42.</w:t>
            </w:r>
            <w:r>
              <w:rPr>
                <w:rFonts w:hint="eastAsia" w:ascii="宋体" w:hAnsi="宋体" w:cs="宋体"/>
                <w:color w:val="auto"/>
                <w:sz w:val="21"/>
                <w:szCs w:val="21"/>
                <w:highlight w:val="none"/>
              </w:rPr>
              <w:t>防护性能 超温/过载/掉电/图像补偿/各种校正技术/过流/过压/防雷(可选项)</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43.</w:t>
            </w:r>
            <w:r>
              <w:rPr>
                <w:rFonts w:hint="eastAsia" w:ascii="宋体" w:hAnsi="宋体" w:cs="宋体"/>
                <w:color w:val="auto"/>
                <w:sz w:val="21"/>
                <w:szCs w:val="21"/>
                <w:highlight w:val="none"/>
              </w:rPr>
              <w:t xml:space="preserve">屏幕水平平整度 ＜1mm/㎡ </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屏幕垂直平整度 ＜1mm/㎡</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单元板</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 320mm*160mm，总面积27.2384平方米</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屏体</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6080mm*4480mm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像数点间距 1.</w:t>
            </w:r>
            <w:r>
              <w:rPr>
                <w:rFonts w:hint="eastAsia" w:ascii="宋体" w:hAnsi="宋体" w:cs="宋体"/>
                <w:color w:val="auto"/>
                <w:sz w:val="21"/>
                <w:szCs w:val="21"/>
                <w:highlight w:val="none"/>
                <w:lang w:val="en-US" w:eastAsia="zh-CN"/>
              </w:rPr>
              <w:t>538</w:t>
            </w:r>
            <w:r>
              <w:rPr>
                <w:rFonts w:hint="eastAsia" w:ascii="宋体" w:hAnsi="宋体" w:cs="宋体"/>
                <w:color w:val="auto"/>
                <w:sz w:val="21"/>
                <w:szCs w:val="21"/>
                <w:highlight w:val="none"/>
              </w:rPr>
              <w:t xml:space="preserve">mm  像素密度 </w:t>
            </w:r>
            <w:r>
              <w:rPr>
                <w:rFonts w:hint="eastAsia" w:ascii="宋体" w:hAnsi="宋体" w:eastAsia="宋体" w:cs="宋体"/>
                <w:color w:val="auto"/>
                <w:kern w:val="2"/>
                <w:sz w:val="21"/>
                <w:szCs w:val="21"/>
                <w:highlight w:val="none"/>
              </w:rPr>
              <w:t>422500</w:t>
            </w:r>
            <w:r>
              <w:rPr>
                <w:rFonts w:hint="eastAsia" w:ascii="宋体" w:hAnsi="宋体" w:cs="宋体"/>
                <w:color w:val="auto"/>
                <w:sz w:val="21"/>
                <w:szCs w:val="21"/>
                <w:highlight w:val="none"/>
              </w:rPr>
              <w:t>Dots/㎡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像素构成 1R1G1B</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灯管封装 SMD</w:t>
            </w:r>
            <w:r>
              <w:rPr>
                <w:rFonts w:hint="eastAsia" w:ascii="宋体" w:hAnsi="宋体" w:eastAsia="宋体" w:cs="宋体"/>
                <w:color w:val="auto"/>
                <w:kern w:val="2"/>
                <w:sz w:val="21"/>
                <w:szCs w:val="21"/>
                <w:highlight w:val="none"/>
              </w:rPr>
              <w:t>1212</w:t>
            </w:r>
            <w:r>
              <w:rPr>
                <w:rFonts w:hint="eastAsia" w:ascii="宋体" w:hAnsi="宋体" w:cs="宋体"/>
                <w:color w:val="auto"/>
                <w:kern w:val="2"/>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6.参考</w:t>
            </w:r>
            <w:r>
              <w:rPr>
                <w:rFonts w:hint="eastAsia" w:ascii="宋体" w:hAnsi="宋体" w:cs="宋体"/>
                <w:color w:val="auto"/>
                <w:sz w:val="21"/>
                <w:szCs w:val="21"/>
                <w:highlight w:val="none"/>
              </w:rPr>
              <w:t>尺寸(长*宽*厚) 320*160*14.5mm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7.参考</w:t>
            </w:r>
            <w:r>
              <w:rPr>
                <w:rFonts w:hint="eastAsia" w:ascii="宋体" w:hAnsi="宋体" w:cs="宋体"/>
                <w:color w:val="auto"/>
                <w:sz w:val="21"/>
                <w:szCs w:val="21"/>
                <w:highlight w:val="none"/>
              </w:rPr>
              <w:t>重量</w:t>
            </w:r>
            <w:r>
              <w:rPr>
                <w:rFonts w:hint="eastAsia" w:ascii="宋体" w:hAnsi="宋体" w:eastAsia="宋体" w:cs="宋体"/>
                <w:color w:val="auto"/>
                <w:kern w:val="2"/>
                <w:sz w:val="21"/>
                <w:szCs w:val="21"/>
                <w:highlight w:val="none"/>
              </w:rPr>
              <w:t>0.44kg±0.01kg</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结构特点 灯驱合一</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单元板分辨率</w:t>
            </w:r>
            <w:r>
              <w:rPr>
                <w:rFonts w:hint="eastAsia" w:ascii="宋体" w:hAnsi="宋体" w:eastAsia="宋体" w:cs="宋体"/>
                <w:color w:val="auto"/>
                <w:kern w:val="2"/>
                <w:sz w:val="21"/>
                <w:szCs w:val="21"/>
                <w:highlight w:val="none"/>
              </w:rPr>
              <w:t xml:space="preserve"> 208*104=21632Dots</w:t>
            </w:r>
            <w:r>
              <w:rPr>
                <w:rFonts w:hint="eastAsia" w:ascii="宋体" w:hAnsi="宋体" w:cs="宋体"/>
                <w:color w:val="auto"/>
                <w:kern w:val="2"/>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输入电压(直流) 4.5±0.1V</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最大电流 ≤6.6A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单元板功率 ≤30W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驱动方式 1/</w:t>
            </w:r>
            <w:r>
              <w:rPr>
                <w:rFonts w:hint="eastAsia" w:ascii="宋体" w:hAnsi="宋体" w:cs="宋体"/>
                <w:color w:val="auto"/>
                <w:sz w:val="21"/>
                <w:szCs w:val="21"/>
                <w:highlight w:val="none"/>
                <w:lang w:val="en-US" w:eastAsia="zh-CN"/>
              </w:rPr>
              <w:t>52</w:t>
            </w:r>
            <w:r>
              <w:rPr>
                <w:rFonts w:hint="eastAsia" w:ascii="宋体" w:hAnsi="宋体" w:cs="宋体"/>
                <w:color w:val="auto"/>
                <w:sz w:val="21"/>
                <w:szCs w:val="21"/>
                <w:highlight w:val="none"/>
              </w:rPr>
              <w:t>恒流驱动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40A电源带单元板数 3-4张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50A电源带单元板数 5-6张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40A PFC电源带单元板数5-6张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80A电源带单元板数 8-10张</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亮度 ≥</w:t>
            </w:r>
            <w:r>
              <w:rPr>
                <w:rFonts w:hint="eastAsia" w:ascii="宋体" w:hAnsi="宋体" w:cs="宋体"/>
                <w:color w:val="auto"/>
                <w:sz w:val="21"/>
                <w:szCs w:val="21"/>
                <w:highlight w:val="none"/>
                <w:lang w:val="en-US" w:eastAsia="zh-CN"/>
              </w:rPr>
              <w:t>600</w:t>
            </w:r>
            <w:r>
              <w:rPr>
                <w:rFonts w:hint="eastAsia" w:ascii="宋体" w:hAnsi="宋体" w:cs="宋体"/>
                <w:color w:val="auto"/>
                <w:sz w:val="21"/>
                <w:szCs w:val="21"/>
                <w:highlight w:val="none"/>
              </w:rPr>
              <w:t>cd/㎡</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亮度均匀性 ＞0.95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屏幕水平视角 1</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屏幕垂直视角 1</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±10度</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最佳视距 ≥1.</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使用环境 室内</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每平方单元板最大功率 ≤580W/㎡</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配电功率（每平方最大功率÷78%÷85%）≤875W/m2</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灰度等级 红、绿、蓝各14-16bits</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显示颜色 43980亿种</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换帧频率 ≥60帧/秒</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 xml:space="preserve">刷新频率 </w:t>
            </w:r>
            <w:r>
              <w:rPr>
                <w:rFonts w:hint="eastAsia" w:ascii="宋体" w:hAnsi="宋体" w:cs="宋体"/>
                <w:color w:val="auto"/>
                <w:sz w:val="21"/>
                <w:szCs w:val="21"/>
                <w:highlight w:val="none"/>
                <w:lang w:val="en-US" w:eastAsia="zh-CN"/>
              </w:rPr>
              <w:t>6000</w:t>
            </w:r>
            <w:r>
              <w:rPr>
                <w:rFonts w:hint="eastAsia" w:ascii="宋体" w:hAnsi="宋体" w:cs="宋体"/>
                <w:color w:val="auto"/>
                <w:sz w:val="21"/>
                <w:szCs w:val="21"/>
                <w:highlight w:val="none"/>
              </w:rPr>
              <w:t>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控制方式 计算机控制，逐点一一对应，视频同步，实时显示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32.</w:t>
            </w:r>
            <w:r>
              <w:rPr>
                <w:rFonts w:hint="eastAsia" w:ascii="宋体" w:hAnsi="宋体" w:cs="宋体"/>
                <w:color w:val="auto"/>
                <w:sz w:val="21"/>
                <w:szCs w:val="21"/>
                <w:highlight w:val="none"/>
              </w:rPr>
              <w:t>亮度调节 256级手动/自动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cs="宋体"/>
                <w:color w:val="auto"/>
                <w:sz w:val="21"/>
                <w:szCs w:val="21"/>
                <w:highlight w:val="none"/>
              </w:rPr>
              <w:t>输入信号 DVI/VGA/HDMI/DP、复合视频信号、S-VIDEO、YpbPr(HDTV)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cs="宋体"/>
                <w:color w:val="auto"/>
                <w:sz w:val="21"/>
                <w:szCs w:val="21"/>
                <w:highlight w:val="none"/>
              </w:rPr>
              <w:t xml:space="preserve">使用寿命 ＞10万小时 </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 xml:space="preserve">平均无故障时间 </w:t>
            </w:r>
            <w:r>
              <w:rPr>
                <w:rFonts w:hint="eastAsia" w:ascii="宋体" w:hAnsi="宋体" w:cs="宋体"/>
                <w:color w:val="auto"/>
                <w:sz w:val="21"/>
                <w:szCs w:val="21"/>
                <w:highlight w:val="none"/>
              </w:rPr>
              <w:t xml:space="preserve">＞1万小时 </w:t>
            </w:r>
            <w:r>
              <w:rPr>
                <w:rFonts w:hint="eastAsia" w:ascii="宋体" w:hAnsi="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衰减率(工作3年) 1年≤10%，2年≤12%，3年≤15％ 连续失控点 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37</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故障率/死灯率 1年≤0.5‰，2年≤1.1‰，3年≤2.3‰</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离散失控点 ＜0.0001，出厂时为0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盲点率 ＜0.0003，出厂时为0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kern w:val="2"/>
                <w:sz w:val="21"/>
                <w:szCs w:val="21"/>
                <w:highlight w:val="none"/>
                <w:lang w:val="en-US" w:eastAsia="zh-CN"/>
              </w:rPr>
              <w:t>40</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工作温度范围 -20-40℃</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 xml:space="preserve"> </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工作湿度范围 10％-65％RH(无结露)</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防护性能 超温/过载/掉电/图像补偿/各种校正技术/过流/过压/防雷(可选项)</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屏幕水平平整度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屏幕垂直平整度 ＜1mm/㎡</w:t>
            </w:r>
            <w:r>
              <w:rPr>
                <w:rFonts w:hint="eastAsia" w:ascii="宋体" w:hAnsi="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br w:type="textWrapping"/>
            </w:r>
            <w:r>
              <w:rPr>
                <w:rFonts w:hint="eastAsia" w:ascii="宋体" w:hAnsi="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en-US" w:eastAsia="zh-CN"/>
              </w:rPr>
              <w:t>配件及服务含：</w:t>
            </w:r>
            <w:r>
              <w:rPr>
                <w:rFonts w:hint="eastAsia" w:ascii="宋体" w:hAnsi="宋体" w:eastAsia="宋体" w:cs="宋体"/>
                <w:color w:val="auto"/>
                <w:kern w:val="2"/>
                <w:sz w:val="21"/>
                <w:szCs w:val="21"/>
                <w:highlight w:val="none"/>
              </w:rPr>
              <w:t>接</w:t>
            </w:r>
            <w:r>
              <w:rPr>
                <w:rFonts w:hint="eastAsia" w:ascii="宋体" w:hAnsi="宋体" w:eastAsia="宋体" w:cs="宋体"/>
                <w:color w:val="auto"/>
                <w:kern w:val="2"/>
                <w:sz w:val="21"/>
                <w:szCs w:val="21"/>
                <w:highlight w:val="none"/>
                <w:lang w:val="en-US" w:eastAsia="zh-CN"/>
              </w:rPr>
              <w:t>收</w:t>
            </w:r>
            <w:r>
              <w:rPr>
                <w:rFonts w:hint="eastAsia" w:ascii="宋体" w:hAnsi="宋体" w:eastAsia="宋体" w:cs="宋体"/>
                <w:color w:val="auto"/>
                <w:kern w:val="2"/>
                <w:sz w:val="21"/>
                <w:szCs w:val="21"/>
                <w:highlight w:val="none"/>
              </w:rPr>
              <w:t>卡，全彩屏控制软件，led显示屏电源，视频处理器，控制电脑，室内led屏幕钢结构，安装培训等）</w:t>
            </w:r>
            <w:r>
              <w:rPr>
                <w:rFonts w:hint="eastAsia" w:ascii="宋体" w:hAnsi="宋体" w:cs="宋体"/>
                <w:color w:val="auto"/>
                <w:kern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工作站</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27英寸5K显示器72Hz双模2K144Hz IPS量子点技术 硬件低蓝光 高性能设计果粉屏RV200ProMAX</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电子显示屏</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组套类型：无组套</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能效等级：二级能效</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电源功率：420W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工作电压：220V</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外包装</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尺寸：宽1850mm;高462mm;厚417mm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CPU架构：四核A73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WIFI频段：2.4G&amp;5G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运行内存：/RAM3GB</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发声单元个数：5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屏幕分辨率：超高清4K</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响应时间：微秒级</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屏幕尺寸：120英寸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屏幕比例：16:9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刷屏率：60Hz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功能动态补偿，独立音响，光纤音频输出</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待机功率：0.5W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裸机</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尺寸：(不含底座)宽2688.6mm;高1525.6mm;厚28.2mm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18.</w:t>
            </w:r>
            <w:r>
              <w:rPr>
                <w:rFonts w:hint="eastAsia" w:ascii="宋体" w:hAnsi="宋体" w:cs="宋体"/>
                <w:color w:val="auto"/>
                <w:sz w:val="21"/>
                <w:szCs w:val="21"/>
                <w:highlight w:val="none"/>
              </w:rPr>
              <w:t>连接方式：无线/有线</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存储内存：128GB</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音响功率：170W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21.</w:t>
            </w:r>
            <w:r>
              <w:rPr>
                <w:rFonts w:hint="eastAsia" w:ascii="宋体" w:hAnsi="宋体" w:cs="宋体"/>
                <w:color w:val="auto"/>
                <w:sz w:val="21"/>
                <w:szCs w:val="21"/>
                <w:highlight w:val="none"/>
              </w:rPr>
              <w:t>亮度：≥300尼特</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色域值：99%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色域标准：DCI-P3</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36</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27英寸4K显示器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电源输入：24V 5A</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额定功率：120W</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屏幕尺寸：27英寸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点距：0.1554(H)X0.1554(V)mm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亮度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≥300nits</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eastAsia="宋体"/>
                <w:color w:val="auto"/>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对比度：1200:1</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色彩：10.7亿</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显示比例：16:9</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分辨率：3840x2160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最大刷新率：≥60Hz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响应时间：≤6ms</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产品尺寸(含底座)：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613*185*511mm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产品净重(含底座)：</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5.5 Kg</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壁挂尺寸支持：(VESA 75*75)</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16.</w:t>
            </w:r>
            <w:r>
              <w:rPr>
                <w:rFonts w:hint="eastAsia" w:ascii="宋体" w:hAnsi="宋体" w:cs="宋体"/>
                <w:color w:val="auto"/>
                <w:sz w:val="21"/>
                <w:szCs w:val="21"/>
                <w:highlight w:val="none"/>
              </w:rPr>
              <w:t>前倾后仰：前5°后21°</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3D打印机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套</w:t>
            </w:r>
          </w:p>
        </w:tc>
        <w:tc>
          <w:tcPr>
            <w:tcW w:w="7112" w:type="dxa"/>
            <w:tcBorders>
              <w:top w:val="single" w:color="auto" w:sz="4" w:space="0"/>
              <w:left w:val="single" w:color="auto" w:sz="4" w:space="0"/>
              <w:bottom w:val="single" w:color="auto" w:sz="4" w:space="0"/>
            </w:tcBorders>
            <w:noWrap w:val="0"/>
            <w:vAlign w:val="center"/>
          </w:tcPr>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热床支持最高温度：100℃</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numPr>
                <w:ilvl w:val="-1"/>
                <w:numId w:val="0"/>
              </w:numPr>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适合打印的耗材（原装喷嘴）：PLA，PETG，TPU，PVA (更换硬化钢喷嘴)：PLA-CF、PETG-CF等</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最大功率：130ow@220V |350W@110V</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显示屏：3.5英寸 320*240分辨率触摸屏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成型技术：熔融沉积成型</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框架：钢材+铝型材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热端：全金属</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挤出机齿轮：钢材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喷嘴：不锈钢</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喷嘴最高温度：300 ℃ 喷嘴直径(自带)：0.4 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可支持的打印面板：低温打印面板、高温打印面板、纹理PEI打印面板</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ams lite 3d 打印机智能自动供料系统，4色打印</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4k投影仪</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shd w:val="clear" w:color="auto" w:fill="auto"/>
            <w:noWrap w:val="0"/>
            <w:vAlign w:val="center"/>
          </w:tcPr>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7000流明、4K超高清工程投影机</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‌投影技术‌：3LCD或DLP技术</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‌显示芯片‌：3×0.76英寸芯片</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▲4.‌亮度‌：＞7000流明投标时提供具备CMA或CNAS资质的权威检测机构出具的检测合格的报告复印件，原件中标后签订合同时备查）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‌亮度均匀值‌：90%</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‌对比度‌：50000:1</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‌标准分辨率‌：＞WUXGA（1920×1200）（投标时提供具备CMA或CNAS资质的权威检测机构出具的检测合格的报告复印件，原件中标后签订合同时备查）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‌扫描频率‌：水平15-92kHz，垂直50-85Hz</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‌光源功率‌：400W</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‌光源寿命‌：正常模式3000小时，经济模式4000小时，纵向模式2000小时</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‌变焦方式‌：电动变焦</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‌聚焦方式‌：电动聚焦</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‌变焦比‌：＞1.6倍</w:t>
            </w:r>
            <w:r>
              <w:rPr>
                <w:rFonts w:hint="eastAsia" w:ascii="宋体" w:hAnsi="宋体" w:eastAsia="宋体" w:cs="宋体"/>
                <w:b/>
                <w:bCs/>
                <w:color w:val="auto"/>
                <w:sz w:val="21"/>
                <w:szCs w:val="21"/>
                <w:highlight w:val="none"/>
              </w:rPr>
              <w:t>（投标时提供具备CMA或CNAS资质的权威检测机构出具的检测合格的报告复印件，原件中标后签订合同时备查）</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‌实际焦距‌：f=24-38.2mm</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‌投射比‌：1.44-2.33:1</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‌投影尺寸‌：50-300英寸</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‌屏幕比例‌：16:10</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‌色彩数目‌：10.7亿色</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‌光轴‌：水平±30%，垂直±67%</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‌扬声器‌：10W单声道</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‌接口‌：1×视频输入（D-sub 15针）、1×视频输入（5bnc）、1×HDMI、1×视频输入（DVI-D）、1×视频输入（HD-BaseT）、3×音频输入（迷你立体声）、1×视频输出（D-sub 15针）、1×音频输出（迷你立体声）、1×RS-232C（D-sub 9针）、1×遥控器输入（迷你立体声）、1×USB A型（用于无线LAN、固件升级、复制OSD设定）、1×USB B型（用于固件升级、复制OSD设定）、1×有线LAN（RJ-45）、1×无线LAN（A型USB，选配）</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‌电源功率‌：正常模式572W，经济模式477W，待机功率0.3W</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‌电源性能‌：AC100-240V，50/60Hz，6.0-2.6A</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‌产品</w:t>
            </w:r>
            <w:r>
              <w:rPr>
                <w:rFonts w:hint="eastAsia" w:ascii="宋体" w:hAnsi="宋体" w:cs="宋体"/>
                <w:color w:val="auto"/>
                <w:sz w:val="21"/>
                <w:szCs w:val="21"/>
                <w:highlight w:val="none"/>
                <w:lang w:val="en-US" w:eastAsia="zh-CN"/>
              </w:rPr>
              <w:t>参考</w:t>
            </w:r>
            <w:r>
              <w:rPr>
                <w:rFonts w:hint="eastAsia" w:ascii="宋体" w:hAnsi="宋体" w:eastAsia="宋体" w:cs="宋体"/>
                <w:color w:val="auto"/>
                <w:sz w:val="21"/>
                <w:szCs w:val="21"/>
                <w:highlight w:val="none"/>
              </w:rPr>
              <w:t>尺寸‌：不含支撑脚</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525×189×472mm</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‌产品重量‌：</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rPr>
              <w:t>12.9kg</w:t>
            </w:r>
            <w:r>
              <w:rPr>
                <w:rFonts w:hint="eastAsia" w:ascii="宋体" w:hAnsi="宋体" w:cs="宋体"/>
                <w:color w:val="auto"/>
                <w:sz w:val="21"/>
                <w:szCs w:val="21"/>
                <w:highlight w:val="none"/>
                <w:lang w:eastAsia="zh-CN"/>
              </w:rPr>
              <w:t>；</w:t>
            </w:r>
          </w:p>
          <w:p>
            <w:pPr>
              <w:pStyle w:val="51"/>
              <w:numPr>
                <w:ilvl w:val="-1"/>
                <w:numId w:val="0"/>
              </w:numPr>
              <w:spacing w:line="264" w:lineRule="auto"/>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‌适用环境‌：工作温度0-45℃（0-1500m），0-40℃（1500-3048m），0-35℃（3048-5000m）；工作湿度20%-80%（未结露）；存储温度-10-60℃；存储湿度10%-90%（未结露）</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学生桌</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椅</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30</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eastAsia="宋体" w:cs="宋体"/>
                <w:color w:val="auto"/>
                <w:kern w:val="0"/>
                <w:szCs w:val="21"/>
                <w:highlight w:val="none"/>
                <w:lang w:val="en" w:eastAsia="zh-CN"/>
              </w:rPr>
            </w:pPr>
            <w:r>
              <w:rPr>
                <w:rFonts w:hint="eastAsia" w:ascii="宋体" w:hAnsi="宋体" w:cs="宋体"/>
                <w:color w:val="auto"/>
                <w:kern w:val="0"/>
                <w:szCs w:val="21"/>
                <w:highlight w:val="none"/>
                <w:lang w:val="en-US" w:eastAsia="zh-CN"/>
              </w:rPr>
              <w:t>套</w:t>
            </w:r>
          </w:p>
        </w:tc>
        <w:tc>
          <w:tcPr>
            <w:tcW w:w="7112" w:type="dxa"/>
            <w:tcBorders>
              <w:top w:val="single" w:color="auto" w:sz="4" w:space="0"/>
              <w:left w:val="single" w:color="auto" w:sz="4" w:space="0"/>
              <w:bottom w:val="single" w:color="auto" w:sz="4" w:space="0"/>
            </w:tcBorders>
            <w:noWrap w:val="0"/>
            <w:vAlign w:val="center"/>
          </w:tcPr>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1.桌子尺寸: 800*600*730mm;采用40*40方管钢架,桌面采用优质25mm厚密度板；</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2.封边: 1.5mm厚同色pvc全自动机器封边； </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3.E1级优质环保纤维板或刨花板；</w:t>
            </w:r>
          </w:p>
          <w:p>
            <w:pPr>
              <w:spacing w:line="264" w:lineRule="auto"/>
              <w:ind w:left="0" w:leftChars="0"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4.椅子尺寸: 340*240*450mm; 方钢管定做，钢管表面喷涂前经过酸洗、磷化、5.除油、热固化喷塑，凳脚光滑，不得有毛刺污点,凳子的脚套为内嵌式黑色脚套；</w:t>
            </w:r>
          </w:p>
          <w:p>
            <w:pPr>
              <w:spacing w:line="264" w:lineRule="auto"/>
              <w:ind w:left="0" w:leftChars="0" w:firstLine="0" w:firstLineChars="0"/>
              <w:rPr>
                <w:rFonts w:hint="eastAsia" w:ascii="宋体" w:hAnsi="宋体" w:cs="宋体"/>
                <w:color w:val="auto"/>
                <w:sz w:val="21"/>
                <w:szCs w:val="21"/>
                <w:highlight w:val="none"/>
              </w:rPr>
            </w:pPr>
            <w:r>
              <w:rPr>
                <w:rFonts w:hint="eastAsia" w:ascii="汉仪叶叶相思体简" w:hAnsi="汉仪叶叶相思体简" w:eastAsia="汉仪叶叶相思体简" w:cs="汉仪叶叶相思体简"/>
                <w:color w:val="auto"/>
                <w:highlight w:val="none"/>
                <w:lang w:eastAsia="zh-CN"/>
              </w:rPr>
              <w:t>★</w:t>
            </w:r>
            <w:r>
              <w:rPr>
                <w:rFonts w:hint="eastAsia" w:ascii="宋体" w:hAnsi="宋体" w:cs="宋体"/>
                <w:color w:val="auto"/>
                <w:sz w:val="21"/>
                <w:szCs w:val="21"/>
                <w:highlight w:val="none"/>
                <w:lang w:val="en-US" w:eastAsia="zh-CN"/>
              </w:rPr>
              <w:t>6.凳面采用15mm厚密度板，封同色加厚直边。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司仪台</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定制木质司仪台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笔记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本电脑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14寸/R5-7430U/16G/512G/WIN11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分辨率：3840*2160  120HZ</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售后服务：3年质保，3年上门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屏幕尺寸：27英寸</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包装清单</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显示器× 1、USB线 × 1、DisplayPort线× 1、电源× 1、说明书 × 1、保修卡 × 1</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多功能</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打印</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一体机</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彩色激光多功能一体机</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涵盖功能：打印/复印/扫描</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最大处理幅面：A3</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耗材类型：鼓粉分离</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黑白打印速度：A4：23ppm，A3：12ppm</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打印分辨率：1200×1200dpi</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双面功能：自动双面打印</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网络功能：支持有线网络打印</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打印速度：23页/分钟</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纸张输入容量：1140页</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端口：USB、以太网</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双面支持纸张：A3、A4</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台式电脑</w:t>
            </w:r>
          </w:p>
        </w:tc>
        <w:tc>
          <w:tcPr>
            <w:tcW w:w="71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759" w:type="dxa"/>
            <w:tcBorders>
              <w:top w:val="single" w:color="auto" w:sz="4" w:space="0"/>
              <w:left w:val="single" w:color="auto" w:sz="4" w:space="0"/>
              <w:bottom w:val="single" w:color="auto" w:sz="4" w:space="0"/>
              <w:right w:val="single" w:color="auto" w:sz="4" w:space="0"/>
            </w:tcBorders>
            <w:noWrap w:val="0"/>
            <w:vAlign w:val="center"/>
          </w:tcPr>
          <w:p>
            <w:pPr>
              <w:widowControl/>
              <w:spacing w:line="264" w:lineRule="auto"/>
              <w:jc w:val="center"/>
              <w:textAlignment w:val="center"/>
              <w:rPr>
                <w:rFonts w:hint="eastAsia" w:ascii="宋体" w:hAnsi="宋体" w:cs="宋体"/>
                <w:color w:val="auto"/>
                <w:kern w:val="0"/>
                <w:szCs w:val="21"/>
                <w:highlight w:val="none"/>
                <w:lang w:val="en"/>
              </w:rPr>
            </w:pPr>
            <w:r>
              <w:rPr>
                <w:rFonts w:hint="eastAsia" w:ascii="宋体" w:hAnsi="宋体" w:cs="宋体"/>
                <w:color w:val="auto"/>
                <w:kern w:val="0"/>
                <w:szCs w:val="21"/>
                <w:highlight w:val="none"/>
                <w:lang w:val="en"/>
              </w:rPr>
              <w:t>台</w:t>
            </w:r>
          </w:p>
        </w:tc>
        <w:tc>
          <w:tcPr>
            <w:tcW w:w="7112" w:type="dxa"/>
            <w:tcBorders>
              <w:top w:val="single" w:color="auto" w:sz="4" w:space="0"/>
              <w:left w:val="single" w:color="auto" w:sz="4" w:space="0"/>
              <w:bottom w:val="single" w:color="auto" w:sz="4" w:space="0"/>
            </w:tcBorders>
            <w:noWrap w:val="0"/>
            <w:vAlign w:val="center"/>
          </w:tcPr>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 处理器（CPU）</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Intel：Core i7/i9（如i914900K）、至强（Xeon，工作站/服务器）  </w:t>
            </w:r>
          </w:p>
          <w:p>
            <w:pPr>
              <w:pStyle w:val="5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AMD：Ryzen 3/5/7/9（如Ryzen 9 7950X）、Threadripper（高端多核）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核心与线程数 </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 xml:space="preserve">8核16线程（多任务处理能力更强）。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主频与加速频率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基础频率（如3.5 GHz）、最大睿频（如5.8 GHz）。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缓存   L3缓存大小（如32MB）。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制程工艺   如Intel 7（10nm Enhanced）、TSMC 5nm（AMD）。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TDP（热设计功耗）  如65W（低功耗）、125W（高性能）。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插槽类型  Intel：LGA 1700/1851；AMD：AM5/TRX40</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2. 主板（Motherboard） 芯片组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Intel：Z790（高端）、B760（主流）、H610（入门）。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AMD：X670E（旗舰）、B650（主流）、A620（入门）。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尺寸规格  ATX（标准）、MicroATX（紧凑）、MiniITX（迷你）。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内存支持  插槽数量（如4×DDR5）、最大容量（如128GB）、频率（如DDR56400）。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扩展接口   PCIe版本（如PCIe 5.0×16）、M.2接口数量（支持NVMe协议）。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存储接口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SATA 6Gb/s（传统硬盘）、USB 3.2 Gen2x2（20Gbps）。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网络与无线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有线网卡（如2.5Gbps）、WiFi 6E/7、蓝牙5.3。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其他功能  </w:t>
            </w:r>
          </w:p>
          <w:p>
            <w:pPr>
              <w:pStyle w:val="51"/>
              <w:spacing w:line="264" w:lineRule="auto"/>
              <w:ind w:left="0" w:leftChars="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 RGB灯效控制、雷电4接口、BIOS Flashback（无CPU刷固件）</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 内存（RAM）</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单条容量（如16GB）、总容量（如32GB双通道）。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类型与频率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DDR4（如3200MHz）或DDR5（如6000MHz）。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时序参数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如CL16181836（数值越低性能越好）。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ECC支持  </w:t>
            </w:r>
          </w:p>
          <w:p>
            <w:pPr>
              <w:pStyle w:val="51"/>
              <w:spacing w:line="264"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纠错码内存（用于工作站/服务器）</w:t>
            </w:r>
            <w:r>
              <w:rPr>
                <w:rFonts w:hint="eastAsia" w:ascii="宋体" w:hAnsi="宋体" w:cs="宋体"/>
                <w:color w:val="auto"/>
                <w:sz w:val="21"/>
                <w:szCs w:val="21"/>
                <w:highlight w:val="none"/>
                <w:lang w:eastAsia="zh-CN"/>
              </w:rPr>
              <w:t>；</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4. 存储设备 固态硬盘（SSD）  </w:t>
            </w:r>
          </w:p>
          <w:p>
            <w:pPr>
              <w:pStyle w:val="51"/>
              <w:spacing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接口类型：NVMe PCIe 4.0/5.0（速度达7000MB/s以上）、SATA 3.0（约550MB/s）。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容量：512GB、1TB、2TB等。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颗粒类型：TLC（主流）、QLC（低成本，寿命较短）。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机械硬盘（HDD）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容量：2TB、4TB、8TB（适合冷数据存储）。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转速：5400 RPM（静音）、7200 RPM（高性能）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p>
          <w:p>
            <w:pPr>
              <w:pStyle w:val="51"/>
              <w:spacing w:line="264" w:lineRule="auto"/>
              <w:ind w:left="0" w:leftChars="0"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5. 显卡（GPU）</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NVIDIA：RTX 4090/4080（光追）、RTX 4060（主流）。</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AMD：RX 7900XTX（高端）、RX 7600（性价比）。</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专业卡：NVIDIA RTX A6000、AMD Radeon Pro W7800。</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显存容量与类型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如24GB GDDR6X（NVIDIA）、20GB GDDR6（AMD）。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核心参数</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CUDA核心（NVIDIA）或流处理器（AMD）、光线追踪核心。</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输出接口</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HDMI 2.1、DisplayPort 2.1（支持8K/高刷）。</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功耗与供电</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TGP（如450W），需匹配电源功率</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6. 电源（PSU）</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额定功率</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根据配置选择（如650W/850W/1000W）。</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认证标准</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80Plus金牌/白金（转换效率≥90%）。</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模组类型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全模组（灵活布线）、半模组、非模组。</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保护功能</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OVP（过压保护）、OCP（过流保护）、短路保护</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7. 机箱（Case）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尺寸兼容性</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支持主板类型（ATX/MicroATX）、显卡长度（如≤400mm）、散热器高度（如≤165mm）。</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散热设计</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风扇位（如前置3×120mm）、水冷支持（如360mm冷排）。</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扩展性</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硬盘位（SSD/HDD）、PCIe槽位。</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材质与设计</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钢化玻璃侧透、防尘网、理线空间</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8. 散热系统</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风冷散热器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塔式散热（如Noctua NHD15）、热管数量（如6根）。</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水冷散热器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一体式水冷（AIO）如240mm/360mm冷排。</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风扇配置</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PWM温控风扇、RGB同步</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9. 外设</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显示器</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分辨率（1080p/4K）、刷新率（144Hz/240Hz）、面板类型（IPS/OLED）。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键盘与鼠标</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机械键盘（红轴/茶轴）、游戏鼠标（DPI可调）。</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音响/耳机</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环绕声支持（如7.1声道）、降噪麦克风</w:t>
            </w:r>
            <w:r>
              <w:rPr>
                <w:rFonts w:hint="eastAsia" w:ascii="宋体" w:hAnsi="宋体" w:cs="宋体"/>
                <w:color w:val="auto"/>
                <w:sz w:val="21"/>
                <w:szCs w:val="21"/>
                <w:highlight w:val="none"/>
                <w:lang w:eastAsia="zh-CN"/>
              </w:rPr>
              <w:t>；</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10. 操作系统</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类型</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Windows 11 Pro（兼容性佳）、Linux（开发/服务器）、macOS（Hackintosh需特定硬件）。</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附加功能</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RGB灯效</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支持软件同步（如Aura Sync、iCUE）。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无线连接</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WiFi 6E、蓝牙5.3（需主板支持）。</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扩展坞</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多设备接口扩展（USBC/雷电4）。</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示例配置（高性能游戏/设计）</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CPU：AMD Ryzen 9 7950X（16核32线程，5.7GHz）</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主板：ASUS ROG X670E Hero（PCIe 5.0，WiFi 6E）</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内存：32GB DDR56000（CL36）</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显卡：NVIDIA RTX 4090（24GB GDDR6X）</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存储：2TB NVMe PCIe 5.0 SSD + 4TB HDD</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电源：Corsair RM1000x（80Plus金牌，全模组）</w:t>
            </w:r>
          </w:p>
          <w:p>
            <w:pPr>
              <w:pStyle w:val="51"/>
              <w:spacing w:line="264" w:lineRule="auto"/>
              <w:ind w:left="0" w:leftChars="0" w:firstLine="0" w:firstLineChars="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散热：NZXT Kraken 360mm水冷</w:t>
            </w:r>
          </w:p>
          <w:p>
            <w:pPr>
              <w:pStyle w:val="51"/>
              <w:spacing w:line="264" w:lineRule="auto"/>
              <w:ind w:left="0" w:leftChars="0" w:firstLine="0" w:firstLineChars="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机箱：Lian Li O11 Dynamic XL（支持垂直显卡安装）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noWrap w:val="0"/>
            <w:vAlign w:val="center"/>
          </w:tcPr>
          <w:p>
            <w:pPr>
              <w:widowControl/>
              <w:spacing w:line="264" w:lineRule="auto"/>
              <w:rPr>
                <w:rFonts w:hint="eastAsia" w:ascii="宋体" w:hAnsi="宋体" w:cs="宋体"/>
                <w:b/>
                <w:color w:val="auto"/>
                <w:kern w:val="0"/>
                <w:szCs w:val="21"/>
                <w:highlight w:val="none"/>
                <w:lang w:eastAsia="en-US"/>
              </w:rPr>
            </w:pPr>
            <w:r>
              <w:rPr>
                <w:rFonts w:hint="eastAsia" w:ascii="宋体" w:hAnsi="宋体" w:cs="宋体"/>
                <w:color w:val="auto"/>
                <w:sz w:val="21"/>
                <w:szCs w:val="21"/>
                <w:highlight w:val="none"/>
                <w:lang w:val="en-US" w:eastAsia="zh-CN"/>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它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spacing w:line="264" w:lineRule="auto"/>
              <w:rPr>
                <w:rFonts w:hint="eastAsia"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w:t>
            </w:r>
            <w:r>
              <w:rPr>
                <w:rFonts w:hint="eastAsia" w:ascii="宋体" w:hAnsi="宋体"/>
                <w:color w:val="auto"/>
                <w:szCs w:val="21"/>
                <w:highlight w:val="none"/>
                <w:lang w:eastAsia="zh-CN"/>
              </w:rPr>
              <w:t>分标</w:t>
            </w:r>
            <w:r>
              <w:rPr>
                <w:rFonts w:hint="eastAsia" w:ascii="宋体" w:hAnsi="宋体"/>
                <w:color w:val="auto"/>
                <w:szCs w:val="21"/>
                <w:highlight w:val="none"/>
              </w:rPr>
              <w:t>核心产品</w:t>
            </w:r>
          </w:p>
        </w:tc>
        <w:tc>
          <w:tcPr>
            <w:tcW w:w="8590" w:type="dxa"/>
            <w:gridSpan w:val="3"/>
            <w:tcBorders>
              <w:top w:val="single" w:color="auto" w:sz="4" w:space="0"/>
              <w:left w:val="single" w:color="auto" w:sz="4" w:space="0"/>
              <w:bottom w:val="single" w:color="auto" w:sz="4" w:space="0"/>
            </w:tcBorders>
            <w:noWrap w:val="0"/>
            <w:vAlign w:val="center"/>
          </w:tcPr>
          <w:p>
            <w:pPr>
              <w:adjustRightInd w:val="0"/>
              <w:snapToGrid w:val="0"/>
              <w:rPr>
                <w:rFonts w:hint="eastAsia" w:ascii="宋体" w:hAnsi="宋体" w:cs="宋体"/>
                <w:bCs/>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2“LED屏”</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noWrap w:val="0"/>
            <w:vAlign w:val="center"/>
          </w:tcPr>
          <w:p>
            <w:pPr>
              <w:snapToGrid w:val="0"/>
              <w:spacing w:line="264" w:lineRule="auto"/>
              <w:rPr>
                <w:rFonts w:hint="eastAsia"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0个日历日内交付使用。</w:t>
            </w:r>
          </w:p>
          <w:p>
            <w:pPr>
              <w:snapToGrid w:val="0"/>
              <w:spacing w:line="264" w:lineRule="auto"/>
              <w:rPr>
                <w:rFonts w:hint="eastAsia"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6．设备如出现故障在接到采购人通知后在30分钟内响应，2小时内上门服务，12小时内解决故障；未能在规定时间内排除故障的，必须在接到采购人通知后48小时内提供同档次的备用机并提交故障解决处理方案；</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8．项目供货及安装过程中产生的残留物或垃圾，需由中标供应商自行清理至校外国家有关部门指定堆放处，产品包装箱及有关产品说明书等处置需经采购人确认后处理。</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9．对于软件系统存在的安全漏洞包括但不限于数据库安全的情形，中标供应商应提供终身免费系统升级补丁及做好安全策略。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noWrap w:val="0"/>
            <w:vAlign w:val="center"/>
          </w:tcPr>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w:t>
            </w:r>
            <w:r>
              <w:rPr>
                <w:rFonts w:hint="eastAsia" w:ascii="宋体" w:hAnsi="宋体"/>
                <w:color w:val="auto"/>
                <w:sz w:val="21"/>
                <w:szCs w:val="21"/>
                <w:highlight w:val="none"/>
                <w:lang w:val="en-US" w:eastAsia="zh-CN"/>
              </w:rPr>
              <w:t>进度款：</w:t>
            </w:r>
            <w:r>
              <w:rPr>
                <w:rFonts w:hint="eastAsia" w:ascii="宋体" w:hAnsi="宋体"/>
                <w:color w:val="auto"/>
                <w:sz w:val="21"/>
                <w:szCs w:val="21"/>
                <w:highlight w:val="none"/>
              </w:rPr>
              <w:t>全部设备到货后，经采购人确认后在十个工作日内向中标供应商付款方式支付合同价款的</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0%；所有货物安装调试完成、试运行正常且验收合格，并经采购人确认后，在十个工作日内向中标供应商支付合同价款的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0%。</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银行账号：45001604559050500909</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spacing w:line="264" w:lineRule="auto"/>
              <w:jc w:val="center"/>
              <w:rPr>
                <w:rFonts w:hint="eastAsia"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noWrap w:val="0"/>
            <w:vAlign w:val="center"/>
          </w:tcPr>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hint="eastAsia"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eastAsia" w:ascii="宋体" w:hAnsi="宋体" w:cs="宋体"/>
                <w:color w:val="auto"/>
                <w:sz w:val="21"/>
                <w:szCs w:val="21"/>
                <w:highlight w:val="none"/>
                <w:lang w:val="en"/>
              </w:rPr>
            </w:pPr>
            <w:r>
              <w:rPr>
                <w:rFonts w:hint="eastAsia" w:ascii="宋体" w:hAnsi="宋体" w:cs="宋体"/>
                <w:color w:val="auto"/>
                <w:sz w:val="21"/>
                <w:szCs w:val="21"/>
                <w:highlight w:val="none"/>
              </w:rPr>
              <w:t>（2）中标供应商必须提供合格的验收材料，验收材料包括①验收申请书（原件）、②中标通知书复印件、③合同（包括附件加盖采购代理机构章的格式合同中规定的附件）复印件；④项目实施过程文件、⑤货物的证明文件、⑥货物的技术资料、⑦培训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noWrap w:val="0"/>
            <w:vAlign w:val="center"/>
          </w:tcPr>
          <w:p>
            <w:pPr>
              <w:widowControl/>
              <w:wordWrap w:val="0"/>
              <w:spacing w:line="264" w:lineRule="auto"/>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noWrap w:val="0"/>
            <w:vAlign w:val="center"/>
          </w:tcPr>
          <w:p>
            <w:pPr>
              <w:spacing w:line="264" w:lineRule="auto"/>
              <w:jc w:val="left"/>
              <w:rPr>
                <w:rFonts w:hint="eastAsia"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hint="eastAsia"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pStyle w:val="99"/>
              <w:spacing w:before="0" w:after="0" w:line="264"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p>
          <w:p>
            <w:pPr>
              <w:pStyle w:val="21"/>
              <w:spacing w:line="264" w:lineRule="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5.采购货物纳入强制性产品认证（3C认证）的，投标人所投产品必须从其规定。</w:t>
            </w:r>
          </w:p>
          <w:p>
            <w:pPr>
              <w:spacing w:line="264" w:lineRule="auto"/>
              <w:rPr>
                <w:rFonts w:hint="eastAsia"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rPr>
          <w:rFonts w:hint="eastAsia" w:ascii="仿宋_GB2312" w:eastAsia="仿宋_GB2312"/>
          <w:b/>
          <w:color w:val="auto"/>
          <w:szCs w:val="21"/>
          <w:highlight w:val="none"/>
        </w:rPr>
      </w:pPr>
    </w:p>
    <w:p>
      <w:pPr>
        <w:pStyle w:val="51"/>
        <w:rPr>
          <w:rFonts w:hint="eastAsia"/>
          <w:color w:val="auto"/>
          <w:highlight w:val="none"/>
        </w:rPr>
      </w:pPr>
    </w:p>
    <w:p>
      <w:pPr>
        <w:spacing w:line="360" w:lineRule="auto"/>
        <w:ind w:firstLine="413" w:firstLineChars="196"/>
        <w:rPr>
          <w:rFonts w:ascii="宋体" w:hAnsi="Calibri"/>
          <w:b/>
          <w:color w:val="auto"/>
          <w:highlight w:val="none"/>
        </w:rPr>
      </w:pPr>
      <w:r>
        <w:rPr>
          <w:rFonts w:hint="eastAsia" w:ascii="宋体" w:hAnsi="宋体"/>
          <w:b/>
          <w:color w:val="auto"/>
          <w:highlight w:val="none"/>
        </w:rPr>
        <w:t>分标5：</w:t>
      </w:r>
    </w:p>
    <w:tbl>
      <w:tblPr>
        <w:tblStyle w:val="52"/>
        <w:tblW w:w="103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4"/>
        <w:gridCol w:w="1110"/>
        <w:gridCol w:w="719"/>
        <w:gridCol w:w="759"/>
        <w:gridCol w:w="71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110"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货物名称</w:t>
            </w:r>
          </w:p>
        </w:tc>
        <w:tc>
          <w:tcPr>
            <w:tcW w:w="71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rPr>
            </w:pPr>
            <w:r>
              <w:rPr>
                <w:rFonts w:hint="eastAsia" w:ascii="宋体" w:hAnsi="宋体" w:cs="宋体"/>
                <w:b/>
                <w:color w:val="auto"/>
                <w:szCs w:val="21"/>
                <w:highlight w:val="none"/>
              </w:rPr>
              <w:t>数量</w:t>
            </w:r>
          </w:p>
        </w:tc>
        <w:tc>
          <w:tcPr>
            <w:tcW w:w="759" w:type="dxa"/>
            <w:tcBorders>
              <w:top w:val="single" w:color="auto" w:sz="4" w:space="0"/>
              <w:left w:val="single" w:color="auto" w:sz="4" w:space="0"/>
              <w:bottom w:val="single" w:color="auto" w:sz="4" w:space="0"/>
              <w:right w:val="single" w:color="auto" w:sz="4" w:space="0"/>
            </w:tcBorders>
            <w:vAlign w:val="center"/>
          </w:tcPr>
          <w:p>
            <w:pPr>
              <w:spacing w:line="264" w:lineRule="auto"/>
              <w:jc w:val="center"/>
              <w:rPr>
                <w:rFonts w:ascii="宋体" w:hAnsi="宋体" w:cs="宋体"/>
                <w:b/>
                <w:color w:val="auto"/>
                <w:szCs w:val="21"/>
                <w:highlight w:val="none"/>
                <w:lang w:val="en"/>
              </w:rPr>
            </w:pPr>
            <w:r>
              <w:rPr>
                <w:rFonts w:hint="eastAsia" w:ascii="宋体" w:hAnsi="宋体" w:cs="宋体"/>
                <w:b/>
                <w:color w:val="auto"/>
                <w:szCs w:val="21"/>
                <w:highlight w:val="none"/>
              </w:rPr>
              <w:t>单位</w:t>
            </w:r>
          </w:p>
        </w:tc>
        <w:tc>
          <w:tcPr>
            <w:tcW w:w="7112" w:type="dxa"/>
            <w:tcBorders>
              <w:top w:val="single" w:color="auto" w:sz="4" w:space="0"/>
              <w:left w:val="single" w:color="auto" w:sz="4" w:space="0"/>
              <w:bottom w:val="single" w:color="auto" w:sz="4" w:space="0"/>
            </w:tcBorders>
            <w:vAlign w:val="center"/>
          </w:tcPr>
          <w:p>
            <w:pPr>
              <w:widowControl/>
              <w:spacing w:line="264"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UPS电源</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个</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1.输出波形：纯净正弦波输出；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2.输入频率：40-70HZ；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3.输出电压：220X（1±2%）VAC；</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4.电容：3KVA；</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5.续航时间不小于30分钟，配24Ah电池8组；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6.输出功因：40℃≥0.8，30℃≥0.9；</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7.19寸机架式。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全彩背景视频设备（超高）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1.尺寸：18m(宽)×10m(高)(±5%)；</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2.分辨率：7168×3840；</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7.平整度：≤0.2mm；</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9.模组电源接口采用4P接插头，免工具维护，同时有防呆设计，预防接错电源线短路而导致的烧毁模组行为；</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18.色温可调范围：3000k~15000k，并可自定义色温值；</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19.对比度 5000:1；</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20.视角：水平视角≥160°，垂直视角≥140°；</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24.模组亮度均匀性≥97%；</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26.发光点中心距偏差&lt;3%；</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18"/>
              <w:spacing w:line="264" w:lineRule="auto"/>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18"/>
              <w:spacing w:line="264" w:lineRule="auto"/>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42.泄漏电流 I（漏）≤3.5mA/㎡；</w:t>
            </w:r>
          </w:p>
          <w:p>
            <w:pPr>
              <w:pStyle w:val="18"/>
              <w:rPr>
                <w:rFonts w:hint="eastAsia" w:ascii="宋体" w:hAnsi="宋体" w:eastAsia="宋体" w:cs="宋体"/>
                <w:color w:val="auto"/>
                <w:kern w:val="2"/>
                <w:sz w:val="21"/>
                <w:szCs w:val="21"/>
                <w:highlight w:val="none"/>
                <w:lang w:eastAsia="zh-CN"/>
              </w:rPr>
            </w:pPr>
            <w:r>
              <w:rPr>
                <w:rFonts w:hint="eastAsia" w:ascii="宋体" w:hAnsi="宋体" w:cs="宋体"/>
                <w:color w:val="auto"/>
                <w:szCs w:val="21"/>
                <w:highlight w:val="none"/>
              </w:rPr>
              <w:t>★</w:t>
            </w:r>
            <w:r>
              <w:rPr>
                <w:rFonts w:hint="eastAsia" w:ascii="宋体" w:hAnsi="宋体" w:cs="宋体"/>
                <w:color w:val="auto"/>
                <w:kern w:val="2"/>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若有请提供</w:t>
            </w:r>
            <w:r>
              <w:rPr>
                <w:rFonts w:hint="eastAsia" w:ascii="宋体" w:hAnsi="宋体" w:eastAsia="宋体" w:cs="宋体"/>
                <w:color w:val="auto"/>
                <w:sz w:val="21"/>
                <w:szCs w:val="21"/>
                <w:highlight w:val="none"/>
              </w:rPr>
              <w:t>具备CMA或CNAS资质的权威检测机构出具的检测报告复印件</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供货前</w:t>
            </w:r>
            <w:r>
              <w:rPr>
                <w:rFonts w:hint="eastAsia" w:ascii="宋体" w:hAnsi="宋体" w:cs="宋体"/>
                <w:color w:val="auto"/>
                <w:kern w:val="2"/>
                <w:sz w:val="21"/>
                <w:szCs w:val="21"/>
                <w:highlight w:val="none"/>
              </w:rPr>
              <w:t>所投产品须有制造厂商提供产品售后服务承诺书，加盖公章</w:t>
            </w:r>
            <w:r>
              <w:rPr>
                <w:rFonts w:hint="eastAsia" w:ascii="宋体" w:hAnsi="宋体" w:cs="宋体"/>
                <w:color w:val="auto"/>
                <w:kern w:val="2"/>
                <w:sz w:val="21"/>
                <w:szCs w:val="21"/>
                <w:highlight w:val="none"/>
                <w:lang w:eastAsia="zh-CN"/>
              </w:rPr>
              <w:t>；</w:t>
            </w:r>
          </w:p>
          <w:p>
            <w:pPr>
              <w:pStyle w:val="18"/>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18"/>
              <w:rPr>
                <w:rFonts w:hint="default"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全彩会标视频设备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1.尺寸：18m(宽)×1m(高)(±5%)；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2.分辨率：7200×405；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23.灰度：100%亮度 16bit 灰度，20%亮度 12bit 灰度</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w:t>
            </w:r>
            <w:r>
              <w:rPr>
                <w:rFonts w:hint="eastAsia" w:ascii="宋体" w:hAnsi="宋体" w:cs="宋体"/>
                <w:color w:val="auto"/>
                <w:sz w:val="21"/>
                <w:szCs w:val="21"/>
                <w:highlight w:val="none"/>
              </w:rPr>
              <w:t>24.模组亮度均匀性≥97%</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29.电源冗余备份，具智能节电功能，软件自动报警功能</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42.泄漏电流 I（漏）≤3.5mA/㎡；</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Cs w:val="21"/>
                <w:highlight w:val="none"/>
              </w:rPr>
              <w:t>★</w:t>
            </w:r>
            <w:r>
              <w:rPr>
                <w:rFonts w:hint="eastAsia" w:ascii="宋体" w:hAnsi="宋体" w:cs="宋体"/>
                <w:color w:val="auto"/>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供货前</w:t>
            </w:r>
            <w:r>
              <w:rPr>
                <w:rFonts w:hint="eastAsia" w:ascii="宋体" w:hAnsi="宋体" w:cs="宋体"/>
                <w:color w:val="auto"/>
                <w:sz w:val="21"/>
                <w:szCs w:val="21"/>
                <w:highlight w:val="none"/>
              </w:rPr>
              <w:t>所投产品须有制造厂商提供产品售后服务承诺书，加盖公章。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全彩八字墙视频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11.52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1.尺寸：3.2米（宽）×1.8米（高）x2块 (±5%)；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2.分辨率：1200×675；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24.模组亮度均匀性≥97%；</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37.高温 60℃，低温-40℃冷热冲击实验；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42.泄漏电流 I（漏）≤3.5mA/㎡；</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★43.投标人所投产品技术参数第17-42项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供货前</w:t>
            </w:r>
            <w:r>
              <w:rPr>
                <w:rFonts w:hint="eastAsia" w:ascii="宋体" w:hAnsi="宋体" w:cs="宋体"/>
                <w:color w:val="auto"/>
                <w:sz w:val="21"/>
                <w:szCs w:val="21"/>
                <w:highlight w:val="none"/>
              </w:rPr>
              <w:t>所投产品须有制造厂商提供产品售后服务承诺书，加盖公章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▲44.具备双信号，具备双电源备份，做到信号电源双备份。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多媒体</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1.支持替代多台电脑主机，满足点对点显示带载，外壳防护等级符合GB/T4208-2017中IP20的要求；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2.为保证设备稳定运行MTBF可不间断工作≥300000小时，平均修复时间MTTR＜15分钟，噪声≤40dB；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3.兼容主动快门式3D功能，分辨率可设置为3840×2160@60Hz，可流畅播放各种3D定制素材；</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4.硬件配置要求内存不低于32G、硬盘不低于500G SSD；不少于1路MIC IN 、Line IN、Line OUT音频接口，前面板支持不少于2×USB 3.0，后面板支持不少于5xUSB 3.2；4xUSB2.0，不少于1x2.5Gb 网络端口；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5.独立显卡输出，输出分辨率支持4x 4096 x 2160 @ 120 Hz，4x 5120 x 2880 @ 60 Hz，2x 7680 x 4320 @ 60 Hz，支持1个硬件解码 8K×4K@60fps的SDR视频文件流畅播放；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6.整机支持拆分成不少于256个子输出，每个子输出支持任意角度旋转，可对子输出接口位置任意进行排序，可显示不规则的拼接画面；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7.支持将媒体库的媒体添加到节目中，支持从本地媒体画面或输入源画面中选择颜色后，按照所选颜色进行抠像处理；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8.支持通过同步卡实现服务器输出热备份功能，播放画面实时同步，切换无黑屏、闪屏，画面连续播放不卡顿;支持一键主备交换，支持测试画面和输出显示进行控制；单机支持多个同规格媒体分组帧同步；</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9.支持时间线管理，基于时间线进行播放内容的编排播放和外部控制，实现多媒体服务器与第三方设备的联动控制，支持多通道音频，实现多个媒体素材的音频独立输出；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10.支持预编辑，减少操作失误，支持直切、淡入淡出和渐变黑屏的切换特效，支持测试画面和输出显示进行控制；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11.支持对节目中任意一个媒体按区域进行画质调节、曲线调节、色温调节、多声道映射裁剪，遮罩，支持NDI媒体、采集设备、网站、流媒体、播放合集的播放；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节目播放、暂停、停止、音量调节，支持多画面同时播放时按照主计时媒体进行跳转，支持主KV节目位置信息复制，拓展屏支持右键解锁，软件支持异常自恢复机制，支持页签功能播放多个网页，降低网页播放资源占用，自带转码器，可实现 H.264（AVC）、H.265（HEVC）编码或 VP9 编码的转码播放；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13.支持可视化平台软件对播放画面的编辑和控制；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14.支持多种视频、图片、音频、office文件的播放；视频格式支持不少于：H.265 (HEVC)、 VP9、HAP, HAP-Alpha、VC1、AV1、ProRes、MPEG4、WMV2等；图片格式支持不少于：jpeg、bmp、png、gif等；音频格式支持不少于：aac、flac、amr、ape、wav、wma等；office文件支持不少于：ppt、pptx；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15.设备要求可靠稳定运行需要具有抗电强度试验、泄漏电流试验、绝缘电阻试验、湿热环境可靠性测试、电磁兼容检测；</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16.产品兼容市场上各种主流常用操作系统；</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17.为了保证产品软件成熟度，至少需提供全媒体总控平台软件著作权、生产厂商软件成熟度认证等证书；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18.为了保证产品质量所投产品厂家至少需具有ISO9001质量管理体系认证、ISO27001信息安全管理体系证书、ISO20000信息技术服务体系认证、GB/T29490知识产权管理体系体系认证证书等证书；</w:t>
            </w:r>
          </w:p>
          <w:p>
            <w:pPr>
              <w:pStyle w:val="51"/>
              <w:spacing w:line="264" w:lineRule="auto"/>
              <w:ind w:firstLine="0" w:firstLineChars="0"/>
              <w:rPr>
                <w:rStyle w:val="65"/>
                <w:rFonts w:hint="default" w:ascii="宋体" w:hAnsi="宋体" w:eastAsia="宋体" w:cs="宋体"/>
                <w:color w:val="auto"/>
                <w:kern w:val="0"/>
                <w:sz w:val="21"/>
                <w:szCs w:val="21"/>
                <w:highlight w:val="none"/>
                <w:lang w:val="en-US" w:eastAsia="zh-CN"/>
              </w:rPr>
            </w:pPr>
            <w:r>
              <w:rPr>
                <w:rFonts w:hint="eastAsia" w:ascii="宋体" w:hAnsi="宋体" w:cs="宋体"/>
                <w:color w:val="auto"/>
                <w:sz w:val="21"/>
                <w:szCs w:val="21"/>
                <w:highlight w:val="none"/>
              </w:rPr>
              <w:t>19.为了保证产品售后服务质量所投产品厂家需具有GB/T 27922 五星售后服务评价体系认证证书。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桌面</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控制台</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1.可直接监视各路输入信号，进⾏输入信号名称的备注，以及对EDID信息，图像截取等信息的修改；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2.图层大小调节，通过鼠标进行点击、拖拽等动作，配合控台的按键，可方便的进行图层大小、位置、参数的调节；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3.支持实时模式和预编模式两种模式，实时模式下，实现用户编辑的实时上屏显示，操作体验流畅，预编模式下，用户可在不影响当前播出画面的情况下对图层进行编辑，确认无误后一键推送上屏；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4.支持对输出画面的抓取实时布局底图，并保存到设备内存存储中，支持一键调用底图；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5.内置 KVM 自动切换键盘/鼠标实现对内置系统和连接设备的便捷操控；</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6.支持多个反馈式按键以及 操控杆的设备操控，实现精准调节</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sz w:val="21"/>
                <w:szCs w:val="21"/>
                <w:highlight w:val="none"/>
                <w:lang w:val="en-US" w:eastAsia="zh-CN"/>
              </w:rPr>
              <w:t>7.</w:t>
            </w:r>
            <w:r>
              <w:rPr>
                <w:rStyle w:val="65"/>
                <w:rFonts w:hint="eastAsia" w:ascii="宋体" w:hAnsi="宋体" w:cs="宋体"/>
                <w:color w:val="auto"/>
                <w:kern w:val="0"/>
                <w:highlight w:val="none"/>
              </w:rPr>
              <w:t>供货前，出具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的授权以及售后服务承诺书</w:t>
            </w:r>
            <w:r>
              <w:rPr>
                <w:rStyle w:val="65"/>
                <w:rFonts w:hint="eastAsia" w:ascii="宋体" w:hAnsi="宋体" w:cs="宋体"/>
                <w:color w:val="auto"/>
                <w:kern w:val="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切换器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1.输入：≥4路DP1.2、4路HDMI1.4、4路3G-SDI输入；</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2.输出：≥4路HDMI2.0（HDMI2.0-B备份HDMI2.0-A输出；HDMI2.0-A/B2复制HDMI2.0-A/B1输出）、4路HDMI1.3（AUX输出接口）；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3.全链路支持8K超高清视频信号采集、处理及传输，视频图像 解析度可达 RGB 色 域中全   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4.支持20个2K图层或5个4K图层，同时支持4个4K的AUX图层；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5.支持设备配置数据备份、输入输出备份；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6.实时输入预监及输出回显；</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7.支持主备智能切换，控制软件可实现主备输入的手动切换、自动智能切换；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8.支持分组屏管理，支持视频输入接口和输出接口的EDID管理；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9.信号源可在屏幕墙任意位置开窗、漫游和缩放，可轻松完成多图层任意布局显示；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10.可将不同预设参数保存为场景，支持多屏场景及单屏场景一键调用，从容切换；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11.支持预编辑管理，图层编辑时不影响当前设备输出；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12.支持无缝切换，在进行图层的信号切换或者预案调用时，整个过程无黑屏、无闪烁、无卡顿；</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13.支持硬件监控，包括硬件各模块温度及电压、固件版本、运行状态、风扇转速等进行实时监测；</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14.供货前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1.输入信号：≥1路DP1.2，1路HDMI2.0，HDMI输入最高分辨率可达4096*2160@60Hz，可自定义输入分辨率，最宽8000像素，最高8000像素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2.输出信号：20个千兆网口输出，最大带载885万像素，最宽8000像素，最高8000像素；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3.3D显示：可使LED显示屏完成3D显示，并能实现2D/3D显示一键切换；支持60Hz及120Hz输入源的3D显示，支持调节3D显示左右眼先后顺序；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4.接收卡信息回传：可回传发送控制器控制的接收卡信息，包括接收卡所在网口、序号、型号、版本号、温度、网线通讯状态、配置参数等内容；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5.发送控制器信息回传：可回传发送控制器的序号、型号、版本号、带载的接收卡信息、配置参数信息等内容；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6.色温调节：可更改显示屏的色温显示；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7.参数一键回读：可通过控制软件回读每一张接收的参数、连接关系及本发送控制器参数，支持多个发送控制器连接图回读；</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8.低亮高灰：支持亮度调节在低亮度时完成高灰度显示；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9.亮度、对比度调节：可实现0-255级亮度及对比度调节；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10.多机级联：多个发送控制器可进行级联拼接，各个控制器之间保持严格同步，支持USB、千兆等多种方式控制，并可级联多台进行统一控制；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11.供货前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1.屏幕尺寸：≥24.5英寸</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2.面板：IPS技术</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3.分辨率：≥2560*1440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4.接口至少支持：DP，HDMI</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智能</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1.≥80KW配电箱，标准配电，至少具备过压、过流、欠压、缺相、短路、断路保护与报警功能，可PLC远程控制</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智能</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1.≥10KW配电箱，标准配电，具备过压、过流、欠压、缺相、短路、断路保护与报警功能，可PLC远程控制</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2.安装方式：壁挂安装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屏体钢结构钢结构（超高）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1.钢结构采用2mm厚度的40mm*40mm方管搭建；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2.用于全彩背景屏，会标屏，八字墙屏的安装；</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3.提供屏体结构安装后锚固的锚固计算书及支撑结构应力计算书，计算书须和设计方案及安装图纸相匹配；</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4.提供全彩背景屏吊挂梁的受力计算书。</w:t>
            </w:r>
          </w:p>
          <w:p>
            <w:pPr>
              <w:pStyle w:val="51"/>
              <w:spacing w:line="264" w:lineRule="auto"/>
              <w:ind w:firstLine="0" w:firstLineChars="0"/>
              <w:rPr>
                <w:rFonts w:hint="eastAsia" w:ascii="宋体" w:hAnsi="宋体" w:cs="宋体"/>
                <w:color w:val="auto"/>
                <w:kern w:val="2"/>
                <w:sz w:val="21"/>
                <w:szCs w:val="21"/>
                <w:highlight w:val="none"/>
                <w:lang w:val="en-US" w:eastAsia="zh-CN"/>
              </w:rPr>
            </w:pPr>
            <w:r>
              <w:rPr>
                <w:rFonts w:hint="eastAsia" w:ascii="宋体" w:hAnsi="宋体" w:cs="宋体"/>
                <w:color w:val="auto"/>
                <w:sz w:val="21"/>
                <w:szCs w:val="21"/>
                <w:highlight w:val="none"/>
              </w:rPr>
              <w:t>（安装示意详见</w:t>
            </w:r>
            <w:r>
              <w:rPr>
                <w:rFonts w:hint="eastAsia" w:ascii="宋体" w:hAnsi="宋体" w:cs="宋体"/>
                <w:b/>
                <w:bCs/>
                <w:color w:val="auto"/>
                <w:sz w:val="21"/>
                <w:szCs w:val="21"/>
                <w:highlight w:val="none"/>
              </w:rPr>
              <w:t>LED视频系统安装设计图</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539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线槽配线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2156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13.22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WDZ-YJYR-0.6/1KV-4*95+1*50mm²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41.82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WDZ-YJYR-0.6/1KV-5*10mm²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电力电缆头制作安装</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个</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截面(≤120m㎡)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1377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CAT5E</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线槽内放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5508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CAT5E（超高）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135.58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MR100*50mm（超高）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18.79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MR200*100mm（超高）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桥架支架制作安装（超高）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支架材料：L40*3mm角钢；</w:t>
            </w:r>
          </w:p>
          <w:p>
            <w:pPr>
              <w:pStyle w:val="51"/>
              <w:spacing w:line="264" w:lineRule="auto"/>
              <w:ind w:firstLine="0" w:firstLineChars="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2.支架间距：≤2米；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金属结构除锈（超高）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风动或电动工具除锈</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除锈等级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不劣于</w:t>
            </w:r>
            <w:r>
              <w:rPr>
                <w:rFonts w:hint="eastAsia" w:ascii="宋体" w:hAnsi="宋体" w:cs="宋体"/>
                <w:color w:val="auto"/>
                <w:sz w:val="21"/>
                <w:szCs w:val="21"/>
                <w:highlight w:val="none"/>
              </w:rPr>
              <w:t>St2级</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金属结构刷油（超高）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186.94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构件除锈后</w:t>
            </w:r>
            <w:r>
              <w:rPr>
                <w:rFonts w:hint="eastAsia" w:ascii="宋体" w:hAnsi="宋体" w:cs="宋体"/>
                <w:color w:val="auto"/>
                <w:sz w:val="21"/>
                <w:szCs w:val="21"/>
                <w:highlight w:val="none"/>
                <w:lang w:val="en-US" w:eastAsia="zh-CN"/>
              </w:rPr>
              <w:t>2h内</w:t>
            </w:r>
            <w:r>
              <w:rPr>
                <w:rFonts w:hint="eastAsia" w:ascii="宋体" w:hAnsi="宋体" w:cs="宋体"/>
                <w:color w:val="auto"/>
                <w:sz w:val="21"/>
                <w:szCs w:val="21"/>
                <w:highlight w:val="none"/>
              </w:rPr>
              <w:t>进行防腐涂装</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2.涂装</w:t>
            </w:r>
            <w:r>
              <w:rPr>
                <w:rFonts w:hint="eastAsia" w:ascii="宋体" w:hAnsi="宋体" w:cs="宋体"/>
                <w:color w:val="auto"/>
                <w:sz w:val="21"/>
                <w:szCs w:val="21"/>
                <w:highlight w:val="none"/>
              </w:rPr>
              <w:t>防腐底漆、中间漆、面漆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漆膜厚度≥100μm。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桥架防火堵洞</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处</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default" w:ascii="宋体" w:hAnsi="宋体" w:cs="宋体"/>
                <w:color w:val="auto"/>
                <w:sz w:val="21"/>
                <w:szCs w:val="21"/>
                <w:highlight w:val="none"/>
                <w:lang w:val="en-US" w:eastAsia="zh-CN"/>
              </w:rPr>
            </w:pPr>
            <w:r>
              <w:rPr>
                <w:rStyle w:val="54"/>
                <w:rFonts w:hint="eastAsia" w:ascii="宋体" w:hAnsi="宋体" w:eastAsia="宋体" w:cs="宋体"/>
                <w:b w:val="0"/>
                <w:bCs w:val="0"/>
                <w:i w:val="0"/>
                <w:iCs w:val="0"/>
                <w:caps w:val="0"/>
                <w:color w:val="auto"/>
                <w:spacing w:val="0"/>
                <w:sz w:val="21"/>
                <w:szCs w:val="21"/>
                <w:highlight w:val="none"/>
                <w:shd w:val="clear" w:fill="FFFFFF"/>
              </w:rPr>
              <w:t>无机防火堵料</w:t>
            </w:r>
            <w:r>
              <w:rPr>
                <w:rFonts w:hint="eastAsia" w:ascii="宋体" w:hAnsi="宋体" w:cs="宋体"/>
                <w:color w:val="auto"/>
                <w:sz w:val="21"/>
                <w:szCs w:val="21"/>
                <w:highlight w:val="none"/>
                <w:lang w:val="en-US" w:eastAsia="zh-CN"/>
              </w:rPr>
              <w:t>堵塞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桥架防火胶泥</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40</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1.按防火要求采用防火堵料进行封堵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金属线管 </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135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金属线管</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双绞线缆测试</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链路</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全彩字幕视频设备</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平米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1.尺寸：5m(宽)×1m(高)(±5%)；</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2.分辨率：不低于2048*576；</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3.像素间距 2.5mm；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4.模组尺寸 320*160mm，箱体尺寸 640*480mm；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5.箱体材质：铝合金；</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6.箱体强度：拉伸强度≥228Mpa，硬度≥73HB；</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7.平整度：≤0.2mm；</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8.箱体拼接、自动对位设计；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9.模组电源接口采用 4P 接插头，免工具维护，同时有防呆设计，预防接错电源线短路而导致的烧毁模组行为；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10.无风扇散热结构；</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11.支持单点亮度校正、颜色校正、灰度校正；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12.箱体间设计亮暗线调节，XYZ 轴调节；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13.搭配精显时代 III 控制系统，连接互联网，云端一键加载配制文件；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14.智能除湿功能，通过预热灯珠，蒸发掉灯珠内部湿气；</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15.采用抗消隐设计，无“毛毛虫”“鬼影”跟随现象；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16.具备单模数据组存储功能，校正数据自动回读技术；</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17.白平衡亮度≥450cd/㎡；</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18.色温可调范围：3000k~15000k，并可自定义色温值；</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19.对比度 5000:1；</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20.视角：水平视角≥160°，垂直视角≥140°；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21.刷新频率≥3840HZ；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22.换帧频率：50&amp;60HZ；</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23.灰度：100%亮度 16bit 灰度，20%亮度 12bit 灰度；</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24.模组亮度均匀性≥97%；</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25.峰值功耗≤530W/㎡、平均功耗≤176W/㎡；</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26.发光点中心距偏差&lt;3%；</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27.色域覆盖率≥100%；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28.寿命典型值≥100000 小时、平均无故障时间≥100000 小时；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29.电源冗余备份，具智能节电功能，软件自动报警功能；</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30.产品满足盐雾 10 级要求；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31.IP 等级符合 IP5X；</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32.模拟九级地震实验；</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33.抗紫外 UV 辐射 符合 5 级；</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34.噪音：符合国家标准；</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35.工作温度范围-30℃-40℃；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36.存储温度范围-40℃-60℃；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37.光生物安全：无危害；</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38.稳定性：支持 7*24H 连续工作；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39.按照 SJ/T 11590-2016 LED 显示屏图像主观质量评价方法的要求，评价等价为优；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40.抗电强度 U=1500VAC；T=60S；</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41.泄漏电流 I（漏）≤3.5mA/㎡；</w:t>
            </w:r>
          </w:p>
          <w:p>
            <w:pPr>
              <w:pStyle w:val="18"/>
              <w:rPr>
                <w:rFonts w:hint="eastAsia" w:eastAsia="宋体"/>
                <w:color w:val="auto"/>
                <w:highlight w:val="none"/>
                <w:lang w:eastAsia="zh-CN"/>
              </w:rPr>
            </w:pPr>
            <w:r>
              <w:rPr>
                <w:rFonts w:hint="eastAsia" w:ascii="宋体" w:hAnsi="宋体" w:cs="宋体"/>
                <w:color w:val="auto"/>
                <w:sz w:val="21"/>
                <w:szCs w:val="21"/>
                <w:highlight w:val="none"/>
              </w:rPr>
              <w:t>★42.</w:t>
            </w:r>
            <w:r>
              <w:rPr>
                <w:rFonts w:hint="eastAsia" w:ascii="宋体" w:hAnsi="宋体" w:cs="宋体"/>
                <w:color w:val="auto"/>
                <w:kern w:val="2"/>
                <w:sz w:val="21"/>
                <w:szCs w:val="21"/>
                <w:highlight w:val="none"/>
              </w:rPr>
              <w:t>投标人所投产品技术参数第17-41项</w:t>
            </w:r>
            <w:r>
              <w:rPr>
                <w:rFonts w:hint="eastAsia" w:ascii="宋体" w:hAnsi="宋体" w:eastAsia="宋体" w:cs="宋体"/>
                <w:color w:val="auto"/>
                <w:sz w:val="21"/>
                <w:szCs w:val="21"/>
                <w:highlight w:val="none"/>
              </w:rPr>
              <w:t>投标时</w:t>
            </w:r>
            <w:r>
              <w:rPr>
                <w:rFonts w:hint="eastAsia" w:ascii="宋体" w:hAnsi="宋体" w:cs="宋体"/>
                <w:color w:val="auto"/>
                <w:sz w:val="21"/>
                <w:szCs w:val="21"/>
                <w:highlight w:val="none"/>
                <w:lang w:val="en-US" w:eastAsia="zh-CN"/>
              </w:rPr>
              <w:t>若有请</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供货前，</w:t>
            </w:r>
            <w:r>
              <w:rPr>
                <w:rFonts w:hint="eastAsia" w:ascii="宋体" w:hAnsi="宋体" w:cs="宋体"/>
                <w:color w:val="auto"/>
                <w:kern w:val="2"/>
                <w:sz w:val="21"/>
                <w:szCs w:val="21"/>
                <w:highlight w:val="none"/>
              </w:rPr>
              <w:t>所投产品须有制造厂商提供产品售后服务承诺书，加盖公章</w:t>
            </w:r>
            <w:r>
              <w:rPr>
                <w:rFonts w:hint="eastAsia" w:ascii="宋体" w:hAnsi="宋体" w:cs="宋体"/>
                <w:color w:val="auto"/>
                <w:kern w:val="2"/>
                <w:sz w:val="21"/>
                <w:szCs w:val="21"/>
                <w:highlight w:val="none"/>
                <w:lang w:eastAsia="zh-CN"/>
              </w:rPr>
              <w:t>；</w:t>
            </w:r>
          </w:p>
          <w:p>
            <w:pPr>
              <w:pStyle w:val="51"/>
              <w:numPr>
                <w:ilvl w:val="0"/>
                <w:numId w:val="13"/>
              </w:numPr>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具备双信号，具备双电源备份，做到信号电源双备份。</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b/>
                <w:bCs/>
                <w:color w:val="auto"/>
                <w:sz w:val="21"/>
                <w:szCs w:val="21"/>
                <w:highlight w:val="none"/>
              </w:rPr>
              <w:t>（安装位置见</w:t>
            </w:r>
            <w:r>
              <w:rPr>
                <w:rFonts w:hint="eastAsia" w:ascii="宋体" w:hAnsi="宋体" w:cs="宋体"/>
                <w:b/>
                <w:bCs/>
                <w:color w:val="auto"/>
                <w:sz w:val="21"/>
                <w:szCs w:val="21"/>
                <w:highlight w:val="none"/>
                <w:lang w:val="en-US" w:eastAsia="zh-CN"/>
              </w:rPr>
              <w:t>附件1：</w:t>
            </w:r>
            <w:r>
              <w:rPr>
                <w:rFonts w:hint="eastAsia" w:ascii="宋体" w:hAnsi="宋体" w:cs="宋体"/>
                <w:b/>
                <w:bCs/>
                <w:color w:val="auto"/>
                <w:sz w:val="21"/>
                <w:szCs w:val="21"/>
                <w:highlight w:val="none"/>
              </w:rPr>
              <w:t>“LED视频系统安装设计图”）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视频</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控制器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1.输入信号：≥1路DP1.2，1路HDMI2.0，HDMI输入最高分辨率可达4096*2160@60Hz，可自定义输入分辨率，最宽8000像素，最高8000像素</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2.输出信号：20个千兆网口输出，最大带载885万像素，最宽8000像素，最高8000像素；</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3.3D显示：可使LED显示屏完成3D显示，并能实现2D/3D显示一键切换，支持60Hz及120Hz输入源的3D显示，支持调节3D显示左右眼先后顺序；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4.接收卡信息回传：可回传发送控制器控制的接收卡信息，包括接收卡所在网口、序号、型号、版本号、温度、网线通讯状态、配置参数等内容；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5.发送控制器信息回传：可回传发送控制器的序号、型号、版本号、带载的接收卡信息、配置参数信息等内容；</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6.色温调节：可更改显示屏的色温显示；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7.参数一键回读：可通过控制软件回读每一张接收的参数、连接关系及本发送控制器参数，支持多个发送控制器连接图回读；</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8.低亮高灰：支持亮度调节在低亮度时完成高灰度显示；</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9.亮度、对比度调节：可实现0-255级亮度及对比度调节；</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10.多机级联：多个发送控制器可进行级联拼接，各个控制器之间保持严格同步，支持USB、千兆等多种方式控制，并可级联多台进行统一控制；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11.供货前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媒体</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1.≥2路DP/HDMI输出（DP/HDMI任选两路），双4K@60Hz点对点流畅显示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2.≥1路HDMI独立高清监视输出口；</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3.支持视频/音频/图片/office/网页/流媒体/视频采集/NDI等多媒体集中播放与控制；</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4.支持字幕/幻彩字/提词器/表格/时钟/计时/天气/数字等多种实用小工具；</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5.多窗口场景播控，可同时播放16个画面；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6.支持硬件解码，超强渲染能力，播放性能卓越；</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7.支持图像分割重组，完成不同角度的拼接显示，支持几何变形功能，呈现创意立体显示效果；</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8.支持投影校正融合及保存调用投影融合模板；</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9.支持主备模式，主备端输出实时同步，信号无缝切换；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10.支持预案分组存储、调用，不限预案数量，支持预案跳转实现场景轮巡；</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11.内置视频转码工具，当视频格式、参数存在问题时快捷转码；</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12.支持定时任务，实现无人值守；</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13.支持UDP网络控制、移动端云控系统控制，实现声光电一体化控制及移动端远程控制；</w:t>
            </w:r>
          </w:p>
          <w:p>
            <w:pPr>
              <w:pStyle w:val="51"/>
              <w:spacing w:line="264" w:lineRule="auto"/>
              <w:ind w:firstLine="0" w:firstLineChars="0"/>
              <w:rPr>
                <w:rFonts w:hint="eastAsia" w:ascii="宋体" w:hAnsi="宋体" w:cs="宋体"/>
                <w:color w:val="auto"/>
                <w:sz w:val="21"/>
                <w:szCs w:val="21"/>
                <w:highlight w:val="none"/>
              </w:rPr>
            </w:pPr>
            <w:r>
              <w:rPr>
                <w:rStyle w:val="65"/>
                <w:rFonts w:hint="eastAsia" w:ascii="宋体" w:hAnsi="宋体" w:cs="宋体"/>
                <w:color w:val="auto"/>
                <w:kern w:val="0"/>
                <w:highlight w:val="none"/>
              </w:rPr>
              <w:t>14.供货前</w:t>
            </w:r>
            <w:r>
              <w:rPr>
                <w:rStyle w:val="65"/>
                <w:rFonts w:hint="eastAsia" w:ascii="宋体" w:hAnsi="宋体" w:cs="宋体"/>
                <w:color w:val="auto"/>
                <w:kern w:val="0"/>
                <w:highlight w:val="none"/>
                <w:lang w:eastAsia="zh-CN"/>
              </w:rPr>
              <w:t>，</w:t>
            </w:r>
            <w:r>
              <w:rPr>
                <w:rStyle w:val="65"/>
                <w:rFonts w:hint="eastAsia" w:ascii="宋体" w:hAnsi="宋体" w:cs="宋体"/>
                <w:color w:val="auto"/>
                <w:kern w:val="0"/>
                <w:highlight w:val="none"/>
              </w:rPr>
              <w:t>出具</w:t>
            </w:r>
            <w:r>
              <w:rPr>
                <w:rStyle w:val="65"/>
                <w:rFonts w:ascii="宋体" w:hAnsi="宋体" w:cs="宋体"/>
                <w:color w:val="auto"/>
                <w:kern w:val="0"/>
                <w:highlight w:val="none"/>
              </w:rPr>
              <w:t>制造厂商盖公章产品资料及厂商针对</w:t>
            </w:r>
            <w:r>
              <w:rPr>
                <w:rStyle w:val="65"/>
                <w:rFonts w:hint="eastAsia" w:ascii="宋体" w:hAnsi="宋体" w:cs="宋体"/>
                <w:color w:val="auto"/>
                <w:kern w:val="0"/>
                <w:highlight w:val="none"/>
              </w:rPr>
              <w:t>产品</w:t>
            </w:r>
            <w:r>
              <w:rPr>
                <w:rStyle w:val="65"/>
                <w:rFonts w:ascii="宋体" w:hAnsi="宋体" w:cs="宋体"/>
                <w:color w:val="auto"/>
                <w:kern w:val="0"/>
                <w:highlight w:val="none"/>
              </w:rPr>
              <w:t>的售后服务承诺书。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1.屏幕尺寸：≥24.5英寸</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2.面板：IPS技术</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3.分辨率：≥2560*1440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4.接口至少包括：DP，HDMI。</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1.≥10KW配电箱，标准配电，至少具备过压、过流、欠压、缺相、短路、断路保护与报警功能,可PLC远程控制</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2.安装方式：</w:t>
            </w:r>
            <w:r>
              <w:rPr>
                <w:rFonts w:hint="eastAsia" w:ascii="宋体" w:hAnsi="宋体" w:cs="宋体"/>
                <w:color w:val="auto"/>
                <w:sz w:val="21"/>
                <w:szCs w:val="21"/>
                <w:highlight w:val="none"/>
                <w:lang w:val="en-US" w:eastAsia="zh-CN"/>
              </w:rPr>
              <w:t>壁挂或</w:t>
            </w:r>
            <w:r>
              <w:rPr>
                <w:rFonts w:hint="eastAsia" w:ascii="宋体" w:hAnsi="宋体" w:cs="宋体"/>
                <w:color w:val="auto"/>
                <w:sz w:val="21"/>
                <w:szCs w:val="21"/>
                <w:highlight w:val="none"/>
              </w:rPr>
              <w:t>落地安装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线槽配线 电源线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30.4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ZR-RVV-450/750V-3*4mm²（超高）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铜芯电力电缆敷设</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19.37</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WDZ-YJYR-0.6/1KV-5*10mm²</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1.产品具有3C认证，ISO9000认证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ascii="宋体" w:hAnsi="宋体" w:cs="宋体"/>
                <w:color w:val="auto"/>
                <w:szCs w:val="21"/>
                <w:highlight w:val="none"/>
              </w:rPr>
              <w:t xml:space="preserve"> </w:t>
            </w:r>
            <w:r>
              <w:rPr>
                <w:rFonts w:hint="eastAsia" w:ascii="宋体" w:hAnsi="宋体" w:cs="宋体"/>
                <w:color w:val="auto"/>
                <w:szCs w:val="21"/>
                <w:highlight w:val="none"/>
                <w:lang w:val="en-US" w:eastAsia="zh-CN"/>
              </w:rPr>
              <w:t>38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管内穿放 网线</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桥架内放 网线（超高）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129.36</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CAT5E（超高）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金属桥架（超高）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15.9</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MR100*50mm（超高）</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1.含盖板、弯头及连接件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桥架支架制作安装（超高）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支架材料：L40*3mm角钢；</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2.支架间距：≤2米.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金属结构除锈（超高）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风动或电动工具除锈</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除锈等级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不劣于</w:t>
            </w:r>
            <w:r>
              <w:rPr>
                <w:rFonts w:hint="eastAsia" w:ascii="宋体" w:hAnsi="宋体" w:cs="宋体"/>
                <w:color w:val="auto"/>
                <w:sz w:val="21"/>
                <w:szCs w:val="21"/>
                <w:highlight w:val="none"/>
              </w:rPr>
              <w:t>St2级</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金属结构刷油（超高）</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19.25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公斤</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构件除锈后</w:t>
            </w:r>
            <w:r>
              <w:rPr>
                <w:rFonts w:hint="eastAsia" w:ascii="宋体" w:hAnsi="宋体" w:cs="宋体"/>
                <w:color w:val="auto"/>
                <w:sz w:val="21"/>
                <w:szCs w:val="21"/>
                <w:highlight w:val="none"/>
                <w:lang w:val="en-US" w:eastAsia="zh-CN"/>
              </w:rPr>
              <w:t>2h内</w:t>
            </w:r>
            <w:r>
              <w:rPr>
                <w:rFonts w:hint="eastAsia" w:ascii="宋体" w:hAnsi="宋体" w:cs="宋体"/>
                <w:color w:val="auto"/>
                <w:sz w:val="21"/>
                <w:szCs w:val="21"/>
                <w:highlight w:val="none"/>
              </w:rPr>
              <w:t>进行防腐涂装</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2.涂装</w:t>
            </w:r>
            <w:r>
              <w:rPr>
                <w:rFonts w:hint="eastAsia" w:ascii="宋体" w:hAnsi="宋体" w:cs="宋体"/>
                <w:color w:val="auto"/>
                <w:sz w:val="21"/>
                <w:szCs w:val="21"/>
                <w:highlight w:val="none"/>
              </w:rPr>
              <w:t>防腐底漆、中间漆、面漆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漆膜厚度≥100μm。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金属线管</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47.45</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米</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JDG32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双绞线缆测试</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lang w:val="en"/>
              </w:rPr>
              <w:t>链路</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功放软件控制电脑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1.CPU:≥I5-10500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2.内存:≥16G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3.硬盘:≥1T 固态硬盘</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4.显卡:≥RX64 4G独显</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5.显示屏:≥23.8寸LED 显示</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播放电脑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1.CPU:≥I5-10500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2.内存:≥16G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3.硬盘:≥1T 固态硬盘</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4.显卡:≥RX64 4G独显</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5.显示屏:≥23.8寸LED 显示</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48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液晶</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1.不小于22英寸；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2.屏幕分辨率：高清；</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3.对比度：不低于1000:1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4.亮度（cd/m²）：250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5.屏幕比例：16：9。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液晶</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1.不小于32英寸；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2.屏幕分辨率：高清；</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3.对比度：不低于1200:1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4.亮度（cd/m²）：250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5.屏幕比例：16：9。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工作站</w:t>
            </w:r>
          </w:p>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电脑</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ascii="宋体" w:hAnsi="宋体" w:cs="宋体"/>
                <w:color w:val="auto"/>
                <w:kern w:val="0"/>
                <w:szCs w:val="21"/>
                <w:highlight w:val="none"/>
                <w:lang w:val="en"/>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1.CPU：不低于i7 14700</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2.内存不小于128GB ；</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3.硬盘不小于4T固态+4T机械</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4.显卡不低于RTX4060 8G</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5.网络接口不少于1个万兆+2个千兆</w:t>
            </w:r>
            <w:r>
              <w:rPr>
                <w:rFonts w:hint="eastAsia" w:ascii="宋体" w:hAnsi="宋体" w:cs="宋体"/>
                <w:color w:val="auto"/>
                <w:sz w:val="21"/>
                <w:szCs w:val="21"/>
                <w:highlight w:val="none"/>
                <w:lang w:eastAsia="zh-CN"/>
              </w:rPr>
              <w:t>；</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6.一个 10Gb 以太网端口；</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7.包含：无线鼠标套装</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shd w:val="clear" w:color="auto" w:fill="auto"/>
            <w:vAlign w:val="center"/>
          </w:tcPr>
          <w:p>
            <w:pPr>
              <w:spacing w:line="264"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显示器</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2</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台</w:t>
            </w:r>
          </w:p>
        </w:tc>
        <w:tc>
          <w:tcPr>
            <w:tcW w:w="7112" w:type="dxa"/>
            <w:tcBorders>
              <w:top w:val="single" w:color="auto" w:sz="4" w:space="0"/>
              <w:left w:val="single" w:color="auto" w:sz="4" w:space="0"/>
              <w:bottom w:val="single" w:color="auto" w:sz="4" w:space="0"/>
            </w:tcBorders>
            <w:shd w:val="clear" w:color="auto" w:fill="auto"/>
            <w:vAlign w:val="center"/>
          </w:tcPr>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1.屏幕比例：16：9；</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2.屏幕分辨率不低于3840×2160；</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3.屏幕尺寸不小于27英寸；</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4.接口类型：HDMl,Type-C,DP,音频</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5.色域：sRGB≥100%</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6.平均亮度：≥400cd/m²</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7.动态对比度：≥2000:1</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8.刷新率：≥60Hz</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52</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w:t>
            </w:r>
          </w:p>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显示屏</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33.28</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 w:val="21"/>
                <w:szCs w:val="21"/>
                <w:highlight w:val="none"/>
              </w:rPr>
              <w:t>画面均匀一致，无黑线，实现真正无缝拼接；</w:t>
            </w:r>
          </w:p>
          <w:p>
            <w:pPr>
              <w:pStyle w:val="51"/>
              <w:numPr>
                <w:ilvl w:val="0"/>
                <w:numId w:val="0"/>
              </w:numPr>
              <w:spacing w:line="264" w:lineRule="auto"/>
              <w:ind w:firstLine="0"/>
              <w:rPr>
                <w:color w:val="auto"/>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rPr>
              <w:t>高刷新频率，高灰度处理，显示画面细腻流畅；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rPr>
              <w:t>像素结构：1R1G1B；</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 w:val="21"/>
                <w:szCs w:val="21"/>
                <w:highlight w:val="none"/>
              </w:rPr>
              <w:t>像素间距：≤2mm；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 w:val="21"/>
                <w:szCs w:val="21"/>
                <w:highlight w:val="none"/>
              </w:rPr>
              <w:t>像素密度：≥250000点/㎡；</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 w:val="21"/>
                <w:szCs w:val="21"/>
                <w:highlight w:val="none"/>
              </w:rPr>
              <w:t>维护方式：完全前维护；</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 w:val="21"/>
                <w:szCs w:val="21"/>
                <w:highlight w:val="none"/>
              </w:rPr>
              <w:t>灯珠尺寸：1515；</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 w:val="21"/>
                <w:szCs w:val="21"/>
                <w:highlight w:val="none"/>
              </w:rPr>
              <w:t>模组尺寸：320mm × 160mm × 28.6 mm（含磁铁厚度）；</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 w:val="21"/>
                <w:szCs w:val="21"/>
                <w:highlight w:val="none"/>
              </w:rPr>
              <w:t>模组分辨率：160 × 80；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 w:val="21"/>
                <w:szCs w:val="21"/>
                <w:highlight w:val="none"/>
              </w:rPr>
              <w:t>模组</w:t>
            </w:r>
            <w:r>
              <w:rPr>
                <w:rFonts w:hint="eastAsia" w:ascii="宋体" w:hAnsi="宋体" w:cs="宋体"/>
                <w:color w:val="auto"/>
                <w:sz w:val="21"/>
                <w:szCs w:val="21"/>
                <w:highlight w:val="none"/>
                <w:lang w:val="en-US" w:eastAsia="zh-CN"/>
              </w:rPr>
              <w:t>参考</w:t>
            </w:r>
            <w:r>
              <w:rPr>
                <w:rFonts w:hint="eastAsia" w:ascii="宋体" w:hAnsi="宋体" w:cs="宋体"/>
                <w:color w:val="auto"/>
                <w:sz w:val="21"/>
                <w:szCs w:val="21"/>
                <w:highlight w:val="none"/>
              </w:rPr>
              <w:t>重量：0.42 kg/块；</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 w:val="21"/>
                <w:szCs w:val="21"/>
                <w:highlight w:val="none"/>
              </w:rPr>
              <w:t>信号接口：HUB75E *  16（出货配置为16口接收卡）；</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cs="宋体"/>
                <w:color w:val="auto"/>
                <w:sz w:val="21"/>
                <w:szCs w:val="21"/>
                <w:highlight w:val="none"/>
              </w:rPr>
              <w:t>防护等级：IP30；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cs="宋体"/>
                <w:color w:val="auto"/>
                <w:sz w:val="21"/>
                <w:szCs w:val="21"/>
                <w:highlight w:val="none"/>
              </w:rPr>
              <w:t>套件材质：塑壳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cs="宋体"/>
                <w:color w:val="auto"/>
                <w:sz w:val="21"/>
                <w:szCs w:val="21"/>
                <w:highlight w:val="none"/>
              </w:rPr>
              <w:t>封装品牌：国产铜线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cs="宋体"/>
                <w:color w:val="auto"/>
                <w:sz w:val="21"/>
                <w:szCs w:val="21"/>
                <w:highlight w:val="none"/>
              </w:rPr>
              <w:t>白平衡亮度：500 cd/㎡；</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cs="宋体"/>
                <w:color w:val="auto"/>
                <w:sz w:val="21"/>
                <w:szCs w:val="21"/>
                <w:highlight w:val="none"/>
              </w:rPr>
              <w:t>色温：3000-10000 K可调；</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cs="宋体"/>
                <w:color w:val="auto"/>
                <w:sz w:val="21"/>
                <w:szCs w:val="21"/>
                <w:highlight w:val="none"/>
              </w:rPr>
              <w:t>可视角：160°(H)/160°(V)；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cs="宋体"/>
                <w:color w:val="auto"/>
                <w:sz w:val="21"/>
                <w:szCs w:val="21"/>
                <w:highlight w:val="none"/>
              </w:rPr>
              <w:t>对比度：3000：1；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cs="宋体"/>
                <w:color w:val="auto"/>
                <w:sz w:val="21"/>
                <w:szCs w:val="21"/>
                <w:highlight w:val="none"/>
              </w:rPr>
              <w:t>色度均匀性：± 0.003Cx，Cy之内；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20.</w:t>
            </w:r>
            <w:r>
              <w:rPr>
                <w:rFonts w:hint="eastAsia" w:ascii="宋体" w:hAnsi="宋体" w:cs="宋体"/>
                <w:color w:val="auto"/>
                <w:sz w:val="21"/>
                <w:szCs w:val="21"/>
                <w:highlight w:val="none"/>
              </w:rPr>
              <w:t>亮度均匀性：≥ 97％；</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cs="宋体"/>
                <w:color w:val="auto"/>
                <w:sz w:val="21"/>
                <w:szCs w:val="21"/>
                <w:highlight w:val="none"/>
              </w:rPr>
              <w:t>最佳视距：2.5m~6.7m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cs="宋体"/>
                <w:color w:val="auto"/>
                <w:sz w:val="21"/>
                <w:szCs w:val="21"/>
                <w:highlight w:val="none"/>
              </w:rPr>
              <w:t>电源接口：VH4PIN，电源200W推荐带载6张灯板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cs="宋体"/>
                <w:color w:val="auto"/>
                <w:sz w:val="21"/>
                <w:szCs w:val="21"/>
                <w:highlight w:val="none"/>
              </w:rPr>
              <w:t>驱动方式：恒流驱动；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24.</w:t>
            </w:r>
            <w:r>
              <w:rPr>
                <w:rFonts w:hint="eastAsia" w:ascii="宋体" w:hAnsi="宋体" w:cs="宋体"/>
                <w:color w:val="auto"/>
                <w:sz w:val="21"/>
                <w:szCs w:val="21"/>
                <w:highlight w:val="none"/>
              </w:rPr>
              <w:t>换帧频率：60 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25.</w:t>
            </w:r>
            <w:r>
              <w:rPr>
                <w:rFonts w:hint="eastAsia" w:ascii="宋体" w:hAnsi="宋体" w:cs="宋体"/>
                <w:color w:val="auto"/>
                <w:sz w:val="21"/>
                <w:szCs w:val="21"/>
                <w:highlight w:val="none"/>
              </w:rPr>
              <w:t>刷新率：3840 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26.</w:t>
            </w:r>
            <w:r>
              <w:rPr>
                <w:rFonts w:hint="eastAsia" w:ascii="宋体" w:hAnsi="宋体" w:cs="宋体"/>
                <w:color w:val="auto"/>
                <w:sz w:val="21"/>
                <w:szCs w:val="21"/>
                <w:highlight w:val="none"/>
              </w:rPr>
              <w:t>灰度等级：最大支持16 bit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27.</w:t>
            </w:r>
            <w:r>
              <w:rPr>
                <w:rFonts w:hint="eastAsia" w:ascii="宋体" w:hAnsi="宋体" w:cs="宋体"/>
                <w:color w:val="auto"/>
                <w:sz w:val="21"/>
                <w:szCs w:val="21"/>
                <w:highlight w:val="none"/>
              </w:rPr>
              <w:t>峰值功耗：≤420W/㎡；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28.</w:t>
            </w:r>
            <w:r>
              <w:rPr>
                <w:rFonts w:hint="eastAsia" w:ascii="宋体" w:hAnsi="宋体" w:cs="宋体"/>
                <w:color w:val="auto"/>
                <w:sz w:val="21"/>
                <w:szCs w:val="21"/>
                <w:highlight w:val="none"/>
              </w:rPr>
              <w:t>平均功耗：≤140W/㎡；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29.</w:t>
            </w:r>
            <w:r>
              <w:rPr>
                <w:rFonts w:hint="eastAsia" w:ascii="宋体" w:hAnsi="宋体" w:cs="宋体"/>
                <w:color w:val="auto"/>
                <w:sz w:val="21"/>
                <w:szCs w:val="21"/>
                <w:highlight w:val="none"/>
              </w:rPr>
              <w:t>供电要求：AC：200-240V~；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30.</w:t>
            </w:r>
            <w:r>
              <w:rPr>
                <w:rFonts w:hint="eastAsia" w:ascii="宋体" w:hAnsi="宋体" w:cs="宋体"/>
                <w:color w:val="auto"/>
                <w:sz w:val="21"/>
                <w:szCs w:val="21"/>
                <w:highlight w:val="none"/>
              </w:rPr>
              <w:t>模组供电电压：DC：4.5-5V；</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cs="宋体"/>
                <w:color w:val="auto"/>
                <w:sz w:val="21"/>
                <w:szCs w:val="21"/>
                <w:highlight w:val="none"/>
              </w:rPr>
              <w:t>模组峰值功耗：22W；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cs="宋体"/>
                <w:color w:val="auto"/>
                <w:sz w:val="21"/>
                <w:szCs w:val="21"/>
                <w:highlight w:val="none"/>
              </w:rPr>
              <w:t>模组最大电流：4.5A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cs="宋体"/>
                <w:color w:val="auto"/>
                <w:sz w:val="21"/>
                <w:szCs w:val="21"/>
                <w:highlight w:val="none"/>
              </w:rPr>
              <w:t>工作温度：-10 ℃ ~ 40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cs="宋体"/>
                <w:color w:val="auto"/>
                <w:sz w:val="21"/>
                <w:szCs w:val="21"/>
                <w:highlight w:val="none"/>
              </w:rPr>
              <w:t>工作湿度：10%~80% RH（无冷凝水）；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cs="宋体"/>
                <w:color w:val="auto"/>
                <w:sz w:val="21"/>
                <w:szCs w:val="21"/>
                <w:highlight w:val="none"/>
              </w:rPr>
              <w:t>存储温度：-20 ℃ ~ 60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cs="宋体"/>
                <w:color w:val="auto"/>
                <w:sz w:val="21"/>
                <w:szCs w:val="21"/>
                <w:highlight w:val="none"/>
              </w:rPr>
              <w:t>存储湿度：10%~85% RH（无冷凝水）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cs="宋体"/>
                <w:color w:val="auto"/>
                <w:sz w:val="21"/>
                <w:szCs w:val="21"/>
                <w:highlight w:val="none"/>
              </w:rPr>
              <w:t>包装尺寸：</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634 (W) mm × 380 (H) mm × 410 (D) 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cs="宋体"/>
                <w:color w:val="auto"/>
                <w:sz w:val="21"/>
                <w:szCs w:val="21"/>
                <w:highlight w:val="none"/>
              </w:rPr>
              <w:t>包装方式：1包40；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cs="宋体"/>
                <w:color w:val="auto"/>
                <w:sz w:val="21"/>
                <w:szCs w:val="21"/>
                <w:highlight w:val="none"/>
              </w:rPr>
              <w:t>毛重：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0.505 kg/块；</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净重：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 xml:space="preserve">0.42 kg/块。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53</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LED视频处理器</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cs="宋体"/>
                <w:color w:val="auto"/>
                <w:sz w:val="21"/>
                <w:szCs w:val="21"/>
                <w:highlight w:val="none"/>
              </w:rPr>
              <w:t>设备前面板具备按键，可支持亮度调节、信源切换；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cs="宋体"/>
                <w:color w:val="auto"/>
                <w:sz w:val="21"/>
                <w:szCs w:val="21"/>
                <w:highlight w:val="none"/>
              </w:rPr>
              <w:t>前面板具备指示灯，可提示设备上电状态、信号接入状态、运行状态等信息；</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cs="宋体"/>
                <w:color w:val="auto"/>
                <w:sz w:val="21"/>
                <w:szCs w:val="21"/>
                <w:highlight w:val="none"/>
              </w:rPr>
              <w:t>支持3路视频信号同时输入，其中：1个HDMI 2.0接口支持分辨率4096 × 2160@60 Hz，1个HDMI 1.4接口支持分辨率1920 × 1200@60 Hz，1个DVI接口支持分辨率1920 × 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cs="宋体"/>
                <w:color w:val="auto"/>
                <w:sz w:val="21"/>
                <w:szCs w:val="21"/>
                <w:highlight w:val="none"/>
              </w:rPr>
              <w:t>支持帧率自适应，图像采集可支持25HZ~60HZ自适应；</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cs="宋体"/>
                <w:color w:val="auto"/>
                <w:sz w:val="21"/>
                <w:szCs w:val="21"/>
                <w:highlight w:val="none"/>
              </w:rPr>
              <w:t>图像带载输出支持RGB、YUV444无损画质；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cs="宋体"/>
                <w:color w:val="auto"/>
                <w:sz w:val="21"/>
                <w:szCs w:val="21"/>
                <w:highlight w:val="none"/>
              </w:rPr>
              <w:t>支持20路网口带载输出，带载高达1300万像素；单台设备最大带载最大宽度8192，最大高度8192，每网口最大带载65W；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cs="宋体"/>
                <w:color w:val="auto"/>
                <w:sz w:val="21"/>
                <w:szCs w:val="21"/>
                <w:highlight w:val="none"/>
              </w:rPr>
              <w:t>支持HDMI音视频复合流输入，支持3.5mm音频输出；</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cs="宋体"/>
                <w:color w:val="auto"/>
                <w:sz w:val="21"/>
                <w:szCs w:val="21"/>
                <w:highlight w:val="none"/>
              </w:rPr>
              <w:t>支持视频信号输入全屏缩放及自定义缩放；支持任意切换，拼接；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cs="宋体"/>
                <w:color w:val="auto"/>
                <w:sz w:val="21"/>
                <w:szCs w:val="21"/>
                <w:highlight w:val="none"/>
              </w:rPr>
              <w:t>支持信源开窗和漫游功能；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cs="宋体"/>
                <w:color w:val="auto"/>
                <w:sz w:val="21"/>
                <w:szCs w:val="21"/>
                <w:highlight w:val="none"/>
              </w:rPr>
              <w:t>支持1路虚拟条屏内容显示，支持颜色、字体、文字大小、滚动速度的设置，支持图片和文字；</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cs="宋体"/>
                <w:color w:val="auto"/>
                <w:sz w:val="21"/>
                <w:szCs w:val="21"/>
                <w:highlight w:val="none"/>
              </w:rPr>
              <w:t>支持电视墙编辑和窗口可视化操作；</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cs="宋体"/>
                <w:color w:val="auto"/>
                <w:sz w:val="21"/>
                <w:szCs w:val="21"/>
                <w:highlight w:val="none"/>
              </w:rPr>
              <w:t>支持最多 10个用户场景,可作为模板保存，可直接调用，方便使用；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cs="宋体"/>
                <w:color w:val="auto"/>
                <w:sz w:val="21"/>
                <w:szCs w:val="21"/>
                <w:highlight w:val="none"/>
              </w:rPr>
              <w:t>支持多窗口显示：支持7个窗口任意布局，其中3个信源窗口、2个图片窗口、1个滚动文字窗口、1个底图窗口；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cs="宋体"/>
                <w:color w:val="auto"/>
                <w:sz w:val="21"/>
                <w:szCs w:val="21"/>
                <w:highlight w:val="none"/>
              </w:rPr>
              <w:t>支持多发送卡通过网络进行级联管理和统一控制；</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cs="宋体"/>
                <w:color w:val="auto"/>
                <w:sz w:val="21"/>
                <w:szCs w:val="21"/>
                <w:highlight w:val="none"/>
              </w:rPr>
              <w:t>支持HDCP 2.2协议的高带宽数字内容保护技术；</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cs="宋体"/>
                <w:color w:val="auto"/>
                <w:sz w:val="21"/>
                <w:szCs w:val="21"/>
                <w:highlight w:val="none"/>
              </w:rPr>
              <w:t>支持自定义EDID设置；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cs="宋体"/>
                <w:color w:val="auto"/>
                <w:sz w:val="21"/>
                <w:szCs w:val="21"/>
                <w:highlight w:val="none"/>
              </w:rPr>
              <w:t>支持热备份；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cs="宋体"/>
                <w:color w:val="auto"/>
                <w:sz w:val="21"/>
                <w:szCs w:val="21"/>
                <w:highlight w:val="none"/>
              </w:rPr>
              <w:t>支持任意走线、无矩形框架限制；</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cs="宋体"/>
                <w:color w:val="auto"/>
                <w:sz w:val="21"/>
                <w:szCs w:val="21"/>
                <w:highlight w:val="none"/>
              </w:rPr>
              <w:t>支持通过客户端等多软件端进行操作支持；</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20.</w:t>
            </w:r>
            <w:r>
              <w:rPr>
                <w:rFonts w:hint="eastAsia" w:ascii="宋体" w:hAnsi="宋体" w:cs="宋体"/>
                <w:color w:val="auto"/>
                <w:sz w:val="21"/>
                <w:szCs w:val="21"/>
                <w:highlight w:val="none"/>
              </w:rPr>
              <w:t>支持屏幕底图配置设置和更换；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cs="宋体"/>
                <w:color w:val="auto"/>
                <w:sz w:val="21"/>
                <w:szCs w:val="21"/>
                <w:highlight w:val="none"/>
              </w:rPr>
              <w:t>支持屏保和开机logo配置；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cs="宋体"/>
                <w:color w:val="auto"/>
                <w:sz w:val="21"/>
                <w:szCs w:val="21"/>
                <w:highlight w:val="none"/>
              </w:rPr>
              <w:t>支持屏幕除湿配置；</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cs="宋体"/>
                <w:color w:val="auto"/>
                <w:sz w:val="21"/>
                <w:szCs w:val="21"/>
                <w:highlight w:val="none"/>
              </w:rPr>
              <w:t>支持遥控器扩展，支持通过遥控器操作控制屏幕显示遥控UI菜单；</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24.</w:t>
            </w:r>
            <w:r>
              <w:rPr>
                <w:rFonts w:hint="eastAsia" w:ascii="宋体" w:hAnsi="宋体" w:cs="宋体"/>
                <w:color w:val="auto"/>
                <w:sz w:val="21"/>
                <w:szCs w:val="21"/>
                <w:highlight w:val="none"/>
              </w:rPr>
              <w:t>支持通过按键进行亮度调节、信源切换等操作；</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25.</w:t>
            </w:r>
            <w:r>
              <w:rPr>
                <w:rFonts w:hint="eastAsia" w:ascii="宋体" w:hAnsi="宋体" w:cs="宋体"/>
                <w:color w:val="auto"/>
                <w:sz w:val="21"/>
                <w:szCs w:val="21"/>
                <w:highlight w:val="none"/>
              </w:rPr>
              <w:t>支持输出画面的亮度、对比度等参数的调整；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26.</w:t>
            </w:r>
            <w:r>
              <w:rPr>
                <w:rFonts w:hint="eastAsia" w:ascii="宋体" w:hAnsi="宋体" w:cs="宋体"/>
                <w:color w:val="auto"/>
                <w:sz w:val="21"/>
                <w:szCs w:val="21"/>
                <w:highlight w:val="none"/>
              </w:rPr>
              <w:t>支持对屏幕进行逐点校正配置有效消除色差，有效提高显示屏的画质；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27.</w:t>
            </w:r>
            <w:r>
              <w:rPr>
                <w:rFonts w:hint="eastAsia" w:ascii="宋体" w:hAnsi="宋体" w:cs="宋体"/>
                <w:color w:val="auto"/>
                <w:sz w:val="21"/>
                <w:szCs w:val="21"/>
                <w:highlight w:val="none"/>
              </w:rPr>
              <w:t>支持常规、文稿、广告、视讯、影院、安防等显示模式切换；</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28.</w:t>
            </w:r>
            <w:r>
              <w:rPr>
                <w:rFonts w:hint="eastAsia" w:ascii="宋体" w:hAnsi="宋体" w:cs="宋体"/>
                <w:color w:val="auto"/>
                <w:sz w:val="21"/>
                <w:szCs w:val="21"/>
                <w:highlight w:val="none"/>
              </w:rPr>
              <w:t>支持标准、暖色、冷色等色温模式调节同时可支持自定义色温调节；</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29.</w:t>
            </w:r>
            <w:r>
              <w:rPr>
                <w:rFonts w:hint="eastAsia" w:ascii="宋体" w:hAnsi="宋体" w:cs="宋体"/>
                <w:color w:val="auto"/>
                <w:sz w:val="21"/>
                <w:szCs w:val="21"/>
                <w:highlight w:val="none"/>
              </w:rPr>
              <w:t>支持护眼模式，有效保护观看者视力；</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30.</w:t>
            </w:r>
            <w:r>
              <w:rPr>
                <w:rFonts w:hint="eastAsia" w:ascii="宋体" w:hAnsi="宋体" w:cs="宋体"/>
                <w:color w:val="auto"/>
                <w:sz w:val="21"/>
                <w:szCs w:val="21"/>
                <w:highlight w:val="none"/>
              </w:rPr>
              <w:t>支持3840 Hz 高刷新率输出，纳秒级响应时间，视频画面更细腻流畅；</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cs="宋体"/>
                <w:color w:val="auto"/>
                <w:sz w:val="21"/>
                <w:szCs w:val="21"/>
                <w:highlight w:val="none"/>
              </w:rPr>
              <w:t>支持查看设备与LED屏幕的带载关系；</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cs="宋体"/>
                <w:color w:val="auto"/>
                <w:sz w:val="21"/>
                <w:szCs w:val="21"/>
                <w:highlight w:val="none"/>
              </w:rPr>
              <w:t>支持查看运行过程中屏幕异常的定位；</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cs="宋体"/>
                <w:color w:val="auto"/>
                <w:sz w:val="21"/>
                <w:szCs w:val="21"/>
                <w:highlight w:val="none"/>
              </w:rPr>
              <w:t>支持查看设备运行状态、设备内存、CPU使用率、设备运行温度和网口使用率等参数；</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cs="宋体"/>
                <w:color w:val="auto"/>
                <w:sz w:val="21"/>
                <w:szCs w:val="21"/>
                <w:highlight w:val="none"/>
              </w:rPr>
              <w:t>支持异常箱体电压检测、箱体温度检测、设备温度检测；</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cs="宋体"/>
                <w:color w:val="auto"/>
                <w:sz w:val="21"/>
                <w:szCs w:val="21"/>
                <w:highlight w:val="none"/>
              </w:rPr>
              <w:t>支持通过RS485接口进行中控及物联网设备对接；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cs="宋体"/>
                <w:color w:val="auto"/>
                <w:sz w:val="21"/>
                <w:szCs w:val="21"/>
                <w:highlight w:val="none"/>
              </w:rPr>
              <w:t>支持通过控制网口，通过网络SDK、OTAP等协议进行控制指令对接和设备管理；</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cs="宋体"/>
                <w:color w:val="auto"/>
                <w:sz w:val="21"/>
                <w:szCs w:val="21"/>
                <w:highlight w:val="none"/>
              </w:rPr>
              <w:t>支持通过控制网口链接多功能卡 实现环境温度检测、环境湿度检测、人体温度传感配合屏幕控制等功能；</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cs="宋体"/>
                <w:color w:val="auto"/>
                <w:sz w:val="21"/>
                <w:szCs w:val="21"/>
                <w:highlight w:val="none"/>
              </w:rPr>
              <w:t>支持HDMI2.0及DVI 环通输出 HDMI环通输出最大支持4096*2160@60Hz DVI环通输出最大支持1920*1200@60Hz；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cs="宋体"/>
                <w:color w:val="auto"/>
                <w:sz w:val="21"/>
                <w:szCs w:val="21"/>
                <w:highlight w:val="none"/>
              </w:rPr>
              <w:t>开窗数量：3信源窗口+2分屏窗口+1条屏窗口+1底图；</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40.</w:t>
            </w:r>
            <w:r>
              <w:rPr>
                <w:rFonts w:hint="eastAsia" w:ascii="宋体" w:hAnsi="宋体" w:cs="宋体"/>
                <w:color w:val="auto"/>
                <w:sz w:val="21"/>
                <w:szCs w:val="21"/>
                <w:highlight w:val="none"/>
              </w:rPr>
              <w:t>整机图层数：7；</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41.</w:t>
            </w:r>
            <w:r>
              <w:rPr>
                <w:rFonts w:hint="eastAsia" w:ascii="宋体" w:hAnsi="宋体" w:cs="宋体"/>
                <w:color w:val="auto"/>
                <w:sz w:val="21"/>
                <w:szCs w:val="21"/>
                <w:highlight w:val="none"/>
              </w:rPr>
              <w:t>场景数量：10；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42.</w:t>
            </w:r>
            <w:r>
              <w:rPr>
                <w:rFonts w:hint="eastAsia" w:ascii="宋体" w:hAnsi="宋体" w:cs="宋体"/>
                <w:color w:val="auto"/>
                <w:sz w:val="21"/>
                <w:szCs w:val="21"/>
                <w:highlight w:val="none"/>
              </w:rPr>
              <w:t>底图数量：2；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43.</w:t>
            </w:r>
            <w:r>
              <w:rPr>
                <w:rFonts w:hint="eastAsia" w:ascii="宋体" w:hAnsi="宋体" w:cs="宋体"/>
                <w:color w:val="auto"/>
                <w:sz w:val="21"/>
                <w:szCs w:val="21"/>
                <w:highlight w:val="none"/>
              </w:rPr>
              <w:t>底图分辨率：最小640 × 480，最大1920 × 1200；</w:t>
            </w:r>
          </w:p>
          <w:p>
            <w:pPr>
              <w:pStyle w:val="51"/>
              <w:spacing w:line="264" w:lineRule="auto"/>
              <w:ind w:firstLine="0"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44.</w:t>
            </w:r>
            <w:r>
              <w:rPr>
                <w:rFonts w:hint="eastAsia" w:ascii="宋体" w:hAnsi="宋体" w:cs="宋体"/>
                <w:color w:val="auto"/>
                <w:sz w:val="21"/>
                <w:szCs w:val="21"/>
                <w:highlight w:val="none"/>
              </w:rPr>
              <w:t>底图格式：JGP/JPEG；</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45.</w:t>
            </w:r>
            <w:r>
              <w:rPr>
                <w:rFonts w:hint="eastAsia" w:ascii="宋体" w:hAnsi="宋体" w:cs="宋体"/>
                <w:color w:val="auto"/>
                <w:sz w:val="21"/>
                <w:szCs w:val="21"/>
                <w:highlight w:val="none"/>
              </w:rPr>
              <w:t>字幕数量：1；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46.</w:t>
            </w:r>
            <w:r>
              <w:rPr>
                <w:rFonts w:hint="eastAsia" w:ascii="宋体" w:hAnsi="宋体" w:cs="宋体"/>
                <w:color w:val="auto"/>
                <w:sz w:val="21"/>
                <w:szCs w:val="21"/>
                <w:highlight w:val="none"/>
              </w:rPr>
              <w:t>字幕宽度：32760；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47.</w:t>
            </w:r>
            <w:r>
              <w:rPr>
                <w:rFonts w:hint="eastAsia" w:ascii="宋体" w:hAnsi="宋体" w:cs="宋体"/>
                <w:color w:val="auto"/>
                <w:sz w:val="21"/>
                <w:szCs w:val="21"/>
                <w:highlight w:val="none"/>
              </w:rPr>
              <w:t>字幕字体：支持小米+自定义（小于5M）；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48.</w:t>
            </w:r>
            <w:r>
              <w:rPr>
                <w:rFonts w:hint="eastAsia" w:ascii="宋体" w:hAnsi="宋体" w:cs="宋体"/>
                <w:color w:val="auto"/>
                <w:sz w:val="21"/>
                <w:szCs w:val="21"/>
                <w:highlight w:val="none"/>
              </w:rPr>
              <w:t>音频输入接口数：2；</w:t>
            </w:r>
          </w:p>
          <w:p>
            <w:pPr>
              <w:pStyle w:val="51"/>
              <w:spacing w:line="264" w:lineRule="auto"/>
              <w:ind w:firstLine="0"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49.</w:t>
            </w:r>
            <w:r>
              <w:rPr>
                <w:rFonts w:hint="eastAsia" w:ascii="宋体" w:hAnsi="宋体" w:cs="宋体"/>
                <w:color w:val="auto"/>
                <w:sz w:val="21"/>
                <w:szCs w:val="21"/>
                <w:highlight w:val="none"/>
              </w:rPr>
              <w:t>音频输入接口类型：1路HDMI输入1路HDMI内嵌音频；</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50.</w:t>
            </w:r>
            <w:r>
              <w:rPr>
                <w:rFonts w:hint="eastAsia" w:ascii="宋体" w:hAnsi="宋体" w:cs="宋体"/>
                <w:color w:val="auto"/>
                <w:sz w:val="21"/>
                <w:szCs w:val="21"/>
                <w:highlight w:val="none"/>
              </w:rPr>
              <w:t>音频输出接口数：1；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51.</w:t>
            </w:r>
            <w:r>
              <w:rPr>
                <w:rFonts w:hint="eastAsia" w:ascii="宋体" w:hAnsi="宋体" w:cs="宋体"/>
                <w:color w:val="auto"/>
                <w:sz w:val="21"/>
                <w:szCs w:val="21"/>
                <w:highlight w:val="none"/>
              </w:rPr>
              <w:t>音频输出接口类型：3.5mm 音频输出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52.</w:t>
            </w:r>
            <w:r>
              <w:rPr>
                <w:rFonts w:hint="eastAsia" w:ascii="宋体" w:hAnsi="宋体" w:cs="宋体"/>
                <w:color w:val="auto"/>
                <w:sz w:val="21"/>
                <w:szCs w:val="21"/>
                <w:highlight w:val="none"/>
              </w:rPr>
              <w:t>视频输入接口数：3；</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53.</w:t>
            </w:r>
            <w:r>
              <w:rPr>
                <w:rFonts w:hint="eastAsia" w:ascii="宋体" w:hAnsi="宋体" w:cs="宋体"/>
                <w:color w:val="auto"/>
                <w:sz w:val="21"/>
                <w:szCs w:val="21"/>
                <w:highlight w:val="none"/>
              </w:rPr>
              <w:t>视频输入接口类型：1路HDMI2.0+1路HDMI1.4+1路DVI；</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54.</w:t>
            </w:r>
            <w:r>
              <w:rPr>
                <w:rFonts w:hint="eastAsia" w:ascii="宋体" w:hAnsi="宋体" w:cs="宋体"/>
                <w:color w:val="auto"/>
                <w:sz w:val="21"/>
                <w:szCs w:val="21"/>
                <w:highlight w:val="none"/>
              </w:rPr>
              <w:t>视频输入最大分辨率：HDMI2.0:4K;HDMI1.4:1080P;DVI:1080P；</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55.</w:t>
            </w:r>
            <w:r>
              <w:rPr>
                <w:rFonts w:hint="eastAsia" w:ascii="宋体" w:hAnsi="宋体" w:cs="宋体"/>
                <w:color w:val="auto"/>
                <w:sz w:val="21"/>
                <w:szCs w:val="21"/>
                <w:highlight w:val="none"/>
              </w:rPr>
              <w:t>视频输入分辨率：HDMI2.0接口；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56.</w:t>
            </w:r>
            <w:r>
              <w:rPr>
                <w:rFonts w:hint="eastAsia" w:ascii="宋体" w:hAnsi="宋体" w:cs="宋体"/>
                <w:color w:val="auto"/>
                <w:sz w:val="21"/>
                <w:szCs w:val="21"/>
                <w:highlight w:val="none"/>
              </w:rPr>
              <w:t>最大支持分辨率：4096*2160@60Hz；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57.</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58.</w:t>
            </w:r>
            <w:r>
              <w:rPr>
                <w:rFonts w:hint="eastAsia" w:ascii="宋体" w:hAnsi="宋体" w:cs="宋体"/>
                <w:color w:val="auto"/>
                <w:sz w:val="21"/>
                <w:szCs w:val="21"/>
                <w:highlight w:val="none"/>
              </w:rPr>
              <w:t>可自定义分辨率，总分辨率不超过 884W@60Hz；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59.</w:t>
            </w:r>
            <w:r>
              <w:rPr>
                <w:rFonts w:hint="eastAsia" w:ascii="宋体" w:hAnsi="宋体" w:cs="宋体"/>
                <w:color w:val="auto"/>
                <w:sz w:val="21"/>
                <w:szCs w:val="21"/>
                <w:highlight w:val="none"/>
              </w:rPr>
              <w:t>极限宽度：144~8192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60.</w:t>
            </w:r>
            <w:r>
              <w:rPr>
                <w:rFonts w:hint="eastAsia" w:ascii="宋体" w:hAnsi="宋体" w:cs="宋体"/>
                <w:color w:val="auto"/>
                <w:sz w:val="21"/>
                <w:szCs w:val="21"/>
                <w:highlight w:val="none"/>
              </w:rPr>
              <w:t>极限高度：144~8192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w:t>
            </w:r>
            <w:r>
              <w:rPr>
                <w:rFonts w:hint="eastAsia" w:ascii="宋体" w:hAnsi="宋体" w:cs="宋体"/>
                <w:color w:val="auto"/>
                <w:sz w:val="21"/>
                <w:szCs w:val="21"/>
                <w:highlight w:val="none"/>
              </w:rPr>
              <w:t>支持HDCP2.2；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63.</w:t>
            </w:r>
            <w:r>
              <w:rPr>
                <w:rFonts w:hint="eastAsia" w:ascii="宋体" w:hAnsi="宋体" w:cs="宋体"/>
                <w:color w:val="auto"/>
                <w:sz w:val="21"/>
                <w:szCs w:val="21"/>
                <w:highlight w:val="none"/>
              </w:rPr>
              <w:t>HDMI1.4接口；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64.</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65.</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66.</w:t>
            </w:r>
            <w:r>
              <w:rPr>
                <w:rFonts w:hint="eastAsia" w:ascii="宋体" w:hAnsi="宋体" w:cs="宋体"/>
                <w:color w:val="auto"/>
                <w:sz w:val="21"/>
                <w:szCs w:val="21"/>
                <w:highlight w:val="none"/>
              </w:rPr>
              <w:t>可自定义分辨率，总分辨率不超过 260W@60Hz；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67.</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68.</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69.</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70.</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71.</w:t>
            </w:r>
            <w:r>
              <w:rPr>
                <w:rFonts w:hint="eastAsia" w:ascii="宋体" w:hAnsi="宋体" w:cs="宋体"/>
                <w:color w:val="auto"/>
                <w:sz w:val="21"/>
                <w:szCs w:val="21"/>
                <w:highlight w:val="none"/>
              </w:rPr>
              <w:t>DVI接口；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72.</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73.</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74.</w:t>
            </w:r>
            <w:r>
              <w:rPr>
                <w:rFonts w:hint="eastAsia" w:ascii="宋体" w:hAnsi="宋体" w:cs="宋体"/>
                <w:color w:val="auto"/>
                <w:sz w:val="21"/>
                <w:szCs w:val="21"/>
                <w:highlight w:val="none"/>
              </w:rPr>
              <w:t>可自定义分辨率，总分辨率不超过 260W@60Hz；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75.</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76.</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77.</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78.</w:t>
            </w:r>
            <w:r>
              <w:rPr>
                <w:rFonts w:hint="eastAsia" w:ascii="宋体" w:hAnsi="宋体" w:cs="宋体"/>
                <w:color w:val="auto"/>
                <w:sz w:val="21"/>
                <w:szCs w:val="21"/>
                <w:highlight w:val="none"/>
              </w:rPr>
              <w:t>不支持隔行信号输入；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79.</w:t>
            </w:r>
            <w:r>
              <w:rPr>
                <w:rFonts w:hint="eastAsia" w:ascii="宋体" w:hAnsi="宋体" w:cs="宋体"/>
                <w:color w:val="auto"/>
                <w:sz w:val="21"/>
                <w:szCs w:val="21"/>
                <w:highlight w:val="none"/>
              </w:rPr>
              <w:t>视频输入处理特性：处理深度 8 bit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80.</w:t>
            </w:r>
            <w:r>
              <w:rPr>
                <w:rFonts w:hint="eastAsia" w:ascii="宋体" w:hAnsi="宋体" w:cs="宋体"/>
                <w:color w:val="auto"/>
                <w:sz w:val="21"/>
                <w:szCs w:val="21"/>
                <w:highlight w:val="none"/>
              </w:rPr>
              <w:t>采样格式：</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RGB:444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YUV:444</w:t>
            </w:r>
          </w:p>
          <w:p>
            <w:pPr>
              <w:pStyle w:val="51"/>
              <w:spacing w:line="264" w:lineRule="auto"/>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YUV:422</w:t>
            </w:r>
          </w:p>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YUV:420 </w:t>
            </w:r>
            <w:r>
              <w:rPr>
                <w:rFonts w:hint="eastAsia" w:ascii="宋体" w:hAnsi="宋体" w:cs="宋体"/>
                <w:color w:val="auto"/>
                <w:sz w:val="21"/>
                <w:szCs w:val="21"/>
                <w:highlight w:val="none"/>
                <w:lang w:eastAsia="zh-CN"/>
              </w:rPr>
              <w:t>；</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w:t>
            </w:r>
            <w:r>
              <w:rPr>
                <w:rFonts w:hint="eastAsia" w:ascii="宋体" w:hAnsi="宋体" w:cs="宋体"/>
                <w:color w:val="auto"/>
                <w:sz w:val="21"/>
                <w:szCs w:val="21"/>
                <w:highlight w:val="none"/>
              </w:rPr>
              <w:t>视频输出最大分辨率：1300W；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82.</w:t>
            </w:r>
            <w:r>
              <w:rPr>
                <w:rFonts w:hint="eastAsia" w:ascii="宋体" w:hAnsi="宋体" w:cs="宋体"/>
                <w:color w:val="auto"/>
                <w:sz w:val="21"/>
                <w:szCs w:val="21"/>
                <w:highlight w:val="none"/>
              </w:rPr>
              <w:t>视频输出LED带载能力：单网口带载65W；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83.</w:t>
            </w:r>
            <w:r>
              <w:rPr>
                <w:rFonts w:hint="eastAsia" w:ascii="宋体" w:hAnsi="宋体" w:cs="宋体"/>
                <w:color w:val="auto"/>
                <w:sz w:val="21"/>
                <w:szCs w:val="21"/>
                <w:highlight w:val="none"/>
              </w:rPr>
              <w:t>宽度144~8192;对齐方式：2对齐；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84.</w:t>
            </w:r>
            <w:r>
              <w:rPr>
                <w:rFonts w:hint="eastAsia" w:ascii="宋体" w:hAnsi="宋体" w:cs="宋体"/>
                <w:color w:val="auto"/>
                <w:sz w:val="21"/>
                <w:szCs w:val="21"/>
                <w:highlight w:val="none"/>
              </w:rPr>
              <w:t>高度64~8192;对齐方式：1对齐；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85.</w:t>
            </w:r>
            <w:r>
              <w:rPr>
                <w:rFonts w:hint="eastAsia" w:ascii="宋体" w:hAnsi="宋体" w:cs="宋体"/>
                <w:color w:val="auto"/>
                <w:sz w:val="21"/>
                <w:szCs w:val="21"/>
                <w:highlight w:val="none"/>
              </w:rPr>
              <w:t>最大带载不超过1300W；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86.</w:t>
            </w:r>
            <w:r>
              <w:rPr>
                <w:rFonts w:hint="eastAsia" w:ascii="宋体" w:hAnsi="宋体" w:cs="宋体"/>
                <w:color w:val="auto"/>
                <w:sz w:val="21"/>
                <w:szCs w:val="21"/>
                <w:highlight w:val="none"/>
              </w:rPr>
              <w:t>LED带载接口数：20；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87.</w:t>
            </w:r>
            <w:r>
              <w:rPr>
                <w:rFonts w:hint="eastAsia" w:ascii="宋体" w:hAnsi="宋体" w:cs="宋体"/>
                <w:color w:val="auto"/>
                <w:sz w:val="21"/>
                <w:szCs w:val="21"/>
                <w:highlight w:val="none"/>
              </w:rPr>
              <w:t>LED带载接口类型：RJ45；</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88.</w:t>
            </w:r>
            <w:r>
              <w:rPr>
                <w:rFonts w:hint="eastAsia" w:ascii="宋体" w:hAnsi="宋体" w:cs="宋体"/>
                <w:color w:val="auto"/>
                <w:sz w:val="21"/>
                <w:szCs w:val="21"/>
                <w:highlight w:val="none"/>
              </w:rPr>
              <w:t>视频环通输出接口数：2；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89.</w:t>
            </w:r>
            <w:r>
              <w:rPr>
                <w:rFonts w:hint="eastAsia" w:ascii="宋体" w:hAnsi="宋体" w:cs="宋体"/>
                <w:color w:val="auto"/>
                <w:sz w:val="21"/>
                <w:szCs w:val="21"/>
                <w:highlight w:val="none"/>
              </w:rPr>
              <w:t>视频环通输出接口类型：1路HDMI2.0+1路DVI；</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90.</w:t>
            </w:r>
            <w:r>
              <w:rPr>
                <w:rFonts w:hint="eastAsia" w:ascii="宋体" w:hAnsi="宋体" w:cs="宋体"/>
                <w:color w:val="auto"/>
                <w:sz w:val="21"/>
                <w:szCs w:val="21"/>
                <w:highlight w:val="none"/>
              </w:rPr>
              <w:t>视频环通输出分辨率：HDMI2.0接口；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91.</w:t>
            </w:r>
            <w:r>
              <w:rPr>
                <w:rFonts w:hint="eastAsia" w:ascii="宋体" w:hAnsi="宋体" w:cs="宋体"/>
                <w:color w:val="auto"/>
                <w:sz w:val="21"/>
                <w:szCs w:val="21"/>
                <w:highlight w:val="none"/>
              </w:rPr>
              <w:t>最大支持分辨率：4096*2160@60Hz；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92.</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93.</w:t>
            </w:r>
            <w:r>
              <w:rPr>
                <w:rFonts w:hint="eastAsia" w:ascii="宋体" w:hAnsi="宋体" w:cs="宋体"/>
                <w:color w:val="auto"/>
                <w:sz w:val="21"/>
                <w:szCs w:val="21"/>
                <w:highlight w:val="none"/>
              </w:rPr>
              <w:t>输出分辨率与视频输入分辨率保持一致；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94.</w:t>
            </w:r>
            <w:r>
              <w:rPr>
                <w:rFonts w:hint="eastAsia" w:ascii="宋体" w:hAnsi="宋体" w:cs="宋体"/>
                <w:color w:val="auto"/>
                <w:sz w:val="21"/>
                <w:szCs w:val="21"/>
                <w:highlight w:val="none"/>
              </w:rPr>
              <w:t>极限宽度：144~8192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95.</w:t>
            </w:r>
            <w:r>
              <w:rPr>
                <w:rFonts w:hint="eastAsia" w:ascii="宋体" w:hAnsi="宋体" w:cs="宋体"/>
                <w:color w:val="auto"/>
                <w:sz w:val="21"/>
                <w:szCs w:val="21"/>
                <w:highlight w:val="none"/>
              </w:rPr>
              <w:t>极限高度：144~8192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96.</w:t>
            </w:r>
            <w:r>
              <w:rPr>
                <w:rFonts w:hint="eastAsia" w:ascii="宋体" w:hAnsi="宋体" w:cs="宋体"/>
                <w:color w:val="auto"/>
                <w:sz w:val="21"/>
                <w:szCs w:val="21"/>
                <w:highlight w:val="none"/>
              </w:rPr>
              <w:t>支持HDCP2.2；</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97.</w:t>
            </w:r>
            <w:r>
              <w:rPr>
                <w:rFonts w:hint="eastAsia" w:ascii="宋体" w:hAnsi="宋体" w:cs="宋体"/>
                <w:color w:val="auto"/>
                <w:sz w:val="21"/>
                <w:szCs w:val="21"/>
                <w:highlight w:val="none"/>
              </w:rPr>
              <w:t>DVI接口；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98.</w:t>
            </w:r>
            <w:r>
              <w:rPr>
                <w:rFonts w:hint="eastAsia" w:ascii="宋体" w:hAnsi="宋体" w:cs="宋体"/>
                <w:color w:val="auto"/>
                <w:sz w:val="21"/>
                <w:szCs w:val="21"/>
                <w:highlight w:val="none"/>
              </w:rPr>
              <w:t>最大支持分辨率：1920*1200@60Hz；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99.</w:t>
            </w:r>
            <w:r>
              <w:rPr>
                <w:rFonts w:hint="eastAsia" w:ascii="宋体" w:hAnsi="宋体" w:cs="宋体"/>
                <w:color w:val="auto"/>
                <w:sz w:val="21"/>
                <w:szCs w:val="21"/>
                <w:highlight w:val="none"/>
              </w:rPr>
              <w:t>最小支持分辨率：320*180@60Hz；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100.</w:t>
            </w:r>
            <w:r>
              <w:rPr>
                <w:rFonts w:hint="eastAsia" w:ascii="宋体" w:hAnsi="宋体" w:cs="宋体"/>
                <w:color w:val="auto"/>
                <w:sz w:val="21"/>
                <w:szCs w:val="21"/>
                <w:highlight w:val="none"/>
              </w:rPr>
              <w:t>输出分辨率与视频输入分辨率保持一致；</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101.</w:t>
            </w:r>
            <w:r>
              <w:rPr>
                <w:rFonts w:hint="eastAsia" w:ascii="宋体" w:hAnsi="宋体" w:cs="宋体"/>
                <w:color w:val="auto"/>
                <w:sz w:val="21"/>
                <w:szCs w:val="21"/>
                <w:highlight w:val="none"/>
              </w:rPr>
              <w:t>极限宽度：144~4096 对齐方式：2对齐；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102.</w:t>
            </w:r>
            <w:r>
              <w:rPr>
                <w:rFonts w:hint="eastAsia" w:ascii="宋体" w:hAnsi="宋体" w:cs="宋体"/>
                <w:color w:val="auto"/>
                <w:sz w:val="21"/>
                <w:szCs w:val="21"/>
                <w:highlight w:val="none"/>
              </w:rPr>
              <w:t>极限高度：144~4096 对齐方式：1对齐；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103.</w:t>
            </w:r>
            <w:r>
              <w:rPr>
                <w:rFonts w:hint="eastAsia" w:ascii="宋体" w:hAnsi="宋体" w:cs="宋体"/>
                <w:color w:val="auto"/>
                <w:sz w:val="21"/>
                <w:szCs w:val="21"/>
                <w:highlight w:val="none"/>
              </w:rPr>
              <w:t>支持HDCP1.4；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104.</w:t>
            </w:r>
            <w:r>
              <w:rPr>
                <w:rFonts w:hint="eastAsia" w:ascii="宋体" w:hAnsi="宋体" w:cs="宋体"/>
                <w:color w:val="auto"/>
                <w:sz w:val="21"/>
                <w:szCs w:val="21"/>
                <w:highlight w:val="none"/>
              </w:rPr>
              <w:t>视频预监输出接口数：1；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105.</w:t>
            </w:r>
            <w:r>
              <w:rPr>
                <w:rFonts w:hint="eastAsia" w:ascii="宋体" w:hAnsi="宋体" w:cs="宋体"/>
                <w:color w:val="auto"/>
                <w:sz w:val="21"/>
                <w:szCs w:val="21"/>
                <w:highlight w:val="none"/>
              </w:rPr>
              <w:t>视频预监输出接口类型：HDMI 1.4；</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106.</w:t>
            </w:r>
            <w:r>
              <w:rPr>
                <w:rFonts w:hint="eastAsia" w:ascii="宋体" w:hAnsi="宋体" w:cs="宋体"/>
                <w:color w:val="auto"/>
                <w:sz w:val="21"/>
                <w:szCs w:val="21"/>
                <w:highlight w:val="none"/>
              </w:rPr>
              <w:t>视频预监输出分辨率：720P@60Hz；</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107.</w:t>
            </w:r>
            <w:r>
              <w:rPr>
                <w:rFonts w:hint="eastAsia" w:ascii="宋体" w:hAnsi="宋体" w:cs="宋体"/>
                <w:color w:val="auto"/>
                <w:sz w:val="21"/>
                <w:szCs w:val="21"/>
                <w:highlight w:val="none"/>
              </w:rPr>
              <w:t>遥控器：支持红外遥控器、射频遥控器；</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108.</w:t>
            </w:r>
            <w:r>
              <w:rPr>
                <w:rFonts w:hint="eastAsia" w:ascii="宋体" w:hAnsi="宋体" w:cs="宋体"/>
                <w:color w:val="auto"/>
                <w:sz w:val="21"/>
                <w:szCs w:val="21"/>
                <w:highlight w:val="none"/>
              </w:rPr>
              <w:t>控制网口：2个RJ45，10M/100M/1000M自适应以太网口；</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109.</w:t>
            </w:r>
            <w:r>
              <w:rPr>
                <w:rFonts w:hint="eastAsia" w:ascii="宋体" w:hAnsi="宋体" w:cs="宋体"/>
                <w:color w:val="auto"/>
                <w:sz w:val="21"/>
                <w:szCs w:val="21"/>
                <w:highlight w:val="none"/>
              </w:rPr>
              <w:t>用于连接外部网络，可支持多设备网络级联管理；</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110.</w:t>
            </w:r>
            <w:r>
              <w:rPr>
                <w:rFonts w:hint="eastAsia" w:ascii="宋体" w:hAnsi="宋体" w:cs="宋体"/>
                <w:color w:val="auto"/>
                <w:sz w:val="21"/>
                <w:szCs w:val="21"/>
                <w:highlight w:val="none"/>
              </w:rPr>
              <w:t>IR 输入：1个 3.5mm座子；</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111.</w:t>
            </w:r>
            <w:r>
              <w:rPr>
                <w:rFonts w:hint="eastAsia" w:ascii="宋体" w:hAnsi="宋体" w:cs="宋体"/>
                <w:color w:val="auto"/>
                <w:sz w:val="21"/>
                <w:szCs w:val="21"/>
                <w:highlight w:val="none"/>
              </w:rPr>
              <w:t>支持红外遥控器接入；</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112.</w:t>
            </w:r>
            <w:r>
              <w:rPr>
                <w:rFonts w:hint="eastAsia" w:ascii="宋体" w:hAnsi="宋体" w:cs="宋体"/>
                <w:color w:val="auto"/>
                <w:sz w:val="21"/>
                <w:szCs w:val="21"/>
                <w:highlight w:val="none"/>
              </w:rPr>
              <w:t>串行接口：1个调试串口（4Pin座子）+2个RS485中控控制串口（凤凰端子绿头插座）；</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113.</w:t>
            </w:r>
            <w:r>
              <w:rPr>
                <w:rFonts w:hint="eastAsia" w:ascii="宋体" w:hAnsi="宋体" w:cs="宋体"/>
                <w:color w:val="auto"/>
                <w:sz w:val="21"/>
                <w:szCs w:val="21"/>
                <w:highlight w:val="none"/>
              </w:rPr>
              <w:t>波特率：115200；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114.</w:t>
            </w:r>
            <w:r>
              <w:rPr>
                <w:rFonts w:hint="eastAsia" w:ascii="宋体" w:hAnsi="宋体" w:cs="宋体"/>
                <w:color w:val="auto"/>
                <w:sz w:val="21"/>
                <w:szCs w:val="21"/>
                <w:highlight w:val="none"/>
              </w:rPr>
              <w:t>数据位：8；</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115.</w:t>
            </w:r>
            <w:r>
              <w:rPr>
                <w:rFonts w:hint="eastAsia" w:ascii="宋体" w:hAnsi="宋体" w:cs="宋体"/>
                <w:color w:val="auto"/>
                <w:sz w:val="21"/>
                <w:szCs w:val="21"/>
                <w:highlight w:val="none"/>
              </w:rPr>
              <w:t>开关键：按键开关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116.</w:t>
            </w:r>
            <w:r>
              <w:rPr>
                <w:rFonts w:hint="eastAsia" w:ascii="宋体" w:hAnsi="宋体" w:cs="宋体"/>
                <w:color w:val="auto"/>
                <w:sz w:val="21"/>
                <w:szCs w:val="21"/>
                <w:highlight w:val="none"/>
              </w:rPr>
              <w:t>平均功耗：≤43W；</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117.</w:t>
            </w:r>
            <w:r>
              <w:rPr>
                <w:rFonts w:hint="eastAsia" w:ascii="宋体" w:hAnsi="宋体" w:cs="宋体"/>
                <w:color w:val="auto"/>
                <w:sz w:val="21"/>
                <w:szCs w:val="21"/>
                <w:highlight w:val="none"/>
              </w:rPr>
              <w:t>电源接口数：1；</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118.</w:t>
            </w:r>
            <w:r>
              <w:rPr>
                <w:rFonts w:hint="eastAsia" w:ascii="宋体" w:hAnsi="宋体" w:cs="宋体"/>
                <w:color w:val="auto"/>
                <w:sz w:val="21"/>
                <w:szCs w:val="21"/>
                <w:highlight w:val="none"/>
              </w:rPr>
              <w:t>电源接口规格：100～240 VAC, 50/60 Hz ；</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119.</w:t>
            </w:r>
            <w:r>
              <w:rPr>
                <w:rFonts w:hint="eastAsia" w:ascii="宋体" w:hAnsi="宋体" w:cs="宋体"/>
                <w:color w:val="auto"/>
                <w:sz w:val="21"/>
                <w:szCs w:val="21"/>
                <w:highlight w:val="none"/>
              </w:rPr>
              <w:t>工作温度：0°C ~ 50°C；</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120.</w:t>
            </w:r>
            <w:r>
              <w:rPr>
                <w:rFonts w:hint="eastAsia" w:ascii="宋体" w:hAnsi="宋体" w:cs="宋体"/>
                <w:color w:val="auto"/>
                <w:sz w:val="21"/>
                <w:szCs w:val="21"/>
                <w:highlight w:val="none"/>
              </w:rPr>
              <w:t>存储湿度：10% ～ 90%；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121.</w:t>
            </w:r>
            <w:r>
              <w:rPr>
                <w:rFonts w:hint="eastAsia" w:ascii="宋体" w:hAnsi="宋体" w:cs="宋体"/>
                <w:color w:val="auto"/>
                <w:sz w:val="21"/>
                <w:szCs w:val="21"/>
                <w:highlight w:val="none"/>
              </w:rPr>
              <w:t>工作湿度：10% ～ 90%；</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122.</w:t>
            </w:r>
            <w:r>
              <w:rPr>
                <w:rFonts w:hint="eastAsia" w:ascii="宋体" w:hAnsi="宋体" w:cs="宋体"/>
                <w:color w:val="auto"/>
                <w:sz w:val="21"/>
                <w:szCs w:val="21"/>
                <w:highlight w:val="none"/>
              </w:rPr>
              <w:t>存储温度：-10°C ~ 50°C；</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123.</w:t>
            </w:r>
            <w:r>
              <w:rPr>
                <w:rFonts w:hint="eastAsia" w:ascii="宋体" w:hAnsi="宋体" w:cs="宋体"/>
                <w:color w:val="auto"/>
                <w:sz w:val="21"/>
                <w:szCs w:val="21"/>
                <w:highlight w:val="none"/>
              </w:rPr>
              <w:t>包装尺寸（宽×高×深）：</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589mm × 103mm × 410mm；</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124.</w:t>
            </w:r>
            <w:r>
              <w:rPr>
                <w:rFonts w:hint="eastAsia" w:ascii="宋体" w:hAnsi="宋体" w:cs="宋体"/>
                <w:color w:val="auto"/>
                <w:sz w:val="21"/>
                <w:szCs w:val="21"/>
                <w:highlight w:val="none"/>
              </w:rPr>
              <w:t>净重：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3.30 kg；</w:t>
            </w:r>
          </w:p>
          <w:p>
            <w:pPr>
              <w:pStyle w:val="51"/>
              <w:numPr>
                <w:ilvl w:val="0"/>
                <w:numId w:val="0"/>
              </w:numPr>
              <w:spacing w:line="264" w:lineRule="auto"/>
              <w:ind w:firstLineChars="0"/>
              <w:rPr>
                <w:rFonts w:ascii="宋体" w:hAnsi="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125.</w:t>
            </w:r>
            <w:r>
              <w:rPr>
                <w:rFonts w:hint="eastAsia" w:ascii="宋体" w:hAnsi="宋体" w:cs="宋体"/>
                <w:color w:val="auto"/>
                <w:sz w:val="21"/>
                <w:szCs w:val="21"/>
                <w:highlight w:val="none"/>
              </w:rPr>
              <w:t>毛重：</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4.50kg；</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126.</w:t>
            </w:r>
            <w:r>
              <w:rPr>
                <w:rFonts w:hint="eastAsia" w:ascii="宋体" w:hAnsi="宋体" w:cs="宋体"/>
                <w:color w:val="auto"/>
                <w:sz w:val="21"/>
                <w:szCs w:val="21"/>
                <w:highlight w:val="none"/>
              </w:rPr>
              <w:t>产品尺寸（宽×高×深）：</w:t>
            </w:r>
            <w:r>
              <w:rPr>
                <w:rFonts w:hint="eastAsia" w:ascii="宋体" w:hAnsi="宋体" w:cs="宋体"/>
                <w:color w:val="auto"/>
                <w:sz w:val="21"/>
                <w:szCs w:val="21"/>
                <w:highlight w:val="none"/>
                <w:lang w:val="en-US" w:eastAsia="zh-CN"/>
              </w:rPr>
              <w:t>约</w:t>
            </w:r>
            <w:r>
              <w:rPr>
                <w:rFonts w:hint="eastAsia" w:ascii="宋体" w:hAnsi="宋体" w:cs="宋体"/>
                <w:color w:val="auto"/>
                <w:sz w:val="21"/>
                <w:szCs w:val="21"/>
                <w:highlight w:val="none"/>
              </w:rPr>
              <w:t>440mm × 44.5mm × 320.8mm。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54</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屏体内部耗材</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34.51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磁柱/电源线/内部网线/信号排线/电缆线/接收卡电源线等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55</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LED屏钢结构</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34.51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1.钢结构框架，高级2040、4040、3050冷镀方通焊接定制；</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2.焊接口防锈处理，每个焊接口刷专用防锈漆；</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3.美观大方，坚固耐用，与显示屏配套使用；</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4.显示屏四周根据现场显示屏定制黑带拉丝无指纹不锈钢包边。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56</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LED配电箱</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30KW，带PLC功能，满足远程开和关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57</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控制电脑</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台</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须带显卡有HDMI输出</w:t>
            </w:r>
            <w:r>
              <w:rPr>
                <w:rFonts w:hint="eastAsia" w:ascii="宋体" w:hAnsi="宋体" w:cs="宋体"/>
                <w:color w:val="auto"/>
                <w:sz w:val="21"/>
                <w:szCs w:val="21"/>
                <w:highlight w:val="none"/>
                <w:lang w:eastAsia="zh-CN"/>
              </w:rPr>
              <w:t>；</w:t>
            </w:r>
          </w:p>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I5+8G+1T+独立显卡HDMI+21.5寸显示器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58</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弱电材料</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需要布置13-16条超六类网线，每条长约40米，40米*16条=640米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59</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线槽材料</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4" w:lineRule="auto"/>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所有线路需要套线槽/线，40米-60米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14" w:type="dxa"/>
            <w:tcBorders>
              <w:top w:val="single" w:color="auto" w:sz="4" w:space="0"/>
              <w:bottom w:val="single" w:color="auto" w:sz="4" w:space="0"/>
              <w:right w:val="single" w:color="auto" w:sz="4" w:space="0"/>
            </w:tcBorders>
            <w:vAlign w:val="center"/>
          </w:tcPr>
          <w:p>
            <w:pPr>
              <w:spacing w:line="264"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60</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强电材料</w:t>
            </w:r>
          </w:p>
        </w:tc>
        <w:tc>
          <w:tcPr>
            <w:tcW w:w="71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center"/>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center"/>
          </w:tcPr>
          <w:p>
            <w:pPr>
              <w:pStyle w:val="51"/>
              <w:spacing w:line="264" w:lineRule="auto"/>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总共长度120-130米左右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614" w:type="dxa"/>
            <w:tcBorders>
              <w:top w:val="single" w:color="auto" w:sz="4" w:space="0"/>
              <w:bottom w:val="single" w:color="auto" w:sz="4" w:space="0"/>
              <w:right w:val="single" w:color="auto" w:sz="4" w:space="0"/>
            </w:tcBorders>
            <w:vAlign w:val="top"/>
          </w:tcPr>
          <w:p>
            <w:pPr>
              <w:spacing w:line="264" w:lineRule="auto"/>
              <w:jc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61</w:t>
            </w:r>
          </w:p>
        </w:tc>
        <w:tc>
          <w:tcPr>
            <w:tcW w:w="1110"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both"/>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线槽材料</w:t>
            </w:r>
          </w:p>
        </w:tc>
        <w:tc>
          <w:tcPr>
            <w:tcW w:w="719"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p>
        </w:tc>
        <w:tc>
          <w:tcPr>
            <w:tcW w:w="759" w:type="dxa"/>
            <w:tcBorders>
              <w:top w:val="single" w:color="auto" w:sz="4" w:space="0"/>
              <w:left w:val="single" w:color="auto" w:sz="4" w:space="0"/>
              <w:bottom w:val="single" w:color="auto" w:sz="4" w:space="0"/>
              <w:right w:val="single" w:color="auto" w:sz="4" w:space="0"/>
            </w:tcBorders>
            <w:vAlign w:val="top"/>
          </w:tcPr>
          <w:p>
            <w:pPr>
              <w:widowControl/>
              <w:spacing w:line="264" w:lineRule="auto"/>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项</w:t>
            </w:r>
          </w:p>
        </w:tc>
        <w:tc>
          <w:tcPr>
            <w:tcW w:w="7112" w:type="dxa"/>
            <w:tcBorders>
              <w:top w:val="single" w:color="auto" w:sz="4" w:space="0"/>
              <w:left w:val="single" w:color="auto" w:sz="4" w:space="0"/>
              <w:bottom w:val="single" w:color="auto" w:sz="4" w:space="0"/>
            </w:tcBorders>
            <w:vAlign w:val="top"/>
          </w:tcPr>
          <w:p>
            <w:pPr>
              <w:jc w:val="both"/>
              <w:rPr>
                <w:rFonts w:ascii="宋体" w:hAnsi="宋体" w:cs="宋体"/>
                <w:color w:val="auto"/>
                <w:sz w:val="21"/>
                <w:szCs w:val="21"/>
                <w:highlight w:val="none"/>
              </w:rPr>
            </w:pPr>
            <w:r>
              <w:rPr>
                <w:rFonts w:hint="eastAsia" w:ascii="宋体" w:hAnsi="宋体" w:cs="宋体"/>
                <w:color w:val="auto"/>
                <w:sz w:val="21"/>
                <w:szCs w:val="21"/>
                <w:highlight w:val="none"/>
              </w:rPr>
              <w:t>所有线路需要套线槽/线，120米-130米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val="en-US" w:eastAsia="zh-CN"/>
              </w:rPr>
              <w:t>注：序号1-51安装地点在南湖校区民族艺术教育教学综合楼，</w:t>
            </w:r>
            <w:r>
              <w:rPr>
                <w:rFonts w:hint="eastAsia" w:ascii="宋体" w:hAnsi="宋体" w:cs="宋体"/>
                <w:b/>
                <w:bCs/>
                <w:color w:val="auto"/>
                <w:szCs w:val="21"/>
                <w:highlight w:val="none"/>
              </w:rPr>
              <w:t>具体施工图详见</w:t>
            </w:r>
            <w:r>
              <w:rPr>
                <w:rFonts w:hint="eastAsia" w:ascii="宋体" w:hAnsi="宋体" w:cs="宋体"/>
                <w:b/>
                <w:bCs/>
                <w:color w:val="auto"/>
                <w:szCs w:val="21"/>
                <w:highlight w:val="none"/>
                <w:lang w:val="en-US" w:eastAsia="zh-CN"/>
              </w:rPr>
              <w:t>附件1：</w:t>
            </w:r>
            <w:r>
              <w:rPr>
                <w:rFonts w:hint="eastAsia" w:ascii="宋体" w:hAnsi="宋体" w:cs="宋体"/>
                <w:b/>
                <w:bCs/>
                <w:color w:val="auto"/>
                <w:szCs w:val="21"/>
                <w:highlight w:val="none"/>
              </w:rPr>
              <w:t>“LED视频系统安装设计图”）</w:t>
            </w:r>
            <w:r>
              <w:rPr>
                <w:rFonts w:hint="eastAsia" w:ascii="宋体" w:hAnsi="宋体" w:cs="宋体"/>
                <w:b/>
                <w:bCs/>
                <w:color w:val="auto"/>
                <w:szCs w:val="21"/>
                <w:highlight w:val="none"/>
                <w:lang w:val="en-US" w:eastAsia="zh-CN"/>
              </w:rPr>
              <w:t>；序号52-61安装地点在相思湖校区体育馆。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14" w:type="dxa"/>
            <w:gridSpan w:val="5"/>
            <w:tcBorders>
              <w:top w:val="single" w:color="auto" w:sz="4" w:space="0"/>
              <w:bottom w:val="single" w:color="auto" w:sz="4" w:space="0"/>
            </w:tcBorders>
            <w:vAlign w:val="center"/>
          </w:tcPr>
          <w:p>
            <w:pPr>
              <w:widowControl/>
              <w:spacing w:line="264" w:lineRule="auto"/>
              <w:rPr>
                <w:rFonts w:ascii="宋体" w:hAnsi="宋体" w:cs="宋体"/>
                <w:b/>
                <w:color w:val="auto"/>
                <w:kern w:val="0"/>
                <w:szCs w:val="21"/>
                <w:highlight w:val="none"/>
                <w:lang w:eastAsia="en-US"/>
              </w:rPr>
            </w:pPr>
            <w:r>
              <w:rPr>
                <w:rFonts w:hint="eastAsia" w:ascii="宋体" w:hAnsi="宋体" w:cs="宋体"/>
                <w:color w:val="auto"/>
                <w:sz w:val="21"/>
                <w:szCs w:val="21"/>
                <w:highlight w:val="none"/>
                <w:lang w:val="en-US" w:eastAsia="zh-CN"/>
              </w:rPr>
              <w:t>▲</w:t>
            </w:r>
            <w:r>
              <w:rPr>
                <w:rFonts w:hint="eastAsia" w:ascii="宋体" w:hAnsi="宋体" w:cs="宋体"/>
                <w:b/>
                <w:color w:val="auto"/>
                <w:kern w:val="0"/>
                <w:szCs w:val="21"/>
                <w:highlight w:val="none"/>
                <w:lang w:eastAsia="en-US"/>
              </w:rPr>
              <w:t>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投标报价是履行合同的最终价格，包括但不限于：</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（1）货物的价格；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（2）货物的标准附件、备品备件、专用工具的价格；</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（3）运输、装卸、软硬件安装调试、培训、技术支持、售后服务、上门等费用；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（4）必要的保险费用和各项税费；</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（5）施工（安装）费用；</w:t>
            </w:r>
          </w:p>
          <w:p>
            <w:pPr>
              <w:adjustRightInd w:val="0"/>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（6）设备零配件、项目安装、调试、检测、试验及验收、现场卫生清理、线缆、管材、开孔、开槽及埋管和招标文件中有关的全部内容并完成所有工程和服务，所有成本费用的总和，采购人不再支付其</w:t>
            </w:r>
            <w:r>
              <w:rPr>
                <w:rFonts w:hint="eastAsia" w:ascii="宋体" w:hAnsi="宋体" w:cs="宋体"/>
                <w:color w:val="auto"/>
                <w:szCs w:val="21"/>
                <w:highlight w:val="none"/>
                <w:lang w:val="en-US" w:eastAsia="zh-CN"/>
              </w:rPr>
              <w:t>他</w:t>
            </w:r>
            <w:r>
              <w:rPr>
                <w:rFonts w:hint="eastAsia" w:ascii="宋体" w:hAnsi="宋体" w:cs="宋体"/>
                <w:color w:val="auto"/>
                <w:szCs w:val="21"/>
                <w:highlight w:val="none"/>
              </w:rPr>
              <w:t>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合同签订时间</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spacing w:line="264" w:lineRule="auto"/>
              <w:rPr>
                <w:rFonts w:ascii="宋体" w:hAnsi="宋体" w:cs="宋体"/>
                <w:bCs/>
                <w:color w:val="auto"/>
                <w:szCs w:val="21"/>
                <w:highlight w:val="none"/>
              </w:rPr>
            </w:pPr>
            <w:r>
              <w:rPr>
                <w:rFonts w:hint="eastAsia" w:ascii="宋体" w:hAnsi="宋体" w:cs="宋体"/>
                <w:bCs/>
                <w:color w:val="auto"/>
                <w:szCs w:val="21"/>
                <w:highlight w:val="none"/>
              </w:rPr>
              <w:t>自中标通知书发出之日起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个日历日内签订采购合同。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交货时间及地点</w:t>
            </w:r>
          </w:p>
        </w:tc>
        <w:tc>
          <w:tcPr>
            <w:tcW w:w="8590" w:type="dxa"/>
            <w:gridSpan w:val="3"/>
            <w:tcBorders>
              <w:top w:val="single" w:color="auto" w:sz="4" w:space="0"/>
              <w:left w:val="single" w:color="auto" w:sz="4" w:space="0"/>
              <w:bottom w:val="single" w:color="auto" w:sz="4" w:space="0"/>
            </w:tcBorders>
            <w:vAlign w:val="center"/>
          </w:tcPr>
          <w:p>
            <w:pPr>
              <w:snapToGrid w:val="0"/>
              <w:spacing w:line="264" w:lineRule="auto"/>
              <w:rPr>
                <w:rFonts w:ascii="宋体" w:hAnsi="宋体" w:cs="宋体"/>
                <w:color w:val="auto"/>
                <w:spacing w:val="7"/>
                <w:szCs w:val="21"/>
                <w:highlight w:val="none"/>
              </w:rPr>
            </w:pPr>
            <w:r>
              <w:rPr>
                <w:rFonts w:hint="eastAsia" w:ascii="宋体" w:hAnsi="宋体" w:cs="宋体"/>
                <w:color w:val="auto"/>
                <w:spacing w:val="7"/>
                <w:szCs w:val="21"/>
                <w:highlight w:val="none"/>
              </w:rPr>
              <w:t>1.交付使用时间：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个日历日内交付使用。</w:t>
            </w:r>
          </w:p>
          <w:p>
            <w:pPr>
              <w:snapToGrid w:val="0"/>
              <w:spacing w:line="264" w:lineRule="auto"/>
              <w:rPr>
                <w:rFonts w:ascii="宋体" w:hAnsi="宋体" w:cs="宋体"/>
                <w:color w:val="auto"/>
                <w:szCs w:val="21"/>
                <w:highlight w:val="none"/>
              </w:rPr>
            </w:pPr>
            <w:r>
              <w:rPr>
                <w:rFonts w:hint="eastAsia" w:ascii="宋体" w:hAnsi="宋体" w:cs="宋体"/>
                <w:color w:val="auto"/>
                <w:spacing w:val="7"/>
                <w:szCs w:val="21"/>
                <w:highlight w:val="none"/>
              </w:rPr>
              <w:t>2.交货地点：广西艺术学院内采购人指定地点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ind w:firstLine="210" w:firstLineChars="100"/>
              <w:jc w:val="center"/>
              <w:rPr>
                <w:rFonts w:hint="eastAsia" w:ascii="宋体" w:hAnsi="宋体" w:cs="宋体"/>
                <w:color w:val="auto"/>
                <w:szCs w:val="21"/>
                <w:highlight w:val="none"/>
              </w:rPr>
            </w:pPr>
            <w:r>
              <w:rPr>
                <w:rFonts w:hint="eastAsia" w:ascii="宋体" w:hAnsi="宋体"/>
                <w:color w:val="auto"/>
                <w:szCs w:val="21"/>
                <w:highlight w:val="none"/>
              </w:rPr>
              <w:t>▲本</w:t>
            </w:r>
            <w:r>
              <w:rPr>
                <w:rFonts w:hint="eastAsia" w:ascii="宋体" w:hAnsi="宋体"/>
                <w:color w:val="auto"/>
                <w:szCs w:val="21"/>
                <w:highlight w:val="none"/>
                <w:lang w:eastAsia="zh-CN"/>
              </w:rPr>
              <w:t>分标</w:t>
            </w:r>
            <w:r>
              <w:rPr>
                <w:rFonts w:hint="eastAsia" w:ascii="宋体" w:hAnsi="宋体"/>
                <w:color w:val="auto"/>
                <w:szCs w:val="21"/>
                <w:highlight w:val="none"/>
              </w:rPr>
              <w:t>核心产品</w:t>
            </w:r>
          </w:p>
        </w:tc>
        <w:tc>
          <w:tcPr>
            <w:tcW w:w="8590" w:type="dxa"/>
            <w:gridSpan w:val="3"/>
            <w:tcBorders>
              <w:top w:val="single" w:color="auto" w:sz="4" w:space="0"/>
              <w:left w:val="single" w:color="auto" w:sz="4" w:space="0"/>
              <w:bottom w:val="single" w:color="auto" w:sz="4" w:space="0"/>
            </w:tcBorders>
            <w:vAlign w:val="center"/>
          </w:tcPr>
          <w:p>
            <w:pPr>
              <w:adjustRightInd w:val="0"/>
              <w:snapToGrid w:val="0"/>
              <w:rPr>
                <w:rFonts w:hint="eastAsia" w:ascii="宋体" w:hAnsi="宋体" w:cs="宋体"/>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u w:val="single"/>
              </w:rPr>
              <w:t xml:space="preserve"> 投标产品</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项号</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全彩背景视频设备</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售后及服务要求</w:t>
            </w:r>
          </w:p>
        </w:tc>
        <w:tc>
          <w:tcPr>
            <w:tcW w:w="8590" w:type="dxa"/>
            <w:gridSpan w:val="3"/>
            <w:tcBorders>
              <w:top w:val="single" w:color="auto" w:sz="4" w:space="0"/>
              <w:left w:val="single" w:color="auto" w:sz="4" w:space="0"/>
              <w:bottom w:val="single" w:color="auto" w:sz="4" w:space="0"/>
            </w:tcBorders>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1.设备必须是全新原厂正品。</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2.分项有质保要求的按分项质保要求，分项没有质保要求的按国家有关产品“三包”规定执行“三包”政策，质保期以通过项目最终验收的验收报告签字日开始计算。</w:t>
            </w:r>
          </w:p>
          <w:p>
            <w:pPr>
              <w:spacing w:line="264" w:lineRule="auto"/>
              <w:rPr>
                <w:rFonts w:ascii="宋体" w:hAnsi="宋体" w:cs="宋体"/>
                <w:color w:val="auto"/>
                <w:szCs w:val="21"/>
                <w:highlight w:val="none"/>
              </w:rPr>
            </w:pPr>
            <w:r>
              <w:rPr>
                <w:rFonts w:hint="eastAsia" w:ascii="宋体" w:hAnsi="宋体" w:cs="宋体"/>
                <w:color w:val="auto"/>
                <w:szCs w:val="21"/>
                <w:highlight w:val="none"/>
              </w:rPr>
              <w:t>3.质保期内所有由于质量问题导致的软、硬件产品故障及设备损坏，中标供应商提供保修、人工及更换备件的上门服务，并提供终身维护。质保期内采购人不再支付任何费用。</w:t>
            </w:r>
          </w:p>
          <w:p>
            <w:pPr>
              <w:spacing w:line="264" w:lineRule="auto"/>
              <w:rPr>
                <w:rFonts w:ascii="宋体" w:hAnsi="宋体" w:cs="宋体"/>
                <w:color w:val="auto"/>
                <w:szCs w:val="21"/>
                <w:highlight w:val="none"/>
              </w:rPr>
            </w:pPr>
            <w:r>
              <w:rPr>
                <w:rFonts w:hint="eastAsia" w:ascii="宋体" w:hAnsi="宋体" w:cs="宋体"/>
                <w:color w:val="auto"/>
                <w:szCs w:val="21"/>
                <w:highlight w:val="none"/>
              </w:rPr>
              <w:t>4．免费送货上门，免费安装调试合格；</w:t>
            </w:r>
          </w:p>
          <w:p>
            <w:pPr>
              <w:spacing w:line="264" w:lineRule="auto"/>
              <w:rPr>
                <w:rFonts w:ascii="宋体" w:hAnsi="宋体" w:cs="宋体"/>
                <w:color w:val="auto"/>
                <w:szCs w:val="21"/>
                <w:highlight w:val="none"/>
              </w:rPr>
            </w:pPr>
            <w:r>
              <w:rPr>
                <w:rFonts w:hint="eastAsia" w:ascii="宋体" w:hAnsi="宋体" w:cs="宋体"/>
                <w:color w:val="auto"/>
                <w:szCs w:val="21"/>
                <w:highlight w:val="none"/>
              </w:rPr>
              <w:t>5．中标供应商必须负责项目设备送货、建设、安装调试与培训，免费提供设备操作培训，提供全套说明书；免费现场培训 2～3 名相关人员至掌握设备操作及日常维护；</w:t>
            </w:r>
          </w:p>
          <w:p>
            <w:pPr>
              <w:spacing w:line="264" w:lineRule="auto"/>
              <w:rPr>
                <w:rFonts w:ascii="宋体" w:hAnsi="宋体" w:cs="宋体"/>
                <w:color w:val="auto"/>
                <w:szCs w:val="21"/>
                <w:highlight w:val="none"/>
              </w:rPr>
            </w:pPr>
            <w:r>
              <w:rPr>
                <w:rFonts w:hint="eastAsia" w:ascii="宋体" w:hAnsi="宋体" w:cs="宋体"/>
                <w:color w:val="auto"/>
                <w:szCs w:val="21"/>
                <w:highlight w:val="none"/>
              </w:rPr>
              <w:t>6．设备如出现故障在接到采购人通知后30分钟内响应，2小时内上门服务，</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小时内解决故障；未能在规定时间内排除故障的，必须在接到采购人通知后48小时内提供同档次的备用机并提交故障解决处理方案；</w:t>
            </w:r>
          </w:p>
          <w:p>
            <w:pPr>
              <w:spacing w:line="264" w:lineRule="auto"/>
              <w:rPr>
                <w:rFonts w:ascii="宋体" w:hAnsi="宋体" w:cs="宋体"/>
                <w:color w:val="auto"/>
                <w:szCs w:val="21"/>
                <w:highlight w:val="none"/>
              </w:rPr>
            </w:pPr>
            <w:r>
              <w:rPr>
                <w:rFonts w:hint="eastAsia" w:ascii="宋体" w:hAnsi="宋体" w:cs="宋体"/>
                <w:color w:val="auto"/>
                <w:szCs w:val="21"/>
                <w:highlight w:val="none"/>
              </w:rPr>
              <w:t>7．提供定期回访及巡检服务；</w:t>
            </w:r>
          </w:p>
          <w:p>
            <w:pPr>
              <w:spacing w:line="264" w:lineRule="auto"/>
              <w:rPr>
                <w:rFonts w:ascii="宋体" w:hAnsi="宋体" w:cs="宋体"/>
                <w:color w:val="auto"/>
                <w:szCs w:val="21"/>
                <w:highlight w:val="none"/>
              </w:rPr>
            </w:pPr>
            <w:r>
              <w:rPr>
                <w:rFonts w:hint="eastAsia" w:ascii="宋体" w:hAnsi="宋体" w:cs="宋体"/>
                <w:color w:val="auto"/>
                <w:szCs w:val="21"/>
                <w:highlight w:val="none"/>
              </w:rPr>
              <w:t>8．项目供货及安装过程中产生的残留物或垃圾，</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由中标供应商自行清理至校外国家有关部门指定堆放处，产品包装箱及有关产品说明书等处置</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经采购人确认后处理。</w:t>
            </w:r>
          </w:p>
          <w:p>
            <w:pPr>
              <w:spacing w:line="264" w:lineRule="auto"/>
              <w:rPr>
                <w:rFonts w:ascii="宋体" w:hAnsi="宋体" w:cs="宋体"/>
                <w:color w:val="auto"/>
                <w:szCs w:val="21"/>
                <w:highlight w:val="none"/>
              </w:rPr>
            </w:pPr>
            <w:r>
              <w:rPr>
                <w:rFonts w:hint="eastAsia" w:ascii="宋体" w:hAnsi="宋体" w:cs="宋体"/>
                <w:color w:val="auto"/>
                <w:szCs w:val="21"/>
                <w:highlight w:val="none"/>
              </w:rPr>
              <w:t>9．对于软件系统存在的安全漏洞包括但不限于数据库安全的情形，中标供应商应提供终身免费系统升级补丁及安全策略。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8590" w:type="dxa"/>
            <w:gridSpan w:val="3"/>
            <w:tcBorders>
              <w:top w:val="single" w:color="auto" w:sz="4" w:space="0"/>
              <w:left w:val="single" w:color="auto" w:sz="4" w:space="0"/>
              <w:bottom w:val="single" w:color="auto" w:sz="4" w:space="0"/>
            </w:tcBorders>
            <w:vAlign w:val="center"/>
          </w:tcPr>
          <w:p>
            <w:pPr>
              <w:pStyle w:val="99"/>
              <w:spacing w:before="0" w:after="0" w:line="264" w:lineRule="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olor w:val="auto"/>
                <w:sz w:val="21"/>
                <w:szCs w:val="21"/>
                <w:highlight w:val="none"/>
              </w:rPr>
              <w:t>预付款：签订合同之日起</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个工作日内，中标人开具合同总价款的 30%的等额价值保函(保函有效期应在 2025年 12月30日后)给采购人后，采购人支付合同总价款的30%作为预付款。进度款：全部设备到货后，经采购人确认后在十个工作日内向中标供应商支付合同价款的</w:t>
            </w:r>
            <w:r>
              <w:rPr>
                <w:rFonts w:hint="eastAsia" w:ascii="宋体" w:hAnsi="宋体"/>
                <w:color w:val="auto"/>
                <w:sz w:val="21"/>
                <w:szCs w:val="21"/>
                <w:highlight w:val="none"/>
                <w:lang w:val="en-US" w:eastAsia="zh-CN"/>
              </w:rPr>
              <w:t>60</w:t>
            </w:r>
            <w:r>
              <w:rPr>
                <w:rFonts w:hint="eastAsia" w:ascii="宋体" w:hAnsi="宋体"/>
                <w:color w:val="auto"/>
                <w:sz w:val="21"/>
                <w:szCs w:val="21"/>
                <w:highlight w:val="none"/>
              </w:rPr>
              <w:t>%；所有货物安装调试完成、试运行正常且验收合格，并经采购人确认后，在十个工作日内向中标供应商支付合同价款的</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p>
          <w:p>
            <w:pPr>
              <w:pStyle w:val="99"/>
              <w:spacing w:before="0" w:after="0" w:line="264" w:lineRule="auto"/>
              <w:rPr>
                <w:rFonts w:ascii="宋体" w:hAnsi="宋体" w:cs="宋体"/>
                <w:color w:val="auto"/>
                <w:sz w:val="21"/>
                <w:szCs w:val="21"/>
                <w:highlight w:val="none"/>
              </w:rPr>
            </w:pPr>
            <w:r>
              <w:rPr>
                <w:rFonts w:hint="eastAsia" w:ascii="宋体" w:hAnsi="宋体" w:cs="宋体"/>
                <w:color w:val="auto"/>
                <w:sz w:val="21"/>
                <w:szCs w:val="21"/>
                <w:highlight w:val="none"/>
              </w:rPr>
              <w:t>2.若采购数量与实际使用数量不一致时，</w:t>
            </w:r>
            <w:r>
              <w:rPr>
                <w:rFonts w:hint="eastAsia" w:ascii="宋体" w:hAnsi="宋体" w:cs="宋体"/>
                <w:color w:val="auto"/>
                <w:sz w:val="21"/>
                <w:szCs w:val="21"/>
                <w:highlight w:val="none"/>
                <w:lang w:eastAsia="zh-CN"/>
              </w:rPr>
              <w:t>中标供应商</w:t>
            </w:r>
            <w:r>
              <w:rPr>
                <w:rFonts w:hint="eastAsia" w:ascii="宋体" w:hAnsi="宋体" w:cs="宋体"/>
                <w:color w:val="auto"/>
                <w:sz w:val="21"/>
                <w:szCs w:val="21"/>
                <w:highlight w:val="none"/>
              </w:rPr>
              <w:t>应根据实际使用量供货，合同的最终结算金额按实际使用量乘以</w:t>
            </w:r>
            <w:r>
              <w:rPr>
                <w:rFonts w:hint="default" w:ascii="宋体" w:hAnsi="宋体" w:cs="宋体"/>
                <w:color w:val="auto"/>
                <w:sz w:val="21"/>
                <w:szCs w:val="21"/>
                <w:highlight w:val="none"/>
                <w:lang w:val="en"/>
              </w:rPr>
              <w:t>中标</w:t>
            </w:r>
            <w:r>
              <w:rPr>
                <w:rFonts w:hint="eastAsia" w:ascii="宋体" w:hAnsi="宋体" w:cs="宋体"/>
                <w:color w:val="auto"/>
                <w:sz w:val="21"/>
                <w:szCs w:val="21"/>
                <w:highlight w:val="none"/>
              </w:rPr>
              <w:t>单价进行据实计算。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8590" w:type="dxa"/>
            <w:gridSpan w:val="3"/>
            <w:tcBorders>
              <w:top w:val="single" w:color="auto" w:sz="4" w:space="0"/>
              <w:left w:val="single" w:color="auto" w:sz="4" w:space="0"/>
              <w:bottom w:val="single" w:color="auto" w:sz="4" w:space="0"/>
            </w:tcBorders>
            <w:vAlign w:val="center"/>
          </w:tcPr>
          <w:p>
            <w:pPr>
              <w:spacing w:line="264" w:lineRule="auto"/>
              <w:rPr>
                <w:rFonts w:ascii="宋体" w:hAnsi="宋体" w:cs="宋体"/>
                <w:color w:val="auto"/>
                <w:szCs w:val="21"/>
                <w:highlight w:val="none"/>
              </w:rPr>
            </w:pPr>
            <w:r>
              <w:rPr>
                <w:rFonts w:hint="eastAsia" w:ascii="宋体" w:hAnsi="宋体" w:cs="宋体"/>
                <w:color w:val="auto"/>
                <w:szCs w:val="21"/>
                <w:highlight w:val="none"/>
              </w:rPr>
              <w:t>1.按本项目中标总金额的5%（如中标供应商为中小企业的，按本项目中标总金额的2%）收取；中标供应商在签订合同前交至指定账户。</w:t>
            </w:r>
          </w:p>
          <w:p>
            <w:pPr>
              <w:spacing w:line="264" w:lineRule="auto"/>
              <w:rPr>
                <w:rFonts w:ascii="宋体" w:hAnsi="宋体" w:cs="宋体"/>
                <w:color w:val="auto"/>
                <w:szCs w:val="21"/>
                <w:highlight w:val="none"/>
              </w:rPr>
            </w:pPr>
            <w:r>
              <w:rPr>
                <w:rFonts w:hint="eastAsia" w:ascii="宋体" w:hAnsi="宋体" w:cs="宋体"/>
                <w:color w:val="auto"/>
                <w:szCs w:val="21"/>
                <w:highlight w:val="none"/>
              </w:rPr>
              <w:t>2.履约保证金递交方式：支票、汇票、本票、</w:t>
            </w:r>
            <w:r>
              <w:rPr>
                <w:rFonts w:hint="eastAsia" w:ascii="宋体" w:hAnsi="宋体" w:cs="宋体"/>
                <w:color w:val="auto"/>
                <w:szCs w:val="21"/>
                <w:highlight w:val="none"/>
                <w:lang w:val="en"/>
              </w:rPr>
              <w:t>金融机构</w:t>
            </w:r>
            <w:r>
              <w:rPr>
                <w:rFonts w:hint="eastAsia" w:ascii="宋体" w:hAnsi="宋体" w:cs="宋体"/>
                <w:color w:val="auto"/>
                <w:szCs w:val="21"/>
                <w:highlight w:val="none"/>
              </w:rPr>
              <w:t>、担保机构出具的保函等非现金形式。</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履约保证金指定账户：</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开户名称：</w:t>
            </w:r>
            <w:r>
              <w:rPr>
                <w:rFonts w:ascii="宋体" w:hAnsi="宋体" w:cs="宋体"/>
                <w:color w:val="auto"/>
                <w:szCs w:val="21"/>
                <w:highlight w:val="none"/>
                <w:lang w:val="en"/>
              </w:rPr>
              <w:t>广西艺术学院</w:t>
            </w:r>
          </w:p>
          <w:p>
            <w:pPr>
              <w:spacing w:line="264" w:lineRule="auto"/>
              <w:rPr>
                <w:rFonts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264" w:lineRule="auto"/>
              <w:rPr>
                <w:rFonts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由中标人向履约保证金收取单位提供《广西壮族自治区政府采购项目合同验收书》（详见桂财采〔2015〕22号），保证金收取单位在收到合格材料后5个工作日内办理退还手续（不计利息）。</w:t>
            </w:r>
          </w:p>
          <w:p>
            <w:pPr>
              <w:spacing w:line="264" w:lineRule="auto"/>
              <w:rPr>
                <w:rFonts w:ascii="宋体" w:hAnsi="宋体" w:cs="宋体"/>
                <w:color w:val="auto"/>
                <w:szCs w:val="21"/>
                <w:highlight w:val="none"/>
              </w:rPr>
            </w:pPr>
            <w:r>
              <w:rPr>
                <w:rFonts w:hint="eastAsia" w:ascii="宋体" w:hAnsi="宋体" w:cs="宋体"/>
                <w:color w:val="auto"/>
                <w:szCs w:val="21"/>
                <w:highlight w:val="none"/>
              </w:rPr>
              <w:t>不予退还的情形：签订合同后，如中标人不按双方签订的合同规定履约，则其全部履约保证金不予退还。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验收要求</w:t>
            </w:r>
          </w:p>
        </w:tc>
        <w:tc>
          <w:tcPr>
            <w:tcW w:w="8590" w:type="dxa"/>
            <w:gridSpan w:val="3"/>
            <w:tcBorders>
              <w:top w:val="single" w:color="auto" w:sz="4" w:space="0"/>
              <w:left w:val="single" w:color="auto" w:sz="4" w:space="0"/>
              <w:bottom w:val="single" w:color="auto" w:sz="4" w:space="0"/>
            </w:tcBorders>
            <w:vAlign w:val="center"/>
          </w:tcPr>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投标产品须是按满足采购人需求配置提供的厂家出厂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产品。</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2.合同签订之后，采购人有权要求中标人提供所投所有产品进行功能核验，如有配置或功能不能满足招标要求，按违约处理，必要时采购人有权要求中标人提供有资质的第三方检测机构出具的检测报告，检测所需费用由中标人自行承担。</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3．投标人所提供的产品必须为原装正品的、全新的、完好无破损、且为未开箱状态、符合有关质量标准的产品；设备到货安装前，采购人现场根据招标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4．验收方式和验收材料要求</w:t>
            </w:r>
          </w:p>
          <w:p>
            <w:pPr>
              <w:wordWrap w:val="0"/>
              <w:topLinePunct/>
              <w:snapToGrid w:val="0"/>
              <w:spacing w:line="264" w:lineRule="auto"/>
              <w:rPr>
                <w:rFonts w:ascii="宋体" w:hAnsi="宋体" w:cs="宋体"/>
                <w:color w:val="auto"/>
                <w:szCs w:val="21"/>
                <w:highlight w:val="none"/>
              </w:rPr>
            </w:pPr>
            <w:r>
              <w:rPr>
                <w:rFonts w:hint="eastAsia" w:ascii="宋体" w:hAnsi="宋体" w:cs="宋体"/>
                <w:color w:val="auto"/>
                <w:szCs w:val="21"/>
                <w:highlight w:val="none"/>
              </w:rPr>
              <w:t>（1）采购人在项目完成且收到中标供应商验收申请后5个工作日内组织开展履约验收。</w:t>
            </w:r>
          </w:p>
          <w:p>
            <w:pPr>
              <w:pStyle w:val="51"/>
              <w:spacing w:line="264" w:lineRule="auto"/>
              <w:ind w:firstLine="0"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2）中标供应商必须提供合格的验收材料，验收材料包括①验收申请书（原件）、②中标通知书复印件、③合同（包括加盖采购代理机构章的格式合同中规定的附件）复印件；④项目实施过程文件、⑤货物的证明文件、⑥货物的技术资料、⑦培训记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⑧</w:t>
            </w:r>
            <w:r>
              <w:rPr>
                <w:rFonts w:hint="eastAsia" w:ascii="宋体" w:hAnsi="宋体" w:cs="宋体"/>
                <w:color w:val="auto"/>
                <w:sz w:val="21"/>
                <w:szCs w:val="21"/>
                <w:highlight w:val="none"/>
                <w:lang w:val="en-US" w:eastAsia="zh-CN"/>
              </w:rPr>
              <w:t>技术需求表要求</w:t>
            </w:r>
            <w:r>
              <w:rPr>
                <w:rFonts w:hint="eastAsia" w:ascii="宋体" w:hAnsi="宋体" w:cs="宋体"/>
                <w:color w:val="auto"/>
                <w:sz w:val="21"/>
                <w:szCs w:val="21"/>
                <w:highlight w:val="none"/>
              </w:rPr>
              <w:t>具备CMA或CNAS资质的权威检测机构出具的检测报告</w:t>
            </w:r>
            <w:r>
              <w:rPr>
                <w:rFonts w:hint="eastAsia" w:ascii="宋体" w:hAnsi="宋体" w:cs="宋体"/>
                <w:color w:val="auto"/>
                <w:sz w:val="21"/>
                <w:szCs w:val="21"/>
                <w:highlight w:val="none"/>
                <w:lang w:val="en-US" w:eastAsia="zh-CN"/>
              </w:rPr>
              <w:t>现场查验。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724" w:type="dxa"/>
            <w:gridSpan w:val="2"/>
            <w:tcBorders>
              <w:top w:val="single" w:color="auto" w:sz="4" w:space="0"/>
              <w:bottom w:val="single" w:color="auto" w:sz="4" w:space="0"/>
              <w:right w:val="single" w:color="auto" w:sz="4" w:space="0"/>
            </w:tcBorders>
            <w:vAlign w:val="center"/>
          </w:tcPr>
          <w:p>
            <w:pPr>
              <w:widowControl/>
              <w:wordWrap w:val="0"/>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8590" w:type="dxa"/>
            <w:gridSpan w:val="3"/>
            <w:tcBorders>
              <w:top w:val="single" w:color="auto" w:sz="4" w:space="0"/>
              <w:left w:val="single" w:color="auto" w:sz="4" w:space="0"/>
              <w:bottom w:val="single" w:color="auto" w:sz="4" w:space="0"/>
            </w:tcBorders>
            <w:vAlign w:val="center"/>
          </w:tcPr>
          <w:p>
            <w:pPr>
              <w:spacing w:line="264" w:lineRule="auto"/>
              <w:jc w:val="left"/>
              <w:rPr>
                <w:rFonts w:ascii="宋体" w:hAnsi="宋体" w:cs="宋体"/>
                <w:color w:val="auto"/>
                <w:szCs w:val="21"/>
                <w:highlight w:val="none"/>
                <w:lang w:val="en"/>
              </w:rPr>
            </w:pPr>
            <w:r>
              <w:rPr>
                <w:rFonts w:hint="eastAsia" w:ascii="宋体" w:hAnsi="宋体" w:cs="宋体"/>
                <w:color w:val="auto"/>
                <w:szCs w:val="21"/>
                <w:highlight w:val="none"/>
              </w:rPr>
              <w:t>1.</w:t>
            </w:r>
            <w:r>
              <w:rPr>
                <w:rFonts w:hint="eastAsia" w:ascii="宋体" w:hAnsi="宋体" w:cs="宋体"/>
                <w:color w:val="auto"/>
                <w:szCs w:val="21"/>
                <w:highlight w:val="none"/>
                <w:lang w:val="en"/>
              </w:rPr>
              <w:t>本分标货物不接受进口产品（即通过中国海关报关验放进入中国境内且产自关境外的产品）参与投标。</w:t>
            </w:r>
          </w:p>
          <w:p>
            <w:pPr>
              <w:spacing w:line="264" w:lineRule="auto"/>
              <w:jc w:val="left"/>
              <w:rPr>
                <w:rFonts w:ascii="宋体" w:hAnsi="宋体" w:cs="宋体"/>
                <w:color w:val="auto"/>
                <w:szCs w:val="21"/>
                <w:highlight w:val="none"/>
              </w:rPr>
            </w:pPr>
            <w:r>
              <w:rPr>
                <w:rFonts w:hint="eastAsia" w:ascii="宋体" w:hAnsi="宋体" w:cs="宋体"/>
                <w:color w:val="auto"/>
                <w:szCs w:val="21"/>
                <w:highlight w:val="none"/>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且中标供应商须依照《中华人民共和国消费者权益保护法》赔偿采购人，民事赔偿并不免除违法中标供应商的法律责任。</w:t>
            </w:r>
          </w:p>
          <w:p>
            <w:pPr>
              <w:spacing w:line="264" w:lineRule="auto"/>
              <w:jc w:val="left"/>
              <w:rPr>
                <w:rFonts w:ascii="宋体" w:hAnsi="宋体" w:cs="宋体"/>
                <w:color w:val="auto"/>
                <w:szCs w:val="21"/>
                <w:highlight w:val="none"/>
              </w:rPr>
            </w:pPr>
            <w:r>
              <w:rPr>
                <w:rFonts w:hint="eastAsia" w:ascii="宋体" w:hAnsi="宋体" w:cs="宋体"/>
                <w:color w:val="auto"/>
                <w:szCs w:val="21"/>
                <w:highlight w:val="none"/>
              </w:rPr>
              <w:t>3.本项目货物涉及的产品及其配件包括但不限于各类芯片等必须符合国家有关政策规定，不得使用国家禁止使用范围内的产品及其配件，否则投标无效。</w:t>
            </w:r>
          </w:p>
          <w:p>
            <w:pPr>
              <w:spacing w:before="0" w:after="0"/>
              <w:rPr>
                <w:rFonts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b/>
                <w:bCs/>
                <w:color w:val="auto"/>
                <w:sz w:val="21"/>
                <w:szCs w:val="21"/>
                <w:highlight w:val="none"/>
              </w:rPr>
              <w:t>本项目采购的投标产品如有属于政府采购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w:t>
            </w:r>
            <w:r>
              <w:rPr>
                <w:rFonts w:hint="eastAsia" w:ascii="宋体" w:hAnsi="宋体" w:cs="宋体"/>
                <w:color w:val="auto"/>
                <w:sz w:val="21"/>
                <w:szCs w:val="21"/>
                <w:highlight w:val="none"/>
              </w:rPr>
              <w:t>。</w:t>
            </w:r>
          </w:p>
          <w:p>
            <w:pPr>
              <w:rPr>
                <w:rFonts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b/>
                <w:bCs/>
                <w:color w:val="auto"/>
                <w:sz w:val="21"/>
                <w:szCs w:val="21"/>
                <w:highlight w:val="none"/>
              </w:rPr>
              <w:t>采购货物纳入强制性产品认证（3C认证）的，投标人所投产品必须从其规定</w:t>
            </w:r>
            <w:r>
              <w:rPr>
                <w:rFonts w:hint="eastAsia" w:ascii="宋体" w:hAnsi="宋体" w:cs="宋体"/>
                <w:color w:val="auto"/>
                <w:sz w:val="21"/>
                <w:szCs w:val="21"/>
                <w:highlight w:val="none"/>
              </w:rPr>
              <w:t>。</w:t>
            </w:r>
          </w:p>
          <w:p>
            <w:pPr>
              <w:spacing w:line="264" w:lineRule="auto"/>
              <w:rPr>
                <w:rFonts w:ascii="宋体" w:hAnsi="宋体" w:cs="宋体"/>
                <w:color w:val="auto"/>
                <w:szCs w:val="21"/>
                <w:highlight w:val="none"/>
              </w:rPr>
            </w:pPr>
            <w:r>
              <w:rPr>
                <w:rFonts w:hint="eastAsia" w:ascii="宋体" w:hAnsi="宋体" w:cs="宋体"/>
                <w:color w:val="auto"/>
                <w:szCs w:val="21"/>
                <w:highlight w:val="none"/>
              </w:rPr>
              <w:t>6.如投标人投标产品存在侵犯他人的知识产权或者专利成果行为的，由投标人自行承担相应法律责任。</w:t>
            </w:r>
          </w:p>
        </w:tc>
      </w:tr>
    </w:tbl>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p>
    <w:p>
      <w:pPr>
        <w:pStyle w:val="5"/>
        <w:rPr>
          <w:rFonts w:hint="eastAsia" w:ascii="宋体" w:hAnsi="宋体" w:cs="Courier New"/>
          <w:b/>
          <w:color w:val="auto"/>
          <w:sz w:val="44"/>
          <w:szCs w:val="44"/>
          <w:highlight w:val="none"/>
        </w:rPr>
      </w:pPr>
    </w:p>
    <w:p>
      <w:pPr>
        <w:rPr>
          <w:rFonts w:hint="eastAsia" w:ascii="宋体" w:hAnsi="宋体" w:cs="Courier New"/>
          <w:b/>
          <w:color w:val="auto"/>
          <w:sz w:val="44"/>
          <w:szCs w:val="44"/>
          <w:highlight w:val="none"/>
        </w:rPr>
      </w:pPr>
    </w:p>
    <w:p>
      <w:pPr>
        <w:pStyle w:val="5"/>
        <w:rPr>
          <w:rFonts w:hint="eastAsia" w:ascii="宋体" w:hAnsi="宋体" w:cs="Courier New"/>
          <w:b/>
          <w:color w:val="auto"/>
          <w:sz w:val="44"/>
          <w:szCs w:val="44"/>
          <w:highlight w:val="none"/>
        </w:rPr>
      </w:pPr>
    </w:p>
    <w:p>
      <w:pPr>
        <w:rPr>
          <w:rFonts w:hint="eastAsia" w:ascii="宋体" w:hAnsi="宋体" w:cs="Courier New"/>
          <w:b/>
          <w:color w:val="auto"/>
          <w:sz w:val="44"/>
          <w:szCs w:val="44"/>
          <w:highlight w:val="none"/>
        </w:rPr>
      </w:pPr>
    </w:p>
    <w:p>
      <w:pPr>
        <w:pStyle w:val="5"/>
        <w:rPr>
          <w:rFonts w:hint="eastAsia" w:ascii="宋体" w:hAnsi="宋体" w:cs="Courier New"/>
          <w:b/>
          <w:color w:val="auto"/>
          <w:sz w:val="44"/>
          <w:szCs w:val="44"/>
          <w:highlight w:val="none"/>
        </w:rPr>
      </w:pPr>
    </w:p>
    <w:p>
      <w:pPr>
        <w:rPr>
          <w:rFonts w:hint="eastAsia"/>
          <w:color w:val="auto"/>
          <w:highlight w:val="none"/>
        </w:rPr>
      </w:pPr>
    </w:p>
    <w:p>
      <w:pPr>
        <w:snapToGrid w:val="0"/>
        <w:jc w:val="center"/>
        <w:rPr>
          <w:rFonts w:hint="eastAsia" w:ascii="宋体" w:hAnsi="宋体" w:cs="Courier New"/>
          <w:b/>
          <w:color w:val="auto"/>
          <w:sz w:val="44"/>
          <w:szCs w:val="44"/>
          <w:highlight w:val="none"/>
        </w:rPr>
      </w:pPr>
    </w:p>
    <w:p>
      <w:pPr>
        <w:snapToGrid w:val="0"/>
        <w:jc w:val="center"/>
        <w:rPr>
          <w:rFonts w:hint="eastAsia" w:ascii="宋体" w:hAnsi="宋体" w:cs="Courier New"/>
          <w:b/>
          <w:color w:val="auto"/>
          <w:sz w:val="44"/>
          <w:szCs w:val="44"/>
          <w:highlight w:val="none"/>
        </w:rPr>
      </w:pPr>
      <w:r>
        <w:rPr>
          <w:rFonts w:hint="eastAsia" w:ascii="宋体" w:hAnsi="宋体" w:cs="Courier New"/>
          <w:b/>
          <w:color w:val="auto"/>
          <w:sz w:val="44"/>
          <w:szCs w:val="44"/>
          <w:highlight w:val="none"/>
        </w:rPr>
        <w:t>第三章  投标人须知</w:t>
      </w:r>
    </w:p>
    <w:p>
      <w:pPr>
        <w:spacing w:line="360" w:lineRule="exact"/>
        <w:jc w:val="center"/>
        <w:rPr>
          <w:rFonts w:hint="eastAsia" w:ascii="仿宋_GB2312" w:eastAsia="仿宋_GB2312"/>
          <w:b/>
          <w:color w:val="auto"/>
          <w:szCs w:val="21"/>
          <w:highlight w:val="none"/>
        </w:rPr>
      </w:pPr>
      <w:r>
        <w:rPr>
          <w:rFonts w:ascii="仿宋_GB2312" w:eastAsia="仿宋_GB2312"/>
          <w:b/>
          <w:color w:val="auto"/>
          <w:szCs w:val="21"/>
          <w:highlight w:val="none"/>
        </w:rPr>
        <w:br w:type="page"/>
      </w:r>
    </w:p>
    <w:p>
      <w:pPr>
        <w:spacing w:line="360" w:lineRule="exact"/>
        <w:jc w:val="center"/>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投标</w:t>
      </w:r>
      <w:bookmarkStart w:id="2" w:name="_Toc254970526"/>
      <w:bookmarkStart w:id="3" w:name="_Toc254970667"/>
      <w:r>
        <w:rPr>
          <w:rFonts w:hint="eastAsia" w:ascii="仿宋_GB2312" w:eastAsia="仿宋_GB2312"/>
          <w:b/>
          <w:color w:val="auto"/>
          <w:sz w:val="32"/>
          <w:szCs w:val="32"/>
          <w:highlight w:val="none"/>
        </w:rPr>
        <w:t>人须知及前附表</w:t>
      </w:r>
      <w:bookmarkEnd w:id="2"/>
      <w:bookmarkEnd w:id="3"/>
    </w:p>
    <w:p>
      <w:pPr>
        <w:spacing w:line="360" w:lineRule="exact"/>
        <w:jc w:val="center"/>
        <w:rPr>
          <w:rFonts w:hint="eastAsia" w:ascii="仿宋_GB2312" w:eastAsia="仿宋_GB2312"/>
          <w:b/>
          <w:color w:val="auto"/>
          <w:szCs w:val="21"/>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Cs/>
                <w:color w:val="auto"/>
                <w:szCs w:val="21"/>
                <w:highlight w:val="none"/>
              </w:rPr>
            </w:pPr>
            <w:r>
              <w:rPr>
                <w:rFonts w:hint="eastAsia" w:ascii="宋体"/>
                <w:bCs/>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lang w:val="en"/>
              </w:rPr>
            </w:pPr>
            <w:r>
              <w:rPr>
                <w:rFonts w:hint="eastAsia" w:ascii="宋体"/>
                <w:color w:val="auto"/>
                <w:szCs w:val="21"/>
                <w:highlight w:val="none"/>
              </w:rPr>
              <w:t>项目名称：</w:t>
            </w:r>
            <w:r>
              <w:rPr>
                <w:rFonts w:hint="eastAsia" w:ascii="宋体" w:hAnsi="宋体"/>
                <w:b/>
                <w:bCs/>
                <w:color w:val="auto"/>
                <w:sz w:val="21"/>
                <w:szCs w:val="21"/>
                <w:highlight w:val="none"/>
              </w:rPr>
              <w:t>广西艺术学院教学设备采购（二）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Cs/>
                <w:color w:val="auto"/>
                <w:szCs w:val="21"/>
                <w:highlight w:val="none"/>
              </w:rPr>
            </w:pPr>
            <w:r>
              <w:rPr>
                <w:rFonts w:hint="eastAsia" w:ascii="宋体"/>
                <w:bCs/>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rPr>
            </w:pPr>
            <w:r>
              <w:rPr>
                <w:rFonts w:hint="eastAsia" w:asci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rPr>
            </w:pPr>
            <w:r>
              <w:rPr>
                <w:rFonts w:hint="eastAsia"/>
                <w:bCs/>
                <w:color w:val="auto"/>
                <w:highlight w:val="none"/>
              </w:rPr>
              <w:t>详见公开招标公告</w:t>
            </w:r>
          </w:p>
          <w:p>
            <w:pPr>
              <w:snapToGrid w:val="0"/>
              <w:spacing w:line="300" w:lineRule="exact"/>
              <w:rPr>
                <w:bCs/>
                <w:color w:val="auto"/>
                <w:highlight w:val="none"/>
              </w:rPr>
            </w:pPr>
            <w:r>
              <w:rPr>
                <w:rFonts w:hint="eastAsia"/>
                <w:bCs/>
                <w:color w:val="auto"/>
                <w:highlight w:val="none"/>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rPr>
            </w:pPr>
            <w:r>
              <w:rPr>
                <w:rFonts w:hint="eastAsia" w:ascii="宋体"/>
                <w:b/>
                <w:color w:val="auto"/>
                <w:szCs w:val="21"/>
                <w:highlight w:val="none"/>
              </w:rPr>
              <w:t>现场勘查：详见采购需求。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rPr>
            </w:pPr>
            <w:r>
              <w:rPr>
                <w:rFonts w:hint="eastAsia" w:ascii="宋体"/>
                <w:color w:val="auto"/>
                <w:szCs w:val="21"/>
                <w:highlight w:val="none"/>
              </w:rPr>
              <w:t>演示时间及地点：无</w:t>
            </w:r>
            <w:r>
              <w:rPr>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rPr>
            </w:pPr>
            <w:r>
              <w:rPr>
                <w:rFonts w:hint="eastAsia"/>
                <w:color w:val="auto"/>
                <w:szCs w:val="21"/>
                <w:highlight w:val="none"/>
              </w:rPr>
              <w:t>（1）答疑、澄清：</w:t>
            </w:r>
            <w:r>
              <w:rPr>
                <w:rFonts w:hint="eastAsia"/>
                <w:b/>
                <w:color w:val="auto"/>
                <w:szCs w:val="21"/>
                <w:highlight w:val="none"/>
                <w:u w:val="single"/>
              </w:rPr>
              <w:t>投标人如认为招标文件表述不清晰、</w:t>
            </w:r>
            <w:r>
              <w:rPr>
                <w:rFonts w:hint="eastAsia"/>
                <w:b/>
                <w:bCs/>
                <w:color w:val="auto"/>
                <w:highlight w:val="none"/>
                <w:u w:val="single"/>
              </w:rPr>
              <w:t>有误或有不合理要求的</w:t>
            </w:r>
            <w:r>
              <w:rPr>
                <w:rFonts w:hint="eastAsia"/>
                <w:color w:val="auto"/>
                <w:szCs w:val="21"/>
                <w:highlight w:val="none"/>
              </w:rPr>
              <w:t>，</w:t>
            </w:r>
            <w:r>
              <w:rPr>
                <w:color w:val="auto"/>
                <w:szCs w:val="21"/>
                <w:highlight w:val="none"/>
              </w:rPr>
              <w:t>应当以书面形式要求采购人或者本中心作出书面答疑、澄清</w:t>
            </w:r>
            <w:r>
              <w:rPr>
                <w:rFonts w:hint="eastAsia"/>
                <w:color w:val="auto"/>
                <w:szCs w:val="21"/>
                <w:highlight w:val="none"/>
              </w:rPr>
              <w:t>；</w:t>
            </w:r>
          </w:p>
          <w:p>
            <w:pPr>
              <w:snapToGrid w:val="0"/>
              <w:spacing w:line="300" w:lineRule="exact"/>
              <w:rPr>
                <w:rFonts w:hint="eastAsia" w:hAnsi="宋体"/>
                <w:color w:val="auto"/>
                <w:szCs w:val="21"/>
                <w:highlight w:val="none"/>
              </w:rPr>
            </w:pPr>
            <w:r>
              <w:rPr>
                <w:rFonts w:hint="eastAsia" w:hAnsi="宋体"/>
                <w:color w:val="auto"/>
                <w:szCs w:val="21"/>
                <w:highlight w:val="none"/>
              </w:rPr>
              <w:t>（2）询问、质疑：</w:t>
            </w:r>
            <w:r>
              <w:rPr>
                <w:rFonts w:hint="eastAsia" w:hAnsi="宋体"/>
                <w:b/>
                <w:color w:val="auto"/>
                <w:szCs w:val="21"/>
                <w:highlight w:val="none"/>
                <w:u w:val="single"/>
              </w:rPr>
              <w:t>如投标人认为招标文件存在歧视性、排他性或者其他违法内容的</w:t>
            </w:r>
            <w:r>
              <w:rPr>
                <w:rFonts w:hint="eastAsia" w:hAnsi="宋体"/>
                <w:color w:val="auto"/>
                <w:szCs w:val="21"/>
                <w:highlight w:val="none"/>
              </w:rPr>
              <w:t>，按投标人须知“一、总则（九）询问、质疑和投诉”中的要求向</w:t>
            </w:r>
            <w:r>
              <w:rPr>
                <w:rFonts w:ascii="宋体" w:hAnsi="宋体"/>
                <w:color w:val="auto"/>
                <w:szCs w:val="21"/>
                <w:highlight w:val="none"/>
              </w:rPr>
              <w:t>采购人或者采购代理机构</w:t>
            </w:r>
            <w:r>
              <w:rPr>
                <w:rFonts w:hint="eastAsia" w:hAnsi="宋体"/>
                <w:color w:val="auto"/>
                <w:szCs w:val="21"/>
                <w:highlight w:val="none"/>
              </w:rPr>
              <w:t>提出书面询问、质疑，并提供必要的证明材料。</w:t>
            </w:r>
          </w:p>
          <w:p>
            <w:pPr>
              <w:snapToGrid w:val="0"/>
              <w:spacing w:line="300" w:lineRule="exact"/>
              <w:ind w:firstLine="420" w:firstLineChars="200"/>
              <w:rPr>
                <w:rFonts w:hint="eastAsia" w:ascii="宋体"/>
                <w:color w:val="auto"/>
                <w:szCs w:val="21"/>
                <w:highlight w:val="none"/>
              </w:rPr>
            </w:pPr>
            <w:r>
              <w:rPr>
                <w:rFonts w:hint="eastAsia" w:hAnsi="宋体"/>
                <w:color w:val="auto"/>
                <w:szCs w:val="21"/>
                <w:highlight w:val="none"/>
              </w:rPr>
              <w:t>答疑、澄清内容是招标文件的组成部份，本中心将以书面形式送达所有已报名的投标人。</w:t>
            </w:r>
            <w:r>
              <w:rPr>
                <w:rFonts w:hint="eastAsia" w:hAnsi="宋体"/>
                <w:color w:val="auto"/>
                <w:highlight w:val="none"/>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00" w:lineRule="exact"/>
              <w:textAlignment w:val="bottom"/>
              <w:rPr>
                <w:rFonts w:hint="eastAsia" w:asci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rPr>
            </w:pPr>
            <w:r>
              <w:rPr>
                <w:rFonts w:hint="eastAsia" w:ascii="宋体"/>
                <w:snapToGrid w:val="0"/>
                <w:color w:val="auto"/>
                <w:sz w:val="22"/>
                <w:highlight w:val="none"/>
              </w:rPr>
              <w:t>投标文件的编制：供应商应先安装“</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客户端”，并按照本招标文件和“</w:t>
            </w:r>
            <w:r>
              <w:rPr>
                <w:rFonts w:ascii="宋体"/>
                <w:snapToGrid w:val="0"/>
                <w:color w:val="auto"/>
                <w:sz w:val="22"/>
                <w:highlight w:val="none"/>
                <w:lang w:val="en"/>
              </w:rPr>
              <w:t>广西政府采购云平台</w:t>
            </w:r>
            <w:r>
              <w:rPr>
                <w:rFonts w:hint="eastAsia" w:ascii="宋体"/>
                <w:snapToGrid w:val="0"/>
                <w:color w:val="auto"/>
                <w:sz w:val="22"/>
                <w:highlight w:val="none"/>
              </w:rPr>
              <w:t>”的要求，通过“</w:t>
            </w:r>
            <w:r>
              <w:rPr>
                <w:rFonts w:ascii="宋体"/>
                <w:snapToGrid w:val="0"/>
                <w:color w:val="auto"/>
                <w:sz w:val="22"/>
                <w:highlight w:val="none"/>
                <w:lang w:val="en"/>
              </w:rPr>
              <w:t>广西政府采购云</w:t>
            </w:r>
            <w:r>
              <w:rPr>
                <w:color w:val="auto"/>
                <w:highlight w:val="none"/>
              </w:rPr>
              <w:t>电子投标</w:t>
            </w:r>
            <w:r>
              <w:rPr>
                <w:rFonts w:hint="eastAsia" w:ascii="宋体"/>
                <w:snapToGrid w:val="0"/>
                <w:color w:val="auto"/>
                <w:sz w:val="22"/>
                <w:highlight w:val="none"/>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：本招标文件所涉及的法定代表人或其授权代表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的内容，如果投标单位没有法定代表人电子签章，涉及到法定代表人或其授权代表</w:t>
            </w:r>
            <w:r>
              <w:rPr>
                <w:rFonts w:hint="eastAsia" w:ascii="宋体"/>
                <w:snapToGrid w:val="0"/>
                <w:color w:val="auto"/>
                <w:sz w:val="22"/>
                <w:highlight w:val="none"/>
                <w:lang w:eastAsia="zh-CN"/>
              </w:rPr>
              <w:t>签字或签章</w:t>
            </w:r>
            <w:r>
              <w:rPr>
                <w:rFonts w:hint="eastAsia" w:ascii="宋体"/>
                <w:snapToGrid w:val="0"/>
                <w:color w:val="auto"/>
                <w:sz w:val="22"/>
                <w:highlight w:val="none"/>
              </w:rPr>
              <w:t>的内容，投标单位可以线下</w:t>
            </w:r>
            <w:r>
              <w:rPr>
                <w:rFonts w:hint="eastAsia" w:ascii="宋体"/>
                <w:snapToGrid w:val="0"/>
                <w:color w:val="auto"/>
                <w:sz w:val="22"/>
                <w:highlight w:val="none"/>
                <w:lang w:eastAsia="zh-CN"/>
              </w:rPr>
              <w:t>签字或签章</w:t>
            </w:r>
            <w:r>
              <w:rPr>
                <w:rFonts w:hint="eastAsia" w:ascii="宋体"/>
                <w:snapToGrid w:val="0"/>
                <w:color w:val="auto"/>
                <w:sz w:val="22"/>
                <w:highlight w:val="none"/>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w:t>
            </w:r>
            <w:r>
              <w:rPr>
                <w:rFonts w:ascii="宋体"/>
                <w:snapToGrid w:val="0"/>
                <w:color w:val="auto"/>
                <w:sz w:val="22"/>
                <w:highlight w:val="none"/>
                <w:lang w:val="en"/>
              </w:rPr>
              <w:t>广西政府采购云平台（http://www.gcy.zfcg.gxzf.gov.cn）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hint="eastAsia" w:ascii="宋体"/>
                <w:snapToGrid w:val="0"/>
                <w:color w:val="auto"/>
                <w:sz w:val="22"/>
                <w:highlight w:val="none"/>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a.投标供应商应在投标截止时间前将“电子加密投标文件”成功上传提交至“广西政府采购云平台”，否则投标无效。</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hint="eastAsia"/>
                <w:color w:val="auto"/>
                <w:highlight w:val="none"/>
              </w:rPr>
              <w:t xml:space="preserve"> </w:t>
            </w:r>
            <w:r>
              <w:rPr>
                <w:color w:val="auto"/>
                <w:highlight w:val="none"/>
                <w:lang w:val="en"/>
              </w:rPr>
              <w:t>2025年</w:t>
            </w:r>
            <w:r>
              <w:rPr>
                <w:rFonts w:hint="eastAsia"/>
                <w:color w:val="auto"/>
                <w:highlight w:val="none"/>
                <w:lang w:val="en-US" w:eastAsia="zh-CN"/>
              </w:rPr>
              <w:t xml:space="preserve">   </w:t>
            </w:r>
            <w:r>
              <w:rPr>
                <w:color w:val="auto"/>
                <w:highlight w:val="none"/>
                <w:lang w:val="en"/>
              </w:rPr>
              <w:t>月</w:t>
            </w:r>
            <w:r>
              <w:rPr>
                <w:rFonts w:hint="eastAsia"/>
                <w:color w:val="auto"/>
                <w:highlight w:val="none"/>
                <w:lang w:val="en-US" w:eastAsia="zh-CN"/>
              </w:rPr>
              <w:t xml:space="preserve">  </w:t>
            </w:r>
            <w:r>
              <w:rPr>
                <w:color w:val="auto"/>
                <w:highlight w:val="none"/>
                <w:lang w:val="en"/>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评标方法及评</w:t>
            </w:r>
            <w:r>
              <w:rPr>
                <w:rFonts w:hint="eastAsia" w:ascii="宋体" w:hAnsi="宋体"/>
                <w:color w:val="auto"/>
                <w:szCs w:val="21"/>
                <w:highlight w:val="none"/>
                <w:lang w:val="en-US" w:eastAsia="zh-CN"/>
              </w:rPr>
              <w:t>分</w:t>
            </w:r>
            <w:r>
              <w:rPr>
                <w:rFonts w:hint="eastAsia" w:ascii="宋体" w:hAnsi="宋体"/>
                <w:color w:val="auto"/>
                <w:szCs w:val="21"/>
                <w:highlight w:val="none"/>
              </w:rPr>
              <w:t>标准：综合评分法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ascii="宋体" w:hAnsi="宋体"/>
                <w:color w:val="auto"/>
                <w:szCs w:val="21"/>
                <w:highlight w:val="none"/>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接收质疑函方式：以书面形式。</w:t>
            </w:r>
          </w:p>
          <w:p>
            <w:pPr>
              <w:rPr>
                <w:rFonts w:hint="eastAsia" w:ascii="宋体" w:hAnsi="宋体"/>
                <w:b/>
                <w:bCs/>
                <w:snapToGrid w:val="0"/>
                <w:color w:val="auto"/>
                <w:szCs w:val="21"/>
                <w:highlight w:val="none"/>
              </w:rPr>
            </w:pPr>
            <w:r>
              <w:rPr>
                <w:rFonts w:hint="eastAsia" w:ascii="宋体" w:hAnsi="宋体"/>
                <w:b/>
                <w:bCs/>
                <w:snapToGrid w:val="0"/>
                <w:color w:val="auto"/>
                <w:szCs w:val="21"/>
                <w:highlight w:val="none"/>
              </w:rPr>
              <w:t>质疑联系部门及联系方式：</w:t>
            </w:r>
          </w:p>
          <w:p>
            <w:pPr>
              <w:snapToGrid w:val="0"/>
              <w:spacing w:line="360" w:lineRule="exact"/>
              <w:rPr>
                <w:rFonts w:hint="eastAsia"/>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rFonts w:hint="eastAsia"/>
                <w:color w:val="auto"/>
                <w:highlight w:val="none"/>
              </w:rPr>
            </w:pPr>
            <w:r>
              <w:rPr>
                <w:rFonts w:hint="eastAsia"/>
                <w:color w:val="auto"/>
                <w:highlight w:val="none"/>
              </w:rPr>
              <w:t>电话：0771-8600453</w:t>
            </w:r>
          </w:p>
          <w:p>
            <w:pPr>
              <w:snapToGrid w:val="0"/>
              <w:spacing w:line="360" w:lineRule="exact"/>
              <w:ind w:firstLine="420" w:firstLineChars="200"/>
              <w:rPr>
                <w:rFonts w:hint="eastAsia"/>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rFonts w:hint="eastAsia" w:hAnsi="宋体"/>
                <w:b/>
                <w:color w:val="auto"/>
                <w:highlight w:val="none"/>
              </w:rPr>
              <w:t xml:space="preserve"> 广西艺术学院</w:t>
            </w:r>
          </w:p>
          <w:p>
            <w:pPr>
              <w:snapToGrid w:val="0"/>
              <w:spacing w:line="360" w:lineRule="exact"/>
              <w:ind w:firstLine="420" w:firstLineChars="200"/>
              <w:rPr>
                <w:rFonts w:hint="eastAsia"/>
                <w:color w:val="auto"/>
                <w:highlight w:val="none"/>
              </w:rPr>
            </w:pPr>
            <w:r>
              <w:rPr>
                <w:rFonts w:hint="eastAsia"/>
                <w:color w:val="auto"/>
                <w:highlight w:val="none"/>
              </w:rPr>
              <w:t>电话：</w:t>
            </w:r>
            <w:r>
              <w:rPr>
                <w:rFonts w:hint="eastAsia" w:hAnsi="宋体"/>
                <w:b/>
                <w:color w:val="auto"/>
                <w:highlight w:val="none"/>
              </w:rPr>
              <w:t xml:space="preserve">0771-5317987 </w:t>
            </w:r>
          </w:p>
          <w:p>
            <w:pPr>
              <w:snapToGrid w:val="0"/>
              <w:spacing w:line="360" w:lineRule="exact"/>
              <w:ind w:firstLine="420" w:firstLineChars="200"/>
              <w:rPr>
                <w:rFonts w:hint="eastAsia"/>
                <w:color w:val="auto"/>
                <w:highlight w:val="none"/>
              </w:rPr>
            </w:pPr>
            <w:r>
              <w:rPr>
                <w:rFonts w:hint="eastAsia"/>
                <w:color w:val="auto"/>
                <w:highlight w:val="none"/>
              </w:rPr>
              <w:t>地址：</w:t>
            </w:r>
            <w:r>
              <w:rPr>
                <w:rFonts w:hint="eastAsia" w:hAnsi="宋体"/>
                <w:b/>
                <w:color w:val="auto"/>
                <w:highlight w:val="none"/>
              </w:rPr>
              <w:t xml:space="preserve"> 广西南宁市教育路7号</w:t>
            </w:r>
          </w:p>
          <w:p>
            <w:pPr>
              <w:rPr>
                <w:rFonts w:hint="eastAsia" w:ascii="宋体" w:hAnsi="宋体"/>
                <w:color w:val="auto"/>
                <w:szCs w:val="21"/>
                <w:highlight w:val="none"/>
              </w:rPr>
            </w:pPr>
            <w:r>
              <w:rPr>
                <w:rFonts w:hint="eastAsia" w:ascii="宋体" w:hAnsi="宋体"/>
                <w:b/>
                <w:bCs/>
                <w:snapToGrid w:val="0"/>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hint="eastAsia" w:ascii="宋体" w:hAnsi="宋体"/>
                <w:color w:val="auto"/>
                <w:szCs w:val="21"/>
                <w:highlight w:val="none"/>
              </w:rPr>
              <w:t>2</w:t>
            </w:r>
            <w:r>
              <w:rPr>
                <w:rFonts w:ascii="宋体" w:hAnsi="宋体"/>
                <w:color w:val="auto"/>
                <w:szCs w:val="21"/>
                <w:highlight w:val="none"/>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hAnsi="宋体"/>
                <w:color w:val="auto"/>
                <w:highlight w:val="none"/>
              </w:rPr>
              <w:t>本招标文件解释权属广西壮族自治区政府采购中心。</w:t>
            </w:r>
          </w:p>
        </w:tc>
      </w:tr>
    </w:tbl>
    <w:p>
      <w:pPr>
        <w:pStyle w:val="29"/>
        <w:snapToGrid w:val="0"/>
        <w:spacing w:before="120" w:after="120" w:line="360" w:lineRule="exact"/>
        <w:jc w:val="center"/>
        <w:rPr>
          <w:rFonts w:ascii="仿宋_GB2312" w:eastAsia="仿宋_GB2312"/>
          <w:b/>
          <w:color w:val="auto"/>
          <w:sz w:val="32"/>
          <w:szCs w:val="32"/>
          <w:highlight w:val="none"/>
        </w:rPr>
      </w:pPr>
    </w:p>
    <w:p>
      <w:pPr>
        <w:pStyle w:val="29"/>
        <w:snapToGrid w:val="0"/>
        <w:spacing w:before="120" w:after="120" w:line="360" w:lineRule="exact"/>
        <w:jc w:val="center"/>
        <w:rPr>
          <w:rFonts w:hint="eastAsia"/>
          <w:b/>
          <w:color w:val="auto"/>
          <w:highlight w:val="none"/>
        </w:rPr>
      </w:pPr>
      <w:r>
        <w:rPr>
          <w:rFonts w:ascii="仿宋_GB2312" w:eastAsia="仿宋_GB2312"/>
          <w:b/>
          <w:color w:val="auto"/>
          <w:sz w:val="32"/>
          <w:szCs w:val="32"/>
          <w:highlight w:val="none"/>
        </w:rPr>
        <w:br w:type="page"/>
      </w:r>
      <w:r>
        <w:rPr>
          <w:rFonts w:hint="eastAsia" w:ascii="仿宋_GB2312" w:eastAsia="仿宋_GB2312"/>
          <w:b/>
          <w:color w:val="auto"/>
          <w:sz w:val="32"/>
          <w:szCs w:val="32"/>
          <w:highlight w:val="none"/>
        </w:rPr>
        <w:t>投标人须知</w:t>
      </w:r>
    </w:p>
    <w:p>
      <w:pPr>
        <w:pStyle w:val="29"/>
        <w:snapToGrid w:val="0"/>
        <w:spacing w:before="120" w:after="120" w:line="360" w:lineRule="exact"/>
        <w:rPr>
          <w:rFonts w:hint="eastAsia"/>
          <w:b/>
          <w:color w:val="auto"/>
          <w:highlight w:val="none"/>
        </w:rPr>
      </w:pPr>
      <w:r>
        <w:rPr>
          <w:rFonts w:hint="eastAsia"/>
          <w:b/>
          <w:color w:val="auto"/>
          <w:highlight w:val="none"/>
        </w:rPr>
        <w:t>一、总  则</w:t>
      </w:r>
    </w:p>
    <w:p>
      <w:pPr>
        <w:snapToGrid w:val="0"/>
        <w:spacing w:line="360" w:lineRule="exact"/>
        <w:ind w:firstLine="411" w:firstLineChars="196"/>
        <w:jc w:val="left"/>
        <w:outlineLvl w:val="1"/>
        <w:rPr>
          <w:rFonts w:hint="eastAsia" w:ascii="宋体"/>
          <w:color w:val="auto"/>
          <w:szCs w:val="21"/>
          <w:highlight w:val="none"/>
        </w:rPr>
      </w:pPr>
      <w:r>
        <w:rPr>
          <w:rFonts w:hint="eastAsia" w:ascii="宋体"/>
          <w:color w:val="auto"/>
          <w:szCs w:val="21"/>
          <w:highlight w:val="none"/>
        </w:rPr>
        <w:t>（一） 适用范围</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rPr>
      </w:pPr>
      <w:r>
        <w:rPr>
          <w:rFonts w:hint="eastAsia"/>
          <w:b/>
          <w:color w:val="auto"/>
          <w:highlight w:val="none"/>
        </w:rPr>
        <w:t>（二）定义</w:t>
      </w:r>
    </w:p>
    <w:p>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rPr>
      </w:pPr>
      <w:r>
        <w:rPr>
          <w:rFonts w:hint="eastAsia" w:ascii="宋体"/>
          <w:b/>
          <w:color w:val="auto"/>
          <w:szCs w:val="21"/>
          <w:highlight w:val="none"/>
        </w:rPr>
        <w:t>（三）招标方式</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（四）投标委托</w:t>
      </w:r>
    </w:p>
    <w:p>
      <w:pPr>
        <w:pStyle w:val="22"/>
        <w:snapToGrid w:val="0"/>
        <w:spacing w:line="360" w:lineRule="exact"/>
        <w:ind w:firstLine="420" w:firstLineChars="200"/>
        <w:jc w:val="left"/>
        <w:rPr>
          <w:rFonts w:hint="eastAsia" w:ascii="宋体" w:eastAsia="宋体"/>
          <w:color w:val="auto"/>
          <w:sz w:val="21"/>
          <w:szCs w:val="21"/>
          <w:highlight w:val="none"/>
        </w:rPr>
      </w:pPr>
      <w:r>
        <w:rPr>
          <w:rFonts w:hint="eastAsia" w:ascii="宋体" w:hAnsi="宋体" w:eastAsia="宋体"/>
          <w:color w:val="auto"/>
          <w:sz w:val="21"/>
          <w:szCs w:val="21"/>
          <w:highlight w:val="none"/>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（五）投标费用</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rPr>
      </w:pPr>
      <w:r>
        <w:rPr>
          <w:rFonts w:hint="eastAsia" w:ascii="宋体"/>
          <w:b/>
          <w:bCs w:val="0"/>
          <w:color w:val="auto"/>
          <w:szCs w:val="21"/>
          <w:highlight w:val="none"/>
        </w:rPr>
        <w:t>（六）</w:t>
      </w:r>
      <w:r>
        <w:rPr>
          <w:rFonts w:hint="eastAsia"/>
          <w:b/>
          <w:bCs w:val="0"/>
          <w:color w:val="auto"/>
          <w:highlight w:val="none"/>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rPr>
      </w:pPr>
      <w:r>
        <w:rPr>
          <w:rFonts w:hint="eastAsia" w:ascii="宋体"/>
          <w:b/>
          <w:color w:val="auto"/>
          <w:szCs w:val="21"/>
          <w:highlight w:val="none"/>
        </w:rPr>
        <w:t>（七）</w:t>
      </w:r>
      <w:r>
        <w:rPr>
          <w:rFonts w:hint="eastAsia" w:ascii="宋体" w:cs="宋体"/>
          <w:b/>
          <w:color w:val="auto"/>
          <w:kern w:val="0"/>
          <w:szCs w:val="21"/>
          <w:highlight w:val="none"/>
        </w:rPr>
        <w:t>转包与分包</w:t>
      </w:r>
    </w:p>
    <w:p>
      <w:pPr>
        <w:snapToGrid w:val="0"/>
        <w:spacing w:line="36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1.本项目不允许转包。</w:t>
      </w:r>
    </w:p>
    <w:p>
      <w:pPr>
        <w:snapToGrid w:val="0"/>
        <w:spacing w:line="360" w:lineRule="exact"/>
        <w:ind w:firstLine="420" w:firstLineChars="200"/>
        <w:rPr>
          <w:rFonts w:hint="eastAsia" w:ascii="宋体"/>
          <w:color w:val="auto"/>
          <w:szCs w:val="21"/>
          <w:highlight w:val="none"/>
        </w:rPr>
      </w:pPr>
      <w:r>
        <w:rPr>
          <w:rFonts w:hint="eastAsia" w:ascii="宋体" w:cs="宋体"/>
          <w:color w:val="auto"/>
          <w:kern w:val="0"/>
          <w:szCs w:val="21"/>
          <w:highlight w:val="none"/>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（八）特别说明：</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▲4.投标人在投标活动中提供任何虚假材料、互相串通投标，其投标无效，并报监管部门查处。</w:t>
      </w:r>
    </w:p>
    <w:p>
      <w:pPr>
        <w:pStyle w:val="29"/>
        <w:snapToGrid w:val="0"/>
        <w:spacing w:line="360" w:lineRule="exact"/>
        <w:ind w:left="2" w:leftChars="1" w:firstLine="420" w:firstLineChars="200"/>
        <w:rPr>
          <w:rFonts w:hint="eastAsia" w:hAnsi="宋体" w:cs="宋体"/>
          <w:color w:val="auto"/>
          <w:kern w:val="0"/>
          <w:highlight w:val="none"/>
        </w:rPr>
      </w:pPr>
      <w:r>
        <w:rPr>
          <w:rFonts w:hint="eastAsia" w:hAnsi="宋体" w:cs="宋体"/>
          <w:color w:val="auto"/>
          <w:kern w:val="0"/>
          <w:highlight w:val="none"/>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29"/>
        <w:snapToGrid w:val="0"/>
        <w:spacing w:line="360" w:lineRule="exact"/>
        <w:ind w:firstLine="309" w:firstLineChars="147"/>
        <w:outlineLvl w:val="0"/>
        <w:rPr>
          <w:rFonts w:hint="eastAsia"/>
          <w:b/>
          <w:bCs/>
          <w:color w:val="auto"/>
          <w:highlight w:val="none"/>
        </w:rPr>
      </w:pPr>
      <w:r>
        <w:rPr>
          <w:rFonts w:hint="eastAsia"/>
          <w:b/>
          <w:bCs/>
          <w:color w:val="auto"/>
          <w:highlight w:val="none"/>
        </w:rPr>
        <w:t>（九）</w:t>
      </w:r>
      <w:r>
        <w:rPr>
          <w:rFonts w:hint="eastAsia"/>
          <w:b/>
          <w:color w:val="auto"/>
          <w:highlight w:val="none"/>
        </w:rPr>
        <w:t>询问、质疑和投诉</w:t>
      </w:r>
    </w:p>
    <w:p>
      <w:pPr>
        <w:pStyle w:val="29"/>
        <w:snapToGrid w:val="0"/>
        <w:spacing w:line="360" w:lineRule="exact"/>
        <w:ind w:firstLine="420" w:firstLineChars="200"/>
        <w:rPr>
          <w:color w:val="auto"/>
          <w:highlight w:val="none"/>
        </w:rPr>
      </w:pPr>
      <w:r>
        <w:rPr>
          <w:rFonts w:hint="eastAsia"/>
          <w:color w:val="auto"/>
          <w:highlight w:val="none"/>
        </w:rPr>
        <w:t>1．投标人对政府采购活动事项有疑问的，可以向采购人、采购代理机构提出询问。</w:t>
      </w:r>
    </w:p>
    <w:p>
      <w:pPr>
        <w:pStyle w:val="29"/>
        <w:snapToGrid w:val="0"/>
        <w:spacing w:line="360" w:lineRule="exact"/>
        <w:ind w:firstLine="420" w:firstLineChars="200"/>
        <w:rPr>
          <w:color w:val="auto"/>
          <w:highlight w:val="none"/>
        </w:rPr>
      </w:pPr>
      <w:r>
        <w:rPr>
          <w:rFonts w:hint="eastAsia"/>
          <w:color w:val="auto"/>
          <w:highlight w:val="none"/>
        </w:rPr>
        <w:t>2.投标人认为招标文件、招标过程或中标结果使自己的合法权益受到损害的，应当在知道或者应知其权益受到损害之日起七个工作日内，以书面形式向采购人提出质疑。具体计算时间如下：</w:t>
      </w:r>
    </w:p>
    <w:p>
      <w:pPr>
        <w:pStyle w:val="29"/>
        <w:snapToGrid w:val="0"/>
        <w:spacing w:line="360" w:lineRule="exact"/>
        <w:ind w:firstLine="309" w:firstLineChars="147"/>
        <w:rPr>
          <w:rFonts w:hint="eastAsia"/>
          <w:bCs/>
          <w:color w:val="auto"/>
          <w:highlight w:val="none"/>
        </w:rPr>
      </w:pPr>
      <w:r>
        <w:rPr>
          <w:rFonts w:hint="eastAsia"/>
          <w:b/>
          <w:color w:val="auto"/>
          <w:highlight w:val="none"/>
        </w:rPr>
        <w:t>（一）对可以质疑的招标采购文件提出质疑的，为收到采购文件之日；</w:t>
      </w:r>
    </w:p>
    <w:p>
      <w:pPr>
        <w:widowControl/>
        <w:spacing w:line="360" w:lineRule="exact"/>
        <w:jc w:val="left"/>
        <w:rPr>
          <w:rFonts w:hint="eastAsia" w:ascii="宋体" w:cs="Courier New"/>
          <w:b/>
          <w:color w:val="auto"/>
          <w:szCs w:val="21"/>
          <w:highlight w:val="none"/>
        </w:rPr>
      </w:pPr>
      <w:r>
        <w:rPr>
          <w:rFonts w:hint="eastAsia" w:ascii="宋体" w:cs="Courier New"/>
          <w:color w:val="auto"/>
          <w:szCs w:val="21"/>
          <w:highlight w:val="none"/>
        </w:rPr>
        <w:t xml:space="preserve">　 </w:t>
      </w:r>
      <w:r>
        <w:rPr>
          <w:rFonts w:hint="eastAsia" w:ascii="宋体" w:cs="Courier New"/>
          <w:b/>
          <w:color w:val="auto"/>
          <w:szCs w:val="21"/>
          <w:highlight w:val="none"/>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rPr>
      </w:pPr>
      <w:r>
        <w:rPr>
          <w:rFonts w:hint="eastAsia" w:cs="Courier New"/>
          <w:b/>
          <w:color w:val="auto"/>
          <w:szCs w:val="21"/>
          <w:highlight w:val="none"/>
        </w:rPr>
        <w:t>（三）对中标结果提出质疑的，为中标结果公告期限届满之日。投标人对采购单位的质疑答复不满意或者</w:t>
      </w:r>
      <w:r>
        <w:rPr>
          <w:rFonts w:hint="eastAsia" w:ascii="宋体" w:hAnsi="宋体" w:cs="Courier New"/>
          <w:b/>
          <w:color w:val="auto"/>
          <w:szCs w:val="21"/>
          <w:highlight w:val="none"/>
        </w:rPr>
        <w:t>采购人</w:t>
      </w:r>
      <w:r>
        <w:rPr>
          <w:rFonts w:hint="eastAsia" w:cs="Courier New"/>
          <w:b/>
          <w:color w:val="auto"/>
          <w:szCs w:val="21"/>
          <w:highlight w:val="none"/>
        </w:rPr>
        <w:t>未在规定时间内作出答复的，可以在答复期满后十五个工作日内向同级采购监管部门投诉。</w:t>
      </w:r>
    </w:p>
    <w:p>
      <w:pPr>
        <w:pStyle w:val="29"/>
        <w:snapToGrid w:val="0"/>
        <w:spacing w:line="360" w:lineRule="exact"/>
        <w:ind w:firstLine="420" w:firstLineChars="200"/>
        <w:rPr>
          <w:rFonts w:hint="eastAsia"/>
          <w:bCs/>
          <w:color w:val="auto"/>
          <w:highlight w:val="none"/>
        </w:rPr>
      </w:pPr>
      <w:r>
        <w:rPr>
          <w:rFonts w:hint="eastAsia"/>
          <w:bCs/>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spacing w:line="360" w:lineRule="exact"/>
        <w:ind w:firstLine="421" w:firstLineChars="200"/>
        <w:rPr>
          <w:rFonts w:hint="default" w:eastAsia="黑体"/>
          <w:color w:val="auto"/>
          <w:highlight w:val="none"/>
          <w:lang w:val="en-US" w:eastAsia="zh-CN"/>
        </w:rPr>
      </w:pPr>
      <w:r>
        <w:rPr>
          <w:b/>
          <w:color w:val="auto"/>
          <w:highlight w:val="none"/>
          <w:lang w:val="en"/>
        </w:rPr>
        <w:t>4.采购人、采购代理机构接收质疑函的方式、联系部门、联系电话和地址等信息详见“投标人须知前附表”。</w:t>
      </w:r>
    </w:p>
    <w:p>
      <w:pPr>
        <w:pStyle w:val="29"/>
        <w:snapToGrid w:val="0"/>
        <w:spacing w:line="360" w:lineRule="exact"/>
        <w:ind w:firstLine="413" w:firstLineChars="196"/>
        <w:outlineLvl w:val="0"/>
        <w:rPr>
          <w:rFonts w:hint="eastAsia"/>
          <w:b/>
          <w:color w:val="auto"/>
          <w:highlight w:val="none"/>
        </w:rPr>
      </w:pPr>
      <w:r>
        <w:rPr>
          <w:rFonts w:hint="eastAsia"/>
          <w:b/>
          <w:color w:val="auto"/>
          <w:highlight w:val="none"/>
        </w:rPr>
        <w:t>二、招标文件</w:t>
      </w:r>
    </w:p>
    <w:p>
      <w:pPr>
        <w:snapToGrid w:val="0"/>
        <w:spacing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（一）招标文件的构成。</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1.公开招标公告；</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2.招标项目采购需求</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3.投标人须知；</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4.</w:t>
      </w:r>
      <w:r>
        <w:rPr>
          <w:rFonts w:hint="eastAsia" w:ascii="宋体"/>
          <w:color w:val="auto"/>
          <w:szCs w:val="21"/>
          <w:highlight w:val="none"/>
          <w:lang w:eastAsia="zh-CN"/>
        </w:rPr>
        <w:t>评标方法及评分标准</w:t>
      </w:r>
      <w:r>
        <w:rPr>
          <w:rFonts w:hint="eastAsia" w:ascii="宋体"/>
          <w:color w:val="auto"/>
          <w:szCs w:val="21"/>
          <w:highlight w:val="none"/>
        </w:rPr>
        <w:t>；</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5.政府采购合同主要条款；</w:t>
      </w:r>
    </w:p>
    <w:p>
      <w:pPr>
        <w:snapToGrid w:val="0"/>
        <w:spacing w:line="360" w:lineRule="exact"/>
        <w:ind w:firstLine="420" w:firstLineChars="200"/>
        <w:jc w:val="left"/>
        <w:rPr>
          <w:rFonts w:hint="eastAsia" w:ascii="宋体"/>
          <w:color w:val="auto"/>
          <w:szCs w:val="21"/>
          <w:highlight w:val="none"/>
        </w:rPr>
      </w:pPr>
      <w:r>
        <w:rPr>
          <w:rFonts w:hint="eastAsia" w:ascii="宋体"/>
          <w:color w:val="auto"/>
          <w:szCs w:val="21"/>
          <w:highlight w:val="none"/>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rPr>
      </w:pPr>
      <w:r>
        <w:rPr>
          <w:rFonts w:hint="eastAsia" w:ascii="宋体"/>
          <w:b/>
          <w:color w:val="auto"/>
          <w:szCs w:val="21"/>
          <w:highlight w:val="none"/>
        </w:rPr>
        <w:t>（二）投标人的风险</w:t>
      </w:r>
    </w:p>
    <w:p>
      <w:pPr>
        <w:tabs>
          <w:tab w:val="left" w:pos="180"/>
          <w:tab w:val="left" w:pos="1620"/>
        </w:tabs>
        <w:spacing w:line="400" w:lineRule="exact"/>
        <w:ind w:firstLine="420" w:firstLineChars="200"/>
        <w:rPr>
          <w:rFonts w:hint="eastAsia" w:asci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rPr>
        <w:t xml:space="preserve"> </w:t>
      </w:r>
    </w:p>
    <w:p>
      <w:pPr>
        <w:pStyle w:val="14"/>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rPr>
      </w:pPr>
      <w:r>
        <w:rPr>
          <w:rFonts w:hint="eastAsia" w:ascii="宋体" w:cs="Courier New"/>
          <w:color w:val="auto"/>
          <w:kern w:val="2"/>
          <w:sz w:val="21"/>
          <w:szCs w:val="21"/>
          <w:highlight w:val="none"/>
        </w:rPr>
        <w:t xml:space="preserve"> 3.采购货物的主要技术参数和性能配置由评标委员会在评标前评定，但不能改变实质性内容。</w:t>
      </w:r>
    </w:p>
    <w:p>
      <w:pPr>
        <w:pStyle w:val="14"/>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rPr>
      </w:pPr>
      <w:r>
        <w:rPr>
          <w:rFonts w:hint="eastAsia" w:ascii="宋体"/>
          <w:b/>
          <w:color w:val="auto"/>
          <w:sz w:val="21"/>
          <w:szCs w:val="21"/>
          <w:highlight w:val="none"/>
        </w:rPr>
        <w:t xml:space="preserve">（三）招标文件的澄清与修改 </w:t>
      </w:r>
    </w:p>
    <w:p>
      <w:pPr>
        <w:pStyle w:val="29"/>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前以书面形式要求招标采购单位</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29"/>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29"/>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9"/>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29"/>
        <w:snapToGrid w:val="0"/>
        <w:spacing w:line="360" w:lineRule="exact"/>
        <w:ind w:firstLine="420" w:firstLineChars="200"/>
        <w:rPr>
          <w:rFonts w:hint="eastAsia"/>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29"/>
        <w:snapToGrid w:val="0"/>
        <w:spacing w:line="360" w:lineRule="exact"/>
        <w:ind w:firstLine="413" w:firstLineChars="196"/>
        <w:outlineLvl w:val="1"/>
        <w:rPr>
          <w:rFonts w:hint="eastAsia"/>
          <w:b/>
          <w:color w:val="auto"/>
          <w:highlight w:val="none"/>
        </w:rPr>
      </w:pPr>
      <w:r>
        <w:rPr>
          <w:rFonts w:hint="eastAsia"/>
          <w:b/>
          <w:color w:val="auto"/>
          <w:highlight w:val="none"/>
        </w:rPr>
        <w:t>三、投标文件的编制</w:t>
      </w:r>
    </w:p>
    <w:p>
      <w:pPr>
        <w:snapToGrid w:val="0"/>
        <w:spacing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（一）投标文件的组成</w:t>
      </w:r>
    </w:p>
    <w:p>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9"/>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u w:val="none"/>
        </w:rPr>
        <w:t>（2）投标声明书 (格式见第六章)（必须提供）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；（格式见第六章)；</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w:t>
      </w:r>
      <w:r>
        <w:rPr>
          <w:rFonts w:hint="eastAsia" w:hAnsi="宋体" w:cs="宋体"/>
          <w:b w:val="0"/>
          <w:bCs w:val="0"/>
          <w:color w:val="auto"/>
          <w:kern w:val="0"/>
          <w:szCs w:val="21"/>
          <w:highlight w:val="none"/>
        </w:rPr>
        <w:t>登记证</w:t>
      </w:r>
      <w:r>
        <w:rPr>
          <w:rFonts w:hint="eastAsia" w:ascii="宋体" w:hAnsi="宋体"/>
          <w:b w:val="0"/>
          <w:bCs w:val="0"/>
          <w:color w:val="auto"/>
          <w:szCs w:val="21"/>
          <w:highlight w:val="none"/>
        </w:rPr>
        <w:t>扫描件</w:t>
      </w:r>
      <w:r>
        <w:rPr>
          <w:rFonts w:hint="eastAsia" w:hAnsi="宋体" w:cs="宋体"/>
          <w:color w:val="auto"/>
          <w:kern w:val="0"/>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rPr>
      </w:pPr>
      <w:r>
        <w:rPr>
          <w:rFonts w:hint="eastAsia" w:hAnsi="宋体"/>
          <w:b/>
          <w:color w:val="auto"/>
          <w:szCs w:val="21"/>
          <w:highlight w:val="none"/>
        </w:rPr>
        <w:t>（11）商务响应表</w:t>
      </w:r>
      <w:r>
        <w:rPr>
          <w:rFonts w:hint="eastAsia" w:hAnsi="宋体"/>
          <w:color w:val="auto"/>
          <w:szCs w:val="21"/>
          <w:highlight w:val="none"/>
        </w:rPr>
        <w:t>（格式见第六章）</w:t>
      </w:r>
      <w:r>
        <w:rPr>
          <w:rFonts w:hint="eastAsia" w:hAnsi="宋体"/>
          <w:b/>
          <w:color w:val="auto"/>
          <w:szCs w:val="21"/>
          <w:highlight w:val="none"/>
        </w:rPr>
        <w:t>（</w:t>
      </w:r>
      <w:r>
        <w:rPr>
          <w:rFonts w:hint="eastAsia" w:hAnsi="宋体"/>
          <w:b/>
          <w:color w:val="auto"/>
          <w:szCs w:val="21"/>
          <w:highlight w:val="none"/>
          <w:u w:val="single"/>
        </w:rPr>
        <w:t>必须提供</w:t>
      </w:r>
      <w:r>
        <w:rPr>
          <w:rFonts w:hint="eastAsia" w:hAnsi="宋体"/>
          <w:b/>
          <w:color w:val="auto"/>
          <w:szCs w:val="21"/>
          <w:highlight w:val="none"/>
        </w:rPr>
        <w:t>）；</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highlight w:val="none"/>
        </w:rPr>
        <w:t>▲</w:t>
      </w:r>
      <w:r>
        <w:rPr>
          <w:rFonts w:hint="eastAsia" w:hAnsi="宋体"/>
          <w:color w:val="auto"/>
          <w:szCs w:val="21"/>
          <w:highlight w:val="none"/>
        </w:rPr>
        <w:t>（12）</w:t>
      </w:r>
      <w:r>
        <w:rPr>
          <w:rFonts w:hint="eastAsia" w:hAnsi="宋体"/>
          <w:b/>
          <w:color w:val="auto"/>
          <w:szCs w:val="21"/>
          <w:highlight w:val="none"/>
        </w:rPr>
        <w:t>招标项目采购需求中要求必须提供的材料等；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（13）具备法律、行政法规规定的其他条件的证明材料</w:t>
      </w:r>
      <w:r>
        <w:rPr>
          <w:rFonts w:hint="eastAsia" w:hAnsi="宋体"/>
          <w:b/>
          <w:color w:val="auto"/>
          <w:szCs w:val="21"/>
          <w:highlight w:val="none"/>
        </w:rPr>
        <w:t>(如有规定,则必须提供)。</w:t>
      </w:r>
    </w:p>
    <w:p>
      <w:pPr>
        <w:snapToGrid w:val="0"/>
        <w:spacing w:line="360" w:lineRule="exact"/>
        <w:ind w:firstLine="413" w:firstLineChars="196"/>
        <w:jc w:val="left"/>
        <w:rPr>
          <w:rFonts w:hint="eastAsia" w:hAnsi="宋体"/>
          <w:b/>
          <w:color w:val="auto"/>
          <w:szCs w:val="21"/>
          <w:highlight w:val="none"/>
        </w:rPr>
      </w:pPr>
      <w:r>
        <w:rPr>
          <w:rFonts w:hint="eastAsia"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rPr>
      </w:pPr>
      <w:r>
        <w:rPr>
          <w:rFonts w:hint="eastAsia" w:hAnsi="宋体"/>
          <w:color w:val="auto"/>
          <w:szCs w:val="21"/>
          <w:highlight w:val="none"/>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15</w:t>
      </w:r>
      <w:r>
        <w:rPr>
          <w:rFonts w:hint="eastAsia" w:hAnsi="宋体"/>
          <w:b/>
          <w:color w:val="auto"/>
          <w:szCs w:val="21"/>
          <w:highlight w:val="none"/>
        </w:rPr>
        <w:t>）</w:t>
      </w:r>
      <w:r>
        <w:rPr>
          <w:rFonts w:hint="eastAsia" w:hAnsi="宋体"/>
          <w:color w:val="auto"/>
          <w:szCs w:val="21"/>
          <w:highlight w:val="none"/>
        </w:rPr>
        <w:t>其他特殊资质证书（如本地化服务能力等）；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（16）节能环保产品或政府强制采购节能产品清单证书</w:t>
      </w:r>
      <w:r>
        <w:rPr>
          <w:rFonts w:hint="eastAsia" w:hAnsi="宋体"/>
          <w:b/>
          <w:color w:val="auto"/>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21</w:t>
      </w:r>
      <w:r>
        <w:rPr>
          <w:rFonts w:hint="eastAsia" w:ascii="宋体" w:hAnsi="宋体"/>
          <w:color w:val="auto"/>
          <w:szCs w:val="21"/>
          <w:highlight w:val="none"/>
        </w:rPr>
        <w:t>）</w:t>
      </w:r>
      <w:r>
        <w:rPr>
          <w:rFonts w:ascii="宋体" w:hAnsi="宋体"/>
          <w:color w:val="auto"/>
          <w:highlight w:val="none"/>
        </w:rPr>
        <w:t>中小企业声明函</w:t>
      </w:r>
      <w:r>
        <w:rPr>
          <w:rFonts w:hint="eastAsia" w:ascii="宋体" w:hAnsi="宋体"/>
          <w:color w:val="auto"/>
          <w:szCs w:val="21"/>
          <w:highlight w:val="none"/>
        </w:rPr>
        <w:t>（按最新相关政策执行，格式见第六章，如有请提供）</w:t>
      </w:r>
      <w:r>
        <w:rPr>
          <w:rFonts w:hint="eastAsia" w:ascii="宋体" w:hAnsi="宋体"/>
          <w:color w:val="auto"/>
          <w:highlight w:val="none"/>
        </w:rPr>
        <w:t>。</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rPr>
      </w:pPr>
      <w:r>
        <w:rPr>
          <w:rFonts w:hint="eastAsia" w:ascii="宋体" w:hAnsi="宋体"/>
          <w:color w:val="auto"/>
          <w:szCs w:val="21"/>
          <w:highlight w:val="none"/>
        </w:rPr>
        <w:t>（4）开标一览表（</w:t>
      </w:r>
      <w:r>
        <w:rPr>
          <w:rFonts w:hint="eastAsia" w:ascii="宋体" w:hAnsi="宋体"/>
          <w:b/>
          <w:color w:val="auto"/>
          <w:szCs w:val="21"/>
          <w:highlight w:val="none"/>
        </w:rPr>
        <w:t>必须提供</w:t>
      </w:r>
      <w:r>
        <w:rPr>
          <w:rFonts w:hint="eastAsia" w:ascii="宋体" w:hAnsi="宋体"/>
          <w:color w:val="auto"/>
          <w:szCs w:val="21"/>
          <w:highlight w:val="none"/>
          <w:lang w:eastAsia="zh-CN"/>
        </w:rPr>
        <w:t>，</w:t>
      </w:r>
      <w:r>
        <w:rPr>
          <w:rFonts w:hint="eastAsia" w:ascii="宋体" w:hAnsi="宋体"/>
          <w:color w:val="auto"/>
          <w:szCs w:val="21"/>
          <w:highlight w:val="none"/>
        </w:rPr>
        <w:t>格式见第六章）。</w:t>
      </w:r>
    </w:p>
    <w:p>
      <w:pPr>
        <w:pStyle w:val="45"/>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b/>
          <w:bCs/>
          <w:color w:val="auto"/>
          <w:szCs w:val="21"/>
          <w:highlight w:val="none"/>
        </w:rPr>
        <w:t>注：法定代表人授权委托书、投标声明书、投标函、开标一览表必须按</w:t>
      </w:r>
      <w:r>
        <w:rPr>
          <w:rFonts w:hint="eastAsia" w:ascii="宋体" w:hAnsi="宋体"/>
          <w:b/>
          <w:color w:val="auto"/>
          <w:szCs w:val="21"/>
          <w:highlight w:val="none"/>
        </w:rPr>
        <w:t>招标文件格式要求签署</w:t>
      </w:r>
      <w:r>
        <w:rPr>
          <w:rFonts w:hint="eastAsia" w:ascii="宋体" w:hAnsi="宋体"/>
          <w:b/>
          <w:bCs/>
          <w:color w:val="auto"/>
          <w:szCs w:val="21"/>
          <w:highlight w:val="none"/>
        </w:rPr>
        <w:t>并加盖单位公章。</w:t>
      </w:r>
    </w:p>
    <w:p>
      <w:pPr>
        <w:snapToGrid w:val="0"/>
        <w:spacing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（二）投标文件的语言及计量</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（三）投标报价</w:t>
      </w:r>
    </w:p>
    <w:p>
      <w:pPr>
        <w:pStyle w:val="29"/>
        <w:snapToGrid w:val="0"/>
        <w:spacing w:line="360" w:lineRule="exact"/>
        <w:ind w:firstLine="420" w:firstLineChars="200"/>
        <w:jc w:val="left"/>
        <w:rPr>
          <w:rFonts w:hAnsi="宋体"/>
          <w:b/>
          <w:bCs/>
          <w:color w:val="auto"/>
          <w:highlight w:val="none"/>
        </w:rPr>
      </w:pPr>
      <w:r>
        <w:rPr>
          <w:rFonts w:hint="eastAsia" w:hAnsi="宋体"/>
          <w:color w:val="auto"/>
          <w:highlight w:val="none"/>
        </w:rPr>
        <w:t>1.投标报价应按招标文件中相关附表格式填写。</w:t>
      </w:r>
      <w:r>
        <w:rPr>
          <w:rFonts w:hint="eastAsia" w:hAnsi="宋体"/>
          <w:b/>
          <w:bCs/>
          <w:color w:val="auto"/>
          <w:highlight w:val="none"/>
        </w:rPr>
        <w:t>投标人可就《项目采购需求》中所有分标的货物和服务内容按分标分别作完整唯一报价，也可对某个分标或几个分标的货物和服务内容按分标分别作完整唯一报价。</w:t>
      </w:r>
    </w:p>
    <w:p>
      <w:pPr>
        <w:pStyle w:val="29"/>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r>
        <w:rPr>
          <w:rFonts w:hint="eastAsia" w:ascii="宋体" w:hAnsi="宋体"/>
          <w:b/>
          <w:color w:val="auto"/>
          <w:sz w:val="21"/>
          <w:szCs w:val="21"/>
          <w:highlight w:val="none"/>
        </w:rPr>
        <w:t>（四）投标文件的有效期</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b/>
          <w:color w:val="auto"/>
          <w:sz w:val="21"/>
          <w:szCs w:val="21"/>
          <w:highlight w:val="none"/>
          <w:u w:val="single"/>
        </w:rPr>
        <w:t>六十日</w:t>
      </w:r>
      <w:r>
        <w:rPr>
          <w:rFonts w:hint="eastAsia" w:ascii="宋体" w:hAnsi="宋体"/>
          <w:color w:val="auto"/>
          <w:sz w:val="21"/>
          <w:szCs w:val="21"/>
          <w:highlight w:val="none"/>
        </w:rPr>
        <w:t>投标文件应保持有效。有效期不足的投标文件将被拒绝。</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rPr>
      </w:pPr>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hint="eastAsia" w:ascii="宋体" w:hAnsi="宋体"/>
          <w:b/>
          <w:color w:val="auto"/>
          <w:szCs w:val="21"/>
          <w:highlight w:val="none"/>
        </w:rPr>
      </w:pPr>
      <w:r>
        <w:rPr>
          <w:rFonts w:hint="eastAsia" w:ascii="宋体" w:hAnsi="宋体"/>
          <w:color w:val="auto"/>
          <w:szCs w:val="21"/>
          <w:highlight w:val="none"/>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rPr>
      </w:pPr>
      <w:r>
        <w:rPr>
          <w:rFonts w:hint="eastAsia" w:ascii="宋体" w:hAnsi="宋体"/>
          <w:b/>
          <w:color w:val="auto"/>
          <w:szCs w:val="21"/>
          <w:highlight w:val="none"/>
        </w:rPr>
        <w:t>（五）投标保证金</w:t>
      </w:r>
    </w:p>
    <w:p>
      <w:pPr>
        <w:pStyle w:val="29"/>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ascii="宋体" w:hAnsi="宋体"/>
          <w:color w:val="auto"/>
          <w:highlight w:val="none"/>
        </w:rPr>
        <w:t>支票、汇票、本票、金融机构、担保机构</w:t>
      </w:r>
      <w:r>
        <w:rPr>
          <w:rFonts w:ascii="宋体" w:hAnsi="宋体"/>
          <w:color w:val="auto"/>
          <w:highlight w:val="none"/>
        </w:rPr>
        <w:t>出具的保函等非现金形式</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snapToGrid w:val="0"/>
        <w:spacing w:line="360" w:lineRule="exact"/>
        <w:jc w:val="left"/>
        <w:rPr>
          <w:rFonts w:hint="eastAsia" w:ascii="宋体" w:hAnsi="宋体"/>
          <w:color w:val="auto"/>
          <w:szCs w:val="21"/>
          <w:highlight w:val="none"/>
        </w:rPr>
      </w:pPr>
      <w:r>
        <w:rPr>
          <w:rFonts w:hint="eastAsia"/>
          <w:b/>
          <w:color w:val="auto"/>
          <w:highlight w:val="none"/>
          <w:u w:val="single"/>
        </w:rPr>
        <w:t>本中心财务（</w:t>
      </w:r>
      <w:r>
        <w:rPr>
          <w:b/>
          <w:color w:val="auto"/>
          <w:highlight w:val="none"/>
          <w:u w:val="single"/>
          <w:lang w:val="en"/>
        </w:rPr>
        <w:t>地址：</w:t>
      </w:r>
    </w:p>
    <w:p>
      <w:pPr>
        <w:pStyle w:val="29"/>
        <w:spacing w:line="420" w:lineRule="exact"/>
        <w:ind w:left="1" w:firstLine="630" w:firstLineChars="349"/>
        <w:rPr>
          <w:rFonts w:hint="eastAsia"/>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未中标人的投标保证金在中标通知书发出后4个工作日内退还，</w:t>
      </w:r>
      <w:r>
        <w:rPr>
          <w:rFonts w:hint="eastAsia" w:hAnsi="宋体"/>
          <w:b/>
          <w:color w:val="auto"/>
          <w:sz w:val="18"/>
          <w:szCs w:val="18"/>
          <w:highlight w:val="none"/>
        </w:rPr>
        <w:t>不计利息。</w:t>
      </w:r>
    </w:p>
    <w:p>
      <w:pPr>
        <w:snapToGrid w:val="0"/>
        <w:spacing w:line="360" w:lineRule="exact"/>
        <w:ind w:firstLine="990" w:firstLineChars="54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pacing w:val="-4"/>
          <w:sz w:val="18"/>
          <w:szCs w:val="18"/>
          <w:highlight w:val="none"/>
        </w:rPr>
        <w:t>中标人的</w:t>
      </w:r>
      <w:r>
        <w:rPr>
          <w:rFonts w:ascii="宋体" w:hAnsi="宋体"/>
          <w:b/>
          <w:color w:val="auto"/>
          <w:spacing w:val="-4"/>
          <w:sz w:val="18"/>
          <w:szCs w:val="18"/>
          <w:highlight w:val="none"/>
        </w:rPr>
        <w:t>投标保证金自政府采购合同签订之日起</w:t>
      </w:r>
      <w:r>
        <w:rPr>
          <w:rFonts w:hint="eastAsia" w:ascii="宋体" w:hAnsi="宋体"/>
          <w:b/>
          <w:color w:val="auto"/>
          <w:spacing w:val="-4"/>
          <w:sz w:val="18"/>
          <w:szCs w:val="18"/>
          <w:highlight w:val="none"/>
        </w:rPr>
        <w:t>4个工作日</w:t>
      </w:r>
      <w:r>
        <w:rPr>
          <w:rFonts w:ascii="宋体" w:hAnsi="宋体"/>
          <w:b/>
          <w:color w:val="auto"/>
          <w:spacing w:val="-4"/>
          <w:sz w:val="18"/>
          <w:szCs w:val="18"/>
          <w:highlight w:val="none"/>
        </w:rPr>
        <w:t>内</w:t>
      </w:r>
      <w:r>
        <w:rPr>
          <w:rFonts w:hint="eastAsia" w:ascii="宋体" w:hAnsi="宋体"/>
          <w:b/>
          <w:color w:val="auto"/>
          <w:spacing w:val="-4"/>
          <w:sz w:val="18"/>
          <w:szCs w:val="18"/>
          <w:highlight w:val="none"/>
        </w:rPr>
        <w:t>（合同签订后送达本中心)后</w:t>
      </w:r>
      <w:r>
        <w:rPr>
          <w:rFonts w:ascii="宋体" w:hAnsi="宋体"/>
          <w:b/>
          <w:color w:val="auto"/>
          <w:spacing w:val="-4"/>
          <w:sz w:val="18"/>
          <w:szCs w:val="18"/>
          <w:highlight w:val="none"/>
        </w:rPr>
        <w:t>退还</w:t>
      </w:r>
      <w:r>
        <w:rPr>
          <w:rFonts w:hint="eastAsia" w:ascii="宋体" w:hAnsi="宋体"/>
          <w:b/>
          <w:color w:val="auto"/>
          <w:spacing w:val="-4"/>
          <w:sz w:val="18"/>
          <w:szCs w:val="18"/>
          <w:highlight w:val="none"/>
        </w:rPr>
        <w:t>，不计利息。</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4.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Cs/>
          <w:color w:val="auto"/>
          <w:highlight w:val="none"/>
        </w:rPr>
        <w:t>采购需求另有要求的，按照其要求执行。</w:t>
      </w:r>
    </w:p>
    <w:p>
      <w:pPr>
        <w:pStyle w:val="29"/>
        <w:spacing w:line="400" w:lineRule="exact"/>
        <w:ind w:firstLine="420" w:firstLineChars="200"/>
        <w:rPr>
          <w:rFonts w:hint="eastAsia" w:hAnsi="宋体"/>
          <w:color w:val="auto"/>
          <w:highlight w:val="none"/>
        </w:rPr>
      </w:pPr>
      <w:r>
        <w:rPr>
          <w:rFonts w:hint="eastAsia"/>
          <w:color w:val="auto"/>
          <w:highlight w:val="none"/>
        </w:rPr>
        <w:t>5.投标保证金不计息。</w:t>
      </w:r>
    </w:p>
    <w:p>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（3）中标人无正当理由不与采购人签订合同的；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pacing w:val="-6"/>
          <w:szCs w:val="21"/>
          <w:highlight w:val="none"/>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rPr>
      </w:pPr>
      <w:r>
        <w:rPr>
          <w:rFonts w:hint="eastAsia" w:ascii="宋体" w:hAnsi="宋体"/>
          <w:color w:val="auto"/>
          <w:szCs w:val="21"/>
          <w:highlight w:val="none"/>
        </w:rPr>
        <w:t>（5）拒绝履行合同义务的；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（六）投标文件的签署和份数</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3.投标文件须由投标人在规定位置盖章并由法定代表人或法定代表人的授权委托人签署，投标人应写全称。</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r>
        <w:rPr>
          <w:rFonts w:hint="eastAsia"/>
          <w:b/>
          <w:color w:val="auto"/>
          <w:highlight w:val="none"/>
        </w:rPr>
        <w:t>投标文件的上传、提交、修改、撤回和解密</w:t>
      </w:r>
    </w:p>
    <w:p>
      <w:pPr>
        <w:adjustRightInd w:val="0"/>
        <w:snapToGrid w:val="0"/>
        <w:spacing w:line="400" w:lineRule="exact"/>
        <w:ind w:firstLine="420"/>
        <w:jc w:val="left"/>
        <w:rPr>
          <w:rFonts w:hint="eastAsia"/>
          <w:b/>
          <w:color w:val="auto"/>
          <w:highlight w:val="none"/>
        </w:rPr>
      </w:pPr>
      <w:r>
        <w:rPr>
          <w:rFonts w:hint="eastAsia" w:hAnsi="宋体"/>
          <w:color w:val="auto"/>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（1）超越了按照法律法规规定必须获得行政许可或者行政审批的经营范围的；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（2）资格证明文件不全的，或者不符合招标文件标明的资格要求的；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（3）投标文件无法定代表人（负责人）或其授权委托代理人</w:t>
      </w:r>
      <w:r>
        <w:rPr>
          <w:rFonts w:hint="default" w:ascii="宋体" w:hAnsi="宋体" w:eastAsia="宋体"/>
          <w:color w:val="auto"/>
          <w:spacing w:val="-4"/>
          <w:sz w:val="21"/>
          <w:szCs w:val="21"/>
          <w:highlight w:val="none"/>
          <w:lang w:val="en"/>
        </w:rPr>
        <w:t>签字或签章</w:t>
      </w:r>
      <w:r>
        <w:rPr>
          <w:rFonts w:hint="eastAsia" w:ascii="宋体" w:hAnsi="宋体" w:eastAsia="宋体"/>
          <w:color w:val="auto"/>
          <w:spacing w:val="-4"/>
          <w:sz w:val="21"/>
          <w:szCs w:val="21"/>
          <w:highlight w:val="none"/>
        </w:rPr>
        <w:t>，或未提供法定代表人（负责人）授权委托书、投标声明书或者填写项目不齐全的；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（4）投标代表人未能出具身份证明或与法定代表人（负责人）授权委托人身份不符的；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（5）项目不齐全或者内容虚假的；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（7）投标有效期、交付使用时间、质保期等商务条款不能满足招标文件要求的；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（8）未实质性响应招标文件要求或者投标文件有招标方不能接受的附加条件的；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color w:val="auto"/>
          <w:spacing w:val="-4"/>
          <w:sz w:val="21"/>
          <w:szCs w:val="21"/>
          <w:highlight w:val="none"/>
        </w:rPr>
        <w:t>（说明：评标时，评标委员会将以本中心财务室编制的《采购文件购买名单及保证金收缴情况表》作为评审依据）。</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p>
    <w:p>
      <w:pPr>
        <w:pStyle w:val="22"/>
        <w:snapToGrid w:val="0"/>
        <w:spacing w:line="360" w:lineRule="exact"/>
        <w:ind w:firstLine="395" w:firstLineChars="196"/>
        <w:outlineLvl w:val="0"/>
        <w:rPr>
          <w:rFonts w:hint="default" w:ascii="宋体" w:hAnsi="宋体" w:eastAsia="宋体"/>
          <w:color w:val="auto"/>
          <w:spacing w:val="-4"/>
          <w:sz w:val="21"/>
          <w:szCs w:val="21"/>
          <w:highlight w:val="none"/>
          <w:lang w:val="en-US"/>
        </w:rPr>
      </w:pPr>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（3）标星号“</w:t>
      </w:r>
      <w:r>
        <w:rPr>
          <w:rFonts w:hint="eastAsia" w:ascii="宋体" w:hAnsi="宋体" w:cs="宋体"/>
          <w:color w:val="auto"/>
          <w:kern w:val="0"/>
          <w:sz w:val="21"/>
          <w:szCs w:val="21"/>
          <w:highlight w:val="none"/>
        </w:rPr>
        <w:t>▲</w:t>
      </w:r>
      <w:r>
        <w:rPr>
          <w:rFonts w:hint="eastAsia" w:ascii="宋体" w:hAnsi="宋体" w:eastAsia="宋体"/>
          <w:color w:val="auto"/>
          <w:spacing w:val="-4"/>
          <w:sz w:val="21"/>
          <w:szCs w:val="21"/>
          <w:highlight w:val="none"/>
        </w:rPr>
        <w:t>”的技术、性能指标发生负偏离达</w:t>
      </w:r>
      <w:r>
        <w:rPr>
          <w:rFonts w:hint="eastAsia" w:ascii="宋体" w:hAnsi="宋体" w:eastAsia="宋体"/>
          <w:color w:val="auto"/>
          <w:spacing w:val="-4"/>
          <w:sz w:val="21"/>
          <w:szCs w:val="21"/>
          <w:highlight w:val="none"/>
          <w:u w:val="single"/>
        </w:rPr>
        <w:t xml:space="preserve">  1  </w:t>
      </w:r>
      <w:r>
        <w:rPr>
          <w:rFonts w:hint="eastAsia" w:ascii="宋体" w:hAnsi="宋体" w:eastAsia="宋体"/>
          <w:color w:val="auto"/>
          <w:spacing w:val="-4"/>
          <w:sz w:val="21"/>
          <w:szCs w:val="21"/>
          <w:highlight w:val="none"/>
        </w:rPr>
        <w:t>项（含）以上的；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（4）投标技术方案不明确，存在一个或一个以上备选（替换）投标方案的；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（5）与其他参加本次投标供应商的投标文件（技术文件）的文字表述内容差错相同二处以上的。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3.在报价评审时，如发现下列情形之一的，投标文件将被视为无效：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（1）未采用人民币报价或者未按照招标文件标明的币种报价的；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（2）报价超出最高限价，或者超出采购预算金额，采购人不能支付的；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（3）投标报价具有选择性，或者开标价格与投标文件承诺的优惠（折扣）价格不一致的。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4.有下列情形之一的视为投标人相互串通投标，投标文件将被视为无效: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（1）不同投标人的投标文件由同一单位或者个人编制；或不同投标人报名的IP地址一致的；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（2）不同投标人委托同一单位或者个人办理投标事宜；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（3）不同投标人的投标文件载明的项目管理成员或者联系人员为同一人；</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（4）不同投标人的投标文件异常一致或投标报价呈规律性差异；</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（5）不同投标人的投标文件相互混装；</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（6）不同投标人的投标保证金从同一个单位或者个人账户转出。</w:t>
      </w:r>
    </w:p>
    <w:p>
      <w:pPr>
        <w:pStyle w:val="22"/>
        <w:adjustRightInd w:val="0"/>
        <w:snapToGrid w:val="0"/>
        <w:spacing w:line="400" w:lineRule="exact"/>
        <w:ind w:firstLine="395" w:firstLineChars="196"/>
        <w:rPr>
          <w:rFonts w:hint="eastAsia" w:ascii="宋体" w:hAnsi="宋体" w:eastAsia="宋体"/>
          <w:bCs/>
          <w:color w:val="auto"/>
          <w:sz w:val="21"/>
          <w:szCs w:val="21"/>
          <w:highlight w:val="none"/>
        </w:rPr>
      </w:pPr>
      <w:r>
        <w:rPr>
          <w:rFonts w:ascii="宋体" w:hAnsi="宋体" w:eastAsia="宋体"/>
          <w:color w:val="auto"/>
          <w:spacing w:val="-4"/>
          <w:sz w:val="21"/>
          <w:szCs w:val="21"/>
          <w:highlight w:val="none"/>
          <w:lang w:val="en"/>
        </w:rPr>
        <w:t>5</w:t>
      </w:r>
      <w:r>
        <w:rPr>
          <w:rFonts w:hint="eastAsia" w:ascii="宋体" w:hAnsi="宋体" w:eastAsia="宋体"/>
          <w:color w:val="auto"/>
          <w:spacing w:val="-4"/>
          <w:sz w:val="21"/>
          <w:szCs w:val="21"/>
          <w:highlight w:val="none"/>
        </w:rPr>
        <w:t>.</w:t>
      </w:r>
      <w:r>
        <w:rPr>
          <w:rFonts w:hint="eastAsia" w:ascii="宋体" w:hAnsi="宋体"/>
          <w:bCs/>
          <w:color w:val="auto"/>
          <w:sz w:val="21"/>
          <w:szCs w:val="21"/>
          <w:highlight w:val="none"/>
        </w:rPr>
        <w:t xml:space="preserve"> </w:t>
      </w:r>
      <w:r>
        <w:rPr>
          <w:rFonts w:hint="eastAsia" w:ascii="宋体" w:hAnsi="宋体" w:eastAsia="宋体"/>
          <w:bCs/>
          <w:color w:val="auto"/>
          <w:sz w:val="21"/>
          <w:szCs w:val="21"/>
          <w:highlight w:val="none"/>
        </w:rPr>
        <w:t>其他投标无效的情形：</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29"/>
        <w:adjustRightInd w:val="0"/>
        <w:snapToGrid w:val="0"/>
        <w:spacing w:line="400" w:lineRule="exact"/>
        <w:ind w:firstLine="421"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2"/>
        <w:snapToGrid w:val="0"/>
        <w:spacing w:line="360" w:lineRule="exact"/>
        <w:ind w:firstLine="413" w:firstLineChars="196"/>
        <w:outlineLvl w:val="0"/>
        <w:rPr>
          <w:rFonts w:hint="eastAsia"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2"/>
        <w:snapToGrid w:val="0"/>
        <w:spacing w:line="360" w:lineRule="exact"/>
        <w:ind w:firstLine="395" w:firstLineChars="196"/>
        <w:outlineLvl w:val="0"/>
        <w:rPr>
          <w:rFonts w:ascii="宋体" w:hAnsi="宋体" w:eastAsia="宋体"/>
          <w:color w:val="auto"/>
          <w:spacing w:val="-4"/>
          <w:sz w:val="21"/>
          <w:szCs w:val="21"/>
          <w:highlight w:val="none"/>
        </w:rPr>
      </w:pPr>
      <w:r>
        <w:rPr>
          <w:rFonts w:ascii="宋体" w:hAnsi="宋体" w:eastAsia="宋体"/>
          <w:color w:val="auto"/>
          <w:spacing w:val="-4"/>
          <w:sz w:val="21"/>
          <w:szCs w:val="21"/>
          <w:highlight w:val="none"/>
          <w:lang w:val="en"/>
        </w:rPr>
        <w:t>6</w:t>
      </w:r>
      <w:r>
        <w:rPr>
          <w:rFonts w:hint="eastAsia" w:ascii="宋体" w:hAnsi="宋体" w:eastAsia="宋体"/>
          <w:color w:val="auto"/>
          <w:spacing w:val="-4"/>
          <w:sz w:val="21"/>
          <w:szCs w:val="21"/>
          <w:highlight w:val="none"/>
        </w:rPr>
        <w:t>.被拒绝的投标文件为无效。</w:t>
      </w:r>
    </w:p>
    <w:p>
      <w:pPr>
        <w:pStyle w:val="22"/>
        <w:snapToGrid w:val="0"/>
        <w:spacing w:line="360" w:lineRule="exact"/>
        <w:ind w:firstLine="413" w:firstLineChars="196"/>
        <w:outlineLvl w:val="0"/>
        <w:rPr>
          <w:rFonts w:hint="eastAsia" w:ascii="宋体" w:hAnsi="宋体" w:eastAsia="宋体"/>
          <w:b/>
          <w:color w:val="auto"/>
          <w:sz w:val="21"/>
          <w:szCs w:val="21"/>
          <w:highlight w:val="none"/>
        </w:rPr>
      </w:pPr>
    </w:p>
    <w:p>
      <w:pPr>
        <w:pStyle w:val="22"/>
        <w:snapToGrid w:val="0"/>
        <w:spacing w:line="360" w:lineRule="exact"/>
        <w:ind w:firstLine="413" w:firstLineChars="196"/>
        <w:outlineLvl w:val="0"/>
        <w:rPr>
          <w:rFonts w:hint="eastAsia" w:ascii="宋体" w:hAnsi="宋体" w:eastAsia="宋体"/>
          <w:b/>
          <w:snapToGrid w:val="0"/>
          <w:color w:val="auto"/>
          <w:sz w:val="21"/>
          <w:szCs w:val="21"/>
          <w:highlight w:val="none"/>
        </w:rPr>
      </w:pPr>
      <w:r>
        <w:rPr>
          <w:rFonts w:hint="eastAsia" w:ascii="宋体" w:hAnsi="宋体" w:eastAsia="宋体"/>
          <w:b/>
          <w:color w:val="auto"/>
          <w:sz w:val="21"/>
          <w:szCs w:val="21"/>
          <w:highlight w:val="none"/>
        </w:rPr>
        <w:t>四、开标</w:t>
      </w:r>
    </w:p>
    <w:p>
      <w:pPr>
        <w:pStyle w:val="29"/>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（一）开标准备</w:t>
      </w:r>
    </w:p>
    <w:p>
      <w:pPr>
        <w:pStyle w:val="29"/>
        <w:snapToGrid w:val="0"/>
        <w:spacing w:line="360" w:lineRule="exact"/>
        <w:ind w:firstLine="420" w:firstLineChars="200"/>
        <w:rPr>
          <w:rFonts w:hint="eastAsia" w:hAnsi="宋体"/>
          <w:bCs/>
          <w:color w:val="auto"/>
          <w:highlight w:val="none"/>
        </w:rPr>
      </w:pPr>
      <w:r>
        <w:rPr>
          <w:rFonts w:hint="eastAsia" w:hAnsi="宋体"/>
          <w:bCs/>
          <w:color w:val="auto"/>
          <w:highlight w:val="none"/>
        </w:rPr>
        <w:t>本中心将</w:t>
      </w:r>
      <w:r>
        <w:rPr>
          <w:rFonts w:hint="eastAsia"/>
          <w:color w:val="auto"/>
          <w:sz w:val="22"/>
          <w:highlight w:val="none"/>
        </w:rPr>
        <w:t>按招标文件规定的时间、地点通过“广西政府采购云平台”组织开标、开启投标文件，所有供应商均应当准时在线参加。投</w:t>
      </w:r>
      <w:r>
        <w:rPr>
          <w:color w:val="auto"/>
          <w:sz w:val="22"/>
          <w:highlight w:val="none"/>
        </w:rPr>
        <w:t>标供应商因未在线参加开标而导致投标文件无法按时解密等一切后果由供应商自</w:t>
      </w:r>
      <w:r>
        <w:rPr>
          <w:rFonts w:hint="eastAsia"/>
          <w:color w:val="auto"/>
          <w:sz w:val="22"/>
          <w:highlight w:val="none"/>
        </w:rPr>
        <w:t>行</w:t>
      </w:r>
      <w:r>
        <w:rPr>
          <w:color w:val="auto"/>
          <w:sz w:val="22"/>
          <w:highlight w:val="none"/>
        </w:rPr>
        <w:t>承担。</w:t>
      </w:r>
    </w:p>
    <w:p>
      <w:pPr>
        <w:pStyle w:val="29"/>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p>
    <w:p>
      <w:pPr>
        <w:pStyle w:val="29"/>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1.电子开标会由本中心主持</w:t>
      </w:r>
    </w:p>
    <w:p>
      <w:pPr>
        <w:pStyle w:val="29"/>
        <w:adjustRightInd w:val="0"/>
        <w:snapToGrid w:val="0"/>
        <w:spacing w:line="400" w:lineRule="exact"/>
        <w:ind w:firstLine="420" w:firstLineChars="200"/>
        <w:rPr>
          <w:color w:val="auto"/>
          <w:highlight w:val="none"/>
        </w:rPr>
      </w:pPr>
      <w:r>
        <w:rPr>
          <w:rFonts w:hint="eastAsia" w:hAnsi="宋体"/>
          <w:color w:val="auto"/>
          <w:highlight w:val="none"/>
        </w:rPr>
        <w:t>2.本中心工作人员</w:t>
      </w:r>
      <w:r>
        <w:rPr>
          <w:rFonts w:hint="eastAsia"/>
          <w:color w:val="auto"/>
          <w:highlight w:val="none"/>
        </w:rPr>
        <w:t>向各投标供应商发出电子加密投标文件【开始解密】通知，由供应商按招标文件规定的时间内自行进行投标文件解密。</w:t>
      </w:r>
      <w:r>
        <w:rPr>
          <w:rFonts w:hint="eastAsia"/>
          <w:snapToGrid w:val="0"/>
          <w:color w:val="auto"/>
          <w:highlight w:val="none"/>
        </w:rPr>
        <w:t>投标供应商未在规定时间内完成解密的，系统默认自动放弃。</w:t>
      </w:r>
    </w:p>
    <w:p>
      <w:pPr>
        <w:pStyle w:val="29"/>
        <w:adjustRightInd w:val="0"/>
        <w:snapToGrid w:val="0"/>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投标文件解密结束，开启</w:t>
      </w:r>
      <w:r>
        <w:rPr>
          <w:rFonts w:hint="eastAsia" w:hAnsi="宋体"/>
          <w:color w:val="auto"/>
          <w:highlight w:val="none"/>
        </w:rPr>
        <w:t>报价文件。投标供应商在线制作投标文件时填写的报价金额</w:t>
      </w:r>
      <w:r>
        <w:rPr>
          <w:rFonts w:hAnsi="宋体"/>
          <w:color w:val="auto"/>
          <w:highlight w:val="none"/>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color w:val="auto"/>
          <w:highlight w:val="none"/>
        </w:rPr>
      </w:pPr>
      <w:r>
        <w:rPr>
          <w:rFonts w:hint="eastAsia" w:hAnsi="宋体"/>
          <w:color w:val="auto"/>
          <w:highlight w:val="none"/>
        </w:rPr>
        <w:t>4.进入</w:t>
      </w:r>
      <w:r>
        <w:rPr>
          <w:rFonts w:hAnsi="宋体"/>
          <w:color w:val="auto"/>
          <w:highlight w:val="none"/>
        </w:rPr>
        <w:t>资格文件</w:t>
      </w:r>
      <w:r>
        <w:rPr>
          <w:rFonts w:hint="eastAsia" w:hAnsi="宋体"/>
          <w:color w:val="auto"/>
          <w:highlight w:val="none"/>
        </w:rPr>
        <w:t>审查环节</w:t>
      </w:r>
      <w:r>
        <w:rPr>
          <w:rFonts w:hAnsi="宋体"/>
          <w:color w:val="auto"/>
          <w:highlight w:val="none"/>
        </w:rPr>
        <w:t>，</w:t>
      </w:r>
      <w:r>
        <w:rPr>
          <w:rFonts w:hint="eastAsia" w:hAnsi="宋体"/>
          <w:color w:val="auto"/>
          <w:highlight w:val="none"/>
        </w:rPr>
        <w:t>本中心或者招标采购单位</w:t>
      </w:r>
      <w:r>
        <w:rPr>
          <w:rFonts w:hAnsi="宋体"/>
          <w:color w:val="auto"/>
          <w:highlight w:val="none"/>
        </w:rPr>
        <w:t>依法对投标供应商的资格进行审查。</w:t>
      </w:r>
    </w:p>
    <w:p>
      <w:pPr>
        <w:pStyle w:val="29"/>
        <w:adjustRightInd w:val="0"/>
        <w:snapToGrid w:val="0"/>
        <w:spacing w:line="400" w:lineRule="exact"/>
        <w:ind w:firstLine="420" w:firstLineChars="200"/>
        <w:rPr>
          <w:rFonts w:hAnsi="宋体"/>
          <w:color w:val="auto"/>
          <w:highlight w:val="none"/>
        </w:rPr>
      </w:pPr>
      <w:r>
        <w:rPr>
          <w:rFonts w:hint="eastAsia" w:hAnsi="宋体"/>
          <w:color w:val="auto"/>
          <w:highlight w:val="none"/>
        </w:rPr>
        <w:t>5.</w:t>
      </w:r>
      <w:r>
        <w:rPr>
          <w:rFonts w:hAnsi="宋体"/>
          <w:color w:val="auto"/>
          <w:highlight w:val="none"/>
        </w:rPr>
        <w:t>开启资格审查通过的投标供应商的商务技术文件进入符合性审查及商务技术评审</w:t>
      </w:r>
      <w:r>
        <w:rPr>
          <w:rFonts w:hint="eastAsia" w:hAnsi="宋体"/>
          <w:color w:val="auto"/>
          <w:highlight w:val="none"/>
        </w:rPr>
        <w:t>。</w:t>
      </w:r>
    </w:p>
    <w:p>
      <w:pPr>
        <w:pStyle w:val="29"/>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pPr>
        <w:pStyle w:val="29"/>
        <w:snapToGrid w:val="0"/>
        <w:spacing w:line="360" w:lineRule="exact"/>
        <w:ind w:left="689" w:leftChars="228" w:hanging="210" w:hangingChars="100"/>
        <w:rPr>
          <w:rFonts w:hint="eastAsia" w:hAnsi="宋体"/>
          <w:color w:val="auto"/>
          <w:highlight w:val="none"/>
        </w:rPr>
      </w:pPr>
      <w:r>
        <w:rPr>
          <w:rFonts w:hAnsi="宋体"/>
          <w:b/>
          <w:bCs/>
          <w:color w:val="auto"/>
          <w:highlight w:val="none"/>
        </w:rPr>
        <w:t>特别说明：如遇“</w:t>
      </w:r>
      <w:r>
        <w:rPr>
          <w:rFonts w:hAnsi="宋体"/>
          <w:b/>
          <w:bCs/>
          <w:color w:val="auto"/>
          <w:highlight w:val="none"/>
          <w:lang w:val="en"/>
        </w:rPr>
        <w:t>广西政府采购云平台</w:t>
      </w:r>
      <w:r>
        <w:rPr>
          <w:rFonts w:hAnsi="宋体"/>
          <w:b/>
          <w:bCs/>
          <w:color w:val="auto"/>
          <w:highlight w:val="none"/>
        </w:rPr>
        <w:t>”电子化开标或评审程序调整的，按调整后程序执行。</w:t>
      </w:r>
    </w:p>
    <w:p>
      <w:pPr>
        <w:pStyle w:val="29"/>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p>
    <w:p>
      <w:pPr>
        <w:pStyle w:val="29"/>
        <w:snapToGrid w:val="0"/>
        <w:spacing w:line="360" w:lineRule="exact"/>
        <w:ind w:left="771" w:leftChars="267" w:hanging="210" w:hangingChars="100"/>
        <w:outlineLvl w:val="1"/>
        <w:rPr>
          <w:rFonts w:hint="eastAsia" w:hAnsi="宋体"/>
          <w:b/>
          <w:color w:val="auto"/>
          <w:highlight w:val="none"/>
        </w:rPr>
      </w:pPr>
      <w:r>
        <w:rPr>
          <w:rFonts w:hint="eastAsia"/>
          <w:color w:val="auto"/>
          <w:highlight w:val="none"/>
        </w:rPr>
        <w:t>采购人</w:t>
      </w:r>
      <w:r>
        <w:rPr>
          <w:rFonts w:hint="eastAsia"/>
          <w:color w:val="auto"/>
          <w:spacing w:val="-4"/>
          <w:highlight w:val="none"/>
        </w:rPr>
        <w:t>或本中心工作人员</w:t>
      </w:r>
      <w:r>
        <w:rPr>
          <w:rFonts w:hint="eastAsia"/>
          <w:color w:val="auto"/>
          <w:highlight w:val="none"/>
        </w:rPr>
        <w:t>依法对投标人的资格进行审查。合格投标人不足3家的，不得评标。</w:t>
      </w:r>
    </w:p>
    <w:p>
      <w:pPr>
        <w:pStyle w:val="29"/>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六、评标</w:t>
      </w:r>
    </w:p>
    <w:p>
      <w:pPr>
        <w:pStyle w:val="29"/>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（一）组建评标委员会</w:t>
      </w:r>
    </w:p>
    <w:p>
      <w:pPr>
        <w:pStyle w:val="29"/>
        <w:snapToGrid w:val="0"/>
        <w:spacing w:line="360" w:lineRule="exact"/>
        <w:ind w:firstLine="420" w:firstLineChars="200"/>
        <w:rPr>
          <w:rFonts w:hint="eastAsia"/>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29"/>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（二）评标的方式</w:t>
      </w:r>
    </w:p>
    <w:p>
      <w:pPr>
        <w:pStyle w:val="29"/>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pPr>
        <w:pStyle w:val="29"/>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p>
      <w:pPr>
        <w:snapToGrid w:val="0"/>
        <w:spacing w:line="360" w:lineRule="exact"/>
        <w:ind w:firstLine="420" w:firstLineChars="200"/>
        <w:outlineLvl w:val="0"/>
        <w:rPr>
          <w:rFonts w:hint="eastAsia" w:ascii="宋体" w:hAnsi="宋体"/>
          <w:b/>
          <w:color w:val="auto"/>
          <w:szCs w:val="21"/>
          <w:highlight w:val="none"/>
        </w:rPr>
      </w:pPr>
      <w:r>
        <w:rPr>
          <w:rFonts w:hint="eastAsia" w:ascii="宋体" w:hAnsi="宋体"/>
          <w:color w:val="auto"/>
          <w:szCs w:val="21"/>
          <w:highlight w:val="none"/>
        </w:rPr>
        <w:t>（四）</w:t>
      </w:r>
      <w:r>
        <w:rPr>
          <w:rFonts w:hint="eastAsia" w:ascii="宋体" w:hAnsi="宋体"/>
          <w:b/>
          <w:color w:val="auto"/>
          <w:szCs w:val="21"/>
          <w:highlight w:val="none"/>
        </w:rPr>
        <w:t>澄清问题的形式</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29"/>
        <w:snapToGrid w:val="0"/>
        <w:spacing w:line="360" w:lineRule="exact"/>
        <w:ind w:left="689" w:leftChars="228" w:hanging="210" w:hangingChars="100"/>
        <w:outlineLvl w:val="0"/>
        <w:rPr>
          <w:rFonts w:hint="eastAsia" w:hAnsi="宋体"/>
          <w:b/>
          <w:color w:val="auto"/>
          <w:highlight w:val="none"/>
        </w:rPr>
      </w:pPr>
      <w:r>
        <w:rPr>
          <w:rFonts w:hint="eastAsia" w:hAnsi="宋体"/>
          <w:color w:val="auto"/>
          <w:highlight w:val="none"/>
        </w:rPr>
        <w:t>（五）</w:t>
      </w:r>
      <w:r>
        <w:rPr>
          <w:rFonts w:hint="eastAsia" w:hAnsi="宋体"/>
          <w:b/>
          <w:color w:val="auto"/>
          <w:highlight w:val="none"/>
        </w:rPr>
        <w:t>错误修正</w:t>
      </w:r>
    </w:p>
    <w:p>
      <w:pPr>
        <w:pStyle w:val="29"/>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9"/>
        <w:snapToGrid w:val="0"/>
        <w:spacing w:line="36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29"/>
        <w:snapToGrid w:val="0"/>
        <w:spacing w:line="360" w:lineRule="exact"/>
        <w:ind w:firstLine="420" w:firstLineChars="200"/>
        <w:rPr>
          <w:color w:val="auto"/>
          <w:highlight w:val="none"/>
        </w:rPr>
      </w:pPr>
      <w:r>
        <w:rPr>
          <w:rFonts w:hint="eastAsia"/>
          <w:color w:val="auto"/>
          <w:highlight w:val="none"/>
        </w:rPr>
        <w:t>2.大写金额和小写金额不一致的，以大写金额为准；</w:t>
      </w:r>
    </w:p>
    <w:p>
      <w:pPr>
        <w:pStyle w:val="29"/>
        <w:snapToGrid w:val="0"/>
        <w:spacing w:line="36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29"/>
        <w:snapToGrid w:val="0"/>
        <w:spacing w:line="36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29"/>
        <w:snapToGrid w:val="0"/>
        <w:spacing w:line="36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29"/>
        <w:snapToGrid w:val="0"/>
        <w:spacing w:line="36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pPr>
        <w:pStyle w:val="29"/>
        <w:snapToGrid w:val="0"/>
        <w:spacing w:line="360" w:lineRule="exact"/>
        <w:ind w:firstLine="421"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按上述修正错误的原则及方法调整或修正投标文件的投标报价，投标人同意并</w:t>
      </w:r>
      <w:r>
        <w:rPr>
          <w:rFonts w:hint="default" w:hAnsi="宋体"/>
          <w:b/>
          <w:bCs/>
          <w:color w:val="auto"/>
          <w:highlight w:val="none"/>
          <w:lang w:val="en"/>
        </w:rPr>
        <w:t>签字或签章</w:t>
      </w:r>
      <w:r>
        <w:rPr>
          <w:rFonts w:hint="eastAsia" w:hAnsi="宋体"/>
          <w:b/>
          <w:bCs/>
          <w:color w:val="auto"/>
          <w:highlight w:val="none"/>
        </w:rPr>
        <w:t>确认后，调整后的投标报价对投标人具有约束作用。如果投标人不接受修正后的报价，则其投标将作为无效投标处理。</w:t>
      </w:r>
    </w:p>
    <w:p>
      <w:pPr>
        <w:pStyle w:val="29"/>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p>
    <w:p>
      <w:pPr>
        <w:pStyle w:val="29"/>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w:t>
      </w:r>
      <w:r>
        <w:rPr>
          <w:rFonts w:hint="eastAsia" w:hAnsi="宋体"/>
          <w:color w:val="auto"/>
          <w:highlight w:val="none"/>
          <w:lang w:eastAsia="zh-CN"/>
        </w:rPr>
        <w:t>评标方法及评分标准</w:t>
      </w:r>
      <w:r>
        <w:rPr>
          <w:rFonts w:hint="eastAsia" w:hAnsi="宋体"/>
          <w:color w:val="auto"/>
          <w:highlight w:val="none"/>
        </w:rPr>
        <w:t>。</w:t>
      </w:r>
    </w:p>
    <w:p>
      <w:pPr>
        <w:pStyle w:val="29"/>
        <w:snapToGrid w:val="0"/>
        <w:spacing w:line="440" w:lineRule="exact"/>
        <w:ind w:firstLine="413" w:firstLineChars="196"/>
        <w:outlineLvl w:val="0"/>
        <w:rPr>
          <w:rFonts w:hint="eastAsia" w:hAnsi="宋体"/>
          <w:b/>
          <w:color w:val="auto"/>
          <w:highlight w:val="none"/>
        </w:rPr>
      </w:pPr>
      <w:r>
        <w:rPr>
          <w:rFonts w:hint="eastAsia" w:hAnsi="宋体"/>
          <w:b/>
          <w:color w:val="auto"/>
          <w:highlight w:val="none"/>
        </w:rPr>
        <w:t>（七）评标过程的监控</w:t>
      </w:r>
    </w:p>
    <w:p>
      <w:pPr>
        <w:pStyle w:val="29"/>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29"/>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七、评标结果</w:t>
      </w:r>
    </w:p>
    <w:p>
      <w:pPr>
        <w:pStyle w:val="29"/>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29"/>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29"/>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29"/>
        <w:spacing w:line="440" w:lineRule="exact"/>
        <w:ind w:firstLine="420" w:firstLineChars="200"/>
        <w:rPr>
          <w:rFonts w:hint="eastAsia" w:hAnsi="宋体"/>
          <w:bCs/>
          <w:color w:val="auto"/>
          <w:highlight w:val="none"/>
        </w:rPr>
      </w:pPr>
      <w:r>
        <w:rPr>
          <w:rFonts w:hint="eastAsia" w:hAnsi="宋体"/>
          <w:color w:val="auto"/>
          <w:highlight w:val="none"/>
        </w:rPr>
        <w:t>（四）</w:t>
      </w:r>
      <w:r>
        <w:rPr>
          <w:rFonts w:hint="eastAsia" w:hAnsi="宋体"/>
          <w:bCs/>
          <w:color w:val="auto"/>
          <w:highlight w:val="none"/>
        </w:rPr>
        <w:t>投标人认为招标文件、招标过程和中标结果使自己的权益受到损害的，可以在知道或者应知其权益受到损害之日起七个工作日内，以书面形式向本中心提出质疑，并及时索要书面回执。</w:t>
      </w:r>
    </w:p>
    <w:p>
      <w:pPr>
        <w:pStyle w:val="29"/>
        <w:spacing w:line="440" w:lineRule="exact"/>
        <w:ind w:firstLine="420"/>
        <w:rPr>
          <w:rFonts w:hint="eastAsia" w:hAnsi="宋体"/>
          <w:color w:val="auto"/>
          <w:highlight w:val="none"/>
        </w:rPr>
      </w:pPr>
      <w:r>
        <w:rPr>
          <w:rFonts w:hint="eastAsia" w:hAnsi="宋体"/>
          <w:color w:val="auto"/>
          <w:highlight w:val="none"/>
        </w:rPr>
        <w:t>（五）</w:t>
      </w:r>
      <w:r>
        <w:rPr>
          <w:rFonts w:hint="eastAsia" w:hAnsi="宋体"/>
          <w:bCs/>
          <w:color w:val="auto"/>
          <w:highlight w:val="none"/>
        </w:rPr>
        <w:t>本中心应当按照有关规定就采购人委托授权范围内的事项在收到投标人的书面质疑后七个工作日内做出答复，但答复的内容不得涉及商业秘密。</w:t>
      </w:r>
    </w:p>
    <w:p>
      <w:pPr>
        <w:pStyle w:val="29"/>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八、签订合同</w:t>
      </w:r>
    </w:p>
    <w:p>
      <w:pPr>
        <w:pStyle w:val="29"/>
        <w:snapToGrid w:val="0"/>
        <w:spacing w:line="440" w:lineRule="exact"/>
        <w:ind w:firstLine="413" w:firstLineChars="196"/>
        <w:outlineLvl w:val="1"/>
        <w:rPr>
          <w:rFonts w:hint="eastAsia" w:hAnsi="宋体"/>
          <w:b/>
          <w:color w:val="auto"/>
          <w:highlight w:val="none"/>
        </w:rPr>
      </w:pPr>
      <w:r>
        <w:rPr>
          <w:rFonts w:hint="eastAsia" w:hAnsi="宋体"/>
          <w:b/>
          <w:color w:val="auto"/>
          <w:highlight w:val="none"/>
        </w:rPr>
        <w:t>（一）合同授予标准</w:t>
      </w:r>
    </w:p>
    <w:p>
      <w:pPr>
        <w:pStyle w:val="29"/>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29"/>
        <w:snapToGrid w:val="0"/>
        <w:spacing w:line="440" w:lineRule="exact"/>
        <w:ind w:firstLine="413" w:firstLineChars="196"/>
        <w:outlineLvl w:val="1"/>
        <w:rPr>
          <w:rFonts w:hint="eastAsia" w:hAnsi="宋体"/>
          <w:color w:val="auto"/>
          <w:highlight w:val="none"/>
        </w:rPr>
      </w:pPr>
      <w:r>
        <w:rPr>
          <w:rFonts w:hint="eastAsia" w:hAnsi="宋体"/>
          <w:b/>
          <w:color w:val="auto"/>
          <w:highlight w:val="none"/>
        </w:rPr>
        <w:t>（二）签订合同</w:t>
      </w:r>
    </w:p>
    <w:p>
      <w:pPr>
        <w:pStyle w:val="29"/>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29"/>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29"/>
        <w:spacing w:line="440" w:lineRule="exact"/>
        <w:ind w:firstLine="420" w:firstLineChars="200"/>
        <w:rPr>
          <w:rFonts w:hint="eastAsia"/>
          <w:b/>
          <w:color w:val="auto"/>
          <w:highlight w:val="none"/>
        </w:rPr>
      </w:pPr>
      <w:r>
        <w:rPr>
          <w:rFonts w:hint="eastAsia" w:hAnsi="宋体"/>
          <w:color w:val="auto"/>
          <w:highlight w:val="none"/>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29"/>
        <w:spacing w:line="440" w:lineRule="exact"/>
        <w:ind w:firstLine="413" w:firstLineChars="196"/>
        <w:rPr>
          <w:rFonts w:hint="eastAsia"/>
          <w:b/>
          <w:color w:val="auto"/>
          <w:highlight w:val="none"/>
        </w:rPr>
      </w:pPr>
      <w:r>
        <w:rPr>
          <w:rFonts w:hint="eastAsia" w:hAnsi="宋体"/>
          <w:b/>
          <w:color w:val="auto"/>
          <w:highlight w:val="none"/>
        </w:rPr>
        <w:t>九、其他事项</w:t>
      </w:r>
    </w:p>
    <w:p>
      <w:pPr>
        <w:pStyle w:val="29"/>
        <w:spacing w:line="440" w:lineRule="exact"/>
        <w:ind w:firstLine="206" w:firstLineChars="98"/>
        <w:rPr>
          <w:rFonts w:hint="eastAsia"/>
          <w:b/>
          <w:color w:val="auto"/>
          <w:highlight w:val="none"/>
        </w:rPr>
      </w:pPr>
      <w:r>
        <w:rPr>
          <w:rFonts w:hint="eastAsia"/>
          <w:b/>
          <w:color w:val="auto"/>
          <w:highlight w:val="none"/>
        </w:rPr>
        <w:t>（1）解释权：</w:t>
      </w:r>
      <w:r>
        <w:rPr>
          <w:rFonts w:hint="eastAsia"/>
          <w:color w:val="auto"/>
          <w:spacing w:val="-4"/>
          <w:highlight w:val="none"/>
        </w:rPr>
        <w:t>本招标文件解释权属本中心。</w:t>
      </w:r>
    </w:p>
    <w:p>
      <w:pPr>
        <w:pStyle w:val="29"/>
        <w:spacing w:line="440" w:lineRule="exact"/>
        <w:ind w:firstLine="206" w:firstLineChars="98"/>
        <w:rPr>
          <w:rFonts w:hint="eastAsia"/>
          <w:color w:val="auto"/>
          <w:highlight w:val="none"/>
        </w:rPr>
      </w:pPr>
      <w:r>
        <w:rPr>
          <w:rFonts w:hint="eastAsia"/>
          <w:b/>
          <w:color w:val="auto"/>
          <w:highlight w:val="none"/>
        </w:rPr>
        <w:t>（2）有关事宜</w:t>
      </w:r>
    </w:p>
    <w:p>
      <w:pPr>
        <w:pStyle w:val="29"/>
        <w:spacing w:line="440" w:lineRule="exact"/>
        <w:ind w:firstLine="728" w:firstLineChars="347"/>
        <w:rPr>
          <w:color w:val="auto"/>
          <w:highlight w:val="none"/>
        </w:rPr>
      </w:pPr>
      <w:bookmarkStart w:id="4" w:name="_Toc254970548"/>
      <w:bookmarkStart w:id="5" w:name="_Toc254970689"/>
      <w:r>
        <w:rPr>
          <w:rFonts w:hint="eastAsia"/>
          <w:color w:val="auto"/>
          <w:highlight w:val="none"/>
        </w:rPr>
        <w:t>所有与本招标文件有关的函件请按下列通讯地址联系：</w:t>
      </w:r>
    </w:p>
    <w:p>
      <w:pPr>
        <w:pStyle w:val="29"/>
        <w:tabs>
          <w:tab w:val="left" w:pos="1990"/>
        </w:tabs>
        <w:spacing w:line="440" w:lineRule="exact"/>
        <w:ind w:firstLine="709"/>
        <w:rPr>
          <w:color w:val="auto"/>
          <w:highlight w:val="none"/>
          <w:u w:val="single"/>
        </w:rPr>
      </w:pPr>
      <w:r>
        <w:rPr>
          <w:rFonts w:hint="eastAsia"/>
          <w:color w:val="auto"/>
          <w:highlight w:val="none"/>
        </w:rPr>
        <w:t>邮政编码：530022</w:t>
      </w:r>
    </w:p>
    <w:p>
      <w:pPr>
        <w:pStyle w:val="29"/>
        <w:tabs>
          <w:tab w:val="left" w:pos="1990"/>
        </w:tabs>
        <w:spacing w:line="440" w:lineRule="exact"/>
        <w:ind w:firstLine="709"/>
        <w:rPr>
          <w:color w:val="auto"/>
          <w:spacing w:val="-4"/>
          <w:highlight w:val="none"/>
          <w:lang w:val="en"/>
        </w:rPr>
      </w:pPr>
      <w:r>
        <w:rPr>
          <w:rFonts w:hint="eastAsia"/>
          <w:color w:val="auto"/>
          <w:highlight w:val="none"/>
        </w:rPr>
        <w:t xml:space="preserve">通讯地址：广西南宁市星湖路22号 </w:t>
      </w:r>
    </w:p>
    <w:p>
      <w:pPr>
        <w:pStyle w:val="29"/>
        <w:spacing w:line="440" w:lineRule="exact"/>
        <w:ind w:firstLine="707" w:firstLineChars="337"/>
        <w:rPr>
          <w:color w:val="auto"/>
          <w:highlight w:val="none"/>
        </w:rPr>
      </w:pPr>
      <w:r>
        <w:rPr>
          <w:rFonts w:hint="eastAsia"/>
          <w:color w:val="auto"/>
          <w:highlight w:val="none"/>
        </w:rPr>
        <w:t>电    话：</w:t>
      </w:r>
      <w:r>
        <w:rPr>
          <w:rFonts w:hint="eastAsia"/>
          <w:color w:val="auto"/>
          <w:highlight w:val="none"/>
          <w:lang w:val="en-US" w:eastAsia="zh-CN"/>
        </w:rPr>
        <w:t>0771-8600343</w:t>
      </w:r>
      <w:r>
        <w:rPr>
          <w:rFonts w:hint="eastAsia"/>
          <w:color w:val="auto"/>
          <w:highlight w:val="none"/>
        </w:rPr>
        <w:t xml:space="preserve"> </w:t>
      </w:r>
    </w:p>
    <w:p>
      <w:pPr>
        <w:pStyle w:val="29"/>
        <w:spacing w:line="360" w:lineRule="exact"/>
        <w:ind w:firstLine="824"/>
        <w:rPr>
          <w:rFonts w:hint="eastAsia"/>
          <w:color w:val="auto"/>
          <w:highlight w:val="none"/>
        </w:rPr>
      </w:pPr>
    </w:p>
    <w:p>
      <w:pPr>
        <w:pStyle w:val="29"/>
        <w:snapToGrid w:val="0"/>
        <w:spacing w:before="120" w:after="120"/>
        <w:jc w:val="center"/>
        <w:outlineLvl w:val="0"/>
        <w:rPr>
          <w:rFonts w:hint="eastAsia" w:ascii="黑体" w:eastAsia="黑体"/>
          <w:b/>
          <w:color w:val="auto"/>
          <w:sz w:val="44"/>
          <w:szCs w:val="44"/>
          <w:highlight w:val="none"/>
        </w:rPr>
      </w:pPr>
      <w:r>
        <w:rPr>
          <w:rFonts w:hint="eastAsia" w:ascii="黑体" w:eastAsia="黑体"/>
          <w:b/>
          <w:color w:val="auto"/>
          <w:sz w:val="44"/>
          <w:szCs w:val="44"/>
          <w:highlight w:val="none"/>
        </w:rPr>
        <w:br w:type="page"/>
      </w:r>
    </w:p>
    <w:p>
      <w:pPr>
        <w:pStyle w:val="29"/>
        <w:snapToGrid w:val="0"/>
        <w:spacing w:before="120" w:after="120"/>
        <w:jc w:val="center"/>
        <w:outlineLvl w:val="0"/>
        <w:rPr>
          <w:rFonts w:hint="eastAsia" w:ascii="黑体" w:eastAsia="黑体"/>
          <w:b/>
          <w:color w:val="auto"/>
          <w:sz w:val="32"/>
          <w:szCs w:val="32"/>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6"/>
        <w:rPr>
          <w:rFonts w:hint="eastAsia"/>
          <w:color w:val="auto"/>
          <w:highlight w:val="none"/>
        </w:rPr>
      </w:pPr>
    </w:p>
    <w:p>
      <w:pPr>
        <w:pStyle w:val="29"/>
        <w:snapToGrid w:val="0"/>
        <w:spacing w:before="120" w:after="120"/>
        <w:jc w:val="center"/>
        <w:outlineLvl w:val="0"/>
        <w:rPr>
          <w:rFonts w:hint="eastAsia" w:ascii="黑体" w:eastAsia="黑体"/>
          <w:b/>
          <w:color w:val="auto"/>
          <w:sz w:val="44"/>
          <w:szCs w:val="44"/>
          <w:highlight w:val="none"/>
        </w:rPr>
      </w:pPr>
    </w:p>
    <w:bookmarkEnd w:id="4"/>
    <w:bookmarkEnd w:id="5"/>
    <w:p>
      <w:pPr>
        <w:pStyle w:val="29"/>
        <w:snapToGrid w:val="0"/>
        <w:spacing w:before="120" w:after="120"/>
        <w:jc w:val="center"/>
        <w:outlineLvl w:val="0"/>
        <w:rPr>
          <w:rFonts w:hint="eastAsia" w:ascii="黑体" w:eastAsia="黑体"/>
          <w:b/>
          <w:color w:val="auto"/>
          <w:sz w:val="44"/>
          <w:szCs w:val="44"/>
          <w:highlight w:val="none"/>
        </w:rPr>
      </w:pPr>
      <w:r>
        <w:rPr>
          <w:rFonts w:hint="eastAsia" w:ascii="仿宋_GB2312" w:eastAsia="仿宋_GB2312"/>
          <w:b/>
          <w:color w:val="auto"/>
          <w:sz w:val="44"/>
          <w:szCs w:val="44"/>
          <w:highlight w:val="none"/>
        </w:rPr>
        <w:t>第四章  评标办法及评分标准</w:t>
      </w:r>
    </w:p>
    <w:p>
      <w:pPr>
        <w:spacing w:line="340" w:lineRule="exact"/>
        <w:ind w:firstLine="420" w:firstLineChars="200"/>
        <w:jc w:val="center"/>
        <w:rPr>
          <w:bCs/>
          <w:color w:val="auto"/>
          <w:highlight w:val="none"/>
        </w:rPr>
      </w:pPr>
      <w:r>
        <w:rPr>
          <w:bCs/>
          <w:color w:val="auto"/>
          <w:highlight w:val="none"/>
        </w:rPr>
        <w:br w:type="page"/>
      </w: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(适用于分标1）</w:t>
      </w:r>
    </w:p>
    <w:p>
      <w:pPr>
        <w:spacing w:line="360" w:lineRule="exact"/>
        <w:jc w:val="center"/>
        <w:rPr>
          <w:rFonts w:hAnsi="宋体"/>
          <w:b/>
          <w:dstrike/>
          <w:color w:val="auto"/>
          <w:sz w:val="28"/>
          <w:szCs w:val="28"/>
          <w:highlight w:val="none"/>
        </w:rPr>
      </w:pPr>
    </w:p>
    <w:p>
      <w:pPr>
        <w:pStyle w:val="29"/>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9"/>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9"/>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9"/>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9"/>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9"/>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9"/>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9"/>
        <w:spacing w:line="400" w:lineRule="exact"/>
        <w:ind w:firstLine="421" w:firstLineChars="200"/>
        <w:outlineLvl w:val="0"/>
        <w:rPr>
          <w:rFonts w:hint="eastAsia"/>
          <w:b/>
          <w:color w:val="auto"/>
          <w:highlight w:val="none"/>
        </w:rPr>
      </w:pP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1" w:firstLineChars="200"/>
        <w:rPr>
          <w:rFonts w:hint="eastAsia"/>
          <w:b/>
          <w:color w:val="auto"/>
          <w:highlight w:val="none"/>
        </w:rPr>
      </w:pPr>
    </w:p>
    <w:p>
      <w:pPr>
        <w:pStyle w:val="29"/>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（1）技术性能及配置分（满分15分）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1分，满分15分。</w:t>
      </w:r>
    </w:p>
    <w:p>
      <w:pPr>
        <w:pStyle w:val="29"/>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14</w:t>
      </w:r>
      <w:r>
        <w:rPr>
          <w:rFonts w:hint="eastAsia" w:ascii="宋体" w:hAnsi="宋体"/>
          <w:b/>
          <w:bCs/>
          <w:color w:val="auto"/>
          <w:kern w:val="2"/>
          <w:sz w:val="21"/>
          <w:szCs w:val="21"/>
          <w:highlight w:val="none"/>
        </w:rPr>
        <w:t>分）</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9</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11</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14</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未提供方案或方案达不到进档要求的得0分。</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rPr>
        <w:t>未提供方案或方案达不到进档要求的得0分。</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rPr>
        <w:t>未提供方案或方案达不到进档要求的得0分。</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（满分3分）</w:t>
      </w:r>
    </w:p>
    <w:p>
      <w:pPr>
        <w:pStyle w:val="6"/>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第1项“3D陶瓷打印机”、2项“大型光固化3D打印机”、17项“打印机”、18项“三维扫描仪”、19项“3D扫描仪”、20项“3D打印机1”、21项“3D打印机2”、22项“3D打印机3”、23项“3D打印机4”、24项“3D打印机5”、25项“3D打印机6”、26项“3D打印机7”产品质保期均每延长一年增加1分，满分3分。</w:t>
      </w:r>
    </w:p>
    <w:p>
      <w:pPr>
        <w:pStyle w:val="29"/>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6"/>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1 + 2 + 3</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80" w:lineRule="exact"/>
        <w:ind w:firstLine="420" w:firstLineChars="200"/>
        <w:rPr>
          <w:rFonts w:hint="eastAsia"/>
          <w:bCs/>
          <w:color w:val="auto"/>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spacing w:line="340" w:lineRule="exact"/>
        <w:ind w:firstLine="642" w:firstLineChars="200"/>
        <w:jc w:val="center"/>
        <w:rPr>
          <w:rFonts w:hint="eastAsia" w:ascii="仿宋_GB2312" w:hAnsi="宋体" w:eastAsia="仿宋_GB2312"/>
          <w:b/>
          <w:color w:val="auto"/>
          <w:sz w:val="32"/>
          <w:szCs w:val="32"/>
          <w:highlight w:val="none"/>
        </w:r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eastAsia" w:ascii="仿宋_GB2312" w:hAnsi="宋体" w:eastAsia="仿宋_GB2312"/>
          <w:b/>
          <w:color w:val="auto"/>
          <w:sz w:val="24"/>
          <w:szCs w:val="24"/>
          <w:highlight w:val="none"/>
          <w:u w:val="single"/>
          <w:lang w:eastAsia="zh-CN"/>
        </w:rPr>
      </w:pPr>
      <w:r>
        <w:rPr>
          <w:rFonts w:hint="eastAsia" w:ascii="仿宋_GB2312" w:hAnsi="宋体" w:eastAsia="仿宋_GB2312"/>
          <w:b/>
          <w:color w:val="auto"/>
          <w:sz w:val="24"/>
          <w:szCs w:val="24"/>
          <w:highlight w:val="none"/>
          <w:u w:val="single"/>
          <w:lang w:eastAsia="zh-CN"/>
        </w:rPr>
        <w:t>（适用于</w:t>
      </w:r>
      <w:r>
        <w:rPr>
          <w:rFonts w:hint="eastAsia" w:ascii="仿宋_GB2312" w:hAnsi="宋体" w:eastAsia="仿宋_GB2312"/>
          <w:b/>
          <w:color w:val="auto"/>
          <w:sz w:val="24"/>
          <w:szCs w:val="24"/>
          <w:highlight w:val="none"/>
          <w:u w:val="single"/>
          <w:lang w:val="en-US" w:eastAsia="zh-CN"/>
        </w:rPr>
        <w:t>分标2</w:t>
      </w:r>
      <w:r>
        <w:rPr>
          <w:rFonts w:hint="eastAsia" w:ascii="仿宋_GB2312" w:hAnsi="宋体" w:eastAsia="仿宋_GB2312"/>
          <w:b/>
          <w:color w:val="auto"/>
          <w:sz w:val="24"/>
          <w:szCs w:val="24"/>
          <w:highlight w:val="none"/>
          <w:u w:val="single"/>
          <w:lang w:eastAsia="zh-CN"/>
        </w:rPr>
        <w:t>）</w:t>
      </w:r>
    </w:p>
    <w:p>
      <w:pPr>
        <w:spacing w:line="360" w:lineRule="exact"/>
        <w:jc w:val="center"/>
        <w:rPr>
          <w:rFonts w:hAnsi="宋体"/>
          <w:b/>
          <w:dstrike/>
          <w:color w:val="auto"/>
          <w:sz w:val="28"/>
          <w:szCs w:val="28"/>
          <w:highlight w:val="none"/>
        </w:rPr>
      </w:pPr>
    </w:p>
    <w:p>
      <w:pPr>
        <w:pStyle w:val="29"/>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9"/>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9"/>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9"/>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9"/>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9"/>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9"/>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9"/>
        <w:spacing w:line="400" w:lineRule="exact"/>
        <w:ind w:firstLine="421" w:firstLineChars="200"/>
        <w:outlineLvl w:val="0"/>
        <w:rPr>
          <w:rFonts w:hint="eastAsia"/>
          <w:b/>
          <w:color w:val="auto"/>
          <w:highlight w:val="none"/>
        </w:rPr>
      </w:pP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1" w:firstLineChars="200"/>
        <w:rPr>
          <w:rFonts w:hint="eastAsia"/>
          <w:b/>
          <w:color w:val="auto"/>
          <w:highlight w:val="none"/>
        </w:rPr>
      </w:pPr>
    </w:p>
    <w:p>
      <w:pPr>
        <w:pStyle w:val="29"/>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bCs/>
          <w:color w:val="auto"/>
          <w:spacing w:val="-8"/>
          <w:highlight w:val="none"/>
        </w:rPr>
        <w:t>………………………………………………………………………………………</w:t>
      </w:r>
      <w:r>
        <w:rPr>
          <w:rFonts w:hint="eastAsia" w:hAnsi="宋体"/>
          <w:b/>
          <w:bCs/>
          <w:color w:val="auto"/>
          <w:spacing w:val="-8"/>
          <w:highlight w:val="none"/>
          <w:lang w:val="en-US" w:eastAsia="zh-CN"/>
        </w:rPr>
        <w:t>53</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 xml:space="preserve">    （1）技术性能及配置分（满分12分）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2分，满分12分。</w:t>
      </w:r>
    </w:p>
    <w:p>
      <w:pPr>
        <w:pStyle w:val="29"/>
        <w:spacing w:line="400" w:lineRule="exact"/>
        <w:ind w:firstLine="420" w:firstLineChars="20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20</w:t>
      </w:r>
      <w:r>
        <w:rPr>
          <w:rFonts w:hint="eastAsia" w:ascii="宋体" w:hAnsi="宋体"/>
          <w:b/>
          <w:bCs/>
          <w:color w:val="auto"/>
          <w:kern w:val="2"/>
          <w:sz w:val="21"/>
          <w:szCs w:val="21"/>
          <w:highlight w:val="none"/>
        </w:rPr>
        <w:t>分）</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14</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hAnsi="宋体"/>
          <w:color w:val="auto"/>
          <w:kern w:val="2"/>
          <w:sz w:val="21"/>
          <w:highlight w:val="none"/>
        </w:rPr>
        <w:t>。</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17</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hAnsi="宋体"/>
          <w:color w:val="auto"/>
          <w:kern w:val="2"/>
          <w:sz w:val="21"/>
          <w:highlight w:val="none"/>
        </w:rPr>
        <w:t>。</w:t>
      </w:r>
    </w:p>
    <w:p>
      <w:pPr>
        <w:pStyle w:val="29"/>
        <w:spacing w:line="360" w:lineRule="exact"/>
        <w:rPr>
          <w:rFonts w:hint="eastAsia" w:ascii="宋体" w:hAnsi="宋体" w:eastAsia="宋体" w:cs="Times New Roman"/>
          <w:bCs/>
          <w:color w:val="auto"/>
          <w:kern w:val="2"/>
          <w:sz w:val="21"/>
          <w:szCs w:val="21"/>
          <w:highlight w:val="none"/>
          <w:lang w:val="en-US" w:eastAsia="zh-CN" w:bidi="ar-SA"/>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20</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r>
        <w:rPr>
          <w:rFonts w:hint="eastAsia" w:hAnsi="宋体"/>
          <w:color w:val="auto"/>
          <w:kern w:val="2"/>
          <w:sz w:val="21"/>
          <w:highlight w:val="none"/>
          <w:lang w:eastAsia="zh-CN"/>
        </w:rPr>
        <w:t>，</w:t>
      </w:r>
      <w:r>
        <w:rPr>
          <w:rFonts w:hint="eastAsia" w:hAnsi="宋体"/>
          <w:color w:val="auto"/>
          <w:kern w:val="2"/>
          <w:sz w:val="21"/>
          <w:highlight w:val="none"/>
          <w:lang w:val="en-US" w:eastAsia="zh-CN"/>
        </w:rPr>
        <w:t>明确同时进场的安装人员数量</w:t>
      </w:r>
      <w:r>
        <w:rPr>
          <w:rFonts w:hint="eastAsia" w:ascii="宋体" w:hAnsi="宋体" w:eastAsia="宋体" w:cs="Times New Roman"/>
          <w:bCs/>
          <w:color w:val="auto"/>
          <w:kern w:val="2"/>
          <w:sz w:val="21"/>
          <w:szCs w:val="21"/>
          <w:highlight w:val="none"/>
          <w:lang w:val="en-US" w:eastAsia="zh-CN" w:bidi="ar-SA"/>
        </w:rPr>
        <w:t>。</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ascii="宋体" w:hAnsi="宋体" w:cs="Times New Roman"/>
          <w:bCs/>
          <w:color w:val="auto"/>
          <w:kern w:val="2"/>
          <w:sz w:val="21"/>
          <w:szCs w:val="21"/>
          <w:highlight w:val="none"/>
          <w:lang w:val="en-US" w:eastAsia="zh-CN" w:bidi="ar-SA"/>
        </w:rPr>
        <w:t>（</w:t>
      </w:r>
      <w:r>
        <w:rPr>
          <w:rFonts w:hint="eastAsia" w:ascii="宋体" w:hAnsi="宋体" w:eastAsia="宋体" w:cs="Times New Roman"/>
          <w:bCs/>
          <w:color w:val="auto"/>
          <w:kern w:val="2"/>
          <w:sz w:val="21"/>
          <w:szCs w:val="21"/>
          <w:highlight w:val="none"/>
          <w:lang w:val="en-US" w:eastAsia="zh-CN" w:bidi="ar-SA"/>
        </w:rPr>
        <w:t>未提供方案或方案达不到进档要求的得0分。</w:t>
      </w:r>
      <w:r>
        <w:rPr>
          <w:rFonts w:hint="eastAsia" w:ascii="宋体" w:hAnsi="宋体" w:cs="Times New Roman"/>
          <w:bCs/>
          <w:color w:val="auto"/>
          <w:kern w:val="2"/>
          <w:sz w:val="21"/>
          <w:szCs w:val="21"/>
          <w:highlight w:val="none"/>
          <w:lang w:val="en-US" w:eastAsia="zh-CN" w:bidi="ar-SA"/>
        </w:rPr>
        <w:t>）</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18</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12</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15</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18</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ind w:firstLine="0" w:firstLineChars="0"/>
        <w:rPr>
          <w:rFonts w:hint="eastAsia"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未提供方案或方案达不到进档要求的得0分。</w:t>
      </w:r>
      <w:r>
        <w:rPr>
          <w:rFonts w:hint="eastAsia" w:hAnsi="宋体"/>
          <w:color w:val="auto"/>
          <w:kern w:val="2"/>
          <w:sz w:val="21"/>
          <w:highlight w:val="none"/>
          <w:lang w:val="en-US" w:eastAsia="zh-CN"/>
        </w:rPr>
        <w:t>）</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（4）</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3</w:t>
      </w:r>
      <w:r>
        <w:rPr>
          <w:rFonts w:hint="eastAsia" w:ascii="宋体" w:hAnsi="宋体" w:eastAsia="宋体" w:cs="Times New Roman"/>
          <w:b/>
          <w:bCs/>
          <w:color w:val="auto"/>
          <w:szCs w:val="21"/>
          <w:highlight w:val="none"/>
        </w:rPr>
        <w:t>分）</w:t>
      </w:r>
    </w:p>
    <w:p>
      <w:pPr>
        <w:pStyle w:val="6"/>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满足基本质保期的基础上，投标人承诺项号第1项产品“空调”质保期每延长一年增加1分，满分3分。</w:t>
      </w:r>
    </w:p>
    <w:p>
      <w:pPr>
        <w:pStyle w:val="29"/>
        <w:numPr>
          <w:ilvl w:val="-1"/>
          <w:numId w:val="0"/>
        </w:numPr>
        <w:spacing w:line="400" w:lineRule="exact"/>
        <w:ind w:firstLine="632" w:firstLineChars="300"/>
        <w:rPr>
          <w:rFonts w:hint="eastAsia"/>
          <w:b/>
          <w:color w:val="auto"/>
          <w:highlight w:val="none"/>
        </w:rPr>
      </w:pPr>
      <w:r>
        <w:rPr>
          <w:rFonts w:hint="eastAsia"/>
          <w:b/>
          <w:bCs/>
          <w:color w:val="auto"/>
          <w:highlight w:val="none"/>
          <w:lang w:val="en-US" w:eastAsia="zh-CN"/>
        </w:rPr>
        <w:t>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17</w:t>
      </w:r>
      <w:r>
        <w:rPr>
          <w:rFonts w:hint="eastAsia"/>
          <w:b/>
          <w:color w:val="auto"/>
          <w:highlight w:val="none"/>
        </w:rPr>
        <w:t>分</w:t>
      </w:r>
    </w:p>
    <w:p>
      <w:pPr>
        <w:spacing w:line="410" w:lineRule="exact"/>
        <w:jc w:val="both"/>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     （1）信誉分（满分7分）</w:t>
      </w:r>
    </w:p>
    <w:p>
      <w:pPr>
        <w:spacing w:line="410" w:lineRule="exact"/>
        <w:jc w:val="both"/>
        <w:rPr>
          <w:rFonts w:hint="eastAsia"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①</w:t>
      </w:r>
      <w:r>
        <w:rPr>
          <w:rFonts w:hint="eastAsia" w:ascii="宋体" w:hAnsi="宋体"/>
          <w:color w:val="auto"/>
          <w:szCs w:val="21"/>
          <w:highlight w:val="none"/>
        </w:rPr>
        <w:t>投标人或投标生产厂家具有质量管理体系认证证书、环境管理体系认证证书、职业健康安全管理体系认证证书，每有一项证书得1分，满分3分。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s="Times New Roman"/>
          <w:color w:val="auto"/>
          <w:kern w:val="2"/>
          <w:sz w:val="21"/>
          <w:szCs w:val="21"/>
          <w:highlight w:val="none"/>
          <w:lang w:val="en-US" w:eastAsia="zh-CN" w:bidi="ar-SA"/>
        </w:rPr>
        <w:t>②</w:t>
      </w:r>
      <w:r>
        <w:rPr>
          <w:rFonts w:hint="eastAsia" w:ascii="宋体" w:hAnsi="宋体"/>
          <w:color w:val="auto"/>
          <w:szCs w:val="21"/>
          <w:highlight w:val="none"/>
          <w:lang w:val="en-US" w:eastAsia="zh-CN"/>
        </w:rPr>
        <w:t>所投产品生产厂家获得</w:t>
      </w:r>
      <w:r>
        <w:rPr>
          <w:rFonts w:hint="eastAsia" w:ascii="宋体" w:hAnsi="宋体" w:eastAsia="宋体" w:cs="宋体"/>
          <w:color w:val="auto"/>
          <w:kern w:val="0"/>
          <w:szCs w:val="21"/>
          <w:highlight w:val="none"/>
        </w:rPr>
        <w:t>由国务院颁发的“国家科学技术进步</w:t>
      </w:r>
      <w:r>
        <w:rPr>
          <w:rFonts w:hint="eastAsia" w:ascii="宋体" w:hAnsi="宋体" w:cs="宋体"/>
          <w:color w:val="auto"/>
          <w:kern w:val="0"/>
          <w:szCs w:val="21"/>
          <w:highlight w:val="none"/>
          <w:lang w:val="en-US" w:eastAsia="zh-CN"/>
        </w:rPr>
        <w:t>奖</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或以上</w:t>
      </w:r>
      <w:r>
        <w:rPr>
          <w:rFonts w:hint="eastAsia" w:ascii="宋体" w:hAnsi="宋体"/>
          <w:color w:val="auto"/>
          <w:szCs w:val="21"/>
          <w:highlight w:val="none"/>
          <w:lang w:val="en-US" w:eastAsia="zh-CN"/>
        </w:rPr>
        <w:t>奖项，每项2分，满分4分。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6"/>
        <w:numPr>
          <w:ilvl w:val="0"/>
          <w:numId w:val="14"/>
        </w:numPr>
        <w:ind w:left="420" w:leftChars="0" w:firstLine="0" w:firstLineChars="0"/>
        <w:jc w:val="both"/>
        <w:rPr>
          <w:rFonts w:hint="eastAsia" w:ascii="宋体" w:hAnsi="宋体" w:eastAsia="宋体"/>
          <w:color w:val="auto"/>
          <w:kern w:val="2"/>
          <w:sz w:val="21"/>
          <w:szCs w:val="21"/>
          <w:highlight w:val="none"/>
          <w:lang w:eastAsia="zh-CN"/>
        </w:rPr>
      </w:pPr>
      <w:r>
        <w:rPr>
          <w:rFonts w:hint="eastAsia" w:ascii="宋体" w:hAnsi="宋体" w:eastAsia="宋体"/>
          <w:color w:val="auto"/>
          <w:kern w:val="2"/>
          <w:sz w:val="21"/>
          <w:szCs w:val="21"/>
          <w:highlight w:val="none"/>
          <w:lang w:eastAsia="zh-CN"/>
        </w:rPr>
        <w:t>业绩分（满分</w:t>
      </w:r>
      <w:r>
        <w:rPr>
          <w:rFonts w:hint="eastAsia" w:ascii="宋体" w:hAnsi="宋体" w:eastAsia="宋体"/>
          <w:color w:val="auto"/>
          <w:kern w:val="2"/>
          <w:sz w:val="21"/>
          <w:szCs w:val="21"/>
          <w:highlight w:val="none"/>
          <w:lang w:val="en-US" w:eastAsia="zh-CN"/>
        </w:rPr>
        <w:t>8分</w:t>
      </w:r>
      <w:r>
        <w:rPr>
          <w:rFonts w:hint="eastAsia" w:ascii="宋体" w:hAnsi="宋体" w:eastAsia="宋体"/>
          <w:color w:val="auto"/>
          <w:kern w:val="2"/>
          <w:sz w:val="21"/>
          <w:szCs w:val="21"/>
          <w:highlight w:val="none"/>
          <w:lang w:eastAsia="zh-CN"/>
        </w:rPr>
        <w:t>）</w:t>
      </w:r>
    </w:p>
    <w:p>
      <w:pPr>
        <w:pStyle w:val="6"/>
        <w:numPr>
          <w:ilvl w:val="0"/>
          <w:numId w:val="0"/>
        </w:numPr>
        <w:jc w:val="both"/>
        <w:rPr>
          <w:rFonts w:hint="eastAsia" w:ascii="宋体" w:hAnsi="宋体" w:eastAsia="宋体" w:cs="Times New Roman"/>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分，满分</w:t>
      </w:r>
      <w:r>
        <w:rPr>
          <w:rFonts w:hint="eastAsia" w:ascii="宋体" w:hAnsi="宋体" w:eastAsia="宋体"/>
          <w:color w:val="auto"/>
          <w:kern w:val="2"/>
          <w:sz w:val="21"/>
          <w:szCs w:val="21"/>
          <w:highlight w:val="none"/>
          <w:lang w:val="en-US" w:eastAsia="zh-CN"/>
        </w:rPr>
        <w:t>8</w:t>
      </w:r>
      <w:r>
        <w:rPr>
          <w:rFonts w:hint="eastAsia" w:ascii="宋体" w:hAnsi="宋体" w:eastAsia="宋体"/>
          <w:color w:val="auto"/>
          <w:kern w:val="2"/>
          <w:sz w:val="21"/>
          <w:szCs w:val="21"/>
          <w:highlight w:val="none"/>
        </w:rPr>
        <w:t>分；投标文件中提供有效的合同复印件。</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r>
        <w:rPr>
          <w:rFonts w:hint="eastAsia" w:ascii="宋体" w:hAnsi="宋体" w:eastAsia="宋体" w:cs="Times New Roman"/>
          <w:color w:val="auto"/>
          <w:kern w:val="2"/>
          <w:sz w:val="21"/>
          <w:szCs w:val="21"/>
          <w:highlight w:val="none"/>
          <w:lang w:val="en-US" w:eastAsia="zh-CN" w:bidi="ar-SA"/>
        </w:rPr>
        <w:t>3）政策功能分（满分</w:t>
      </w: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①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1分，满分1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②产品纳入（财库[2019]18号）中环境标志产品政府采购清单（依据《市场监管总局关于发布参与实施政府采购节能产品、环境标志产品认证机构名录的公告》，提供所投相应型号产品有效的认证证书扫描件或其他电子文件）的得1分，满分1分。</w:t>
      </w: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napToGrid w:val="0"/>
        <w:spacing w:before="120" w:after="120" w:line="400" w:lineRule="exact"/>
        <w:ind w:firstLine="420" w:firstLineChars="200"/>
        <w:jc w:val="left"/>
        <w:outlineLvl w:val="0"/>
        <w:rPr>
          <w:rFonts w:hint="eastAsia"/>
          <w:color w:val="auto"/>
          <w:highlight w:val="none"/>
        </w:rPr>
        <w:sectPr>
          <w:foot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(适用于分标3）</w:t>
      </w:r>
    </w:p>
    <w:p>
      <w:pPr>
        <w:spacing w:line="360" w:lineRule="exact"/>
        <w:jc w:val="center"/>
        <w:rPr>
          <w:rFonts w:hAnsi="宋体"/>
          <w:b/>
          <w:dstrike/>
          <w:color w:val="auto"/>
          <w:sz w:val="28"/>
          <w:szCs w:val="28"/>
          <w:highlight w:val="none"/>
        </w:rPr>
      </w:pPr>
    </w:p>
    <w:p>
      <w:pPr>
        <w:pStyle w:val="29"/>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9"/>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9"/>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9"/>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9"/>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9"/>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9"/>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9"/>
        <w:spacing w:line="400" w:lineRule="exact"/>
        <w:ind w:firstLine="421" w:firstLineChars="200"/>
        <w:outlineLvl w:val="0"/>
        <w:rPr>
          <w:rFonts w:hint="eastAsia"/>
          <w:b/>
          <w:color w:val="auto"/>
          <w:highlight w:val="none"/>
        </w:rPr>
      </w:pP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1" w:firstLineChars="200"/>
        <w:rPr>
          <w:rFonts w:hint="eastAsia"/>
          <w:b/>
          <w:color w:val="auto"/>
          <w:highlight w:val="none"/>
        </w:rPr>
      </w:pPr>
    </w:p>
    <w:p>
      <w:pPr>
        <w:pStyle w:val="29"/>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（1）技术性能及配置分（满分14分）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1分，满分14分。</w:t>
      </w:r>
    </w:p>
    <w:p>
      <w:pPr>
        <w:pStyle w:val="29"/>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14</w:t>
      </w:r>
      <w:r>
        <w:rPr>
          <w:rFonts w:hint="eastAsia" w:ascii="宋体" w:hAnsi="宋体"/>
          <w:b/>
          <w:bCs/>
          <w:color w:val="auto"/>
          <w:kern w:val="2"/>
          <w:sz w:val="21"/>
          <w:szCs w:val="21"/>
          <w:highlight w:val="none"/>
        </w:rPr>
        <w:t>分）</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9</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11</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14</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未提供方案或方案达不到进档要求的得0分。</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rPr>
        <w:t>未提供方案或方案达不到进档要求的得0分。</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rPr>
        <w:t>未提供方案或方案达不到进档要求的得0分。</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4</w:t>
      </w:r>
      <w:r>
        <w:rPr>
          <w:rFonts w:hint="eastAsia" w:ascii="宋体" w:hAnsi="宋体" w:eastAsia="宋体" w:cs="Times New Roman"/>
          <w:b/>
          <w:bCs/>
          <w:color w:val="auto"/>
          <w:szCs w:val="21"/>
          <w:highlight w:val="none"/>
        </w:rPr>
        <w:t>分）</w:t>
      </w:r>
    </w:p>
    <w:p>
      <w:pPr>
        <w:pStyle w:val="6"/>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满足全部产品基本质保期的基础上，投标人承诺项号第1项“版画收纳柜”、3项“版画收纳柜”、4项“中号储物柜”、23项“投影仪”产品质保期均每延长一年增加1分，满分4分。</w:t>
      </w:r>
    </w:p>
    <w:p>
      <w:pPr>
        <w:pStyle w:val="29"/>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6"/>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51"/>
        <w:rPr>
          <w:rFonts w:hint="default" w:ascii="宋体" w:hAnsi="宋体" w:eastAsia="宋体" w:cs="Times New Roman"/>
          <w:color w:val="auto"/>
          <w:kern w:val="2"/>
          <w:sz w:val="21"/>
          <w:szCs w:val="21"/>
          <w:highlight w:val="none"/>
          <w:lang w:val="en-US" w:eastAsia="zh-CN" w:bidi="ar-SA"/>
        </w:rPr>
      </w:pP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5"/>
        <w:rPr>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(适用于分标4）</w:t>
      </w:r>
    </w:p>
    <w:p>
      <w:pPr>
        <w:spacing w:line="360" w:lineRule="exact"/>
        <w:jc w:val="center"/>
        <w:rPr>
          <w:rFonts w:hAnsi="宋体"/>
          <w:b/>
          <w:dstrike/>
          <w:color w:val="auto"/>
          <w:sz w:val="28"/>
          <w:szCs w:val="28"/>
          <w:highlight w:val="none"/>
        </w:rPr>
      </w:pPr>
    </w:p>
    <w:p>
      <w:pPr>
        <w:pStyle w:val="29"/>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9"/>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9"/>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9"/>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9"/>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9"/>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9"/>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9"/>
        <w:spacing w:line="400" w:lineRule="exact"/>
        <w:ind w:firstLine="421" w:firstLineChars="200"/>
        <w:outlineLvl w:val="0"/>
        <w:rPr>
          <w:rFonts w:hint="eastAsia"/>
          <w:b/>
          <w:color w:val="auto"/>
          <w:highlight w:val="none"/>
        </w:rPr>
      </w:pP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1" w:firstLineChars="200"/>
        <w:rPr>
          <w:rFonts w:hint="eastAsia"/>
          <w:b/>
          <w:color w:val="auto"/>
          <w:highlight w:val="none"/>
        </w:rPr>
      </w:pPr>
    </w:p>
    <w:p>
      <w:pPr>
        <w:pStyle w:val="29"/>
        <w:spacing w:line="400" w:lineRule="exact"/>
        <w:ind w:firstLine="421" w:firstLineChars="200"/>
        <w:rPr>
          <w:rFonts w:hAnsi="宋体"/>
          <w:b/>
          <w:color w:val="auto"/>
          <w:highlight w:val="none"/>
          <w:lang w:val="en"/>
        </w:rPr>
      </w:pPr>
      <w:r>
        <w:rPr>
          <w:rFonts w:hAnsi="宋体"/>
          <w:b/>
          <w:color w:val="auto"/>
          <w:highlight w:val="none"/>
          <w:lang w:val="en"/>
        </w:rPr>
        <w:t>2</w:t>
      </w:r>
      <w:r>
        <w:rPr>
          <w:rFonts w:hint="eastAsia" w:hAnsi="宋体"/>
          <w:b/>
          <w:color w:val="auto"/>
          <w:highlight w:val="none"/>
          <w:lang w:val="en" w:eastAsia="zh-CN"/>
        </w:rPr>
        <w:t>、</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60</w:t>
      </w:r>
      <w:r>
        <w:rPr>
          <w:rFonts w:hint="eastAsia"/>
          <w:b/>
          <w:color w:val="auto"/>
          <w:highlight w:val="none"/>
        </w:rPr>
        <w:t>分</w:t>
      </w:r>
    </w:p>
    <w:p>
      <w:pPr>
        <w:keepNext w:val="0"/>
        <w:keepLines w:val="0"/>
        <w:pageBreakBefore w:val="0"/>
        <w:kinsoku/>
        <w:overflowPunct/>
        <w:topLinePunct w:val="0"/>
        <w:autoSpaceDE/>
        <w:autoSpaceDN/>
        <w:bidi w:val="0"/>
        <w:adjustRightInd w:val="0"/>
        <w:spacing w:line="420" w:lineRule="exact"/>
        <w:ind w:firstLine="210" w:firstLineChars="100"/>
        <w:textAlignment w:val="baseline"/>
        <w:rPr>
          <w:rFonts w:hint="eastAsia" w:ascii="汉仪书宋二S" w:hAnsi="汉仪书宋二S" w:eastAsia="汉仪书宋二S" w:cs="汉仪书宋二S"/>
          <w:b/>
          <w:color w:val="auto"/>
          <w:szCs w:val="21"/>
          <w:highlight w:val="none"/>
          <w:shd w:val="clear" w:color="auto" w:fill="auto"/>
          <w:lang w:val="en-US" w:eastAsia="zh-CN"/>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（1）技术性能及配置分（满分10分）</w:t>
      </w:r>
    </w:p>
    <w:p>
      <w:pPr>
        <w:keepNext w:val="0"/>
        <w:keepLines w:val="0"/>
        <w:pageBreakBefore w:val="0"/>
        <w:kinsoku/>
        <w:overflowPunct/>
        <w:topLinePunct w:val="0"/>
        <w:autoSpaceDE/>
        <w:autoSpaceDN/>
        <w:bidi w:val="0"/>
        <w:adjustRightInd w:val="0"/>
        <w:spacing w:line="420" w:lineRule="exact"/>
        <w:textAlignment w:val="baseline"/>
        <w:rPr>
          <w:rFonts w:ascii="宋体" w:hAnsi="宋体"/>
          <w:bCs/>
          <w:color w:val="auto"/>
          <w:szCs w:val="21"/>
          <w:highlight w:val="none"/>
          <w:shd w:val="clear" w:color="auto" w:fill="auto"/>
        </w:rPr>
      </w:pPr>
      <w:r>
        <w:rPr>
          <w:rFonts w:hint="eastAsia" w:ascii="汉仪书宋二S" w:hAnsi="汉仪书宋二S" w:eastAsia="汉仪书宋二S" w:cs="汉仪书宋二S"/>
          <w:b/>
          <w:color w:val="auto"/>
          <w:szCs w:val="21"/>
          <w:highlight w:val="none"/>
          <w:shd w:val="clear" w:color="auto" w:fill="auto"/>
          <w:lang w:val="en-US" w:eastAsia="zh-CN"/>
        </w:rPr>
        <w:t xml:space="preserve">    </w:t>
      </w:r>
      <w:r>
        <w:rPr>
          <w:rFonts w:hint="eastAsia" w:asciiTheme="majorEastAsia" w:hAnsiTheme="majorEastAsia" w:eastAsiaTheme="majorEastAsia" w:cstheme="majorEastAsia"/>
          <w:color w:val="auto"/>
          <w:kern w:val="2"/>
          <w:sz w:val="21"/>
          <w:szCs w:val="21"/>
          <w:highlight w:val="none"/>
          <w:shd w:val="clear" w:color="auto" w:fill="auto"/>
          <w:lang w:val="en-US" w:eastAsia="zh-CN" w:bidi="ar-SA"/>
        </w:rPr>
        <w:t>采购需求一览表中标注“★ ”的技术参数每有一项正偏离的得 1分，满分10分。</w:t>
      </w:r>
    </w:p>
    <w:p>
      <w:pPr>
        <w:pStyle w:val="29"/>
        <w:spacing w:line="400" w:lineRule="exact"/>
        <w:ind w:firstLine="0" w:firstLineChars="0"/>
        <w:rPr>
          <w:rFonts w:hint="eastAsia" w:ascii="宋体" w:hAnsi="宋体" w:eastAsia="宋体" w:cs="Times New Roman"/>
          <w:bCs/>
          <w:color w:val="auto"/>
          <w:szCs w:val="21"/>
          <w:highlight w:val="none"/>
          <w:lang w:eastAsia="zh-CN"/>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p>
      <w:pPr>
        <w:widowControl/>
        <w:ind w:firstLine="420"/>
        <w:jc w:val="left"/>
        <w:rPr>
          <w:rFonts w:hint="eastAsia" w:ascii="宋体" w:hAnsi="宋体"/>
          <w:b/>
          <w:bCs/>
          <w:color w:val="auto"/>
          <w:kern w:val="2"/>
          <w:sz w:val="21"/>
          <w:szCs w:val="21"/>
          <w:highlight w:val="none"/>
        </w:rPr>
      </w:pPr>
      <w:r>
        <w:rPr>
          <w:rFonts w:hint="eastAsia" w:ascii="汉仪书宋二S" w:hAnsi="汉仪书宋二S" w:eastAsia="汉仪书宋二S" w:cs="汉仪书宋二S"/>
          <w:b/>
          <w:bCs/>
          <w:color w:val="auto"/>
          <w:szCs w:val="21"/>
          <w:highlight w:val="none"/>
          <w:lang w:eastAsia="zh-CN"/>
        </w:rPr>
        <w:t>（</w:t>
      </w:r>
      <w:r>
        <w:rPr>
          <w:rFonts w:hint="eastAsia" w:ascii="汉仪书宋二S" w:hAnsi="汉仪书宋二S" w:eastAsia="汉仪书宋二S" w:cs="汉仪书宋二S"/>
          <w:b/>
          <w:bCs/>
          <w:color w:val="auto"/>
          <w:szCs w:val="21"/>
          <w:highlight w:val="none"/>
          <w:lang w:val="en-US" w:eastAsia="zh-CN"/>
        </w:rPr>
        <w:t>2</w:t>
      </w:r>
      <w:r>
        <w:rPr>
          <w:rFonts w:hint="eastAsia" w:ascii="汉仪书宋二S" w:hAnsi="汉仪书宋二S" w:eastAsia="汉仪书宋二S" w:cs="汉仪书宋二S"/>
          <w:b/>
          <w:bCs/>
          <w:color w:val="auto"/>
          <w:szCs w:val="21"/>
          <w:highlight w:val="none"/>
          <w:lang w:eastAsia="zh-CN"/>
        </w:rPr>
        <w:t>）</w:t>
      </w:r>
      <w:r>
        <w:rPr>
          <w:rFonts w:hint="eastAsia" w:ascii="宋体" w:hAnsi="宋体"/>
          <w:b/>
          <w:bCs/>
          <w:color w:val="auto"/>
          <w:szCs w:val="21"/>
          <w:highlight w:val="none"/>
        </w:rPr>
        <w:t>项目实施方案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17</w:t>
      </w:r>
      <w:r>
        <w:rPr>
          <w:rFonts w:hint="eastAsia" w:ascii="宋体" w:hAnsi="宋体"/>
          <w:b/>
          <w:bCs/>
          <w:color w:val="auto"/>
          <w:kern w:val="2"/>
          <w:sz w:val="21"/>
          <w:szCs w:val="21"/>
          <w:highlight w:val="none"/>
        </w:rPr>
        <w:t>分）</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一档（</w:t>
      </w:r>
      <w:r>
        <w:rPr>
          <w:rFonts w:hint="eastAsia" w:hAnsi="宋体"/>
          <w:color w:val="auto"/>
          <w:kern w:val="2"/>
          <w:sz w:val="21"/>
          <w:highlight w:val="none"/>
          <w:lang w:val="en-US" w:eastAsia="zh-CN"/>
        </w:rPr>
        <w:t>11</w:t>
      </w:r>
      <w:r>
        <w:rPr>
          <w:rFonts w:hint="eastAsia" w:hAnsi="宋体"/>
          <w:color w:val="auto"/>
          <w:kern w:val="2"/>
          <w:sz w:val="21"/>
          <w:highlight w:val="none"/>
        </w:rPr>
        <w:t>分）：方案包含从货源组织、设备运输、货到现场后安装调试等所有供货流程及进度计划安排，所有环节步骤清晰，责任人员明确，能确保产品供货。</w:t>
      </w:r>
    </w:p>
    <w:p>
      <w:pPr>
        <w:pStyle w:val="29"/>
        <w:spacing w:line="360" w:lineRule="exact"/>
        <w:rPr>
          <w:rFonts w:hAnsi="宋体"/>
          <w:color w:val="auto"/>
          <w:kern w:val="2"/>
          <w:sz w:val="21"/>
          <w:highlight w:val="none"/>
        </w:rPr>
      </w:pPr>
      <w:r>
        <w:rPr>
          <w:rFonts w:hint="eastAsia" w:hAnsi="宋体"/>
          <w:color w:val="auto"/>
          <w:kern w:val="2"/>
          <w:sz w:val="21"/>
          <w:highlight w:val="none"/>
          <w:lang w:val="en-US" w:eastAsia="zh-CN"/>
        </w:rPr>
        <w:t xml:space="preserve">    </w:t>
      </w:r>
      <w:r>
        <w:rPr>
          <w:rFonts w:hint="eastAsia" w:hAnsi="宋体"/>
          <w:color w:val="auto"/>
          <w:kern w:val="2"/>
          <w:sz w:val="21"/>
          <w:highlight w:val="none"/>
        </w:rPr>
        <w:t>二档（</w:t>
      </w:r>
      <w:r>
        <w:rPr>
          <w:rFonts w:hint="eastAsia" w:hAnsi="宋体"/>
          <w:color w:val="auto"/>
          <w:kern w:val="2"/>
          <w:sz w:val="21"/>
          <w:highlight w:val="none"/>
          <w:lang w:val="en-US" w:eastAsia="zh-CN"/>
        </w:rPr>
        <w:t>14</w:t>
      </w:r>
      <w:r>
        <w:rPr>
          <w:rFonts w:hint="eastAsia" w:hAnsi="宋体"/>
          <w:color w:val="auto"/>
          <w:kern w:val="2"/>
          <w:sz w:val="21"/>
          <w:highlight w:val="none"/>
        </w:rPr>
        <w:t>分）：在上一档的基础上，完整列明各实施环节的实施办法和保障措施，分析供货流程各环节可能出现的问题并提出解决措施，同时提供现场安装调试方案。</w:t>
      </w:r>
    </w:p>
    <w:p>
      <w:pPr>
        <w:pStyle w:val="51"/>
        <w:rPr>
          <w:rFonts w:hint="eastAsia" w:ascii="汉仪书宋二S" w:hAnsi="汉仪书宋二S" w:eastAsia="汉仪书宋二S" w:cs="汉仪书宋二S"/>
          <w:color w:val="auto"/>
          <w:kern w:val="2"/>
          <w:sz w:val="21"/>
          <w:highlight w:val="none"/>
          <w:lang w:val="en-US" w:eastAsia="zh-CN"/>
        </w:rPr>
      </w:pPr>
      <w:r>
        <w:rPr>
          <w:rFonts w:hint="eastAsia" w:hAnsi="宋体"/>
          <w:color w:val="auto"/>
          <w:kern w:val="2"/>
          <w:sz w:val="21"/>
          <w:highlight w:val="none"/>
          <w:lang w:val="en-US" w:eastAsia="zh-CN"/>
        </w:rPr>
        <w:t xml:space="preserve">  </w:t>
      </w:r>
      <w:r>
        <w:rPr>
          <w:rFonts w:hint="eastAsia" w:ascii="宋体" w:hAnsi="宋体" w:eastAsia="宋体" w:cs="Times New Roman"/>
          <w:bCs/>
          <w:color w:val="auto"/>
          <w:kern w:val="2"/>
          <w:sz w:val="21"/>
          <w:szCs w:val="21"/>
          <w:highlight w:val="none"/>
          <w:lang w:val="en-US" w:eastAsia="zh-CN" w:bidi="ar-SA"/>
        </w:rPr>
        <w:t>三档（</w:t>
      </w:r>
      <w:r>
        <w:rPr>
          <w:rFonts w:hint="eastAsia" w:ascii="宋体" w:hAnsi="宋体" w:cs="Times New Roman"/>
          <w:bCs/>
          <w:color w:val="auto"/>
          <w:kern w:val="2"/>
          <w:sz w:val="21"/>
          <w:szCs w:val="21"/>
          <w:highlight w:val="none"/>
          <w:lang w:val="en-US" w:eastAsia="zh-CN" w:bidi="ar-SA"/>
        </w:rPr>
        <w:t>17</w:t>
      </w:r>
      <w:r>
        <w:rPr>
          <w:rFonts w:hint="eastAsia" w:ascii="宋体" w:hAnsi="宋体" w:eastAsia="宋体" w:cs="Times New Roman"/>
          <w:bCs/>
          <w:color w:val="auto"/>
          <w:kern w:val="2"/>
          <w:sz w:val="21"/>
          <w:szCs w:val="21"/>
          <w:highlight w:val="none"/>
          <w:lang w:val="en-US" w:eastAsia="zh-CN" w:bidi="ar-SA"/>
        </w:rPr>
        <w:t>分）：在上一档的基础上，分析本项目的难点重点，建立符合本项目合同履行实施的组织机构，实施计划分阶段计划，阶段性目标清晰，提供完善可行的质量控制措施、安全保障措施、应急保障措施。提供对实施人员进行阶段性考核的计划。未提供方案或方案达不到进档要求的得0分。</w:t>
      </w:r>
      <w:r>
        <w:rPr>
          <w:rFonts w:hint="eastAsia" w:ascii="汉仪书宋二S" w:hAnsi="汉仪书宋二S" w:eastAsia="汉仪书宋二S" w:cs="汉仪书宋二S"/>
          <w:color w:val="auto"/>
          <w:kern w:val="2"/>
          <w:sz w:val="21"/>
          <w:highlight w:val="none"/>
          <w:lang w:val="en-US" w:eastAsia="zh-CN"/>
        </w:rPr>
        <w:t xml:space="preserve"> </w:t>
      </w:r>
    </w:p>
    <w:p>
      <w:pPr>
        <w:spacing w:line="410" w:lineRule="exact"/>
        <w:jc w:val="both"/>
        <w:rPr>
          <w:rFonts w:hint="eastAsia" w:ascii="宋体" w:hAnsi="宋体"/>
          <w:color w:val="auto"/>
          <w:kern w:val="2"/>
          <w:sz w:val="21"/>
          <w:szCs w:val="21"/>
          <w:highlight w:val="none"/>
        </w:rPr>
      </w:pPr>
      <w:r>
        <w:rPr>
          <w:rFonts w:hint="eastAsia" w:ascii="汉仪书宋二S" w:hAnsi="汉仪书宋二S" w:eastAsia="汉仪书宋二S" w:cs="汉仪书宋二S"/>
          <w:color w:val="auto"/>
          <w:kern w:val="2"/>
          <w:sz w:val="21"/>
          <w:highlight w:val="none"/>
          <w:lang w:val="en-US" w:eastAsia="zh-CN"/>
        </w:rPr>
        <w:t xml:space="preserve">    </w:t>
      </w:r>
      <w:r>
        <w:rPr>
          <w:rFonts w:hint="eastAsia" w:ascii="汉仪书宋二S" w:hAnsi="汉仪书宋二S" w:eastAsia="汉仪书宋二S" w:cs="汉仪书宋二S"/>
          <w:b/>
          <w:bCs/>
          <w:color w:val="auto"/>
          <w:kern w:val="2"/>
          <w:sz w:val="21"/>
          <w:highlight w:val="none"/>
          <w:lang w:eastAsia="zh-CN"/>
        </w:rPr>
        <w:t>（</w:t>
      </w:r>
      <w:r>
        <w:rPr>
          <w:rFonts w:hint="eastAsia" w:ascii="汉仪书宋二S" w:hAnsi="汉仪书宋二S" w:eastAsia="汉仪书宋二S" w:cs="汉仪书宋二S"/>
          <w:b/>
          <w:bCs/>
          <w:color w:val="auto"/>
          <w:kern w:val="2"/>
          <w:sz w:val="21"/>
          <w:highlight w:val="none"/>
          <w:lang w:val="en-US" w:eastAsia="zh-CN"/>
        </w:rPr>
        <w:t>3</w:t>
      </w:r>
      <w:r>
        <w:rPr>
          <w:rFonts w:hint="eastAsia" w:ascii="汉仪书宋二S" w:hAnsi="汉仪书宋二S" w:eastAsia="汉仪书宋二S" w:cs="汉仪书宋二S"/>
          <w:b/>
          <w:bCs/>
          <w:color w:val="auto"/>
          <w:kern w:val="2"/>
          <w:sz w:val="21"/>
          <w:highlight w:val="none"/>
          <w:lang w:eastAsia="zh-CN"/>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kern w:val="2"/>
          <w:sz w:val="21"/>
          <w:szCs w:val="21"/>
          <w:highlight w:val="none"/>
        </w:rPr>
        <w:t>（满分</w:t>
      </w:r>
      <w:r>
        <w:rPr>
          <w:rFonts w:hint="eastAsia" w:ascii="宋体" w:hAnsi="宋体"/>
          <w:b/>
          <w:bCs/>
          <w:color w:val="auto"/>
          <w:kern w:val="2"/>
          <w:sz w:val="21"/>
          <w:szCs w:val="21"/>
          <w:highlight w:val="none"/>
          <w:lang w:val="en-US" w:eastAsia="zh-CN"/>
        </w:rPr>
        <w:t>16</w:t>
      </w:r>
      <w:r>
        <w:rPr>
          <w:rFonts w:hint="eastAsia" w:ascii="宋体" w:hAnsi="宋体"/>
          <w:b/>
          <w:bCs/>
          <w:color w:val="auto"/>
          <w:kern w:val="2"/>
          <w:sz w:val="21"/>
          <w:szCs w:val="21"/>
          <w:highlight w:val="none"/>
        </w:rPr>
        <w:t>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10</w:t>
      </w:r>
      <w:r>
        <w:rPr>
          <w:rFonts w:hint="eastAsia" w:ascii="宋体" w:hAnsi="宋体"/>
          <w:color w:val="auto"/>
          <w:szCs w:val="21"/>
          <w:highlight w:val="none"/>
        </w:rPr>
        <w:t>分）：售后服务方案满足采购要求，仅对采购人提出的要求进行了部分细化。</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13</w:t>
      </w:r>
      <w:r>
        <w:rPr>
          <w:rFonts w:hint="eastAsia" w:ascii="宋体" w:hAnsi="宋体"/>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w:t>
      </w:r>
      <w:r>
        <w:rPr>
          <w:rFonts w:hint="eastAsia" w:ascii="宋体" w:hAnsi="宋体"/>
          <w:color w:val="auto"/>
          <w:szCs w:val="21"/>
          <w:highlight w:val="none"/>
          <w:lang w:val="en-US" w:eastAsia="zh-CN"/>
        </w:rPr>
        <w:t>16</w:t>
      </w:r>
      <w:r>
        <w:rPr>
          <w:rFonts w:hint="eastAsia" w:ascii="宋体" w:hAnsi="宋体"/>
          <w:color w:val="auto"/>
          <w:szCs w:val="21"/>
          <w:highlight w:val="none"/>
        </w:rPr>
        <w:t>分）：在满足二档的基础上，售后服务方案完善可行，</w:t>
      </w:r>
      <w:r>
        <w:rPr>
          <w:rFonts w:hint="eastAsia" w:ascii="宋体" w:hAnsi="宋体" w:cs="宋体"/>
          <w:color w:val="auto"/>
          <w:kern w:val="0"/>
          <w:szCs w:val="21"/>
          <w:highlight w:val="none"/>
        </w:rPr>
        <w:t>故障响应时间、到达现场维护时间、修复时间优于招标文件要求，有售后服务流程图</w:t>
      </w:r>
      <w:r>
        <w:rPr>
          <w:rFonts w:hint="eastAsia" w:ascii="宋体" w:hAnsi="宋体"/>
          <w:color w:val="auto"/>
          <w:szCs w:val="21"/>
          <w:highlight w:val="none"/>
        </w:rPr>
        <w:t>，详细说明售后工作内容、阐述清楚售后服务办法及保障体系，具有完备售后服务规范和管理制度。</w:t>
      </w:r>
    </w:p>
    <w:p>
      <w:pPr>
        <w:pStyle w:val="51"/>
        <w:rPr>
          <w:rFonts w:hint="eastAsia" w:ascii="Times New Roman" w:hAnsi="宋体" w:eastAsia="宋体" w:cs="Times New Roman"/>
          <w:color w:val="auto"/>
          <w:kern w:val="2"/>
          <w:sz w:val="21"/>
          <w:szCs w:val="24"/>
          <w:highlight w:val="none"/>
          <w:lang w:val="en-US" w:eastAsia="zh-CN" w:bidi="ar-SA"/>
        </w:rPr>
      </w:pPr>
      <w:r>
        <w:rPr>
          <w:rFonts w:hint="eastAsia" w:hAnsi="宋体"/>
          <w:color w:val="auto"/>
          <w:kern w:val="2"/>
          <w:sz w:val="21"/>
          <w:highlight w:val="none"/>
        </w:rPr>
        <w:t>未提供方案或方案达不到进档要求的得0分。</w:t>
      </w:r>
    </w:p>
    <w:p>
      <w:pPr>
        <w:spacing w:line="410" w:lineRule="exact"/>
        <w:jc w:val="both"/>
        <w:rPr>
          <w:rFonts w:hint="eastAsia" w:ascii="Times New Roman" w:hAnsi="宋体" w:eastAsia="宋体" w:cs="Times New Roman"/>
          <w:b/>
          <w:bCs/>
          <w:color w:val="auto"/>
          <w:kern w:val="2"/>
          <w:sz w:val="21"/>
          <w:szCs w:val="24"/>
          <w:highlight w:val="none"/>
          <w:lang w:val="en-US" w:eastAsia="zh-CN" w:bidi="ar-SA"/>
        </w:rPr>
      </w:pPr>
      <w:r>
        <w:rPr>
          <w:rFonts w:hint="eastAsia" w:ascii="Times New Roman" w:hAnsi="宋体" w:eastAsia="宋体" w:cs="Times New Roman"/>
          <w:color w:val="auto"/>
          <w:kern w:val="2"/>
          <w:sz w:val="21"/>
          <w:szCs w:val="24"/>
          <w:highlight w:val="none"/>
          <w:lang w:val="en-US" w:eastAsia="zh-CN" w:bidi="ar-SA"/>
        </w:rPr>
        <w:t xml:space="preserve">    </w:t>
      </w:r>
      <w:r>
        <w:rPr>
          <w:rFonts w:hint="eastAsia" w:ascii="Times New Roman" w:hAnsi="宋体" w:eastAsia="宋体" w:cs="Times New Roman"/>
          <w:b/>
          <w:bCs/>
          <w:color w:val="auto"/>
          <w:kern w:val="2"/>
          <w:sz w:val="21"/>
          <w:szCs w:val="24"/>
          <w:highlight w:val="none"/>
          <w:lang w:val="en-US" w:eastAsia="zh-CN" w:bidi="ar-SA"/>
        </w:rPr>
        <w:t xml:space="preserve"> </w:t>
      </w:r>
      <w:r>
        <w:rPr>
          <w:rFonts w:hint="eastAsia" w:hAnsi="宋体" w:cs="Times New Roman"/>
          <w:b/>
          <w:bCs/>
          <w:color w:val="auto"/>
          <w:kern w:val="2"/>
          <w:sz w:val="21"/>
          <w:szCs w:val="24"/>
          <w:highlight w:val="none"/>
          <w:lang w:val="en-US" w:eastAsia="zh-CN" w:bidi="ar-SA"/>
        </w:rPr>
        <w:t>（4）</w:t>
      </w:r>
      <w:r>
        <w:rPr>
          <w:rFonts w:hint="eastAsia" w:ascii="Times New Roman" w:hAnsi="宋体" w:eastAsia="宋体" w:cs="Times New Roman"/>
          <w:b/>
          <w:bCs/>
          <w:color w:val="auto"/>
          <w:kern w:val="2"/>
          <w:sz w:val="21"/>
          <w:szCs w:val="24"/>
          <w:highlight w:val="none"/>
          <w:lang w:val="en-US" w:eastAsia="zh-CN" w:bidi="ar-SA"/>
        </w:rPr>
        <w:t>培训方案</w:t>
      </w:r>
      <w:r>
        <w:rPr>
          <w:rFonts w:hint="eastAsia" w:hAnsi="宋体" w:cs="Times New Roman"/>
          <w:b/>
          <w:bCs/>
          <w:color w:val="auto"/>
          <w:kern w:val="2"/>
          <w:sz w:val="21"/>
          <w:szCs w:val="24"/>
          <w:highlight w:val="none"/>
          <w:lang w:val="en-US" w:eastAsia="zh-CN" w:bidi="ar-SA"/>
        </w:rPr>
        <w:t>分</w:t>
      </w:r>
      <w:r>
        <w:rPr>
          <w:rFonts w:hint="eastAsia" w:ascii="Times New Roman" w:hAnsi="宋体" w:eastAsia="宋体" w:cs="Times New Roman"/>
          <w:b/>
          <w:bCs/>
          <w:color w:val="auto"/>
          <w:kern w:val="2"/>
          <w:sz w:val="21"/>
          <w:szCs w:val="24"/>
          <w:highlight w:val="none"/>
          <w:lang w:val="en-US" w:eastAsia="zh-CN" w:bidi="ar-SA"/>
        </w:rPr>
        <w:t>（满分12分）</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一档（</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分）：培训方案有培训计划安排，但安排不明确。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二档（</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分）：培训方案有完整的计划，内容至少包含：培训时间、规模人数等内容。 </w:t>
      </w:r>
    </w:p>
    <w:p>
      <w:pPr>
        <w:spacing w:line="410" w:lineRule="exac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三档（12分）：培训方案有完善可行的计划，包含：拟派培训技术人员的安排、拟派培训技术人员的经验介绍、培训时间、规模人数等内容。</w:t>
      </w:r>
    </w:p>
    <w:p>
      <w:pPr>
        <w:pStyle w:val="51"/>
        <w:rPr>
          <w:rFonts w:hint="eastAsia" w:hAnsi="宋体"/>
          <w:color w:val="auto"/>
          <w:kern w:val="2"/>
          <w:sz w:val="21"/>
          <w:highlight w:val="none"/>
        </w:rPr>
      </w:pPr>
      <w:r>
        <w:rPr>
          <w:rFonts w:hint="eastAsia" w:hAnsi="宋体"/>
          <w:color w:val="auto"/>
          <w:kern w:val="2"/>
          <w:sz w:val="21"/>
          <w:highlight w:val="none"/>
        </w:rPr>
        <w:t>未提供方案或方案达不到进档要求的得0分。</w:t>
      </w:r>
    </w:p>
    <w:p>
      <w:pPr>
        <w:spacing w:line="41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b/>
          <w:bCs/>
          <w:color w:val="auto"/>
          <w:szCs w:val="21"/>
          <w:highlight w:val="none"/>
          <w:lang w:val="en-US" w:eastAsia="zh-CN"/>
        </w:rPr>
        <w:t xml:space="preserve">   </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质保期</w:t>
      </w:r>
      <w:r>
        <w:rPr>
          <w:rFonts w:hint="eastAsia" w:ascii="宋体" w:hAnsi="宋体" w:cs="Times New Roman"/>
          <w:b/>
          <w:bCs/>
          <w:color w:val="auto"/>
          <w:szCs w:val="21"/>
          <w:highlight w:val="none"/>
          <w:lang w:eastAsia="zh-CN"/>
        </w:rPr>
        <w:t>分</w:t>
      </w:r>
      <w:r>
        <w:rPr>
          <w:rFonts w:hint="eastAsia" w:ascii="宋体" w:hAnsi="宋体" w:eastAsia="宋体" w:cs="Times New Roman"/>
          <w:b/>
          <w:bCs/>
          <w:color w:val="auto"/>
          <w:szCs w:val="21"/>
          <w:highlight w:val="none"/>
        </w:rPr>
        <w:t>（满分</w:t>
      </w:r>
      <w:r>
        <w:rPr>
          <w:rFonts w:hint="eastAsia" w:ascii="宋体" w:hAnsi="宋体" w:cs="Times New Roman"/>
          <w:b/>
          <w:bCs/>
          <w:color w:val="auto"/>
          <w:szCs w:val="21"/>
          <w:highlight w:val="none"/>
          <w:lang w:val="en-US" w:eastAsia="zh-CN"/>
        </w:rPr>
        <w:t>5</w:t>
      </w:r>
      <w:r>
        <w:rPr>
          <w:rFonts w:hint="eastAsia" w:ascii="宋体" w:hAnsi="宋体" w:eastAsia="宋体" w:cs="Times New Roman"/>
          <w:b/>
          <w:bCs/>
          <w:color w:val="auto"/>
          <w:szCs w:val="21"/>
          <w:highlight w:val="none"/>
        </w:rPr>
        <w:t>分）</w:t>
      </w:r>
    </w:p>
    <w:p>
      <w:pPr>
        <w:pStyle w:val="6"/>
        <w:jc w:val="both"/>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 xml:space="preserve">   满足全部产品基本质保期的基础上，投标人承诺项号2</w:t>
      </w:r>
      <w:r>
        <w:rPr>
          <w:rFonts w:hint="default" w:ascii="宋体" w:hAnsi="宋体" w:eastAsia="宋体"/>
          <w:color w:val="auto"/>
          <w:kern w:val="2"/>
          <w:sz w:val="21"/>
          <w:szCs w:val="21"/>
          <w:highlight w:val="none"/>
          <w:u w:val="none"/>
          <w:lang w:val="en-US" w:eastAsia="zh-CN"/>
        </w:rPr>
        <w:t>“LED屏”</w:t>
      </w:r>
      <w:r>
        <w:rPr>
          <w:rFonts w:hint="eastAsia" w:ascii="宋体" w:hAnsi="宋体" w:eastAsia="宋体"/>
          <w:color w:val="auto"/>
          <w:kern w:val="2"/>
          <w:sz w:val="21"/>
          <w:szCs w:val="21"/>
          <w:highlight w:val="none"/>
          <w:u w:val="none"/>
          <w:lang w:val="en-US" w:eastAsia="zh-CN"/>
        </w:rPr>
        <w:t>、项号5“显示器”</w:t>
      </w:r>
      <w:r>
        <w:rPr>
          <w:rFonts w:hint="eastAsia" w:ascii="宋体" w:hAnsi="宋体" w:eastAsia="宋体" w:cs="Times New Roman"/>
          <w:color w:val="auto"/>
          <w:kern w:val="2"/>
          <w:sz w:val="21"/>
          <w:szCs w:val="21"/>
          <w:highlight w:val="none"/>
          <w:lang w:val="en-US" w:eastAsia="zh-CN" w:bidi="ar-SA"/>
        </w:rPr>
        <w:t>质保期均每延长一年增加1分，满分5分。</w:t>
      </w:r>
    </w:p>
    <w:p>
      <w:pPr>
        <w:pStyle w:val="29"/>
        <w:numPr>
          <w:ilvl w:val="0"/>
          <w:numId w:val="0"/>
        </w:numPr>
        <w:spacing w:line="400" w:lineRule="exact"/>
        <w:rPr>
          <w:rFonts w:hint="eastAsia"/>
          <w:b/>
          <w:color w:val="auto"/>
          <w:highlight w:val="none"/>
        </w:rPr>
      </w:pPr>
      <w:r>
        <w:rPr>
          <w:rFonts w:hint="eastAsia"/>
          <w:b/>
          <w:bCs/>
          <w:color w:val="auto"/>
          <w:highlight w:val="none"/>
          <w:lang w:val="en-US" w:eastAsia="zh-CN"/>
        </w:rPr>
        <w:t xml:space="preserve">      3、</w:t>
      </w:r>
      <w:r>
        <w:rPr>
          <w:rFonts w:hint="eastAsia"/>
          <w:b/>
          <w:bCs/>
          <w:color w:val="auto"/>
          <w:highlight w:val="none"/>
          <w:lang w:eastAsia="zh-CN"/>
        </w:rPr>
        <w:t>商务分</w:t>
      </w:r>
      <w:r>
        <w:rPr>
          <w:rFonts w:hint="eastAsia" w:hAnsi="宋体"/>
          <w:b/>
          <w:bCs/>
          <w:color w:val="auto"/>
          <w:spacing w:val="-8"/>
          <w:highlight w:val="none"/>
        </w:rPr>
        <w:t>…………………………………………………………………………………………</w:t>
      </w:r>
      <w:r>
        <w:rPr>
          <w:rFonts w:hint="eastAsia" w:hAnsi="宋体"/>
          <w:b/>
          <w:bCs/>
          <w:color w:val="auto"/>
          <w:spacing w:val="-8"/>
          <w:highlight w:val="none"/>
          <w:lang w:val="en-US" w:eastAsia="zh-CN"/>
        </w:rPr>
        <w:t>10</w:t>
      </w:r>
      <w:r>
        <w:rPr>
          <w:rFonts w:hint="eastAsia"/>
          <w:b/>
          <w:color w:val="auto"/>
          <w:highlight w:val="none"/>
        </w:rPr>
        <w:t>分</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（1）投标人或投标核心产品生产厂家具有质量管理体系认证证书、环境管理体系认证证书、职业健康安全管理体系认证证书，每有一项证书得1分，满分3分。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6"/>
        <w:numPr>
          <w:ilvl w:val="-1"/>
          <w:numId w:val="0"/>
        </w:numPr>
        <w:jc w:val="both"/>
        <w:rPr>
          <w:rFonts w:hint="eastAsia" w:ascii="宋体" w:hAnsi="宋体" w:eastAsia="宋体" w:cs="Times New Roman"/>
          <w:color w:val="auto"/>
          <w:kern w:val="2"/>
          <w:sz w:val="21"/>
          <w:szCs w:val="21"/>
          <w:highlight w:val="none"/>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项目业绩的，每个得1分，满分5分</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投标文件中提供有效的合同复印件</w:t>
      </w:r>
      <w:r>
        <w:rPr>
          <w:rFonts w:hint="eastAsia" w:ascii="宋体" w:hAnsi="宋体" w:eastAsia="宋体"/>
          <w:color w:val="auto"/>
          <w:kern w:val="2"/>
          <w:sz w:val="21"/>
          <w:szCs w:val="21"/>
          <w:highlight w:val="none"/>
          <w:lang w:eastAsia="zh-CN"/>
        </w:rPr>
        <w:t>）</w:t>
      </w:r>
    </w:p>
    <w:p>
      <w:pPr>
        <w:pStyle w:val="650"/>
        <w:spacing w:line="301"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（3）政策功能分（满分</w:t>
      </w:r>
      <w:r>
        <w:rPr>
          <w:rFonts w:hint="eastAsia"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①</w:t>
      </w:r>
      <w:r>
        <w:rPr>
          <w:rFonts w:hint="eastAsia" w:ascii="Times New Roman" w:hAnsi="Times New Roman" w:eastAsia="宋体" w:cs="Times New Roman"/>
          <w:color w:val="auto"/>
          <w:kern w:val="2"/>
          <w:sz w:val="21"/>
          <w:szCs w:val="21"/>
          <w:highlight w:val="none"/>
          <w:lang w:val="en-US" w:eastAsia="zh-CN" w:bidi="ar-SA"/>
        </w:rPr>
        <w:t>核心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650"/>
        <w:spacing w:line="301" w:lineRule="auto"/>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aps w:val="0"/>
          <w:color w:val="auto"/>
          <w:spacing w:val="0"/>
          <w:kern w:val="0"/>
          <w:sz w:val="24"/>
          <w:szCs w:val="24"/>
          <w:highlight w:val="none"/>
          <w:shd w:val="clear" w:color="auto" w:fill="FFFFFF"/>
          <w:lang w:val="en-US" w:eastAsia="zh-CN" w:bidi="ar"/>
        </w:rPr>
        <w:t>②</w:t>
      </w:r>
      <w:r>
        <w:rPr>
          <w:rFonts w:hint="eastAsia" w:ascii="Times New Roman" w:hAnsi="Times New Roman" w:eastAsia="宋体" w:cs="Times New Roman"/>
          <w:color w:val="auto"/>
          <w:kern w:val="2"/>
          <w:sz w:val="21"/>
          <w:szCs w:val="21"/>
          <w:highlight w:val="none"/>
          <w:lang w:val="en-US" w:eastAsia="zh-CN" w:bidi="ar-SA"/>
        </w:rPr>
        <w:t>核心产品纳入（财库[2019]18号）中环境标志产品政府采购清单（依据《市场监管总局关于发布参与实施政府采购节能产品、环境标志产品认证机构名录的公告》，提供所投相应型号产品有效的认证证书扫描件或其他电子文件）的得</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分，满分</w:t>
      </w:r>
      <w:r>
        <w:rPr>
          <w:rFonts w:hint="eastAsia"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分。</w:t>
      </w:r>
    </w:p>
    <w:p>
      <w:pPr>
        <w:pStyle w:val="51"/>
        <w:rPr>
          <w:rFonts w:hint="default" w:ascii="宋体" w:hAnsi="宋体" w:eastAsia="宋体" w:cs="Times New Roman"/>
          <w:color w:val="auto"/>
          <w:kern w:val="2"/>
          <w:sz w:val="21"/>
          <w:szCs w:val="21"/>
          <w:highlight w:val="none"/>
          <w:lang w:val="en-US" w:eastAsia="zh-CN" w:bidi="ar-SA"/>
        </w:rPr>
      </w:pP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 xml:space="preserve">1 + 2 + 3 </w:t>
      </w:r>
    </w:p>
    <w:p>
      <w:pPr>
        <w:spacing w:line="400" w:lineRule="exact"/>
        <w:ind w:firstLine="421" w:firstLineChars="200"/>
        <w:rPr>
          <w:rFonts w:hint="eastAsia"/>
          <w:b/>
          <w:bCs/>
          <w:color w:val="auto"/>
          <w:highlight w:val="none"/>
        </w:rPr>
      </w:pP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420" w:firstLineChars="200"/>
        <w:rPr>
          <w:rFonts w:hint="eastAsia"/>
          <w:color w:val="auto"/>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rPr>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40" w:lineRule="exact"/>
        <w:ind w:firstLine="642" w:firstLineChars="200"/>
        <w:jc w:val="cente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w:t>
      </w:r>
      <w:r>
        <w:rPr>
          <w:rFonts w:hint="eastAsia" w:ascii="仿宋_GB2312" w:hAnsi="宋体" w:eastAsia="仿宋_GB2312"/>
          <w:b/>
          <w:color w:val="auto"/>
          <w:sz w:val="32"/>
          <w:szCs w:val="32"/>
          <w:highlight w:val="none"/>
          <w:lang w:eastAsia="zh-CN"/>
        </w:rPr>
        <w:t>分</w:t>
      </w:r>
      <w:r>
        <w:rPr>
          <w:rFonts w:hint="eastAsia" w:ascii="仿宋_GB2312" w:hAnsi="宋体" w:eastAsia="仿宋_GB2312"/>
          <w:b/>
          <w:color w:val="auto"/>
          <w:sz w:val="32"/>
          <w:szCs w:val="32"/>
          <w:highlight w:val="none"/>
        </w:rPr>
        <w:t>标准</w:t>
      </w:r>
    </w:p>
    <w:p>
      <w:pPr>
        <w:spacing w:line="340" w:lineRule="exact"/>
        <w:ind w:firstLine="481" w:firstLineChars="200"/>
        <w:jc w:val="center"/>
        <w:rPr>
          <w:rFonts w:hint="default" w:ascii="仿宋_GB2312" w:hAnsi="宋体" w:eastAsia="仿宋_GB2312"/>
          <w:b/>
          <w:color w:val="auto"/>
          <w:sz w:val="24"/>
          <w:szCs w:val="24"/>
          <w:highlight w:val="none"/>
          <w:u w:val="single"/>
          <w:lang w:val="en-US" w:eastAsia="zh-CN"/>
        </w:rPr>
      </w:pPr>
      <w:r>
        <w:rPr>
          <w:rFonts w:hint="eastAsia" w:ascii="仿宋_GB2312" w:hAnsi="宋体" w:eastAsia="仿宋_GB2312"/>
          <w:b/>
          <w:color w:val="auto"/>
          <w:sz w:val="24"/>
          <w:szCs w:val="24"/>
          <w:highlight w:val="none"/>
          <w:u w:val="single"/>
          <w:lang w:val="en-US" w:eastAsia="zh-CN"/>
        </w:rPr>
        <w:t>(适用于分标5）</w:t>
      </w:r>
    </w:p>
    <w:p>
      <w:pPr>
        <w:spacing w:line="360" w:lineRule="exact"/>
        <w:jc w:val="center"/>
        <w:rPr>
          <w:rFonts w:hAnsi="宋体"/>
          <w:b/>
          <w:dstrike/>
          <w:color w:val="auto"/>
          <w:sz w:val="28"/>
          <w:szCs w:val="28"/>
          <w:highlight w:val="none"/>
        </w:rPr>
      </w:pPr>
    </w:p>
    <w:p>
      <w:pPr>
        <w:pStyle w:val="29"/>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9"/>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9"/>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9"/>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9"/>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9"/>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29"/>
        <w:spacing w:line="400" w:lineRule="exact"/>
        <w:ind w:firstLine="501" w:firstLineChars="238"/>
        <w:rPr>
          <w:rFonts w:hint="eastAsia"/>
          <w:b/>
          <w:color w:val="auto"/>
          <w:highlight w:val="none"/>
        </w:rPr>
      </w:pPr>
      <w:r>
        <w:rPr>
          <w:rFonts w:hint="eastAsia"/>
          <w:b/>
          <w:color w:val="auto"/>
          <w:highlight w:val="none"/>
        </w:rPr>
        <w:t>1</w:t>
      </w:r>
      <w:r>
        <w:rPr>
          <w:rFonts w:hint="eastAsia"/>
          <w:b/>
          <w:color w:val="auto"/>
          <w:highlight w:val="none"/>
          <w:lang w:eastAsia="zh-CN"/>
        </w:rPr>
        <w:t>、</w:t>
      </w:r>
      <w:r>
        <w:rPr>
          <w:rFonts w:hint="eastAsia"/>
          <w:b/>
          <w:color w:val="auto"/>
          <w:highlight w:val="none"/>
        </w:rPr>
        <w:t>价格分</w:t>
      </w:r>
      <w:r>
        <w:rPr>
          <w:rFonts w:hint="eastAsia" w:hAnsi="宋体"/>
          <w:b/>
          <w:bCs/>
          <w:color w:val="auto"/>
          <w:spacing w:val="-8"/>
          <w:highlight w:val="none"/>
        </w:rPr>
        <w:t>………………………………………………………………………………………</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0" w:firstLineChars="200"/>
        <w:rPr>
          <w:rFonts w:hint="eastAsia" w:hAnsi="宋体"/>
          <w:color w:val="auto"/>
          <w:highlight w:val="none"/>
        </w:rPr>
      </w:pPr>
      <w:r>
        <w:rPr>
          <w:rFonts w:hint="eastAsia" w:hAnsi="宋体"/>
          <w:color w:val="auto"/>
          <w:highlight w:val="none"/>
        </w:rPr>
        <w:t>（1）</w:t>
      </w:r>
      <w:r>
        <w:rPr>
          <w:rFonts w:hint="eastAsia" w:hAnsi="宋体" w:cs="宋体"/>
          <w:color w:val="auto"/>
          <w:kern w:val="0"/>
          <w:highlight w:val="none"/>
        </w:rPr>
        <w:t>符合《政府采购促进中小企业发展管理办法》（财库〔2020〕46号）规定条件且按该办法中规定的格式提供了《中小企业声明函》的小型和微型企业。对其投标价给予10%的扣除，扣除后的价格为评标价，即评标价=投标价×（1-10%）；除上述情况外，评标价=投标价</w:t>
      </w:r>
      <w:r>
        <w:rPr>
          <w:rFonts w:hint="eastAsia" w:hAnsi="宋体"/>
          <w:color w:val="auto"/>
          <w:highlight w:val="none"/>
        </w:rPr>
        <w:t>。</w:t>
      </w:r>
    </w:p>
    <w:p>
      <w:pPr>
        <w:pStyle w:val="29"/>
        <w:spacing w:line="400" w:lineRule="exact"/>
        <w:ind w:firstLine="420" w:firstLineChars="200"/>
        <w:outlineLvl w:val="0"/>
        <w:rPr>
          <w:rFonts w:hint="eastAsia"/>
          <w:color w:val="auto"/>
          <w:highlight w:val="none"/>
        </w:rPr>
      </w:pPr>
      <w:r>
        <w:rPr>
          <w:rFonts w:hint="eastAsia" w:hAnsi="宋体" w:cs="宋体"/>
          <w:color w:val="auto"/>
          <w:kern w:val="0"/>
          <w:highlight w:val="none"/>
        </w:rPr>
        <w:t>投标产品生产企业</w:t>
      </w:r>
      <w:r>
        <w:rPr>
          <w:rFonts w:hint="eastAsia"/>
          <w:color w:val="auto"/>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spacing w:line="400" w:lineRule="exact"/>
        <w:ind w:firstLine="420" w:firstLineChars="200"/>
        <w:outlineLvl w:val="0"/>
        <w:rPr>
          <w:rFonts w:hint="eastAsia"/>
          <w:color w:val="auto"/>
          <w:highlight w:val="none"/>
        </w:rPr>
      </w:pPr>
      <w:r>
        <w:rPr>
          <w:rFonts w:hint="eastAsia"/>
          <w:color w:val="auto"/>
          <w:highlight w:val="none"/>
        </w:rPr>
        <w:t>投标</w:t>
      </w:r>
      <w:r>
        <w:rPr>
          <w:rFonts w:hint="eastAsia"/>
          <w:b/>
          <w:color w:val="auto"/>
          <w:highlight w:val="none"/>
        </w:rPr>
        <w:t>产品</w:t>
      </w:r>
      <w:r>
        <w:rPr>
          <w:rFonts w:hint="eastAsia"/>
          <w:color w:val="auto"/>
          <w:highlight w:val="none"/>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spacing w:line="400" w:lineRule="exact"/>
        <w:ind w:firstLine="210" w:firstLineChars="100"/>
        <w:outlineLvl w:val="0"/>
        <w:rPr>
          <w:rFonts w:hint="eastAsia" w:hAnsi="宋体"/>
          <w:color w:val="auto"/>
          <w:highlight w:val="none"/>
        </w:rPr>
      </w:pPr>
      <w:r>
        <w:rPr>
          <w:rFonts w:hint="eastAsia" w:hAnsi="宋体"/>
          <w:color w:val="auto"/>
          <w:highlight w:val="none"/>
        </w:rPr>
        <w:t xml:space="preserve"> （2）以</w:t>
      </w:r>
      <w:r>
        <w:rPr>
          <w:rFonts w:hint="eastAsia"/>
          <w:color w:val="auto"/>
          <w:highlight w:val="none"/>
        </w:rPr>
        <w:t>满足招标文件要求且评标价最低的投标人的评标价为评标基准价，其价格分为</w:t>
      </w:r>
      <w:r>
        <w:rPr>
          <w:rFonts w:hint="eastAsia" w:hAnsi="宋体" w:cs="宋体"/>
          <w:b/>
          <w:color w:val="auto"/>
          <w:highlight w:val="none"/>
          <w:lang w:val="en-US" w:eastAsia="zh-CN"/>
        </w:rPr>
        <w:t>30</w:t>
      </w:r>
      <w:r>
        <w:rPr>
          <w:rFonts w:hint="eastAsia" w:hAnsi="宋体" w:cs="宋体"/>
          <w:color w:val="auto"/>
          <w:szCs w:val="24"/>
          <w:highlight w:val="none"/>
        </w:rPr>
        <w:t>分</w:t>
      </w:r>
      <w:r>
        <w:rPr>
          <w:rFonts w:hint="eastAsia" w:ascii="Times New Roman" w:hAnsi="Times New Roman"/>
          <w:color w:val="auto"/>
          <w:szCs w:val="24"/>
          <w:highlight w:val="none"/>
        </w:rPr>
        <w:t>。</w:t>
      </w:r>
    </w:p>
    <w:p>
      <w:pPr>
        <w:pStyle w:val="29"/>
        <w:spacing w:line="400" w:lineRule="exact"/>
        <w:ind w:firstLine="421" w:firstLineChars="200"/>
        <w:outlineLvl w:val="0"/>
        <w:rPr>
          <w:rFonts w:hint="eastAsia"/>
          <w:b/>
          <w:color w:val="auto"/>
          <w:highlight w:val="none"/>
        </w:rPr>
      </w:pPr>
      <w:r>
        <w:rPr>
          <w:rFonts w:hint="eastAsia"/>
          <w:b/>
          <w:bCs/>
          <w:color w:val="auto"/>
          <w:highlight w:val="none"/>
        </w:rPr>
        <w:t>某投标人价格分</w:t>
      </w:r>
      <w:r>
        <w:rPr>
          <w:rFonts w:hint="eastAsia"/>
          <w:b/>
          <w:color w:val="auto"/>
          <w:highlight w:val="none"/>
        </w:rPr>
        <w:t xml:space="preserve"> =评标基准价（金额）/某投标人报价（金额）×</w:t>
      </w:r>
      <w:r>
        <w:rPr>
          <w:rFonts w:hint="eastAsia"/>
          <w:b/>
          <w:color w:val="auto"/>
          <w:highlight w:val="none"/>
          <w:lang w:val="en-US" w:eastAsia="zh-CN"/>
        </w:rPr>
        <w:t>30</w:t>
      </w:r>
      <w:r>
        <w:rPr>
          <w:rFonts w:hint="eastAsia"/>
          <w:b/>
          <w:color w:val="auto"/>
          <w:highlight w:val="none"/>
        </w:rPr>
        <w:t>分</w:t>
      </w:r>
    </w:p>
    <w:p>
      <w:pPr>
        <w:pStyle w:val="29"/>
        <w:spacing w:line="400" w:lineRule="exact"/>
        <w:ind w:firstLine="421" w:firstLineChars="200"/>
        <w:rPr>
          <w:rFonts w:hint="eastAsia"/>
          <w:b/>
          <w:color w:val="auto"/>
          <w:highlight w:val="none"/>
        </w:rPr>
      </w:pPr>
    </w:p>
    <w:p>
      <w:pPr>
        <w:pStyle w:val="29"/>
        <w:numPr>
          <w:ilvl w:val="0"/>
          <w:numId w:val="0"/>
        </w:numPr>
        <w:spacing w:line="400" w:lineRule="exact"/>
        <w:rPr>
          <w:color w:val="auto"/>
          <w:highlight w:val="none"/>
          <w:lang w:val="en"/>
        </w:rPr>
      </w:pPr>
      <w:r>
        <w:rPr>
          <w:rFonts w:hint="eastAsia" w:hAnsi="宋体"/>
          <w:b/>
          <w:color w:val="auto"/>
          <w:highlight w:val="none"/>
          <w:lang w:val="en-US" w:eastAsia="zh-CN"/>
        </w:rPr>
        <w:t xml:space="preserve">     2、</w:t>
      </w:r>
      <w:r>
        <w:rPr>
          <w:rFonts w:hAnsi="宋体"/>
          <w:b/>
          <w:color w:val="auto"/>
          <w:highlight w:val="none"/>
          <w:lang w:val="en"/>
        </w:rPr>
        <w:t>技术分</w:t>
      </w:r>
      <w:r>
        <w:rPr>
          <w:rFonts w:hint="eastAsia" w:hAnsi="宋体"/>
          <w:b/>
          <w:color w:val="auto"/>
          <w:highlight w:val="none"/>
        </w:rPr>
        <w:t xml:space="preserve"> </w:t>
      </w:r>
      <w:r>
        <w:rPr>
          <w:rFonts w:hint="eastAsia" w:hAnsi="宋体"/>
          <w:b/>
          <w:bCs/>
          <w:color w:val="auto"/>
          <w:spacing w:val="-8"/>
          <w:highlight w:val="none"/>
        </w:rPr>
        <w:t>………………………………………………………………………………………</w:t>
      </w:r>
      <w:r>
        <w:rPr>
          <w:rFonts w:hint="eastAsia" w:hAnsi="宋体"/>
          <w:b/>
          <w:bCs/>
          <w:color w:val="auto"/>
          <w:spacing w:val="-8"/>
          <w:highlight w:val="none"/>
          <w:lang w:val="en-US" w:eastAsia="zh-CN"/>
        </w:rPr>
        <w:t>57</w:t>
      </w:r>
      <w:r>
        <w:rPr>
          <w:rFonts w:hint="eastAsia"/>
          <w:b/>
          <w:color w:val="auto"/>
          <w:highlight w:val="none"/>
        </w:rPr>
        <w:t>分</w:t>
      </w:r>
    </w:p>
    <w:p>
      <w:pPr>
        <w:keepNext w:val="0"/>
        <w:keepLines w:val="0"/>
        <w:pageBreakBefore w:val="0"/>
        <w:kinsoku/>
        <w:wordWrap/>
        <w:overflowPunct/>
        <w:topLinePunct w:val="0"/>
        <w:autoSpaceDE/>
        <w:autoSpaceDN/>
        <w:bidi w:val="0"/>
        <w:adjustRightInd w:val="0"/>
        <w:spacing w:line="420" w:lineRule="exact"/>
        <w:ind w:firstLine="421" w:firstLineChars="200"/>
        <w:textAlignment w:val="baseline"/>
        <w:rPr>
          <w:rFonts w:hint="eastAsia" w:ascii="汉仪书宋二S" w:hAnsi="汉仪书宋二S" w:eastAsia="汉仪书宋二S" w:cs="汉仪书宋二S"/>
          <w:b/>
          <w:color w:val="auto"/>
          <w:szCs w:val="21"/>
          <w:highlight w:val="none"/>
        </w:rPr>
      </w:pPr>
      <w:r>
        <w:rPr>
          <w:rFonts w:hint="eastAsia" w:ascii="汉仪书宋二S" w:hAnsi="汉仪书宋二S" w:eastAsia="汉仪书宋二S" w:cs="汉仪书宋二S"/>
          <w:b/>
          <w:color w:val="auto"/>
          <w:szCs w:val="21"/>
          <w:highlight w:val="none"/>
          <w:shd w:val="clear" w:color="auto" w:fill="auto"/>
          <w:lang w:val="en-US" w:eastAsia="zh-CN"/>
        </w:rPr>
        <w:t>（1）技术性能及配置分（满分18分）</w:t>
      </w:r>
    </w:p>
    <w:p>
      <w:pPr>
        <w:keepNext w:val="0"/>
        <w:keepLines w:val="0"/>
        <w:pageBreakBefore w:val="0"/>
        <w:kinsoku/>
        <w:wordWrap/>
        <w:overflowPunct/>
        <w:topLinePunct w:val="0"/>
        <w:autoSpaceDE/>
        <w:autoSpaceDN/>
        <w:bidi w:val="0"/>
        <w:adjustRightInd w:val="0"/>
        <w:spacing w:line="420" w:lineRule="exact"/>
        <w:ind w:firstLine="420" w:firstLineChars="200"/>
        <w:textAlignment w:val="baseline"/>
        <w:rPr>
          <w:rFonts w:ascii="宋体" w:hAnsi="宋体"/>
          <w:bCs/>
          <w:color w:val="auto"/>
          <w:szCs w:val="21"/>
          <w:highlight w:val="none"/>
          <w:shd w:val="clear" w:color="auto" w:fill="auto"/>
        </w:rPr>
      </w:pPr>
      <w:r>
        <w:rPr>
          <w:rFonts w:hint="eastAsia" w:asciiTheme="majorEastAsia" w:hAnsiTheme="majorEastAsia" w:eastAsiaTheme="majorEastAsia" w:cstheme="majorEastAsia"/>
          <w:b w:val="0"/>
          <w:bCs w:val="0"/>
          <w:color w:val="auto"/>
          <w:kern w:val="2"/>
          <w:sz w:val="21"/>
          <w:szCs w:val="21"/>
          <w:highlight w:val="none"/>
          <w:shd w:val="clear" w:color="auto" w:fill="auto"/>
          <w:lang w:val="en-US" w:eastAsia="zh-CN" w:bidi="ar-SA"/>
        </w:rPr>
        <w:t>采购需求一览表中标注“★ ”的技术参数每有一项正偏离的得 1分，满分18分。</w:t>
      </w:r>
    </w:p>
    <w:p>
      <w:pPr>
        <w:adjustRightInd w:val="0"/>
        <w:spacing w:line="360" w:lineRule="exact"/>
        <w:ind w:firstLine="420" w:firstLineChars="200"/>
        <w:textAlignment w:val="baseline"/>
        <w:rPr>
          <w:rFonts w:ascii="宋体" w:hAnsi="宋体"/>
          <w:bCs/>
          <w:color w:val="auto"/>
          <w:szCs w:val="21"/>
          <w:highlight w:val="none"/>
        </w:rPr>
      </w:pPr>
      <w:r>
        <w:rPr>
          <w:rFonts w:hint="eastAsia" w:ascii="宋体" w:hAnsi="宋体"/>
          <w:bCs/>
          <w:color w:val="auto"/>
          <w:szCs w:val="21"/>
          <w:highlight w:val="none"/>
          <w:shd w:val="clear" w:color="auto" w:fill="auto"/>
        </w:rPr>
        <w:t xml:space="preserve"> 注：投标参数及功能有优于的（表述为≥时，大于标准值的可视为优于；表述为≤时，小于标准值的可视为优于），投标人须在投标文件中</w:t>
      </w:r>
      <w:r>
        <w:rPr>
          <w:rFonts w:hint="eastAsia" w:ascii="宋体" w:hAnsi="宋体" w:cs="宋体"/>
          <w:color w:val="auto"/>
          <w:sz w:val="21"/>
          <w:szCs w:val="21"/>
          <w:highlight w:val="none"/>
          <w:lang w:val="en-US" w:eastAsia="zh-CN"/>
        </w:rPr>
        <w:t>须</w:t>
      </w:r>
      <w:r>
        <w:rPr>
          <w:rFonts w:hint="eastAsia" w:ascii="宋体" w:hAnsi="宋体" w:eastAsia="宋体" w:cs="宋体"/>
          <w:color w:val="auto"/>
          <w:sz w:val="21"/>
          <w:szCs w:val="21"/>
          <w:highlight w:val="none"/>
        </w:rPr>
        <w:t>提供具备CMA或CNAS资质的权威检测机构出具的检测报告复印件</w:t>
      </w:r>
      <w:r>
        <w:rPr>
          <w:rFonts w:hint="eastAsia" w:ascii="宋体" w:hAnsi="宋体" w:cs="宋体"/>
          <w:color w:val="auto"/>
          <w:sz w:val="21"/>
          <w:szCs w:val="21"/>
          <w:highlight w:val="none"/>
          <w:lang w:val="en-US" w:eastAsia="zh-CN"/>
        </w:rPr>
        <w:t>作为佐证材料。</w:t>
      </w:r>
    </w:p>
    <w:p>
      <w:pPr>
        <w:adjustRightInd w:val="0"/>
        <w:spacing w:line="360" w:lineRule="exact"/>
        <w:ind w:firstLine="421" w:firstLineChars="200"/>
        <w:textAlignment w:val="baseline"/>
        <w:rPr>
          <w:rFonts w:hint="eastAsia" w:ascii="汉仪书宋二S" w:hAnsi="汉仪书宋二S" w:eastAsia="汉仪书宋二S" w:cs="汉仪书宋二S"/>
          <w:b/>
          <w:bCs/>
          <w:color w:val="auto"/>
          <w:szCs w:val="21"/>
          <w:highlight w:val="none"/>
          <w:lang w:val="en-US" w:eastAsia="zh-CN"/>
        </w:rPr>
      </w:pPr>
      <w:r>
        <w:rPr>
          <w:rFonts w:hint="eastAsia" w:ascii="宋体" w:hAnsi="宋体" w:eastAsia="宋体" w:cs="Times New Roman"/>
          <w:b/>
          <w:bCs w:val="0"/>
          <w:color w:val="auto"/>
          <w:szCs w:val="21"/>
          <w:highlight w:val="none"/>
          <w:lang w:eastAsia="zh-CN"/>
        </w:rPr>
        <w:t>（</w:t>
      </w:r>
      <w:r>
        <w:rPr>
          <w:rFonts w:hint="eastAsia" w:ascii="宋体" w:hAnsi="宋体" w:eastAsia="宋体" w:cs="Times New Roman"/>
          <w:b/>
          <w:bCs w:val="0"/>
          <w:color w:val="auto"/>
          <w:szCs w:val="21"/>
          <w:highlight w:val="none"/>
          <w:lang w:val="en-US" w:eastAsia="zh-CN"/>
        </w:rPr>
        <w:t>2</w:t>
      </w:r>
      <w:r>
        <w:rPr>
          <w:rFonts w:hint="eastAsia" w:ascii="宋体" w:hAnsi="宋体" w:eastAsia="宋体" w:cs="Times New Roman"/>
          <w:b/>
          <w:bCs w:val="0"/>
          <w:color w:val="auto"/>
          <w:szCs w:val="21"/>
          <w:highlight w:val="none"/>
          <w:lang w:eastAsia="zh-CN"/>
        </w:rPr>
        <w:t>）</w:t>
      </w:r>
      <w:r>
        <w:rPr>
          <w:rFonts w:hint="eastAsia" w:ascii="宋体" w:hAnsi="宋体" w:eastAsia="宋体" w:cs="Times New Roman"/>
          <w:b/>
          <w:bCs w:val="0"/>
          <w:color w:val="auto"/>
          <w:szCs w:val="21"/>
          <w:highlight w:val="none"/>
          <w:lang w:val="en-US" w:eastAsia="zh-CN"/>
        </w:rPr>
        <w:t>屏体结构计算书</w:t>
      </w:r>
      <w:r>
        <w:rPr>
          <w:rFonts w:hint="eastAsia" w:ascii="宋体" w:hAnsi="宋体" w:cs="Times New Roman"/>
          <w:b/>
          <w:bCs w:val="0"/>
          <w:color w:val="auto"/>
          <w:szCs w:val="21"/>
          <w:highlight w:val="none"/>
          <w:lang w:val="en-US" w:eastAsia="zh-CN"/>
        </w:rPr>
        <w:t>分</w:t>
      </w:r>
      <w:r>
        <w:rPr>
          <w:rFonts w:hint="eastAsia" w:ascii="宋体" w:hAnsi="宋体" w:eastAsia="宋体" w:cs="Times New Roman"/>
          <w:b/>
          <w:bCs w:val="0"/>
          <w:color w:val="auto"/>
          <w:szCs w:val="21"/>
          <w:highlight w:val="none"/>
          <w:lang w:val="en-US" w:eastAsia="zh-CN"/>
        </w:rPr>
        <w:t>（</w:t>
      </w:r>
      <w:r>
        <w:rPr>
          <w:rFonts w:hint="eastAsia" w:ascii="宋体" w:hAnsi="宋体"/>
          <w:b/>
          <w:bCs w:val="0"/>
          <w:color w:val="auto"/>
          <w:szCs w:val="21"/>
          <w:highlight w:val="none"/>
        </w:rPr>
        <w:t>满分</w:t>
      </w:r>
      <w:r>
        <w:rPr>
          <w:rFonts w:hint="eastAsia" w:ascii="宋体" w:hAnsi="宋体"/>
          <w:b/>
          <w:bCs w:val="0"/>
          <w:color w:val="auto"/>
          <w:szCs w:val="21"/>
          <w:highlight w:val="none"/>
          <w:lang w:val="en-US" w:eastAsia="zh-CN"/>
        </w:rPr>
        <w:t>11</w:t>
      </w:r>
      <w:r>
        <w:rPr>
          <w:rFonts w:hint="eastAsia" w:ascii="宋体" w:hAnsi="宋体"/>
          <w:b/>
          <w:bCs w:val="0"/>
          <w:color w:val="auto"/>
          <w:szCs w:val="21"/>
          <w:highlight w:val="none"/>
        </w:rPr>
        <w:t>分</w:t>
      </w:r>
      <w:r>
        <w:rPr>
          <w:rFonts w:hint="eastAsia" w:ascii="汉仪书宋二S" w:hAnsi="汉仪书宋二S" w:eastAsia="汉仪书宋二S" w:cs="汉仪书宋二S"/>
          <w:b/>
          <w:bCs w:val="0"/>
          <w:color w:val="auto"/>
          <w:szCs w:val="21"/>
          <w:highlight w:val="none"/>
          <w:lang w:val="en-US" w:eastAsia="zh-CN"/>
        </w:rPr>
        <w:t>）</w:t>
      </w:r>
    </w:p>
    <w:p>
      <w:pPr>
        <w:adjustRightInd w:val="0"/>
        <w:spacing w:line="360" w:lineRule="exact"/>
        <w:ind w:firstLine="420" w:firstLineChars="200"/>
        <w:textAlignment w:val="baseline"/>
        <w:rPr>
          <w:rFonts w:ascii="汉仪书宋二S" w:hAnsi="汉仪书宋二S" w:eastAsia="汉仪书宋二S" w:cs="汉仪书宋二S"/>
          <w:color w:val="auto"/>
          <w:szCs w:val="21"/>
          <w:highlight w:val="none"/>
        </w:rPr>
      </w:pPr>
      <w:r>
        <w:rPr>
          <w:rFonts w:hint="eastAsia" w:ascii="汉仪书宋二S" w:hAnsi="汉仪书宋二S" w:eastAsia="汉仪书宋二S" w:cs="汉仪书宋二S"/>
          <w:color w:val="auto"/>
          <w:szCs w:val="21"/>
          <w:highlight w:val="none"/>
        </w:rPr>
        <w:t>一档</w:t>
      </w:r>
      <w:r>
        <w:rPr>
          <w:rFonts w:hint="eastAsia" w:ascii="汉仪书宋二S" w:hAnsi="汉仪书宋二S" w:eastAsia="汉仪书宋二S" w:cs="汉仪书宋二S"/>
          <w:color w:val="auto"/>
          <w:szCs w:val="21"/>
          <w:highlight w:val="none"/>
          <w:lang w:eastAsia="zh-CN"/>
        </w:rPr>
        <w:t>（</w:t>
      </w:r>
      <w:r>
        <w:rPr>
          <w:rFonts w:hint="eastAsia" w:ascii="汉仪书宋二S" w:hAnsi="汉仪书宋二S" w:eastAsia="汉仪书宋二S" w:cs="汉仪书宋二S"/>
          <w:color w:val="auto"/>
          <w:szCs w:val="21"/>
          <w:highlight w:val="none"/>
          <w:lang w:val="en-US" w:eastAsia="zh-CN"/>
        </w:rPr>
        <w:t>5分</w:t>
      </w:r>
      <w:r>
        <w:rPr>
          <w:rFonts w:hint="eastAsia" w:ascii="汉仪书宋二S" w:hAnsi="汉仪书宋二S" w:eastAsia="汉仪书宋二S" w:cs="汉仪书宋二S"/>
          <w:color w:val="auto"/>
          <w:szCs w:val="21"/>
          <w:highlight w:val="none"/>
          <w:lang w:eastAsia="zh-CN"/>
        </w:rPr>
        <w:t>）</w:t>
      </w:r>
      <w:r>
        <w:rPr>
          <w:rFonts w:hint="eastAsia" w:ascii="汉仪书宋二S" w:hAnsi="汉仪书宋二S" w:eastAsia="汉仪书宋二S" w:cs="汉仪书宋二S"/>
          <w:color w:val="auto"/>
          <w:szCs w:val="21"/>
          <w:highlight w:val="none"/>
        </w:rPr>
        <w:t>：提供屏体结构安装后锚固的锚固计算书及支撑结构应力计算书，计算书须和设计方案及安装图纸相匹配，提供全彩背景屏吊挂结构的受力计算书。</w:t>
      </w:r>
    </w:p>
    <w:p>
      <w:pPr>
        <w:adjustRightInd w:val="0"/>
        <w:spacing w:line="360" w:lineRule="exact"/>
        <w:ind w:firstLine="420" w:firstLineChars="200"/>
        <w:textAlignment w:val="baseline"/>
        <w:rPr>
          <w:rFonts w:ascii="汉仪书宋二S" w:hAnsi="汉仪书宋二S" w:eastAsia="汉仪书宋二S" w:cs="汉仪书宋二S"/>
          <w:color w:val="auto"/>
          <w:szCs w:val="21"/>
          <w:highlight w:val="none"/>
        </w:rPr>
      </w:pPr>
      <w:r>
        <w:rPr>
          <w:rFonts w:hint="eastAsia" w:ascii="宋体" w:hAnsi="宋体"/>
          <w:bCs/>
          <w:color w:val="auto"/>
          <w:szCs w:val="21"/>
          <w:highlight w:val="none"/>
        </w:rPr>
        <w:t>二档</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8分</w:t>
      </w:r>
      <w:r>
        <w:rPr>
          <w:rFonts w:hint="eastAsia" w:ascii="宋体" w:hAnsi="宋体"/>
          <w:bCs/>
          <w:color w:val="auto"/>
          <w:szCs w:val="21"/>
          <w:highlight w:val="none"/>
          <w:lang w:eastAsia="zh-CN"/>
        </w:rPr>
        <w:t>）</w:t>
      </w:r>
      <w:r>
        <w:rPr>
          <w:rFonts w:hint="eastAsia" w:ascii="宋体" w:hAnsi="宋体"/>
          <w:bCs/>
          <w:color w:val="auto"/>
          <w:szCs w:val="21"/>
          <w:highlight w:val="none"/>
        </w:rPr>
        <w:t>：</w:t>
      </w:r>
      <w:r>
        <w:rPr>
          <w:rFonts w:hint="eastAsia" w:ascii="汉仪书宋二S" w:hAnsi="汉仪书宋二S" w:eastAsia="汉仪书宋二S" w:cs="汉仪书宋二S"/>
          <w:color w:val="auto"/>
          <w:szCs w:val="21"/>
          <w:highlight w:val="none"/>
        </w:rPr>
        <w:t>提供屏体结构安装后锚固的锚固计算书及支撑结构应力计算书，计算书须和设计方案及安装图纸相匹配，提供全彩背景屏吊挂结构的受力计算书。计算书须与吊挂结构及屏体结构相匹配，计算书内容</w:t>
      </w:r>
      <w:r>
        <w:rPr>
          <w:rFonts w:hint="eastAsia" w:ascii="汉仪书宋二S" w:hAnsi="汉仪书宋二S" w:eastAsia="汉仪书宋二S" w:cs="汉仪书宋二S"/>
          <w:color w:val="auto"/>
          <w:szCs w:val="21"/>
          <w:highlight w:val="none"/>
          <w:lang w:val="en-US" w:eastAsia="zh-CN"/>
        </w:rPr>
        <w:t>基本完善，分析基本符合要求</w:t>
      </w:r>
      <w:r>
        <w:rPr>
          <w:rFonts w:hint="eastAsia" w:ascii="汉仪书宋二S" w:hAnsi="汉仪书宋二S" w:eastAsia="汉仪书宋二S" w:cs="汉仪书宋二S"/>
          <w:color w:val="auto"/>
          <w:szCs w:val="21"/>
          <w:highlight w:val="none"/>
        </w:rPr>
        <w:t>。</w:t>
      </w:r>
    </w:p>
    <w:p>
      <w:pPr>
        <w:adjustRightInd w:val="0"/>
        <w:spacing w:line="360" w:lineRule="exact"/>
        <w:ind w:firstLine="420" w:firstLineChars="200"/>
        <w:textAlignment w:val="baseline"/>
        <w:rPr>
          <w:rFonts w:hint="eastAsia" w:ascii="宋体" w:hAnsi="宋体"/>
          <w:bCs/>
          <w:color w:val="auto"/>
          <w:szCs w:val="21"/>
          <w:highlight w:val="none"/>
        </w:rPr>
      </w:pPr>
      <w:r>
        <w:rPr>
          <w:rFonts w:hint="eastAsia" w:ascii="宋体" w:hAnsi="宋体"/>
          <w:bCs/>
          <w:color w:val="auto"/>
          <w:szCs w:val="21"/>
          <w:highlight w:val="none"/>
        </w:rPr>
        <w:t>三档</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11分</w:t>
      </w:r>
      <w:r>
        <w:rPr>
          <w:rFonts w:hint="eastAsia" w:ascii="宋体" w:hAnsi="宋体"/>
          <w:bCs/>
          <w:color w:val="auto"/>
          <w:szCs w:val="21"/>
          <w:highlight w:val="none"/>
          <w:lang w:eastAsia="zh-CN"/>
        </w:rPr>
        <w:t>）</w:t>
      </w:r>
      <w:r>
        <w:rPr>
          <w:rFonts w:hint="eastAsia" w:ascii="宋体" w:hAnsi="宋体"/>
          <w:bCs/>
          <w:color w:val="auto"/>
          <w:szCs w:val="21"/>
          <w:highlight w:val="none"/>
        </w:rPr>
        <w:t>：</w:t>
      </w:r>
      <w:r>
        <w:rPr>
          <w:rFonts w:hint="eastAsia" w:ascii="汉仪书宋二S" w:hAnsi="汉仪书宋二S" w:eastAsia="汉仪书宋二S" w:cs="汉仪书宋二S"/>
          <w:color w:val="auto"/>
          <w:szCs w:val="21"/>
          <w:highlight w:val="none"/>
        </w:rPr>
        <w:t>提供屏体结构安装后锚固的锚固计算书及支撑结构应力计算书，计算书须和设计方案及安装图纸相匹配，提供全彩背景屏吊挂结构的受力计算书。计算书须与吊挂结构及屏体结构高度匹配，计算书内容详细，分析具体</w:t>
      </w:r>
      <w:r>
        <w:rPr>
          <w:rFonts w:hint="eastAsia" w:ascii="汉仪书宋二S" w:hAnsi="汉仪书宋二S" w:eastAsia="汉仪书宋二S" w:cs="汉仪书宋二S"/>
          <w:color w:val="auto"/>
          <w:szCs w:val="21"/>
          <w:highlight w:val="none"/>
          <w:lang w:val="en-US" w:eastAsia="zh-CN"/>
        </w:rPr>
        <w:t>完整</w:t>
      </w:r>
      <w:r>
        <w:rPr>
          <w:rFonts w:hint="eastAsia" w:ascii="汉仪书宋二S" w:hAnsi="汉仪书宋二S" w:eastAsia="汉仪书宋二S" w:cs="汉仪书宋二S"/>
          <w:color w:val="auto"/>
          <w:szCs w:val="21"/>
          <w:highlight w:val="none"/>
        </w:rPr>
        <w:t>，结论逻辑清晰</w:t>
      </w:r>
      <w:r>
        <w:rPr>
          <w:rFonts w:hint="eastAsia" w:ascii="汉仪书宋二S" w:hAnsi="汉仪书宋二S" w:eastAsia="汉仪书宋二S" w:cs="汉仪书宋二S"/>
          <w:color w:val="auto"/>
          <w:szCs w:val="21"/>
          <w:highlight w:val="none"/>
          <w:lang w:val="en-US" w:eastAsia="zh-CN"/>
        </w:rPr>
        <w:t>符合项目安装要求，能结合项目情况提出建设性详细安装方案</w:t>
      </w:r>
      <w:r>
        <w:rPr>
          <w:rFonts w:hint="eastAsia" w:ascii="汉仪书宋二S" w:hAnsi="汉仪书宋二S" w:eastAsia="汉仪书宋二S" w:cs="汉仪书宋二S"/>
          <w:color w:val="auto"/>
          <w:szCs w:val="21"/>
          <w:highlight w:val="none"/>
        </w:rPr>
        <w:t>。</w:t>
      </w:r>
    </w:p>
    <w:p>
      <w:pPr>
        <w:adjustRightInd w:val="0"/>
        <w:spacing w:line="360" w:lineRule="exact"/>
        <w:ind w:firstLine="421" w:firstLineChars="200"/>
        <w:textAlignment w:val="baseline"/>
        <w:rPr>
          <w:rFonts w:ascii="宋体" w:hAnsi="宋体"/>
          <w:b/>
          <w:bCs w:val="0"/>
          <w:color w:val="auto"/>
          <w:szCs w:val="21"/>
          <w:highlight w:val="none"/>
        </w:rPr>
      </w:pPr>
      <w:r>
        <w:rPr>
          <w:rFonts w:hint="eastAsia" w:ascii="宋体" w:hAnsi="宋体"/>
          <w:b/>
          <w:bCs w:val="0"/>
          <w:color w:val="auto"/>
          <w:szCs w:val="21"/>
          <w:highlight w:val="none"/>
        </w:rPr>
        <w:t xml:space="preserve"> </w:t>
      </w:r>
      <w:r>
        <w:rPr>
          <w:rFonts w:hint="eastAsia" w:ascii="汉仪书宋二S" w:hAnsi="汉仪书宋二S" w:eastAsia="汉仪书宋二S" w:cs="汉仪书宋二S"/>
          <w:b/>
          <w:bCs w:val="0"/>
          <w:color w:val="auto"/>
          <w:szCs w:val="21"/>
          <w:highlight w:val="none"/>
        </w:rPr>
        <w:t>（</w:t>
      </w:r>
      <w:r>
        <w:rPr>
          <w:rFonts w:hint="eastAsia" w:ascii="汉仪书宋二S" w:hAnsi="汉仪书宋二S" w:eastAsia="汉仪书宋二S" w:cs="汉仪书宋二S"/>
          <w:b/>
          <w:bCs w:val="0"/>
          <w:color w:val="auto"/>
          <w:szCs w:val="21"/>
          <w:highlight w:val="none"/>
          <w:lang w:val="en-US" w:eastAsia="zh-CN"/>
        </w:rPr>
        <w:t>3</w:t>
      </w:r>
      <w:r>
        <w:rPr>
          <w:rFonts w:hint="eastAsia" w:ascii="汉仪书宋二S" w:hAnsi="汉仪书宋二S" w:eastAsia="汉仪书宋二S" w:cs="汉仪书宋二S"/>
          <w:b/>
          <w:bCs w:val="0"/>
          <w:color w:val="auto"/>
          <w:szCs w:val="21"/>
          <w:highlight w:val="none"/>
        </w:rPr>
        <w:t>）</w:t>
      </w:r>
      <w:r>
        <w:rPr>
          <w:rFonts w:hint="eastAsia" w:ascii="宋体" w:hAnsi="宋体"/>
          <w:b/>
          <w:bCs w:val="0"/>
          <w:color w:val="auto"/>
          <w:szCs w:val="21"/>
          <w:highlight w:val="none"/>
        </w:rPr>
        <w:t>项目实施方案</w:t>
      </w:r>
      <w:r>
        <w:rPr>
          <w:rFonts w:hint="eastAsia" w:ascii="宋体" w:hAnsi="宋体"/>
          <w:b/>
          <w:bCs w:val="0"/>
          <w:color w:val="auto"/>
          <w:szCs w:val="21"/>
          <w:highlight w:val="none"/>
          <w:lang w:eastAsia="zh-CN"/>
        </w:rPr>
        <w:t>分</w:t>
      </w:r>
      <w:r>
        <w:rPr>
          <w:rFonts w:hint="eastAsia" w:ascii="宋体" w:hAnsi="宋体"/>
          <w:b/>
          <w:bCs w:val="0"/>
          <w:color w:val="auto"/>
          <w:szCs w:val="21"/>
          <w:highlight w:val="none"/>
        </w:rPr>
        <w:t>（满分</w:t>
      </w: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0分）</w:t>
      </w:r>
    </w:p>
    <w:p>
      <w:pPr>
        <w:pStyle w:val="29"/>
        <w:spacing w:line="360" w:lineRule="exact"/>
        <w:rPr>
          <w:rFonts w:hint="eastAsia" w:hAnsi="宋体"/>
          <w:strike w:val="0"/>
          <w:color w:val="auto"/>
          <w:highlight w:val="none"/>
        </w:rPr>
      </w:pPr>
      <w:r>
        <w:rPr>
          <w:rFonts w:hint="eastAsia" w:hAnsi="宋体"/>
          <w:strike w:val="0"/>
          <w:color w:val="auto"/>
          <w:highlight w:val="none"/>
        </w:rPr>
        <w:t xml:space="preserve">    </w:t>
      </w:r>
      <w:r>
        <w:rPr>
          <w:rFonts w:hint="eastAsia" w:ascii="宋体" w:hAnsi="宋体"/>
          <w:strike w:val="0"/>
          <w:color w:val="auto"/>
          <w:szCs w:val="21"/>
          <w:highlight w:val="none"/>
          <w:lang w:val="en-US" w:eastAsia="zh-CN"/>
        </w:rPr>
        <w:t>根据</w:t>
      </w:r>
      <w:r>
        <w:rPr>
          <w:rFonts w:hint="eastAsia" w:hAnsi="宋体"/>
          <w:color w:val="auto"/>
          <w:highlight w:val="none"/>
        </w:rPr>
        <w:t>项目实施方案</w:t>
      </w:r>
      <w:r>
        <w:rPr>
          <w:rFonts w:hint="eastAsia" w:ascii="宋体" w:hAnsi="宋体"/>
          <w:strike w:val="0"/>
          <w:color w:val="auto"/>
          <w:szCs w:val="21"/>
          <w:highlight w:val="none"/>
          <w:lang w:val="en-US" w:eastAsia="zh-CN"/>
        </w:rPr>
        <w:t>内容详细程度、项目针对性、可行性评价。</w:t>
      </w:r>
    </w:p>
    <w:p>
      <w:pPr>
        <w:pStyle w:val="29"/>
        <w:spacing w:line="360" w:lineRule="exact"/>
        <w:ind w:firstLine="420" w:firstLineChars="200"/>
        <w:rPr>
          <w:rFonts w:hAnsi="宋体"/>
          <w:strike w:val="0"/>
          <w:color w:val="auto"/>
          <w:highlight w:val="none"/>
        </w:rPr>
      </w:pPr>
      <w:r>
        <w:rPr>
          <w:rFonts w:hint="eastAsia" w:hAnsi="宋体"/>
          <w:strike w:val="0"/>
          <w:color w:val="auto"/>
          <w:highlight w:val="none"/>
        </w:rPr>
        <w:t>一档（</w:t>
      </w:r>
      <w:r>
        <w:rPr>
          <w:rFonts w:hint="eastAsia" w:hAnsi="宋体"/>
          <w:strike w:val="0"/>
          <w:color w:val="auto"/>
          <w:highlight w:val="none"/>
          <w:lang w:val="en-US" w:eastAsia="zh-CN"/>
        </w:rPr>
        <w:t>4</w:t>
      </w:r>
      <w:r>
        <w:rPr>
          <w:rFonts w:hint="eastAsia" w:hAnsi="宋体"/>
          <w:strike w:val="0"/>
          <w:color w:val="auto"/>
          <w:highlight w:val="none"/>
        </w:rPr>
        <w:t>分）：方案包含从货源组织、设备运输、货到现场后安装调试等所有供货流程及进度计划安排，所有环节步骤清晰，责任人员明确，能确保产品供货。</w:t>
      </w:r>
    </w:p>
    <w:p>
      <w:pPr>
        <w:pStyle w:val="29"/>
        <w:spacing w:line="360" w:lineRule="exact"/>
        <w:rPr>
          <w:rFonts w:hAnsi="宋体"/>
          <w:strike w:val="0"/>
          <w:color w:val="auto"/>
          <w:highlight w:val="none"/>
        </w:rPr>
      </w:pPr>
      <w:r>
        <w:rPr>
          <w:rFonts w:hint="eastAsia" w:hAnsi="宋体"/>
          <w:strike w:val="0"/>
          <w:color w:val="auto"/>
          <w:highlight w:val="none"/>
        </w:rPr>
        <w:t xml:space="preserve">    二档（</w:t>
      </w:r>
      <w:r>
        <w:rPr>
          <w:rFonts w:hint="eastAsia" w:hAnsi="宋体"/>
          <w:strike w:val="0"/>
          <w:color w:val="auto"/>
          <w:highlight w:val="none"/>
          <w:lang w:val="en-US" w:eastAsia="zh-CN"/>
        </w:rPr>
        <w:t>7</w:t>
      </w:r>
      <w:r>
        <w:rPr>
          <w:rFonts w:hint="eastAsia" w:hAnsi="宋体"/>
          <w:strike w:val="0"/>
          <w:color w:val="auto"/>
          <w:highlight w:val="none"/>
        </w:rPr>
        <w:t>分）：在</w:t>
      </w:r>
      <w:r>
        <w:rPr>
          <w:rFonts w:hint="eastAsia" w:hAnsi="宋体"/>
          <w:strike w:val="0"/>
          <w:color w:val="auto"/>
          <w:highlight w:val="none"/>
          <w:lang w:val="en-US" w:eastAsia="zh-CN"/>
        </w:rPr>
        <w:t>完全满足</w:t>
      </w:r>
      <w:r>
        <w:rPr>
          <w:rFonts w:hint="eastAsia" w:hAnsi="宋体"/>
          <w:strike w:val="0"/>
          <w:color w:val="auto"/>
          <w:highlight w:val="none"/>
        </w:rPr>
        <w:t>上一档的基础上，完整列明各实施环节的实施办法和保障措施，分析供货流程各环节可能出现的问题并提出解决措施，同时提供现场安装调试方案。</w:t>
      </w:r>
    </w:p>
    <w:p>
      <w:pPr>
        <w:pStyle w:val="51"/>
        <w:ind w:firstLine="210"/>
        <w:rPr>
          <w:rFonts w:hint="eastAsia" w:ascii="宋体" w:hAnsi="宋体"/>
          <w:bCs/>
          <w:strike w:val="0"/>
          <w:color w:val="auto"/>
          <w:sz w:val="21"/>
          <w:szCs w:val="21"/>
          <w:highlight w:val="none"/>
        </w:rPr>
      </w:pPr>
      <w:r>
        <w:rPr>
          <w:rFonts w:hint="eastAsia" w:hAnsi="宋体"/>
          <w:strike w:val="0"/>
          <w:color w:val="auto"/>
          <w:sz w:val="21"/>
          <w:highlight w:val="none"/>
        </w:rPr>
        <w:t xml:space="preserve">  </w:t>
      </w:r>
      <w:r>
        <w:rPr>
          <w:rFonts w:hint="eastAsia" w:ascii="宋体" w:hAnsi="宋体"/>
          <w:bCs/>
          <w:strike w:val="0"/>
          <w:color w:val="auto"/>
          <w:sz w:val="21"/>
          <w:szCs w:val="21"/>
          <w:highlight w:val="none"/>
        </w:rPr>
        <w:t>三档（</w:t>
      </w:r>
      <w:r>
        <w:rPr>
          <w:rFonts w:hint="eastAsia" w:ascii="宋体" w:hAnsi="宋体"/>
          <w:bCs/>
          <w:strike w:val="0"/>
          <w:color w:val="auto"/>
          <w:sz w:val="21"/>
          <w:szCs w:val="21"/>
          <w:highlight w:val="none"/>
          <w:lang w:val="en-US" w:eastAsia="zh-CN"/>
        </w:rPr>
        <w:t>10</w:t>
      </w:r>
      <w:r>
        <w:rPr>
          <w:rFonts w:hint="eastAsia" w:ascii="宋体" w:hAnsi="宋体"/>
          <w:bCs/>
          <w:strike w:val="0"/>
          <w:color w:val="auto"/>
          <w:sz w:val="21"/>
          <w:szCs w:val="21"/>
          <w:highlight w:val="none"/>
        </w:rPr>
        <w:t>分）：在</w:t>
      </w:r>
      <w:r>
        <w:rPr>
          <w:rFonts w:hint="eastAsia" w:ascii="宋体" w:hAnsi="宋体"/>
          <w:bCs/>
          <w:strike w:val="0"/>
          <w:color w:val="auto"/>
          <w:sz w:val="21"/>
          <w:szCs w:val="21"/>
          <w:highlight w:val="none"/>
          <w:lang w:val="en-US" w:eastAsia="zh-CN"/>
        </w:rPr>
        <w:t>完全满足</w:t>
      </w:r>
      <w:r>
        <w:rPr>
          <w:rFonts w:hint="eastAsia" w:ascii="宋体" w:hAnsi="宋体"/>
          <w:bCs/>
          <w:strike w:val="0"/>
          <w:color w:val="auto"/>
          <w:sz w:val="21"/>
          <w:szCs w:val="21"/>
          <w:highlight w:val="none"/>
        </w:rPr>
        <w:t>上一档的基础上，分析本项目的难点重点，建立符合本项目合同履行实施的组织机构，实施计划分阶段计划，阶段性目标清晰，提供完善可行的质量控制措施、安全保障措施、应急保障措施。提供对实施人员进行阶段性考核的计划。</w:t>
      </w:r>
    </w:p>
    <w:p>
      <w:pPr>
        <w:pStyle w:val="51"/>
        <w:ind w:firstLine="210"/>
        <w:rPr>
          <w:rFonts w:hint="eastAsia" w:ascii="宋体" w:hAnsi="宋体"/>
          <w:bCs/>
          <w:strike w:val="0"/>
          <w:color w:val="auto"/>
          <w:sz w:val="21"/>
          <w:szCs w:val="21"/>
          <w:highlight w:val="none"/>
        </w:rPr>
      </w:pPr>
      <w:r>
        <w:rPr>
          <w:rFonts w:hint="eastAsia" w:ascii="宋体" w:hAnsi="宋体"/>
          <w:bCs/>
          <w:strike w:val="0"/>
          <w:color w:val="auto"/>
          <w:sz w:val="21"/>
          <w:szCs w:val="21"/>
          <w:highlight w:val="none"/>
        </w:rPr>
        <w:t>未提供方案或方案达不到进档要求的得0分。</w:t>
      </w:r>
    </w:p>
    <w:p>
      <w:pPr>
        <w:spacing w:line="410" w:lineRule="exact"/>
        <w:rPr>
          <w:rFonts w:ascii="宋体" w:hAnsi="宋体"/>
          <w:color w:val="auto"/>
          <w:szCs w:val="21"/>
          <w:highlight w:val="none"/>
        </w:rPr>
      </w:pPr>
      <w:r>
        <w:rPr>
          <w:rFonts w:hint="eastAsia" w:ascii="汉仪书宋二S" w:hAnsi="汉仪书宋二S" w:eastAsia="汉仪书宋二S" w:cs="汉仪书宋二S"/>
          <w:color w:val="auto"/>
          <w:highlight w:val="none"/>
        </w:rPr>
        <w:t xml:space="preserve">    </w:t>
      </w:r>
      <w:r>
        <w:rPr>
          <w:rFonts w:hint="eastAsia" w:ascii="汉仪书宋二S" w:hAnsi="汉仪书宋二S" w:eastAsia="汉仪书宋二S" w:cs="汉仪书宋二S"/>
          <w:b/>
          <w:bCs/>
          <w:color w:val="auto"/>
          <w:highlight w:val="none"/>
        </w:rPr>
        <w:t>（</w:t>
      </w:r>
      <w:r>
        <w:rPr>
          <w:rFonts w:hint="eastAsia" w:ascii="汉仪书宋二S" w:hAnsi="汉仪书宋二S" w:eastAsia="汉仪书宋二S" w:cs="汉仪书宋二S"/>
          <w:b/>
          <w:bCs/>
          <w:color w:val="auto"/>
          <w:highlight w:val="none"/>
          <w:lang w:val="en-US" w:eastAsia="zh-CN"/>
        </w:rPr>
        <w:t>4</w:t>
      </w:r>
      <w:r>
        <w:rPr>
          <w:rFonts w:hint="eastAsia" w:ascii="汉仪书宋二S" w:hAnsi="汉仪书宋二S" w:eastAsia="汉仪书宋二S" w:cs="汉仪书宋二S"/>
          <w:b/>
          <w:bCs/>
          <w:color w:val="auto"/>
          <w:highlight w:val="none"/>
        </w:rPr>
        <w:t>）</w:t>
      </w:r>
      <w:r>
        <w:rPr>
          <w:rFonts w:hint="eastAsia" w:ascii="宋体" w:hAnsi="宋体"/>
          <w:b/>
          <w:bCs/>
          <w:color w:val="auto"/>
          <w:szCs w:val="21"/>
          <w:highlight w:val="none"/>
        </w:rPr>
        <w:t>售后服务方案</w:t>
      </w:r>
      <w:r>
        <w:rPr>
          <w:rFonts w:hint="eastAsia" w:ascii="宋体" w:hAnsi="宋体"/>
          <w:b/>
          <w:bCs/>
          <w:color w:val="auto"/>
          <w:szCs w:val="21"/>
          <w:highlight w:val="none"/>
          <w:lang w:eastAsia="zh-CN"/>
        </w:rPr>
        <w:t>分</w:t>
      </w: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8</w:t>
      </w:r>
      <w:r>
        <w:rPr>
          <w:rFonts w:hint="eastAsia" w:ascii="宋体" w:hAnsi="宋体"/>
          <w:b/>
          <w:bCs/>
          <w:color w:val="auto"/>
          <w:szCs w:val="21"/>
          <w:highlight w:val="none"/>
        </w:rPr>
        <w:t>分）</w:t>
      </w:r>
    </w:p>
    <w:p>
      <w:pPr>
        <w:spacing w:line="410" w:lineRule="exact"/>
        <w:rPr>
          <w:rFonts w:hint="eastAsia" w:ascii="宋体" w:hAnsi="宋体"/>
          <w:strike w:val="0"/>
          <w:color w:val="auto"/>
          <w:szCs w:val="21"/>
          <w:highlight w:val="none"/>
        </w:rPr>
      </w:pPr>
      <w:r>
        <w:rPr>
          <w:rFonts w:hint="eastAsia" w:ascii="宋体" w:hAnsi="宋体"/>
          <w:strike w:val="0"/>
          <w:color w:val="auto"/>
          <w:szCs w:val="21"/>
          <w:highlight w:val="none"/>
        </w:rPr>
        <w:t xml:space="preserve">    </w:t>
      </w:r>
      <w:r>
        <w:rPr>
          <w:rFonts w:hint="eastAsia" w:ascii="宋体" w:hAnsi="宋体"/>
          <w:strike w:val="0"/>
          <w:color w:val="auto"/>
          <w:szCs w:val="21"/>
          <w:highlight w:val="none"/>
          <w:lang w:val="en-US" w:eastAsia="zh-CN"/>
        </w:rPr>
        <w:t>根据</w:t>
      </w:r>
      <w:r>
        <w:rPr>
          <w:rFonts w:hint="eastAsia" w:ascii="宋体" w:hAnsi="宋体"/>
          <w:color w:val="auto"/>
          <w:szCs w:val="21"/>
          <w:highlight w:val="none"/>
        </w:rPr>
        <w:t>售后服务方案</w:t>
      </w:r>
      <w:r>
        <w:rPr>
          <w:rFonts w:hint="eastAsia" w:ascii="宋体" w:hAnsi="宋体"/>
          <w:strike w:val="0"/>
          <w:color w:val="auto"/>
          <w:szCs w:val="21"/>
          <w:highlight w:val="none"/>
          <w:lang w:val="en-US" w:eastAsia="zh-CN"/>
        </w:rPr>
        <w:t>内容详细程度、项目针对性、可行性评价。</w:t>
      </w:r>
    </w:p>
    <w:p>
      <w:pPr>
        <w:spacing w:line="410" w:lineRule="exact"/>
        <w:ind w:firstLine="420" w:firstLineChars="200"/>
        <w:rPr>
          <w:rFonts w:ascii="宋体" w:hAnsi="宋体"/>
          <w:strike w:val="0"/>
          <w:color w:val="auto"/>
          <w:szCs w:val="21"/>
          <w:highlight w:val="none"/>
        </w:rPr>
      </w:pPr>
      <w:r>
        <w:rPr>
          <w:rFonts w:hint="eastAsia" w:ascii="宋体" w:hAnsi="宋体"/>
          <w:strike w:val="0"/>
          <w:color w:val="auto"/>
          <w:szCs w:val="21"/>
          <w:highlight w:val="none"/>
        </w:rPr>
        <w:t>一档（</w:t>
      </w:r>
      <w:r>
        <w:rPr>
          <w:rFonts w:hint="eastAsia" w:ascii="宋体" w:hAnsi="宋体"/>
          <w:strike w:val="0"/>
          <w:color w:val="auto"/>
          <w:szCs w:val="21"/>
          <w:highlight w:val="none"/>
          <w:lang w:eastAsia="zh-CN"/>
        </w:rPr>
        <w:t>2</w:t>
      </w:r>
      <w:r>
        <w:rPr>
          <w:rFonts w:hint="eastAsia" w:ascii="宋体" w:hAnsi="宋体"/>
          <w:strike w:val="0"/>
          <w:color w:val="auto"/>
          <w:szCs w:val="21"/>
          <w:highlight w:val="none"/>
        </w:rPr>
        <w:t>分）：售后服务方案满足采购要求，仅对采购人提出的要求进行了部分细化。</w:t>
      </w:r>
    </w:p>
    <w:p>
      <w:pPr>
        <w:spacing w:line="410" w:lineRule="exact"/>
        <w:rPr>
          <w:rFonts w:ascii="宋体" w:hAnsi="宋体"/>
          <w:strike w:val="0"/>
          <w:color w:val="auto"/>
          <w:szCs w:val="21"/>
          <w:highlight w:val="none"/>
        </w:rPr>
      </w:pPr>
      <w:r>
        <w:rPr>
          <w:rFonts w:hint="eastAsia" w:ascii="宋体" w:hAnsi="宋体"/>
          <w:strike w:val="0"/>
          <w:color w:val="auto"/>
          <w:szCs w:val="21"/>
          <w:highlight w:val="none"/>
        </w:rPr>
        <w:t xml:space="preserve">    二档（</w:t>
      </w:r>
      <w:r>
        <w:rPr>
          <w:rFonts w:hint="eastAsia" w:ascii="宋体" w:hAnsi="宋体"/>
          <w:strike w:val="0"/>
          <w:color w:val="auto"/>
          <w:szCs w:val="21"/>
          <w:highlight w:val="none"/>
          <w:lang w:val="en-US" w:eastAsia="zh-CN"/>
        </w:rPr>
        <w:t>5</w:t>
      </w:r>
      <w:r>
        <w:rPr>
          <w:rFonts w:hint="eastAsia" w:ascii="宋体" w:hAnsi="宋体"/>
          <w:strike w:val="0"/>
          <w:color w:val="auto"/>
          <w:szCs w:val="21"/>
          <w:highlight w:val="none"/>
        </w:rPr>
        <w:t>分）：在满足一档的基础上，售后服务要求对本项目具有针对性，提供了故障处理流程、维护保障流程及组织架构，售后服务方案表述清晰、完整，措施有效可行，故障响应时间、到达故障现场时间安排合理，故障维护方案合理</w:t>
      </w:r>
      <w:r>
        <w:rPr>
          <w:rFonts w:hint="eastAsia" w:ascii="宋体" w:hAnsi="宋体"/>
          <w:strike w:val="0"/>
          <w:color w:val="auto"/>
          <w:szCs w:val="21"/>
          <w:highlight w:val="none"/>
          <w:lang w:eastAsia="zh-CN"/>
        </w:rPr>
        <w:t>，</w:t>
      </w:r>
      <w:r>
        <w:rPr>
          <w:rFonts w:hint="eastAsia" w:ascii="宋体" w:hAnsi="宋体"/>
          <w:strike w:val="0"/>
          <w:color w:val="auto"/>
          <w:szCs w:val="21"/>
          <w:highlight w:val="none"/>
          <w:lang w:val="en-US" w:eastAsia="zh-CN"/>
        </w:rPr>
        <w:t>可提供第2项全彩背景视频设备（超高）备用模组10块以上</w:t>
      </w:r>
      <w:r>
        <w:rPr>
          <w:rFonts w:hint="eastAsia" w:ascii="宋体" w:hAnsi="宋体"/>
          <w:strike w:val="0"/>
          <w:color w:val="auto"/>
          <w:szCs w:val="21"/>
          <w:highlight w:val="none"/>
        </w:rPr>
        <w:t>。</w:t>
      </w:r>
    </w:p>
    <w:p>
      <w:pPr>
        <w:spacing w:line="410" w:lineRule="exact"/>
        <w:rPr>
          <w:rFonts w:ascii="宋体" w:hAnsi="宋体"/>
          <w:strike w:val="0"/>
          <w:color w:val="auto"/>
          <w:szCs w:val="21"/>
          <w:highlight w:val="none"/>
        </w:rPr>
      </w:pPr>
      <w:r>
        <w:rPr>
          <w:rFonts w:hint="eastAsia" w:ascii="宋体" w:hAnsi="宋体"/>
          <w:strike w:val="0"/>
          <w:color w:val="auto"/>
          <w:szCs w:val="21"/>
          <w:highlight w:val="none"/>
        </w:rPr>
        <w:t xml:space="preserve">     三档（</w:t>
      </w:r>
      <w:r>
        <w:rPr>
          <w:rFonts w:hint="eastAsia" w:ascii="宋体" w:hAnsi="宋体"/>
          <w:strike w:val="0"/>
          <w:color w:val="auto"/>
          <w:szCs w:val="21"/>
          <w:highlight w:val="none"/>
          <w:lang w:eastAsia="zh-CN"/>
        </w:rPr>
        <w:t>8</w:t>
      </w:r>
      <w:r>
        <w:rPr>
          <w:rFonts w:hint="eastAsia" w:ascii="宋体" w:hAnsi="宋体"/>
          <w:strike w:val="0"/>
          <w:color w:val="auto"/>
          <w:szCs w:val="21"/>
          <w:highlight w:val="none"/>
        </w:rPr>
        <w:t>分）：在满足二档的基础上，售后服务方案完善可行，</w:t>
      </w:r>
      <w:r>
        <w:rPr>
          <w:rFonts w:hint="eastAsia" w:ascii="宋体" w:hAnsi="宋体" w:cs="宋体"/>
          <w:strike w:val="0"/>
          <w:color w:val="auto"/>
          <w:kern w:val="0"/>
          <w:szCs w:val="21"/>
          <w:highlight w:val="none"/>
        </w:rPr>
        <w:t>故障响应时间、到达现场维护时间、修复时间优于招标文件要求，有售后服务流程图</w:t>
      </w:r>
      <w:r>
        <w:rPr>
          <w:rFonts w:hint="eastAsia" w:ascii="宋体" w:hAnsi="宋体"/>
          <w:strike w:val="0"/>
          <w:color w:val="auto"/>
          <w:szCs w:val="21"/>
          <w:highlight w:val="none"/>
        </w:rPr>
        <w:t>，详细说明售后工作内容、阐述清楚售后服务办法及保障体系，具有完备售后服务规范和管理制度</w:t>
      </w:r>
      <w:r>
        <w:rPr>
          <w:rFonts w:hint="eastAsia" w:ascii="宋体" w:hAnsi="宋体"/>
          <w:strike w:val="0"/>
          <w:color w:val="auto"/>
          <w:szCs w:val="21"/>
          <w:highlight w:val="none"/>
          <w:lang w:eastAsia="zh-CN"/>
        </w:rPr>
        <w:t>，</w:t>
      </w:r>
      <w:r>
        <w:rPr>
          <w:rFonts w:hint="eastAsia" w:ascii="宋体" w:hAnsi="宋体"/>
          <w:strike w:val="0"/>
          <w:color w:val="auto"/>
          <w:szCs w:val="21"/>
          <w:highlight w:val="none"/>
          <w:lang w:val="en-US" w:eastAsia="zh-CN"/>
        </w:rPr>
        <w:t>可提供第2项全彩背景视频设备（超高）备用模组20块以上</w:t>
      </w:r>
      <w:r>
        <w:rPr>
          <w:rFonts w:hint="eastAsia" w:ascii="宋体" w:hAnsi="宋体"/>
          <w:strike w:val="0"/>
          <w:color w:val="auto"/>
          <w:szCs w:val="21"/>
          <w:highlight w:val="none"/>
        </w:rPr>
        <w:t>。</w:t>
      </w:r>
    </w:p>
    <w:p>
      <w:pPr>
        <w:pStyle w:val="51"/>
        <w:ind w:firstLine="210"/>
        <w:rPr>
          <w:rFonts w:hint="eastAsia" w:hAnsi="宋体"/>
          <w:strike w:val="0"/>
          <w:color w:val="auto"/>
          <w:sz w:val="21"/>
          <w:highlight w:val="none"/>
        </w:rPr>
      </w:pPr>
      <w:r>
        <w:rPr>
          <w:rFonts w:hint="eastAsia" w:hAnsi="宋体"/>
          <w:strike w:val="0"/>
          <w:color w:val="auto"/>
          <w:sz w:val="21"/>
          <w:highlight w:val="none"/>
        </w:rPr>
        <w:t>未提供方案或方案达不到进档要求的得0分。</w:t>
      </w:r>
    </w:p>
    <w:p>
      <w:pPr>
        <w:spacing w:line="410" w:lineRule="exact"/>
        <w:rPr>
          <w:rFonts w:hAnsi="宋体"/>
          <w:b/>
          <w:bCs/>
          <w:color w:val="auto"/>
          <w:highlight w:val="none"/>
        </w:rPr>
      </w:pPr>
      <w:r>
        <w:rPr>
          <w:rFonts w:hint="eastAsia" w:hAnsi="宋体"/>
          <w:color w:val="auto"/>
          <w:highlight w:val="none"/>
        </w:rPr>
        <w:t xml:space="preserve">    </w:t>
      </w:r>
      <w:r>
        <w:rPr>
          <w:rFonts w:hint="eastAsia" w:hAnsi="宋体"/>
          <w:b/>
          <w:bCs/>
          <w:color w:val="auto"/>
          <w:highlight w:val="none"/>
        </w:rPr>
        <w:t xml:space="preserve"> （</w:t>
      </w:r>
      <w:r>
        <w:rPr>
          <w:rFonts w:hint="eastAsia" w:hAnsi="宋体"/>
          <w:b/>
          <w:bCs/>
          <w:color w:val="auto"/>
          <w:highlight w:val="none"/>
          <w:lang w:val="en-US" w:eastAsia="zh-CN"/>
        </w:rPr>
        <w:t>5</w:t>
      </w:r>
      <w:r>
        <w:rPr>
          <w:rFonts w:hint="eastAsia" w:hAnsi="宋体"/>
          <w:b/>
          <w:bCs/>
          <w:color w:val="auto"/>
          <w:highlight w:val="none"/>
        </w:rPr>
        <w:t>）培训方案</w:t>
      </w:r>
      <w:r>
        <w:rPr>
          <w:rFonts w:hint="eastAsia" w:hAnsi="宋体"/>
          <w:b/>
          <w:bCs/>
          <w:color w:val="auto"/>
          <w:highlight w:val="none"/>
          <w:lang w:eastAsia="zh-CN"/>
        </w:rPr>
        <w:t>分</w:t>
      </w:r>
      <w:r>
        <w:rPr>
          <w:rFonts w:hint="eastAsia" w:hAnsi="宋体"/>
          <w:b/>
          <w:bCs/>
          <w:color w:val="auto"/>
          <w:highlight w:val="none"/>
        </w:rPr>
        <w:t>（满分</w:t>
      </w:r>
      <w:r>
        <w:rPr>
          <w:rFonts w:hint="eastAsia" w:hAnsi="宋体"/>
          <w:b/>
          <w:bCs/>
          <w:color w:val="auto"/>
          <w:highlight w:val="none"/>
          <w:lang w:val="en-US" w:eastAsia="zh-CN"/>
        </w:rPr>
        <w:t>8</w:t>
      </w:r>
      <w:r>
        <w:rPr>
          <w:rFonts w:hint="eastAsia" w:hAnsi="宋体"/>
          <w:b/>
          <w:bCs/>
          <w:color w:val="auto"/>
          <w:highlight w:val="none"/>
        </w:rPr>
        <w:t>分）</w:t>
      </w:r>
    </w:p>
    <w:p>
      <w:pPr>
        <w:spacing w:line="410" w:lineRule="exact"/>
        <w:rPr>
          <w:rFonts w:hint="default" w:ascii="宋体" w:hAnsi="宋体" w:eastAsia="宋体"/>
          <w:strike w:val="0"/>
          <w:color w:val="auto"/>
          <w:szCs w:val="21"/>
          <w:highlight w:val="none"/>
          <w:lang w:val="en-US" w:eastAsia="zh-CN"/>
        </w:rPr>
      </w:pPr>
      <w:r>
        <w:rPr>
          <w:rFonts w:hint="eastAsia" w:ascii="宋体" w:hAnsi="宋体"/>
          <w:strike w:val="0"/>
          <w:color w:val="auto"/>
          <w:szCs w:val="21"/>
          <w:highlight w:val="none"/>
        </w:rPr>
        <w:t xml:space="preserve">    </w:t>
      </w:r>
      <w:r>
        <w:rPr>
          <w:rFonts w:hint="eastAsia" w:ascii="宋体" w:hAnsi="宋体"/>
          <w:strike w:val="0"/>
          <w:color w:val="auto"/>
          <w:szCs w:val="21"/>
          <w:highlight w:val="none"/>
          <w:lang w:val="en-US" w:eastAsia="zh-CN"/>
        </w:rPr>
        <w:t>根据</w:t>
      </w:r>
      <w:r>
        <w:rPr>
          <w:rFonts w:hint="eastAsia" w:ascii="宋体" w:hAnsi="宋体"/>
          <w:color w:val="auto"/>
          <w:szCs w:val="21"/>
          <w:highlight w:val="none"/>
        </w:rPr>
        <w:t>培训方案</w:t>
      </w:r>
      <w:r>
        <w:rPr>
          <w:rFonts w:hint="eastAsia" w:ascii="宋体" w:hAnsi="宋体"/>
          <w:strike w:val="0"/>
          <w:color w:val="auto"/>
          <w:szCs w:val="21"/>
          <w:highlight w:val="none"/>
          <w:lang w:val="en-US" w:eastAsia="zh-CN"/>
        </w:rPr>
        <w:t>内容详细程度、项目针对性、可行性评价。</w:t>
      </w:r>
    </w:p>
    <w:p>
      <w:pPr>
        <w:spacing w:line="410" w:lineRule="exact"/>
        <w:ind w:firstLine="420" w:firstLineChars="200"/>
        <w:rPr>
          <w:rFonts w:ascii="宋体" w:hAnsi="宋体"/>
          <w:strike w:val="0"/>
          <w:color w:val="auto"/>
          <w:szCs w:val="21"/>
          <w:highlight w:val="none"/>
        </w:rPr>
      </w:pPr>
      <w:r>
        <w:rPr>
          <w:rFonts w:hint="eastAsia" w:ascii="宋体" w:hAnsi="宋体"/>
          <w:strike w:val="0"/>
          <w:color w:val="auto"/>
          <w:szCs w:val="21"/>
          <w:highlight w:val="none"/>
        </w:rPr>
        <w:t>一档（</w:t>
      </w:r>
      <w:r>
        <w:rPr>
          <w:rFonts w:hint="eastAsia" w:ascii="宋体" w:hAnsi="宋体"/>
          <w:strike w:val="0"/>
          <w:color w:val="auto"/>
          <w:szCs w:val="21"/>
          <w:highlight w:val="none"/>
          <w:lang w:val="en-US" w:eastAsia="zh-CN"/>
        </w:rPr>
        <w:t>2</w:t>
      </w:r>
      <w:r>
        <w:rPr>
          <w:rFonts w:hint="eastAsia" w:ascii="宋体" w:hAnsi="宋体"/>
          <w:strike w:val="0"/>
          <w:color w:val="auto"/>
          <w:szCs w:val="21"/>
          <w:highlight w:val="none"/>
        </w:rPr>
        <w:t xml:space="preserve">分）：培训方案有培训计划安排，但安排不明确。 </w:t>
      </w:r>
    </w:p>
    <w:p>
      <w:pPr>
        <w:spacing w:line="410" w:lineRule="exact"/>
        <w:rPr>
          <w:rFonts w:ascii="宋体" w:hAnsi="宋体"/>
          <w:strike w:val="0"/>
          <w:color w:val="auto"/>
          <w:szCs w:val="21"/>
          <w:highlight w:val="none"/>
        </w:rPr>
      </w:pPr>
      <w:r>
        <w:rPr>
          <w:rFonts w:hint="eastAsia" w:ascii="宋体" w:hAnsi="宋体"/>
          <w:strike w:val="0"/>
          <w:color w:val="auto"/>
          <w:szCs w:val="21"/>
          <w:highlight w:val="none"/>
        </w:rPr>
        <w:t xml:space="preserve">    二档（</w:t>
      </w:r>
      <w:r>
        <w:rPr>
          <w:rFonts w:hint="eastAsia" w:ascii="宋体" w:hAnsi="宋体"/>
          <w:strike w:val="0"/>
          <w:color w:val="auto"/>
          <w:szCs w:val="21"/>
          <w:highlight w:val="none"/>
          <w:lang w:val="en-US" w:eastAsia="zh-CN"/>
        </w:rPr>
        <w:t>5</w:t>
      </w:r>
      <w:r>
        <w:rPr>
          <w:rFonts w:hint="eastAsia" w:ascii="宋体" w:hAnsi="宋体"/>
          <w:strike w:val="0"/>
          <w:color w:val="auto"/>
          <w:szCs w:val="21"/>
          <w:highlight w:val="none"/>
        </w:rPr>
        <w:t xml:space="preserve">分）：培训方案有完整的计划，内容至少包含：培训时间、规模人数等内容。 </w:t>
      </w:r>
    </w:p>
    <w:p>
      <w:pPr>
        <w:spacing w:line="410" w:lineRule="exact"/>
        <w:rPr>
          <w:rFonts w:hint="default" w:ascii="宋体" w:hAnsi="宋体"/>
          <w:strike w:val="0"/>
          <w:color w:val="auto"/>
          <w:szCs w:val="21"/>
          <w:highlight w:val="none"/>
        </w:rPr>
      </w:pPr>
      <w:r>
        <w:rPr>
          <w:rFonts w:hint="eastAsia" w:ascii="宋体" w:hAnsi="宋体"/>
          <w:strike w:val="0"/>
          <w:color w:val="auto"/>
          <w:szCs w:val="21"/>
          <w:highlight w:val="none"/>
        </w:rPr>
        <w:t xml:space="preserve">    三档（</w:t>
      </w:r>
      <w:r>
        <w:rPr>
          <w:rFonts w:hint="eastAsia" w:ascii="宋体" w:hAnsi="宋体"/>
          <w:strike w:val="0"/>
          <w:color w:val="auto"/>
          <w:szCs w:val="21"/>
          <w:highlight w:val="none"/>
          <w:lang w:val="en-US" w:eastAsia="zh-CN"/>
        </w:rPr>
        <w:t>8</w:t>
      </w:r>
      <w:r>
        <w:rPr>
          <w:rFonts w:hint="eastAsia" w:ascii="宋体" w:hAnsi="宋体"/>
          <w:strike w:val="0"/>
          <w:color w:val="auto"/>
          <w:szCs w:val="21"/>
          <w:highlight w:val="none"/>
        </w:rPr>
        <w:t>分）：培训方案有完善可行的计划，包含：拟派培训技术人员的安排、拟派培训技术人员的经验介绍、培训时间、规模人数等内容。</w:t>
      </w:r>
    </w:p>
    <w:p>
      <w:pPr>
        <w:pStyle w:val="51"/>
        <w:ind w:firstLine="210"/>
        <w:rPr>
          <w:rFonts w:hint="eastAsia" w:hAnsi="宋体"/>
          <w:strike w:val="0"/>
          <w:color w:val="auto"/>
          <w:sz w:val="21"/>
          <w:highlight w:val="none"/>
        </w:rPr>
      </w:pPr>
      <w:r>
        <w:rPr>
          <w:rFonts w:hint="eastAsia" w:hAnsi="宋体"/>
          <w:strike w:val="0"/>
          <w:color w:val="auto"/>
          <w:sz w:val="21"/>
          <w:highlight w:val="none"/>
        </w:rPr>
        <w:t>未提供方案或方案达不到进档要求的得0分。</w:t>
      </w:r>
    </w:p>
    <w:p>
      <w:pPr>
        <w:spacing w:line="410" w:lineRule="exact"/>
        <w:rPr>
          <w:rFonts w:ascii="宋体" w:hAnsi="宋体"/>
          <w:b/>
          <w:bCs/>
          <w:color w:val="auto"/>
          <w:szCs w:val="21"/>
          <w:highlight w:val="none"/>
        </w:rPr>
      </w:pPr>
      <w:r>
        <w:rPr>
          <w:rFonts w:hint="eastAsia" w:ascii="宋体" w:hAnsi="宋体"/>
          <w:color w:val="auto"/>
          <w:szCs w:val="21"/>
          <w:highlight w:val="none"/>
        </w:rPr>
        <w:t xml:space="preserve">   </w:t>
      </w:r>
      <w:r>
        <w:rPr>
          <w:rFonts w:hint="eastAsia" w:ascii="宋体" w:hAnsi="宋体"/>
          <w:b/>
          <w:bCs/>
          <w:color w:val="auto"/>
          <w:szCs w:val="21"/>
          <w:highlight w:val="none"/>
        </w:rPr>
        <w:t xml:space="preserve">  </w:t>
      </w:r>
      <w:r>
        <w:rPr>
          <w:rFonts w:hint="eastAsia" w:ascii="宋体" w:hAnsi="宋体"/>
          <w:b w:val="0"/>
          <w:bCs w:val="0"/>
          <w:color w:val="auto"/>
          <w:szCs w:val="21"/>
          <w:highlight w:val="none"/>
        </w:rPr>
        <w:t xml:space="preserve"> </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6</w:t>
      </w:r>
      <w:r>
        <w:rPr>
          <w:rFonts w:hint="eastAsia" w:ascii="宋体" w:hAnsi="宋体"/>
          <w:b/>
          <w:bCs/>
          <w:color w:val="auto"/>
          <w:szCs w:val="21"/>
          <w:highlight w:val="none"/>
        </w:rPr>
        <w:t>）质保期</w:t>
      </w:r>
      <w:r>
        <w:rPr>
          <w:rFonts w:hint="eastAsia" w:ascii="宋体" w:hAnsi="宋体"/>
          <w:b/>
          <w:bCs/>
          <w:color w:val="auto"/>
          <w:szCs w:val="21"/>
          <w:highlight w:val="none"/>
          <w:lang w:eastAsia="zh-CN"/>
        </w:rPr>
        <w:t>分</w:t>
      </w: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分）</w:t>
      </w:r>
    </w:p>
    <w:p>
      <w:pPr>
        <w:pStyle w:val="6"/>
        <w:jc w:val="both"/>
        <w:rPr>
          <w:color w:val="auto"/>
          <w:highlight w:val="none"/>
        </w:rPr>
      </w:pPr>
      <w:r>
        <w:rPr>
          <w:rFonts w:hint="eastAsia" w:ascii="宋体" w:hAnsi="宋体" w:eastAsia="宋体"/>
          <w:color w:val="auto"/>
          <w:kern w:val="2"/>
          <w:sz w:val="21"/>
          <w:szCs w:val="21"/>
          <w:highlight w:val="none"/>
        </w:rPr>
        <w:t xml:space="preserve">  </w:t>
      </w: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 xml:space="preserve"> 满足基本质保期的基础上，</w:t>
      </w:r>
      <w:r>
        <w:rPr>
          <w:rFonts w:hint="eastAsia" w:ascii="宋体" w:hAnsi="宋体" w:eastAsia="宋体"/>
          <w:color w:val="auto"/>
          <w:kern w:val="2"/>
          <w:sz w:val="21"/>
          <w:szCs w:val="21"/>
          <w:highlight w:val="none"/>
          <w:lang w:val="en-US" w:eastAsia="zh-CN"/>
        </w:rPr>
        <w:t>投标人承诺项号第2项“全彩背景视频设备”</w:t>
      </w:r>
      <w:r>
        <w:rPr>
          <w:rFonts w:hint="eastAsia" w:ascii="宋体" w:hAnsi="宋体" w:eastAsia="宋体"/>
          <w:color w:val="auto"/>
          <w:kern w:val="2"/>
          <w:sz w:val="21"/>
          <w:szCs w:val="21"/>
          <w:highlight w:val="none"/>
        </w:rPr>
        <w:t>质保期每延长一年增加1分，满分</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w:t>
      </w:r>
    </w:p>
    <w:p>
      <w:pPr>
        <w:pStyle w:val="29"/>
        <w:numPr>
          <w:ilvl w:val="-1"/>
          <w:numId w:val="0"/>
        </w:numPr>
        <w:spacing w:line="400" w:lineRule="exact"/>
        <w:ind w:firstLine="421" w:firstLineChars="200"/>
        <w:rPr>
          <w:b/>
          <w:color w:val="auto"/>
          <w:highlight w:val="none"/>
        </w:rPr>
      </w:pPr>
      <w:r>
        <w:rPr>
          <w:rFonts w:hint="eastAsia"/>
          <w:b/>
          <w:bCs/>
          <w:color w:val="auto"/>
          <w:highlight w:val="none"/>
          <w:lang w:val="en-US" w:eastAsia="zh-CN"/>
        </w:rPr>
        <w:t>3、</w:t>
      </w:r>
      <w:r>
        <w:rPr>
          <w:rFonts w:hint="eastAsia"/>
          <w:b/>
          <w:bCs/>
          <w:color w:val="auto"/>
          <w:highlight w:val="none"/>
        </w:rPr>
        <w:t>商务分</w:t>
      </w:r>
      <w:r>
        <w:rPr>
          <w:rFonts w:hint="eastAsia" w:hAnsi="宋体"/>
          <w:b/>
          <w:bCs/>
          <w:color w:val="auto"/>
          <w:spacing w:val="-8"/>
          <w:highlight w:val="none"/>
        </w:rPr>
        <w:t>…………………………………………………………………………………………1</w:t>
      </w:r>
      <w:r>
        <w:rPr>
          <w:rFonts w:hint="eastAsia" w:hAnsi="宋体"/>
          <w:b/>
          <w:bCs/>
          <w:color w:val="auto"/>
          <w:spacing w:val="-8"/>
          <w:highlight w:val="none"/>
          <w:lang w:val="en-US" w:eastAsia="zh-CN"/>
        </w:rPr>
        <w:t>3</w:t>
      </w:r>
      <w:r>
        <w:rPr>
          <w:rFonts w:hint="eastAsia"/>
          <w:b/>
          <w:color w:val="auto"/>
          <w:highlight w:val="none"/>
        </w:rPr>
        <w:t>分</w:t>
      </w:r>
    </w:p>
    <w:p>
      <w:pPr>
        <w:spacing w:line="41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 xml:space="preserve">  （1）</w:t>
      </w:r>
      <w:r>
        <w:rPr>
          <w:rFonts w:hint="eastAsia" w:ascii="宋体" w:hAnsi="宋体"/>
          <w:color w:val="auto"/>
          <w:szCs w:val="21"/>
          <w:highlight w:val="none"/>
          <w:lang w:eastAsia="zh-CN"/>
        </w:rPr>
        <w:t>信誉分（</w:t>
      </w:r>
      <w:r>
        <w:rPr>
          <w:rFonts w:hint="eastAsia" w:ascii="宋体" w:hAnsi="宋体"/>
          <w:color w:val="auto"/>
          <w:szCs w:val="21"/>
          <w:highlight w:val="none"/>
          <w:lang w:val="en-US" w:eastAsia="zh-CN"/>
        </w:rPr>
        <w:t>满分7</w:t>
      </w:r>
      <w:r>
        <w:rPr>
          <w:rFonts w:hint="eastAsia" w:ascii="宋体" w:hAnsi="宋体"/>
          <w:color w:val="auto"/>
          <w:szCs w:val="21"/>
          <w:highlight w:val="none"/>
          <w:lang w:eastAsia="zh-CN"/>
        </w:rPr>
        <w:t>）</w:t>
      </w:r>
    </w:p>
    <w:p>
      <w:pPr>
        <w:spacing w:line="410" w:lineRule="exact"/>
        <w:jc w:val="both"/>
        <w:rPr>
          <w:rFonts w:hint="eastAsia" w:ascii="宋体" w:hAnsi="宋体"/>
          <w:color w:val="auto"/>
          <w:szCs w:val="21"/>
          <w:highlight w:val="none"/>
        </w:rPr>
      </w:pPr>
      <w:r>
        <w:rPr>
          <w:rFonts w:hint="eastAsia" w:ascii="宋体" w:hAnsi="宋体"/>
          <w:color w:val="auto"/>
          <w:szCs w:val="21"/>
          <w:highlight w:val="none"/>
          <w:lang w:val="en-US" w:eastAsia="zh-CN"/>
        </w:rPr>
        <w:t xml:space="preserve">     </w:t>
      </w:r>
      <w:bookmarkStart w:id="11" w:name="_GoBack"/>
      <w:bookmarkEnd w:id="11"/>
      <w:r>
        <w:rPr>
          <w:rFonts w:hint="eastAsia" w:ascii="宋体" w:hAnsi="宋体"/>
          <w:color w:val="auto"/>
          <w:szCs w:val="21"/>
          <w:highlight w:val="none"/>
        </w:rPr>
        <w:t>1）投标人具有质量管理体系认证证书、环境管理体系认证证书，每有一项证书得</w:t>
      </w:r>
      <w:r>
        <w:rPr>
          <w:rFonts w:hint="eastAsia" w:ascii="宋体" w:hAnsi="宋体"/>
          <w:color w:val="auto"/>
          <w:szCs w:val="21"/>
          <w:highlight w:val="none"/>
          <w:lang w:val="en-US" w:eastAsia="zh-CN"/>
        </w:rPr>
        <w:t>2</w:t>
      </w:r>
      <w:r>
        <w:rPr>
          <w:rFonts w:hint="eastAsia" w:ascii="宋体" w:hAnsi="宋体"/>
          <w:color w:val="auto"/>
          <w:szCs w:val="21"/>
          <w:highlight w:val="none"/>
        </w:rPr>
        <w:t>分，满分</w:t>
      </w:r>
      <w:r>
        <w:rPr>
          <w:rFonts w:hint="eastAsia" w:ascii="宋体" w:hAnsi="宋体"/>
          <w:color w:val="auto"/>
          <w:szCs w:val="21"/>
          <w:highlight w:val="none"/>
          <w:lang w:val="en-US" w:eastAsia="zh-CN"/>
        </w:rPr>
        <w:t>4</w:t>
      </w:r>
      <w:r>
        <w:rPr>
          <w:rFonts w:hint="eastAsia" w:ascii="宋体" w:hAnsi="宋体"/>
          <w:color w:val="auto"/>
          <w:szCs w:val="21"/>
          <w:highlight w:val="none"/>
        </w:rPr>
        <w:t>分。</w:t>
      </w:r>
      <w:r>
        <w:rPr>
          <w:rFonts w:hint="eastAsia" w:ascii="宋体" w:hAnsi="宋体"/>
          <w:color w:val="auto"/>
          <w:szCs w:val="21"/>
          <w:highlight w:val="none"/>
          <w:lang w:eastAsia="zh-CN"/>
        </w:rPr>
        <w:t>（</w:t>
      </w:r>
      <w:r>
        <w:rPr>
          <w:rFonts w:hint="eastAsia" w:ascii="宋体" w:hAnsi="宋体"/>
          <w:color w:val="auto"/>
          <w:szCs w:val="21"/>
          <w:highlight w:val="none"/>
        </w:rPr>
        <w:t>投标文件提供证书复印件并加盖公章，证书须在有效期内</w:t>
      </w:r>
      <w:r>
        <w:rPr>
          <w:rFonts w:hint="eastAsia" w:ascii="宋体" w:hAnsi="宋体"/>
          <w:color w:val="auto"/>
          <w:szCs w:val="21"/>
          <w:highlight w:val="none"/>
          <w:lang w:eastAsia="zh-CN"/>
        </w:rPr>
        <w:t>）</w:t>
      </w:r>
    </w:p>
    <w:p>
      <w:pPr>
        <w:pStyle w:val="6"/>
        <w:numPr>
          <w:ilvl w:val="255"/>
          <w:numId w:val="0"/>
        </w:numPr>
        <w:jc w:val="both"/>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2</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LED屏体</w:t>
      </w:r>
      <w:r>
        <w:rPr>
          <w:rFonts w:hint="eastAsia" w:ascii="宋体" w:hAnsi="宋体" w:eastAsia="宋体"/>
          <w:color w:val="auto"/>
          <w:kern w:val="2"/>
          <w:sz w:val="21"/>
          <w:szCs w:val="21"/>
          <w:highlight w:val="none"/>
          <w:lang w:val="en-US" w:eastAsia="zh-CN"/>
        </w:rPr>
        <w:t>生产厂家</w:t>
      </w:r>
      <w:r>
        <w:rPr>
          <w:rFonts w:hint="eastAsia" w:ascii="宋体" w:hAnsi="宋体" w:eastAsia="宋体"/>
          <w:color w:val="auto"/>
          <w:kern w:val="2"/>
          <w:sz w:val="21"/>
          <w:szCs w:val="21"/>
          <w:highlight w:val="none"/>
        </w:rPr>
        <w:t>具有信息系统建设和服务能力CS4等级证书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CNAS 实验室认可证书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CCRC-ISV-C01:2021信息系统安全运维服务三级证书</w:t>
      </w:r>
      <w:r>
        <w:rPr>
          <w:rFonts w:hint="eastAsia" w:ascii="宋体" w:hAnsi="宋体" w:eastAsia="宋体"/>
          <w:color w:val="auto"/>
          <w:kern w:val="2"/>
          <w:sz w:val="21"/>
          <w:szCs w:val="21"/>
          <w:highlight w:val="none"/>
          <w:lang w:eastAsia="zh-CN"/>
        </w:rPr>
        <w:t>，</w:t>
      </w:r>
      <w:r>
        <w:rPr>
          <w:rFonts w:hint="eastAsia" w:ascii="宋体" w:hAnsi="宋体" w:eastAsia="宋体"/>
          <w:color w:val="auto"/>
          <w:kern w:val="2"/>
          <w:sz w:val="21"/>
          <w:szCs w:val="21"/>
          <w:highlight w:val="none"/>
        </w:rPr>
        <w:t>每有一项证书得1分，满分</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分。</w:t>
      </w:r>
      <w:r>
        <w:rPr>
          <w:rFonts w:hint="eastAsia" w:ascii="宋体" w:hAnsi="宋体" w:eastAsia="宋体"/>
          <w:color w:val="auto"/>
          <w:kern w:val="2"/>
          <w:sz w:val="21"/>
          <w:szCs w:val="21"/>
          <w:highlight w:val="none"/>
          <w:lang w:val="en-US" w:eastAsia="zh-CN"/>
        </w:rPr>
        <w:t>（</w:t>
      </w:r>
      <w:r>
        <w:rPr>
          <w:rFonts w:hint="eastAsia" w:ascii="宋体" w:hAnsi="宋体" w:eastAsia="宋体"/>
          <w:color w:val="auto"/>
          <w:kern w:val="2"/>
          <w:sz w:val="21"/>
          <w:szCs w:val="21"/>
          <w:highlight w:val="none"/>
        </w:rPr>
        <w:t>投标文件提供证书复印件并加盖</w:t>
      </w:r>
      <w:r>
        <w:rPr>
          <w:rFonts w:hint="eastAsia" w:ascii="宋体" w:hAnsi="宋体" w:eastAsia="宋体"/>
          <w:color w:val="auto"/>
          <w:kern w:val="2"/>
          <w:sz w:val="21"/>
          <w:szCs w:val="21"/>
          <w:highlight w:val="none"/>
          <w:lang w:val="en-US" w:eastAsia="zh-CN"/>
        </w:rPr>
        <w:t>投标人</w:t>
      </w:r>
      <w:r>
        <w:rPr>
          <w:rFonts w:hint="eastAsia" w:ascii="宋体" w:hAnsi="宋体" w:eastAsia="宋体"/>
          <w:color w:val="auto"/>
          <w:kern w:val="2"/>
          <w:sz w:val="21"/>
          <w:szCs w:val="21"/>
          <w:highlight w:val="none"/>
        </w:rPr>
        <w:t>公章，证书须在有效期内</w:t>
      </w:r>
      <w:r>
        <w:rPr>
          <w:rFonts w:hint="eastAsia" w:ascii="宋体" w:hAnsi="宋体" w:eastAsia="宋体"/>
          <w:color w:val="auto"/>
          <w:kern w:val="2"/>
          <w:sz w:val="21"/>
          <w:szCs w:val="21"/>
          <w:highlight w:val="none"/>
          <w:lang w:val="en-US" w:eastAsia="zh-CN"/>
        </w:rPr>
        <w:t>）</w:t>
      </w:r>
    </w:p>
    <w:p>
      <w:pPr>
        <w:pStyle w:val="6"/>
        <w:numPr>
          <w:ilvl w:val="255"/>
          <w:numId w:val="0"/>
        </w:numPr>
        <w:jc w:val="both"/>
        <w:rPr>
          <w:rFonts w:hint="eastAsia" w:ascii="宋体" w:hAnsi="宋体" w:eastAsia="宋体"/>
          <w:color w:val="auto"/>
          <w:kern w:val="2"/>
          <w:sz w:val="21"/>
          <w:szCs w:val="21"/>
          <w:highlight w:val="none"/>
          <w:lang w:eastAsia="zh-CN"/>
        </w:rPr>
      </w:pPr>
      <w:r>
        <w:rPr>
          <w:rFonts w:hint="eastAsia" w:ascii="宋体" w:hAnsi="宋体"/>
          <w:color w:val="auto"/>
          <w:szCs w:val="21"/>
          <w:highlight w:val="none"/>
          <w:lang w:val="en-US" w:eastAsia="zh-CN"/>
        </w:rPr>
        <w:t xml:space="preserve">    </w:t>
      </w:r>
      <w:r>
        <w:rPr>
          <w:rFonts w:hint="eastAsia" w:ascii="宋体" w:hAnsi="宋体" w:eastAsia="宋体"/>
          <w:color w:val="auto"/>
          <w:kern w:val="2"/>
          <w:sz w:val="21"/>
          <w:szCs w:val="21"/>
          <w:highlight w:val="none"/>
        </w:rPr>
        <w:t>（2）</w:t>
      </w:r>
      <w:r>
        <w:rPr>
          <w:rFonts w:hint="eastAsia" w:ascii="宋体" w:hAnsi="宋体" w:eastAsia="宋体"/>
          <w:color w:val="auto"/>
          <w:kern w:val="2"/>
          <w:sz w:val="21"/>
          <w:szCs w:val="21"/>
          <w:highlight w:val="none"/>
          <w:lang w:eastAsia="zh-CN"/>
        </w:rPr>
        <w:t>业绩分（</w:t>
      </w:r>
      <w:r>
        <w:rPr>
          <w:rFonts w:hint="eastAsia" w:ascii="宋体" w:hAnsi="宋体" w:eastAsia="宋体"/>
          <w:color w:val="auto"/>
          <w:kern w:val="2"/>
          <w:sz w:val="21"/>
          <w:szCs w:val="21"/>
          <w:highlight w:val="none"/>
          <w:lang w:val="en-US" w:eastAsia="zh-CN"/>
        </w:rPr>
        <w:t>4分</w:t>
      </w:r>
      <w:r>
        <w:rPr>
          <w:rFonts w:hint="eastAsia" w:ascii="宋体" w:hAnsi="宋体" w:eastAsia="宋体"/>
          <w:color w:val="auto"/>
          <w:kern w:val="2"/>
          <w:sz w:val="21"/>
          <w:szCs w:val="21"/>
          <w:highlight w:val="none"/>
          <w:lang w:eastAsia="zh-CN"/>
        </w:rPr>
        <w:t>）</w:t>
      </w:r>
    </w:p>
    <w:p>
      <w:pPr>
        <w:pStyle w:val="6"/>
        <w:numPr>
          <w:ilvl w:val="255"/>
          <w:numId w:val="0"/>
        </w:numPr>
        <w:jc w:val="both"/>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 xml:space="preserve">    </w:t>
      </w:r>
      <w:r>
        <w:rPr>
          <w:rFonts w:hint="eastAsia" w:ascii="宋体" w:hAnsi="宋体" w:eastAsia="宋体"/>
          <w:color w:val="auto"/>
          <w:kern w:val="2"/>
          <w:sz w:val="21"/>
          <w:szCs w:val="21"/>
          <w:highlight w:val="none"/>
        </w:rPr>
        <w:t>投标人2020年1月1日至投标截止时间具有同类</w:t>
      </w:r>
      <w:r>
        <w:rPr>
          <w:rFonts w:hint="eastAsia" w:ascii="宋体" w:hAnsi="宋体" w:eastAsia="宋体"/>
          <w:color w:val="auto"/>
          <w:kern w:val="2"/>
          <w:sz w:val="21"/>
          <w:szCs w:val="21"/>
          <w:highlight w:val="none"/>
          <w:lang w:eastAsia="zh-CN"/>
        </w:rPr>
        <w:t>（核心产品）</w:t>
      </w:r>
      <w:r>
        <w:rPr>
          <w:rFonts w:hint="eastAsia" w:ascii="宋体" w:hAnsi="宋体" w:eastAsia="宋体"/>
          <w:color w:val="auto"/>
          <w:kern w:val="2"/>
          <w:sz w:val="21"/>
          <w:szCs w:val="21"/>
          <w:highlight w:val="none"/>
        </w:rPr>
        <w:t>项目业绩的，每个得</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分，满分</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分；提供同类项目业绩完整合同页复印件并加盖</w:t>
      </w:r>
      <w:r>
        <w:rPr>
          <w:rFonts w:hint="eastAsia" w:ascii="宋体" w:hAnsi="宋体" w:eastAsia="宋体"/>
          <w:color w:val="auto"/>
          <w:kern w:val="2"/>
          <w:sz w:val="21"/>
          <w:szCs w:val="21"/>
          <w:highlight w:val="none"/>
          <w:lang w:val="en-US" w:eastAsia="zh-CN"/>
        </w:rPr>
        <w:t>投标人</w:t>
      </w:r>
      <w:r>
        <w:rPr>
          <w:rFonts w:hint="eastAsia" w:ascii="宋体" w:hAnsi="宋体" w:eastAsia="宋体"/>
          <w:color w:val="auto"/>
          <w:kern w:val="2"/>
          <w:sz w:val="21"/>
          <w:szCs w:val="21"/>
          <w:highlight w:val="none"/>
        </w:rPr>
        <w:t>公章。</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b w:val="0"/>
          <w:bCs w:val="0"/>
          <w:color w:val="auto"/>
          <w:kern w:val="2"/>
          <w:sz w:val="21"/>
          <w:szCs w:val="21"/>
          <w:highlight w:val="none"/>
          <w:lang w:val="en-US" w:eastAsia="zh-CN"/>
        </w:rPr>
        <w:t>（3）</w:t>
      </w:r>
      <w:r>
        <w:rPr>
          <w:rFonts w:hint="eastAsia" w:ascii="宋体" w:hAnsi="宋体" w:eastAsia="宋体" w:cs="Times New Roman"/>
          <w:color w:val="auto"/>
          <w:kern w:val="2"/>
          <w:sz w:val="21"/>
          <w:szCs w:val="21"/>
          <w:highlight w:val="none"/>
          <w:lang w:val="en-US" w:eastAsia="zh-CN" w:bidi="ar-SA"/>
        </w:rPr>
        <w:t>政策功能分（满分</w:t>
      </w: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①产品纳入（财库[2019]19号）中节能产品政府采购清单（适用于非强制采购节能产品，依据《市场监管总局关于发布参与实施政府采购节能产品、环境标志产品认证机构名录的公告》，提供所投相应型号产品有效的认证证书扫描件或其他电子文件）的得1分，满分1分。</w:t>
      </w:r>
    </w:p>
    <w:p>
      <w:pPr>
        <w:pStyle w:val="650"/>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②产品纳入（财库[2019]18号）中环境标志产品政府采购清单（依据《市场监管总局关于发布参与实施政府采购节能产品、环境标志产品认证机构名录的公告》，提供所投相应型号产品有效的认证证书扫描件或其他电子文件）的得1分，满分1分。</w:t>
      </w:r>
    </w:p>
    <w:p>
      <w:pPr>
        <w:spacing w:line="400" w:lineRule="exact"/>
        <w:ind w:firstLine="405"/>
        <w:rPr>
          <w:rFonts w:hint="eastAsia" w:hAnsi="Courier New" w:cs="Courier New"/>
          <w:b/>
          <w:bCs/>
          <w:color w:val="auto"/>
          <w:szCs w:val="21"/>
          <w:highlight w:val="none"/>
        </w:rPr>
      </w:pPr>
      <w:r>
        <w:rPr>
          <w:rFonts w:hint="eastAsia" w:hAnsi="宋体" w:cs="宋体"/>
          <w:b/>
          <w:bCs/>
          <w:color w:val="auto"/>
          <w:spacing w:val="-2"/>
          <w:szCs w:val="21"/>
          <w:highlight w:val="none"/>
        </w:rPr>
        <w:t>（</w:t>
      </w:r>
      <w:r>
        <w:rPr>
          <w:rFonts w:hint="eastAsia" w:cs="Courier New"/>
          <w:b/>
          <w:bCs/>
          <w:color w:val="auto"/>
          <w:spacing w:val="-2"/>
          <w:szCs w:val="21"/>
          <w:highlight w:val="none"/>
        </w:rPr>
        <w:t>三</w:t>
      </w:r>
      <w:r>
        <w:rPr>
          <w:rFonts w:hint="eastAsia" w:hAnsi="宋体" w:cs="宋体"/>
          <w:b/>
          <w:bCs/>
          <w:color w:val="auto"/>
          <w:spacing w:val="-2"/>
          <w:szCs w:val="21"/>
          <w:highlight w:val="none"/>
        </w:rPr>
        <w:t>）总得分</w:t>
      </w:r>
      <w:r>
        <w:rPr>
          <w:rFonts w:hint="eastAsia" w:eastAsia="Calibri" w:cs="Courier New"/>
          <w:b/>
          <w:bCs/>
          <w:color w:val="auto"/>
          <w:spacing w:val="-2"/>
          <w:szCs w:val="21"/>
          <w:highlight w:val="none"/>
        </w:rPr>
        <w:t>=</w:t>
      </w:r>
      <w:r>
        <w:rPr>
          <w:rFonts w:hint="eastAsia" w:cs="Courier New"/>
          <w:color w:val="auto"/>
          <w:szCs w:val="21"/>
          <w:highlight w:val="none"/>
        </w:rPr>
        <w:t xml:space="preserve"> </w:t>
      </w:r>
      <w:r>
        <w:rPr>
          <w:rFonts w:hint="eastAsia" w:cs="Courier New"/>
          <w:b/>
          <w:bCs/>
          <w:color w:val="auto"/>
          <w:szCs w:val="21"/>
          <w:highlight w:val="none"/>
        </w:rPr>
        <w:t>1 + 2 + 3</w:t>
      </w:r>
    </w:p>
    <w:p>
      <w:pPr>
        <w:spacing w:line="400" w:lineRule="exact"/>
        <w:ind w:firstLine="421" w:firstLineChars="200"/>
        <w:rPr>
          <w:rFonts w:hint="eastAsia"/>
          <w:b/>
          <w:bCs/>
          <w:color w:val="auto"/>
          <w:highlight w:val="none"/>
        </w:rPr>
      </w:pPr>
      <w:r>
        <w:rPr>
          <w:rFonts w:hint="eastAsia"/>
          <w:b/>
          <w:bCs/>
          <w:color w:val="auto"/>
          <w:highlight w:val="none"/>
        </w:rPr>
        <w:t>三、中标候选人推荐原则</w:t>
      </w:r>
    </w:p>
    <w:p>
      <w:pPr>
        <w:spacing w:line="400" w:lineRule="exact"/>
        <w:ind w:firstLine="420" w:firstLineChars="200"/>
        <w:jc w:val="left"/>
        <w:rPr>
          <w:rFonts w:hint="eastAsia"/>
          <w:bCs/>
          <w:color w:val="auto"/>
          <w:highlight w:val="none"/>
        </w:rPr>
      </w:pPr>
      <w:r>
        <w:rPr>
          <w:rFonts w:hint="eastAsia"/>
          <w:bCs/>
          <w:color w:val="auto"/>
          <w:highlight w:val="none"/>
        </w:rPr>
        <w:t>（一）评标委员会将根据得分由高到低排列次序（得分相同时，以投标报价由低到高顺序排列；得分相同且投标报价相同的，按技术指标优劣顺序排列）并推荐中标候选供应商。采购人应当确定评审委员会推荐排名第一的中标候选人为中标人。</w:t>
      </w:r>
    </w:p>
    <w:p>
      <w:pPr>
        <w:spacing w:line="400" w:lineRule="exact"/>
        <w:ind w:firstLine="420" w:firstLineChars="200"/>
        <w:jc w:val="left"/>
        <w:rPr>
          <w:bCs/>
          <w:color w:val="auto"/>
          <w:highlight w:val="none"/>
        </w:rPr>
      </w:pPr>
      <w:r>
        <w:rPr>
          <w:rFonts w:hint="eastAsia"/>
          <w:bCs/>
          <w:color w:val="auto"/>
          <w:highlight w:val="none"/>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pStyle w:val="29"/>
        <w:numPr>
          <w:ilvl w:val="-1"/>
          <w:numId w:val="0"/>
        </w:numPr>
        <w:snapToGrid w:val="0"/>
        <w:spacing w:before="120" w:after="120"/>
        <w:jc w:val="left"/>
        <w:outlineLvl w:val="0"/>
        <w:rPr>
          <w:rFonts w:hint="eastAsia" w:ascii="黑体" w:eastAsia="黑体"/>
          <w:b/>
          <w:color w:val="auto"/>
          <w:sz w:val="44"/>
          <w:szCs w:val="44"/>
          <w:highlight w:val="none"/>
        </w:rPr>
      </w:pPr>
      <w:r>
        <w:rPr>
          <w:rFonts w:hint="eastAsia"/>
          <w:color w:val="auto"/>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w:t>
      </w:r>
      <w:r>
        <w:rPr>
          <w:rFonts w:ascii="黑体" w:eastAsia="黑体"/>
          <w:b/>
          <w:color w:val="auto"/>
          <w:sz w:val="44"/>
          <w:szCs w:val="44"/>
          <w:highlight w:val="none"/>
        </w:rPr>
        <w:br w:type="page"/>
      </w: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ascii="黑体" w:eastAsia="黑体"/>
          <w:b/>
          <w:color w:val="auto"/>
          <w:sz w:val="44"/>
          <w:szCs w:val="44"/>
          <w:highlight w:val="none"/>
        </w:rPr>
      </w:pPr>
    </w:p>
    <w:p>
      <w:pPr>
        <w:pStyle w:val="6"/>
        <w:rPr>
          <w:rFonts w:ascii="黑体" w:eastAsia="黑体"/>
          <w:b/>
          <w:color w:val="auto"/>
          <w:sz w:val="44"/>
          <w:szCs w:val="44"/>
          <w:highlight w:val="none"/>
        </w:rPr>
      </w:pPr>
    </w:p>
    <w:p>
      <w:pPr>
        <w:rPr>
          <w:color w:val="auto"/>
          <w:highlight w:val="none"/>
        </w:rPr>
      </w:pPr>
    </w:p>
    <w:p>
      <w:pPr>
        <w:pStyle w:val="29"/>
        <w:snapToGrid w:val="0"/>
        <w:spacing w:before="120" w:after="120"/>
        <w:jc w:val="center"/>
        <w:outlineLvl w:val="0"/>
        <w:rPr>
          <w:rFonts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jc w:val="center"/>
        <w:rPr>
          <w:rFonts w:ascii="宋体" w:hAnsi="宋体"/>
          <w:b/>
          <w:dstrike/>
          <w:color w:val="auto"/>
          <w:sz w:val="36"/>
          <w:szCs w:val="36"/>
          <w:highlight w:val="none"/>
        </w:rPr>
      </w:pPr>
      <w:r>
        <w:rPr>
          <w:rFonts w:hint="eastAsia" w:ascii="仿宋_GB2312" w:eastAsia="仿宋_GB2312"/>
          <w:b/>
          <w:color w:val="auto"/>
          <w:sz w:val="36"/>
          <w:szCs w:val="36"/>
          <w:highlight w:val="none"/>
        </w:rPr>
        <w:t>第五章    政府采购合同主要条款</w:t>
      </w:r>
    </w:p>
    <w:p>
      <w:pPr>
        <w:pStyle w:val="29"/>
        <w:snapToGrid w:val="0"/>
        <w:spacing w:before="120" w:after="120"/>
        <w:jc w:val="center"/>
        <w:outlineLvl w:val="0"/>
        <w:rPr>
          <w:rFonts w:hint="eastAsia" w:ascii="黑体" w:eastAsia="黑体"/>
          <w:b/>
          <w:color w:val="auto"/>
          <w:sz w:val="44"/>
          <w:szCs w:val="44"/>
          <w:highlight w:val="none"/>
        </w:rPr>
      </w:pPr>
    </w:p>
    <w:p>
      <w:pPr>
        <w:pStyle w:val="29"/>
        <w:jc w:val="center"/>
        <w:rPr>
          <w:rFonts w:hint="eastAsia"/>
          <w:color w:val="auto"/>
          <w:highlight w:val="none"/>
        </w:rPr>
      </w:pPr>
      <w:r>
        <w:rPr>
          <w:color w:val="auto"/>
          <w:highlight w:val="none"/>
        </w:rPr>
        <w:br w:type="page"/>
      </w:r>
    </w:p>
    <w:p>
      <w:pPr>
        <w:pStyle w:val="29"/>
        <w:jc w:val="center"/>
        <w:rPr>
          <w:rFonts w:hint="eastAsia"/>
          <w:color w:val="auto"/>
          <w:highlight w:val="none"/>
        </w:rPr>
      </w:pPr>
    </w:p>
    <w:p>
      <w:pPr>
        <w:pStyle w:val="29"/>
        <w:jc w:val="center"/>
        <w:rPr>
          <w:rFonts w:hint="eastAsia"/>
          <w:color w:val="auto"/>
          <w:highlight w:val="none"/>
        </w:rPr>
      </w:pPr>
    </w:p>
    <w:p>
      <w:pPr>
        <w:pStyle w:val="29"/>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9"/>
        <w:rPr>
          <w:rFonts w:hint="eastAsia" w:hAnsi="宋体"/>
          <w:color w:val="auto"/>
          <w:highlight w:val="none"/>
        </w:rPr>
      </w:pPr>
    </w:p>
    <w:p>
      <w:pPr>
        <w:pStyle w:val="29"/>
        <w:rPr>
          <w:rFonts w:hint="eastAsia" w:hAnsi="宋体"/>
          <w:color w:val="auto"/>
          <w:highlight w:val="none"/>
        </w:rPr>
      </w:pPr>
    </w:p>
    <w:p>
      <w:pPr>
        <w:pStyle w:val="29"/>
        <w:rPr>
          <w:rFonts w:hint="eastAsia" w:hAnsi="宋体"/>
          <w:color w:val="auto"/>
          <w:highlight w:val="none"/>
        </w:rPr>
      </w:pPr>
    </w:p>
    <w:p>
      <w:pPr>
        <w:pStyle w:val="29"/>
        <w:rPr>
          <w:rFonts w:hint="eastAsia" w:hAnsi="宋体"/>
          <w:color w:val="auto"/>
          <w:highlight w:val="none"/>
        </w:rPr>
      </w:pPr>
    </w:p>
    <w:p>
      <w:pPr>
        <w:pStyle w:val="29"/>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pPr>
        <w:pStyle w:val="29"/>
        <w:ind w:firstLine="1590" w:firstLineChars="495"/>
        <w:rPr>
          <w:rFonts w:hint="eastAsia" w:hAnsi="宋体"/>
          <w:b/>
          <w:color w:val="auto"/>
          <w:sz w:val="32"/>
          <w:szCs w:val="32"/>
          <w:highlight w:val="none"/>
        </w:rPr>
      </w:pPr>
    </w:p>
    <w:p>
      <w:pPr>
        <w:pStyle w:val="29"/>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pPr>
        <w:pStyle w:val="29"/>
        <w:jc w:val="center"/>
        <w:rPr>
          <w:rFonts w:hint="eastAsia" w:hAnsi="宋体"/>
          <w:color w:val="auto"/>
          <w:highlight w:val="none"/>
        </w:rPr>
      </w:pPr>
    </w:p>
    <w:p>
      <w:pPr>
        <w:pStyle w:val="29"/>
        <w:jc w:val="center"/>
        <w:rPr>
          <w:rFonts w:hint="eastAsia" w:hAnsi="宋体"/>
          <w:color w:val="auto"/>
          <w:highlight w:val="none"/>
        </w:rPr>
      </w:pPr>
    </w:p>
    <w:p>
      <w:pPr>
        <w:pStyle w:val="29"/>
        <w:jc w:val="center"/>
        <w:rPr>
          <w:rFonts w:hint="eastAsia" w:hAnsi="宋体"/>
          <w:color w:val="auto"/>
          <w:highlight w:val="none"/>
        </w:rPr>
      </w:pPr>
    </w:p>
    <w:p>
      <w:pPr>
        <w:pStyle w:val="29"/>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采购单位（甲方）</w:t>
      </w:r>
      <w:r>
        <w:rPr>
          <w:rFonts w:hint="eastAsia" w:hAnsi="宋体"/>
          <w:b/>
          <w:color w:val="auto"/>
          <w:sz w:val="32"/>
          <w:szCs w:val="32"/>
          <w:highlight w:val="none"/>
          <w:u w:val="single"/>
        </w:rPr>
        <w:t xml:space="preserve">                      </w:t>
      </w:r>
    </w:p>
    <w:p>
      <w:pPr>
        <w:pStyle w:val="29"/>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9"/>
        <w:spacing w:line="340" w:lineRule="exact"/>
        <w:ind w:firstLine="1590" w:firstLineChars="495"/>
        <w:rPr>
          <w:rFonts w:hint="eastAsia" w:hAnsi="宋体"/>
          <w:b/>
          <w:color w:val="auto"/>
          <w:sz w:val="32"/>
          <w:szCs w:val="32"/>
          <w:highlight w:val="none"/>
        </w:rPr>
      </w:pPr>
    </w:p>
    <w:p>
      <w:pPr>
        <w:pStyle w:val="29"/>
        <w:spacing w:line="340" w:lineRule="exact"/>
        <w:ind w:firstLine="1590" w:firstLineChars="495"/>
        <w:rPr>
          <w:rFonts w:hint="eastAsia" w:hAnsi="宋体"/>
          <w:b/>
          <w:color w:val="auto"/>
          <w:sz w:val="32"/>
          <w:szCs w:val="32"/>
          <w:highlight w:val="none"/>
        </w:rPr>
      </w:pPr>
    </w:p>
    <w:p>
      <w:pPr>
        <w:pStyle w:val="29"/>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pPr>
        <w:pStyle w:val="29"/>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9"/>
        <w:spacing w:line="340" w:lineRule="exact"/>
        <w:ind w:firstLine="1590" w:firstLineChars="495"/>
        <w:rPr>
          <w:rFonts w:hint="eastAsia" w:hAnsi="宋体"/>
          <w:b/>
          <w:color w:val="auto"/>
          <w:sz w:val="32"/>
          <w:szCs w:val="32"/>
          <w:highlight w:val="none"/>
        </w:rPr>
      </w:pPr>
    </w:p>
    <w:p>
      <w:pPr>
        <w:pStyle w:val="29"/>
        <w:jc w:val="center"/>
        <w:rPr>
          <w:rFonts w:hint="eastAsia" w:hAnsi="宋体"/>
          <w:color w:val="auto"/>
          <w:highlight w:val="none"/>
        </w:rPr>
      </w:pPr>
      <w:r>
        <w:rPr>
          <w:rFonts w:hint="eastAsia" w:hAnsi="宋体"/>
          <w:color w:val="auto"/>
          <w:highlight w:val="none"/>
        </w:rPr>
        <w:t xml:space="preserve"> </w:t>
      </w:r>
    </w:p>
    <w:p>
      <w:pPr>
        <w:pStyle w:val="29"/>
        <w:jc w:val="center"/>
        <w:rPr>
          <w:rFonts w:hint="eastAsia" w:hAnsi="宋体"/>
          <w:color w:val="auto"/>
          <w:highlight w:val="none"/>
        </w:rPr>
      </w:pPr>
    </w:p>
    <w:p>
      <w:pPr>
        <w:pStyle w:val="29"/>
        <w:jc w:val="center"/>
        <w:rPr>
          <w:rFonts w:hint="eastAsia" w:hAnsi="宋体"/>
          <w:color w:val="auto"/>
          <w:highlight w:val="none"/>
        </w:rPr>
      </w:pPr>
    </w:p>
    <w:p>
      <w:pPr>
        <w:pStyle w:val="29"/>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pPr>
        <w:pStyle w:val="29"/>
        <w:ind w:firstLine="1590" w:firstLineChars="495"/>
        <w:rPr>
          <w:rFonts w:hint="eastAsia" w:hAnsi="宋体"/>
          <w:b/>
          <w:color w:val="auto"/>
          <w:sz w:val="32"/>
          <w:szCs w:val="32"/>
          <w:highlight w:val="none"/>
        </w:rPr>
      </w:pPr>
    </w:p>
    <w:p>
      <w:pPr>
        <w:pStyle w:val="29"/>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pPr>
        <w:pStyle w:val="29"/>
        <w:jc w:val="center"/>
        <w:rPr>
          <w:rFonts w:hint="eastAsia" w:hAnsi="宋体"/>
          <w:color w:val="auto"/>
          <w:highlight w:val="none"/>
        </w:rPr>
      </w:pPr>
    </w:p>
    <w:p>
      <w:pPr>
        <w:pStyle w:val="29"/>
        <w:jc w:val="center"/>
        <w:rPr>
          <w:rFonts w:hint="eastAsia" w:hAnsi="宋体"/>
          <w:color w:val="auto"/>
          <w:highlight w:val="none"/>
        </w:rPr>
      </w:pPr>
    </w:p>
    <w:p>
      <w:pPr>
        <w:pStyle w:val="29"/>
        <w:jc w:val="center"/>
        <w:rPr>
          <w:rFonts w:hint="eastAsia"/>
          <w:color w:val="auto"/>
          <w:highlight w:val="none"/>
        </w:rPr>
      </w:pPr>
    </w:p>
    <w:p>
      <w:pPr>
        <w:pStyle w:val="29"/>
        <w:jc w:val="center"/>
        <w:rPr>
          <w:rFonts w:hint="eastAsia" w:hAnsi="宋体"/>
          <w:color w:val="auto"/>
          <w:highlight w:val="none"/>
        </w:rPr>
      </w:pPr>
    </w:p>
    <w:p>
      <w:pPr>
        <w:pStyle w:val="29"/>
        <w:spacing w:line="420" w:lineRule="exact"/>
        <w:jc w:val="center"/>
        <w:rPr>
          <w:rFonts w:hint="eastAsia" w:hAnsi="宋体"/>
          <w:color w:val="auto"/>
          <w:highlight w:val="none"/>
        </w:rPr>
      </w:pPr>
      <w:r>
        <w:rPr>
          <w:rFonts w:hint="eastAsia" w:hAnsi="宋体"/>
          <w:color w:val="auto"/>
          <w:highlight w:val="none"/>
        </w:rPr>
        <w:t>合同使用说明：根据《中华人民共和国政府采购法》、《中华人民共和国民法典》等法律、法规规定，</w:t>
      </w:r>
    </w:p>
    <w:p>
      <w:pPr>
        <w:pStyle w:val="29"/>
        <w:snapToGrid w:val="0"/>
        <w:spacing w:before="120" w:after="120"/>
        <w:jc w:val="center"/>
        <w:outlineLvl w:val="0"/>
        <w:rPr>
          <w:rFonts w:hint="eastAsia" w:hAnsi="宋体"/>
          <w:color w:val="auto"/>
          <w:highlight w:val="none"/>
        </w:rPr>
      </w:pPr>
      <w:r>
        <w:rPr>
          <w:rFonts w:hint="eastAsia" w:hAnsi="宋体"/>
          <w:color w:val="auto"/>
          <w:highlight w:val="none"/>
        </w:rPr>
        <w:t xml:space="preserve">        按照招标文件规定条款和中标供应商投标文件及其承诺，甲乙双方签订本合同。</w:t>
      </w:r>
    </w:p>
    <w:p>
      <w:pPr>
        <w:pStyle w:val="29"/>
        <w:snapToGrid w:val="0"/>
        <w:spacing w:before="120" w:after="120"/>
        <w:jc w:val="center"/>
        <w:outlineLvl w:val="0"/>
        <w:rPr>
          <w:rFonts w:hint="eastAsia" w:hAnsi="宋体"/>
          <w:color w:val="auto"/>
          <w:highlight w:val="none"/>
        </w:rPr>
      </w:pPr>
    </w:p>
    <w:p>
      <w:pPr>
        <w:pStyle w:val="29"/>
        <w:snapToGrid w:val="0"/>
        <w:spacing w:before="120" w:after="120"/>
        <w:jc w:val="center"/>
        <w:outlineLvl w:val="0"/>
        <w:rPr>
          <w:rFonts w:hint="eastAsia" w:hAnsi="宋体"/>
          <w:color w:val="auto"/>
          <w:highlight w:val="none"/>
        </w:rPr>
      </w:pPr>
    </w:p>
    <w:p>
      <w:pPr>
        <w:spacing w:line="300" w:lineRule="auto"/>
        <w:ind w:left="420" w:hanging="420"/>
        <w:jc w:val="left"/>
        <w:rPr>
          <w:rFonts w:hint="eastAsia" w:ascii="黑体" w:eastAsia="黑体"/>
          <w:b/>
          <w:color w:val="auto"/>
          <w:szCs w:val="21"/>
          <w:highlight w:val="none"/>
        </w:rPr>
      </w:pPr>
      <w:r>
        <w:rPr>
          <w:rFonts w:hint="eastAsia" w:ascii="黑体" w:eastAsia="黑体"/>
          <w:bCs/>
          <w:color w:val="auto"/>
          <w:szCs w:val="21"/>
          <w:highlight w:val="none"/>
        </w:rPr>
        <w:t>采购人可根据“第二章招标项目采购需求”中的要求补全/调整：</w:t>
      </w:r>
    </w:p>
    <w:p>
      <w:pPr>
        <w:spacing w:line="300" w:lineRule="auto"/>
        <w:ind w:left="420" w:hanging="420"/>
        <w:jc w:val="center"/>
        <w:rPr>
          <w:rFonts w:hint="eastAsia" w:ascii="黑体" w:eastAsia="黑体"/>
          <w:b/>
          <w:bCs/>
          <w:color w:val="auto"/>
          <w:sz w:val="44"/>
          <w:szCs w:val="44"/>
          <w:highlight w:val="none"/>
        </w:rPr>
      </w:pPr>
      <w:r>
        <w:rPr>
          <w:rFonts w:hint="eastAsia" w:ascii="黑体" w:eastAsia="黑体"/>
          <w:b/>
          <w:color w:val="auto"/>
          <w:sz w:val="44"/>
          <w:szCs w:val="44"/>
          <w:highlight w:val="none"/>
        </w:rPr>
        <w:t>采购</w:t>
      </w:r>
      <w:r>
        <w:rPr>
          <w:rFonts w:hint="eastAsia" w:ascii="黑体" w:eastAsia="黑体"/>
          <w:b/>
          <w:bCs/>
          <w:color w:val="auto"/>
          <w:sz w:val="44"/>
          <w:szCs w:val="44"/>
          <w:highlight w:val="none"/>
        </w:rPr>
        <w:t>合同文本（格式）</w:t>
      </w:r>
    </w:p>
    <w:p>
      <w:pPr>
        <w:snapToGrid w:val="0"/>
        <w:spacing w:line="300" w:lineRule="exact"/>
        <w:jc w:val="center"/>
        <w:rPr>
          <w:rFonts w:hint="eastAsia" w:ascii="宋体"/>
          <w:b/>
          <w:bCs/>
          <w:color w:val="auto"/>
          <w:szCs w:val="21"/>
          <w:highlight w:val="none"/>
        </w:rPr>
      </w:pPr>
      <w:r>
        <w:rPr>
          <w:rFonts w:hint="eastAsia" w:ascii="宋体"/>
          <w:b/>
          <w:bCs/>
          <w:color w:val="auto"/>
          <w:szCs w:val="21"/>
          <w:highlight w:val="none"/>
        </w:rPr>
        <w:t>广西壮族自治区政府采购合同</w:t>
      </w:r>
    </w:p>
    <w:p>
      <w:pPr>
        <w:snapToGrid w:val="0"/>
        <w:spacing w:line="300" w:lineRule="exact"/>
        <w:ind w:right="480" w:firstLine="5985" w:firstLineChars="2850"/>
        <w:rPr>
          <w:rFonts w:hint="eastAsia" w:ascii="宋体"/>
          <w:bCs/>
          <w:color w:val="auto"/>
          <w:szCs w:val="21"/>
          <w:highlight w:val="none"/>
          <w:u w:val="single"/>
        </w:rPr>
      </w:pPr>
      <w:r>
        <w:rPr>
          <w:rFonts w:hint="eastAsia" w:ascii="宋体"/>
          <w:bCs/>
          <w:color w:val="auto"/>
          <w:szCs w:val="21"/>
          <w:highlight w:val="none"/>
        </w:rPr>
        <w:t>合同编号：</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采购单位（甲方）</w:t>
      </w:r>
      <w:r>
        <w:rPr>
          <w:rFonts w:hint="eastAsia" w:ascii="宋体"/>
          <w:color w:val="auto"/>
          <w:szCs w:val="21"/>
          <w:highlight w:val="none"/>
          <w:u w:val="single"/>
        </w:rPr>
        <w:t xml:space="preserve">                          </w:t>
      </w:r>
      <w:r>
        <w:rPr>
          <w:rFonts w:hint="eastAsia" w:ascii="宋体"/>
          <w:color w:val="auto"/>
          <w:szCs w:val="21"/>
          <w:highlight w:val="none"/>
        </w:rPr>
        <w:t xml:space="preserve">  </w:t>
      </w:r>
      <w:r>
        <w:rPr>
          <w:rFonts w:hint="eastAsia" w:ascii="宋体"/>
          <w:color w:val="auto"/>
          <w:spacing w:val="-20"/>
          <w:szCs w:val="21"/>
          <w:highlight w:val="none"/>
        </w:rPr>
        <w:t>采 购 计 划 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u w:val="single"/>
        </w:rPr>
      </w:pPr>
      <w:r>
        <w:rPr>
          <w:rFonts w:hint="eastAsia" w:ascii="宋体"/>
          <w:color w:val="auto"/>
          <w:szCs w:val="21"/>
          <w:highlight w:val="none"/>
        </w:rPr>
        <w:t>供 应 商（乙方）</w:t>
      </w:r>
      <w:r>
        <w:rPr>
          <w:rFonts w:hint="eastAsia" w:ascii="宋体"/>
          <w:color w:val="auto"/>
          <w:szCs w:val="21"/>
          <w:highlight w:val="none"/>
          <w:u w:val="single"/>
        </w:rPr>
        <w:t xml:space="preserve">                          </w:t>
      </w:r>
      <w:r>
        <w:rPr>
          <w:rFonts w:hint="eastAsia" w:ascii="宋体"/>
          <w:color w:val="auto"/>
          <w:szCs w:val="21"/>
          <w:highlight w:val="none"/>
        </w:rPr>
        <w:t xml:space="preserve">  项目名称</w:t>
      </w:r>
      <w:r>
        <w:rPr>
          <w:rFonts w:hint="eastAsia" w:ascii="宋体"/>
          <w:color w:val="auto"/>
          <w:spacing w:val="-20"/>
          <w:szCs w:val="21"/>
          <w:highlight w:val="none"/>
        </w:rPr>
        <w:t>编号</w:t>
      </w:r>
      <w:r>
        <w:rPr>
          <w:rFonts w:hint="eastAsia" w:ascii="宋体"/>
          <w:color w:val="auto"/>
          <w:szCs w:val="21"/>
          <w:highlight w:val="none"/>
          <w:u w:val="single"/>
        </w:rPr>
        <w:t xml:space="preserve">                             </w:t>
      </w:r>
    </w:p>
    <w:p>
      <w:pPr>
        <w:snapToGrid w:val="0"/>
        <w:spacing w:line="360" w:lineRule="exact"/>
        <w:rPr>
          <w:rFonts w:hint="eastAsia" w:ascii="宋体"/>
          <w:color w:val="auto"/>
          <w:szCs w:val="21"/>
          <w:highlight w:val="none"/>
          <w:u w:val="single"/>
        </w:rPr>
      </w:pPr>
      <w:r>
        <w:rPr>
          <w:rFonts w:hint="eastAsia" w:ascii="宋体"/>
          <w:color w:val="auto"/>
          <w:szCs w:val="21"/>
          <w:highlight w:val="none"/>
        </w:rPr>
        <w:t xml:space="preserve">签  订  地  点  </w:t>
      </w:r>
      <w:r>
        <w:rPr>
          <w:rFonts w:hint="eastAsia" w:ascii="宋体"/>
          <w:color w:val="auto"/>
          <w:szCs w:val="21"/>
          <w:highlight w:val="none"/>
          <w:u w:val="single"/>
        </w:rPr>
        <w:t xml:space="preserve">                          </w:t>
      </w:r>
      <w:r>
        <w:rPr>
          <w:rFonts w:hint="eastAsia" w:ascii="宋体"/>
          <w:color w:val="auto"/>
          <w:szCs w:val="21"/>
          <w:highlight w:val="none"/>
        </w:rPr>
        <w:t xml:space="preserve">  签 订 时 间</w:t>
      </w:r>
      <w:r>
        <w:rPr>
          <w:rFonts w:hint="eastAsia" w:ascii="宋体"/>
          <w:color w:val="auto"/>
          <w:szCs w:val="21"/>
          <w:highlight w:val="none"/>
          <w:u w:val="single"/>
        </w:rPr>
        <w:t xml:space="preserve">                              </w:t>
      </w:r>
    </w:p>
    <w:p>
      <w:pPr>
        <w:snapToGrid w:val="0"/>
        <w:spacing w:line="360" w:lineRule="exact"/>
        <w:ind w:firstLine="420" w:firstLineChars="200"/>
        <w:rPr>
          <w:rFonts w:hint="eastAsia" w:ascii="宋体"/>
          <w:color w:val="auto"/>
          <w:szCs w:val="21"/>
          <w:highlight w:val="none"/>
        </w:rPr>
      </w:pPr>
    </w:p>
    <w:p>
      <w:pPr>
        <w:pStyle w:val="29"/>
        <w:spacing w:line="360" w:lineRule="exact"/>
        <w:ind w:firstLine="420" w:firstLineChars="200"/>
        <w:rPr>
          <w:rFonts w:hint="eastAsia"/>
          <w:color w:val="auto"/>
          <w:highlight w:val="none"/>
        </w:rPr>
      </w:pPr>
      <w:r>
        <w:rPr>
          <w:rFonts w:hint="eastAsia"/>
          <w:color w:val="auto"/>
          <w:highlight w:val="none"/>
        </w:rPr>
        <w:t>根据《中华人民共和国政府采购法》、《中华人民共和国民法典》等法律、法规规定，按照招标文件规定条款和中标供应商投标文件及其承诺，甲乙双方签订本合同。</w:t>
      </w: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第一条　合同标的</w:t>
      </w:r>
    </w:p>
    <w:p>
      <w:pPr>
        <w:snapToGrid w:val="0"/>
        <w:spacing w:line="360" w:lineRule="exact"/>
        <w:ind w:firstLine="420" w:firstLineChars="200"/>
        <w:rPr>
          <w:rFonts w:hint="eastAsia" w:ascii="宋体"/>
          <w:color w:val="auto"/>
          <w:szCs w:val="21"/>
          <w:highlight w:val="none"/>
        </w:rPr>
      </w:pPr>
      <w:r>
        <w:rPr>
          <w:rFonts w:hint="eastAsia" w:ascii="宋体"/>
          <w:color w:val="auto"/>
          <w:szCs w:val="21"/>
          <w:highlight w:val="none"/>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产品</w:t>
            </w:r>
          </w:p>
          <w:p>
            <w:pPr>
              <w:snapToGrid w:val="0"/>
              <w:jc w:val="center"/>
              <w:rPr>
                <w:rFonts w:hint="eastAsia" w:ascii="宋体"/>
                <w:color w:val="auto"/>
                <w:szCs w:val="21"/>
                <w:highlight w:val="none"/>
              </w:rPr>
            </w:pPr>
            <w:r>
              <w:rPr>
                <w:rFonts w:hint="eastAsia" w:ascii="宋体"/>
                <w:color w:val="auto"/>
                <w:szCs w:val="21"/>
                <w:highlight w:val="none"/>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商标</w:t>
            </w:r>
          </w:p>
          <w:p>
            <w:pPr>
              <w:snapToGrid w:val="0"/>
              <w:jc w:val="center"/>
              <w:rPr>
                <w:rFonts w:hint="eastAsia" w:ascii="宋体"/>
                <w:color w:val="auto"/>
                <w:szCs w:val="21"/>
                <w:highlight w:val="none"/>
              </w:rPr>
            </w:pPr>
            <w:r>
              <w:rPr>
                <w:rFonts w:hint="eastAsia" w:ascii="宋体"/>
                <w:color w:val="auto"/>
                <w:szCs w:val="21"/>
                <w:highlight w:val="none"/>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规格</w:t>
            </w:r>
          </w:p>
          <w:p>
            <w:pPr>
              <w:snapToGrid w:val="0"/>
              <w:jc w:val="center"/>
              <w:rPr>
                <w:rFonts w:hint="eastAsia" w:ascii="宋体"/>
                <w:color w:val="auto"/>
                <w:szCs w:val="21"/>
                <w:highlight w:val="none"/>
              </w:rPr>
            </w:pPr>
            <w:r>
              <w:rPr>
                <w:rFonts w:hint="eastAsia" w:ascii="宋体"/>
                <w:color w:val="auto"/>
                <w:szCs w:val="21"/>
                <w:highlight w:val="none"/>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生产</w:t>
            </w:r>
          </w:p>
          <w:p>
            <w:pPr>
              <w:snapToGrid w:val="0"/>
              <w:jc w:val="center"/>
              <w:rPr>
                <w:rFonts w:hint="eastAsia" w:ascii="宋体"/>
                <w:color w:val="auto"/>
                <w:szCs w:val="21"/>
                <w:highlight w:val="none"/>
              </w:rPr>
            </w:pPr>
            <w:r>
              <w:rPr>
                <w:rFonts w:hint="eastAsia" w:ascii="宋体"/>
                <w:color w:val="auto"/>
                <w:szCs w:val="21"/>
                <w:highlight w:val="none"/>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单  价</w:t>
            </w:r>
          </w:p>
          <w:p>
            <w:pPr>
              <w:snapToGrid w:val="0"/>
              <w:jc w:val="center"/>
              <w:rPr>
                <w:rFonts w:hint="eastAsia" w:ascii="宋体"/>
                <w:color w:val="auto"/>
                <w:szCs w:val="21"/>
                <w:highlight w:val="none"/>
              </w:rPr>
            </w:pPr>
            <w:r>
              <w:rPr>
                <w:rFonts w:hint="eastAsia" w:ascii="宋体"/>
                <w:color w:val="auto"/>
                <w:szCs w:val="21"/>
                <w:highlight w:val="none"/>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color w:val="auto"/>
                <w:szCs w:val="21"/>
                <w:highlight w:val="none"/>
              </w:rPr>
            </w:pPr>
            <w:r>
              <w:rPr>
                <w:rFonts w:hint="eastAsia" w:ascii="宋体"/>
                <w:color w:val="auto"/>
                <w:szCs w:val="21"/>
                <w:highlight w:val="none"/>
              </w:rPr>
              <w:t>金  额</w:t>
            </w:r>
          </w:p>
          <w:p>
            <w:pPr>
              <w:snapToGrid w:val="0"/>
              <w:jc w:val="center"/>
              <w:rPr>
                <w:rFonts w:hint="eastAsia" w:ascii="宋体"/>
                <w:color w:val="auto"/>
                <w:szCs w:val="21"/>
                <w:highlight w:val="none"/>
              </w:rPr>
            </w:pPr>
            <w:r>
              <w:rPr>
                <w:rFonts w:hint="eastAsia" w:ascii="宋体"/>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rPr>
            </w:pPr>
            <w:r>
              <w:rPr>
                <w:rFonts w:hint="eastAsia" w:ascii="宋体"/>
                <w:color w:val="auto"/>
                <w:szCs w:val="21"/>
                <w:highlight w:val="none"/>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人民币合计金额（大写）                          （小写）                 </w:t>
            </w:r>
          </w:p>
        </w:tc>
      </w:tr>
    </w:tbl>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第二条　质量保证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1.乙方所提供的货物型号、技术规格、技术参数等质量必须与招投标文件和承诺相一致。乙方提供的节能和环保产品必须是列入政府采购清单的产品。</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2.乙方所提供的货物必须是全新、未使用的原装产品，且在正常安装、使用和保养条件下，其使用寿命期内各项指标均达到质量要求。</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第三条　权利保证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乙方应保证所提供货物在使用时不会侵犯任何第三方的专利权、商标权、工业设计权或其他权利。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乙方应按招标文件规定的时间向甲方提供使用货物的有关技术资料。</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乙方保证所交付的货物的所有权完全属于乙方且无任何抵押、质押、查封等产权瑕疵。</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第四条　包装和运输</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1.乙方提供的货物均应按招投标文件要求的包装材料、包装标准、包装方式进行包装，每一包装单元内应附详细的装箱单和质量合格证。</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2.货物的运输方式：</w:t>
      </w:r>
      <w:r>
        <w:rPr>
          <w:rFonts w:hint="eastAsia" w:ascii="宋体"/>
          <w:color w:val="auto"/>
          <w:szCs w:val="21"/>
          <w:highlight w:val="none"/>
          <w:u w:val="single"/>
        </w:rPr>
        <w:t xml:space="preserve">             。</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3.乙方负责货物运输，货物运输合理损耗及计算方法：</w:t>
      </w:r>
      <w:r>
        <w:rPr>
          <w:rFonts w:hint="eastAsia" w:ascii="宋体"/>
          <w:color w:val="auto"/>
          <w:szCs w:val="21"/>
          <w:highlight w:val="none"/>
          <w:u w:val="single"/>
        </w:rPr>
        <w:t xml:space="preserve">                 。</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第五条　交付和验收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1.交付使用时间、地点。</w:t>
      </w:r>
    </w:p>
    <w:p>
      <w:pPr>
        <w:spacing w:line="390" w:lineRule="exact"/>
        <w:ind w:firstLine="524" w:firstLineChars="249"/>
        <w:rPr>
          <w:rFonts w:hint="eastAsia" w:ascii="宋体"/>
          <w:b/>
          <w:color w:val="auto"/>
          <w:szCs w:val="21"/>
          <w:highlight w:val="none"/>
        </w:rPr>
      </w:pPr>
      <w:r>
        <w:rPr>
          <w:rFonts w:hint="eastAsia" w:ascii="宋体"/>
          <w:b/>
          <w:color w:val="auto"/>
          <w:szCs w:val="21"/>
          <w:highlight w:val="none"/>
        </w:rPr>
        <w:t>交付使用时间：按乙方投标文件中所承诺的时间；交付使用地点：采购人指定地点。</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2.乙方提供不符合招投标文件和本合同规定的货物，甲方有权拒绝接受。</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3.乙方应将所提供货物的装箱清单、用户手册、原厂保修卡、随机资料、工具和备品、备件等交付给甲方，如有缺失应及时补齐，否则视为逾期交货。</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4.甲方应当在到货（安装、调试完）后十个工作日内进行验收，逾期不验收的，乙方可视同验收合格。验收合格后由甲乙双方签署货物验收单并加盖采购单位公章，甲乙双方各执一份。</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 xml:space="preserve">5.甲方对验收有异议的，在验收后五个工作日内以书面形式向乙方提出，乙方应自收到甲方书面异议后 </w:t>
      </w:r>
      <w:r>
        <w:rPr>
          <w:rFonts w:hint="eastAsia" w:ascii="宋体"/>
          <w:color w:val="auto"/>
          <w:szCs w:val="21"/>
          <w:highlight w:val="none"/>
          <w:u w:val="single"/>
        </w:rPr>
        <w:t xml:space="preserve">五 </w:t>
      </w:r>
      <w:r>
        <w:rPr>
          <w:rFonts w:hint="eastAsia" w:ascii="宋体"/>
          <w:color w:val="auto"/>
          <w:szCs w:val="21"/>
          <w:highlight w:val="none"/>
        </w:rPr>
        <w:t>日内及时予以解决。</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第六条　安装和培训</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1.甲方应提供必要安装条件（如场地、电源、水源等）。</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2.乙方负责甲方有关人员的培训。培训时间、地点：</w:t>
      </w:r>
      <w:r>
        <w:rPr>
          <w:rFonts w:hint="eastAsia"/>
          <w:b/>
          <w:color w:val="auto"/>
          <w:szCs w:val="21"/>
          <w:highlight w:val="none"/>
          <w:u w:val="single"/>
        </w:rPr>
        <w:t>按交付使用时间、地点培训</w:t>
      </w:r>
      <w:r>
        <w:rPr>
          <w:rFonts w:hint="eastAsia" w:ascii="宋体"/>
          <w:color w:val="auto"/>
          <w:szCs w:val="21"/>
          <w:highlight w:val="none"/>
        </w:rPr>
        <w:t>。</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第七条  售后服务、保修期</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1.乙方应按照国家有关法律法规和“三包”规定以及招投标文件和本合同所附的《服务承诺》，为甲方提供售后服务。</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2.货物保修期：</w:t>
      </w:r>
      <w:r>
        <w:rPr>
          <w:rFonts w:hint="eastAsia"/>
          <w:b/>
          <w:color w:val="auto"/>
          <w:szCs w:val="21"/>
          <w:highlight w:val="none"/>
          <w:u w:val="single"/>
        </w:rPr>
        <w:t>分项有要求的按分项要求</w:t>
      </w:r>
      <w:r>
        <w:rPr>
          <w:rFonts w:hint="eastAsia"/>
          <w:b/>
          <w:color w:val="auto"/>
          <w:szCs w:val="21"/>
          <w:highlight w:val="none"/>
          <w:u w:val="single"/>
          <w:lang w:val="en-US" w:eastAsia="zh-CN"/>
        </w:rPr>
        <w:t>和乙方服务承诺之较长者</w:t>
      </w:r>
      <w:r>
        <w:rPr>
          <w:rFonts w:hint="eastAsia"/>
          <w:b/>
          <w:color w:val="auto"/>
          <w:szCs w:val="21"/>
          <w:highlight w:val="none"/>
          <w:u w:val="single"/>
        </w:rPr>
        <w:t>，分项无要求的按国家标准实行</w:t>
      </w:r>
      <w:r>
        <w:rPr>
          <w:b/>
          <w:color w:val="auto"/>
          <w:szCs w:val="21"/>
          <w:highlight w:val="none"/>
          <w:u w:val="single"/>
        </w:rPr>
        <w:t>“</w:t>
      </w:r>
      <w:r>
        <w:rPr>
          <w:rFonts w:hint="eastAsia"/>
          <w:b/>
          <w:color w:val="auto"/>
          <w:szCs w:val="21"/>
          <w:highlight w:val="none"/>
          <w:u w:val="single"/>
        </w:rPr>
        <w:t>三包</w:t>
      </w:r>
      <w:r>
        <w:rPr>
          <w:b/>
          <w:color w:val="auto"/>
          <w:szCs w:val="21"/>
          <w:highlight w:val="none"/>
          <w:u w:val="single"/>
        </w:rPr>
        <w:t>”</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3.乙方提供的服务承诺和售后服务及保修期责任等其它具体约定事项。（见合同附件）</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第八条　付款方式和保证金</w:t>
      </w:r>
    </w:p>
    <w:p>
      <w:pPr>
        <w:pStyle w:val="29"/>
        <w:snapToGrid w:val="0"/>
        <w:spacing w:line="390" w:lineRule="exact"/>
        <w:rPr>
          <w:rFonts w:hint="eastAsia"/>
          <w:color w:val="auto"/>
          <w:highlight w:val="none"/>
        </w:rPr>
      </w:pPr>
      <w:r>
        <w:rPr>
          <w:rFonts w:hint="eastAsia"/>
          <w:bCs/>
          <w:color w:val="auto"/>
          <w:highlight w:val="none"/>
        </w:rPr>
        <w:t>1.</w:t>
      </w:r>
      <w:r>
        <w:rPr>
          <w:rFonts w:hint="eastAsia"/>
          <w:color w:val="auto"/>
          <w:highlight w:val="none"/>
        </w:rPr>
        <w:t>当采购数量与实际使用数量不一致时，乙方应根据实际使用量供货，合同的最终结算金额按实际使用量乘以</w:t>
      </w:r>
      <w:r>
        <w:rPr>
          <w:rFonts w:hint="default"/>
          <w:color w:val="auto"/>
          <w:highlight w:val="none"/>
          <w:lang w:val="en"/>
        </w:rPr>
        <w:t>中标</w:t>
      </w:r>
      <w:r>
        <w:rPr>
          <w:rFonts w:hint="eastAsia"/>
          <w:color w:val="auto"/>
          <w:highlight w:val="none"/>
        </w:rPr>
        <w:t>单价进行计算。</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2.资金性质：</w:t>
      </w:r>
      <w:r>
        <w:rPr>
          <w:rFonts w:hint="eastAsia" w:ascii="宋体"/>
          <w:b/>
          <w:color w:val="auto"/>
          <w:szCs w:val="21"/>
          <w:highlight w:val="none"/>
          <w:u w:val="single"/>
        </w:rPr>
        <w:t>财政性资金</w:t>
      </w:r>
      <w:r>
        <w:rPr>
          <w:rFonts w:hint="eastAsia" w:ascii="宋体"/>
          <w:b/>
          <w:color w:val="auto"/>
          <w:szCs w:val="21"/>
          <w:highlight w:val="none"/>
        </w:rPr>
        <w:t>。</w:t>
      </w:r>
    </w:p>
    <w:p>
      <w:pPr>
        <w:snapToGrid w:val="0"/>
        <w:spacing w:line="390" w:lineRule="exact"/>
        <w:ind w:firstLine="514" w:firstLineChars="245"/>
        <w:rPr>
          <w:rFonts w:hint="eastAsia" w:ascii="宋体"/>
          <w:color w:val="auto"/>
          <w:highlight w:val="none"/>
        </w:rPr>
      </w:pPr>
      <w:r>
        <w:rPr>
          <w:rFonts w:hint="eastAsia" w:ascii="宋体"/>
          <w:color w:val="auto"/>
          <w:highlight w:val="none"/>
        </w:rPr>
        <w:t>3.付款方式：</w:t>
      </w:r>
    </w:p>
    <w:p>
      <w:pPr>
        <w:snapToGrid w:val="0"/>
        <w:spacing w:line="360" w:lineRule="auto"/>
        <w:ind w:firstLine="420" w:firstLineChars="200"/>
        <w:jc w:val="left"/>
        <w:rPr>
          <w:rFonts w:hint="eastAsia" w:ascii="宋体" w:hAnsi="宋体"/>
          <w:color w:val="auto"/>
          <w:szCs w:val="21"/>
          <w:highlight w:val="none"/>
        </w:rPr>
      </w:pPr>
      <w:r>
        <w:rPr>
          <w:rFonts w:hint="eastAsia" w:ascii="宋体" w:hAnsi="宋体"/>
          <w:bCs/>
          <w:color w:val="auto"/>
          <w:sz w:val="21"/>
          <w:szCs w:val="21"/>
          <w:highlight w:val="none"/>
          <w:lang w:eastAsia="zh-CN"/>
        </w:rPr>
        <w:t xml:space="preserve">    </w:t>
      </w:r>
      <w:r>
        <w:rPr>
          <w:rFonts w:hint="eastAsia" w:ascii="宋体" w:hAnsi="宋体"/>
          <w:color w:val="auto"/>
          <w:szCs w:val="21"/>
          <w:highlight w:val="none"/>
        </w:rPr>
        <w:t>①预付款：签订合同之日起</w:t>
      </w:r>
      <w:r>
        <w:rPr>
          <w:rFonts w:hint="eastAsia" w:ascii="宋体" w:hAnsi="宋体"/>
          <w:color w:val="auto"/>
          <w:szCs w:val="21"/>
          <w:highlight w:val="none"/>
          <w:lang w:val="en-US" w:eastAsia="zh-CN"/>
        </w:rPr>
        <w:t>5</w:t>
      </w:r>
      <w:r>
        <w:rPr>
          <w:rFonts w:hint="eastAsia" w:ascii="宋体" w:hAnsi="宋体"/>
          <w:color w:val="auto"/>
          <w:szCs w:val="21"/>
          <w:highlight w:val="none"/>
        </w:rPr>
        <w:t>个工作日内，</w:t>
      </w:r>
      <w:r>
        <w:rPr>
          <w:rFonts w:hint="eastAsia" w:ascii="宋体" w:hAnsi="宋体"/>
          <w:color w:val="auto"/>
          <w:szCs w:val="21"/>
          <w:highlight w:val="none"/>
          <w:lang w:eastAsia="zh-CN"/>
        </w:rPr>
        <w:t>乙方</w:t>
      </w:r>
      <w:r>
        <w:rPr>
          <w:rFonts w:hint="eastAsia" w:ascii="宋体" w:hAnsi="宋体"/>
          <w:color w:val="auto"/>
          <w:szCs w:val="21"/>
          <w:highlight w:val="none"/>
        </w:rPr>
        <w:t>开具合同总价款的 30%的等额价值保函(保函有效期应在 2025年 12月30日后)给采购人后，</w:t>
      </w:r>
      <w:r>
        <w:rPr>
          <w:rFonts w:hint="eastAsia" w:ascii="宋体" w:hAnsi="宋体"/>
          <w:color w:val="auto"/>
          <w:szCs w:val="21"/>
          <w:highlight w:val="none"/>
          <w:lang w:eastAsia="zh-CN"/>
        </w:rPr>
        <w:t>甲方</w:t>
      </w:r>
      <w:r>
        <w:rPr>
          <w:rFonts w:hint="eastAsia" w:ascii="宋体" w:hAnsi="宋体"/>
          <w:color w:val="auto"/>
          <w:szCs w:val="21"/>
          <w:highlight w:val="none"/>
        </w:rPr>
        <w:t>支付合同总价款的30%作为预付款。</w:t>
      </w:r>
    </w:p>
    <w:p>
      <w:pPr>
        <w:pStyle w:val="600"/>
        <w:spacing w:after="0" w:line="390" w:lineRule="exact"/>
        <w:rPr>
          <w:rFonts w:ascii="宋体" w:hAnsi="宋体"/>
          <w:bCs/>
          <w:color w:val="auto"/>
          <w:sz w:val="21"/>
          <w:szCs w:val="21"/>
          <w:highlight w:val="none"/>
          <w:u w:val="single"/>
          <w:lang w:val="en" w:eastAsia="zh-CN"/>
        </w:rPr>
      </w:pPr>
      <w:r>
        <w:rPr>
          <w:rFonts w:hint="eastAsia" w:ascii="宋体" w:hAnsi="宋体"/>
          <w:color w:val="auto"/>
          <w:szCs w:val="21"/>
          <w:highlight w:val="none"/>
        </w:rPr>
        <w:t>②进度款：全部设备到货后，经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确认后在十个工作日内向中标供应商付款方式支付合同价款的</w:t>
      </w:r>
      <w:r>
        <w:rPr>
          <w:rFonts w:hint="eastAsia" w:ascii="宋体" w:hAnsi="宋体"/>
          <w:color w:val="auto"/>
          <w:szCs w:val="21"/>
          <w:highlight w:val="none"/>
          <w:lang w:val="en-US" w:eastAsia="zh-CN"/>
        </w:rPr>
        <w:t>6</w:t>
      </w:r>
      <w:r>
        <w:rPr>
          <w:rFonts w:hint="eastAsia" w:ascii="宋体" w:hAnsi="宋体"/>
          <w:color w:val="auto"/>
          <w:szCs w:val="21"/>
          <w:highlight w:val="none"/>
        </w:rPr>
        <w:t>0%；所有货物安装调试完成、试运行正常且验收合格，并经</w:t>
      </w:r>
      <w:r>
        <w:rPr>
          <w:rFonts w:hint="eastAsia" w:ascii="宋体" w:hAnsi="宋体"/>
          <w:color w:val="auto"/>
          <w:szCs w:val="21"/>
          <w:highlight w:val="none"/>
          <w:lang w:eastAsia="zh-CN"/>
        </w:rPr>
        <w:t>甲方</w:t>
      </w:r>
      <w:r>
        <w:rPr>
          <w:rFonts w:hint="eastAsia" w:ascii="宋体" w:hAnsi="宋体"/>
          <w:color w:val="auto"/>
          <w:szCs w:val="21"/>
          <w:highlight w:val="none"/>
        </w:rPr>
        <w:t>确认后，在十个工作日内向中标供应商支付合同价款的</w:t>
      </w:r>
      <w:r>
        <w:rPr>
          <w:rFonts w:hint="eastAsia" w:ascii="宋体" w:hAnsi="宋体"/>
          <w:color w:val="auto"/>
          <w:szCs w:val="21"/>
          <w:highlight w:val="none"/>
          <w:lang w:val="en-US" w:eastAsia="zh-CN"/>
        </w:rPr>
        <w:t>1</w:t>
      </w:r>
      <w:r>
        <w:rPr>
          <w:rFonts w:hint="eastAsia" w:ascii="宋体" w:hAnsi="宋体"/>
          <w:color w:val="auto"/>
          <w:szCs w:val="21"/>
          <w:highlight w:val="none"/>
        </w:rPr>
        <w:t>0%.</w:t>
      </w:r>
    </w:p>
    <w:p>
      <w:pPr>
        <w:snapToGrid w:val="0"/>
        <w:spacing w:line="390" w:lineRule="exact"/>
        <w:ind w:firstLine="516" w:firstLineChars="245"/>
        <w:rPr>
          <w:rFonts w:hint="eastAsia" w:ascii="宋体"/>
          <w:b/>
          <w:color w:val="auto"/>
          <w:szCs w:val="21"/>
          <w:highlight w:val="none"/>
        </w:rPr>
      </w:pPr>
      <w:r>
        <w:rPr>
          <w:rFonts w:hint="eastAsia" w:ascii="宋体"/>
          <w:b/>
          <w:color w:val="auto"/>
          <w:szCs w:val="21"/>
          <w:highlight w:val="none"/>
        </w:rPr>
        <w:t>第九条　履约保证金</w:t>
      </w:r>
    </w:p>
    <w:p>
      <w:pPr>
        <w:autoSpaceDE w:val="0"/>
        <w:autoSpaceDN w:val="0"/>
        <w:snapToGrid w:val="0"/>
        <w:spacing w:line="360" w:lineRule="auto"/>
        <w:ind w:firstLine="424" w:firstLineChars="202"/>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1.履约保证金金额：中标金额的5%（中小企业2%）。即    </w:t>
      </w:r>
      <w:r>
        <w:rPr>
          <w:rFonts w:hint="default" w:ascii="宋体" w:hAnsi="宋体" w:cs="宋体"/>
          <w:color w:val="auto"/>
          <w:szCs w:val="21"/>
          <w:highlight w:val="none"/>
          <w:lang w:val="en"/>
        </w:rPr>
        <w:t xml:space="preserve">        </w:t>
      </w:r>
      <w:r>
        <w:rPr>
          <w:rFonts w:hint="eastAsia" w:ascii="宋体" w:hAnsi="宋体" w:cs="宋体"/>
          <w:color w:val="auto"/>
          <w:szCs w:val="21"/>
          <w:highlight w:val="none"/>
        </w:rPr>
        <w:t>元。</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履约保证金递交方式：银行转账、支票、汇票等非现金方式</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履约保证金缴纳期限: 自中标通知书发出之日起 5日内。</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按合同要求完全履约，项目验收合格后，待</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履行完质保义务且无违约情况下后由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无息退还。合同履行期间，</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存在违约的，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有权从履约保证金中先行抵扣，不足部分由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另行支付，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直接从履约保证金中扣除的，</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应于接到</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补足履约保证金通知之日起3个工作日内补足。</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向履约保证金收取单位提供《广西壮族自治区政府采购项目合同验收书》（详见桂财采〔2015〕22号），保证金收取单位在收到合格材料后5个工作日内办理退还手续（不计利息）。</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不予退还的情形：签订合同后，如</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不按双方签订的合同规定履约，则其全部履约保证金不予退还。</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开户名称：广西艺术学院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开户银行：建行南宁市桃源支行    </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银行账号：45001604559050500909 </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1、根据《广西壮族自治区财政厅关于持续优化政府采购营商环境推动高质量发展的通知》（桂财采〔2024〕55号）的通知规定，鼓励</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2"/>
        <w:spacing w:before="0" w:after="0" w:line="390" w:lineRule="exact"/>
        <w:ind w:firstLine="0" w:firstLineChars="0"/>
        <w:rPr>
          <w:rFonts w:hint="eastAsia"/>
          <w:color w:val="auto"/>
          <w:highlight w:val="none"/>
        </w:rPr>
      </w:pPr>
      <w:r>
        <w:rPr>
          <w:rFonts w:hint="eastAsia" w:ascii="宋体" w:hAnsi="宋体" w:cs="宋体"/>
          <w:color w:val="auto"/>
          <w:szCs w:val="21"/>
          <w:highlight w:val="none"/>
        </w:rPr>
        <w:t>3、采用金融、担保机构出具的保函的，必须为无条件保函，否则不予签订合同。</w:t>
      </w:r>
    </w:p>
    <w:p>
      <w:pPr>
        <w:snapToGrid w:val="0"/>
        <w:spacing w:line="390" w:lineRule="exact"/>
        <w:ind w:firstLine="421" w:firstLineChars="200"/>
        <w:rPr>
          <w:rFonts w:hint="eastAsia" w:ascii="宋体" w:hAnsi="Courier New" w:cs="Courier New"/>
          <w:color w:val="auto"/>
          <w:szCs w:val="21"/>
          <w:highlight w:val="none"/>
        </w:rPr>
      </w:pPr>
      <w:r>
        <w:rPr>
          <w:rFonts w:hint="eastAsia" w:ascii="宋体" w:hAnsi="Courier New" w:cs="Courier New"/>
          <w:b/>
          <w:color w:val="auto"/>
          <w:szCs w:val="21"/>
          <w:highlight w:val="none"/>
        </w:rPr>
        <w:t>第十条 税费</w:t>
      </w:r>
    </w:p>
    <w:p>
      <w:pPr>
        <w:snapToGrid w:val="0"/>
        <w:spacing w:line="390" w:lineRule="exact"/>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本合同执行中相关的一切税费均由乙方负担。</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第十一条  质量保证及售后服务</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 乙方应按招标文件规定的货物性能、技术要求、质量标准向甲方提供未经使用的全新产品。</w:t>
      </w:r>
      <w:r>
        <w:rPr>
          <w:rFonts w:hint="eastAsia" w:ascii="宋体"/>
          <w:color w:val="auto"/>
          <w:highlight w:val="none"/>
        </w:rPr>
        <w:t>乙方提供货物的质量保证期按交货验收合格之日起计（期限见《招标项目采购需求》中各分标的要求</w:t>
      </w:r>
      <w:r>
        <w:rPr>
          <w:rFonts w:hint="eastAsia" w:ascii="宋体"/>
          <w:color w:val="auto"/>
          <w:highlight w:val="none"/>
          <w:lang w:val="en-US" w:eastAsia="zh-CN"/>
        </w:rPr>
        <w:t>和乙方服务承诺之较长者</w:t>
      </w:r>
      <w:r>
        <w:rPr>
          <w:rFonts w:hint="eastAsia" w:ascii="宋体"/>
          <w:color w:val="auto"/>
          <w:highlight w:val="none"/>
        </w:rPr>
        <w:t>）。在保证期内因货物本身的质量问题发生故障，乙方应负责免费修理和更换零部件。对达不到技术要求者，根据实际情况，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9"/>
        <w:snapToGrid w:val="0"/>
        <w:spacing w:line="390" w:lineRule="exact"/>
        <w:ind w:firstLine="315" w:firstLineChars="150"/>
        <w:rPr>
          <w:rFonts w:hint="eastAsia"/>
          <w:color w:val="auto"/>
          <w:highlight w:val="none"/>
        </w:rPr>
      </w:pPr>
      <w:r>
        <w:rPr>
          <w:rFonts w:hint="eastAsia"/>
          <w:color w:val="auto"/>
          <w:highlight w:val="none"/>
        </w:rPr>
        <w:t xml:space="preserve"> ⑴更换：由乙方承担所发生的全部费用。</w:t>
      </w:r>
    </w:p>
    <w:p>
      <w:pPr>
        <w:pStyle w:val="29"/>
        <w:snapToGrid w:val="0"/>
        <w:spacing w:line="390" w:lineRule="exact"/>
        <w:ind w:firstLine="420"/>
        <w:rPr>
          <w:rFonts w:hint="eastAsia"/>
          <w:color w:val="auto"/>
          <w:highlight w:val="none"/>
        </w:rPr>
      </w:pPr>
      <w:r>
        <w:rPr>
          <w:rFonts w:hint="eastAsia"/>
          <w:color w:val="auto"/>
          <w:highlight w:val="none"/>
        </w:rPr>
        <w:t>⑵贬值处理：由甲乙双方合议定价。</w:t>
      </w:r>
    </w:p>
    <w:p>
      <w:pPr>
        <w:pStyle w:val="29"/>
        <w:snapToGrid w:val="0"/>
        <w:spacing w:line="390" w:lineRule="exact"/>
        <w:rPr>
          <w:rFonts w:hint="eastAsia"/>
          <w:color w:val="auto"/>
          <w:highlight w:val="none"/>
        </w:rPr>
      </w:pPr>
      <w:r>
        <w:rPr>
          <w:rFonts w:hint="eastAsia"/>
          <w:color w:val="auto"/>
          <w:highlight w:val="none"/>
        </w:rPr>
        <w:t>⑶退货处理：乙方应退还甲方支付的合同款，同时应承担该货物的直接费用（运输、保险、检验、货款利息及银行手续费等）。</w:t>
      </w:r>
    </w:p>
    <w:p>
      <w:pPr>
        <w:pStyle w:val="29"/>
        <w:snapToGrid w:val="0"/>
        <w:spacing w:line="390" w:lineRule="exact"/>
        <w:ind w:firstLine="420" w:firstLineChars="200"/>
        <w:rPr>
          <w:rFonts w:hint="eastAsia"/>
          <w:color w:val="auto"/>
          <w:highlight w:val="none"/>
        </w:rPr>
      </w:pPr>
      <w:r>
        <w:rPr>
          <w:rFonts w:hint="eastAsia"/>
          <w:color w:val="auto"/>
          <w:highlight w:val="none"/>
        </w:rPr>
        <w:t>2. 如在使用过程中发生质量问题，乙方在接到甲方通知后在</w:t>
      </w:r>
      <w:r>
        <w:rPr>
          <w:rFonts w:hint="eastAsia"/>
          <w:color w:val="auto"/>
          <w:highlight w:val="none"/>
          <w:u w:val="single"/>
        </w:rPr>
        <w:t xml:space="preserve">    </w:t>
      </w:r>
      <w:r>
        <w:rPr>
          <w:rFonts w:hint="eastAsia"/>
          <w:color w:val="auto"/>
          <w:highlight w:val="none"/>
        </w:rPr>
        <w:t>小时内到达甲方现场。</w:t>
      </w:r>
    </w:p>
    <w:p>
      <w:pPr>
        <w:pStyle w:val="29"/>
        <w:snapToGrid w:val="0"/>
        <w:spacing w:line="390" w:lineRule="exact"/>
        <w:ind w:firstLine="420" w:firstLineChars="200"/>
        <w:rPr>
          <w:rFonts w:hint="eastAsia"/>
          <w:color w:val="auto"/>
          <w:highlight w:val="none"/>
        </w:rPr>
      </w:pPr>
      <w:r>
        <w:rPr>
          <w:rFonts w:hint="eastAsia"/>
          <w:color w:val="auto"/>
          <w:highlight w:val="none"/>
        </w:rPr>
        <w:t>3. 在质保期内，乙方应对货物出现的质量及安全问题负责处理解决并承担一切费用。</w:t>
      </w:r>
    </w:p>
    <w:p>
      <w:pPr>
        <w:pStyle w:val="29"/>
        <w:snapToGrid w:val="0"/>
        <w:spacing w:line="390" w:lineRule="exact"/>
        <w:ind w:firstLine="420" w:firstLineChars="200"/>
        <w:rPr>
          <w:rFonts w:hint="eastAsia"/>
          <w:color w:val="auto"/>
          <w:highlight w:val="none"/>
        </w:rPr>
      </w:pPr>
      <w:r>
        <w:rPr>
          <w:rFonts w:hint="eastAsia"/>
          <w:color w:val="auto"/>
          <w:highlight w:val="none"/>
        </w:rPr>
        <w:t>4.上述的货物免费保修期为</w:t>
      </w:r>
      <w:r>
        <w:rPr>
          <w:rFonts w:hint="eastAsia"/>
          <w:color w:val="auto"/>
          <w:highlight w:val="none"/>
          <w:u w:val="single"/>
        </w:rPr>
        <w:t xml:space="preserve">     </w:t>
      </w:r>
      <w:r>
        <w:rPr>
          <w:rFonts w:hint="eastAsia"/>
          <w:color w:val="auto"/>
          <w:highlight w:val="none"/>
        </w:rPr>
        <w:t>年，因人为因素出现的故障不在免费保修范围内。超过保修期的机器设备，终生维修，维修时只收部件成本费。</w:t>
      </w:r>
    </w:p>
    <w:p>
      <w:pPr>
        <w:pStyle w:val="29"/>
        <w:snapToGrid w:val="0"/>
        <w:spacing w:line="390" w:lineRule="exact"/>
        <w:ind w:firstLine="413" w:firstLineChars="196"/>
        <w:rPr>
          <w:rFonts w:hint="eastAsia"/>
          <w:b/>
          <w:color w:val="auto"/>
          <w:highlight w:val="none"/>
        </w:rPr>
      </w:pPr>
      <w:r>
        <w:rPr>
          <w:rFonts w:hint="eastAsia"/>
          <w:b/>
          <w:color w:val="auto"/>
          <w:highlight w:val="none"/>
        </w:rPr>
        <w:t>第十二条  调试和验收</w:t>
      </w:r>
    </w:p>
    <w:p>
      <w:pPr>
        <w:pStyle w:val="29"/>
        <w:snapToGrid w:val="0"/>
        <w:spacing w:line="390" w:lineRule="exact"/>
        <w:ind w:firstLine="420" w:firstLineChars="200"/>
        <w:rPr>
          <w:rFonts w:hint="eastAsia"/>
          <w:color w:val="auto"/>
          <w:highlight w:val="none"/>
        </w:rPr>
      </w:pPr>
      <w:r>
        <w:rPr>
          <w:rFonts w:hint="eastAsia"/>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rPr>
        <w:t>甲方应当在到货（安装、调试完）后十个工作日内进行初步验收</w:t>
      </w:r>
      <w:r>
        <w:rPr>
          <w:rFonts w:hint="eastAsia"/>
          <w:color w:val="auto"/>
          <w:highlight w:val="none"/>
        </w:rPr>
        <w:t>。</w:t>
      </w:r>
    </w:p>
    <w:p>
      <w:pPr>
        <w:pStyle w:val="29"/>
        <w:snapToGrid w:val="0"/>
        <w:spacing w:line="390" w:lineRule="exact"/>
        <w:ind w:firstLine="420" w:firstLineChars="200"/>
        <w:rPr>
          <w:rFonts w:hint="eastAsia"/>
          <w:color w:val="auto"/>
          <w:highlight w:val="none"/>
        </w:rPr>
      </w:pPr>
      <w:r>
        <w:rPr>
          <w:rFonts w:hint="eastAsia"/>
          <w:color w:val="auto"/>
          <w:highlight w:val="none"/>
        </w:rPr>
        <w:t>2. 乙方交货前应对产品作出全面检查和对验收文件进行整理，并列出清单，作为甲方收货验收和使用的技术条件依据，检验的结果应随货物交甲方。</w:t>
      </w:r>
    </w:p>
    <w:p>
      <w:pPr>
        <w:pStyle w:val="29"/>
        <w:snapToGrid w:val="0"/>
        <w:spacing w:line="390" w:lineRule="exact"/>
        <w:ind w:firstLine="420" w:firstLineChars="200"/>
        <w:rPr>
          <w:rFonts w:hint="eastAsia"/>
          <w:color w:val="auto"/>
          <w:highlight w:val="none"/>
        </w:rPr>
      </w:pPr>
      <w:r>
        <w:rPr>
          <w:rFonts w:hint="eastAsia"/>
          <w:color w:val="auto"/>
          <w:highlight w:val="none"/>
        </w:rPr>
        <w:t>3. 甲方对乙方提供的货物在使用前进行调试时，乙方需负责安装并培训甲方的使用操作人员，并协助甲方一起调试，直到符合技术要求，甲方才做最终验收。</w:t>
      </w:r>
    </w:p>
    <w:p>
      <w:pPr>
        <w:pStyle w:val="29"/>
        <w:snapToGrid w:val="0"/>
        <w:spacing w:line="390" w:lineRule="exact"/>
        <w:ind w:firstLine="420" w:firstLineChars="200"/>
        <w:rPr>
          <w:rFonts w:hint="eastAsia"/>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lang w:val="en-US" w:eastAsia="zh-CN"/>
        </w:rPr>
        <w:t xml:space="preserve">乙 </w:t>
      </w:r>
      <w:r>
        <w:rPr>
          <w:rFonts w:hint="eastAsia" w:hAnsi="宋体"/>
          <w:color w:val="auto"/>
          <w:highlight w:val="none"/>
        </w:rPr>
        <w:t>方承担。</w:t>
      </w:r>
    </w:p>
    <w:p>
      <w:pPr>
        <w:pStyle w:val="29"/>
        <w:snapToGrid w:val="0"/>
        <w:spacing w:line="390" w:lineRule="exact"/>
        <w:ind w:firstLine="420" w:firstLineChars="200"/>
        <w:rPr>
          <w:rFonts w:hint="eastAsia"/>
          <w:color w:val="auto"/>
          <w:highlight w:val="none"/>
        </w:rPr>
      </w:pPr>
      <w:r>
        <w:rPr>
          <w:rFonts w:hint="eastAsia"/>
          <w:color w:val="auto"/>
          <w:highlight w:val="none"/>
        </w:rPr>
        <w:t>5. 对技术复杂的货物，甲方应请国家认可的专业检测机构参与初步验收及最终验收，并由其出具质量检测报告。</w:t>
      </w:r>
    </w:p>
    <w:p>
      <w:pPr>
        <w:pStyle w:val="29"/>
        <w:snapToGrid w:val="0"/>
        <w:spacing w:line="390" w:lineRule="exact"/>
        <w:ind w:firstLine="420" w:firstLineChars="200"/>
        <w:rPr>
          <w:rFonts w:hint="eastAsia"/>
          <w:color w:val="auto"/>
          <w:highlight w:val="none"/>
        </w:rPr>
      </w:pPr>
      <w:r>
        <w:rPr>
          <w:rFonts w:hint="eastAsia"/>
          <w:color w:val="auto"/>
          <w:highlight w:val="none"/>
        </w:rPr>
        <w:t>6. 验收时乙方必须在现场，验收完毕后作出验收结果报告；验收费用由乙方负责。</w:t>
      </w:r>
    </w:p>
    <w:p>
      <w:pPr>
        <w:pStyle w:val="29"/>
        <w:snapToGrid w:val="0"/>
        <w:spacing w:line="390" w:lineRule="exact"/>
        <w:ind w:firstLine="413" w:firstLineChars="196"/>
        <w:rPr>
          <w:rFonts w:hint="eastAsia"/>
          <w:b/>
          <w:color w:val="auto"/>
          <w:highlight w:val="none"/>
        </w:rPr>
      </w:pPr>
      <w:r>
        <w:rPr>
          <w:rFonts w:hint="eastAsia"/>
          <w:b/>
          <w:color w:val="auto"/>
          <w:highlight w:val="none"/>
        </w:rPr>
        <w:t>第十三条 货物包装、发运及运输</w:t>
      </w:r>
    </w:p>
    <w:p>
      <w:pPr>
        <w:pStyle w:val="29"/>
        <w:snapToGrid w:val="0"/>
        <w:spacing w:line="390" w:lineRule="exact"/>
        <w:rPr>
          <w:rFonts w:hint="eastAsia"/>
          <w:color w:val="auto"/>
          <w:highlight w:val="none"/>
        </w:rPr>
      </w:pPr>
      <w:r>
        <w:rPr>
          <w:rFonts w:hint="eastAsia"/>
          <w:color w:val="auto"/>
          <w:highlight w:val="none"/>
        </w:rPr>
        <w:t>1. 乙方应在货物发运前对其进行满足运输距离、防潮、防震、防锈和防破损装卸等要求包装，以保证货物安全运达甲方指定地点。</w:t>
      </w:r>
    </w:p>
    <w:p>
      <w:pPr>
        <w:pStyle w:val="29"/>
        <w:snapToGrid w:val="0"/>
        <w:spacing w:line="390" w:lineRule="exact"/>
        <w:rPr>
          <w:rFonts w:hint="eastAsia"/>
          <w:color w:val="auto"/>
          <w:highlight w:val="none"/>
        </w:rPr>
      </w:pPr>
      <w:r>
        <w:rPr>
          <w:rFonts w:hint="eastAsia"/>
          <w:color w:val="auto"/>
          <w:highlight w:val="none"/>
        </w:rPr>
        <w:t>2. 使用说明书、质量检验证明书、随配附件和工具以及清单一并附于货物内。</w:t>
      </w:r>
    </w:p>
    <w:p>
      <w:pPr>
        <w:pStyle w:val="29"/>
        <w:snapToGrid w:val="0"/>
        <w:spacing w:line="390" w:lineRule="exact"/>
        <w:rPr>
          <w:rFonts w:hint="eastAsia"/>
          <w:color w:val="auto"/>
          <w:highlight w:val="none"/>
        </w:rPr>
      </w:pPr>
      <w:r>
        <w:rPr>
          <w:rFonts w:hint="eastAsia"/>
          <w:color w:val="auto"/>
          <w:highlight w:val="none"/>
        </w:rPr>
        <w:t>3. 乙方在货物发运手续办理完毕后二十四小时内或货到甲方四十八小时前通知甲方，以准备接货。</w:t>
      </w:r>
    </w:p>
    <w:p>
      <w:pPr>
        <w:pStyle w:val="29"/>
        <w:snapToGrid w:val="0"/>
        <w:spacing w:line="390" w:lineRule="exact"/>
        <w:rPr>
          <w:rFonts w:hint="eastAsia"/>
          <w:color w:val="auto"/>
          <w:highlight w:val="none"/>
        </w:rPr>
      </w:pPr>
      <w:r>
        <w:rPr>
          <w:rFonts w:hint="eastAsia"/>
          <w:color w:val="auto"/>
          <w:highlight w:val="none"/>
        </w:rPr>
        <w:t>4. 货物在交付甲方前发生的风险均由乙方负责。</w:t>
      </w:r>
    </w:p>
    <w:p>
      <w:pPr>
        <w:pStyle w:val="29"/>
        <w:snapToGrid w:val="0"/>
        <w:spacing w:line="390" w:lineRule="exact"/>
        <w:rPr>
          <w:rFonts w:hint="eastAsia"/>
          <w:color w:val="auto"/>
          <w:spacing w:val="-8"/>
          <w:highlight w:val="none"/>
        </w:rPr>
      </w:pPr>
      <w:r>
        <w:rPr>
          <w:rFonts w:hint="eastAsia"/>
          <w:color w:val="auto"/>
          <w:highlight w:val="none"/>
        </w:rPr>
        <w:t>5. 货</w:t>
      </w:r>
      <w:r>
        <w:rPr>
          <w:rFonts w:hint="eastAsia"/>
          <w:color w:val="auto"/>
          <w:spacing w:val="-8"/>
          <w:highlight w:val="none"/>
        </w:rPr>
        <w:t>物在规定的交付期限内由乙方送达甲方指定的地点视为交付，乙方同时需通知甲方货物已送达。</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第十四条　违约责任</w:t>
      </w:r>
    </w:p>
    <w:p>
      <w:pPr>
        <w:snapToGrid w:val="0"/>
        <w:spacing w:line="390" w:lineRule="exact"/>
        <w:ind w:firstLine="525" w:firstLineChars="250"/>
        <w:rPr>
          <w:rFonts w:hint="eastAsia" w:ascii="宋体"/>
          <w:color w:val="auto"/>
          <w:szCs w:val="21"/>
          <w:highlight w:val="none"/>
        </w:rPr>
      </w:pPr>
      <w:r>
        <w:rPr>
          <w:rFonts w:hint="eastAsia" w:asci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90" w:lineRule="exact"/>
        <w:ind w:firstLine="472" w:firstLineChars="225"/>
        <w:rPr>
          <w:rFonts w:hint="eastAsia" w:ascii="宋体"/>
          <w:color w:val="auto"/>
          <w:szCs w:val="21"/>
          <w:highlight w:val="none"/>
        </w:rPr>
      </w:pPr>
      <w:r>
        <w:rPr>
          <w:rFonts w:hint="eastAsia" w:ascii="宋体"/>
          <w:color w:val="auto"/>
          <w:szCs w:val="21"/>
          <w:highlight w:val="none"/>
        </w:rPr>
        <w:t>2．乙方提供的货物如侵犯了第三方合法权益而引发的任何纠纷或诉讼，均由乙方负责交涉并承担全部责任。</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3．因包装、运输引起的货物损坏，按质量不合格处罚。</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4．乙方逾期交货的，每天向对方偿付违约货款额3‰违约金，但违约金累计不得超过违约货款额</w:t>
      </w:r>
      <w:r>
        <w:rPr>
          <w:rFonts w:hint="eastAsia" w:ascii="宋体"/>
          <w:color w:val="auto"/>
          <w:szCs w:val="21"/>
          <w:highlight w:val="none"/>
          <w:u w:val="single"/>
        </w:rPr>
        <w:t>5%</w:t>
      </w:r>
      <w:r>
        <w:rPr>
          <w:rFonts w:hint="eastAsia" w:ascii="宋体"/>
          <w:color w:val="auto"/>
          <w:szCs w:val="21"/>
          <w:highlight w:val="none"/>
        </w:rPr>
        <w:t>，超过</w:t>
      </w:r>
      <w:r>
        <w:rPr>
          <w:rFonts w:hint="eastAsia" w:ascii="宋体"/>
          <w:color w:val="auto"/>
          <w:szCs w:val="21"/>
          <w:highlight w:val="none"/>
          <w:u w:val="single"/>
        </w:rPr>
        <w:t xml:space="preserve">   </w:t>
      </w:r>
      <w:r>
        <w:rPr>
          <w:rFonts w:hint="eastAsia" w:ascii="宋体"/>
          <w:color w:val="auto"/>
          <w:szCs w:val="21"/>
          <w:highlight w:val="none"/>
        </w:rPr>
        <w:t>天对方有权解除合同，违约方承担因此给对方造成经济损失；甲方延期付货款的，每天向乙方偿付延期货款额</w:t>
      </w:r>
      <w:r>
        <w:rPr>
          <w:rFonts w:hint="eastAsia" w:ascii="宋体"/>
          <w:color w:val="auto"/>
          <w:szCs w:val="21"/>
          <w:highlight w:val="none"/>
          <w:u w:val="single"/>
        </w:rPr>
        <w:t xml:space="preserve">3‰ </w:t>
      </w:r>
      <w:r>
        <w:rPr>
          <w:rFonts w:hint="eastAsia" w:ascii="宋体"/>
          <w:color w:val="auto"/>
          <w:szCs w:val="21"/>
          <w:highlight w:val="none"/>
        </w:rPr>
        <w:t>滞纳金，但滞纳金累计不得超过延期货款额</w:t>
      </w:r>
      <w:r>
        <w:rPr>
          <w:rFonts w:hint="eastAsia" w:ascii="宋体"/>
          <w:color w:val="auto"/>
          <w:szCs w:val="21"/>
          <w:highlight w:val="none"/>
          <w:u w:val="single"/>
        </w:rPr>
        <w:t>5%</w:t>
      </w:r>
      <w:r>
        <w:rPr>
          <w:rFonts w:hint="eastAsia" w:ascii="宋体"/>
          <w:color w:val="auto"/>
          <w:szCs w:val="21"/>
          <w:highlight w:val="none"/>
        </w:rPr>
        <w:t>。</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5．乙方未按本合同和投标文件中规定的服务承诺提供售后服务的，乙方应按本合同合计金额</w:t>
      </w:r>
      <w:r>
        <w:rPr>
          <w:rFonts w:hint="eastAsia" w:ascii="宋体"/>
          <w:color w:val="auto"/>
          <w:szCs w:val="21"/>
          <w:highlight w:val="none"/>
          <w:u w:val="single"/>
        </w:rPr>
        <w:t xml:space="preserve"> 5%</w:t>
      </w:r>
      <w:r>
        <w:rPr>
          <w:rFonts w:hint="eastAsia" w:ascii="宋体"/>
          <w:color w:val="auto"/>
          <w:szCs w:val="21"/>
          <w:highlight w:val="none"/>
        </w:rPr>
        <w:t>向甲方支付违约金。</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6．乙方提供的货物在质量保证期内，因设计、工艺或材料的缺陷和其它质量原因造成的问题，由乙方负责，费用从</w:t>
      </w:r>
      <w:r>
        <w:rPr>
          <w:rFonts w:hint="eastAsia"/>
          <w:color w:val="auto"/>
          <w:highlight w:val="none"/>
        </w:rPr>
        <w:t>履</w:t>
      </w:r>
      <w:r>
        <w:rPr>
          <w:rFonts w:hint="eastAsia" w:ascii="宋体"/>
          <w:color w:val="auto"/>
          <w:szCs w:val="21"/>
          <w:highlight w:val="none"/>
        </w:rPr>
        <w:t>约保证金中扣除，履约保证金不足以支付的，由乙方另行支付。</w:t>
      </w:r>
    </w:p>
    <w:p>
      <w:pPr>
        <w:snapToGrid w:val="0"/>
        <w:spacing w:line="390" w:lineRule="exact"/>
        <w:ind w:firstLine="420" w:firstLineChars="200"/>
        <w:rPr>
          <w:rFonts w:hint="default" w:ascii="宋体" w:eastAsia="宋体"/>
          <w:color w:val="auto"/>
          <w:szCs w:val="21"/>
          <w:highlight w:val="none"/>
          <w:lang w:val="en-US" w:eastAsia="zh-CN"/>
        </w:rPr>
      </w:pPr>
      <w:r>
        <w:rPr>
          <w:rFonts w:hint="eastAsia" w:ascii="宋体"/>
          <w:color w:val="auto"/>
          <w:szCs w:val="21"/>
          <w:highlight w:val="none"/>
        </w:rPr>
        <w:t>7．其它违约行为按违约货款额5%收取违约金并赔偿经济损失。</w:t>
      </w:r>
    </w:p>
    <w:p>
      <w:pPr>
        <w:pStyle w:val="29"/>
        <w:snapToGrid w:val="0"/>
        <w:spacing w:line="390" w:lineRule="exact"/>
        <w:ind w:firstLine="413" w:firstLineChars="196"/>
        <w:rPr>
          <w:rFonts w:hint="eastAsia"/>
          <w:b/>
          <w:color w:val="auto"/>
          <w:highlight w:val="none"/>
        </w:rPr>
      </w:pPr>
      <w:r>
        <w:rPr>
          <w:rFonts w:hint="eastAsia"/>
          <w:b/>
          <w:color w:val="auto"/>
          <w:highlight w:val="none"/>
        </w:rPr>
        <w:t>第十五条  不可抗力事件处理</w:t>
      </w:r>
    </w:p>
    <w:p>
      <w:pPr>
        <w:pStyle w:val="29"/>
        <w:snapToGrid w:val="0"/>
        <w:spacing w:line="390" w:lineRule="exact"/>
        <w:ind w:firstLine="420" w:firstLineChars="200"/>
        <w:rPr>
          <w:rFonts w:hint="eastAsia"/>
          <w:color w:val="auto"/>
          <w:highlight w:val="none"/>
        </w:rPr>
      </w:pPr>
      <w:r>
        <w:rPr>
          <w:rFonts w:hint="eastAsia"/>
          <w:color w:val="auto"/>
          <w:highlight w:val="none"/>
        </w:rPr>
        <w:t>1. 在合同有效期内，任何一方因不可抗力事件导致不能履行合同，则合同履行期可延长，其延长期与不可抗力影响期相同。</w:t>
      </w:r>
    </w:p>
    <w:p>
      <w:pPr>
        <w:pStyle w:val="29"/>
        <w:snapToGrid w:val="0"/>
        <w:spacing w:line="390" w:lineRule="exact"/>
        <w:ind w:firstLine="420" w:firstLineChars="200"/>
        <w:rPr>
          <w:rFonts w:hint="eastAsia"/>
          <w:color w:val="auto"/>
          <w:highlight w:val="none"/>
        </w:rPr>
      </w:pPr>
      <w:r>
        <w:rPr>
          <w:rFonts w:hint="eastAsia"/>
          <w:color w:val="auto"/>
          <w:highlight w:val="none"/>
        </w:rPr>
        <w:t>2. 不可抗力事件发生后，应立即通知对方，并寄送有关权威机构出具的证明。</w:t>
      </w:r>
    </w:p>
    <w:p>
      <w:pPr>
        <w:pStyle w:val="29"/>
        <w:snapToGrid w:val="0"/>
        <w:spacing w:line="390" w:lineRule="exact"/>
        <w:ind w:firstLine="420" w:firstLineChars="200"/>
        <w:rPr>
          <w:rFonts w:hint="eastAsia"/>
          <w:color w:val="auto"/>
          <w:highlight w:val="none"/>
        </w:rPr>
      </w:pPr>
      <w:r>
        <w:rPr>
          <w:rFonts w:hint="eastAsia"/>
          <w:color w:val="auto"/>
          <w:highlight w:val="none"/>
        </w:rPr>
        <w:t>3. 不可抗力事件延续一百二十天以上，双方应通过友好协商，确定是否继续履行合同。</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第十六条  合同争议解决</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1．因货物质量问题发生争议的，应邀请国家认可的质量检测机构对货物质量进行鉴定。货物符合标准的，鉴定费由甲方承担；货物不符合标准的，鉴定费由乙方承担。</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2．因履行本合同引起的或与本合同有关的争议，甲乙双方应首先通过友好协商解决，如果协商不能解决，可向甲方所在地的有管辖权人民法院提起诉讼。</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3．诉讼期间，本合同继续履行。</w:t>
      </w:r>
    </w:p>
    <w:p>
      <w:pPr>
        <w:pStyle w:val="29"/>
        <w:snapToGrid w:val="0"/>
        <w:spacing w:line="390" w:lineRule="exact"/>
        <w:ind w:firstLine="413" w:firstLineChars="196"/>
        <w:rPr>
          <w:rFonts w:hint="eastAsia"/>
          <w:b/>
          <w:color w:val="auto"/>
          <w:highlight w:val="none"/>
        </w:rPr>
      </w:pPr>
      <w:r>
        <w:rPr>
          <w:rFonts w:hint="eastAsia"/>
          <w:b/>
          <w:color w:val="auto"/>
          <w:highlight w:val="none"/>
        </w:rPr>
        <w:t>第十七条  诉讼</w:t>
      </w:r>
    </w:p>
    <w:p>
      <w:pPr>
        <w:pStyle w:val="29"/>
        <w:snapToGrid w:val="0"/>
        <w:spacing w:line="390" w:lineRule="exact"/>
        <w:rPr>
          <w:rFonts w:hint="eastAsia"/>
          <w:color w:val="auto"/>
          <w:highlight w:val="none"/>
        </w:rPr>
      </w:pPr>
      <w:r>
        <w:rPr>
          <w:rFonts w:hint="eastAsia"/>
          <w:color w:val="auto"/>
          <w:highlight w:val="none"/>
        </w:rPr>
        <w:t xml:space="preserve">    双方在执行合同中所发生的一切争议，应通过协商解决。如果协商不能解决，可向仲裁委员会申请仲裁或向人民法院提起诉讼。</w:t>
      </w:r>
    </w:p>
    <w:p>
      <w:pPr>
        <w:pStyle w:val="29"/>
        <w:snapToGrid w:val="0"/>
        <w:spacing w:line="390" w:lineRule="exact"/>
        <w:rPr>
          <w:rFonts w:hint="eastAsia"/>
          <w:b/>
          <w:color w:val="auto"/>
          <w:highlight w:val="none"/>
        </w:rPr>
      </w:pPr>
      <w:r>
        <w:rPr>
          <w:rFonts w:hint="eastAsia"/>
          <w:b/>
          <w:color w:val="auto"/>
          <w:highlight w:val="none"/>
        </w:rPr>
        <w:t xml:space="preserve">    第十八条  合同生效及其它</w:t>
      </w:r>
    </w:p>
    <w:p>
      <w:pPr>
        <w:pStyle w:val="29"/>
        <w:snapToGrid w:val="0"/>
        <w:spacing w:line="390" w:lineRule="exact"/>
        <w:rPr>
          <w:rFonts w:hint="eastAsia"/>
          <w:color w:val="auto"/>
          <w:highlight w:val="none"/>
        </w:rPr>
      </w:pPr>
      <w:r>
        <w:rPr>
          <w:rFonts w:hint="eastAsia"/>
          <w:b/>
          <w:color w:val="auto"/>
          <w:highlight w:val="none"/>
        </w:rPr>
        <w:t xml:space="preserve">   </w:t>
      </w:r>
      <w:r>
        <w:rPr>
          <w:rFonts w:hint="eastAsia"/>
          <w:color w:val="auto"/>
          <w:highlight w:val="none"/>
        </w:rPr>
        <w:t xml:space="preserve"> 1．合同经双方法定代表人或授权代表签字并加盖单位公章后生效。</w:t>
      </w:r>
    </w:p>
    <w:p>
      <w:pPr>
        <w:pStyle w:val="29"/>
        <w:snapToGrid w:val="0"/>
        <w:spacing w:line="390" w:lineRule="exact"/>
        <w:rPr>
          <w:rFonts w:hint="eastAsia"/>
          <w:color w:val="auto"/>
          <w:highlight w:val="none"/>
        </w:rPr>
      </w:pPr>
      <w:r>
        <w:rPr>
          <w:rFonts w:hint="eastAsia"/>
          <w:color w:val="auto"/>
          <w:highlight w:val="none"/>
        </w:rPr>
        <w:t xml:space="preserve">    2．合同执行中涉及采购资金和采购内容修改或补充的，须经财政部门审批，并签书面补充协议报财政部门备案，方可作为主合同不可分割的一部分。</w:t>
      </w:r>
    </w:p>
    <w:p>
      <w:pPr>
        <w:pStyle w:val="29"/>
        <w:snapToGrid w:val="0"/>
        <w:spacing w:line="390" w:lineRule="exact"/>
        <w:rPr>
          <w:rFonts w:hint="eastAsia"/>
          <w:color w:val="auto"/>
          <w:highlight w:val="none"/>
        </w:rPr>
      </w:pPr>
      <w:r>
        <w:rPr>
          <w:rFonts w:hint="eastAsia"/>
          <w:color w:val="auto"/>
          <w:highlight w:val="none"/>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rPr>
        <w:t>，遵照《中华人民共和国民法典》有关条文执行。</w:t>
      </w:r>
    </w:p>
    <w:p>
      <w:pPr>
        <w:pStyle w:val="29"/>
        <w:snapToGrid w:val="0"/>
        <w:spacing w:line="390" w:lineRule="exact"/>
        <w:rPr>
          <w:rFonts w:hint="eastAsia"/>
          <w:b/>
          <w:color w:val="auto"/>
          <w:highlight w:val="none"/>
        </w:rPr>
      </w:pPr>
      <w:r>
        <w:rPr>
          <w:rFonts w:hint="eastAsia" w:hAnsi="宋体"/>
          <w:color w:val="auto"/>
          <w:highlight w:val="none"/>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第十九条　合同的变更、终止与转让</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1．除《中华人民共和国政府采购法》第五十条规定的情形外，本合同一经签订，甲乙双方不得擅自变更、中止或终止。</w:t>
      </w:r>
    </w:p>
    <w:p>
      <w:pPr>
        <w:pStyle w:val="29"/>
        <w:snapToGrid w:val="0"/>
        <w:spacing w:line="390" w:lineRule="exact"/>
        <w:ind w:firstLine="411" w:firstLineChars="196"/>
        <w:rPr>
          <w:rFonts w:hint="eastAsia"/>
          <w:b/>
          <w:color w:val="auto"/>
          <w:highlight w:val="none"/>
        </w:rPr>
      </w:pPr>
      <w:r>
        <w:rPr>
          <w:rFonts w:hint="eastAsia"/>
          <w:color w:val="auto"/>
          <w:highlight w:val="none"/>
        </w:rPr>
        <w:t>2．乙方不得擅自转让（无进口资格的供应商委托进口货物除外）其应履行的合同义务。</w:t>
      </w:r>
    </w:p>
    <w:p>
      <w:pPr>
        <w:snapToGrid w:val="0"/>
        <w:spacing w:line="390" w:lineRule="exact"/>
        <w:ind w:firstLine="421" w:firstLineChars="200"/>
        <w:rPr>
          <w:rFonts w:hint="eastAsia" w:ascii="宋体"/>
          <w:b/>
          <w:color w:val="auto"/>
          <w:szCs w:val="21"/>
          <w:highlight w:val="none"/>
        </w:rPr>
      </w:pPr>
      <w:r>
        <w:rPr>
          <w:rFonts w:hint="eastAsia" w:ascii="宋体"/>
          <w:b/>
          <w:color w:val="auto"/>
          <w:szCs w:val="21"/>
          <w:highlight w:val="none"/>
        </w:rPr>
        <w:t>第二十条　签订本合同依据</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1．政府采购招标文件；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2．乙方提供的投标文件；</w:t>
      </w:r>
    </w:p>
    <w:p>
      <w:pPr>
        <w:snapToGrid w:val="0"/>
        <w:spacing w:line="390" w:lineRule="exact"/>
        <w:ind w:firstLine="420" w:firstLineChars="200"/>
        <w:rPr>
          <w:rFonts w:hint="eastAsia" w:ascii="宋体"/>
          <w:color w:val="auto"/>
          <w:szCs w:val="21"/>
          <w:highlight w:val="none"/>
        </w:rPr>
      </w:pPr>
      <w:r>
        <w:rPr>
          <w:rFonts w:hint="eastAsia" w:ascii="宋体"/>
          <w:color w:val="auto"/>
          <w:szCs w:val="21"/>
          <w:highlight w:val="none"/>
        </w:rPr>
        <w:t>3．投标承诺书；</w:t>
      </w:r>
    </w:p>
    <w:p>
      <w:pPr>
        <w:snapToGrid w:val="0"/>
        <w:spacing w:line="390" w:lineRule="exact"/>
        <w:ind w:firstLine="420" w:firstLineChars="200"/>
        <w:rPr>
          <w:rFonts w:hint="eastAsia" w:ascii="宋体"/>
          <w:color w:val="auto"/>
          <w:szCs w:val="21"/>
          <w:highlight w:val="none"/>
          <w:u w:val="single"/>
        </w:rPr>
      </w:pPr>
      <w:r>
        <w:rPr>
          <w:rFonts w:hint="eastAsia" w:ascii="宋体"/>
          <w:color w:val="auto"/>
          <w:szCs w:val="21"/>
          <w:highlight w:val="none"/>
        </w:rPr>
        <w:t>4．中标通知书。</w:t>
      </w:r>
    </w:p>
    <w:p>
      <w:pPr>
        <w:snapToGrid w:val="0"/>
        <w:spacing w:line="390" w:lineRule="exact"/>
        <w:ind w:firstLine="421" w:firstLineChars="200"/>
        <w:rPr>
          <w:rFonts w:hint="eastAsia" w:ascii="宋体"/>
          <w:color w:val="auto"/>
          <w:szCs w:val="21"/>
          <w:highlight w:val="none"/>
        </w:rPr>
      </w:pPr>
      <w:r>
        <w:rPr>
          <w:rFonts w:hint="eastAsia" w:ascii="宋体"/>
          <w:b/>
          <w:color w:val="auto"/>
          <w:szCs w:val="21"/>
          <w:highlight w:val="none"/>
        </w:rPr>
        <w:t>第二十一条　</w:t>
      </w:r>
      <w:r>
        <w:rPr>
          <w:rFonts w:hint="eastAsia" w:ascii="宋体"/>
          <w:bCs/>
          <w:color w:val="auto"/>
          <w:szCs w:val="21"/>
          <w:highlight w:val="none"/>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lang w:val="en" w:eastAsia="zh-CN"/>
        </w:rPr>
        <w:t>甲方</w:t>
      </w:r>
      <w:r>
        <w:rPr>
          <w:rFonts w:hint="eastAsia" w:ascii="宋体"/>
          <w:bCs/>
          <w:color w:val="auto"/>
          <w:szCs w:val="21"/>
          <w:highlight w:val="none"/>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甲方（章）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ind w:firstLine="945" w:firstLineChars="450"/>
              <w:jc w:val="right"/>
              <w:rPr>
                <w:rFonts w:hint="eastAsia" w:ascii="宋体"/>
                <w:color w:val="auto"/>
                <w:szCs w:val="21"/>
                <w:highlight w:val="none"/>
              </w:rPr>
            </w:pPr>
            <w:r>
              <w:rPr>
                <w:rFonts w:hint="eastAsia" w:ascii="宋体"/>
                <w:color w:val="auto"/>
                <w:szCs w:val="21"/>
                <w:highlight w:val="none"/>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 xml:space="preserve">乙方（章）             </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jc w:val="right"/>
              <w:rPr>
                <w:rFonts w:hint="eastAsia" w:ascii="宋体"/>
                <w:color w:val="auto"/>
                <w:szCs w:val="21"/>
                <w:highlight w:val="none"/>
              </w:rPr>
            </w:pPr>
            <w:r>
              <w:rPr>
                <w:rFonts w:hint="eastAsia" w:asci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rPr>
            </w:pPr>
            <w:r>
              <w:rPr>
                <w:rFonts w:hint="eastAsia" w:asci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color w:val="auto"/>
                <w:szCs w:val="21"/>
                <w:highlight w:val="none"/>
              </w:rPr>
            </w:pPr>
            <w:r>
              <w:rPr>
                <w:rFonts w:hint="eastAsia" w:ascii="宋体"/>
                <w:color w:val="auto"/>
                <w:szCs w:val="21"/>
                <w:highlight w:val="none"/>
              </w:rPr>
              <w:t>经办人：</w:t>
            </w: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rPr>
                <w:rFonts w:hint="eastAsia" w:ascii="宋体"/>
                <w:color w:val="auto"/>
                <w:szCs w:val="21"/>
                <w:highlight w:val="none"/>
              </w:rPr>
            </w:pPr>
          </w:p>
          <w:p>
            <w:pPr>
              <w:snapToGrid w:val="0"/>
              <w:spacing w:line="360" w:lineRule="exact"/>
              <w:ind w:firstLine="630" w:firstLineChars="300"/>
              <w:jc w:val="right"/>
              <w:rPr>
                <w:rFonts w:hint="eastAsia" w:ascii="宋体"/>
                <w:color w:val="auto"/>
                <w:szCs w:val="21"/>
                <w:highlight w:val="none"/>
              </w:rPr>
            </w:pPr>
            <w:r>
              <w:rPr>
                <w:rFonts w:hint="eastAsia" w:ascii="宋体"/>
                <w:color w:val="auto"/>
                <w:szCs w:val="21"/>
                <w:highlight w:val="none"/>
              </w:rPr>
              <w:t>年    月    日</w:t>
            </w:r>
          </w:p>
        </w:tc>
      </w:tr>
    </w:tbl>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p>
    <w:p>
      <w:pPr>
        <w:snapToGrid w:val="0"/>
        <w:spacing w:line="360" w:lineRule="exact"/>
        <w:jc w:val="center"/>
        <w:rPr>
          <w:rFonts w:hint="eastAsia" w:ascii="宋体"/>
          <w:b/>
          <w:color w:val="auto"/>
          <w:sz w:val="28"/>
          <w:szCs w:val="28"/>
          <w:highlight w:val="none"/>
        </w:rPr>
      </w:pPr>
      <w:r>
        <w:rPr>
          <w:rFonts w:hint="eastAsia" w:ascii="宋体"/>
          <w:b/>
          <w:color w:val="auto"/>
          <w:sz w:val="28"/>
          <w:szCs w:val="28"/>
          <w:highlight w:val="none"/>
        </w:rPr>
        <w:t>合 同 附 件</w:t>
      </w:r>
    </w:p>
    <w:p>
      <w:pPr>
        <w:snapToGrid w:val="0"/>
        <w:spacing w:line="360" w:lineRule="exact"/>
        <w:jc w:val="center"/>
        <w:rPr>
          <w:rFonts w:hint="eastAsia" w:ascii="宋体"/>
          <w:b/>
          <w:color w:val="auto"/>
          <w:szCs w:val="21"/>
          <w:highlight w:val="none"/>
        </w:rPr>
      </w:pPr>
    </w:p>
    <w:tbl>
      <w:tblPr>
        <w:tblStyle w:val="52"/>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rPr>
            </w:pPr>
            <w:r>
              <w:rPr>
                <w:rFonts w:hint="eastAsia" w:ascii="宋体"/>
                <w:b/>
                <w:color w:val="auto"/>
                <w:szCs w:val="21"/>
                <w:highlight w:val="none"/>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甲方（章）</w:t>
            </w: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乙方（章）</w:t>
            </w: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p>
          <w:p>
            <w:pPr>
              <w:snapToGrid w:val="0"/>
              <w:spacing w:line="360" w:lineRule="exact"/>
              <w:ind w:firstLine="421" w:firstLineChars="200"/>
              <w:rPr>
                <w:rFonts w:hint="eastAsia" w:ascii="宋体"/>
                <w:b/>
                <w:color w:val="auto"/>
                <w:szCs w:val="21"/>
                <w:highlight w:val="none"/>
              </w:rPr>
            </w:pPr>
            <w:r>
              <w:rPr>
                <w:rFonts w:hint="eastAsia" w:ascii="宋体"/>
                <w:b/>
                <w:color w:val="auto"/>
                <w:szCs w:val="21"/>
                <w:highlight w:val="none"/>
              </w:rPr>
              <w:t xml:space="preserve">                       年   月   日</w:t>
            </w:r>
          </w:p>
        </w:tc>
      </w:tr>
    </w:tbl>
    <w:p>
      <w:pPr>
        <w:snapToGrid w:val="0"/>
        <w:spacing w:line="360" w:lineRule="exact"/>
        <w:rPr>
          <w:rFonts w:hint="eastAsia" w:ascii="宋体"/>
          <w:color w:val="auto"/>
          <w:szCs w:val="21"/>
          <w:highlight w:val="none"/>
        </w:rPr>
      </w:pPr>
      <w:r>
        <w:rPr>
          <w:rFonts w:hint="eastAsia" w:ascii="宋体"/>
          <w:color w:val="auto"/>
          <w:szCs w:val="21"/>
          <w:highlight w:val="none"/>
        </w:rPr>
        <w:t xml:space="preserve">  注：售后服务事项填不下时可另加附页</w:t>
      </w:r>
    </w:p>
    <w:p>
      <w:pPr>
        <w:pStyle w:val="29"/>
        <w:snapToGrid w:val="0"/>
        <w:spacing w:before="120" w:after="120"/>
        <w:jc w:val="center"/>
        <w:outlineLvl w:val="0"/>
        <w:rPr>
          <w:rFonts w:hint="eastAsia" w:ascii="黑体" w:eastAsia="黑体"/>
          <w:b/>
          <w:color w:val="auto"/>
          <w:sz w:val="44"/>
          <w:szCs w:val="44"/>
          <w:highlight w:val="none"/>
        </w:rPr>
      </w:pPr>
      <w:r>
        <w:rPr>
          <w:rFonts w:ascii="黑体" w:eastAsia="黑体"/>
          <w:b/>
          <w:color w:val="auto"/>
          <w:sz w:val="44"/>
          <w:szCs w:val="44"/>
          <w:highlight w:val="none"/>
        </w:rPr>
        <w:br w:type="page"/>
      </w: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p>
    <w:p>
      <w:pPr>
        <w:pStyle w:val="29"/>
        <w:snapToGrid w:val="0"/>
        <w:spacing w:before="120" w:after="120"/>
        <w:jc w:val="center"/>
        <w:outlineLvl w:val="0"/>
        <w:rPr>
          <w:rFonts w:hint="eastAsia" w:ascii="黑体" w:eastAsia="黑体"/>
          <w:b/>
          <w:color w:val="auto"/>
          <w:sz w:val="44"/>
          <w:szCs w:val="44"/>
          <w:highlight w:val="none"/>
        </w:rPr>
      </w:pPr>
      <w:r>
        <w:rPr>
          <w:rFonts w:hint="eastAsia" w:ascii="仿宋_GB2312" w:eastAsia="仿宋_GB2312"/>
          <w:b/>
          <w:color w:val="auto"/>
          <w:sz w:val="44"/>
          <w:szCs w:val="44"/>
          <w:highlight w:val="none"/>
        </w:rPr>
        <w:t>第六章　投标文件格式</w:t>
      </w:r>
    </w:p>
    <w:p>
      <w:pPr>
        <w:snapToGrid w:val="0"/>
        <w:spacing w:before="50" w:after="50"/>
        <w:outlineLvl w:val="1"/>
        <w:rPr>
          <w:rFonts w:hint="eastAsia" w:ascii="仿宋_GB2312" w:eastAsia="仿宋_GB2312"/>
          <w:color w:val="auto"/>
          <w:sz w:val="32"/>
          <w:szCs w:val="20"/>
          <w:highlight w:val="none"/>
        </w:rPr>
      </w:pPr>
      <w:r>
        <w:rPr>
          <w:rFonts w:ascii="仿宋_GB2312" w:eastAsia="仿宋_GB2312"/>
          <w:color w:val="auto"/>
          <w:sz w:val="32"/>
          <w:szCs w:val="20"/>
          <w:highlight w:val="none"/>
        </w:rPr>
        <w:br w:type="page"/>
      </w:r>
      <w:bookmarkStart w:id="6" w:name="_Toc254970556"/>
      <w:bookmarkStart w:id="7" w:name="_Toc254970697"/>
    </w:p>
    <w:p>
      <w:pPr>
        <w:snapToGrid w:val="0"/>
        <w:spacing w:before="50" w:after="50"/>
        <w:outlineLvl w:val="1"/>
        <w:rPr>
          <w:rFonts w:hint="eastAsia" w:ascii="仿宋_GB2312" w:eastAsia="仿宋_GB2312"/>
          <w:color w:val="auto"/>
          <w:sz w:val="32"/>
          <w:szCs w:val="20"/>
          <w:highlight w:val="none"/>
        </w:rPr>
      </w:pPr>
    </w:p>
    <w:p>
      <w:pPr>
        <w:snapToGrid w:val="0"/>
        <w:spacing w:before="50" w:after="50"/>
        <w:outlineLvl w:val="1"/>
        <w:rPr>
          <w:rFonts w:hint="eastAsia" w:ascii="宋体"/>
          <w:b/>
          <w:bCs/>
          <w:color w:val="auto"/>
          <w:szCs w:val="21"/>
          <w:highlight w:val="none"/>
        </w:rPr>
      </w:pPr>
    </w:p>
    <w:bookmarkEnd w:id="6"/>
    <w:bookmarkEnd w:id="7"/>
    <w:p>
      <w:pPr>
        <w:snapToGrid w:val="0"/>
        <w:spacing w:before="156" w:beforeLines="50" w:after="50" w:line="360" w:lineRule="exact"/>
        <w:jc w:val="center"/>
        <w:outlineLvl w:val="1"/>
        <w:rPr>
          <w:rFonts w:ascii="仿宋_GB2312" w:hAnsi="宋体" w:eastAsia="仿宋_GB2312"/>
          <w:b/>
          <w:bCs/>
          <w:color w:val="auto"/>
          <w:sz w:val="32"/>
          <w:szCs w:val="32"/>
          <w:highlight w:val="none"/>
        </w:rPr>
      </w:pPr>
      <w:r>
        <w:rPr>
          <w:rFonts w:hint="eastAsia" w:ascii="仿宋_GB2312" w:hAnsi="宋体" w:eastAsia="仿宋_GB2312"/>
          <w:b/>
          <w:color w:val="auto"/>
          <w:sz w:val="32"/>
          <w:szCs w:val="32"/>
          <w:highlight w:val="none"/>
        </w:rPr>
        <w:t>投标文件格式</w:t>
      </w:r>
    </w:p>
    <w:p>
      <w:pPr>
        <w:snapToGrid w:val="0"/>
        <w:spacing w:before="156" w:beforeLines="50" w:after="50" w:line="360" w:lineRule="exact"/>
        <w:jc w:val="center"/>
        <w:outlineLvl w:val="0"/>
        <w:rPr>
          <w:rFonts w:hint="eastAsia" w:ascii="宋体" w:hAnsi="宋体"/>
          <w:b/>
          <w:bCs/>
          <w:color w:val="auto"/>
          <w:szCs w:val="21"/>
          <w:highlight w:val="none"/>
        </w:rPr>
      </w:pPr>
      <w:r>
        <w:rPr>
          <w:rFonts w:hint="eastAsia" w:ascii="宋体" w:hAnsi="宋体"/>
          <w:b/>
          <w:bCs/>
          <w:color w:val="auto"/>
          <w:szCs w:val="21"/>
          <w:highlight w:val="none"/>
        </w:rPr>
        <w:t>一、</w:t>
      </w:r>
      <w:r>
        <w:rPr>
          <w:rFonts w:hint="eastAsia" w:ascii="宋体" w:hAnsi="宋体"/>
          <w:b/>
          <w:color w:val="auto"/>
          <w:szCs w:val="21"/>
          <w:highlight w:val="none"/>
        </w:rPr>
        <w:t>投标文件封面</w:t>
      </w:r>
      <w:r>
        <w:rPr>
          <w:rFonts w:hint="eastAsia" w:ascii="宋体" w:hAnsi="宋体"/>
          <w:b/>
          <w:bCs/>
          <w:color w:val="auto"/>
          <w:szCs w:val="21"/>
          <w:highlight w:val="none"/>
        </w:rPr>
        <w:t>格式</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仿宋_GB2312" w:hAnsi="宋体" w:eastAsia="仿宋_GB2312"/>
          <w:color w:val="auto"/>
          <w:sz w:val="24"/>
          <w:highlight w:val="none"/>
        </w:rPr>
      </w:pPr>
    </w:p>
    <w:p>
      <w:pPr>
        <w:snapToGrid w:val="0"/>
        <w:spacing w:before="156" w:beforeLines="50" w:after="50" w:line="360" w:lineRule="exact"/>
        <w:rPr>
          <w:rFonts w:hint="eastAsia" w:ascii="仿宋_GB2312" w:hAnsi="宋体" w:eastAsia="仿宋_GB2312"/>
          <w:bCs/>
          <w:color w:val="auto"/>
          <w:sz w:val="24"/>
          <w:highlight w:val="none"/>
        </w:rPr>
      </w:pPr>
      <w:r>
        <w:rPr>
          <w:rFonts w:hint="eastAsia" w:ascii="仿宋_GB2312" w:hAnsi="宋体" w:eastAsia="仿宋_GB2312"/>
          <w:color w:val="auto"/>
          <w:sz w:val="24"/>
          <w:highlight w:val="none"/>
        </w:rPr>
        <w:t xml:space="preserve">                                                   </w:t>
      </w:r>
    </w:p>
    <w:p>
      <w:pPr>
        <w:snapToGrid w:val="0"/>
        <w:spacing w:before="156" w:beforeLines="50" w:after="50" w:line="36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投标文件</w:t>
      </w:r>
    </w:p>
    <w:p>
      <w:pPr>
        <w:snapToGrid w:val="0"/>
        <w:spacing w:before="156" w:beforeLines="50" w:after="50" w:line="360" w:lineRule="exact"/>
        <w:rPr>
          <w:rFonts w:hint="eastAsia" w:ascii="仿宋_GB2312" w:hAnsi="宋体" w:eastAsia="仿宋_GB2312"/>
          <w:bCs/>
          <w:color w:val="auto"/>
          <w:sz w:val="24"/>
          <w:highlight w:val="none"/>
        </w:rPr>
      </w:pP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项目编号：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所投分标：</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投标人名称：（盖章）</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投标人地址：</w:t>
      </w:r>
    </w:p>
    <w:p>
      <w:pPr>
        <w:snapToGrid w:val="0"/>
        <w:spacing w:before="156" w:beforeLines="50" w:after="50" w:line="360" w:lineRule="exact"/>
        <w:jc w:val="center"/>
        <w:outlineLvl w:val="1"/>
        <w:rPr>
          <w:rFonts w:hint="eastAsia" w:ascii="宋体" w:hAnsi="宋体"/>
          <w:color w:val="auto"/>
          <w:szCs w:val="21"/>
          <w:highlight w:val="none"/>
        </w:rPr>
      </w:pPr>
      <w:r>
        <w:rPr>
          <w:rFonts w:hint="eastAsia" w:ascii="仿宋_GB2312" w:hAnsi="宋体" w:eastAsia="仿宋_GB2312"/>
          <w:color w:val="auto"/>
          <w:sz w:val="24"/>
          <w:highlight w:val="none"/>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rPr>
      </w:pPr>
      <w:bookmarkStart w:id="8" w:name="_Toc254970557"/>
      <w:bookmarkStart w:id="9" w:name="_Toc254970698"/>
    </w:p>
    <w:p>
      <w:pPr>
        <w:snapToGrid w:val="0"/>
        <w:spacing w:before="156" w:beforeLines="50" w:after="50" w:line="360" w:lineRule="exact"/>
        <w:jc w:val="left"/>
        <w:outlineLvl w:val="1"/>
        <w:rPr>
          <w:rFonts w:hint="eastAsia" w:ascii="宋体" w:hAnsi="宋体"/>
          <w:bCs/>
          <w:color w:val="auto"/>
          <w:szCs w:val="21"/>
          <w:highlight w:val="none"/>
        </w:rPr>
      </w:pPr>
      <w:r>
        <w:rPr>
          <w:rFonts w:hint="eastAsia" w:ascii="宋体" w:hAnsi="宋体"/>
          <w:bCs/>
          <w:color w:val="auto"/>
          <w:szCs w:val="21"/>
          <w:highlight w:val="none"/>
        </w:rPr>
        <w:t>[注：</w:t>
      </w:r>
      <w:r>
        <w:rPr>
          <w:rFonts w:hint="eastAsia" w:ascii="宋体"/>
          <w:color w:val="auto"/>
          <w:szCs w:val="21"/>
          <w:highlight w:val="none"/>
        </w:rPr>
        <w:t>投标文件由资格文件、资信及商务文件、技术文件、投标报价文件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r>
        <w:rPr>
          <w:rFonts w:hint="eastAsia" w:ascii="宋体" w:cs="Arial"/>
          <w:b/>
          <w:color w:val="auto"/>
          <w:szCs w:val="21"/>
          <w:highlight w:val="none"/>
        </w:rPr>
        <w:t>，</w:t>
      </w:r>
      <w:r>
        <w:rPr>
          <w:rFonts w:hint="eastAsia" w:ascii="宋体" w:hAnsi="宋体"/>
          <w:bCs/>
          <w:color w:val="auto"/>
          <w:szCs w:val="21"/>
          <w:highlight w:val="none"/>
        </w:rPr>
        <w:t>其中资信及商务文件、技术文件、报价文件部分分别用封面标记分隔]</w:t>
      </w:r>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r>
        <w:rPr>
          <w:rFonts w:hint="eastAsia" w:ascii="黑体" w:hAnsi="宋体" w:eastAsia="黑体"/>
          <w:bCs/>
          <w:color w:val="auto"/>
          <w:sz w:val="32"/>
          <w:szCs w:val="32"/>
          <w:highlight w:val="none"/>
        </w:rPr>
        <w:t>二、投标文件目录</w:t>
      </w:r>
    </w:p>
    <w:p>
      <w:pPr>
        <w:snapToGrid w:val="0"/>
        <w:spacing w:before="156" w:beforeLines="50" w:after="50" w:line="360" w:lineRule="exact"/>
        <w:jc w:val="center"/>
        <w:outlineLvl w:val="1"/>
        <w:rPr>
          <w:rFonts w:hint="eastAsia" w:ascii="宋体" w:hAnsi="宋体"/>
          <w:bCs/>
          <w:color w:val="auto"/>
          <w:szCs w:val="21"/>
          <w:highlight w:val="none"/>
        </w:rPr>
      </w:pP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9"/>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u w:val="single"/>
        </w:rPr>
        <w:t>（2）投标声明书 (格式见第六章)（必须提供）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；（格式见第六章)；</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（4）投标截止之日前半年内投标人连续三个月的依法缴纳税费或依法免缴税费的证明（复印件，，格式自拟）（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无纳税记录的，应提供由投标人所在地主管国税或地税部门出具的《依法纳税或依法免税证明》（格式自拟，复印件，）。</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（8）税务登记证</w:t>
      </w:r>
      <w:r>
        <w:rPr>
          <w:rFonts w:hint="eastAsia" w:ascii="宋体" w:hAnsi="宋体"/>
          <w:b/>
          <w:color w:val="auto"/>
          <w:szCs w:val="21"/>
          <w:highlight w:val="none"/>
        </w:rPr>
        <w:t>扫描件</w:t>
      </w:r>
      <w:r>
        <w:rPr>
          <w:rFonts w:hint="eastAsia" w:hAnsi="宋体" w:cs="宋体"/>
          <w:color w:val="auto"/>
          <w:kern w:val="0"/>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line="360" w:lineRule="exact"/>
        <w:ind w:firstLine="413" w:firstLineChars="196"/>
        <w:jc w:val="left"/>
        <w:rPr>
          <w:rFonts w:hint="eastAsia" w:hAnsi="宋体"/>
          <w:b/>
          <w:color w:val="auto"/>
          <w:szCs w:val="21"/>
          <w:highlight w:val="none"/>
        </w:rPr>
      </w:pPr>
      <w:r>
        <w:rPr>
          <w:rFonts w:hint="eastAsia" w:hAnsi="宋体"/>
          <w:b/>
          <w:color w:val="auto"/>
          <w:szCs w:val="21"/>
          <w:highlight w:val="none"/>
        </w:rPr>
        <w:t>（11）商务响应表</w:t>
      </w:r>
      <w:r>
        <w:rPr>
          <w:rFonts w:hint="eastAsia" w:hAnsi="宋体"/>
          <w:color w:val="auto"/>
          <w:szCs w:val="21"/>
          <w:highlight w:val="none"/>
        </w:rPr>
        <w:t>（格式见第六章）</w:t>
      </w:r>
      <w:r>
        <w:rPr>
          <w:rFonts w:hint="eastAsia" w:hAnsi="宋体"/>
          <w:b/>
          <w:color w:val="auto"/>
          <w:szCs w:val="21"/>
          <w:highlight w:val="none"/>
        </w:rPr>
        <w:t>（</w:t>
      </w:r>
      <w:r>
        <w:rPr>
          <w:rFonts w:hint="eastAsia" w:hAnsi="宋体"/>
          <w:b/>
          <w:color w:val="auto"/>
          <w:szCs w:val="21"/>
          <w:highlight w:val="none"/>
          <w:u w:val="single"/>
        </w:rPr>
        <w:t>必须提供</w:t>
      </w:r>
      <w:r>
        <w:rPr>
          <w:rFonts w:hint="eastAsia" w:hAnsi="宋体"/>
          <w:b/>
          <w:color w:val="auto"/>
          <w:szCs w:val="21"/>
          <w:highlight w:val="none"/>
        </w:rPr>
        <w:t>）；</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highlight w:val="none"/>
        </w:rPr>
        <w:t>▲</w:t>
      </w:r>
      <w:r>
        <w:rPr>
          <w:rFonts w:hint="eastAsia" w:hAnsi="宋体"/>
          <w:color w:val="auto"/>
          <w:szCs w:val="21"/>
          <w:highlight w:val="none"/>
        </w:rPr>
        <w:t>（12）</w:t>
      </w:r>
      <w:r>
        <w:rPr>
          <w:rFonts w:hint="eastAsia" w:hAnsi="宋体"/>
          <w:b/>
          <w:color w:val="auto"/>
          <w:szCs w:val="21"/>
          <w:highlight w:val="none"/>
        </w:rPr>
        <w:t>招标项目采购需求中要求必须提供的材料等；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（13）具备法律、行政法规规定的其他条件的证明材料</w:t>
      </w:r>
      <w:r>
        <w:rPr>
          <w:rFonts w:hint="eastAsia" w:hAnsi="宋体"/>
          <w:b/>
          <w:color w:val="auto"/>
          <w:szCs w:val="21"/>
          <w:highlight w:val="none"/>
        </w:rPr>
        <w:t>(如有规定,则必须提供)。</w:t>
      </w:r>
    </w:p>
    <w:p>
      <w:pPr>
        <w:snapToGrid w:val="0"/>
        <w:spacing w:line="360" w:lineRule="exact"/>
        <w:ind w:firstLine="413" w:firstLineChars="196"/>
        <w:jc w:val="left"/>
        <w:rPr>
          <w:rFonts w:hint="eastAsia" w:hAnsi="宋体"/>
          <w:b/>
          <w:color w:val="auto"/>
          <w:szCs w:val="21"/>
          <w:highlight w:val="none"/>
        </w:rPr>
      </w:pPr>
      <w:r>
        <w:rPr>
          <w:rFonts w:hint="eastAsia"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rPr>
      </w:pPr>
      <w:r>
        <w:rPr>
          <w:rFonts w:hint="eastAsia" w:hAnsi="宋体"/>
          <w:color w:val="auto"/>
          <w:szCs w:val="21"/>
          <w:highlight w:val="none"/>
        </w:rPr>
        <w:t>（14）类似案例成功的业绩（投标人同类项目实施情况一览表、合同扫描件）；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rPr>
      </w:pPr>
      <w:r>
        <w:rPr>
          <w:rFonts w:hint="eastAsia" w:hAnsi="宋体"/>
          <w:b/>
          <w:color w:val="auto"/>
          <w:szCs w:val="21"/>
          <w:highlight w:val="none"/>
        </w:rPr>
        <w:t>（</w:t>
      </w:r>
      <w:r>
        <w:rPr>
          <w:rFonts w:hint="eastAsia" w:hAnsi="宋体"/>
          <w:color w:val="auto"/>
          <w:szCs w:val="21"/>
          <w:highlight w:val="none"/>
        </w:rPr>
        <w:t>15</w:t>
      </w:r>
      <w:r>
        <w:rPr>
          <w:rFonts w:hint="eastAsia" w:hAnsi="宋体"/>
          <w:b/>
          <w:color w:val="auto"/>
          <w:szCs w:val="21"/>
          <w:highlight w:val="none"/>
        </w:rPr>
        <w:t>）</w:t>
      </w:r>
      <w:r>
        <w:rPr>
          <w:rFonts w:hint="eastAsia" w:hAnsi="宋体"/>
          <w:color w:val="auto"/>
          <w:szCs w:val="21"/>
          <w:highlight w:val="none"/>
        </w:rPr>
        <w:t>其他特殊资质证书（如本地化服务能力等）；</w:t>
      </w:r>
    </w:p>
    <w:p>
      <w:pPr>
        <w:snapToGrid w:val="0"/>
        <w:spacing w:line="360" w:lineRule="exact"/>
        <w:ind w:firstLine="411" w:firstLineChars="196"/>
        <w:jc w:val="left"/>
        <w:rPr>
          <w:rFonts w:hint="eastAsia" w:hAnsi="宋体"/>
          <w:b/>
          <w:color w:val="auto"/>
          <w:szCs w:val="21"/>
          <w:highlight w:val="none"/>
        </w:rPr>
      </w:pPr>
      <w:r>
        <w:rPr>
          <w:rFonts w:hint="eastAsia" w:hAnsi="宋体"/>
          <w:color w:val="auto"/>
          <w:szCs w:val="21"/>
          <w:highlight w:val="none"/>
        </w:rPr>
        <w:t>（16）节能环保产品或政府强制采购节能产品清单证书</w:t>
      </w:r>
      <w:r>
        <w:rPr>
          <w:rFonts w:hint="eastAsia" w:hAnsi="宋体"/>
          <w:b/>
          <w:color w:val="auto"/>
          <w:szCs w:val="21"/>
          <w:highlight w:val="none"/>
        </w:rPr>
        <w:t>；</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21</w:t>
      </w:r>
      <w:r>
        <w:rPr>
          <w:rFonts w:hint="eastAsia" w:ascii="宋体" w:hAnsi="宋体"/>
          <w:color w:val="auto"/>
          <w:szCs w:val="21"/>
          <w:highlight w:val="none"/>
        </w:rPr>
        <w:t>）</w:t>
      </w:r>
      <w:r>
        <w:rPr>
          <w:rFonts w:ascii="宋体" w:hAnsi="宋体"/>
          <w:color w:val="auto"/>
          <w:highlight w:val="none"/>
        </w:rPr>
        <w:t>中小企业声明函</w:t>
      </w:r>
      <w:r>
        <w:rPr>
          <w:rFonts w:hint="eastAsia" w:ascii="宋体" w:hAnsi="宋体"/>
          <w:color w:val="auto"/>
          <w:szCs w:val="21"/>
          <w:highlight w:val="none"/>
        </w:rPr>
        <w:t>（按最新相关政策执行，格式见第六章，如有请提供）</w:t>
      </w:r>
      <w:r>
        <w:rPr>
          <w:rFonts w:hint="eastAsia" w:ascii="宋体" w:hAnsi="宋体"/>
          <w:color w:val="auto"/>
          <w:highlight w:val="none"/>
        </w:rPr>
        <w:t>。</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rPr>
      </w:pPr>
      <w:r>
        <w:rPr>
          <w:rFonts w:hint="eastAsia" w:ascii="宋体" w:hAnsi="宋体"/>
          <w:color w:val="auto"/>
          <w:szCs w:val="21"/>
          <w:highlight w:val="none"/>
        </w:rPr>
        <w:t>（4）开标一览表（格式见第六章）。</w:t>
      </w:r>
    </w:p>
    <w:p>
      <w:pPr>
        <w:pStyle w:val="45"/>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b/>
          <w:bCs/>
          <w:color w:val="auto"/>
          <w:szCs w:val="21"/>
          <w:highlight w:val="none"/>
        </w:rPr>
        <w:t>注：法定代表人授权委托书、投标声明书、投标函、开标一览表必须按</w:t>
      </w:r>
      <w:r>
        <w:rPr>
          <w:rFonts w:hint="eastAsia" w:ascii="宋体" w:hAnsi="宋体"/>
          <w:b/>
          <w:color w:val="auto"/>
          <w:szCs w:val="21"/>
          <w:highlight w:val="none"/>
        </w:rPr>
        <w:t>招标文件格式要求签署</w:t>
      </w:r>
      <w:r>
        <w:rPr>
          <w:rFonts w:hint="eastAsia" w:ascii="宋体" w:hAnsi="宋体"/>
          <w:b/>
          <w:bCs/>
          <w:color w:val="auto"/>
          <w:szCs w:val="21"/>
          <w:highlight w:val="none"/>
        </w:rPr>
        <w:t>并加盖单位公章。</w:t>
      </w:r>
    </w:p>
    <w:p>
      <w:pPr>
        <w:pStyle w:val="45"/>
        <w:spacing w:line="360" w:lineRule="exact"/>
        <w:ind w:firstLine="420" w:firstLineChars="200"/>
        <w:rPr>
          <w:rFonts w:hint="eastAsia" w:ascii="宋体" w:hAnsi="宋体"/>
          <w:color w:val="auto"/>
          <w:szCs w:val="21"/>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三、投标文件格式</w:t>
      </w: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bCs/>
          <w:color w:val="auto"/>
          <w:szCs w:val="21"/>
          <w:highlight w:val="none"/>
        </w:rPr>
      </w:pPr>
      <w:r>
        <w:rPr>
          <w:rFonts w:hint="eastAsia" w:ascii="宋体" w:hAnsi="宋体"/>
          <w:b/>
          <w:color w:val="auto"/>
          <w:szCs w:val="21"/>
          <w:highlight w:val="none"/>
        </w:rPr>
        <w:t xml:space="preserve">  一）</w:t>
      </w:r>
      <w:r>
        <w:rPr>
          <w:rFonts w:hint="eastAsia" w:ascii="宋体" w:hAnsi="宋体"/>
          <w:b/>
          <w:bCs/>
          <w:color w:val="auto"/>
          <w:szCs w:val="21"/>
          <w:highlight w:val="none"/>
        </w:rPr>
        <w:t>资格文件部分（格式）</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有效的营业执照等证明文件复印件；</w:t>
      </w:r>
    </w:p>
    <w:p>
      <w:pPr>
        <w:pStyle w:val="29"/>
        <w:adjustRightInd w:val="0"/>
        <w:snapToGrid w:val="0"/>
        <w:spacing w:line="400" w:lineRule="exact"/>
        <w:ind w:firstLine="424" w:firstLineChars="202"/>
        <w:rPr>
          <w:rFonts w:hint="eastAsia"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pPr>
        <w:snapToGrid w:val="0"/>
        <w:spacing w:line="360" w:lineRule="exact"/>
        <w:ind w:firstLine="424" w:firstLineChars="202"/>
        <w:jc w:val="left"/>
        <w:rPr>
          <w:rFonts w:hint="eastAsia"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hint="eastAsia" w:ascii="宋体" w:hAnsi="宋体" w:cs="宋体"/>
          <w:b/>
          <w:color w:val="auto"/>
          <w:kern w:val="0"/>
          <w:sz w:val="28"/>
          <w:szCs w:val="28"/>
          <w:highlight w:val="none"/>
        </w:rPr>
      </w:pPr>
      <w:r>
        <w:rPr>
          <w:rFonts w:hint="eastAsia" w:ascii="宋体" w:hAnsi="宋体"/>
          <w:b/>
          <w:color w:val="auto"/>
          <w:szCs w:val="21"/>
          <w:highlight w:val="none"/>
        </w:rPr>
        <w:t xml:space="preserve"> </w:t>
      </w:r>
    </w:p>
    <w:p>
      <w:pPr>
        <w:snapToGrid w:val="0"/>
        <w:spacing w:line="360" w:lineRule="exact"/>
        <w:jc w:val="center"/>
        <w:rPr>
          <w:rFonts w:hint="eastAsia" w:ascii="宋体" w:hAnsi="宋体" w:cs="宋体"/>
          <w:b/>
          <w:color w:val="auto"/>
          <w:kern w:val="0"/>
          <w:sz w:val="28"/>
          <w:szCs w:val="28"/>
          <w:highlight w:val="none"/>
        </w:rPr>
      </w:pPr>
    </w:p>
    <w:p>
      <w:pPr>
        <w:snapToGrid w:val="0"/>
        <w:spacing w:line="360" w:lineRule="exact"/>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（格式自拟，必须提供）</w:t>
      </w: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line="360" w:lineRule="exact"/>
        <w:ind w:firstLine="413" w:firstLineChars="196"/>
        <w:jc w:val="center"/>
        <w:rPr>
          <w:rFonts w:hint="eastAsia" w:ascii="宋体" w:hAnsi="宋体"/>
          <w:b/>
          <w:color w:val="auto"/>
          <w:szCs w:val="21"/>
          <w:highlight w:val="none"/>
        </w:rPr>
      </w:pPr>
    </w:p>
    <w:p>
      <w:pPr>
        <w:snapToGrid w:val="0"/>
        <w:spacing w:before="156" w:beforeLines="50" w:line="340" w:lineRule="exact"/>
        <w:ind w:firstLine="3509" w:firstLineChars="1671"/>
        <w:rPr>
          <w:rFonts w:ascii="宋体" w:hAnsi="宋体"/>
          <w:color w:val="auto"/>
          <w:szCs w:val="21"/>
          <w:highlight w:val="none"/>
        </w:rPr>
      </w:pPr>
      <w:r>
        <w:rPr>
          <w:rFonts w:hint="eastAsia" w:ascii="宋体" w:hAnsi="宋体"/>
          <w:color w:val="auto"/>
          <w:szCs w:val="21"/>
          <w:highlight w:val="none"/>
        </w:rPr>
        <w:t>法定代表人（或机构负责人）或委托代理人</w:t>
      </w:r>
      <w:r>
        <w:rPr>
          <w:rFonts w:hint="eastAsia" w:ascii="宋体" w:hAnsi="宋体"/>
          <w:color w:val="auto"/>
          <w:sz w:val="24"/>
          <w:highlight w:val="none"/>
        </w:rPr>
        <w:t>签名（或签章）</w:t>
      </w:r>
      <w:r>
        <w:rPr>
          <w:rFonts w:hint="eastAsia" w:ascii="宋体" w:hAnsi="宋体"/>
          <w:color w:val="auto"/>
          <w:szCs w:val="21"/>
          <w:highlight w:val="none"/>
        </w:rPr>
        <w:t xml:space="preserve">：             </w:t>
      </w:r>
    </w:p>
    <w:p>
      <w:pPr>
        <w:snapToGrid w:val="0"/>
        <w:spacing w:before="156" w:beforeLines="50" w:after="50" w:line="340" w:lineRule="exact"/>
        <w:ind w:firstLine="3570" w:firstLineChars="1700"/>
        <w:rPr>
          <w:rFonts w:ascii="宋体" w:hAnsi="宋体"/>
          <w:color w:val="auto"/>
          <w:szCs w:val="21"/>
          <w:highlight w:val="none"/>
        </w:rPr>
      </w:pPr>
      <w:r>
        <w:rPr>
          <w:rFonts w:hint="eastAsia" w:ascii="宋体" w:hAnsi="宋体"/>
          <w:color w:val="auto"/>
          <w:szCs w:val="21"/>
          <w:highlight w:val="none"/>
        </w:rPr>
        <w:t xml:space="preserve">投标人公章：                                    </w:t>
      </w:r>
    </w:p>
    <w:p>
      <w:pPr>
        <w:pStyle w:val="29"/>
        <w:tabs>
          <w:tab w:val="left" w:pos="5580"/>
        </w:tabs>
        <w:spacing w:line="360" w:lineRule="auto"/>
        <w:ind w:left="1080" w:leftChars="257" w:hanging="540"/>
        <w:rPr>
          <w:rFonts w:hint="eastAsia" w:ascii="仿宋_GB2312" w:hAnsi="宋体" w:eastAsia="仿宋_GB2312"/>
          <w:b/>
          <w:color w:val="auto"/>
          <w:sz w:val="24"/>
          <w:highlight w:val="none"/>
        </w:rPr>
      </w:pPr>
      <w:r>
        <w:rPr>
          <w:rFonts w:hint="eastAsia" w:hAnsi="宋体"/>
          <w:color w:val="auto"/>
          <w:highlight w:val="none"/>
        </w:rPr>
        <w:t xml:space="preserve">                                          年    月    日</w:t>
      </w:r>
    </w:p>
    <w:p>
      <w:pPr>
        <w:snapToGrid w:val="0"/>
        <w:spacing w:line="360" w:lineRule="exact"/>
        <w:ind w:firstLine="664" w:firstLineChars="368"/>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说明:1.投标人应按照相关法规规定如实做出书面声明。</w:t>
      </w:r>
    </w:p>
    <w:p>
      <w:pPr>
        <w:snapToGrid w:val="0"/>
        <w:spacing w:line="360" w:lineRule="exact"/>
        <w:ind w:firstLine="1152" w:firstLineChars="638"/>
        <w:jc w:val="left"/>
        <w:rPr>
          <w:rFonts w:hint="eastAsia" w:ascii="宋体" w:hAnsi="宋体" w:cs="宋体"/>
          <w:b/>
          <w:color w:val="auto"/>
          <w:kern w:val="0"/>
          <w:sz w:val="18"/>
          <w:szCs w:val="18"/>
          <w:highlight w:val="none"/>
        </w:rPr>
      </w:pPr>
      <w:r>
        <w:rPr>
          <w:rFonts w:hint="eastAsia" w:ascii="宋体" w:hAnsi="宋体" w:cs="宋体"/>
          <w:b/>
          <w:color w:val="auto"/>
          <w:kern w:val="0"/>
          <w:sz w:val="18"/>
          <w:szCs w:val="18"/>
          <w:highlight w:val="none"/>
        </w:rPr>
        <w:t>2．按照采购文件的规定盖章（自然人投标的无需盖章，需要</w:t>
      </w:r>
      <w:r>
        <w:rPr>
          <w:rFonts w:hint="default" w:ascii="宋体" w:hAnsi="宋体" w:cs="宋体"/>
          <w:b/>
          <w:color w:val="auto"/>
          <w:kern w:val="0"/>
          <w:sz w:val="18"/>
          <w:szCs w:val="18"/>
          <w:highlight w:val="none"/>
          <w:lang w:val="en"/>
        </w:rPr>
        <w:t>签字或签章</w:t>
      </w:r>
      <w:r>
        <w:rPr>
          <w:rFonts w:hint="eastAsia" w:ascii="宋体" w:hAnsi="宋体" w:cs="宋体"/>
          <w:b/>
          <w:color w:val="auto"/>
          <w:kern w:val="0"/>
          <w:sz w:val="18"/>
          <w:szCs w:val="18"/>
          <w:highlight w:val="none"/>
        </w:rPr>
        <w:t>）。</w:t>
      </w:r>
    </w:p>
    <w:bookmarkEnd w:id="8"/>
    <w:bookmarkEnd w:id="9"/>
    <w:p>
      <w:pPr>
        <w:snapToGrid w:val="0"/>
        <w:spacing w:before="50" w:after="156" w:afterLines="50" w:line="360" w:lineRule="exact"/>
        <w:jc w:val="left"/>
        <w:outlineLvl w:val="0"/>
        <w:rPr>
          <w:rFonts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r>
        <w:rPr>
          <w:rFonts w:hint="eastAsia" w:ascii="宋体" w:hAnsi="宋体"/>
          <w:b/>
          <w:color w:val="auto"/>
          <w:szCs w:val="21"/>
          <w:highlight w:val="none"/>
        </w:rPr>
        <w:t>二）</w:t>
      </w:r>
      <w:r>
        <w:rPr>
          <w:rFonts w:hint="eastAsia" w:ascii="宋体" w:hAnsi="宋体"/>
          <w:b/>
          <w:bCs/>
          <w:color w:val="auto"/>
          <w:szCs w:val="21"/>
          <w:highlight w:val="none"/>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rPr>
      </w:pP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color w:val="auto"/>
          <w:szCs w:val="21"/>
          <w:highlight w:val="none"/>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投标声明书</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致：_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______</w:t>
      </w:r>
      <w:r>
        <w:rPr>
          <w:rFonts w:hint="eastAsia" w:ascii="宋体" w:hAnsi="宋体"/>
          <w:color w:val="auto"/>
          <w:szCs w:val="21"/>
          <w:highlight w:val="none"/>
          <w:u w:val="single"/>
        </w:rPr>
        <w:t>_     _</w:t>
      </w:r>
      <w:r>
        <w:rPr>
          <w:rFonts w:hint="eastAsia" w:ascii="宋体" w:hAnsi="宋体"/>
          <w:color w:val="auto"/>
          <w:szCs w:val="21"/>
          <w:highlight w:val="none"/>
        </w:rPr>
        <w:t>_（投标人名称）系中华人民共和国合法企业，经营地址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napToGrid w:val="0"/>
        <w:spacing w:before="156" w:beforeLines="50" w:after="50" w:line="340" w:lineRule="exact"/>
        <w:ind w:firstLine="645"/>
        <w:rPr>
          <w:rFonts w:hint="eastAsia" w:ascii="宋体" w:hAnsi="宋体"/>
          <w:color w:val="auto"/>
          <w:szCs w:val="21"/>
          <w:highlight w:val="none"/>
        </w:rPr>
      </w:pPr>
      <w:r>
        <w:rPr>
          <w:rFonts w:hint="eastAsia" w:ascii="宋体" w:hAnsi="宋体"/>
          <w:color w:val="auto"/>
          <w:szCs w:val="21"/>
          <w:highlight w:val="none"/>
        </w:rPr>
        <w:t>我___</w:t>
      </w:r>
      <w:r>
        <w:rPr>
          <w:rFonts w:hint="eastAsia" w:ascii="宋体" w:hAnsi="宋体"/>
          <w:color w:val="auto"/>
          <w:szCs w:val="21"/>
          <w:highlight w:val="none"/>
          <w:u w:val="single"/>
        </w:rPr>
        <w:t xml:space="preserve">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_（投标人名称）的法定代表人，我方愿意参加贵方组织的_____</w:t>
      </w:r>
      <w:r>
        <w:rPr>
          <w:rFonts w:hint="eastAsia" w:ascii="宋体" w:hAnsi="宋体"/>
          <w:color w:val="auto"/>
          <w:szCs w:val="21"/>
          <w:highlight w:val="none"/>
          <w:u w:val="single"/>
        </w:rPr>
        <w:t>_              _     _</w:t>
      </w:r>
      <w:r>
        <w:rPr>
          <w:rFonts w:hint="eastAsia" w:ascii="宋体" w:hAnsi="宋体"/>
          <w:color w:val="auto"/>
          <w:szCs w:val="21"/>
          <w:highlight w:val="none"/>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3.我方此次向贵方提供的产品名称为：</w:t>
      </w:r>
      <w:r>
        <w:rPr>
          <w:rFonts w:hint="eastAsia" w:ascii="宋体" w:hAnsi="宋体"/>
          <w:color w:val="auto"/>
          <w:szCs w:val="21"/>
          <w:highlight w:val="none"/>
          <w:u w:val="single"/>
        </w:rPr>
        <w:t xml:space="preserve">                 </w:t>
      </w:r>
      <w:r>
        <w:rPr>
          <w:rFonts w:hint="eastAsia" w:ascii="宋体" w:hAnsi="宋体"/>
          <w:color w:val="auto"/>
          <w:szCs w:val="21"/>
          <w:highlight w:val="none"/>
        </w:rPr>
        <w:t>；规格型号：</w:t>
      </w:r>
      <w:r>
        <w:rPr>
          <w:rFonts w:hint="eastAsia" w:ascii="宋体" w:hAnsi="宋体"/>
          <w:color w:val="auto"/>
          <w:szCs w:val="21"/>
          <w:highlight w:val="none"/>
          <w:u w:val="single"/>
        </w:rPr>
        <w:t xml:space="preserve">                     </w:t>
      </w:r>
      <w:r>
        <w:rPr>
          <w:rFonts w:hint="eastAsia" w:ascii="宋体" w:hAnsi="宋体"/>
          <w:color w:val="auto"/>
          <w:szCs w:val="21"/>
          <w:highlight w:val="none"/>
        </w:rPr>
        <w:t>；该型号产品我方有现货可供，并已于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月生产完工或向　</w:t>
      </w:r>
      <w:r>
        <w:rPr>
          <w:rFonts w:hint="eastAsia" w:ascii="宋体" w:hAnsi="宋体"/>
          <w:color w:val="auto"/>
          <w:szCs w:val="21"/>
          <w:highlight w:val="none"/>
          <w:u w:val="single"/>
        </w:rPr>
        <w:t xml:space="preserve">　              </w:t>
      </w:r>
      <w:r>
        <w:rPr>
          <w:rFonts w:hint="eastAsia" w:ascii="宋体" w:hAnsi="宋体"/>
          <w:color w:val="auto"/>
          <w:szCs w:val="21"/>
          <w:highlight w:val="none"/>
        </w:rPr>
        <w:t>（原厂商名称）购进［</w:t>
      </w:r>
      <w:r>
        <w:rPr>
          <w:rFonts w:hint="eastAsia" w:ascii="宋体" w:hAnsi="宋体"/>
          <w:b/>
          <w:bCs/>
          <w:color w:val="auto"/>
          <w:szCs w:val="21"/>
          <w:highlight w:val="none"/>
        </w:rPr>
        <w:t>或</w:t>
      </w:r>
      <w:r>
        <w:rPr>
          <w:rFonts w:hint="eastAsia" w:ascii="宋体" w:hAnsi="宋体"/>
          <w:color w:val="auto"/>
          <w:szCs w:val="21"/>
          <w:highlight w:val="none"/>
        </w:rPr>
        <w:t>需在中标后向</w:t>
      </w:r>
      <w:r>
        <w:rPr>
          <w:rFonts w:hint="eastAsia" w:ascii="宋体" w:hAnsi="宋体"/>
          <w:color w:val="auto"/>
          <w:szCs w:val="21"/>
          <w:highlight w:val="none"/>
          <w:u w:val="single"/>
        </w:rPr>
        <w:t xml:space="preserve">               </w:t>
      </w:r>
      <w:r>
        <w:rPr>
          <w:rFonts w:hint="eastAsia" w:ascii="宋体" w:hAnsi="宋体"/>
          <w:color w:val="auto"/>
          <w:szCs w:val="21"/>
          <w:highlight w:val="none"/>
        </w:rPr>
        <w:t>订购］。</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　　　　　　　　　　　　　　　　　　　　　　　　　　　</w:t>
      </w:r>
    </w:p>
    <w:p>
      <w:pPr>
        <w:rPr>
          <w:rFonts w:hint="eastAsia" w:ascii="宋体" w:hAnsi="宋体"/>
          <w:color w:val="auto"/>
          <w:szCs w:val="21"/>
          <w:highlight w:val="none"/>
        </w:rPr>
      </w:pPr>
      <w:r>
        <w:rPr>
          <w:rFonts w:hint="eastAsia" w:ascii="宋体" w:hAnsi="宋体"/>
          <w:color w:val="auto"/>
          <w:szCs w:val="21"/>
          <w:highlight w:val="none"/>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rPr>
      </w:pPr>
      <w:r>
        <w:rPr>
          <w:rFonts w:hint="eastAsia" w:ascii="宋体" w:hAnsi="宋体"/>
          <w:b/>
          <w:color w:val="auto"/>
          <w:szCs w:val="21"/>
          <w:highlight w:val="none"/>
          <w:u w:val="single"/>
        </w:rPr>
        <w:t>　　　　　　</w:t>
      </w: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snapToGrid w:val="0"/>
        <w:spacing w:before="156" w:beforeLines="50" w:after="50" w:line="34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年    月    日</w:t>
      </w:r>
    </w:p>
    <w:p>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rPr>
      </w:pPr>
      <w:r>
        <w:rPr>
          <w:rFonts w:hint="eastAsia" w:ascii="宋体" w:hAnsi="宋体"/>
          <w:b/>
          <w:color w:val="auto"/>
          <w:szCs w:val="21"/>
          <w:highlight w:val="none"/>
          <w:u w:val="single"/>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r>
        <w:rPr>
          <w:rFonts w:hint="eastAsia" w:ascii="宋体" w:hAnsi="宋体"/>
          <w:b/>
          <w:color w:val="auto"/>
          <w:szCs w:val="21"/>
          <w:highlight w:val="none"/>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法定代表人授权委托书</w:t>
      </w:r>
    </w:p>
    <w:p>
      <w:pPr>
        <w:snapToGrid w:val="0"/>
        <w:spacing w:before="156" w:beforeLines="50" w:after="50" w:line="480" w:lineRule="auto"/>
        <w:rPr>
          <w:rFonts w:hint="eastAsia"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rPr>
        <w:t>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480" w:lineRule="auto"/>
        <w:ind w:firstLine="630" w:firstLineChars="300"/>
        <w:rPr>
          <w:rFonts w:hint="eastAsia" w:ascii="宋体" w:hAnsi="宋体"/>
          <w:color w:val="auto"/>
          <w:szCs w:val="21"/>
          <w:highlight w:val="none"/>
        </w:rPr>
      </w:pPr>
      <w:r>
        <w:rPr>
          <w:rFonts w:hint="eastAsia" w:ascii="宋体" w:hAnsi="宋体"/>
          <w:color w:val="auto"/>
          <w:szCs w:val="21"/>
          <w:highlight w:val="none"/>
        </w:rPr>
        <w:t>我______</w:t>
      </w:r>
      <w:r>
        <w:rPr>
          <w:rFonts w:hint="eastAsia" w:ascii="宋体" w:hAnsi="宋体"/>
          <w:color w:val="auto"/>
          <w:szCs w:val="21"/>
          <w:highlight w:val="none"/>
          <w:u w:val="single"/>
        </w:rPr>
        <w:t>_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 xml:space="preserve">_（投标人名称）的法定代表人，现授权委托本单位在职职工 </w:t>
      </w:r>
      <w:r>
        <w:rPr>
          <w:rFonts w:hint="eastAsia" w:ascii="宋体" w:hAnsi="宋体"/>
          <w:color w:val="auto"/>
          <w:szCs w:val="21"/>
          <w:highlight w:val="none"/>
          <w:u w:val="single"/>
        </w:rPr>
        <w:t xml:space="preserve">              </w:t>
      </w:r>
      <w:r>
        <w:rPr>
          <w:rFonts w:hint="eastAsia" w:ascii="宋体" w:hAnsi="宋体"/>
          <w:color w:val="auto"/>
          <w:szCs w:val="21"/>
          <w:highlight w:val="none"/>
        </w:rPr>
        <w:t>（姓名）以我方的名义参加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 xml:space="preserve">    我方对被授权人的签名事项负全部责任。</w:t>
      </w:r>
    </w:p>
    <w:p>
      <w:pPr>
        <w:snapToGrid w:val="0"/>
        <w:spacing w:before="156" w:beforeLines="50" w:after="50" w:line="480" w:lineRule="auto"/>
        <w:ind w:firstLine="48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line="480" w:lineRule="auto"/>
        <w:ind w:firstLine="48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480" w:lineRule="auto"/>
        <w:rPr>
          <w:rFonts w:hint="eastAsia" w:ascii="宋体" w:hAnsi="宋体"/>
          <w:color w:val="auto"/>
          <w:szCs w:val="21"/>
          <w:highlight w:val="none"/>
          <w:u w:val="single"/>
        </w:rPr>
      </w:pPr>
      <w:r>
        <w:rPr>
          <w:rFonts w:hint="eastAsia" w:ascii="宋体" w:hAnsi="宋体"/>
          <w:color w:val="auto"/>
          <w:szCs w:val="21"/>
          <w:highlight w:val="none"/>
        </w:rPr>
        <w:t>被授权人签名：</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法定代表人签字（或签章）：</w:t>
      </w:r>
      <w:r>
        <w:rPr>
          <w:rFonts w:hint="eastAsia" w:ascii="宋体" w:hAnsi="宋体"/>
          <w:color w:val="auto"/>
          <w:szCs w:val="21"/>
          <w:highlight w:val="none"/>
          <w:u w:val="singl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480" w:lineRule="auto"/>
        <w:rPr>
          <w:rFonts w:hint="eastAsia" w:ascii="宋体" w:hAnsi="宋体"/>
          <w:color w:val="auto"/>
          <w:szCs w:val="21"/>
          <w:highlight w:val="none"/>
        </w:rPr>
      </w:pPr>
      <w:r>
        <w:rPr>
          <w:rFonts w:hint="eastAsia" w:ascii="宋体" w:hAnsi="宋体"/>
          <w:color w:val="auto"/>
          <w:szCs w:val="21"/>
          <w:highlight w:val="none"/>
        </w:rPr>
        <w:t>贴附“委托代理人身份证复印件”（正反两面）</w:t>
      </w: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rPr>
          <w:rFonts w:hint="eastAsia" w:ascii="宋体" w:hAnsi="宋体"/>
          <w:color w:val="auto"/>
          <w:szCs w:val="21"/>
          <w:highlight w:val="none"/>
        </w:rPr>
      </w:pPr>
    </w:p>
    <w:p>
      <w:pPr>
        <w:snapToGrid w:val="0"/>
        <w:spacing w:before="156" w:beforeLines="50" w:after="50" w:line="480" w:lineRule="auto"/>
        <w:ind w:firstLine="4620" w:firstLineChars="2200"/>
        <w:rPr>
          <w:rFonts w:hint="eastAsia" w:ascii="宋体" w:hAnsi="宋体"/>
          <w:color w:val="auto"/>
          <w:szCs w:val="21"/>
          <w:highlight w:val="none"/>
        </w:rPr>
      </w:pPr>
      <w:r>
        <w:rPr>
          <w:rFonts w:hint="eastAsia" w:ascii="宋体" w:hAnsi="宋体"/>
          <w:color w:val="auto"/>
          <w:szCs w:val="21"/>
          <w:highlight w:val="none"/>
        </w:rPr>
        <w:t xml:space="preserve">  投标人公章：</w:t>
      </w:r>
    </w:p>
    <w:p>
      <w:pPr>
        <w:snapToGrid w:val="0"/>
        <w:spacing w:before="156" w:beforeLines="50" w:after="50" w:line="480" w:lineRule="auto"/>
        <w:jc w:val="center"/>
        <w:rPr>
          <w:rFonts w:hint="eastAsia" w:ascii="宋体" w:hAnsi="宋体"/>
          <w:color w:val="auto"/>
          <w:szCs w:val="21"/>
          <w:highlight w:val="none"/>
        </w:rPr>
      </w:pPr>
      <w:r>
        <w:rPr>
          <w:rFonts w:hint="eastAsia" w:ascii="宋体" w:hAnsi="宋体"/>
          <w:color w:val="auto"/>
          <w:szCs w:val="21"/>
          <w:highlight w:val="none"/>
        </w:rPr>
        <w:t xml:space="preserve">                                        年    月    日</w:t>
      </w:r>
    </w:p>
    <w:p>
      <w:pPr>
        <w:snapToGrid w:val="0"/>
        <w:spacing w:before="312" w:beforeLines="100" w:after="312" w:afterLines="100"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w:t>
      </w:r>
      <w:r>
        <w:rPr>
          <w:rFonts w:hint="eastAsia" w:ascii="宋体" w:hAnsi="宋体"/>
          <w:b/>
          <w:color w:val="auto"/>
          <w:szCs w:val="21"/>
          <w:highlight w:val="none"/>
        </w:rPr>
        <w:t>扫描件或其他电子文件</w:t>
      </w:r>
      <w:r>
        <w:rPr>
          <w:rFonts w:hint="eastAsia" w:ascii="宋体" w:hAnsi="宋体"/>
          <w:color w:val="auto"/>
          <w:szCs w:val="21"/>
          <w:highlight w:val="none"/>
        </w:rPr>
        <w:t>）。</w:t>
      </w:r>
    </w:p>
    <w:p>
      <w:pPr>
        <w:snapToGrid w:val="0"/>
        <w:spacing w:before="312" w:beforeLines="100" w:after="312" w:afterLines="100" w:line="360" w:lineRule="exact"/>
        <w:ind w:firstLine="421" w:firstLineChars="200"/>
        <w:jc w:val="left"/>
        <w:rPr>
          <w:rFonts w:hint="eastAsia" w:hAnsi="宋体"/>
          <w:b/>
          <w:color w:val="auto"/>
          <w:szCs w:val="21"/>
          <w:highlight w:val="none"/>
        </w:rPr>
      </w:pPr>
      <w:r>
        <w:rPr>
          <w:rFonts w:hint="eastAsia" w:hAnsi="宋体"/>
          <w:b/>
          <w:color w:val="auto"/>
          <w:szCs w:val="21"/>
          <w:highlight w:val="none"/>
        </w:rPr>
        <w:t>（6）财务状况报告（</w:t>
      </w:r>
      <w:r>
        <w:rPr>
          <w:rFonts w:hint="eastAsia" w:hAnsi="宋体"/>
          <w:b/>
          <w:color w:val="auto"/>
          <w:szCs w:val="21"/>
          <w:highlight w:val="none"/>
          <w:u w:val="single"/>
        </w:rPr>
        <w:t>格式自拟，必须提供</w:t>
      </w:r>
      <w:r>
        <w:rPr>
          <w:rFonts w:hint="eastAsia" w:hAnsi="宋体"/>
          <w:b/>
          <w:color w:val="auto"/>
          <w:szCs w:val="21"/>
          <w:highlight w:val="none"/>
        </w:rPr>
        <w:t>）；</w:t>
      </w:r>
    </w:p>
    <w:p>
      <w:pPr>
        <w:snapToGrid w:val="0"/>
        <w:spacing w:before="312" w:beforeLines="100" w:after="312" w:afterLines="100" w:line="360" w:lineRule="exact"/>
        <w:ind w:firstLine="413" w:firstLineChars="196"/>
        <w:jc w:val="left"/>
        <w:rPr>
          <w:rFonts w:hint="eastAsia" w:hAnsi="宋体"/>
          <w:color w:val="auto"/>
          <w:szCs w:val="21"/>
          <w:highlight w:val="none"/>
        </w:rPr>
      </w:pPr>
      <w:r>
        <w:rPr>
          <w:rFonts w:hint="eastAsia" w:hAnsi="宋体" w:cs="宋体"/>
          <w:b/>
          <w:color w:val="auto"/>
          <w:kern w:val="0"/>
          <w:szCs w:val="21"/>
          <w:highlight w:val="none"/>
        </w:rPr>
        <w:t>（7）</w:t>
      </w:r>
      <w:r>
        <w:rPr>
          <w:rFonts w:hint="eastAsia" w:hAnsi="宋体"/>
          <w:b/>
          <w:color w:val="auto"/>
          <w:szCs w:val="21"/>
          <w:highlight w:val="none"/>
        </w:rPr>
        <w:t>具备履行合同所必需的设备和专业技术能力的证明材料（</w:t>
      </w:r>
      <w:r>
        <w:rPr>
          <w:rFonts w:hint="eastAsia" w:hAnsi="宋体"/>
          <w:b/>
          <w:color w:val="auto"/>
          <w:szCs w:val="21"/>
          <w:highlight w:val="none"/>
          <w:u w:val="single"/>
        </w:rPr>
        <w:t>内容、格式自拟，必须提供</w:t>
      </w:r>
      <w:r>
        <w:rPr>
          <w:rFonts w:hint="eastAsia" w:hAnsi="宋体"/>
          <w:b/>
          <w:color w:val="auto"/>
          <w:szCs w:val="21"/>
          <w:highlight w:val="none"/>
        </w:rPr>
        <w:t>）</w:t>
      </w:r>
      <w:r>
        <w:rPr>
          <w:rFonts w:hint="eastAsia" w:hAnsi="宋体" w:cs="宋体"/>
          <w:b/>
          <w:color w:val="auto"/>
          <w:kern w:val="0"/>
          <w:szCs w:val="21"/>
          <w:highlight w:val="none"/>
        </w:rPr>
        <w:t>；</w:t>
      </w:r>
    </w:p>
    <w:p>
      <w:pPr>
        <w:snapToGrid w:val="0"/>
        <w:spacing w:before="312" w:beforeLines="100" w:after="312" w:afterLines="100" w:line="360" w:lineRule="exact"/>
        <w:ind w:firstLine="411" w:firstLineChars="196"/>
        <w:jc w:val="left"/>
        <w:rPr>
          <w:rFonts w:hint="eastAsia" w:hAnsi="宋体" w:cs="宋体"/>
          <w:color w:val="auto"/>
          <w:kern w:val="0"/>
          <w:szCs w:val="21"/>
          <w:highlight w:val="none"/>
        </w:rPr>
      </w:pPr>
      <w:r>
        <w:rPr>
          <w:rFonts w:hint="eastAsia" w:hAnsi="宋体" w:cs="宋体"/>
          <w:color w:val="auto"/>
          <w:kern w:val="0"/>
          <w:szCs w:val="21"/>
          <w:highlight w:val="none"/>
        </w:rPr>
        <w:t>（8）税务登记证</w:t>
      </w:r>
      <w:r>
        <w:rPr>
          <w:rFonts w:hint="eastAsia" w:ascii="宋体" w:hAnsi="宋体"/>
          <w:b/>
          <w:color w:val="auto"/>
          <w:szCs w:val="21"/>
          <w:highlight w:val="none"/>
        </w:rPr>
        <w:t>扫描件</w:t>
      </w:r>
      <w:r>
        <w:rPr>
          <w:rFonts w:hint="eastAsia" w:hAnsi="宋体" w:cs="宋体"/>
          <w:color w:val="auto"/>
          <w:kern w:val="0"/>
          <w:szCs w:val="21"/>
          <w:highlight w:val="none"/>
        </w:rPr>
        <w:t>；</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9</w:t>
      </w:r>
      <w:r>
        <w:rPr>
          <w:rFonts w:hint="eastAsia" w:ascii="宋体" w:hAnsi="宋体"/>
          <w:color w:val="auto"/>
          <w:szCs w:val="21"/>
          <w:highlight w:val="none"/>
        </w:rPr>
        <w:t>）产品销售许可证；</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（10）安全生产许可证扫描件、产品代理资格证明文件扫描件；</w:t>
      </w:r>
    </w:p>
    <w:p>
      <w:pPr>
        <w:snapToGrid w:val="0"/>
        <w:spacing w:before="50" w:line="360" w:lineRule="exact"/>
        <w:jc w:val="left"/>
        <w:rPr>
          <w:rFonts w:hint="eastAsia" w:ascii="宋体" w:hAnsi="宋体"/>
          <w:b/>
          <w:color w:val="auto"/>
          <w:szCs w:val="21"/>
          <w:highlight w:val="none"/>
        </w:rPr>
      </w:pPr>
      <w:r>
        <w:rPr>
          <w:rFonts w:hint="eastAsia" w:ascii="宋体" w:hAnsi="宋体"/>
          <w:b/>
          <w:color w:val="auto"/>
          <w:szCs w:val="21"/>
          <w:highlight w:val="none"/>
        </w:rPr>
        <w:t>（11）商务响应表格式：</w:t>
      </w:r>
    </w:p>
    <w:p>
      <w:pPr>
        <w:snapToGrid w:val="0"/>
        <w:spacing w:before="50" w:line="360" w:lineRule="exact"/>
        <w:jc w:val="center"/>
        <w:rPr>
          <w:rFonts w:hint="eastAsia" w:ascii="宋体" w:hAnsi="宋体"/>
          <w:color w:val="auto"/>
          <w:szCs w:val="21"/>
          <w:highlight w:val="none"/>
          <w:u w:val="single"/>
        </w:rPr>
      </w:pPr>
      <w:r>
        <w:rPr>
          <w:rFonts w:hint="eastAsia" w:ascii="宋体" w:hAnsi="宋体"/>
          <w:b/>
          <w:color w:val="auto"/>
          <w:szCs w:val="21"/>
          <w:highlight w:val="none"/>
        </w:rPr>
        <w:t>商务响应表</w:t>
      </w:r>
    </w:p>
    <w:p>
      <w:pPr>
        <w:snapToGrid w:val="0"/>
        <w:spacing w:before="50" w:line="360" w:lineRule="exact"/>
        <w:jc w:val="left"/>
        <w:rPr>
          <w:rFonts w:hint="eastAsia" w:ascii="宋体" w:hAnsi="宋体"/>
          <w:color w:val="auto"/>
          <w:szCs w:val="21"/>
          <w:highlight w:val="none"/>
          <w:u w:val="single"/>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hAnsi="宋体" w:cs="宋体"/>
                <w:color w:val="auto"/>
                <w:szCs w:val="21"/>
                <w:highlight w:val="none"/>
              </w:rPr>
              <w:t>交付使用时间</w:t>
            </w:r>
            <w:r>
              <w:rPr>
                <w:rFonts w:hint="eastAsia" w:ascii="宋体" w:hAnsi="宋体" w:cs="宋体"/>
                <w:color w:val="auto"/>
                <w:kern w:val="0"/>
                <w:szCs w:val="21"/>
                <w:highlight w:val="none"/>
              </w:rPr>
              <w:t>：</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s="宋体"/>
                <w:color w:val="auto"/>
                <w:kern w:val="0"/>
                <w:szCs w:val="21"/>
                <w:highlight w:val="none"/>
              </w:rPr>
              <w:t>交货地点：</w:t>
            </w:r>
            <w:r>
              <w:rPr>
                <w:rFonts w:ascii="宋体" w:hAnsi="宋体"/>
                <w:color w:val="auto"/>
                <w:szCs w:val="21"/>
                <w:highlight w:val="none"/>
              </w:rPr>
              <w:t xml:space="preserve"> </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s="宋体"/>
                <w:color w:val="auto"/>
                <w:kern w:val="0"/>
                <w:szCs w:val="21"/>
                <w:highlight w:val="none"/>
              </w:rPr>
              <w:t>付款方式：</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rPr>
            </w:pPr>
            <w:r>
              <w:rPr>
                <w:rFonts w:hint="eastAsia" w:ascii="宋体" w:hAnsi="宋体" w:cs="宋体"/>
                <w:color w:val="auto"/>
                <w:kern w:val="0"/>
                <w:szCs w:val="21"/>
                <w:highlight w:val="none"/>
              </w:rPr>
              <w:t>质保期：</w:t>
            </w: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ind w:firstLine="210" w:firstLineChars="10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line="360" w:lineRule="exact"/>
        <w:ind w:firstLine="245" w:firstLineChars="98"/>
        <w:jc w:val="left"/>
        <w:rPr>
          <w:rFonts w:hint="eastAsia" w:ascii="宋体" w:hAnsi="宋体"/>
          <w:color w:val="auto"/>
          <w:spacing w:val="20"/>
          <w:szCs w:val="21"/>
          <w:highlight w:val="none"/>
        </w:rPr>
      </w:pPr>
    </w:p>
    <w:p>
      <w:pPr>
        <w:snapToGrid w:val="0"/>
        <w:spacing w:line="360" w:lineRule="exact"/>
        <w:ind w:firstLine="245" w:firstLineChars="98"/>
        <w:jc w:val="left"/>
        <w:rPr>
          <w:rFonts w:hint="eastAsia" w:ascii="宋体" w:hAnsi="宋体"/>
          <w:b/>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left="840" w:hanging="840" w:hangingChars="400"/>
        <w:jc w:val="left"/>
        <w:rPr>
          <w:rFonts w:ascii="宋体" w:hAnsi="宋体"/>
          <w:b/>
          <w:color w:val="auto"/>
          <w:szCs w:val="21"/>
          <w:highlight w:val="none"/>
        </w:rPr>
      </w:pPr>
      <w:r>
        <w:rPr>
          <w:rFonts w:hAnsi="宋体"/>
          <w:color w:val="auto"/>
          <w:highlight w:val="none"/>
        </w:rPr>
        <w:br w:type="page"/>
      </w:r>
      <w:r>
        <w:rPr>
          <w:rFonts w:hint="eastAsia" w:hAnsi="宋体"/>
          <w:color w:val="auto"/>
          <w:highlight w:val="none"/>
        </w:rPr>
        <w:t>▲</w:t>
      </w:r>
      <w:r>
        <w:rPr>
          <w:rFonts w:hint="eastAsia" w:ascii="宋体" w:hAnsi="宋体"/>
          <w:b/>
          <w:color w:val="auto"/>
          <w:szCs w:val="21"/>
          <w:highlight w:val="none"/>
        </w:rPr>
        <w:t>（12）招标项目采购需求中要求必须提供的材料等；</w:t>
      </w:r>
      <w:r>
        <w:rPr>
          <w:rFonts w:hint="eastAsia" w:ascii="宋体" w:hAnsi="宋体"/>
          <w:color w:val="auto"/>
          <w:szCs w:val="21"/>
          <w:highlight w:val="none"/>
        </w:rPr>
        <w:t>（招标项目采购需求中要求必须提供的材料，据实提供）</w:t>
      </w:r>
    </w:p>
    <w:p>
      <w:pPr>
        <w:snapToGrid w:val="0"/>
        <w:spacing w:before="312" w:beforeLines="100" w:after="312" w:afterLines="100" w:line="360" w:lineRule="exact"/>
        <w:ind w:firstLine="205" w:firstLineChars="98"/>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w:t>
      </w:r>
      <w:r>
        <w:rPr>
          <w:rFonts w:hint="eastAsia" w:ascii="宋体" w:hAnsi="宋体"/>
          <w:color w:val="auto"/>
          <w:szCs w:val="21"/>
          <w:highlight w:val="none"/>
        </w:rPr>
        <w:t>（格式自拟）</w:t>
      </w:r>
    </w:p>
    <w:p>
      <w:pPr>
        <w:snapToGrid w:val="0"/>
        <w:spacing w:before="312" w:beforeLines="100" w:after="312" w:afterLines="100" w:line="360" w:lineRule="exact"/>
        <w:ind w:firstLine="205" w:firstLineChars="98"/>
        <w:jc w:val="left"/>
        <w:rPr>
          <w:rFonts w:hint="eastAsia" w:ascii="宋体" w:hAnsi="宋体"/>
          <w:b/>
          <w:color w:val="auto"/>
          <w:szCs w:val="21"/>
          <w:highlight w:val="none"/>
        </w:rPr>
      </w:pPr>
      <w:r>
        <w:rPr>
          <w:rFonts w:hint="eastAsia" w:ascii="宋体" w:hAnsi="宋体"/>
          <w:color w:val="auto"/>
          <w:szCs w:val="21"/>
          <w:highlight w:val="none"/>
        </w:rPr>
        <w:t>（14）</w:t>
      </w:r>
      <w:r>
        <w:rPr>
          <w:rFonts w:hint="eastAsia" w:hAnsi="宋体"/>
          <w:color w:val="auto"/>
          <w:szCs w:val="21"/>
          <w:highlight w:val="none"/>
        </w:rPr>
        <w:t>类似案例成功的业绩（投标人同类项目实施情况一览表、合同扫描件）；</w:t>
      </w:r>
    </w:p>
    <w:p>
      <w:pPr>
        <w:snapToGrid w:val="0"/>
        <w:spacing w:before="312" w:beforeLines="100" w:after="312" w:afterLines="100" w:line="360" w:lineRule="exact"/>
        <w:ind w:firstLine="420" w:firstLineChars="200"/>
        <w:jc w:val="left"/>
        <w:rPr>
          <w:rFonts w:hint="eastAsia" w:hAnsi="宋体"/>
          <w:color w:val="auto"/>
          <w:szCs w:val="21"/>
          <w:highlight w:val="none"/>
        </w:rPr>
      </w:pPr>
      <w:r>
        <w:rPr>
          <w:rFonts w:hint="eastAsia" w:ascii="宋体" w:hAnsi="宋体" w:cs="宋体"/>
          <w:color w:val="auto"/>
          <w:szCs w:val="21"/>
          <w:highlight w:val="none"/>
        </w:rPr>
        <w:t>（15）</w:t>
      </w:r>
      <w:r>
        <w:rPr>
          <w:rFonts w:hint="eastAsia" w:hAnsi="宋体"/>
          <w:color w:val="auto"/>
          <w:szCs w:val="21"/>
          <w:highlight w:val="none"/>
        </w:rPr>
        <w:t>其他特殊资质证书（如本地化服务能力等）；</w:t>
      </w:r>
    </w:p>
    <w:p>
      <w:pPr>
        <w:snapToGrid w:val="0"/>
        <w:spacing w:before="312" w:beforeLines="100" w:after="312" w:afterLines="100" w:line="360" w:lineRule="exact"/>
        <w:ind w:firstLine="411" w:firstLineChars="196"/>
        <w:jc w:val="left"/>
        <w:rPr>
          <w:rFonts w:hint="eastAsia" w:hAnsi="宋体"/>
          <w:b/>
          <w:color w:val="auto"/>
          <w:szCs w:val="21"/>
          <w:highlight w:val="none"/>
        </w:rPr>
      </w:pPr>
      <w:r>
        <w:rPr>
          <w:rFonts w:hint="eastAsia" w:ascii="宋体" w:hAnsi="宋体" w:cs="宋体"/>
          <w:color w:val="auto"/>
          <w:szCs w:val="21"/>
          <w:highlight w:val="none"/>
        </w:rPr>
        <w:t>（16）</w:t>
      </w:r>
      <w:r>
        <w:rPr>
          <w:rFonts w:hint="eastAsia" w:hAnsi="宋体"/>
          <w:color w:val="auto"/>
          <w:szCs w:val="21"/>
          <w:highlight w:val="none"/>
        </w:rPr>
        <w:t>节能环保产品或政府强制采购节能产品清单证书</w:t>
      </w:r>
      <w:r>
        <w:rPr>
          <w:rFonts w:hint="eastAsia" w:hAnsi="宋体"/>
          <w:b/>
          <w:color w:val="auto"/>
          <w:szCs w:val="21"/>
          <w:highlight w:val="none"/>
        </w:rPr>
        <w:t>；</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ascii="宋体" w:hAnsi="宋体" w:cs="宋体"/>
          <w:color w:val="auto"/>
          <w:szCs w:val="21"/>
          <w:highlight w:val="none"/>
        </w:rPr>
        <w:t>（17）</w:t>
      </w:r>
      <w:r>
        <w:rPr>
          <w:rFonts w:hint="eastAsia" w:hAnsi="宋体"/>
          <w:color w:val="auto"/>
          <w:szCs w:val="21"/>
          <w:highlight w:val="none"/>
        </w:rPr>
        <w:t>投标人质量管理和质量保证体系等方面的认证证书；</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（18）投标人认为可以证明其能力或业绩的其他材料；</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（19）投标人关于产品生产时间、升级或者更新淘汰计划、配件供应以及本单位债务纠纷、违法违规记录等方面的情况（内容见投标声明书）；</w:t>
      </w:r>
    </w:p>
    <w:p>
      <w:pPr>
        <w:snapToGrid w:val="0"/>
        <w:spacing w:before="312" w:beforeLines="100" w:after="312" w:afterLines="100" w:line="360" w:lineRule="exact"/>
        <w:ind w:firstLine="411" w:firstLineChars="196"/>
        <w:jc w:val="left"/>
        <w:rPr>
          <w:rFonts w:hint="eastAsia" w:hAnsi="宋体"/>
          <w:color w:val="auto"/>
          <w:szCs w:val="21"/>
          <w:highlight w:val="none"/>
        </w:rPr>
      </w:pPr>
      <w:r>
        <w:rPr>
          <w:rFonts w:hint="eastAsia" w:hAnsi="宋体"/>
          <w:color w:val="auto"/>
          <w:szCs w:val="21"/>
          <w:highlight w:val="none"/>
        </w:rPr>
        <w:t>（20）投标人情况介绍；</w:t>
      </w:r>
    </w:p>
    <w:p>
      <w:pPr>
        <w:snapToGrid w:val="0"/>
        <w:spacing w:line="360" w:lineRule="exact"/>
        <w:ind w:firstLine="415" w:firstLineChars="198"/>
        <w:jc w:val="left"/>
        <w:rPr>
          <w:rFonts w:hint="eastAsia" w:ascii="宋体" w:hAnsi="宋体"/>
          <w:color w:val="auto"/>
          <w:szCs w:val="21"/>
          <w:highlight w:val="none"/>
        </w:rPr>
      </w:pPr>
      <w:r>
        <w:rPr>
          <w:rFonts w:ascii="宋体" w:hAnsi="宋体"/>
          <w:color w:val="auto"/>
          <w:szCs w:val="21"/>
          <w:highlight w:val="none"/>
        </w:rPr>
        <w:br w:type="page"/>
      </w:r>
      <w:r>
        <w:rPr>
          <w:rFonts w:hint="eastAsia" w:ascii="宋体" w:hAnsi="宋体"/>
          <w:color w:val="auto"/>
          <w:szCs w:val="21"/>
          <w:highlight w:val="none"/>
        </w:rPr>
        <w:t>（21）</w:t>
      </w:r>
      <w:r>
        <w:rPr>
          <w:rFonts w:ascii="宋体" w:hAnsi="宋体"/>
          <w:color w:val="auto"/>
          <w:highlight w:val="none"/>
        </w:rPr>
        <w:t>中小企业声明函</w:t>
      </w:r>
      <w:r>
        <w:rPr>
          <w:rFonts w:hint="eastAsia" w:ascii="宋体" w:hAnsi="宋体"/>
          <w:color w:val="auto"/>
          <w:highlight w:val="none"/>
        </w:rPr>
        <w:t>格式：</w:t>
      </w:r>
    </w:p>
    <w:p>
      <w:pPr>
        <w:pStyle w:val="401"/>
        <w:spacing w:after="0"/>
        <w:rPr>
          <w:color w:val="auto"/>
          <w:highlight w:val="none"/>
        </w:rPr>
      </w:pPr>
      <w:r>
        <w:rPr>
          <w:color w:val="auto"/>
          <w:highlight w:val="none"/>
        </w:rPr>
        <w:t>中小企业声明函</w:t>
      </w:r>
    </w:p>
    <w:p>
      <w:pPr>
        <w:pStyle w:val="401"/>
        <w:spacing w:after="0"/>
        <w:rPr>
          <w:color w:val="auto"/>
          <w:highlight w:val="none"/>
        </w:rPr>
      </w:pPr>
    </w:p>
    <w:p>
      <w:pPr>
        <w:pStyle w:val="403"/>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釆购活动,提供的货物全部由符合政策要求的中小企业制造。相关企业（含联合体中的中小企业、签订分包意向协议的中小企业）的具体情况如下</w:t>
      </w:r>
      <w:bookmarkStart w:id="10" w:name="bookmark1"/>
      <w:bookmarkEnd w:id="10"/>
      <w:r>
        <w:rPr>
          <w:rFonts w:hint="eastAsia"/>
          <w:color w:val="auto"/>
          <w:sz w:val="21"/>
          <w:szCs w:val="21"/>
          <w:highlight w:val="none"/>
        </w:rPr>
        <w:t>：</w:t>
      </w:r>
    </w:p>
    <w:p>
      <w:pPr>
        <w:pStyle w:val="403"/>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403"/>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 企业、微型企业）</w:t>
      </w:r>
      <w:r>
        <w:rPr>
          <w:rFonts w:hint="eastAsia"/>
          <w:color w:val="auto"/>
          <w:sz w:val="21"/>
          <w:szCs w:val="21"/>
          <w:highlight w:val="none"/>
        </w:rPr>
        <w:t>；</w:t>
      </w:r>
    </w:p>
    <w:p>
      <w:pPr>
        <w:pStyle w:val="403"/>
        <w:spacing w:line="506" w:lineRule="exact"/>
        <w:ind w:firstLine="640"/>
        <w:jc w:val="both"/>
        <w:rPr>
          <w:color w:val="auto"/>
          <w:sz w:val="21"/>
          <w:szCs w:val="21"/>
          <w:highlight w:val="none"/>
        </w:rPr>
      </w:pPr>
      <w:r>
        <w:rPr>
          <w:rFonts w:hint="eastAsia"/>
          <w:color w:val="auto"/>
          <w:sz w:val="21"/>
          <w:szCs w:val="21"/>
          <w:highlight w:val="none"/>
        </w:rPr>
        <w:t>......</w:t>
      </w:r>
    </w:p>
    <w:p>
      <w:pPr>
        <w:pStyle w:val="403"/>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403"/>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403"/>
        <w:spacing w:after="40" w:line="499" w:lineRule="exact"/>
        <w:ind w:firstLine="640"/>
        <w:jc w:val="both"/>
        <w:rPr>
          <w:color w:val="auto"/>
          <w:sz w:val="21"/>
          <w:szCs w:val="21"/>
          <w:highlight w:val="none"/>
        </w:rPr>
      </w:pPr>
    </w:p>
    <w:p>
      <w:pPr>
        <w:pStyle w:val="403"/>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403"/>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401"/>
        <w:spacing w:after="0"/>
        <w:rPr>
          <w:rFonts w:hint="eastAsia"/>
          <w:color w:val="auto"/>
          <w:sz w:val="21"/>
          <w:szCs w:val="21"/>
          <w:highlight w:val="none"/>
        </w:rPr>
      </w:pPr>
    </w:p>
    <w:p>
      <w:pPr>
        <w:pStyle w:val="401"/>
        <w:spacing w:after="0"/>
        <w:rPr>
          <w:rFonts w:hint="eastAsia"/>
          <w:color w:val="auto"/>
          <w:highlight w:val="none"/>
        </w:rPr>
      </w:pPr>
    </w:p>
    <w:p>
      <w:pPr>
        <w:pStyle w:val="401"/>
        <w:adjustRightInd w:val="0"/>
        <w:snapToGrid w:val="0"/>
        <w:spacing w:after="0" w:line="360" w:lineRule="exact"/>
        <w:jc w:val="left"/>
        <w:rPr>
          <w:rFonts w:hint="eastAsia"/>
          <w:color w:val="auto"/>
          <w:sz w:val="18"/>
          <w:szCs w:val="18"/>
          <w:highlight w:val="none"/>
        </w:rPr>
      </w:pPr>
      <w:r>
        <w:rPr>
          <w:color w:val="auto"/>
          <w:sz w:val="18"/>
          <w:szCs w:val="18"/>
          <w:highlight w:val="none"/>
        </w:rPr>
        <w:t>备注：</w:t>
      </w:r>
    </w:p>
    <w:p>
      <w:pPr>
        <w:pStyle w:val="401"/>
        <w:adjustRightInd w:val="0"/>
        <w:snapToGrid w:val="0"/>
        <w:spacing w:after="0" w:line="360" w:lineRule="exact"/>
        <w:jc w:val="left"/>
        <w:rPr>
          <w:rFonts w:hint="eastAsia"/>
          <w:color w:val="auto"/>
          <w:sz w:val="18"/>
          <w:szCs w:val="18"/>
          <w:highlight w:val="none"/>
        </w:rPr>
      </w:pPr>
      <w:r>
        <w:rPr>
          <w:rFonts w:hint="eastAsia"/>
          <w:color w:val="auto"/>
          <w:sz w:val="18"/>
          <w:szCs w:val="18"/>
          <w:highlight w:val="none"/>
        </w:rPr>
        <w:t>1、</w:t>
      </w:r>
      <w:r>
        <w:rPr>
          <w:color w:val="auto"/>
          <w:sz w:val="18"/>
          <w:szCs w:val="18"/>
          <w:highlight w:val="none"/>
        </w:rPr>
        <w:t>从业人员、营业收入、资产总额填报上一年度数据，无上一年度数据的新成立企业可不填报。</w:t>
      </w:r>
    </w:p>
    <w:p>
      <w:pPr>
        <w:pStyle w:val="401"/>
        <w:adjustRightInd w:val="0"/>
        <w:snapToGrid w:val="0"/>
        <w:spacing w:after="0" w:line="360" w:lineRule="exact"/>
        <w:jc w:val="left"/>
        <w:rPr>
          <w:rFonts w:hint="eastAsia"/>
          <w:color w:val="auto"/>
          <w:sz w:val="18"/>
          <w:szCs w:val="18"/>
          <w:highlight w:val="none"/>
        </w:rPr>
      </w:pPr>
      <w:r>
        <w:rPr>
          <w:rFonts w:hint="eastAsia"/>
          <w:color w:val="auto"/>
          <w:sz w:val="18"/>
          <w:szCs w:val="18"/>
          <w:highlight w:val="none"/>
        </w:rPr>
        <w:t>2、采购文件中明确的所属行业名称是根据《关于印发中小企业划型标准规定的通知》（工信部联企业[2011]300号）规定确定。</w:t>
      </w:r>
    </w:p>
    <w:p>
      <w:pPr>
        <w:pStyle w:val="401"/>
        <w:spacing w:after="0"/>
        <w:rPr>
          <w:rFonts w:hint="eastAsia"/>
          <w:color w:val="auto"/>
          <w:sz w:val="21"/>
          <w:szCs w:val="21"/>
          <w:highlight w:val="none"/>
        </w:rPr>
      </w:pPr>
    </w:p>
    <w:p>
      <w:pPr>
        <w:pStyle w:val="401"/>
        <w:spacing w:after="0"/>
        <w:rPr>
          <w:rFonts w:hint="eastAsia"/>
          <w:color w:val="auto"/>
          <w:sz w:val="21"/>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pStyle w:val="15"/>
        <w:snapToGrid w:val="0"/>
        <w:spacing w:line="360" w:lineRule="exact"/>
        <w:rPr>
          <w:rFonts w:hint="eastAsia" w:ascii="宋体" w:hAnsi="宋体" w:eastAsia="宋体"/>
          <w:color w:val="auto"/>
          <w:sz w:val="21"/>
          <w:szCs w:val="21"/>
          <w:highlight w:val="none"/>
        </w:rPr>
      </w:pPr>
    </w:p>
    <w:p>
      <w:pPr>
        <w:snapToGrid w:val="0"/>
        <w:spacing w:line="360" w:lineRule="exact"/>
        <w:ind w:firstLine="516" w:firstLineChars="246"/>
        <w:jc w:val="left"/>
        <w:rPr>
          <w:rFonts w:hint="eastAsia" w:ascii="宋体" w:hAnsi="宋体"/>
          <w:b/>
          <w:color w:val="auto"/>
          <w:szCs w:val="21"/>
          <w:highlight w:val="none"/>
        </w:rPr>
      </w:pPr>
      <w:r>
        <w:rPr>
          <w:rFonts w:hint="eastAsia" w:ascii="宋体" w:hAnsi="宋体"/>
          <w:color w:val="auto"/>
          <w:szCs w:val="21"/>
          <w:highlight w:val="none"/>
        </w:rPr>
        <w:br w:type="page"/>
      </w:r>
      <w:r>
        <w:rPr>
          <w:rFonts w:hint="eastAsia" w:ascii="宋体" w:hAnsi="宋体"/>
          <w:b/>
          <w:color w:val="auto"/>
          <w:szCs w:val="21"/>
          <w:highlight w:val="none"/>
        </w:rPr>
        <w:t>三）、技术文件部分（格式）</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Cs/>
          <w:color w:val="auto"/>
          <w:szCs w:val="21"/>
          <w:highlight w:val="none"/>
        </w:rPr>
        <w:t>（2）</w:t>
      </w:r>
      <w:r>
        <w:rPr>
          <w:rFonts w:hint="eastAsia" w:ascii="宋体" w:hAnsi="宋体"/>
          <w:color w:val="auto"/>
          <w:szCs w:val="21"/>
          <w:highlight w:val="none"/>
        </w:rPr>
        <w:t>技术响应表格式：</w:t>
      </w:r>
      <w:r>
        <w:rPr>
          <w:rFonts w:hint="eastAsia" w:ascii="宋体" w:hAnsi="宋体"/>
          <w:b/>
          <w:color w:val="auto"/>
          <w:szCs w:val="21"/>
          <w:highlight w:val="none"/>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hAnsi="宋体"/>
                <w:color w:val="auto"/>
                <w:highlight w:val="none"/>
              </w:rPr>
            </w:pPr>
            <w:r>
              <w:rPr>
                <w:rFonts w:hint="eastAsia" w:hAnsi="宋体"/>
                <w:color w:val="auto"/>
                <w:highlight w:val="none"/>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rPr>
            </w:pPr>
            <w:r>
              <w:rPr>
                <w:rFonts w:hint="eastAsia" w:ascii="Times New Roman" w:hAnsi="Times New Roman"/>
                <w:color w:val="auto"/>
                <w:highlight w:val="none"/>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rPr>
            </w:pPr>
            <w:r>
              <w:rPr>
                <w:rFonts w:hint="eastAsia" w:ascii="Times New Roman" w:hAnsi="Times New Roman"/>
                <w:color w:val="auto"/>
                <w:highlight w:val="none"/>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rPr>
            </w:pPr>
            <w:r>
              <w:rPr>
                <w:rFonts w:hint="eastAsia" w:ascii="Times New Roman" w:hAnsi="Times New Roman"/>
                <w:color w:val="auto"/>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rPr>
            </w:pPr>
          </w:p>
        </w:tc>
      </w:tr>
    </w:tbl>
    <w:p>
      <w:pPr>
        <w:snapToGrid w:val="0"/>
        <w:spacing w:before="50" w:after="156" w:afterLines="50" w:line="360" w:lineRule="exact"/>
        <w:jc w:val="left"/>
        <w:rPr>
          <w:rFonts w:hint="eastAsia" w:ascii="宋体" w:hAnsi="宋体"/>
          <w:color w:val="auto"/>
          <w:szCs w:val="21"/>
          <w:highlight w:val="none"/>
          <w:u w:val="single"/>
        </w:rPr>
      </w:pPr>
    </w:p>
    <w:p>
      <w:pPr>
        <w:pStyle w:val="20"/>
        <w:spacing w:line="360" w:lineRule="exact"/>
        <w:ind w:firstLine="421" w:firstLineChars="200"/>
        <w:rPr>
          <w:rFonts w:hint="eastAsia" w:ascii="宋体" w:hAnsi="宋体"/>
          <w:color w:val="auto"/>
          <w:sz w:val="21"/>
          <w:szCs w:val="21"/>
          <w:highlight w:val="none"/>
        </w:rPr>
      </w:pPr>
      <w:r>
        <w:rPr>
          <w:rFonts w:hint="eastAsia" w:ascii="宋体" w:hAnsi="宋体"/>
          <w:color w:val="auto"/>
          <w:sz w:val="21"/>
          <w:szCs w:val="21"/>
          <w:highlight w:val="none"/>
        </w:rPr>
        <w:t>注：投标人应根据投标设备的性能指标、对照招标文件要求在技术响应表中详细列明招标要求及投标设备技术规格的响应情况，并填写“</w:t>
      </w:r>
      <w:r>
        <w:rPr>
          <w:rFonts w:hint="eastAsia"/>
          <w:color w:val="auto"/>
          <w:highlight w:val="none"/>
        </w:rPr>
        <w:t>偏离说明”。</w:t>
      </w:r>
      <w:r>
        <w:rPr>
          <w:rFonts w:hint="eastAsia" w:ascii="宋体" w:hAnsi="宋体"/>
          <w:color w:val="auto"/>
          <w:sz w:val="21"/>
          <w:szCs w:val="21"/>
          <w:highlight w:val="none"/>
        </w:rPr>
        <w:t>“偏离</w:t>
      </w:r>
      <w:r>
        <w:rPr>
          <w:rFonts w:hint="eastAsia"/>
          <w:color w:val="auto"/>
          <w:highlight w:val="none"/>
        </w:rPr>
        <w:t>说明</w:t>
      </w:r>
      <w:r>
        <w:rPr>
          <w:rFonts w:hint="eastAsia" w:ascii="宋体" w:hAnsi="宋体"/>
          <w:color w:val="auto"/>
          <w:sz w:val="21"/>
          <w:szCs w:val="21"/>
          <w:highlight w:val="none"/>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pStyle w:val="29"/>
        <w:jc w:val="center"/>
        <w:rPr>
          <w:rFonts w:hint="eastAsia"/>
          <w:color w:val="auto"/>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bl>
    <w:p>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Cs/>
          <w:color w:val="auto"/>
          <w:szCs w:val="21"/>
          <w:highlight w:val="none"/>
        </w:rPr>
        <w:t>（4）</w:t>
      </w:r>
      <w:r>
        <w:rPr>
          <w:rFonts w:hint="eastAsia" w:ascii="宋体" w:hAnsi="宋体"/>
          <w:color w:val="auto"/>
          <w:szCs w:val="21"/>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(格式自拟,必须提供）</w:t>
      </w:r>
      <w:r>
        <w:rPr>
          <w:rFonts w:hint="eastAsia" w:ascii="宋体" w:hAnsi="宋体"/>
          <w:color w:val="auto"/>
          <w:szCs w:val="21"/>
          <w:highlight w:val="none"/>
        </w:rPr>
        <w:t>；</w:t>
      </w:r>
    </w:p>
    <w:p>
      <w:pPr>
        <w:snapToGrid w:val="0"/>
        <w:spacing w:before="50" w:after="156" w:afterLines="50" w:line="360" w:lineRule="exact"/>
        <w:ind w:left="514" w:hanging="514" w:hangingChars="245"/>
        <w:jc w:val="left"/>
        <w:rPr>
          <w:rFonts w:hint="eastAsia" w:ascii="宋体" w:hAnsi="宋体"/>
          <w:color w:val="auto"/>
          <w:szCs w:val="21"/>
          <w:highlight w:val="none"/>
        </w:rPr>
      </w:pPr>
      <w:r>
        <w:rPr>
          <w:rFonts w:hint="eastAsia" w:ascii="宋体" w:hAnsi="宋体"/>
          <w:bCs/>
          <w:color w:val="auto"/>
          <w:szCs w:val="21"/>
          <w:highlight w:val="none"/>
        </w:rPr>
        <w:t>（5）</w:t>
      </w:r>
      <w:r>
        <w:rPr>
          <w:rFonts w:hint="eastAsia" w:ascii="宋体" w:hAnsi="宋体"/>
          <w:color w:val="auto"/>
          <w:szCs w:val="21"/>
          <w:highlight w:val="none"/>
        </w:rPr>
        <w:t>投标人拥有主要装备和检测设施的情况和现状（格式自拟）及项目实施人员一览表</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r>
              <w:rPr>
                <w:rFonts w:hint="eastAsia" w:hAnsi="宋体"/>
                <w:color w:val="auto"/>
                <w:highlight w:val="none"/>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rPr>
            </w:pPr>
            <w:r>
              <w:rPr>
                <w:rFonts w:hint="eastAsia" w:hAnsi="宋体"/>
                <w:color w:val="auto"/>
                <w:highlight w:val="none"/>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rPr>
            </w:pPr>
            <w:r>
              <w:rPr>
                <w:rFonts w:hint="eastAsia" w:hAnsi="宋体"/>
                <w:color w:val="auto"/>
                <w:highlight w:val="none"/>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rPr>
            </w:pPr>
          </w:p>
        </w:tc>
      </w:tr>
    </w:tbl>
    <w:p>
      <w:pPr>
        <w:snapToGrid w:val="0"/>
        <w:spacing w:before="100" w:beforeAutospacing="1" w:after="100" w:afterAutospacing="1" w:line="360" w:lineRule="auto"/>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100" w:beforeAutospacing="1" w:after="100" w:afterAutospacing="1" w:line="480" w:lineRule="auto"/>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（8）投标人需要说明的其他文件和说明（格式自拟）</w:t>
      </w:r>
    </w:p>
    <w:p>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rPr>
      </w:pPr>
    </w:p>
    <w:p>
      <w:pPr>
        <w:snapToGrid w:val="0"/>
        <w:spacing w:before="156" w:beforeLines="50" w:after="50" w:line="360" w:lineRule="exact"/>
        <w:outlineLvl w:val="0"/>
        <w:rPr>
          <w:rFonts w:hint="eastAsia" w:ascii="宋体" w:hAnsi="宋体"/>
          <w:b/>
          <w:color w:val="auto"/>
          <w:szCs w:val="21"/>
          <w:highlight w:val="none"/>
        </w:rPr>
      </w:pPr>
      <w:r>
        <w:rPr>
          <w:rFonts w:hint="eastAsia" w:ascii="宋体" w:hAnsi="宋体"/>
          <w:b/>
          <w:color w:val="auto"/>
          <w:szCs w:val="21"/>
          <w:highlight w:val="none"/>
        </w:rPr>
        <w:t>四）报价文件部分 （格式）</w:t>
      </w:r>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（1）投标函格式：</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投 标 函</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line="500" w:lineRule="exact"/>
        <w:ind w:firstLine="480"/>
        <w:rPr>
          <w:rFonts w:hint="eastAsia"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项目的招标公告（项目编号：____</w:t>
      </w:r>
      <w:r>
        <w:rPr>
          <w:rFonts w:hint="eastAsia" w:ascii="宋体" w:hAnsi="宋体"/>
          <w:color w:val="auto"/>
          <w:szCs w:val="21"/>
          <w:highlight w:val="none"/>
          <w:u w:val="single"/>
        </w:rPr>
        <w:t>_     _</w:t>
      </w:r>
      <w:r>
        <w:rPr>
          <w:rFonts w:hint="eastAsia" w:ascii="宋体" w:hAnsi="宋体"/>
          <w:color w:val="auto"/>
          <w:szCs w:val="21"/>
          <w:highlight w:val="none"/>
        </w:rPr>
        <w:t>_），签字代表______</w:t>
      </w:r>
      <w:r>
        <w:rPr>
          <w:rFonts w:hint="eastAsia" w:ascii="宋体" w:hAnsi="宋体"/>
          <w:color w:val="auto"/>
          <w:szCs w:val="21"/>
          <w:highlight w:val="none"/>
          <w:u w:val="single"/>
        </w:rPr>
        <w:t xml:space="preserve">_     </w:t>
      </w:r>
      <w:r>
        <w:rPr>
          <w:rFonts w:hint="eastAsia" w:ascii="宋体" w:hAnsi="宋体"/>
          <w:color w:val="auto"/>
          <w:szCs w:val="21"/>
          <w:highlight w:val="none"/>
        </w:rPr>
        <w:t>（全名）经正式授权并代表投标人_____</w:t>
      </w:r>
      <w:r>
        <w:rPr>
          <w:rFonts w:hint="eastAsia" w:ascii="宋体" w:hAnsi="宋体"/>
          <w:color w:val="auto"/>
          <w:szCs w:val="21"/>
          <w:highlight w:val="none"/>
          <w:u w:val="single"/>
        </w:rPr>
        <w:t>__                    __</w:t>
      </w:r>
      <w:r>
        <w:rPr>
          <w:rFonts w:hint="eastAsia" w:ascii="宋体" w:hAnsi="宋体"/>
          <w:color w:val="auto"/>
          <w:szCs w:val="21"/>
          <w:highlight w:val="none"/>
        </w:rPr>
        <w:t>（投标人名称）上传并提交加密的电子投标文件一份。</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据此函，签字代表宣布同意如下：</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3.本投标有效期自开标日起 ______个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5.投标人同意按照贵方要求提供与投标有关的一切数据或资料。</w:t>
      </w:r>
    </w:p>
    <w:p>
      <w:pPr>
        <w:snapToGrid w:val="0"/>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6.与本投标有关的一切正式往来信函请寄：</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地址：______________________</w:t>
      </w:r>
      <w:r>
        <w:rPr>
          <w:rFonts w:hint="eastAsia" w:ascii="宋体" w:hAnsi="宋体"/>
          <w:color w:val="auto"/>
          <w:szCs w:val="21"/>
          <w:highlight w:val="none"/>
          <w:u w:val="single"/>
        </w:rPr>
        <w:t>_</w:t>
      </w:r>
      <w:r>
        <w:rPr>
          <w:rFonts w:hint="eastAsia" w:ascii="宋体" w:hAnsi="宋体"/>
          <w:color w:val="auto"/>
          <w:szCs w:val="21"/>
          <w:highlight w:val="none"/>
        </w:rPr>
        <w:t>___邮编：__________   电话：______________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传真：______________投标人代表姓名 ___________  职务：_____________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投标人名称(公章):___________________</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line="500" w:lineRule="exact"/>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:___________                 日期:_____年___月___日</w:t>
      </w:r>
    </w:p>
    <w:p>
      <w:pPr>
        <w:pStyle w:val="29"/>
        <w:snapToGrid w:val="0"/>
        <w:spacing w:line="500" w:lineRule="exact"/>
        <w:ind w:firstLine="5670" w:firstLineChars="2700"/>
        <w:rPr>
          <w:rFonts w:hint="eastAsia" w:hAnsi="宋体"/>
          <w:color w:val="auto"/>
          <w:highlight w:val="none"/>
        </w:rPr>
      </w:pPr>
      <w:r>
        <w:rPr>
          <w:rFonts w:hint="eastAsia" w:hAnsi="宋体"/>
          <w:color w:val="auto"/>
          <w:highlight w:val="none"/>
        </w:rPr>
        <w:t>(公章)</w:t>
      </w:r>
    </w:p>
    <w:p>
      <w:pPr>
        <w:pStyle w:val="29"/>
        <w:snapToGrid w:val="0"/>
        <w:spacing w:line="500" w:lineRule="exact"/>
        <w:ind w:firstLine="5565" w:firstLineChars="2650"/>
        <w:rPr>
          <w:rFonts w:hint="eastAsia" w:hAnsi="宋体"/>
          <w:color w:val="auto"/>
          <w:highlight w:val="none"/>
        </w:rPr>
      </w:pPr>
      <w:r>
        <w:rPr>
          <w:rFonts w:hint="eastAsia" w:hAnsi="宋体"/>
          <w:color w:val="auto"/>
          <w:highlight w:val="none"/>
        </w:rPr>
        <w:t>年___月___日</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（2）投标报价明细表格式</w:t>
      </w:r>
    </w:p>
    <w:p>
      <w:pPr>
        <w:pStyle w:val="29"/>
        <w:snapToGrid w:val="0"/>
        <w:spacing w:line="360" w:lineRule="exact"/>
        <w:ind w:firstLine="105" w:firstLineChars="50"/>
        <w:rPr>
          <w:rFonts w:hint="eastAsia" w:hAnsi="宋体"/>
          <w:color w:val="auto"/>
          <w:highlight w:val="none"/>
        </w:rPr>
      </w:pPr>
      <w:r>
        <w:rPr>
          <w:rFonts w:hint="eastAsia" w:hAnsi="宋体"/>
          <w:color w:val="auto"/>
          <w:highlight w:val="none"/>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243"/>
              <w:jc w:val="center"/>
              <w:rPr>
                <w:color w:val="auto"/>
                <w:highlight w:val="none"/>
              </w:rPr>
            </w:pPr>
            <w:r>
              <w:rPr>
                <w:rFonts w:hint="eastAsia"/>
                <w:b w:val="0"/>
                <w:bCs/>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rPr>
            </w:pPr>
            <w:r>
              <w:rPr>
                <w:rFonts w:hint="eastAsia" w:hAnsi="宋体"/>
                <w:color w:val="auto"/>
                <w:highlight w:val="none"/>
              </w:rPr>
              <w:t>分标号或本项目</w:t>
            </w:r>
            <w:r>
              <w:rPr>
                <w:rFonts w:hint="eastAsia" w:ascii="宋体" w:hAnsi="宋体"/>
                <w:color w:val="auto"/>
                <w:szCs w:val="21"/>
                <w:highlight w:val="none"/>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p>
        </w:tc>
      </w:tr>
    </w:tbl>
    <w:p>
      <w:pPr>
        <w:tabs>
          <w:tab w:val="left" w:pos="1418"/>
        </w:tabs>
        <w:snapToGrid w:val="0"/>
        <w:ind w:left="1418" w:hanging="567"/>
        <w:jc w:val="center"/>
        <w:rPr>
          <w:rFonts w:hint="eastAsia" w:ascii="宋体" w:hAnsi="宋体"/>
          <w:color w:val="auto"/>
          <w:spacing w:val="20"/>
          <w:szCs w:val="21"/>
          <w:highlight w:val="none"/>
          <w:u w:val="single"/>
        </w:rPr>
      </w:pPr>
    </w:p>
    <w:p>
      <w:pPr>
        <w:snapToGrid w:val="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rPr>
          <w:rFonts w:hint="eastAsia" w:ascii="宋体" w:hAnsi="宋体"/>
          <w:color w:val="auto"/>
          <w:spacing w:val="20"/>
          <w:szCs w:val="21"/>
          <w:highlight w:val="none"/>
          <w:u w:val="single"/>
        </w:rPr>
      </w:pPr>
    </w:p>
    <w:p>
      <w:pPr>
        <w:snapToGrid w:val="0"/>
        <w:rPr>
          <w:rFonts w:hint="eastAsia" w:ascii="宋体" w:hAnsi="宋体"/>
          <w:color w:val="auto"/>
          <w:szCs w:val="21"/>
          <w:highlight w:val="none"/>
        </w:rPr>
      </w:pPr>
      <w:r>
        <w:rPr>
          <w:rFonts w:hint="eastAsia" w:ascii="宋体" w:hAnsi="宋体"/>
          <w:color w:val="auto"/>
          <w:szCs w:val="21"/>
          <w:highlight w:val="none"/>
        </w:rPr>
        <w:t xml:space="preserve">投标人盖章：                               日  期：         </w:t>
      </w:r>
    </w:p>
    <w:p>
      <w:pPr>
        <w:snapToGrid w:val="0"/>
        <w:rPr>
          <w:rFonts w:hint="eastAsia" w:ascii="宋体" w:hAnsi="宋体"/>
          <w:b/>
          <w:color w:val="auto"/>
          <w:szCs w:val="21"/>
          <w:highlight w:val="none"/>
        </w:rPr>
      </w:pPr>
    </w:p>
    <w:p>
      <w:pPr>
        <w:snapToGrid w:val="0"/>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投标人针对报价需要说明的其他文件和说明（格式自拟）</w:t>
      </w:r>
    </w:p>
    <w:p>
      <w:pPr>
        <w:snapToGrid w:val="0"/>
        <w:ind w:firstLine="421" w:firstLineChars="200"/>
        <w:rPr>
          <w:rFonts w:hint="eastAsia" w:ascii="宋体" w:hAnsi="宋体"/>
          <w:b/>
          <w:color w:val="auto"/>
          <w:szCs w:val="21"/>
          <w:highlight w:val="none"/>
        </w:rPr>
      </w:pPr>
    </w:p>
    <w:p>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（4）开标一览表</w:t>
      </w:r>
    </w:p>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开标一览表</w:t>
      </w:r>
    </w:p>
    <w:p>
      <w:pPr>
        <w:snapToGrid w:val="0"/>
        <w:spacing w:line="360" w:lineRule="exact"/>
        <w:jc w:val="left"/>
        <w:rPr>
          <w:rFonts w:hint="eastAsia"/>
          <w:color w:val="auto"/>
          <w:highlight w:val="none"/>
        </w:rPr>
      </w:pPr>
      <w:r>
        <w:rPr>
          <w:rFonts w:hint="eastAsia" w:hAnsi="宋体"/>
          <w:color w:val="auto"/>
          <w:highlight w:val="none"/>
        </w:rPr>
        <w:t>项目名称：</w:t>
      </w:r>
    </w:p>
    <w:p>
      <w:pPr>
        <w:snapToGrid w:val="0"/>
        <w:spacing w:line="360" w:lineRule="exact"/>
        <w:jc w:val="left"/>
        <w:rPr>
          <w:rFonts w:hint="eastAsia" w:ascii="宋体" w:hAnsi="宋体"/>
          <w:b/>
          <w:color w:val="auto"/>
          <w:szCs w:val="21"/>
          <w:highlight w:val="none"/>
        </w:rPr>
      </w:pPr>
      <w:r>
        <w:rPr>
          <w:rFonts w:hint="eastAsia"/>
          <w:color w:val="auto"/>
          <w:highlight w:val="none"/>
        </w:rPr>
        <w:t>项目编号：</w:t>
      </w:r>
      <w:r>
        <w:rPr>
          <w:color w:val="auto"/>
          <w:highlight w:val="none"/>
        </w:rPr>
        <w:t xml:space="preserve">                                        </w:t>
      </w:r>
    </w:p>
    <w:p>
      <w:pPr>
        <w:snapToGrid w:val="0"/>
        <w:spacing w:line="360" w:lineRule="exact"/>
        <w:ind w:firstLine="102" w:firstLineChars="49"/>
        <w:jc w:val="left"/>
        <w:rPr>
          <w:rFonts w:hint="eastAsia" w:ascii="宋体" w:hAnsi="宋体"/>
          <w:b/>
          <w:color w:val="auto"/>
          <w:szCs w:val="21"/>
          <w:highlight w:val="none"/>
        </w:rPr>
      </w:pPr>
      <w:r>
        <w:rPr>
          <w:rFonts w:hint="eastAsia"/>
          <w:color w:val="auto"/>
          <w:highlight w:val="none"/>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rPr>
            </w:pPr>
            <w:r>
              <w:rPr>
                <w:rFonts w:hint="eastAsia" w:ascii="宋体" w:hAnsi="宋体"/>
                <w:color w:val="auto"/>
                <w:szCs w:val="21"/>
                <w:highlight w:val="none"/>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bCs/>
                <w:color w:val="auto"/>
                <w:szCs w:val="21"/>
                <w:highlight w:val="none"/>
              </w:rPr>
            </w:pPr>
            <w:r>
              <w:rPr>
                <w:rFonts w:hint="eastAsia" w:ascii="宋体" w:hAnsi="宋体"/>
                <w:bCs/>
                <w:color w:val="auto"/>
                <w:szCs w:val="21"/>
                <w:highlight w:val="none"/>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rPr>
            </w:pPr>
            <w:r>
              <w:rPr>
                <w:rFonts w:hint="eastAsia" w:hAnsi="宋体"/>
                <w:color w:val="auto"/>
                <w:highlight w:val="none"/>
              </w:rPr>
              <w:t>分标号或本项目</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pPr>
        <w:snapToGrid w:val="0"/>
        <w:spacing w:before="50" w:after="50"/>
        <w:jc w:val="left"/>
        <w:rPr>
          <w:rFonts w:hint="eastAsia" w:ascii="宋体" w:hAnsi="宋体"/>
          <w:color w:val="auto"/>
          <w:szCs w:val="21"/>
          <w:highlight w:val="none"/>
        </w:rPr>
      </w:pP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注: </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1.报价一经涂改，应在涂改处加盖单位公章或者由法定代表人或授权委托人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，否则其投标作无效标处理。</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2.凡需用专用耗材的专用设备类采购项目，应按招标文件规定的耗材量或按耗材的常规试用量提供报价。</w:t>
      </w:r>
    </w:p>
    <w:p>
      <w:pPr>
        <w:snapToGrid w:val="0"/>
        <w:spacing w:line="240" w:lineRule="exact"/>
        <w:jc w:val="left"/>
        <w:rPr>
          <w:rFonts w:hint="eastAsia" w:ascii="宋体" w:hAnsi="宋体"/>
          <w:color w:val="auto"/>
          <w:szCs w:val="21"/>
          <w:highlight w:val="none"/>
        </w:rPr>
      </w:pPr>
      <w:r>
        <w:rPr>
          <w:rFonts w:hint="eastAsia" w:ascii="宋体" w:hAnsi="宋体"/>
          <w:color w:val="auto"/>
          <w:szCs w:val="21"/>
          <w:highlight w:val="none"/>
        </w:rPr>
        <w:t xml:space="preserve">   3.投标费用包括项目实施所需的人工费、运输费、安装调试费、制作投标文件费、税费及其他一切费用。</w:t>
      </w:r>
    </w:p>
    <w:p>
      <w:pPr>
        <w:snapToGrid w:val="0"/>
        <w:spacing w:line="24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4.以上报价应与“投标设备报价明细表”中的“投标总价”相一致。</w:t>
      </w:r>
    </w:p>
    <w:p>
      <w:pPr>
        <w:snapToGrid w:val="0"/>
        <w:spacing w:line="240" w:lineRule="exact"/>
        <w:ind w:left="-2" w:leftChars="-1" w:right="-817" w:rightChars="-389" w:firstLine="421" w:firstLineChars="200"/>
        <w:rPr>
          <w:rFonts w:ascii="宋体" w:hAnsi="宋体"/>
          <w:b/>
          <w:color w:val="auto"/>
          <w:szCs w:val="21"/>
          <w:highlight w:val="none"/>
        </w:rPr>
      </w:pPr>
      <w:r>
        <w:rPr>
          <w:rFonts w:hint="eastAsia" w:ascii="宋体" w:hAnsi="宋体"/>
          <w:b/>
          <w:color w:val="auto"/>
          <w:szCs w:val="21"/>
          <w:highlight w:val="none"/>
        </w:rPr>
        <w:t>5.项目中有多个分标的，每一分标的开标一览表必须分别按格式要求填写并签字、盖章。</w:t>
      </w:r>
    </w:p>
    <w:p>
      <w:pPr>
        <w:snapToGrid w:val="0"/>
        <w:ind w:left="-2" w:leftChars="-1" w:right="-817" w:rightChars="-389" w:firstLine="420" w:firstLineChars="200"/>
        <w:rPr>
          <w:rFonts w:hint="eastAsia" w:ascii="宋体" w:hAnsi="宋体"/>
          <w:color w:val="auto"/>
          <w:szCs w:val="21"/>
          <w:highlight w:val="none"/>
        </w:rPr>
      </w:pPr>
    </w:p>
    <w:p>
      <w:pPr>
        <w:snapToGrid w:val="0"/>
        <w:ind w:left="-2" w:leftChars="-1"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default" w:ascii="宋体" w:hAnsi="宋体"/>
          <w:color w:val="auto"/>
          <w:szCs w:val="21"/>
          <w:highlight w:val="none"/>
          <w:lang w:val="en"/>
        </w:rPr>
        <w:t>签字或签章</w:t>
      </w:r>
      <w:r>
        <w:rPr>
          <w:rFonts w:hint="eastAsia" w:ascii="宋体" w:hAnsi="宋体"/>
          <w:color w:val="auto"/>
          <w:szCs w:val="21"/>
          <w:highlight w:val="none"/>
        </w:rPr>
        <w:t xml:space="preserve">：                    </w:t>
      </w:r>
    </w:p>
    <w:p>
      <w:pPr>
        <w:snapToGrid w:val="0"/>
        <w:ind w:right="-817" w:rightChars="-389" w:firstLine="420" w:firstLineChars="200"/>
        <w:rPr>
          <w:rFonts w:hint="eastAsia" w:ascii="宋体" w:hAnsi="宋体"/>
          <w:color w:val="auto"/>
          <w:szCs w:val="21"/>
          <w:highlight w:val="none"/>
        </w:rPr>
      </w:pPr>
    </w:p>
    <w:p>
      <w:pPr>
        <w:snapToGrid w:val="0"/>
        <w:ind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投标人名称（盖章）：</w:t>
      </w:r>
    </w:p>
    <w:p>
      <w:pPr>
        <w:snapToGrid w:val="0"/>
        <w:jc w:val="center"/>
        <w:rPr>
          <w:rFonts w:hint="eastAsia"/>
          <w:color w:val="auto"/>
          <w:highlight w:val="none"/>
        </w:rPr>
      </w:pPr>
      <w:r>
        <w:rPr>
          <w:rFonts w:hint="eastAsia"/>
          <w:color w:val="auto"/>
          <w:highlight w:val="none"/>
        </w:rPr>
        <w:t xml:space="preserve">                  日期：  年   月   日 </w:t>
      </w:r>
    </w:p>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东文宋体">
    <w:altName w:val="宋体"/>
    <w:panose1 w:val="00000000000000000000"/>
    <w:charset w:val="00"/>
    <w:family w:val="auto"/>
    <w:pitch w:val="default"/>
    <w:sig w:usb0="00000000" w:usb1="00000000" w:usb2="00000000" w:usb3="00000000" w:csb0="00000000" w:csb1="00000000"/>
  </w:font>
  <w:font w:name="汉仪书宋二S">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汉仪叶叶相思体简">
    <w:altName w:val="幼圆"/>
    <w:panose1 w:val="02010509060101010101"/>
    <w:charset w:val="86"/>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Noto Sans CJK HK">
    <w:panose1 w:val="020B0600000000000000"/>
    <w:charset w:val="88"/>
    <w:family w:val="auto"/>
    <w:pitch w:val="default"/>
    <w:sig w:usb0="30000083" w:usb1="2BDF3C10" w:usb2="00000016" w:usb3="00000000" w:csb0="603A0107"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5"/>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aGmCS9MAAAAFAQAADwAAAAAAAAABACAAAAA4AAAAZHJz&#10;L2Rvd25yZXYueG1sUEsBAhQAFAAAAAgAh07iQHXUPqS6AQAAWAMAAA4AAAAAAAAAAQAgAAAAOAEA&#10;AGRycy9lMm9Eb2MueG1sUEsFBgAAAAAGAAYAWQEAAGQFAAAAAA==&#10;">
              <v:fill on="f" focussize="0,0"/>
              <v:stroke on="f" weight="1.25pt"/>
              <v:imagedata o:title=""/>
              <o:lock v:ext="edit" aspectratio="f"/>
              <v:textbox inset="0mm,0mm,0mm,0mm" style="mso-fit-shape-to-text:t;">
                <w:txbxContent>
                  <w:p>
                    <w:pPr>
                      <w:pStyle w:val="35"/>
                      <w:jc w:val="center"/>
                    </w:pPr>
                    <w:r>
                      <w:rPr>
                        <w:rStyle w:val="56"/>
                      </w:rPr>
                      <w:fldChar w:fldCharType="begin"/>
                    </w:r>
                    <w:r>
                      <w:rPr>
                        <w:rStyle w:val="56"/>
                      </w:rPr>
                      <w:instrText xml:space="preserve"> PAGE </w:instrText>
                    </w:r>
                    <w:r>
                      <w:rPr>
                        <w:rStyle w:val="56"/>
                      </w:rPr>
                      <w:fldChar w:fldCharType="separate"/>
                    </w:r>
                    <w:r>
                      <w:rPr>
                        <w:rStyle w:val="56"/>
                      </w:rPr>
                      <w:t>40</w:t>
                    </w:r>
                    <w:r>
                      <w:rPr>
                        <w:rStyle w:val="56"/>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ED013"/>
    <w:multiLevelType w:val="singleLevel"/>
    <w:tmpl w:val="9EFED013"/>
    <w:lvl w:ilvl="0" w:tentative="0">
      <w:start w:val="2"/>
      <w:numFmt w:val="decimal"/>
      <w:suff w:val="nothing"/>
      <w:lvlText w:val="（%1）"/>
      <w:lvlJc w:val="left"/>
      <w:pPr>
        <w:ind w:left="420" w:leftChars="0" w:firstLine="0" w:firstLineChars="0"/>
      </w:pPr>
    </w:lvl>
  </w:abstractNum>
  <w:abstractNum w:abstractNumId="1">
    <w:nsid w:val="BFEA3DC1"/>
    <w:multiLevelType w:val="singleLevel"/>
    <w:tmpl w:val="BFEA3DC1"/>
    <w:lvl w:ilvl="0" w:tentative="0">
      <w:start w:val="43"/>
      <w:numFmt w:val="decimal"/>
      <w:lvlText w:val="%1."/>
      <w:lvlJc w:val="left"/>
      <w:pPr>
        <w:tabs>
          <w:tab w:val="left" w:pos="312"/>
        </w:tabs>
      </w:pPr>
    </w:lvl>
  </w:abstractNum>
  <w:abstractNum w:abstractNumId="2">
    <w:nsid w:val="F4832543"/>
    <w:multiLevelType w:val="singleLevel"/>
    <w:tmpl w:val="F4832543"/>
    <w:lvl w:ilvl="0" w:tentative="0">
      <w:start w:val="43"/>
      <w:numFmt w:val="decimal"/>
      <w:lvlText w:val="%1."/>
      <w:lvlJc w:val="left"/>
      <w:pPr>
        <w:tabs>
          <w:tab w:val="left" w:pos="312"/>
        </w:tabs>
      </w:pPr>
    </w:lvl>
  </w:abstractNum>
  <w:abstractNum w:abstractNumId="3">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4">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7">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1">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02439AD9"/>
    <w:multiLevelType w:val="singleLevel"/>
    <w:tmpl w:val="02439AD9"/>
    <w:lvl w:ilvl="0" w:tentative="0">
      <w:start w:val="2"/>
      <w:numFmt w:val="decimal"/>
      <w:suff w:val="nothing"/>
      <w:lvlText w:val="%1．"/>
      <w:lvlJc w:val="left"/>
    </w:lvl>
  </w:abstractNum>
  <w:abstractNum w:abstractNumId="13">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29"/>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10"/>
  </w:num>
  <w:num w:numId="2">
    <w:abstractNumId w:val="13"/>
  </w:num>
  <w:num w:numId="3">
    <w:abstractNumId w:val="6"/>
  </w:num>
  <w:num w:numId="4">
    <w:abstractNumId w:val="7"/>
  </w:num>
  <w:num w:numId="5">
    <w:abstractNumId w:val="8"/>
  </w:num>
  <w:num w:numId="6">
    <w:abstractNumId w:val="4"/>
  </w:num>
  <w:num w:numId="7">
    <w:abstractNumId w:val="3"/>
  </w:num>
  <w:num w:numId="8">
    <w:abstractNumId w:val="11"/>
  </w:num>
  <w:num w:numId="9">
    <w:abstractNumId w:val="9"/>
  </w:num>
  <w:num w:numId="10">
    <w:abstractNumId w:val="5"/>
  </w:num>
  <w:num w:numId="11">
    <w:abstractNumId w:val="1"/>
  </w:num>
  <w:num w:numId="12">
    <w:abstractNumId w:val="12"/>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430"/>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3E9"/>
    <w:rsid w:val="0005054B"/>
    <w:rsid w:val="000507E6"/>
    <w:rsid w:val="00050ADD"/>
    <w:rsid w:val="000527AA"/>
    <w:rsid w:val="00053526"/>
    <w:rsid w:val="00053753"/>
    <w:rsid w:val="00054FBB"/>
    <w:rsid w:val="000562EF"/>
    <w:rsid w:val="00060C9D"/>
    <w:rsid w:val="000618AE"/>
    <w:rsid w:val="00061B07"/>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0D3"/>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40A"/>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707"/>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C8C"/>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436"/>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575E"/>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66BA"/>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11A6"/>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4DF9"/>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4E53"/>
    <w:rsid w:val="00835E8D"/>
    <w:rsid w:val="00837BA0"/>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CEA"/>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8749C"/>
    <w:rsid w:val="00890974"/>
    <w:rsid w:val="00891011"/>
    <w:rsid w:val="00893D60"/>
    <w:rsid w:val="00893DE6"/>
    <w:rsid w:val="0089416F"/>
    <w:rsid w:val="008947BE"/>
    <w:rsid w:val="008948D4"/>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23C"/>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7F"/>
    <w:rsid w:val="009E60F8"/>
    <w:rsid w:val="009E6510"/>
    <w:rsid w:val="009E6BD2"/>
    <w:rsid w:val="009E6C0B"/>
    <w:rsid w:val="009E7C82"/>
    <w:rsid w:val="009E7DF5"/>
    <w:rsid w:val="009F03D2"/>
    <w:rsid w:val="009F06BC"/>
    <w:rsid w:val="009F07BE"/>
    <w:rsid w:val="009F184C"/>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5DD2"/>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6F7E"/>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580"/>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1AC8"/>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20E"/>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17F58"/>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753ED"/>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33A"/>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42A1"/>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027B"/>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933"/>
    <w:rsid w:val="00FF4AB1"/>
    <w:rsid w:val="00FF540B"/>
    <w:rsid w:val="00FF5D9E"/>
    <w:rsid w:val="00FF6655"/>
    <w:rsid w:val="0123E6E6"/>
    <w:rsid w:val="01583374"/>
    <w:rsid w:val="02146CE3"/>
    <w:rsid w:val="02313EFA"/>
    <w:rsid w:val="02BA21E0"/>
    <w:rsid w:val="02FE35FF"/>
    <w:rsid w:val="03ED241C"/>
    <w:rsid w:val="040B3AF1"/>
    <w:rsid w:val="04AF4A55"/>
    <w:rsid w:val="04EF5FD7"/>
    <w:rsid w:val="05BF1A23"/>
    <w:rsid w:val="07782386"/>
    <w:rsid w:val="07975E52"/>
    <w:rsid w:val="08185842"/>
    <w:rsid w:val="08BBF491"/>
    <w:rsid w:val="0B275F34"/>
    <w:rsid w:val="0BB91062"/>
    <w:rsid w:val="0BBD7265"/>
    <w:rsid w:val="0C041CFF"/>
    <w:rsid w:val="0D603BD0"/>
    <w:rsid w:val="0D7104C2"/>
    <w:rsid w:val="0DFBDADE"/>
    <w:rsid w:val="0E250E55"/>
    <w:rsid w:val="0E327354"/>
    <w:rsid w:val="0EF4169C"/>
    <w:rsid w:val="0EFF17A3"/>
    <w:rsid w:val="0F6C165C"/>
    <w:rsid w:val="0FB13746"/>
    <w:rsid w:val="0FFB22E4"/>
    <w:rsid w:val="109E7071"/>
    <w:rsid w:val="10E539A3"/>
    <w:rsid w:val="11683B24"/>
    <w:rsid w:val="11804676"/>
    <w:rsid w:val="12B9256C"/>
    <w:rsid w:val="12BD7BC5"/>
    <w:rsid w:val="13045DA8"/>
    <w:rsid w:val="1318202A"/>
    <w:rsid w:val="137A2AC6"/>
    <w:rsid w:val="13810AA4"/>
    <w:rsid w:val="13A573FB"/>
    <w:rsid w:val="14DA77BA"/>
    <w:rsid w:val="14FC0436"/>
    <w:rsid w:val="15094A24"/>
    <w:rsid w:val="15DB44F0"/>
    <w:rsid w:val="160C22A3"/>
    <w:rsid w:val="16AF56B0"/>
    <w:rsid w:val="176A5B2B"/>
    <w:rsid w:val="17BDADFB"/>
    <w:rsid w:val="17C96C63"/>
    <w:rsid w:val="17D47B03"/>
    <w:rsid w:val="17DF1EA9"/>
    <w:rsid w:val="19791A18"/>
    <w:rsid w:val="1BCFDB45"/>
    <w:rsid w:val="1BEE6E5A"/>
    <w:rsid w:val="1BEEABE5"/>
    <w:rsid w:val="1BFBF2AE"/>
    <w:rsid w:val="1BFF6D08"/>
    <w:rsid w:val="1C0C0967"/>
    <w:rsid w:val="1C243527"/>
    <w:rsid w:val="1CDEDA0E"/>
    <w:rsid w:val="1CFBAF00"/>
    <w:rsid w:val="1D0A6AFB"/>
    <w:rsid w:val="1DBF436D"/>
    <w:rsid w:val="1DBF78BF"/>
    <w:rsid w:val="1DED703F"/>
    <w:rsid w:val="1DEFB4C7"/>
    <w:rsid w:val="1DFD758E"/>
    <w:rsid w:val="1DFD7FE0"/>
    <w:rsid w:val="1DFFB513"/>
    <w:rsid w:val="1E7D713A"/>
    <w:rsid w:val="1FBF7375"/>
    <w:rsid w:val="1FEE6CB0"/>
    <w:rsid w:val="1FF87464"/>
    <w:rsid w:val="1FF9A8E2"/>
    <w:rsid w:val="1FFF18FE"/>
    <w:rsid w:val="1FFF7D52"/>
    <w:rsid w:val="20653333"/>
    <w:rsid w:val="20773CE7"/>
    <w:rsid w:val="214A7396"/>
    <w:rsid w:val="218F4931"/>
    <w:rsid w:val="21BFC071"/>
    <w:rsid w:val="22986CCA"/>
    <w:rsid w:val="233708A3"/>
    <w:rsid w:val="23AD426F"/>
    <w:rsid w:val="23EC7EB7"/>
    <w:rsid w:val="23FE52B7"/>
    <w:rsid w:val="241000B8"/>
    <w:rsid w:val="241E671A"/>
    <w:rsid w:val="24BC28EB"/>
    <w:rsid w:val="2577011E"/>
    <w:rsid w:val="258F0128"/>
    <w:rsid w:val="25CE052F"/>
    <w:rsid w:val="261D50CD"/>
    <w:rsid w:val="267A5045"/>
    <w:rsid w:val="26D7D936"/>
    <w:rsid w:val="275F976D"/>
    <w:rsid w:val="2776915C"/>
    <w:rsid w:val="279351FA"/>
    <w:rsid w:val="27D04F54"/>
    <w:rsid w:val="27DB2ADC"/>
    <w:rsid w:val="27EFA6FC"/>
    <w:rsid w:val="27EFDAF0"/>
    <w:rsid w:val="28111F47"/>
    <w:rsid w:val="287850B9"/>
    <w:rsid w:val="28C01A4F"/>
    <w:rsid w:val="29DFDC0C"/>
    <w:rsid w:val="2AE125A1"/>
    <w:rsid w:val="2AE61515"/>
    <w:rsid w:val="2B0A5828"/>
    <w:rsid w:val="2BFF6160"/>
    <w:rsid w:val="2CC7271F"/>
    <w:rsid w:val="2CEF1593"/>
    <w:rsid w:val="2D7D3CE6"/>
    <w:rsid w:val="2D7F49AD"/>
    <w:rsid w:val="2DB7A765"/>
    <w:rsid w:val="2DF7D6CC"/>
    <w:rsid w:val="2DFF3AD3"/>
    <w:rsid w:val="2EA7AF2A"/>
    <w:rsid w:val="2EBBF7CD"/>
    <w:rsid w:val="2ECF704C"/>
    <w:rsid w:val="2FAC40AA"/>
    <w:rsid w:val="2FE204FD"/>
    <w:rsid w:val="2FF70A09"/>
    <w:rsid w:val="2FFF07B0"/>
    <w:rsid w:val="30912494"/>
    <w:rsid w:val="30E3C6D8"/>
    <w:rsid w:val="31B735F1"/>
    <w:rsid w:val="337C3269"/>
    <w:rsid w:val="33A930DF"/>
    <w:rsid w:val="33D81035"/>
    <w:rsid w:val="34B779C7"/>
    <w:rsid w:val="34CF5CEC"/>
    <w:rsid w:val="34E055A5"/>
    <w:rsid w:val="34E5346C"/>
    <w:rsid w:val="366FEF9F"/>
    <w:rsid w:val="36F7F6EE"/>
    <w:rsid w:val="36FF3DC3"/>
    <w:rsid w:val="3731156C"/>
    <w:rsid w:val="377FEC31"/>
    <w:rsid w:val="37887318"/>
    <w:rsid w:val="3797248F"/>
    <w:rsid w:val="37EF5621"/>
    <w:rsid w:val="37EF74DB"/>
    <w:rsid w:val="37F76A7A"/>
    <w:rsid w:val="38213B8C"/>
    <w:rsid w:val="38301231"/>
    <w:rsid w:val="385B2C3E"/>
    <w:rsid w:val="389FFD0E"/>
    <w:rsid w:val="392BF547"/>
    <w:rsid w:val="398C4612"/>
    <w:rsid w:val="39B7214F"/>
    <w:rsid w:val="3A7F6245"/>
    <w:rsid w:val="3A9DC0EC"/>
    <w:rsid w:val="3B4FA1AF"/>
    <w:rsid w:val="3B531602"/>
    <w:rsid w:val="3BA9F012"/>
    <w:rsid w:val="3BAB9182"/>
    <w:rsid w:val="3BEB16C6"/>
    <w:rsid w:val="3BEEC0B0"/>
    <w:rsid w:val="3BF66F8C"/>
    <w:rsid w:val="3C2B37B8"/>
    <w:rsid w:val="3C779915"/>
    <w:rsid w:val="3C9B2C06"/>
    <w:rsid w:val="3CB7C9C3"/>
    <w:rsid w:val="3CEF8113"/>
    <w:rsid w:val="3D4C5E9A"/>
    <w:rsid w:val="3D73248C"/>
    <w:rsid w:val="3D761FDF"/>
    <w:rsid w:val="3D7D5F47"/>
    <w:rsid w:val="3D9758B0"/>
    <w:rsid w:val="3DB15A34"/>
    <w:rsid w:val="3DD4574E"/>
    <w:rsid w:val="3DD72671"/>
    <w:rsid w:val="3DEAC215"/>
    <w:rsid w:val="3DEF93A5"/>
    <w:rsid w:val="3DFF2784"/>
    <w:rsid w:val="3EB74863"/>
    <w:rsid w:val="3ECA3916"/>
    <w:rsid w:val="3EF66B68"/>
    <w:rsid w:val="3EF79E87"/>
    <w:rsid w:val="3EFDBEA6"/>
    <w:rsid w:val="3F673003"/>
    <w:rsid w:val="3FAD295C"/>
    <w:rsid w:val="3FAFD343"/>
    <w:rsid w:val="3FBBA733"/>
    <w:rsid w:val="3FBEFB5C"/>
    <w:rsid w:val="3FBF537A"/>
    <w:rsid w:val="3FCF4807"/>
    <w:rsid w:val="3FCF8ACA"/>
    <w:rsid w:val="3FDF3ED9"/>
    <w:rsid w:val="3FDF676E"/>
    <w:rsid w:val="3FE6949F"/>
    <w:rsid w:val="3FEB6D5B"/>
    <w:rsid w:val="3FF1D5C2"/>
    <w:rsid w:val="3FF35356"/>
    <w:rsid w:val="3FFA0245"/>
    <w:rsid w:val="3FFEB1BF"/>
    <w:rsid w:val="3FFF7F4B"/>
    <w:rsid w:val="402E5086"/>
    <w:rsid w:val="421E2F4D"/>
    <w:rsid w:val="428D0BB2"/>
    <w:rsid w:val="43817E6A"/>
    <w:rsid w:val="44260386"/>
    <w:rsid w:val="444C64F8"/>
    <w:rsid w:val="453F3B6B"/>
    <w:rsid w:val="45FF0815"/>
    <w:rsid w:val="46725C94"/>
    <w:rsid w:val="468E1469"/>
    <w:rsid w:val="46E8256D"/>
    <w:rsid w:val="475E2707"/>
    <w:rsid w:val="478B54A2"/>
    <w:rsid w:val="47C47F74"/>
    <w:rsid w:val="47E7B1C1"/>
    <w:rsid w:val="47FD46E8"/>
    <w:rsid w:val="488510E6"/>
    <w:rsid w:val="48FC4684"/>
    <w:rsid w:val="491F48CF"/>
    <w:rsid w:val="4A4E6968"/>
    <w:rsid w:val="4AEFB419"/>
    <w:rsid w:val="4B1AD193"/>
    <w:rsid w:val="4B5005B9"/>
    <w:rsid w:val="4B7744CC"/>
    <w:rsid w:val="4BB7B22D"/>
    <w:rsid w:val="4CBB3BB3"/>
    <w:rsid w:val="4CC5438A"/>
    <w:rsid w:val="4D5ED344"/>
    <w:rsid w:val="4D678F58"/>
    <w:rsid w:val="4D70739B"/>
    <w:rsid w:val="4D8E76E6"/>
    <w:rsid w:val="4DAD3831"/>
    <w:rsid w:val="4DADC526"/>
    <w:rsid w:val="4DB77F1F"/>
    <w:rsid w:val="4DEE7E83"/>
    <w:rsid w:val="4DEF6F6C"/>
    <w:rsid w:val="4DF3F31D"/>
    <w:rsid w:val="4E121292"/>
    <w:rsid w:val="4E1A7565"/>
    <w:rsid w:val="4ED24A28"/>
    <w:rsid w:val="4F4AF30E"/>
    <w:rsid w:val="4F5E1EC6"/>
    <w:rsid w:val="4F6700CF"/>
    <w:rsid w:val="4FA64C4B"/>
    <w:rsid w:val="4FFA63C2"/>
    <w:rsid w:val="4FFF02FB"/>
    <w:rsid w:val="4FFF2983"/>
    <w:rsid w:val="5054172F"/>
    <w:rsid w:val="50F7734E"/>
    <w:rsid w:val="51FF496A"/>
    <w:rsid w:val="525F4103"/>
    <w:rsid w:val="52963FB5"/>
    <w:rsid w:val="537FCC4F"/>
    <w:rsid w:val="53A30406"/>
    <w:rsid w:val="53D90AE1"/>
    <w:rsid w:val="54612FAE"/>
    <w:rsid w:val="547B5C4B"/>
    <w:rsid w:val="55571013"/>
    <w:rsid w:val="5570764A"/>
    <w:rsid w:val="557F59FD"/>
    <w:rsid w:val="558B2ED4"/>
    <w:rsid w:val="55EA6B3E"/>
    <w:rsid w:val="55FF7BDB"/>
    <w:rsid w:val="56FF2B6A"/>
    <w:rsid w:val="56FFA02C"/>
    <w:rsid w:val="56FFCDE5"/>
    <w:rsid w:val="57286503"/>
    <w:rsid w:val="5736C8ED"/>
    <w:rsid w:val="577BB77E"/>
    <w:rsid w:val="577F6437"/>
    <w:rsid w:val="57D74AF1"/>
    <w:rsid w:val="58EE35C0"/>
    <w:rsid w:val="59F7966E"/>
    <w:rsid w:val="5A4E5B07"/>
    <w:rsid w:val="5A7BFCFF"/>
    <w:rsid w:val="5A820BD1"/>
    <w:rsid w:val="5AEDE7B3"/>
    <w:rsid w:val="5AFCBEAC"/>
    <w:rsid w:val="5BE79DD4"/>
    <w:rsid w:val="5BEEA8DA"/>
    <w:rsid w:val="5BFF1A7D"/>
    <w:rsid w:val="5C436DFB"/>
    <w:rsid w:val="5CBB6E3E"/>
    <w:rsid w:val="5D4362E0"/>
    <w:rsid w:val="5D51628F"/>
    <w:rsid w:val="5D526412"/>
    <w:rsid w:val="5D6857E9"/>
    <w:rsid w:val="5D7E3057"/>
    <w:rsid w:val="5D7EA7FE"/>
    <w:rsid w:val="5DB4F2CF"/>
    <w:rsid w:val="5DCD610C"/>
    <w:rsid w:val="5DDF6A97"/>
    <w:rsid w:val="5DFF5A65"/>
    <w:rsid w:val="5E1D3FB1"/>
    <w:rsid w:val="5E2A73C0"/>
    <w:rsid w:val="5E793521"/>
    <w:rsid w:val="5E7F79EF"/>
    <w:rsid w:val="5E8866D7"/>
    <w:rsid w:val="5E8F6133"/>
    <w:rsid w:val="5EB7242C"/>
    <w:rsid w:val="5EE3C637"/>
    <w:rsid w:val="5EF5284B"/>
    <w:rsid w:val="5EFBE8D9"/>
    <w:rsid w:val="5EFCC07A"/>
    <w:rsid w:val="5EFEF3ED"/>
    <w:rsid w:val="5EFF7BE9"/>
    <w:rsid w:val="5F370C2B"/>
    <w:rsid w:val="5F5895B0"/>
    <w:rsid w:val="5F5EBF92"/>
    <w:rsid w:val="5F9E5591"/>
    <w:rsid w:val="5FBB5CE3"/>
    <w:rsid w:val="5FBE7281"/>
    <w:rsid w:val="5FCC1642"/>
    <w:rsid w:val="5FD419BA"/>
    <w:rsid w:val="5FDB0928"/>
    <w:rsid w:val="5FEE4964"/>
    <w:rsid w:val="5FEEF60C"/>
    <w:rsid w:val="5FF6FB1C"/>
    <w:rsid w:val="5FF7A055"/>
    <w:rsid w:val="5FF7A82D"/>
    <w:rsid w:val="5FFDA3EE"/>
    <w:rsid w:val="5FFE8776"/>
    <w:rsid w:val="5FFF611A"/>
    <w:rsid w:val="617FDA56"/>
    <w:rsid w:val="61D7E482"/>
    <w:rsid w:val="62939A67"/>
    <w:rsid w:val="633F6CC7"/>
    <w:rsid w:val="63C12A26"/>
    <w:rsid w:val="63C329BB"/>
    <w:rsid w:val="63EB0A68"/>
    <w:rsid w:val="63FDB491"/>
    <w:rsid w:val="641F491E"/>
    <w:rsid w:val="643566B2"/>
    <w:rsid w:val="64540CC2"/>
    <w:rsid w:val="648C0471"/>
    <w:rsid w:val="656102B9"/>
    <w:rsid w:val="657C820C"/>
    <w:rsid w:val="65B31319"/>
    <w:rsid w:val="65DF9500"/>
    <w:rsid w:val="65F78D8C"/>
    <w:rsid w:val="65FD4BAC"/>
    <w:rsid w:val="65FFE939"/>
    <w:rsid w:val="66442670"/>
    <w:rsid w:val="66BEF470"/>
    <w:rsid w:val="66E999FE"/>
    <w:rsid w:val="672F3A41"/>
    <w:rsid w:val="675EF6D4"/>
    <w:rsid w:val="67781D51"/>
    <w:rsid w:val="67BF9874"/>
    <w:rsid w:val="67E61DB3"/>
    <w:rsid w:val="67EF3224"/>
    <w:rsid w:val="67FE857C"/>
    <w:rsid w:val="684501D4"/>
    <w:rsid w:val="686E411D"/>
    <w:rsid w:val="687C16C2"/>
    <w:rsid w:val="694D23DB"/>
    <w:rsid w:val="697C40AA"/>
    <w:rsid w:val="69EF1D8C"/>
    <w:rsid w:val="6A204C47"/>
    <w:rsid w:val="6A275F63"/>
    <w:rsid w:val="6A7A31E5"/>
    <w:rsid w:val="6AAFED99"/>
    <w:rsid w:val="6AC8F278"/>
    <w:rsid w:val="6AE9C1DA"/>
    <w:rsid w:val="6B436831"/>
    <w:rsid w:val="6B6E3DC4"/>
    <w:rsid w:val="6BD51137"/>
    <w:rsid w:val="6BDA6921"/>
    <w:rsid w:val="6BF7EAFA"/>
    <w:rsid w:val="6BFF5620"/>
    <w:rsid w:val="6BFFD4BB"/>
    <w:rsid w:val="6C066D46"/>
    <w:rsid w:val="6C430D4D"/>
    <w:rsid w:val="6C43F4B8"/>
    <w:rsid w:val="6CFD091F"/>
    <w:rsid w:val="6CFFC3B5"/>
    <w:rsid w:val="6D73CC41"/>
    <w:rsid w:val="6DEF40CD"/>
    <w:rsid w:val="6DF9AADB"/>
    <w:rsid w:val="6EBFEB94"/>
    <w:rsid w:val="6EF127BF"/>
    <w:rsid w:val="6EF35C7B"/>
    <w:rsid w:val="6EFD3EB9"/>
    <w:rsid w:val="6F3B17DD"/>
    <w:rsid w:val="6F4A2F08"/>
    <w:rsid w:val="6F7796A3"/>
    <w:rsid w:val="6F8F7E74"/>
    <w:rsid w:val="6F9FEB8D"/>
    <w:rsid w:val="6FB4E98C"/>
    <w:rsid w:val="6FB78BA2"/>
    <w:rsid w:val="6FCF7FB5"/>
    <w:rsid w:val="6FDE7331"/>
    <w:rsid w:val="6FE5BAF3"/>
    <w:rsid w:val="6FF23D55"/>
    <w:rsid w:val="6FF716C9"/>
    <w:rsid w:val="6FF71E06"/>
    <w:rsid w:val="6FFC15B4"/>
    <w:rsid w:val="6FFD4120"/>
    <w:rsid w:val="6FFDEF57"/>
    <w:rsid w:val="6FFE3253"/>
    <w:rsid w:val="6FFF319E"/>
    <w:rsid w:val="7076285A"/>
    <w:rsid w:val="70C915A1"/>
    <w:rsid w:val="70F4632C"/>
    <w:rsid w:val="71265794"/>
    <w:rsid w:val="716F9959"/>
    <w:rsid w:val="71C542E2"/>
    <w:rsid w:val="71D4553B"/>
    <w:rsid w:val="71F9FC3B"/>
    <w:rsid w:val="71FB6C78"/>
    <w:rsid w:val="71FE8064"/>
    <w:rsid w:val="724E022D"/>
    <w:rsid w:val="727BDBB6"/>
    <w:rsid w:val="729B5156"/>
    <w:rsid w:val="72CF0DAC"/>
    <w:rsid w:val="72F2C217"/>
    <w:rsid w:val="72FB5973"/>
    <w:rsid w:val="73AFD98D"/>
    <w:rsid w:val="73BFDBC7"/>
    <w:rsid w:val="73DF29A0"/>
    <w:rsid w:val="73E99824"/>
    <w:rsid w:val="73EFF69A"/>
    <w:rsid w:val="73FF1F09"/>
    <w:rsid w:val="73FFA5BE"/>
    <w:rsid w:val="744EA2DA"/>
    <w:rsid w:val="74B82C6F"/>
    <w:rsid w:val="74EDFC71"/>
    <w:rsid w:val="75B2D8F4"/>
    <w:rsid w:val="75CB71F4"/>
    <w:rsid w:val="75DF1CB0"/>
    <w:rsid w:val="75DFCDD0"/>
    <w:rsid w:val="75E7EC3E"/>
    <w:rsid w:val="75ED4C81"/>
    <w:rsid w:val="769C3D60"/>
    <w:rsid w:val="76B7A01E"/>
    <w:rsid w:val="76D73466"/>
    <w:rsid w:val="76EDFEA8"/>
    <w:rsid w:val="76EFA86B"/>
    <w:rsid w:val="76FBE0A6"/>
    <w:rsid w:val="76FEB519"/>
    <w:rsid w:val="76FFBDA3"/>
    <w:rsid w:val="77120D81"/>
    <w:rsid w:val="773B6E94"/>
    <w:rsid w:val="773F416B"/>
    <w:rsid w:val="773FC2B4"/>
    <w:rsid w:val="7767697B"/>
    <w:rsid w:val="777E1C13"/>
    <w:rsid w:val="777E241C"/>
    <w:rsid w:val="777FE2C2"/>
    <w:rsid w:val="77BEFEDF"/>
    <w:rsid w:val="77BF2C6C"/>
    <w:rsid w:val="77BF8717"/>
    <w:rsid w:val="77DA9E1C"/>
    <w:rsid w:val="77EBC94C"/>
    <w:rsid w:val="77EE3B24"/>
    <w:rsid w:val="77F3F99A"/>
    <w:rsid w:val="77F7B6A1"/>
    <w:rsid w:val="77FC1973"/>
    <w:rsid w:val="77FD65AF"/>
    <w:rsid w:val="77FE7746"/>
    <w:rsid w:val="77FF2E5D"/>
    <w:rsid w:val="77FF73FE"/>
    <w:rsid w:val="77FF8DE4"/>
    <w:rsid w:val="77FF96DC"/>
    <w:rsid w:val="77FF98D9"/>
    <w:rsid w:val="78566782"/>
    <w:rsid w:val="79FF7B0D"/>
    <w:rsid w:val="7A71A7FD"/>
    <w:rsid w:val="7A97FF58"/>
    <w:rsid w:val="7AF30C9D"/>
    <w:rsid w:val="7AF54256"/>
    <w:rsid w:val="7AF70606"/>
    <w:rsid w:val="7AFE0FCA"/>
    <w:rsid w:val="7B1BC9ED"/>
    <w:rsid w:val="7B3C80AD"/>
    <w:rsid w:val="7B4307D3"/>
    <w:rsid w:val="7B4F838D"/>
    <w:rsid w:val="7B6BB10C"/>
    <w:rsid w:val="7B6F5563"/>
    <w:rsid w:val="7B77F2FD"/>
    <w:rsid w:val="7B77F8E5"/>
    <w:rsid w:val="7B7D359C"/>
    <w:rsid w:val="7B7E6EAB"/>
    <w:rsid w:val="7B7ED2FE"/>
    <w:rsid w:val="7B9A2410"/>
    <w:rsid w:val="7B9FA5D8"/>
    <w:rsid w:val="7BC7C2B2"/>
    <w:rsid w:val="7BCDC113"/>
    <w:rsid w:val="7BD32125"/>
    <w:rsid w:val="7BDB155B"/>
    <w:rsid w:val="7BDFC4D1"/>
    <w:rsid w:val="7BEFBC60"/>
    <w:rsid w:val="7BF5878C"/>
    <w:rsid w:val="7BF5E51E"/>
    <w:rsid w:val="7BFD39A7"/>
    <w:rsid w:val="7BFEB61B"/>
    <w:rsid w:val="7BFF90FF"/>
    <w:rsid w:val="7C133383"/>
    <w:rsid w:val="7C3DCC41"/>
    <w:rsid w:val="7C6E6434"/>
    <w:rsid w:val="7CDF0E31"/>
    <w:rsid w:val="7CE37221"/>
    <w:rsid w:val="7CE7B5D6"/>
    <w:rsid w:val="7CFA7567"/>
    <w:rsid w:val="7CFAD471"/>
    <w:rsid w:val="7CFB3D7D"/>
    <w:rsid w:val="7CFCE577"/>
    <w:rsid w:val="7CFE1B60"/>
    <w:rsid w:val="7D58238C"/>
    <w:rsid w:val="7D6E0348"/>
    <w:rsid w:val="7D732DDD"/>
    <w:rsid w:val="7D7E1CC4"/>
    <w:rsid w:val="7D7F35B0"/>
    <w:rsid w:val="7D8326E3"/>
    <w:rsid w:val="7D8F4F82"/>
    <w:rsid w:val="7DAF073E"/>
    <w:rsid w:val="7DB7C70A"/>
    <w:rsid w:val="7DBA4278"/>
    <w:rsid w:val="7DDB197B"/>
    <w:rsid w:val="7DDF2B9D"/>
    <w:rsid w:val="7DDF54C6"/>
    <w:rsid w:val="7DE863C5"/>
    <w:rsid w:val="7DEEADF7"/>
    <w:rsid w:val="7DEF083D"/>
    <w:rsid w:val="7DEF1F47"/>
    <w:rsid w:val="7DEFC657"/>
    <w:rsid w:val="7DF30AE4"/>
    <w:rsid w:val="7DFDDCC0"/>
    <w:rsid w:val="7DFE8797"/>
    <w:rsid w:val="7DFF9D47"/>
    <w:rsid w:val="7E2B1B1F"/>
    <w:rsid w:val="7E4435A0"/>
    <w:rsid w:val="7E5FC005"/>
    <w:rsid w:val="7E76C969"/>
    <w:rsid w:val="7E7AE341"/>
    <w:rsid w:val="7E7FE21D"/>
    <w:rsid w:val="7EB2B236"/>
    <w:rsid w:val="7EBC11EA"/>
    <w:rsid w:val="7EBF28CA"/>
    <w:rsid w:val="7ECF16B3"/>
    <w:rsid w:val="7ED9541D"/>
    <w:rsid w:val="7EE32EEC"/>
    <w:rsid w:val="7EE71208"/>
    <w:rsid w:val="7EE7312B"/>
    <w:rsid w:val="7EE9456A"/>
    <w:rsid w:val="7EEEA49A"/>
    <w:rsid w:val="7EEEBE07"/>
    <w:rsid w:val="7EF99FF1"/>
    <w:rsid w:val="7EFA5A26"/>
    <w:rsid w:val="7EFC857F"/>
    <w:rsid w:val="7EFF019F"/>
    <w:rsid w:val="7EFF50EB"/>
    <w:rsid w:val="7EFFE722"/>
    <w:rsid w:val="7F37422C"/>
    <w:rsid w:val="7F37B6C6"/>
    <w:rsid w:val="7F4FBD37"/>
    <w:rsid w:val="7F52B9EE"/>
    <w:rsid w:val="7F570B34"/>
    <w:rsid w:val="7F5E413C"/>
    <w:rsid w:val="7F6F268F"/>
    <w:rsid w:val="7F77060B"/>
    <w:rsid w:val="7F770FD4"/>
    <w:rsid w:val="7F795B47"/>
    <w:rsid w:val="7F7EFBC9"/>
    <w:rsid w:val="7F9450B2"/>
    <w:rsid w:val="7F9B6B55"/>
    <w:rsid w:val="7F9E9DD4"/>
    <w:rsid w:val="7FA38CEE"/>
    <w:rsid w:val="7FA932EE"/>
    <w:rsid w:val="7FAD9DD0"/>
    <w:rsid w:val="7FAF17A5"/>
    <w:rsid w:val="7FAF8AFF"/>
    <w:rsid w:val="7FB2CBDF"/>
    <w:rsid w:val="7FBC335E"/>
    <w:rsid w:val="7FBE3A7A"/>
    <w:rsid w:val="7FBEDAF6"/>
    <w:rsid w:val="7FBF790E"/>
    <w:rsid w:val="7FBFA282"/>
    <w:rsid w:val="7FBFAEF6"/>
    <w:rsid w:val="7FBFEB69"/>
    <w:rsid w:val="7FD713CC"/>
    <w:rsid w:val="7FDB945F"/>
    <w:rsid w:val="7FDCADA8"/>
    <w:rsid w:val="7FDE127E"/>
    <w:rsid w:val="7FDE2061"/>
    <w:rsid w:val="7FDE354E"/>
    <w:rsid w:val="7FDEB33A"/>
    <w:rsid w:val="7FDF9342"/>
    <w:rsid w:val="7FDF9C85"/>
    <w:rsid w:val="7FEB85CC"/>
    <w:rsid w:val="7FEEFD1B"/>
    <w:rsid w:val="7FEF1DEB"/>
    <w:rsid w:val="7FEFBBEE"/>
    <w:rsid w:val="7FF37E77"/>
    <w:rsid w:val="7FF453DC"/>
    <w:rsid w:val="7FF72FF4"/>
    <w:rsid w:val="7FFB0636"/>
    <w:rsid w:val="7FFB51BE"/>
    <w:rsid w:val="7FFBA9B5"/>
    <w:rsid w:val="7FFCB6FC"/>
    <w:rsid w:val="7FFE1182"/>
    <w:rsid w:val="7FFEFED7"/>
    <w:rsid w:val="7FFF0A39"/>
    <w:rsid w:val="7FFF2FC4"/>
    <w:rsid w:val="7FFF68F5"/>
    <w:rsid w:val="7FFFA720"/>
    <w:rsid w:val="7FFFA8F0"/>
    <w:rsid w:val="7FFFB070"/>
    <w:rsid w:val="7FFFB9C6"/>
    <w:rsid w:val="857DCA8C"/>
    <w:rsid w:val="873D52FC"/>
    <w:rsid w:val="8B9F340F"/>
    <w:rsid w:val="8F7B6424"/>
    <w:rsid w:val="8FBF9EA4"/>
    <w:rsid w:val="93BB7998"/>
    <w:rsid w:val="93FE2EBD"/>
    <w:rsid w:val="96DB80FD"/>
    <w:rsid w:val="96DD27EB"/>
    <w:rsid w:val="97BFD3AF"/>
    <w:rsid w:val="97D863FB"/>
    <w:rsid w:val="99D77A41"/>
    <w:rsid w:val="9AFAD547"/>
    <w:rsid w:val="9B9FF190"/>
    <w:rsid w:val="9BE7DD3E"/>
    <w:rsid w:val="9CF9F38E"/>
    <w:rsid w:val="9D77CC9D"/>
    <w:rsid w:val="9EE22732"/>
    <w:rsid w:val="9EE35536"/>
    <w:rsid w:val="9EEB06CE"/>
    <w:rsid w:val="9F1BCEB1"/>
    <w:rsid w:val="9F5F0D2C"/>
    <w:rsid w:val="9FBF7360"/>
    <w:rsid w:val="9FD3D22D"/>
    <w:rsid w:val="9FD50814"/>
    <w:rsid w:val="9FDF2FDD"/>
    <w:rsid w:val="9FFF3D56"/>
    <w:rsid w:val="9FFF4D92"/>
    <w:rsid w:val="A5F8D4B3"/>
    <w:rsid w:val="A77A9539"/>
    <w:rsid w:val="A99B7769"/>
    <w:rsid w:val="AB9E912C"/>
    <w:rsid w:val="ABAF73A5"/>
    <w:rsid w:val="ABF7CADC"/>
    <w:rsid w:val="ACF888DA"/>
    <w:rsid w:val="AD26B185"/>
    <w:rsid w:val="AD3D4F96"/>
    <w:rsid w:val="ADCFA514"/>
    <w:rsid w:val="ADFDD8DC"/>
    <w:rsid w:val="AE7F4CDB"/>
    <w:rsid w:val="AF772FC8"/>
    <w:rsid w:val="AFF7527D"/>
    <w:rsid w:val="AFFFA1A6"/>
    <w:rsid w:val="B0FFBD90"/>
    <w:rsid w:val="B37FD117"/>
    <w:rsid w:val="B3DCEFF3"/>
    <w:rsid w:val="B3F763FD"/>
    <w:rsid w:val="B56D5DF7"/>
    <w:rsid w:val="B63F6B32"/>
    <w:rsid w:val="B6DD05AB"/>
    <w:rsid w:val="B74F6CC1"/>
    <w:rsid w:val="B777AE16"/>
    <w:rsid w:val="B77DCC5C"/>
    <w:rsid w:val="B7DF047F"/>
    <w:rsid w:val="B7DF5616"/>
    <w:rsid w:val="B7FE7814"/>
    <w:rsid w:val="B991A51D"/>
    <w:rsid w:val="B9FF6ADC"/>
    <w:rsid w:val="BBAFBAB2"/>
    <w:rsid w:val="BBDCF08F"/>
    <w:rsid w:val="BBE9D1DD"/>
    <w:rsid w:val="BBEFA94F"/>
    <w:rsid w:val="BC5D25E6"/>
    <w:rsid w:val="BC7FDC1C"/>
    <w:rsid w:val="BCB73D11"/>
    <w:rsid w:val="BCDD0456"/>
    <w:rsid w:val="BD1F5AE9"/>
    <w:rsid w:val="BD6F761E"/>
    <w:rsid w:val="BD772A0D"/>
    <w:rsid w:val="BDB15EF2"/>
    <w:rsid w:val="BDB784CD"/>
    <w:rsid w:val="BDBE6A84"/>
    <w:rsid w:val="BDCF6989"/>
    <w:rsid w:val="BDF73FB9"/>
    <w:rsid w:val="BDFE76E1"/>
    <w:rsid w:val="BEDE61D9"/>
    <w:rsid w:val="BEECC0F3"/>
    <w:rsid w:val="BEFE7628"/>
    <w:rsid w:val="BF038994"/>
    <w:rsid w:val="BF6B79BA"/>
    <w:rsid w:val="BF7E5043"/>
    <w:rsid w:val="BF9BDB48"/>
    <w:rsid w:val="BFBE9D7F"/>
    <w:rsid w:val="BFBF242B"/>
    <w:rsid w:val="BFBFA5EB"/>
    <w:rsid w:val="BFBFE6FC"/>
    <w:rsid w:val="BFBFF1F1"/>
    <w:rsid w:val="BFDBE0F0"/>
    <w:rsid w:val="BFDCAF1C"/>
    <w:rsid w:val="BFDE6F09"/>
    <w:rsid w:val="BFDFAA72"/>
    <w:rsid w:val="BFF26A67"/>
    <w:rsid w:val="BFF6E70B"/>
    <w:rsid w:val="BFF7C717"/>
    <w:rsid w:val="BFFFFA17"/>
    <w:rsid w:val="C5AC0AC5"/>
    <w:rsid w:val="C6473A2D"/>
    <w:rsid w:val="C7FB8E09"/>
    <w:rsid w:val="CAF3ED09"/>
    <w:rsid w:val="CBD7518A"/>
    <w:rsid w:val="CBFE3D58"/>
    <w:rsid w:val="CBFEFB0C"/>
    <w:rsid w:val="CBFFC3D9"/>
    <w:rsid w:val="CDFFB12E"/>
    <w:rsid w:val="CEEB128B"/>
    <w:rsid w:val="CF3FC383"/>
    <w:rsid w:val="CF5F5947"/>
    <w:rsid w:val="CF78EB40"/>
    <w:rsid w:val="CF7C7D31"/>
    <w:rsid w:val="CFAF0E91"/>
    <w:rsid w:val="CFF810C0"/>
    <w:rsid w:val="D1EAE632"/>
    <w:rsid w:val="D2F3BC68"/>
    <w:rsid w:val="D4F28F1D"/>
    <w:rsid w:val="D5FA850E"/>
    <w:rsid w:val="D5FF0160"/>
    <w:rsid w:val="D63EF88D"/>
    <w:rsid w:val="D6E45274"/>
    <w:rsid w:val="D74F94BD"/>
    <w:rsid w:val="D769096E"/>
    <w:rsid w:val="D77FEC1C"/>
    <w:rsid w:val="D7BF6BAE"/>
    <w:rsid w:val="D7F79086"/>
    <w:rsid w:val="D7F7DD0A"/>
    <w:rsid w:val="D8722C93"/>
    <w:rsid w:val="D8B34ED6"/>
    <w:rsid w:val="D8DE3529"/>
    <w:rsid w:val="D9FFB7BB"/>
    <w:rsid w:val="DA595172"/>
    <w:rsid w:val="DACCC658"/>
    <w:rsid w:val="DAEE91DF"/>
    <w:rsid w:val="DB3B70C9"/>
    <w:rsid w:val="DB67C22D"/>
    <w:rsid w:val="DB7B533E"/>
    <w:rsid w:val="DBBF4209"/>
    <w:rsid w:val="DBFF2ED8"/>
    <w:rsid w:val="DD7F6851"/>
    <w:rsid w:val="DDDFBEB5"/>
    <w:rsid w:val="DDF160E4"/>
    <w:rsid w:val="DDFF6C41"/>
    <w:rsid w:val="DE7927F5"/>
    <w:rsid w:val="DEBB921B"/>
    <w:rsid w:val="DEDAB6FD"/>
    <w:rsid w:val="DEECBB00"/>
    <w:rsid w:val="DEEF562B"/>
    <w:rsid w:val="DEF35BCA"/>
    <w:rsid w:val="DEF61E86"/>
    <w:rsid w:val="DEFBE734"/>
    <w:rsid w:val="DEFD52A1"/>
    <w:rsid w:val="DF340EEB"/>
    <w:rsid w:val="DF5FE7E6"/>
    <w:rsid w:val="DF7BA1A6"/>
    <w:rsid w:val="DF7FCA58"/>
    <w:rsid w:val="DF7FCB2E"/>
    <w:rsid w:val="DFBA32E6"/>
    <w:rsid w:val="DFBD1562"/>
    <w:rsid w:val="DFBF48F1"/>
    <w:rsid w:val="DFEEABDF"/>
    <w:rsid w:val="DFF4F857"/>
    <w:rsid w:val="DFF5AD9A"/>
    <w:rsid w:val="DFFFBA83"/>
    <w:rsid w:val="DFFFBDC4"/>
    <w:rsid w:val="DFFFC6EA"/>
    <w:rsid w:val="E31F42E7"/>
    <w:rsid w:val="E387722D"/>
    <w:rsid w:val="E4FEF684"/>
    <w:rsid w:val="E53F7E89"/>
    <w:rsid w:val="E59C0E56"/>
    <w:rsid w:val="E5AB030A"/>
    <w:rsid w:val="E65506D3"/>
    <w:rsid w:val="E6F2797E"/>
    <w:rsid w:val="E6F9E6AA"/>
    <w:rsid w:val="E74B0F27"/>
    <w:rsid w:val="E75E182F"/>
    <w:rsid w:val="E777DC6C"/>
    <w:rsid w:val="E79ACF5B"/>
    <w:rsid w:val="E7AA5B5A"/>
    <w:rsid w:val="E7BE4A86"/>
    <w:rsid w:val="E7BF0E98"/>
    <w:rsid w:val="E7D08605"/>
    <w:rsid w:val="E9C71B84"/>
    <w:rsid w:val="EA5DBB83"/>
    <w:rsid w:val="EAEEC950"/>
    <w:rsid w:val="EB5B0968"/>
    <w:rsid w:val="EB7B27EF"/>
    <w:rsid w:val="EBCAF011"/>
    <w:rsid w:val="EBCF2E2D"/>
    <w:rsid w:val="EBDFE16B"/>
    <w:rsid w:val="EBEF4477"/>
    <w:rsid w:val="EBF7F591"/>
    <w:rsid w:val="EC3F55C1"/>
    <w:rsid w:val="ECADA1C7"/>
    <w:rsid w:val="ECBF9672"/>
    <w:rsid w:val="ECCFD51D"/>
    <w:rsid w:val="ECD79EA6"/>
    <w:rsid w:val="ECDF8682"/>
    <w:rsid w:val="EDEBF818"/>
    <w:rsid w:val="EDEC4F9E"/>
    <w:rsid w:val="EDFE0E96"/>
    <w:rsid w:val="EDFF3F2D"/>
    <w:rsid w:val="EE5F0BD7"/>
    <w:rsid w:val="EE73EBDF"/>
    <w:rsid w:val="EE7759B6"/>
    <w:rsid w:val="EE7D49C7"/>
    <w:rsid w:val="EE7D761B"/>
    <w:rsid w:val="EEEA9F01"/>
    <w:rsid w:val="EEED24C7"/>
    <w:rsid w:val="EEEEBEA1"/>
    <w:rsid w:val="EEF770FF"/>
    <w:rsid w:val="EEFBC13C"/>
    <w:rsid w:val="EEFE4270"/>
    <w:rsid w:val="EF3BDF7C"/>
    <w:rsid w:val="EF5F87D5"/>
    <w:rsid w:val="EF5FFFC3"/>
    <w:rsid w:val="EF7BC6B7"/>
    <w:rsid w:val="EF7F047C"/>
    <w:rsid w:val="EF8F01B8"/>
    <w:rsid w:val="EF99C2BB"/>
    <w:rsid w:val="EFD5C645"/>
    <w:rsid w:val="EFD7DBEB"/>
    <w:rsid w:val="EFDC3271"/>
    <w:rsid w:val="EFDF90D8"/>
    <w:rsid w:val="EFEF2AA3"/>
    <w:rsid w:val="EFEFC5E0"/>
    <w:rsid w:val="EFF5ED34"/>
    <w:rsid w:val="EFF7624A"/>
    <w:rsid w:val="EFFB0F67"/>
    <w:rsid w:val="EFFBADC9"/>
    <w:rsid w:val="EFFD087D"/>
    <w:rsid w:val="EFFFD1B5"/>
    <w:rsid w:val="F0E97D8B"/>
    <w:rsid w:val="F27DA92F"/>
    <w:rsid w:val="F27E57AB"/>
    <w:rsid w:val="F2DD75B2"/>
    <w:rsid w:val="F3A35691"/>
    <w:rsid w:val="F3BD0F6A"/>
    <w:rsid w:val="F3BF09FF"/>
    <w:rsid w:val="F3F379BA"/>
    <w:rsid w:val="F3F96835"/>
    <w:rsid w:val="F3FD34E8"/>
    <w:rsid w:val="F3FF7C7F"/>
    <w:rsid w:val="F4FF0120"/>
    <w:rsid w:val="F57E11BD"/>
    <w:rsid w:val="F57F8151"/>
    <w:rsid w:val="F5F23960"/>
    <w:rsid w:val="F5FF76FA"/>
    <w:rsid w:val="F5FFDA11"/>
    <w:rsid w:val="F67B0000"/>
    <w:rsid w:val="F67F2D6B"/>
    <w:rsid w:val="F6CED197"/>
    <w:rsid w:val="F6DF63A2"/>
    <w:rsid w:val="F6F7095B"/>
    <w:rsid w:val="F6FC9CB3"/>
    <w:rsid w:val="F727F50B"/>
    <w:rsid w:val="F72F28E2"/>
    <w:rsid w:val="F73D64AE"/>
    <w:rsid w:val="F747E823"/>
    <w:rsid w:val="F77FDFAB"/>
    <w:rsid w:val="F77FF3DF"/>
    <w:rsid w:val="F7992129"/>
    <w:rsid w:val="F79D24FB"/>
    <w:rsid w:val="F7AB552A"/>
    <w:rsid w:val="F7AEE001"/>
    <w:rsid w:val="F7BF295F"/>
    <w:rsid w:val="F7DDEFF1"/>
    <w:rsid w:val="F7EEBA21"/>
    <w:rsid w:val="F7EEE7EC"/>
    <w:rsid w:val="F7EF3B05"/>
    <w:rsid w:val="F7FD5B87"/>
    <w:rsid w:val="F7FF0303"/>
    <w:rsid w:val="F7FFF532"/>
    <w:rsid w:val="F8EED86C"/>
    <w:rsid w:val="F8FF78C3"/>
    <w:rsid w:val="F93FA157"/>
    <w:rsid w:val="F94F479A"/>
    <w:rsid w:val="F9BF925E"/>
    <w:rsid w:val="F9CF2780"/>
    <w:rsid w:val="F9D544BC"/>
    <w:rsid w:val="F9F417AA"/>
    <w:rsid w:val="F9F7FDF2"/>
    <w:rsid w:val="FA3FD1C5"/>
    <w:rsid w:val="FA7BFDF1"/>
    <w:rsid w:val="FADC1B87"/>
    <w:rsid w:val="FAE7F320"/>
    <w:rsid w:val="FAF0DFC6"/>
    <w:rsid w:val="FAFDF315"/>
    <w:rsid w:val="FB2AB3E5"/>
    <w:rsid w:val="FB4D387A"/>
    <w:rsid w:val="FB5858FB"/>
    <w:rsid w:val="FB5A53A2"/>
    <w:rsid w:val="FB7ECE0D"/>
    <w:rsid w:val="FBA990D1"/>
    <w:rsid w:val="FBAFF34D"/>
    <w:rsid w:val="FBB95C7F"/>
    <w:rsid w:val="FBBBB094"/>
    <w:rsid w:val="FBBBFDBF"/>
    <w:rsid w:val="FBDB9061"/>
    <w:rsid w:val="FBDD71F4"/>
    <w:rsid w:val="FBDF1618"/>
    <w:rsid w:val="FBDF8EC0"/>
    <w:rsid w:val="FBE7AE39"/>
    <w:rsid w:val="FBED9F05"/>
    <w:rsid w:val="FBEF3174"/>
    <w:rsid w:val="FBF38B18"/>
    <w:rsid w:val="FBF3CAA7"/>
    <w:rsid w:val="FBF7A6ED"/>
    <w:rsid w:val="FBF915E9"/>
    <w:rsid w:val="FBFB4CA3"/>
    <w:rsid w:val="FBFB9188"/>
    <w:rsid w:val="FBFD5512"/>
    <w:rsid w:val="FBFE814D"/>
    <w:rsid w:val="FBFF40F4"/>
    <w:rsid w:val="FBFFA369"/>
    <w:rsid w:val="FC7EF94E"/>
    <w:rsid w:val="FC9CDC85"/>
    <w:rsid w:val="FCDEE495"/>
    <w:rsid w:val="FCDFCAF1"/>
    <w:rsid w:val="FCE7D0C1"/>
    <w:rsid w:val="FCEB3F67"/>
    <w:rsid w:val="FCEB6C25"/>
    <w:rsid w:val="FCEE210B"/>
    <w:rsid w:val="FCF4FD18"/>
    <w:rsid w:val="FCF73229"/>
    <w:rsid w:val="FCFC1180"/>
    <w:rsid w:val="FD732306"/>
    <w:rsid w:val="FD7385D8"/>
    <w:rsid w:val="FD7ADA0E"/>
    <w:rsid w:val="FD7BA142"/>
    <w:rsid w:val="FDBF4BBF"/>
    <w:rsid w:val="FDCB7DCA"/>
    <w:rsid w:val="FDD570B8"/>
    <w:rsid w:val="FDDAED36"/>
    <w:rsid w:val="FDDFAAE7"/>
    <w:rsid w:val="FDE6B727"/>
    <w:rsid w:val="FDEF6C90"/>
    <w:rsid w:val="FDF39664"/>
    <w:rsid w:val="FDF74D82"/>
    <w:rsid w:val="FDFCE639"/>
    <w:rsid w:val="FDFFA415"/>
    <w:rsid w:val="FDFFE94D"/>
    <w:rsid w:val="FE03C3A5"/>
    <w:rsid w:val="FE370956"/>
    <w:rsid w:val="FE3F3BD4"/>
    <w:rsid w:val="FE3F4037"/>
    <w:rsid w:val="FE4DB469"/>
    <w:rsid w:val="FE5EC233"/>
    <w:rsid w:val="FE5F682D"/>
    <w:rsid w:val="FE7E6364"/>
    <w:rsid w:val="FE92E028"/>
    <w:rsid w:val="FE9A8C7E"/>
    <w:rsid w:val="FE9D281B"/>
    <w:rsid w:val="FEB7BD29"/>
    <w:rsid w:val="FEBFEFF2"/>
    <w:rsid w:val="FEBFF8EF"/>
    <w:rsid w:val="FECF3F38"/>
    <w:rsid w:val="FEDB2D6F"/>
    <w:rsid w:val="FEDE973F"/>
    <w:rsid w:val="FEEB0125"/>
    <w:rsid w:val="FEEB9229"/>
    <w:rsid w:val="FEF64C97"/>
    <w:rsid w:val="FEF71EB7"/>
    <w:rsid w:val="FEFB2736"/>
    <w:rsid w:val="FEFDC52C"/>
    <w:rsid w:val="FEFE1208"/>
    <w:rsid w:val="FEFFCD5D"/>
    <w:rsid w:val="FEFFF7C5"/>
    <w:rsid w:val="FF02AED4"/>
    <w:rsid w:val="FF130B56"/>
    <w:rsid w:val="FF2D4198"/>
    <w:rsid w:val="FF336FC0"/>
    <w:rsid w:val="FF366BFC"/>
    <w:rsid w:val="FF46559B"/>
    <w:rsid w:val="FF4B5C8F"/>
    <w:rsid w:val="FF6B18CD"/>
    <w:rsid w:val="FF6D1D5D"/>
    <w:rsid w:val="FF6D4B63"/>
    <w:rsid w:val="FF6F4491"/>
    <w:rsid w:val="FF7773DE"/>
    <w:rsid w:val="FF7EC806"/>
    <w:rsid w:val="FF7F554F"/>
    <w:rsid w:val="FF7FD1F0"/>
    <w:rsid w:val="FF8F6DB5"/>
    <w:rsid w:val="FFA59863"/>
    <w:rsid w:val="FFAD8156"/>
    <w:rsid w:val="FFB327D6"/>
    <w:rsid w:val="FFBB1725"/>
    <w:rsid w:val="FFBB5C56"/>
    <w:rsid w:val="FFBD4D1A"/>
    <w:rsid w:val="FFBDF24B"/>
    <w:rsid w:val="FFBF1974"/>
    <w:rsid w:val="FFBF5C9F"/>
    <w:rsid w:val="FFCDDD54"/>
    <w:rsid w:val="FFDD1CDC"/>
    <w:rsid w:val="FFDD6461"/>
    <w:rsid w:val="FFDEA4C1"/>
    <w:rsid w:val="FFDEA5E2"/>
    <w:rsid w:val="FFDF132E"/>
    <w:rsid w:val="FFDF17E5"/>
    <w:rsid w:val="FFDF521D"/>
    <w:rsid w:val="FFE575D1"/>
    <w:rsid w:val="FFE7327E"/>
    <w:rsid w:val="FFEB855A"/>
    <w:rsid w:val="FFEB8EAD"/>
    <w:rsid w:val="FFEDE2B3"/>
    <w:rsid w:val="FFEE3999"/>
    <w:rsid w:val="FFEF3A33"/>
    <w:rsid w:val="FFEFC0E2"/>
    <w:rsid w:val="FFF13DE9"/>
    <w:rsid w:val="FFF6FDFC"/>
    <w:rsid w:val="FFF70967"/>
    <w:rsid w:val="FFF7AB77"/>
    <w:rsid w:val="FFF7CCE5"/>
    <w:rsid w:val="FFF8CC0C"/>
    <w:rsid w:val="FFFAC1C6"/>
    <w:rsid w:val="FFFB3997"/>
    <w:rsid w:val="FFFC7B80"/>
    <w:rsid w:val="FFFCA5FD"/>
    <w:rsid w:val="FFFD808F"/>
    <w:rsid w:val="FFFE301F"/>
    <w:rsid w:val="FFFE4FEB"/>
    <w:rsid w:val="FFFF046A"/>
    <w:rsid w:val="FFFF6F35"/>
    <w:rsid w:val="FFFFDE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72"/>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74"/>
    <w:qFormat/>
    <w:uiPriority w:val="0"/>
    <w:pPr>
      <w:keepNext/>
      <w:keepLines/>
      <w:spacing w:before="280" w:beforeLines="0" w:after="290" w:afterLines="0" w:line="376" w:lineRule="auto"/>
      <w:outlineLvl w:val="4"/>
    </w:pPr>
    <w:rPr>
      <w:b/>
      <w:sz w:val="28"/>
    </w:rPr>
  </w:style>
  <w:style w:type="paragraph" w:styleId="9">
    <w:name w:val="heading 6"/>
    <w:basedOn w:val="1"/>
    <w:next w:val="8"/>
    <w:link w:val="75"/>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76"/>
    <w:qFormat/>
    <w:uiPriority w:val="0"/>
    <w:pPr>
      <w:keepNext/>
      <w:keepLines/>
      <w:spacing w:before="240" w:beforeLines="0" w:after="64" w:afterLines="0" w:line="320" w:lineRule="auto"/>
      <w:outlineLvl w:val="6"/>
    </w:pPr>
    <w:rPr>
      <w:b/>
      <w:sz w:val="24"/>
    </w:rPr>
  </w:style>
  <w:style w:type="paragraph" w:styleId="11">
    <w:name w:val="heading 8"/>
    <w:basedOn w:val="1"/>
    <w:next w:val="8"/>
    <w:link w:val="77"/>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78"/>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79"/>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80"/>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1"/>
    <w:qFormat/>
    <w:uiPriority w:val="0"/>
    <w:rPr>
      <w:sz w:val="28"/>
    </w:rPr>
  </w:style>
  <w:style w:type="paragraph" w:styleId="20">
    <w:name w:val="Body Text 3"/>
    <w:basedOn w:val="1"/>
    <w:link w:val="82"/>
    <w:qFormat/>
    <w:uiPriority w:val="0"/>
    <w:pPr>
      <w:spacing w:line="500" w:lineRule="exact"/>
    </w:pPr>
    <w:rPr>
      <w:b/>
      <w:bCs/>
      <w:sz w:val="24"/>
    </w:rPr>
  </w:style>
  <w:style w:type="paragraph" w:styleId="21">
    <w:name w:val="Body Text"/>
    <w:basedOn w:val="1"/>
    <w:link w:val="69"/>
    <w:qFormat/>
    <w:uiPriority w:val="0"/>
    <w:pPr>
      <w:spacing w:line="380" w:lineRule="exact"/>
    </w:pPr>
    <w:rPr>
      <w:sz w:val="24"/>
    </w:rPr>
  </w:style>
  <w:style w:type="paragraph" w:styleId="22">
    <w:name w:val="Body Text Indent"/>
    <w:basedOn w:val="1"/>
    <w:link w:val="83"/>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84"/>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85"/>
    <w:qFormat/>
    <w:uiPriority w:val="0"/>
    <w:pPr>
      <w:ind w:left="840" w:leftChars="400"/>
    </w:pPr>
  </w:style>
  <w:style w:type="paragraph" w:styleId="29">
    <w:name w:val="Plain Text"/>
    <w:basedOn w:val="1"/>
    <w:next w:val="6"/>
    <w:link w:val="86"/>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87"/>
    <w:qFormat/>
    <w:uiPriority w:val="0"/>
    <w:pPr>
      <w:ind w:left="100" w:leftChars="2500"/>
    </w:pPr>
    <w:rPr>
      <w:rFonts w:ascii="宋体" w:hAnsi="Courier New" w:cs="Courier New"/>
      <w:szCs w:val="21"/>
    </w:rPr>
  </w:style>
  <w:style w:type="paragraph" w:styleId="32">
    <w:name w:val="Body Text Indent 2"/>
    <w:basedOn w:val="1"/>
    <w:link w:val="88"/>
    <w:qFormat/>
    <w:uiPriority w:val="0"/>
    <w:pPr>
      <w:ind w:firstLine="630"/>
    </w:pPr>
    <w:rPr>
      <w:sz w:val="32"/>
      <w:szCs w:val="20"/>
    </w:rPr>
  </w:style>
  <w:style w:type="paragraph" w:styleId="33">
    <w:name w:val="endnote text"/>
    <w:basedOn w:val="1"/>
    <w:link w:val="89"/>
    <w:unhideWhenUsed/>
    <w:qFormat/>
    <w:uiPriority w:val="0"/>
    <w:pPr>
      <w:snapToGrid w:val="0"/>
      <w:jc w:val="left"/>
    </w:pPr>
    <w:rPr>
      <w:rFonts w:ascii="Calibri" w:hAnsi="Calibri"/>
      <w:szCs w:val="22"/>
    </w:rPr>
  </w:style>
  <w:style w:type="paragraph" w:styleId="34">
    <w:name w:val="Balloon Text"/>
    <w:basedOn w:val="1"/>
    <w:link w:val="90"/>
    <w:semiHidden/>
    <w:qFormat/>
    <w:uiPriority w:val="0"/>
    <w:rPr>
      <w:sz w:val="18"/>
      <w:szCs w:val="18"/>
    </w:rPr>
  </w:style>
  <w:style w:type="paragraph" w:styleId="35">
    <w:name w:val="footer"/>
    <w:basedOn w:val="1"/>
    <w:link w:val="91"/>
    <w:qFormat/>
    <w:uiPriority w:val="99"/>
    <w:pPr>
      <w:tabs>
        <w:tab w:val="center" w:pos="4153"/>
        <w:tab w:val="right" w:pos="8306"/>
      </w:tabs>
      <w:snapToGrid w:val="0"/>
      <w:jc w:val="left"/>
    </w:pPr>
    <w:rPr>
      <w:sz w:val="18"/>
      <w:szCs w:val="18"/>
    </w:rPr>
  </w:style>
  <w:style w:type="paragraph" w:styleId="36">
    <w:name w:val="header"/>
    <w:basedOn w:val="1"/>
    <w:link w:val="92"/>
    <w:qFormat/>
    <w:uiPriority w:val="99"/>
    <w:pPr>
      <w:pBdr>
        <w:bottom w:val="single" w:color="auto" w:sz="6" w:space="1"/>
      </w:pBdr>
      <w:tabs>
        <w:tab w:val="center" w:pos="4153"/>
        <w:tab w:val="right" w:pos="8306"/>
      </w:tabs>
      <w:snapToGrid w:val="0"/>
      <w:jc w:val="center"/>
    </w:pPr>
    <w:rPr>
      <w:sz w:val="18"/>
      <w:szCs w:val="18"/>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3"/>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4"/>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5"/>
    <w:qFormat/>
    <w:uiPriority w:val="0"/>
    <w:pPr>
      <w:spacing w:after="120" w:afterLines="0" w:line="480" w:lineRule="auto"/>
    </w:pPr>
  </w:style>
  <w:style w:type="paragraph" w:styleId="46">
    <w:name w:val="HTML Preformatted"/>
    <w:basedOn w:val="1"/>
    <w:link w:val="9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7"/>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8"/>
    <w:next w:val="18"/>
    <w:link w:val="98"/>
    <w:semiHidden/>
    <w:qFormat/>
    <w:uiPriority w:val="0"/>
    <w:pPr>
      <w:adjustRightInd/>
      <w:spacing w:line="240" w:lineRule="auto"/>
      <w:textAlignment w:val="auto"/>
    </w:pPr>
    <w:rPr>
      <w:b/>
      <w:bCs/>
      <w:kern w:val="2"/>
      <w:sz w:val="21"/>
      <w:szCs w:val="24"/>
    </w:rPr>
  </w:style>
  <w:style w:type="paragraph" w:styleId="51">
    <w:name w:val="Body Text First Indent"/>
    <w:basedOn w:val="21"/>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qFormat/>
    <w:uiPriority w:val="0"/>
    <w:rPr>
      <w:i/>
    </w:rPr>
  </w:style>
  <w:style w:type="character" w:styleId="60">
    <w:name w:val="HTML Typewriter"/>
    <w:qFormat/>
    <w:uiPriority w:val="0"/>
    <w:rPr>
      <w:rFonts w:ascii="Courier New" w:hAnsi="Courier New"/>
      <w:sz w:val="20"/>
    </w:rPr>
  </w:style>
  <w:style w:type="character" w:styleId="61">
    <w:name w:val="HTML Acronym"/>
    <w:qFormat/>
    <w:uiPriority w:val="0"/>
    <w:rPr>
      <w:rFonts w:cs="Times New Roman"/>
    </w:rPr>
  </w:style>
  <w:style w:type="character" w:styleId="62">
    <w:name w:val="HTML Variable"/>
    <w:qFormat/>
    <w:uiPriority w:val="0"/>
    <w:rPr>
      <w:i/>
    </w:rPr>
  </w:style>
  <w:style w:type="character" w:styleId="63">
    <w:name w:val="Hyperlink"/>
    <w:qFormat/>
    <w:uiPriority w:val="99"/>
    <w:rPr>
      <w:color w:val="0000FF"/>
      <w:u w:val="single"/>
    </w:rPr>
  </w:style>
  <w:style w:type="character" w:styleId="64">
    <w:name w:val="HTML Code"/>
    <w:qFormat/>
    <w:uiPriority w:val="0"/>
    <w:rPr>
      <w:rFonts w:ascii="Courier New" w:hAnsi="Courier New"/>
      <w:sz w:val="20"/>
    </w:rPr>
  </w:style>
  <w:style w:type="character" w:styleId="65">
    <w:name w:val="annotation reference"/>
    <w:basedOn w:val="54"/>
    <w:qFormat/>
    <w:uiPriority w:val="0"/>
    <w:rPr>
      <w:sz w:val="21"/>
      <w:szCs w:val="21"/>
    </w:rPr>
  </w:style>
  <w:style w:type="character" w:styleId="66">
    <w:name w:val="HTML Cite"/>
    <w:qFormat/>
    <w:uiPriority w:val="0"/>
    <w:rPr>
      <w:i/>
    </w:rPr>
  </w:style>
  <w:style w:type="character" w:styleId="67">
    <w:name w:val="HTML Keyboard"/>
    <w:qFormat/>
    <w:uiPriority w:val="0"/>
    <w:rPr>
      <w:rFonts w:ascii="Courier New" w:hAnsi="Courier New"/>
      <w:sz w:val="20"/>
    </w:rPr>
  </w:style>
  <w:style w:type="character" w:styleId="68">
    <w:name w:val="HTML Sample"/>
    <w:qFormat/>
    <w:uiPriority w:val="0"/>
    <w:rPr>
      <w:rFonts w:ascii="Courier New" w:hAnsi="Courier New"/>
    </w:rPr>
  </w:style>
  <w:style w:type="character" w:customStyle="1" w:styleId="69">
    <w:name w:val="正文文本 字符5"/>
    <w:link w:val="21"/>
    <w:qFormat/>
    <w:uiPriority w:val="0"/>
    <w:rPr>
      <w:rFonts w:eastAsia="宋体"/>
      <w:kern w:val="2"/>
      <w:sz w:val="24"/>
      <w:szCs w:val="24"/>
      <w:lang w:val="en-US" w:eastAsia="zh-CN" w:bidi="ar-SA"/>
    </w:rPr>
  </w:style>
  <w:style w:type="character" w:customStyle="1" w:styleId="70">
    <w:name w:val="标题 1 字符5"/>
    <w:link w:val="3"/>
    <w:qFormat/>
    <w:uiPriority w:val="0"/>
    <w:rPr>
      <w:rFonts w:eastAsia="宋体"/>
      <w:b/>
      <w:bCs/>
      <w:kern w:val="44"/>
      <w:sz w:val="44"/>
      <w:szCs w:val="44"/>
      <w:lang w:val="en-US" w:eastAsia="zh-CN" w:bidi="ar-SA"/>
    </w:rPr>
  </w:style>
  <w:style w:type="character" w:customStyle="1" w:styleId="71">
    <w:name w:val="标题 2 字符5"/>
    <w:link w:val="4"/>
    <w:qFormat/>
    <w:uiPriority w:val="0"/>
    <w:rPr>
      <w:rFonts w:ascii="Arial" w:hAnsi="Arial" w:eastAsia="黑体"/>
      <w:b/>
      <w:bCs/>
      <w:sz w:val="32"/>
      <w:szCs w:val="32"/>
      <w:lang w:bidi="ar-SA"/>
    </w:rPr>
  </w:style>
  <w:style w:type="character" w:customStyle="1" w:styleId="72">
    <w:name w:val="标题 3 字符5"/>
    <w:link w:val="5"/>
    <w:qFormat/>
    <w:uiPriority w:val="0"/>
    <w:rPr>
      <w:rFonts w:eastAsia="宋体"/>
      <w:b/>
      <w:bCs/>
      <w:sz w:val="32"/>
      <w:szCs w:val="32"/>
      <w:lang w:bidi="ar-SA"/>
    </w:rPr>
  </w:style>
  <w:style w:type="character" w:customStyle="1" w:styleId="73">
    <w:name w:val="标题 4 字符5"/>
    <w:link w:val="6"/>
    <w:qFormat/>
    <w:uiPriority w:val="0"/>
    <w:rPr>
      <w:rFonts w:ascii="Arial" w:hAnsi="Arial" w:eastAsia="黑体"/>
      <w:sz w:val="28"/>
      <w:lang w:bidi="ar-SA"/>
    </w:rPr>
  </w:style>
  <w:style w:type="character" w:customStyle="1" w:styleId="74">
    <w:name w:val="标题 5 字符5"/>
    <w:link w:val="7"/>
    <w:qFormat/>
    <w:uiPriority w:val="0"/>
    <w:rPr>
      <w:rFonts w:eastAsia="宋体"/>
      <w:b/>
      <w:kern w:val="2"/>
      <w:sz w:val="28"/>
      <w:szCs w:val="24"/>
      <w:lang w:val="en-US" w:eastAsia="zh-CN" w:bidi="ar-SA"/>
    </w:rPr>
  </w:style>
  <w:style w:type="character" w:customStyle="1" w:styleId="75">
    <w:name w:val="标题 6 字符5"/>
    <w:link w:val="9"/>
    <w:qFormat/>
    <w:uiPriority w:val="0"/>
    <w:rPr>
      <w:rFonts w:ascii="Arial" w:hAnsi="Arial" w:eastAsia="黑体"/>
      <w:b/>
      <w:kern w:val="2"/>
      <w:sz w:val="24"/>
      <w:szCs w:val="24"/>
      <w:lang w:val="en-US" w:eastAsia="zh-CN" w:bidi="ar-SA"/>
    </w:rPr>
  </w:style>
  <w:style w:type="character" w:customStyle="1" w:styleId="76">
    <w:name w:val="标题 7 字符5"/>
    <w:link w:val="10"/>
    <w:qFormat/>
    <w:uiPriority w:val="0"/>
    <w:rPr>
      <w:rFonts w:eastAsia="宋体"/>
      <w:b/>
      <w:kern w:val="2"/>
      <w:sz w:val="24"/>
      <w:szCs w:val="24"/>
      <w:lang w:val="en-US" w:eastAsia="zh-CN" w:bidi="ar-SA"/>
    </w:rPr>
  </w:style>
  <w:style w:type="character" w:customStyle="1" w:styleId="77">
    <w:name w:val="标题 8 字符5"/>
    <w:link w:val="11"/>
    <w:qFormat/>
    <w:uiPriority w:val="0"/>
    <w:rPr>
      <w:rFonts w:ascii="Arial" w:hAnsi="Arial" w:eastAsia="黑体"/>
      <w:kern w:val="2"/>
      <w:sz w:val="24"/>
      <w:szCs w:val="24"/>
      <w:lang w:val="en-US" w:eastAsia="zh-CN" w:bidi="ar-SA"/>
    </w:rPr>
  </w:style>
  <w:style w:type="character" w:customStyle="1" w:styleId="78">
    <w:name w:val="标题 9 字符5"/>
    <w:link w:val="12"/>
    <w:qFormat/>
    <w:uiPriority w:val="0"/>
    <w:rPr>
      <w:rFonts w:ascii="Arial" w:hAnsi="Arial" w:eastAsia="黑体"/>
      <w:kern w:val="2"/>
      <w:sz w:val="21"/>
      <w:szCs w:val="24"/>
      <w:lang w:val="en-US" w:eastAsia="zh-CN" w:bidi="ar-SA"/>
    </w:rPr>
  </w:style>
  <w:style w:type="character" w:customStyle="1" w:styleId="79">
    <w:name w:val="文档结构图 字符5"/>
    <w:link w:val="16"/>
    <w:qFormat/>
    <w:uiPriority w:val="0"/>
    <w:rPr>
      <w:rFonts w:eastAsia="宋体"/>
      <w:kern w:val="2"/>
      <w:sz w:val="21"/>
      <w:szCs w:val="24"/>
      <w:lang w:val="en-US" w:eastAsia="zh-CN" w:bidi="ar-SA"/>
    </w:rPr>
  </w:style>
  <w:style w:type="character" w:customStyle="1" w:styleId="80">
    <w:name w:val="批注文字 字符5"/>
    <w:link w:val="18"/>
    <w:qFormat/>
    <w:uiPriority w:val="0"/>
    <w:rPr>
      <w:rFonts w:eastAsia="宋体"/>
      <w:sz w:val="24"/>
      <w:lang w:bidi="ar-SA"/>
    </w:rPr>
  </w:style>
  <w:style w:type="character" w:customStyle="1" w:styleId="81">
    <w:name w:val="称呼 字符5"/>
    <w:link w:val="19"/>
    <w:qFormat/>
    <w:uiPriority w:val="0"/>
    <w:rPr>
      <w:kern w:val="2"/>
      <w:sz w:val="28"/>
      <w:szCs w:val="24"/>
    </w:rPr>
  </w:style>
  <w:style w:type="character" w:customStyle="1" w:styleId="82">
    <w:name w:val="正文文本 3 字符5"/>
    <w:link w:val="20"/>
    <w:qFormat/>
    <w:uiPriority w:val="0"/>
    <w:rPr>
      <w:rFonts w:eastAsia="宋体"/>
      <w:b/>
      <w:bCs/>
      <w:kern w:val="2"/>
      <w:sz w:val="24"/>
      <w:szCs w:val="24"/>
      <w:lang w:val="en-US" w:eastAsia="zh-CN" w:bidi="ar-SA"/>
    </w:rPr>
  </w:style>
  <w:style w:type="character" w:customStyle="1" w:styleId="83">
    <w:name w:val="正文文本缩进 字符5"/>
    <w:link w:val="22"/>
    <w:qFormat/>
    <w:uiPriority w:val="0"/>
    <w:rPr>
      <w:rFonts w:ascii="仿宋_GB2312" w:eastAsia="仿宋_GB2312"/>
      <w:kern w:val="2"/>
      <w:sz w:val="32"/>
      <w:lang w:val="en-US" w:eastAsia="zh-CN" w:bidi="ar-SA"/>
    </w:rPr>
  </w:style>
  <w:style w:type="character" w:customStyle="1" w:styleId="84">
    <w:name w:val="HTML 地址 字符5"/>
    <w:link w:val="26"/>
    <w:qFormat/>
    <w:locked/>
    <w:uiPriority w:val="0"/>
    <w:rPr>
      <w:rFonts w:ascii="宋体" w:eastAsia="宋体"/>
      <w:i/>
      <w:iCs/>
      <w:kern w:val="21"/>
      <w:sz w:val="21"/>
      <w:szCs w:val="21"/>
      <w:lang w:val="en-US" w:eastAsia="zh-CN" w:bidi="ar-SA"/>
    </w:rPr>
  </w:style>
  <w:style w:type="character" w:customStyle="1" w:styleId="85">
    <w:name w:val="TOC 3 字符1"/>
    <w:link w:val="28"/>
    <w:qFormat/>
    <w:locked/>
    <w:uiPriority w:val="0"/>
    <w:rPr>
      <w:rFonts w:eastAsia="宋体"/>
      <w:kern w:val="2"/>
      <w:sz w:val="21"/>
      <w:szCs w:val="24"/>
      <w:lang w:val="en-US" w:eastAsia="zh-CN" w:bidi="ar-SA"/>
    </w:rPr>
  </w:style>
  <w:style w:type="character" w:customStyle="1" w:styleId="86">
    <w:name w:val="纯文本 字符6"/>
    <w:link w:val="29"/>
    <w:qFormat/>
    <w:uiPriority w:val="0"/>
    <w:rPr>
      <w:rFonts w:ascii="宋体" w:hAnsi="Courier New" w:eastAsia="宋体" w:cs="Courier New"/>
      <w:kern w:val="2"/>
      <w:sz w:val="21"/>
      <w:szCs w:val="21"/>
      <w:lang w:val="en-US" w:eastAsia="zh-CN" w:bidi="ar-SA"/>
    </w:rPr>
  </w:style>
  <w:style w:type="character" w:customStyle="1" w:styleId="87">
    <w:name w:val="日期 字符5"/>
    <w:link w:val="31"/>
    <w:qFormat/>
    <w:uiPriority w:val="0"/>
    <w:rPr>
      <w:rFonts w:ascii="宋体" w:hAnsi="Courier New" w:eastAsia="宋体" w:cs="Courier New"/>
      <w:kern w:val="2"/>
      <w:sz w:val="21"/>
      <w:szCs w:val="21"/>
      <w:lang w:val="en-US" w:eastAsia="zh-CN" w:bidi="ar-SA"/>
    </w:rPr>
  </w:style>
  <w:style w:type="character" w:customStyle="1" w:styleId="88">
    <w:name w:val="正文文本缩进 2 字符5"/>
    <w:link w:val="32"/>
    <w:qFormat/>
    <w:uiPriority w:val="0"/>
    <w:rPr>
      <w:rFonts w:eastAsia="宋体"/>
      <w:kern w:val="2"/>
      <w:sz w:val="32"/>
      <w:lang w:val="en-US" w:eastAsia="zh-CN" w:bidi="ar-SA"/>
    </w:rPr>
  </w:style>
  <w:style w:type="character" w:customStyle="1" w:styleId="89">
    <w:name w:val="尾注文本 字符5"/>
    <w:link w:val="33"/>
    <w:qFormat/>
    <w:uiPriority w:val="0"/>
    <w:rPr>
      <w:rFonts w:ascii="Calibri" w:hAnsi="Calibri"/>
      <w:kern w:val="2"/>
      <w:sz w:val="21"/>
      <w:szCs w:val="22"/>
    </w:rPr>
  </w:style>
  <w:style w:type="character" w:customStyle="1" w:styleId="90">
    <w:name w:val="批注框文本 字符"/>
    <w:link w:val="34"/>
    <w:semiHidden/>
    <w:qFormat/>
    <w:uiPriority w:val="0"/>
    <w:rPr>
      <w:rFonts w:eastAsia="宋体"/>
      <w:kern w:val="2"/>
      <w:sz w:val="18"/>
      <w:szCs w:val="18"/>
      <w:lang w:val="en-US" w:eastAsia="zh-CN" w:bidi="ar-SA"/>
    </w:rPr>
  </w:style>
  <w:style w:type="character" w:customStyle="1" w:styleId="91">
    <w:name w:val="页脚 字符5"/>
    <w:link w:val="35"/>
    <w:qFormat/>
    <w:uiPriority w:val="99"/>
    <w:rPr>
      <w:rFonts w:eastAsia="宋体"/>
      <w:kern w:val="2"/>
      <w:sz w:val="18"/>
      <w:szCs w:val="18"/>
      <w:lang w:val="en-US" w:eastAsia="zh-CN" w:bidi="ar-SA"/>
    </w:rPr>
  </w:style>
  <w:style w:type="character" w:customStyle="1" w:styleId="92">
    <w:name w:val="页眉 字符5"/>
    <w:link w:val="36"/>
    <w:qFormat/>
    <w:uiPriority w:val="99"/>
    <w:rPr>
      <w:rFonts w:eastAsia="宋体"/>
      <w:kern w:val="2"/>
      <w:sz w:val="18"/>
      <w:szCs w:val="18"/>
      <w:lang w:val="en-US" w:eastAsia="zh-CN" w:bidi="ar-SA"/>
    </w:rPr>
  </w:style>
  <w:style w:type="character" w:customStyle="1" w:styleId="93">
    <w:name w:val="脚注文本 字符5"/>
    <w:link w:val="39"/>
    <w:qFormat/>
    <w:locked/>
    <w:uiPriority w:val="0"/>
    <w:rPr>
      <w:rFonts w:ascii="宋体" w:eastAsia="宋体"/>
      <w:kern w:val="21"/>
      <w:sz w:val="18"/>
      <w:szCs w:val="18"/>
      <w:lang w:val="en-US" w:eastAsia="zh-CN" w:bidi="ar-SA"/>
    </w:rPr>
  </w:style>
  <w:style w:type="character" w:customStyle="1" w:styleId="94">
    <w:name w:val="正文文本缩进 3 字符5"/>
    <w:link w:val="42"/>
    <w:qFormat/>
    <w:uiPriority w:val="0"/>
    <w:rPr>
      <w:rFonts w:eastAsia="宋体"/>
      <w:kern w:val="2"/>
      <w:sz w:val="16"/>
      <w:szCs w:val="16"/>
      <w:lang w:val="en-US" w:eastAsia="zh-CN" w:bidi="ar-SA"/>
    </w:rPr>
  </w:style>
  <w:style w:type="character" w:customStyle="1" w:styleId="95">
    <w:name w:val="正文文本 2 字符5"/>
    <w:link w:val="45"/>
    <w:qFormat/>
    <w:uiPriority w:val="0"/>
    <w:rPr>
      <w:rFonts w:eastAsia="宋体"/>
      <w:kern w:val="2"/>
      <w:sz w:val="21"/>
      <w:szCs w:val="24"/>
      <w:lang w:val="en-US" w:eastAsia="zh-CN" w:bidi="ar-SA"/>
    </w:rPr>
  </w:style>
  <w:style w:type="character" w:customStyle="1" w:styleId="96">
    <w:name w:val="HTML 预设格式 字符5"/>
    <w:link w:val="46"/>
    <w:qFormat/>
    <w:uiPriority w:val="0"/>
    <w:rPr>
      <w:rFonts w:ascii="黑体" w:hAnsi="Courier New" w:eastAsia="黑体" w:cs="Courier New"/>
      <w:lang w:val="en-US" w:eastAsia="zh-CN" w:bidi="ar-SA"/>
    </w:rPr>
  </w:style>
  <w:style w:type="character" w:customStyle="1" w:styleId="97">
    <w:name w:val="标题 字符5"/>
    <w:link w:val="49"/>
    <w:qFormat/>
    <w:uiPriority w:val="0"/>
    <w:rPr>
      <w:rFonts w:ascii="Arial" w:hAnsi="Arial" w:eastAsia="宋体"/>
      <w:b/>
      <w:bCs/>
      <w:kern w:val="2"/>
      <w:sz w:val="32"/>
      <w:szCs w:val="32"/>
      <w:lang w:bidi="ar-SA"/>
    </w:rPr>
  </w:style>
  <w:style w:type="character" w:customStyle="1" w:styleId="98">
    <w:name w:val="批注主题 字符"/>
    <w:link w:val="50"/>
    <w:semiHidden/>
    <w:qFormat/>
    <w:uiPriority w:val="0"/>
    <w:rPr>
      <w:b/>
      <w:bCs/>
      <w:kern w:val="2"/>
      <w:sz w:val="21"/>
      <w:szCs w:val="24"/>
    </w:rPr>
  </w:style>
  <w:style w:type="paragraph" w:customStyle="1" w:styleId="99">
    <w:name w:val="表格文字"/>
    <w:basedOn w:val="1"/>
    <w:next w:val="2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0">
    <w:name w:val="_Style 8"/>
    <w:basedOn w:val="16"/>
    <w:qFormat/>
    <w:uiPriority w:val="0"/>
    <w:pPr>
      <w:widowControl/>
      <w:ind w:firstLine="454"/>
      <w:jc w:val="left"/>
    </w:pPr>
  </w:style>
  <w:style w:type="character" w:customStyle="1" w:styleId="10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2">
    <w:name w:val="apple-style-span"/>
    <w:qFormat/>
    <w:uiPriority w:val="0"/>
  </w:style>
  <w:style w:type="character" w:customStyle="1" w:styleId="103">
    <w:name w:val="无间隔 字符9"/>
    <w:link w:val="104"/>
    <w:qFormat/>
    <w:uiPriority w:val="0"/>
    <w:rPr>
      <w:sz w:val="22"/>
      <w:szCs w:val="22"/>
      <w:lang w:val="en-US" w:eastAsia="zh-CN" w:bidi="ar-SA"/>
    </w:rPr>
  </w:style>
  <w:style w:type="paragraph" w:styleId="104">
    <w:name w:val="No Spacing"/>
    <w:link w:val="103"/>
    <w:qFormat/>
    <w:uiPriority w:val="0"/>
    <w:rPr>
      <w:rFonts w:ascii="Times New Roman" w:hAnsi="Times New Roman" w:eastAsia="宋体" w:cs="Times New Roman"/>
      <w:sz w:val="22"/>
      <w:szCs w:val="22"/>
      <w:lang w:val="en-US" w:eastAsia="zh-CN" w:bidi="ar-SA"/>
    </w:rPr>
  </w:style>
  <w:style w:type="character" w:customStyle="1" w:styleId="105">
    <w:name w:val="纯文本 Char"/>
    <w:qFormat/>
    <w:uiPriority w:val="99"/>
    <w:rPr>
      <w:rFonts w:ascii="宋体" w:hAnsi="Courier New" w:eastAsia="宋体"/>
      <w:kern w:val="2"/>
      <w:sz w:val="21"/>
      <w:lang w:val="en-US" w:eastAsia="zh-CN" w:bidi="ar-SA"/>
    </w:rPr>
  </w:style>
  <w:style w:type="character" w:customStyle="1" w:styleId="106">
    <w:name w:val="ca-10"/>
    <w:qFormat/>
    <w:uiPriority w:val="0"/>
  </w:style>
  <w:style w:type="character" w:customStyle="1" w:styleId="107">
    <w:name w:val="Char Char Char Char Char"/>
    <w:qFormat/>
    <w:uiPriority w:val="0"/>
    <w:rPr>
      <w:rFonts w:hint="eastAsia" w:ascii="宋体" w:hAnsi="宋体" w:eastAsia="宋体"/>
      <w:b/>
      <w:bCs/>
      <w:kern w:val="44"/>
      <w:sz w:val="44"/>
      <w:szCs w:val="44"/>
      <w:lang w:val="en-US" w:eastAsia="zh-CN" w:bidi="ar-SA"/>
    </w:rPr>
  </w:style>
  <w:style w:type="character" w:customStyle="1" w:styleId="108">
    <w:name w:val="font41"/>
    <w:qFormat/>
    <w:uiPriority w:val="0"/>
    <w:rPr>
      <w:rFonts w:hint="eastAsia" w:ascii="仿宋_GB2312" w:eastAsia="仿宋_GB2312" w:cs="仿宋_GB2312"/>
      <w:color w:val="000000"/>
      <w:sz w:val="20"/>
      <w:szCs w:val="20"/>
      <w:u w:val="none"/>
    </w:rPr>
  </w:style>
  <w:style w:type="character" w:customStyle="1" w:styleId="109">
    <w:name w:val="ca-11"/>
    <w:qFormat/>
    <w:uiPriority w:val="0"/>
  </w:style>
  <w:style w:type="character" w:customStyle="1" w:styleId="110">
    <w:name w:val="Char Char12"/>
    <w:qFormat/>
    <w:uiPriority w:val="0"/>
    <w:rPr>
      <w:rFonts w:ascii="宋体" w:eastAsia="宋体" w:cs="Courier New"/>
      <w:kern w:val="2"/>
      <w:sz w:val="21"/>
      <w:szCs w:val="21"/>
      <w:lang w:val="en-US" w:eastAsia="zh-CN" w:bidi="ar-SA"/>
    </w:rPr>
  </w:style>
  <w:style w:type="character" w:customStyle="1" w:styleId="111">
    <w:name w:val="普通文字 Char Char4"/>
    <w:qFormat/>
    <w:uiPriority w:val="0"/>
    <w:rPr>
      <w:rFonts w:ascii="宋体" w:hAnsi="Courier New" w:eastAsia="宋体" w:cs="Courier New"/>
      <w:kern w:val="2"/>
      <w:sz w:val="21"/>
      <w:szCs w:val="21"/>
      <w:lang w:val="en-US" w:eastAsia="zh-CN" w:bidi="ar-SA"/>
    </w:rPr>
  </w:style>
  <w:style w:type="character" w:customStyle="1" w:styleId="112">
    <w:name w:val="ca-12"/>
    <w:qFormat/>
    <w:uiPriority w:val="0"/>
  </w:style>
  <w:style w:type="character" w:customStyle="1" w:styleId="113">
    <w:name w:val="font71"/>
    <w:qFormat/>
    <w:uiPriority w:val="0"/>
    <w:rPr>
      <w:rFonts w:hint="eastAsia" w:ascii="宋体" w:hAnsi="宋体" w:eastAsia="宋体" w:cs="宋体"/>
      <w:color w:val="FF0000"/>
      <w:sz w:val="18"/>
      <w:szCs w:val="18"/>
      <w:u w:val="none"/>
    </w:rPr>
  </w:style>
  <w:style w:type="character" w:customStyle="1" w:styleId="114">
    <w:name w:val="unnamed3"/>
    <w:qFormat/>
    <w:uiPriority w:val="0"/>
  </w:style>
  <w:style w:type="character" w:customStyle="1" w:styleId="115">
    <w:name w:val="Char Char7"/>
    <w:qFormat/>
    <w:uiPriority w:val="0"/>
    <w:rPr>
      <w:rFonts w:ascii="宋体" w:eastAsia="宋体" w:cs="Courier New"/>
      <w:kern w:val="2"/>
      <w:sz w:val="21"/>
      <w:szCs w:val="21"/>
      <w:lang w:val="en-US" w:eastAsia="zh-CN" w:bidi="ar-SA"/>
    </w:rPr>
  </w:style>
  <w:style w:type="character" w:customStyle="1" w:styleId="116">
    <w:name w:val="ca-3"/>
    <w:qFormat/>
    <w:uiPriority w:val="0"/>
  </w:style>
  <w:style w:type="character" w:customStyle="1" w:styleId="117">
    <w:name w:val="mark13"/>
    <w:qFormat/>
    <w:uiPriority w:val="0"/>
  </w:style>
  <w:style w:type="character" w:customStyle="1" w:styleId="118">
    <w:name w:val="style21"/>
    <w:qFormat/>
    <w:uiPriority w:val="0"/>
    <w:rPr>
      <w:sz w:val="18"/>
      <w:szCs w:val="18"/>
    </w:rPr>
  </w:style>
  <w:style w:type="character" w:customStyle="1" w:styleId="119">
    <w:name w:val="Char Char14"/>
    <w:qFormat/>
    <w:uiPriority w:val="0"/>
    <w:rPr>
      <w:sz w:val="18"/>
      <w:szCs w:val="18"/>
    </w:rPr>
  </w:style>
  <w:style w:type="character" w:customStyle="1" w:styleId="120">
    <w:name w:val="Char Char15"/>
    <w:qFormat/>
    <w:uiPriority w:val="0"/>
    <w:rPr>
      <w:sz w:val="18"/>
      <w:szCs w:val="18"/>
    </w:rPr>
  </w:style>
  <w:style w:type="character" w:customStyle="1" w:styleId="121">
    <w:name w:val="p1"/>
    <w:qFormat/>
    <w:uiPriority w:val="0"/>
  </w:style>
  <w:style w:type="character" w:customStyle="1" w:styleId="122">
    <w:name w:val="UP标题3 Char Char"/>
    <w:link w:val="123"/>
    <w:qFormat/>
    <w:locked/>
    <w:uiPriority w:val="0"/>
    <w:rPr>
      <w:rFonts w:ascii="黑体" w:eastAsia="黑体"/>
      <w:sz w:val="28"/>
      <w:szCs w:val="28"/>
      <w:lang w:bidi="ar-SA"/>
    </w:rPr>
  </w:style>
  <w:style w:type="paragraph" w:customStyle="1" w:styleId="123">
    <w:name w:val="UP标题3"/>
    <w:basedOn w:val="1"/>
    <w:link w:val="122"/>
    <w:qFormat/>
    <w:uiPriority w:val="0"/>
    <w:pPr>
      <w:spacing w:line="360" w:lineRule="auto"/>
      <w:ind w:firstLine="149" w:firstLineChars="149"/>
    </w:pPr>
    <w:rPr>
      <w:rFonts w:ascii="黑体" w:eastAsia="黑体"/>
      <w:kern w:val="0"/>
      <w:sz w:val="28"/>
      <w:szCs w:val="28"/>
    </w:rPr>
  </w:style>
  <w:style w:type="character" w:customStyle="1" w:styleId="124">
    <w:name w:val="ca-8"/>
    <w:qFormat/>
    <w:uiPriority w:val="0"/>
  </w:style>
  <w:style w:type="character" w:customStyle="1" w:styleId="125">
    <w:name w:val="Body Text Char"/>
    <w:qFormat/>
    <w:locked/>
    <w:uiPriority w:val="0"/>
    <w:rPr>
      <w:rFonts w:eastAsia="宋体"/>
      <w:kern w:val="2"/>
      <w:sz w:val="24"/>
      <w:szCs w:val="24"/>
      <w:lang w:val="en-US" w:eastAsia="zh-CN" w:bidi="ar-SA"/>
    </w:rPr>
  </w:style>
  <w:style w:type="character" w:customStyle="1" w:styleId="126">
    <w:name w:val="ca-16"/>
    <w:qFormat/>
    <w:uiPriority w:val="0"/>
  </w:style>
  <w:style w:type="character" w:customStyle="1" w:styleId="127">
    <w:name w:val="Char Char17"/>
    <w:qFormat/>
    <w:uiPriority w:val="0"/>
    <w:rPr>
      <w:rFonts w:hint="default" w:ascii="Times New Roman" w:hAnsi="Times New Roman" w:cs="Times New Roman"/>
      <w:b/>
      <w:bCs/>
      <w:kern w:val="2"/>
      <w:sz w:val="21"/>
      <w:szCs w:val="24"/>
    </w:rPr>
  </w:style>
  <w:style w:type="character" w:customStyle="1" w:styleId="128">
    <w:name w:val="ca-0"/>
    <w:qFormat/>
    <w:uiPriority w:val="0"/>
  </w:style>
  <w:style w:type="character" w:customStyle="1" w:styleId="129">
    <w:name w:val="Char Char8"/>
    <w:qFormat/>
    <w:uiPriority w:val="0"/>
    <w:rPr>
      <w:rFonts w:hint="eastAsia" w:ascii="仿宋_GB2312" w:eastAsia="仿宋_GB2312"/>
      <w:kern w:val="2"/>
      <w:sz w:val="32"/>
      <w:lang w:val="en-US" w:eastAsia="zh-CN" w:bidi="ar-SA"/>
    </w:rPr>
  </w:style>
  <w:style w:type="character" w:customStyle="1" w:styleId="130">
    <w:name w:val="Char Char3"/>
    <w:qFormat/>
    <w:locked/>
    <w:uiPriority w:val="0"/>
    <w:rPr>
      <w:rFonts w:ascii="宋体" w:hAnsi="Courier New" w:eastAsia="宋体" w:cs="Courier New"/>
      <w:kern w:val="2"/>
      <w:sz w:val="21"/>
      <w:szCs w:val="21"/>
      <w:lang w:val="en-US" w:eastAsia="zh-CN" w:bidi="ar-SA"/>
    </w:rPr>
  </w:style>
  <w:style w:type="character" w:customStyle="1" w:styleId="131">
    <w:name w:val="Char Char2"/>
    <w:qFormat/>
    <w:uiPriority w:val="0"/>
    <w:rPr>
      <w:rFonts w:eastAsia="宋体"/>
      <w:sz w:val="24"/>
    </w:rPr>
  </w:style>
  <w:style w:type="character" w:customStyle="1" w:styleId="132">
    <w:name w:val="批注文字 Char1"/>
    <w:semiHidden/>
    <w:qFormat/>
    <w:uiPriority w:val="0"/>
    <w:rPr>
      <w:kern w:val="2"/>
      <w:sz w:val="21"/>
      <w:szCs w:val="24"/>
    </w:rPr>
  </w:style>
  <w:style w:type="character" w:customStyle="1" w:styleId="133">
    <w:name w:val="Char Char23"/>
    <w:qFormat/>
    <w:uiPriority w:val="0"/>
    <w:rPr>
      <w:rFonts w:hint="default" w:ascii="Times New Roman" w:hAnsi="Times New Roman" w:eastAsia="宋体" w:cs="Times New Roman"/>
      <w:b/>
      <w:bCs/>
      <w:kern w:val="44"/>
      <w:sz w:val="44"/>
      <w:szCs w:val="44"/>
    </w:rPr>
  </w:style>
  <w:style w:type="character" w:customStyle="1" w:styleId="134">
    <w:name w:val="ca-5"/>
    <w:qFormat/>
    <w:uiPriority w:val="0"/>
  </w:style>
  <w:style w:type="character" w:customStyle="1" w:styleId="135">
    <w:name w:val="cubane_hilight1"/>
    <w:qFormat/>
    <w:uiPriority w:val="0"/>
    <w:rPr>
      <w:color w:val="CC0000"/>
    </w:rPr>
  </w:style>
  <w:style w:type="character" w:customStyle="1" w:styleId="136">
    <w:name w:val="ca-7"/>
    <w:qFormat/>
    <w:uiPriority w:val="0"/>
  </w:style>
  <w:style w:type="character" w:customStyle="1" w:styleId="137">
    <w:name w:val="普通文字 Char Char2"/>
    <w:qFormat/>
    <w:uiPriority w:val="0"/>
    <w:rPr>
      <w:rFonts w:ascii="宋体" w:hAnsi="Courier New" w:eastAsia="宋体"/>
      <w:kern w:val="2"/>
      <w:sz w:val="21"/>
      <w:lang w:val="en-US" w:eastAsia="zh-CN" w:bidi="ar-SA"/>
    </w:rPr>
  </w:style>
  <w:style w:type="character" w:customStyle="1" w:styleId="138">
    <w:name w:val="apple-converted-space"/>
    <w:qFormat/>
    <w:uiPriority w:val="0"/>
  </w:style>
  <w:style w:type="character" w:customStyle="1" w:styleId="139">
    <w:name w:val="标题 Char1"/>
    <w:qFormat/>
    <w:uiPriority w:val="0"/>
    <w:rPr>
      <w:rFonts w:hint="default" w:ascii="Cambria" w:hAnsi="Cambria" w:cs="Times New Roman"/>
      <w:b/>
      <w:bCs/>
      <w:kern w:val="2"/>
      <w:sz w:val="32"/>
      <w:szCs w:val="32"/>
    </w:rPr>
  </w:style>
  <w:style w:type="character" w:customStyle="1" w:styleId="140">
    <w:name w:val="ca-4"/>
    <w:qFormat/>
    <w:uiPriority w:val="0"/>
  </w:style>
  <w:style w:type="character" w:customStyle="1" w:styleId="141">
    <w:name w:val="ca-2"/>
    <w:qFormat/>
    <w:uiPriority w:val="0"/>
  </w:style>
  <w:style w:type="character" w:customStyle="1" w:styleId="142">
    <w:name w:val="Char Char10"/>
    <w:semiHidden/>
    <w:qFormat/>
    <w:uiPriority w:val="0"/>
    <w:rPr>
      <w:rFonts w:hint="eastAsia" w:ascii="宋体" w:hAnsi="宋体" w:eastAsia="宋体"/>
      <w:kern w:val="2"/>
      <w:sz w:val="24"/>
      <w:szCs w:val="24"/>
      <w:lang w:val="en-US" w:eastAsia="zh-CN" w:bidi="ar-SA"/>
    </w:rPr>
  </w:style>
  <w:style w:type="character" w:customStyle="1" w:styleId="143">
    <w:name w:val="1ji Char Char"/>
    <w:qFormat/>
    <w:locked/>
    <w:uiPriority w:val="0"/>
    <w:rPr>
      <w:rFonts w:ascii="宋体" w:hAnsi="宋体" w:eastAsia="宋体"/>
      <w:b/>
      <w:bCs/>
      <w:kern w:val="44"/>
      <w:sz w:val="36"/>
      <w:szCs w:val="44"/>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 Char Char10"/>
    <w:semiHidden/>
    <w:qFormat/>
    <w:uiPriority w:val="0"/>
    <w:rPr>
      <w:rFonts w:eastAsia="宋体"/>
      <w:kern w:val="2"/>
      <w:sz w:val="24"/>
      <w:szCs w:val="24"/>
      <w:lang w:val="en-US" w:eastAsia="zh-CN" w:bidi="ar-SA"/>
    </w:rPr>
  </w:style>
  <w:style w:type="character" w:customStyle="1" w:styleId="146">
    <w:name w:val=" Char Char14"/>
    <w:qFormat/>
    <w:uiPriority w:val="0"/>
    <w:rPr>
      <w:sz w:val="18"/>
      <w:szCs w:val="18"/>
    </w:rPr>
  </w:style>
  <w:style w:type="character" w:customStyle="1" w:styleId="147">
    <w:name w:val="H1 Char2"/>
    <w:qFormat/>
    <w:uiPriority w:val="0"/>
    <w:rPr>
      <w:rFonts w:eastAsia="宋体"/>
      <w:b/>
      <w:bCs/>
      <w:kern w:val="44"/>
      <w:sz w:val="44"/>
      <w:szCs w:val="44"/>
      <w:lang w:val="en-US" w:eastAsia="zh-CN" w:bidi="ar-SA"/>
    </w:rPr>
  </w:style>
  <w:style w:type="character" w:customStyle="1" w:styleId="148">
    <w:name w:val="无间隔 Char Char"/>
    <w:qFormat/>
    <w:uiPriority w:val="0"/>
    <w:rPr>
      <w:rFonts w:ascii="Calibri" w:hAnsi="Calibri" w:eastAsia="宋体"/>
      <w:sz w:val="22"/>
      <w:szCs w:val="22"/>
      <w:lang w:val="en-US" w:eastAsia="zh-CN" w:bidi="ar-SA"/>
    </w:rPr>
  </w:style>
  <w:style w:type="character" w:customStyle="1" w:styleId="149">
    <w:name w:val="正文文本缩进 Char1"/>
    <w:semiHidden/>
    <w:qFormat/>
    <w:uiPriority w:val="0"/>
    <w:rPr>
      <w:kern w:val="2"/>
      <w:sz w:val="21"/>
      <w:szCs w:val="22"/>
    </w:rPr>
  </w:style>
  <w:style w:type="character" w:customStyle="1" w:styleId="150">
    <w:name w:val="font31"/>
    <w:qFormat/>
    <w:uiPriority w:val="0"/>
    <w:rPr>
      <w:rFonts w:hint="eastAsia" w:ascii="宋体" w:hAnsi="宋体" w:eastAsia="宋体" w:cs="宋体"/>
      <w:color w:val="000000"/>
      <w:sz w:val="16"/>
      <w:szCs w:val="16"/>
      <w:u w:val="none"/>
    </w:rPr>
  </w:style>
  <w:style w:type="character" w:customStyle="1" w:styleId="151">
    <w:name w:val="Char Char4"/>
    <w:qFormat/>
    <w:locked/>
    <w:uiPriority w:val="0"/>
    <w:rPr>
      <w:rFonts w:ascii="宋体" w:hAnsi="Courier New" w:eastAsia="宋体" w:cs="Courier New"/>
      <w:kern w:val="2"/>
      <w:sz w:val="21"/>
      <w:szCs w:val="21"/>
      <w:lang w:val="en-US" w:eastAsia="zh-CN" w:bidi="ar-SA"/>
    </w:rPr>
  </w:style>
  <w:style w:type="character" w:customStyle="1" w:styleId="152">
    <w:name w:val="Char Char21"/>
    <w:qFormat/>
    <w:uiPriority w:val="0"/>
    <w:rPr>
      <w:rFonts w:ascii="宋体" w:eastAsia="宋体"/>
      <w:sz w:val="24"/>
    </w:rPr>
  </w:style>
  <w:style w:type="character" w:customStyle="1" w:styleId="153">
    <w:name w:val=" Char Char11"/>
    <w:qFormat/>
    <w:uiPriority w:val="0"/>
    <w:rPr>
      <w:rFonts w:ascii="Times New Roman" w:hAnsi="Times New Roman" w:eastAsia="宋体" w:cs="Times New Roman"/>
      <w:sz w:val="30"/>
      <w:szCs w:val="24"/>
    </w:rPr>
  </w:style>
  <w:style w:type="character" w:customStyle="1" w:styleId="154">
    <w:name w:val="font21"/>
    <w:qFormat/>
    <w:uiPriority w:val="0"/>
    <w:rPr>
      <w:rFonts w:ascii="Calibri" w:hAnsi="Calibri" w:cs="Calibri"/>
      <w:color w:val="000000"/>
      <w:sz w:val="20"/>
      <w:szCs w:val="20"/>
      <w:u w:val="none"/>
    </w:rPr>
  </w:style>
  <w:style w:type="character" w:customStyle="1" w:styleId="155">
    <w:name w:val="彩色列表 - 强调文字颜色 1 Char"/>
    <w:qFormat/>
    <w:locked/>
    <w:uiPriority w:val="34"/>
    <w:rPr>
      <w:rFonts w:ascii="Calibri" w:hAnsi="Calibri"/>
      <w:sz w:val="24"/>
      <w:szCs w:val="24"/>
      <w:lang w:eastAsia="en-US"/>
    </w:rPr>
  </w:style>
  <w:style w:type="character" w:customStyle="1" w:styleId="156">
    <w:name w:val="Char Char111"/>
    <w:qFormat/>
    <w:uiPriority w:val="0"/>
    <w:rPr>
      <w:rFonts w:hint="default" w:ascii="Times New Roman" w:hAnsi="Times New Roman" w:eastAsia="宋体" w:cs="Times New Roman"/>
      <w:sz w:val="30"/>
      <w:szCs w:val="24"/>
    </w:rPr>
  </w:style>
  <w:style w:type="character" w:customStyle="1" w:styleId="157">
    <w:name w:val="ca-14"/>
    <w:qFormat/>
    <w:uiPriority w:val="0"/>
  </w:style>
  <w:style w:type="character" w:customStyle="1" w:styleId="158">
    <w:name w:val="font11"/>
    <w:qFormat/>
    <w:uiPriority w:val="0"/>
    <w:rPr>
      <w:rFonts w:hint="eastAsia" w:ascii="宋体" w:hAnsi="宋体" w:eastAsia="宋体" w:cs="宋体"/>
      <w:color w:val="FF0000"/>
      <w:sz w:val="16"/>
      <w:szCs w:val="16"/>
      <w:u w:val="none"/>
    </w:rPr>
  </w:style>
  <w:style w:type="character" w:customStyle="1" w:styleId="159">
    <w:name w:val="row08"/>
    <w:qFormat/>
    <w:uiPriority w:val="0"/>
    <w:rPr>
      <w:rFonts w:cs="Times New Roman"/>
      <w:lang w:bidi="ar-SA"/>
    </w:rPr>
  </w:style>
  <w:style w:type="character" w:customStyle="1" w:styleId="160">
    <w:name w:val="列出段落 Char"/>
    <w:link w:val="161"/>
    <w:qFormat/>
    <w:uiPriority w:val="0"/>
    <w:rPr>
      <w:rFonts w:ascii="Calibri" w:hAnsi="Calibri" w:eastAsia="宋体"/>
      <w:kern w:val="2"/>
      <w:sz w:val="21"/>
      <w:szCs w:val="22"/>
      <w:lang w:val="en-US" w:eastAsia="zh-CN" w:bidi="ar-SA"/>
    </w:rPr>
  </w:style>
  <w:style w:type="paragraph" w:customStyle="1" w:styleId="161">
    <w:name w:val="列出段落3"/>
    <w:basedOn w:val="1"/>
    <w:link w:val="160"/>
    <w:qFormat/>
    <w:uiPriority w:val="0"/>
    <w:pPr>
      <w:ind w:firstLine="420" w:firstLineChars="200"/>
    </w:pPr>
    <w:rPr>
      <w:rFonts w:ascii="Calibri" w:hAnsi="Calibri"/>
      <w:szCs w:val="22"/>
    </w:rPr>
  </w:style>
  <w:style w:type="character" w:customStyle="1" w:styleId="162">
    <w:name w:val="自定义标题一 Char"/>
    <w:link w:val="16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3">
    <w:name w:val="自定义标题一"/>
    <w:basedOn w:val="3"/>
    <w:link w:val="162"/>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4">
    <w:name w:val="Char Char6"/>
    <w:qFormat/>
    <w:locked/>
    <w:uiPriority w:val="0"/>
    <w:rPr>
      <w:rFonts w:ascii="宋体" w:hAnsi="Courier New" w:eastAsia="宋体" w:cs="Courier New"/>
      <w:kern w:val="2"/>
      <w:sz w:val="21"/>
      <w:szCs w:val="21"/>
      <w:lang w:val="en-US" w:eastAsia="zh-CN" w:bidi="ar-SA"/>
    </w:rPr>
  </w:style>
  <w:style w:type="character" w:customStyle="1" w:styleId="165">
    <w:name w:val="ca-15"/>
    <w:qFormat/>
    <w:uiPriority w:val="0"/>
  </w:style>
  <w:style w:type="character" w:customStyle="1" w:styleId="166">
    <w:name w:val="Char Char28"/>
    <w:qFormat/>
    <w:locked/>
    <w:uiPriority w:val="0"/>
    <w:rPr>
      <w:rFonts w:eastAsia="宋体"/>
      <w:b/>
      <w:bCs/>
      <w:kern w:val="44"/>
      <w:sz w:val="44"/>
      <w:szCs w:val="44"/>
      <w:lang w:val="en-US" w:eastAsia="zh-CN" w:bidi="ar-SA"/>
    </w:rPr>
  </w:style>
  <w:style w:type="character" w:customStyle="1" w:styleId="167">
    <w:name w:val=" Char Char Char Char Char"/>
    <w:qFormat/>
    <w:uiPriority w:val="0"/>
    <w:rPr>
      <w:rFonts w:eastAsia="宋体"/>
      <w:b/>
      <w:bCs/>
      <w:kern w:val="44"/>
      <w:sz w:val="44"/>
      <w:szCs w:val="44"/>
      <w:lang w:val="en-US" w:eastAsia="zh-CN" w:bidi="ar-SA"/>
    </w:rPr>
  </w:style>
  <w:style w:type="character" w:customStyle="1" w:styleId="168">
    <w:name w:val="正文2 Char Char"/>
    <w:link w:val="169"/>
    <w:qFormat/>
    <w:locked/>
    <w:uiPriority w:val="0"/>
    <w:rPr>
      <w:kern w:val="2"/>
      <w:sz w:val="28"/>
      <w:szCs w:val="22"/>
      <w:lang w:bidi="ar-SA"/>
    </w:rPr>
  </w:style>
  <w:style w:type="paragraph" w:customStyle="1" w:styleId="169">
    <w:name w:val="正文2"/>
    <w:basedOn w:val="1"/>
    <w:link w:val="168"/>
    <w:qFormat/>
    <w:uiPriority w:val="0"/>
    <w:pPr>
      <w:spacing w:line="360" w:lineRule="auto"/>
      <w:ind w:firstLine="200" w:firstLineChars="200"/>
    </w:pPr>
    <w:rPr>
      <w:sz w:val="28"/>
      <w:szCs w:val="22"/>
    </w:rPr>
  </w:style>
  <w:style w:type="character" w:customStyle="1" w:styleId="170">
    <w:name w:val="正文文字首行缩进 Char"/>
    <w:qFormat/>
    <w:locked/>
    <w:uiPriority w:val="0"/>
    <w:rPr>
      <w:rFonts w:ascii="仿宋_GB2312" w:eastAsia="仿宋_GB2312"/>
      <w:kern w:val="2"/>
      <w:sz w:val="32"/>
    </w:rPr>
  </w:style>
  <w:style w:type="character" w:customStyle="1" w:styleId="171">
    <w:name w:val="Char Char"/>
    <w:qFormat/>
    <w:uiPriority w:val="0"/>
    <w:rPr>
      <w:rFonts w:ascii="宋体" w:eastAsia="宋体" w:cs="Courier New"/>
      <w:kern w:val="2"/>
      <w:sz w:val="21"/>
      <w:szCs w:val="21"/>
      <w:lang w:val="en-US" w:eastAsia="zh-CN" w:bidi="ar-SA"/>
    </w:rPr>
  </w:style>
  <w:style w:type="character" w:customStyle="1" w:styleId="172">
    <w:name w:val="H1 Char"/>
    <w:qFormat/>
    <w:uiPriority w:val="0"/>
    <w:rPr>
      <w:rFonts w:eastAsia="宋体"/>
      <w:b/>
      <w:bCs/>
      <w:kern w:val="44"/>
      <w:sz w:val="44"/>
      <w:szCs w:val="44"/>
      <w:lang w:val="en-US" w:eastAsia="zh-CN" w:bidi="ar-SA"/>
    </w:rPr>
  </w:style>
  <w:style w:type="character" w:customStyle="1" w:styleId="173">
    <w:name w:val="Plain Text Char"/>
    <w:link w:val="174"/>
    <w:qFormat/>
    <w:locked/>
    <w:uiPriority w:val="0"/>
    <w:rPr>
      <w:rFonts w:ascii="宋体" w:hAnsi="Courier New" w:eastAsia="宋体"/>
      <w:kern w:val="2"/>
      <w:sz w:val="21"/>
    </w:rPr>
  </w:style>
  <w:style w:type="paragraph" w:customStyle="1" w:styleId="174">
    <w:name w:val="Plain Text"/>
    <w:basedOn w:val="1"/>
    <w:link w:val="173"/>
    <w:qFormat/>
    <w:uiPriority w:val="0"/>
    <w:rPr>
      <w:rFonts w:ascii="宋体" w:hAnsi="Courier New"/>
      <w:szCs w:val="20"/>
    </w:rPr>
  </w:style>
  <w:style w:type="character" w:customStyle="1" w:styleId="175">
    <w:name w:val="style31"/>
    <w:qFormat/>
    <w:uiPriority w:val="0"/>
    <w:rPr>
      <w:sz w:val="18"/>
      <w:szCs w:val="18"/>
    </w:rPr>
  </w:style>
  <w:style w:type="character" w:customStyle="1" w:styleId="176">
    <w:name w:val="纯文本 字符"/>
    <w:qFormat/>
    <w:uiPriority w:val="0"/>
    <w:rPr>
      <w:rFonts w:ascii="宋体" w:hAnsi="Courier New" w:eastAsia="宋体" w:cs="Courier New"/>
      <w:kern w:val="2"/>
      <w:sz w:val="21"/>
      <w:szCs w:val="21"/>
      <w:lang w:val="en-US" w:eastAsia="zh-CN" w:bidi="ar-SA"/>
    </w:rPr>
  </w:style>
  <w:style w:type="character" w:customStyle="1" w:styleId="177">
    <w:name w:val="ti"/>
    <w:qFormat/>
    <w:uiPriority w:val="0"/>
  </w:style>
  <w:style w:type="character" w:customStyle="1" w:styleId="178">
    <w:name w:val="1ji Char"/>
    <w:link w:val="179"/>
    <w:qFormat/>
    <w:uiPriority w:val="0"/>
    <w:rPr>
      <w:rFonts w:ascii="宋体" w:hAnsi="宋体" w:eastAsia="宋体"/>
      <w:b/>
      <w:bCs/>
      <w:kern w:val="44"/>
      <w:sz w:val="36"/>
      <w:szCs w:val="44"/>
      <w:lang w:val="en-US" w:eastAsia="zh-CN" w:bidi="ar-SA"/>
    </w:rPr>
  </w:style>
  <w:style w:type="paragraph" w:customStyle="1" w:styleId="179">
    <w:name w:val="1ji"/>
    <w:basedOn w:val="3"/>
    <w:link w:val="178"/>
    <w:qFormat/>
    <w:uiPriority w:val="0"/>
    <w:pPr>
      <w:keepLines w:val="0"/>
      <w:widowControl/>
      <w:spacing w:before="0" w:beforeLines="0" w:after="0" w:afterLines="0" w:line="240" w:lineRule="auto"/>
      <w:jc w:val="center"/>
    </w:pPr>
    <w:rPr>
      <w:rFonts w:ascii="宋体" w:hAnsi="宋体"/>
      <w:sz w:val="36"/>
    </w:rPr>
  </w:style>
  <w:style w:type="character" w:customStyle="1" w:styleId="180">
    <w:name w:val=" Char Char23"/>
    <w:qFormat/>
    <w:uiPriority w:val="0"/>
    <w:rPr>
      <w:rFonts w:ascii="Times New Roman" w:hAnsi="Times New Roman" w:eastAsia="宋体" w:cs="Times New Roman"/>
      <w:b/>
      <w:bCs/>
      <w:kern w:val="44"/>
      <w:sz w:val="44"/>
      <w:szCs w:val="44"/>
    </w:rPr>
  </w:style>
  <w:style w:type="character" w:customStyle="1" w:styleId="181">
    <w:name w:val="ca-13"/>
    <w:qFormat/>
    <w:uiPriority w:val="0"/>
  </w:style>
  <w:style w:type="character" w:customStyle="1" w:styleId="182">
    <w:name w:val="纯文本 Char1"/>
    <w:qFormat/>
    <w:uiPriority w:val="99"/>
    <w:rPr>
      <w:rFonts w:ascii="宋体" w:hAnsi="Courier New" w:eastAsia="宋体" w:cs="Courier New"/>
      <w:kern w:val="2"/>
      <w:sz w:val="21"/>
      <w:szCs w:val="21"/>
      <w:lang w:val="en-US" w:eastAsia="zh-CN" w:bidi="ar-SA"/>
    </w:rPr>
  </w:style>
  <w:style w:type="character" w:customStyle="1" w:styleId="183">
    <w:name w:val="font51"/>
    <w:qFormat/>
    <w:uiPriority w:val="0"/>
    <w:rPr>
      <w:rFonts w:hint="eastAsia" w:ascii="宋体" w:hAnsi="宋体" w:eastAsia="宋体" w:cs="宋体"/>
      <w:color w:val="FF0000"/>
      <w:sz w:val="18"/>
      <w:szCs w:val="18"/>
      <w:u w:val="none"/>
      <w:vertAlign w:val="superscript"/>
    </w:rPr>
  </w:style>
  <w:style w:type="character" w:customStyle="1" w:styleId="184">
    <w:name w:val="ca-6"/>
    <w:qFormat/>
    <w:uiPriority w:val="0"/>
  </w:style>
  <w:style w:type="character" w:customStyle="1" w:styleId="185">
    <w:name w:val="style161"/>
    <w:qFormat/>
    <w:uiPriority w:val="0"/>
    <w:rPr>
      <w:color w:val="666666"/>
    </w:rPr>
  </w:style>
  <w:style w:type="character" w:customStyle="1" w:styleId="186">
    <w:name w:val=" Char Char15"/>
    <w:qFormat/>
    <w:uiPriority w:val="0"/>
    <w:rPr>
      <w:sz w:val="18"/>
      <w:szCs w:val="18"/>
    </w:rPr>
  </w:style>
  <w:style w:type="character" w:customStyle="1" w:styleId="187">
    <w:name w:val="llyf92"/>
    <w:qFormat/>
    <w:uiPriority w:val="0"/>
    <w:rPr>
      <w:sz w:val="18"/>
      <w:szCs w:val="18"/>
    </w:rPr>
  </w:style>
  <w:style w:type="paragraph" w:customStyle="1" w:styleId="188">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89">
    <w:name w:val="Char Char1 Char Char Char Char1"/>
    <w:basedOn w:val="16"/>
    <w:qFormat/>
    <w:uiPriority w:val="0"/>
    <w:rPr>
      <w:rFonts w:ascii="Tahoma" w:hAnsi="Tahoma"/>
      <w:sz w:val="24"/>
    </w:rPr>
  </w:style>
  <w:style w:type="paragraph" w:customStyle="1" w:styleId="190">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1">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3">
    <w:name w:val="标准文本"/>
    <w:basedOn w:val="1"/>
    <w:qFormat/>
    <w:uiPriority w:val="0"/>
    <w:pPr>
      <w:spacing w:line="360" w:lineRule="auto"/>
      <w:ind w:firstLine="200" w:firstLineChars="200"/>
    </w:pPr>
    <w:rPr>
      <w:kern w:val="0"/>
      <w:sz w:val="24"/>
      <w:szCs w:val="20"/>
    </w:rPr>
  </w:style>
  <w:style w:type="paragraph" w:customStyle="1" w:styleId="19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5">
    <w:name w:val="font10"/>
    <w:basedOn w:val="1"/>
    <w:qFormat/>
    <w:uiPriority w:val="0"/>
    <w:pPr>
      <w:widowControl/>
      <w:spacing w:before="100" w:beforeAutospacing="1" w:after="100" w:afterAutospacing="1"/>
      <w:jc w:val="left"/>
    </w:pPr>
    <w:rPr>
      <w:color w:val="000000"/>
      <w:kern w:val="0"/>
      <w:sz w:val="24"/>
    </w:rPr>
  </w:style>
  <w:style w:type="paragraph" w:customStyle="1" w:styleId="19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列出段落2"/>
    <w:basedOn w:val="1"/>
    <w:qFormat/>
    <w:uiPriority w:val="0"/>
    <w:pPr>
      <w:ind w:firstLine="420" w:firstLineChars="200"/>
    </w:pPr>
    <w:rPr>
      <w:sz w:val="24"/>
    </w:rPr>
  </w:style>
  <w:style w:type="paragraph" w:customStyle="1" w:styleId="198">
    <w:name w:val="Char Char18"/>
    <w:basedOn w:val="16"/>
    <w:qFormat/>
    <w:uiPriority w:val="0"/>
    <w:pPr>
      <w:widowControl/>
      <w:ind w:firstLine="454"/>
      <w:jc w:val="left"/>
    </w:pPr>
    <w:rPr>
      <w:rFonts w:ascii="Tahoma" w:hAnsi="Tahoma" w:cs="宋体"/>
      <w:kern w:val="0"/>
      <w:sz w:val="24"/>
      <w:szCs w:val="20"/>
    </w:rPr>
  </w:style>
  <w:style w:type="paragraph" w:customStyle="1" w:styleId="199">
    <w:name w:val="Char Char Char Char Char Char Char Char Char"/>
    <w:basedOn w:val="1"/>
    <w:qFormat/>
    <w:uiPriority w:val="0"/>
    <w:pPr>
      <w:widowControl/>
      <w:spacing w:after="160" w:afterLines="0" w:line="240" w:lineRule="exact"/>
      <w:jc w:val="left"/>
    </w:pPr>
    <w:rPr>
      <w:szCs w:val="20"/>
    </w:rPr>
  </w:style>
  <w:style w:type="paragraph" w:customStyle="1" w:styleId="200">
    <w:name w:val="Table Paragraph"/>
    <w:basedOn w:val="1"/>
    <w:qFormat/>
    <w:uiPriority w:val="1"/>
    <w:rPr>
      <w:rFonts w:ascii="宋体" w:hAnsi="宋体" w:cs="宋体"/>
      <w:lang w:val="zh-CN" w:bidi="zh-CN"/>
    </w:rPr>
  </w:style>
  <w:style w:type="paragraph" w:customStyle="1" w:styleId="201">
    <w:name w:val="纯文本1"/>
    <w:basedOn w:val="1"/>
    <w:qFormat/>
    <w:uiPriority w:val="0"/>
    <w:rPr>
      <w:rFonts w:ascii="宋体"/>
      <w:szCs w:val="21"/>
    </w:rPr>
  </w:style>
  <w:style w:type="paragraph" w:customStyle="1" w:styleId="202">
    <w:name w:val="1"/>
    <w:basedOn w:val="1"/>
    <w:next w:val="29"/>
    <w:qFormat/>
    <w:uiPriority w:val="0"/>
    <w:rPr>
      <w:rFonts w:ascii="宋体" w:hAnsi="Courier New"/>
      <w:szCs w:val="20"/>
    </w:rPr>
  </w:style>
  <w:style w:type="paragraph" w:customStyle="1" w:styleId="20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4">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5">
    <w:name w:val=" Char2"/>
    <w:basedOn w:val="1"/>
    <w:qFormat/>
    <w:uiPriority w:val="0"/>
    <w:rPr>
      <w:szCs w:val="20"/>
    </w:rPr>
  </w:style>
  <w:style w:type="paragraph" w:customStyle="1" w:styleId="206">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7">
    <w:name w:val="正文文本缩进 Char Char Char Char"/>
    <w:basedOn w:val="1"/>
    <w:qFormat/>
    <w:uiPriority w:val="0"/>
    <w:pPr>
      <w:ind w:firstLine="540"/>
    </w:pPr>
    <w:rPr>
      <w:rFonts w:hint="eastAsia" w:ascii="宋体" w:hAnsi="Courier New"/>
      <w:szCs w:val="20"/>
    </w:rPr>
  </w:style>
  <w:style w:type="paragraph" w:customStyle="1" w:styleId="208">
    <w:name w:val="Char Char19 Char Char Char Char"/>
    <w:basedOn w:val="16"/>
    <w:qFormat/>
    <w:uiPriority w:val="0"/>
    <w:pPr>
      <w:widowControl/>
      <w:ind w:firstLine="454"/>
      <w:jc w:val="left"/>
    </w:pPr>
  </w:style>
  <w:style w:type="paragraph" w:customStyle="1" w:styleId="209">
    <w:name w:val="pa-14"/>
    <w:basedOn w:val="1"/>
    <w:qFormat/>
    <w:uiPriority w:val="0"/>
    <w:pPr>
      <w:widowControl/>
      <w:spacing w:before="169" w:after="169"/>
      <w:jc w:val="left"/>
    </w:pPr>
    <w:rPr>
      <w:rFonts w:ascii="宋体" w:hAnsi="宋体" w:cs="宋体"/>
      <w:kern w:val="0"/>
      <w:sz w:val="24"/>
    </w:rPr>
  </w:style>
  <w:style w:type="paragraph" w:customStyle="1" w:styleId="210">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1">
    <w:name w:val="msolistparagraph"/>
    <w:basedOn w:val="1"/>
    <w:qFormat/>
    <w:uiPriority w:val="0"/>
    <w:pPr>
      <w:ind w:firstLine="420" w:firstLineChars="200"/>
    </w:pPr>
    <w:rPr>
      <w:rFonts w:ascii="Calibri" w:hAnsi="Calibri"/>
      <w:szCs w:val="22"/>
    </w:rPr>
  </w:style>
  <w:style w:type="paragraph" w:customStyle="1" w:styleId="212">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3">
    <w:name w:val="pa-6"/>
    <w:basedOn w:val="1"/>
    <w:qFormat/>
    <w:uiPriority w:val="0"/>
    <w:pPr>
      <w:widowControl/>
      <w:spacing w:before="169" w:after="169"/>
      <w:jc w:val="left"/>
    </w:pPr>
    <w:rPr>
      <w:rFonts w:ascii="宋体" w:hAnsi="宋体" w:cs="宋体"/>
      <w:kern w:val="0"/>
      <w:sz w:val="24"/>
    </w:rPr>
  </w:style>
  <w:style w:type="paragraph" w:customStyle="1" w:styleId="214">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5">
    <w:name w:val="pa-4"/>
    <w:basedOn w:val="1"/>
    <w:qFormat/>
    <w:uiPriority w:val="0"/>
    <w:pPr>
      <w:widowControl/>
      <w:spacing w:before="169" w:after="169"/>
      <w:jc w:val="left"/>
    </w:pPr>
    <w:rPr>
      <w:rFonts w:ascii="宋体" w:hAnsi="宋体" w:cs="宋体"/>
      <w:kern w:val="0"/>
      <w:sz w:val="24"/>
    </w:rPr>
  </w:style>
  <w:style w:type="paragraph" w:customStyle="1" w:styleId="216">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7">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0">
    <w:name w:val="7"/>
    <w:basedOn w:val="16"/>
    <w:qFormat/>
    <w:uiPriority w:val="0"/>
    <w:pPr>
      <w:widowControl/>
      <w:ind w:firstLine="454"/>
      <w:jc w:val="left"/>
    </w:pPr>
    <w:rPr>
      <w:rFonts w:ascii="Tahoma" w:hAnsi="Tahoma" w:cs="宋体"/>
      <w:kern w:val="0"/>
      <w:sz w:val="24"/>
      <w:szCs w:val="20"/>
    </w:rPr>
  </w:style>
  <w:style w:type="paragraph" w:customStyle="1" w:styleId="221">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2">
    <w:name w:val="pa-10"/>
    <w:basedOn w:val="1"/>
    <w:qFormat/>
    <w:uiPriority w:val="0"/>
    <w:pPr>
      <w:widowControl/>
      <w:spacing w:before="169" w:after="169"/>
      <w:jc w:val="left"/>
    </w:pPr>
    <w:rPr>
      <w:rFonts w:ascii="宋体" w:hAnsi="宋体" w:cs="宋体"/>
      <w:kern w:val="0"/>
      <w:sz w:val="24"/>
    </w:rPr>
  </w:style>
  <w:style w:type="paragraph" w:customStyle="1" w:styleId="223">
    <w:name w:val="表格"/>
    <w:basedOn w:val="1"/>
    <w:qFormat/>
    <w:uiPriority w:val="0"/>
    <w:pPr>
      <w:spacing w:line="400" w:lineRule="exact"/>
    </w:pPr>
    <w:rPr>
      <w:sz w:val="24"/>
    </w:rPr>
  </w:style>
  <w:style w:type="paragraph" w:customStyle="1" w:styleId="224">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5">
    <w:name w:val="p15"/>
    <w:basedOn w:val="1"/>
    <w:qFormat/>
    <w:uiPriority w:val="0"/>
    <w:pPr>
      <w:widowControl/>
    </w:pPr>
    <w:rPr>
      <w:rFonts w:ascii="宋体" w:hAnsi="宋体" w:cs="宋体"/>
      <w:kern w:val="0"/>
      <w:szCs w:val="21"/>
    </w:rPr>
  </w:style>
  <w:style w:type="paragraph" w:customStyle="1" w:styleId="226">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7">
    <w:name w:val="正文段"/>
    <w:basedOn w:val="1"/>
    <w:qFormat/>
    <w:uiPriority w:val="0"/>
    <w:pPr>
      <w:widowControl/>
      <w:snapToGrid w:val="0"/>
      <w:spacing w:after="156" w:afterLines="50"/>
      <w:ind w:firstLine="200" w:firstLineChars="200"/>
    </w:pPr>
    <w:rPr>
      <w:kern w:val="0"/>
      <w:sz w:val="24"/>
      <w:szCs w:val="20"/>
    </w:rPr>
  </w:style>
  <w:style w:type="paragraph" w:customStyle="1" w:styleId="22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29">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1">
    <w:name w:val="p0"/>
    <w:basedOn w:val="1"/>
    <w:qFormat/>
    <w:uiPriority w:val="0"/>
    <w:pPr>
      <w:widowControl/>
    </w:pPr>
    <w:rPr>
      <w:kern w:val="0"/>
      <w:szCs w:val="21"/>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Char"/>
    <w:link w:val="232"/>
    <w:qFormat/>
    <w:locked/>
    <w:uiPriority w:val="0"/>
    <w:rPr>
      <w:rFonts w:ascii="宋体"/>
      <w:sz w:val="21"/>
      <w:lang w:val="en-US" w:eastAsia="zh-CN" w:bidi="ar-SA"/>
    </w:rPr>
  </w:style>
  <w:style w:type="paragraph" w:customStyle="1" w:styleId="234">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5">
    <w:name w:val=" Char Char19 Char Char Char Char"/>
    <w:basedOn w:val="16"/>
    <w:qFormat/>
    <w:uiPriority w:val="0"/>
    <w:pPr>
      <w:widowControl/>
      <w:ind w:firstLine="454"/>
      <w:jc w:val="left"/>
    </w:pPr>
  </w:style>
  <w:style w:type="paragraph" w:customStyle="1" w:styleId="236">
    <w:name w:val="文章总标题"/>
    <w:basedOn w:val="1"/>
    <w:next w:val="20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7">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8">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39">
    <w:name w:val="4"/>
    <w:basedOn w:val="1"/>
    <w:next w:val="32"/>
    <w:qFormat/>
    <w:uiPriority w:val="0"/>
    <w:pPr>
      <w:spacing w:line="420" w:lineRule="exact"/>
      <w:ind w:firstLine="409" w:firstLineChars="195"/>
    </w:pPr>
  </w:style>
  <w:style w:type="paragraph" w:customStyle="1" w:styleId="240">
    <w:name w:val="pa-8"/>
    <w:basedOn w:val="1"/>
    <w:qFormat/>
    <w:uiPriority w:val="0"/>
    <w:pPr>
      <w:widowControl/>
      <w:spacing w:before="169" w:after="169"/>
      <w:jc w:val="left"/>
    </w:pPr>
    <w:rPr>
      <w:rFonts w:ascii="宋体" w:hAnsi="宋体" w:cs="宋体"/>
      <w:kern w:val="0"/>
      <w:sz w:val="24"/>
    </w:rPr>
  </w:style>
  <w:style w:type="paragraph" w:customStyle="1" w:styleId="241">
    <w:name w:val="Char Char Char Char"/>
    <w:basedOn w:val="16"/>
    <w:qFormat/>
    <w:uiPriority w:val="0"/>
    <w:pPr>
      <w:adjustRightInd w:val="0"/>
      <w:snapToGrid w:val="0"/>
      <w:spacing w:line="360" w:lineRule="auto"/>
    </w:pPr>
    <w:rPr>
      <w:rFonts w:ascii="Tahoma" w:hAnsi="Tahoma"/>
      <w:sz w:val="24"/>
    </w:rPr>
  </w:style>
  <w:style w:type="paragraph" w:customStyle="1" w:styleId="242">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3">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4">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245">
    <w:name w:val="No Spacing11"/>
    <w:link w:val="246"/>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6">
    <w:name w:val="No Spacing Char"/>
    <w:link w:val="245"/>
    <w:qFormat/>
    <w:locked/>
    <w:uiPriority w:val="0"/>
    <w:rPr>
      <w:kern w:val="2"/>
      <w:sz w:val="21"/>
      <w:szCs w:val="22"/>
      <w:lang w:val="en-US" w:eastAsia="zh-CN" w:bidi="ar-SA"/>
    </w:rPr>
  </w:style>
  <w:style w:type="paragraph" w:customStyle="1" w:styleId="247">
    <w:name w:val="Char21"/>
    <w:basedOn w:val="1"/>
    <w:qFormat/>
    <w:uiPriority w:val="0"/>
    <w:pPr>
      <w:widowControl/>
      <w:spacing w:after="160" w:line="240" w:lineRule="exact"/>
      <w:jc w:val="left"/>
    </w:p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49">
    <w:name w:val="默认段落字体 Para Char"/>
    <w:basedOn w:val="1"/>
    <w:qFormat/>
    <w:uiPriority w:val="0"/>
    <w:pPr>
      <w:adjustRightInd w:val="0"/>
      <w:spacing w:line="360" w:lineRule="auto"/>
    </w:pPr>
    <w:rPr>
      <w:szCs w:val="20"/>
    </w:rPr>
  </w:style>
  <w:style w:type="paragraph" w:customStyle="1" w:styleId="250">
    <w:name w:val="Char11"/>
    <w:basedOn w:val="16"/>
    <w:qFormat/>
    <w:uiPriority w:val="0"/>
    <w:pPr>
      <w:widowControl/>
      <w:ind w:firstLine="454"/>
      <w:jc w:val="left"/>
    </w:pPr>
    <w:rPr>
      <w:rFonts w:ascii="Tahoma" w:hAnsi="Tahoma" w:cs="宋体"/>
      <w:kern w:val="0"/>
      <w:sz w:val="24"/>
      <w:szCs w:val="20"/>
    </w:rPr>
  </w:style>
  <w:style w:type="paragraph" w:customStyle="1" w:styleId="251">
    <w:name w:val="pa-11"/>
    <w:basedOn w:val="1"/>
    <w:qFormat/>
    <w:uiPriority w:val="0"/>
    <w:pPr>
      <w:widowControl/>
      <w:spacing w:before="169" w:after="169"/>
      <w:jc w:val="left"/>
    </w:pPr>
    <w:rPr>
      <w:rFonts w:ascii="宋体" w:hAnsi="宋体" w:cs="宋体"/>
      <w:kern w:val="0"/>
      <w:sz w:val="24"/>
    </w:rPr>
  </w:style>
  <w:style w:type="paragraph" w:customStyle="1" w:styleId="252">
    <w:name w:val=" Char"/>
    <w:basedOn w:val="16"/>
    <w:qFormat/>
    <w:uiPriority w:val="0"/>
    <w:pPr>
      <w:widowControl/>
      <w:ind w:firstLine="454"/>
      <w:jc w:val="left"/>
    </w:pPr>
    <w:rPr>
      <w:rFonts w:ascii="Tahoma" w:hAnsi="Tahoma" w:cs="宋体"/>
      <w:kern w:val="0"/>
      <w:sz w:val="24"/>
      <w:szCs w:val="20"/>
    </w:rPr>
  </w:style>
  <w:style w:type="paragraph" w:customStyle="1" w:styleId="253">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4">
    <w:name w:val=" Char Char1 Char Char Char Char"/>
    <w:basedOn w:val="16"/>
    <w:qFormat/>
    <w:uiPriority w:val="0"/>
    <w:rPr>
      <w:rFonts w:ascii="Tahoma" w:hAnsi="Tahoma"/>
      <w:sz w:val="24"/>
    </w:rPr>
  </w:style>
  <w:style w:type="paragraph" w:customStyle="1" w:styleId="255">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6">
    <w:name w:val="pa-12"/>
    <w:basedOn w:val="1"/>
    <w:qFormat/>
    <w:uiPriority w:val="0"/>
    <w:pPr>
      <w:widowControl/>
      <w:spacing w:before="169" w:after="169"/>
      <w:jc w:val="left"/>
    </w:pPr>
    <w:rPr>
      <w:rFonts w:ascii="宋体" w:hAnsi="宋体" w:cs="宋体"/>
      <w:kern w:val="0"/>
      <w:sz w:val="24"/>
    </w:rPr>
  </w:style>
  <w:style w:type="paragraph" w:customStyle="1" w:styleId="257">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59">
    <w:name w:val="pa-9"/>
    <w:basedOn w:val="1"/>
    <w:qFormat/>
    <w:uiPriority w:val="0"/>
    <w:pPr>
      <w:widowControl/>
      <w:spacing w:before="169" w:after="169"/>
      <w:jc w:val="left"/>
    </w:pPr>
    <w:rPr>
      <w:rFonts w:ascii="宋体" w:hAnsi="宋体" w:cs="宋体"/>
      <w:kern w:val="0"/>
      <w:sz w:val="24"/>
    </w:rPr>
  </w:style>
  <w:style w:type="paragraph" w:customStyle="1" w:styleId="260">
    <w:name w:val="正文首行缩进两字符"/>
    <w:basedOn w:val="1"/>
    <w:qFormat/>
    <w:uiPriority w:val="0"/>
    <w:pPr>
      <w:spacing w:line="360" w:lineRule="auto"/>
      <w:ind w:firstLine="200" w:firstLineChars="200"/>
    </w:pPr>
  </w:style>
  <w:style w:type="paragraph" w:customStyle="1" w:styleId="261">
    <w:name w:val="Char Char Char1"/>
    <w:basedOn w:val="1"/>
    <w:qFormat/>
    <w:uiPriority w:val="0"/>
    <w:rPr>
      <w:rFonts w:ascii="Tahoma" w:hAnsi="Tahoma"/>
      <w:sz w:val="24"/>
      <w:szCs w:val="20"/>
    </w:rPr>
  </w:style>
  <w:style w:type="paragraph" w:customStyle="1" w:styleId="262">
    <w:name w:val="节标题"/>
    <w:basedOn w:val="1"/>
    <w:next w:val="224"/>
    <w:qFormat/>
    <w:uiPriority w:val="0"/>
    <w:pPr>
      <w:widowControl/>
      <w:spacing w:line="289" w:lineRule="atLeast"/>
      <w:jc w:val="center"/>
      <w:textAlignment w:val="baseline"/>
    </w:pPr>
    <w:rPr>
      <w:color w:val="000000"/>
      <w:kern w:val="0"/>
      <w:sz w:val="28"/>
      <w:szCs w:val="20"/>
    </w:rPr>
  </w:style>
  <w:style w:type="paragraph" w:customStyle="1" w:styleId="263">
    <w:name w:val="F2"/>
    <w:basedOn w:val="1"/>
    <w:qFormat/>
    <w:uiPriority w:val="0"/>
    <w:pPr>
      <w:autoSpaceDE w:val="0"/>
      <w:autoSpaceDN w:val="0"/>
      <w:adjustRightInd w:val="0"/>
      <w:ind w:firstLine="601"/>
    </w:pPr>
    <w:rPr>
      <w:kern w:val="0"/>
      <w:sz w:val="24"/>
      <w:szCs w:val="20"/>
    </w:rPr>
  </w:style>
  <w:style w:type="paragraph" w:customStyle="1" w:styleId="26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5">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6">
    <w:name w:val=" Char Char9 Char Char Char Char"/>
    <w:basedOn w:val="1"/>
    <w:qFormat/>
    <w:uiPriority w:val="0"/>
    <w:pPr>
      <w:widowControl/>
      <w:spacing w:after="160" w:line="240" w:lineRule="exact"/>
      <w:jc w:val="left"/>
    </w:pPr>
  </w:style>
  <w:style w:type="paragraph" w:customStyle="1" w:styleId="267">
    <w:name w:val="p16"/>
    <w:basedOn w:val="1"/>
    <w:qFormat/>
    <w:uiPriority w:val="0"/>
    <w:pPr>
      <w:widowControl/>
    </w:pPr>
    <w:rPr>
      <w:rFonts w:ascii="宋体" w:cs="宋体"/>
      <w:kern w:val="0"/>
      <w:sz w:val="20"/>
      <w:szCs w:val="20"/>
    </w:rPr>
  </w:style>
  <w:style w:type="paragraph" w:customStyle="1" w:styleId="268">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69">
    <w:name w:val="_Style 35"/>
    <w:basedOn w:val="16"/>
    <w:qFormat/>
    <w:uiPriority w:val="0"/>
    <w:pPr>
      <w:widowControl/>
      <w:ind w:firstLine="454"/>
      <w:jc w:val="left"/>
    </w:pPr>
  </w:style>
  <w:style w:type="paragraph" w:customStyle="1" w:styleId="270">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1">
    <w:name w:val="列出段落11"/>
    <w:basedOn w:val="1"/>
    <w:qFormat/>
    <w:uiPriority w:val="0"/>
    <w:pPr>
      <w:ind w:firstLine="200" w:firstLineChars="200"/>
    </w:pPr>
    <w:rPr>
      <w:sz w:val="24"/>
    </w:rPr>
  </w:style>
  <w:style w:type="paragraph" w:customStyle="1" w:styleId="272">
    <w:name w:val="pa-7"/>
    <w:basedOn w:val="1"/>
    <w:qFormat/>
    <w:uiPriority w:val="0"/>
    <w:pPr>
      <w:widowControl/>
      <w:spacing w:before="169" w:after="169"/>
      <w:jc w:val="left"/>
    </w:pPr>
    <w:rPr>
      <w:rFonts w:ascii="宋体" w:hAnsi="宋体" w:cs="宋体"/>
      <w:kern w:val="0"/>
      <w:sz w:val="24"/>
    </w:rPr>
  </w:style>
  <w:style w:type="paragraph" w:customStyle="1" w:styleId="273">
    <w:name w:val="Char"/>
    <w:basedOn w:val="16"/>
    <w:qFormat/>
    <w:uiPriority w:val="0"/>
    <w:pPr>
      <w:widowControl/>
      <w:ind w:firstLine="454"/>
      <w:jc w:val="left"/>
    </w:pPr>
    <w:rPr>
      <w:rFonts w:ascii="Tahoma" w:hAnsi="Tahoma" w:cs="宋体"/>
      <w:kern w:val="0"/>
      <w:sz w:val="24"/>
      <w:szCs w:val="20"/>
    </w:rPr>
  </w:style>
  <w:style w:type="paragraph" w:customStyle="1" w:styleId="274">
    <w:name w:val="pa-15"/>
    <w:basedOn w:val="1"/>
    <w:qFormat/>
    <w:uiPriority w:val="0"/>
    <w:pPr>
      <w:widowControl/>
      <w:spacing w:before="169" w:after="169"/>
      <w:jc w:val="left"/>
    </w:pPr>
    <w:rPr>
      <w:rFonts w:ascii="宋体" w:hAnsi="宋体" w:cs="宋体"/>
      <w:kern w:val="0"/>
      <w:sz w:val="24"/>
    </w:rPr>
  </w:style>
  <w:style w:type="paragraph" w:customStyle="1" w:styleId="275">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7">
    <w:name w:val="List Paragraph1"/>
    <w:basedOn w:val="1"/>
    <w:qFormat/>
    <w:uiPriority w:val="0"/>
    <w:pPr>
      <w:ind w:firstLine="420" w:firstLineChars="200"/>
    </w:pPr>
  </w:style>
  <w:style w:type="paragraph" w:customStyle="1" w:styleId="278">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9">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0">
    <w:name w:val="Char Char1 Char Char Char Char"/>
    <w:basedOn w:val="16"/>
    <w:qFormat/>
    <w:uiPriority w:val="0"/>
    <w:rPr>
      <w:rFonts w:ascii="Tahoma" w:hAnsi="Tahoma"/>
      <w:sz w:val="24"/>
    </w:rPr>
  </w:style>
  <w:style w:type="paragraph" w:customStyle="1" w:styleId="281">
    <w:name w:val="默认段落字体 Para Char Char Char Char Char Char Char Char Char1 Char Char Char Char"/>
    <w:basedOn w:val="1"/>
    <w:qFormat/>
    <w:uiPriority w:val="0"/>
    <w:rPr>
      <w:rFonts w:ascii="Tahoma" w:hAnsi="Tahoma"/>
      <w:sz w:val="24"/>
      <w:szCs w:val="20"/>
    </w:rPr>
  </w:style>
  <w:style w:type="paragraph" w:customStyle="1" w:styleId="282">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4">
    <w:name w:val="我的正文"/>
    <w:basedOn w:val="1"/>
    <w:qFormat/>
    <w:uiPriority w:val="0"/>
    <w:pPr>
      <w:spacing w:line="520" w:lineRule="exact"/>
      <w:ind w:firstLine="192" w:firstLineChars="192"/>
    </w:pPr>
    <w:rPr>
      <w:sz w:val="28"/>
      <w:szCs w:val="28"/>
    </w:rPr>
  </w:style>
  <w:style w:type="paragraph" w:customStyle="1" w:styleId="285">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8">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9">
    <w:name w:val="Char Char9 Char Char Char Char1"/>
    <w:basedOn w:val="1"/>
    <w:qFormat/>
    <w:uiPriority w:val="0"/>
    <w:pPr>
      <w:widowControl/>
      <w:spacing w:after="160" w:line="240" w:lineRule="exact"/>
      <w:jc w:val="left"/>
    </w:pPr>
  </w:style>
  <w:style w:type="paragraph" w:customStyle="1" w:styleId="29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1">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2">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293">
    <w:name w:val="Bullets"/>
    <w:basedOn w:val="1"/>
    <w:qFormat/>
    <w:uiPriority w:val="0"/>
    <w:pPr>
      <w:widowControl/>
      <w:adjustRightInd w:val="0"/>
      <w:snapToGrid w:val="0"/>
      <w:spacing w:before="60" w:after="60"/>
    </w:pPr>
    <w:rPr>
      <w:kern w:val="0"/>
      <w:sz w:val="24"/>
      <w:lang w:val="en-GB"/>
    </w:rPr>
  </w:style>
  <w:style w:type="paragraph" w:customStyle="1" w:styleId="294">
    <w:name w:val="Char1"/>
    <w:basedOn w:val="1"/>
    <w:qFormat/>
    <w:uiPriority w:val="0"/>
    <w:rPr>
      <w:szCs w:val="21"/>
    </w:rPr>
  </w:style>
  <w:style w:type="paragraph" w:customStyle="1" w:styleId="295">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qFormat/>
    <w:locked/>
    <w:uiPriority w:val="0"/>
    <w:rPr>
      <w:rFonts w:ascii="Calibri" w:hAnsi="Calibri" w:eastAsia="宋体"/>
      <w:kern w:val="2"/>
      <w:sz w:val="18"/>
      <w:szCs w:val="18"/>
      <w:lang w:val="en-US" w:eastAsia="zh-CN" w:bidi="ar-SA"/>
    </w:rPr>
  </w:style>
  <w:style w:type="character" w:customStyle="1" w:styleId="308">
    <w:name w:val="Footer Char"/>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qFormat/>
    <w:locked/>
    <w:uiPriority w:val="0"/>
    <w:rPr>
      <w:rFonts w:ascii="宋体" w:eastAsia="宋体"/>
      <w:b/>
      <w:bCs/>
      <w:kern w:val="44"/>
      <w:sz w:val="44"/>
      <w:szCs w:val="44"/>
      <w:lang w:val="en-US" w:eastAsia="zh-CN" w:bidi="ar-SA"/>
    </w:rPr>
  </w:style>
  <w:style w:type="character" w:customStyle="1" w:styleId="311">
    <w:name w:val="Heading 2 Char"/>
    <w:qFormat/>
    <w:locked/>
    <w:uiPriority w:val="0"/>
    <w:rPr>
      <w:rFonts w:ascii="Arial" w:hAnsi="Arial" w:eastAsia="黑体"/>
      <w:b/>
      <w:bCs/>
      <w:kern w:val="21"/>
      <w:sz w:val="32"/>
      <w:szCs w:val="32"/>
      <w:lang w:val="en-US" w:eastAsia="zh-CN" w:bidi="ar-SA"/>
    </w:rPr>
  </w:style>
  <w:style w:type="character" w:customStyle="1" w:styleId="312">
    <w:name w:val="Heading 3 Char"/>
    <w:qFormat/>
    <w:locked/>
    <w:uiPriority w:val="0"/>
    <w:rPr>
      <w:rFonts w:ascii="宋体" w:eastAsia="宋体"/>
      <w:b/>
      <w:bCs/>
      <w:kern w:val="21"/>
      <w:sz w:val="32"/>
      <w:szCs w:val="32"/>
      <w:lang w:val="en-US" w:eastAsia="zh-CN" w:bidi="ar-SA"/>
    </w:rPr>
  </w:style>
  <w:style w:type="character" w:customStyle="1" w:styleId="313">
    <w:name w:val="Heading 4 Char"/>
    <w:qFormat/>
    <w:locked/>
    <w:uiPriority w:val="0"/>
    <w:rPr>
      <w:rFonts w:ascii="Arial" w:hAnsi="Arial" w:eastAsia="黑体"/>
      <w:b/>
      <w:bCs/>
      <w:kern w:val="21"/>
      <w:sz w:val="28"/>
      <w:szCs w:val="28"/>
      <w:lang w:val="en-US" w:eastAsia="zh-CN" w:bidi="ar-SA"/>
    </w:rPr>
  </w:style>
  <w:style w:type="character" w:customStyle="1" w:styleId="314">
    <w:name w:val="Heading 5 Char"/>
    <w:qFormat/>
    <w:locked/>
    <w:uiPriority w:val="0"/>
    <w:rPr>
      <w:rFonts w:ascii="宋体" w:eastAsia="宋体"/>
      <w:b/>
      <w:bCs/>
      <w:kern w:val="21"/>
      <w:sz w:val="28"/>
      <w:szCs w:val="28"/>
      <w:lang w:val="en-US" w:eastAsia="zh-CN" w:bidi="ar-SA"/>
    </w:rPr>
  </w:style>
  <w:style w:type="character" w:customStyle="1" w:styleId="315">
    <w:name w:val="Heading 6 Char"/>
    <w:qFormat/>
    <w:locked/>
    <w:uiPriority w:val="0"/>
    <w:rPr>
      <w:rFonts w:ascii="Arial" w:hAnsi="Arial" w:eastAsia="黑体"/>
      <w:b/>
      <w:bCs/>
      <w:kern w:val="21"/>
      <w:sz w:val="24"/>
      <w:szCs w:val="21"/>
      <w:lang w:val="en-US" w:eastAsia="zh-CN" w:bidi="ar-SA"/>
    </w:rPr>
  </w:style>
  <w:style w:type="character" w:customStyle="1" w:styleId="316">
    <w:name w:val="Heading 7 Char"/>
    <w:qFormat/>
    <w:locked/>
    <w:uiPriority w:val="0"/>
    <w:rPr>
      <w:rFonts w:ascii="宋体" w:eastAsia="宋体"/>
      <w:b/>
      <w:bCs/>
      <w:kern w:val="21"/>
      <w:sz w:val="24"/>
      <w:szCs w:val="21"/>
      <w:lang w:val="en-US" w:eastAsia="zh-CN" w:bidi="ar-SA"/>
    </w:rPr>
  </w:style>
  <w:style w:type="character" w:customStyle="1" w:styleId="317">
    <w:name w:val="Heading 8 Char"/>
    <w:qFormat/>
    <w:locked/>
    <w:uiPriority w:val="0"/>
    <w:rPr>
      <w:rFonts w:ascii="Arial" w:hAnsi="Arial" w:eastAsia="黑体"/>
      <w:kern w:val="21"/>
      <w:sz w:val="24"/>
      <w:szCs w:val="21"/>
      <w:lang w:val="en-US" w:eastAsia="zh-CN" w:bidi="ar-SA"/>
    </w:rPr>
  </w:style>
  <w:style w:type="character" w:customStyle="1" w:styleId="318">
    <w:name w:val="Heading 9 Char"/>
    <w:qFormat/>
    <w:locked/>
    <w:uiPriority w:val="0"/>
    <w:rPr>
      <w:rFonts w:ascii="Arial" w:hAnsi="Arial" w:eastAsia="黑体"/>
      <w:kern w:val="21"/>
      <w:sz w:val="21"/>
      <w:szCs w:val="21"/>
      <w:lang w:val="en-US" w:eastAsia="zh-CN" w:bidi="ar-SA"/>
    </w:rPr>
  </w:style>
  <w:style w:type="character" w:customStyle="1" w:styleId="319">
    <w:name w:val="一级条标题 Char"/>
    <w:qFormat/>
    <w:uiPriority w:val="0"/>
    <w:rPr>
      <w:rFonts w:cs="黑体"/>
      <w:szCs w:val="21"/>
      <w:lang w:val="en-US" w:eastAsia="zh-CN"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qFormat/>
    <w:uiPriority w:val="0"/>
    <w:rPr>
      <w:lang w:val="en-US" w:eastAsia="zh-CN" w:bidi="ar-SA"/>
    </w:rPr>
  </w:style>
  <w:style w:type="character" w:customStyle="1" w:styleId="324">
    <w:name w:val="二级条标题 Char"/>
    <w:qFormat/>
    <w:uiPriority w:val="0"/>
    <w:rPr>
      <w:lang w:val="en-US" w:eastAsia="zh-CN" w:bidi="ar-SA"/>
    </w:rPr>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2"/>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link w:val="328"/>
    <w:qFormat/>
    <w:locked/>
    <w:uiPriority w:val="0"/>
    <w:rPr>
      <w:lang w:val="en-US" w:eastAsia="zh-CN" w:bidi="ar-SA"/>
    </w:rPr>
  </w:style>
  <w:style w:type="paragraph" w:customStyle="1" w:styleId="328">
    <w:name w:val="三级条标题"/>
    <w:basedOn w:val="329"/>
    <w:next w:val="232"/>
    <w:link w:val="327"/>
    <w:qFormat/>
    <w:uiPriority w:val="0"/>
    <w:pPr>
      <w:tabs>
        <w:tab w:val="left" w:pos="312"/>
        <w:tab w:val="left" w:pos="360"/>
      </w:tabs>
    </w:pPr>
  </w:style>
  <w:style w:type="paragraph" w:customStyle="1" w:styleId="329">
    <w:name w:val="二级条标题"/>
    <w:basedOn w:val="330"/>
    <w:next w:val="232"/>
    <w:link w:val="332"/>
    <w:qFormat/>
    <w:uiPriority w:val="0"/>
    <w:pPr>
      <w:numPr>
        <w:ilvl w:val="3"/>
        <w:numId w:val="2"/>
      </w:numPr>
      <w:tabs>
        <w:tab w:val="left" w:pos="312"/>
        <w:tab w:val="left" w:pos="360"/>
      </w:tabs>
      <w:outlineLvl w:val="3"/>
    </w:pPr>
  </w:style>
  <w:style w:type="paragraph" w:customStyle="1" w:styleId="330">
    <w:name w:val="一级条标题"/>
    <w:basedOn w:val="326"/>
    <w:next w:val="232"/>
    <w:link w:val="331"/>
    <w:qFormat/>
    <w:uiPriority w:val="0"/>
    <w:pPr>
      <w:numPr>
        <w:ilvl w:val="2"/>
        <w:numId w:val="1"/>
      </w:numPr>
      <w:tabs>
        <w:tab w:val="left" w:pos="312"/>
        <w:tab w:val="left" w:pos="360"/>
      </w:tabs>
      <w:spacing w:beforeLines="0" w:afterLines="0"/>
      <w:ind w:left="0"/>
      <w:outlineLvl w:val="2"/>
    </w:pPr>
    <w:rPr>
      <w:szCs w:val="22"/>
    </w:rPr>
  </w:style>
  <w:style w:type="character" w:customStyle="1" w:styleId="331">
    <w:name w:val="一级条标题 Char Char"/>
    <w:link w:val="330"/>
    <w:qFormat/>
    <w:locked/>
    <w:uiPriority w:val="0"/>
    <w:rPr>
      <w:szCs w:val="22"/>
      <w:lang w:val="en-US" w:eastAsia="zh-CN" w:bidi="ar-SA"/>
    </w:rPr>
  </w:style>
  <w:style w:type="character" w:customStyle="1" w:styleId="332">
    <w:name w:val="二级条标题 Char Char"/>
    <w:link w:val="329"/>
    <w:qFormat/>
    <w:locked/>
    <w:uiPriority w:val="0"/>
    <w:rPr>
      <w:lang w:val="en-US" w:eastAsia="zh-CN" w:bidi="ar-SA"/>
    </w:rPr>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2"/>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2"/>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2"/>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2"/>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qFormat/>
    <w:locked/>
    <w:uiPriority w:val="0"/>
    <w:rPr>
      <w:rFonts w:ascii="Courier New" w:hAnsi="Courier New" w:eastAsia="宋体" w:cs="Courier New"/>
      <w:kern w:val="21"/>
      <w:lang w:val="en-US" w:eastAsia="zh-CN" w:bidi="ar-SA"/>
    </w:rPr>
  </w:style>
  <w:style w:type="character" w:customStyle="1" w:styleId="354">
    <w:name w:val="Date Char"/>
    <w:qFormat/>
    <w:locked/>
    <w:uiPriority w:val="0"/>
    <w:rPr>
      <w:rFonts w:ascii="宋体" w:eastAsia="宋体"/>
      <w:kern w:val="21"/>
      <w:sz w:val="24"/>
      <w:lang w:val="en-US" w:eastAsia="zh-CN" w:bidi="ar-SA"/>
    </w:rPr>
  </w:style>
  <w:style w:type="paragraph" w:customStyle="1" w:styleId="355">
    <w:name w:val="四级条标题"/>
    <w:basedOn w:val="328"/>
    <w:next w:val="232"/>
    <w:qFormat/>
    <w:uiPriority w:val="0"/>
    <w:pPr>
      <w:numPr>
        <w:ilvl w:val="5"/>
        <w:numId w:val="2"/>
      </w:numPr>
      <w:ind w:left="2316"/>
      <w:outlineLvl w:val="5"/>
    </w:pPr>
  </w:style>
  <w:style w:type="character" w:customStyle="1" w:styleId="356">
    <w:name w:val="Title Char"/>
    <w:qFormat/>
    <w:locked/>
    <w:uiPriority w:val="0"/>
    <w:rPr>
      <w:rFonts w:ascii="Arial" w:hAnsi="Arial" w:eastAsia="宋体" w:cs="Arial"/>
      <w:b/>
      <w:bCs/>
      <w:kern w:val="21"/>
      <w:sz w:val="32"/>
      <w:szCs w:val="32"/>
      <w:lang w:val="en-US" w:eastAsia="zh-CN" w:bidi="ar-SA"/>
    </w:rPr>
  </w:style>
  <w:style w:type="paragraph" w:customStyle="1" w:styleId="357">
    <w:name w:val="注："/>
    <w:next w:val="232"/>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2"/>
    <w:qFormat/>
    <w:uiPriority w:val="0"/>
    <w:pPr>
      <w:numPr>
        <w:ilvl w:val="6"/>
        <w:numId w:val="2"/>
      </w:numPr>
      <w:outlineLvl w:val="6"/>
    </w:pPr>
  </w:style>
  <w:style w:type="paragraph" w:customStyle="1" w:styleId="359">
    <w:name w:val="附录表标题"/>
    <w:next w:val="23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2"/>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2"/>
    <w:qFormat/>
    <w:uiPriority w:val="0"/>
    <w:pPr>
      <w:numPr>
        <w:ilvl w:val="4"/>
        <w:numId w:val="6"/>
      </w:numPr>
      <w:tabs>
        <w:tab w:val="left" w:pos="1418"/>
        <w:tab w:val="left" w:pos="1984"/>
      </w:tabs>
      <w:outlineLvl w:val="4"/>
    </w:pPr>
  </w:style>
  <w:style w:type="paragraph" w:customStyle="1" w:styleId="365">
    <w:name w:val="附录二级条标题"/>
    <w:basedOn w:val="366"/>
    <w:next w:val="232"/>
    <w:qFormat/>
    <w:uiPriority w:val="0"/>
    <w:pPr>
      <w:numPr>
        <w:ilvl w:val="3"/>
        <w:numId w:val="6"/>
      </w:numPr>
      <w:tabs>
        <w:tab w:val="left" w:pos="1418"/>
      </w:tabs>
      <w:outlineLvl w:val="3"/>
    </w:pPr>
  </w:style>
  <w:style w:type="paragraph" w:customStyle="1" w:styleId="366">
    <w:name w:val="附录一级条标题"/>
    <w:basedOn w:val="344"/>
    <w:next w:val="232"/>
    <w:qFormat/>
    <w:uiPriority w:val="0"/>
    <w:pPr>
      <w:numPr>
        <w:ilvl w:val="2"/>
        <w:numId w:val="6"/>
      </w:numPr>
      <w:autoSpaceDN w:val="0"/>
      <w:spacing w:beforeLines="0" w:afterLines="0"/>
      <w:outlineLvl w:val="2"/>
    </w:pPr>
  </w:style>
  <w:style w:type="paragraph" w:customStyle="1" w:styleId="367">
    <w:name w:val="附录图标题"/>
    <w:next w:val="232"/>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2"/>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2"/>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2"/>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2"/>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qFormat/>
    <w:uiPriority w:val="0"/>
    <w:rPr>
      <w:rFonts w:hint="eastAsia" w:ascii="宋体" w:hAnsi="宋体" w:eastAsia="宋体" w:cs="宋体"/>
      <w:color w:val="000000"/>
      <w:sz w:val="21"/>
      <w:szCs w:val="21"/>
      <w:u w:val="none"/>
    </w:rPr>
  </w:style>
  <w:style w:type="character" w:customStyle="1" w:styleId="496">
    <w:name w:val="font101"/>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6"/>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6"/>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6"/>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126</Pages>
  <Words>9280</Words>
  <Characters>11600</Characters>
  <Lines>549</Lines>
  <Paragraphs>154</Paragraphs>
  <TotalTime>10</TotalTime>
  <ScaleCrop>false</ScaleCrop>
  <LinksUpToDate>false</LinksUpToDate>
  <CharactersWithSpaces>13074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2022-05-17T03:06:00Z</dcterms:created>
  <dc:creator>聂泉源</dc:creator>
  <cp:lastModifiedBy>gxxc</cp:lastModifiedBy>
  <cp:lastPrinted>2025-11-04T02:31:00Z</cp:lastPrinted>
  <dcterms:modified xsi:type="dcterms:W3CDTF">2025-11-03T11:10:07Z</dcterms:modified>
  <dc:title>3</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eyJoZGlkIjoiZGQzYmM4YTI1YzdmMGRhZjAyM2NlZGJmMmFjNzY5NDQifQ==</vt:lpwstr>
  </property>
  <property fmtid="{D5CDD505-2E9C-101B-9397-08002B2CF9AE}" pid="4" name="ICV">
    <vt:lpwstr>4C96981446784928BE8D44C47E2E123D_13</vt:lpwstr>
  </property>
</Properties>
</file>