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hAnsi="宋体"/>
          <w:color w:val="auto"/>
          <w:sz w:val="44"/>
          <w:szCs w:val="44"/>
        </w:rPr>
      </w:pPr>
      <w:bookmarkStart w:id="7" w:name="_GoBack"/>
      <w:r>
        <w:rPr>
          <w:rFonts w:hint="eastAsia" w:hAnsi="宋体"/>
          <w:color w:val="auto"/>
          <w:sz w:val="44"/>
          <w:szCs w:val="44"/>
        </w:rPr>
        <w:t>广西壮族自治区政府采购中心</w:t>
      </w:r>
    </w:p>
    <w:p>
      <w:pPr>
        <w:spacing w:line="560" w:lineRule="exact"/>
        <w:jc w:val="center"/>
        <w:rPr>
          <w:rFonts w:hint="eastAsia" w:hAnsi="宋体"/>
          <w:color w:val="auto"/>
          <w:sz w:val="44"/>
          <w:szCs w:val="44"/>
        </w:rPr>
      </w:pPr>
      <w:r>
        <w:rPr>
          <w:rFonts w:hint="eastAsia" w:hAnsi="宋体"/>
          <w:color w:val="auto"/>
          <w:sz w:val="44"/>
          <w:szCs w:val="44"/>
        </w:rPr>
        <w:t>广西艺术学院教学设备采购项目（GXZC2025-G1-003269-CGZX）</w:t>
      </w:r>
    </w:p>
    <w:p>
      <w:pPr>
        <w:spacing w:line="560" w:lineRule="exact"/>
        <w:jc w:val="center"/>
        <w:rPr>
          <w:rFonts w:hint="eastAsia" w:hAnsi="宋体"/>
          <w:color w:val="auto"/>
          <w:sz w:val="44"/>
          <w:szCs w:val="44"/>
        </w:rPr>
      </w:pPr>
      <w:r>
        <w:rPr>
          <w:rFonts w:hint="eastAsia" w:hAnsi="宋体"/>
          <w:color w:val="auto"/>
          <w:sz w:val="44"/>
          <w:szCs w:val="44"/>
        </w:rPr>
        <w:t>公开招标文件预公示</w:t>
      </w:r>
    </w:p>
    <w:p>
      <w:pPr>
        <w:spacing w:line="560" w:lineRule="exact"/>
        <w:rPr>
          <w:rFonts w:hint="eastAsia" w:hAnsi="宋体"/>
          <w:color w:val="auto"/>
          <w:sz w:val="32"/>
          <w:szCs w:val="32"/>
        </w:rPr>
      </w:pPr>
    </w:p>
    <w:p>
      <w:pPr>
        <w:spacing w:line="460" w:lineRule="exact"/>
        <w:rPr>
          <w:rFonts w:hint="eastAsia" w:hAnsi="宋体"/>
          <w:color w:val="auto"/>
          <w:sz w:val="32"/>
          <w:szCs w:val="32"/>
        </w:rPr>
      </w:pPr>
      <w:r>
        <w:rPr>
          <w:rFonts w:hint="eastAsia" w:hAnsi="宋体"/>
          <w:color w:val="auto"/>
          <w:sz w:val="32"/>
          <w:szCs w:val="32"/>
        </w:rPr>
        <w:t>各有关供应商：</w:t>
      </w:r>
    </w:p>
    <w:p>
      <w:pPr>
        <w:spacing w:line="460" w:lineRule="exact"/>
        <w:rPr>
          <w:rFonts w:hint="eastAsia" w:hAnsi="宋体"/>
          <w:color w:val="auto"/>
          <w:sz w:val="32"/>
          <w:szCs w:val="32"/>
        </w:rPr>
      </w:pPr>
      <w:r>
        <w:rPr>
          <w:rFonts w:hint="eastAsia" w:hAnsi="宋体"/>
          <w:color w:val="auto"/>
          <w:sz w:val="32"/>
          <w:szCs w:val="32"/>
        </w:rPr>
        <w:t xml:space="preserve">    我中心受</w:t>
      </w:r>
      <w:r>
        <w:rPr>
          <w:rFonts w:hint="eastAsia" w:hAnsi="宋体"/>
          <w:color w:val="auto"/>
          <w:sz w:val="32"/>
          <w:szCs w:val="32"/>
          <w:highlight w:val="none"/>
          <w:lang w:eastAsia="zh-CN"/>
        </w:rPr>
        <w:t>采购单位</w:t>
      </w:r>
      <w:r>
        <w:rPr>
          <w:rFonts w:hint="eastAsia" w:hAnsi="宋体"/>
          <w:color w:val="auto"/>
          <w:sz w:val="32"/>
          <w:szCs w:val="32"/>
        </w:rPr>
        <w:t>委托，拟对广西艺术学院教学设备采购</w:t>
      </w:r>
      <w:r>
        <w:rPr>
          <w:rFonts w:hint="eastAsia" w:hAnsi="宋体"/>
          <w:color w:val="auto"/>
          <w:sz w:val="32"/>
          <w:szCs w:val="32"/>
          <w:u w:val="single"/>
        </w:rPr>
        <w:t>（GXZC2025-G1-003269-CGZX）</w:t>
      </w:r>
      <w:r>
        <w:rPr>
          <w:rFonts w:hint="eastAsia" w:hAnsi="宋体"/>
          <w:color w:val="auto"/>
          <w:sz w:val="32"/>
          <w:szCs w:val="32"/>
        </w:rPr>
        <w:t>进行公开招标采购，为了保障政府采购各方当事人合法权益，现对本项目的供应商资格条件要求、技术参数及性能（配置）要求、评标办法及评分标准等内容予以预公示。各有关供应商、专业人员等若认为本项目上述要求存在唯一性或排他性等问题，请于</w:t>
      </w:r>
      <w:r>
        <w:rPr>
          <w:rFonts w:hint="eastAsia" w:hAnsi="宋体"/>
          <w:b/>
          <w:bCs/>
          <w:color w:val="auto"/>
          <w:sz w:val="32"/>
          <w:szCs w:val="32"/>
          <w:highlight w:val="none"/>
          <w:u w:val="single"/>
        </w:rPr>
        <w:t>202</w:t>
      </w:r>
      <w:r>
        <w:rPr>
          <w:rFonts w:hint="eastAsia" w:hAnsi="宋体"/>
          <w:b/>
          <w:bCs/>
          <w:color w:val="auto"/>
          <w:sz w:val="32"/>
          <w:szCs w:val="32"/>
          <w:highlight w:val="none"/>
          <w:u w:val="single"/>
          <w:lang w:val="en-US" w:eastAsia="zh-CN"/>
        </w:rPr>
        <w:t>5</w:t>
      </w:r>
      <w:r>
        <w:rPr>
          <w:rFonts w:hint="eastAsia" w:hAnsi="宋体"/>
          <w:b/>
          <w:bCs/>
          <w:color w:val="auto"/>
          <w:sz w:val="32"/>
          <w:szCs w:val="32"/>
          <w:highlight w:val="none"/>
          <w:u w:val="single"/>
        </w:rPr>
        <w:t>年</w:t>
      </w:r>
      <w:r>
        <w:rPr>
          <w:rFonts w:hint="default" w:hAnsi="宋体"/>
          <w:b/>
          <w:bCs/>
          <w:color w:val="auto"/>
          <w:sz w:val="32"/>
          <w:szCs w:val="32"/>
          <w:highlight w:val="none"/>
          <w:u w:val="single"/>
          <w:lang w:val="en"/>
        </w:rPr>
        <w:t>11</w:t>
      </w:r>
      <w:r>
        <w:rPr>
          <w:rFonts w:hint="eastAsia" w:hAnsi="宋体"/>
          <w:b/>
          <w:bCs/>
          <w:color w:val="auto"/>
          <w:sz w:val="32"/>
          <w:szCs w:val="32"/>
          <w:highlight w:val="none"/>
          <w:u w:val="single"/>
        </w:rPr>
        <w:t>月</w:t>
      </w:r>
      <w:r>
        <w:rPr>
          <w:rFonts w:hint="default" w:hAnsi="宋体"/>
          <w:b/>
          <w:bCs/>
          <w:color w:val="auto"/>
          <w:sz w:val="32"/>
          <w:szCs w:val="32"/>
          <w:highlight w:val="none"/>
          <w:u w:val="single"/>
          <w:lang w:val="en"/>
        </w:rPr>
        <w:t>6</w:t>
      </w:r>
      <w:r>
        <w:rPr>
          <w:rFonts w:hint="eastAsia" w:hAnsi="宋体"/>
          <w:b/>
          <w:bCs/>
          <w:color w:val="auto"/>
          <w:sz w:val="32"/>
          <w:szCs w:val="32"/>
          <w:highlight w:val="none"/>
          <w:u w:val="single"/>
        </w:rPr>
        <w:t>日 17时</w:t>
      </w:r>
      <w:r>
        <w:rPr>
          <w:rFonts w:hint="eastAsia" w:hAnsi="宋体"/>
          <w:color w:val="auto"/>
          <w:sz w:val="32"/>
          <w:szCs w:val="32"/>
        </w:rPr>
        <w:t>前以书面形式(意见函须加盖公章)向我中心反映，以便我中心完善采购文件。</w:t>
      </w:r>
      <w:r>
        <w:rPr>
          <w:rFonts w:hint="eastAsia" w:hAnsi="宋体"/>
          <w:b/>
          <w:bCs/>
          <w:color w:val="auto"/>
          <w:sz w:val="32"/>
          <w:szCs w:val="32"/>
        </w:rPr>
        <w:t>如供应商需提交意见函</w:t>
      </w:r>
      <w:r>
        <w:rPr>
          <w:rFonts w:hint="eastAsia" w:hAnsi="宋体"/>
          <w:color w:val="auto"/>
          <w:sz w:val="32"/>
          <w:szCs w:val="32"/>
        </w:rPr>
        <w:t>，请携带</w:t>
      </w:r>
      <w:r>
        <w:rPr>
          <w:rFonts w:hint="eastAsia" w:hAnsi="宋体"/>
          <w:b/>
          <w:bCs/>
          <w:color w:val="auto"/>
          <w:sz w:val="32"/>
          <w:szCs w:val="32"/>
        </w:rPr>
        <w:t>企业营业执照（或事业单位法人证书）副本复印件</w:t>
      </w:r>
      <w:r>
        <w:rPr>
          <w:rFonts w:hint="eastAsia" w:hAnsi="宋体"/>
          <w:color w:val="auto"/>
          <w:sz w:val="32"/>
          <w:szCs w:val="32"/>
        </w:rPr>
        <w:t>（加盖公章，一份）、</w:t>
      </w:r>
      <w:r>
        <w:rPr>
          <w:rFonts w:hint="eastAsia" w:hAnsi="宋体"/>
          <w:b/>
          <w:bCs/>
          <w:color w:val="auto"/>
          <w:sz w:val="32"/>
          <w:szCs w:val="32"/>
        </w:rPr>
        <w:t>经办人身份证原件及复印件</w:t>
      </w:r>
      <w:r>
        <w:rPr>
          <w:rFonts w:hint="eastAsia" w:hAnsi="宋体"/>
          <w:color w:val="auto"/>
          <w:sz w:val="32"/>
          <w:szCs w:val="32"/>
        </w:rPr>
        <w:t>（加盖公章，一份）</w:t>
      </w:r>
      <w:r>
        <w:rPr>
          <w:rFonts w:hint="eastAsia" w:hAnsi="宋体"/>
          <w:b/>
          <w:bCs/>
          <w:color w:val="auto"/>
          <w:sz w:val="32"/>
          <w:szCs w:val="32"/>
        </w:rPr>
        <w:t>提交意见函原件</w:t>
      </w:r>
      <w:r>
        <w:rPr>
          <w:rFonts w:hint="eastAsia" w:hAnsi="宋体"/>
          <w:color w:val="auto"/>
          <w:sz w:val="32"/>
          <w:szCs w:val="32"/>
        </w:rPr>
        <w:t>。意见函应注明联系人和联系方式。专业人员个人请提交意见签名，并附身份证、职称等复印件。</w:t>
      </w:r>
    </w:p>
    <w:p>
      <w:pPr>
        <w:spacing w:line="460" w:lineRule="exact"/>
        <w:rPr>
          <w:rFonts w:hint="eastAsia" w:hAnsi="宋体"/>
          <w:color w:val="auto"/>
          <w:sz w:val="32"/>
          <w:szCs w:val="32"/>
        </w:rPr>
      </w:pPr>
      <w:r>
        <w:rPr>
          <w:rFonts w:hint="eastAsia" w:hAnsi="宋体"/>
          <w:color w:val="auto"/>
          <w:sz w:val="32"/>
          <w:szCs w:val="32"/>
        </w:rPr>
        <w:t xml:space="preserve">    对各有关供应商、专业人员等逾期送达、匿名送达以及其他不符合上述条件的意见函件我中心不予受理。  </w:t>
      </w:r>
    </w:p>
    <w:p>
      <w:pPr>
        <w:spacing w:line="460" w:lineRule="exact"/>
        <w:rPr>
          <w:rFonts w:hint="eastAsia" w:hAnsi="宋体"/>
          <w:color w:val="auto"/>
          <w:sz w:val="32"/>
          <w:szCs w:val="32"/>
        </w:rPr>
      </w:pPr>
      <w:r>
        <w:rPr>
          <w:rFonts w:hint="eastAsia" w:hAnsi="宋体"/>
          <w:color w:val="auto"/>
          <w:sz w:val="32"/>
          <w:szCs w:val="32"/>
        </w:rPr>
        <w:t xml:space="preserve">    联系地址：广西南宁市青秀区</w:t>
      </w:r>
      <w:r>
        <w:rPr>
          <w:rFonts w:hint="eastAsia" w:hAnsi="宋体"/>
          <w:b/>
          <w:bCs/>
          <w:color w:val="auto"/>
          <w:sz w:val="32"/>
          <w:szCs w:val="32"/>
        </w:rPr>
        <w:t>星湖路22号</w:t>
      </w:r>
      <w:r>
        <w:rPr>
          <w:rFonts w:hint="eastAsia" w:hAnsi="宋体"/>
          <w:b w:val="0"/>
          <w:bCs w:val="0"/>
          <w:color w:val="auto"/>
          <w:sz w:val="32"/>
          <w:szCs w:val="32"/>
        </w:rPr>
        <w:t>广西壮族自治区公</w:t>
      </w:r>
      <w:r>
        <w:rPr>
          <w:rFonts w:hint="eastAsia" w:hAnsi="宋体"/>
          <w:b w:val="0"/>
          <w:bCs w:val="0"/>
          <w:color w:val="auto"/>
          <w:sz w:val="32"/>
          <w:szCs w:val="32"/>
          <w:lang w:eastAsia="zh-CN"/>
        </w:rPr>
        <w:t>共</w:t>
      </w:r>
      <w:r>
        <w:rPr>
          <w:rFonts w:hint="eastAsia" w:hAnsi="宋体"/>
          <w:b w:val="0"/>
          <w:bCs w:val="0"/>
          <w:color w:val="auto"/>
          <w:sz w:val="32"/>
          <w:szCs w:val="32"/>
        </w:rPr>
        <w:t>资源交易中心（广西壮族自治区政府采购中心）</w:t>
      </w:r>
      <w:r>
        <w:rPr>
          <w:rFonts w:hint="eastAsia" w:hAnsi="宋体"/>
          <w:b/>
          <w:bCs/>
          <w:color w:val="auto"/>
          <w:sz w:val="32"/>
          <w:szCs w:val="32"/>
        </w:rPr>
        <w:t xml:space="preserve">综合楼二楼208室 </w:t>
      </w:r>
      <w:r>
        <w:rPr>
          <w:rFonts w:hint="eastAsia" w:hAnsi="宋体"/>
          <w:color w:val="auto"/>
          <w:sz w:val="32"/>
          <w:szCs w:val="32"/>
        </w:rPr>
        <w:t xml:space="preserve">                            </w:t>
      </w:r>
    </w:p>
    <w:p>
      <w:pPr>
        <w:spacing w:line="460" w:lineRule="exact"/>
        <w:rPr>
          <w:rFonts w:hint="eastAsia" w:hAnsi="宋体"/>
          <w:color w:val="auto"/>
          <w:sz w:val="32"/>
          <w:szCs w:val="32"/>
        </w:rPr>
      </w:pPr>
      <w:r>
        <w:rPr>
          <w:rFonts w:hint="eastAsia" w:hAnsi="宋体"/>
          <w:color w:val="auto"/>
          <w:sz w:val="32"/>
          <w:szCs w:val="32"/>
        </w:rPr>
        <w:t xml:space="preserve">    </w:t>
      </w:r>
    </w:p>
    <w:p>
      <w:pPr>
        <w:spacing w:line="460" w:lineRule="exact"/>
        <w:ind w:firstLine="800" w:firstLineChars="250"/>
        <w:rPr>
          <w:rFonts w:hint="default" w:hAnsi="宋体" w:eastAsia="宋体"/>
          <w:color w:val="auto"/>
          <w:sz w:val="32"/>
          <w:szCs w:val="32"/>
          <w:lang w:val="en-US" w:eastAsia="zh-CN"/>
        </w:rPr>
      </w:pPr>
      <w:r>
        <w:rPr>
          <w:rFonts w:hint="eastAsia" w:hAnsi="宋体"/>
          <w:color w:val="auto"/>
          <w:sz w:val="32"/>
          <w:szCs w:val="32"/>
        </w:rPr>
        <w:t>联系人：张国铨       联系电话：0771-</w:t>
      </w:r>
      <w:r>
        <w:rPr>
          <w:rFonts w:hint="eastAsia" w:hAnsi="宋体"/>
          <w:color w:val="auto"/>
          <w:sz w:val="32"/>
          <w:szCs w:val="32"/>
          <w:lang w:val="en-US" w:eastAsia="zh-CN"/>
        </w:rPr>
        <w:t>8600343</w:t>
      </w:r>
    </w:p>
    <w:p>
      <w:pPr>
        <w:spacing w:line="460" w:lineRule="exact"/>
        <w:ind w:firstLine="800" w:firstLineChars="250"/>
        <w:rPr>
          <w:rFonts w:hint="eastAsia" w:hAnsi="宋体"/>
          <w:color w:val="auto"/>
          <w:sz w:val="32"/>
          <w:szCs w:val="32"/>
        </w:rPr>
      </w:pPr>
      <w:r>
        <w:rPr>
          <w:rFonts w:hint="eastAsia" w:hAnsi="宋体"/>
          <w:color w:val="auto"/>
          <w:sz w:val="32"/>
          <w:szCs w:val="32"/>
        </w:rPr>
        <w:t>附：广西艺术学院教学设备采购项目（GXZC2025-G1-003269-CGZX）公开招标文件预公示内容</w:t>
      </w:r>
    </w:p>
    <w:p>
      <w:pPr>
        <w:spacing w:line="460" w:lineRule="exact"/>
        <w:rPr>
          <w:rFonts w:hint="eastAsia" w:hAnsi="宋体"/>
          <w:color w:val="auto"/>
          <w:sz w:val="32"/>
          <w:szCs w:val="32"/>
        </w:rPr>
      </w:pPr>
      <w:r>
        <w:rPr>
          <w:rFonts w:hint="eastAsia" w:hAnsi="宋体"/>
          <w:color w:val="auto"/>
          <w:sz w:val="32"/>
          <w:szCs w:val="32"/>
        </w:rPr>
        <w:t xml:space="preserve">                                   </w:t>
      </w:r>
    </w:p>
    <w:p>
      <w:pPr>
        <w:spacing w:line="460" w:lineRule="exact"/>
        <w:jc w:val="right"/>
        <w:rPr>
          <w:rFonts w:hint="eastAsia" w:hAnsi="宋体"/>
          <w:color w:val="auto"/>
          <w:sz w:val="32"/>
          <w:szCs w:val="32"/>
        </w:rPr>
      </w:pPr>
      <w:r>
        <w:rPr>
          <w:rFonts w:hint="eastAsia" w:hAnsi="宋体"/>
          <w:color w:val="auto"/>
          <w:sz w:val="32"/>
          <w:szCs w:val="32"/>
        </w:rPr>
        <w:t xml:space="preserve">                             广西壮族自治区政府采购中心                            </w:t>
      </w:r>
      <w:r>
        <w:rPr>
          <w:rFonts w:hAnsi="宋体"/>
          <w:color w:val="auto"/>
          <w:sz w:val="32"/>
          <w:szCs w:val="32"/>
          <w:highlight w:val="none"/>
        </w:rPr>
        <w:t>20</w:t>
      </w:r>
      <w:r>
        <w:rPr>
          <w:rFonts w:hint="eastAsia" w:hAnsi="宋体"/>
          <w:color w:val="auto"/>
          <w:sz w:val="32"/>
          <w:szCs w:val="32"/>
          <w:highlight w:val="none"/>
        </w:rPr>
        <w:t>2</w:t>
      </w:r>
      <w:r>
        <w:rPr>
          <w:rFonts w:hint="eastAsia" w:hAnsi="宋体"/>
          <w:color w:val="auto"/>
          <w:sz w:val="32"/>
          <w:szCs w:val="32"/>
          <w:highlight w:val="none"/>
          <w:lang w:val="en-US" w:eastAsia="zh-CN"/>
        </w:rPr>
        <w:t>5</w:t>
      </w:r>
      <w:r>
        <w:rPr>
          <w:rFonts w:hint="eastAsia" w:hAnsi="宋体"/>
          <w:color w:val="auto"/>
          <w:sz w:val="32"/>
          <w:szCs w:val="32"/>
          <w:highlight w:val="none"/>
        </w:rPr>
        <w:t>年</w:t>
      </w:r>
      <w:r>
        <w:rPr>
          <w:rFonts w:hint="default" w:hAnsi="宋体"/>
          <w:color w:val="auto"/>
          <w:sz w:val="32"/>
          <w:szCs w:val="32"/>
          <w:highlight w:val="none"/>
          <w:lang w:val="en"/>
        </w:rPr>
        <w:t>11</w:t>
      </w:r>
      <w:r>
        <w:rPr>
          <w:rFonts w:hint="eastAsia" w:hAnsi="宋体"/>
          <w:color w:val="auto"/>
          <w:sz w:val="32"/>
          <w:szCs w:val="32"/>
          <w:highlight w:val="none"/>
        </w:rPr>
        <w:t>月</w:t>
      </w:r>
      <w:r>
        <w:rPr>
          <w:rFonts w:hint="default" w:hAnsi="宋体"/>
          <w:color w:val="auto"/>
          <w:sz w:val="32"/>
          <w:szCs w:val="32"/>
          <w:highlight w:val="none"/>
          <w:lang w:val="en"/>
        </w:rPr>
        <w:t>3</w:t>
      </w:r>
      <w:r>
        <w:rPr>
          <w:rFonts w:hint="eastAsia" w:hAnsi="宋体"/>
          <w:color w:val="auto"/>
          <w:sz w:val="32"/>
          <w:szCs w:val="32"/>
          <w:highlight w:val="none"/>
        </w:rPr>
        <w:t>日</w:t>
      </w:r>
    </w:p>
    <w:p>
      <w:pPr>
        <w:spacing w:line="460" w:lineRule="exact"/>
        <w:ind w:left="640" w:hanging="640" w:hangingChars="200"/>
        <w:rPr>
          <w:rFonts w:hint="eastAsia" w:hAnsi="宋体"/>
          <w:color w:val="auto"/>
          <w:sz w:val="32"/>
          <w:szCs w:val="32"/>
        </w:rPr>
      </w:pPr>
    </w:p>
    <w:p>
      <w:pPr>
        <w:pStyle w:val="227"/>
        <w:widowControl w:val="0"/>
        <w:spacing w:afterLines="0"/>
        <w:ind w:firstLine="3840" w:firstLineChars="1200"/>
        <w:rPr>
          <w:b/>
          <w:color w:val="auto"/>
          <w:sz w:val="32"/>
          <w:szCs w:val="32"/>
          <w:highlight w:val="none"/>
          <w:shd w:val="clear" w:color="auto" w:fill="auto"/>
        </w:rPr>
      </w:pPr>
      <w:r>
        <w:rPr>
          <w:rFonts w:hint="eastAsia" w:ascii="黑体" w:eastAsia="黑体"/>
          <w:color w:val="auto"/>
          <w:sz w:val="32"/>
          <w:szCs w:val="32"/>
          <w:highlight w:val="none"/>
          <w:shd w:val="clear" w:color="auto" w:fill="auto"/>
        </w:rPr>
        <w:br w:type="page"/>
      </w:r>
      <w:r>
        <w:rPr>
          <w:rFonts w:hint="eastAsia"/>
          <w:b/>
          <w:color w:val="auto"/>
          <w:sz w:val="32"/>
          <w:szCs w:val="32"/>
          <w:highlight w:val="none"/>
          <w:shd w:val="clear" w:color="auto" w:fill="auto"/>
        </w:rPr>
        <w:t>招标公告</w:t>
      </w:r>
    </w:p>
    <w:p>
      <w:pPr>
        <w:pBdr>
          <w:top w:val="single" w:color="auto" w:sz="4" w:space="1"/>
          <w:left w:val="single" w:color="auto" w:sz="4" w:space="4"/>
          <w:bottom w:val="single" w:color="auto" w:sz="4" w:space="1"/>
          <w:right w:val="single" w:color="auto" w:sz="4" w:space="4"/>
        </w:pBdr>
        <w:adjustRightInd w:val="0"/>
        <w:snapToGrid w:val="0"/>
        <w:spacing w:line="320" w:lineRule="exact"/>
        <w:jc w:val="center"/>
        <w:rPr>
          <w:rFonts w:hint="eastAsia" w:ascii="宋体" w:hAnsi="宋体"/>
          <w:color w:val="auto"/>
          <w:highlight w:val="none"/>
          <w:shd w:val="clear" w:color="auto" w:fill="auto"/>
        </w:rPr>
      </w:pPr>
      <w:r>
        <w:rPr>
          <w:rFonts w:hint="eastAsia" w:ascii="宋体" w:hAnsi="宋体"/>
          <w:color w:val="auto"/>
          <w:highlight w:val="none"/>
          <w:shd w:val="clear" w:color="auto" w:fill="auto"/>
        </w:rPr>
        <w:t>项目概况</w:t>
      </w:r>
    </w:p>
    <w:p>
      <w:pPr>
        <w:pBdr>
          <w:top w:val="single" w:color="auto" w:sz="4" w:space="1"/>
          <w:left w:val="single" w:color="auto" w:sz="4" w:space="4"/>
          <w:bottom w:val="single" w:color="auto" w:sz="4" w:space="1"/>
          <w:right w:val="single" w:color="auto" w:sz="4" w:space="4"/>
        </w:pBdr>
        <w:adjustRightInd w:val="0"/>
        <w:snapToGrid w:val="0"/>
        <w:spacing w:line="320" w:lineRule="exact"/>
        <w:ind w:firstLine="421" w:firstLineChars="200"/>
        <w:rPr>
          <w:rFonts w:hint="eastAsia" w:ascii="宋体" w:hAnsi="宋体"/>
          <w:color w:val="auto"/>
          <w:szCs w:val="21"/>
          <w:highlight w:val="none"/>
          <w:shd w:val="clear" w:color="auto" w:fill="auto"/>
        </w:rPr>
      </w:pPr>
      <w:r>
        <w:rPr>
          <w:rFonts w:hint="eastAsia"/>
          <w:b/>
          <w:bCs/>
          <w:color w:val="auto"/>
          <w:highlight w:val="none"/>
          <w:shd w:val="clear" w:color="auto" w:fill="auto"/>
        </w:rPr>
        <w:t>广西艺术学院教学设备采购</w:t>
      </w:r>
      <w:r>
        <w:rPr>
          <w:color w:val="auto"/>
          <w:highlight w:val="none"/>
          <w:shd w:val="clear" w:color="auto" w:fill="auto"/>
        </w:rPr>
        <w:t>项目的潜在投标人应在</w:t>
      </w:r>
      <w:r>
        <w:rPr>
          <w:color w:val="auto"/>
          <w:highlight w:val="none"/>
          <w:shd w:val="clear" w:color="auto" w:fill="auto"/>
          <w:lang w:val="en"/>
        </w:rPr>
        <w:t>广西政府采购云平台（网址：http://www.gcy.zfcg.gxzf.gov.cn）</w:t>
      </w:r>
      <w:r>
        <w:rPr>
          <w:color w:val="auto"/>
          <w:highlight w:val="none"/>
          <w:shd w:val="clear" w:color="auto" w:fill="auto"/>
        </w:rPr>
        <w:t xml:space="preserve">获取招标文件，并于 </w:t>
      </w:r>
      <w:r>
        <w:rPr>
          <w:color w:val="auto"/>
          <w:highlight w:val="none"/>
          <w:shd w:val="clear" w:color="auto" w:fill="auto"/>
          <w:lang w:val="en"/>
        </w:rPr>
        <w:t>2025年</w:t>
      </w:r>
      <w:r>
        <w:rPr>
          <w:rFonts w:hint="default"/>
          <w:color w:val="auto"/>
          <w:highlight w:val="none"/>
          <w:shd w:val="clear" w:color="auto" w:fill="auto"/>
          <w:lang w:val="en"/>
        </w:rPr>
        <w:t xml:space="preserve">    </w:t>
      </w:r>
      <w:r>
        <w:rPr>
          <w:color w:val="auto"/>
          <w:highlight w:val="none"/>
          <w:shd w:val="clear" w:color="auto" w:fill="auto"/>
          <w:lang w:val="en"/>
        </w:rPr>
        <w:t>月</w:t>
      </w:r>
      <w:r>
        <w:rPr>
          <w:rFonts w:hint="default"/>
          <w:color w:val="auto"/>
          <w:highlight w:val="none"/>
          <w:shd w:val="clear" w:color="auto" w:fill="auto"/>
          <w:lang w:val="en"/>
        </w:rPr>
        <w:t xml:space="preserve"> </w:t>
      </w:r>
      <w:r>
        <w:rPr>
          <w:color w:val="auto"/>
          <w:highlight w:val="none"/>
          <w:shd w:val="clear" w:color="auto" w:fill="auto"/>
          <w:lang w:val="en"/>
        </w:rPr>
        <w:t>日</w:t>
      </w:r>
      <w:r>
        <w:rPr>
          <w:color w:val="auto"/>
          <w:highlight w:val="none"/>
          <w:shd w:val="clear" w:color="auto" w:fill="auto"/>
        </w:rPr>
        <w:t xml:space="preserve"> 10:00（北京时间）前递交投标文件。</w:t>
      </w:r>
    </w:p>
    <w:p>
      <w:pPr>
        <w:pageBreakBefore w:val="0"/>
        <w:widowControl w:val="0"/>
        <w:kinsoku/>
        <w:wordWrap/>
        <w:overflowPunct/>
        <w:topLinePunct w:val="0"/>
        <w:autoSpaceDE/>
        <w:autoSpaceDN/>
        <w:bidi w:val="0"/>
        <w:adjustRightInd w:val="0"/>
        <w:snapToGrid w:val="0"/>
        <w:spacing w:line="340" w:lineRule="exact"/>
        <w:ind w:firstLine="421" w:firstLineChars="200"/>
        <w:textAlignment w:val="auto"/>
        <w:rPr>
          <w:rFonts w:hint="eastAsia"/>
          <w:b/>
          <w:color w:val="auto"/>
          <w:highlight w:val="none"/>
          <w:shd w:val="clear" w:color="auto" w:fill="auto"/>
        </w:rPr>
      </w:pPr>
      <w:bookmarkStart w:id="0" w:name="_Toc28359009"/>
      <w:bookmarkStart w:id="1" w:name="_Toc28359086"/>
      <w:r>
        <w:rPr>
          <w:rFonts w:hint="eastAsia"/>
          <w:b/>
          <w:color w:val="auto"/>
          <w:highlight w:val="none"/>
          <w:shd w:val="clear" w:color="auto" w:fill="auto"/>
        </w:rPr>
        <w:t>一、项目基本情况</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项目编号：</w:t>
      </w:r>
      <w:r>
        <w:rPr>
          <w:color w:val="auto"/>
          <w:highlight w:val="none"/>
          <w:shd w:val="clear" w:color="auto" w:fill="auto"/>
          <w:lang w:val="en"/>
        </w:rPr>
        <w:t>GXZC2025-G1-0-CGZX</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color w:val="auto"/>
          <w:highlight w:val="none"/>
          <w:shd w:val="clear" w:color="auto" w:fill="auto"/>
          <w:lang w:val="en"/>
        </w:rPr>
      </w:pPr>
      <w:r>
        <w:rPr>
          <w:rFonts w:hint="eastAsia"/>
          <w:color w:val="auto"/>
          <w:highlight w:val="none"/>
          <w:shd w:val="clear" w:color="auto" w:fill="auto"/>
        </w:rPr>
        <w:t>项目名称：</w:t>
      </w:r>
      <w:r>
        <w:rPr>
          <w:rFonts w:hint="eastAsia" w:ascii="Times New Roman" w:eastAsia="宋体"/>
          <w:b w:val="0"/>
          <w:color w:val="auto"/>
          <w:sz w:val="21"/>
          <w:szCs w:val="24"/>
          <w:highlight w:val="none"/>
          <w:shd w:val="clear" w:color="auto" w:fill="auto"/>
          <w:lang w:val="en-US" w:eastAsia="zh-CN"/>
        </w:rPr>
        <w:t>广西艺术学院教学设备</w:t>
      </w:r>
      <w:r>
        <w:rPr>
          <w:rFonts w:hint="eastAsia"/>
          <w:b w:val="0"/>
          <w:color w:val="auto"/>
          <w:sz w:val="21"/>
          <w:szCs w:val="24"/>
          <w:highlight w:val="none"/>
          <w:shd w:val="clear" w:color="auto" w:fill="auto"/>
          <w:lang w:val="en-US" w:eastAsia="zh-CN"/>
        </w:rPr>
        <w:t>采购</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default" w:eastAsia="宋体"/>
          <w:color w:val="auto"/>
          <w:highlight w:val="none"/>
          <w:shd w:val="clear" w:color="auto" w:fill="auto"/>
          <w:lang w:val="en-US" w:eastAsia="zh-CN"/>
        </w:rPr>
      </w:pPr>
      <w:r>
        <w:rPr>
          <w:rFonts w:hint="eastAsia"/>
          <w:color w:val="auto"/>
          <w:highlight w:val="none"/>
          <w:shd w:val="clear" w:color="auto" w:fill="auto"/>
        </w:rPr>
        <w:t>预算总金额（元）：</w:t>
      </w:r>
      <w:r>
        <w:rPr>
          <w:rFonts w:hint="eastAsia"/>
          <w:color w:val="auto"/>
          <w:highlight w:val="none"/>
          <w:shd w:val="clear" w:color="auto" w:fill="auto"/>
          <w:lang w:val="en-US" w:eastAsia="zh-CN"/>
        </w:rPr>
        <w:t>4556556.44</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采购需求：</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标项一：</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Times New Roman" w:hAnsi="Times New Roman" w:eastAsia="宋体" w:cs="Times New Roman"/>
          <w:color w:val="auto"/>
          <w:highlight w:val="none"/>
          <w:shd w:val="clear" w:color="auto" w:fill="auto"/>
          <w:lang w:val="en-US" w:eastAsia="zh-CN"/>
        </w:rPr>
      </w:pPr>
      <w:r>
        <w:rPr>
          <w:rFonts w:hint="eastAsia" w:ascii="Times New Roman" w:hAnsi="Times New Roman" w:eastAsia="宋体" w:cs="Times New Roman"/>
          <w:color w:val="auto"/>
          <w:highlight w:val="none"/>
          <w:shd w:val="clear" w:color="auto" w:fill="auto"/>
        </w:rPr>
        <w:t xml:space="preserve">标项名称: </w:t>
      </w:r>
      <w:r>
        <w:rPr>
          <w:rFonts w:hint="eastAsia" w:ascii="Times New Roman" w:eastAsia="宋体"/>
          <w:b w:val="0"/>
          <w:color w:val="auto"/>
          <w:sz w:val="21"/>
          <w:szCs w:val="24"/>
          <w:highlight w:val="none"/>
          <w:shd w:val="clear" w:color="auto" w:fill="auto"/>
          <w:lang w:val="en-US" w:eastAsia="zh-CN"/>
        </w:rPr>
        <w:t>漓江画派研究中心设备</w:t>
      </w:r>
      <w:r>
        <w:rPr>
          <w:rFonts w:hint="eastAsia" w:ascii="Times New Roman" w:hAnsi="Times New Roman" w:eastAsia="宋体" w:cs="Times New Roman"/>
          <w:color w:val="auto"/>
          <w:highlight w:val="none"/>
          <w:shd w:val="clear" w:color="auto" w:fill="auto"/>
          <w:lang w:val="en-US" w:eastAsia="zh-CN"/>
        </w:rPr>
        <w:t xml:space="preserve">  </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Times New Roman" w:hAnsi="Times New Roman" w:eastAsia="宋体" w:cs="Times New Roman"/>
          <w:color w:val="auto"/>
          <w:highlight w:val="none"/>
          <w:shd w:val="clear" w:color="auto" w:fill="auto"/>
          <w:lang w:val="en-US" w:eastAsia="zh-CN"/>
        </w:rPr>
      </w:pPr>
      <w:r>
        <w:rPr>
          <w:rFonts w:hint="eastAsia" w:ascii="Times New Roman" w:hAnsi="Times New Roman" w:eastAsia="宋体" w:cs="Times New Roman"/>
          <w:color w:val="auto"/>
          <w:highlight w:val="none"/>
          <w:shd w:val="clear" w:color="auto" w:fill="auto"/>
        </w:rPr>
        <w:t xml:space="preserve">数量:1 </w:t>
      </w:r>
      <w:r>
        <w:rPr>
          <w:rFonts w:hint="eastAsia" w:ascii="Times New Roman" w:hAnsi="Times New Roman" w:eastAsia="宋体" w:cs="Times New Roman"/>
          <w:color w:val="auto"/>
          <w:highlight w:val="none"/>
          <w:shd w:val="clear" w:color="auto" w:fill="auto"/>
        </w:rPr>
        <w:br w:type="textWrapping"/>
      </w:r>
      <w:r>
        <w:rPr>
          <w:rFonts w:hint="eastAsia" w:ascii="Times New Roman" w:hAnsi="Times New Roman" w:eastAsia="宋体" w:cs="Times New Roman"/>
          <w:color w:val="auto"/>
          <w:highlight w:val="none"/>
          <w:shd w:val="clear" w:color="auto" w:fill="auto"/>
        </w:rPr>
        <w:t xml:space="preserve">   </w:t>
      </w:r>
      <w:r>
        <w:rPr>
          <w:rFonts w:hint="eastAsia" w:cs="Times New Roman"/>
          <w:color w:val="auto"/>
          <w:highlight w:val="none"/>
          <w:shd w:val="clear" w:color="auto" w:fill="auto"/>
          <w:lang w:val="en-US" w:eastAsia="zh-CN"/>
        </w:rPr>
        <w:t xml:space="preserve"> </w:t>
      </w:r>
      <w:r>
        <w:rPr>
          <w:rFonts w:hint="eastAsia" w:ascii="Times New Roman" w:hAnsi="Times New Roman" w:eastAsia="宋体" w:cs="Times New Roman"/>
          <w:color w:val="auto"/>
          <w:highlight w:val="none"/>
          <w:shd w:val="clear" w:color="auto" w:fill="auto"/>
        </w:rPr>
        <w:t>预算金额（元）:</w:t>
      </w:r>
      <w:r>
        <w:rPr>
          <w:rFonts w:hint="eastAsia"/>
          <w:color w:val="auto"/>
          <w:highlight w:val="none"/>
          <w:shd w:val="clear" w:color="auto" w:fill="auto"/>
        </w:rPr>
        <w:t>3336290.44</w:t>
      </w:r>
    </w:p>
    <w:p>
      <w:pPr>
        <w:pageBreakBefore w:val="0"/>
        <w:widowControl w:val="0"/>
        <w:kinsoku/>
        <w:wordWrap/>
        <w:overflowPunct/>
        <w:topLinePunct w:val="0"/>
        <w:autoSpaceDE/>
        <w:autoSpaceDN/>
        <w:bidi w:val="0"/>
        <w:spacing w:line="340" w:lineRule="exact"/>
        <w:textAlignment w:val="auto"/>
        <w:rPr>
          <w:rFonts w:hint="eastAsia" w:ascii="Times New Roman" w:hAnsi="Times New Roman" w:eastAsia="宋体" w:cs="Times New Roman"/>
          <w:color w:val="auto"/>
          <w:highlight w:val="none"/>
          <w:shd w:val="clear" w:color="auto" w:fill="auto"/>
        </w:rPr>
      </w:pPr>
      <w:r>
        <w:rPr>
          <w:rFonts w:hint="default" w:cs="Times New Roman"/>
          <w:color w:val="auto"/>
          <w:highlight w:val="none"/>
          <w:shd w:val="clear" w:color="auto" w:fill="auto"/>
          <w:lang w:val="en"/>
        </w:rPr>
        <w:t xml:space="preserve">    </w:t>
      </w:r>
      <w:r>
        <w:rPr>
          <w:rFonts w:hint="eastAsia" w:ascii="Times New Roman" w:hAnsi="Times New Roman" w:eastAsia="宋体" w:cs="Times New Roman"/>
          <w:color w:val="auto"/>
          <w:highlight w:val="none"/>
          <w:shd w:val="clear" w:color="auto" w:fill="auto"/>
        </w:rPr>
        <w:t>简要规格描述或项目基本概况介绍、用途：</w:t>
      </w:r>
      <w:r>
        <w:rPr>
          <w:rFonts w:hint="eastAsia"/>
          <w:b w:val="0"/>
          <w:bCs w:val="0"/>
          <w:color w:val="auto"/>
          <w:highlight w:val="none"/>
          <w:shd w:val="clear" w:color="auto" w:fill="auto"/>
        </w:rPr>
        <w:t>说明台1件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精品说明台3件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挂柜2件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组合柜1件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沿墙通柜2件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沿墙通柜1件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沿墙通柜1件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沿墙通柜2件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展台1件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挂柜1件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平柜1件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独立高柜1件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说明台3件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挂柜1件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展台1件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沿墙通柜2件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沿墙通柜1件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沿墙通柜1件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组合柜1件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展台1件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挂柜1件</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藏画柜157.5㎡</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画桌10.44㎡</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显示屏1台</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LED曲面显示屏51.8144平方米</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发送盒21台</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输入卡</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1</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1块</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输出卡</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1</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6块</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机柜2台</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配电柜1</w:t>
      </w:r>
      <w:r>
        <w:rPr>
          <w:rFonts w:hint="eastAsia"/>
          <w:b w:val="0"/>
          <w:bCs w:val="0"/>
          <w:color w:val="auto"/>
          <w:highlight w:val="none"/>
          <w:shd w:val="clear" w:color="auto" w:fill="auto"/>
        </w:rPr>
        <w:tab/>
      </w:r>
      <w:r>
        <w:rPr>
          <w:rFonts w:hint="eastAsia"/>
          <w:b w:val="0"/>
          <w:bCs w:val="0"/>
          <w:color w:val="auto"/>
          <w:highlight w:val="none"/>
          <w:shd w:val="clear" w:color="auto" w:fill="auto"/>
        </w:rPr>
        <w:t>台</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控制终端1台</w:t>
      </w:r>
      <w:r>
        <w:rPr>
          <w:rFonts w:hint="default"/>
          <w:b w:val="0"/>
          <w:bCs w:val="0"/>
          <w:color w:val="auto"/>
          <w:highlight w:val="none"/>
          <w:shd w:val="clear" w:color="auto" w:fill="auto"/>
          <w:lang w:val="en"/>
        </w:rPr>
        <w:t>；</w:t>
      </w:r>
      <w:r>
        <w:rPr>
          <w:rFonts w:hint="eastAsia"/>
          <w:b w:val="0"/>
          <w:bCs w:val="0"/>
          <w:color w:val="auto"/>
          <w:highlight w:val="none"/>
          <w:shd w:val="clear" w:color="auto" w:fill="auto"/>
        </w:rPr>
        <w:t>智能控制系统1台</w:t>
      </w:r>
      <w:r>
        <w:rPr>
          <w:rFonts w:hint="default"/>
          <w:b w:val="0"/>
          <w:bCs w:val="0"/>
          <w:color w:val="auto"/>
          <w:highlight w:val="none"/>
          <w:shd w:val="clear" w:color="auto" w:fill="auto"/>
          <w:lang w:val="en"/>
        </w:rPr>
        <w:t>；</w:t>
      </w:r>
      <w:r>
        <w:rPr>
          <w:rFonts w:hint="default" w:ascii="Times New Roman" w:hAnsi="Times New Roman" w:eastAsia="宋体" w:cs="Times New Roman"/>
          <w:b w:val="0"/>
          <w:bCs w:val="0"/>
          <w:color w:val="auto"/>
          <w:kern w:val="2"/>
          <w:sz w:val="21"/>
          <w:szCs w:val="24"/>
          <w:highlight w:val="none"/>
          <w:shd w:val="clear" w:color="auto" w:fill="auto"/>
          <w:lang w:val="en" w:eastAsia="zh-CN" w:bidi="ar-SA"/>
        </w:rPr>
        <w:t>交换机1台；智能排插2个；综合布线1项；拼接矩阵主机1台；LED显示屏钢结构55.5024平方米；扫描仪1台；沙发2张；茶几2张；休闲椅4张；沙发10张；茶几7个；休闲桌8张；休闲椅32张；阅读桌3张；阅读椅24张；书画桌1张；椅子15张；会客厅书柜16平方；休闲阅读区域柜111.552平方；办公室书柜</w:t>
      </w:r>
      <w:r>
        <w:rPr>
          <w:rFonts w:hint="default" w:ascii="Times New Roman" w:hAnsi="Times New Roman" w:eastAsia="宋体" w:cs="Times New Roman"/>
          <w:b w:val="0"/>
          <w:bCs w:val="0"/>
          <w:color w:val="auto"/>
          <w:kern w:val="2"/>
          <w:sz w:val="21"/>
          <w:szCs w:val="24"/>
          <w:highlight w:val="none"/>
          <w:shd w:val="clear" w:color="auto" w:fill="auto"/>
          <w:lang w:val="en" w:eastAsia="zh-CN" w:bidi="ar-SA"/>
        </w:rPr>
        <w:tab/>
      </w:r>
      <w:r>
        <w:rPr>
          <w:rFonts w:hint="default" w:ascii="Times New Roman" w:hAnsi="Times New Roman" w:eastAsia="宋体" w:cs="Times New Roman"/>
          <w:b w:val="0"/>
          <w:bCs w:val="0"/>
          <w:color w:val="auto"/>
          <w:kern w:val="2"/>
          <w:sz w:val="21"/>
          <w:szCs w:val="24"/>
          <w:highlight w:val="none"/>
          <w:shd w:val="clear" w:color="auto" w:fill="auto"/>
          <w:lang w:val="en" w:eastAsia="zh-CN" w:bidi="ar-SA"/>
        </w:rPr>
        <w:t>22.144平方。</w:t>
      </w:r>
      <w:r>
        <w:rPr>
          <w:rFonts w:hint="eastAsia" w:ascii="Times New Roman" w:hAnsi="Times New Roman" w:eastAsia="宋体" w:cs="Times New Roman"/>
          <w:color w:val="auto"/>
          <w:highlight w:val="none"/>
          <w:shd w:val="clear" w:color="auto" w:fill="auto"/>
          <w:lang w:val="en"/>
        </w:rPr>
        <w:t>如需进一步了解详细内容，详见采购文件。</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default" w:ascii="Times New Roman" w:hAnsi="Times New Roman" w:eastAsia="宋体" w:cs="Times New Roman"/>
          <w:color w:val="auto"/>
          <w:highlight w:val="none"/>
          <w:shd w:val="clear" w:color="auto" w:fill="auto"/>
          <w:lang w:val="en"/>
        </w:rPr>
      </w:pPr>
      <w:r>
        <w:rPr>
          <w:rFonts w:hint="eastAsia" w:ascii="Times New Roman" w:hAnsi="Times New Roman" w:eastAsia="宋体" w:cs="Times New Roman"/>
          <w:color w:val="auto"/>
          <w:highlight w:val="none"/>
          <w:shd w:val="clear" w:color="auto" w:fill="auto"/>
        </w:rPr>
        <w:t xml:space="preserve">最高限价（如有）： </w:t>
      </w:r>
      <w:r>
        <w:rPr>
          <w:rFonts w:hint="default" w:ascii="Times New Roman" w:hAnsi="Times New Roman" w:eastAsia="宋体" w:cs="Times New Roman"/>
          <w:color w:val="auto"/>
          <w:highlight w:val="none"/>
          <w:shd w:val="clear" w:color="auto" w:fill="auto"/>
          <w:lang w:val="en"/>
        </w:rPr>
        <w:t>/</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合同履约期限：自合同签订之日起至项目履约完毕</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本项目（否）接受联合体</w:t>
      </w:r>
      <w:r>
        <w:rPr>
          <w:rFonts w:hint="eastAsia" w:cs="Times New Roman"/>
          <w:color w:val="auto"/>
          <w:highlight w:val="none"/>
          <w:shd w:val="clear" w:color="auto" w:fill="auto"/>
          <w:lang w:eastAsia="zh-CN"/>
        </w:rPr>
        <w:t>投标</w:t>
      </w:r>
      <w:r>
        <w:rPr>
          <w:rFonts w:hint="eastAsia" w:ascii="Times New Roman" w:hAnsi="Times New Roman" w:eastAsia="宋体" w:cs="Times New Roman"/>
          <w:color w:val="auto"/>
          <w:highlight w:val="none"/>
          <w:shd w:val="clear" w:color="auto" w:fill="auto"/>
        </w:rPr>
        <w:br w:type="textWrapping"/>
      </w:r>
      <w:r>
        <w:rPr>
          <w:rFonts w:hint="eastAsia" w:ascii="Times New Roman" w:hAnsi="Times New Roman" w:eastAsia="宋体" w:cs="Times New Roman"/>
          <w:color w:val="auto"/>
          <w:highlight w:val="none"/>
          <w:shd w:val="clear" w:color="auto" w:fill="auto"/>
        </w:rPr>
        <w:t>备注：本项目为线上电子招标项目，有意向参与本项目的供应商应当做好参与全流程电子招投标交易的充分准备.</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标项</w:t>
      </w:r>
      <w:r>
        <w:rPr>
          <w:rFonts w:hint="eastAsia" w:ascii="Times New Roman" w:hAnsi="Times New Roman" w:eastAsia="宋体" w:cs="Times New Roman"/>
          <w:color w:val="auto"/>
          <w:highlight w:val="none"/>
          <w:shd w:val="clear" w:color="auto" w:fill="auto"/>
          <w:lang w:eastAsia="zh-CN"/>
        </w:rPr>
        <w:t>二</w:t>
      </w:r>
      <w:r>
        <w:rPr>
          <w:rFonts w:hint="eastAsia" w:ascii="Times New Roman" w:hAnsi="Times New Roman" w:eastAsia="宋体" w:cs="Times New Roman"/>
          <w:color w:val="auto"/>
          <w:highlight w:val="none"/>
          <w:shd w:val="clear" w:color="auto" w:fill="auto"/>
        </w:rPr>
        <w:t>：</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标项名称</w:t>
      </w:r>
      <w:r>
        <w:rPr>
          <w:rFonts w:hint="eastAsia" w:cs="Times New Roman"/>
          <w:color w:val="auto"/>
          <w:highlight w:val="none"/>
          <w:shd w:val="clear" w:color="auto" w:fill="auto"/>
          <w:lang w:eastAsia="zh-CN"/>
        </w:rPr>
        <w:t>：</w:t>
      </w:r>
      <w:r>
        <w:rPr>
          <w:rFonts w:hint="eastAsia" w:ascii="Times New Roman" w:eastAsia="宋体"/>
          <w:b w:val="0"/>
          <w:color w:val="auto"/>
          <w:sz w:val="21"/>
          <w:szCs w:val="24"/>
          <w:highlight w:val="none"/>
          <w:shd w:val="clear" w:color="auto" w:fill="auto"/>
          <w:lang w:val="en-US" w:eastAsia="zh-CN"/>
        </w:rPr>
        <w:t>图书馆影音鉴赏实验室设备、古籍保护与修复实验室设备、电子阅读与安全管控设备</w:t>
      </w:r>
      <w:r>
        <w:rPr>
          <w:rFonts w:hint="eastAsia" w:ascii="Times New Roman" w:hAnsi="Times New Roman" w:eastAsia="宋体" w:cs="Times New Roman"/>
          <w:color w:val="auto"/>
          <w:highlight w:val="none"/>
          <w:shd w:val="clear" w:color="auto" w:fill="auto"/>
        </w:rPr>
        <w:t xml:space="preserve"> </w:t>
      </w:r>
    </w:p>
    <w:p>
      <w:pPr>
        <w:pageBreakBefore w:val="0"/>
        <w:widowControl w:val="0"/>
        <w:kinsoku/>
        <w:wordWrap/>
        <w:overflowPunct/>
        <w:topLinePunct w:val="0"/>
        <w:autoSpaceDE/>
        <w:autoSpaceDN/>
        <w:bidi w:val="0"/>
        <w:spacing w:line="340" w:lineRule="exact"/>
        <w:textAlignment w:val="auto"/>
        <w:rPr>
          <w:rFonts w:hint="eastAsia" w:ascii="Times New Roman" w:hAnsi="Times New Roman" w:eastAsia="宋体" w:cs="Times New Roman"/>
          <w:color w:val="auto"/>
          <w:highlight w:val="none"/>
          <w:shd w:val="clear" w:color="auto" w:fill="auto"/>
        </w:rPr>
      </w:pPr>
      <w:r>
        <w:rPr>
          <w:rFonts w:hint="eastAsia" w:cs="Times New Roman"/>
          <w:color w:val="auto"/>
          <w:highlight w:val="none"/>
          <w:shd w:val="clear" w:color="auto" w:fill="auto"/>
          <w:lang w:val="en-US" w:eastAsia="zh-CN"/>
        </w:rPr>
        <w:t xml:space="preserve">    </w:t>
      </w:r>
      <w:r>
        <w:rPr>
          <w:rFonts w:hint="eastAsia" w:ascii="Times New Roman" w:hAnsi="Times New Roman" w:eastAsia="宋体" w:cs="Times New Roman"/>
          <w:color w:val="auto"/>
          <w:highlight w:val="none"/>
          <w:shd w:val="clear" w:color="auto" w:fill="auto"/>
        </w:rPr>
        <w:t xml:space="preserve">数量:1 </w:t>
      </w:r>
      <w:r>
        <w:rPr>
          <w:rFonts w:hint="eastAsia" w:ascii="Times New Roman" w:hAnsi="Times New Roman" w:eastAsia="宋体" w:cs="Times New Roman"/>
          <w:color w:val="auto"/>
          <w:highlight w:val="none"/>
          <w:shd w:val="clear" w:color="auto" w:fill="auto"/>
        </w:rPr>
        <w:br w:type="textWrapping"/>
      </w:r>
      <w:r>
        <w:rPr>
          <w:rFonts w:hint="eastAsia" w:ascii="Times New Roman" w:hAnsi="Times New Roman" w:eastAsia="宋体" w:cs="Times New Roman"/>
          <w:color w:val="auto"/>
          <w:highlight w:val="none"/>
          <w:shd w:val="clear" w:color="auto" w:fill="auto"/>
        </w:rPr>
        <w:t xml:space="preserve">   </w:t>
      </w:r>
      <w:r>
        <w:rPr>
          <w:rFonts w:hint="eastAsia" w:cs="Times New Roman"/>
          <w:color w:val="auto"/>
          <w:highlight w:val="none"/>
          <w:shd w:val="clear" w:color="auto" w:fill="auto"/>
          <w:lang w:val="en-US" w:eastAsia="zh-CN"/>
        </w:rPr>
        <w:t xml:space="preserve"> </w:t>
      </w:r>
      <w:r>
        <w:rPr>
          <w:rFonts w:hint="eastAsia" w:ascii="Times New Roman" w:hAnsi="Times New Roman" w:eastAsia="宋体" w:cs="Times New Roman"/>
          <w:color w:val="auto"/>
          <w:highlight w:val="none"/>
          <w:shd w:val="clear" w:color="auto" w:fill="auto"/>
        </w:rPr>
        <w:t xml:space="preserve">预算金额（元）: </w:t>
      </w:r>
      <w:r>
        <w:rPr>
          <w:rFonts w:hint="eastAsia" w:cs="Times New Roman"/>
          <w:color w:val="auto"/>
          <w:highlight w:val="none"/>
          <w:shd w:val="clear" w:color="auto" w:fill="auto"/>
          <w:lang w:val="en-US" w:eastAsia="zh-CN"/>
        </w:rPr>
        <w:t>811266</w:t>
      </w:r>
      <w:r>
        <w:rPr>
          <w:rFonts w:hint="eastAsia" w:ascii="Times New Roman" w:hAnsi="Times New Roman" w:eastAsia="宋体" w:cs="Times New Roman"/>
          <w:color w:val="auto"/>
          <w:highlight w:val="none"/>
          <w:shd w:val="clear" w:color="auto" w:fill="auto"/>
          <w:lang w:val="en-US" w:eastAsia="zh-CN"/>
        </w:rPr>
        <w:t>.00</w:t>
      </w:r>
      <w:r>
        <w:rPr>
          <w:rFonts w:hint="eastAsia" w:ascii="Times New Roman" w:hAnsi="Times New Roman" w:eastAsia="宋体" w:cs="Times New Roman"/>
          <w:color w:val="auto"/>
          <w:highlight w:val="none"/>
          <w:shd w:val="clear" w:color="auto" w:fill="auto"/>
        </w:rPr>
        <w:br w:type="textWrapping"/>
      </w:r>
      <w:r>
        <w:rPr>
          <w:rFonts w:hint="eastAsia" w:ascii="Times New Roman" w:hAnsi="Times New Roman" w:eastAsia="宋体" w:cs="Times New Roman"/>
          <w:color w:val="auto"/>
          <w:highlight w:val="none"/>
          <w:shd w:val="clear" w:color="auto" w:fill="auto"/>
        </w:rPr>
        <w:t xml:space="preserve">    简要规格描述或项目基本概况介绍、用途：</w:t>
      </w:r>
      <w:r>
        <w:rPr>
          <w:rFonts w:hint="eastAsia"/>
          <w:color w:val="auto"/>
          <w:highlight w:val="none"/>
          <w:shd w:val="clear" w:color="auto" w:fill="auto"/>
        </w:rPr>
        <w:t>激光工程投影机</w:t>
      </w:r>
      <w:r>
        <w:rPr>
          <w:rFonts w:hint="default"/>
          <w:color w:val="auto"/>
          <w:highlight w:val="none"/>
          <w:shd w:val="clear" w:color="auto" w:fill="auto"/>
          <w:lang w:val="en"/>
        </w:rPr>
        <w:t>（</w:t>
      </w:r>
      <w:r>
        <w:rPr>
          <w:rFonts w:hint="eastAsia"/>
          <w:color w:val="auto"/>
          <w:highlight w:val="none"/>
          <w:shd w:val="clear" w:color="auto" w:fill="auto"/>
        </w:rPr>
        <w:t>1</w:t>
      </w:r>
      <w:r>
        <w:rPr>
          <w:rFonts w:hint="default"/>
          <w:color w:val="auto"/>
          <w:highlight w:val="none"/>
          <w:shd w:val="clear" w:color="auto" w:fill="auto"/>
          <w:lang w:val="en"/>
        </w:rPr>
        <w:t>）</w:t>
      </w:r>
      <w:r>
        <w:rPr>
          <w:rFonts w:hint="eastAsia"/>
          <w:color w:val="auto"/>
          <w:highlight w:val="none"/>
          <w:shd w:val="clear" w:color="auto" w:fill="auto"/>
        </w:rPr>
        <w:t>1台</w:t>
      </w:r>
      <w:r>
        <w:rPr>
          <w:rFonts w:hint="default"/>
          <w:color w:val="auto"/>
          <w:highlight w:val="none"/>
          <w:shd w:val="clear" w:color="auto" w:fill="auto"/>
          <w:lang w:val="en"/>
        </w:rPr>
        <w:t>；</w:t>
      </w:r>
      <w:r>
        <w:rPr>
          <w:rFonts w:hint="eastAsia"/>
          <w:color w:val="auto"/>
          <w:highlight w:val="none"/>
          <w:shd w:val="clear" w:color="auto" w:fill="auto"/>
        </w:rPr>
        <w:t>激光工程投影机</w:t>
      </w:r>
      <w:r>
        <w:rPr>
          <w:rFonts w:hint="default"/>
          <w:color w:val="auto"/>
          <w:highlight w:val="none"/>
          <w:shd w:val="clear" w:color="auto" w:fill="auto"/>
          <w:lang w:val="en"/>
        </w:rPr>
        <w:t>（</w:t>
      </w:r>
      <w:r>
        <w:rPr>
          <w:rFonts w:hint="eastAsia"/>
          <w:color w:val="auto"/>
          <w:highlight w:val="none"/>
          <w:shd w:val="clear" w:color="auto" w:fill="auto"/>
        </w:rPr>
        <w:t>2</w:t>
      </w:r>
      <w:r>
        <w:rPr>
          <w:rFonts w:hint="default"/>
          <w:color w:val="auto"/>
          <w:highlight w:val="none"/>
          <w:shd w:val="clear" w:color="auto" w:fill="auto"/>
          <w:lang w:val="en"/>
        </w:rPr>
        <w:t>）</w:t>
      </w:r>
      <w:r>
        <w:rPr>
          <w:rFonts w:hint="eastAsia"/>
          <w:color w:val="auto"/>
          <w:highlight w:val="none"/>
          <w:shd w:val="clear" w:color="auto" w:fill="auto"/>
        </w:rPr>
        <w:t>1台</w:t>
      </w:r>
      <w:r>
        <w:rPr>
          <w:rFonts w:hint="default"/>
          <w:color w:val="auto"/>
          <w:highlight w:val="none"/>
          <w:shd w:val="clear" w:color="auto" w:fill="auto"/>
          <w:lang w:val="en"/>
        </w:rPr>
        <w:t>；</w:t>
      </w:r>
      <w:r>
        <w:rPr>
          <w:rFonts w:hint="eastAsia"/>
          <w:color w:val="auto"/>
          <w:highlight w:val="none"/>
          <w:shd w:val="clear" w:color="auto" w:fill="auto"/>
        </w:rPr>
        <w:t>非接触式扫描仪1台</w:t>
      </w:r>
      <w:r>
        <w:rPr>
          <w:rFonts w:hint="default"/>
          <w:color w:val="auto"/>
          <w:highlight w:val="none"/>
          <w:shd w:val="clear" w:color="auto" w:fill="auto"/>
          <w:lang w:val="en"/>
        </w:rPr>
        <w:t>；</w:t>
      </w:r>
      <w:r>
        <w:rPr>
          <w:rFonts w:hint="eastAsia"/>
          <w:color w:val="auto"/>
          <w:highlight w:val="none"/>
          <w:shd w:val="clear" w:color="auto" w:fill="auto"/>
        </w:rPr>
        <w:t>显示器2台</w:t>
      </w:r>
      <w:r>
        <w:rPr>
          <w:rFonts w:hint="default"/>
          <w:color w:val="auto"/>
          <w:highlight w:val="none"/>
          <w:shd w:val="clear" w:color="auto" w:fill="auto"/>
          <w:lang w:val="en"/>
        </w:rPr>
        <w:t>；</w:t>
      </w:r>
      <w:r>
        <w:rPr>
          <w:rFonts w:hint="eastAsia"/>
          <w:color w:val="auto"/>
          <w:highlight w:val="none"/>
          <w:shd w:val="clear" w:color="auto" w:fill="auto"/>
        </w:rPr>
        <w:t>笔记本电脑1</w:t>
      </w:r>
      <w:r>
        <w:rPr>
          <w:rFonts w:hint="eastAsia"/>
          <w:color w:val="auto"/>
          <w:highlight w:val="none"/>
          <w:shd w:val="clear" w:color="auto" w:fill="auto"/>
        </w:rPr>
        <w:tab/>
      </w:r>
      <w:r>
        <w:rPr>
          <w:rFonts w:hint="eastAsia"/>
          <w:color w:val="auto"/>
          <w:highlight w:val="none"/>
          <w:shd w:val="clear" w:color="auto" w:fill="auto"/>
        </w:rPr>
        <w:t>台</w:t>
      </w:r>
      <w:r>
        <w:rPr>
          <w:rFonts w:hint="default"/>
          <w:color w:val="auto"/>
          <w:highlight w:val="none"/>
          <w:shd w:val="clear" w:color="auto" w:fill="auto"/>
          <w:lang w:val="en"/>
        </w:rPr>
        <w:t>；</w:t>
      </w:r>
      <w:r>
        <w:rPr>
          <w:rFonts w:hint="eastAsia"/>
          <w:color w:val="auto"/>
          <w:highlight w:val="none"/>
          <w:shd w:val="clear" w:color="auto" w:fill="auto"/>
        </w:rPr>
        <w:t>整体式壁柜20平米</w:t>
      </w:r>
      <w:r>
        <w:rPr>
          <w:rFonts w:hint="default"/>
          <w:color w:val="auto"/>
          <w:highlight w:val="none"/>
          <w:shd w:val="clear" w:color="auto" w:fill="auto"/>
          <w:lang w:val="en"/>
        </w:rPr>
        <w:t>；</w:t>
      </w:r>
      <w:r>
        <w:rPr>
          <w:rFonts w:hint="eastAsia"/>
          <w:color w:val="auto"/>
          <w:highlight w:val="none"/>
          <w:shd w:val="clear" w:color="auto" w:fill="auto"/>
        </w:rPr>
        <w:t>图书盘点笔记本电脑6台</w:t>
      </w:r>
      <w:r>
        <w:rPr>
          <w:rFonts w:hint="default"/>
          <w:color w:val="auto"/>
          <w:highlight w:val="none"/>
          <w:shd w:val="clear" w:color="auto" w:fill="auto"/>
          <w:lang w:val="en"/>
        </w:rPr>
        <w:t>；</w:t>
      </w:r>
      <w:r>
        <w:rPr>
          <w:rFonts w:hint="eastAsia"/>
          <w:color w:val="auto"/>
          <w:highlight w:val="none"/>
          <w:shd w:val="clear" w:color="auto" w:fill="auto"/>
        </w:rPr>
        <w:t>电子阅览室电脑台式机30台</w:t>
      </w:r>
      <w:r>
        <w:rPr>
          <w:rFonts w:hint="default"/>
          <w:color w:val="auto"/>
          <w:highlight w:val="none"/>
          <w:shd w:val="clear" w:color="auto" w:fill="auto"/>
          <w:lang w:val="en"/>
        </w:rPr>
        <w:t>；</w:t>
      </w:r>
      <w:r>
        <w:rPr>
          <w:rFonts w:hint="eastAsia"/>
          <w:color w:val="auto"/>
          <w:highlight w:val="none"/>
          <w:shd w:val="clear" w:color="auto" w:fill="auto"/>
        </w:rPr>
        <w:t>两校区LED显示屏2套</w:t>
      </w:r>
      <w:r>
        <w:rPr>
          <w:rFonts w:hint="default"/>
          <w:color w:val="auto"/>
          <w:highlight w:val="none"/>
          <w:shd w:val="clear" w:color="auto" w:fill="auto"/>
          <w:lang w:val="en"/>
        </w:rPr>
        <w:t>。</w:t>
      </w:r>
      <w:r>
        <w:rPr>
          <w:rFonts w:hint="eastAsia" w:ascii="Times New Roman" w:hAnsi="Times New Roman" w:eastAsia="宋体" w:cs="Times New Roman"/>
          <w:color w:val="auto"/>
          <w:highlight w:val="none"/>
          <w:shd w:val="clear" w:color="auto" w:fill="auto"/>
          <w:lang w:val="en"/>
        </w:rPr>
        <w:t>如需进一步了解详细内容，详见采购文件。</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default" w:ascii="Times New Roman" w:hAnsi="Times New Roman" w:eastAsia="宋体" w:cs="Times New Roman"/>
          <w:color w:val="auto"/>
          <w:highlight w:val="none"/>
          <w:shd w:val="clear" w:color="auto" w:fill="auto"/>
          <w:lang w:val="en" w:eastAsia="zh-CN"/>
        </w:rPr>
      </w:pPr>
      <w:r>
        <w:rPr>
          <w:rFonts w:hint="eastAsia" w:ascii="Times New Roman" w:hAnsi="Times New Roman" w:eastAsia="宋体" w:cs="Times New Roman"/>
          <w:color w:val="auto"/>
          <w:highlight w:val="none"/>
          <w:shd w:val="clear" w:color="auto" w:fill="auto"/>
        </w:rPr>
        <w:t>最高限价（如有）：</w:t>
      </w:r>
      <w:r>
        <w:rPr>
          <w:rFonts w:hint="default" w:ascii="Times New Roman" w:hAnsi="Times New Roman" w:eastAsia="宋体" w:cs="Times New Roman"/>
          <w:color w:val="auto"/>
          <w:highlight w:val="none"/>
          <w:shd w:val="clear" w:color="auto" w:fill="auto"/>
          <w:lang w:val="en" w:eastAsia="zh-CN"/>
        </w:rPr>
        <w:t>/</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合同履约期限：自合同签订之日起至项目履约完毕</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本项目（否）接受联合体</w:t>
      </w:r>
      <w:r>
        <w:rPr>
          <w:rFonts w:hint="eastAsia" w:cs="Times New Roman"/>
          <w:color w:val="auto"/>
          <w:highlight w:val="none"/>
          <w:shd w:val="clear" w:color="auto" w:fill="auto"/>
          <w:lang w:eastAsia="zh-CN"/>
        </w:rPr>
        <w:t>投标</w:t>
      </w:r>
      <w:r>
        <w:rPr>
          <w:rFonts w:hint="eastAsia" w:ascii="Times New Roman" w:hAnsi="Times New Roman" w:eastAsia="宋体" w:cs="Times New Roman"/>
          <w:color w:val="auto"/>
          <w:highlight w:val="none"/>
          <w:shd w:val="clear" w:color="auto" w:fill="auto"/>
        </w:rPr>
        <w:br w:type="textWrapping"/>
      </w:r>
      <w:r>
        <w:rPr>
          <w:rFonts w:hint="eastAsia" w:ascii="Times New Roman" w:hAnsi="Times New Roman" w:eastAsia="宋体" w:cs="Times New Roman"/>
          <w:color w:val="auto"/>
          <w:highlight w:val="none"/>
          <w:shd w:val="clear" w:color="auto" w:fill="auto"/>
        </w:rPr>
        <w:t>备注：本项目为线上电子招标项目，有意向参与本项目的供应商应当做好参与全流程电子招投标交易的充分准备.</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标项</w:t>
      </w:r>
      <w:r>
        <w:rPr>
          <w:rFonts w:hint="eastAsia" w:ascii="Times New Roman" w:hAnsi="Times New Roman" w:eastAsia="宋体" w:cs="Times New Roman"/>
          <w:color w:val="auto"/>
          <w:highlight w:val="none"/>
          <w:shd w:val="clear" w:color="auto" w:fill="auto"/>
          <w:lang w:eastAsia="zh-CN"/>
        </w:rPr>
        <w:t>三</w:t>
      </w:r>
      <w:r>
        <w:rPr>
          <w:rFonts w:hint="eastAsia" w:ascii="Times New Roman" w:hAnsi="Times New Roman" w:eastAsia="宋体" w:cs="Times New Roman"/>
          <w:color w:val="auto"/>
          <w:highlight w:val="none"/>
          <w:shd w:val="clear" w:color="auto" w:fill="auto"/>
        </w:rPr>
        <w:t>：</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标项名称:</w:t>
      </w:r>
      <w:r>
        <w:rPr>
          <w:rFonts w:hint="eastAsia" w:ascii="Times New Roman" w:eastAsia="宋体"/>
          <w:b w:val="0"/>
          <w:color w:val="auto"/>
          <w:sz w:val="21"/>
          <w:szCs w:val="24"/>
          <w:highlight w:val="none"/>
          <w:shd w:val="clear" w:color="auto" w:fill="auto"/>
          <w:lang w:val="en-US" w:eastAsia="zh-CN"/>
        </w:rPr>
        <w:t>公共课教室教学设备</w:t>
      </w:r>
    </w:p>
    <w:p>
      <w:pPr>
        <w:pStyle w:val="5"/>
        <w:pageBreakBefore w:val="0"/>
        <w:widowControl w:val="0"/>
        <w:kinsoku/>
        <w:wordWrap/>
        <w:overflowPunct/>
        <w:topLinePunct w:val="0"/>
        <w:autoSpaceDE/>
        <w:autoSpaceDN/>
        <w:bidi w:val="0"/>
        <w:spacing w:line="340" w:lineRule="exact"/>
        <w:ind w:firstLine="420"/>
        <w:textAlignment w:val="auto"/>
        <w:rPr>
          <w:rFonts w:hint="eastAsia" w:ascii="Times New Roman" w:hAnsi="Times New Roman" w:eastAsia="宋体" w:cs="Times New Roman"/>
          <w:b w:val="0"/>
          <w:bCs w:val="0"/>
          <w:color w:val="auto"/>
          <w:kern w:val="2"/>
          <w:sz w:val="21"/>
          <w:szCs w:val="24"/>
          <w:highlight w:val="none"/>
          <w:shd w:val="clear" w:color="auto" w:fill="auto"/>
          <w:lang w:val="en" w:eastAsia="zh-CN" w:bidi="ar-SA"/>
        </w:rPr>
      </w:pPr>
      <w:r>
        <w:rPr>
          <w:rFonts w:hint="eastAsia" w:cs="Times New Roman"/>
          <w:b w:val="0"/>
          <w:bCs w:val="0"/>
          <w:color w:val="auto"/>
          <w:kern w:val="2"/>
          <w:sz w:val="21"/>
          <w:szCs w:val="24"/>
          <w:highlight w:val="none"/>
          <w:shd w:val="clear" w:color="auto" w:fill="auto"/>
          <w:lang w:val="en" w:eastAsia="zh-CN" w:bidi="ar-SA"/>
        </w:rPr>
        <w:t xml:space="preserve">数量:1 </w:t>
      </w:r>
      <w:r>
        <w:rPr>
          <w:rFonts w:hint="eastAsia" w:cs="Times New Roman"/>
          <w:b w:val="0"/>
          <w:bCs w:val="0"/>
          <w:color w:val="auto"/>
          <w:kern w:val="2"/>
          <w:sz w:val="21"/>
          <w:szCs w:val="24"/>
          <w:highlight w:val="none"/>
          <w:shd w:val="clear" w:color="auto" w:fill="auto"/>
          <w:lang w:val="en" w:eastAsia="zh-CN" w:bidi="ar-SA"/>
        </w:rPr>
        <w:br w:type="textWrapping"/>
      </w:r>
      <w:r>
        <w:rPr>
          <w:rFonts w:hint="eastAsia" w:cs="Times New Roman"/>
          <w:b w:val="0"/>
          <w:bCs w:val="0"/>
          <w:color w:val="auto"/>
          <w:kern w:val="2"/>
          <w:sz w:val="21"/>
          <w:szCs w:val="24"/>
          <w:highlight w:val="none"/>
          <w:shd w:val="clear" w:color="auto" w:fill="auto"/>
          <w:lang w:val="en" w:eastAsia="zh-CN" w:bidi="ar-SA"/>
        </w:rPr>
        <w:t xml:space="preserve">   </w:t>
      </w:r>
      <w:r>
        <w:rPr>
          <w:rFonts w:hint="eastAsia" w:cs="Times New Roman"/>
          <w:b w:val="0"/>
          <w:bCs w:val="0"/>
          <w:color w:val="auto"/>
          <w:kern w:val="2"/>
          <w:sz w:val="21"/>
          <w:szCs w:val="24"/>
          <w:highlight w:val="none"/>
          <w:shd w:val="clear" w:color="auto" w:fill="auto"/>
          <w:lang w:val="en-US" w:eastAsia="zh-CN" w:bidi="ar-SA"/>
        </w:rPr>
        <w:t xml:space="preserve"> </w:t>
      </w:r>
      <w:r>
        <w:rPr>
          <w:rFonts w:hint="eastAsia" w:cs="Times New Roman"/>
          <w:b w:val="0"/>
          <w:bCs w:val="0"/>
          <w:color w:val="auto"/>
          <w:kern w:val="2"/>
          <w:sz w:val="21"/>
          <w:szCs w:val="24"/>
          <w:highlight w:val="none"/>
          <w:shd w:val="clear" w:color="auto" w:fill="auto"/>
          <w:lang w:val="en" w:eastAsia="zh-CN" w:bidi="ar-SA"/>
        </w:rPr>
        <w:t xml:space="preserve">预算金额（元）: </w:t>
      </w:r>
      <w:r>
        <w:rPr>
          <w:rFonts w:hint="eastAsia" w:cs="Times New Roman"/>
          <w:b w:val="0"/>
          <w:bCs w:val="0"/>
          <w:color w:val="auto"/>
          <w:kern w:val="2"/>
          <w:sz w:val="21"/>
          <w:szCs w:val="24"/>
          <w:highlight w:val="none"/>
          <w:shd w:val="clear" w:color="auto" w:fill="auto"/>
          <w:lang w:val="en-US" w:eastAsia="zh-CN" w:bidi="ar-SA"/>
        </w:rPr>
        <w:t>409000.00</w:t>
      </w:r>
      <w:r>
        <w:rPr>
          <w:rFonts w:hint="eastAsia" w:cs="Times New Roman"/>
          <w:b w:val="0"/>
          <w:bCs w:val="0"/>
          <w:color w:val="auto"/>
          <w:kern w:val="2"/>
          <w:sz w:val="21"/>
          <w:szCs w:val="24"/>
          <w:highlight w:val="none"/>
          <w:shd w:val="clear" w:color="auto" w:fill="auto"/>
          <w:lang w:val="en" w:eastAsia="zh-CN" w:bidi="ar-SA"/>
        </w:rPr>
        <w:br w:type="textWrapping"/>
      </w:r>
      <w:r>
        <w:rPr>
          <w:rFonts w:hint="eastAsia" w:cs="Times New Roman"/>
          <w:b w:val="0"/>
          <w:bCs w:val="0"/>
          <w:color w:val="auto"/>
          <w:kern w:val="2"/>
          <w:sz w:val="21"/>
          <w:szCs w:val="24"/>
          <w:highlight w:val="none"/>
          <w:shd w:val="clear" w:color="auto" w:fill="auto"/>
          <w:lang w:val="en" w:eastAsia="zh-CN" w:bidi="ar-SA"/>
        </w:rPr>
        <w:t xml:space="preserve">    简要规格描述或项目基本概况介绍、用途：</w:t>
      </w:r>
      <w:r>
        <w:rPr>
          <w:rFonts w:hint="default" w:cs="Times New Roman"/>
          <w:b w:val="0"/>
          <w:bCs w:val="0"/>
          <w:color w:val="auto"/>
          <w:kern w:val="2"/>
          <w:sz w:val="21"/>
          <w:szCs w:val="24"/>
          <w:highlight w:val="none"/>
          <w:shd w:val="clear" w:color="auto" w:fill="auto"/>
          <w:lang w:val="en" w:eastAsia="zh-CN" w:bidi="ar-SA"/>
        </w:rPr>
        <w:t>研讨式扇形桌（1）240张；研讨式椅子（1）240张；智慧升降讲桌5台；研讨式扇形桌（2）240张；研讨式椅子（2）240个；督导巡课笔记本电脑2台。</w:t>
      </w:r>
      <w:r>
        <w:rPr>
          <w:rFonts w:hint="eastAsia" w:cs="Times New Roman"/>
          <w:b w:val="0"/>
          <w:bCs w:val="0"/>
          <w:color w:val="auto"/>
          <w:kern w:val="2"/>
          <w:sz w:val="21"/>
          <w:szCs w:val="24"/>
          <w:highlight w:val="none"/>
          <w:shd w:val="clear" w:color="auto" w:fill="auto"/>
          <w:lang w:val="en" w:eastAsia="zh-CN" w:bidi="ar-SA"/>
        </w:rPr>
        <w:t>如需进一步了解详细内容，详见采购文</w:t>
      </w:r>
      <w:r>
        <w:rPr>
          <w:rFonts w:hint="eastAsia" w:ascii="Times New Roman" w:hAnsi="Times New Roman" w:eastAsia="宋体" w:cs="Times New Roman"/>
          <w:b w:val="0"/>
          <w:bCs w:val="0"/>
          <w:color w:val="auto"/>
          <w:kern w:val="2"/>
          <w:sz w:val="21"/>
          <w:szCs w:val="24"/>
          <w:highlight w:val="none"/>
          <w:shd w:val="clear" w:color="auto" w:fill="auto"/>
          <w:lang w:val="en" w:eastAsia="zh-CN" w:bidi="ar-SA"/>
        </w:rPr>
        <w:t>件。</w:t>
      </w:r>
    </w:p>
    <w:p>
      <w:pPr>
        <w:pStyle w:val="5"/>
        <w:pageBreakBefore w:val="0"/>
        <w:widowControl w:val="0"/>
        <w:kinsoku/>
        <w:wordWrap/>
        <w:overflowPunct/>
        <w:topLinePunct w:val="0"/>
        <w:autoSpaceDE/>
        <w:autoSpaceDN/>
        <w:bidi w:val="0"/>
        <w:spacing w:line="340" w:lineRule="exact"/>
        <w:ind w:firstLine="420"/>
        <w:textAlignment w:val="auto"/>
        <w:rPr>
          <w:rFonts w:hint="default" w:ascii="Times New Roman" w:hAnsi="Times New Roman" w:eastAsia="宋体" w:cs="Times New Roman"/>
          <w:b w:val="0"/>
          <w:bCs w:val="0"/>
          <w:color w:val="auto"/>
          <w:kern w:val="2"/>
          <w:sz w:val="21"/>
          <w:szCs w:val="24"/>
          <w:highlight w:val="none"/>
          <w:shd w:val="clear" w:color="auto" w:fill="auto"/>
          <w:lang w:val="en" w:eastAsia="zh-CN" w:bidi="ar-SA"/>
        </w:rPr>
      </w:pPr>
      <w:r>
        <w:rPr>
          <w:rFonts w:hint="eastAsia" w:ascii="Times New Roman" w:hAnsi="Times New Roman" w:eastAsia="宋体" w:cs="Times New Roman"/>
          <w:b w:val="0"/>
          <w:bCs w:val="0"/>
          <w:color w:val="auto"/>
          <w:kern w:val="2"/>
          <w:sz w:val="21"/>
          <w:szCs w:val="24"/>
          <w:highlight w:val="none"/>
          <w:shd w:val="clear" w:color="auto" w:fill="auto"/>
          <w:lang w:val="en-US" w:eastAsia="zh-CN" w:bidi="ar-SA"/>
        </w:rPr>
        <w:t>最高限价（如有）：</w:t>
      </w:r>
      <w:r>
        <w:rPr>
          <w:rFonts w:hint="default" w:ascii="Times New Roman" w:hAnsi="Times New Roman" w:eastAsia="宋体" w:cs="Times New Roman"/>
          <w:b w:val="0"/>
          <w:bCs w:val="0"/>
          <w:color w:val="auto"/>
          <w:kern w:val="2"/>
          <w:sz w:val="21"/>
          <w:szCs w:val="24"/>
          <w:highlight w:val="none"/>
          <w:shd w:val="clear" w:color="auto" w:fill="auto"/>
          <w:lang w:val="en" w:eastAsia="zh-CN" w:bidi="ar-SA"/>
        </w:rPr>
        <w:t>/</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合同履约期限：自合同签订之日起至项目履约完毕</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本项目（否）接受联合体</w:t>
      </w:r>
      <w:r>
        <w:rPr>
          <w:rFonts w:hint="eastAsia" w:cs="Times New Roman"/>
          <w:color w:val="auto"/>
          <w:highlight w:val="none"/>
          <w:shd w:val="clear" w:color="auto" w:fill="auto"/>
          <w:lang w:eastAsia="zh-CN"/>
        </w:rPr>
        <w:t>投标</w:t>
      </w:r>
      <w:r>
        <w:rPr>
          <w:rFonts w:hint="eastAsia" w:ascii="Times New Roman" w:hAnsi="Times New Roman" w:eastAsia="宋体" w:cs="Times New Roman"/>
          <w:color w:val="auto"/>
          <w:highlight w:val="none"/>
          <w:shd w:val="clear" w:color="auto" w:fill="auto"/>
        </w:rPr>
        <w:br w:type="textWrapping"/>
      </w:r>
      <w:r>
        <w:rPr>
          <w:rFonts w:hint="eastAsia" w:ascii="Times New Roman" w:hAnsi="Times New Roman" w:eastAsia="宋体" w:cs="Times New Roman"/>
          <w:color w:val="auto"/>
          <w:highlight w:val="none"/>
          <w:shd w:val="clear" w:color="auto" w:fill="auto"/>
        </w:rPr>
        <w:t>备注：本项目为线上电子招标项目，有意向参与本项目的供应商应当做好参与全流程电子招投标交易的充分准备.</w:t>
      </w:r>
    </w:p>
    <w:p>
      <w:pPr>
        <w:pageBreakBefore w:val="0"/>
        <w:widowControl w:val="0"/>
        <w:kinsoku/>
        <w:wordWrap/>
        <w:overflowPunct/>
        <w:topLinePunct w:val="0"/>
        <w:autoSpaceDE/>
        <w:autoSpaceDN/>
        <w:bidi w:val="0"/>
        <w:adjustRightInd w:val="0"/>
        <w:snapToGrid w:val="0"/>
        <w:spacing w:line="340" w:lineRule="exact"/>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二、申请人的资格要求：</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1.满足《中华人民共和国政府采购法》第二十二条规定；</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2.落实政府采购政策需满足的资格要求：</w:t>
      </w:r>
      <w:r>
        <w:rPr>
          <w:color w:val="auto"/>
          <w:highlight w:val="none"/>
          <w:shd w:val="clear" w:color="auto" w:fill="auto"/>
          <w:lang w:val="en"/>
        </w:rPr>
        <w:t>分标1</w:t>
      </w:r>
      <w:r>
        <w:rPr>
          <w:rFonts w:hint="eastAsia"/>
          <w:color w:val="auto"/>
          <w:highlight w:val="none"/>
          <w:shd w:val="clear" w:color="auto" w:fill="auto"/>
          <w:lang w:val="en" w:eastAsia="zh-CN"/>
        </w:rPr>
        <w:t>、</w:t>
      </w:r>
      <w:r>
        <w:rPr>
          <w:rFonts w:hint="eastAsia"/>
          <w:color w:val="auto"/>
          <w:highlight w:val="none"/>
          <w:shd w:val="clear" w:color="auto" w:fill="auto"/>
          <w:lang w:val="en-US" w:eastAsia="zh-CN"/>
        </w:rPr>
        <w:t>2、3</w:t>
      </w:r>
      <w:r>
        <w:rPr>
          <w:color w:val="auto"/>
          <w:highlight w:val="none"/>
          <w:shd w:val="clear" w:color="auto" w:fill="auto"/>
          <w:lang w:val="en"/>
        </w:rPr>
        <w:t>：</w:t>
      </w:r>
      <w:r>
        <w:rPr>
          <w:rFonts w:hint="eastAsia"/>
          <w:color w:val="auto"/>
          <w:highlight w:val="none"/>
          <w:shd w:val="clear" w:color="auto" w:fill="auto"/>
        </w:rPr>
        <w:t xml:space="preserve">无 </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3.本项目的特定资格要求：无 </w:t>
      </w:r>
    </w:p>
    <w:p>
      <w:pPr>
        <w:pageBreakBefore w:val="0"/>
        <w:widowControl w:val="0"/>
        <w:kinsoku/>
        <w:wordWrap/>
        <w:overflowPunct/>
        <w:topLinePunct w:val="0"/>
        <w:autoSpaceDE/>
        <w:autoSpaceDN/>
        <w:bidi w:val="0"/>
        <w:adjustRightInd w:val="0"/>
        <w:snapToGrid w:val="0"/>
        <w:spacing w:line="340" w:lineRule="exact"/>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 xml:space="preserve">三、获取招标文件 </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时间：</w:t>
      </w:r>
      <w:r>
        <w:rPr>
          <w:color w:val="auto"/>
          <w:highlight w:val="none"/>
          <w:shd w:val="clear" w:color="auto" w:fill="auto"/>
          <w:lang w:val="en"/>
        </w:rPr>
        <w:t>2025年</w:t>
      </w:r>
      <w:r>
        <w:rPr>
          <w:rFonts w:hint="default"/>
          <w:color w:val="auto"/>
          <w:highlight w:val="none"/>
          <w:shd w:val="clear" w:color="auto" w:fill="auto"/>
          <w:lang w:val="en" w:eastAsia="zh-CN"/>
        </w:rPr>
        <w:t xml:space="preserve">  </w:t>
      </w:r>
      <w:r>
        <w:rPr>
          <w:color w:val="auto"/>
          <w:highlight w:val="none"/>
          <w:shd w:val="clear" w:color="auto" w:fill="auto"/>
          <w:lang w:val="en"/>
        </w:rPr>
        <w:t>月</w:t>
      </w:r>
      <w:r>
        <w:rPr>
          <w:rFonts w:hint="default"/>
          <w:color w:val="auto"/>
          <w:highlight w:val="none"/>
          <w:shd w:val="clear" w:color="auto" w:fill="auto"/>
          <w:lang w:val="en"/>
        </w:rPr>
        <w:t xml:space="preserve">  </w:t>
      </w:r>
      <w:r>
        <w:rPr>
          <w:color w:val="auto"/>
          <w:highlight w:val="none"/>
          <w:shd w:val="clear" w:color="auto" w:fill="auto"/>
          <w:lang w:val="en"/>
        </w:rPr>
        <w:t>日</w:t>
      </w:r>
      <w:r>
        <w:rPr>
          <w:rFonts w:hint="eastAsia"/>
          <w:color w:val="auto"/>
          <w:highlight w:val="none"/>
          <w:shd w:val="clear" w:color="auto" w:fill="auto"/>
        </w:rPr>
        <w:t>至</w:t>
      </w:r>
      <w:r>
        <w:rPr>
          <w:color w:val="auto"/>
          <w:highlight w:val="none"/>
          <w:shd w:val="clear" w:color="auto" w:fill="auto"/>
          <w:lang w:val="en"/>
        </w:rPr>
        <w:t>2025年</w:t>
      </w:r>
      <w:r>
        <w:rPr>
          <w:rFonts w:hint="default"/>
          <w:color w:val="auto"/>
          <w:highlight w:val="none"/>
          <w:shd w:val="clear" w:color="auto" w:fill="auto"/>
          <w:lang w:val="en" w:eastAsia="zh-CN"/>
        </w:rPr>
        <w:t xml:space="preserve">  </w:t>
      </w:r>
      <w:r>
        <w:rPr>
          <w:color w:val="auto"/>
          <w:highlight w:val="none"/>
          <w:shd w:val="clear" w:color="auto" w:fill="auto"/>
          <w:lang w:val="en"/>
        </w:rPr>
        <w:t>月</w:t>
      </w:r>
      <w:r>
        <w:rPr>
          <w:rFonts w:hint="default"/>
          <w:color w:val="auto"/>
          <w:highlight w:val="none"/>
          <w:shd w:val="clear" w:color="auto" w:fill="auto"/>
          <w:lang w:val="en"/>
        </w:rPr>
        <w:t xml:space="preserve">  </w:t>
      </w:r>
      <w:r>
        <w:rPr>
          <w:color w:val="auto"/>
          <w:highlight w:val="none"/>
          <w:shd w:val="clear" w:color="auto" w:fill="auto"/>
          <w:lang w:val="en"/>
        </w:rPr>
        <w:t>日</w:t>
      </w:r>
      <w:r>
        <w:rPr>
          <w:rFonts w:hint="eastAsia"/>
          <w:color w:val="auto"/>
          <w:highlight w:val="none"/>
          <w:shd w:val="clear" w:color="auto" w:fill="auto"/>
        </w:rPr>
        <w:t xml:space="preserve"> ，每天上午0</w:t>
      </w:r>
      <w:r>
        <w:rPr>
          <w:rFonts w:hint="eastAsia"/>
          <w:color w:val="auto"/>
          <w:highlight w:val="none"/>
          <w:shd w:val="clear" w:color="auto" w:fill="auto"/>
          <w:lang w:val="en"/>
        </w:rPr>
        <w:t>0</w:t>
      </w:r>
      <w:r>
        <w:rPr>
          <w:rFonts w:hint="eastAsia"/>
          <w:color w:val="auto"/>
          <w:highlight w:val="none"/>
          <w:shd w:val="clear" w:color="auto" w:fill="auto"/>
        </w:rPr>
        <w:t>:00至12:00，下午12:00至23:59（北京时间，法定节假日除外）</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地点（网址）：</w:t>
      </w:r>
      <w:r>
        <w:rPr>
          <w:rFonts w:hint="default"/>
          <w:color w:val="auto"/>
          <w:highlight w:val="none"/>
          <w:shd w:val="clear" w:color="auto" w:fill="auto"/>
          <w:lang w:val="en"/>
        </w:rPr>
        <w:t>广西政府采购云平台（网址：http://www.gcy.zfcg.gxzf.gov.cn）</w:t>
      </w:r>
      <w:r>
        <w:rPr>
          <w:rFonts w:hint="eastAsia"/>
          <w:color w:val="auto"/>
          <w:highlight w:val="none"/>
          <w:shd w:val="clear" w:color="auto" w:fill="auto"/>
        </w:rPr>
        <w:t xml:space="preserve"> </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方式：请登录</w:t>
      </w:r>
      <w:r>
        <w:rPr>
          <w:rFonts w:hint="default"/>
          <w:color w:val="auto"/>
          <w:highlight w:val="none"/>
          <w:shd w:val="clear" w:color="auto" w:fill="auto"/>
          <w:lang w:val="en"/>
        </w:rPr>
        <w:t>广西政府采购云平台（网址：http://www.gcy.zfcg.gxzf.gov.cn）</w:t>
      </w:r>
      <w:r>
        <w:rPr>
          <w:rFonts w:hint="eastAsia"/>
          <w:color w:val="auto"/>
          <w:highlight w:val="none"/>
          <w:shd w:val="clear" w:color="auto" w:fill="auto"/>
        </w:rPr>
        <w:t>进行报名并获取采购文件；未注册的供应商可在</w:t>
      </w:r>
      <w:r>
        <w:rPr>
          <w:rFonts w:hint="eastAsia"/>
          <w:color w:val="auto"/>
          <w:highlight w:val="none"/>
          <w:shd w:val="clear" w:color="auto" w:fill="auto"/>
          <w:lang w:eastAsia="zh-CN"/>
        </w:rPr>
        <w:t>广西政府采购云平台</w:t>
      </w:r>
      <w:r>
        <w:rPr>
          <w:rFonts w:hint="eastAsia"/>
          <w:color w:val="auto"/>
          <w:highlight w:val="none"/>
          <w:shd w:val="clear" w:color="auto" w:fill="auto"/>
        </w:rPr>
        <w:t>完成注册后再行报名。如在操作过程中遇到问题或需技术支持，请致电</w:t>
      </w:r>
      <w:r>
        <w:rPr>
          <w:rFonts w:hint="default"/>
          <w:color w:val="auto"/>
          <w:highlight w:val="none"/>
          <w:shd w:val="clear" w:color="auto" w:fill="auto"/>
          <w:lang w:val="en"/>
        </w:rPr>
        <w:t>广西政府采购云</w:t>
      </w:r>
      <w:r>
        <w:rPr>
          <w:rFonts w:hint="eastAsia"/>
          <w:color w:val="auto"/>
          <w:highlight w:val="none"/>
          <w:shd w:val="clear" w:color="auto" w:fill="auto"/>
        </w:rPr>
        <w:t>客服热线：95763。提示：公开招标公告附件内的招标文件仅供阅览使用；供应商只有在“</w:t>
      </w:r>
      <w:r>
        <w:rPr>
          <w:rFonts w:hint="default"/>
          <w:color w:val="auto"/>
          <w:highlight w:val="none"/>
          <w:shd w:val="clear" w:color="auto" w:fill="auto"/>
          <w:lang w:val="en"/>
        </w:rPr>
        <w:t>广西政府采购云平台</w:t>
      </w:r>
      <w:r>
        <w:rPr>
          <w:rFonts w:hint="eastAsia"/>
          <w:color w:val="auto"/>
          <w:highlight w:val="none"/>
          <w:shd w:val="clear" w:color="auto" w:fill="auto"/>
        </w:rPr>
        <w:t>”完成获取招标文件申请并下载了招标文件后才视作依法获取招标文件（法律法规所指的供应商获取招标文件时间以供应商完成获取招标文件申请后下载招标文件的时间为准）。</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售价（元）：0 </w:t>
      </w:r>
    </w:p>
    <w:p>
      <w:pPr>
        <w:pageBreakBefore w:val="0"/>
        <w:widowControl w:val="0"/>
        <w:kinsoku/>
        <w:wordWrap/>
        <w:overflowPunct/>
        <w:topLinePunct w:val="0"/>
        <w:autoSpaceDE/>
        <w:autoSpaceDN/>
        <w:bidi w:val="0"/>
        <w:adjustRightInd w:val="0"/>
        <w:snapToGrid w:val="0"/>
        <w:spacing w:line="340" w:lineRule="exact"/>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四、提交投标文件截止时间、开标时间和地点</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提交投标文件截止时间：</w:t>
      </w:r>
      <w:r>
        <w:rPr>
          <w:color w:val="auto"/>
          <w:highlight w:val="none"/>
          <w:shd w:val="clear" w:color="auto" w:fill="auto"/>
          <w:lang w:val="en"/>
        </w:rPr>
        <w:t>2025年</w:t>
      </w:r>
      <w:r>
        <w:rPr>
          <w:rFonts w:hint="default"/>
          <w:color w:val="auto"/>
          <w:highlight w:val="none"/>
          <w:shd w:val="clear" w:color="auto" w:fill="auto"/>
          <w:lang w:val="en" w:eastAsia="zh-CN"/>
        </w:rPr>
        <w:t xml:space="preserve">  </w:t>
      </w:r>
      <w:r>
        <w:rPr>
          <w:color w:val="auto"/>
          <w:highlight w:val="none"/>
          <w:shd w:val="clear" w:color="auto" w:fill="auto"/>
          <w:lang w:val="en"/>
        </w:rPr>
        <w:t>月</w:t>
      </w:r>
      <w:r>
        <w:rPr>
          <w:rFonts w:hint="default"/>
          <w:color w:val="auto"/>
          <w:highlight w:val="none"/>
          <w:shd w:val="clear" w:color="auto" w:fill="auto"/>
          <w:lang w:val="en"/>
        </w:rPr>
        <w:t xml:space="preserve">  </w:t>
      </w:r>
      <w:r>
        <w:rPr>
          <w:color w:val="auto"/>
          <w:highlight w:val="none"/>
          <w:shd w:val="clear" w:color="auto" w:fill="auto"/>
          <w:lang w:val="en"/>
        </w:rPr>
        <w:t>日</w:t>
      </w:r>
      <w:r>
        <w:rPr>
          <w:rFonts w:hint="eastAsia"/>
          <w:color w:val="auto"/>
          <w:highlight w:val="none"/>
          <w:shd w:val="clear" w:color="auto" w:fill="auto"/>
        </w:rPr>
        <w:t>10:00（北京时间）</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投标地点（网址）：http://www.zcygov.cn（本项目不要求投标供应商到达开标现场，但供应商应派法定代表人或委托代理人准时在线出席电子开评标会议，随时关注开评标进度，如在开评标过程中有电子询标，应在规定的时间内对电子询标函进行澄清回复。）</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开标时间： </w:t>
      </w:r>
      <w:r>
        <w:rPr>
          <w:color w:val="auto"/>
          <w:highlight w:val="none"/>
          <w:shd w:val="clear" w:color="auto" w:fill="auto"/>
          <w:lang w:val="en"/>
        </w:rPr>
        <w:t>2025年</w:t>
      </w:r>
      <w:r>
        <w:rPr>
          <w:rFonts w:hint="default"/>
          <w:color w:val="auto"/>
          <w:highlight w:val="none"/>
          <w:shd w:val="clear" w:color="auto" w:fill="auto"/>
          <w:lang w:val="en" w:eastAsia="zh-CN"/>
        </w:rPr>
        <w:t xml:space="preserve">  </w:t>
      </w:r>
      <w:r>
        <w:rPr>
          <w:color w:val="auto"/>
          <w:highlight w:val="none"/>
          <w:shd w:val="clear" w:color="auto" w:fill="auto"/>
          <w:lang w:val="en"/>
        </w:rPr>
        <w:t>月</w:t>
      </w:r>
      <w:r>
        <w:rPr>
          <w:rFonts w:hint="default"/>
          <w:color w:val="auto"/>
          <w:highlight w:val="none"/>
          <w:shd w:val="clear" w:color="auto" w:fill="auto"/>
          <w:lang w:val="en"/>
        </w:rPr>
        <w:t xml:space="preserve">  </w:t>
      </w:r>
      <w:r>
        <w:rPr>
          <w:color w:val="auto"/>
          <w:highlight w:val="none"/>
          <w:shd w:val="clear" w:color="auto" w:fill="auto"/>
          <w:lang w:val="en"/>
        </w:rPr>
        <w:t>日</w:t>
      </w:r>
      <w:r>
        <w:rPr>
          <w:rFonts w:hint="eastAsia"/>
          <w:color w:val="auto"/>
          <w:highlight w:val="none"/>
          <w:shd w:val="clear" w:color="auto" w:fill="auto"/>
        </w:rPr>
        <w:t xml:space="preserve">10:00 </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开标地点：广西壮族自治区南宁市青秀区广西政府采购云平台开标大厅</w:t>
      </w:r>
    </w:p>
    <w:p>
      <w:pPr>
        <w:pageBreakBefore w:val="0"/>
        <w:widowControl w:val="0"/>
        <w:kinsoku/>
        <w:wordWrap/>
        <w:overflowPunct/>
        <w:topLinePunct w:val="0"/>
        <w:autoSpaceDE/>
        <w:autoSpaceDN/>
        <w:bidi w:val="0"/>
        <w:adjustRightInd w:val="0"/>
        <w:snapToGrid w:val="0"/>
        <w:spacing w:line="340" w:lineRule="exact"/>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 xml:space="preserve">五、公告期限 </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自本公告发布之日起5个工作日。</w:t>
      </w:r>
    </w:p>
    <w:p>
      <w:pPr>
        <w:pageBreakBefore w:val="0"/>
        <w:widowControl w:val="0"/>
        <w:kinsoku/>
        <w:wordWrap/>
        <w:overflowPunct/>
        <w:topLinePunct w:val="0"/>
        <w:autoSpaceDE/>
        <w:autoSpaceDN/>
        <w:bidi w:val="0"/>
        <w:adjustRightInd w:val="0"/>
        <w:snapToGrid w:val="0"/>
        <w:spacing w:line="340" w:lineRule="exact"/>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六、其他补充事宜</w:t>
      </w:r>
    </w:p>
    <w:p>
      <w:pPr>
        <w:pageBreakBefore w:val="0"/>
        <w:widowControl w:val="0"/>
        <w:kinsoku/>
        <w:wordWrap/>
        <w:overflowPunct/>
        <w:topLinePunct w:val="0"/>
        <w:autoSpaceDE/>
        <w:autoSpaceDN/>
        <w:bidi w:val="0"/>
        <w:adjustRightInd w:val="0"/>
        <w:snapToGrid w:val="0"/>
        <w:spacing w:line="340" w:lineRule="exact"/>
        <w:ind w:firstLine="421" w:firstLineChars="200"/>
        <w:textAlignment w:val="auto"/>
        <w:rPr>
          <w:rFonts w:hint="eastAsia"/>
          <w:color w:val="auto"/>
          <w:highlight w:val="none"/>
          <w:shd w:val="clear" w:color="auto" w:fill="auto"/>
        </w:rPr>
      </w:pPr>
      <w:r>
        <w:rPr>
          <w:rFonts w:hint="eastAsia"/>
          <w:b/>
          <w:color w:val="auto"/>
          <w:highlight w:val="none"/>
          <w:shd w:val="clear" w:color="auto" w:fill="auto"/>
        </w:rPr>
        <w:t xml:space="preserve"> </w:t>
      </w:r>
      <w:r>
        <w:rPr>
          <w:rFonts w:hint="eastAsia"/>
          <w:color w:val="auto"/>
          <w:highlight w:val="none"/>
          <w:shd w:val="clear" w:color="auto" w:fill="auto"/>
        </w:rPr>
        <w:t>1.投标保证金（人民币）：</w:t>
      </w:r>
      <w:r>
        <w:rPr>
          <w:rFonts w:hint="eastAsia"/>
          <w:b/>
          <w:bCs/>
          <w:color w:val="auto"/>
          <w:highlight w:val="none"/>
          <w:shd w:val="clear" w:color="auto" w:fill="auto"/>
        </w:rPr>
        <w:t>分标</w:t>
      </w:r>
      <w:r>
        <w:rPr>
          <w:b/>
          <w:bCs/>
          <w:color w:val="auto"/>
          <w:highlight w:val="none"/>
          <w:shd w:val="clear" w:color="auto" w:fill="auto"/>
          <w:lang w:val="en"/>
        </w:rPr>
        <w:t>1</w:t>
      </w:r>
      <w:r>
        <w:rPr>
          <w:rFonts w:hint="eastAsia"/>
          <w:b/>
          <w:bCs/>
          <w:color w:val="auto"/>
          <w:highlight w:val="none"/>
          <w:shd w:val="clear" w:color="auto" w:fill="auto"/>
        </w:rPr>
        <w:t>：</w:t>
      </w:r>
      <w:r>
        <w:rPr>
          <w:rFonts w:hint="eastAsia"/>
          <w:b/>
          <w:bCs/>
          <w:color w:val="auto"/>
          <w:highlight w:val="none"/>
          <w:u w:val="single"/>
          <w:shd w:val="clear" w:color="auto" w:fill="auto"/>
          <w:lang w:val="en-US" w:eastAsia="zh-CN"/>
        </w:rPr>
        <w:t>3</w:t>
      </w:r>
      <w:r>
        <w:rPr>
          <w:rFonts w:hint="eastAsia"/>
          <w:b/>
          <w:bCs/>
          <w:color w:val="auto"/>
          <w:highlight w:val="none"/>
          <w:shd w:val="clear" w:color="auto" w:fill="auto"/>
        </w:rPr>
        <w:t>万元；</w:t>
      </w:r>
      <w:r>
        <w:rPr>
          <w:rFonts w:hint="eastAsia"/>
          <w:b/>
          <w:bCs/>
          <w:color w:val="auto"/>
          <w:highlight w:val="none"/>
          <w:shd w:val="clear" w:color="auto" w:fill="auto"/>
          <w:lang w:eastAsia="zh-CN"/>
        </w:rPr>
        <w:t>分标</w:t>
      </w:r>
      <w:r>
        <w:rPr>
          <w:rFonts w:hint="eastAsia"/>
          <w:b/>
          <w:bCs/>
          <w:color w:val="auto"/>
          <w:highlight w:val="none"/>
          <w:shd w:val="clear" w:color="auto" w:fill="auto"/>
          <w:lang w:val="en-US" w:eastAsia="zh-CN"/>
        </w:rPr>
        <w:t>2：</w:t>
      </w:r>
      <w:r>
        <w:rPr>
          <w:rFonts w:hint="eastAsia"/>
          <w:b/>
          <w:bCs/>
          <w:color w:val="auto"/>
          <w:highlight w:val="none"/>
          <w:u w:val="single"/>
          <w:shd w:val="clear" w:color="auto" w:fill="auto"/>
          <w:lang w:val="en-US" w:eastAsia="zh-CN"/>
        </w:rPr>
        <w:t>0.8</w:t>
      </w:r>
      <w:r>
        <w:rPr>
          <w:rFonts w:hint="eastAsia"/>
          <w:b/>
          <w:bCs/>
          <w:color w:val="auto"/>
          <w:highlight w:val="none"/>
          <w:shd w:val="clear" w:color="auto" w:fill="auto"/>
          <w:lang w:val="en-US" w:eastAsia="zh-CN"/>
        </w:rPr>
        <w:t>万元；</w:t>
      </w:r>
      <w:r>
        <w:rPr>
          <w:rFonts w:hint="eastAsia"/>
          <w:b/>
          <w:bCs/>
          <w:color w:val="auto"/>
          <w:highlight w:val="none"/>
          <w:shd w:val="clear" w:color="auto" w:fill="auto"/>
          <w:lang w:eastAsia="zh-CN"/>
        </w:rPr>
        <w:t>分标</w:t>
      </w:r>
      <w:r>
        <w:rPr>
          <w:rFonts w:hint="eastAsia"/>
          <w:b/>
          <w:bCs/>
          <w:color w:val="auto"/>
          <w:highlight w:val="none"/>
          <w:shd w:val="clear" w:color="auto" w:fill="auto"/>
          <w:lang w:val="en-US" w:eastAsia="zh-CN"/>
        </w:rPr>
        <w:t>3：</w:t>
      </w:r>
      <w:r>
        <w:rPr>
          <w:rFonts w:hint="eastAsia"/>
          <w:b/>
          <w:bCs/>
          <w:color w:val="auto"/>
          <w:highlight w:val="none"/>
          <w:u w:val="single"/>
          <w:shd w:val="clear" w:color="auto" w:fill="auto"/>
          <w:lang w:val="en-US" w:eastAsia="zh-CN"/>
        </w:rPr>
        <w:t>0.4</w:t>
      </w:r>
      <w:r>
        <w:rPr>
          <w:rFonts w:hint="eastAsia"/>
          <w:b/>
          <w:bCs/>
          <w:color w:val="auto"/>
          <w:highlight w:val="none"/>
          <w:shd w:val="clear" w:color="auto" w:fill="auto"/>
          <w:lang w:val="en-US" w:eastAsia="zh-CN"/>
        </w:rPr>
        <w:t>万元。</w:t>
      </w:r>
      <w:r>
        <w:rPr>
          <w:rFonts w:hint="eastAsia"/>
          <w:color w:val="auto"/>
          <w:highlight w:val="none"/>
          <w:shd w:val="clear" w:color="auto" w:fill="auto"/>
        </w:rPr>
        <w:t>(必须足额交纳)</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（1）投标保证金交纳形式：</w:t>
      </w:r>
      <w:r>
        <w:rPr>
          <w:rFonts w:hint="eastAsia"/>
          <w:color w:val="auto"/>
          <w:highlight w:val="none"/>
          <w:shd w:val="clear" w:color="auto" w:fill="auto"/>
          <w:lang w:eastAsia="zh-CN"/>
        </w:rPr>
        <w:t>支票、汇票、本票、金融机构、担保机构</w:t>
      </w:r>
      <w:r>
        <w:rPr>
          <w:rFonts w:hint="eastAsia"/>
          <w:color w:val="auto"/>
          <w:highlight w:val="none"/>
          <w:shd w:val="clear" w:color="auto" w:fill="auto"/>
        </w:rPr>
        <w:t>出具的保函等非现金形式。</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（2）采用网上银行转账形式的，投标人应于提交投标文件截止时间前将投标保证金交至以下账户。</w:t>
      </w:r>
    </w:p>
    <w:p>
      <w:pPr>
        <w:pageBreakBefore w:val="0"/>
        <w:widowControl w:val="0"/>
        <w:kinsoku/>
        <w:wordWrap/>
        <w:overflowPunct/>
        <w:topLinePunct w:val="0"/>
        <w:autoSpaceDE/>
        <w:autoSpaceDN/>
        <w:bidi w:val="0"/>
        <w:adjustRightInd w:val="0"/>
        <w:snapToGrid w:val="0"/>
        <w:spacing w:line="340" w:lineRule="exact"/>
        <w:ind w:firstLine="421" w:firstLineChars="200"/>
        <w:textAlignment w:val="auto"/>
        <w:rPr>
          <w:rFonts w:hint="eastAsia"/>
          <w:b/>
          <w:bCs/>
          <w:color w:val="auto"/>
          <w:highlight w:val="none"/>
          <w:shd w:val="clear" w:color="auto" w:fill="auto"/>
        </w:rPr>
      </w:pPr>
      <w:r>
        <w:rPr>
          <w:rFonts w:hint="eastAsia"/>
          <w:b/>
          <w:bCs/>
          <w:color w:val="auto"/>
          <w:highlight w:val="none"/>
          <w:shd w:val="clear" w:color="auto" w:fill="auto"/>
        </w:rPr>
        <w:t>开户名称：广西壮族自治区政府采购中心</w:t>
      </w:r>
    </w:p>
    <w:p>
      <w:pPr>
        <w:pageBreakBefore w:val="0"/>
        <w:widowControl w:val="0"/>
        <w:kinsoku/>
        <w:wordWrap/>
        <w:overflowPunct/>
        <w:topLinePunct w:val="0"/>
        <w:autoSpaceDE/>
        <w:autoSpaceDN/>
        <w:bidi w:val="0"/>
        <w:adjustRightInd w:val="0"/>
        <w:snapToGrid w:val="0"/>
        <w:spacing w:line="340" w:lineRule="exact"/>
        <w:ind w:firstLine="421" w:firstLineChars="200"/>
        <w:textAlignment w:val="auto"/>
        <w:rPr>
          <w:rFonts w:hint="eastAsia"/>
          <w:b/>
          <w:bCs/>
          <w:color w:val="auto"/>
          <w:highlight w:val="none"/>
          <w:shd w:val="clear" w:color="auto" w:fill="auto"/>
        </w:rPr>
      </w:pPr>
      <w:r>
        <w:rPr>
          <w:rFonts w:hint="eastAsia"/>
          <w:b/>
          <w:bCs/>
          <w:color w:val="auto"/>
          <w:highlight w:val="none"/>
          <w:shd w:val="clear" w:color="auto" w:fill="auto"/>
        </w:rPr>
        <w:t>开户银行：中国农业银行股份有限公司南宁市古城支行</w:t>
      </w:r>
    </w:p>
    <w:p>
      <w:pPr>
        <w:pageBreakBefore w:val="0"/>
        <w:widowControl w:val="0"/>
        <w:kinsoku/>
        <w:wordWrap/>
        <w:overflowPunct/>
        <w:topLinePunct w:val="0"/>
        <w:autoSpaceDE/>
        <w:autoSpaceDN/>
        <w:bidi w:val="0"/>
        <w:adjustRightInd w:val="0"/>
        <w:snapToGrid w:val="0"/>
        <w:spacing w:line="340" w:lineRule="exact"/>
        <w:ind w:firstLine="421" w:firstLineChars="200"/>
        <w:textAlignment w:val="auto"/>
        <w:rPr>
          <w:rFonts w:hint="eastAsia"/>
          <w:color w:val="auto"/>
          <w:highlight w:val="none"/>
          <w:shd w:val="clear" w:color="auto" w:fill="auto"/>
        </w:rPr>
      </w:pPr>
      <w:r>
        <w:rPr>
          <w:rFonts w:hint="eastAsia"/>
          <w:b/>
          <w:bCs/>
          <w:color w:val="auto"/>
          <w:highlight w:val="none"/>
          <w:shd w:val="clear" w:color="auto" w:fill="auto"/>
        </w:rPr>
        <w:t>银行账号：20009101040051648</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（3）采用支票、汇票、本票或者保函等形式的，投标人应于提交投标文件截止时间前递交单独密封的支票、汇票、本票或者保函原件至我中心财务处。</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（4）本中心财务处联系方式：</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color w:val="auto"/>
          <w:highlight w:val="none"/>
          <w:shd w:val="clear" w:color="auto" w:fill="auto"/>
          <w:lang w:val="en"/>
        </w:rPr>
      </w:pPr>
      <w:r>
        <w:rPr>
          <w:color w:val="auto"/>
          <w:highlight w:val="none"/>
          <w:shd w:val="clear" w:color="auto" w:fill="auto"/>
          <w:lang w:val="en"/>
        </w:rPr>
        <w:t>地址：广西南宁市星湖路22号广西壮族自治区政府采购中心综合楼3楼306室； 电话：0771-8600309。</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2.本项目需要落实的政府采购政策</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3.网上公告媒体查询</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中国政府采购网（www.ccgp.gov.cn）、广西壮族自治区政府采购网（zfcg.gxzf.gov.cn）、广西壮族自治区政府采购中心网站（gxggzy.gxzf.gov.cn）。</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4.其他注意事项</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（1）本项目实行电子投标，供应商应按照本项目招标文件和</w:t>
      </w:r>
      <w:r>
        <w:rPr>
          <w:rFonts w:hint="default"/>
          <w:color w:val="auto"/>
          <w:highlight w:val="none"/>
          <w:shd w:val="clear" w:color="auto" w:fill="auto"/>
          <w:lang w:val="en"/>
        </w:rPr>
        <w:t>广西政府采购云平台</w:t>
      </w:r>
      <w:r>
        <w:rPr>
          <w:rFonts w:hint="eastAsia"/>
          <w:color w:val="auto"/>
          <w:highlight w:val="none"/>
          <w:shd w:val="clear" w:color="auto" w:fill="auto"/>
        </w:rPr>
        <w:t>的要求编制、加密并提交投标文件。供应商在使用系统参与投标过程中遇到涉及平台使用的任何问题，可致电</w:t>
      </w:r>
      <w:r>
        <w:rPr>
          <w:rFonts w:hint="default"/>
          <w:color w:val="auto"/>
          <w:highlight w:val="none"/>
          <w:shd w:val="clear" w:color="auto" w:fill="auto"/>
          <w:lang w:val="en"/>
        </w:rPr>
        <w:t>广西政府采购云平台</w:t>
      </w:r>
      <w:r>
        <w:rPr>
          <w:rFonts w:hint="eastAsia"/>
          <w:color w:val="auto"/>
          <w:highlight w:val="none"/>
          <w:shd w:val="clear" w:color="auto" w:fill="auto"/>
        </w:rPr>
        <w:t xml:space="preserve">技术支持热线咨询，联系方式：95763。 </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（2）供应商应及时熟悉掌握电子标系统操作指南（见</w:t>
      </w:r>
      <w:r>
        <w:rPr>
          <w:rFonts w:hint="default"/>
          <w:color w:val="auto"/>
          <w:highlight w:val="none"/>
          <w:shd w:val="clear" w:color="auto" w:fill="auto"/>
          <w:lang w:val="en"/>
        </w:rPr>
        <w:t>广西政府采购云</w:t>
      </w:r>
      <w:r>
        <w:rPr>
          <w:rFonts w:hint="eastAsia"/>
          <w:color w:val="auto"/>
          <w:highlight w:val="none"/>
          <w:shd w:val="clear" w:color="auto" w:fill="auto"/>
        </w:rPr>
        <w:t>电子卖场首页右上角—服务中心—帮助文档—项目采购）：</w:t>
      </w:r>
      <w:r>
        <w:rPr>
          <w:rFonts w:hint="eastAsia"/>
          <w:color w:val="auto"/>
          <w:highlight w:val="none"/>
          <w:shd w:val="clear" w:color="auto" w:fill="auto"/>
        </w:rPr>
        <w:fldChar w:fldCharType="begin"/>
      </w:r>
      <w:r>
        <w:rPr>
          <w:rFonts w:hint="eastAsia"/>
          <w:color w:val="auto"/>
          <w:highlight w:val="none"/>
          <w:shd w:val="clear" w:color="auto" w:fill="auto"/>
        </w:rPr>
        <w:instrText xml:space="preserve"> HYPERLINK "https://service.zcygov.cn/#/knowledges/tree?tag=AG1DtGwBFdiHxlNdhY0r。" </w:instrText>
      </w:r>
      <w:r>
        <w:rPr>
          <w:rFonts w:hint="eastAsia"/>
          <w:color w:val="auto"/>
          <w:highlight w:val="none"/>
          <w:shd w:val="clear" w:color="auto" w:fill="auto"/>
        </w:rPr>
        <w:fldChar w:fldCharType="separate"/>
      </w:r>
      <w:r>
        <w:rPr>
          <w:rFonts w:hint="eastAsia"/>
          <w:color w:val="auto"/>
          <w:highlight w:val="none"/>
          <w:shd w:val="clear" w:color="auto" w:fill="auto"/>
        </w:rPr>
        <w:t>https://service.zcygov.cn/#/knowledges/tree?tag=AG1DtGwBFdiHxlNdhY0r。</w:t>
      </w:r>
      <w:r>
        <w:rPr>
          <w:rFonts w:hint="eastAsia"/>
          <w:color w:val="auto"/>
          <w:highlight w:val="none"/>
          <w:shd w:val="clear" w:color="auto" w:fill="auto"/>
        </w:rPr>
        <w:fldChar w:fldCharType="end"/>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（3）供应商应及时完成CA申领和绑定（见广西壮族自治区政府采购网—办事服务—下载专区-政采云CA证书办理操作指南）。</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（4）供应商通过</w:t>
      </w:r>
      <w:r>
        <w:rPr>
          <w:rFonts w:hint="default"/>
          <w:color w:val="auto"/>
          <w:highlight w:val="none"/>
          <w:shd w:val="clear" w:color="auto" w:fill="auto"/>
          <w:lang w:val="en"/>
        </w:rPr>
        <w:t>广西政府采购云</w:t>
      </w:r>
      <w:r>
        <w:rPr>
          <w:rFonts w:hint="eastAsia"/>
          <w:color w:val="auto"/>
          <w:highlight w:val="none"/>
          <w:shd w:val="clear" w:color="auto" w:fill="auto"/>
        </w:rPr>
        <w:t>投标客户端软件制作投标文件，</w:t>
      </w:r>
      <w:r>
        <w:rPr>
          <w:rFonts w:hint="default"/>
          <w:color w:val="auto"/>
          <w:highlight w:val="none"/>
          <w:shd w:val="clear" w:color="auto" w:fill="auto"/>
          <w:lang w:val="en"/>
        </w:rPr>
        <w:t>广西政府采购云</w:t>
      </w:r>
      <w:r>
        <w:rPr>
          <w:rFonts w:hint="eastAsia"/>
          <w:color w:val="auto"/>
          <w:highlight w:val="none"/>
          <w:shd w:val="clear" w:color="auto" w:fill="auto"/>
        </w:rPr>
        <w:t xml:space="preserve">投标客户端软件请供应商自行前往下载并安装（见广西壮族自治区政府采购网—办事服务—下载专区-广西壮族自治区全流程电子招投标项目管理系统--供应商客户端）。 </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（5）因未注册入库、未办理CA数字证书、CA证书故障、操作不当等原因造成无法投标或投标失败等后果由供应商自行承担。</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（6）投标文件网上提交截止后，</w:t>
      </w:r>
      <w:r>
        <w:rPr>
          <w:rFonts w:hint="default"/>
          <w:color w:val="auto"/>
          <w:highlight w:val="none"/>
          <w:shd w:val="clear" w:color="auto" w:fill="auto"/>
          <w:lang w:val="en"/>
        </w:rPr>
        <w:t>广西政府采购云</w:t>
      </w:r>
      <w:r>
        <w:rPr>
          <w:rFonts w:hint="eastAsia"/>
          <w:color w:val="auto"/>
          <w:highlight w:val="none"/>
          <w:shd w:val="clear" w:color="auto" w:fill="auto"/>
        </w:rPr>
        <w:t>（电子标系统）自动提取所有投标文件，各供应商须在开标开始后30分钟内对上传</w:t>
      </w:r>
      <w:r>
        <w:rPr>
          <w:rFonts w:hint="default"/>
          <w:color w:val="auto"/>
          <w:highlight w:val="none"/>
          <w:shd w:val="clear" w:color="auto" w:fill="auto"/>
          <w:lang w:val="en"/>
        </w:rPr>
        <w:t>广西政府采购云</w:t>
      </w:r>
      <w:r>
        <w:rPr>
          <w:rFonts w:hint="eastAsia"/>
          <w:color w:val="auto"/>
          <w:highlight w:val="none"/>
          <w:shd w:val="clear" w:color="auto" w:fill="auto"/>
        </w:rPr>
        <w:t>的投标文件进行解密，所有供应商在规定的解密时限内解密完成或解密时限结束后，我中心开启投标文件；供应商超过解密时限的，系统默认自动放弃。</w:t>
      </w:r>
    </w:p>
    <w:p>
      <w:pPr>
        <w:pageBreakBefore w:val="0"/>
        <w:widowControl w:val="0"/>
        <w:kinsoku/>
        <w:wordWrap/>
        <w:overflowPunct/>
        <w:topLinePunct w:val="0"/>
        <w:autoSpaceDE/>
        <w:autoSpaceDN/>
        <w:bidi w:val="0"/>
        <w:adjustRightInd w:val="0"/>
        <w:snapToGrid w:val="0"/>
        <w:spacing w:line="340" w:lineRule="exact"/>
        <w:ind w:firstLine="421" w:firstLineChars="200"/>
        <w:textAlignment w:val="auto"/>
        <w:rPr>
          <w:b/>
          <w:color w:val="auto"/>
          <w:highlight w:val="none"/>
          <w:shd w:val="clear" w:color="auto" w:fill="auto"/>
        </w:rPr>
      </w:pPr>
      <w:r>
        <w:rPr>
          <w:b/>
          <w:color w:val="auto"/>
          <w:highlight w:val="none"/>
          <w:shd w:val="clear" w:color="auto" w:fill="auto"/>
        </w:rPr>
        <w:t xml:space="preserve">  </w:t>
      </w:r>
    </w:p>
    <w:p>
      <w:pPr>
        <w:pageBreakBefore w:val="0"/>
        <w:widowControl w:val="0"/>
        <w:kinsoku/>
        <w:wordWrap/>
        <w:overflowPunct/>
        <w:topLinePunct w:val="0"/>
        <w:autoSpaceDE/>
        <w:autoSpaceDN/>
        <w:bidi w:val="0"/>
        <w:adjustRightInd w:val="0"/>
        <w:snapToGrid w:val="0"/>
        <w:spacing w:line="340" w:lineRule="exact"/>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七、对本次采购提出询问，请按以下方式联系</w:t>
      </w:r>
    </w:p>
    <w:p>
      <w:pPr>
        <w:pageBreakBefore w:val="0"/>
        <w:widowControl w:val="0"/>
        <w:kinsoku/>
        <w:wordWrap/>
        <w:overflowPunct/>
        <w:topLinePunct w:val="0"/>
        <w:autoSpaceDE/>
        <w:autoSpaceDN/>
        <w:bidi w:val="0"/>
        <w:adjustRightInd w:val="0"/>
        <w:snapToGrid w:val="0"/>
        <w:spacing w:line="340" w:lineRule="exact"/>
        <w:ind w:firstLine="421" w:firstLineChars="200"/>
        <w:textAlignment w:val="auto"/>
        <w:rPr>
          <w:rFonts w:hint="eastAsia"/>
          <w:color w:val="auto"/>
          <w:highlight w:val="none"/>
          <w:shd w:val="clear" w:color="auto" w:fill="auto"/>
        </w:rPr>
      </w:pPr>
      <w:r>
        <w:rPr>
          <w:rFonts w:hint="eastAsia"/>
          <w:b/>
          <w:color w:val="auto"/>
          <w:highlight w:val="none"/>
          <w:shd w:val="clear" w:color="auto" w:fill="auto"/>
        </w:rPr>
        <w:t xml:space="preserve"> </w:t>
      </w:r>
      <w:r>
        <w:rPr>
          <w:rFonts w:hint="eastAsia"/>
          <w:color w:val="auto"/>
          <w:highlight w:val="none"/>
          <w:shd w:val="clear" w:color="auto" w:fill="auto"/>
        </w:rPr>
        <w:t xml:space="preserve">   1.采购人信息</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名    称：</w:t>
      </w:r>
      <w:r>
        <w:rPr>
          <w:color w:val="auto"/>
          <w:highlight w:val="none"/>
          <w:shd w:val="clear" w:color="auto" w:fill="auto"/>
          <w:lang w:val="en"/>
        </w:rPr>
        <w:t>广西艺术学院</w:t>
      </w:r>
      <w:r>
        <w:rPr>
          <w:rFonts w:hint="eastAsia"/>
          <w:color w:val="auto"/>
          <w:highlight w:val="none"/>
          <w:shd w:val="clear" w:color="auto" w:fill="auto"/>
        </w:rPr>
        <w:t xml:space="preserve"> </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default" w:eastAsia="宋体"/>
          <w:color w:val="auto"/>
          <w:highlight w:val="none"/>
          <w:shd w:val="clear" w:color="auto" w:fill="auto"/>
          <w:lang w:val="en-US" w:eastAsia="zh-CN"/>
        </w:rPr>
      </w:pPr>
      <w:r>
        <w:rPr>
          <w:rFonts w:hint="eastAsia"/>
          <w:color w:val="auto"/>
          <w:highlight w:val="none"/>
          <w:shd w:val="clear" w:color="auto" w:fill="auto"/>
        </w:rPr>
        <w:t xml:space="preserve">    地    址：</w:t>
      </w:r>
      <w:r>
        <w:rPr>
          <w:rFonts w:hint="eastAsia"/>
          <w:color w:val="auto"/>
          <w:highlight w:val="none"/>
          <w:shd w:val="clear" w:color="auto" w:fill="auto"/>
          <w:lang w:val="en-US" w:eastAsia="zh-CN"/>
        </w:rPr>
        <w:t>广西南宁教育路7号</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default" w:eastAsia="宋体"/>
          <w:color w:val="auto"/>
          <w:highlight w:val="none"/>
          <w:shd w:val="clear" w:color="auto" w:fill="auto"/>
          <w:lang w:val="en-US" w:eastAsia="zh-CN"/>
        </w:rPr>
      </w:pPr>
      <w:r>
        <w:rPr>
          <w:rFonts w:hint="eastAsia"/>
          <w:color w:val="auto"/>
          <w:highlight w:val="none"/>
          <w:shd w:val="clear" w:color="auto" w:fill="auto"/>
        </w:rPr>
        <w:t xml:space="preserve">    项目联系人：</w:t>
      </w:r>
      <w:r>
        <w:rPr>
          <w:rFonts w:hint="eastAsia"/>
          <w:color w:val="auto"/>
          <w:highlight w:val="none"/>
          <w:shd w:val="clear" w:color="auto" w:fill="auto"/>
          <w:lang w:val="en-US" w:eastAsia="zh-CN"/>
        </w:rPr>
        <w:t>傅老师</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default" w:eastAsia="宋体"/>
          <w:color w:val="auto"/>
          <w:highlight w:val="none"/>
          <w:shd w:val="clear" w:color="auto" w:fill="auto"/>
          <w:lang w:val="en-US" w:eastAsia="zh-CN"/>
        </w:rPr>
      </w:pPr>
      <w:r>
        <w:rPr>
          <w:color w:val="auto"/>
          <w:highlight w:val="none"/>
          <w:shd w:val="clear" w:color="auto" w:fill="auto"/>
        </w:rPr>
        <w:t xml:space="preserve">    </w:t>
      </w:r>
      <w:r>
        <w:rPr>
          <w:rFonts w:hint="eastAsia"/>
          <w:color w:val="auto"/>
          <w:highlight w:val="none"/>
          <w:shd w:val="clear" w:color="auto" w:fill="auto"/>
        </w:rPr>
        <w:t>项目联系方式：</w:t>
      </w:r>
      <w:r>
        <w:rPr>
          <w:rFonts w:hint="eastAsia"/>
          <w:color w:val="auto"/>
          <w:highlight w:val="none"/>
          <w:shd w:val="clear" w:color="auto" w:fill="auto"/>
          <w:lang w:val="en-US" w:eastAsia="zh-CN"/>
        </w:rPr>
        <w:t>0771-5317987</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color w:val="auto"/>
          <w:highlight w:val="none"/>
          <w:shd w:val="clear" w:color="auto" w:fill="auto"/>
        </w:rPr>
        <w:t xml:space="preserve">    </w:t>
      </w:r>
      <w:r>
        <w:rPr>
          <w:rFonts w:hint="eastAsia"/>
          <w:color w:val="auto"/>
          <w:highlight w:val="none"/>
          <w:shd w:val="clear" w:color="auto" w:fill="auto"/>
        </w:rPr>
        <w:t>2.采购代理机构信息</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名    称：广西壮族自治区政府采购中心  </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地    址：广西南宁市星湖路22号  </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eastAsia="宋体"/>
          <w:color w:val="auto"/>
          <w:highlight w:val="none"/>
          <w:shd w:val="clear" w:color="auto" w:fill="auto"/>
          <w:lang w:eastAsia="zh-CN"/>
        </w:rPr>
      </w:pPr>
      <w:r>
        <w:rPr>
          <w:rFonts w:hint="eastAsia"/>
          <w:color w:val="auto"/>
          <w:highlight w:val="none"/>
          <w:shd w:val="clear" w:color="auto" w:fill="auto"/>
        </w:rPr>
        <w:t xml:space="preserve">    项目联系人：</w:t>
      </w:r>
      <w:r>
        <w:rPr>
          <w:rFonts w:hint="eastAsia"/>
          <w:color w:val="auto"/>
          <w:highlight w:val="none"/>
          <w:shd w:val="clear" w:color="auto" w:fill="auto"/>
          <w:lang w:eastAsia="zh-CN"/>
        </w:rPr>
        <w:t>张国铨</w:t>
      </w:r>
    </w:p>
    <w:p>
      <w:pPr>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default" w:ascii="宋体" w:hAnsi="宋体" w:eastAsia="宋体" w:cs="宋体"/>
          <w:color w:val="auto"/>
          <w:highlight w:val="none"/>
          <w:shd w:val="clear" w:color="auto" w:fill="auto"/>
          <w:lang w:val="en-US" w:eastAsia="zh-CN"/>
        </w:rPr>
      </w:pPr>
      <w:r>
        <w:rPr>
          <w:rFonts w:hint="eastAsia"/>
          <w:color w:val="auto"/>
          <w:highlight w:val="none"/>
          <w:shd w:val="clear" w:color="auto" w:fill="auto"/>
        </w:rPr>
        <w:t xml:space="preserve">    项目联系方式：0771-</w:t>
      </w:r>
      <w:r>
        <w:rPr>
          <w:color w:val="auto"/>
          <w:highlight w:val="none"/>
          <w:shd w:val="clear" w:color="auto" w:fill="auto"/>
          <w:lang w:val="en"/>
        </w:rPr>
        <w:t>8600</w:t>
      </w:r>
      <w:r>
        <w:rPr>
          <w:rFonts w:hint="eastAsia"/>
          <w:color w:val="auto"/>
          <w:highlight w:val="none"/>
          <w:shd w:val="clear" w:color="auto" w:fill="auto"/>
          <w:lang w:val="en-US" w:eastAsia="zh-CN"/>
        </w:rPr>
        <w:t>343</w:t>
      </w:r>
    </w:p>
    <w:p>
      <w:pPr>
        <w:pageBreakBefore w:val="0"/>
        <w:widowControl w:val="0"/>
        <w:kinsoku/>
        <w:wordWrap/>
        <w:overflowPunct/>
        <w:topLinePunct w:val="0"/>
        <w:autoSpaceDE/>
        <w:autoSpaceDN/>
        <w:bidi w:val="0"/>
        <w:adjustRightInd w:val="0"/>
        <w:snapToGrid w:val="0"/>
        <w:spacing w:line="340" w:lineRule="exact"/>
        <w:ind w:firstLine="630" w:firstLineChars="300"/>
        <w:textAlignment w:val="auto"/>
        <w:rPr>
          <w:rFonts w:hint="eastAsia" w:ascii="宋体" w:hAnsi="宋体" w:cs="宋体"/>
          <w:color w:val="auto"/>
          <w:highlight w:val="none"/>
          <w:shd w:val="clear" w:color="auto" w:fill="auto"/>
        </w:rPr>
      </w:pPr>
    </w:p>
    <w:bookmarkEnd w:id="0"/>
    <w:bookmarkEnd w:id="1"/>
    <w:p>
      <w:pPr>
        <w:pageBreakBefore w:val="0"/>
        <w:widowControl w:val="0"/>
        <w:kinsoku/>
        <w:wordWrap/>
        <w:overflowPunct/>
        <w:topLinePunct w:val="0"/>
        <w:autoSpaceDE/>
        <w:autoSpaceDN/>
        <w:bidi w:val="0"/>
        <w:snapToGrid w:val="0"/>
        <w:spacing w:line="340" w:lineRule="exact"/>
        <w:ind w:left="238"/>
        <w:jc w:val="center"/>
        <w:textAlignment w:val="auto"/>
        <w:rPr>
          <w:rFonts w:ascii="宋体" w:cs="宋体"/>
          <w:color w:val="auto"/>
          <w:highlight w:val="none"/>
          <w:shd w:val="clear" w:color="auto" w:fill="auto"/>
        </w:rPr>
      </w:pPr>
      <w:r>
        <w:rPr>
          <w:rFonts w:hint="eastAsia" w:ascii="宋体" w:hAnsi="宋体" w:cs="宋体"/>
          <w:color w:val="auto"/>
          <w:highlight w:val="none"/>
          <w:shd w:val="clear" w:color="auto" w:fill="auto"/>
        </w:rPr>
        <w:t xml:space="preserve">                                广西壮族自治区政府采购中心</w:t>
      </w:r>
    </w:p>
    <w:p>
      <w:pPr>
        <w:pageBreakBefore w:val="0"/>
        <w:widowControl w:val="0"/>
        <w:kinsoku/>
        <w:wordWrap/>
        <w:overflowPunct/>
        <w:topLinePunct w:val="0"/>
        <w:autoSpaceDE/>
        <w:autoSpaceDN/>
        <w:bidi w:val="0"/>
        <w:snapToGrid w:val="0"/>
        <w:spacing w:line="340" w:lineRule="exact"/>
        <w:ind w:left="238"/>
        <w:jc w:val="center"/>
        <w:textAlignment w:val="auto"/>
        <w:rPr>
          <w:rFonts w:ascii="黑体" w:eastAsia="黑体"/>
          <w:color w:val="auto"/>
          <w:sz w:val="32"/>
          <w:szCs w:val="32"/>
          <w:highlight w:val="none"/>
          <w:shd w:val="clear" w:color="auto" w:fill="auto"/>
          <w:lang w:val="en"/>
        </w:rPr>
      </w:pPr>
      <w:r>
        <w:rPr>
          <w:rFonts w:hint="eastAsia" w:ascii="宋体" w:hAnsi="宋体" w:cs="宋体"/>
          <w:color w:val="auto"/>
          <w:highlight w:val="none"/>
          <w:shd w:val="clear" w:color="auto" w:fill="auto"/>
        </w:rPr>
        <w:t xml:space="preserve">                                 </w:t>
      </w:r>
      <w:r>
        <w:rPr>
          <w:rFonts w:ascii="宋体" w:hAnsi="宋体" w:cs="宋体"/>
          <w:color w:val="auto"/>
          <w:highlight w:val="none"/>
          <w:shd w:val="clear" w:color="auto" w:fill="auto"/>
          <w:lang w:val="en"/>
        </w:rPr>
        <w:t>2025年</w:t>
      </w:r>
      <w:r>
        <w:rPr>
          <w:rFonts w:hint="eastAsia" w:ascii="宋体" w:hAnsi="宋体" w:cs="宋体"/>
          <w:color w:val="auto"/>
          <w:highlight w:val="none"/>
          <w:shd w:val="clear" w:color="auto" w:fill="auto"/>
          <w:lang w:val="en-US" w:eastAsia="zh-CN"/>
        </w:rPr>
        <w:t xml:space="preserve">   </w:t>
      </w:r>
      <w:r>
        <w:rPr>
          <w:rFonts w:ascii="宋体" w:hAnsi="宋体" w:cs="宋体"/>
          <w:color w:val="auto"/>
          <w:highlight w:val="none"/>
          <w:shd w:val="clear" w:color="auto" w:fill="auto"/>
          <w:lang w:val="en"/>
        </w:rPr>
        <w:t>月</w:t>
      </w:r>
      <w:r>
        <w:rPr>
          <w:rFonts w:hint="eastAsia" w:ascii="宋体" w:hAnsi="宋体" w:cs="宋体"/>
          <w:color w:val="auto"/>
          <w:highlight w:val="none"/>
          <w:shd w:val="clear" w:color="auto" w:fill="auto"/>
          <w:lang w:val="en-US" w:eastAsia="zh-CN"/>
        </w:rPr>
        <w:t xml:space="preserve">   </w:t>
      </w:r>
      <w:r>
        <w:rPr>
          <w:rFonts w:ascii="宋体" w:hAnsi="宋体" w:cs="宋体"/>
          <w:color w:val="auto"/>
          <w:highlight w:val="none"/>
          <w:shd w:val="clear" w:color="auto" w:fill="auto"/>
          <w:lang w:val="en"/>
        </w:rPr>
        <w:t>日</w:t>
      </w:r>
    </w:p>
    <w:p>
      <w:pPr>
        <w:pageBreakBefore w:val="0"/>
        <w:widowControl w:val="0"/>
        <w:kinsoku/>
        <w:wordWrap/>
        <w:overflowPunct/>
        <w:topLinePunct w:val="0"/>
        <w:autoSpaceDE/>
        <w:autoSpaceDN/>
        <w:bidi w:val="0"/>
        <w:snapToGrid w:val="0"/>
        <w:spacing w:before="156" w:beforeLines="50" w:after="156" w:afterLines="50" w:line="340" w:lineRule="exact"/>
        <w:ind w:left="238"/>
        <w:jc w:val="center"/>
        <w:textAlignment w:val="auto"/>
        <w:rPr>
          <w:rFonts w:hint="eastAsia" w:ascii="黑体" w:eastAsia="黑体"/>
          <w:color w:val="auto"/>
          <w:sz w:val="32"/>
          <w:szCs w:val="32"/>
          <w:highlight w:val="none"/>
          <w:shd w:val="clear" w:color="auto" w:fill="auto"/>
        </w:rPr>
      </w:pPr>
      <w:r>
        <w:rPr>
          <w:rFonts w:hint="eastAsia" w:ascii="黑体" w:eastAsia="黑体"/>
          <w:color w:val="auto"/>
          <w:sz w:val="32"/>
          <w:szCs w:val="32"/>
          <w:highlight w:val="none"/>
          <w:shd w:val="clear" w:color="auto" w:fill="auto"/>
        </w:rPr>
        <w:br w:type="page"/>
      </w: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pStyle w:val="5"/>
        <w:rPr>
          <w:rFonts w:hint="eastAsia"/>
          <w:color w:va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ind w:left="238"/>
        <w:jc w:val="center"/>
        <w:rPr>
          <w:rFonts w:hint="eastAsia" w:ascii="黑体" w:eastAsia="黑体"/>
          <w:color w:val="auto"/>
          <w:sz w:val="36"/>
          <w:szCs w:val="36"/>
          <w:highlight w:val="none"/>
          <w:shd w:val="clear" w:color="auto" w:fill="auto"/>
        </w:rPr>
      </w:pPr>
    </w:p>
    <w:p>
      <w:pPr>
        <w:snapToGrid w:val="0"/>
        <w:spacing w:before="156" w:beforeLines="50" w:after="156" w:afterLines="50"/>
        <w:ind w:left="238"/>
        <w:jc w:val="center"/>
        <w:rPr>
          <w:rFonts w:hint="eastAsia" w:ascii="黑体" w:eastAsia="黑体"/>
          <w:color w:val="auto"/>
          <w:sz w:val="36"/>
          <w:szCs w:val="36"/>
          <w:highlight w:val="none"/>
          <w:shd w:val="clear" w:color="auto" w:fill="auto"/>
        </w:rPr>
      </w:pPr>
      <w:r>
        <w:rPr>
          <w:rFonts w:hint="eastAsia" w:ascii="仿宋_GB2312" w:eastAsia="仿宋_GB2312"/>
          <w:b/>
          <w:color w:val="auto"/>
          <w:sz w:val="36"/>
          <w:szCs w:val="36"/>
          <w:highlight w:val="none"/>
          <w:shd w:val="clear" w:color="auto" w:fill="auto"/>
        </w:rPr>
        <w:t xml:space="preserve">第二章  </w:t>
      </w:r>
      <w:r>
        <w:rPr>
          <w:rFonts w:hint="eastAsia" w:ascii="仿宋_GB2312" w:eastAsia="仿宋_GB2312"/>
          <w:b/>
          <w:bCs/>
          <w:color w:val="auto"/>
          <w:sz w:val="36"/>
          <w:szCs w:val="36"/>
          <w:highlight w:val="none"/>
          <w:shd w:val="clear" w:color="auto" w:fill="auto"/>
        </w:rPr>
        <w:t>招</w:t>
      </w:r>
      <w:r>
        <w:rPr>
          <w:rFonts w:hint="eastAsia" w:ascii="仿宋_GB2312" w:eastAsia="仿宋_GB2312"/>
          <w:b/>
          <w:color w:val="auto"/>
          <w:sz w:val="36"/>
          <w:szCs w:val="36"/>
          <w:highlight w:val="none"/>
          <w:shd w:val="clear" w:color="auto" w:fill="auto"/>
        </w:rPr>
        <w:t>标项目采购需求</w:t>
      </w:r>
    </w:p>
    <w:p>
      <w:pPr>
        <w:jc w:val="center"/>
        <w:rPr>
          <w:rFonts w:ascii="宋体" w:hAnsi="宋体"/>
          <w:b/>
          <w:dstrike/>
          <w:color w:val="auto"/>
          <w:sz w:val="36"/>
          <w:szCs w:val="36"/>
          <w:highlight w:val="none"/>
          <w:shd w:val="clear" w:color="auto" w:fill="auto"/>
        </w:rPr>
      </w:pPr>
      <w:r>
        <w:rPr>
          <w:color w:val="auto"/>
          <w:highlight w:val="none"/>
          <w:shd w:val="clear" w:color="auto" w:fill="auto"/>
        </w:rPr>
        <w:br w:type="page"/>
      </w:r>
      <w:r>
        <w:rPr>
          <w:rFonts w:hint="eastAsia" w:ascii="宋体" w:hAnsi="宋体"/>
          <w:b/>
          <w:bCs/>
          <w:color w:val="auto"/>
          <w:sz w:val="36"/>
          <w:szCs w:val="36"/>
          <w:highlight w:val="none"/>
          <w:shd w:val="clear" w:color="auto" w:fill="auto"/>
        </w:rPr>
        <w:t>招标项目采购需求</w:t>
      </w:r>
    </w:p>
    <w:p>
      <w:pPr>
        <w:ind w:left="6" w:firstLine="431"/>
        <w:rPr>
          <w:rFonts w:hint="eastAsia" w:ascii="宋体" w:hAnsi="宋体"/>
          <w:b/>
          <w:bCs/>
          <w:color w:val="auto"/>
          <w:szCs w:val="21"/>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264" w:lineRule="auto"/>
        <w:ind w:left="0" w:firstLine="420"/>
        <w:textAlignment w:val="auto"/>
        <w:rPr>
          <w:rFonts w:hint="eastAsia"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1</w:t>
      </w:r>
      <w:r>
        <w:rPr>
          <w:rFonts w:hint="eastAsia" w:ascii="宋体" w:hAnsi="宋体"/>
          <w:b/>
          <w:bCs/>
          <w:color w:val="auto"/>
          <w:szCs w:val="21"/>
          <w:highlight w:val="none"/>
          <w:shd w:val="clear" w:color="auto" w:fill="auto"/>
          <w:lang w:eastAsia="zh-CN"/>
        </w:rPr>
        <w:t>、</w:t>
      </w:r>
      <w:r>
        <w:rPr>
          <w:rFonts w:hint="eastAsia" w:ascii="宋体" w:hAnsi="宋体"/>
          <w:b/>
          <w:bCs/>
          <w:color w:val="auto"/>
          <w:szCs w:val="21"/>
          <w:highlight w:val="none"/>
          <w:shd w:val="clear" w:color="auto" w:fill="auto"/>
        </w:rPr>
        <w:t>本需求的货物品牌型号、技术参数及其性能（配置）仅起参考作用，投标人可选用其他品牌型号替代，但这些替代的产品要实质上相当于或优于参考品牌型号及其技术参数性能（配置）要求。</w:t>
      </w:r>
    </w:p>
    <w:p>
      <w:pPr>
        <w:keepNext w:val="0"/>
        <w:keepLines w:val="0"/>
        <w:pageBreakBefore w:val="0"/>
        <w:widowControl w:val="0"/>
        <w:kinsoku/>
        <w:wordWrap/>
        <w:overflowPunct/>
        <w:topLinePunct w:val="0"/>
        <w:autoSpaceDE/>
        <w:autoSpaceDN/>
        <w:bidi w:val="0"/>
        <w:adjustRightInd/>
        <w:snapToGrid/>
        <w:spacing w:line="264" w:lineRule="auto"/>
        <w:ind w:left="0" w:firstLine="420"/>
        <w:textAlignment w:val="auto"/>
        <w:rPr>
          <w:rFonts w:hint="eastAsia"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2</w:t>
      </w:r>
      <w:r>
        <w:rPr>
          <w:rFonts w:hint="eastAsia" w:ascii="宋体" w:hAnsi="宋体"/>
          <w:b/>
          <w:bCs/>
          <w:color w:val="auto"/>
          <w:szCs w:val="21"/>
          <w:highlight w:val="none"/>
          <w:shd w:val="clear" w:color="auto" w:fill="auto"/>
          <w:lang w:eastAsia="zh-CN"/>
        </w:rPr>
        <w:t>、</w:t>
      </w:r>
      <w:r>
        <w:rPr>
          <w:rFonts w:hint="eastAsia" w:ascii="宋体" w:hAnsi="宋体"/>
          <w:b/>
          <w:bCs/>
          <w:color w:val="auto"/>
          <w:szCs w:val="21"/>
          <w:highlight w:val="none"/>
          <w:shd w:val="clear" w:color="auto" w:fill="auto"/>
        </w:rPr>
        <w:t>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p>
      <w:pPr>
        <w:keepNext w:val="0"/>
        <w:keepLines w:val="0"/>
        <w:pageBreakBefore w:val="0"/>
        <w:widowControl w:val="0"/>
        <w:kinsoku/>
        <w:wordWrap/>
        <w:overflowPunct/>
        <w:topLinePunct w:val="0"/>
        <w:autoSpaceDE/>
        <w:autoSpaceDN/>
        <w:bidi w:val="0"/>
        <w:adjustRightInd/>
        <w:snapToGrid/>
        <w:spacing w:line="264" w:lineRule="auto"/>
        <w:ind w:left="0" w:firstLine="420"/>
        <w:textAlignment w:val="auto"/>
        <w:rPr>
          <w:rFonts w:hint="eastAsia"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3</w:t>
      </w:r>
      <w:r>
        <w:rPr>
          <w:rFonts w:hint="eastAsia" w:ascii="宋体" w:hAnsi="宋体"/>
          <w:b/>
          <w:bCs/>
          <w:color w:val="auto"/>
          <w:szCs w:val="21"/>
          <w:highlight w:val="none"/>
          <w:shd w:val="clear" w:color="auto" w:fill="auto"/>
          <w:lang w:eastAsia="zh-CN"/>
        </w:rPr>
        <w:t>、</w:t>
      </w:r>
      <w:r>
        <w:rPr>
          <w:rFonts w:hint="eastAsia" w:ascii="宋体" w:hAnsi="宋体"/>
          <w:b/>
          <w:bCs/>
          <w:color w:val="auto"/>
          <w:szCs w:val="21"/>
          <w:highlight w:val="none"/>
          <w:shd w:val="clear" w:color="auto" w:fill="auto"/>
        </w:rPr>
        <w:t>主要技术参数及性能（配置）要求中的“≥”和“≤”偏离说明，“≥”：“=”为无偏离，“＞”为正偏离；“＜”为负偏离，“≤”：“=”为无偏离，“＜”为正偏离，“＞”为负偏离。</w:t>
      </w:r>
    </w:p>
    <w:p>
      <w:pPr>
        <w:keepNext w:val="0"/>
        <w:keepLines w:val="0"/>
        <w:pageBreakBefore w:val="0"/>
        <w:widowControl w:val="0"/>
        <w:kinsoku/>
        <w:wordWrap/>
        <w:overflowPunct/>
        <w:topLinePunct w:val="0"/>
        <w:autoSpaceDE/>
        <w:autoSpaceDN/>
        <w:bidi w:val="0"/>
        <w:adjustRightInd/>
        <w:snapToGrid/>
        <w:spacing w:line="264" w:lineRule="auto"/>
        <w:ind w:left="0" w:firstLine="420"/>
        <w:textAlignment w:val="auto"/>
        <w:rPr>
          <w:rFonts w:ascii="宋体" w:hAnsi="宋体"/>
          <w:b/>
          <w:bCs/>
          <w:color w:val="auto"/>
          <w:szCs w:val="21"/>
          <w:highlight w:val="none"/>
          <w:shd w:val="clear" w:color="auto" w:fill="auto"/>
          <w:lang w:val="en"/>
        </w:rPr>
      </w:pPr>
      <w:r>
        <w:rPr>
          <w:rFonts w:hint="eastAsia" w:ascii="宋体" w:hAnsi="宋体"/>
          <w:b/>
          <w:bCs/>
          <w:color w:val="auto"/>
          <w:szCs w:val="21"/>
          <w:highlight w:val="none"/>
          <w:shd w:val="clear" w:color="auto" w:fill="auto"/>
        </w:rPr>
        <w:t>4</w:t>
      </w:r>
      <w:r>
        <w:rPr>
          <w:rFonts w:hint="eastAsia" w:ascii="宋体" w:hAnsi="宋体"/>
          <w:b/>
          <w:bCs/>
          <w:color w:val="auto"/>
          <w:szCs w:val="21"/>
          <w:highlight w:val="none"/>
          <w:shd w:val="clear" w:color="auto" w:fill="auto"/>
          <w:lang w:eastAsia="zh-CN"/>
        </w:rPr>
        <w:t>、</w:t>
      </w:r>
      <w:r>
        <w:rPr>
          <w:rFonts w:hint="eastAsia" w:ascii="宋体" w:hAnsi="宋体"/>
          <w:b/>
          <w:bCs/>
          <w:color w:val="auto"/>
          <w:szCs w:val="21"/>
          <w:highlight w:val="none"/>
          <w:shd w:val="clear" w:color="auto" w:fill="auto"/>
        </w:rPr>
        <w:t>本一览表“</w:t>
      </w:r>
      <w:r>
        <w:rPr>
          <w:rFonts w:hint="eastAsia" w:ascii="宋体" w:hAnsi="宋体" w:eastAsia="宋体" w:cs="宋体"/>
          <w:b/>
          <w:color w:val="auto"/>
          <w:kern w:val="0"/>
          <w:sz w:val="21"/>
          <w:szCs w:val="21"/>
          <w:highlight w:val="none"/>
          <w:shd w:val="clear" w:color="auto" w:fill="auto"/>
        </w:rPr>
        <w:t>主要</w:t>
      </w:r>
      <w:r>
        <w:rPr>
          <w:rFonts w:hint="eastAsia" w:ascii="宋体" w:hAnsi="宋体"/>
          <w:b/>
          <w:bCs/>
          <w:color w:val="auto"/>
          <w:szCs w:val="21"/>
          <w:highlight w:val="none"/>
          <w:shd w:val="clear" w:color="auto" w:fill="auto"/>
        </w:rPr>
        <w:t>技术参数及性能（配置）要求”及“商务及其他要求表”中标明“</w:t>
      </w:r>
      <w:r>
        <w:rPr>
          <w:rFonts w:hint="eastAsia" w:ascii="宋体" w:hAnsi="宋体" w:cs="宋体"/>
          <w:color w:val="auto"/>
          <w:kern w:val="0"/>
          <w:szCs w:val="21"/>
          <w:highlight w:val="none"/>
          <w:shd w:val="clear" w:color="auto" w:fill="auto"/>
        </w:rPr>
        <w:t>▲</w:t>
      </w:r>
      <w:r>
        <w:rPr>
          <w:rFonts w:hint="eastAsia" w:ascii="宋体" w:hAnsi="宋体"/>
          <w:b/>
          <w:bCs/>
          <w:color w:val="auto"/>
          <w:szCs w:val="21"/>
          <w:highlight w:val="none"/>
          <w:shd w:val="clear" w:color="auto" w:fill="auto"/>
        </w:rPr>
        <w:t>”号的参数为必须响应的实质性要求</w:t>
      </w:r>
      <w:r>
        <w:rPr>
          <w:rFonts w:hint="eastAsia" w:ascii="宋体" w:hAnsi="宋体"/>
          <w:b/>
          <w:bCs/>
          <w:color w:val="auto"/>
          <w:szCs w:val="21"/>
          <w:highlight w:val="none"/>
          <w:shd w:val="clear" w:color="auto" w:fill="auto"/>
          <w:lang w:eastAsia="zh-CN"/>
        </w:rPr>
        <w:t>；</w:t>
      </w:r>
      <w:r>
        <w:rPr>
          <w:rFonts w:hint="eastAsia" w:ascii="宋体" w:hAnsi="宋体"/>
          <w:b/>
          <w:bCs/>
          <w:color w:val="auto"/>
          <w:szCs w:val="21"/>
          <w:highlight w:val="none"/>
          <w:shd w:val="clear" w:color="auto" w:fill="auto"/>
        </w:rPr>
        <w:t>标明“</w:t>
      </w:r>
      <w:r>
        <w:rPr>
          <w:rFonts w:hint="eastAsia" w:ascii="宋体" w:hAnsi="宋体" w:cs="宋体"/>
          <w:color w:val="auto"/>
          <w:kern w:val="0"/>
          <w:szCs w:val="21"/>
          <w:highlight w:val="none"/>
          <w:shd w:val="clear" w:color="auto" w:fill="auto"/>
        </w:rPr>
        <w:t>★”</w:t>
      </w:r>
      <w:r>
        <w:rPr>
          <w:rFonts w:hint="eastAsia" w:hAnsi="宋体"/>
          <w:b/>
          <w:color w:val="auto"/>
          <w:highlight w:val="none"/>
          <w:shd w:val="clear" w:color="auto" w:fill="auto"/>
        </w:rPr>
        <w:t>号</w:t>
      </w:r>
      <w:r>
        <w:rPr>
          <w:rFonts w:hint="eastAsia" w:hAnsi="宋体"/>
          <w:b/>
          <w:color w:val="auto"/>
          <w:highlight w:val="none"/>
          <w:shd w:val="clear" w:color="auto" w:fill="auto"/>
          <w:lang w:eastAsia="zh-CN"/>
        </w:rPr>
        <w:t>的技术</w:t>
      </w:r>
      <w:r>
        <w:rPr>
          <w:rFonts w:hint="eastAsia" w:ascii="宋体" w:hAnsi="宋体"/>
          <w:b/>
          <w:bCs/>
          <w:color w:val="auto"/>
          <w:szCs w:val="21"/>
          <w:highlight w:val="none"/>
          <w:shd w:val="clear" w:color="auto" w:fill="auto"/>
        </w:rPr>
        <w:t>参数作为</w:t>
      </w:r>
      <w:r>
        <w:rPr>
          <w:rFonts w:hint="eastAsia" w:ascii="宋体" w:hAnsi="宋体"/>
          <w:b/>
          <w:bCs/>
          <w:color w:val="auto"/>
          <w:szCs w:val="21"/>
          <w:highlight w:val="none"/>
          <w:shd w:val="clear" w:color="auto" w:fill="auto"/>
          <w:lang w:eastAsia="zh-CN"/>
        </w:rPr>
        <w:t>加分项</w:t>
      </w:r>
      <w:r>
        <w:rPr>
          <w:rFonts w:ascii="宋体" w:hAnsi="宋体"/>
          <w:b/>
          <w:bCs/>
          <w:color w:val="auto"/>
          <w:szCs w:val="21"/>
          <w:highlight w:val="none"/>
          <w:shd w:val="clear" w:color="auto" w:fill="auto"/>
          <w:lang w:val="en"/>
        </w:rPr>
        <w:t>。</w:t>
      </w:r>
    </w:p>
    <w:p>
      <w:pPr>
        <w:spacing w:line="360" w:lineRule="exact"/>
        <w:ind w:left="6" w:firstLine="431"/>
        <w:rPr>
          <w:rFonts w:hint="eastAsia" w:hAnsi="宋体"/>
          <w:b/>
          <w:color w:val="auto"/>
          <w:szCs w:val="21"/>
          <w:highlight w:val="none"/>
          <w:shd w:val="clear" w:color="auto" w:fill="auto"/>
        </w:rPr>
      </w:pPr>
      <w:r>
        <w:rPr>
          <w:rFonts w:hint="eastAsia" w:ascii="宋体" w:hAnsi="宋体" w:eastAsia="宋体" w:cs="宋体"/>
          <w:b/>
          <w:bCs/>
          <w:color w:val="auto"/>
          <w:highlight w:val="none"/>
          <w:shd w:val="clear" w:color="auto" w:fill="auto"/>
          <w:lang w:val="en-US" w:eastAsia="zh-CN"/>
        </w:rPr>
        <w:t>5</w:t>
      </w:r>
      <w:r>
        <w:rPr>
          <w:rFonts w:hint="eastAsia" w:ascii="宋体" w:hAnsi="宋体" w:cs="宋体"/>
          <w:b/>
          <w:bCs/>
          <w:color w:val="auto"/>
          <w:highlight w:val="none"/>
          <w:shd w:val="clear" w:color="auto" w:fill="auto"/>
          <w:lang w:val="en-US" w:eastAsia="zh-CN"/>
        </w:rPr>
        <w:t>、</w:t>
      </w:r>
      <w:r>
        <w:rPr>
          <w:rFonts w:hint="eastAsia" w:ascii="宋体" w:hAnsi="宋体"/>
          <w:b/>
          <w:color w:val="auto"/>
          <w:highlight w:val="none"/>
          <w:shd w:val="clear" w:color="auto" w:fill="auto"/>
        </w:rPr>
        <w:t>分标</w:t>
      </w:r>
      <w:r>
        <w:rPr>
          <w:rFonts w:ascii="宋体" w:hAnsi="宋体"/>
          <w:b/>
          <w:color w:val="auto"/>
          <w:highlight w:val="none"/>
          <w:shd w:val="clear" w:color="auto" w:fill="auto"/>
          <w:lang w:val="en"/>
        </w:rPr>
        <w:t>1</w:t>
      </w:r>
      <w:r>
        <w:rPr>
          <w:rFonts w:hint="eastAsia" w:ascii="宋体" w:hAnsi="宋体"/>
          <w:b/>
          <w:color w:val="auto"/>
          <w:highlight w:val="none"/>
          <w:shd w:val="clear" w:color="auto" w:fill="auto"/>
          <w:lang w:val="en" w:eastAsia="zh-CN"/>
        </w:rPr>
        <w:t>、</w:t>
      </w:r>
      <w:r>
        <w:rPr>
          <w:rFonts w:hint="eastAsia" w:ascii="宋体" w:hAnsi="宋体"/>
          <w:b/>
          <w:color w:val="auto"/>
          <w:highlight w:val="none"/>
          <w:shd w:val="clear" w:color="auto" w:fill="auto"/>
          <w:lang w:val="en-US" w:eastAsia="zh-CN"/>
        </w:rPr>
        <w:t>2、3</w:t>
      </w:r>
      <w:r>
        <w:rPr>
          <w:rFonts w:ascii="宋体" w:hAnsi="宋体"/>
          <w:b/>
          <w:bCs/>
          <w:color w:val="auto"/>
          <w:szCs w:val="21"/>
          <w:highlight w:val="none"/>
          <w:shd w:val="clear" w:color="auto" w:fill="auto"/>
        </w:rPr>
        <w:t>采购标的对应的中小企业划分标准所属行业为</w:t>
      </w:r>
      <w:r>
        <w:rPr>
          <w:rFonts w:hint="eastAsia" w:ascii="宋体" w:hAnsi="宋体"/>
          <w:b/>
          <w:bCs/>
          <w:color w:val="auto"/>
          <w:szCs w:val="21"/>
          <w:highlight w:val="none"/>
          <w:shd w:val="clear" w:color="auto" w:fill="auto"/>
        </w:rPr>
        <w:t>：工业。</w:t>
      </w:r>
      <w:r>
        <w:rPr>
          <w:rFonts w:hint="eastAsia" w:hAnsi="宋体" w:cs="宋体"/>
          <w:b/>
          <w:bCs/>
          <w:color w:val="auto"/>
          <w:szCs w:val="21"/>
          <w:highlight w:val="none"/>
          <w:shd w:val="clear" w:color="auto" w:fill="auto"/>
        </w:rPr>
        <w:t>划分依据：</w:t>
      </w:r>
      <w:r>
        <w:rPr>
          <w:rFonts w:hint="eastAsia"/>
          <w:b/>
          <w:color w:val="auto"/>
          <w:szCs w:val="21"/>
          <w:highlight w:val="none"/>
          <w:shd w:val="clear" w:color="auto" w:fill="auto"/>
        </w:rPr>
        <w:t>《关于印发中小企业划型标准规定的通知》（工信部联企业[2011]300号）</w:t>
      </w:r>
    </w:p>
    <w:p>
      <w:pPr>
        <w:keepNext w:val="0"/>
        <w:keepLines w:val="0"/>
        <w:pageBreakBefore w:val="0"/>
        <w:widowControl w:val="0"/>
        <w:kinsoku/>
        <w:wordWrap/>
        <w:overflowPunct/>
        <w:topLinePunct w:val="0"/>
        <w:autoSpaceDE/>
        <w:autoSpaceDN/>
        <w:bidi w:val="0"/>
        <w:adjustRightInd/>
        <w:snapToGrid/>
        <w:spacing w:line="264" w:lineRule="auto"/>
        <w:ind w:firstLine="413" w:firstLineChars="196"/>
        <w:textAlignment w:val="auto"/>
        <w:rPr>
          <w:rFonts w:hint="default" w:ascii="宋体" w:hAnsi="宋体" w:eastAsia="宋体"/>
          <w:b/>
          <w:color w:val="auto"/>
          <w:highlight w:val="none"/>
          <w:shd w:val="clear" w:color="auto" w:fill="auto"/>
          <w:lang w:val="en-US" w:eastAsia="zh-CN"/>
        </w:rPr>
      </w:pPr>
      <w:r>
        <w:rPr>
          <w:rFonts w:hint="eastAsia" w:ascii="宋体" w:hAnsi="宋体"/>
          <w:b/>
          <w:color w:val="auto"/>
          <w:highlight w:val="none"/>
          <w:shd w:val="clear" w:color="auto" w:fill="auto"/>
          <w:lang w:val="en-US" w:eastAsia="zh-CN"/>
        </w:rPr>
        <w:t>6、</w:t>
      </w:r>
      <w:r>
        <w:rPr>
          <w:rFonts w:hint="eastAsia" w:ascii="宋体" w:hAnsi="宋体"/>
          <w:b/>
          <w:color w:val="auto"/>
          <w:highlight w:val="none"/>
          <w:shd w:val="clear" w:color="auto" w:fill="auto"/>
          <w:lang w:eastAsia="zh-CN"/>
        </w:rPr>
        <w:t>本项目采购预算为：</w:t>
      </w:r>
      <w:r>
        <w:rPr>
          <w:rFonts w:hint="eastAsia"/>
          <w:b/>
          <w:bCs/>
          <w:color w:val="auto"/>
          <w:highlight w:val="none"/>
          <w:shd w:val="clear" w:color="auto" w:fill="auto"/>
          <w:lang w:val="en-US" w:eastAsia="zh-CN"/>
        </w:rPr>
        <w:t>4460556.44</w:t>
      </w:r>
      <w:r>
        <w:rPr>
          <w:rFonts w:hint="eastAsia" w:ascii="宋体" w:hAnsi="宋体"/>
          <w:b/>
          <w:color w:val="auto"/>
          <w:highlight w:val="none"/>
          <w:shd w:val="clear" w:color="auto" w:fill="auto"/>
          <w:lang w:val="en-US" w:eastAsia="zh-CN"/>
        </w:rPr>
        <w:t>元。分标1：</w:t>
      </w:r>
      <w:r>
        <w:rPr>
          <w:rFonts w:hint="eastAsia" w:ascii="宋体" w:hAnsi="宋体"/>
          <w:b/>
          <w:color w:val="auto"/>
          <w:highlight w:val="none"/>
          <w:u w:val="single"/>
          <w:shd w:val="clear" w:color="auto" w:fill="auto"/>
          <w:lang w:val="en-US" w:eastAsia="zh-CN"/>
        </w:rPr>
        <w:t xml:space="preserve"> 3336290.44</w:t>
      </w:r>
      <w:r>
        <w:rPr>
          <w:rFonts w:hint="eastAsia" w:ascii="宋体" w:hAnsi="宋体"/>
          <w:b/>
          <w:color w:val="auto"/>
          <w:highlight w:val="none"/>
          <w:shd w:val="clear" w:color="auto" w:fill="auto"/>
          <w:lang w:val="en-US" w:eastAsia="zh-CN"/>
        </w:rPr>
        <w:t>元；分标2：</w:t>
      </w:r>
      <w:r>
        <w:rPr>
          <w:rFonts w:hint="eastAsia" w:ascii="宋体" w:hAnsi="宋体"/>
          <w:b/>
          <w:color w:val="auto"/>
          <w:highlight w:val="none"/>
          <w:u w:val="single"/>
          <w:shd w:val="clear" w:color="auto" w:fill="auto"/>
          <w:lang w:val="en-US" w:eastAsia="zh-CN"/>
        </w:rPr>
        <w:t>715266</w:t>
      </w:r>
      <w:r>
        <w:rPr>
          <w:rFonts w:hint="eastAsia" w:ascii="宋体" w:hAnsi="宋体"/>
          <w:b/>
          <w:bCs/>
          <w:color w:val="auto"/>
          <w:highlight w:val="none"/>
          <w:u w:val="single"/>
          <w:shd w:val="clear" w:color="auto" w:fill="auto"/>
          <w:lang w:val="en-US" w:eastAsia="zh-CN"/>
        </w:rPr>
        <w:t>.00</w:t>
      </w:r>
      <w:r>
        <w:rPr>
          <w:rFonts w:hint="eastAsia" w:ascii="宋体" w:hAnsi="宋体"/>
          <w:b/>
          <w:color w:val="auto"/>
          <w:highlight w:val="none"/>
          <w:shd w:val="clear" w:color="auto" w:fill="auto"/>
          <w:lang w:val="en-US" w:eastAsia="zh-CN"/>
        </w:rPr>
        <w:t>元；分标3：</w:t>
      </w:r>
      <w:r>
        <w:rPr>
          <w:rFonts w:hint="eastAsia" w:ascii="宋体" w:hAnsi="宋体"/>
          <w:b/>
          <w:color w:val="auto"/>
          <w:highlight w:val="none"/>
          <w:u w:val="single"/>
          <w:shd w:val="clear" w:color="auto" w:fill="auto"/>
          <w:lang w:val="en-US" w:eastAsia="zh-CN"/>
        </w:rPr>
        <w:t>409000.00</w:t>
      </w:r>
      <w:r>
        <w:rPr>
          <w:rFonts w:hint="eastAsia" w:ascii="宋体" w:hAnsi="宋体"/>
          <w:b/>
          <w:color w:val="auto"/>
          <w:highlight w:val="none"/>
          <w:shd w:val="clear" w:color="auto" w:fill="auto"/>
          <w:lang w:val="en-US" w:eastAsia="zh-CN"/>
        </w:rPr>
        <w:t>元。</w:t>
      </w:r>
    </w:p>
    <w:p>
      <w:pPr>
        <w:spacing w:line="360" w:lineRule="auto"/>
        <w:ind w:firstLine="413" w:firstLineChars="196"/>
        <w:rPr>
          <w:rFonts w:hint="eastAsia" w:ascii="宋体" w:hAnsi="Calibri" w:eastAsia="宋体"/>
          <w:b/>
          <w:strike/>
          <w:color w:val="auto"/>
          <w:highlight w:val="none"/>
          <w:shd w:val="clear" w:color="auto" w:fill="auto"/>
          <w:lang w:eastAsia="zh-CN"/>
        </w:rPr>
      </w:pPr>
      <w:r>
        <w:rPr>
          <w:rFonts w:hint="eastAsia" w:ascii="宋体" w:hAnsi="宋体"/>
          <w:b/>
          <w:color w:val="auto"/>
          <w:highlight w:val="none"/>
          <w:shd w:val="clear" w:color="auto" w:fill="auto"/>
          <w:lang w:val="en-US" w:eastAsia="zh-CN"/>
        </w:rPr>
        <w:t xml:space="preserve"> </w:t>
      </w:r>
      <w:r>
        <w:rPr>
          <w:rFonts w:hint="eastAsia" w:ascii="宋体" w:hAnsi="宋体"/>
          <w:b/>
          <w:color w:val="auto"/>
          <w:highlight w:val="none"/>
          <w:shd w:val="clear" w:color="auto" w:fill="auto"/>
        </w:rPr>
        <w:t>分标</w:t>
      </w:r>
      <w:r>
        <w:rPr>
          <w:rFonts w:ascii="宋体" w:hAnsi="宋体"/>
          <w:b/>
          <w:color w:val="auto"/>
          <w:highlight w:val="none"/>
          <w:shd w:val="clear" w:color="auto" w:fill="auto"/>
          <w:lang w:val="en"/>
        </w:rPr>
        <w:t>1</w:t>
      </w:r>
      <w:r>
        <w:rPr>
          <w:rFonts w:hint="eastAsia" w:ascii="宋体" w:hAnsi="宋体"/>
          <w:b/>
          <w:color w:val="auto"/>
          <w:highlight w:val="none"/>
          <w:shd w:val="clear" w:color="auto" w:fill="auto"/>
        </w:rPr>
        <w:t>：</w:t>
      </w:r>
    </w:p>
    <w:tbl>
      <w:tblPr>
        <w:tblStyle w:val="52"/>
        <w:tblW w:w="1010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4"/>
        <w:gridCol w:w="1110"/>
        <w:gridCol w:w="963"/>
        <w:gridCol w:w="725"/>
        <w:gridCol w:w="669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项号</w:t>
            </w:r>
          </w:p>
        </w:tc>
        <w:tc>
          <w:tcPr>
            <w:tcW w:w="1110"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hint="eastAsia"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货物名称</w:t>
            </w:r>
          </w:p>
        </w:tc>
        <w:tc>
          <w:tcPr>
            <w:tcW w:w="963"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hint="eastAsia"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数量</w:t>
            </w:r>
          </w:p>
        </w:tc>
        <w:tc>
          <w:tcPr>
            <w:tcW w:w="725"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hint="eastAsia" w:ascii="宋体" w:hAnsi="宋体" w:cs="宋体"/>
                <w:b/>
                <w:color w:val="auto"/>
                <w:szCs w:val="21"/>
                <w:highlight w:val="none"/>
                <w:shd w:val="clear" w:color="auto" w:fill="auto"/>
                <w:lang w:val="en"/>
              </w:rPr>
            </w:pPr>
            <w:r>
              <w:rPr>
                <w:rFonts w:hint="eastAsia" w:ascii="宋体" w:hAnsi="宋体" w:cs="宋体"/>
                <w:b/>
                <w:color w:val="auto"/>
                <w:szCs w:val="21"/>
                <w:highlight w:val="none"/>
                <w:shd w:val="clear" w:color="auto" w:fill="auto"/>
              </w:rPr>
              <w:t>单位</w:t>
            </w:r>
          </w:p>
        </w:tc>
        <w:tc>
          <w:tcPr>
            <w:tcW w:w="6697" w:type="dxa"/>
            <w:tcBorders>
              <w:top w:val="single" w:color="auto" w:sz="4" w:space="0"/>
              <w:left w:val="single" w:color="auto" w:sz="4" w:space="0"/>
              <w:bottom w:val="single" w:color="auto" w:sz="4" w:space="0"/>
            </w:tcBorders>
            <w:vAlign w:val="center"/>
          </w:tcPr>
          <w:p>
            <w:pPr>
              <w:widowControl/>
              <w:spacing w:line="264" w:lineRule="auto"/>
              <w:jc w:val="center"/>
              <w:rPr>
                <w:rFonts w:hint="eastAsia" w:ascii="宋体" w:hAnsi="宋体" w:cs="宋体"/>
                <w:b/>
                <w:color w:val="auto"/>
                <w:kern w:val="0"/>
                <w:szCs w:val="21"/>
                <w:highlight w:val="none"/>
                <w:shd w:val="clear" w:color="auto" w:fill="auto"/>
              </w:rPr>
            </w:pPr>
            <w:r>
              <w:rPr>
                <w:rFonts w:hint="eastAsia" w:ascii="宋体" w:hAnsi="宋体" w:cs="宋体"/>
                <w:b/>
                <w:color w:val="auto"/>
                <w:kern w:val="0"/>
                <w:szCs w:val="21"/>
                <w:highlight w:val="none"/>
                <w:shd w:val="clear" w:color="auto" w:fill="auto"/>
              </w:rPr>
              <w:t>主要技术参数及性能（配置）要求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说明台</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lang w:eastAsia="zh-CN"/>
              </w:rPr>
              <w:t>规格为：</w:t>
            </w:r>
            <w:r>
              <w:rPr>
                <w:rFonts w:hint="eastAsia" w:ascii="宋体" w:hAnsi="宋体" w:cs="宋体"/>
                <w:color w:val="auto"/>
                <w:sz w:val="21"/>
                <w:szCs w:val="21"/>
                <w:highlight w:val="none"/>
                <w:shd w:val="clear" w:color="auto" w:fill="auto"/>
              </w:rPr>
              <w:t>1500*700*950(mm)</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(1)骨架</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①骨架结构：采用50*50*2.0(mm)镀锌矩管焊接装配。</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②骨架选用优质镀锌管。(产品持久耐用、韧性强、可靠性好，拥有表面光泽，锌层均匀，无漏镀，附着力强，抗腐蚀能力强的特性。)</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③骨架经专业设备加工制作而成。</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(2)柜体</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 w:val="21"/>
                <w:szCs w:val="21"/>
                <w:highlight w:val="none"/>
                <w:shd w:val="clear" w:color="auto" w:fill="auto"/>
              </w:rPr>
              <w:t>1.5mm冷轧板，外表面静电喷塑处理，表面应平滑均匀，没有桔皮现象，无皱纹、流痕、鼓泡和裂纹。</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②柜体选用优质冷轧板，保障</w:t>
            </w:r>
            <w:r>
              <w:rPr>
                <w:rFonts w:hint="eastAsia" w:ascii="宋体" w:hAnsi="宋体" w:cs="宋体"/>
                <w:color w:val="auto"/>
                <w:sz w:val="21"/>
                <w:szCs w:val="21"/>
                <w:highlight w:val="none"/>
                <w:shd w:val="clear" w:color="auto" w:fill="auto"/>
                <w:lang w:val="en-US" w:eastAsia="zh-CN"/>
              </w:rPr>
              <w:t>说明台</w:t>
            </w:r>
            <w:r>
              <w:rPr>
                <w:rFonts w:hint="eastAsia" w:ascii="宋体" w:hAnsi="宋体" w:cs="宋体"/>
                <w:color w:val="auto"/>
                <w:sz w:val="21"/>
                <w:szCs w:val="21"/>
                <w:highlight w:val="none"/>
                <w:shd w:val="clear" w:color="auto" w:fill="auto"/>
              </w:rPr>
              <w:t>外观的美观度和安全性。</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 w:val="21"/>
                <w:szCs w:val="21"/>
                <w:highlight w:val="none"/>
                <w:shd w:val="clear" w:color="auto" w:fill="auto"/>
                <w:lang w:val="en-US" w:eastAsia="zh-CN"/>
              </w:rPr>
              <w:t>说明台</w:t>
            </w:r>
            <w:r>
              <w:rPr>
                <w:rFonts w:hint="eastAsia" w:ascii="宋体" w:hAnsi="宋体" w:cs="宋体"/>
                <w:color w:val="auto"/>
                <w:sz w:val="21"/>
                <w:szCs w:val="21"/>
                <w:highlight w:val="none"/>
                <w:shd w:val="clear" w:color="auto" w:fill="auto"/>
              </w:rPr>
              <w:t>重量分布的合理性，柜体表面都是经过严格的防腐、防锈、除油、铬化处理等工艺流程，确保材料表面的附着力。)</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(3)型材</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①</w:t>
            </w:r>
            <w:r>
              <w:rPr>
                <w:rFonts w:hint="eastAsia" w:ascii="宋体" w:hAnsi="宋体" w:cs="宋体"/>
                <w:color w:val="auto"/>
                <w:sz w:val="21"/>
                <w:szCs w:val="21"/>
                <w:highlight w:val="none"/>
                <w:shd w:val="clear" w:color="auto" w:fill="auto"/>
                <w:lang w:val="en-US" w:eastAsia="zh-CN"/>
              </w:rPr>
              <w:t>说明台</w:t>
            </w:r>
            <w:r>
              <w:rPr>
                <w:rFonts w:hint="eastAsia" w:ascii="宋体" w:hAnsi="宋体" w:cs="宋体"/>
                <w:color w:val="auto"/>
                <w:sz w:val="21"/>
                <w:szCs w:val="21"/>
                <w:highlight w:val="none"/>
                <w:shd w:val="clear" w:color="auto" w:fill="auto"/>
              </w:rPr>
              <w:t>主框架基座为钢结构。</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②连接件：采用定制铝材，型材与玻璃连接部分的结构需符合高性能</w:t>
            </w:r>
            <w:r>
              <w:rPr>
                <w:rFonts w:hint="eastAsia" w:ascii="宋体" w:hAnsi="宋体" w:cs="宋体"/>
                <w:color w:val="auto"/>
                <w:sz w:val="21"/>
                <w:szCs w:val="21"/>
                <w:highlight w:val="none"/>
                <w:shd w:val="clear" w:color="auto" w:fill="auto"/>
                <w:lang w:val="en-US" w:eastAsia="zh-CN"/>
              </w:rPr>
              <w:t>说明台</w:t>
            </w:r>
            <w:r>
              <w:rPr>
                <w:rFonts w:hint="eastAsia" w:ascii="宋体" w:hAnsi="宋体" w:cs="宋体"/>
                <w:color w:val="auto"/>
                <w:sz w:val="21"/>
                <w:szCs w:val="21"/>
                <w:highlight w:val="none"/>
                <w:shd w:val="clear" w:color="auto" w:fill="auto"/>
              </w:rPr>
              <w:t>的要求，使用高性能的铝 合金型材(性能不低于6063或6061等),时效状态需达到T5。抗拉强度&gt;160N/mm²,韦氏硬度&gt;8HW。</w:t>
            </w:r>
          </w:p>
          <w:p>
            <w:pPr>
              <w:pStyle w:val="51"/>
              <w:spacing w:line="264" w:lineRule="auto"/>
              <w:ind w:firstLine="0" w:firstLineChars="0"/>
              <w:jc w:val="lef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精品</w:t>
            </w:r>
          </w:p>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说明台</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8"/>
              <w:ind w:firstLine="0"/>
              <w:jc w:val="left"/>
              <w:rPr>
                <w:rFonts w:hint="eastAsia" w:ascii="宋体" w:hAnsi="宋体" w:eastAsia="宋体" w:cs="宋体"/>
                <w:color w:val="auto"/>
                <w:szCs w:val="21"/>
                <w:highlight w:val="none"/>
                <w:shd w:val="clear" w:color="auto" w:fill="auto"/>
                <w:lang w:eastAsia="zh-CN"/>
              </w:rPr>
            </w:pPr>
            <w:r>
              <w:rPr>
                <w:rFonts w:hint="eastAsia"/>
                <w:color w:val="auto"/>
                <w:highlight w:val="none"/>
                <w:shd w:val="clear" w:color="auto" w:fill="auto"/>
                <w:lang w:val="en-US" w:eastAsia="zh-CN"/>
              </w:rPr>
              <w:t>规格为：</w:t>
            </w:r>
            <w:r>
              <w:rPr>
                <w:rFonts w:hint="eastAsia" w:ascii="宋体" w:hAnsi="宋体" w:cs="宋体"/>
                <w:color w:val="auto"/>
                <w:szCs w:val="21"/>
                <w:highlight w:val="none"/>
                <w:shd w:val="clear" w:color="auto" w:fill="auto"/>
              </w:rPr>
              <w:t>1200*600*750</w:t>
            </w:r>
            <w:r>
              <w:rPr>
                <w:rFonts w:hint="eastAsia" w:ascii="宋体" w:hAnsi="宋体" w:cs="宋体"/>
                <w:color w:val="auto"/>
                <w:szCs w:val="21"/>
                <w:highlight w:val="none"/>
                <w:shd w:val="clear" w:color="auto" w:fill="auto"/>
                <w:lang w:eastAsia="zh-CN"/>
              </w:rPr>
              <w:t>（</w:t>
            </w:r>
            <w:r>
              <w:rPr>
                <w:rFonts w:hint="eastAsia" w:ascii="宋体" w:hAnsi="宋体" w:cs="宋体"/>
                <w:color w:val="auto"/>
                <w:sz w:val="21"/>
                <w:szCs w:val="21"/>
                <w:highlight w:val="none"/>
                <w:shd w:val="clear" w:color="auto" w:fill="auto"/>
              </w:rPr>
              <w:t>mm</w:t>
            </w:r>
            <w:r>
              <w:rPr>
                <w:rFonts w:hint="eastAsia" w:ascii="宋体" w:hAnsi="宋体" w:cs="宋体"/>
                <w:color w:val="auto"/>
                <w:szCs w:val="21"/>
                <w:highlight w:val="none"/>
                <w:shd w:val="clear" w:color="auto" w:fill="auto"/>
                <w:lang w:eastAsia="zh-CN"/>
              </w:rPr>
              <w:t>）</w:t>
            </w:r>
          </w:p>
          <w:p>
            <w:pPr>
              <w:pStyle w:val="8"/>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8"/>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8"/>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8"/>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8"/>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8"/>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8"/>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val="en-US" w:eastAsia="zh-CN"/>
              </w:rPr>
              <w:t>说明台</w:t>
            </w:r>
            <w:r>
              <w:rPr>
                <w:rFonts w:hint="eastAsia" w:ascii="宋体" w:hAnsi="宋体" w:cs="宋体"/>
                <w:color w:val="auto"/>
                <w:szCs w:val="21"/>
                <w:highlight w:val="none"/>
                <w:shd w:val="clear" w:color="auto" w:fill="auto"/>
              </w:rPr>
              <w:t>外观的美观度和安全性。</w:t>
            </w:r>
          </w:p>
          <w:p>
            <w:pPr>
              <w:pStyle w:val="8"/>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val="en-US" w:eastAsia="zh-CN"/>
              </w:rPr>
              <w:t>说明台</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8"/>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8"/>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说明台</w:t>
            </w:r>
            <w:r>
              <w:rPr>
                <w:rFonts w:hint="eastAsia" w:ascii="宋体" w:hAnsi="宋体" w:cs="宋体"/>
                <w:color w:val="auto"/>
                <w:szCs w:val="21"/>
                <w:highlight w:val="none"/>
                <w:shd w:val="clear" w:color="auto" w:fill="auto"/>
              </w:rPr>
              <w:t>主框架基座为钢结构。</w:t>
            </w:r>
          </w:p>
          <w:p>
            <w:pPr>
              <w:pStyle w:val="8"/>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val="en-US" w:eastAsia="zh-CN"/>
              </w:rPr>
              <w:t>说明台</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8"/>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挂柜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lang w:val="en-US" w:eastAsia="zh-CN"/>
              </w:rPr>
              <w:t>规格为：</w:t>
            </w:r>
            <w:r>
              <w:rPr>
                <w:rFonts w:hint="eastAsia" w:ascii="宋体" w:hAnsi="宋体" w:cs="宋体"/>
                <w:color w:val="auto"/>
                <w:kern w:val="0"/>
                <w:szCs w:val="21"/>
                <w:highlight w:val="none"/>
                <w:shd w:val="clear" w:color="auto" w:fill="auto"/>
              </w:rPr>
              <w:t>1500*550*450</w:t>
            </w:r>
            <w:r>
              <w:rPr>
                <w:rFonts w:hint="eastAsia" w:ascii="宋体" w:hAnsi="宋体" w:cs="宋体"/>
                <w:color w:val="auto"/>
                <w:szCs w:val="21"/>
                <w:highlight w:val="none"/>
                <w:shd w:val="clear" w:color="auto" w:fill="auto"/>
                <w:lang w:eastAsia="zh-CN"/>
              </w:rPr>
              <w:t>（</w:t>
            </w:r>
            <w:r>
              <w:rPr>
                <w:rFonts w:hint="eastAsia" w:ascii="宋体" w:hAnsi="宋体" w:cs="宋体"/>
                <w:color w:val="auto"/>
                <w:sz w:val="21"/>
                <w:szCs w:val="21"/>
                <w:highlight w:val="none"/>
                <w:shd w:val="clear" w:color="auto" w:fill="auto"/>
              </w:rPr>
              <w:t>mm</w:t>
            </w:r>
            <w:r>
              <w:rPr>
                <w:rFonts w:hint="eastAsia" w:ascii="宋体" w:hAnsi="宋体" w:cs="宋体"/>
                <w:color w:val="auto"/>
                <w:szCs w:val="21"/>
                <w:highlight w:val="none"/>
                <w:shd w:val="clear" w:color="auto" w:fill="auto"/>
                <w:lang w:eastAsia="zh-CN"/>
              </w:rPr>
              <w:t>）</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(1)骨架</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①骨架结构：采用50*50*2.0(mm)镀锌矩管焊接装配。</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②骨架选用优质镀锌管。(产品持久耐用、韧性强、可靠性好，拥有表面光泽，锌层均匀，无漏镀，附着力强，抗腐蚀能力强的特性。)</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③骨架经专业设备加工制作而成。</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(2)柜体</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1.5mm冷轧板，外表面静电喷塑处理，表面应平滑均匀，没有桔皮现象，无皱纹、流痕、鼓泡和裂纹。</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②柜体选用优质冷轧板，保障</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外观的美观度和安全性。</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重量分布的合理性，柜体表面都是经过严格的防腐、防锈、除油、铬化处理等工艺流程，确保材料表面的附着力。)</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(3)型材</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主框架基座为钢结构。</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②连接件：采用定制铝材，型材与玻璃连接部分的结构需符合高性能</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的要求，使用高性能的铝 合金型材(性能不低于6063或6061等),时效状态需达到T5。抗拉强度&gt;160N/mm²,韦氏硬度&gt;8HW。</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（4）玻璃：博物馆</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的主要组成部分，在展示、安全、文物保护，维护和安装等方面起到了重要作用。展陈玻璃：采用6+0.76+6夹胶防爆膜、防紫外线的低反射玻璃。</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①耐冲击性能：通过国家安全玻璃及石英玻璃质量监督检验中心落球冲击、霰弹冲击检测。</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②耐久性：通过国家安全玻璃及石英玻璃质量监督检验中心耐热、耐湿、耐辐照测试。</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③光学性能：6+0.76+6低反射夹层玻璃成品实测可见光透射比&gt;97%，实测可见光反射比≤1%，玻璃安全性能符合 GB15763.3-2009标准。</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(5)密封胶条</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①博物馆展陈文物要降低微环境 和小环境室内空气互换影响率，降低空气交换率对微环境里展陈文物带来的影响。</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②采用“O”型有机硅胶条。</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pPr>
              <w:pStyle w:val="8"/>
              <w:spacing w:line="264" w:lineRule="auto"/>
              <w:ind w:firstLine="0"/>
              <w:jc w:val="left"/>
              <w:rPr>
                <w:rFonts w:hint="default"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的纸质、绘画文物，必须选择防紫外线的灯具。</w:t>
            </w:r>
            <w:r>
              <w:rPr>
                <w:rFonts w:hint="default" w:ascii="宋体" w:hAnsi="宋体" w:cs="宋体"/>
                <w:color w:val="auto"/>
                <w:kern w:val="0"/>
                <w:szCs w:val="21"/>
                <w:highlight w:val="none"/>
                <w:shd w:val="clear" w:color="auto" w:fill="auto"/>
                <w:lang w:val="en"/>
              </w:rPr>
              <w:t>灯具参数如下：</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①拉动后部摇杆或者前灯头光束角10°至40°</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②铝合金材质，整灯轻巧，机械 角摆动可由灯具后部操纵，适合安装于密封性展柜</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③可实现0-10V调光，调光过程无频闪</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④功率：2.1W</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⑤开孔尺寸：φ35mm</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⑥柜内灯具采用国际知名品牌芯片，高光效，高显色性，光学级透镜，透光率高，光斑均匀。</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⑦角度：扫光</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（7）</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展柜内所使用的织物为100%  环保纯天然织物，展柜内纺织物符合GB/18401-2010标准要求，</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内甲醛&lt;1.0ug/m3;甲酸&lt;50ug/m3;乙酸&lt;50ug/m3;</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内污染气体限值满足GB/18580-2017标准要求。</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（8）开启方式：手动掀启，其开启方式保证柜内密封性能。</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柜门在关闭情况下，具有防尘、防虫、防烟，高度密闭性能。</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③</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空气交换率≤0.5d-¹,密封性满足高密封要求符合GB/T36110-2018&lt;文物展柜密封性能及检测》的展柜密封性检测报告。</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①水平调节支撑脚。</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②采用60*150水平支撑脚：当地面不是完全水平时候，可微调水平值，以达到</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整体水平平整度，基座承载能力≥150kg/m2。</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（9）锁具：安全性能</w:t>
            </w:r>
          </w:p>
          <w:p>
            <w:pPr>
              <w:pStyle w:val="8"/>
              <w:spacing w:line="264" w:lineRule="auto"/>
              <w:ind w:firstLine="0"/>
              <w:jc w:val="left"/>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具备良好的安全性、结构稳固、安全。</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具有良好的防盗、防破坏能力。</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使用博物馆专用保安性能锁具，锁体及钥匙材料为超硬度的耐磨、防锈材料。</w:t>
            </w:r>
            <w:r>
              <w:rPr>
                <w:rFonts w:hint="eastAsia" w:ascii="宋体" w:hAnsi="宋体" w:cs="宋体"/>
                <w:color w:val="auto"/>
                <w:kern w:val="0"/>
                <w:szCs w:val="21"/>
                <w:highlight w:val="none"/>
                <w:shd w:val="clear" w:color="auto" w:fill="auto"/>
                <w:lang w:val="en-US" w:eastAsia="zh-CN"/>
              </w:rPr>
              <w:t>挂柜</w:t>
            </w:r>
            <w:r>
              <w:rPr>
                <w:rFonts w:hint="eastAsia" w:ascii="宋体" w:hAnsi="宋体" w:cs="宋体"/>
                <w:color w:val="auto"/>
                <w:kern w:val="0"/>
                <w:szCs w:val="21"/>
                <w:highlight w:val="none"/>
                <w:shd w:val="clear" w:color="auto" w:fill="auto"/>
              </w:rPr>
              <w:t>使用的材料不含任何酸性物质，无挥发有害气体。保密度：互开率%≤1.379；锁舌伸出长度mm≥6；钥匙不同牙花数种≥150；符合QB/T 1621-2015标准。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组合柜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4000*500*1000(mm)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val="en-US" w:eastAsia="zh-CN"/>
              </w:rPr>
              <w:t>组合柜</w:t>
            </w:r>
            <w:r>
              <w:rPr>
                <w:rFonts w:hint="eastAsia" w:ascii="宋体" w:hAnsi="宋体" w:cs="宋体"/>
                <w:color w:val="auto"/>
                <w:szCs w:val="21"/>
                <w:highlight w:val="none"/>
                <w:shd w:val="clear" w:color="auto" w:fill="auto"/>
              </w:rPr>
              <w:t>外观的美观度和安全性。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val="en-US" w:eastAsia="zh-CN"/>
              </w:rPr>
              <w:t>组合柜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组合柜</w:t>
            </w:r>
            <w:r>
              <w:rPr>
                <w:rFonts w:hint="eastAsia" w:ascii="宋体" w:hAnsi="宋体" w:cs="宋体"/>
                <w:color w:val="auto"/>
                <w:szCs w:val="21"/>
                <w:highlight w:val="none"/>
                <w:shd w:val="clear" w:color="auto" w:fill="auto"/>
              </w:rPr>
              <w:t>主框架基座为钢结构。</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val="en-US" w:eastAsia="zh-CN"/>
              </w:rPr>
              <w:t>组合柜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沿墙</w:t>
            </w:r>
          </w:p>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通柜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3300*800*3200(mm)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骨架结构：采用50*50*2.0(mm)镀锌矩管焊接装配。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骨架选用优质镀锌管。(产品持久耐用、韧性强、可靠性好，拥有表面光泽，锌层均匀，无漏镀，附着力强，抗腐蚀能力强的特性。)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骨架经专业设备加工制作而成。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柜体选用优质冷轧板，保障</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外观的美观度和安全性。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通柜</w:t>
            </w:r>
            <w:r>
              <w:rPr>
                <w:rFonts w:hint="eastAsia" w:ascii="宋体" w:hAnsi="宋体" w:cs="宋体"/>
                <w:color w:val="auto"/>
                <w:szCs w:val="21"/>
                <w:highlight w:val="none"/>
                <w:shd w:val="clear" w:color="auto" w:fill="auto"/>
              </w:rPr>
              <w:t>主框架基座为钢结构。</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连接件：采用定制铝材，型材与玻璃连接部分的结构需符合高性能</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的要求，使用高性能的铝合金型材(性能不低于6063或6061等),时效状态需达到T5。抗拉强度&gt;160N/mm²,韦氏硬度&gt;8HW。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耐冲击性能：通过国家安全玻璃及石英玻璃质量监督检验中心落球冲击、霰弹冲击检测。</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耐久性：通过国家安全玻璃及石英玻璃质量监督检验中心耐热、耐湿、耐辐照测试。</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光学性能：6+0.76+6低反射夹层玻璃成品实测可见光透射比&gt;97%，实测可见光反射比≤1%，玻璃安全性能符合 GB15763.3-2009标准。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博物馆展陈文物要降低微环境和小环境室内空气互换影响率，降低空气交换率对微环境里展陈文物带来的影响。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采用“O”型有机硅胶条。</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pPr>
              <w:pStyle w:val="8"/>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②铝合金材质，整灯轻巧，机械 角摆动可由灯具后部操纵，适合安装于密封性展柜</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内污染气体限值满足GB/18580-2017标准要求。</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通柜</w:t>
            </w:r>
            <w:r>
              <w:rPr>
                <w:rFonts w:hint="eastAsia" w:ascii="宋体" w:hAnsi="宋体" w:cs="宋体"/>
                <w:color w:val="auto"/>
                <w:szCs w:val="21"/>
                <w:highlight w:val="none"/>
                <w:shd w:val="clear" w:color="auto" w:fill="auto"/>
              </w:rPr>
              <w:t>柜门在关闭情况下，具有防尘、防虫、防烟，高度密闭性能。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通柜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val="en-US" w:eastAsia="zh-CN"/>
              </w:rPr>
              <w:t xml:space="preserve"> 通柜</w:t>
            </w:r>
            <w:r>
              <w:rPr>
                <w:rFonts w:hint="eastAsia" w:ascii="宋体" w:hAnsi="宋体" w:cs="宋体"/>
                <w:color w:val="auto"/>
                <w:szCs w:val="21"/>
                <w:highlight w:val="none"/>
                <w:shd w:val="clear" w:color="auto" w:fill="auto"/>
              </w:rPr>
              <w:t>空气交换率≤0.5d-¹,密封性满足高密封要求符合GB/T36110-2018&lt;文物展柜密封性能及检测》的展柜密封性检测报告。</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水平调节支撑脚。</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采用60*150水平支撑脚：当地面不是完全水平时候，可微调水平值，以达到</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整体水平平整度，基座承载能力≥150kg/m2。</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沿墙</w:t>
            </w:r>
          </w:p>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通柜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8900*700*3200(mm)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骨架结构：采用50*50*2.0(mm)镀锌矩管焊接装配。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骨架选用优质镀锌管。(产品持久耐用、韧性强、可靠性好，拥有表面光泽，锌层均匀，无漏镀，附着力强，抗腐蚀能力强的特性。)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骨架经专业设备加工制作而成。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柜体选用优质冷轧板，保障</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外观的美观度和安全性。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 xml:space="preserve"> 通柜</w:t>
            </w:r>
            <w:r>
              <w:rPr>
                <w:rFonts w:hint="eastAsia" w:ascii="宋体" w:hAnsi="宋体" w:cs="宋体"/>
                <w:color w:val="auto"/>
                <w:szCs w:val="21"/>
                <w:highlight w:val="none"/>
                <w:shd w:val="clear" w:color="auto" w:fill="auto"/>
              </w:rPr>
              <w:t>主框架基座为钢结构。</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 xml:space="preserve"> </w:t>
            </w:r>
            <w:r>
              <w:rPr>
                <w:rFonts w:hint="eastAsia" w:ascii="宋体" w:hAnsi="宋体" w:cs="宋体"/>
                <w:color w:val="auto"/>
                <w:szCs w:val="21"/>
                <w:highlight w:val="none"/>
                <w:shd w:val="clear" w:color="auto" w:fill="auto"/>
              </w:rPr>
              <w:t>连接件：采用定制铝材，型材与玻璃连接部分的结构需符合高性能</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pPr>
              <w:pStyle w:val="8"/>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②铝合金材质，整灯轻巧，机械 角摆动可由灯具后部操纵，适合安装于密封性展柜</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内污染气体限值满足GB/18580-2017标准要求。</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柜门在关闭情况下，具有防尘、防虫、防烟，高度密闭性能。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空气交换率≤0.5d-¹,密封性满足高密封要求符合GB/T36110-2018&lt;文物展柜密封性能及检测》的展柜密封性检测报告。</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整体水平平整度，基座承载能力≥150kg/m2。</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沿墙</w:t>
            </w:r>
          </w:p>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通柜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4400*700*3200(mm)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外观的美观度和安全性。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主框架基座为钢结构。</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pPr>
              <w:pStyle w:val="8"/>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通柜</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内污染气体限值满足GB/18580-2017标准要求。</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柜门在关闭情况下，具有防尘、防虫、防烟，高度密闭性能。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空气交换率≤0.5d-¹,密封性满足高密封要求符合GB/T36110-2018&lt;文物展柜密封性能及检测》的</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密封性检测报告。</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整体水平平整度，基座承载能力≥150kg/m2。</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沿墙</w:t>
            </w:r>
          </w:p>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通柜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3300*800*3200(mm)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外观的美观度和安全性。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主框架基座为钢结构。</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pPr>
              <w:pStyle w:val="8"/>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①拉动后部摇杆或者前灯头光束角10°至40°</w:t>
            </w:r>
            <w:r>
              <w:rPr>
                <w:rFonts w:hint="eastAsia" w:ascii="宋体" w:hAnsi="宋体" w:cs="宋体"/>
                <w:color w:val="auto"/>
                <w:szCs w:val="21"/>
                <w:highlight w:val="none"/>
                <w:shd w:val="clear" w:color="auto" w:fill="auto"/>
                <w:lang w:eastAsia="zh-CN"/>
              </w:rPr>
              <w:t>。</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通柜。</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③可实现0-10V调光，调光过程无频闪</w:t>
            </w:r>
            <w:r>
              <w:rPr>
                <w:rFonts w:hint="eastAsia" w:ascii="宋体" w:hAnsi="宋体" w:cs="宋体"/>
                <w:color w:val="auto"/>
                <w:szCs w:val="21"/>
                <w:highlight w:val="none"/>
                <w:shd w:val="clear" w:color="auto" w:fill="auto"/>
                <w:lang w:eastAsia="zh-CN"/>
              </w:rPr>
              <w:t>。</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④功率：2.1W</w:t>
            </w:r>
            <w:r>
              <w:rPr>
                <w:rFonts w:hint="eastAsia" w:ascii="宋体" w:hAnsi="宋体" w:cs="宋体"/>
                <w:color w:val="auto"/>
                <w:szCs w:val="21"/>
                <w:highlight w:val="none"/>
                <w:shd w:val="clear" w:color="auto" w:fill="auto"/>
                <w:lang w:eastAsia="zh-CN"/>
              </w:rPr>
              <w:t>。</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⑤开孔尺寸：φ35mm</w:t>
            </w:r>
            <w:r>
              <w:rPr>
                <w:rFonts w:hint="eastAsia" w:ascii="宋体" w:hAnsi="宋体" w:cs="宋体"/>
                <w:color w:val="auto"/>
                <w:szCs w:val="21"/>
                <w:highlight w:val="none"/>
                <w:shd w:val="clear" w:color="auto" w:fill="auto"/>
                <w:lang w:eastAsia="zh-CN"/>
              </w:rPr>
              <w:t>。</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⑦角度：扫光</w:t>
            </w:r>
            <w:r>
              <w:rPr>
                <w:rFonts w:hint="eastAsia" w:ascii="宋体" w:hAnsi="宋体" w:cs="宋体"/>
                <w:color w:val="auto"/>
                <w:szCs w:val="21"/>
                <w:highlight w:val="none"/>
                <w:shd w:val="clear" w:color="auto" w:fill="auto"/>
                <w:lang w:eastAsia="zh-CN"/>
              </w:rPr>
              <w:t>。</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内污染气体限值满足GB/18580-2017标准要求。</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柜门在关闭情况下，具有防尘、防虫、防烟，高度密闭性能。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空气交换率≤0.5d-¹,密封性满足高密封要求符合GB/T36110-2018&lt;文物</w:t>
            </w:r>
            <w:r>
              <w:rPr>
                <w:rFonts w:hint="eastAsia" w:ascii="宋体" w:hAnsi="宋体" w:cs="宋体"/>
                <w:color w:val="auto"/>
                <w:szCs w:val="21"/>
                <w:highlight w:val="none"/>
                <w:shd w:val="clear" w:color="auto" w:fill="auto"/>
                <w:lang w:val="en-US" w:eastAsia="zh-CN"/>
              </w:rPr>
              <w:t>展柜</w:t>
            </w:r>
            <w:r>
              <w:rPr>
                <w:rFonts w:hint="eastAsia" w:ascii="宋体" w:hAnsi="宋体" w:cs="宋体"/>
                <w:color w:val="auto"/>
                <w:szCs w:val="21"/>
                <w:highlight w:val="none"/>
                <w:shd w:val="clear" w:color="auto" w:fill="auto"/>
              </w:rPr>
              <w:t>密封性能及检测》的</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密封性检测报告。</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④水平调节支撑脚。</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⑤采用60*150水平支撑脚：当地面不是完全水平时候，可微调水平值，以达到</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整体水平平整度，基座承载能力≥150kg/m2。</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展台</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4000*400*750(mm)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val="en-US" w:eastAsia="zh-CN"/>
              </w:rPr>
              <w:t>展台</w:t>
            </w:r>
            <w:r>
              <w:rPr>
                <w:rFonts w:hint="eastAsia" w:ascii="宋体" w:hAnsi="宋体" w:cs="宋体"/>
                <w:color w:val="auto"/>
                <w:szCs w:val="21"/>
                <w:highlight w:val="none"/>
                <w:shd w:val="clear" w:color="auto" w:fill="auto"/>
              </w:rPr>
              <w:t>外观的美观度和安全性。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val="en-US" w:eastAsia="zh-CN"/>
              </w:rPr>
              <w:t>展台</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val="en-US" w:eastAsia="zh-CN"/>
              </w:rPr>
              <w:t>展台</w:t>
            </w:r>
            <w:r>
              <w:rPr>
                <w:rFonts w:hint="eastAsia" w:ascii="宋体" w:hAnsi="宋体" w:cs="宋体"/>
                <w:color w:val="auto"/>
                <w:szCs w:val="21"/>
                <w:highlight w:val="none"/>
                <w:shd w:val="clear" w:color="auto" w:fill="auto"/>
              </w:rPr>
              <w:t>主框架基座为钢结构。</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val="en-US" w:eastAsia="zh-CN"/>
              </w:rPr>
              <w:t>展台</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挂柜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2800*450*500(mm)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外观的美观度和安全性。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主框架基座为钢结构。</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pPr>
              <w:pStyle w:val="8"/>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挂柜</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内污染气体限值满足GB/18580-2017标准要求。</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柜门在关闭情况下，具有防尘、防虫、防烟，高度密闭性能。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空气交换率≤0.5d-¹,密封性满足高密封要求符合GB/T36110-2018&lt;文物</w:t>
            </w:r>
            <w:r>
              <w:rPr>
                <w:rFonts w:hint="eastAsia" w:ascii="宋体" w:hAnsi="宋体" w:cs="宋体"/>
                <w:color w:val="auto"/>
                <w:szCs w:val="21"/>
                <w:highlight w:val="none"/>
                <w:shd w:val="clear" w:color="auto" w:fill="auto"/>
                <w:lang w:val="en-US" w:eastAsia="zh-CN"/>
              </w:rPr>
              <w:t>展柜</w:t>
            </w:r>
            <w:r>
              <w:rPr>
                <w:rFonts w:hint="eastAsia" w:ascii="宋体" w:hAnsi="宋体" w:cs="宋体"/>
                <w:color w:val="auto"/>
                <w:szCs w:val="21"/>
                <w:highlight w:val="none"/>
                <w:shd w:val="clear" w:color="auto" w:fill="auto"/>
              </w:rPr>
              <w:t>密封性能及检测》的</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密封性检测报告。</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整体水平平整度，基座承载能力≥150kg/m2。</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平柜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2000*550*900(mm)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平柜</w:t>
            </w:r>
            <w:r>
              <w:rPr>
                <w:rFonts w:hint="eastAsia" w:ascii="宋体" w:hAnsi="宋体" w:cs="宋体"/>
                <w:color w:val="auto"/>
                <w:szCs w:val="21"/>
                <w:highlight w:val="none"/>
                <w:shd w:val="clear" w:color="auto" w:fill="auto"/>
              </w:rPr>
              <w:t>外观的美观度和安全性。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平柜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平柜</w:t>
            </w:r>
            <w:r>
              <w:rPr>
                <w:rFonts w:hint="eastAsia" w:ascii="宋体" w:hAnsi="宋体" w:cs="宋体"/>
                <w:color w:val="auto"/>
                <w:szCs w:val="21"/>
                <w:highlight w:val="none"/>
                <w:shd w:val="clear" w:color="auto" w:fill="auto"/>
              </w:rPr>
              <w:t>主框架基座为钢结构。</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平柜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独立高柜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2400*550*2600(mm)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高柜</w:t>
            </w:r>
            <w:r>
              <w:rPr>
                <w:rFonts w:hint="eastAsia" w:ascii="宋体" w:hAnsi="宋体" w:cs="宋体"/>
                <w:color w:val="auto"/>
                <w:szCs w:val="21"/>
                <w:highlight w:val="none"/>
                <w:shd w:val="clear" w:color="auto" w:fill="auto"/>
              </w:rPr>
              <w:t>外观的美观度和安全性。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高柜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高柜</w:t>
            </w:r>
            <w:r>
              <w:rPr>
                <w:rFonts w:hint="eastAsia" w:ascii="宋体" w:hAnsi="宋体" w:cs="宋体"/>
                <w:color w:val="auto"/>
                <w:szCs w:val="21"/>
                <w:highlight w:val="none"/>
                <w:shd w:val="clear" w:color="auto" w:fill="auto"/>
              </w:rPr>
              <w:t>主框架基座为钢结构。</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高柜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说明台</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2400*500*700(mm)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说明台</w:t>
            </w:r>
            <w:r>
              <w:rPr>
                <w:rFonts w:hint="eastAsia" w:ascii="宋体" w:hAnsi="宋体" w:cs="宋体"/>
                <w:color w:val="auto"/>
                <w:szCs w:val="21"/>
                <w:highlight w:val="none"/>
                <w:shd w:val="clear" w:color="auto" w:fill="auto"/>
              </w:rPr>
              <w:t>外观的美观度和安全性。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说明台</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说明台</w:t>
            </w:r>
            <w:r>
              <w:rPr>
                <w:rFonts w:hint="eastAsia" w:ascii="宋体" w:hAnsi="宋体" w:cs="宋体"/>
                <w:color w:val="auto"/>
                <w:szCs w:val="21"/>
                <w:highlight w:val="none"/>
                <w:shd w:val="clear" w:color="auto" w:fill="auto"/>
              </w:rPr>
              <w:t>主框架基座为钢结构。</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说明台</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挂柜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2800*450*500(mm)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外观的美观度和安全性。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主框架基座为钢结构。</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pPr>
              <w:pStyle w:val="8"/>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挂柜</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内污染气体限值满足GB/18580-2017标准要求。</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柜门在关闭情况下，具有防尘、防虫、防烟，高度密闭性能。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空气交换率≤0.5d-¹,密封性满足高密封要求符合GB/T36110-2018&lt;文物展柜密封性能及检测》的</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密封性检测报告。</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整体水平平整度，基座承载能力≥150kg/m2。</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展台</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4000*400*750(mm)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外观的美观度和安全性。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主框架基座为钢结构。</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沿墙通柜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3300*800*3200(mm)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外观的美观度和安全性。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主框架基座为钢结构。</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pPr>
              <w:pStyle w:val="8"/>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通柜</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内污染气体限值满足GB/18580-2017标准要求。</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柜门在关闭情况下，具有防尘、防虫、防烟，高度密闭性能。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空气交换率≤0.5d-¹,密封性满足高密封要求符合GB/T36110-2018&lt;文物展柜密封性能及检测》的</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密封性检测报告。</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整体水平平整度，基座承载能力≥150kg/m2。</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沿墙通柜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8900*700*3200(mm)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外观的美观度和安全性。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主框架基座为钢结构。</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pPr>
              <w:pStyle w:val="8"/>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通柜</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内污染气体限值满足GB/18580-2017标准要求。</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柜门在关闭情况下，具有防尘、防虫、防烟，高度密闭性能。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空气交换率≤0.5d-¹,密封性满足高密封要求符合GB/T36110-2018&lt;文物展柜密封性能及检测》的</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密封性检测报告。</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整体水平平整度，基座承载能力≥150kg/m2。</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val="en-US" w:eastAsia="zh-CN"/>
              </w:rPr>
              <w:t>通柜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沿墙通柜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4400*700*3200(mm)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外观的美观度和安全性。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主框架基座为钢结构。</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pPr>
              <w:pStyle w:val="8"/>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通柜</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内污染气体限值满足GB/18580-2017标准要求。</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柜门在关闭情况下，具有防尘、防虫、防烟，高度密闭性能。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空气交换率≤0.5d-¹,密封性满足高密封要求符合GB/T36110-2018&lt;文物展柜密封性能及检测》的</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密封性检测报告。</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整体水平平整度，基座承载能力≥150kg/m2。</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具有良好的防盗、防破坏能力。</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使用博物馆专用保安性能锁具，锁体及钥匙材料为超硬度的耐磨、防锈材料。</w:t>
            </w:r>
            <w:r>
              <w:rPr>
                <w:rFonts w:hint="eastAsia" w:ascii="宋体" w:hAnsi="宋体" w:cs="宋体"/>
                <w:color w:val="auto"/>
                <w:szCs w:val="21"/>
                <w:highlight w:val="none"/>
                <w:shd w:val="clear" w:color="auto" w:fill="auto"/>
                <w:lang w:eastAsia="zh-CN"/>
              </w:rPr>
              <w:t>通柜</w:t>
            </w:r>
            <w:r>
              <w:rPr>
                <w:rFonts w:hint="eastAsia" w:ascii="宋体" w:hAnsi="宋体" w:cs="宋体"/>
                <w:color w:val="auto"/>
                <w:szCs w:val="21"/>
                <w:highlight w:val="none"/>
                <w:shd w:val="clear" w:color="auto" w:fill="auto"/>
              </w:rPr>
              <w:t>使用的材料不含任何酸性物质，无挥发有害气体。保密度：互开率%≤1.379；锁舌伸出长度mm≥6；钥匙不同牙花数种≥150；符合QB/T 1621-2015标准。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组合柜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4000*500*1000(mm)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组合柜</w:t>
            </w:r>
            <w:r>
              <w:rPr>
                <w:rFonts w:hint="eastAsia" w:ascii="宋体" w:hAnsi="宋体" w:cs="宋体"/>
                <w:color w:val="auto"/>
                <w:szCs w:val="21"/>
                <w:highlight w:val="none"/>
                <w:shd w:val="clear" w:color="auto" w:fill="auto"/>
              </w:rPr>
              <w:t>外观的美观度和安全性。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组合柜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组合柜</w:t>
            </w:r>
            <w:r>
              <w:rPr>
                <w:rFonts w:hint="eastAsia" w:ascii="宋体" w:hAnsi="宋体" w:cs="宋体"/>
                <w:color w:val="auto"/>
                <w:szCs w:val="21"/>
                <w:highlight w:val="none"/>
                <w:shd w:val="clear" w:color="auto" w:fill="auto"/>
              </w:rPr>
              <w:t>主框架基座为钢结构。</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组合柜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59"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展台</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4000*600*700(mm)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外观的美观度和安全性。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主框架基座为钢结构。</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展台</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柜体烤粉：说明牌外表面静电喷塑处理，表面应平滑均匀，没有桔皮现象，无皱纹、流痕、鼓泡和裂纹。遮盖率&gt;0.9；涂膜外观正常；适用期(5h)；重涂无障碍；耐溶剂擦拭性次大于100；铅笔硬度大于F；耐冲击性cm&gt;40；附着力,级&lt;1；耐弯曲性&lt;3。质量标准符合国家建筑材料测试中心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挂柜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件</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规格为：</w:t>
            </w:r>
            <w:r>
              <w:rPr>
                <w:rFonts w:hint="eastAsia" w:ascii="宋体" w:hAnsi="宋体" w:cs="宋体"/>
                <w:color w:val="auto"/>
                <w:szCs w:val="21"/>
                <w:highlight w:val="none"/>
                <w:shd w:val="clear" w:color="auto" w:fill="auto"/>
              </w:rPr>
              <w:t>2800*450*550(mm)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(1)骨架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①骨架结构：采用50*50*2.0(mm)镀锌矩管焊接装配。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②骨架选用优质镀锌管。(产品持久耐用、韧性强、可靠性好，拥有表面光泽，锌层均匀，无漏镀，附着力强，抗腐蚀能力强的特性。)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③骨架经专业设备加工制作而成。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(2)柜体</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①柜体材质：采用</w:t>
            </w:r>
            <w:r>
              <w:rPr>
                <w:rFonts w:hint="eastAsia" w:ascii="宋体" w:hAnsi="宋体" w:cs="宋体"/>
                <w:color w:val="auto"/>
                <w:sz w:val="21"/>
                <w:szCs w:val="21"/>
                <w:highlight w:val="none"/>
                <w:shd w:val="clear" w:color="auto" w:fill="auto"/>
                <w:lang w:val="en-US" w:eastAsia="zh-CN"/>
              </w:rPr>
              <w:t>≥</w:t>
            </w:r>
            <w:r>
              <w:rPr>
                <w:rFonts w:hint="eastAsia" w:ascii="宋体" w:hAnsi="宋体" w:cs="宋体"/>
                <w:color w:val="auto"/>
                <w:szCs w:val="21"/>
                <w:highlight w:val="none"/>
                <w:shd w:val="clear" w:color="auto" w:fill="auto"/>
              </w:rPr>
              <w:t>1.5mm冷轧板，外表面静电喷塑处理，表面应平滑均匀，没有桔皮现象，无皱纹、流痕、鼓泡和裂纹。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②柜体选用优质冷轧板，保障</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外观的美观度和安全性。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③柜体经过专业设备加工制作而成。(运用数控剪、刨、折、铣等工艺成形，保证尺寸精度设计要求，确保</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重量分布的合理性，柜体表面都是经过严格的防腐、防锈、除油、铬化处理等工艺流程，确保材料表面的附着力。)</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(3)型材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主框架基座为钢结构。</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②连接件：采用定制铝材，型材与玻璃连接部分的结构需符合高性能</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的要求，使用高性能的铝 合金型材(性能不低于6063或6061等),时效状态需达到T5。抗拉强度&gt;160N/mm²,韦氏硬度&gt;8HW。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（4）玻璃：博物馆</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专用玻璃是以玻璃原片为主材，根据文物展示的需要，对原片玻璃进行加工制作而成，是博物馆</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的主要组成部分，在展示、安全、文物保护，维护和安装等方面起到了重要作用。展陈玻璃：采用6+0.76+6夹胶防爆膜、防紫外线的低反射玻璃。</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①耐冲击性能：通过国家安全玻璃及石英玻璃质量监督检验中心落球冲击、霰弹冲击检测。</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②耐久性：通过国家安全玻璃及石英玻璃质量监督检验中心耐热、耐湿、耐辐照测试。</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③光学性能：6+0.76+6低反射夹层玻璃成品实测可见光透射比&gt;97%，实测可见光反射比≤1%，玻璃安全性能符合 GB15763.3-2009标准。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(5)密封胶条</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①博物馆展陈文物要降低微环境 和小环境室内空气互换影响率，降低空气交换率对微环境里展陈文物带来的影响。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②采用“O”型有机硅胶条。</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密封条表面要求光滑，无明显的机械杂质，性能稳定，无异味，无毛刺；拉伸强度≥7.0Mpa，断裂伸长率≥300%，撕裂强度≥15KN/M，永久变形率≤8%；密封条密封性能应符合GB/T36110-2018标准。</w:t>
            </w:r>
          </w:p>
          <w:p>
            <w:pPr>
              <w:pStyle w:val="8"/>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（6）灯具照明：博物馆专业安全的展陈照明，除了视觉舒适度和环境氛围外，还应该具备合适的可调光照角度、焦距，确保文物完美真实呈现给大众面前。有些文物质地对灯光要求很高 的纸质、绘画文物，</w:t>
            </w:r>
            <w:r>
              <w:rPr>
                <w:rFonts w:hint="default" w:ascii="宋体" w:hAnsi="宋体" w:cs="宋体"/>
                <w:color w:val="auto"/>
                <w:szCs w:val="21"/>
                <w:highlight w:val="none"/>
                <w:shd w:val="clear" w:color="auto" w:fill="auto"/>
                <w:lang w:val="en"/>
              </w:rPr>
              <w:t>必须选择防紫外线的灯具。灯具参数如下：</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①拉动后部摇杆或者前灯头光束角10°至40°</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②铝合金材质，整灯轻巧，机械 角摆动可由灯具后部操纵，适合安装于密封性</w:t>
            </w:r>
            <w:r>
              <w:rPr>
                <w:rFonts w:hint="eastAsia" w:ascii="宋体" w:hAnsi="宋体" w:cs="宋体"/>
                <w:color w:val="auto"/>
                <w:szCs w:val="21"/>
                <w:highlight w:val="none"/>
                <w:shd w:val="clear" w:color="auto" w:fill="auto"/>
                <w:lang w:eastAsia="zh-CN"/>
              </w:rPr>
              <w:t>挂柜</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③可实现0-10V调光，调光过程无频闪</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④功率：2.1W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⑤开孔尺寸：φ35mm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⑥柜内灯具采用国际知名品牌芯片，高光效，高显色性，光学级透镜，透光率高，光斑均匀。</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⑦角度：扫光</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背板麻布织物：采用生态板，具有良好的阻燃性。(环保材料，不含甲醛等有害物质，具有防潮、防虫、防霉特性，符合绿色环保标准。背板与托台外包材料采用环保棉布，具有阻燃性能，而且易于维护。</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内所使用的织物为100%  环保纯天然织物，</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内纺织物符合GB/18401-2010标准要求，</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内甲醛&lt;1.0ug/m3;甲酸&lt;50ug/m3;乙酸&lt;50ug/m3;</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内污染气体限值满足GB/18580-2017标准要求。</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（8）开启方式：手动掀启，其开启方式保证柜内密封性能。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柜门在关闭情况下，具有防尘、防虫、防烟，高度密闭性能。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不同材质收口连接处选用专业密封胶条、隔垫等做好密封处理，且密封材料达到国家相关环保标准，不含任何酸性物质，符合文物保护环境要求，密封性能满足 GB/T36110-2018标准。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③</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空气交换率≤0.5d-¹,密封性满足高密封要求符合GB/T36110-2018&lt;文物展柜密封性能及检测》的</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密封性检测报告。</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①水平调节支撑脚。</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②采用60*150水平支撑脚：当地面不是完全水平时候，可微调水平值，以达到</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整体水平平整度，基座承载能力≥150kg/m2。</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（9）锁具：安全性能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具备良好的安全性、结构稳固、安全。</w:t>
            </w:r>
            <w:r>
              <w:rPr>
                <w:rFonts w:hint="eastAsia" w:ascii="宋体" w:hAnsi="宋体" w:cs="宋体"/>
                <w:color w:val="auto"/>
                <w:szCs w:val="21"/>
                <w:highlight w:val="none"/>
                <w:shd w:val="clear" w:color="auto" w:fill="auto"/>
                <w:lang w:eastAsia="zh-CN"/>
              </w:rPr>
              <w:t>挂柜</w:t>
            </w:r>
            <w:r>
              <w:rPr>
                <w:rFonts w:hint="eastAsia" w:ascii="宋体" w:hAnsi="宋体" w:cs="宋体"/>
                <w:color w:val="auto"/>
                <w:szCs w:val="21"/>
                <w:highlight w:val="none"/>
                <w:shd w:val="clear" w:color="auto" w:fill="auto"/>
              </w:rPr>
              <w:t>具有良好的防盗、防破坏能力。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藏画柜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157.5</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w:t>
            </w:r>
            <w:r>
              <w:rPr>
                <w:rFonts w:hint="eastAsia" w:ascii="宋体" w:hAnsi="宋体" w:cs="宋体"/>
                <w:color w:val="auto"/>
                <w:szCs w:val="21"/>
                <w:highlight w:val="none"/>
                <w:shd w:val="clear" w:color="auto" w:fill="auto"/>
              </w:rPr>
              <w:t>长14*高3.0*深0.8</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m</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，1个；</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长12*高3.0*深0.8</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m</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，3个；</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长2.5*高3.0*深0.8</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m</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，1个。</w:t>
            </w:r>
          </w:p>
          <w:p>
            <w:pPr>
              <w:pStyle w:val="8"/>
              <w:numPr>
                <w:ilvl w:val="0"/>
                <w:numId w:val="11"/>
              </w:numPr>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柜内背板，实木板2.44*1.22</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m</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香樟</w:t>
            </w:r>
            <w:r>
              <w:rPr>
                <w:rFonts w:hint="eastAsia" w:ascii="宋体" w:hAnsi="宋体" w:cs="宋体"/>
                <w:color w:val="auto"/>
                <w:szCs w:val="21"/>
                <w:highlight w:val="none"/>
                <w:shd w:val="clear" w:color="auto" w:fill="auto"/>
                <w:lang w:val="en-US" w:eastAsia="zh-CN"/>
              </w:rPr>
              <w:t>指</w:t>
            </w:r>
            <w:r>
              <w:rPr>
                <w:rFonts w:hint="eastAsia" w:ascii="宋体" w:hAnsi="宋体" w:cs="宋体"/>
                <w:color w:val="auto"/>
                <w:szCs w:val="21"/>
                <w:highlight w:val="none"/>
                <w:shd w:val="clear" w:color="auto" w:fill="auto"/>
              </w:rPr>
              <w:t>接板，门扇为进口榉木实木门扇；</w:t>
            </w:r>
          </w:p>
          <w:p>
            <w:pPr>
              <w:pStyle w:val="8"/>
              <w:numPr>
                <w:ilvl w:val="0"/>
                <w:numId w:val="0"/>
              </w:numPr>
              <w:spacing w:line="264" w:lineRule="auto"/>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2</w:t>
            </w:r>
            <w:r>
              <w:rPr>
                <w:rFonts w:hint="eastAsia" w:ascii="宋体" w:hAnsi="宋体" w:cs="宋体"/>
                <w:color w:val="auto"/>
                <w:szCs w:val="21"/>
                <w:highlight w:val="none"/>
                <w:shd w:val="clear" w:color="auto" w:fill="auto"/>
              </w:rPr>
              <w:t>.板材含水率： 8~15%表观密度： 1.582（g/m3）g/m3抗弯强度： 1/10~1/3（MPa） MPa横纹局部承压强度：1/10~1/5木材材性：具光泽；新切面有强烈的樟脑气味。</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3</w:t>
            </w:r>
            <w:r>
              <w:rPr>
                <w:rFonts w:hint="eastAsia" w:ascii="宋体" w:hAnsi="宋体" w:cs="宋体"/>
                <w:color w:val="auto"/>
                <w:szCs w:val="21"/>
                <w:highlight w:val="none"/>
                <w:shd w:val="clear" w:color="auto" w:fill="auto"/>
              </w:rPr>
              <w:t>.油漆：水性丙烯酸聚氨酯面漆，用砂纸仔细打磨木材表面（顺着木纹方向），薄刷1-2遍涂刷水性封闭底漆，刷水性丙烯酸聚氨酯面漆2道。</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画桌</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10.44</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规格：</w:t>
            </w:r>
            <w:r>
              <w:rPr>
                <w:rFonts w:hint="eastAsia" w:ascii="宋体" w:hAnsi="宋体" w:cs="宋体"/>
                <w:color w:val="auto"/>
                <w:szCs w:val="21"/>
                <w:highlight w:val="none"/>
                <w:shd w:val="clear" w:color="auto" w:fill="auto"/>
              </w:rPr>
              <w:t>长3.65*宽1.45*高0.8</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m</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，2张</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1.桌面为实木板：2.44*1.22</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m</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橡木</w:t>
            </w:r>
            <w:r>
              <w:rPr>
                <w:rFonts w:hint="eastAsia" w:ascii="宋体" w:hAnsi="宋体" w:cs="宋体"/>
                <w:color w:val="auto"/>
                <w:szCs w:val="21"/>
                <w:highlight w:val="none"/>
                <w:shd w:val="clear" w:color="auto" w:fill="auto"/>
                <w:lang w:val="en-US" w:eastAsia="zh-CN"/>
              </w:rPr>
              <w:t>指</w:t>
            </w:r>
            <w:r>
              <w:rPr>
                <w:rFonts w:hint="eastAsia" w:ascii="宋体" w:hAnsi="宋体" w:cs="宋体"/>
                <w:color w:val="auto"/>
                <w:szCs w:val="21"/>
                <w:highlight w:val="none"/>
                <w:shd w:val="clear" w:color="auto" w:fill="auto"/>
              </w:rPr>
              <w:t>接板。</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2.板材含水率： 8~15%表观密度： 1.582（g/m3）g/m3抗弯强度： 1/10~1/3（MPa） MPa横纹局部承压强度：1/10~1/5。</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3.油漆：水性丙烯酸聚氨酯面漆，用砂纸仔细打磨木材表面（顺着木纹方向），薄刷1-2遍涂刷水性封闭底漆，刷水性丙烯酸聚氨酯面漆2道。</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2</w:t>
            </w:r>
            <w:r>
              <w:rPr>
                <w:rFonts w:hint="eastAsia" w:ascii="宋体" w:hAnsi="宋体" w:cs="宋体"/>
                <w:color w:val="auto"/>
                <w:kern w:val="0"/>
                <w:szCs w:val="21"/>
                <w:highlight w:val="none"/>
                <w:shd w:val="clear" w:color="auto" w:fill="auto"/>
                <w:lang w:val="en-US" w:eastAsia="zh-CN"/>
              </w:rPr>
              <w:t>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显示屏</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rPr>
              <w:t>1.显示器尺寸23.8英寸</w:t>
            </w:r>
            <w:r>
              <w:rPr>
                <w:rFonts w:hint="eastAsia" w:ascii="宋体" w:hAnsi="宋体" w:cs="宋体"/>
                <w:color w:val="auto"/>
                <w:szCs w:val="21"/>
                <w:highlight w:val="none"/>
                <w:shd w:val="clear" w:color="auto" w:fill="auto"/>
                <w:lang w:eastAsia="zh-CN"/>
              </w:rPr>
              <w:t>。</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rPr>
              <w:t>2.屏幕刷新率：100hz</w:t>
            </w:r>
            <w:r>
              <w:rPr>
                <w:rFonts w:hint="eastAsia" w:ascii="宋体" w:hAnsi="宋体" w:cs="宋体"/>
                <w:color w:val="auto"/>
                <w:szCs w:val="21"/>
                <w:highlight w:val="none"/>
                <w:shd w:val="clear" w:color="auto" w:fill="auto"/>
                <w:lang w:eastAsia="zh-CN"/>
              </w:rPr>
              <w:t>。</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rPr>
              <w:t>3.接口:HDMI、VGA</w:t>
            </w:r>
            <w:r>
              <w:rPr>
                <w:rFonts w:hint="eastAsia" w:ascii="宋体" w:hAnsi="宋体" w:cs="宋体"/>
                <w:color w:val="auto"/>
                <w:szCs w:val="21"/>
                <w:highlight w:val="none"/>
                <w:shd w:val="clear" w:color="auto" w:fill="auto"/>
                <w:lang w:eastAsia="zh-CN"/>
              </w:rPr>
              <w:t>。</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rPr>
              <w:t>4.分辨率：1920*1080</w:t>
            </w:r>
            <w:r>
              <w:rPr>
                <w:rFonts w:hint="eastAsia" w:ascii="宋体" w:hAnsi="宋体" w:cs="宋体"/>
                <w:color w:val="auto"/>
                <w:szCs w:val="21"/>
                <w:highlight w:val="none"/>
                <w:shd w:val="clear" w:color="auto" w:fill="auto"/>
                <w:lang w:eastAsia="zh-CN"/>
              </w:rPr>
              <w:t>。</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5.屏幕比例：16:9</w:t>
            </w:r>
            <w:r>
              <w:rPr>
                <w:rFonts w:hint="eastAsia" w:ascii="宋体" w:hAnsi="宋体" w:cs="宋体"/>
                <w:color w:val="auto"/>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b/>
                <w:bCs/>
                <w:color w:val="auto"/>
                <w:kern w:val="0"/>
                <w:szCs w:val="21"/>
                <w:highlight w:val="none"/>
                <w:shd w:val="clear" w:color="auto" w:fill="auto"/>
                <w:lang w:eastAsia="zh-CN"/>
              </w:rPr>
            </w:pPr>
            <w:r>
              <w:rPr>
                <w:rFonts w:hint="eastAsia" w:ascii="宋体" w:hAnsi="宋体" w:cs="宋体"/>
                <w:b/>
                <w:bCs/>
                <w:color w:val="auto"/>
                <w:kern w:val="0"/>
                <w:szCs w:val="21"/>
                <w:highlight w:val="none"/>
                <w:shd w:val="clear" w:color="auto" w:fill="auto"/>
              </w:rPr>
              <w:t>2</w:t>
            </w:r>
            <w:r>
              <w:rPr>
                <w:rFonts w:hint="eastAsia" w:ascii="宋体" w:hAnsi="宋体" w:cs="宋体"/>
                <w:b/>
                <w:bCs/>
                <w:color w:val="auto"/>
                <w:kern w:val="0"/>
                <w:szCs w:val="21"/>
                <w:highlight w:val="none"/>
                <w:shd w:val="clear" w:color="auto" w:fill="auto"/>
                <w:lang w:val="en-US" w:eastAsia="zh-CN"/>
              </w:rPr>
              <w:t>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LED曲面显示屏</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51.8144</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b/>
                <w:bCs/>
                <w:color w:val="auto"/>
                <w:kern w:val="0"/>
                <w:szCs w:val="21"/>
                <w:highlight w:val="none"/>
                <w:shd w:val="clear" w:color="auto" w:fill="auto"/>
                <w:lang w:val="en"/>
              </w:rPr>
            </w:pPr>
            <w:r>
              <w:rPr>
                <w:rFonts w:hint="eastAsia" w:ascii="宋体" w:hAnsi="宋体" w:cs="宋体"/>
                <w:b/>
                <w:bCs/>
                <w:color w:val="auto"/>
                <w:kern w:val="0"/>
                <w:szCs w:val="21"/>
                <w:highlight w:val="none"/>
                <w:shd w:val="clear" w:color="auto" w:fill="auto"/>
                <w:lang w:val="en"/>
              </w:rPr>
              <w:t>平方米</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1.LED封装形式：SMD1010黑灯</w:t>
            </w:r>
            <w:r>
              <w:rPr>
                <w:rFonts w:hint="eastAsia" w:ascii="宋体" w:hAnsi="宋体" w:cs="宋体"/>
                <w:color w:val="auto"/>
                <w:szCs w:val="21"/>
                <w:highlight w:val="none"/>
                <w:shd w:val="clear" w:color="auto" w:fill="auto"/>
                <w:lang w:eastAsia="zh-CN"/>
              </w:rPr>
              <w:t>。</w:t>
            </w:r>
          </w:p>
          <w:p>
            <w:pPr>
              <w:pStyle w:val="8"/>
              <w:spacing w:line="264" w:lineRule="auto"/>
              <w:ind w:firstLine="0"/>
              <w:jc w:val="left"/>
              <w:rPr>
                <w:rFonts w:hint="eastAsia" w:ascii="宋体" w:hAnsi="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2.物理点间距：≤</w:t>
            </w:r>
            <w:r>
              <w:rPr>
                <w:rFonts w:hint="eastAsia" w:ascii="宋体" w:hAnsi="宋体" w:cs="宋体"/>
                <w:color w:val="auto"/>
                <w:szCs w:val="21"/>
                <w:highlight w:val="none"/>
                <w:shd w:val="clear" w:color="auto" w:fill="auto"/>
                <w:lang w:val="en-US" w:eastAsia="zh-CN"/>
              </w:rPr>
              <w:t>1.53</w:t>
            </w:r>
            <w:r>
              <w:rPr>
                <w:rFonts w:hint="eastAsia" w:ascii="宋体" w:hAnsi="宋体" w:cs="宋体"/>
                <w:color w:val="auto"/>
                <w:szCs w:val="21"/>
                <w:highlight w:val="none"/>
                <w:shd w:val="clear" w:color="auto" w:fill="auto"/>
              </w:rPr>
              <w:t>mm</w:t>
            </w:r>
            <w:r>
              <w:rPr>
                <w:rFonts w:hint="eastAsia" w:ascii="宋体" w:hAnsi="宋体" w:cs="宋体"/>
                <w:color w:val="auto"/>
                <w:szCs w:val="21"/>
                <w:highlight w:val="none"/>
                <w:shd w:val="clear" w:color="auto" w:fill="auto"/>
                <w:lang w:eastAsia="zh-CN"/>
              </w:rPr>
              <w:t>。</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3.分辨率：640000点/m²</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4.灯珠/IC：国产优质铜线/高刷</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5.发光点颜色组合：1R1G1B</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6.模组分辨率：256*128</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7.模组尺寸（mm）：320*160</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8.最佳视距：≥3.7m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9.水平视角：≥175°</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10.垂直视角：≥175°</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11.维护方式：前/后维护</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12.控制方式：同步控制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13.驱动器件：恒流</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14.刷新频率：≥4200Hz</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15.换帧频率：≥60Hz</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16.扫描方式：64S</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17.亮度：200-800CD/m²</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18.灰度等级：12/14/16/18bit</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19.对比度：≥10000:1</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20.衰减率（工作三年）：≤15%</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21.亮度调节方式：手动/自动：0-100％</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22.平均无故障时间：≥20000H</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23.寿命：≥100000H</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24.杂点率：≤1/100000且无连续失控点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25.环境温度：存储-35℃~+85℃</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26.工作温度：－20℃~+60℃</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27.工作电压（AC）：220V±10%/50Hz/60Hz</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28.平均功耗：800CD/m²时≤125W/m²（600CD/m²时≤95W/m²）</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29.最大功耗：800CD/m²时≤500W/m²（600CD/m²时≤380W/m²）</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30.亮度均匀性：≥99%</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31.防护等级：IP5X</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▲32.LED显示屏具备低蓝光模式，可在控制软件中选择30%、40%、70%三挡调节显示屏蓝光输出，有效减少蓝光辐射对眼睛的伤害；（</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b/>
                <w:bCs/>
                <w:color w:val="auto"/>
                <w:szCs w:val="21"/>
                <w:highlight w:val="none"/>
                <w:shd w:val="clear" w:color="auto" w:fill="auto"/>
                <w:lang w:eastAsia="zh-CN"/>
              </w:rPr>
              <w:t>合格</w:t>
            </w:r>
            <w:r>
              <w:rPr>
                <w:rFonts w:hint="eastAsia" w:ascii="宋体" w:hAnsi="宋体" w:cs="宋体"/>
                <w:b/>
                <w:bCs/>
                <w:color w:val="auto"/>
                <w:szCs w:val="21"/>
                <w:highlight w:val="none"/>
                <w:shd w:val="clear" w:color="auto" w:fill="auto"/>
              </w:rPr>
              <w:t>检测报告</w:t>
            </w:r>
            <w:r>
              <w:rPr>
                <w:rFonts w:hint="eastAsia" w:ascii="宋体" w:hAnsi="宋体" w:cs="宋体"/>
                <w:b/>
                <w:bCs/>
                <w:color w:val="auto"/>
                <w:szCs w:val="21"/>
                <w:highlight w:val="none"/>
                <w:shd w:val="clear" w:color="auto" w:fill="auto"/>
                <w:lang w:eastAsia="zh-CN"/>
              </w:rPr>
              <w:t>，</w:t>
            </w:r>
            <w:r>
              <w:rPr>
                <w:rFonts w:hint="eastAsia" w:ascii="宋体" w:hAnsi="宋体" w:cs="宋体"/>
                <w:b/>
                <w:bCs/>
                <w:strike w:val="0"/>
                <w:dstrike w:val="0"/>
                <w:color w:val="auto"/>
                <w:szCs w:val="21"/>
                <w:highlight w:val="none"/>
                <w:shd w:val="clear" w:color="auto" w:fill="auto"/>
              </w:rPr>
              <w:t>作为该技术参数证明材料</w:t>
            </w:r>
            <w:r>
              <w:rPr>
                <w:rFonts w:hint="eastAsia" w:ascii="宋体" w:hAnsi="宋体" w:cs="宋体"/>
                <w:color w:val="auto"/>
                <w:szCs w:val="21"/>
                <w:highlight w:val="none"/>
                <w:shd w:val="clear" w:color="auto" w:fill="auto"/>
              </w:rPr>
              <w:t>）</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▲33.具备LED显示屏开关机次数、使用时长记录，可形成数据保存周期≥100天，并支持对现场温湿度的监测，可在控制软件端实时显示数据，方便用户了解现场屏体、环境温湿度数据情况；（</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color w:val="auto"/>
                <w:szCs w:val="21"/>
                <w:highlight w:val="none"/>
                <w:shd w:val="clear" w:color="auto" w:fill="auto"/>
                <w:lang w:eastAsia="zh-CN"/>
              </w:rPr>
              <w:t>合格</w:t>
            </w:r>
            <w:r>
              <w:rPr>
                <w:rFonts w:hint="eastAsia" w:ascii="宋体" w:hAnsi="宋体" w:cs="宋体"/>
                <w:b/>
                <w:bCs/>
                <w:color w:val="auto"/>
                <w:szCs w:val="21"/>
                <w:highlight w:val="none"/>
                <w:shd w:val="clear" w:color="auto" w:fill="auto"/>
              </w:rPr>
              <w:t>检测报告</w:t>
            </w:r>
            <w:r>
              <w:rPr>
                <w:rFonts w:hint="eastAsia" w:ascii="宋体" w:hAnsi="宋体" w:cs="宋体"/>
                <w:b/>
                <w:bCs/>
                <w:color w:val="auto"/>
                <w:szCs w:val="21"/>
                <w:highlight w:val="none"/>
                <w:shd w:val="clear" w:color="auto" w:fill="auto"/>
                <w:lang w:eastAsia="zh-CN"/>
              </w:rPr>
              <w:t>，</w:t>
            </w:r>
            <w:r>
              <w:rPr>
                <w:rFonts w:hint="eastAsia" w:ascii="宋体" w:hAnsi="宋体" w:cs="宋体"/>
                <w:b/>
                <w:bCs/>
                <w:color w:val="auto"/>
                <w:szCs w:val="21"/>
                <w:highlight w:val="none"/>
                <w:shd w:val="clear" w:color="auto" w:fill="auto"/>
              </w:rPr>
              <w:t>作为该技术参数证明材料</w:t>
            </w:r>
            <w:r>
              <w:rPr>
                <w:rFonts w:hint="eastAsia" w:ascii="宋体" w:hAnsi="宋体" w:cs="宋体"/>
                <w:color w:val="auto"/>
                <w:szCs w:val="21"/>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2</w:t>
            </w:r>
            <w:r>
              <w:rPr>
                <w:rFonts w:hint="eastAsia" w:ascii="宋体" w:hAnsi="宋体" w:cs="宋体"/>
                <w:color w:val="auto"/>
                <w:kern w:val="0"/>
                <w:szCs w:val="21"/>
                <w:highlight w:val="none"/>
                <w:shd w:val="clear" w:color="auto" w:fill="auto"/>
                <w:lang w:val="en-US" w:eastAsia="zh-CN"/>
              </w:rPr>
              <w:t>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发送盒</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1.具备带载面积≥230万像素，宽度≥3840点，高度≥3840点；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2.具备≥1路音频输入；</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3.具备≥1路光探头接口；</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4.具备逐点亮色度校正功能；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5.具备≥1路DVI输入接口，≥1路HDMI1.3输入接口，≥4路网口输出；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cs="宋体"/>
                <w:color w:val="auto"/>
                <w:kern w:val="0"/>
                <w:szCs w:val="21"/>
                <w:highlight w:val="none"/>
                <w:shd w:val="clear" w:color="auto" w:fill="auto"/>
                <w:lang w:val="en-US"/>
              </w:rPr>
            </w:pPr>
            <w:r>
              <w:rPr>
                <w:rFonts w:hint="eastAsia" w:ascii="宋体" w:hAnsi="宋体" w:cs="宋体"/>
                <w:color w:val="auto"/>
                <w:kern w:val="0"/>
                <w:szCs w:val="21"/>
                <w:highlight w:val="none"/>
                <w:shd w:val="clear" w:color="auto" w:fill="auto"/>
                <w:lang w:val="en-US" w:eastAsia="zh-CN"/>
              </w:rPr>
              <w:t>27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输入卡1</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块</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1.接口类型：HDMI1.4</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2.接口数量：≥4</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3.输入信号：HDMI</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4.最高分辨率：优于或等于4096*2160@30Hz</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5.插卡式输入卡搭配集中式主机使用，实现图像输入功能；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6.支持台标功能，文字背景、位置可调；</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7.支持在线完成固件升级，固件版本智能向前兼容。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输</w:t>
            </w:r>
            <w:r>
              <w:rPr>
                <w:rFonts w:hint="eastAsia" w:ascii="宋体" w:hAnsi="宋体" w:cs="宋体"/>
                <w:color w:val="auto"/>
                <w:kern w:val="0"/>
                <w:szCs w:val="21"/>
                <w:highlight w:val="none"/>
                <w:shd w:val="clear" w:color="auto" w:fill="auto"/>
                <w:lang w:val="en-US" w:eastAsia="zh-CN"/>
              </w:rPr>
              <w:t>出</w:t>
            </w:r>
            <w:r>
              <w:rPr>
                <w:rFonts w:hint="eastAsia" w:ascii="宋体" w:hAnsi="宋体" w:cs="宋体"/>
                <w:color w:val="auto"/>
                <w:kern w:val="0"/>
                <w:szCs w:val="21"/>
                <w:highlight w:val="none"/>
                <w:shd w:val="clear" w:color="auto" w:fill="auto"/>
              </w:rPr>
              <w:t>卡1</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块</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1.接口类型：HDMI1.4</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2.接口数量：≥4</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3.输出信号：HDMI</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4.最高分辨率：优于或等于4096*2160@30Hz</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5.插卡式输出卡搭配集中式主机使用，实现图像输出功能；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6.支持高清底图功能；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7.支持在线完成固件升级，固件版本智能向前兼容。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机柜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1.规格：约600×1200×2045mm；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2.外观：机柜表面光洁，色泽均匀、无流积、无起泡，无裂纹金属件无毛刺锈蚀；</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3.材料：采用高强度的镀锌板，机柜承重受力部位（如方孔条、层板、L型导轨等）厚度不少于2.0mm；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4.结构：19英寸，EIA标准立柱，成型材结构，落地式机柜的结构：框架、底部加固以达到增强机柜强度的效果；侧后为可拆钢板门；</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5.前门：前门为单开高密度平板网孔门；后门：后门为双开高密度平板网孔门；</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6.散热：采用轴流风机主动散热方式，风机不少于二个，标称供电电源为220伏；</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层板：每台机柜提供2个固定层板。每块层板可承重不少于100kg；</w:t>
            </w:r>
            <w:r>
              <w:rPr>
                <w:rFonts w:hint="eastAsia" w:ascii="宋体" w:hAnsi="宋体" w:cs="宋体"/>
                <w:b w:val="0"/>
                <w:bCs w:val="0"/>
                <w:color w:val="auto"/>
                <w:szCs w:val="21"/>
                <w:highlight w:val="none"/>
                <w:shd w:val="clear" w:color="auto" w:fill="auto"/>
              </w:rPr>
              <w:t>（投标时需提供得到CMA或CNAS认可的检测机构出具的</w:t>
            </w:r>
            <w:r>
              <w:rPr>
                <w:rFonts w:hint="eastAsia" w:ascii="宋体" w:hAnsi="宋体" w:cs="宋体"/>
                <w:b w:val="0"/>
                <w:bCs w:val="0"/>
                <w:color w:val="auto"/>
                <w:szCs w:val="21"/>
                <w:highlight w:val="none"/>
                <w:shd w:val="clear" w:color="auto" w:fill="auto"/>
                <w:lang w:eastAsia="zh-CN"/>
              </w:rPr>
              <w:t>合格</w:t>
            </w:r>
            <w:r>
              <w:rPr>
                <w:rFonts w:hint="eastAsia" w:ascii="宋体" w:hAnsi="宋体" w:cs="宋体"/>
                <w:b w:val="0"/>
                <w:bCs w:val="0"/>
                <w:color w:val="auto"/>
                <w:szCs w:val="21"/>
                <w:highlight w:val="none"/>
                <w:shd w:val="clear" w:color="auto" w:fill="auto"/>
              </w:rPr>
              <w:t>检测报告</w:t>
            </w:r>
            <w:r>
              <w:rPr>
                <w:rFonts w:hint="eastAsia" w:ascii="宋体" w:hAnsi="宋体" w:cs="宋体"/>
                <w:b w:val="0"/>
                <w:bCs w:val="0"/>
                <w:color w:val="auto"/>
                <w:szCs w:val="21"/>
                <w:highlight w:val="none"/>
                <w:shd w:val="clear" w:color="auto" w:fill="auto"/>
                <w:lang w:eastAsia="zh-CN"/>
              </w:rPr>
              <w:t>，</w:t>
            </w:r>
            <w:r>
              <w:rPr>
                <w:rFonts w:hint="eastAsia" w:ascii="宋体" w:hAnsi="宋体" w:cs="宋体"/>
                <w:b w:val="0"/>
                <w:bCs w:val="0"/>
                <w:strike w:val="0"/>
                <w:dstrike w:val="0"/>
                <w:color w:val="auto"/>
                <w:szCs w:val="21"/>
                <w:highlight w:val="none"/>
                <w:shd w:val="clear" w:color="auto" w:fill="auto"/>
              </w:rPr>
              <w:t>作为该技术参数证明材料</w:t>
            </w:r>
            <w:r>
              <w:rPr>
                <w:rFonts w:hint="eastAsia" w:ascii="宋体" w:hAnsi="宋体" w:cs="宋体"/>
                <w:b w:val="0"/>
                <w:bCs w:val="0"/>
                <w:color w:val="auto"/>
                <w:szCs w:val="21"/>
                <w:highlight w:val="none"/>
                <w:shd w:val="clear" w:color="auto" w:fill="auto"/>
              </w:rPr>
              <w:t>）</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电源：配置一个原厂PDU电源，PDU技术要求：</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1</w:t>
            </w:r>
            <w:r>
              <w:rPr>
                <w:rFonts w:hint="eastAsia"/>
                <w:color w:val="auto"/>
                <w:highlight w:val="none"/>
                <w:shd w:val="clear" w:color="auto" w:fill="auto"/>
                <w:lang w:eastAsia="zh-CN"/>
              </w:rPr>
              <w:t>）</w:t>
            </w:r>
            <w:r>
              <w:rPr>
                <w:rFonts w:hint="eastAsia" w:ascii="宋体" w:hAnsi="宋体" w:cs="宋体"/>
                <w:color w:val="auto"/>
                <w:szCs w:val="21"/>
                <w:highlight w:val="none"/>
                <w:shd w:val="clear" w:color="auto" w:fill="auto"/>
              </w:rPr>
              <w:t xml:space="preserve"> 采用主、支路一体化无断点连接方式，避免长期通电过热脱焊现象，保证任何一个插座故障时均不影响整条PDU的输出，不得对插座进行分组；</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2</w:t>
            </w:r>
            <w:r>
              <w:rPr>
                <w:rFonts w:hint="eastAsia"/>
                <w:color w:val="auto"/>
                <w:highlight w:val="none"/>
                <w:shd w:val="clear" w:color="auto" w:fill="auto"/>
                <w:lang w:eastAsia="zh-CN"/>
              </w:rPr>
              <w:t>）</w:t>
            </w:r>
            <w:r>
              <w:rPr>
                <w:rFonts w:hint="eastAsia" w:ascii="宋体" w:hAnsi="宋体" w:cs="宋体"/>
                <w:color w:val="auto"/>
                <w:szCs w:val="21"/>
                <w:highlight w:val="none"/>
                <w:shd w:val="clear" w:color="auto" w:fill="auto"/>
              </w:rPr>
              <w:t>PDU母线具有保护层隔离空气，防止长期运行时母线表面氧化降低载流能力；</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3</w:t>
            </w:r>
            <w:r>
              <w:rPr>
                <w:rFonts w:hint="eastAsia"/>
                <w:color w:val="auto"/>
                <w:highlight w:val="none"/>
                <w:shd w:val="clear" w:color="auto" w:fill="auto"/>
                <w:lang w:eastAsia="zh-CN"/>
              </w:rPr>
              <w:t>）</w:t>
            </w:r>
            <w:r>
              <w:rPr>
                <w:rFonts w:hint="eastAsia" w:ascii="宋体" w:hAnsi="宋体" w:cs="宋体"/>
                <w:color w:val="auto"/>
                <w:szCs w:val="21"/>
                <w:highlight w:val="none"/>
                <w:shd w:val="clear" w:color="auto" w:fill="auto"/>
              </w:rPr>
              <w:t>当PDU通入额定电流时，插座、端子连接处的温升应不超过55℃，空气开关壳体的温升不超过40℃；</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4</w:t>
            </w:r>
            <w:r>
              <w:rPr>
                <w:rFonts w:hint="eastAsia"/>
                <w:color w:val="auto"/>
                <w:highlight w:val="none"/>
                <w:shd w:val="clear" w:color="auto" w:fill="auto"/>
                <w:lang w:eastAsia="zh-CN"/>
              </w:rPr>
              <w:t>）</w:t>
            </w:r>
            <w:r>
              <w:rPr>
                <w:rFonts w:hint="eastAsia" w:ascii="宋体" w:hAnsi="宋体" w:cs="宋体"/>
                <w:color w:val="auto"/>
                <w:szCs w:val="21"/>
                <w:highlight w:val="none"/>
                <w:shd w:val="clear" w:color="auto" w:fill="auto"/>
              </w:rPr>
              <w:t xml:space="preserve"> 输出插座模组加载额定负载电流、达到热稳定时的实测温升应小于20K（投标时提供国家认可的第三方检测（验）机构出具带有CMA或CNAS标识的检测（验）报告复印件，并加盖投标人公章。</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5</w:t>
            </w:r>
            <w:r>
              <w:rPr>
                <w:rFonts w:hint="eastAsia"/>
                <w:color w:val="auto"/>
                <w:highlight w:val="none"/>
                <w:shd w:val="clear" w:color="auto" w:fill="auto"/>
                <w:lang w:eastAsia="zh-CN"/>
              </w:rPr>
              <w:t>）</w:t>
            </w:r>
            <w:r>
              <w:rPr>
                <w:rFonts w:hint="eastAsia" w:ascii="宋体" w:hAnsi="宋体" w:cs="宋体"/>
                <w:color w:val="auto"/>
                <w:szCs w:val="21"/>
                <w:highlight w:val="none"/>
                <w:shd w:val="clear" w:color="auto" w:fill="auto"/>
              </w:rPr>
              <w:t>PDU内部导电部件应采用完整绝缘保护，不应有裸露导体；</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抗震：装配紧固；能抵御冲击、摔到、剧烈晃动所带来的损坏，可抗不低于8级地震，机柜与机柜支架牢固安装；</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线槽：每个机柜配置不低于两条垂直走线槽；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脚轮：每个机柜提供滑动脚轮1套便于搬运；</w:t>
            </w:r>
          </w:p>
          <w:p>
            <w:pPr>
              <w:pStyle w:val="8"/>
              <w:spacing w:line="264" w:lineRule="auto"/>
              <w:ind w:firstLine="0"/>
              <w:jc w:val="left"/>
              <w:rPr>
                <w:rFonts w:hint="eastAsia" w:ascii="宋体" w:hAnsi="宋体" w:cs="宋体"/>
                <w:b w:val="0"/>
                <w:bCs w:val="0"/>
                <w:color w:val="auto"/>
                <w:szCs w:val="21"/>
                <w:highlight w:val="none"/>
                <w:shd w:val="clear" w:color="auto" w:fill="auto"/>
              </w:rPr>
            </w:pPr>
            <w:r>
              <w:rPr>
                <w:rFonts w:hint="eastAsia" w:ascii="宋体" w:hAnsi="宋体" w:cs="宋体"/>
                <w:color w:val="auto"/>
                <w:szCs w:val="21"/>
                <w:highlight w:val="none"/>
                <w:shd w:val="clear" w:color="auto" w:fill="auto"/>
              </w:rPr>
              <w:t>▲12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承重：机柜最大静载荷应≥1200kg</w:t>
            </w:r>
            <w:r>
              <w:rPr>
                <w:rFonts w:hint="eastAsia" w:ascii="宋体" w:hAnsi="宋体" w:cs="宋体"/>
                <w:color w:val="auto"/>
                <w:szCs w:val="21"/>
                <w:highlight w:val="none"/>
                <w:shd w:val="clear" w:color="auto" w:fill="auto"/>
                <w:lang w:eastAsia="zh-CN"/>
              </w:rPr>
              <w:t>；</w:t>
            </w:r>
            <w:r>
              <w:rPr>
                <w:rFonts w:hint="eastAsia" w:ascii="宋体" w:hAnsi="宋体" w:cs="宋体"/>
                <w:b w:val="0"/>
                <w:bCs w:val="0"/>
                <w:color w:val="auto"/>
                <w:szCs w:val="21"/>
                <w:highlight w:val="none"/>
                <w:shd w:val="clear" w:color="auto" w:fill="auto"/>
              </w:rPr>
              <w:t>（投标时需提供得到CMA或CNAS认可的检测机构出具的</w:t>
            </w:r>
            <w:r>
              <w:rPr>
                <w:rFonts w:hint="eastAsia" w:ascii="宋体" w:hAnsi="宋体" w:cs="宋体"/>
                <w:b w:val="0"/>
                <w:bCs w:val="0"/>
                <w:color w:val="auto"/>
                <w:szCs w:val="21"/>
                <w:highlight w:val="none"/>
                <w:shd w:val="clear" w:color="auto" w:fill="auto"/>
                <w:lang w:eastAsia="zh-CN"/>
              </w:rPr>
              <w:t>合格</w:t>
            </w:r>
            <w:r>
              <w:rPr>
                <w:rFonts w:hint="eastAsia" w:ascii="宋体" w:hAnsi="宋体" w:cs="宋体"/>
                <w:b w:val="0"/>
                <w:bCs w:val="0"/>
                <w:color w:val="auto"/>
                <w:szCs w:val="21"/>
                <w:highlight w:val="none"/>
                <w:shd w:val="clear" w:color="auto" w:fill="auto"/>
              </w:rPr>
              <w:t>检测报告</w:t>
            </w:r>
            <w:r>
              <w:rPr>
                <w:rFonts w:hint="eastAsia" w:ascii="宋体" w:hAnsi="宋体" w:cs="宋体"/>
                <w:b w:val="0"/>
                <w:bCs w:val="0"/>
                <w:color w:val="auto"/>
                <w:szCs w:val="21"/>
                <w:highlight w:val="none"/>
                <w:shd w:val="clear" w:color="auto" w:fill="auto"/>
                <w:lang w:eastAsia="zh-CN"/>
              </w:rPr>
              <w:t>，</w:t>
            </w:r>
            <w:r>
              <w:rPr>
                <w:rFonts w:hint="eastAsia" w:ascii="宋体" w:hAnsi="宋体" w:cs="宋体"/>
                <w:b w:val="0"/>
                <w:bCs w:val="0"/>
                <w:strike w:val="0"/>
                <w:dstrike w:val="0"/>
                <w:color w:val="auto"/>
                <w:szCs w:val="21"/>
                <w:highlight w:val="none"/>
                <w:shd w:val="clear" w:color="auto" w:fill="auto"/>
              </w:rPr>
              <w:t>作为该技术参数证明材料</w:t>
            </w:r>
            <w:r>
              <w:rPr>
                <w:rFonts w:hint="eastAsia" w:ascii="宋体" w:hAnsi="宋体" w:cs="宋体"/>
                <w:b w:val="0"/>
                <w:bCs w:val="0"/>
                <w:color w:val="auto"/>
                <w:szCs w:val="21"/>
                <w:highlight w:val="none"/>
                <w:shd w:val="clear" w:color="auto" w:fill="auto"/>
              </w:rPr>
              <w:t>）</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粉沫：采用专业高硬度粉沫，确保达到防静电标准，必须达到国家无毒无害的喷涂标准；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表层：不低于IP20级安全保护标准；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特点：全拆装式结构设计，四门为可拆。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配电柜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1.配备高分断空气漏电开关，具有双重过载和短路保护功能，每路输出均配备了过载、短路以及漏电保护机制；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2.内置≥12个继电器带控制，采用高品质铜镀镍材质；</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▲3.支持多通讯协议，支持国际DMX512信号协议和ART-NET网络协议；（</w:t>
            </w:r>
            <w:r>
              <w:rPr>
                <w:rFonts w:hint="eastAsia" w:ascii="宋体" w:hAnsi="宋体" w:cs="宋体"/>
                <w:b/>
                <w:bCs/>
                <w:color w:val="auto"/>
                <w:szCs w:val="21"/>
                <w:highlight w:val="none"/>
                <w:shd w:val="clear" w:color="auto" w:fill="auto"/>
              </w:rPr>
              <w:t>投标时需提供得到CMA或CNAS认可的检测机构出具的检测报告作为该技术参数证明材料</w:t>
            </w:r>
            <w:r>
              <w:rPr>
                <w:rFonts w:hint="eastAsia" w:ascii="宋体" w:hAnsi="宋体" w:cs="宋体"/>
                <w:color w:val="auto"/>
                <w:szCs w:val="21"/>
                <w:highlight w:val="none"/>
                <w:shd w:val="clear" w:color="auto" w:fill="auto"/>
              </w:rPr>
              <w:t>）</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4.支持独立开关控制，每路独立开关设计，可实现单独控制，同时支持定时开启和关闭功能；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5.支持多种操作方式，支持电柜主机物理按键手动开启每一路通断或灯光控台实时操作工作指令；</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6.配备2.8寸液晶显示屏（触模按键），可直观显示设备状态和参数；</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▲7.支持智能互联，每路输出通道都具有电流电压测量功能，用户可通过手机和平板APP远程实时监控每路输出通道的电压、电流、功率、温度、湿度等参数；（</w:t>
            </w:r>
            <w:r>
              <w:rPr>
                <w:rFonts w:hint="eastAsia" w:ascii="宋体" w:hAnsi="宋体" w:cs="宋体"/>
                <w:b/>
                <w:bCs/>
                <w:color w:val="auto"/>
                <w:szCs w:val="21"/>
                <w:highlight w:val="none"/>
                <w:shd w:val="clear" w:color="auto" w:fill="auto"/>
              </w:rPr>
              <w:t>投标时需提供得到CMA或CNAS认可的检测机构出具的检测报告作为该技术参数证明材料</w:t>
            </w:r>
            <w:r>
              <w:rPr>
                <w:rFonts w:hint="eastAsia" w:ascii="宋体" w:hAnsi="宋体" w:cs="宋体"/>
                <w:color w:val="auto"/>
                <w:szCs w:val="21"/>
                <w:highlight w:val="none"/>
                <w:shd w:val="clear" w:color="auto" w:fill="auto"/>
              </w:rPr>
              <w:t>）</w:t>
            </w:r>
          </w:p>
          <w:p>
            <w:pPr>
              <w:pStyle w:val="8"/>
              <w:spacing w:line="264" w:lineRule="auto"/>
              <w:ind w:firstLine="0"/>
              <w:jc w:val="left"/>
              <w:rPr>
                <w:rFonts w:hint="default"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8.支持≥12路×4kW额定功率输出，每个回路最大输出功率可达4kW</w:t>
            </w:r>
            <w:r>
              <w:rPr>
                <w:rFonts w:hint="default" w:ascii="宋体" w:hAnsi="宋体" w:cs="宋体"/>
                <w:color w:val="auto"/>
                <w:szCs w:val="21"/>
                <w:highlight w:val="none"/>
                <w:shd w:val="clear" w:color="auto" w:fill="auto"/>
                <w:lang w:val="e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控制终端</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pPr>
              <w:pStyle w:val="8"/>
              <w:numPr>
                <w:ilvl w:val="-1"/>
                <w:numId w:val="0"/>
              </w:numPr>
              <w:spacing w:line="264" w:lineRule="auto"/>
              <w:ind w:firstLine="0"/>
              <w:jc w:val="left"/>
              <w:rPr>
                <w:rFonts w:hint="eastAsia" w:ascii="宋体" w:hAnsi="宋体" w:cs="宋体"/>
                <w:color w:val="auto"/>
                <w:szCs w:val="21"/>
                <w:highlight w:val="none"/>
                <w:shd w:val="clear" w:color="auto" w:fill="auto"/>
                <w:lang w:eastAsia="zh-CN"/>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lang w:val="en-US" w:eastAsia="zh-CN"/>
              </w:rPr>
              <w:t>1.</w:t>
            </w:r>
            <w:r>
              <w:rPr>
                <w:rFonts w:hint="eastAsia" w:ascii="宋体" w:hAnsi="宋体" w:cs="宋体"/>
                <w:color w:val="auto"/>
                <w:szCs w:val="21"/>
                <w:highlight w:val="none"/>
                <w:shd w:val="clear" w:color="auto" w:fill="auto"/>
              </w:rPr>
              <w:t>不低于I7-14700</w:t>
            </w:r>
            <w:r>
              <w:rPr>
                <w:rFonts w:hint="eastAsia" w:ascii="宋体" w:hAnsi="宋体" w:cs="宋体"/>
                <w:color w:val="auto"/>
                <w:szCs w:val="21"/>
                <w:highlight w:val="none"/>
                <w:shd w:val="clear" w:color="auto" w:fill="auto"/>
                <w:lang w:eastAsia="zh-CN"/>
              </w:rPr>
              <w:t>；</w:t>
            </w:r>
          </w:p>
          <w:p>
            <w:pPr>
              <w:pStyle w:val="8"/>
              <w:numPr>
                <w:ilvl w:val="-1"/>
                <w:numId w:val="0"/>
              </w:numPr>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lang w:val="en-US" w:eastAsia="zh-CN"/>
              </w:rPr>
              <w:t>2.内存</w:t>
            </w:r>
            <w:r>
              <w:rPr>
                <w:rFonts w:hint="eastAsia" w:ascii="宋体" w:hAnsi="宋体" w:cs="宋体"/>
                <w:color w:val="auto"/>
                <w:szCs w:val="21"/>
                <w:highlight w:val="none"/>
                <w:shd w:val="clear" w:color="auto" w:fill="auto"/>
              </w:rPr>
              <w:t>≥32G</w:t>
            </w:r>
          </w:p>
          <w:p>
            <w:pPr>
              <w:pStyle w:val="8"/>
              <w:numPr>
                <w:ilvl w:val="-1"/>
                <w:numId w:val="0"/>
              </w:numPr>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lang w:val="en-US" w:eastAsia="zh-CN"/>
              </w:rPr>
              <w:t>3.硬盘</w:t>
            </w:r>
            <w:r>
              <w:rPr>
                <w:rFonts w:hint="eastAsia" w:ascii="宋体" w:hAnsi="宋体" w:cs="宋体"/>
                <w:color w:val="auto"/>
                <w:szCs w:val="21"/>
                <w:highlight w:val="none"/>
                <w:shd w:val="clear" w:color="auto" w:fill="auto"/>
              </w:rPr>
              <w:t>≥4TSSD</w:t>
            </w:r>
          </w:p>
          <w:p>
            <w:pPr>
              <w:pStyle w:val="8"/>
              <w:numPr>
                <w:ilvl w:val="-1"/>
                <w:numId w:val="0"/>
              </w:numPr>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lang w:val="en-US" w:eastAsia="zh-CN"/>
              </w:rPr>
              <w:t>4.显卡</w:t>
            </w:r>
            <w:r>
              <w:rPr>
                <w:rFonts w:hint="eastAsia" w:ascii="宋体" w:hAnsi="宋体" w:cs="宋体"/>
                <w:color w:val="auto"/>
                <w:szCs w:val="21"/>
                <w:highlight w:val="none"/>
                <w:shd w:val="clear" w:color="auto" w:fill="auto"/>
              </w:rPr>
              <w:t>≥RTX4000ada</w:t>
            </w:r>
          </w:p>
          <w:p>
            <w:pPr>
              <w:pStyle w:val="8"/>
              <w:numPr>
                <w:ilvl w:val="-1"/>
                <w:numId w:val="0"/>
              </w:numPr>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5.电源</w:t>
            </w:r>
            <w:r>
              <w:rPr>
                <w:rFonts w:hint="eastAsia" w:ascii="宋体" w:hAnsi="宋体" w:cs="宋体"/>
                <w:color w:val="auto"/>
                <w:szCs w:val="21"/>
                <w:highlight w:val="none"/>
                <w:shd w:val="clear" w:color="auto" w:fill="auto"/>
              </w:rPr>
              <w:t>≥1100W</w:t>
            </w:r>
          </w:p>
          <w:p>
            <w:pPr>
              <w:pStyle w:val="8"/>
              <w:numPr>
                <w:ilvl w:val="-1"/>
                <w:numId w:val="0"/>
              </w:numPr>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rPr>
              <w:t>★</w:t>
            </w:r>
            <w:r>
              <w:rPr>
                <w:rFonts w:hint="eastAsia" w:ascii="宋体" w:hAnsi="宋体" w:cs="宋体"/>
                <w:color w:val="auto"/>
                <w:szCs w:val="21"/>
                <w:highlight w:val="none"/>
                <w:shd w:val="clear" w:color="auto" w:fill="auto"/>
                <w:lang w:val="en-US" w:eastAsia="zh-CN"/>
              </w:rPr>
              <w:t>6.显示器</w:t>
            </w:r>
            <w:r>
              <w:rPr>
                <w:rFonts w:hint="eastAsia" w:ascii="宋体" w:hAnsi="宋体" w:cs="宋体"/>
                <w:color w:val="auto"/>
                <w:szCs w:val="21"/>
                <w:highlight w:val="none"/>
                <w:shd w:val="clear" w:color="auto" w:fill="auto"/>
              </w:rPr>
              <w:t>≥23.8寸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智能控制系统</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1.支持红外控制、RS-232、RS-422、RS-485、UDP、TCP、telnet、http、MQTT以及SNMP等多种协议，兼容性强，可对接第三方设备。</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2.主机具备≥4.3英寸触摸彩屏、≥8路独立可编程串口、≥8路独立可编程IR红外发射口、≥8路数字I/0控制口、≥8路弱电继电器控制接口、≥1个NET网络控制接口、≥1路TF卡接口。</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3.支持双机热备份。当中控主机出现故障时，备用中控主机自动承担服务，从而保证系统在不需要人工干预的情况下能正常运行。</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4.支持互联网控制。中控主机在连接互联网的情况下，用户可操作手机或平板等移动端通过互联网实现对中控主机远程控制。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5.支持扫二维码控制。中控主机在连接互联网的情况下会在云平台自动生成二维码，通过微信或者浏览器扫一扫二维码，即可进入控制界面，实现对中控主机控制。支持密码权限设置。</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6.支持视频矩阵可视化控制。用户可通过控制端实时预览、拖动并切换矩阵视频信号，支持设置触碰和投放触发切换方式。</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7.支持拼接矩阵可视化控制。用户可通过控制端实时预览、放大、缩小、拖动并切换拼接矩阵视频信号，可对输入信号源进行置底、置顶以及一键清屏等操作，支持设置触碰和投放触发切换方式。</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▲8.支持≥2种局域网远程桌面方式，无需连接外部网络或使用第三方软件，支持多用户远程协同控制，便于现场运维。（</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b/>
                <w:bCs/>
                <w:color w:val="auto"/>
                <w:szCs w:val="21"/>
                <w:highlight w:val="none"/>
                <w:shd w:val="clear" w:color="auto" w:fill="auto"/>
                <w:lang w:val="en-US" w:eastAsia="zh-CN"/>
              </w:rPr>
              <w:t>产品</w:t>
            </w:r>
            <w:r>
              <w:rPr>
                <w:rFonts w:hint="eastAsia" w:ascii="宋体" w:hAnsi="宋体" w:cs="宋体"/>
                <w:b/>
                <w:bCs/>
                <w:color w:val="auto"/>
                <w:szCs w:val="21"/>
                <w:highlight w:val="none"/>
                <w:shd w:val="clear" w:color="auto" w:fill="auto"/>
              </w:rPr>
              <w:t>检测报告作为该技术参数证明材料</w:t>
            </w:r>
            <w:r>
              <w:rPr>
                <w:rFonts w:hint="eastAsia" w:ascii="宋体" w:hAnsi="宋体" w:cs="宋体"/>
                <w:color w:val="auto"/>
                <w:szCs w:val="21"/>
                <w:highlight w:val="none"/>
                <w:shd w:val="clear" w:color="auto" w:fill="auto"/>
              </w:rPr>
              <w:t>）</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▲9.对接云会务系统。用户通过手机APP或WEB端预约会议室时，可设置情景类型以及开始/结束时间。会议开始前，系统会自动调用场景，场景内所有设备联动启动或切换；会议结束后设备自动关闭。（</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b/>
                <w:bCs/>
                <w:color w:val="auto"/>
                <w:szCs w:val="21"/>
                <w:highlight w:val="none"/>
                <w:shd w:val="clear" w:color="auto" w:fill="auto"/>
                <w:lang w:val="en-US" w:eastAsia="zh-CN"/>
              </w:rPr>
              <w:t>产品</w:t>
            </w:r>
            <w:r>
              <w:rPr>
                <w:rFonts w:hint="eastAsia" w:ascii="宋体" w:hAnsi="宋体" w:cs="宋体"/>
                <w:b/>
                <w:bCs/>
                <w:color w:val="auto"/>
                <w:szCs w:val="21"/>
                <w:highlight w:val="none"/>
                <w:shd w:val="clear" w:color="auto" w:fill="auto"/>
              </w:rPr>
              <w:t>检测报告作为该技术参数证明材料</w:t>
            </w:r>
            <w:r>
              <w:rPr>
                <w:rFonts w:hint="eastAsia" w:ascii="宋体" w:hAnsi="宋体" w:cs="宋体"/>
                <w:color w:val="auto"/>
                <w:szCs w:val="21"/>
                <w:highlight w:val="none"/>
                <w:shd w:val="clear" w:color="auto" w:fill="auto"/>
              </w:rPr>
              <w:t>）</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产品具有≥2种编程方式，包括图形化编程方式及语句式编程方式供用户选择；图形化编程方式具有拖拽式操作界面，用户可通过图形化编程软件内的模块使用信号连接方式构建程序逻辑；语句式编程方式提供功能函数进行自定义编程，用户可以通过编程界面编写控制代码。（</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b/>
                <w:bCs/>
                <w:color w:val="auto"/>
                <w:szCs w:val="21"/>
                <w:highlight w:val="none"/>
                <w:shd w:val="clear" w:color="auto" w:fill="auto"/>
                <w:lang w:val="en-US" w:eastAsia="zh-CN"/>
              </w:rPr>
              <w:t>产品</w:t>
            </w:r>
            <w:r>
              <w:rPr>
                <w:rFonts w:hint="eastAsia" w:ascii="宋体" w:hAnsi="宋体" w:cs="宋体"/>
                <w:b/>
                <w:bCs/>
                <w:color w:val="auto"/>
                <w:szCs w:val="21"/>
                <w:highlight w:val="none"/>
                <w:shd w:val="clear" w:color="auto" w:fill="auto"/>
              </w:rPr>
              <w:t>检测报告作为该技术参数证明材料</w:t>
            </w:r>
            <w:r>
              <w:rPr>
                <w:rFonts w:hint="eastAsia" w:ascii="宋体" w:hAnsi="宋体" w:cs="宋体"/>
                <w:color w:val="auto"/>
                <w:szCs w:val="21"/>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交换机</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千兆电口24个、千兆光口4个、1个Console口，1个Manage口；</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交换性能336 Gbps，包转发率96 Mpps；</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工作温度：-5°C～45°C，存储温度：-20°C～70°C；</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支持胖瘦一体化，支持智能交换机和普通交换机两种工作模式，可以根据不同的组网需要，随时灵活的进行切换；</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可通过配置静态IP地址，DHCP Option43方式，DNS域名等方式发现控制器平台；</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支持通过控制器平台一键替换“按钮”即可完成故障设备替换；</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支持STP、RSTP、MSTP协议，支持IGMP v1/v2/v3 Snooping；</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支持IEEE 802.3az 标准的 EEE节能技术：当EEE使能时，从而大幅度的减小端口在该阶段的功耗，达到了节能的目的；</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支持MAC地址自动学习；</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为提高设备可靠性，支持M-LAG技术；（投标时提供功能截图证明，并加盖投标人公章）；</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支持通过控制器平台查看交换机端口负载情况（投标时提供功能截图证明，并加盖投标人公章）；</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为保证内网安全性，防止病毒在内网横向传播，交换机具有东西向风险流量安全功能；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为禁止非法终端(例如私接路由器)接入，需支持终端类型库，能自动识别PC电脑终端、路由器、监控摄像头终端设备等；（投标时提供功能截图证明，并加盖投标人公章）</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支持防网关ARP欺骗，管理员分级管理，支持防止DOS、ARP攻击功能；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支持通过APP进行远程管理，并且可以修改交换机网络配置；</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支持通过在控制器平台的Web页面对交换机进行可视化管理查看，包括交换机的端口状态及配置、vlan信息；</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支持通过控制器平台对交换机端口进行开启与关闭；（投标时提供功能截图证明，并加盖投标人公章）</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支持安全状态页面中显示安全事件；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支持交换机端口终端类型变更后，通过APP、短信告警；</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支持通过控制器平台查看交换机面板端口工作状态，通过端口颜色显示状态即可判断端口是否在线工作；</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为实现远程运维，支持通过手机APP对交换机进行管理。（投标时提供功能截图证明，并加盖投标人公章）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智能排插</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个</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不少于 5 孔 5 位 10A 插孔；</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 100-240VAC 供电，最大额定负载不低于 2500W；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通过功能键可进入或退出拒绝远程断电状态、控制通断电；</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通过指示灯能直观判断是否通电、是否连接云平台、是否拒绝远程通断电；</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 LoRa 低功率远距离无线协议，实现远程控制、数据传输；</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支持电量计量、远程控制、通断电控制、传感器间相互联动等特性；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设备支持接入物联网平台统一集中管理，支持查看电压、电流、实时功率、最新数据上报时间、设备日志；（投标时提供功能截图证明，并加盖投标人公章）</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 APP 方式查看插座状态，包括功率、 电压、电流、 电量、开关状态、拒绝平台通断电状态等；</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支持通过 APP 方式对插座状态进行配置，可配置的状态包括开关状态、拒绝平台通断电状态、按键指示灯状态、蜂鸣器报警状态等；（投标时提供功能截图证明，并加盖投标人公章）</w:t>
            </w:r>
            <w:r>
              <w:rPr>
                <w:rFonts w:hint="eastAsia" w:ascii="宋体" w:hAnsi="宋体" w:cs="宋体"/>
                <w:color w:val="auto"/>
                <w:szCs w:val="21"/>
                <w:highlight w:val="none"/>
                <w:shd w:val="clear" w:color="auto" w:fill="auto"/>
                <w:lang w:eastAsia="zh-CN"/>
              </w:rPr>
              <w:t>；</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支持功率告警设置，超过设定阈值时进行现场蜂鸣、断电、APP 通知，并联动摄像头现场抓拍，启动异常巡检任务。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3</w:t>
            </w:r>
            <w:r>
              <w:rPr>
                <w:rFonts w:hint="eastAsia" w:ascii="宋体" w:hAnsi="宋体" w:cs="宋体"/>
                <w:color w:val="auto"/>
                <w:kern w:val="0"/>
                <w:szCs w:val="21"/>
                <w:highlight w:val="none"/>
                <w:shd w:val="clear" w:color="auto" w:fill="auto"/>
                <w:lang w:val="en-US" w:eastAsia="zh-CN"/>
              </w:rPr>
              <w:t>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综合布线</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项</w:t>
            </w:r>
          </w:p>
        </w:tc>
        <w:tc>
          <w:tcPr>
            <w:tcW w:w="6697" w:type="dxa"/>
            <w:tcBorders>
              <w:top w:val="single" w:color="auto" w:sz="4" w:space="0"/>
              <w:left w:val="single" w:color="auto" w:sz="4" w:space="0"/>
              <w:bottom w:val="single" w:color="auto" w:sz="4" w:space="0"/>
            </w:tcBorders>
          </w:tcPr>
          <w:p>
            <w:pPr>
              <w:pStyle w:val="8"/>
              <w:numPr>
                <w:ilvl w:val="0"/>
                <w:numId w:val="12"/>
              </w:numPr>
              <w:spacing w:line="264" w:lineRule="auto"/>
              <w:ind w:firstLine="0"/>
              <w:jc w:val="left"/>
              <w:rPr>
                <w:rFonts w:hint="eastAsia" w:ascii="宋体" w:hAnsi="宋体" w:cs="宋体"/>
                <w:color w:val="auto"/>
                <w:kern w:val="2"/>
                <w:sz w:val="21"/>
                <w:szCs w:val="21"/>
                <w:highlight w:val="none"/>
                <w:shd w:val="clear" w:color="auto" w:fill="auto"/>
                <w:lang w:eastAsia="zh-CN"/>
              </w:rPr>
            </w:pPr>
            <w:r>
              <w:rPr>
                <w:rFonts w:hint="eastAsia" w:ascii="宋体" w:hAnsi="宋体" w:eastAsia="宋体" w:cs="宋体"/>
                <w:color w:val="auto"/>
                <w:kern w:val="2"/>
                <w:sz w:val="21"/>
                <w:szCs w:val="21"/>
                <w:highlight w:val="none"/>
                <w:shd w:val="clear" w:color="auto" w:fill="auto"/>
              </w:rPr>
              <w:t>HDIM线，长度100米，HDMI头大小:20*26*10.5mm</w:t>
            </w:r>
            <w:r>
              <w:rPr>
                <w:rFonts w:hint="eastAsia" w:ascii="宋体" w:hAnsi="宋体" w:cs="宋体"/>
                <w:color w:val="auto"/>
                <w:kern w:val="2"/>
                <w:sz w:val="21"/>
                <w:szCs w:val="21"/>
                <w:highlight w:val="none"/>
                <w:shd w:val="clear" w:color="auto" w:fill="auto"/>
                <w:lang w:eastAsia="zh-CN"/>
              </w:rPr>
              <w:t>；</w:t>
            </w:r>
          </w:p>
          <w:p>
            <w:pPr>
              <w:pStyle w:val="8"/>
              <w:numPr>
                <w:ilvl w:val="-1"/>
                <w:numId w:val="0"/>
              </w:numPr>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eastAsia="宋体" w:cs="宋体"/>
                <w:color w:val="auto"/>
                <w:kern w:val="2"/>
                <w:sz w:val="21"/>
                <w:szCs w:val="21"/>
                <w:highlight w:val="none"/>
                <w:shd w:val="clear" w:color="auto" w:fill="auto"/>
              </w:rPr>
              <w:t>2.DVI(24+1全满)公对公线，支持1080P，60Hz</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3.HD-SDI视频监控线</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4.直径7.2mm，馈线50-5-1</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5.2*307铜芯线，双芯咪线RVPE2*0.5</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6.六类屏蔽网线，200米/卷</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7.动力电缆YJV-0.6/1Kv-4*25+1*16（约100米）</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8.铜芯护套线RVV3*2.5，200米/卷</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9.六类水晶头工程级50U镀金100个装 RJ45千兆网线接头 CAT6，100个一盒</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10.强弱电材料槽式电缆桥架XQJ C100*100</w:t>
            </w:r>
            <w:r>
              <w:rPr>
                <w:rFonts w:hint="eastAsia" w:ascii="宋体" w:hAnsi="宋体" w:cs="宋体"/>
                <w:color w:val="auto"/>
                <w:kern w:val="2"/>
                <w:sz w:val="21"/>
                <w:szCs w:val="21"/>
                <w:highlight w:val="none"/>
                <w:shd w:val="clear" w:color="auto" w:fill="auto"/>
                <w:lang w:eastAsia="zh-CN"/>
              </w:rPr>
              <w:t>；</w:t>
            </w:r>
            <w:r>
              <w:rPr>
                <w:rFonts w:hint="eastAsia" w:ascii="宋体" w:hAnsi="宋体" w:eastAsia="宋体" w:cs="宋体"/>
                <w:color w:val="auto"/>
                <w:kern w:val="2"/>
                <w:sz w:val="21"/>
                <w:szCs w:val="21"/>
                <w:highlight w:val="none"/>
                <w:shd w:val="clear" w:color="auto" w:fill="auto"/>
              </w:rPr>
              <w:br w:type="textWrapping"/>
            </w:r>
            <w:r>
              <w:rPr>
                <w:rFonts w:hint="eastAsia" w:ascii="宋体" w:hAnsi="宋体" w:eastAsia="宋体" w:cs="宋体"/>
                <w:color w:val="auto"/>
                <w:kern w:val="2"/>
                <w:sz w:val="21"/>
                <w:szCs w:val="21"/>
                <w:highlight w:val="none"/>
                <w:shd w:val="clear" w:color="auto" w:fill="auto"/>
              </w:rPr>
              <w:t>11.380V的动力电缆（三相五线制）YJV4×25平方+1×16平方（约60米）</w:t>
            </w:r>
            <w:r>
              <w:rPr>
                <w:rFonts w:hint="eastAsia" w:ascii="宋体" w:hAnsi="宋体" w:cs="宋体"/>
                <w:color w:val="auto"/>
                <w:kern w:val="2"/>
                <w:sz w:val="21"/>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3</w:t>
            </w:r>
            <w:r>
              <w:rPr>
                <w:rFonts w:hint="eastAsia" w:ascii="宋体" w:hAnsi="宋体" w:cs="宋体"/>
                <w:color w:val="auto"/>
                <w:kern w:val="0"/>
                <w:szCs w:val="21"/>
                <w:highlight w:val="none"/>
                <w:shd w:val="clear" w:color="auto" w:fill="auto"/>
                <w:lang w:val="en-US" w:eastAsia="zh-CN"/>
              </w:rPr>
              <w:t>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拼接矩阵主机</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主机具备≥16个输入卡槽，≥10个输出卡槽，搭配相应板卡支持≥4096*2160@60fps、RGB4:4:4；同时具备≥1个预览卡槽和≥1个回显卡槽，不占用输入输出卡槽，回显卡支持通过HDMI视频接口输出监控，分辨率支持≥1920*1080@60fps。</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支持台标设置功能，可设置文字台标或图片台标；支持底图设置功能，可上传≥8K分辨率的图片作为大屏底图显示；以及支持字幕显示功能，用户可自定义字幕内容，字幕可设置静态或动态显示，可调整滚动速度、滚动模式，以及可调整字幕的大小、位置、背景颜色、字体颜色、字体、对齐方式。</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3.支持B/S和C/S管理控制架构，支持windows、IOS、Android操作系统访问主机及交互操作；支持多用户多平台同步操作，支持不同平台操作界面实时同步；客户端自带指引操作视频。</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4.单张输出板卡可开≥16个图层，可实现单卡任意开窗、叠加、漫游、缩放。</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5.基于纯硬件FPGA架构，主机具备拼接、矩阵一体化功能，输出端可选拼接或矩阵模式，并具备音频智能管控功能，无需独立音频卡，支持音频单独传输，HDMI板卡可选择外部模拟音频或HDMI内嵌音频输入或输出。</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▲6.配置IP输入卡，采用加权轮询负载均衡算法，无需额外配置流媒体服务器，支持无限制添加接入ONVIF协议、GB/T 28181标准的监控信号，进行统一管理、统一调度，并支持可视化预览，可解码≥4096*2160@30fps的IP码流。（</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b/>
                <w:bCs/>
                <w:color w:val="auto"/>
                <w:szCs w:val="21"/>
                <w:highlight w:val="none"/>
                <w:shd w:val="clear" w:color="auto" w:fill="auto"/>
                <w:lang w:val="en-US" w:eastAsia="zh-CN"/>
              </w:rPr>
              <w:t>产品</w:t>
            </w:r>
            <w:r>
              <w:rPr>
                <w:rFonts w:hint="eastAsia" w:ascii="宋体" w:hAnsi="宋体" w:cs="宋体"/>
                <w:b/>
                <w:bCs/>
                <w:color w:val="auto"/>
                <w:szCs w:val="21"/>
                <w:highlight w:val="none"/>
                <w:shd w:val="clear" w:color="auto" w:fill="auto"/>
              </w:rPr>
              <w:t>检测报告作为该技术参数证明材料</w:t>
            </w:r>
            <w:r>
              <w:rPr>
                <w:rFonts w:hint="eastAsia" w:ascii="宋体" w:hAnsi="宋体" w:cs="宋体"/>
                <w:color w:val="auto"/>
                <w:szCs w:val="21"/>
                <w:highlight w:val="none"/>
                <w:shd w:val="clear" w:color="auto" w:fill="auto"/>
              </w:rPr>
              <w:t>）</w:t>
            </w:r>
            <w:r>
              <w:rPr>
                <w:rFonts w:hint="eastAsia" w:ascii="宋体" w:hAnsi="宋体" w:cs="宋体"/>
                <w:color w:val="auto"/>
                <w:szCs w:val="21"/>
                <w:highlight w:val="none"/>
                <w:shd w:val="clear" w:color="auto" w:fill="auto"/>
                <w:lang w:eastAsia="zh-CN"/>
              </w:rPr>
              <w:t>。</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7.具备监测主机温度、电源在线状态功能，具备智能识别板卡接口组合，板卡和接口状态监测，信号丢失预警，同时具备可视化图形管控，具有接入板卡数量统计以及接入通道数量统计功能。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8.单卡支持创建≥4个屏幕，单台主机支持创建≥40个屏幕；具备屏幕非规则建屏，可实现单卡单接口建屏。</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9.具备图层参数设置功能，包括缩放、图层置顶置底、布局模式、叠加；并采用无极缩放算法，保障画面放大缩小细节不丢失。</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采用深度神经网络（DNN）和长短期记忆网络（LSTM）算法，可自定义≥30条语音指令，搭配客户端软件可实现语音控制开启/关闭音频、开启/关闭字幕、场景轮询、切换场景预案、清屏、锁屏、解除锁屏功能。（</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b/>
                <w:bCs/>
                <w:color w:val="auto"/>
                <w:szCs w:val="21"/>
                <w:highlight w:val="none"/>
                <w:shd w:val="clear" w:color="auto" w:fill="auto"/>
                <w:lang w:val="en-US" w:eastAsia="zh-CN"/>
              </w:rPr>
              <w:t>产品</w:t>
            </w:r>
            <w:r>
              <w:rPr>
                <w:rFonts w:hint="eastAsia" w:ascii="宋体" w:hAnsi="宋体" w:cs="宋体"/>
                <w:b/>
                <w:bCs/>
                <w:color w:val="auto"/>
                <w:szCs w:val="21"/>
                <w:highlight w:val="none"/>
                <w:shd w:val="clear" w:color="auto" w:fill="auto"/>
              </w:rPr>
              <w:t>检测报告作为该技术参数证明材料</w:t>
            </w:r>
            <w:r>
              <w:rPr>
                <w:rFonts w:hint="eastAsia" w:ascii="宋体" w:hAnsi="宋体" w:cs="宋体"/>
                <w:color w:val="auto"/>
                <w:szCs w:val="21"/>
                <w:highlight w:val="none"/>
                <w:shd w:val="clear" w:color="auto" w:fill="auto"/>
              </w:rPr>
              <w:t>）</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11.支持通过RS-232和TCP/IP等控制对接中控系统，实现可视化界面管控，用户可通过控制端实时预览、放大、缩小、拖动并切换拼接矩阵视频信号，可对输入信号源进行置底、置顶以及一键清屏操作，支持设置触碰和投放触发切换方式。（</w:t>
            </w:r>
            <w:r>
              <w:rPr>
                <w:rFonts w:hint="eastAsia" w:ascii="宋体" w:hAnsi="宋体" w:cs="宋体"/>
                <w:b/>
                <w:bCs/>
                <w:color w:val="auto"/>
                <w:szCs w:val="21"/>
                <w:highlight w:val="none"/>
                <w:shd w:val="clear" w:color="auto" w:fill="auto"/>
              </w:rPr>
              <w:t>投标时需提供得到CMA或CNAS认可的检测机构出具的</w:t>
            </w:r>
            <w:r>
              <w:rPr>
                <w:rFonts w:hint="eastAsia" w:ascii="宋体" w:hAnsi="宋体" w:cs="宋体"/>
                <w:b/>
                <w:bCs/>
                <w:color w:val="auto"/>
                <w:szCs w:val="21"/>
                <w:highlight w:val="none"/>
                <w:shd w:val="clear" w:color="auto" w:fill="auto"/>
                <w:lang w:val="en-US" w:eastAsia="zh-CN"/>
              </w:rPr>
              <w:t>产品</w:t>
            </w:r>
            <w:r>
              <w:rPr>
                <w:rFonts w:hint="eastAsia" w:ascii="宋体" w:hAnsi="宋体" w:cs="宋体"/>
                <w:b/>
                <w:bCs/>
                <w:color w:val="auto"/>
                <w:szCs w:val="21"/>
                <w:highlight w:val="none"/>
                <w:shd w:val="clear" w:color="auto" w:fill="auto"/>
              </w:rPr>
              <w:t>检测报告作为该技术参数证明材料</w:t>
            </w:r>
            <w:r>
              <w:rPr>
                <w:rFonts w:hint="eastAsia" w:ascii="宋体" w:hAnsi="宋体" w:cs="宋体"/>
                <w:color w:val="auto"/>
                <w:szCs w:val="21"/>
                <w:highlight w:val="none"/>
                <w:shd w:val="clear" w:color="auto" w:fill="auto"/>
              </w:rPr>
              <w:t>）</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12.内置≥7英寸触摸屏，可通过触摸屏进行监测状态查看、参数设置、预案调用操作，并且触摸屏支持在线升级。</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13.支持双控制卡备份功能，切换过程画面无黑屏，音频无卡顿；同时支持双电源备份、输入和输出端口备份功能。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szCs w:val="21"/>
                <w:highlight w:val="none"/>
                <w:shd w:val="clear" w:color="auto" w:fill="auto"/>
                <w:lang w:val="en-US" w:eastAsia="zh-CN"/>
              </w:rPr>
              <w:t>14.</w:t>
            </w:r>
            <w:r>
              <w:rPr>
                <w:rFonts w:hint="eastAsia" w:ascii="宋体" w:hAnsi="宋体" w:cs="宋体"/>
                <w:color w:val="auto"/>
                <w:szCs w:val="21"/>
                <w:highlight w:val="none"/>
                <w:shd w:val="clear" w:color="auto" w:fill="auto"/>
              </w:rPr>
              <w:t>由于软件决定着本产品功能的完整性，要求软件具备《计算机软件著作权登记证书》，提供相关证书复印件以及在中国版权保护中心官网的查询结果截图。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LED显示屏钢结构</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55.5024</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平方米</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rPr>
              <w:t>1</w:t>
            </w:r>
            <w:r>
              <w:rPr>
                <w:rFonts w:hint="eastAsia" w:ascii="宋体" w:hAnsi="宋体" w:cs="宋体"/>
                <w:color w:val="auto"/>
                <w:kern w:val="0"/>
                <w:sz w:val="21"/>
                <w:szCs w:val="21"/>
                <w:highlight w:val="none"/>
                <w:shd w:val="clear" w:color="auto" w:fill="auto"/>
                <w:lang w:val="en-US" w:eastAsia="zh-CN"/>
              </w:rPr>
              <w:t>.</w:t>
            </w:r>
            <w:r>
              <w:rPr>
                <w:rFonts w:hint="eastAsia" w:ascii="宋体" w:hAnsi="宋体" w:eastAsia="宋体" w:cs="宋体"/>
                <w:color w:val="auto"/>
                <w:kern w:val="0"/>
                <w:sz w:val="21"/>
                <w:szCs w:val="21"/>
                <w:highlight w:val="none"/>
                <w:shd w:val="clear" w:color="auto" w:fill="auto"/>
              </w:rPr>
              <w:t>主体搭建采用304不锈钢焊接主体；</w:t>
            </w:r>
            <w:r>
              <w:rPr>
                <w:rFonts w:hint="eastAsia" w:ascii="宋体" w:hAnsi="宋体" w:eastAsia="宋体" w:cs="宋体"/>
                <w:color w:val="auto"/>
                <w:kern w:val="0"/>
                <w:sz w:val="21"/>
                <w:szCs w:val="21"/>
                <w:highlight w:val="none"/>
                <w:shd w:val="clear" w:color="auto" w:fill="auto"/>
              </w:rPr>
              <w:br w:type="textWrapping"/>
            </w:r>
            <w:r>
              <w:rPr>
                <w:rFonts w:hint="eastAsia" w:ascii="宋体" w:hAnsi="宋体" w:eastAsia="宋体" w:cs="宋体"/>
                <w:color w:val="auto"/>
                <w:kern w:val="0"/>
                <w:sz w:val="21"/>
                <w:szCs w:val="21"/>
                <w:highlight w:val="none"/>
                <w:shd w:val="clear" w:color="auto" w:fill="auto"/>
              </w:rPr>
              <w:t>2</w:t>
            </w:r>
            <w:r>
              <w:rPr>
                <w:rFonts w:hint="eastAsia" w:ascii="宋体" w:hAnsi="宋体" w:cs="宋体"/>
                <w:color w:val="auto"/>
                <w:kern w:val="0"/>
                <w:sz w:val="21"/>
                <w:szCs w:val="21"/>
                <w:highlight w:val="none"/>
                <w:shd w:val="clear" w:color="auto" w:fill="auto"/>
                <w:lang w:val="en-US" w:eastAsia="zh-CN"/>
              </w:rPr>
              <w:t>.</w:t>
            </w:r>
            <w:r>
              <w:rPr>
                <w:rFonts w:hint="eastAsia" w:ascii="宋体" w:hAnsi="宋体" w:eastAsia="宋体" w:cs="宋体"/>
                <w:color w:val="auto"/>
                <w:kern w:val="0"/>
                <w:sz w:val="21"/>
                <w:szCs w:val="21"/>
                <w:highlight w:val="none"/>
                <w:shd w:val="clear" w:color="auto" w:fill="auto"/>
              </w:rPr>
              <w:t>在需要保护边缘或角落，采用304不锈钢</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br w:type="textWrapping"/>
            </w:r>
            <w:r>
              <w:rPr>
                <w:rFonts w:hint="eastAsia" w:ascii="宋体" w:hAnsi="宋体" w:eastAsia="宋体" w:cs="宋体"/>
                <w:color w:val="auto"/>
                <w:kern w:val="0"/>
                <w:sz w:val="21"/>
                <w:szCs w:val="21"/>
                <w:highlight w:val="none"/>
                <w:shd w:val="clear" w:color="auto" w:fill="auto"/>
              </w:rPr>
              <w:t>3</w:t>
            </w:r>
            <w:r>
              <w:rPr>
                <w:rFonts w:hint="eastAsia" w:ascii="宋体" w:hAnsi="宋体" w:cs="宋体"/>
                <w:color w:val="auto"/>
                <w:kern w:val="0"/>
                <w:sz w:val="21"/>
                <w:szCs w:val="21"/>
                <w:highlight w:val="none"/>
                <w:shd w:val="clear" w:color="auto" w:fill="auto"/>
                <w:lang w:val="en-US" w:eastAsia="zh-CN"/>
              </w:rPr>
              <w:t>.</w:t>
            </w:r>
            <w:r>
              <w:rPr>
                <w:rFonts w:hint="eastAsia" w:ascii="宋体" w:hAnsi="宋体" w:eastAsia="宋体" w:cs="宋体"/>
                <w:color w:val="auto"/>
                <w:kern w:val="0"/>
                <w:sz w:val="21"/>
                <w:szCs w:val="21"/>
                <w:highlight w:val="none"/>
                <w:shd w:val="clear" w:color="auto" w:fill="auto"/>
              </w:rPr>
              <w:t>用于焊结立柱的制作，采用304不锈钢</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br w:type="textWrapping"/>
            </w:r>
            <w:r>
              <w:rPr>
                <w:rFonts w:hint="eastAsia" w:ascii="宋体" w:hAnsi="宋体" w:eastAsia="宋体" w:cs="宋体"/>
                <w:color w:val="auto"/>
                <w:kern w:val="0"/>
                <w:sz w:val="21"/>
                <w:szCs w:val="21"/>
                <w:highlight w:val="none"/>
                <w:shd w:val="clear" w:color="auto" w:fill="auto"/>
              </w:rPr>
              <w:t>4</w:t>
            </w:r>
            <w:r>
              <w:rPr>
                <w:rFonts w:hint="eastAsia" w:ascii="宋体" w:hAnsi="宋体" w:cs="宋体"/>
                <w:color w:val="auto"/>
                <w:kern w:val="0"/>
                <w:sz w:val="21"/>
                <w:szCs w:val="21"/>
                <w:highlight w:val="none"/>
                <w:shd w:val="clear" w:color="auto" w:fill="auto"/>
                <w:lang w:val="en-US" w:eastAsia="zh-CN"/>
              </w:rPr>
              <w:t>.</w:t>
            </w:r>
            <w:r>
              <w:rPr>
                <w:rFonts w:hint="eastAsia" w:ascii="宋体" w:hAnsi="宋体" w:eastAsia="宋体" w:cs="宋体"/>
                <w:color w:val="auto"/>
                <w:kern w:val="0"/>
                <w:sz w:val="21"/>
                <w:szCs w:val="21"/>
                <w:highlight w:val="none"/>
                <w:shd w:val="clear" w:color="auto" w:fill="auto"/>
              </w:rPr>
              <w:t>包边装饰边框材料采用不锈钢</w:t>
            </w:r>
            <w:r>
              <w:rPr>
                <w:rFonts w:hint="eastAsia" w:ascii="宋体" w:hAnsi="宋体" w:cs="宋体"/>
                <w:color w:val="auto"/>
                <w:kern w:val="0"/>
                <w:sz w:val="21"/>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扫描仪</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镜头：CCD镜头</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扫描材料：艺术品、3D材料、木材、布料、脆弱的原稿</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原稿装载方式：正面朝上，非接触式</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尺寸：最大：1067×1524毫米（42×60英寸）最小：25.4×25.4毫米（1×1英寸）（非接触式扫描，扫描过程中镜头及光源不动，稿台匀速移动。线性一次性扫描，不接受拍照式扫描仪和多次线性扫描拼接全幅图像的方式。）投标时需提</w:t>
            </w:r>
            <w:r>
              <w:rPr>
                <w:rFonts w:hint="eastAsia"/>
                <w:color w:val="auto"/>
                <w:highlight w:val="none"/>
                <w:shd w:val="clear" w:color="auto" w:fill="auto"/>
                <w:lang w:val="en-US" w:eastAsia="zh-CN"/>
              </w:rPr>
              <w:t>供</w:t>
            </w:r>
            <w:r>
              <w:rPr>
                <w:rFonts w:hint="eastAsia" w:ascii="宋体" w:hAnsi="宋体" w:cs="宋体"/>
                <w:color w:val="auto"/>
                <w:szCs w:val="21"/>
                <w:highlight w:val="none"/>
                <w:shd w:val="clear" w:color="auto" w:fill="auto"/>
              </w:rPr>
              <w:t>产品彩页作为证明材料，证明材料内容需符合投标响应的技术指标；证明材料所描述产品的品牌及规格（型号）需与投标产品一致。</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介质尺寸：1113×1625毫米（43.8×64英寸）</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扫描通道高度：254毫米（10英寸）。投标时需提供产品彩页作为证明材料，证明材料内容需符合投标响应的技术指标；证明材料所描述产品的品牌及规格（型号）需与投标产品一致。</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扫描面距镜头距离：130毫米（5.1英寸）</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最大景深（300 dpi）：+/-10毫米</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扫描速度：：</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平整，薄的原稿（厘米/秒）：300 dpi，24-bit彩色：15.24</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600 dpi，24-bit彩色：3.81</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1200dpi，24-bit彩色：0.3</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凸起的不平整的原稿（厘米/秒）：300 dpi，24-bit彩色：13.97</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600 dpi，24-bit彩色：3.51</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1200dpi，24-bit彩色：0.71</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凸起的不平整的原稿，3D效果（厘米/秒）：300 dpi，24-bit彩色：6.98</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600 dpi，24-bit彩色：1.75</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1200dpi，24-bit彩色：0.28</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最大扫描物体的重量：最大到20千克，平均分配到稿件台上</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光学分辨率：1200 dpi</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插值分辨率：9600dpi</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成像技术：6个专用CCD镜头，4彩色通道（RGB+灰色）。投标时需提供产品彩页作为证明材料，证明材料内容需符合投标响应的技术指标；证明材料所描述产品的品牌及规格（型号）需与投标产品一致。</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光源：2条LED光源带，安装椭球面反射镜。LED光谱：2700K，5000K，6500K</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像素总数：256320像素</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扫描精度：0.1% +/-1像素</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自动相机调整：有</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色彩位数：48-bit彩色 / 16-bit黑白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移动传感器：有</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移动控制：扫描镜头：上/下；扫描平台：前/后</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红色紧急停止按钮：有</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高度调整和对焦监测：有，通过镜头的激光射线</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UV/IR放射线（紫/红外线）：无</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光源预热时间：无</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光源位置选项：可以调整4个高光/阴影的位置（向上/下方向长阴影，长阴影，短阴影）</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原稿的形状和表面：平整薄的原稿，凸起的不平整的原稿，扫描后的3D选项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色彩描述文件：ICC色彩管理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预设尺寸：A4toA0，B4toB0，ANSI A to E,Arch A to E1</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自定义尺寸：有</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色域空间：Adobe RGB、Device RGB、RAW RGB、sRGB</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全长度自动扫描：有</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包含显示器：22”触摸屏（VESA mount 75X75 mm and 100X100 mm）能够调整位置适应最佳人体工程学。投标时产品彩页作为证明材料，证明材料内容需符合投标响应的技术指标；证明材料所描述产品的品牌及规格（型号）需与投标产品一致。</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电脑配置：标配2.4 GHz 处理器，8核 (16 逻辑处理器) 或者更高 64-位处理器，32 GB 内存 and 480G SSD SATA 硬盘，最少USB 3.0 或者 千兆以太网(不包含PC)</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包含软件（标配）：Nextimage Apeiron软件（英语，德语，法语，意大利语，西班牙语，葡萄牙语，波兰语，俄语，中文，日语）</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文件格式：Big TIFF，TIF，JPG，PDF，PDF/A，DWF，CALS，BMP，JPEG-2000（JP2），JPEG2000 Extended（JPX），TIF-G3，TIF-G4，多页PDF以及其他</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文件相容性：AutoCAD@，Microstation"M，ArcGISM and all other CAD，GIS and以及其他影像处理保存软件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打印机支持：HP，Canon，Epson and Oce printers.参考contex.com/nextimage-supported-printers所支持的所有打印机</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操作环境：15 to 30°℃（59 to 86°F）35 to 60%，无冷凝</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电源消耗：待机时候：36W；睡眠时候：1.3W；扫描时候：76W</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40</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电源：100V/230V/240V，60/50 Hz</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能源之星标准：符合3.0标准</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扫描仪（WXHXD）：3450X1558X1575毫米（135.8X61.3X62英寸）在最高位置时候</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扫描台高度：900毫米（35.4英寸）</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操作平台：Windows 11 64-bit，Windows 10 64-bit</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FADGI：FADGI 4星</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规格认证：UL/Cb，FCC，CCC（China），UKCA&amp;CE，VCCI（Japan），Laser（FDA/IEC），Energy Star 3.0</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显色性指数：CRI CR|&gt;98</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颜色管理：</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X-Rite色彩管理：Delta-E 0.2</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▲49</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货物验收及培训：</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（1）中标人必须在供货时，提供原厂供货证明（原件）作为验收依据。</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（2）中标人必须在供货时，提供原厂质保与服务承诺函（原件），确保得到原厂服务，作为验收依据。</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（3）采购人对货物的数量和质量进行初步验收后，对不符合要求的货物可立即要求退换；在采购人将所有的货物按采购文件要求和国家标准或行业标准进行检测验收后，由厂家专业人员培训以及厂家专业服务。</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color w:val="auto"/>
                <w:highlight w:val="none"/>
                <w:shd w:val="clear" w:color="auto" w:fill="auto"/>
              </w:rPr>
              <w:t>本产品在供货时采购人有权可对中标人所投产品进行功能测试，由采购人提供测试环境、测试方案。经测试，产品中的任何一项指标未达到中标人投标文件中响应的性能、功能指标等要求，视中标人为虚假应标，采购人有权解除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沙发</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尺寸：2400*1100*950mm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面料：软包采用优质绒布，符合GB 18401-2010《国家纺织产品基本安全技术规范要求》，甲醛释放量≤20mg/kg,染色牢度达到3-4级标准，无异味，未检出可分解芳香胺染料含量，通过抗引燃特性试验。海绵采用软硬适中的高质量阻燃海绵，符合</w:t>
            </w:r>
            <w:r>
              <w:rPr>
                <w:rFonts w:hint="eastAsia" w:ascii="宋体" w:hAnsi="宋体" w:cs="宋体"/>
                <w:color w:val="auto"/>
                <w:szCs w:val="21"/>
                <w:highlight w:val="none"/>
                <w:shd w:val="clear" w:color="auto" w:fill="auto"/>
                <w:lang w:eastAsia="zh-CN"/>
              </w:rPr>
              <w:t>GB /T 10802-2023</w:t>
            </w:r>
            <w:r>
              <w:rPr>
                <w:rFonts w:hint="eastAsia" w:ascii="宋体" w:hAnsi="宋体" w:cs="宋体"/>
                <w:color w:val="auto"/>
                <w:szCs w:val="21"/>
                <w:highlight w:val="none"/>
                <w:shd w:val="clear" w:color="auto" w:fill="auto"/>
              </w:rPr>
              <w:t>《通用软质聚氨酯泡沫塑料》标准，回弹率≥60%，密度≥55kg/m³</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海绵：海绵采用软硬适中的高质量阻燃海绵，符合</w:t>
            </w:r>
            <w:r>
              <w:rPr>
                <w:rFonts w:hint="eastAsia" w:ascii="宋体" w:hAnsi="宋体" w:cs="宋体"/>
                <w:color w:val="auto"/>
                <w:szCs w:val="21"/>
                <w:highlight w:val="none"/>
                <w:shd w:val="clear" w:color="auto" w:fill="auto"/>
                <w:lang w:eastAsia="zh-CN"/>
              </w:rPr>
              <w:t>GB /T 10802-2023</w:t>
            </w:r>
            <w:r>
              <w:rPr>
                <w:rFonts w:hint="eastAsia" w:ascii="宋体" w:hAnsi="宋体" w:cs="宋体"/>
                <w:color w:val="auto"/>
                <w:szCs w:val="21"/>
                <w:highlight w:val="none"/>
                <w:shd w:val="clear" w:color="auto" w:fill="auto"/>
              </w:rPr>
              <w:t xml:space="preserve">《通用软质聚氨酯泡沫塑料》标准，回弹率≥60%，密度≥55kg/m³                                  </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内架：采用进口落叶松+桉木结合刨方木架，AAA级多层夹板封板,3.6蛇簧搭配皮筋扣定线固定，经久耐用。                        </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lang w:val="en-US" w:eastAsia="zh-CN"/>
              </w:rPr>
              <w:t>3.</w:t>
            </w:r>
            <w:r>
              <w:rPr>
                <w:rFonts w:hint="eastAsia" w:ascii="宋体" w:hAnsi="宋体" w:cs="宋体"/>
                <w:color w:val="auto"/>
                <w:szCs w:val="21"/>
                <w:highlight w:val="none"/>
                <w:shd w:val="clear" w:color="auto" w:fill="auto"/>
              </w:rPr>
              <w:t>脚：冷拉管喷涂</w:t>
            </w:r>
            <w:r>
              <w:rPr>
                <w:rFonts w:hint="eastAsia" w:ascii="宋体" w:hAnsi="宋体" w:cs="宋体"/>
                <w:color w:val="auto"/>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40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茶几</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1.</w:t>
            </w:r>
            <w:r>
              <w:rPr>
                <w:rFonts w:hint="eastAsia" w:ascii="宋体" w:hAnsi="宋体" w:cs="宋体"/>
                <w:color w:val="auto"/>
                <w:szCs w:val="21"/>
                <w:highlight w:val="none"/>
                <w:shd w:val="clear" w:color="auto" w:fill="auto"/>
              </w:rPr>
              <w:t>尺寸：1300*700*380mm</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lang w:val="en-US" w:eastAsia="zh-CN"/>
              </w:rPr>
              <w:t>2.</w:t>
            </w:r>
            <w:r>
              <w:rPr>
                <w:rFonts w:hint="eastAsia" w:ascii="宋体" w:hAnsi="宋体" w:cs="宋体"/>
                <w:color w:val="auto"/>
                <w:szCs w:val="21"/>
                <w:highlight w:val="none"/>
                <w:shd w:val="clear" w:color="auto" w:fill="auto"/>
              </w:rPr>
              <w:t>板材：基材采用多层实木板，符合GB/T 35601-2017 《绿色产品评价 人造板和木质地板》、GB 18580-2017《室内装饰装修材料 人造板及其制品中甲醛释放限量》标准，含水率5%-16%，弹性模量（顺纹）≥5000MPa，弹性模量（横纹）≥4000MPa，甲醛释放量≤0.020mg/m³，挥发性有机化合物≤20ug/m³， 实心铁脚</w:t>
            </w:r>
            <w:r>
              <w:rPr>
                <w:rFonts w:hint="eastAsia" w:ascii="宋体" w:hAnsi="宋体" w:cs="宋体"/>
                <w:color w:val="auto"/>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4</w:t>
            </w:r>
            <w:r>
              <w:rPr>
                <w:rFonts w:hint="eastAsia" w:ascii="宋体" w:hAnsi="宋体" w:cs="宋体"/>
                <w:color w:val="auto"/>
                <w:kern w:val="0"/>
                <w:szCs w:val="21"/>
                <w:highlight w:val="none"/>
                <w:shd w:val="clear" w:color="auto" w:fill="auto"/>
                <w:lang w:val="en-US" w:eastAsia="zh-CN"/>
              </w:rPr>
              <w:t>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休闲椅</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尺寸：800*900*800mm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框架：冷轧钢板铁架脚。</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西皮（人造革）：符合GB/T16799-2018《家具用皮革》摩擦色牢度≥4级，耐光性≥4级，涂层粘着牢度≥6.5N/10mm，撕裂力≥100N，游离甲醛≤20mg/kg，挥发性有机化合物≤20mg/kg，禁用偶氮染料≤30mg/kg，可萃取的重金属≤5mg/kg；</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海绵：海绵采用软硬适中的高质量阻燃海绵，符合</w:t>
            </w:r>
            <w:r>
              <w:rPr>
                <w:rFonts w:hint="eastAsia" w:ascii="宋体" w:hAnsi="宋体" w:cs="宋体"/>
                <w:color w:val="auto"/>
                <w:szCs w:val="21"/>
                <w:highlight w:val="none"/>
                <w:shd w:val="clear" w:color="auto" w:fill="auto"/>
                <w:lang w:eastAsia="zh-CN"/>
              </w:rPr>
              <w:t>GB /T 10802-2023</w:t>
            </w:r>
            <w:r>
              <w:rPr>
                <w:rFonts w:hint="eastAsia" w:ascii="宋体" w:hAnsi="宋体" w:cs="宋体"/>
                <w:color w:val="auto"/>
                <w:szCs w:val="21"/>
                <w:highlight w:val="none"/>
                <w:shd w:val="clear" w:color="auto" w:fill="auto"/>
              </w:rPr>
              <w:t>《通用软质聚氨酯泡沫塑料》标准，回弹率≥60%，密度≥55kg/m³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4</w:t>
            </w:r>
            <w:r>
              <w:rPr>
                <w:rFonts w:hint="eastAsia" w:ascii="宋体" w:hAnsi="宋体" w:cs="宋体"/>
                <w:color w:val="auto"/>
                <w:kern w:val="0"/>
                <w:szCs w:val="21"/>
                <w:highlight w:val="none"/>
                <w:shd w:val="clear" w:color="auto" w:fill="auto"/>
                <w:lang w:val="en-US" w:eastAsia="zh-CN"/>
              </w:rPr>
              <w:t>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沙发</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10</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尺寸：890*820*590/400mm</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内架：采用进口落叶松+桉木结合刨方木架，AAA级多层夹板封板,3.6蛇簧搭配皮筋扣定线固定，经久耐用</w:t>
            </w:r>
            <w:r>
              <w:rPr>
                <w:rFonts w:hint="eastAsia" w:ascii="宋体" w:hAnsi="宋体" w:cs="宋体"/>
                <w:color w:val="auto"/>
                <w:szCs w:val="21"/>
                <w:highlight w:val="none"/>
                <w:shd w:val="clear" w:color="auto" w:fill="auto"/>
                <w:lang w:eastAsia="zh-CN"/>
              </w:rPr>
              <w:t>；</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西皮（人造革）：符合GB/T16799-2018《家具用皮革》摩擦色牢度≥4级，耐光性≥4级，涂层粘着牢度≥6.5N/10mm，撕裂力≥100N，游离甲醛≤20mg/kg，挥发性有机化合物≤20mg/kg，禁用偶氮染料≤30mg/kg，可萃取的重金属≤5mg/kg；</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海绵：海绵采用软硬适中的高质量阻燃海绵，符合</w:t>
            </w:r>
            <w:r>
              <w:rPr>
                <w:rFonts w:hint="default" w:ascii="宋体" w:hAnsi="宋体" w:cs="宋体"/>
                <w:color w:val="auto"/>
                <w:szCs w:val="21"/>
                <w:highlight w:val="none"/>
                <w:shd w:val="clear" w:color="auto" w:fill="auto"/>
                <w:lang w:val="en"/>
              </w:rPr>
              <w:t>GB /T 10802-2023</w:t>
            </w:r>
            <w:r>
              <w:rPr>
                <w:rFonts w:hint="eastAsia" w:ascii="宋体" w:hAnsi="宋体" w:cs="宋体"/>
                <w:color w:val="auto"/>
                <w:szCs w:val="21"/>
                <w:highlight w:val="none"/>
                <w:shd w:val="clear" w:color="auto" w:fill="auto"/>
              </w:rPr>
              <w:t xml:space="preserve">《通用软质聚氨酯泡沫塑料》标准，回弹率≥60%，密度≥55kg/m³                                         </w:t>
            </w:r>
          </w:p>
          <w:p>
            <w:pPr>
              <w:pStyle w:val="8"/>
              <w:spacing w:line="264" w:lineRule="auto"/>
              <w:ind w:left="0" w:leftChars="0" w:firstLine="0" w:firstLineChars="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lang w:val="en-US" w:eastAsia="zh-CN"/>
              </w:rPr>
              <w:t>4.</w:t>
            </w:r>
            <w:r>
              <w:rPr>
                <w:rFonts w:hint="eastAsia" w:ascii="宋体" w:hAnsi="宋体" w:cs="宋体"/>
                <w:color w:val="auto"/>
                <w:szCs w:val="21"/>
                <w:highlight w:val="none"/>
                <w:shd w:val="clear" w:color="auto" w:fill="auto"/>
              </w:rPr>
              <w:t>脚：喷涂</w:t>
            </w:r>
            <w:r>
              <w:rPr>
                <w:rFonts w:hint="eastAsia" w:ascii="宋体" w:hAnsi="宋体" w:cs="宋体"/>
                <w:color w:val="auto"/>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4</w:t>
            </w:r>
            <w:r>
              <w:rPr>
                <w:rFonts w:hint="eastAsia" w:ascii="宋体" w:hAnsi="宋体" w:cs="宋体"/>
                <w:color w:val="auto"/>
                <w:kern w:val="0"/>
                <w:szCs w:val="21"/>
                <w:highlight w:val="none"/>
                <w:shd w:val="clear" w:color="auto" w:fill="auto"/>
                <w:lang w:val="en-US" w:eastAsia="zh-CN"/>
              </w:rPr>
              <w:t>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茶几</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7</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个</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尺寸：500*450*450mm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优质人造石，人造石符合JC/T 908-2013《人造石》标准，外观无明显色差及裂纹。莫氏硬度≥6，吸水率≤0.07%，弯曲强度≥38MPa，放射性防护分类控制（A类）内照射指数IRa≤0.08，Iy≤0.08。</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不锈钢镀钛金脚</w:t>
            </w:r>
            <w:r>
              <w:rPr>
                <w:rFonts w:hint="eastAsia" w:ascii="宋体" w:hAnsi="宋体" w:cs="宋体"/>
                <w:color w:val="auto"/>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4</w:t>
            </w:r>
            <w:r>
              <w:rPr>
                <w:rFonts w:hint="eastAsia" w:ascii="宋体" w:hAnsi="宋体" w:cs="宋体"/>
                <w:color w:val="auto"/>
                <w:kern w:val="0"/>
                <w:szCs w:val="21"/>
                <w:highlight w:val="none"/>
                <w:shd w:val="clear" w:color="auto" w:fill="auto"/>
                <w:lang w:val="en-US" w:eastAsia="zh-CN"/>
              </w:rPr>
              <w:t>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休闲桌</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8</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尺寸：800*800*750mm</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台面：3CM厚度的E1级中密度纤维板。所有材料均经过防虫、防腐等化学处理，强度大，尺寸稳定性好，握钉力强，不易变形，符合GB/T 35601-2017 《绿色产品评价 人造板和木质地板》、GB 18580-2017《室内装饰装修材料 人造板及其制品中甲醛释放限量》标准，静曲强度≥24MPa，弹性模量≥2500 MPa，内结合强度≥0.49MPa，板边握螺钉力≥1000N，板面握螺钉力≥1500N，甲醛释放量≤0.020mg/m³，总挥发性有机化合物≤20ug/m³</w:t>
            </w:r>
            <w:r>
              <w:rPr>
                <w:rFonts w:hint="eastAsia" w:ascii="宋体" w:hAnsi="宋体" w:cs="宋体"/>
                <w:color w:val="auto"/>
                <w:szCs w:val="21"/>
                <w:highlight w:val="none"/>
                <w:shd w:val="clear" w:color="auto" w:fill="auto"/>
                <w:lang w:eastAsia="zh-CN"/>
              </w:rPr>
              <w:t>。</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桌脚：纯白蜡木全实木，主体采用燕尾榫结构，结合部位牢固无松动；木制构件全部经过烘干处理，四面刨光，无腐朽和虫蛀。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4</w:t>
            </w:r>
            <w:r>
              <w:rPr>
                <w:rFonts w:hint="eastAsia" w:ascii="宋体" w:hAnsi="宋体" w:cs="宋体"/>
                <w:color w:val="auto"/>
                <w:kern w:val="0"/>
                <w:szCs w:val="21"/>
                <w:highlight w:val="none"/>
                <w:shd w:val="clear" w:color="auto" w:fill="auto"/>
                <w:lang w:val="en-US" w:eastAsia="zh-CN"/>
              </w:rPr>
              <w:t>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休闲椅</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32</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尺寸：450*490*750mm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框架：纯白蜡木全实木，主体采用燕尾榫结构，结合部位牢固无松动；木制构件全部经过烘干处理，四面刨光，无腐朽和虫蛀。</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采用环保净味油漆，采用五底三面的八道油漆涂装工艺，保证产品光泽、平整、纹理清晰、环保，符合GB 18581-2020《木器涂料中有害物质限量》标准 ，VOC含量≤2g/L,甲醛含量≤25mg/kg，总铅含量≤5mg/kg，可溶性重金属含量≤5mg/kg。</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西皮（人造革）：符合GB/T16799-2018《家具用皮革》摩擦色牢度≥4级，耐光性≥4级，涂层粘着牢度≥6.5N/10mm，撕裂力≥100N，游离甲醛≤20mg/kg，挥发性有机化合物≤20mg/kg，禁用偶氮染料≤30mg/kg，可萃取的重金属≤5mg/kg</w:t>
            </w:r>
            <w:r>
              <w:rPr>
                <w:rFonts w:hint="eastAsia" w:ascii="宋体" w:hAnsi="宋体" w:cs="宋体"/>
                <w:color w:val="auto"/>
                <w:szCs w:val="21"/>
                <w:highlight w:val="none"/>
                <w:shd w:val="clear" w:color="auto" w:fill="auto"/>
                <w:lang w:eastAsia="zh-CN"/>
              </w:rPr>
              <w:t>。</w:t>
            </w:r>
          </w:p>
          <w:p>
            <w:pPr>
              <w:pStyle w:val="8"/>
              <w:spacing w:line="264" w:lineRule="auto"/>
              <w:ind w:firstLine="0"/>
              <w:jc w:val="left"/>
              <w:rPr>
                <w:rFonts w:hint="eastAsia" w:ascii="宋体" w:hAnsi="宋体" w:eastAsia="宋体" w:cs="宋体"/>
                <w:color w:val="auto"/>
                <w:szCs w:val="21"/>
                <w:highlight w:val="none"/>
                <w:shd w:val="clear" w:color="auto" w:fill="auto"/>
                <w:lang w:val="en-US" w:eastAsia="zh-CN"/>
              </w:rPr>
            </w:pPr>
            <w:r>
              <w:rPr>
                <w:rFonts w:hint="eastAsia"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海绵：海绵采用软硬适中的高质量阻燃海绵，符合</w:t>
            </w:r>
            <w:r>
              <w:rPr>
                <w:rFonts w:hint="default" w:ascii="宋体" w:hAnsi="宋体" w:cs="宋体"/>
                <w:color w:val="auto"/>
                <w:szCs w:val="21"/>
                <w:highlight w:val="none"/>
                <w:shd w:val="clear" w:color="auto" w:fill="auto"/>
                <w:lang w:val="en"/>
              </w:rPr>
              <w:t>GB /T 10802-2023</w:t>
            </w:r>
            <w:r>
              <w:rPr>
                <w:rFonts w:hint="eastAsia" w:ascii="宋体" w:hAnsi="宋体" w:cs="宋体"/>
                <w:color w:val="auto"/>
                <w:szCs w:val="21"/>
                <w:highlight w:val="none"/>
                <w:shd w:val="clear" w:color="auto" w:fill="auto"/>
              </w:rPr>
              <w:t>《通用软质聚氨酯泡沫塑料》标准，回弹率≥60%，密度≥55kg/m³</w:t>
            </w:r>
            <w:r>
              <w:rPr>
                <w:rFonts w:hint="eastAsia" w:ascii="宋体" w:hAnsi="宋体" w:cs="宋体"/>
                <w:color w:val="auto"/>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46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阅读桌</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尺寸：2400*1200*750mm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板材：基材采用多层实木板，符合GB/T 35601-2017 《绿色产品评价 人造板和木质地板》、GB 18580-2017《室内装饰装修材料 人造板及其制品中甲醛释放限量》标准，含水率5%-16%，弹性模量（顺纹）≥5000MPa，弹性模量（横纹）≥4000MPa，甲醛释放量≤0.020mg/m³，挥发性有机化合物≤20ug/m³。</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油漆：采用环保净味油漆，采用五底三面的八道油漆涂装工艺，保证产品光泽、平整、纹理清晰、环保，符合GB 18581-2020《木器涂料中有害物质限量》标准 ，VOC含量≤2g/L,甲醛含量≤25mg/kg，总铅含量≤5mg/kg，可溶性重金属含量≤5mg/kg。</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3、含灯</w:t>
            </w:r>
            <w:r>
              <w:rPr>
                <w:rFonts w:hint="eastAsia" w:ascii="宋体" w:hAnsi="宋体" w:cs="宋体"/>
                <w:color w:val="auto"/>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47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阅读椅</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24</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尺寸：450*490*750mm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框架：纯白蜡木全实木，主体采用燕尾榫结构，结合部位牢固无松动；木制构件全部经过烘干处理，四面刨光，无腐朽和虫蛀。</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采用环保净味油漆，采用五底三面的八道油漆涂装工艺，保证产品光泽、平整、纹理清晰、环保，符合GB 18581-2020《木器涂料中有害物质限量》标准 ，VOC含量≤2g/L,甲醛含量≤25mg/kg，总铅含量≤5mg/kg，可溶性重金属含量≤5mg/kg。</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西皮（人造革）：符合GB/T16799-2018《家具用皮革》摩擦色牢度≥4级，耐光性≥4级，涂层粘着牢度≥6.5N/10mm，撕裂力≥100N，游离甲醛≤20mg/kg，挥发性有机化合物≤20mg/kg，禁用偶氮染料≤30mg/kg，可萃取的重金属≤5mg/kg；</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4.</w:t>
            </w:r>
            <w:r>
              <w:rPr>
                <w:rFonts w:hint="eastAsia" w:ascii="宋体" w:hAnsi="宋体" w:cs="宋体"/>
                <w:color w:val="auto"/>
                <w:szCs w:val="21"/>
                <w:highlight w:val="none"/>
                <w:shd w:val="clear" w:color="auto" w:fill="auto"/>
              </w:rPr>
              <w:t>海绵：海绵采用软硬适中的高质量阻燃海绵，符合</w:t>
            </w:r>
            <w:r>
              <w:rPr>
                <w:rFonts w:hint="default" w:ascii="宋体" w:hAnsi="宋体" w:cs="宋体"/>
                <w:color w:val="auto"/>
                <w:szCs w:val="21"/>
                <w:highlight w:val="none"/>
                <w:shd w:val="clear" w:color="auto" w:fill="auto"/>
                <w:lang w:val="en"/>
              </w:rPr>
              <w:t>GB /T 10802-2023</w:t>
            </w:r>
            <w:r>
              <w:rPr>
                <w:rFonts w:hint="eastAsia" w:ascii="宋体" w:hAnsi="宋体" w:cs="宋体"/>
                <w:color w:val="auto"/>
                <w:szCs w:val="21"/>
                <w:highlight w:val="none"/>
                <w:shd w:val="clear" w:color="auto" w:fill="auto"/>
              </w:rPr>
              <w:t>《通用软质聚氨酯泡沫塑料》标准，回弹率≥60%，密度≥55kg/m³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48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书画桌</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尺寸：2000*800*750mm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框架：纯白蜡木全实木，主体采用燕尾榫结构，结合部位牢固无松动；木制构件全部经过烘干处理，四面刨光，无腐朽和虫蛀。</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采用环保净味油漆，采用五底三面的八道油漆涂装工艺，保证产品光泽、平整、纹理清晰、环保，符合GB 18581-2020《木器涂料中有害物质限量》标准 ，VOC含量≤2g/L,甲醛含量≤25mg/kg，总铅含量≤5mg/kg，可溶性重金属含量≤5mg/kg。</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49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椅子</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15</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张</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尺寸：520*530*830mm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采用全新POLYONE品牌工程聚丙烯一体注塑成型、零甲醛释放使用更健康；</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一体成型扶手连接倾仰机构：座与扶手采用一体化设计，外观呈现7字元素，简洁大方，符合现代审美；拥有独特的旋转机构,拥有强大的倾仰功能,靠背同步运动可实现10-15度的角度变化；符合人体工学，提高整椅的舒适度；倾仰机构塑料件长55mm，直径30mm，加强筋4条；扶手长度245mm，宽度36mm，扶手前低40mm，后高45mm；扶手两侧带PP材质装饰盖直径30mm；扶手内部带凹槽结构，长度150mm，宽度12mm,深度30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椅子呈现双色搭配，给人不一样的视觉冲击和体验感；可实现堆叠功能。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座面：座高450mm，座宽445mm，座深440mm，座面根据人体曲线设计舒适配比，辨识度高，座感好等，有5种常规颜色可选。</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椅背：4mm宽29条翅膀纹理设计，增强背部散热，具备使用者单手手提功能，圆润椅角无毛边，不伤手，背重0.4KG，背高305mm，背上宽400mm，背下宽435mm， 背厚5mm，背弧度R250mm包覆性明显，提高整椅的舒适度；</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四脚30*35mm成菱形设计、结构稳定，PU耐磨脚垫保护地板随意推拉，，可承重150KG，胶背34KG12万次循环推背测试，有BIFMA测试证书。</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椅子尺寸:宽520*深530*高830mm（±3mm）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塑料板用料检验须依据 QB/T 4371-2012，抑制金黄色葡萄球菌率大于99%，抑制大肠杆菌率大于99%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50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会客厅</w:t>
            </w:r>
          </w:p>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书柜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16</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平方</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尺寸：5000*2700*450mm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一、主要材料参数</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柜体板材：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基材类型：进口爱格板</w:t>
            </w:r>
          </w:p>
          <w:p>
            <w:pPr>
              <w:pStyle w:val="8"/>
              <w:spacing w:line="264" w:lineRule="auto"/>
              <w:ind w:firstLine="0"/>
              <w:jc w:val="left"/>
              <w:rPr>
                <w:rFonts w:hint="eastAsia" w:ascii="宋体" w:hAnsi="宋体" w:cs="宋体"/>
                <w:strike/>
                <w:color w:val="auto"/>
                <w:szCs w:val="21"/>
                <w:highlight w:val="none"/>
                <w:shd w:val="clear" w:color="auto" w:fill="auto"/>
              </w:rPr>
            </w:pPr>
            <w:r>
              <w:rPr>
                <w:rFonts w:hint="eastAsia" w:ascii="宋体" w:hAnsi="宋体" w:cs="宋体"/>
                <w:color w:val="auto"/>
                <w:szCs w:val="21"/>
                <w:highlight w:val="none"/>
                <w:shd w:val="clear" w:color="auto" w:fill="auto"/>
              </w:rPr>
              <w:t>环保等级：</w:t>
            </w:r>
            <w:r>
              <w:rPr>
                <w:rFonts w:hint="eastAsia" w:ascii="宋体" w:hAnsi="宋体" w:cs="宋体"/>
                <w:color w:val="auto"/>
                <w:szCs w:val="21"/>
                <w:highlight w:val="none"/>
                <w:shd w:val="clear" w:color="auto" w:fill="auto"/>
                <w:lang w:val="en-US" w:eastAsia="zh-CN"/>
              </w:rPr>
              <w:t>符</w:t>
            </w:r>
            <w:r>
              <w:rPr>
                <w:rFonts w:hint="eastAsia" w:ascii="宋体" w:hAnsi="宋体" w:cs="宋体"/>
                <w:color w:val="auto"/>
                <w:szCs w:val="21"/>
                <w:highlight w:val="none"/>
                <w:shd w:val="clear" w:color="auto" w:fill="auto"/>
              </w:rPr>
              <w:t>合国家GB 18580-2017规定的ENF级板材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厚度规格：</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侧板、顶底板、层板： 标准厚度18 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背板： 标准厚度9mm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饰面：三聚氰胺浸渍纸（耐磨、易清洁）</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颜色/纹理：林肯胡桃木、至尊白、白维琴察橡木、铂金白、深棕尤加利、米灰色羊绒</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物理性能：</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静曲强度≥11.0MPa</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内结合强度≥0.35MPa</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表面胶合强度≥0.6MPa</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2h 吸水厚度膨胀率≤8.0%</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含水率：3.0%~13%</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密 度：0.60~0.90g/cm³</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握螺钉力：板面≥900N，板边≥600N</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柜门板材：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门板类型：进口爱格板</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平板门（双饰面门板）：厚度18mm       </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环保等级：复合国家GB 18580-2017规定的ENF级板材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封边：PUR封边，封边带ABS材质，耐高温不透底，要求封边严密、平整、无脱胶、无溢胶、无黑线、无色差。</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五金配件：</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基础五金 (铰链、导轨)： </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铰链：带阻尼缓冲；快装型；304不锈钢材质。 开启次数 ≥ 20万次，表面光洁、无毛刺、无锈蚀、开合/滑动顺畅无噪音。</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封边条：ABS材质、颜色需与门板/柜体板匹配。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连接件：采用优质二合一连接件，确保结构牢固。</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二、 结构与工艺参数</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柜体结构：</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采用板式拆装结构，二合一连接为主，必要时辅以木榫或角码加固。</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背板必须嵌入侧板/顶底板槽内，或使用连接件可靠固定。</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层板需有足够支撑（层板托/层板销）。</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门板结构：平开门铰链安装位置准确，门缝均匀（一般要求2-3mm），开启角度≥ ≥90度，关闭后平整无翘曲。</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封边工艺：外露断面封边，封边带粘接牢固、平整、无脱胶、无溢胶、无缝隙、无黑线、无色差。</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开孔工艺：五金安装孔位（铰链孔、导轨孔、拉手孔、层板托孔等）需使用数控设备精确开孔，位置准确，无崩边。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表面处理： 饰面平整，无色差、无划痕、无压痕、无污染、无颗粒。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5</w:t>
            </w:r>
            <w:r>
              <w:rPr>
                <w:rFonts w:hint="eastAsia" w:ascii="宋体" w:hAnsi="宋体" w:cs="宋体"/>
                <w:color w:val="auto"/>
                <w:kern w:val="0"/>
                <w:szCs w:val="21"/>
                <w:highlight w:val="none"/>
                <w:shd w:val="clear" w:color="auto" w:fill="auto"/>
                <w:lang w:val="en-US" w:eastAsia="zh-CN"/>
              </w:rPr>
              <w:t>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rPr>
              <w:t>休闲阅读区域</w:t>
            </w:r>
            <w:r>
              <w:rPr>
                <w:rFonts w:hint="eastAsia"/>
                <w:color w:val="auto"/>
                <w:highlight w:val="none"/>
                <w:shd w:val="clear" w:color="auto" w:fill="auto"/>
                <w:lang w:val="en-US" w:eastAsia="zh-CN"/>
              </w:rPr>
              <w:t>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111.552</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平方</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尺寸：34860*2700*450mm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一、主要材料参数</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柜体板材：</w:t>
            </w:r>
          </w:p>
          <w:p>
            <w:pPr>
              <w:pStyle w:val="8"/>
              <w:spacing w:line="264" w:lineRule="auto"/>
              <w:ind w:firstLine="0"/>
              <w:jc w:val="left"/>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基材类型：爱格板</w:t>
            </w:r>
            <w:r>
              <w:rPr>
                <w:rFonts w:hint="eastAsia" w:ascii="宋体" w:hAnsi="宋体" w:cs="宋体"/>
                <w:color w:val="auto"/>
                <w:szCs w:val="21"/>
                <w:highlight w:val="none"/>
                <w:shd w:val="clear" w:color="auto" w:fill="auto"/>
                <w:lang w:eastAsia="zh-CN"/>
              </w:rPr>
              <w:t>或</w:t>
            </w:r>
            <w:r>
              <w:rPr>
                <w:rFonts w:hint="eastAsia" w:ascii="宋体" w:hAnsi="宋体" w:cs="宋体"/>
                <w:color w:val="auto"/>
                <w:szCs w:val="21"/>
                <w:highlight w:val="none"/>
                <w:shd w:val="clear" w:color="auto" w:fill="auto"/>
                <w:lang w:val="en-US" w:eastAsia="zh-CN"/>
              </w:rPr>
              <w:t>更优</w:t>
            </w:r>
            <w:r>
              <w:rPr>
                <w:rFonts w:hint="eastAsia" w:ascii="宋体" w:hAnsi="宋体" w:cs="宋体"/>
                <w:color w:val="auto"/>
                <w:szCs w:val="21"/>
                <w:highlight w:val="none"/>
                <w:shd w:val="clear" w:color="auto" w:fill="auto"/>
                <w:lang w:eastAsia="zh-CN"/>
              </w:rPr>
              <w:t>材质的刨花板</w:t>
            </w:r>
          </w:p>
          <w:p>
            <w:pPr>
              <w:pStyle w:val="8"/>
              <w:spacing w:line="264" w:lineRule="auto"/>
              <w:ind w:firstLine="0"/>
              <w:jc w:val="left"/>
              <w:rPr>
                <w:rFonts w:hint="eastAsia" w:ascii="宋体" w:hAnsi="宋体" w:cs="宋体"/>
                <w:strike/>
                <w:color w:val="auto"/>
                <w:szCs w:val="21"/>
                <w:highlight w:val="none"/>
                <w:shd w:val="clear" w:color="auto" w:fill="auto"/>
              </w:rPr>
            </w:pPr>
            <w:r>
              <w:rPr>
                <w:rFonts w:hint="eastAsia" w:ascii="宋体" w:hAnsi="宋体" w:cs="宋体"/>
                <w:color w:val="auto"/>
                <w:szCs w:val="21"/>
                <w:highlight w:val="none"/>
                <w:shd w:val="clear" w:color="auto" w:fill="auto"/>
              </w:rPr>
              <w:t xml:space="preserve"> 环保等级：ENF级板材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厚度规格： 侧板、顶底板、层板： 标准厚度18 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背板： 标准厚度9mm；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饰面：三聚氰胺浸渍纸（耐磨、易清洁）</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颜色/纹理：胡桃木、至尊白、白维琴察橡木、铂金白、深棕尤加利、米灰色羊绒</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物理性能：静曲强度≥11.0MPa；内结合强度≥0.35MPa；表面胶合强度≥0.6MPa； 2h 吸水厚度膨胀率≤8.0%；含水率：3.0%~13%； 密 度：0.60~0.90g/cm³；握螺钉力：板面≥900N，板边≥600N</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封边条：ABS材质、颜色需与门板/柜体板匹配。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连接件：采用优质二合一连接件，确保结构牢固。</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二、 结构与工艺参数</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1.柜体结构：</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采用板式拆装结构，二合一连接为主，必要时辅以木榫或角码加固。</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背板必须嵌入侧板/顶底板槽内，或使用连接件可靠固定。</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层板需有足够支撑（层板托/层板销）。</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2.封边工艺：外露断面封边，封边带粘接牢固、平整、无脱胶、无溢胶、无缝隙、无黑线、无色差。</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3.开孔工艺：五金安装孔位（铰链孔、导轨孔、拉手孔、层板托孔等）需使用数控设备精确开孔，位置准确，无崩边。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4.表面处理： 饰面平整，无色差、无划痕、无压痕、无污染、无颗粒。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5</w:t>
            </w:r>
            <w:r>
              <w:rPr>
                <w:rFonts w:hint="eastAsia" w:ascii="宋体" w:hAnsi="宋体" w:cs="宋体"/>
                <w:color w:val="auto"/>
                <w:kern w:val="0"/>
                <w:szCs w:val="21"/>
                <w:highlight w:val="none"/>
                <w:shd w:val="clear" w:color="auto" w:fill="auto"/>
                <w:lang w:val="en-US" w:eastAsia="zh-CN"/>
              </w:rPr>
              <w:t>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办公室</w:t>
            </w:r>
          </w:p>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书柜</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22.144</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平方</w:t>
            </w:r>
          </w:p>
        </w:tc>
        <w:tc>
          <w:tcPr>
            <w:tcW w:w="6697" w:type="dxa"/>
            <w:tcBorders>
              <w:top w:val="single" w:color="auto" w:sz="4" w:space="0"/>
              <w:left w:val="single" w:color="auto" w:sz="4" w:space="0"/>
              <w:bottom w:val="single" w:color="auto" w:sz="4" w:space="0"/>
            </w:tcBorders>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尺寸：6920*2400*450mm</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一、主要材料参数</w:t>
            </w:r>
          </w:p>
          <w:p>
            <w:pPr>
              <w:pStyle w:val="8"/>
              <w:spacing w:line="264" w:lineRule="auto"/>
              <w:ind w:firstLine="0"/>
              <w:jc w:val="left"/>
              <w:rPr>
                <w:rFonts w:hint="eastAsia" w:ascii="宋体" w:hAnsi="宋体" w:cs="宋体"/>
                <w:strike/>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柜体板材：基材类型：实木颗粒板；环保等级：复合国家GB 18580-2017规定的ENF级板材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厚度规格： 侧板、顶底板、层板： 标准厚度18 mm；背板： 标准厚度9mm；饰面：三聚氰胺浸渍纸（耐磨、易清洁）；颜色/纹理：林肯胡桃木、至尊白、白维琴察橡木、铂金白、深棕尤加利、米灰色羊绒</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物理性能：静曲强度≥11.0MPa；内结合强度≥0.35MPa； 表面胶合强度≥0.6MPa；2h 吸水厚度膨胀率≤8.0%； 含水率：3.0%~13%； 密 度：0.60~0.90g/cm³； 握螺钉力：板面≥900N，板边≥600N</w:t>
            </w:r>
          </w:p>
          <w:p>
            <w:pPr>
              <w:pStyle w:val="8"/>
              <w:spacing w:line="264" w:lineRule="auto"/>
              <w:ind w:firstLine="0"/>
              <w:jc w:val="left"/>
              <w:rPr>
                <w:rFonts w:hint="eastAsia" w:ascii="宋体" w:hAnsi="宋体" w:cs="宋体"/>
                <w:strike/>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柜门板材： 门板类型：实木颗粒板；平板门（双饰面门板）：厚度18mm；环保等级：复合国家GB 18580-2017规定的ENF级板材</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封边：PUR封边，封边带ABS材质，耐高温不透底，要求封边严密、平整、无脱胶、无溢胶、无黑线、无色差。</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3.五金配件： 基础五金 (铰链、导轨)： 铰链：带阻尼缓冲；快装型；304不锈钢材质。 开启次数 ≥ 15万次，表面光洁、无毛刺、无锈蚀、开合/滑动顺畅无噪音。</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4.封边条：ABS材质、颜色需与门板/柜体板匹配。</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5.连接件：采用优质二合一连接件，确保结构牢固。</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二、 结构与工艺参数</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1.柜体结构：采用板式拆装结构，二合一连接为主，必要时辅以木榫或角码加固。背板必须嵌入侧板/顶底板槽内，或使用连接件可靠固定。 层板需有足够支撑（层板托/层板销）。</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2.门板结构：平开门铰链安装位置准确，门缝均匀（一般要求2-3mm），开启角度≥ ≥90度，关闭后平整无翘曲。</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3.封边工艺：外露断面封边，封边带粘接牢固、平整、无脱胶、无溢胶、无缝隙、无黑线、无色差。</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4.开孔工艺：五金安装孔位（铰链孔、导轨孔、拉手孔、层板托孔等）需使用数控设备精确开孔，位置准确，无崩边。</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5.表面处理： 饰面平整，无色差、无划痕、无压痕、无污染、无颗粒。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109" w:type="dxa"/>
            <w:gridSpan w:val="5"/>
            <w:tcBorders>
              <w:top w:val="single" w:color="auto" w:sz="4" w:space="0"/>
              <w:bottom w:val="single" w:color="auto" w:sz="4" w:space="0"/>
            </w:tcBorders>
            <w:vAlign w:val="center"/>
          </w:tcPr>
          <w:p>
            <w:pPr>
              <w:widowControl/>
              <w:spacing w:line="264" w:lineRule="auto"/>
              <w:rPr>
                <w:rFonts w:hint="eastAsia" w:ascii="宋体" w:hAnsi="宋体" w:cs="宋体"/>
                <w:b/>
                <w:color w:val="auto"/>
                <w:kern w:val="0"/>
                <w:szCs w:val="21"/>
                <w:highlight w:val="none"/>
                <w:shd w:val="clear" w:color="auto" w:fill="auto"/>
                <w:lang w:eastAsia="en-US"/>
              </w:rPr>
            </w:pPr>
            <w:r>
              <w:rPr>
                <w:rFonts w:hint="eastAsia" w:ascii="宋体" w:hAnsi="宋体" w:cs="宋体"/>
                <w:color w:val="auto"/>
                <w:szCs w:val="21"/>
                <w:highlight w:val="none"/>
                <w:shd w:val="clear" w:color="auto" w:fill="auto"/>
              </w:rPr>
              <w:t>▲</w:t>
            </w:r>
            <w:r>
              <w:rPr>
                <w:rFonts w:hint="eastAsia" w:ascii="宋体" w:hAnsi="宋体" w:cs="宋体"/>
                <w:b/>
                <w:color w:val="auto"/>
                <w:kern w:val="0"/>
                <w:szCs w:val="21"/>
                <w:highlight w:val="none"/>
                <w:shd w:val="clear" w:color="auto" w:fill="auto"/>
                <w:lang w:eastAsia="en-US"/>
              </w:rPr>
              <w:t>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报价要求</w:t>
            </w:r>
          </w:p>
        </w:tc>
        <w:tc>
          <w:tcPr>
            <w:tcW w:w="8385" w:type="dxa"/>
            <w:gridSpan w:val="3"/>
            <w:tcBorders>
              <w:top w:val="single" w:color="auto" w:sz="4" w:space="0"/>
              <w:left w:val="single" w:color="auto" w:sz="4" w:space="0"/>
              <w:bottom w:val="single" w:color="auto" w:sz="4" w:space="0"/>
            </w:tcBorders>
            <w:vAlign w:val="center"/>
          </w:tcPr>
          <w:p>
            <w:pPr>
              <w:adjustRightInd w:val="0"/>
              <w:snapToGrid w:val="0"/>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投标报价是履行合同的最终价格，包括但不限于：</w:t>
            </w:r>
          </w:p>
          <w:p>
            <w:pPr>
              <w:adjustRightInd w:val="0"/>
              <w:snapToGrid w:val="0"/>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（1）货物的价格；</w:t>
            </w:r>
          </w:p>
          <w:p>
            <w:pPr>
              <w:adjustRightInd w:val="0"/>
              <w:snapToGrid w:val="0"/>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（2）货物的标准附件、备品备件、专用工具的价格；</w:t>
            </w:r>
          </w:p>
          <w:p>
            <w:pPr>
              <w:adjustRightInd w:val="0"/>
              <w:snapToGrid w:val="0"/>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（3）运输、装卸、软硬件安装调试、培训、技术支持、售后服务、上门等费用；</w:t>
            </w:r>
          </w:p>
          <w:p>
            <w:pPr>
              <w:adjustRightInd w:val="0"/>
              <w:snapToGrid w:val="0"/>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（4）必要的保险费用和各项税费；</w:t>
            </w:r>
          </w:p>
          <w:p>
            <w:pPr>
              <w:adjustRightInd w:val="0"/>
              <w:snapToGrid w:val="0"/>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（5）施工（安装）费用；</w:t>
            </w:r>
          </w:p>
          <w:p>
            <w:pPr>
              <w:adjustRightInd w:val="0"/>
              <w:snapToGrid w:val="0"/>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设备零配件、项目安装、调试、检测、试验及验收、现场卫生清理、线缆、管材、开孔、开槽及埋管和招标文件中有关的全部内容并完成所有工程和服务，所有成本费用的总和，采购人不再支付其它任何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核心产品</w:t>
            </w:r>
          </w:p>
        </w:tc>
        <w:tc>
          <w:tcPr>
            <w:tcW w:w="8385" w:type="dxa"/>
            <w:gridSpan w:val="3"/>
            <w:tcBorders>
              <w:top w:val="single" w:color="auto" w:sz="4" w:space="0"/>
              <w:left w:val="single" w:color="auto" w:sz="4" w:space="0"/>
              <w:bottom w:val="single" w:color="auto" w:sz="4" w:space="0"/>
            </w:tcBorders>
            <w:vAlign w:val="center"/>
          </w:tcPr>
          <w:p>
            <w:pPr>
              <w:adjustRightInd w:val="0"/>
              <w:snapToGrid w:val="0"/>
              <w:spacing w:line="264" w:lineRule="auto"/>
              <w:rPr>
                <w:rFonts w:hint="eastAsia" w:ascii="宋体" w:hAnsi="宋体" w:eastAsia="宋体" w:cs="宋体"/>
                <w:color w:val="auto"/>
                <w:szCs w:val="21"/>
                <w:highlight w:val="none"/>
                <w:shd w:val="clear" w:color="auto" w:fill="auto"/>
                <w:lang w:eastAsia="zh-CN"/>
              </w:rPr>
            </w:pPr>
            <w:r>
              <w:rPr>
                <w:rFonts w:hint="eastAsia" w:ascii="宋体" w:hAnsi="宋体" w:cs="宋体"/>
                <w:b/>
                <w:bCs/>
                <w:color w:val="auto"/>
                <w:kern w:val="0"/>
                <w:szCs w:val="21"/>
                <w:highlight w:val="none"/>
                <w:shd w:val="clear" w:color="auto" w:fill="auto"/>
              </w:rPr>
              <w:t>第28项产品“LED曲面显示屏”</w:t>
            </w:r>
            <w:r>
              <w:rPr>
                <w:rFonts w:hint="eastAsia" w:ascii="宋体" w:hAnsi="宋体" w:cs="宋体"/>
                <w:b/>
                <w:bCs/>
                <w:color w:val="auto"/>
                <w:kern w:val="0"/>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合同签订时间</w:t>
            </w:r>
          </w:p>
        </w:tc>
        <w:tc>
          <w:tcPr>
            <w:tcW w:w="8385" w:type="dxa"/>
            <w:gridSpan w:val="3"/>
            <w:tcBorders>
              <w:top w:val="single" w:color="auto" w:sz="4" w:space="0"/>
              <w:left w:val="single" w:color="auto" w:sz="4" w:space="0"/>
              <w:bottom w:val="single" w:color="auto" w:sz="4" w:space="0"/>
            </w:tcBorders>
            <w:vAlign w:val="center"/>
          </w:tcPr>
          <w:p>
            <w:pPr>
              <w:adjustRightInd w:val="0"/>
              <w:snapToGrid w:val="0"/>
              <w:spacing w:line="264" w:lineRule="auto"/>
              <w:rPr>
                <w:rFonts w:hint="eastAsia" w:ascii="宋体" w:hAnsi="宋体" w:cs="宋体"/>
                <w:bCs/>
                <w:color w:val="auto"/>
                <w:szCs w:val="21"/>
                <w:highlight w:val="none"/>
                <w:shd w:val="clear" w:color="auto" w:fill="auto"/>
              </w:rPr>
            </w:pPr>
            <w:r>
              <w:rPr>
                <w:rFonts w:hint="eastAsia" w:ascii="宋体" w:hAnsi="宋体" w:cs="宋体"/>
                <w:bCs/>
                <w:color w:val="auto"/>
                <w:szCs w:val="21"/>
                <w:highlight w:val="none"/>
                <w:shd w:val="clear" w:color="auto" w:fill="auto"/>
              </w:rPr>
              <w:t>自中标通知书发出之日起</w:t>
            </w:r>
            <w:r>
              <w:rPr>
                <w:rFonts w:hint="eastAsia" w:ascii="宋体" w:hAnsi="宋体" w:cs="宋体"/>
                <w:bCs/>
                <w:color w:val="auto"/>
                <w:szCs w:val="21"/>
                <w:highlight w:val="none"/>
                <w:shd w:val="clear" w:color="auto" w:fill="auto"/>
                <w:lang w:val="en-US" w:eastAsia="zh-CN"/>
              </w:rPr>
              <w:t>3</w:t>
            </w:r>
            <w:r>
              <w:rPr>
                <w:rFonts w:hint="eastAsia" w:ascii="宋体" w:hAnsi="宋体" w:cs="宋体"/>
                <w:bCs/>
                <w:color w:val="auto"/>
                <w:szCs w:val="21"/>
                <w:highlight w:val="none"/>
                <w:shd w:val="clear" w:color="auto" w:fill="auto"/>
              </w:rPr>
              <w:t>个日历日内签订采购合同。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交货时间及地点</w:t>
            </w:r>
          </w:p>
        </w:tc>
        <w:tc>
          <w:tcPr>
            <w:tcW w:w="8385" w:type="dxa"/>
            <w:gridSpan w:val="3"/>
            <w:tcBorders>
              <w:top w:val="single" w:color="auto" w:sz="4" w:space="0"/>
              <w:left w:val="single" w:color="auto" w:sz="4" w:space="0"/>
              <w:bottom w:val="single" w:color="auto" w:sz="4" w:space="0"/>
            </w:tcBorders>
            <w:vAlign w:val="center"/>
          </w:tcPr>
          <w:p>
            <w:pPr>
              <w:widowControl/>
              <w:wordWrap w:val="0"/>
              <w:spacing w:line="264" w:lineRule="auto"/>
              <w:jc w:val="left"/>
              <w:textAlignment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1.交付使用时间：自签订合同之日起</w:t>
            </w:r>
            <w:r>
              <w:rPr>
                <w:rFonts w:hint="eastAsia" w:ascii="宋体" w:hAnsi="宋体" w:cs="宋体"/>
                <w:color w:val="auto"/>
                <w:szCs w:val="21"/>
                <w:highlight w:val="none"/>
                <w:shd w:val="clear" w:color="auto" w:fill="auto"/>
                <w:lang w:val="en-US" w:eastAsia="zh-CN"/>
              </w:rPr>
              <w:t>20</w:t>
            </w:r>
            <w:r>
              <w:rPr>
                <w:rFonts w:hint="eastAsia" w:ascii="宋体" w:hAnsi="宋体" w:cs="宋体"/>
                <w:color w:val="auto"/>
                <w:szCs w:val="21"/>
                <w:highlight w:val="none"/>
                <w:shd w:val="clear" w:color="auto" w:fill="auto"/>
              </w:rPr>
              <w:t>个日历日内交付使用</w:t>
            </w:r>
          </w:p>
          <w:p>
            <w:pPr>
              <w:widowControl/>
              <w:wordWrap w:val="0"/>
              <w:spacing w:line="264" w:lineRule="auto"/>
              <w:jc w:val="left"/>
              <w:textAlignment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2.交货地点：</w:t>
            </w:r>
            <w:r>
              <w:rPr>
                <w:rFonts w:hint="eastAsia" w:ascii="宋体" w:hAnsi="宋体" w:cs="宋体"/>
                <w:color w:val="auto"/>
                <w:szCs w:val="21"/>
                <w:highlight w:val="none"/>
                <w:shd w:val="clear" w:color="auto" w:fill="auto"/>
                <w:lang w:val="en"/>
              </w:rPr>
              <w:t>广西艺术学院</w:t>
            </w:r>
            <w:r>
              <w:rPr>
                <w:rFonts w:hint="eastAsia" w:ascii="宋体" w:hAnsi="宋体" w:cs="宋体"/>
                <w:color w:val="auto"/>
                <w:szCs w:val="21"/>
                <w:highlight w:val="none"/>
                <w:shd w:val="clear" w:color="auto" w:fill="auto"/>
              </w:rPr>
              <w:t>内采购人指定地点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售后及服务要求</w:t>
            </w:r>
          </w:p>
        </w:tc>
        <w:tc>
          <w:tcPr>
            <w:tcW w:w="8385" w:type="dxa"/>
            <w:gridSpan w:val="3"/>
            <w:tcBorders>
              <w:top w:val="single" w:color="auto" w:sz="4" w:space="0"/>
              <w:left w:val="single" w:color="auto" w:sz="4" w:space="0"/>
              <w:bottom w:val="single" w:color="auto" w:sz="4" w:space="0"/>
            </w:tcBorders>
            <w:vAlign w:val="center"/>
          </w:tcPr>
          <w:p>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1.设备必须是全新原厂正品。</w:t>
            </w:r>
          </w:p>
          <w:p>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2.分项有质保要求的按分项质保要求，分项没有质保要求的按国家有关产品“三包”规定执行“三包”政策，质保期以通过项目最终验收的验收报告签字日开始计算。</w:t>
            </w:r>
          </w:p>
          <w:p>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3.质保期内所有由于质量问题导致的软、硬件产品故障及设备损坏，中标供应商提供保修、人工及更换备件的上门服务，并提供终身维护。质保期内采购人不再支付任何费用。</w:t>
            </w:r>
          </w:p>
          <w:p>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4．免费送货上门，免费安装调试合格；</w:t>
            </w:r>
          </w:p>
          <w:p>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5．中标供应商必须负责项目设备送货、建设、安装调试与培训，免费提供设备操作培训，提供全套说明书；免费现场培训 2～3 名相关人员至掌握设备操作及日常维护；</w:t>
            </w:r>
          </w:p>
          <w:p>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6．设备如出现故障在接到采购人通知后在30分钟内响应，2小时内上门服务，12小时内解决故障；未能在规定时间内排除故障的，必须在接到采购人通知后48小时内提供同档次的备用机并提交故障解决处理方案；</w:t>
            </w:r>
          </w:p>
          <w:p>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7．提供定期回访及巡检服务；</w:t>
            </w:r>
          </w:p>
          <w:p>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8．项目供货及安装过程中产生的残留物或垃圾，需由中标供应商自行清理至校外国家有关部门指定堆放处，产品包装箱及有关产品说明书等处置需经采购人确认后处理。</w:t>
            </w:r>
          </w:p>
          <w:p>
            <w:pPr>
              <w:spacing w:line="264"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9．对于软件系统存在的安全漏洞包括但不限于数据库安全的情形，中标供应商应提供终身免费系统升级补丁及做好安全策略。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付款方式</w:t>
            </w:r>
          </w:p>
        </w:tc>
        <w:tc>
          <w:tcPr>
            <w:tcW w:w="8385" w:type="dxa"/>
            <w:gridSpan w:val="3"/>
            <w:tcBorders>
              <w:top w:val="single" w:color="auto" w:sz="4" w:space="0"/>
              <w:left w:val="single" w:color="auto" w:sz="4" w:space="0"/>
              <w:bottom w:val="single" w:color="auto" w:sz="4" w:space="0"/>
            </w:tcBorders>
            <w:vAlign w:val="center"/>
          </w:tcPr>
          <w:p>
            <w:pPr>
              <w:pStyle w:val="99"/>
              <w:spacing w:before="0" w:after="0" w:line="264" w:lineRule="auto"/>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r>
              <w:rPr>
                <w:rFonts w:hint="eastAsia" w:ascii="宋体" w:hAnsi="宋体"/>
                <w:color w:val="auto"/>
                <w:sz w:val="21"/>
                <w:szCs w:val="21"/>
                <w:highlight w:val="none"/>
                <w:shd w:val="clear" w:color="auto" w:fill="auto"/>
              </w:rPr>
              <w:t>预付款：签订合同之日起</w:t>
            </w:r>
            <w:r>
              <w:rPr>
                <w:rFonts w:hint="eastAsia" w:ascii="宋体" w:hAnsi="宋体"/>
                <w:color w:val="auto"/>
                <w:sz w:val="21"/>
                <w:szCs w:val="21"/>
                <w:highlight w:val="none"/>
                <w:shd w:val="clear" w:color="auto" w:fill="auto"/>
                <w:lang w:val="en-US" w:eastAsia="zh-CN"/>
              </w:rPr>
              <w:t>5</w:t>
            </w:r>
            <w:r>
              <w:rPr>
                <w:rFonts w:hint="eastAsia" w:ascii="宋体" w:hAnsi="宋体"/>
                <w:color w:val="auto"/>
                <w:sz w:val="21"/>
                <w:szCs w:val="21"/>
                <w:highlight w:val="none"/>
                <w:shd w:val="clear" w:color="auto" w:fill="auto"/>
              </w:rPr>
              <w:t>个工作日内，中标人开具合同总价款的 30%的等额价值保函(保函有效期应在 2025年 12月</w:t>
            </w:r>
            <w:r>
              <w:rPr>
                <w:rFonts w:hint="eastAsia" w:ascii="宋体" w:hAnsi="宋体"/>
                <w:color w:val="auto"/>
                <w:sz w:val="21"/>
                <w:szCs w:val="21"/>
                <w:highlight w:val="none"/>
                <w:shd w:val="clear" w:color="auto" w:fill="auto"/>
                <w:lang w:eastAsia="zh-CN"/>
              </w:rPr>
              <w:t>3</w:t>
            </w:r>
            <w:r>
              <w:rPr>
                <w:rFonts w:hint="eastAsia" w:ascii="宋体" w:hAnsi="宋体"/>
                <w:color w:val="auto"/>
                <w:sz w:val="21"/>
                <w:szCs w:val="21"/>
                <w:highlight w:val="none"/>
                <w:shd w:val="clear" w:color="auto" w:fill="auto"/>
                <w:lang w:val="en-US" w:eastAsia="zh-CN"/>
              </w:rPr>
              <w:t>1</w:t>
            </w:r>
            <w:r>
              <w:rPr>
                <w:rFonts w:hint="eastAsia" w:ascii="宋体" w:hAnsi="宋体"/>
                <w:color w:val="auto"/>
                <w:sz w:val="21"/>
                <w:szCs w:val="21"/>
                <w:highlight w:val="none"/>
                <w:shd w:val="clear" w:color="auto" w:fill="auto"/>
              </w:rPr>
              <w:t>日)给采购人后，采购人支付合同总价款的30%作为预付款。进度款：全部设备到货后，经采购人确认后在十个工作日内向中标供应商付款方式支付合同价款的</w:t>
            </w:r>
            <w:r>
              <w:rPr>
                <w:rFonts w:hint="eastAsia" w:ascii="宋体" w:hAnsi="宋体"/>
                <w:color w:val="auto"/>
                <w:sz w:val="21"/>
                <w:szCs w:val="21"/>
                <w:highlight w:val="none"/>
                <w:shd w:val="clear" w:color="auto" w:fill="auto"/>
                <w:lang w:val="en-US" w:eastAsia="zh-CN"/>
              </w:rPr>
              <w:t>6</w:t>
            </w:r>
            <w:r>
              <w:rPr>
                <w:rFonts w:hint="eastAsia" w:ascii="宋体" w:hAnsi="宋体"/>
                <w:color w:val="auto"/>
                <w:sz w:val="21"/>
                <w:szCs w:val="21"/>
                <w:highlight w:val="none"/>
                <w:shd w:val="clear" w:color="auto" w:fill="auto"/>
              </w:rPr>
              <w:t>0%；所有货物安装调试完成、试运行正常且验收合格，并经采购人确认后，在十个工作日内向中标供应商支付合同价款的</w:t>
            </w:r>
            <w:r>
              <w:rPr>
                <w:rFonts w:hint="eastAsia" w:ascii="宋体" w:hAnsi="宋体"/>
                <w:color w:val="auto"/>
                <w:sz w:val="21"/>
                <w:szCs w:val="21"/>
                <w:highlight w:val="none"/>
                <w:shd w:val="clear" w:color="auto" w:fill="auto"/>
                <w:lang w:val="en-US" w:eastAsia="zh-CN"/>
              </w:rPr>
              <w:t>1</w:t>
            </w:r>
            <w:r>
              <w:rPr>
                <w:rFonts w:hint="eastAsia" w:ascii="宋体" w:hAnsi="宋体"/>
                <w:color w:val="auto"/>
                <w:sz w:val="21"/>
                <w:szCs w:val="21"/>
                <w:highlight w:val="none"/>
                <w:shd w:val="clear" w:color="auto" w:fill="auto"/>
              </w:rPr>
              <w:t>0%。</w:t>
            </w:r>
          </w:p>
          <w:p>
            <w:pPr>
              <w:pStyle w:val="99"/>
              <w:spacing w:before="0" w:after="0" w:line="264" w:lineRule="auto"/>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2.若采购数量与实际使用数量不一致时，</w:t>
            </w:r>
            <w:r>
              <w:rPr>
                <w:rFonts w:hint="eastAsia" w:ascii="宋体" w:hAnsi="宋体" w:cs="宋体"/>
                <w:color w:val="auto"/>
                <w:sz w:val="21"/>
                <w:szCs w:val="21"/>
                <w:highlight w:val="none"/>
                <w:shd w:val="clear" w:color="auto" w:fill="auto"/>
                <w:lang w:eastAsia="zh-CN"/>
              </w:rPr>
              <w:t>中标供应商</w:t>
            </w:r>
            <w:r>
              <w:rPr>
                <w:rFonts w:hint="eastAsia" w:ascii="宋体" w:hAnsi="宋体" w:cs="宋体"/>
                <w:color w:val="auto"/>
                <w:sz w:val="21"/>
                <w:szCs w:val="21"/>
                <w:highlight w:val="none"/>
                <w:shd w:val="clear" w:color="auto" w:fill="auto"/>
              </w:rPr>
              <w:t>应根据实际使用量供货，合同的最终结算金额按实际使用量乘以成交单价进行据实计算。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w:t>
            </w:r>
          </w:p>
        </w:tc>
        <w:tc>
          <w:tcPr>
            <w:tcW w:w="8385" w:type="dxa"/>
            <w:gridSpan w:val="3"/>
            <w:tcBorders>
              <w:top w:val="single" w:color="auto" w:sz="4" w:space="0"/>
              <w:left w:val="single" w:color="auto" w:sz="4" w:space="0"/>
              <w:bottom w:val="single" w:color="auto" w:sz="4" w:space="0"/>
            </w:tcBorders>
            <w:vAlign w:val="center"/>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1.按本项目中标总金额的5%（如中标供应商为中小企业的，按本项目中标总金额的2%）收取；中标供应商在签订合同前交至指定账户。</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2.履约保证金递交方式：支票、汇票、本票、</w:t>
            </w:r>
            <w:r>
              <w:rPr>
                <w:rFonts w:hint="eastAsia" w:ascii="宋体" w:hAnsi="宋体" w:cs="宋体"/>
                <w:color w:val="auto"/>
                <w:szCs w:val="21"/>
                <w:highlight w:val="none"/>
                <w:shd w:val="clear" w:color="auto" w:fill="auto"/>
                <w:lang w:val="en"/>
              </w:rPr>
              <w:t>金融机构</w:t>
            </w:r>
            <w:r>
              <w:rPr>
                <w:rFonts w:hint="eastAsia" w:ascii="宋体" w:hAnsi="宋体" w:cs="宋体"/>
                <w:color w:val="auto"/>
                <w:szCs w:val="21"/>
                <w:highlight w:val="none"/>
                <w:shd w:val="clear" w:color="auto" w:fill="auto"/>
              </w:rPr>
              <w:t>、担保机构出具的保函等非现金形式。</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履约保证金指定账户：</w:t>
            </w:r>
          </w:p>
          <w:p>
            <w:pPr>
              <w:pStyle w:val="8"/>
              <w:spacing w:line="264" w:lineRule="auto"/>
              <w:ind w:firstLine="0"/>
              <w:jc w:val="left"/>
              <w:rPr>
                <w:rFonts w:hint="eastAsia"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开户名称：</w:t>
            </w:r>
            <w:r>
              <w:rPr>
                <w:rFonts w:ascii="宋体" w:hAnsi="宋体" w:cs="宋体"/>
                <w:color w:val="auto"/>
                <w:szCs w:val="21"/>
                <w:highlight w:val="none"/>
                <w:shd w:val="clear" w:color="auto" w:fill="auto"/>
                <w:lang w:val="en"/>
              </w:rPr>
              <w:t>广西艺术学院</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开户银行：建行南宁市桃源支行</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银行账号：45001604559050500909 </w:t>
            </w:r>
          </w:p>
          <w:p>
            <w:pPr>
              <w:snapToGrid w:val="0"/>
              <w:spacing w:line="360" w:lineRule="auto"/>
              <w:ind w:firstLine="0" w:firstLineChars="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履约保证金退付方式、时间及条件：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pPr>
              <w:snapToGrid w:val="0"/>
              <w:spacing w:line="360" w:lineRule="auto"/>
              <w:ind w:firstLine="0" w:firstLineChars="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由中标人向履约保证金收取单位提供《广西壮族自治区政府采购项目合同验收书》（详见桂财采〔2015〕22号），保证金收取单位在收到合格材料后5个工作日内办理退还手续（不计利息）。</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不予退还的情形：签订合同后，如中标人不按双方签订的合同规定履约，则其全部履约保证金不予退还。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验收要求</w:t>
            </w:r>
          </w:p>
        </w:tc>
        <w:tc>
          <w:tcPr>
            <w:tcW w:w="8385" w:type="dxa"/>
            <w:gridSpan w:val="3"/>
            <w:tcBorders>
              <w:top w:val="single" w:color="auto" w:sz="4" w:space="0"/>
              <w:left w:val="single" w:color="auto" w:sz="4" w:space="0"/>
              <w:bottom w:val="single" w:color="auto" w:sz="4" w:space="0"/>
            </w:tcBorders>
            <w:vAlign w:val="center"/>
          </w:tcPr>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投标产品须是按满足采购人需求配置提供的厂家出厂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合同签订之后，采购人有权要求中标人提供所投所有产品进行功能核验，如有配置或功能不能满足招标要求，按违约处理，必要时采购人有权要求中标人提供有资质的第三方检测机构出具的检测报告，检测所需费用由中标人自行承担。</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投标人所提供的产品必须为原装正品的、全新的、完好无破损、且为未开箱状态、符合有关质量标准的产品；设备到货安装前，采购人现场根据招标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4．验收方式和验收材料要求</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（1）采购人在项目完成且收到中标供应商验收申请后5个工作日内组织开展履约验收。</w:t>
            </w:r>
          </w:p>
          <w:p>
            <w:pPr>
              <w:pStyle w:val="8"/>
              <w:spacing w:line="264" w:lineRule="auto"/>
              <w:ind w:firstLine="0"/>
              <w:jc w:val="left"/>
              <w:rPr>
                <w:rFonts w:hint="eastAsia"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2）中标供应商必须提供合格的验收材料，验收材料包括①验收申请书（原件）、②中标通知书复印件、③合同（包括附件加盖采购代理机构章的格式合同中规定的附件）复印件；④项目实施过程文件、⑤货物的证明文件、⑥货物的技术资料、⑦培训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其他要求</w:t>
            </w:r>
          </w:p>
        </w:tc>
        <w:tc>
          <w:tcPr>
            <w:tcW w:w="8385" w:type="dxa"/>
            <w:gridSpan w:val="3"/>
            <w:tcBorders>
              <w:top w:val="single" w:color="auto" w:sz="4" w:space="0"/>
              <w:left w:val="single" w:color="auto" w:sz="4" w:space="0"/>
              <w:bottom w:val="single" w:color="auto" w:sz="4" w:space="0"/>
            </w:tcBorders>
            <w:vAlign w:val="center"/>
          </w:tcPr>
          <w:p>
            <w:pPr>
              <w:pStyle w:val="8"/>
              <w:spacing w:line="264" w:lineRule="auto"/>
              <w:ind w:firstLine="0"/>
              <w:jc w:val="left"/>
              <w:rPr>
                <w:rFonts w:hint="eastAsia"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
              </w:rPr>
              <w:t>本分标货物不接受进口产品（即通过中国海关报关验放进入中国境内且产自关境外的产品）参与投标。</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投标人所提供的任何材料应当真实有效，如在评审过程中发现投标人在投标文件中提供任何虚假材料的，按投标无效处理，采购人有权汇报监督管理部门处理；中标后，采购人发现投标人在投标文件中提供任何虚假材料的，采购人有权汇报监督管理部门处理，且中标供应商须依照《中华人民共和国消费者权益保护法》赔偿采购人，民事赔偿并不免除违法中标供应商的法律责任。</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3.本项目货物涉及的产品及其配件包括但不限于各类芯片等必须符合国家有关政策规定，不得使用国家禁止使用范围内的产品及其配件，否则投标无效。</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本项目采购的投标产品如有属于政府采购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5.采购货物纳入强制性产品认证（3C认证）的，投标人所投产品必须从其规定。</w:t>
            </w:r>
          </w:p>
          <w:p>
            <w:pPr>
              <w:pStyle w:val="8"/>
              <w:spacing w:line="264" w:lineRule="auto"/>
              <w:ind w:firstLine="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6.如投标人投标产品存在侵犯他人的知识产权或者专利成果行为的，由投标人自行承担相应法律责任。</w:t>
            </w:r>
          </w:p>
        </w:tc>
      </w:tr>
    </w:tbl>
    <w:p>
      <w:pPr>
        <w:snapToGrid w:val="0"/>
        <w:rPr>
          <w:rFonts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pacing w:line="360" w:lineRule="auto"/>
        <w:ind w:firstLine="413" w:firstLineChars="196"/>
        <w:rPr>
          <w:rFonts w:hint="eastAsia" w:ascii="宋体" w:hAnsi="宋体"/>
          <w:b/>
          <w:color w:val="auto"/>
          <w:highlight w:val="none"/>
          <w:shd w:val="clear" w:color="auto" w:fill="auto"/>
        </w:rPr>
      </w:pPr>
    </w:p>
    <w:p>
      <w:pPr>
        <w:spacing w:line="360" w:lineRule="auto"/>
        <w:ind w:firstLine="413" w:firstLineChars="196"/>
        <w:rPr>
          <w:rFonts w:hint="eastAsia" w:ascii="宋体" w:hAnsi="宋体"/>
          <w:b/>
          <w:color w:val="auto"/>
          <w:highlight w:val="none"/>
          <w:shd w:val="clear" w:color="auto" w:fill="auto"/>
        </w:rPr>
      </w:pPr>
    </w:p>
    <w:p>
      <w:pPr>
        <w:spacing w:line="360" w:lineRule="auto"/>
        <w:ind w:firstLine="413" w:firstLineChars="196"/>
        <w:rPr>
          <w:rFonts w:hint="eastAsia" w:ascii="宋体" w:hAnsi="Calibri" w:eastAsia="宋体"/>
          <w:b/>
          <w:strike/>
          <w:color w:val="auto"/>
          <w:highlight w:val="none"/>
          <w:shd w:val="clear" w:color="auto" w:fill="auto"/>
          <w:lang w:eastAsia="zh-CN"/>
        </w:rPr>
      </w:pPr>
      <w:r>
        <w:rPr>
          <w:rFonts w:hint="eastAsia" w:ascii="宋体" w:hAnsi="宋体"/>
          <w:b/>
          <w:color w:val="auto"/>
          <w:highlight w:val="none"/>
          <w:shd w:val="clear" w:color="auto" w:fill="auto"/>
        </w:rPr>
        <w:t>分标</w:t>
      </w:r>
      <w:r>
        <w:rPr>
          <w:rFonts w:hint="eastAsia" w:ascii="宋体" w:hAnsi="宋体"/>
          <w:b/>
          <w:color w:val="auto"/>
          <w:highlight w:val="none"/>
          <w:shd w:val="clear" w:color="auto" w:fill="auto"/>
          <w:lang w:val="en-US" w:eastAsia="zh-CN"/>
        </w:rPr>
        <w:t>2</w:t>
      </w:r>
      <w:r>
        <w:rPr>
          <w:rFonts w:hint="eastAsia" w:ascii="宋体" w:hAnsi="宋体"/>
          <w:b/>
          <w:color w:val="auto"/>
          <w:highlight w:val="none"/>
          <w:shd w:val="clear" w:color="auto" w:fill="auto"/>
        </w:rPr>
        <w:t>：</w:t>
      </w:r>
    </w:p>
    <w:tbl>
      <w:tblPr>
        <w:tblStyle w:val="52"/>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4"/>
        <w:gridCol w:w="1110"/>
        <w:gridCol w:w="719"/>
        <w:gridCol w:w="759"/>
        <w:gridCol w:w="71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项号</w:t>
            </w:r>
          </w:p>
        </w:tc>
        <w:tc>
          <w:tcPr>
            <w:tcW w:w="1110"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货物名称</w:t>
            </w:r>
          </w:p>
        </w:tc>
        <w:tc>
          <w:tcPr>
            <w:tcW w:w="719"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数量</w:t>
            </w:r>
          </w:p>
        </w:tc>
        <w:tc>
          <w:tcPr>
            <w:tcW w:w="759"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shd w:val="clear" w:color="auto" w:fill="auto"/>
                <w:lang w:val="en"/>
              </w:rPr>
            </w:pPr>
            <w:r>
              <w:rPr>
                <w:rFonts w:hint="eastAsia" w:ascii="宋体" w:hAnsi="宋体" w:cs="宋体"/>
                <w:b/>
                <w:color w:val="auto"/>
                <w:szCs w:val="21"/>
                <w:highlight w:val="none"/>
                <w:shd w:val="clear" w:color="auto" w:fill="auto"/>
              </w:rPr>
              <w:t>单位</w:t>
            </w:r>
          </w:p>
        </w:tc>
        <w:tc>
          <w:tcPr>
            <w:tcW w:w="7112" w:type="dxa"/>
            <w:tcBorders>
              <w:top w:val="single" w:color="auto" w:sz="4" w:space="0"/>
              <w:left w:val="single" w:color="auto" w:sz="4" w:space="0"/>
              <w:bottom w:val="single" w:color="auto" w:sz="4" w:space="0"/>
            </w:tcBorders>
            <w:vAlign w:val="center"/>
          </w:tcPr>
          <w:p>
            <w:pPr>
              <w:widowControl/>
              <w:spacing w:line="264" w:lineRule="auto"/>
              <w:jc w:val="center"/>
              <w:rPr>
                <w:rFonts w:ascii="宋体" w:hAnsi="宋体" w:cs="宋体"/>
                <w:b/>
                <w:color w:val="auto"/>
                <w:kern w:val="0"/>
                <w:szCs w:val="21"/>
                <w:highlight w:val="none"/>
                <w:shd w:val="clear" w:color="auto" w:fill="auto"/>
              </w:rPr>
            </w:pPr>
            <w:r>
              <w:rPr>
                <w:rFonts w:hint="eastAsia" w:ascii="宋体" w:hAnsi="宋体" w:cs="宋体"/>
                <w:b/>
                <w:color w:val="auto"/>
                <w:kern w:val="0"/>
                <w:szCs w:val="21"/>
                <w:highlight w:val="none"/>
                <w:shd w:val="clear" w:color="auto" w:fill="auto"/>
              </w:rPr>
              <w:t>主要技术参数及性能（配置）要求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rPr>
              <w:t>激光工程投影机</w:t>
            </w:r>
            <w:r>
              <w:rPr>
                <w:rFonts w:hint="eastAsia" w:ascii="宋体" w:hAnsi="宋体" w:cs="宋体"/>
                <w:color w:val="auto"/>
                <w:kern w:val="0"/>
                <w:szCs w:val="21"/>
                <w:highlight w:val="none"/>
                <w:shd w:val="clear" w:color="auto" w:fill="auto"/>
                <w:lang w:val="en-US" w:eastAsia="zh-CN"/>
              </w:rPr>
              <w:t>1</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lang w:val="en-US" w:eastAsia="zh-CN"/>
              </w:rPr>
              <w:t>1.</w:t>
            </w:r>
            <w:r>
              <w:rPr>
                <w:rFonts w:hint="eastAsia" w:ascii="宋体" w:hAnsi="宋体" w:cs="宋体"/>
                <w:color w:val="auto"/>
                <w:sz w:val="21"/>
                <w:szCs w:val="21"/>
                <w:highlight w:val="none"/>
                <w:shd w:val="clear" w:color="auto" w:fill="auto"/>
              </w:rPr>
              <w:t>芯片尺寸 0.78 英寸，16：10宽高比</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lang w:val="en-US" w:eastAsia="zh-CN"/>
              </w:rPr>
              <w:t>2.</w:t>
            </w:r>
            <w:r>
              <w:rPr>
                <w:rFonts w:hint="eastAsia" w:ascii="宋体" w:hAnsi="宋体" w:cs="宋体"/>
                <w:color w:val="auto"/>
                <w:sz w:val="21"/>
                <w:szCs w:val="21"/>
                <w:highlight w:val="none"/>
                <w:shd w:val="clear" w:color="auto" w:fill="auto"/>
              </w:rPr>
              <w:t>显示方式 DLP芯片x1</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3.</w:t>
            </w:r>
            <w:r>
              <w:rPr>
                <w:rFonts w:hint="eastAsia" w:ascii="宋体" w:hAnsi="宋体" w:cs="宋体"/>
                <w:color w:val="auto"/>
                <w:sz w:val="21"/>
                <w:szCs w:val="21"/>
                <w:highlight w:val="none"/>
                <w:shd w:val="clear" w:color="auto" w:fill="auto"/>
              </w:rPr>
              <w:t>物理分辨率 4K-UHD, 3840x2160</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4.</w:t>
            </w:r>
            <w:r>
              <w:rPr>
                <w:rFonts w:hint="eastAsia" w:ascii="宋体" w:hAnsi="宋体" w:cs="宋体"/>
                <w:color w:val="auto"/>
                <w:sz w:val="21"/>
                <w:szCs w:val="21"/>
                <w:highlight w:val="none"/>
                <w:shd w:val="clear" w:color="auto" w:fill="auto"/>
              </w:rPr>
              <w:t>亮度（ISO 21118）7500lm</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5.</w:t>
            </w:r>
            <w:r>
              <w:rPr>
                <w:rFonts w:hint="eastAsia" w:ascii="宋体" w:hAnsi="宋体" w:cs="宋体"/>
                <w:color w:val="auto"/>
                <w:sz w:val="21"/>
                <w:szCs w:val="21"/>
                <w:highlight w:val="none"/>
                <w:shd w:val="clear" w:color="auto" w:fill="auto"/>
              </w:rPr>
              <w:t>亮度（中心）7800lm动态对比度 5,000,000:1JBMA均匀度 ≥ 90%</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6.</w:t>
            </w:r>
            <w:r>
              <w:rPr>
                <w:rFonts w:hint="eastAsia" w:ascii="宋体" w:hAnsi="宋体" w:cs="宋体"/>
                <w:color w:val="auto"/>
                <w:sz w:val="21"/>
                <w:szCs w:val="21"/>
                <w:highlight w:val="none"/>
                <w:shd w:val="clear" w:color="auto" w:fill="auto"/>
              </w:rPr>
              <w:t>光源 SLPL激光光源，激光二级管光源，高亮度下: 20,000 小时/节能模式下: 25,000 小时</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7.</w:t>
            </w:r>
            <w:r>
              <w:rPr>
                <w:rFonts w:hint="eastAsia" w:ascii="宋体" w:hAnsi="宋体" w:cs="宋体"/>
                <w:color w:val="auto"/>
                <w:sz w:val="21"/>
                <w:szCs w:val="21"/>
                <w:highlight w:val="none"/>
                <w:shd w:val="clear" w:color="auto" w:fill="auto"/>
              </w:rPr>
              <w:t>投射比 0.98-1.37：1（手动）变焦倍率 1.4倍</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8.</w:t>
            </w:r>
            <w:r>
              <w:rPr>
                <w:rFonts w:hint="eastAsia" w:ascii="宋体" w:hAnsi="宋体" w:cs="宋体"/>
                <w:color w:val="auto"/>
                <w:sz w:val="21"/>
                <w:szCs w:val="21"/>
                <w:highlight w:val="none"/>
                <w:shd w:val="clear" w:color="auto" w:fill="auto"/>
              </w:rPr>
              <w:t>可换镜头 0.4/0.58/0.65/0.75/0.98-1.37/1.2-1.56/1.32-2.1</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lang w:val="en-US" w:eastAsia="zh-CN"/>
              </w:rPr>
              <w:t>9.</w:t>
            </w:r>
            <w:r>
              <w:rPr>
                <w:rFonts w:hint="eastAsia" w:ascii="宋体" w:hAnsi="宋体" w:cs="宋体"/>
                <w:color w:val="auto"/>
                <w:sz w:val="21"/>
                <w:szCs w:val="21"/>
                <w:highlight w:val="none"/>
                <w:shd w:val="clear" w:color="auto" w:fill="auto"/>
              </w:rPr>
              <w:t>位移范围 垂直±40%，左右± 20%（标准）</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位移调节 手动</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10.</w:t>
            </w:r>
            <w:r>
              <w:rPr>
                <w:rFonts w:hint="eastAsia" w:ascii="宋体" w:hAnsi="宋体" w:cs="宋体"/>
                <w:color w:val="auto"/>
                <w:sz w:val="21"/>
                <w:szCs w:val="21"/>
                <w:highlight w:val="none"/>
                <w:shd w:val="clear" w:color="auto" w:fill="auto"/>
              </w:rPr>
              <w:t>梯形调整 ±30°</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11.</w:t>
            </w:r>
            <w:r>
              <w:rPr>
                <w:rFonts w:hint="eastAsia" w:ascii="宋体" w:hAnsi="宋体" w:cs="宋体"/>
                <w:color w:val="auto"/>
                <w:sz w:val="21"/>
                <w:szCs w:val="21"/>
                <w:highlight w:val="none"/>
                <w:shd w:val="clear" w:color="auto" w:fill="auto"/>
              </w:rPr>
              <w:t>最高支持分辨率 支持到4K 3840×2160整机功耗 380w±10%； 待机功耗 ＜0.5w</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12.</w:t>
            </w:r>
            <w:r>
              <w:rPr>
                <w:rFonts w:hint="eastAsia" w:ascii="宋体" w:hAnsi="宋体" w:cs="宋体"/>
                <w:color w:val="auto"/>
                <w:sz w:val="21"/>
                <w:szCs w:val="21"/>
                <w:highlight w:val="none"/>
                <w:shd w:val="clear" w:color="auto" w:fill="auto"/>
              </w:rPr>
              <w:t>输入接口：VGA IN×1、AUDIO IN×1、HDMI×2、HD-BASET×1（选配）、USB-A×2</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13.</w:t>
            </w:r>
            <w:r>
              <w:rPr>
                <w:rFonts w:hint="eastAsia" w:ascii="宋体" w:hAnsi="宋体" w:cs="宋体"/>
                <w:color w:val="auto"/>
                <w:sz w:val="21"/>
                <w:szCs w:val="21"/>
                <w:highlight w:val="none"/>
                <w:shd w:val="clear" w:color="auto" w:fill="auto"/>
              </w:rPr>
              <w:t>输出接口：VGA OUT×1、AUDIO OUT (mini-jack,3.5mm)×1、3D SYNC OUT×1、USB-A（5V）×1控制接口：RS232 input×1、LAN网络接口(RJ45）×1、USB (Type mini 烧录FW)×1</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14.</w:t>
            </w:r>
            <w:r>
              <w:rPr>
                <w:rFonts w:hint="eastAsia" w:ascii="宋体" w:hAnsi="宋体" w:cs="宋体"/>
                <w:color w:val="auto"/>
                <w:sz w:val="21"/>
                <w:szCs w:val="21"/>
                <w:highlight w:val="none"/>
                <w:shd w:val="clear" w:color="auto" w:fill="auto"/>
              </w:rPr>
              <w:t>WIFI/蓝牙：2.4G/5GHz，蓝牙5.0版本</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15.</w:t>
            </w:r>
            <w:r>
              <w:rPr>
                <w:rFonts w:hint="eastAsia" w:ascii="宋体" w:hAnsi="宋体" w:cs="宋体"/>
                <w:color w:val="auto"/>
                <w:sz w:val="21"/>
                <w:szCs w:val="21"/>
                <w:highlight w:val="none"/>
                <w:shd w:val="clear" w:color="auto" w:fill="auto"/>
              </w:rPr>
              <w:t>内存/存储：2G/16G</w:t>
            </w:r>
            <w:r>
              <w:rPr>
                <w:rFonts w:hint="eastAsia" w:ascii="宋体" w:hAnsi="宋体" w:cs="宋体"/>
                <w:color w:val="auto"/>
                <w:sz w:val="21"/>
                <w:szCs w:val="21"/>
                <w:highlight w:val="none"/>
                <w:shd w:val="clear" w:color="auto" w:fill="auto"/>
                <w:lang w:eastAsia="zh-CN"/>
              </w:rPr>
              <w:t>，</w:t>
            </w:r>
            <w:r>
              <w:rPr>
                <w:rFonts w:hint="eastAsia" w:ascii="宋体" w:hAnsi="宋体" w:cs="宋体"/>
                <w:color w:val="auto"/>
                <w:sz w:val="21"/>
                <w:szCs w:val="21"/>
                <w:highlight w:val="none"/>
                <w:shd w:val="clear" w:color="auto" w:fill="auto"/>
              </w:rPr>
              <w:t>安卓系统版本：Android 11.0（可系统升级）裸机重量 ＜10KG</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16.</w:t>
            </w:r>
            <w:r>
              <w:rPr>
                <w:rFonts w:hint="eastAsia" w:ascii="宋体" w:hAnsi="宋体" w:cs="宋体"/>
                <w:color w:val="auto"/>
                <w:sz w:val="21"/>
                <w:szCs w:val="21"/>
                <w:highlight w:val="none"/>
                <w:shd w:val="clear" w:color="auto" w:fill="auto"/>
              </w:rPr>
              <w:t>色彩调整 支持红、绿、蓝、青、洋红、黄、等颜色的色调、饱和度、增益及白屏的色温、亮度等七种颜色调整</w:t>
            </w:r>
            <w:r>
              <w:rPr>
                <w:rFonts w:hint="eastAsia" w:ascii="宋体" w:hAnsi="宋体" w:cs="宋体"/>
                <w:color w:val="auto"/>
                <w:sz w:val="21"/>
                <w:szCs w:val="21"/>
                <w:highlight w:val="none"/>
                <w:shd w:val="clear" w:color="auto" w:fill="auto"/>
                <w:lang w:eastAsia="zh-CN"/>
              </w:rPr>
              <w:t>；</w:t>
            </w:r>
          </w:p>
          <w:p>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17.</w:t>
            </w:r>
            <w:r>
              <w:rPr>
                <w:rFonts w:hint="eastAsia" w:ascii="宋体" w:hAnsi="宋体" w:cs="宋体"/>
                <w:color w:val="auto"/>
                <w:sz w:val="21"/>
                <w:szCs w:val="21"/>
                <w:highlight w:val="none"/>
                <w:shd w:val="clear" w:color="auto" w:fill="auto"/>
              </w:rPr>
              <w:t>一键遮屏 支持一键遮屏（软件Blank）功能；高海拔模式 支持高海拔模式；</w:t>
            </w:r>
          </w:p>
          <w:p>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18.</w:t>
            </w:r>
            <w:r>
              <w:rPr>
                <w:rFonts w:hint="eastAsia" w:ascii="宋体" w:hAnsi="宋体" w:cs="宋体"/>
                <w:color w:val="auto"/>
                <w:sz w:val="21"/>
                <w:szCs w:val="21"/>
                <w:highlight w:val="none"/>
                <w:shd w:val="clear" w:color="auto" w:fill="auto"/>
              </w:rPr>
              <w:t>投影机内置无线投屏功能，支持macOS/iPadOS/iOS/Android/Windows10以上系统智能手机、平板电脑、笔记本电脑等；</w:t>
            </w:r>
          </w:p>
          <w:p>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19.</w:t>
            </w:r>
            <w:r>
              <w:rPr>
                <w:rFonts w:hint="eastAsia" w:ascii="宋体" w:hAnsi="宋体" w:cs="宋体"/>
                <w:color w:val="auto"/>
                <w:sz w:val="21"/>
                <w:szCs w:val="21"/>
                <w:highlight w:val="none"/>
                <w:shd w:val="clear" w:color="auto" w:fill="auto"/>
              </w:rPr>
              <w:t>投影机支持U盘读取功能，插入USB 3.0以上的U盘，可直接读取U盘信息，并可播放U盘内的视频、图片、PPT、PDF文档等内容；</w:t>
            </w:r>
          </w:p>
          <w:p>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20.</w:t>
            </w:r>
            <w:r>
              <w:rPr>
                <w:rFonts w:hint="eastAsia" w:ascii="宋体" w:hAnsi="宋体" w:cs="宋体"/>
                <w:color w:val="auto"/>
                <w:sz w:val="21"/>
                <w:szCs w:val="21"/>
                <w:highlight w:val="none"/>
                <w:shd w:val="clear" w:color="auto" w:fill="auto"/>
              </w:rPr>
              <w:t>数字变焦 可通过数字变焦功能实现画面大小的调节；</w:t>
            </w:r>
          </w:p>
          <w:p>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21.</w:t>
            </w:r>
            <w:r>
              <w:rPr>
                <w:rFonts w:hint="eastAsia" w:ascii="宋体" w:hAnsi="宋体" w:cs="宋体"/>
                <w:color w:val="auto"/>
                <w:sz w:val="21"/>
                <w:szCs w:val="21"/>
                <w:highlight w:val="none"/>
                <w:shd w:val="clear" w:color="auto" w:fill="auto"/>
              </w:rPr>
              <w:t>HDR功能 具有HDR功能用于提高投影机高动态色彩范围，菜单中体现HDR功能的开/关选项；</w:t>
            </w:r>
          </w:p>
          <w:p>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22.</w:t>
            </w:r>
            <w:r>
              <w:rPr>
                <w:rFonts w:hint="eastAsia" w:ascii="宋体" w:hAnsi="宋体" w:cs="宋体"/>
                <w:color w:val="auto"/>
                <w:sz w:val="21"/>
                <w:szCs w:val="21"/>
                <w:highlight w:val="none"/>
                <w:shd w:val="clear" w:color="auto" w:fill="auto"/>
              </w:rPr>
              <w:t>DCR功能 具有DCR功能实现自动超强暗场处理，可手动关闭</w:t>
            </w:r>
          </w:p>
          <w:p>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23.</w:t>
            </w:r>
            <w:r>
              <w:rPr>
                <w:rFonts w:hint="eastAsia" w:ascii="宋体" w:hAnsi="宋体" w:cs="宋体"/>
                <w:color w:val="auto"/>
                <w:sz w:val="21"/>
                <w:szCs w:val="21"/>
                <w:highlight w:val="none"/>
                <w:shd w:val="clear" w:color="auto" w:fill="auto"/>
              </w:rPr>
              <w:t>遥控独立控制 投影可独立遥控，可以防止遥控器同时干扰多台投影机，遥控数量＞64台；</w:t>
            </w:r>
          </w:p>
          <w:p>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24.</w:t>
            </w:r>
            <w:r>
              <w:rPr>
                <w:rFonts w:hint="eastAsia" w:ascii="宋体" w:hAnsi="宋体" w:cs="宋体"/>
                <w:color w:val="auto"/>
                <w:sz w:val="21"/>
                <w:szCs w:val="21"/>
                <w:highlight w:val="none"/>
                <w:shd w:val="clear" w:color="auto" w:fill="auto"/>
              </w:rPr>
              <w:t>遥控红外笔功能 遥控器具备可见红外光线，可代替激光笔使用；</w:t>
            </w:r>
          </w:p>
          <w:p>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25.</w:t>
            </w:r>
            <w:r>
              <w:rPr>
                <w:rFonts w:hint="eastAsia" w:ascii="宋体" w:hAnsi="宋体" w:cs="宋体"/>
                <w:color w:val="auto"/>
                <w:sz w:val="21"/>
                <w:szCs w:val="21"/>
                <w:highlight w:val="none"/>
                <w:shd w:val="clear" w:color="auto" w:fill="auto"/>
              </w:rPr>
              <w:t xml:space="preserve">试用功能 具备定时试用功能，用户一定周期内可以使用，超过时间将会提示并关机； </w:t>
            </w:r>
          </w:p>
          <w:p>
            <w:pPr>
              <w:pStyle w:val="51"/>
              <w:spacing w:line="264" w:lineRule="auto"/>
              <w:ind w:firstLine="0" w:firstLineChars="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26.</w:t>
            </w:r>
            <w:r>
              <w:rPr>
                <w:rFonts w:hint="eastAsia" w:ascii="宋体" w:hAnsi="宋体" w:cs="宋体"/>
                <w:color w:val="auto"/>
                <w:sz w:val="21"/>
                <w:szCs w:val="21"/>
                <w:highlight w:val="none"/>
                <w:shd w:val="clear" w:color="auto" w:fill="auto"/>
              </w:rPr>
              <w:t>产品品牌拥有自主知识产权。产品型号通过3C认证并提供认证证书复印件并加盖</w:t>
            </w:r>
            <w:r>
              <w:rPr>
                <w:rFonts w:hint="eastAsia" w:ascii="宋体" w:hAnsi="宋体" w:cs="宋体"/>
                <w:color w:val="auto"/>
                <w:sz w:val="21"/>
                <w:szCs w:val="21"/>
                <w:highlight w:val="none"/>
                <w:shd w:val="clear" w:color="auto" w:fill="auto"/>
                <w:lang w:val="en-US" w:eastAsia="zh-CN"/>
              </w:rPr>
              <w:t>投标人</w:t>
            </w:r>
            <w:r>
              <w:rPr>
                <w:rFonts w:hint="eastAsia" w:ascii="宋体" w:hAnsi="宋体" w:cs="宋体"/>
                <w:color w:val="auto"/>
                <w:sz w:val="21"/>
                <w:szCs w:val="21"/>
                <w:highlight w:val="none"/>
                <w:shd w:val="clear" w:color="auto" w:fill="auto"/>
              </w:rPr>
              <w:t>印章；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激光工程投影机2</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7112" w:type="dxa"/>
            <w:tcBorders>
              <w:top w:val="single" w:color="auto" w:sz="4" w:space="0"/>
              <w:left w:val="single" w:color="auto" w:sz="4" w:space="0"/>
              <w:bottom w:val="single" w:color="auto" w:sz="4" w:space="0"/>
            </w:tcBorders>
            <w:vAlign w:val="center"/>
          </w:tcPr>
          <w:p>
            <w:pPr>
              <w:widowControl/>
              <w:spacing w:line="264" w:lineRule="auto"/>
              <w:jc w:val="left"/>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光源：采用单色激光四色荧光粉色轮成像技术，纯激光光源（为保证激光光源的安全性，激光投影机达到1类激光产品标准，</w:t>
            </w:r>
            <w:r>
              <w:rPr>
                <w:rFonts w:hint="eastAsia" w:ascii="宋体" w:hAnsi="宋体" w:cs="宋体"/>
                <w:color w:val="auto"/>
                <w:szCs w:val="21"/>
                <w:highlight w:val="none"/>
                <w:shd w:val="clear" w:color="auto" w:fill="auto"/>
                <w:lang w:eastAsia="zh-CN"/>
              </w:rPr>
              <w:t>投标时</w:t>
            </w:r>
            <w:r>
              <w:rPr>
                <w:rFonts w:ascii="宋体" w:hAnsi="宋体" w:cs="宋体"/>
                <w:color w:val="auto"/>
                <w:szCs w:val="21"/>
                <w:highlight w:val="none"/>
                <w:shd w:val="clear" w:color="auto" w:fill="auto"/>
              </w:rPr>
              <w:t>提供产截图或检测报告）；</w:t>
            </w:r>
          </w:p>
          <w:p>
            <w:pPr>
              <w:widowControl/>
              <w:spacing w:line="264" w:lineRule="auto"/>
              <w:jc w:val="left"/>
              <w:textAlignment w:val="center"/>
              <w:rPr>
                <w:rFonts w:ascii="宋体" w:hAnsi="宋体" w:cs="宋体"/>
                <w:color w:val="auto"/>
                <w:szCs w:val="21"/>
                <w:highlight w:val="none"/>
                <w:shd w:val="clear" w:color="auto" w:fill="auto"/>
              </w:rPr>
            </w:pPr>
            <w:r>
              <w:rPr>
                <w:rFonts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显示技术：3D显示</w:t>
            </w:r>
            <w:r>
              <w:rPr>
                <w:rFonts w:hint="eastAsia" w:ascii="宋体" w:hAnsi="宋体" w:cs="宋体"/>
                <w:color w:val="auto"/>
                <w:szCs w:val="21"/>
                <w:highlight w:val="none"/>
                <w:shd w:val="clear" w:color="auto" w:fill="auto"/>
              </w:rPr>
              <w:t>技术</w:t>
            </w:r>
            <w:r>
              <w:rPr>
                <w:rFonts w:ascii="宋体" w:hAnsi="宋体" w:cs="宋体"/>
                <w:color w:val="auto"/>
                <w:szCs w:val="21"/>
                <w:highlight w:val="none"/>
                <w:shd w:val="clear" w:color="auto" w:fill="auto"/>
              </w:rPr>
              <w:t>,</w:t>
            </w:r>
            <w:r>
              <w:rPr>
                <w:rFonts w:hint="eastAsia" w:ascii="宋体" w:hAnsi="宋体" w:cs="宋体"/>
                <w:color w:val="auto"/>
                <w:szCs w:val="21"/>
                <w:highlight w:val="none"/>
                <w:shd w:val="clear" w:color="auto" w:fill="auto"/>
              </w:rPr>
              <w:t>显示芯片≤</w:t>
            </w:r>
            <w:r>
              <w:rPr>
                <w:rFonts w:ascii="宋体" w:hAnsi="宋体" w:cs="宋体"/>
                <w:color w:val="auto"/>
                <w:szCs w:val="21"/>
                <w:highlight w:val="none"/>
                <w:shd w:val="clear" w:color="auto" w:fill="auto"/>
              </w:rPr>
              <w:t>0.47吋DMD；</w:t>
            </w:r>
          </w:p>
          <w:p>
            <w:pPr>
              <w:widowControl/>
              <w:spacing w:line="264" w:lineRule="auto"/>
              <w:jc w:val="left"/>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3</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中心亮度≥7800流明，标准分辨率≥3840×2160，支持宽高比：16:9, 4:3, 16:10, 16:6，光效比≥14 LM/W；</w:t>
            </w:r>
          </w:p>
          <w:p>
            <w:pPr>
              <w:widowControl/>
              <w:spacing w:line="264" w:lineRule="auto"/>
              <w:jc w:val="left"/>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4</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对比度：≥5800000：1，支持对比度增强；</w:t>
            </w:r>
          </w:p>
          <w:p>
            <w:pPr>
              <w:widowControl/>
              <w:spacing w:line="264" w:lineRule="auto"/>
              <w:jc w:val="left"/>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5</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 xml:space="preserve">电动镜头：电动变焦、电动聚焦、电动位移，变焦倍数≥1.6倍，支持垂直水平方向电动镜头位移，垂直方向≥100% </w:t>
            </w:r>
            <w:r>
              <w:rPr>
                <w:rFonts w:hint="eastAsia" w:ascii="宋体" w:hAnsi="宋体" w:cs="宋体"/>
                <w:color w:val="auto"/>
                <w:szCs w:val="21"/>
                <w:highlight w:val="none"/>
                <w:shd w:val="clear" w:color="auto" w:fill="auto"/>
              </w:rPr>
              <w:t>，水平方向≥</w:t>
            </w:r>
            <w:r>
              <w:rPr>
                <w:rFonts w:ascii="宋体" w:hAnsi="宋体" w:cs="宋体"/>
                <w:color w:val="auto"/>
                <w:szCs w:val="21"/>
                <w:highlight w:val="none"/>
                <w:shd w:val="clear" w:color="auto" w:fill="auto"/>
              </w:rPr>
              <w:t xml:space="preserve">40% </w:t>
            </w:r>
            <w:r>
              <w:rPr>
                <w:rFonts w:hint="eastAsia" w:ascii="宋体" w:hAnsi="宋体" w:cs="宋体"/>
                <w:color w:val="auto"/>
                <w:szCs w:val="21"/>
                <w:highlight w:val="none"/>
                <w:shd w:val="clear" w:color="auto" w:fill="auto"/>
              </w:rPr>
              <w:t>；投射比≤</w:t>
            </w:r>
            <w:r>
              <w:rPr>
                <w:rFonts w:ascii="宋体" w:hAnsi="宋体" w:cs="宋体"/>
                <w:color w:val="auto"/>
                <w:szCs w:val="21"/>
                <w:highlight w:val="none"/>
                <w:shd w:val="clear" w:color="auto" w:fill="auto"/>
              </w:rPr>
              <w:t>1.53-2.46，配置原厂标准镜头，投150寸画面时距离5.1米-8.1米；</w:t>
            </w:r>
          </w:p>
          <w:p>
            <w:pPr>
              <w:widowControl/>
              <w:spacing w:line="264" w:lineRule="auto"/>
              <w:jc w:val="left"/>
              <w:textAlignment w:val="center"/>
              <w:rPr>
                <w:rFonts w:ascii="宋体" w:hAnsi="宋体" w:cs="宋体"/>
                <w:color w:val="auto"/>
                <w:szCs w:val="21"/>
                <w:highlight w:val="none"/>
                <w:shd w:val="clear" w:color="auto" w:fill="auto"/>
              </w:rPr>
            </w:pPr>
            <w:r>
              <w:rPr>
                <w:rFonts w:ascii="宋体" w:hAnsi="宋体" w:cs="宋体"/>
                <w:color w:val="auto"/>
                <w:szCs w:val="21"/>
                <w:highlight w:val="none"/>
                <w:shd w:val="clear" w:color="auto" w:fill="auto"/>
              </w:rPr>
              <w:t>6</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梯形校正垂直方向±35°，水平方向±35°四点校正；</w:t>
            </w:r>
          </w:p>
          <w:p>
            <w:pPr>
              <w:widowControl/>
              <w:spacing w:line="264" w:lineRule="auto"/>
              <w:jc w:val="left"/>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7</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机器接口： HDMI×2，HDBaseT</w:t>
            </w: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1， RS232×1，LAN(RJ45)</w:t>
            </w: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1，IR 3D OUT×1，3D SYNC IN×1，3D SYNC OUT×1，USB-B×1，USBA×1；（以上均为原厂内置接口，</w:t>
            </w:r>
            <w:r>
              <w:rPr>
                <w:rFonts w:hint="eastAsia" w:ascii="宋体" w:hAnsi="宋体" w:cs="宋体"/>
                <w:color w:val="auto"/>
                <w:szCs w:val="21"/>
                <w:highlight w:val="none"/>
                <w:shd w:val="clear" w:color="auto" w:fill="auto"/>
                <w:lang w:eastAsia="zh-CN"/>
              </w:rPr>
              <w:t>投标时</w:t>
            </w:r>
            <w:r>
              <w:rPr>
                <w:rFonts w:ascii="宋体" w:hAnsi="宋体" w:cs="宋体"/>
                <w:color w:val="auto"/>
                <w:szCs w:val="21"/>
                <w:highlight w:val="none"/>
                <w:shd w:val="clear" w:color="auto" w:fill="auto"/>
              </w:rPr>
              <w:t>提供符合参数要求的接口截图或检测报告或产品彩页）</w:t>
            </w:r>
          </w:p>
          <w:p>
            <w:pPr>
              <w:widowControl/>
              <w:spacing w:line="264" w:lineRule="auto"/>
              <w:jc w:val="left"/>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8</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功率≤430W，待机模式功耗≤0.5W，重量≥9.5kg；</w:t>
            </w:r>
          </w:p>
          <w:p>
            <w:pPr>
              <w:widowControl/>
              <w:spacing w:line="264" w:lineRule="auto"/>
              <w:jc w:val="left"/>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9</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3D技术：多种3D模式，支持DLP link3D;3DTVPLAY立体投影，支持蓝光3D视频播放，支持3D课堂；（</w:t>
            </w:r>
            <w:r>
              <w:rPr>
                <w:rFonts w:hint="eastAsia" w:ascii="宋体" w:hAnsi="宋体" w:cs="宋体"/>
                <w:color w:val="auto"/>
                <w:szCs w:val="21"/>
                <w:highlight w:val="none"/>
                <w:shd w:val="clear" w:color="auto" w:fill="auto"/>
                <w:lang w:eastAsia="zh-CN"/>
              </w:rPr>
              <w:t>投标时</w:t>
            </w:r>
            <w:r>
              <w:rPr>
                <w:rFonts w:ascii="宋体" w:hAnsi="宋体" w:cs="宋体"/>
                <w:color w:val="auto"/>
                <w:szCs w:val="21"/>
                <w:highlight w:val="none"/>
                <w:shd w:val="clear" w:color="auto" w:fill="auto"/>
              </w:rPr>
              <w:t>提供机器截图或彩页、检测报告）；</w:t>
            </w:r>
          </w:p>
          <w:p>
            <w:pPr>
              <w:widowControl/>
              <w:spacing w:line="264" w:lineRule="auto"/>
              <w:jc w:val="left"/>
              <w:textAlignment w:val="center"/>
              <w:rPr>
                <w:rFonts w:ascii="宋体" w:hAnsi="宋体" w:cs="宋体"/>
                <w:color w:val="auto"/>
                <w:szCs w:val="21"/>
                <w:highlight w:val="none"/>
                <w:shd w:val="clear" w:color="auto" w:fill="auto"/>
              </w:rPr>
            </w:pPr>
            <w:r>
              <w:rPr>
                <w:rFonts w:ascii="宋体" w:hAnsi="宋体" w:cs="宋体"/>
                <w:color w:val="auto"/>
                <w:szCs w:val="21"/>
                <w:highlight w:val="none"/>
                <w:shd w:val="clear" w:color="auto" w:fill="auto"/>
              </w:rPr>
              <w:t>10.提供原厂整机五年质保服务（光源质保五年），打厂家400电话查询到中标机器质保五年，由厂家质保（不接受第三方保修），供货时提供本项目售后服务承诺书原件和项目授权书原件并加盖厂商印章。</w:t>
            </w:r>
          </w:p>
          <w:p>
            <w:pPr>
              <w:widowControl/>
              <w:spacing w:line="264" w:lineRule="auto"/>
              <w:jc w:val="left"/>
              <w:textAlignment w:val="center"/>
              <w:rPr>
                <w:rFonts w:ascii="宋体" w:hAnsi="宋体" w:cs="宋体"/>
                <w:color w:val="auto"/>
                <w:szCs w:val="21"/>
                <w:highlight w:val="none"/>
                <w:shd w:val="clear" w:color="auto" w:fill="auto"/>
              </w:rPr>
            </w:pPr>
            <w:r>
              <w:rPr>
                <w:rFonts w:ascii="宋体" w:hAnsi="宋体" w:cs="宋体"/>
                <w:color w:val="auto"/>
                <w:szCs w:val="21"/>
                <w:highlight w:val="none"/>
                <w:shd w:val="clear" w:color="auto" w:fill="auto"/>
              </w:rPr>
              <w:t>11</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激光投影机具有IP5X防尘等级、光源光机IP6X防水等级设计（</w:t>
            </w:r>
            <w:r>
              <w:rPr>
                <w:rFonts w:hint="eastAsia" w:ascii="宋体" w:hAnsi="宋体" w:cs="宋体"/>
                <w:color w:val="auto"/>
                <w:szCs w:val="21"/>
                <w:highlight w:val="none"/>
                <w:shd w:val="clear" w:color="auto" w:fill="auto"/>
                <w:lang w:val="en-US" w:eastAsia="zh-CN"/>
              </w:rPr>
              <w:t>供货时</w:t>
            </w:r>
            <w:r>
              <w:rPr>
                <w:rFonts w:ascii="宋体" w:hAnsi="宋体" w:cs="宋体"/>
                <w:color w:val="auto"/>
                <w:szCs w:val="21"/>
                <w:highlight w:val="none"/>
                <w:shd w:val="clear" w:color="auto" w:fill="auto"/>
              </w:rPr>
              <w:t>提供国家认可的第三方检测机构出具的检测报告或视频截图等相关材料）；</w:t>
            </w:r>
          </w:p>
          <w:p>
            <w:pPr>
              <w:pStyle w:val="8"/>
              <w:ind w:firstLine="0" w:firstLineChars="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ascii="宋体" w:hAnsi="宋体" w:cs="宋体"/>
                <w:color w:val="auto"/>
                <w:szCs w:val="21"/>
                <w:highlight w:val="none"/>
                <w:shd w:val="clear" w:color="auto" w:fill="auto"/>
              </w:rPr>
              <w:t>12</w:t>
            </w:r>
            <w:r>
              <w:rPr>
                <w:rFonts w:hint="eastAsia" w:ascii="宋体" w:hAnsi="宋体" w:cs="宋体"/>
                <w:color w:val="auto"/>
                <w:szCs w:val="21"/>
                <w:highlight w:val="none"/>
                <w:shd w:val="clear" w:color="auto" w:fill="auto"/>
                <w:lang w:val="en-US" w:eastAsia="zh-CN"/>
              </w:rPr>
              <w:t>.</w:t>
            </w:r>
            <w:r>
              <w:rPr>
                <w:rFonts w:ascii="宋体" w:hAnsi="宋体" w:cs="宋体"/>
                <w:color w:val="auto"/>
                <w:szCs w:val="21"/>
                <w:highlight w:val="none"/>
                <w:shd w:val="clear" w:color="auto" w:fill="auto"/>
              </w:rPr>
              <w:t>内置安卓操作系统及热点，具备≥15G内置存储，蓝牙、无线网卡等无线连接功能。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非接触式扫描仪</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7112" w:type="dxa"/>
            <w:tcBorders>
              <w:top w:val="single" w:color="auto" w:sz="4" w:space="0"/>
              <w:left w:val="single" w:color="auto" w:sz="4" w:space="0"/>
              <w:bottom w:val="single" w:color="auto" w:sz="4" w:space="0"/>
            </w:tcBorders>
            <w:vAlign w:val="center"/>
          </w:tcPr>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1</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稿台超A2幅面≥（655mm×478mm），扫描幅面≥（611mm x 458.2mm）非接触式扫描，无需拆书。左、右自动升降台面，适用于不同厚度书籍、字画、电路板、芯片、植物标本等扫描；</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2</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 xml:space="preserve">为了加强工作效率减轻整机重量，要求扫描工作台左、右自动互降台面适用于不同厚度的书籍档案（为了保证高效率扫描不接受任何电动调节工作台）,脊柱最大宽度100mm可根据书籍手动进行调节； </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3</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扫描工作台配备光学级高精度树脂玻璃手动压稿台开合角度≥90°（为了保证工作效率不接受含有电动调节的玻璃压板）；</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4</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书稿台面板配置双键触发扫描组件左右面板各一组，可以更加高效率快速扫描大量书籍档案；</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扫描工作台配置X 光胶片扫描系统，可根据胶片情况进行光源手动调节或自动调节； 胶片扫描尺寸：≥14×17 英寸胶片；胶片扫描速度：≤0.3 秒/画幅（在 600dpi 光学分辨率、矩阵式 CCD 点对点一次性扫描方式、彩色/灰度/黑白、≥14×17 英寸幅面情况下）；</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6</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镜头矩阵式CCD传感器矩阵式点对点扫描技术景深：≥15cm；最大扫描书籍类原稿厚度：≥10cm；可以实现平面、立体物品的 2D、仿 3D 图像信息采集，也可以扫描植物标本、药物标本实现高精度影像色彩还原；</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7</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保证书籍扫描的高速、耐用和使用便利的要求矩阵式CCD点对点一次性彩色扫描方式，色彩还原更好，不接受线性ccd逐行扫描。</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8</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彩色扫描一次性完成,扫描过程镜头、光源不移动为了保护使用人员视觉健康不接受走动或移动式光源。</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9</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能够进行红外、紫外波段数据扫描采集，具有光谱范围 300-1100nm 扫描功能，扫描获取不同波长的光谱图像，能够对扫描物体表面的油迹指纹等进行成像，能够对消退、涂改、变造字迹等进行成像。</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10</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71兆像素矩阵式CCD传感器，800dpi彩色/A2幅面/ 0.3秒扫描速度， 100-800 dpi分辨率可调节。</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11</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后背式LED冷光源，尺寸≥ 650mm×55mm，菲涅耳透镜可实现均匀、均匀的照明，零辐射按需独立式采集照明系统包含防刺眼挡板。无红外线和紫外线辐射，安全可靠。</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12</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体积：整机不含外置工作站≤1290（高）×670（宽）×840（深）mm。</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13</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设备接口：一个网线RJ45接口、机身自带两个usb数据传输接口、25针串口。</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14</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生产模式：设备与电脑通过USB3.0数据线连接，方便数据传输，同时延长使用寿命。</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15</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内置21英寸触摸屏，全新触摸及双键技术，简便的扫描流程，无需连接外置电脑就可以直接扫描的移动存储。操作者无需专业培训，即可操作自如，快速简单地获得优质的扫描效果，插上USB闪存盘，即可保存扫描结果。</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16</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标配脚踏扫描开关，自助扫描方式无需外接电脑即可完成扫描工作。</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kern w:val="0"/>
                <w:szCs w:val="21"/>
                <w:highlight w:val="none"/>
                <w:shd w:val="clear" w:color="auto" w:fill="auto"/>
              </w:rPr>
              <w:t>17</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非接触式古籍扫描系统专业版软件功能介绍，支持项目名称、存储路径、图像名称、扫描格式、压缩格式、压缩倍率的前置设置；支持图像顺序、插入、替换扫描模式；支持图像复制、拆分、拼接、缩放、移动、删除、任意角度旋转、导入、导出等操作方式；支持图像自动纠偏、手动纠偏、去黑边、去空白页等通用优化功能；支持图像优化的手动处理、自动批量处理；版心居中、背景平滑、红头文件优化、下左右去手指、保留手指、区域扫描、添加水印、ocr识别、镜像。</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（1）非接触式书刊扫描系统专业版，操作按键形象直观、操作简单、功能强大；</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（2）软件操作、设置均为一键式操作方式，省去繁琐的软件参数设置，即便是无电脑常识的工作人员，打开软件既能轻松完成成册书籍扫描工作；</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（3）软件基于触摸屏版样式开发，操作设置按键形象、直观、明了，操作简单，快速；</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（4）图像自动优化处理，无需人工干预，图像自动去除黑边、去除手指、页面自动展平、自动纠偏等，能够大大减少扫描员工作量；</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（5）每完成一本书籍扫描，无需退出界面，可以继续扫描下一份；</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（6）导出可以同时导出三种格式文件jpg/tiff/pdf。</w:t>
            </w:r>
          </w:p>
          <w:p>
            <w:pPr>
              <w:pStyle w:val="8"/>
              <w:spacing w:line="264" w:lineRule="auto"/>
              <w:ind w:firstLine="0"/>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18</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扫描仪软件终身免费升级。</w:t>
            </w:r>
          </w:p>
          <w:p>
            <w:pPr>
              <w:pStyle w:val="8"/>
              <w:spacing w:line="264" w:lineRule="auto"/>
              <w:ind w:firstLine="0"/>
              <w:rPr>
                <w:rFonts w:hint="eastAsia" w:ascii="宋体" w:hAnsi="宋体" w:cs="宋体"/>
                <w:color w:val="auto"/>
                <w:kern w:val="0"/>
                <w:szCs w:val="21"/>
                <w:highlight w:val="none"/>
                <w:shd w:val="clear" w:color="auto" w:fill="auto"/>
              </w:rPr>
            </w:pPr>
            <w:r>
              <w:rPr>
                <w:rFonts w:hint="eastAsia" w:ascii="宋体" w:hAnsi="宋体" w:cs="宋体"/>
                <w:strike w:val="0"/>
                <w:dstrike w:val="0"/>
                <w:color w:val="auto"/>
                <w:kern w:val="0"/>
                <w:szCs w:val="21"/>
                <w:highlight w:val="none"/>
                <w:shd w:val="clear" w:color="auto" w:fill="auto"/>
                <w:lang w:eastAsia="zh-CN"/>
              </w:rPr>
              <w:t>（</w:t>
            </w:r>
            <w:r>
              <w:rPr>
                <w:rFonts w:hint="eastAsia" w:ascii="宋体" w:hAnsi="宋体" w:cs="宋体"/>
                <w:color w:val="auto"/>
                <w:kern w:val="0"/>
                <w:szCs w:val="21"/>
                <w:highlight w:val="none"/>
                <w:shd w:val="clear" w:color="auto" w:fill="auto"/>
                <w:lang w:val="en-US" w:eastAsia="zh-CN"/>
              </w:rPr>
              <w:t>供货时</w:t>
            </w:r>
            <w:r>
              <w:rPr>
                <w:rFonts w:hint="eastAsia" w:ascii="宋体" w:hAnsi="宋体" w:cs="宋体"/>
                <w:color w:val="auto"/>
                <w:kern w:val="0"/>
                <w:szCs w:val="21"/>
                <w:highlight w:val="none"/>
                <w:shd w:val="clear" w:color="auto" w:fill="auto"/>
              </w:rPr>
              <w:t>需提供原厂家针对本项目授权书）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显示器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7112" w:type="dxa"/>
            <w:tcBorders>
              <w:top w:val="single" w:color="auto" w:sz="4" w:space="0"/>
              <w:left w:val="single" w:color="auto" w:sz="4" w:space="0"/>
              <w:bottom w:val="single" w:color="auto" w:sz="4" w:space="0"/>
            </w:tcBorders>
            <w:vAlign w:val="center"/>
          </w:tcPr>
          <w:p>
            <w:pPr>
              <w:pStyle w:val="8"/>
              <w:spacing w:line="264" w:lineRule="auto"/>
              <w:ind w:firstLine="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1.VA屏，可视角度178°</w:t>
            </w:r>
            <w:r>
              <w:rPr>
                <w:rFonts w:hint="eastAsia" w:ascii="宋体" w:hAnsi="宋体" w:cs="宋体"/>
                <w:color w:val="auto"/>
                <w:szCs w:val="21"/>
                <w:highlight w:val="none"/>
                <w:shd w:val="clear" w:color="auto" w:fill="auto"/>
                <w:lang w:eastAsia="zh-CN"/>
              </w:rPr>
              <w:t>；</w:t>
            </w:r>
          </w:p>
          <w:p>
            <w:pPr>
              <w:pStyle w:val="8"/>
              <w:spacing w:line="264" w:lineRule="auto"/>
              <w:ind w:firstLine="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2.刷新率60HZ,响应时间4MS,99%色域面积</w:t>
            </w:r>
            <w:r>
              <w:rPr>
                <w:rFonts w:hint="eastAsia" w:ascii="宋体" w:hAnsi="宋体" w:cs="宋体"/>
                <w:color w:val="auto"/>
                <w:szCs w:val="21"/>
                <w:highlight w:val="none"/>
                <w:shd w:val="clear" w:color="auto" w:fill="auto"/>
                <w:lang w:eastAsia="zh-CN"/>
              </w:rPr>
              <w:t>；</w:t>
            </w:r>
          </w:p>
          <w:p>
            <w:pPr>
              <w:pStyle w:val="8"/>
              <w:spacing w:line="264" w:lineRule="auto"/>
              <w:ind w:firstLine="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3.分辩率3840*2160 ，静太对比度3500</w:t>
            </w:r>
            <w:r>
              <w:rPr>
                <w:rFonts w:hint="eastAsia" w:ascii="宋体" w:hAnsi="宋体" w:cs="宋体"/>
                <w:color w:val="auto"/>
                <w:szCs w:val="21"/>
                <w:highlight w:val="none"/>
                <w:shd w:val="clear" w:color="auto" w:fill="auto"/>
                <w:lang w:eastAsia="zh-CN"/>
              </w:rPr>
              <w:t>；</w:t>
            </w:r>
          </w:p>
          <w:p>
            <w:pPr>
              <w:pStyle w:val="8"/>
              <w:spacing w:line="264" w:lineRule="auto"/>
              <w:ind w:firstLine="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4.HDR10,350CD/M2屏幕亮度</w:t>
            </w:r>
            <w:r>
              <w:rPr>
                <w:rFonts w:hint="eastAsia" w:ascii="宋体" w:hAnsi="宋体" w:cs="宋体"/>
                <w:color w:val="auto"/>
                <w:szCs w:val="21"/>
                <w:highlight w:val="none"/>
                <w:shd w:val="clear" w:color="auto" w:fill="auto"/>
                <w:lang w:eastAsia="zh-CN"/>
              </w:rPr>
              <w:t>；</w:t>
            </w:r>
          </w:p>
          <w:p>
            <w:pPr>
              <w:pStyle w:val="8"/>
              <w:spacing w:line="264" w:lineRule="auto"/>
              <w:ind w:firstLine="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5.HDMI*2,DP*1,音频口*1</w:t>
            </w:r>
            <w:r>
              <w:rPr>
                <w:rFonts w:hint="eastAsia" w:ascii="宋体" w:hAnsi="宋体" w:cs="宋体"/>
                <w:color w:val="auto"/>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笔记本</w:t>
            </w:r>
          </w:p>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电脑</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7112" w:type="dxa"/>
            <w:tcBorders>
              <w:top w:val="single" w:color="auto" w:sz="4" w:space="0"/>
              <w:left w:val="single" w:color="auto" w:sz="4" w:space="0"/>
              <w:bottom w:val="single" w:color="auto" w:sz="4" w:space="0"/>
            </w:tcBorders>
            <w:vAlign w:val="center"/>
          </w:tcPr>
          <w:p>
            <w:pPr>
              <w:pStyle w:val="8"/>
              <w:spacing w:line="264" w:lineRule="auto"/>
              <w:ind w:firstLine="0"/>
              <w:rPr>
                <w:rFonts w:hint="eastAsia" w:ascii="宋体" w:hAnsi="宋体" w:eastAsia="宋体" w:cs="宋体"/>
                <w:color w:val="auto"/>
                <w:szCs w:val="21"/>
                <w:highlight w:val="none"/>
                <w:shd w:val="clear" w:color="auto" w:fill="auto"/>
                <w:lang w:val="en-US" w:eastAsia="zh-CN"/>
              </w:rPr>
            </w:pPr>
            <w:r>
              <w:rPr>
                <w:rFonts w:hint="eastAsia" w:ascii="宋体" w:hAnsi="宋体" w:cs="宋体"/>
                <w:color w:val="auto"/>
                <w:szCs w:val="21"/>
                <w:highlight w:val="none"/>
                <w:shd w:val="clear" w:color="auto" w:fill="auto"/>
              </w:rPr>
              <w:t>15.6寸/13代14核i7-13650HX/16G*1/512G固态/RTX4050-6G独显/144Hz 100%色域1920*1080/W11/碳晶灰</w:t>
            </w:r>
            <w:r>
              <w:rPr>
                <w:rFonts w:hint="eastAsia" w:ascii="宋体" w:hAnsi="宋体" w:cs="宋体"/>
                <w:color w:val="auto"/>
                <w:szCs w:val="21"/>
                <w:highlight w:val="none"/>
                <w:shd w:val="clear" w:color="auto" w:fill="auto"/>
                <w:lang w:val="en-US"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整体式</w:t>
            </w:r>
          </w:p>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壁柜</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20</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平米</w:t>
            </w:r>
          </w:p>
        </w:tc>
        <w:tc>
          <w:tcPr>
            <w:tcW w:w="7112" w:type="dxa"/>
            <w:tcBorders>
              <w:top w:val="single" w:color="auto" w:sz="4" w:space="0"/>
              <w:left w:val="single" w:color="auto" w:sz="4" w:space="0"/>
              <w:bottom w:val="single" w:color="auto" w:sz="4" w:space="0"/>
            </w:tcBorders>
            <w:vAlign w:val="center"/>
          </w:tcPr>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ENF级板材制作，深度：450mm，高度依房间高度定；</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结合工具、宣纸的使用要求量身定制，设计结构及隔断；</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可有效的做好修复宣纸、工具的分类存放。</w:t>
            </w:r>
          </w:p>
          <w:p>
            <w:pPr>
              <w:pStyle w:val="8"/>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配备有净气型药品柜、耗材柜、珍品储藏柜各1个（整体嵌入壁柜）。</w:t>
            </w:r>
          </w:p>
          <w:p>
            <w:pPr>
              <w:pStyle w:val="8"/>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一、药品柜、耗材柜技术要求：</w:t>
            </w:r>
          </w:p>
          <w:p>
            <w:pPr>
              <w:pStyle w:val="8"/>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规格：900*450*1800mm；</w:t>
            </w:r>
          </w:p>
          <w:p>
            <w:pPr>
              <w:pStyle w:val="8"/>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▲1.柜体： 侧板、后板、底板等均采用0.8mm 优质冷轧钢板加工制 作，金属表面环氧树脂粉末喷涂；</w:t>
            </w:r>
          </w:p>
          <w:p>
            <w:pPr>
              <w:pStyle w:val="8"/>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▲2.柜门：采用0.8mm 厚的优质冷轧钢板加工制作，表面环氧树脂 静电粉沫喷涂；</w:t>
            </w:r>
          </w:p>
          <w:p>
            <w:pPr>
              <w:pStyle w:val="8"/>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3.层板：采用0.8mm 厚的优质冷轧钢板加工制作，表面环氧树脂 静电粉沫喷涂；</w:t>
            </w:r>
          </w:p>
          <w:p>
            <w:pPr>
              <w:pStyle w:val="8"/>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4.合页： 采用不锈钢合页，光滑无毛刺， 耐腐蚀。</w:t>
            </w:r>
          </w:p>
          <w:p>
            <w:pPr>
              <w:pStyle w:val="8"/>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二、珍品储藏柜技术要求：</w:t>
            </w:r>
          </w:p>
          <w:p>
            <w:pPr>
              <w:pStyle w:val="8"/>
              <w:spacing w:line="264" w:lineRule="auto"/>
              <w:ind w:firstLine="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▲材料：底盘采用1.5mm冷轧钢板；立柱1.5mm冷轧钢板；挂板1.2mm冷轧钢板；搁板、顶板、侧板、门板、门板加强板1.0mm冷轧钢板；钢化夹胶玻璃</w:t>
            </w:r>
            <w:r>
              <w:rPr>
                <w:rFonts w:hint="eastAsia" w:ascii="宋体" w:hAnsi="宋体" w:cs="宋体"/>
                <w:color w:val="auto"/>
                <w:szCs w:val="21"/>
                <w:highlight w:val="none"/>
                <w:shd w:val="clear" w:color="auto" w:fill="auto"/>
                <w:lang w:eastAsia="zh-CN"/>
              </w:rPr>
              <w:t>。</w:t>
            </w:r>
          </w:p>
          <w:p>
            <w:pPr>
              <w:pStyle w:val="8"/>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1.柜内二层层板，5层抽屉。</w:t>
            </w:r>
          </w:p>
          <w:p>
            <w:pPr>
              <w:pStyle w:val="8"/>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2.玻璃为优质钢化夹胶玻璃。</w:t>
            </w:r>
          </w:p>
          <w:p>
            <w:pPr>
              <w:pStyle w:val="8"/>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3.门密封采用优质硅胶密封条，无气味，寿命长。</w:t>
            </w:r>
          </w:p>
          <w:p>
            <w:pPr>
              <w:pStyle w:val="8"/>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4.层板承重≥200kg，抽屉承重≥150kg</w:t>
            </w:r>
          </w:p>
          <w:p>
            <w:pPr>
              <w:pStyle w:val="8"/>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5.柜体气密型好，防止蚊虫。</w:t>
            </w:r>
          </w:p>
          <w:p>
            <w:pPr>
              <w:pStyle w:val="8"/>
              <w:spacing w:line="264" w:lineRule="auto"/>
              <w:ind w:firstLine="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6.柜体采用整体密封焊接，结实牢固，密封性强。</w:t>
            </w:r>
          </w:p>
          <w:p>
            <w:pPr>
              <w:pStyle w:val="8"/>
              <w:spacing w:line="264" w:lineRule="auto"/>
              <w:ind w:firstLine="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7.规格：1200*600*2000mm</w:t>
            </w:r>
            <w:r>
              <w:rPr>
                <w:rFonts w:hint="eastAsia" w:ascii="宋体" w:hAnsi="宋体" w:cs="宋体"/>
                <w:color w:val="auto"/>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图书盘点笔记本</w:t>
            </w:r>
          </w:p>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电脑</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7112" w:type="dxa"/>
            <w:tcBorders>
              <w:top w:val="single" w:color="auto" w:sz="4" w:space="0"/>
              <w:left w:val="single" w:color="auto" w:sz="4" w:space="0"/>
              <w:bottom w:val="single" w:color="auto" w:sz="4" w:space="0"/>
            </w:tcBorders>
            <w:vAlign w:val="center"/>
          </w:tcPr>
          <w:p>
            <w:pPr>
              <w:pStyle w:val="8"/>
              <w:spacing w:line="264" w:lineRule="auto"/>
              <w:ind w:firstLine="0"/>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15.6寸/13代14核i7-13650HX/16G*1/512G固态/RTX4050-6G独显/144Hz 100%色域1920*1080/W11/碳晶灰</w:t>
            </w:r>
            <w:r>
              <w:rPr>
                <w:rFonts w:hint="eastAsia" w:ascii="宋体" w:hAnsi="宋体" w:cs="宋体"/>
                <w:color w:val="auto"/>
                <w:kern w:val="0"/>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电子</w:t>
            </w:r>
          </w:p>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阅览室电脑台式机</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30</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台</w:t>
            </w:r>
          </w:p>
        </w:tc>
        <w:tc>
          <w:tcPr>
            <w:tcW w:w="7112" w:type="dxa"/>
            <w:tcBorders>
              <w:top w:val="single" w:color="auto" w:sz="4" w:space="0"/>
              <w:left w:val="single" w:color="auto" w:sz="4" w:space="0"/>
              <w:bottom w:val="single" w:color="auto" w:sz="4" w:space="0"/>
            </w:tcBorders>
            <w:vAlign w:val="center"/>
          </w:tcPr>
          <w:p>
            <w:pPr>
              <w:pStyle w:val="8"/>
              <w:spacing w:line="264" w:lineRule="auto"/>
              <w:ind w:firstLine="0"/>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酷睿i7-12700独显商用家用设计制图直播剪辑办公台式机电脑主机整机全套 主机+27英寸高清窄边显示器 定制：i7 32G 1T+512G 4G独显</w:t>
            </w:r>
            <w:r>
              <w:rPr>
                <w:rFonts w:hint="eastAsia" w:ascii="宋体" w:hAnsi="宋体" w:cs="宋体"/>
                <w:color w:val="auto"/>
                <w:kern w:val="0"/>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两校区LED</w:t>
            </w:r>
          </w:p>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显示屏</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shd w:val="clear" w:color="auto" w:fill="auto"/>
                <w:lang w:val="en"/>
              </w:rPr>
            </w:pPr>
            <w:r>
              <w:rPr>
                <w:rFonts w:hint="eastAsia" w:ascii="宋体" w:hAnsi="宋体" w:cs="宋体"/>
                <w:color w:val="auto"/>
                <w:kern w:val="0"/>
                <w:szCs w:val="21"/>
                <w:highlight w:val="none"/>
                <w:shd w:val="clear" w:color="auto" w:fill="auto"/>
                <w:lang w:val="en"/>
              </w:rPr>
              <w:t>套</w:t>
            </w:r>
          </w:p>
        </w:tc>
        <w:tc>
          <w:tcPr>
            <w:tcW w:w="7112" w:type="dxa"/>
            <w:tcBorders>
              <w:top w:val="single" w:color="auto" w:sz="4" w:space="0"/>
              <w:left w:val="single" w:color="auto" w:sz="4" w:space="0"/>
              <w:bottom w:val="single" w:color="auto" w:sz="4" w:space="0"/>
            </w:tcBorders>
            <w:vAlign w:val="center"/>
          </w:tcPr>
          <w:p>
            <w:pPr>
              <w:pStyle w:val="8"/>
              <w:spacing w:line="264" w:lineRule="auto"/>
              <w:rPr>
                <w:rFonts w:ascii="宋体" w:hAnsi="宋体" w:cs="宋体"/>
                <w:color w:val="auto"/>
                <w:kern w:val="0"/>
                <w:szCs w:val="21"/>
                <w:highlight w:val="none"/>
                <w:shd w:val="clear" w:color="auto" w:fill="auto"/>
              </w:rPr>
            </w:pPr>
          </w:p>
          <w:p>
            <w:pPr>
              <w:pStyle w:val="8"/>
              <w:spacing w:line="264" w:lineRule="auto"/>
              <w:ind w:firstLine="0"/>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1</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单块屏尺寸：约为8.5米*0.5米;像素点间距：10mm;单元板尺寸：320mmx160mm;单元板点数：32 点x16 点;显示密度：10000点/m2;发光点颜色：1红;像素亮度：1600cd/ m2;亮度调节：自动/手动;刷新频率：120HZ;显示模式：同步或异步;换帧速度：60(帧)/秒;使用环境：户外</w:t>
            </w:r>
            <w:r>
              <w:rPr>
                <w:rFonts w:hint="eastAsia" w:ascii="宋体" w:hAnsi="宋体" w:cs="宋体"/>
                <w:color w:val="auto"/>
                <w:kern w:val="0"/>
                <w:szCs w:val="21"/>
                <w:highlight w:val="none"/>
                <w:shd w:val="clear" w:color="auto" w:fill="auto"/>
                <w:lang w:eastAsia="zh-CN"/>
              </w:rPr>
              <w:t>。</w:t>
            </w:r>
          </w:p>
          <w:p>
            <w:pPr>
              <w:pStyle w:val="8"/>
              <w:spacing w:line="264" w:lineRule="auto"/>
              <w:ind w:firstLine="0"/>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2</w:t>
            </w:r>
            <w:r>
              <w:rPr>
                <w:rFonts w:hint="eastAsia" w:ascii="宋体" w:hAnsi="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rPr>
              <w:t>含电源、相关线路、边框及安装</w:t>
            </w:r>
            <w:r>
              <w:rPr>
                <w:rFonts w:hint="eastAsia" w:ascii="宋体" w:hAnsi="宋体" w:cs="宋体"/>
                <w:color w:val="auto"/>
                <w:kern w:val="0"/>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14" w:type="dxa"/>
            <w:gridSpan w:val="5"/>
            <w:tcBorders>
              <w:top w:val="single" w:color="auto" w:sz="4" w:space="0"/>
              <w:bottom w:val="single" w:color="auto" w:sz="4" w:space="0"/>
            </w:tcBorders>
            <w:vAlign w:val="center"/>
          </w:tcPr>
          <w:p>
            <w:pPr>
              <w:widowControl/>
              <w:spacing w:line="264" w:lineRule="auto"/>
              <w:rPr>
                <w:rFonts w:ascii="宋体" w:hAnsi="宋体" w:cs="宋体"/>
                <w:b/>
                <w:color w:val="auto"/>
                <w:kern w:val="0"/>
                <w:szCs w:val="21"/>
                <w:highlight w:val="none"/>
                <w:shd w:val="clear" w:color="auto" w:fill="auto"/>
                <w:lang w:eastAsia="en-US"/>
              </w:rPr>
            </w:pPr>
            <w:r>
              <w:rPr>
                <w:rFonts w:hint="eastAsia" w:ascii="宋体" w:hAnsi="宋体" w:cs="宋体"/>
                <w:color w:val="auto"/>
                <w:szCs w:val="21"/>
                <w:highlight w:val="none"/>
                <w:shd w:val="clear" w:color="auto" w:fill="auto"/>
              </w:rPr>
              <w:t>▲</w:t>
            </w:r>
            <w:r>
              <w:rPr>
                <w:rFonts w:hint="eastAsia" w:ascii="宋体" w:hAnsi="宋体" w:cs="宋体"/>
                <w:b/>
                <w:color w:val="auto"/>
                <w:kern w:val="0"/>
                <w:szCs w:val="21"/>
                <w:highlight w:val="none"/>
                <w:shd w:val="clear" w:color="auto" w:fill="auto"/>
                <w:lang w:eastAsia="en-US"/>
              </w:rPr>
              <w:t>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报价要求</w:t>
            </w:r>
          </w:p>
        </w:tc>
        <w:tc>
          <w:tcPr>
            <w:tcW w:w="8590" w:type="dxa"/>
            <w:gridSpan w:val="3"/>
            <w:tcBorders>
              <w:top w:val="single" w:color="auto" w:sz="4" w:space="0"/>
              <w:left w:val="single" w:color="auto" w:sz="4" w:space="0"/>
              <w:bottom w:val="single" w:color="auto" w:sz="4" w:space="0"/>
            </w:tcBorders>
            <w:vAlign w:val="center"/>
          </w:tcPr>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投标报价是履行合同的最终价格，包括但不限于：</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（1）货物的价格；</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（2）货物的标准附件、备品备件、专用工具的价格；</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（3）运输、装卸、软硬件安装调试、培训、技术支持、售后服务、上门等费用；</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（4）必要的保险费用和各项税费；</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（5）施工（安装）费用；</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设备零配件、项目安装、调试、检测、试验及验收、现场卫生清理、线缆、管材、开孔、开槽及埋管和招标文件中有关的全部内容并完成所有工程和服务，所有成本费用的总和，采购人不再支付其它任何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b/>
                <w:bCs/>
                <w:color w:val="auto"/>
                <w:szCs w:val="21"/>
                <w:highlight w:val="none"/>
                <w:shd w:val="clear" w:color="auto" w:fill="auto"/>
                <w:lang w:val="en-US" w:eastAsia="zh-CN"/>
              </w:rPr>
            </w:pPr>
            <w:r>
              <w:rPr>
                <w:rFonts w:hint="eastAsia" w:ascii="宋体" w:hAnsi="宋体" w:cs="宋体"/>
                <w:b/>
                <w:bCs/>
                <w:color w:val="auto"/>
                <w:szCs w:val="21"/>
                <w:highlight w:val="none"/>
                <w:shd w:val="clear" w:color="auto" w:fill="auto"/>
                <w:lang w:val="en-US" w:eastAsia="zh-CN"/>
              </w:rPr>
              <w:t>核心产品</w:t>
            </w:r>
          </w:p>
        </w:tc>
        <w:tc>
          <w:tcPr>
            <w:tcW w:w="8590" w:type="dxa"/>
            <w:gridSpan w:val="3"/>
            <w:tcBorders>
              <w:top w:val="single" w:color="auto" w:sz="4" w:space="0"/>
              <w:left w:val="single" w:color="auto" w:sz="4" w:space="0"/>
              <w:bottom w:val="single" w:color="auto" w:sz="4" w:space="0"/>
            </w:tcBorders>
            <w:vAlign w:val="center"/>
          </w:tcPr>
          <w:p>
            <w:pPr>
              <w:pStyle w:val="8"/>
              <w:spacing w:line="264" w:lineRule="auto"/>
              <w:ind w:firstLine="0"/>
              <w:rPr>
                <w:rFonts w:hint="default" w:ascii="宋体" w:hAnsi="宋体" w:eastAsia="宋体" w:cs="宋体"/>
                <w:color w:val="auto"/>
                <w:szCs w:val="21"/>
                <w:highlight w:val="none"/>
                <w:shd w:val="clear" w:color="auto" w:fill="auto"/>
                <w:lang w:val="en-US" w:eastAsia="zh-CN"/>
              </w:rPr>
            </w:pPr>
            <w:r>
              <w:rPr>
                <w:rFonts w:hint="eastAsia" w:ascii="宋体" w:hAnsi="宋体" w:cs="宋体"/>
                <w:b/>
                <w:bCs/>
                <w:color w:val="auto"/>
                <w:szCs w:val="21"/>
                <w:highlight w:val="none"/>
                <w:shd w:val="clear" w:color="auto" w:fill="auto"/>
                <w:lang w:val="en-US" w:eastAsia="zh-CN"/>
              </w:rPr>
              <w:t>第3项产品“</w:t>
            </w:r>
            <w:r>
              <w:rPr>
                <w:rFonts w:hint="eastAsia" w:ascii="宋体" w:hAnsi="宋体" w:cs="宋体"/>
                <w:b/>
                <w:bCs/>
                <w:color w:val="auto"/>
                <w:kern w:val="0"/>
                <w:szCs w:val="21"/>
                <w:highlight w:val="none"/>
                <w:shd w:val="clear" w:color="auto" w:fill="auto"/>
              </w:rPr>
              <w:t>非接触式扫描仪</w:t>
            </w:r>
            <w:r>
              <w:rPr>
                <w:rFonts w:hint="eastAsia" w:ascii="宋体" w:hAnsi="宋体" w:cs="宋体"/>
                <w:b/>
                <w:bCs/>
                <w:color w:val="auto"/>
                <w:szCs w:val="21"/>
                <w:highlight w:val="none"/>
                <w:shd w:val="clear" w:color="auto" w:fill="auto"/>
                <w:lang w:val="en-US"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合同签订时间</w:t>
            </w:r>
          </w:p>
        </w:tc>
        <w:tc>
          <w:tcPr>
            <w:tcW w:w="8590" w:type="dxa"/>
            <w:gridSpan w:val="3"/>
            <w:tcBorders>
              <w:top w:val="single" w:color="auto" w:sz="4" w:space="0"/>
              <w:left w:val="single" w:color="auto" w:sz="4" w:space="0"/>
              <w:bottom w:val="single" w:color="auto" w:sz="4" w:space="0"/>
            </w:tcBorders>
            <w:vAlign w:val="center"/>
          </w:tcPr>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自中标通知书发出之日起</w:t>
            </w:r>
            <w:r>
              <w:rPr>
                <w:rFonts w:hint="eastAsia" w:ascii="宋体" w:hAnsi="宋体" w:cs="宋体"/>
                <w:color w:val="auto"/>
                <w:szCs w:val="21"/>
                <w:highlight w:val="none"/>
                <w:shd w:val="clear" w:color="auto" w:fill="auto"/>
                <w:lang w:val="en-US" w:eastAsia="zh-CN"/>
              </w:rPr>
              <w:t>3</w:t>
            </w:r>
            <w:r>
              <w:rPr>
                <w:rFonts w:hint="eastAsia" w:ascii="宋体" w:hAnsi="宋体" w:cs="宋体"/>
                <w:color w:val="auto"/>
                <w:szCs w:val="21"/>
                <w:highlight w:val="none"/>
                <w:shd w:val="clear" w:color="auto" w:fill="auto"/>
              </w:rPr>
              <w:t>个日历日内签订采购合同。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交货时间及地点</w:t>
            </w:r>
          </w:p>
        </w:tc>
        <w:tc>
          <w:tcPr>
            <w:tcW w:w="8590" w:type="dxa"/>
            <w:gridSpan w:val="3"/>
            <w:tcBorders>
              <w:top w:val="single" w:color="auto" w:sz="4" w:space="0"/>
              <w:left w:val="single" w:color="auto" w:sz="4" w:space="0"/>
              <w:bottom w:val="single" w:color="auto" w:sz="4" w:space="0"/>
            </w:tcBorders>
            <w:vAlign w:val="center"/>
          </w:tcPr>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1.交付使用时间：自签订合同之日起</w:t>
            </w:r>
            <w:r>
              <w:rPr>
                <w:rFonts w:hint="eastAsia" w:ascii="宋体" w:hAnsi="宋体" w:cs="宋体"/>
                <w:color w:val="auto"/>
                <w:szCs w:val="21"/>
                <w:highlight w:val="none"/>
                <w:shd w:val="clear" w:color="auto" w:fill="auto"/>
                <w:lang w:val="en-US" w:eastAsia="zh-CN"/>
              </w:rPr>
              <w:t>20</w:t>
            </w:r>
            <w:r>
              <w:rPr>
                <w:rFonts w:hint="eastAsia" w:ascii="宋体" w:hAnsi="宋体" w:cs="宋体"/>
                <w:color w:val="auto"/>
                <w:szCs w:val="21"/>
                <w:highlight w:val="none"/>
                <w:shd w:val="clear" w:color="auto" w:fill="auto"/>
              </w:rPr>
              <w:t>个日历日内交付使用。</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2.交货地点：内采购人指定地点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售后及服务要求</w:t>
            </w:r>
          </w:p>
        </w:tc>
        <w:tc>
          <w:tcPr>
            <w:tcW w:w="8590" w:type="dxa"/>
            <w:gridSpan w:val="3"/>
            <w:tcBorders>
              <w:top w:val="single" w:color="auto" w:sz="4" w:space="0"/>
              <w:left w:val="single" w:color="auto" w:sz="4" w:space="0"/>
              <w:bottom w:val="single" w:color="auto" w:sz="4" w:space="0"/>
            </w:tcBorders>
            <w:vAlign w:val="center"/>
          </w:tcPr>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1.设备必须是全新原厂正品。</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2.分项有质保要求的按分项质保要求，分项没有质保要求的按国家有关产品“三包”规定执行“三包”政策，质保期以通过项目最终验收的验收报告签字日开始计算。</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3.质保期内所有由于质量问题导致的软、硬件产品故障及设备损坏，中标供应商提供保修、人工及更换备件的上门服务，并提供终身维护。质保期内采购人不再支付任何费用。</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4．免费送货上门，免费安装调试合格；</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5．中标供应商必须负责项目设备送货、建设、安装调试与培训，免费提供设备操作培训，提供全套说明书；免费现场培训 2～3 名相关人员至掌握设备操作及日常维护；</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6．设备如出现故障在接到采购人通知后在30分钟内响应，2小时内上门服务，12小时内解决故障；未能在规定时间内排除故障的，必须在接到采购人通知后48小时内提供同档次的备用机并提交故障解决处理方案；</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7．提供定期回访及巡检服务；</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8．项目供货及安装过程中产生的残留物或垃圾，需由中标供应商自行清理至校外国家有关部门指定堆放处，产品包装箱及有关产品说明书等处置需经采购人确认后处理。</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9．对于软件系统存在的安全漏洞包括但不限于数据库安全的情形，中标供应商应提供终身免费系统升级补丁及做好安全策略。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付款方式</w:t>
            </w:r>
          </w:p>
        </w:tc>
        <w:tc>
          <w:tcPr>
            <w:tcW w:w="8590" w:type="dxa"/>
            <w:gridSpan w:val="3"/>
            <w:tcBorders>
              <w:top w:val="single" w:color="auto" w:sz="4" w:space="0"/>
              <w:left w:val="single" w:color="auto" w:sz="4" w:space="0"/>
              <w:bottom w:val="single" w:color="auto" w:sz="4" w:space="0"/>
            </w:tcBorders>
            <w:vAlign w:val="center"/>
          </w:tcPr>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olor w:val="auto"/>
                <w:szCs w:val="21"/>
                <w:highlight w:val="none"/>
                <w:shd w:val="clear" w:color="auto" w:fill="auto"/>
              </w:rPr>
              <w:t>预付款：签订合同之日起</w:t>
            </w:r>
            <w:r>
              <w:rPr>
                <w:rFonts w:hint="eastAsia" w:ascii="宋体" w:hAnsi="宋体"/>
                <w:color w:val="auto"/>
                <w:szCs w:val="21"/>
                <w:highlight w:val="none"/>
                <w:shd w:val="clear" w:color="auto" w:fill="auto"/>
                <w:lang w:val="en-US" w:eastAsia="zh-CN"/>
              </w:rPr>
              <w:t>5</w:t>
            </w:r>
            <w:r>
              <w:rPr>
                <w:rFonts w:hint="eastAsia" w:ascii="宋体" w:hAnsi="宋体"/>
                <w:color w:val="auto"/>
                <w:szCs w:val="21"/>
                <w:highlight w:val="none"/>
                <w:shd w:val="clear" w:color="auto" w:fill="auto"/>
              </w:rPr>
              <w:t>个工作日内，中标人开具合同总价款的 30%的等额价值保函(保函有效期应在 2025年 12月</w:t>
            </w:r>
            <w:r>
              <w:rPr>
                <w:rFonts w:hint="eastAsia" w:ascii="宋体" w:hAnsi="宋体"/>
                <w:color w:val="auto"/>
                <w:szCs w:val="21"/>
                <w:highlight w:val="none"/>
                <w:shd w:val="clear" w:color="auto" w:fill="auto"/>
                <w:lang w:val="en-US" w:eastAsia="zh-CN"/>
              </w:rPr>
              <w:t>31</w:t>
            </w:r>
            <w:r>
              <w:rPr>
                <w:rFonts w:hint="eastAsia" w:ascii="宋体" w:hAnsi="宋体"/>
                <w:color w:val="auto"/>
                <w:szCs w:val="21"/>
                <w:highlight w:val="none"/>
                <w:shd w:val="clear" w:color="auto" w:fill="auto"/>
              </w:rPr>
              <w:t>日)给采购人后，采购人支付合同总价款的30%作为预付款。进度款：全部设备到货后，经采购人确认后在十个工作日内向中标供应商付款方式支付合同价款的</w:t>
            </w:r>
            <w:r>
              <w:rPr>
                <w:rFonts w:hint="eastAsia" w:ascii="宋体" w:hAnsi="宋体"/>
                <w:color w:val="auto"/>
                <w:szCs w:val="21"/>
                <w:highlight w:val="none"/>
                <w:shd w:val="clear" w:color="auto" w:fill="auto"/>
                <w:lang w:val="en-US" w:eastAsia="zh-CN"/>
              </w:rPr>
              <w:t>6</w:t>
            </w:r>
            <w:r>
              <w:rPr>
                <w:rFonts w:hint="eastAsia" w:ascii="宋体" w:hAnsi="宋体"/>
                <w:color w:val="auto"/>
                <w:szCs w:val="21"/>
                <w:highlight w:val="none"/>
                <w:shd w:val="clear" w:color="auto" w:fill="auto"/>
              </w:rPr>
              <w:t>0%；所有货物安装调试完成、试运行正常且验收合格，并经采购人确认后，在十个工作日内向中标供应商支付合同价款的</w:t>
            </w:r>
            <w:r>
              <w:rPr>
                <w:rFonts w:hint="eastAsia" w:ascii="宋体" w:hAnsi="宋体"/>
                <w:color w:val="auto"/>
                <w:szCs w:val="21"/>
                <w:highlight w:val="none"/>
                <w:shd w:val="clear" w:color="auto" w:fill="auto"/>
                <w:lang w:val="en-US" w:eastAsia="zh-CN"/>
              </w:rPr>
              <w:t>1</w:t>
            </w:r>
            <w:r>
              <w:rPr>
                <w:rFonts w:hint="eastAsia" w:ascii="宋体" w:hAnsi="宋体"/>
                <w:color w:val="auto"/>
                <w:szCs w:val="21"/>
                <w:highlight w:val="none"/>
                <w:shd w:val="clear" w:color="auto" w:fill="auto"/>
              </w:rPr>
              <w:t>0%。</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2.若采购数量与实际使用数量不一致时，</w:t>
            </w:r>
            <w:r>
              <w:rPr>
                <w:rFonts w:hint="eastAsia" w:ascii="宋体" w:hAnsi="宋体" w:cs="宋体"/>
                <w:color w:val="auto"/>
                <w:szCs w:val="21"/>
                <w:highlight w:val="none"/>
                <w:shd w:val="clear" w:color="auto" w:fill="auto"/>
                <w:lang w:eastAsia="zh-CN"/>
              </w:rPr>
              <w:t>中标供应商</w:t>
            </w:r>
            <w:r>
              <w:rPr>
                <w:rFonts w:hint="eastAsia" w:ascii="宋体" w:hAnsi="宋体" w:cs="宋体"/>
                <w:color w:val="auto"/>
                <w:szCs w:val="21"/>
                <w:highlight w:val="none"/>
                <w:shd w:val="clear" w:color="auto" w:fill="auto"/>
              </w:rPr>
              <w:t>应根据实际使用量供货，合同的最终结算金额按实际使用量乘以成交单价进行据实计算。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履约保证金</w:t>
            </w:r>
          </w:p>
        </w:tc>
        <w:tc>
          <w:tcPr>
            <w:tcW w:w="8590" w:type="dxa"/>
            <w:gridSpan w:val="3"/>
            <w:tcBorders>
              <w:top w:val="single" w:color="auto" w:sz="4" w:space="0"/>
              <w:left w:val="single" w:color="auto" w:sz="4" w:space="0"/>
              <w:bottom w:val="single" w:color="auto" w:sz="4" w:space="0"/>
            </w:tcBorders>
            <w:vAlign w:val="center"/>
          </w:tcPr>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1.按本项目中标总金额的5%（如中标供应商为中小企业的，按本项目中标总金额的2%）收取；中标供应商在签订合同前交至指定账户。</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2.履约保证金递交方式：支票、汇票、本票、</w:t>
            </w:r>
            <w:r>
              <w:rPr>
                <w:rFonts w:hint="eastAsia" w:ascii="宋体" w:hAnsi="宋体" w:cs="宋体"/>
                <w:color w:val="auto"/>
                <w:szCs w:val="21"/>
                <w:highlight w:val="none"/>
                <w:shd w:val="clear" w:color="auto" w:fill="auto"/>
                <w:lang w:val="en"/>
              </w:rPr>
              <w:t>金融机构</w:t>
            </w:r>
            <w:r>
              <w:rPr>
                <w:rFonts w:hint="eastAsia" w:ascii="宋体" w:hAnsi="宋体" w:cs="宋体"/>
                <w:color w:val="auto"/>
                <w:szCs w:val="21"/>
                <w:highlight w:val="none"/>
                <w:shd w:val="clear" w:color="auto" w:fill="auto"/>
              </w:rPr>
              <w:t>、担保机构出具的保函等非现金形式。</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履约保证金指定账户：</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开户名称：广西艺术学院</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开户银行：建行南宁市桃源支行</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银行账号：45001604559050500909 </w:t>
            </w:r>
          </w:p>
          <w:p>
            <w:pPr>
              <w:snapToGrid w:val="0"/>
              <w:spacing w:line="360" w:lineRule="auto"/>
              <w:ind w:firstLine="0" w:firstLineChars="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履约保证金退付方式、时间及条件：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pPr>
              <w:snapToGrid w:val="0"/>
              <w:spacing w:line="360" w:lineRule="auto"/>
              <w:ind w:firstLine="0" w:firstLineChars="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由中标人向履约保证金收取单位提供《广西壮族自治区政府采购项目合同验收书》（详见桂财采〔2015〕22号），保证金收取单位在收到合格材料后5个工作日内办理退还手续（不计利息）。</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不予退还的情形：签订合同后，如中标人不按双方签订的合同规定履约，则其全部履约保证金不予退还。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验收要求</w:t>
            </w:r>
          </w:p>
        </w:tc>
        <w:tc>
          <w:tcPr>
            <w:tcW w:w="8590" w:type="dxa"/>
            <w:gridSpan w:val="3"/>
            <w:tcBorders>
              <w:top w:val="single" w:color="auto" w:sz="4" w:space="0"/>
              <w:left w:val="single" w:color="auto" w:sz="4" w:space="0"/>
              <w:bottom w:val="single" w:color="auto" w:sz="4" w:space="0"/>
            </w:tcBorders>
            <w:vAlign w:val="center"/>
          </w:tcPr>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投标产品须是按满足采购人需求配置提供的厂家出厂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合同签订之后，采购人有权要求中标人提供所投所有产品进行功能核验，如有配置或功能不能满足招标要求，按违约处理，必要时采购人有权要求中标人提供有资质的第三方检测机构出具的检测报告，检测所需费用由中标人自行承担。</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投标人所提供的产品必须为原装正品的、全新的、完好无破损、且为未开箱状态、符合有关质量标准的产品；设备到货安装前，采购人现场根据招标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4．验收方式和验收材料要求</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（1）采购人在项目完成且收到中标供应商验收申请后5个工作日内组织开展履约验收。</w:t>
            </w:r>
          </w:p>
          <w:p>
            <w:pPr>
              <w:pStyle w:val="8"/>
              <w:spacing w:line="264" w:lineRule="auto"/>
              <w:ind w:firstLine="0"/>
              <w:rPr>
                <w:rFonts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2）中标供应商必须提供合格的验收材料，验收材料包括①验收申请书（原件）、②中标通知书复印件、③合同（包括附件加盖采购代理机构章的格式合同中规定的附件）复印件；④项目实施过程文件、⑤货物的证明文件、⑥货物的技术资料、⑦培训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其他要求</w:t>
            </w:r>
          </w:p>
        </w:tc>
        <w:tc>
          <w:tcPr>
            <w:tcW w:w="8590" w:type="dxa"/>
            <w:gridSpan w:val="3"/>
            <w:tcBorders>
              <w:top w:val="single" w:color="auto" w:sz="4" w:space="0"/>
              <w:left w:val="single" w:color="auto" w:sz="4" w:space="0"/>
              <w:bottom w:val="single" w:color="auto" w:sz="4" w:space="0"/>
            </w:tcBorders>
            <w:vAlign w:val="center"/>
          </w:tcPr>
          <w:p>
            <w:pPr>
              <w:pStyle w:val="8"/>
              <w:spacing w:line="264" w:lineRule="auto"/>
              <w:ind w:firstLine="0"/>
              <w:rPr>
                <w:rFonts w:ascii="宋体" w:hAnsi="宋体" w:cs="宋体"/>
                <w:color w:val="auto"/>
                <w:szCs w:val="21"/>
                <w:highlight w:val="none"/>
                <w:shd w:val="clear" w:color="auto" w:fill="auto"/>
                <w:lang w:val="en"/>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
              </w:rPr>
              <w:t>本分标货物不接受进口产品（即通过中国海关报关验放进入中国境内且产自关境外的产品）参与投标。</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投标人所提供的任何材料应当真实有效，如在评审过程中发现投标人在投标文件中提供任何虚假材料的，按投标无效处理，采购人有权汇报监督管理部门处理；中标后，采购人发现投标人在投标文件中提供任何虚假材料的，采购人有权汇报监督管理部门处理，且中标供应商须依照《中华人民共和国消费者权益保护法》赔偿采购人，民事赔偿并不免除违法中标供应商的法律责任。</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3.本项目货物涉及的产品及其配件包括但不限于各类芯片等必须符合国家有关政策规定，不得使用国家禁止使用范围内的产品及其配件，否则投标无效。</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r>
              <w:rPr>
                <w:rFonts w:hint="eastAsia" w:ascii="宋体" w:hAnsi="宋体" w:cs="宋体"/>
                <w:b/>
                <w:bCs/>
                <w:color w:val="auto"/>
                <w:szCs w:val="21"/>
                <w:highlight w:val="none"/>
                <w:shd w:val="clear" w:color="auto" w:fill="auto"/>
              </w:rPr>
              <w:t>本项目采购的投标产品如有属于政府采购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w:t>
            </w:r>
            <w:r>
              <w:rPr>
                <w:rFonts w:hint="eastAsia" w:ascii="宋体" w:hAnsi="宋体" w:cs="宋体"/>
                <w:color w:val="auto"/>
                <w:szCs w:val="21"/>
                <w:highlight w:val="none"/>
                <w:shd w:val="clear" w:color="auto" w:fill="auto"/>
              </w:rPr>
              <w:t>。</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5.采购货物纳入强制性产品认证（3C认证）的，投标人所投产品必须从其规定。</w:t>
            </w:r>
          </w:p>
          <w:p>
            <w:pPr>
              <w:pStyle w:val="8"/>
              <w:spacing w:line="264" w:lineRule="auto"/>
              <w:ind w:firstLine="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6.如投标人投标产品存在侵犯他人的知识产权或者专利成果行为的，由投标人自行承担相应法律责任。</w:t>
            </w:r>
          </w:p>
        </w:tc>
      </w:tr>
    </w:tbl>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r>
        <w:rPr>
          <w:rFonts w:hint="eastAsia" w:ascii="仿宋_GB2312" w:eastAsia="仿宋_GB2312"/>
          <w:b/>
          <w:color w:val="auto"/>
          <w:szCs w:val="21"/>
          <w:highlight w:val="none"/>
          <w:shd w:val="clear" w:color="auto" w:fill="auto"/>
        </w:rPr>
        <w:br w:type="page"/>
      </w:r>
    </w:p>
    <w:p>
      <w:pPr>
        <w:snapToGrid w:val="0"/>
        <w:rPr>
          <w:rFonts w:hint="eastAsia" w:ascii="仿宋_GB2312" w:eastAsia="仿宋_GB2312"/>
          <w:b/>
          <w:color w:val="auto"/>
          <w:szCs w:val="21"/>
          <w:highlight w:val="none"/>
          <w:shd w:val="clear" w:color="auto" w:fill="auto"/>
        </w:rPr>
      </w:pPr>
    </w:p>
    <w:p>
      <w:pPr>
        <w:spacing w:line="360" w:lineRule="auto"/>
        <w:ind w:firstLine="413" w:firstLineChars="196"/>
        <w:rPr>
          <w:rFonts w:ascii="宋体" w:hAnsi="Calibri"/>
          <w:b/>
          <w:color w:val="auto"/>
          <w:highlight w:val="none"/>
          <w:shd w:val="clear" w:color="auto" w:fill="auto"/>
        </w:rPr>
      </w:pPr>
      <w:r>
        <w:rPr>
          <w:rFonts w:hint="eastAsia" w:ascii="宋体" w:hAnsi="宋体"/>
          <w:b/>
          <w:color w:val="auto"/>
          <w:highlight w:val="none"/>
          <w:shd w:val="clear" w:color="auto" w:fill="auto"/>
        </w:rPr>
        <w:t>分标</w:t>
      </w:r>
      <w:r>
        <w:rPr>
          <w:rFonts w:hint="eastAsia" w:ascii="宋体" w:hAnsi="宋体"/>
          <w:b/>
          <w:color w:val="auto"/>
          <w:highlight w:val="none"/>
          <w:shd w:val="clear" w:color="auto" w:fill="auto"/>
          <w:lang w:val="en-US" w:eastAsia="zh-CN"/>
        </w:rPr>
        <w:t>3</w:t>
      </w:r>
      <w:r>
        <w:rPr>
          <w:rFonts w:hint="eastAsia" w:ascii="宋体" w:hAnsi="宋体"/>
          <w:b/>
          <w:color w:val="auto"/>
          <w:highlight w:val="none"/>
          <w:shd w:val="clear" w:color="auto" w:fill="auto"/>
        </w:rPr>
        <w:t>：</w:t>
      </w:r>
    </w:p>
    <w:tbl>
      <w:tblPr>
        <w:tblStyle w:val="52"/>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4"/>
        <w:gridCol w:w="1110"/>
        <w:gridCol w:w="719"/>
        <w:gridCol w:w="759"/>
        <w:gridCol w:w="71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264" w:lineRule="auto"/>
              <w:ind w:left="0"/>
              <w:jc w:val="center"/>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项号</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264" w:lineRule="auto"/>
              <w:ind w:left="0"/>
              <w:jc w:val="center"/>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货物名称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264" w:lineRule="auto"/>
              <w:ind w:left="0"/>
              <w:jc w:val="center"/>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数量</w:t>
            </w:r>
          </w:p>
        </w:tc>
        <w:tc>
          <w:tcPr>
            <w:tcW w:w="7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4" w:lineRule="auto"/>
              <w:ind w:left="0"/>
              <w:jc w:val="center"/>
              <w:textAlignment w:val="auto"/>
              <w:rPr>
                <w:rFonts w:hint="eastAsia" w:ascii="宋体" w:hAnsi="宋体" w:eastAsia="宋体" w:cs="宋体"/>
                <w:b/>
                <w:color w:val="auto"/>
                <w:sz w:val="21"/>
                <w:szCs w:val="21"/>
                <w:highlight w:val="none"/>
                <w:shd w:val="clear" w:color="auto" w:fill="auto"/>
                <w:lang w:val="en" w:eastAsia="zh-CN"/>
              </w:rPr>
            </w:pPr>
            <w:r>
              <w:rPr>
                <w:rFonts w:hint="eastAsia" w:ascii="宋体" w:hAnsi="宋体" w:eastAsia="宋体" w:cs="宋体"/>
                <w:b/>
                <w:color w:val="auto"/>
                <w:sz w:val="21"/>
                <w:szCs w:val="21"/>
                <w:highlight w:val="none"/>
                <w:shd w:val="clear" w:color="auto" w:fill="auto"/>
                <w:lang w:eastAsia="zh-CN"/>
              </w:rPr>
              <w:t>单位</w:t>
            </w:r>
          </w:p>
        </w:tc>
        <w:tc>
          <w:tcPr>
            <w:tcW w:w="7112" w:type="dxa"/>
            <w:tcBorders>
              <w:top w:val="single" w:color="auto" w:sz="4" w:space="0"/>
              <w:left w:val="single" w:color="auto" w:sz="4" w:space="0"/>
              <w:bottom w:val="single" w:color="auto" w:sz="4" w:space="0"/>
            </w:tcBorders>
            <w:noWrap w:val="0"/>
            <w:vAlign w:val="center"/>
          </w:tcPr>
          <w:p>
            <w:pPr>
              <w:keepNext w:val="0"/>
              <w:keepLines w:val="0"/>
              <w:pageBreakBefore w:val="0"/>
              <w:widowControl/>
              <w:kinsoku/>
              <w:overflowPunct/>
              <w:autoSpaceDE/>
              <w:autoSpaceDN/>
              <w:bidi w:val="0"/>
              <w:spacing w:line="264" w:lineRule="auto"/>
              <w:ind w:left="0"/>
              <w:jc w:val="center"/>
              <w:rPr>
                <w:rFonts w:hint="eastAsia" w:ascii="宋体" w:hAnsi="宋体" w:eastAsia="宋体" w:cs="宋体"/>
                <w:b/>
                <w:color w:val="auto"/>
                <w:kern w:val="0"/>
                <w:sz w:val="21"/>
                <w:szCs w:val="21"/>
                <w:highlight w:val="none"/>
                <w:shd w:val="clear" w:color="auto" w:fill="auto"/>
              </w:rPr>
            </w:pPr>
            <w:r>
              <w:rPr>
                <w:rFonts w:hint="eastAsia" w:ascii="宋体" w:hAnsi="宋体" w:eastAsia="宋体" w:cs="宋体"/>
                <w:b/>
                <w:color w:val="auto"/>
                <w:kern w:val="0"/>
                <w:sz w:val="21"/>
                <w:szCs w:val="21"/>
                <w:highlight w:val="none"/>
                <w:shd w:val="clear" w:color="auto" w:fill="auto"/>
              </w:rPr>
              <w:t>主要技术参数及性能（配置）要求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264" w:lineRule="auto"/>
              <w:ind w:left="0"/>
              <w:jc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研讨式</w:t>
            </w:r>
          </w:p>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扇形桌</w:t>
            </w:r>
            <w:r>
              <w:rPr>
                <w:rFonts w:hint="eastAsia" w:ascii="宋体" w:hAnsi="宋体" w:cs="宋体"/>
                <w:color w:val="auto"/>
                <w:kern w:val="0"/>
                <w:sz w:val="21"/>
                <w:szCs w:val="21"/>
                <w:highlight w:val="none"/>
                <w:shd w:val="clear" w:color="auto" w:fill="auto"/>
                <w:lang w:val="en-US" w:eastAsia="zh-CN"/>
              </w:rPr>
              <w:t>1</w:t>
            </w:r>
          </w:p>
        </w:tc>
        <w:tc>
          <w:tcPr>
            <w:tcW w:w="7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default"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240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 w:eastAsia="zh-CN"/>
              </w:rPr>
            </w:pPr>
            <w:r>
              <w:rPr>
                <w:rFonts w:hint="eastAsia" w:ascii="宋体" w:hAnsi="宋体" w:eastAsia="宋体" w:cs="宋体"/>
                <w:color w:val="auto"/>
                <w:kern w:val="0"/>
                <w:sz w:val="21"/>
                <w:szCs w:val="21"/>
                <w:highlight w:val="none"/>
                <w:shd w:val="clear" w:color="auto" w:fill="auto"/>
                <w:lang w:val="en" w:eastAsia="zh-CN"/>
              </w:rPr>
              <w:t>张</w:t>
            </w:r>
          </w:p>
        </w:tc>
        <w:tc>
          <w:tcPr>
            <w:tcW w:w="7112" w:type="dxa"/>
            <w:tcBorders>
              <w:top w:val="single" w:color="auto" w:sz="4" w:space="0"/>
              <w:left w:val="single" w:color="auto" w:sz="4" w:space="0"/>
              <w:bottom w:val="single" w:color="auto" w:sz="4" w:space="0"/>
            </w:tcBorders>
            <w:noWrap w:val="0"/>
            <w:vAlign w:val="center"/>
          </w:tcPr>
          <w:p>
            <w:pPr>
              <w:pStyle w:val="51"/>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板材采用优质三聚氰胺饰面的刨花板基材，基材经过防虫防潮防腐处理，表面防刮耐磨，面板厚度2.5CM，2mmPVC封边，挡板厚度1.5CM ；采用25mm及以上厚度的E1级及以上三聚氰胺刨花板，其中板材的含水率控制在3%至13%之间：2h吸水厚度膨胀率≤12.0%;板材的静曲强度≥10.5MPa;表面胶合强度≥0.6MPa,甲醛释放量≤1.5mg/L。符合GB 18584-2001《室内装饰装修材料木家具中有害物质限量》、符合GB/T15102-2017《浸渍胶膜纸饰面纤维板和刨花板》。强度高、刚性好、不易变形、比重合理，所有板材均经防虫防腐化学处理，表面握钉力及静曲强度均达到国际标准。签订合同</w:t>
            </w:r>
            <w:r>
              <w:rPr>
                <w:rFonts w:hint="eastAsia" w:ascii="宋体" w:hAnsi="宋体" w:cs="宋体"/>
                <w:color w:val="auto"/>
                <w:sz w:val="21"/>
                <w:szCs w:val="21"/>
                <w:highlight w:val="none"/>
                <w:shd w:val="clear" w:color="auto" w:fill="auto"/>
                <w:lang w:eastAsia="zh-CN"/>
              </w:rPr>
              <w:t>后</w:t>
            </w:r>
            <w:r>
              <w:rPr>
                <w:rFonts w:hint="eastAsia" w:ascii="宋体" w:hAnsi="宋体" w:eastAsia="宋体" w:cs="宋体"/>
                <w:color w:val="auto"/>
                <w:sz w:val="21"/>
                <w:szCs w:val="21"/>
                <w:highlight w:val="none"/>
                <w:shd w:val="clear" w:color="auto" w:fill="auto"/>
              </w:rPr>
              <w:t>须提供具有资质的第三方检验机构出具的检测报告复印件（并加盖投标人公章）。 采用优质胶粘剂，该产品通过中国环境标志产品认证，符合国家强制性标准GB/T18583-2008《室内装饰装修材料胶粘剂中有害物质限量》的要求</w:t>
            </w:r>
            <w:r>
              <w:rPr>
                <w:rFonts w:hint="eastAsia" w:ascii="宋体" w:hAnsi="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 xml:space="preserve">            </w:t>
            </w:r>
          </w:p>
          <w:p>
            <w:pPr>
              <w:pStyle w:val="51"/>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一级冷轧钢管,符合</w:t>
            </w:r>
            <w:r>
              <w:rPr>
                <w:rFonts w:hint="eastAsia" w:ascii="宋体" w:hAnsi="宋体" w:cs="宋体"/>
                <w:color w:val="auto"/>
                <w:sz w:val="21"/>
                <w:szCs w:val="21"/>
                <w:highlight w:val="none"/>
                <w:shd w:val="clear" w:color="auto" w:fill="auto"/>
              </w:rPr>
              <w:t>QB/T 4767-2014《家具用钢构性》：连接用钢构件-材料厚度：1.4mm</w:t>
            </w:r>
            <w:r>
              <w:rPr>
                <w:rFonts w:hint="eastAsia" w:ascii="宋体" w:hAnsi="宋体" w:cs="宋体"/>
                <w:color w:val="auto"/>
                <w:sz w:val="21"/>
                <w:szCs w:val="21"/>
                <w:highlight w:val="none"/>
                <w:shd w:val="clear" w:color="auto" w:fill="auto"/>
                <w:lang w:eastAsia="zh-CN"/>
              </w:rPr>
              <w:t>。</w:t>
            </w:r>
            <w:r>
              <w:rPr>
                <w:rFonts w:hint="eastAsia" w:ascii="宋体" w:hAnsi="宋体" w:cs="宋体"/>
                <w:strike w:val="0"/>
                <w:dstrike w:val="0"/>
                <w:color w:val="auto"/>
                <w:sz w:val="21"/>
                <w:szCs w:val="21"/>
                <w:highlight w:val="none"/>
                <w:shd w:val="clear" w:color="auto" w:fill="auto"/>
                <w:lang w:eastAsia="zh-CN"/>
              </w:rPr>
              <w:t>符合</w:t>
            </w:r>
            <w:r>
              <w:rPr>
                <w:rFonts w:hint="eastAsia" w:ascii="宋体" w:hAnsi="宋体" w:eastAsia="宋体" w:cs="宋体"/>
                <w:color w:val="auto"/>
                <w:sz w:val="21"/>
                <w:szCs w:val="21"/>
                <w:highlight w:val="none"/>
                <w:shd w:val="clear" w:color="auto" w:fill="auto"/>
              </w:rPr>
              <w:t>GB/T 3094-2012《冷拔异型钢管》</w:t>
            </w:r>
            <w:r>
              <w:rPr>
                <w:rFonts w:hint="eastAsia" w:ascii="宋体" w:hAnsi="宋体" w:cs="宋体"/>
                <w:color w:val="auto"/>
                <w:sz w:val="21"/>
                <w:szCs w:val="21"/>
                <w:highlight w:val="none"/>
                <w:shd w:val="clear" w:color="auto" w:fill="auto"/>
                <w:lang w:eastAsia="zh-CN"/>
              </w:rPr>
              <w:t>标准</w:t>
            </w:r>
            <w:r>
              <w:rPr>
                <w:rFonts w:hint="eastAsia" w:ascii="宋体" w:hAnsi="宋体" w:eastAsia="宋体" w:cs="宋体"/>
                <w:color w:val="auto"/>
                <w:sz w:val="21"/>
                <w:szCs w:val="21"/>
                <w:highlight w:val="none"/>
                <w:shd w:val="clear" w:color="auto" w:fill="auto"/>
              </w:rPr>
              <w:t>，可折叠翻盖。</w:t>
            </w:r>
          </w:p>
          <w:p>
            <w:pPr>
              <w:pStyle w:val="51"/>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3</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尺寸</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mm</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：800*340*390</w:t>
            </w:r>
            <w:r>
              <w:rPr>
                <w:rFonts w:hint="eastAsia" w:ascii="宋体" w:hAnsi="宋体" w:cs="宋体"/>
                <w:color w:val="auto"/>
                <w:sz w:val="21"/>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264" w:lineRule="auto"/>
              <w:ind w:left="0"/>
              <w:jc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研讨式</w:t>
            </w:r>
          </w:p>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rPr>
              <w:t>椅子</w:t>
            </w:r>
            <w:r>
              <w:rPr>
                <w:rFonts w:hint="eastAsia" w:ascii="宋体" w:hAnsi="宋体" w:cs="宋体"/>
                <w:color w:val="auto"/>
                <w:kern w:val="0"/>
                <w:sz w:val="21"/>
                <w:szCs w:val="21"/>
                <w:highlight w:val="none"/>
                <w:shd w:val="clear" w:color="auto" w:fill="auto"/>
                <w:lang w:val="en-US" w:eastAsia="zh-CN"/>
              </w:rPr>
              <w:t>1</w:t>
            </w:r>
          </w:p>
        </w:tc>
        <w:tc>
          <w:tcPr>
            <w:tcW w:w="7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default"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240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 w:eastAsia="zh-CN"/>
              </w:rPr>
            </w:pPr>
            <w:r>
              <w:rPr>
                <w:rFonts w:hint="eastAsia" w:ascii="宋体" w:hAnsi="宋体" w:eastAsia="宋体" w:cs="宋体"/>
                <w:color w:val="auto"/>
                <w:kern w:val="0"/>
                <w:sz w:val="21"/>
                <w:szCs w:val="21"/>
                <w:highlight w:val="none"/>
                <w:shd w:val="clear" w:color="auto" w:fill="auto"/>
                <w:lang w:val="en" w:eastAsia="zh-CN"/>
              </w:rPr>
              <w:t>张</w:t>
            </w:r>
          </w:p>
        </w:tc>
        <w:tc>
          <w:tcPr>
            <w:tcW w:w="7112" w:type="dxa"/>
            <w:tcBorders>
              <w:top w:val="single" w:color="auto" w:sz="4" w:space="0"/>
              <w:left w:val="single" w:color="auto" w:sz="4" w:space="0"/>
              <w:bottom w:val="single" w:color="auto" w:sz="4" w:space="0"/>
            </w:tcBorders>
            <w:noWrap w:val="0"/>
            <w:vAlign w:val="center"/>
          </w:tcPr>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面料：采用优质颐达网布面料，防磨防污性好；</w:t>
            </w:r>
          </w:p>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▲2.海绵：采用优质高弹海绵，密度高，表面带有保护面，防氧化、抗疲劳、耐冲击、回弹力强、不易变形。符合GB/T10802-20</w:t>
            </w:r>
            <w:r>
              <w:rPr>
                <w:rFonts w:hint="default" w:ascii="宋体" w:hAnsi="宋体" w:cs="宋体"/>
                <w:color w:val="auto"/>
                <w:sz w:val="21"/>
                <w:szCs w:val="21"/>
                <w:highlight w:val="none"/>
                <w:shd w:val="clear" w:color="auto" w:fill="auto"/>
                <w:lang w:val="en"/>
              </w:rPr>
              <w:t>23</w:t>
            </w:r>
            <w:r>
              <w:rPr>
                <w:rFonts w:hint="eastAsia" w:ascii="宋体" w:hAnsi="宋体" w:eastAsia="宋体" w:cs="宋体"/>
                <w:color w:val="auto"/>
                <w:sz w:val="21"/>
                <w:szCs w:val="21"/>
                <w:highlight w:val="none"/>
                <w:shd w:val="clear" w:color="auto" w:fill="auto"/>
              </w:rPr>
              <w:t>《通用软质聚氨酯泡沫塑料》标准</w:t>
            </w:r>
            <w:r>
              <w:rPr>
                <w:rFonts w:hint="eastAsia" w:ascii="宋体" w:hAnsi="宋体" w:cs="宋体"/>
                <w:color w:val="auto"/>
                <w:sz w:val="21"/>
                <w:szCs w:val="21"/>
                <w:highlight w:val="none"/>
                <w:shd w:val="clear" w:color="auto" w:fill="auto"/>
                <w:lang w:eastAsia="zh-CN"/>
              </w:rPr>
              <w:t>；</w:t>
            </w:r>
          </w:p>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 xml:space="preserve">架子：1.4mm厚钢制喷涂脚架；                        </w:t>
            </w:r>
          </w:p>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功能：座板可翻起、靠背逍遥；</w:t>
            </w:r>
          </w:p>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5</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定型棉座包；</w:t>
            </w:r>
          </w:p>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6</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铝合金连接件</w:t>
            </w:r>
            <w:r>
              <w:rPr>
                <w:rFonts w:hint="eastAsia" w:ascii="宋体" w:hAnsi="宋体" w:cs="宋体"/>
                <w:color w:val="auto"/>
                <w:sz w:val="21"/>
                <w:szCs w:val="21"/>
                <w:highlight w:val="none"/>
                <w:shd w:val="clear" w:color="auto" w:fill="auto"/>
                <w:lang w:eastAsia="zh-CN"/>
              </w:rPr>
              <w:t>；</w:t>
            </w:r>
          </w:p>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7</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长*宽*高（cm）:</w:t>
            </w:r>
            <w:r>
              <w:rPr>
                <w:rFonts w:hint="default" w:ascii="Arial" w:hAnsi="Arial" w:eastAsia="宋体" w:cs="Arial"/>
                <w:color w:val="auto"/>
                <w:sz w:val="21"/>
                <w:szCs w:val="21"/>
                <w:highlight w:val="none"/>
                <w:shd w:val="clear" w:color="auto" w:fill="auto"/>
              </w:rPr>
              <w:t>≥</w:t>
            </w:r>
            <w:r>
              <w:rPr>
                <w:rFonts w:hint="eastAsia" w:ascii="宋体" w:hAnsi="宋体" w:eastAsia="宋体" w:cs="宋体"/>
                <w:color w:val="auto"/>
                <w:sz w:val="21"/>
                <w:szCs w:val="21"/>
                <w:highlight w:val="none"/>
                <w:shd w:val="clear" w:color="auto" w:fill="auto"/>
              </w:rPr>
              <w:t>52*56*82</w:t>
            </w:r>
            <w:r>
              <w:rPr>
                <w:rFonts w:hint="eastAsia" w:ascii="宋体" w:hAnsi="宋体" w:cs="宋体"/>
                <w:color w:val="auto"/>
                <w:sz w:val="21"/>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264" w:lineRule="auto"/>
              <w:ind w:left="0"/>
              <w:jc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智慧升降讲桌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5</w:t>
            </w:r>
          </w:p>
        </w:tc>
        <w:tc>
          <w:tcPr>
            <w:tcW w:w="7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 w:eastAsia="zh-CN"/>
              </w:rPr>
            </w:pPr>
            <w:r>
              <w:rPr>
                <w:rFonts w:hint="eastAsia" w:ascii="宋体" w:hAnsi="宋体" w:eastAsia="宋体" w:cs="宋体"/>
                <w:color w:val="auto"/>
                <w:kern w:val="0"/>
                <w:sz w:val="21"/>
                <w:szCs w:val="21"/>
                <w:highlight w:val="none"/>
                <w:shd w:val="clear" w:color="auto" w:fill="auto"/>
                <w:lang w:val="en" w:eastAsia="zh-CN"/>
              </w:rPr>
              <w:t>台</w:t>
            </w:r>
          </w:p>
        </w:tc>
        <w:tc>
          <w:tcPr>
            <w:tcW w:w="7112" w:type="dxa"/>
            <w:tcBorders>
              <w:top w:val="single" w:color="auto" w:sz="4" w:space="0"/>
              <w:left w:val="single" w:color="auto" w:sz="4" w:space="0"/>
              <w:bottom w:val="single" w:color="auto" w:sz="4" w:space="0"/>
            </w:tcBorders>
            <w:noWrap w:val="0"/>
            <w:vAlign w:val="center"/>
          </w:tcPr>
          <w:p>
            <w:pPr>
              <w:pStyle w:val="8"/>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1.升降讲桌采用1.2mm-2.0mm冷轧钢板桌体，整体外观流线型设计，美观大方，具备防火特性，正面中部受到170N的冲击力时不会倾倒。</w:t>
            </w:r>
          </w:p>
          <w:p>
            <w:pPr>
              <w:pStyle w:val="8"/>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2.桌面为抗倍特板材质，具备防水、耐撞击性、耐磨、防火、耐烟灼、防静电，稳定性强、平整又不易变形、无毒无害、绿色环保等特性。</w:t>
            </w:r>
          </w:p>
          <w:p>
            <w:pPr>
              <w:pStyle w:val="8"/>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3.升降讲桌设计尺寸（长X宽X高）约为1200mmX650mmX1020mm，根据人体力学设计，讲台桌面高度合适老师放置教学用品，兼顾站立教学或者坐着操作电脑。</w:t>
            </w:r>
          </w:p>
          <w:p>
            <w:pPr>
              <w:pStyle w:val="8"/>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4.桌面内置≥23.8英寸电容触控屏，并支持10点同时触摸。</w:t>
            </w:r>
          </w:p>
          <w:p>
            <w:pPr>
              <w:pStyle w:val="8"/>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5.电容触控屏具备单独的开关按键，显示屏接口类型为VGA，HDMI，屏幕分辨率支持≥1920x1080像素，屏幕融合在讲台中，无突出边角，无法在没有工具的情况下拆除。</w:t>
            </w:r>
          </w:p>
          <w:p>
            <w:pPr>
              <w:pStyle w:val="8"/>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6.电容触控屏支持同步显示并能操控交互智能平板的画面，与桌面呈25°角，以最佳视角显示教学内容，教师正面授课，录像效果好，提高教学效率。</w:t>
            </w:r>
          </w:p>
          <w:p>
            <w:pPr>
              <w:pStyle w:val="8"/>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7.讲桌桌面内置弹射式接口面板，包含≥1个HDMI接口、≥1个VGA接口、≥1个USB口、≥1个网络接口、≥1个音频接口等，不使用时，可按下与桌面平齐，避免受到撞击，支持笔记本电脑接入。</w:t>
            </w:r>
          </w:p>
          <w:p>
            <w:pPr>
              <w:pStyle w:val="8"/>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8.支持外接PC电脑，可以将PC电脑内容显示在23.8英寸主屏上，支持1路HDMI OUT输出，可外接投影、显示器等多媒体设备。</w:t>
            </w:r>
          </w:p>
          <w:p>
            <w:pPr>
              <w:pStyle w:val="8"/>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rPr>
              <w:t>9.讲桌柜体左侧预留电脑主机观察窗口，无需打开柜体的情况下也能正常开关电脑主机</w:t>
            </w:r>
            <w:r>
              <w:rPr>
                <w:rFonts w:hint="eastAsia" w:ascii="宋体" w:hAnsi="宋体" w:cs="宋体"/>
                <w:color w:val="auto"/>
                <w:kern w:val="0"/>
                <w:sz w:val="21"/>
                <w:szCs w:val="21"/>
                <w:highlight w:val="none"/>
                <w:shd w:val="clear" w:color="auto" w:fill="auto"/>
                <w:lang w:eastAsia="zh-CN"/>
              </w:rPr>
              <w:t>。</w:t>
            </w:r>
          </w:p>
          <w:p>
            <w:pPr>
              <w:pStyle w:val="8"/>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10.讲台设置有2个220V电源接口，方便老师接入笔记本电脑等设备。</w:t>
            </w:r>
          </w:p>
          <w:p>
            <w:pPr>
              <w:pStyle w:val="8"/>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11.讲桌设置有键盘抽屉，可放置黑板擦、书写笔、键盘和鼠标等，抽屉内预留≥4路USB快速充电接口，即使讲桌不开机，依然可以持续充电，可连接键盘鼠标使用,方便教师操作，讲桌桌面留有足够空间放置笔记本、教案等物品。</w:t>
            </w:r>
          </w:p>
          <w:p>
            <w:pPr>
              <w:pStyle w:val="8"/>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12.柜体下方设置有19英寸设备安装机柜，高度≥10U。</w:t>
            </w:r>
          </w:p>
          <w:p>
            <w:pPr>
              <w:pStyle w:val="8"/>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13</w:t>
            </w:r>
            <w:r>
              <w:rPr>
                <w:rFonts w:hint="eastAsia" w:ascii="宋体" w:hAnsi="宋体" w:cs="宋体"/>
                <w:color w:val="auto"/>
                <w:kern w:val="0"/>
                <w:sz w:val="21"/>
                <w:szCs w:val="21"/>
                <w:highlight w:val="none"/>
                <w:shd w:val="clear" w:color="auto" w:fill="auto"/>
                <w:lang w:val="en-US" w:eastAsia="zh-CN"/>
              </w:rPr>
              <w:t>.</w:t>
            </w:r>
            <w:r>
              <w:rPr>
                <w:rFonts w:hint="eastAsia" w:ascii="宋体" w:hAnsi="宋体" w:eastAsia="宋体" w:cs="宋体"/>
                <w:color w:val="auto"/>
                <w:kern w:val="0"/>
                <w:sz w:val="21"/>
                <w:szCs w:val="21"/>
                <w:highlight w:val="none"/>
                <w:shd w:val="clear" w:color="auto" w:fill="auto"/>
              </w:rPr>
              <w:t>柜体下方预留多处散热孔，可以有效保证讲桌内设备的热量及时散出。</w:t>
            </w:r>
          </w:p>
          <w:p>
            <w:pPr>
              <w:pStyle w:val="8"/>
              <w:keepNext w:val="0"/>
              <w:keepLines w:val="0"/>
              <w:pageBreakBefore w:val="0"/>
              <w:widowControl w:val="0"/>
              <w:kinsoku/>
              <w:wordWrap/>
              <w:overflowPunct/>
              <w:topLinePunct w:val="0"/>
              <w:autoSpaceDE/>
              <w:autoSpaceDN/>
              <w:bidi w:val="0"/>
              <w:adjustRightInd/>
              <w:snapToGrid/>
              <w:spacing w:line="264" w:lineRule="auto"/>
              <w:ind w:firstLine="0" w:firstLineChars="0"/>
              <w:jc w:val="both"/>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14</w:t>
            </w:r>
            <w:r>
              <w:rPr>
                <w:rFonts w:hint="eastAsia" w:ascii="宋体" w:hAnsi="宋体" w:cs="宋体"/>
                <w:color w:val="auto"/>
                <w:kern w:val="0"/>
                <w:sz w:val="21"/>
                <w:szCs w:val="21"/>
                <w:highlight w:val="none"/>
                <w:shd w:val="clear" w:color="auto" w:fill="auto"/>
                <w:lang w:val="en-US" w:eastAsia="zh-CN"/>
              </w:rPr>
              <w:t>.</w:t>
            </w:r>
            <w:r>
              <w:rPr>
                <w:rFonts w:hint="eastAsia" w:ascii="宋体" w:hAnsi="宋体" w:eastAsia="宋体" w:cs="宋体"/>
                <w:color w:val="auto"/>
                <w:kern w:val="0"/>
                <w:sz w:val="21"/>
                <w:szCs w:val="21"/>
                <w:highlight w:val="none"/>
                <w:shd w:val="clear" w:color="auto" w:fill="auto"/>
              </w:rPr>
              <w:t>讲桌支持安装地脚，选配增高底座，预留增高底座安装孔位。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264" w:lineRule="auto"/>
              <w:ind w:left="0"/>
              <w:jc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4</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研讨式</w:t>
            </w:r>
          </w:p>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rPr>
              <w:t>扇形桌</w:t>
            </w:r>
            <w:r>
              <w:rPr>
                <w:rFonts w:hint="eastAsia" w:ascii="宋体" w:hAnsi="宋体" w:cs="宋体"/>
                <w:color w:val="auto"/>
                <w:kern w:val="0"/>
                <w:sz w:val="21"/>
                <w:szCs w:val="21"/>
                <w:highlight w:val="none"/>
                <w:shd w:val="clear" w:color="auto" w:fill="auto"/>
                <w:lang w:val="en-US" w:eastAsia="zh-CN"/>
              </w:rPr>
              <w:t>2</w:t>
            </w:r>
          </w:p>
        </w:tc>
        <w:tc>
          <w:tcPr>
            <w:tcW w:w="7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default"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240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 w:eastAsia="zh-CN"/>
              </w:rPr>
            </w:pPr>
            <w:r>
              <w:rPr>
                <w:rFonts w:hint="eastAsia" w:ascii="宋体" w:hAnsi="宋体" w:eastAsia="宋体" w:cs="宋体"/>
                <w:color w:val="auto"/>
                <w:kern w:val="0"/>
                <w:sz w:val="21"/>
                <w:szCs w:val="21"/>
                <w:highlight w:val="none"/>
                <w:shd w:val="clear" w:color="auto" w:fill="auto"/>
                <w:lang w:val="en" w:eastAsia="zh-CN"/>
              </w:rPr>
              <w:t>张</w:t>
            </w:r>
          </w:p>
        </w:tc>
        <w:tc>
          <w:tcPr>
            <w:tcW w:w="7112" w:type="dxa"/>
            <w:tcBorders>
              <w:top w:val="single" w:color="auto" w:sz="4" w:space="0"/>
              <w:left w:val="single" w:color="auto" w:sz="4" w:space="0"/>
              <w:bottom w:val="single" w:color="auto" w:sz="4" w:space="0"/>
            </w:tcBorders>
            <w:noWrap w:val="0"/>
            <w:vAlign w:val="center"/>
          </w:tcPr>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参考尺寸（&lt;长*宽*高&gt;mm）：900mm*550mm/300mm*750mm；</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材质:梯形桌面，尺寸：长边900mm,斜边550mm,短边300mm，基材采用25mm厚的E0级高密度纤维板，经高温高压双面贴优质美耐板，耐火，耐磨，耐刮伤、划伤。所有材料都经过防虫、防腐等化学处理。桌面下面四周切15x30mm倒角，倒角四周封PU油漆，拉手工木纹，与桌面木纹一致。PU漆耐磨、耐划伤，防水，桌面可任意组合拼接，可按压式90°折叠，便于堆放符合人体工程学设计。E0级高密度纤维必须符合GB/T 35601-2017《绿色产品评价人造板和木质地板》</w:t>
            </w:r>
            <w:r>
              <w:rPr>
                <w:rFonts w:hint="eastAsia" w:ascii="宋体" w:hAnsi="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 xml:space="preserve"> </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底脚：底脚尺寸：540*65*65*2mm两件；冷轧钢材质，厚度为2.0mm，采用高温静电喷涂优质高精度冷轧钢；</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▲4</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立柱：立柱方管尺寸：635*70*30mm，包含塑胶装饰盖；冷轧钢材质,厚度为1.5MM，采用高温静电喷涂处理</w:t>
            </w:r>
            <w:r>
              <w:rPr>
                <w:rFonts w:hint="eastAsia" w:ascii="宋体" w:hAnsi="宋体" w:cs="宋体"/>
                <w:color w:val="auto"/>
                <w:sz w:val="21"/>
                <w:szCs w:val="21"/>
                <w:highlight w:val="none"/>
                <w:shd w:val="clear" w:color="auto" w:fill="auto"/>
                <w:lang w:eastAsia="zh-CN"/>
              </w:rPr>
              <w:t>；</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5</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接头：97mmx78mmx38mm 采用壁厚1.5mm优质高精度铝合金，抗变形，旋转机构可以90°旋转折叠；</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6</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横梁：台面方管横梁尺寸：1195*385*1.2mm冷轧钢材质,厚度为1.2MM，高温静电喷。台面支撑横梁采用：1.5mm厚，40x40x420mm高精度冷轧钢，与铝合金接头相结合，稳固，方便。组装式结构，方便拆装，组装采用内六角螺栓固定；承重≥150㎏；</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7</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 xml:space="preserve">书网层：尺寸：1060*208*1mm，采用优质钢板，厚度为1mm，经夹具焊接成型与片钢组成表面采用防锈静电喷涂处理；                                                                                                                      </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▲8</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 xml:space="preserve">脚轮：采用万向静音脚轮带锁定功能，符合QB/T 2280-2016办公家具办公椅检测依据，检测结果包括但不限于以下内容：脚轮往复磨损检测试验次数15万次以上；    </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9</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三层折叠桌配件：杯架组合  杯架连接件：D60mmx39mmH 采用优质钢锭，淬火、回火，车枳加工成型，喷粉高温烤制而成，耐磨，经久耐用。杯架 材料:原生ABS一次性浇注成型，用定位螺丝锁在小桌板下面，可以自由旋转，使用时旋转出来或隐藏在桌面下面； 白板/书包挂钩：165Wx115D向55mmH 采用3mm优质冷轧钢板，切割冲压，折弯焊接而成。经过酸洗、磷洗等防锈处理，喷粉高温烤制而成；桌板及桌架多种颜色可选，并提供颜色样板供选择。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264" w:lineRule="auto"/>
              <w:ind w:left="0"/>
              <w:jc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5</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研讨式</w:t>
            </w:r>
          </w:p>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rPr>
              <w:t>椅子</w:t>
            </w:r>
            <w:r>
              <w:rPr>
                <w:rFonts w:hint="eastAsia" w:ascii="宋体" w:hAnsi="宋体" w:cs="宋体"/>
                <w:color w:val="auto"/>
                <w:kern w:val="0"/>
                <w:sz w:val="21"/>
                <w:szCs w:val="21"/>
                <w:highlight w:val="none"/>
                <w:shd w:val="clear" w:color="auto" w:fill="auto"/>
                <w:lang w:val="en-US" w:eastAsia="zh-CN"/>
              </w:rPr>
              <w:t>2</w:t>
            </w:r>
          </w:p>
        </w:tc>
        <w:tc>
          <w:tcPr>
            <w:tcW w:w="7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default"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240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 w:eastAsia="zh-CN"/>
              </w:rPr>
            </w:pPr>
            <w:r>
              <w:rPr>
                <w:rFonts w:hint="eastAsia" w:ascii="宋体" w:hAnsi="宋体" w:eastAsia="宋体" w:cs="宋体"/>
                <w:color w:val="auto"/>
                <w:kern w:val="0"/>
                <w:sz w:val="21"/>
                <w:szCs w:val="21"/>
                <w:highlight w:val="none"/>
                <w:shd w:val="clear" w:color="auto" w:fill="auto"/>
                <w:lang w:val="en" w:eastAsia="zh-CN"/>
              </w:rPr>
              <w:t>个</w:t>
            </w:r>
          </w:p>
        </w:tc>
        <w:tc>
          <w:tcPr>
            <w:tcW w:w="7112" w:type="dxa"/>
            <w:tcBorders>
              <w:top w:val="single" w:color="auto" w:sz="4" w:space="0"/>
              <w:left w:val="single" w:color="auto" w:sz="4" w:space="0"/>
              <w:bottom w:val="single" w:color="auto" w:sz="4" w:space="0"/>
            </w:tcBorders>
            <w:noWrap w:val="0"/>
            <w:vAlign w:val="center"/>
          </w:tcPr>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采用PP料背架，带固定腰靠，PP材质固定扶手，采用密度≥35的高回弹中软切割海绵，中班蝴蝶底盘带原位锁定，≥100#沉口4公分黑色汽杆，§320尼龙高脚，φ50mmPP 脚轮。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264" w:lineRule="auto"/>
              <w:ind w:left="0"/>
              <w:jc w:val="center"/>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6</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督导巡课笔记本</w:t>
            </w:r>
          </w:p>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电脑</w:t>
            </w:r>
          </w:p>
        </w:tc>
        <w:tc>
          <w:tcPr>
            <w:tcW w:w="7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autoSpaceDE/>
              <w:autoSpaceDN/>
              <w:bidi w:val="0"/>
              <w:spacing w:line="264" w:lineRule="auto"/>
              <w:jc w:val="center"/>
              <w:textAlignment w:val="center"/>
              <w:rPr>
                <w:rFonts w:hint="eastAsia" w:ascii="宋体" w:hAnsi="宋体" w:eastAsia="宋体" w:cs="宋体"/>
                <w:color w:val="auto"/>
                <w:kern w:val="0"/>
                <w:sz w:val="21"/>
                <w:szCs w:val="21"/>
                <w:highlight w:val="none"/>
                <w:shd w:val="clear" w:color="auto" w:fill="auto"/>
                <w:lang w:val="en" w:eastAsia="zh-CN"/>
              </w:rPr>
            </w:pPr>
            <w:r>
              <w:rPr>
                <w:rFonts w:hint="eastAsia" w:ascii="宋体" w:hAnsi="宋体" w:eastAsia="宋体" w:cs="宋体"/>
                <w:color w:val="auto"/>
                <w:kern w:val="0"/>
                <w:sz w:val="21"/>
                <w:szCs w:val="21"/>
                <w:highlight w:val="none"/>
                <w:shd w:val="clear" w:color="auto" w:fill="auto"/>
                <w:lang w:val="en" w:eastAsia="zh-CN"/>
              </w:rPr>
              <w:t>台</w:t>
            </w:r>
          </w:p>
        </w:tc>
        <w:tc>
          <w:tcPr>
            <w:tcW w:w="7112" w:type="dxa"/>
            <w:tcBorders>
              <w:top w:val="single" w:color="auto" w:sz="4" w:space="0"/>
              <w:left w:val="single" w:color="auto" w:sz="4" w:space="0"/>
              <w:bottom w:val="single" w:color="auto" w:sz="4" w:space="0"/>
            </w:tcBorders>
            <w:noWrap w:val="0"/>
            <w:vAlign w:val="center"/>
          </w:tcPr>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1.处理器‌≥ ‌i7-14650HX‌（14代酷睿），核心数：≥16核24线程</w:t>
            </w:r>
            <w:r>
              <w:rPr>
                <w:rFonts w:hint="eastAsia" w:ascii="宋体" w:hAnsi="宋体" w:cs="宋体"/>
                <w:color w:val="auto"/>
                <w:kern w:val="0"/>
                <w:sz w:val="21"/>
                <w:szCs w:val="21"/>
                <w:highlight w:val="none"/>
                <w:shd w:val="clear" w:color="auto" w:fill="auto"/>
                <w:lang w:eastAsia="zh-CN"/>
              </w:rPr>
              <w:t>；</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‌2.显卡‌≥ ‌RTX 5060 8GB GDDR7显存</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t>‌</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3.内存：≥16GB DDR5 5600MHz内存</w:t>
            </w:r>
            <w:r>
              <w:rPr>
                <w:rFonts w:hint="eastAsia" w:ascii="宋体" w:hAnsi="宋体" w:cs="宋体"/>
                <w:color w:val="auto"/>
                <w:kern w:val="0"/>
                <w:sz w:val="21"/>
                <w:szCs w:val="21"/>
                <w:highlight w:val="none"/>
                <w:shd w:val="clear" w:color="auto" w:fill="auto"/>
                <w:lang w:eastAsia="zh-CN"/>
              </w:rPr>
              <w:t>；</w:t>
            </w:r>
          </w:p>
          <w:p>
            <w:pPr>
              <w:pStyle w:val="8"/>
              <w:keepNext w:val="0"/>
              <w:keepLines w:val="0"/>
              <w:pageBreakBefore w:val="0"/>
              <w:numPr>
                <w:ilvl w:val="-1"/>
                <w:numId w:val="0"/>
              </w:numPr>
              <w:kinsoku/>
              <w:overflowPunct/>
              <w:autoSpaceDE/>
              <w:autoSpaceDN/>
              <w:bidi w:val="0"/>
              <w:spacing w:line="264" w:lineRule="auto"/>
              <w:ind w:left="0" w:leftChars="0" w:firstLine="0" w:firstLineChars="0"/>
              <w:jc w:val="both"/>
              <w:rPr>
                <w:rFonts w:hint="eastAsia" w:ascii="宋体" w:hAnsi="宋体" w:cs="宋体"/>
                <w:color w:val="auto"/>
                <w:kern w:val="0"/>
                <w:sz w:val="21"/>
                <w:szCs w:val="21"/>
                <w:highlight w:val="none"/>
                <w:shd w:val="clear" w:color="auto" w:fill="auto"/>
                <w:lang w:eastAsia="zh-CN"/>
              </w:rPr>
            </w:pPr>
            <w:r>
              <w:rPr>
                <w:rFonts w:hint="eastAsia" w:ascii="宋体" w:hAnsi="宋体" w:cs="宋体"/>
                <w:color w:val="auto"/>
                <w:kern w:val="0"/>
                <w:sz w:val="21"/>
                <w:szCs w:val="21"/>
                <w:highlight w:val="none"/>
                <w:shd w:val="clear" w:color="auto" w:fill="auto"/>
                <w:lang w:val="en-US" w:eastAsia="zh-CN"/>
              </w:rPr>
              <w:t>4.</w:t>
            </w:r>
            <w:r>
              <w:rPr>
                <w:rFonts w:hint="eastAsia" w:ascii="宋体" w:hAnsi="宋体" w:eastAsia="宋体" w:cs="宋体"/>
                <w:color w:val="auto"/>
                <w:kern w:val="0"/>
                <w:sz w:val="21"/>
                <w:szCs w:val="21"/>
                <w:highlight w:val="none"/>
                <w:shd w:val="clear" w:color="auto" w:fill="auto"/>
              </w:rPr>
              <w:t xml:space="preserve">硬盘≥ 512GB PCIe 4.0 </w:t>
            </w:r>
            <w:r>
              <w:rPr>
                <w:rFonts w:hint="eastAsia" w:ascii="宋体" w:hAnsi="宋体" w:cs="宋体"/>
                <w:color w:val="auto"/>
                <w:kern w:val="0"/>
                <w:sz w:val="21"/>
                <w:szCs w:val="21"/>
                <w:highlight w:val="none"/>
                <w:shd w:val="clear" w:color="auto" w:fill="auto"/>
                <w:lang w:val="en-US" w:eastAsia="zh-CN"/>
              </w:rPr>
              <w:t xml:space="preserve">NvME </w:t>
            </w:r>
            <w:r>
              <w:rPr>
                <w:rFonts w:hint="eastAsia" w:ascii="宋体" w:hAnsi="宋体" w:eastAsia="宋体" w:cs="宋体"/>
                <w:color w:val="auto"/>
                <w:kern w:val="0"/>
                <w:sz w:val="21"/>
                <w:szCs w:val="21"/>
                <w:highlight w:val="none"/>
                <w:shd w:val="clear" w:color="auto" w:fill="auto"/>
              </w:rPr>
              <w:t>SSD</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t>双M.2插槽，支持后期扩容</w:t>
            </w:r>
            <w:r>
              <w:rPr>
                <w:rFonts w:hint="eastAsia" w:ascii="宋体" w:hAnsi="宋体" w:cs="宋体"/>
                <w:color w:val="auto"/>
                <w:kern w:val="0"/>
                <w:sz w:val="21"/>
                <w:szCs w:val="21"/>
                <w:highlight w:val="none"/>
                <w:shd w:val="clear" w:color="auto" w:fill="auto"/>
                <w:lang w:eastAsia="zh-CN"/>
              </w:rPr>
              <w:t>；</w:t>
            </w:r>
          </w:p>
          <w:p>
            <w:pPr>
              <w:pStyle w:val="8"/>
              <w:keepNext w:val="0"/>
              <w:keepLines w:val="0"/>
              <w:pageBreakBefore w:val="0"/>
              <w:numPr>
                <w:ilvl w:val="-1"/>
                <w:numId w:val="0"/>
              </w:numPr>
              <w:kinsoku/>
              <w:overflowPunct/>
              <w:autoSpaceDE/>
              <w:autoSpaceDN/>
              <w:bidi w:val="0"/>
              <w:spacing w:line="264" w:lineRule="auto"/>
              <w:ind w:left="0" w:leftChars="0" w:firstLine="0" w:firstLineChars="0"/>
              <w:jc w:val="both"/>
              <w:rPr>
                <w:rFonts w:hint="eastAsia" w:ascii="宋体" w:hAnsi="宋体" w:cs="宋体"/>
                <w:color w:val="auto"/>
                <w:kern w:val="0"/>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w:t>
            </w:r>
            <w:r>
              <w:rPr>
                <w:rFonts w:hint="eastAsia" w:ascii="宋体" w:hAnsi="宋体" w:cs="宋体"/>
                <w:color w:val="auto"/>
                <w:kern w:val="0"/>
                <w:sz w:val="21"/>
                <w:szCs w:val="21"/>
                <w:highlight w:val="none"/>
                <w:shd w:val="clear" w:color="auto" w:fill="auto"/>
                <w:lang w:val="en-US" w:eastAsia="zh-CN"/>
              </w:rPr>
              <w:t>5.</w:t>
            </w:r>
            <w:r>
              <w:rPr>
                <w:rFonts w:hint="eastAsia" w:ascii="宋体" w:hAnsi="宋体" w:eastAsia="宋体" w:cs="宋体"/>
                <w:color w:val="auto"/>
                <w:kern w:val="0"/>
                <w:sz w:val="21"/>
                <w:szCs w:val="21"/>
                <w:highlight w:val="none"/>
                <w:shd w:val="clear" w:color="auto" w:fill="auto"/>
              </w:rPr>
              <w:t>屏幕：≥ 15.3英寸 ， 2.5K屏‌，分辨率≥ 2560×1600，180Hz高刷新率，支持G-SYNC防撕裂技术。100% sRGB色域覆盖‌，亮度≥ 400尼特</w:t>
            </w:r>
            <w:r>
              <w:rPr>
                <w:rFonts w:hint="eastAsia" w:ascii="宋体" w:hAnsi="宋体" w:cs="宋体"/>
                <w:color w:val="auto"/>
                <w:kern w:val="0"/>
                <w:sz w:val="21"/>
                <w:szCs w:val="21"/>
                <w:highlight w:val="none"/>
                <w:shd w:val="clear" w:color="auto" w:fill="auto"/>
                <w:lang w:eastAsia="zh-CN"/>
              </w:rPr>
              <w:t>。</w:t>
            </w:r>
          </w:p>
          <w:p>
            <w:pPr>
              <w:pStyle w:val="8"/>
              <w:keepNext w:val="0"/>
              <w:keepLines w:val="0"/>
              <w:pageBreakBefore w:val="0"/>
              <w:numPr>
                <w:ilvl w:val="-1"/>
                <w:numId w:val="0"/>
              </w:numPr>
              <w:kinsoku/>
              <w:overflowPunct/>
              <w:autoSpaceDE/>
              <w:autoSpaceDN/>
              <w:bidi w:val="0"/>
              <w:spacing w:line="264" w:lineRule="auto"/>
              <w:ind w:left="0" w:leftChars="0" w:firstLine="0" w:firstLineChars="0"/>
              <w:jc w:val="both"/>
              <w:rPr>
                <w:rFonts w:hint="eastAsia" w:ascii="宋体" w:hAnsi="宋体" w:cs="宋体"/>
                <w:color w:val="auto"/>
                <w:kern w:val="0"/>
                <w:sz w:val="21"/>
                <w:szCs w:val="21"/>
                <w:highlight w:val="none"/>
                <w:shd w:val="clear" w:color="auto" w:fill="auto"/>
                <w:lang w:eastAsia="zh-CN"/>
              </w:rPr>
            </w:pPr>
            <w:r>
              <w:rPr>
                <w:rFonts w:hint="eastAsia" w:ascii="宋体" w:hAnsi="宋体" w:cs="宋体"/>
                <w:color w:val="auto"/>
                <w:kern w:val="0"/>
                <w:sz w:val="21"/>
                <w:szCs w:val="21"/>
                <w:highlight w:val="none"/>
                <w:shd w:val="clear" w:color="auto" w:fill="auto"/>
                <w:lang w:eastAsia="zh-CN"/>
              </w:rPr>
              <w:t>注：提供节能产品清单。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14" w:type="dxa"/>
            <w:gridSpan w:val="5"/>
            <w:tcBorders>
              <w:top w:val="single" w:color="auto" w:sz="4" w:space="0"/>
              <w:bottom w:val="single" w:color="auto" w:sz="4" w:space="0"/>
            </w:tcBorders>
            <w:noWrap w:val="0"/>
            <w:vAlign w:val="center"/>
          </w:tcPr>
          <w:p>
            <w:pPr>
              <w:keepNext w:val="0"/>
              <w:keepLines w:val="0"/>
              <w:pageBreakBefore w:val="0"/>
              <w:widowControl/>
              <w:kinsoku/>
              <w:overflowPunct/>
              <w:autoSpaceDE/>
              <w:autoSpaceDN/>
              <w:bidi w:val="0"/>
              <w:spacing w:line="264" w:lineRule="auto"/>
              <w:ind w:left="0"/>
              <w:rPr>
                <w:rFonts w:hint="eastAsia" w:ascii="宋体" w:hAnsi="宋体" w:eastAsia="宋体" w:cs="宋体"/>
                <w:b/>
                <w:color w:val="auto"/>
                <w:kern w:val="0"/>
                <w:sz w:val="21"/>
                <w:szCs w:val="21"/>
                <w:highlight w:val="none"/>
                <w:shd w:val="clear" w:color="auto" w:fill="auto"/>
                <w:lang w:eastAsia="en-US"/>
              </w:rPr>
            </w:pPr>
            <w:r>
              <w:rPr>
                <w:rFonts w:hint="eastAsia" w:ascii="宋体" w:hAnsi="宋体" w:cs="宋体"/>
                <w:color w:val="auto"/>
                <w:szCs w:val="21"/>
                <w:highlight w:val="none"/>
                <w:shd w:val="clear" w:color="auto" w:fill="auto"/>
              </w:rPr>
              <w:t>▲</w:t>
            </w:r>
            <w:r>
              <w:rPr>
                <w:rFonts w:hint="eastAsia" w:ascii="宋体" w:hAnsi="宋体" w:eastAsia="宋体" w:cs="宋体"/>
                <w:b/>
                <w:color w:val="auto"/>
                <w:kern w:val="0"/>
                <w:sz w:val="21"/>
                <w:szCs w:val="21"/>
                <w:highlight w:val="none"/>
                <w:shd w:val="clear" w:color="auto" w:fill="auto"/>
                <w:lang w:eastAsia="en-US"/>
              </w:rPr>
              <w:t>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8"/>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报价要求</w:t>
            </w:r>
          </w:p>
        </w:tc>
        <w:tc>
          <w:tcPr>
            <w:tcW w:w="8590" w:type="dxa"/>
            <w:gridSpan w:val="3"/>
            <w:tcBorders>
              <w:top w:val="single" w:color="auto" w:sz="4" w:space="0"/>
              <w:left w:val="single" w:color="auto" w:sz="4" w:space="0"/>
              <w:bottom w:val="single" w:color="auto" w:sz="4" w:space="0"/>
            </w:tcBorders>
            <w:noWrap w:val="0"/>
            <w:vAlign w:val="center"/>
          </w:tcPr>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投标报价是履行合同的最终价格，包括但不限于：</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（1）货物的价格；</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（2）货物的标准附件、备品备件、专用工具的价格；</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（3）运输、装卸、软硬件安装调试、培训、技术支持、售后服务、上门等费用；</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（4）必要的保险费用和各项税费；</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（5）施工（安装）费用；</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6）设备零配件、项目安装、调试、检测、试验及验收、现场卫生清理、线缆、管材、开孔、开槽及埋管和招标文件中有关的全部内容并完成所有工程和服务，所有成本费用的总和，采购人不再支付其它任何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8"/>
              <w:keepNext w:val="0"/>
              <w:keepLines w:val="0"/>
              <w:pageBreakBefore w:val="0"/>
              <w:kinsoku/>
              <w:overflowPunct/>
              <w:autoSpaceDE/>
              <w:autoSpaceDN/>
              <w:bidi w:val="0"/>
              <w:spacing w:line="264" w:lineRule="auto"/>
              <w:ind w:left="0" w:leftChars="0" w:firstLine="0" w:firstLineChars="0"/>
              <w:jc w:val="center"/>
              <w:rPr>
                <w:b/>
                <w:bCs/>
                <w:color w:val="auto"/>
                <w:highlight w:val="none"/>
                <w:shd w:val="clear" w:color="auto" w:fill="auto"/>
              </w:rPr>
            </w:pPr>
            <w:r>
              <w:rPr>
                <w:rFonts w:hint="eastAsia" w:ascii="宋体" w:hAnsi="宋体" w:cs="宋体"/>
                <w:b/>
                <w:bCs/>
                <w:color w:val="auto"/>
                <w:kern w:val="0"/>
                <w:sz w:val="21"/>
                <w:szCs w:val="21"/>
                <w:highlight w:val="none"/>
                <w:shd w:val="clear" w:color="auto" w:fill="auto"/>
                <w:lang w:eastAsia="zh-CN"/>
              </w:rPr>
              <w:t>核心产品</w:t>
            </w:r>
          </w:p>
        </w:tc>
        <w:tc>
          <w:tcPr>
            <w:tcW w:w="8590" w:type="dxa"/>
            <w:gridSpan w:val="3"/>
            <w:tcBorders>
              <w:top w:val="single" w:color="auto" w:sz="4" w:space="0"/>
              <w:left w:val="single" w:color="auto" w:sz="4" w:space="0"/>
              <w:bottom w:val="single" w:color="auto" w:sz="4" w:space="0"/>
            </w:tcBorders>
            <w:noWrap w:val="0"/>
            <w:vAlign w:val="center"/>
          </w:tcPr>
          <w:p>
            <w:pPr>
              <w:keepNext w:val="0"/>
              <w:keepLines w:val="0"/>
              <w:pageBreakBefore w:val="0"/>
              <w:widowControl/>
              <w:kinsoku/>
              <w:overflowPunct/>
              <w:autoSpaceDE/>
              <w:autoSpaceDN/>
              <w:bidi w:val="0"/>
              <w:spacing w:line="264" w:lineRule="auto"/>
              <w:ind w:left="0" w:leftChars="0" w:firstLine="0" w:firstLineChars="0"/>
              <w:jc w:val="both"/>
              <w:textAlignment w:val="center"/>
              <w:rPr>
                <w:rFonts w:hint="default" w:ascii="宋体" w:hAnsi="宋体" w:eastAsia="宋体" w:cs="宋体"/>
                <w:color w:val="auto"/>
                <w:kern w:val="0"/>
                <w:sz w:val="21"/>
                <w:szCs w:val="21"/>
                <w:highlight w:val="none"/>
                <w:shd w:val="clear" w:color="auto" w:fill="auto"/>
                <w:lang w:val="en-US" w:eastAsia="zh-CN"/>
              </w:rPr>
            </w:pPr>
            <w:r>
              <w:rPr>
                <w:rFonts w:hint="eastAsia"/>
                <w:color w:val="auto"/>
                <w:highlight w:val="none"/>
                <w:shd w:val="clear" w:color="auto" w:fill="auto"/>
                <w:lang w:val="en-US" w:eastAsia="zh-CN"/>
              </w:rPr>
              <w:t>第1项产品“</w:t>
            </w:r>
            <w:r>
              <w:rPr>
                <w:rFonts w:hint="eastAsia" w:ascii="宋体" w:hAnsi="宋体" w:eastAsia="宋体" w:cs="宋体"/>
                <w:color w:val="auto"/>
                <w:kern w:val="0"/>
                <w:sz w:val="21"/>
                <w:szCs w:val="21"/>
                <w:highlight w:val="none"/>
                <w:shd w:val="clear" w:color="auto" w:fill="auto"/>
              </w:rPr>
              <w:t>研讨式扇形桌</w:t>
            </w:r>
            <w:r>
              <w:rPr>
                <w:rFonts w:hint="eastAsia" w:ascii="宋体" w:hAnsi="宋体" w:cs="宋体"/>
                <w:color w:val="auto"/>
                <w:kern w:val="0"/>
                <w:sz w:val="21"/>
                <w:szCs w:val="21"/>
                <w:highlight w:val="none"/>
                <w:shd w:val="clear" w:color="auto" w:fill="auto"/>
                <w:lang w:val="en-US" w:eastAsia="zh-CN"/>
              </w:rPr>
              <w:t>1</w:t>
            </w:r>
            <w:r>
              <w:rPr>
                <w:rFonts w:hint="eastAsia"/>
                <w:color w:val="auto"/>
                <w:highlight w:val="none"/>
                <w:shd w:val="clear" w:color="auto" w:fill="auto"/>
                <w:lang w:val="en-US"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8"/>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合同签订时间</w:t>
            </w:r>
          </w:p>
        </w:tc>
        <w:tc>
          <w:tcPr>
            <w:tcW w:w="8590" w:type="dxa"/>
            <w:gridSpan w:val="3"/>
            <w:tcBorders>
              <w:top w:val="single" w:color="auto" w:sz="4" w:space="0"/>
              <w:left w:val="single" w:color="auto" w:sz="4" w:space="0"/>
              <w:bottom w:val="single" w:color="auto" w:sz="4" w:space="0"/>
            </w:tcBorders>
            <w:noWrap w:val="0"/>
            <w:vAlign w:val="center"/>
          </w:tcPr>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自中标通知书发出之日起</w:t>
            </w:r>
            <w:r>
              <w:rPr>
                <w:rFonts w:hint="eastAsia" w:ascii="宋体" w:hAnsi="宋体" w:cs="宋体"/>
                <w:color w:val="auto"/>
                <w:kern w:val="0"/>
                <w:sz w:val="21"/>
                <w:szCs w:val="21"/>
                <w:highlight w:val="none"/>
                <w:shd w:val="clear" w:color="auto" w:fill="auto"/>
                <w:lang w:val="en-US" w:eastAsia="zh-CN"/>
              </w:rPr>
              <w:t>3</w:t>
            </w:r>
            <w:r>
              <w:rPr>
                <w:rFonts w:hint="eastAsia" w:ascii="宋体" w:hAnsi="宋体" w:eastAsia="宋体" w:cs="宋体"/>
                <w:color w:val="auto"/>
                <w:kern w:val="0"/>
                <w:sz w:val="21"/>
                <w:szCs w:val="21"/>
                <w:highlight w:val="none"/>
                <w:shd w:val="clear" w:color="auto" w:fill="auto"/>
              </w:rPr>
              <w:t>个日历日内签订采购合同。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8"/>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交货时间及地点</w:t>
            </w:r>
          </w:p>
        </w:tc>
        <w:tc>
          <w:tcPr>
            <w:tcW w:w="8590" w:type="dxa"/>
            <w:gridSpan w:val="3"/>
            <w:tcBorders>
              <w:top w:val="single" w:color="auto" w:sz="4" w:space="0"/>
              <w:left w:val="single" w:color="auto" w:sz="4" w:space="0"/>
              <w:bottom w:val="single" w:color="auto" w:sz="4" w:space="0"/>
            </w:tcBorders>
            <w:noWrap w:val="0"/>
            <w:vAlign w:val="center"/>
          </w:tcPr>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lang w:eastAsia="zh-CN"/>
              </w:rPr>
              <w:t>1.交付使用时间：</w:t>
            </w:r>
            <w:r>
              <w:rPr>
                <w:rFonts w:hint="eastAsia" w:ascii="宋体" w:hAnsi="宋体" w:cs="宋体"/>
                <w:color w:val="auto"/>
                <w:szCs w:val="21"/>
                <w:highlight w:val="none"/>
                <w:shd w:val="clear" w:color="auto" w:fill="auto"/>
              </w:rPr>
              <w:t>自签订合同之日起</w:t>
            </w:r>
            <w:r>
              <w:rPr>
                <w:rFonts w:hint="eastAsia" w:ascii="宋体" w:hAnsi="宋体" w:cs="宋体"/>
                <w:color w:val="auto"/>
                <w:szCs w:val="21"/>
                <w:highlight w:val="none"/>
                <w:shd w:val="clear" w:color="auto" w:fill="auto"/>
                <w:lang w:val="en-US" w:eastAsia="zh-CN"/>
              </w:rPr>
              <w:t>20</w:t>
            </w:r>
            <w:r>
              <w:rPr>
                <w:rFonts w:hint="eastAsia" w:ascii="宋体" w:hAnsi="宋体" w:cs="宋体"/>
                <w:color w:val="auto"/>
                <w:szCs w:val="21"/>
                <w:highlight w:val="none"/>
                <w:shd w:val="clear" w:color="auto" w:fill="auto"/>
              </w:rPr>
              <w:t>个日历日内交付使用。</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lang w:eastAsia="zh-CN"/>
              </w:rPr>
              <w:t>2.交货地点：广西艺术学院内采购人指定地点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8"/>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售后及服务要求</w:t>
            </w:r>
          </w:p>
        </w:tc>
        <w:tc>
          <w:tcPr>
            <w:tcW w:w="8590" w:type="dxa"/>
            <w:gridSpan w:val="3"/>
            <w:tcBorders>
              <w:top w:val="single" w:color="auto" w:sz="4" w:space="0"/>
              <w:left w:val="single" w:color="auto" w:sz="4" w:space="0"/>
              <w:bottom w:val="single" w:color="auto" w:sz="4" w:space="0"/>
            </w:tcBorders>
            <w:noWrap w:val="0"/>
            <w:vAlign w:val="center"/>
          </w:tcPr>
          <w:p>
            <w:pPr>
              <w:pStyle w:val="8"/>
              <w:keepNext w:val="0"/>
              <w:keepLines w:val="0"/>
              <w:pageBreakBefore w:val="0"/>
              <w:kinsoku/>
              <w:overflowPunct/>
              <w:autoSpaceDE/>
              <w:autoSpaceDN/>
              <w:bidi w:val="0"/>
              <w:spacing w:line="264" w:lineRule="auto"/>
              <w:ind w:left="0" w:leftChars="0" w:firstLine="0" w:firstLineChars="0"/>
              <w:jc w:val="both"/>
              <w:rPr>
                <w:rFonts w:hint="default"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rPr>
              <w:t>1.设备必须是全新原厂正品。</w:t>
            </w:r>
            <w:r>
              <w:rPr>
                <w:rFonts w:hint="eastAsia" w:ascii="宋体" w:hAnsi="宋体" w:cs="宋体"/>
                <w:color w:val="auto"/>
                <w:kern w:val="0"/>
                <w:sz w:val="21"/>
                <w:szCs w:val="21"/>
                <w:highlight w:val="none"/>
                <w:shd w:val="clear" w:color="auto" w:fill="auto"/>
                <w:lang w:val="en-US" w:eastAsia="zh-CN"/>
              </w:rPr>
              <w:t>质保期3年。</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2.分项有质保要求的按分项质保要求，分项没有质保要求的按国家有关产品“三包”规定执行“三包”政策，质保期以通过项目最终验收的验收报告签字日开始计算。</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3.质保期内所有由于质量问题导致的软、硬件产品故障及设备损坏，中标供应商提供保修、人工及更换备件的上门服务，并提供终身维护。质保期内采购人不再支付任何费用。</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lang w:val="en-US" w:eastAsia="zh-CN"/>
              </w:rPr>
              <w:t>4</w:t>
            </w:r>
            <w:r>
              <w:rPr>
                <w:rFonts w:hint="eastAsia" w:ascii="宋体" w:hAnsi="宋体" w:eastAsia="宋体" w:cs="宋体"/>
                <w:color w:val="auto"/>
                <w:kern w:val="0"/>
                <w:sz w:val="21"/>
                <w:szCs w:val="21"/>
                <w:highlight w:val="none"/>
                <w:shd w:val="clear" w:color="auto" w:fill="auto"/>
              </w:rPr>
              <w:t>．免费送货上门，免费安装调试合格</w:t>
            </w:r>
            <w:r>
              <w:rPr>
                <w:rFonts w:hint="eastAsia" w:ascii="宋体" w:hAnsi="宋体" w:cs="宋体"/>
                <w:color w:val="auto"/>
                <w:kern w:val="0"/>
                <w:sz w:val="21"/>
                <w:szCs w:val="21"/>
                <w:highlight w:val="none"/>
                <w:shd w:val="clear" w:color="auto" w:fill="auto"/>
                <w:lang w:eastAsia="zh-CN"/>
              </w:rPr>
              <w:t>。</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lang w:val="en-US" w:eastAsia="zh-CN"/>
              </w:rPr>
              <w:t>5</w:t>
            </w:r>
            <w:r>
              <w:rPr>
                <w:rFonts w:hint="eastAsia" w:ascii="宋体" w:hAnsi="宋体" w:eastAsia="宋体" w:cs="宋体"/>
                <w:color w:val="auto"/>
                <w:kern w:val="0"/>
                <w:sz w:val="21"/>
                <w:szCs w:val="21"/>
                <w:highlight w:val="none"/>
                <w:shd w:val="clear" w:color="auto" w:fill="auto"/>
              </w:rPr>
              <w:t>．中标供应商必须负责项目设备送货、建设、安装调试与培训，免费提供设备操作培训，提供全套说明书；免费现场培训 2～3 名相关人员至掌握设备操作及日常维护</w:t>
            </w:r>
            <w:r>
              <w:rPr>
                <w:rFonts w:hint="eastAsia" w:ascii="宋体" w:hAnsi="宋体" w:cs="宋体"/>
                <w:color w:val="auto"/>
                <w:kern w:val="0"/>
                <w:sz w:val="21"/>
                <w:szCs w:val="21"/>
                <w:highlight w:val="none"/>
                <w:shd w:val="clear" w:color="auto" w:fill="auto"/>
                <w:lang w:eastAsia="zh-CN"/>
              </w:rPr>
              <w:t>。</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lang w:val="en-US" w:eastAsia="zh-CN"/>
              </w:rPr>
              <w:t>6</w:t>
            </w:r>
            <w:r>
              <w:rPr>
                <w:rFonts w:hint="eastAsia" w:ascii="宋体" w:hAnsi="宋体" w:eastAsia="宋体" w:cs="宋体"/>
                <w:color w:val="auto"/>
                <w:kern w:val="0"/>
                <w:sz w:val="21"/>
                <w:szCs w:val="21"/>
                <w:highlight w:val="none"/>
                <w:shd w:val="clear" w:color="auto" w:fill="auto"/>
              </w:rPr>
              <w:t>．设备如出现故障在接到采购人通知后在30分钟内响应，2小时内上门服务，12小时内解决故障；未能在规定时间内排除故障的，必须在接到采购人通知后48小时内提供同档次的备用机并提交故障解决处理方案</w:t>
            </w:r>
            <w:r>
              <w:rPr>
                <w:rFonts w:hint="eastAsia" w:ascii="宋体" w:hAnsi="宋体" w:cs="宋体"/>
                <w:color w:val="auto"/>
                <w:kern w:val="0"/>
                <w:sz w:val="21"/>
                <w:szCs w:val="21"/>
                <w:highlight w:val="none"/>
                <w:shd w:val="clear" w:color="auto" w:fill="auto"/>
                <w:lang w:eastAsia="zh-CN"/>
              </w:rPr>
              <w:t>。</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lang w:val="en-US" w:eastAsia="zh-CN"/>
              </w:rPr>
              <w:t>7</w:t>
            </w:r>
            <w:r>
              <w:rPr>
                <w:rFonts w:hint="eastAsia" w:ascii="宋体" w:hAnsi="宋体" w:eastAsia="宋体" w:cs="宋体"/>
                <w:color w:val="auto"/>
                <w:kern w:val="0"/>
                <w:sz w:val="21"/>
                <w:szCs w:val="21"/>
                <w:highlight w:val="none"/>
                <w:shd w:val="clear" w:color="auto" w:fill="auto"/>
              </w:rPr>
              <w:t>．提供定期回访及巡检服务</w:t>
            </w:r>
            <w:r>
              <w:rPr>
                <w:rFonts w:hint="eastAsia" w:ascii="宋体" w:hAnsi="宋体" w:cs="宋体"/>
                <w:color w:val="auto"/>
                <w:kern w:val="0"/>
                <w:sz w:val="21"/>
                <w:szCs w:val="21"/>
                <w:highlight w:val="none"/>
                <w:shd w:val="clear" w:color="auto" w:fill="auto"/>
                <w:lang w:eastAsia="zh-CN"/>
              </w:rPr>
              <w:t>。</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lang w:val="en-US" w:eastAsia="zh-CN"/>
              </w:rPr>
              <w:t>8</w:t>
            </w:r>
            <w:r>
              <w:rPr>
                <w:rFonts w:hint="eastAsia" w:ascii="宋体" w:hAnsi="宋体" w:eastAsia="宋体" w:cs="宋体"/>
                <w:color w:val="auto"/>
                <w:kern w:val="0"/>
                <w:sz w:val="21"/>
                <w:szCs w:val="21"/>
                <w:highlight w:val="none"/>
                <w:shd w:val="clear" w:color="auto" w:fill="auto"/>
              </w:rPr>
              <w:t>．项目供货及安装过程中产生的残留物或垃圾，需由中标供应商自行清理至校外国家有关部门指定堆放处，产品包装箱及有关产品说明书等处置需经采购人确认后处理。</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lang w:val="en-US" w:eastAsia="zh-CN"/>
              </w:rPr>
              <w:t>9</w:t>
            </w:r>
            <w:r>
              <w:rPr>
                <w:rFonts w:hint="eastAsia" w:ascii="宋体" w:hAnsi="宋体" w:eastAsia="宋体" w:cs="宋体"/>
                <w:color w:val="auto"/>
                <w:kern w:val="0"/>
                <w:sz w:val="21"/>
                <w:szCs w:val="21"/>
                <w:highlight w:val="none"/>
                <w:shd w:val="clear" w:color="auto" w:fill="auto"/>
              </w:rPr>
              <w:t>．对于软件系统存在的安全漏洞包括但不限于数据库安全的情形，中标供应商应提供终身免费系统升级补丁及做好安全策略。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8"/>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付款方式</w:t>
            </w:r>
          </w:p>
        </w:tc>
        <w:tc>
          <w:tcPr>
            <w:tcW w:w="8590" w:type="dxa"/>
            <w:gridSpan w:val="3"/>
            <w:tcBorders>
              <w:top w:val="single" w:color="auto" w:sz="4" w:space="0"/>
              <w:left w:val="single" w:color="auto" w:sz="4" w:space="0"/>
              <w:bottom w:val="single" w:color="auto" w:sz="4" w:space="0"/>
            </w:tcBorders>
            <w:noWrap w:val="0"/>
            <w:vAlign w:val="center"/>
          </w:tcPr>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w:t>
            </w:r>
            <w:r>
              <w:rPr>
                <w:rFonts w:hint="eastAsia" w:ascii="宋体" w:hAnsi="宋体"/>
                <w:color w:val="auto"/>
                <w:sz w:val="21"/>
                <w:szCs w:val="21"/>
                <w:highlight w:val="none"/>
                <w:shd w:val="clear" w:color="auto" w:fill="auto"/>
              </w:rPr>
              <w:t>预付款：签订合同之日起</w:t>
            </w:r>
            <w:r>
              <w:rPr>
                <w:rFonts w:hint="eastAsia" w:ascii="宋体" w:hAnsi="宋体"/>
                <w:color w:val="auto"/>
                <w:sz w:val="21"/>
                <w:szCs w:val="21"/>
                <w:highlight w:val="none"/>
                <w:shd w:val="clear" w:color="auto" w:fill="auto"/>
                <w:lang w:val="en-US" w:eastAsia="zh-CN"/>
              </w:rPr>
              <w:t>5</w:t>
            </w:r>
            <w:r>
              <w:rPr>
                <w:rFonts w:hint="eastAsia" w:ascii="宋体" w:hAnsi="宋体"/>
                <w:color w:val="auto"/>
                <w:sz w:val="21"/>
                <w:szCs w:val="21"/>
                <w:highlight w:val="none"/>
                <w:shd w:val="clear" w:color="auto" w:fill="auto"/>
              </w:rPr>
              <w:t>个工作日内，中标人开具合同总价款的 30%的等额价值保函(保函有效期应在 2025年 12月</w:t>
            </w:r>
            <w:r>
              <w:rPr>
                <w:rFonts w:hint="eastAsia" w:ascii="宋体" w:hAnsi="宋体"/>
                <w:color w:val="auto"/>
                <w:sz w:val="21"/>
                <w:szCs w:val="21"/>
                <w:highlight w:val="none"/>
                <w:shd w:val="clear" w:color="auto" w:fill="auto"/>
                <w:lang w:val="en-US" w:eastAsia="zh-CN"/>
              </w:rPr>
              <w:t>31</w:t>
            </w:r>
            <w:r>
              <w:rPr>
                <w:rFonts w:hint="eastAsia" w:ascii="宋体" w:hAnsi="宋体"/>
                <w:color w:val="auto"/>
                <w:sz w:val="21"/>
                <w:szCs w:val="21"/>
                <w:highlight w:val="none"/>
                <w:shd w:val="clear" w:color="auto" w:fill="auto"/>
              </w:rPr>
              <w:t>日)给采购人后，采购人支付合同总价款的30%作为预付款。</w:t>
            </w:r>
            <w:r>
              <w:rPr>
                <w:rFonts w:hint="eastAsia" w:ascii="宋体" w:hAnsi="宋体"/>
                <w:color w:val="auto"/>
                <w:sz w:val="21"/>
                <w:szCs w:val="21"/>
                <w:highlight w:val="none"/>
                <w:shd w:val="clear" w:color="auto" w:fill="auto"/>
                <w:lang w:val="en-US" w:eastAsia="zh-CN"/>
              </w:rPr>
              <w:t>进度款：</w:t>
            </w:r>
            <w:r>
              <w:rPr>
                <w:rFonts w:hint="eastAsia" w:ascii="宋体" w:hAnsi="宋体"/>
                <w:color w:val="auto"/>
                <w:sz w:val="21"/>
                <w:szCs w:val="21"/>
                <w:highlight w:val="none"/>
                <w:shd w:val="clear" w:color="auto" w:fill="auto"/>
              </w:rPr>
              <w:t>全部设备到货后，经采购人确认后在十个工作日内向中标供应商付款方式支付合同价款的</w:t>
            </w:r>
            <w:r>
              <w:rPr>
                <w:rFonts w:hint="eastAsia" w:ascii="宋体" w:hAnsi="宋体"/>
                <w:color w:val="auto"/>
                <w:sz w:val="21"/>
                <w:szCs w:val="21"/>
                <w:highlight w:val="none"/>
                <w:shd w:val="clear" w:color="auto" w:fill="auto"/>
                <w:lang w:val="en-US" w:eastAsia="zh-CN"/>
              </w:rPr>
              <w:t>6</w:t>
            </w:r>
            <w:r>
              <w:rPr>
                <w:rFonts w:hint="eastAsia" w:ascii="宋体" w:hAnsi="宋体"/>
                <w:color w:val="auto"/>
                <w:sz w:val="21"/>
                <w:szCs w:val="21"/>
                <w:highlight w:val="none"/>
                <w:shd w:val="clear" w:color="auto" w:fill="auto"/>
              </w:rPr>
              <w:t>0%；所有货物安装调试完成、试运行正常且验收合格，并经采购人确认后，在十个工作日内向中标供应商支付合同价款的</w:t>
            </w:r>
            <w:r>
              <w:rPr>
                <w:rFonts w:hint="eastAsia" w:ascii="宋体" w:hAnsi="宋体"/>
                <w:color w:val="auto"/>
                <w:sz w:val="21"/>
                <w:szCs w:val="21"/>
                <w:highlight w:val="none"/>
                <w:shd w:val="clear" w:color="auto" w:fill="auto"/>
                <w:lang w:val="en-US" w:eastAsia="zh-CN"/>
              </w:rPr>
              <w:t>1</w:t>
            </w:r>
            <w:r>
              <w:rPr>
                <w:rFonts w:hint="eastAsia" w:ascii="宋体" w:hAnsi="宋体"/>
                <w:color w:val="auto"/>
                <w:sz w:val="21"/>
                <w:szCs w:val="21"/>
                <w:highlight w:val="none"/>
                <w:shd w:val="clear" w:color="auto" w:fill="auto"/>
              </w:rPr>
              <w:t>0%。</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2.若采购数量与实际使用数量不一致时，</w:t>
            </w:r>
            <w:r>
              <w:rPr>
                <w:rFonts w:hint="eastAsia" w:ascii="宋体" w:hAnsi="宋体" w:cs="宋体"/>
                <w:color w:val="auto"/>
                <w:kern w:val="0"/>
                <w:sz w:val="21"/>
                <w:szCs w:val="21"/>
                <w:highlight w:val="none"/>
                <w:shd w:val="clear" w:color="auto" w:fill="auto"/>
                <w:lang w:eastAsia="zh-CN"/>
              </w:rPr>
              <w:t>中标供应商</w:t>
            </w:r>
            <w:r>
              <w:rPr>
                <w:rFonts w:hint="eastAsia" w:ascii="宋体" w:hAnsi="宋体" w:eastAsia="宋体" w:cs="宋体"/>
                <w:color w:val="auto"/>
                <w:kern w:val="0"/>
                <w:sz w:val="21"/>
                <w:szCs w:val="21"/>
                <w:highlight w:val="none"/>
                <w:shd w:val="clear" w:color="auto" w:fill="auto"/>
              </w:rPr>
              <w:t>应根据实际使用量供货，合同的最终结算金额按实际使用量乘以成交单价进行据实计算。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8"/>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履约保证金</w:t>
            </w:r>
          </w:p>
        </w:tc>
        <w:tc>
          <w:tcPr>
            <w:tcW w:w="8590" w:type="dxa"/>
            <w:gridSpan w:val="3"/>
            <w:tcBorders>
              <w:top w:val="single" w:color="auto" w:sz="4" w:space="0"/>
              <w:left w:val="single" w:color="auto" w:sz="4" w:space="0"/>
              <w:bottom w:val="single" w:color="auto" w:sz="4" w:space="0"/>
            </w:tcBorders>
            <w:noWrap w:val="0"/>
            <w:vAlign w:val="center"/>
          </w:tcPr>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1.按本项目中标总金额的5%（如中标供应商为中小企业的，按本项目中标总金额的2%）收取；中标供应商在签订合同前交至指定账户。</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2.履约保证金递交方式：支票、汇票、本票、</w:t>
            </w:r>
            <w:r>
              <w:rPr>
                <w:rFonts w:hint="eastAsia" w:ascii="宋体" w:hAnsi="宋体" w:eastAsia="宋体" w:cs="宋体"/>
                <w:color w:val="auto"/>
                <w:kern w:val="0"/>
                <w:sz w:val="21"/>
                <w:szCs w:val="21"/>
                <w:highlight w:val="none"/>
                <w:shd w:val="clear" w:color="auto" w:fill="auto"/>
                <w:lang w:val="en"/>
              </w:rPr>
              <w:t>金融机构</w:t>
            </w:r>
            <w:r>
              <w:rPr>
                <w:rFonts w:hint="eastAsia" w:ascii="宋体" w:hAnsi="宋体" w:eastAsia="宋体" w:cs="宋体"/>
                <w:color w:val="auto"/>
                <w:kern w:val="0"/>
                <w:sz w:val="21"/>
                <w:szCs w:val="21"/>
                <w:highlight w:val="none"/>
                <w:shd w:val="clear" w:color="auto" w:fill="auto"/>
              </w:rPr>
              <w:t>、担保机构出具的保函等非现金形式。</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履约保证金指定账户：</w:t>
            </w:r>
          </w:p>
          <w:p>
            <w:pPr>
              <w:pStyle w:val="8"/>
              <w:keepNext w:val="0"/>
              <w:keepLines w:val="0"/>
              <w:pageBreakBefore w:val="0"/>
              <w:kinsoku/>
              <w:overflowPunct/>
              <w:autoSpaceDE/>
              <w:autoSpaceDN/>
              <w:bidi w:val="0"/>
              <w:spacing w:line="264" w:lineRule="auto"/>
              <w:ind w:left="0" w:leftChars="0" w:firstLine="0" w:firstLineChars="0"/>
              <w:jc w:val="both"/>
              <w:rPr>
                <w:rFonts w:hint="default"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rPr>
              <w:t>开户名称：</w:t>
            </w:r>
            <w:r>
              <w:rPr>
                <w:rFonts w:hint="eastAsia" w:ascii="宋体" w:hAnsi="宋体" w:eastAsia="宋体" w:cs="宋体"/>
                <w:color w:val="auto"/>
                <w:kern w:val="0"/>
                <w:sz w:val="21"/>
                <w:szCs w:val="21"/>
                <w:highlight w:val="none"/>
                <w:shd w:val="clear" w:color="auto" w:fill="auto"/>
                <w:lang w:val="en-US" w:eastAsia="zh-CN"/>
              </w:rPr>
              <w:t>广西艺术学院</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开户银行：</w:t>
            </w:r>
            <w:r>
              <w:rPr>
                <w:rFonts w:hint="eastAsia" w:ascii="宋体" w:hAnsi="宋体" w:cs="宋体"/>
                <w:color w:val="auto"/>
                <w:szCs w:val="21"/>
                <w:highlight w:val="none"/>
                <w:shd w:val="clear" w:color="auto" w:fill="auto"/>
              </w:rPr>
              <w:t>建行南宁市桃源支行</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银行账号：</w:t>
            </w:r>
            <w:r>
              <w:rPr>
                <w:rFonts w:hint="eastAsia" w:ascii="宋体" w:hAnsi="宋体" w:cs="宋体"/>
                <w:color w:val="auto"/>
                <w:szCs w:val="21"/>
                <w:highlight w:val="none"/>
                <w:shd w:val="clear" w:color="auto" w:fill="auto"/>
              </w:rPr>
              <w:t xml:space="preserve">45001604559050500909 </w:t>
            </w:r>
          </w:p>
          <w:p>
            <w:pPr>
              <w:snapToGrid w:val="0"/>
              <w:spacing w:line="360" w:lineRule="auto"/>
              <w:rPr>
                <w:rFonts w:hint="eastAsia" w:ascii="宋体" w:hAnsi="宋体" w:cs="宋体"/>
                <w:color w:val="auto"/>
                <w:szCs w:val="21"/>
                <w:highlight w:val="none"/>
                <w:shd w:val="clear" w:color="auto" w:fill="auto"/>
              </w:rPr>
            </w:pPr>
            <w:r>
              <w:rPr>
                <w:rFonts w:hint="eastAsia" w:ascii="宋体" w:hAnsi="宋体" w:eastAsia="宋体" w:cs="宋体"/>
                <w:color w:val="auto"/>
                <w:kern w:val="0"/>
                <w:sz w:val="21"/>
                <w:szCs w:val="21"/>
                <w:highlight w:val="none"/>
                <w:shd w:val="clear" w:color="auto" w:fill="auto"/>
              </w:rPr>
              <w:t>3.履约保证金退付方式、时间及条件：</w:t>
            </w:r>
            <w:r>
              <w:rPr>
                <w:rFonts w:hint="eastAsia" w:ascii="宋体" w:hAnsi="宋体" w:cs="宋体"/>
                <w:color w:val="auto"/>
                <w:szCs w:val="21"/>
                <w:highlight w:val="none"/>
                <w:shd w:val="clear" w:color="auto" w:fill="auto"/>
              </w:rPr>
              <w:t>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由中标人向履约保证金收取单位提供《广西壮族自治区政府采购项目合同验收书》（详见桂财采〔2015〕22号），保证金收取单位在收到合格材料后5个工作日内办理退还手续（不计利息）。</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cs="宋体"/>
                <w:color w:val="auto"/>
                <w:szCs w:val="21"/>
                <w:highlight w:val="none"/>
                <w:shd w:val="clear" w:color="auto" w:fill="auto"/>
              </w:rPr>
              <w:t>不予退还的情形：签订合同后，如中标人不按双方签订的合同规定履约，则其全部履约保证金不予退还。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8"/>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验收要求</w:t>
            </w:r>
          </w:p>
        </w:tc>
        <w:tc>
          <w:tcPr>
            <w:tcW w:w="8590" w:type="dxa"/>
            <w:gridSpan w:val="3"/>
            <w:tcBorders>
              <w:top w:val="single" w:color="auto" w:sz="4" w:space="0"/>
              <w:left w:val="single" w:color="auto" w:sz="4" w:space="0"/>
              <w:bottom w:val="single" w:color="auto" w:sz="4" w:space="0"/>
            </w:tcBorders>
            <w:noWrap w:val="0"/>
            <w:vAlign w:val="center"/>
          </w:tcPr>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1．投标产品须是按</w:t>
            </w:r>
            <w:r>
              <w:rPr>
                <w:rFonts w:hint="eastAsia" w:ascii="宋体" w:hAnsi="宋体" w:eastAsia="宋体" w:cs="宋体"/>
                <w:color w:val="auto"/>
                <w:kern w:val="0"/>
                <w:sz w:val="21"/>
                <w:szCs w:val="21"/>
                <w:highlight w:val="none"/>
                <w:shd w:val="clear" w:color="auto" w:fill="auto"/>
                <w:lang w:val="en-US" w:eastAsia="zh-CN"/>
              </w:rPr>
              <w:t>满足采购人需求</w:t>
            </w:r>
            <w:r>
              <w:rPr>
                <w:rFonts w:hint="eastAsia" w:ascii="宋体" w:hAnsi="宋体" w:eastAsia="宋体" w:cs="宋体"/>
                <w:color w:val="auto"/>
                <w:kern w:val="0"/>
                <w:sz w:val="21"/>
                <w:szCs w:val="21"/>
                <w:highlight w:val="none"/>
                <w:shd w:val="clear" w:color="auto" w:fill="auto"/>
              </w:rPr>
              <w:t>配置提供的厂家出厂</w:t>
            </w:r>
            <w:r>
              <w:rPr>
                <w:rFonts w:hint="eastAsia" w:ascii="宋体" w:hAnsi="宋体" w:eastAsia="宋体" w:cs="宋体"/>
                <w:color w:val="auto"/>
                <w:kern w:val="0"/>
                <w:sz w:val="21"/>
                <w:szCs w:val="21"/>
                <w:highlight w:val="none"/>
                <w:shd w:val="clear" w:color="auto" w:fill="auto"/>
                <w:lang w:val="en-US" w:eastAsia="zh-CN"/>
              </w:rPr>
              <w:t>的</w:t>
            </w:r>
            <w:r>
              <w:rPr>
                <w:rFonts w:hint="eastAsia" w:ascii="宋体" w:hAnsi="宋体" w:eastAsia="宋体" w:cs="宋体"/>
                <w:color w:val="auto"/>
                <w:kern w:val="0"/>
                <w:sz w:val="21"/>
                <w:szCs w:val="21"/>
                <w:highlight w:val="none"/>
                <w:shd w:val="clear" w:color="auto" w:fill="auto"/>
              </w:rPr>
              <w:t>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2.合同签订之后，采购人有权要求中标人提供所投</w:t>
            </w:r>
            <w:r>
              <w:rPr>
                <w:rFonts w:hint="eastAsia" w:ascii="宋体" w:hAnsi="宋体" w:eastAsia="宋体" w:cs="宋体"/>
                <w:color w:val="auto"/>
                <w:kern w:val="0"/>
                <w:sz w:val="21"/>
                <w:szCs w:val="21"/>
                <w:highlight w:val="none"/>
                <w:shd w:val="clear" w:color="auto" w:fill="auto"/>
                <w:lang w:eastAsia="zh-CN"/>
              </w:rPr>
              <w:t>所有</w:t>
            </w:r>
            <w:r>
              <w:rPr>
                <w:rFonts w:hint="eastAsia" w:ascii="宋体" w:hAnsi="宋体" w:eastAsia="宋体" w:cs="宋体"/>
                <w:color w:val="auto"/>
                <w:kern w:val="0"/>
                <w:sz w:val="21"/>
                <w:szCs w:val="21"/>
                <w:highlight w:val="none"/>
                <w:shd w:val="clear" w:color="auto" w:fill="auto"/>
              </w:rPr>
              <w:t>产品进行功能</w:t>
            </w:r>
            <w:r>
              <w:rPr>
                <w:rFonts w:hint="eastAsia" w:ascii="宋体" w:hAnsi="宋体" w:eastAsia="宋体" w:cs="宋体"/>
                <w:color w:val="auto"/>
                <w:kern w:val="0"/>
                <w:sz w:val="21"/>
                <w:szCs w:val="21"/>
                <w:highlight w:val="none"/>
                <w:shd w:val="clear" w:color="auto" w:fill="auto"/>
                <w:lang w:eastAsia="zh-CN"/>
              </w:rPr>
              <w:t>核验</w:t>
            </w:r>
            <w:r>
              <w:rPr>
                <w:rFonts w:hint="eastAsia" w:ascii="宋体" w:hAnsi="宋体" w:eastAsia="宋体" w:cs="宋体"/>
                <w:color w:val="auto"/>
                <w:kern w:val="0"/>
                <w:sz w:val="21"/>
                <w:szCs w:val="21"/>
                <w:highlight w:val="none"/>
                <w:shd w:val="clear" w:color="auto" w:fill="auto"/>
              </w:rPr>
              <w:t>，如有配置或功能不能满足招标要求，按违约处理，必要时采购人有权要求中标人</w:t>
            </w:r>
            <w:r>
              <w:rPr>
                <w:rFonts w:hint="eastAsia" w:ascii="宋体" w:hAnsi="宋体" w:eastAsia="宋体" w:cs="宋体"/>
                <w:color w:val="auto"/>
                <w:kern w:val="0"/>
                <w:sz w:val="21"/>
                <w:szCs w:val="21"/>
                <w:highlight w:val="none"/>
                <w:shd w:val="clear" w:color="auto" w:fill="auto"/>
                <w:lang w:val="en-US" w:eastAsia="zh-CN"/>
              </w:rPr>
              <w:t>提供</w:t>
            </w:r>
            <w:r>
              <w:rPr>
                <w:rFonts w:hint="eastAsia" w:ascii="宋体" w:hAnsi="宋体" w:eastAsia="宋体" w:cs="宋体"/>
                <w:color w:val="auto"/>
                <w:kern w:val="0"/>
                <w:sz w:val="21"/>
                <w:szCs w:val="21"/>
                <w:highlight w:val="none"/>
                <w:shd w:val="clear" w:color="auto" w:fill="auto"/>
              </w:rPr>
              <w:t>有资质的第三方检测机构</w:t>
            </w:r>
            <w:r>
              <w:rPr>
                <w:rFonts w:hint="eastAsia" w:ascii="宋体" w:hAnsi="宋体" w:eastAsia="宋体" w:cs="宋体"/>
                <w:color w:val="auto"/>
                <w:kern w:val="0"/>
                <w:sz w:val="21"/>
                <w:szCs w:val="21"/>
                <w:highlight w:val="none"/>
                <w:shd w:val="clear" w:color="auto" w:fill="auto"/>
                <w:lang w:val="en-US" w:eastAsia="zh-CN"/>
              </w:rPr>
              <w:t>出具的检测报告，检测所需费用由</w:t>
            </w:r>
            <w:r>
              <w:rPr>
                <w:rFonts w:hint="eastAsia" w:ascii="宋体" w:hAnsi="宋体" w:eastAsia="宋体" w:cs="宋体"/>
                <w:color w:val="auto"/>
                <w:kern w:val="0"/>
                <w:sz w:val="21"/>
                <w:szCs w:val="21"/>
                <w:highlight w:val="none"/>
                <w:shd w:val="clear" w:color="auto" w:fill="auto"/>
              </w:rPr>
              <w:t>中标人</w:t>
            </w:r>
            <w:r>
              <w:rPr>
                <w:rFonts w:hint="eastAsia" w:ascii="宋体" w:hAnsi="宋体" w:eastAsia="宋体" w:cs="宋体"/>
                <w:color w:val="auto"/>
                <w:kern w:val="0"/>
                <w:sz w:val="21"/>
                <w:szCs w:val="21"/>
                <w:highlight w:val="none"/>
                <w:shd w:val="clear" w:color="auto" w:fill="auto"/>
                <w:lang w:val="en-US" w:eastAsia="zh-CN"/>
              </w:rPr>
              <w:t>自行承担</w:t>
            </w:r>
            <w:r>
              <w:rPr>
                <w:rFonts w:hint="eastAsia" w:ascii="宋体" w:hAnsi="宋体" w:eastAsia="宋体" w:cs="宋体"/>
                <w:color w:val="auto"/>
                <w:kern w:val="0"/>
                <w:sz w:val="21"/>
                <w:szCs w:val="21"/>
                <w:highlight w:val="none"/>
                <w:shd w:val="clear" w:color="auto" w:fill="auto"/>
              </w:rPr>
              <w:t>。</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3．投标人所提供的产品必须为原装正品的、全新的、完好无破损、且为未开箱状态、符合有关质量标准的产品；设备到货安装前，采购人现场根据招标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4．验收方式和验收材料要求</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eastAsia="zh-CN"/>
              </w:rPr>
            </w:pPr>
            <w:r>
              <w:rPr>
                <w:rFonts w:hint="eastAsia" w:ascii="宋体" w:hAnsi="宋体" w:eastAsia="宋体" w:cs="宋体"/>
                <w:color w:val="auto"/>
                <w:kern w:val="0"/>
                <w:sz w:val="21"/>
                <w:szCs w:val="21"/>
                <w:highlight w:val="none"/>
                <w:shd w:val="clear" w:color="auto" w:fill="auto"/>
              </w:rPr>
              <w:t>（1）采购人在项目完成且收到中标供应商验收申请后5个工作日内组织开展履约验收</w:t>
            </w:r>
            <w:r>
              <w:rPr>
                <w:rFonts w:hint="eastAsia" w:ascii="宋体" w:hAnsi="宋体" w:eastAsia="宋体" w:cs="宋体"/>
                <w:color w:val="auto"/>
                <w:kern w:val="0"/>
                <w:sz w:val="21"/>
                <w:szCs w:val="21"/>
                <w:highlight w:val="none"/>
                <w:shd w:val="clear" w:color="auto" w:fill="auto"/>
                <w:lang w:eastAsia="zh-CN"/>
              </w:rPr>
              <w:t>。</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val="en"/>
              </w:rPr>
            </w:pPr>
            <w:r>
              <w:rPr>
                <w:rFonts w:hint="eastAsia" w:ascii="宋体" w:hAnsi="宋体" w:eastAsia="宋体" w:cs="宋体"/>
                <w:color w:val="auto"/>
                <w:kern w:val="0"/>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lang w:val="en-US" w:eastAsia="zh-CN"/>
              </w:rPr>
              <w:t>2</w:t>
            </w:r>
            <w:r>
              <w:rPr>
                <w:rFonts w:hint="eastAsia" w:ascii="宋体" w:hAnsi="宋体" w:eastAsia="宋体" w:cs="宋体"/>
                <w:color w:val="auto"/>
                <w:kern w:val="0"/>
                <w:sz w:val="21"/>
                <w:szCs w:val="21"/>
                <w:highlight w:val="none"/>
                <w:shd w:val="clear" w:color="auto" w:fill="auto"/>
              </w:rPr>
              <w:t>）中标供应商必须提供合格的验收材料，验收材料包括①验收申请书（原件）</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t>②中标通知书复印件</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t>③合同（包括附件加盖采购代理机构章的格式合同中规定的附件）复印件；④项目实施过程文件</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t>⑤货物的证明文件</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t>⑥货物的技术资料</w:t>
            </w:r>
            <w:r>
              <w:rPr>
                <w:rFonts w:hint="eastAsia" w:ascii="宋体" w:hAnsi="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rPr>
              <w:t>⑦培训记录。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8"/>
              <w:keepNext w:val="0"/>
              <w:keepLines w:val="0"/>
              <w:pageBreakBefore w:val="0"/>
              <w:kinsoku/>
              <w:overflowPunct/>
              <w:autoSpaceDE/>
              <w:autoSpaceDN/>
              <w:bidi w:val="0"/>
              <w:spacing w:line="264" w:lineRule="auto"/>
              <w:ind w:left="0" w:leftChars="0" w:firstLine="0" w:firstLine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其他要求</w:t>
            </w:r>
          </w:p>
        </w:tc>
        <w:tc>
          <w:tcPr>
            <w:tcW w:w="8590" w:type="dxa"/>
            <w:gridSpan w:val="3"/>
            <w:tcBorders>
              <w:top w:val="single" w:color="auto" w:sz="4" w:space="0"/>
              <w:left w:val="single" w:color="auto" w:sz="4" w:space="0"/>
              <w:bottom w:val="single" w:color="auto" w:sz="4" w:space="0"/>
            </w:tcBorders>
            <w:noWrap w:val="0"/>
            <w:vAlign w:val="center"/>
          </w:tcPr>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val="en"/>
              </w:rPr>
            </w:pPr>
            <w:r>
              <w:rPr>
                <w:rFonts w:hint="eastAsia" w:ascii="宋体" w:hAnsi="宋体" w:eastAsia="宋体" w:cs="宋体"/>
                <w:color w:val="auto"/>
                <w:kern w:val="0"/>
                <w:sz w:val="21"/>
                <w:szCs w:val="21"/>
                <w:highlight w:val="none"/>
                <w:shd w:val="clear" w:color="auto" w:fill="auto"/>
              </w:rPr>
              <w:t>1.</w:t>
            </w:r>
            <w:r>
              <w:rPr>
                <w:rFonts w:hint="eastAsia" w:ascii="宋体" w:hAnsi="宋体" w:eastAsia="宋体" w:cs="宋体"/>
                <w:color w:val="auto"/>
                <w:kern w:val="0"/>
                <w:sz w:val="21"/>
                <w:szCs w:val="21"/>
                <w:highlight w:val="none"/>
                <w:shd w:val="clear" w:color="auto" w:fill="auto"/>
                <w:lang w:val="en"/>
              </w:rPr>
              <w:t>本分标货物不接受进口产品（即通过中国海关报关验放进入中国境内且产自关境外的产品）参与投标。</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2.投标人所提供的任何材料应当真实有效，如在评审过程中发现投标人在投标文件中提供任何虚假材料的，按投标无效处理，采购人有权汇报监督管理部门处理；中标后，采购人发现投标人在投标文件中提供任何虚假材料的，采购人有权汇报监督管理部门处理，且中标供应商须依照《中华人民共和国消费者权益保护法》赔偿采购人，民事赔偿并不免除违法中标供应商的法律责任。</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3.本项目货物涉及的产品及其配件包括但不限于各类芯片等必须符合国家有关政策规定，不得使用国家禁止使用范围内的产品及其配件，否则投标无效。</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4.</w:t>
            </w:r>
            <w:r>
              <w:rPr>
                <w:rFonts w:hint="eastAsia" w:ascii="宋体" w:hAnsi="宋体" w:eastAsia="宋体" w:cs="宋体"/>
                <w:b/>
                <w:bCs/>
                <w:color w:val="auto"/>
                <w:kern w:val="0"/>
                <w:sz w:val="21"/>
                <w:szCs w:val="21"/>
                <w:highlight w:val="none"/>
                <w:shd w:val="clear" w:color="auto" w:fill="auto"/>
              </w:rPr>
              <w:t>本项目采购的投标产品如有属于政府采购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5.</w:t>
            </w:r>
            <w:r>
              <w:rPr>
                <w:rFonts w:hint="eastAsia" w:ascii="宋体" w:hAnsi="宋体" w:eastAsia="宋体" w:cs="宋体"/>
                <w:color w:val="auto"/>
                <w:kern w:val="0"/>
                <w:sz w:val="21"/>
                <w:szCs w:val="21"/>
                <w:highlight w:val="none"/>
                <w:shd w:val="clear" w:color="auto" w:fill="auto"/>
              </w:rPr>
              <w:t>采购货物纳入强制性产品认证（3C认证）的，投标人所投产品必须从其规定。</w:t>
            </w: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lang w:val="en-US" w:eastAsia="zh-CN"/>
              </w:rPr>
            </w:pPr>
            <w:r>
              <w:rPr>
                <w:rFonts w:hint="eastAsia" w:ascii="宋体" w:hAnsi="宋体" w:eastAsia="宋体" w:cs="宋体"/>
                <w:color w:val="auto"/>
                <w:kern w:val="0"/>
                <w:sz w:val="21"/>
                <w:szCs w:val="21"/>
                <w:highlight w:val="none"/>
                <w:shd w:val="clear" w:color="auto" w:fill="auto"/>
                <w:lang w:val="en-US" w:eastAsia="zh-CN"/>
              </w:rPr>
              <w:t>6.</w:t>
            </w:r>
            <w:r>
              <w:rPr>
                <w:rFonts w:hint="eastAsia" w:ascii="宋体" w:hAnsi="宋体" w:eastAsia="宋体" w:cs="宋体"/>
                <w:color w:val="auto"/>
                <w:kern w:val="0"/>
                <w:sz w:val="21"/>
                <w:szCs w:val="21"/>
                <w:highlight w:val="none"/>
                <w:shd w:val="clear" w:color="auto" w:fill="auto"/>
              </w:rPr>
              <w:t>如投标人投标产品存在侵犯他人的知识产权或者专利成果行为的，由投标人自行承担相应法律责任。</w:t>
            </w:r>
          </w:p>
        </w:tc>
      </w:tr>
    </w:tbl>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pStyle w:val="99"/>
        <w:rPr>
          <w:rFonts w:hint="eastAsia" w:ascii="仿宋_GB2312" w:eastAsia="仿宋_GB2312"/>
          <w:b/>
          <w:color w:val="auto"/>
          <w:szCs w:val="21"/>
          <w:highlight w:val="none"/>
          <w:shd w:val="clear" w:color="auto" w:fill="auto"/>
        </w:rPr>
      </w:pPr>
    </w:p>
    <w:p>
      <w:pPr>
        <w:pStyle w:val="21"/>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pacing w:line="360" w:lineRule="exact"/>
        <w:jc w:val="center"/>
        <w:rPr>
          <w:rFonts w:hint="eastAsia" w:ascii="仿宋_GB2312" w:eastAsia="仿宋_GB2312"/>
          <w:b/>
          <w:color w:val="auto"/>
          <w:szCs w:val="21"/>
          <w:highlight w:val="none"/>
          <w:shd w:val="clear" w:color="auto" w:fill="auto"/>
        </w:rPr>
      </w:pPr>
      <w:r>
        <w:rPr>
          <w:rFonts w:ascii="仿宋_GB2312" w:eastAsia="仿宋_GB2312"/>
          <w:b/>
          <w:color w:val="auto"/>
          <w:szCs w:val="21"/>
          <w:highlight w:val="none"/>
          <w:shd w:val="clear" w:color="auto" w:fill="auto"/>
        </w:rPr>
        <w:br w:type="page"/>
      </w:r>
    </w:p>
    <w:p>
      <w:pPr>
        <w:spacing w:line="360" w:lineRule="exact"/>
        <w:jc w:val="center"/>
        <w:rPr>
          <w:rFonts w:hint="eastAsia" w:ascii="仿宋_GB2312" w:eastAsia="仿宋_GB2312"/>
          <w:b/>
          <w:color w:val="auto"/>
          <w:sz w:val="32"/>
          <w:szCs w:val="32"/>
          <w:highlight w:val="none"/>
          <w:shd w:val="clear" w:color="auto" w:fill="auto"/>
        </w:rPr>
      </w:pPr>
      <w:r>
        <w:rPr>
          <w:rFonts w:hint="eastAsia" w:ascii="仿宋_GB2312" w:eastAsia="仿宋_GB2312"/>
          <w:b/>
          <w:color w:val="auto"/>
          <w:sz w:val="32"/>
          <w:szCs w:val="32"/>
          <w:highlight w:val="none"/>
          <w:shd w:val="clear" w:color="auto" w:fill="auto"/>
        </w:rPr>
        <w:t>投标</w:t>
      </w:r>
      <w:bookmarkStart w:id="2" w:name="_Toc254970667"/>
      <w:bookmarkStart w:id="3" w:name="_Toc254970526"/>
      <w:r>
        <w:rPr>
          <w:rFonts w:hint="eastAsia" w:ascii="仿宋_GB2312" w:eastAsia="仿宋_GB2312"/>
          <w:b/>
          <w:color w:val="auto"/>
          <w:sz w:val="32"/>
          <w:szCs w:val="32"/>
          <w:highlight w:val="none"/>
          <w:shd w:val="clear" w:color="auto" w:fill="auto"/>
        </w:rPr>
        <w:t>人须知及前附表</w:t>
      </w:r>
      <w:bookmarkEnd w:id="2"/>
      <w:bookmarkEnd w:id="3"/>
    </w:p>
    <w:p>
      <w:pPr>
        <w:spacing w:line="360" w:lineRule="exact"/>
        <w:jc w:val="center"/>
        <w:rPr>
          <w:rFonts w:hint="eastAsia" w:ascii="仿宋_GB2312" w:eastAsia="仿宋_GB2312"/>
          <w:b/>
          <w:color w:val="auto"/>
          <w:szCs w:val="21"/>
          <w:highlight w:val="none"/>
          <w:shd w:val="clear" w:color="auto" w:fill="auto"/>
        </w:rPr>
      </w:pP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88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序号</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b w:val="0"/>
                <w:bCs/>
                <w:color w:val="auto"/>
                <w:szCs w:val="21"/>
                <w:highlight w:val="none"/>
                <w:shd w:val="clear" w:color="auto" w:fill="auto"/>
              </w:rPr>
            </w:pPr>
            <w:r>
              <w:rPr>
                <w:rFonts w:hint="eastAsia" w:ascii="宋体"/>
                <w:b w:val="0"/>
                <w:bCs/>
                <w:color w:val="auto"/>
                <w:szCs w:val="21"/>
                <w:highlight w:val="none"/>
                <w:shd w:val="clear" w:color="auto" w:fill="auto"/>
              </w:rPr>
              <w:t>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ascii="宋体"/>
                <w:color w:val="auto"/>
                <w:szCs w:val="21"/>
                <w:highlight w:val="none"/>
                <w:shd w:val="clear" w:color="auto" w:fill="auto"/>
                <w:lang w:val="en"/>
              </w:rPr>
            </w:pPr>
            <w:r>
              <w:rPr>
                <w:rFonts w:hint="eastAsia" w:ascii="宋体"/>
                <w:color w:val="auto"/>
                <w:szCs w:val="21"/>
                <w:highlight w:val="none"/>
                <w:shd w:val="clear" w:color="auto" w:fill="auto"/>
              </w:rPr>
              <w:t>项目名称：</w:t>
            </w:r>
            <w:r>
              <w:rPr>
                <w:rFonts w:hint="eastAsia" w:ascii="Times New Roman" w:eastAsia="宋体"/>
                <w:b/>
                <w:bCs/>
                <w:color w:val="auto"/>
                <w:sz w:val="21"/>
                <w:szCs w:val="24"/>
                <w:highlight w:val="none"/>
                <w:shd w:val="clear" w:color="auto" w:fill="auto"/>
                <w:lang w:val="en-US" w:eastAsia="zh-CN"/>
              </w:rPr>
              <w:t>广西艺术学院教学设备</w:t>
            </w:r>
            <w:r>
              <w:rPr>
                <w:rFonts w:hint="eastAsia"/>
                <w:b/>
                <w:bCs/>
                <w:color w:val="auto"/>
                <w:sz w:val="21"/>
                <w:szCs w:val="24"/>
                <w:highlight w:val="none"/>
                <w:shd w:val="clear" w:color="auto" w:fill="auto"/>
                <w:lang w:val="en-US" w:eastAsia="zh-CN"/>
              </w:rPr>
              <w:t>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b w:val="0"/>
                <w:bCs/>
                <w:color w:val="auto"/>
                <w:szCs w:val="21"/>
                <w:highlight w:val="none"/>
                <w:shd w:val="clear" w:color="auto" w:fill="auto"/>
              </w:rPr>
            </w:pPr>
            <w:r>
              <w:rPr>
                <w:rFonts w:hint="eastAsia" w:ascii="宋体"/>
                <w:b w:val="0"/>
                <w:bCs/>
                <w:color w:val="auto"/>
                <w:szCs w:val="21"/>
                <w:highlight w:val="none"/>
                <w:shd w:val="clear" w:color="auto" w:fill="auto"/>
              </w:rPr>
              <w:t>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投标报价及费用：1</w:t>
            </w:r>
            <w:r>
              <w:rPr>
                <w:rFonts w:hint="eastAsia" w:ascii="宋体"/>
                <w:color w:val="auto"/>
                <w:szCs w:val="21"/>
                <w:highlight w:val="none"/>
                <w:shd w:val="clear" w:color="auto" w:fill="auto"/>
                <w:lang w:val="en-US" w:eastAsia="zh-CN"/>
              </w:rPr>
              <w:t>.</w:t>
            </w:r>
            <w:r>
              <w:rPr>
                <w:rFonts w:hint="eastAsia" w:ascii="宋体"/>
                <w:color w:val="auto"/>
                <w:szCs w:val="21"/>
                <w:highlight w:val="none"/>
                <w:shd w:val="clear" w:color="auto" w:fill="auto"/>
              </w:rPr>
              <w:t>本项目投标应以人民币报价；2</w:t>
            </w:r>
            <w:r>
              <w:rPr>
                <w:rFonts w:hint="eastAsia" w:ascii="宋体"/>
                <w:color w:val="auto"/>
                <w:szCs w:val="21"/>
                <w:highlight w:val="none"/>
                <w:shd w:val="clear" w:color="auto" w:fill="auto"/>
                <w:lang w:val="en-US" w:eastAsia="zh-CN"/>
              </w:rPr>
              <w:t>.</w:t>
            </w:r>
            <w:r>
              <w:rPr>
                <w:rFonts w:hint="eastAsia" w:ascii="宋体"/>
                <w:color w:val="auto"/>
                <w:szCs w:val="21"/>
                <w:highlight w:val="none"/>
                <w:shd w:val="clear" w:color="auto" w:fill="auto"/>
              </w:rPr>
              <w:t>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b w:val="0"/>
                <w:bCs/>
                <w:color w:val="auto"/>
                <w:highlight w:val="none"/>
                <w:shd w:val="clear" w:color="auto" w:fill="auto"/>
              </w:rPr>
            </w:pPr>
            <w:r>
              <w:rPr>
                <w:rFonts w:hint="eastAsia"/>
                <w:b w:val="0"/>
                <w:bCs/>
                <w:color w:val="auto"/>
                <w:highlight w:val="none"/>
                <w:shd w:val="clear" w:color="auto" w:fill="auto"/>
              </w:rPr>
              <w:t>3</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bCs/>
                <w:color w:val="auto"/>
                <w:highlight w:val="none"/>
                <w:shd w:val="clear" w:color="auto" w:fill="auto"/>
              </w:rPr>
            </w:pPr>
            <w:r>
              <w:rPr>
                <w:rFonts w:hint="eastAsia"/>
                <w:bCs/>
                <w:color w:val="auto"/>
                <w:highlight w:val="none"/>
                <w:shd w:val="clear" w:color="auto" w:fill="auto"/>
              </w:rPr>
              <w:t>详见公开招标公告</w:t>
            </w:r>
          </w:p>
          <w:p>
            <w:pPr>
              <w:snapToGrid w:val="0"/>
              <w:spacing w:line="300" w:lineRule="exact"/>
              <w:rPr>
                <w:bCs/>
                <w:color w:val="auto"/>
                <w:highlight w:val="none"/>
                <w:shd w:val="clear" w:color="auto" w:fill="auto"/>
              </w:rPr>
            </w:pPr>
            <w:r>
              <w:rPr>
                <w:rFonts w:hint="eastAsia"/>
                <w:bCs/>
                <w:color w:val="auto"/>
                <w:highlight w:val="none"/>
                <w:shd w:val="clear" w:color="auto" w:fill="auto"/>
              </w:rPr>
              <w:t>实际交纳的保证金须按要求交纳，否则视为未交纳保证金。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b w:val="0"/>
                <w:bCs/>
                <w:color w:val="auto"/>
                <w:highlight w:val="none"/>
                <w:shd w:val="clear" w:color="auto" w:fill="auto"/>
              </w:rPr>
            </w:pPr>
            <w:r>
              <w:rPr>
                <w:rFonts w:hint="eastAsia"/>
                <w:b w:val="0"/>
                <w:bCs/>
                <w:color w:val="auto"/>
                <w:highlight w:val="none"/>
                <w:shd w:val="clear" w:color="auto" w:fill="auto"/>
              </w:rPr>
              <w:t>4</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b/>
                <w:bCs/>
                <w:color w:val="auto"/>
                <w:highlight w:val="none"/>
                <w:shd w:val="clear" w:color="auto" w:fill="auto"/>
              </w:rPr>
            </w:pPr>
            <w:r>
              <w:rPr>
                <w:rFonts w:hint="eastAsia" w:ascii="宋体"/>
                <w:b/>
                <w:color w:val="auto"/>
                <w:szCs w:val="21"/>
                <w:highlight w:val="none"/>
                <w:shd w:val="clear" w:color="auto" w:fill="auto"/>
              </w:rPr>
              <w:t>现场勘查：详见采购需求</w:t>
            </w:r>
            <w:r>
              <w:rPr>
                <w:rFonts w:hint="eastAsia" w:ascii="宋体"/>
                <w:b/>
                <w:color w:val="auto"/>
                <w:szCs w:val="21"/>
                <w:highlight w:val="none"/>
                <w:shd w:val="clear" w:color="auto" w:fill="auto"/>
                <w:lang w:val="en-US" w:eastAsia="zh-CN"/>
              </w:rPr>
              <w:t>(如有)</w:t>
            </w:r>
            <w:r>
              <w:rPr>
                <w:rFonts w:hint="eastAsia" w:ascii="宋体"/>
                <w:b/>
                <w:color w:val="auto"/>
                <w:szCs w:val="21"/>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5</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演示时间及地点：无</w:t>
            </w:r>
            <w:r>
              <w:rPr>
                <w:color w:val="auto"/>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6</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color w:val="auto"/>
                <w:szCs w:val="21"/>
                <w:highlight w:val="none"/>
                <w:shd w:val="clear" w:color="auto" w:fill="auto"/>
              </w:rPr>
            </w:pPr>
            <w:r>
              <w:rPr>
                <w:rFonts w:hint="eastAsia"/>
                <w:color w:val="auto"/>
                <w:szCs w:val="21"/>
                <w:highlight w:val="none"/>
                <w:shd w:val="clear" w:color="auto" w:fill="auto"/>
              </w:rPr>
              <w:t>（1）答疑、澄清：</w:t>
            </w:r>
            <w:r>
              <w:rPr>
                <w:rFonts w:hint="eastAsia"/>
                <w:b/>
                <w:color w:val="auto"/>
                <w:szCs w:val="21"/>
                <w:highlight w:val="none"/>
                <w:u w:val="single"/>
                <w:shd w:val="clear" w:color="auto" w:fill="auto"/>
              </w:rPr>
              <w:t>投标人如认为招标文件表述不清晰、</w:t>
            </w:r>
            <w:r>
              <w:rPr>
                <w:rFonts w:hint="eastAsia"/>
                <w:b/>
                <w:bCs/>
                <w:color w:val="auto"/>
                <w:highlight w:val="none"/>
                <w:u w:val="single"/>
                <w:shd w:val="clear" w:color="auto" w:fill="auto"/>
              </w:rPr>
              <w:t>有误或有不合理要求的</w:t>
            </w:r>
            <w:r>
              <w:rPr>
                <w:rFonts w:hint="eastAsia"/>
                <w:color w:val="auto"/>
                <w:szCs w:val="21"/>
                <w:highlight w:val="none"/>
                <w:shd w:val="clear" w:color="auto" w:fill="auto"/>
              </w:rPr>
              <w:t>，</w:t>
            </w:r>
            <w:r>
              <w:rPr>
                <w:color w:val="auto"/>
                <w:szCs w:val="21"/>
                <w:highlight w:val="none"/>
                <w:shd w:val="clear" w:color="auto" w:fill="auto"/>
              </w:rPr>
              <w:t>应当以书面形式要求采购人或者本中心作出书面答疑、澄清</w:t>
            </w:r>
            <w:r>
              <w:rPr>
                <w:rFonts w:hint="eastAsia"/>
                <w:color w:val="auto"/>
                <w:szCs w:val="21"/>
                <w:highlight w:val="none"/>
                <w:shd w:val="clear" w:color="auto" w:fill="auto"/>
              </w:rPr>
              <w:t>；</w:t>
            </w:r>
          </w:p>
          <w:p>
            <w:pPr>
              <w:snapToGrid w:val="0"/>
              <w:spacing w:line="300" w:lineRule="exact"/>
              <w:rPr>
                <w:rFonts w:hint="eastAsia" w:hAnsi="宋体"/>
                <w:color w:val="auto"/>
                <w:szCs w:val="21"/>
                <w:highlight w:val="none"/>
                <w:shd w:val="clear" w:color="auto" w:fill="auto"/>
              </w:rPr>
            </w:pPr>
            <w:r>
              <w:rPr>
                <w:rFonts w:hint="eastAsia" w:hAnsi="宋体"/>
                <w:color w:val="auto"/>
                <w:szCs w:val="21"/>
                <w:highlight w:val="none"/>
                <w:shd w:val="clear" w:color="auto" w:fill="auto"/>
              </w:rPr>
              <w:t>（2）询问、质疑：</w:t>
            </w:r>
            <w:r>
              <w:rPr>
                <w:rFonts w:hint="eastAsia" w:hAnsi="宋体"/>
                <w:b/>
                <w:color w:val="auto"/>
                <w:szCs w:val="21"/>
                <w:highlight w:val="none"/>
                <w:u w:val="single"/>
                <w:shd w:val="clear" w:color="auto" w:fill="auto"/>
              </w:rPr>
              <w:t>如投标人认为招标文件存在歧视性、排他性或者其他违法内容的</w:t>
            </w:r>
            <w:r>
              <w:rPr>
                <w:rFonts w:hint="eastAsia" w:hAnsi="宋体"/>
                <w:color w:val="auto"/>
                <w:szCs w:val="21"/>
                <w:highlight w:val="none"/>
                <w:shd w:val="clear" w:color="auto" w:fill="auto"/>
              </w:rPr>
              <w:t>，按投标人须知“一、总则（九）询问、质疑和投诉”中的要求向</w:t>
            </w:r>
            <w:r>
              <w:rPr>
                <w:rFonts w:ascii="宋体" w:hAnsi="宋体"/>
                <w:color w:val="auto"/>
                <w:szCs w:val="21"/>
                <w:highlight w:val="none"/>
                <w:shd w:val="clear" w:color="auto" w:fill="auto"/>
              </w:rPr>
              <w:t>采购人或者采购代理机构</w:t>
            </w:r>
            <w:r>
              <w:rPr>
                <w:rFonts w:hint="eastAsia" w:hAnsi="宋体"/>
                <w:color w:val="auto"/>
                <w:szCs w:val="21"/>
                <w:highlight w:val="none"/>
                <w:shd w:val="clear" w:color="auto" w:fill="auto"/>
              </w:rPr>
              <w:t>提出书面询问、质疑，并提供必要的证明材料。</w:t>
            </w:r>
          </w:p>
          <w:p>
            <w:pPr>
              <w:snapToGrid w:val="0"/>
              <w:spacing w:line="300" w:lineRule="exact"/>
              <w:ind w:firstLine="420" w:firstLineChars="200"/>
              <w:rPr>
                <w:rFonts w:hint="eastAsia" w:ascii="宋体"/>
                <w:color w:val="auto"/>
                <w:szCs w:val="21"/>
                <w:highlight w:val="none"/>
                <w:shd w:val="clear" w:color="auto" w:fill="auto"/>
              </w:rPr>
            </w:pPr>
            <w:r>
              <w:rPr>
                <w:rFonts w:hint="eastAsia" w:hAnsi="宋体"/>
                <w:color w:val="auto"/>
                <w:szCs w:val="21"/>
                <w:highlight w:val="none"/>
                <w:shd w:val="clear" w:color="auto" w:fill="auto"/>
              </w:rPr>
              <w:t>答疑、澄清内容是招标文件的组成部份，本中心将以书面形式送达所有已报名的投标人。</w:t>
            </w:r>
            <w:r>
              <w:rPr>
                <w:rFonts w:hint="eastAsia" w:hAnsi="宋体"/>
                <w:color w:val="auto"/>
                <w:highlight w:val="none"/>
                <w:shd w:val="clear" w:color="auto" w:fill="auto"/>
              </w:rPr>
              <w:t>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7</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snapToGrid w:val="0"/>
                <w:color w:val="auto"/>
                <w:sz w:val="22"/>
                <w:highlight w:val="none"/>
                <w:shd w:val="clear" w:color="auto" w:fill="auto"/>
              </w:rPr>
            </w:pPr>
            <w:r>
              <w:rPr>
                <w:rFonts w:hint="eastAsia" w:ascii="宋体" w:hAnsi="宋体"/>
                <w:color w:val="auto"/>
                <w:szCs w:val="21"/>
                <w:highlight w:val="none"/>
                <w:shd w:val="clear" w:color="auto" w:fill="auto"/>
              </w:rPr>
              <w:t>投标文件形式：</w:t>
            </w:r>
            <w:r>
              <w:rPr>
                <w:rFonts w:hint="eastAsia" w:ascii="宋体"/>
                <w:snapToGrid w:val="0"/>
                <w:color w:val="auto"/>
                <w:sz w:val="22"/>
                <w:highlight w:val="none"/>
                <w:shd w:val="clear" w:color="auto" w:fill="auto"/>
              </w:rPr>
              <w:t>投标供应商应准备电子投标文件。</w:t>
            </w:r>
          </w:p>
          <w:p>
            <w:pPr>
              <w:autoSpaceDE w:val="0"/>
              <w:autoSpaceDN w:val="0"/>
              <w:snapToGrid w:val="0"/>
              <w:spacing w:line="300" w:lineRule="exact"/>
              <w:textAlignment w:val="bottom"/>
              <w:rPr>
                <w:rFonts w:hint="eastAsia" w:ascii="宋体"/>
                <w:color w:val="auto"/>
                <w:szCs w:val="21"/>
                <w:highlight w:val="none"/>
                <w:shd w:val="clear" w:color="auto" w:fill="auto"/>
              </w:rPr>
            </w:pPr>
            <w:r>
              <w:rPr>
                <w:rFonts w:hint="eastAsia" w:ascii="宋体"/>
                <w:snapToGrid w:val="0"/>
                <w:color w:val="auto"/>
                <w:sz w:val="22"/>
                <w:highlight w:val="none"/>
                <w:shd w:val="clear" w:color="auto" w:fill="auto"/>
              </w:rPr>
              <w:t>电子投标文件是指通过“</w:t>
            </w:r>
            <w:r>
              <w:rPr>
                <w:rFonts w:hint="default" w:ascii="宋体"/>
                <w:snapToGrid w:val="0"/>
                <w:color w:val="auto"/>
                <w:sz w:val="22"/>
                <w:highlight w:val="none"/>
                <w:shd w:val="clear" w:color="auto" w:fill="auto"/>
                <w:lang w:val="en"/>
              </w:rPr>
              <w:t>广西政府采购云</w:t>
            </w:r>
            <w:r>
              <w:rPr>
                <w:color w:val="auto"/>
                <w:highlight w:val="none"/>
                <w:shd w:val="clear" w:color="auto" w:fill="auto"/>
              </w:rPr>
              <w:t>电子投标</w:t>
            </w:r>
            <w:r>
              <w:rPr>
                <w:rFonts w:hint="eastAsia" w:ascii="宋体"/>
                <w:snapToGrid w:val="0"/>
                <w:color w:val="auto"/>
                <w:sz w:val="22"/>
                <w:highlight w:val="none"/>
                <w:shd w:val="clear" w:color="auto" w:fill="auto"/>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color w:val="auto"/>
                <w:szCs w:val="21"/>
                <w:highlight w:val="none"/>
                <w:shd w:val="clear" w:color="auto" w:fill="auto"/>
              </w:rPr>
            </w:pPr>
            <w:r>
              <w:rPr>
                <w:rFonts w:hint="eastAsia" w:ascii="宋体"/>
                <w:snapToGrid w:val="0"/>
                <w:color w:val="auto"/>
                <w:sz w:val="22"/>
                <w:highlight w:val="none"/>
                <w:shd w:val="clear" w:color="auto" w:fill="auto"/>
              </w:rPr>
              <w:t>投标文件的编制：供应商应先安装“</w:t>
            </w:r>
            <w:r>
              <w:rPr>
                <w:rFonts w:hint="default" w:ascii="宋体"/>
                <w:snapToGrid w:val="0"/>
                <w:color w:val="auto"/>
                <w:sz w:val="22"/>
                <w:highlight w:val="none"/>
                <w:shd w:val="clear" w:color="auto" w:fill="auto"/>
                <w:lang w:val="en"/>
              </w:rPr>
              <w:t>广西政府采购云</w:t>
            </w:r>
            <w:r>
              <w:rPr>
                <w:color w:val="auto"/>
                <w:highlight w:val="none"/>
                <w:shd w:val="clear" w:color="auto" w:fill="auto"/>
              </w:rPr>
              <w:t>电子投标</w:t>
            </w:r>
            <w:r>
              <w:rPr>
                <w:rFonts w:hint="eastAsia" w:ascii="宋体"/>
                <w:snapToGrid w:val="0"/>
                <w:color w:val="auto"/>
                <w:sz w:val="22"/>
                <w:highlight w:val="none"/>
                <w:shd w:val="clear" w:color="auto" w:fill="auto"/>
              </w:rPr>
              <w:t>客户端”，并按照本招标文件和“</w:t>
            </w:r>
            <w:r>
              <w:rPr>
                <w:rFonts w:hint="default" w:ascii="宋体"/>
                <w:snapToGrid w:val="0"/>
                <w:color w:val="auto"/>
                <w:sz w:val="22"/>
                <w:highlight w:val="none"/>
                <w:shd w:val="clear" w:color="auto" w:fill="auto"/>
                <w:lang w:val="en"/>
              </w:rPr>
              <w:t>广西政府采购云平台</w:t>
            </w:r>
            <w:r>
              <w:rPr>
                <w:rFonts w:hint="eastAsia" w:ascii="宋体"/>
                <w:snapToGrid w:val="0"/>
                <w:color w:val="auto"/>
                <w:sz w:val="22"/>
                <w:highlight w:val="none"/>
                <w:shd w:val="clear" w:color="auto" w:fill="auto"/>
              </w:rPr>
              <w:t>”的要求，通过“</w:t>
            </w:r>
            <w:r>
              <w:rPr>
                <w:rFonts w:hint="default" w:ascii="宋体"/>
                <w:snapToGrid w:val="0"/>
                <w:color w:val="auto"/>
                <w:sz w:val="22"/>
                <w:highlight w:val="none"/>
                <w:shd w:val="clear" w:color="auto" w:fill="auto"/>
                <w:lang w:val="en"/>
              </w:rPr>
              <w:t>广西政府采购云</w:t>
            </w:r>
            <w:r>
              <w:rPr>
                <w:color w:val="auto"/>
                <w:highlight w:val="none"/>
                <w:shd w:val="clear" w:color="auto" w:fill="auto"/>
              </w:rPr>
              <w:t>电子投标</w:t>
            </w:r>
            <w:r>
              <w:rPr>
                <w:rFonts w:hint="eastAsia" w:ascii="宋体"/>
                <w:snapToGrid w:val="0"/>
                <w:color w:val="auto"/>
                <w:sz w:val="22"/>
                <w:highlight w:val="none"/>
                <w:shd w:val="clear" w:color="auto" w:fill="auto"/>
              </w:rPr>
              <w:t>客户端”编制并加密投标文件。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9</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10</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法定代表人或其授权代表</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：本招标文件所涉及的法定代表人或其授权代表</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的内容，如果投标单位没有法定代表人电子签章，涉及到法定代表人或其授权代表</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的内容，投标单位可以线下</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snapToGrid w:val="0"/>
                <w:color w:val="auto"/>
                <w:sz w:val="22"/>
                <w:highlight w:val="none"/>
                <w:shd w:val="clear" w:color="auto" w:fill="auto"/>
              </w:rPr>
            </w:pPr>
            <w:r>
              <w:rPr>
                <w:rFonts w:hint="eastAsia" w:ascii="宋体"/>
                <w:snapToGrid w:val="0"/>
                <w:color w:val="auto"/>
                <w:sz w:val="22"/>
                <w:highlight w:val="none"/>
                <w:shd w:val="clear" w:color="auto" w:fill="auto"/>
              </w:rPr>
              <w:t>投标文件的上传和提交：本项目通过“</w:t>
            </w:r>
            <w:r>
              <w:rPr>
                <w:rFonts w:hint="default" w:ascii="宋体"/>
                <w:snapToGrid w:val="0"/>
                <w:color w:val="auto"/>
                <w:sz w:val="22"/>
                <w:highlight w:val="none"/>
                <w:shd w:val="clear" w:color="auto" w:fill="auto"/>
                <w:lang w:val="en"/>
              </w:rPr>
              <w:t>广西政府采购云平台（http://www.gcy.zfcg.gxzf.gov.cn）</w:t>
            </w:r>
            <w:r>
              <w:rPr>
                <w:rFonts w:ascii="宋体"/>
                <w:snapToGrid w:val="0"/>
                <w:color w:val="auto"/>
                <w:sz w:val="22"/>
                <w:highlight w:val="none"/>
                <w:shd w:val="clear" w:color="auto" w:fill="auto"/>
              </w:rPr>
              <w:t>”实行在线投标响应（电子投标），投标供应商应当在投标截止时间前，将生成的“电子加密投标文件”上传提交至“</w:t>
            </w:r>
            <w:r>
              <w:rPr>
                <w:rFonts w:hint="eastAsia" w:ascii="宋体"/>
                <w:snapToGrid w:val="0"/>
                <w:color w:val="auto"/>
                <w:sz w:val="22"/>
                <w:highlight w:val="none"/>
                <w:shd w:val="clear" w:color="auto" w:fill="auto"/>
                <w:lang w:eastAsia="zh-CN"/>
              </w:rPr>
              <w:t>广西政府采购云平台</w:t>
            </w:r>
            <w:r>
              <w:rPr>
                <w:rFonts w:ascii="宋体"/>
                <w:snapToGrid w:val="0"/>
                <w:color w:val="auto"/>
                <w:sz w:val="22"/>
                <w:highlight w:val="none"/>
                <w:shd w:val="clear" w:color="auto" w:fill="auto"/>
              </w:rPr>
              <w:t>”。</w:t>
            </w:r>
          </w:p>
          <w:p>
            <w:pPr>
              <w:spacing w:line="300" w:lineRule="exact"/>
              <w:rPr>
                <w:rFonts w:ascii="宋体"/>
                <w:snapToGrid w:val="0"/>
                <w:color w:val="auto"/>
                <w:sz w:val="22"/>
                <w:highlight w:val="none"/>
                <w:shd w:val="clear" w:color="auto" w:fill="auto"/>
              </w:rPr>
            </w:pPr>
            <w:r>
              <w:rPr>
                <w:rFonts w:hint="eastAsia" w:ascii="宋体"/>
                <w:snapToGrid w:val="0"/>
                <w:color w:val="auto"/>
                <w:sz w:val="22"/>
                <w:highlight w:val="none"/>
                <w:shd w:val="clear" w:color="auto" w:fill="auto"/>
              </w:rPr>
              <w:t>“电子加密投标文件”的上传、提交：</w:t>
            </w:r>
          </w:p>
          <w:p>
            <w:pPr>
              <w:spacing w:line="300" w:lineRule="exact"/>
              <w:rPr>
                <w:rFonts w:ascii="宋体"/>
                <w:snapToGrid w:val="0"/>
                <w:color w:val="auto"/>
                <w:sz w:val="22"/>
                <w:highlight w:val="none"/>
                <w:shd w:val="clear" w:color="auto" w:fill="auto"/>
              </w:rPr>
            </w:pPr>
            <w:r>
              <w:rPr>
                <w:rFonts w:hint="eastAsia" w:ascii="宋体"/>
                <w:snapToGrid w:val="0"/>
                <w:color w:val="auto"/>
                <w:sz w:val="22"/>
                <w:highlight w:val="none"/>
                <w:shd w:val="clear" w:color="auto" w:fill="auto"/>
              </w:rPr>
              <w:t>a.投标供应商应在投标截止时间前将“电子加密投标文件”成功上传提交至“</w:t>
            </w:r>
            <w:r>
              <w:rPr>
                <w:rFonts w:hint="eastAsia" w:ascii="宋体"/>
                <w:snapToGrid w:val="0"/>
                <w:color w:val="auto"/>
                <w:sz w:val="22"/>
                <w:highlight w:val="none"/>
                <w:shd w:val="clear" w:color="auto" w:fill="auto"/>
                <w:lang w:eastAsia="zh-CN"/>
              </w:rPr>
              <w:t>广西政府采购云平台</w:t>
            </w:r>
            <w:r>
              <w:rPr>
                <w:rFonts w:hint="eastAsia" w:ascii="宋体"/>
                <w:snapToGrid w:val="0"/>
                <w:color w:val="auto"/>
                <w:sz w:val="22"/>
                <w:highlight w:val="none"/>
                <w:shd w:val="clear" w:color="auto" w:fill="auto"/>
              </w:rPr>
              <w:t>”，否则投标无效。</w:t>
            </w:r>
          </w:p>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13</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电子加密投标文件的解密：</w:t>
            </w:r>
          </w:p>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14</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投标截止时间及地点：</w:t>
            </w:r>
            <w:r>
              <w:rPr>
                <w:rFonts w:hint="eastAsia"/>
                <w:color w:val="auto"/>
                <w:highlight w:val="none"/>
                <w:shd w:val="clear" w:color="auto" w:fill="auto"/>
              </w:rPr>
              <w:t xml:space="preserve"> </w:t>
            </w:r>
            <w:r>
              <w:rPr>
                <w:color w:val="auto"/>
                <w:highlight w:val="none"/>
                <w:shd w:val="clear" w:color="auto" w:fill="auto"/>
                <w:lang w:val="en"/>
              </w:rPr>
              <w:t>2025年</w:t>
            </w:r>
            <w:r>
              <w:rPr>
                <w:rFonts w:hint="eastAsia"/>
                <w:color w:val="auto"/>
                <w:highlight w:val="none"/>
                <w:shd w:val="clear" w:color="auto" w:fill="auto"/>
                <w:lang w:val="en-US" w:eastAsia="zh-CN"/>
              </w:rPr>
              <w:t xml:space="preserve"> </w:t>
            </w:r>
            <w:r>
              <w:rPr>
                <w:color w:val="auto"/>
                <w:highlight w:val="none"/>
                <w:shd w:val="clear" w:color="auto" w:fill="auto"/>
                <w:lang w:val="en"/>
              </w:rPr>
              <w:t>月</w:t>
            </w:r>
            <w:r>
              <w:rPr>
                <w:rFonts w:hint="eastAsia"/>
                <w:color w:val="auto"/>
                <w:highlight w:val="none"/>
                <w:shd w:val="clear" w:color="auto" w:fill="auto"/>
                <w:lang w:val="en-US" w:eastAsia="zh-CN"/>
              </w:rPr>
              <w:t xml:space="preserve">  </w:t>
            </w:r>
            <w:r>
              <w:rPr>
                <w:color w:val="auto"/>
                <w:highlight w:val="none"/>
                <w:shd w:val="clear" w:color="auto" w:fill="auto"/>
                <w:lang w:val="en"/>
              </w:rPr>
              <w:t>日</w:t>
            </w:r>
            <w:r>
              <w:rPr>
                <w:rFonts w:hint="eastAsia"/>
                <w:b/>
                <w:color w:val="auto"/>
                <w:highlight w:val="none"/>
                <w:shd w:val="clear" w:color="auto" w:fill="auto"/>
              </w:rPr>
              <w:t>上午10时整，</w:t>
            </w:r>
            <w:r>
              <w:rPr>
                <w:rFonts w:ascii="宋体" w:hAnsi="宋体" w:cs="Arial"/>
                <w:b/>
                <w:color w:val="auto"/>
                <w:szCs w:val="21"/>
                <w:highlight w:val="none"/>
                <w:u w:val="single"/>
                <w:shd w:val="clear" w:color="auto" w:fill="auto"/>
                <w:lang w:val="en"/>
              </w:rPr>
              <w:t>南宁市星湖路22号</w:t>
            </w:r>
            <w:r>
              <w:rPr>
                <w:rFonts w:hint="eastAsia" w:ascii="宋体" w:hAnsi="宋体" w:cs="Arial"/>
                <w:b/>
                <w:color w:val="auto"/>
                <w:szCs w:val="21"/>
                <w:highlight w:val="none"/>
                <w:u w:val="single"/>
                <w:shd w:val="clear" w:color="auto" w:fill="auto"/>
              </w:rPr>
              <w:t>广西壮族自治区政府采购中心开标大厅</w:t>
            </w:r>
            <w:r>
              <w:rPr>
                <w:rFonts w:hint="eastAsia"/>
                <w:b/>
                <w:color w:val="auto"/>
                <w:highlight w:val="none"/>
                <w:u w:val="single"/>
                <w:shd w:val="clear" w:color="auto" w:fill="auto"/>
              </w:rPr>
              <w:t>。</w:t>
            </w:r>
            <w:r>
              <w:rPr>
                <w:rFonts w:hint="eastAsia"/>
                <w:b/>
                <w:color w:val="auto"/>
                <w:highlight w:val="none"/>
                <w:shd w:val="clear" w:color="auto" w:fill="auto"/>
              </w:rPr>
              <w:t>（</w:t>
            </w:r>
            <w:r>
              <w:rPr>
                <w:rFonts w:hint="eastAsia" w:ascii="宋体"/>
                <w:color w:val="auto"/>
                <w:sz w:val="22"/>
                <w:highlight w:val="none"/>
                <w:shd w:val="clear" w:color="auto" w:fill="auto"/>
              </w:rPr>
              <w:t>本项目采用在线开评标方式，投标供应商无须前往开标现场</w:t>
            </w:r>
            <w:r>
              <w:rPr>
                <w:rFonts w:hint="eastAsia"/>
                <w:b/>
                <w:color w:val="auto"/>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15</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开标时间及地点：</w:t>
            </w:r>
            <w:r>
              <w:rPr>
                <w:rFonts w:hint="eastAsia"/>
                <w:color w:val="auto"/>
                <w:highlight w:val="none"/>
                <w:shd w:val="clear" w:color="auto" w:fill="auto"/>
              </w:rPr>
              <w:t xml:space="preserve"> </w:t>
            </w:r>
            <w:r>
              <w:rPr>
                <w:color w:val="auto"/>
                <w:highlight w:val="none"/>
                <w:shd w:val="clear" w:color="auto" w:fill="auto"/>
                <w:lang w:val="en"/>
              </w:rPr>
              <w:t>2025年</w:t>
            </w:r>
            <w:r>
              <w:rPr>
                <w:rFonts w:hint="eastAsia"/>
                <w:color w:val="auto"/>
                <w:highlight w:val="none"/>
                <w:shd w:val="clear" w:color="auto" w:fill="auto"/>
                <w:lang w:val="en-US" w:eastAsia="zh-CN"/>
              </w:rPr>
              <w:t xml:space="preserve"> </w:t>
            </w:r>
            <w:r>
              <w:rPr>
                <w:color w:val="auto"/>
                <w:highlight w:val="none"/>
                <w:shd w:val="clear" w:color="auto" w:fill="auto"/>
                <w:lang w:val="en"/>
              </w:rPr>
              <w:t>月</w:t>
            </w:r>
            <w:r>
              <w:rPr>
                <w:rFonts w:hint="eastAsia"/>
                <w:color w:val="auto"/>
                <w:highlight w:val="none"/>
                <w:shd w:val="clear" w:color="auto" w:fill="auto"/>
                <w:lang w:val="en-US" w:eastAsia="zh-CN"/>
              </w:rPr>
              <w:t xml:space="preserve">  </w:t>
            </w:r>
            <w:r>
              <w:rPr>
                <w:color w:val="auto"/>
                <w:highlight w:val="none"/>
                <w:shd w:val="clear" w:color="auto" w:fill="auto"/>
                <w:lang w:val="en"/>
              </w:rPr>
              <w:t>日</w:t>
            </w:r>
            <w:r>
              <w:rPr>
                <w:rFonts w:hint="eastAsia"/>
                <w:b/>
                <w:color w:val="auto"/>
                <w:highlight w:val="none"/>
                <w:shd w:val="clear" w:color="auto" w:fill="auto"/>
              </w:rPr>
              <w:t>上午10时整，</w:t>
            </w:r>
            <w:r>
              <w:rPr>
                <w:rFonts w:ascii="宋体" w:hAnsi="宋体" w:cs="Arial"/>
                <w:b/>
                <w:color w:val="auto"/>
                <w:szCs w:val="21"/>
                <w:highlight w:val="none"/>
                <w:u w:val="single"/>
                <w:shd w:val="clear" w:color="auto" w:fill="auto"/>
                <w:lang w:val="en"/>
              </w:rPr>
              <w:t>南宁市星湖路22号</w:t>
            </w:r>
            <w:r>
              <w:rPr>
                <w:rFonts w:hint="eastAsia" w:ascii="宋体" w:hAnsi="宋体" w:cs="Arial"/>
                <w:b/>
                <w:color w:val="auto"/>
                <w:szCs w:val="21"/>
                <w:highlight w:val="none"/>
                <w:u w:val="single"/>
                <w:shd w:val="clear" w:color="auto" w:fill="auto"/>
              </w:rPr>
              <w:t>广西壮族自治区政府采购中心开标大厅</w:t>
            </w:r>
            <w:r>
              <w:rPr>
                <w:rFonts w:hint="eastAsia"/>
                <w:b/>
                <w:color w:val="auto"/>
                <w:highlight w:val="none"/>
                <w:u w:val="single"/>
                <w:shd w:val="clear" w:color="auto" w:fill="auto"/>
              </w:rPr>
              <w:t>。</w:t>
            </w:r>
            <w:r>
              <w:rPr>
                <w:rFonts w:hint="eastAsia"/>
                <w:b/>
                <w:color w:val="auto"/>
                <w:highlight w:val="none"/>
                <w:shd w:val="clear" w:color="auto" w:fill="auto"/>
              </w:rPr>
              <w:t>（</w:t>
            </w:r>
            <w:r>
              <w:rPr>
                <w:rFonts w:hint="eastAsia" w:ascii="宋体"/>
                <w:color w:val="auto"/>
                <w:sz w:val="22"/>
                <w:highlight w:val="none"/>
                <w:shd w:val="clear" w:color="auto" w:fill="auto"/>
              </w:rPr>
              <w:t>本项目采用在线开评标方式，投标供应商无须前往开标现场</w:t>
            </w:r>
            <w:r>
              <w:rPr>
                <w:rFonts w:hint="eastAsia"/>
                <w:b/>
                <w:color w:val="auto"/>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16</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exact"/>
              <w:textAlignment w:val="bottom"/>
              <w:rPr>
                <w:rFonts w:hint="eastAsia" w:ascii="宋体" w:hAnsi="宋体"/>
                <w:color w:val="auto"/>
                <w:szCs w:val="21"/>
                <w:highlight w:val="none"/>
                <w:shd w:val="clear" w:color="auto" w:fill="auto"/>
              </w:rPr>
            </w:pPr>
            <w:r>
              <w:rPr>
                <w:rFonts w:hint="default" w:ascii="宋体" w:hAnsi="宋体"/>
                <w:color w:val="auto"/>
                <w:szCs w:val="21"/>
                <w:highlight w:val="none"/>
                <w:shd w:val="clear" w:color="auto" w:fill="auto"/>
                <w:lang w:val="en"/>
              </w:rPr>
              <w:t>评标办法及评分标准</w:t>
            </w:r>
            <w:r>
              <w:rPr>
                <w:rFonts w:hint="eastAsia" w:ascii="宋体" w:hAnsi="宋体"/>
                <w:color w:val="auto"/>
                <w:szCs w:val="21"/>
                <w:highlight w:val="none"/>
                <w:shd w:val="clear" w:color="auto" w:fill="auto"/>
              </w:rPr>
              <w:t>：综合评分法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17</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00" w:lineRule="exact"/>
              <w:textAlignment w:val="bottom"/>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中标公告及中标通知书：本中心在采购人依法确认中标人后二个工作日内发布中标公告和中标通知书，中标公告发布于上述媒体</w:t>
            </w:r>
            <w:r>
              <w:rPr>
                <w:rFonts w:hint="eastAsia" w:ascii="宋体" w:hAnsi="宋体" w:cs="Courier New"/>
                <w:color w:val="auto"/>
                <w:szCs w:val="21"/>
                <w:highlight w:val="none"/>
                <w:shd w:val="clear" w:color="auto" w:fill="auto"/>
              </w:rPr>
              <w:t>（详细见公告中公布的网站）</w:t>
            </w:r>
            <w:r>
              <w:rPr>
                <w:rFonts w:hint="eastAsia" w:ascii="宋体" w:hAnsi="宋体"/>
                <w:color w:val="auto"/>
                <w:szCs w:val="21"/>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18</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20" w:lineRule="exact"/>
              <w:textAlignment w:val="bottom"/>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19</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rPr>
                <w:rFonts w:hint="eastAsia" w:ascii="宋体" w:hAnsi="宋体" w:cs="宋体"/>
                <w:color w:val="auto"/>
                <w:kern w:val="0"/>
                <w:szCs w:val="21"/>
                <w:highlight w:val="none"/>
                <w:shd w:val="clear" w:color="auto" w:fill="auto"/>
              </w:rPr>
            </w:pPr>
            <w:r>
              <w:rPr>
                <w:rFonts w:hint="eastAsia" w:ascii="宋体" w:hAnsi="宋体"/>
                <w:color w:val="auto"/>
                <w:szCs w:val="21"/>
                <w:highlight w:val="none"/>
                <w:shd w:val="clear" w:color="auto" w:fill="auto"/>
              </w:rPr>
              <w:t>付款方式：</w:t>
            </w:r>
            <w:r>
              <w:rPr>
                <w:rFonts w:hint="eastAsia" w:ascii="宋体" w:hAnsi="宋体" w:cs="宋体"/>
                <w:color w:val="auto"/>
                <w:kern w:val="0"/>
                <w:szCs w:val="21"/>
                <w:highlight w:val="none"/>
                <w:shd w:val="clear" w:color="auto" w:fill="auto"/>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20</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投标文件有效期：</w:t>
            </w:r>
            <w:r>
              <w:rPr>
                <w:rFonts w:hint="eastAsia" w:ascii="宋体" w:hAnsi="宋体" w:cs="Arial"/>
                <w:color w:val="auto"/>
                <w:szCs w:val="21"/>
                <w:highlight w:val="none"/>
                <w:u w:val="single"/>
                <w:shd w:val="clear" w:color="auto" w:fill="auto"/>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shd w:val="clear" w:color="auto" w:fill="auto"/>
                <w:lang w:val="en"/>
              </w:rPr>
            </w:pPr>
            <w:r>
              <w:rPr>
                <w:rFonts w:ascii="宋体" w:hAnsi="宋体"/>
                <w:color w:val="auto"/>
                <w:szCs w:val="21"/>
                <w:highlight w:val="none"/>
                <w:shd w:val="clear" w:color="auto" w:fill="auto"/>
                <w:lang w:val="en"/>
              </w:rPr>
              <w:t>21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对招标文件、采购过程或者中标结果的质疑由采购人接收或采购代理机构代为接收，由采购人负责答复。</w:t>
            </w:r>
          </w:p>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接收质疑函方式：以书面形式。</w:t>
            </w:r>
          </w:p>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质疑联系部门及联系方式：</w:t>
            </w:r>
          </w:p>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 xml:space="preserve">（1）广西壮族自治区政府采购中心内审科     </w:t>
            </w:r>
          </w:p>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电话：0771-8600453</w:t>
            </w:r>
          </w:p>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地址：广西南宁市星湖路22号</w:t>
            </w:r>
          </w:p>
          <w:p>
            <w:pPr>
              <w:rPr>
                <w:rFonts w:hint="default" w:ascii="宋体" w:hAnsi="宋体"/>
                <w:b/>
                <w:bCs/>
                <w:snapToGrid w:val="0"/>
                <w:color w:val="auto"/>
                <w:szCs w:val="21"/>
                <w:highlight w:val="none"/>
                <w:shd w:val="clear" w:color="auto" w:fill="auto"/>
                <w:lang w:val="en"/>
              </w:rPr>
            </w:pPr>
            <w:r>
              <w:rPr>
                <w:rFonts w:hint="eastAsia" w:ascii="宋体" w:hAnsi="宋体"/>
                <w:b/>
                <w:bCs/>
                <w:snapToGrid w:val="0"/>
                <w:color w:val="auto"/>
                <w:szCs w:val="21"/>
                <w:highlight w:val="none"/>
                <w:shd w:val="clear" w:color="auto" w:fill="auto"/>
              </w:rPr>
              <w:t>（2）</w:t>
            </w:r>
            <w:r>
              <w:rPr>
                <w:rFonts w:hint="default" w:ascii="宋体" w:hAnsi="宋体"/>
                <w:b/>
                <w:bCs/>
                <w:snapToGrid w:val="0"/>
                <w:color w:val="auto"/>
                <w:szCs w:val="21"/>
                <w:highlight w:val="none"/>
                <w:shd w:val="clear" w:color="auto" w:fill="auto"/>
                <w:lang w:val="en"/>
              </w:rPr>
              <w:t>广西艺术学院</w:t>
            </w:r>
          </w:p>
          <w:p>
            <w:pPr>
              <w:rPr>
                <w:rFonts w:hint="default" w:ascii="宋体" w:hAnsi="宋体" w:eastAsia="宋体"/>
                <w:b/>
                <w:bCs/>
                <w:snapToGrid w:val="0"/>
                <w:color w:val="auto"/>
                <w:szCs w:val="21"/>
                <w:highlight w:val="none"/>
                <w:shd w:val="clear" w:color="auto" w:fill="auto"/>
                <w:lang w:val="en-US" w:eastAsia="zh-CN"/>
              </w:rPr>
            </w:pPr>
            <w:r>
              <w:rPr>
                <w:rFonts w:hint="eastAsia" w:ascii="宋体" w:hAnsi="宋体"/>
                <w:b/>
                <w:bCs/>
                <w:snapToGrid w:val="0"/>
                <w:color w:val="auto"/>
                <w:szCs w:val="21"/>
                <w:highlight w:val="none"/>
                <w:shd w:val="clear" w:color="auto" w:fill="auto"/>
              </w:rPr>
              <w:t>电话：</w:t>
            </w:r>
            <w:r>
              <w:rPr>
                <w:rFonts w:hint="eastAsia" w:ascii="宋体" w:hAnsi="宋体"/>
                <w:b/>
                <w:bCs/>
                <w:snapToGrid w:val="0"/>
                <w:color w:val="auto"/>
                <w:szCs w:val="21"/>
                <w:highlight w:val="none"/>
                <w:shd w:val="clear" w:color="auto" w:fill="auto"/>
                <w:lang w:val="en-US" w:eastAsia="zh-CN"/>
              </w:rPr>
              <w:t>0771-5317987</w:t>
            </w:r>
          </w:p>
          <w:p>
            <w:pPr>
              <w:rPr>
                <w:rFonts w:hint="default" w:ascii="宋体" w:hAnsi="宋体" w:eastAsia="宋体"/>
                <w:b/>
                <w:bCs/>
                <w:snapToGrid w:val="0"/>
                <w:color w:val="auto"/>
                <w:szCs w:val="21"/>
                <w:highlight w:val="none"/>
                <w:shd w:val="clear" w:color="auto" w:fill="auto"/>
                <w:lang w:val="en-US" w:eastAsia="zh-CN"/>
              </w:rPr>
            </w:pPr>
            <w:r>
              <w:rPr>
                <w:rFonts w:hint="eastAsia" w:ascii="宋体" w:hAnsi="宋体"/>
                <w:b/>
                <w:bCs/>
                <w:snapToGrid w:val="0"/>
                <w:color w:val="auto"/>
                <w:szCs w:val="21"/>
                <w:highlight w:val="none"/>
                <w:shd w:val="clear" w:color="auto" w:fill="auto"/>
              </w:rPr>
              <w:t>地址：</w:t>
            </w:r>
            <w:r>
              <w:rPr>
                <w:rFonts w:hint="eastAsia" w:ascii="宋体" w:hAnsi="宋体"/>
                <w:b/>
                <w:bCs/>
                <w:snapToGrid w:val="0"/>
                <w:color w:val="auto"/>
                <w:szCs w:val="21"/>
                <w:highlight w:val="none"/>
                <w:shd w:val="clear" w:color="auto" w:fill="auto"/>
                <w:lang w:val="en-US" w:eastAsia="zh-CN"/>
              </w:rPr>
              <w:t>南宁市教育路7号</w:t>
            </w:r>
          </w:p>
          <w:p>
            <w:pPr>
              <w:rPr>
                <w:rFonts w:hint="eastAsia" w:ascii="宋体" w:hAnsi="宋体"/>
                <w:color w:val="auto"/>
                <w:szCs w:val="21"/>
                <w:highlight w:val="none"/>
                <w:shd w:val="clear" w:color="auto" w:fill="auto"/>
              </w:rPr>
            </w:pPr>
            <w:r>
              <w:rPr>
                <w:rFonts w:hint="eastAsia" w:ascii="宋体" w:hAnsi="宋体"/>
                <w:b/>
                <w:bCs/>
                <w:snapToGrid w:val="0"/>
                <w:color w:val="auto"/>
                <w:szCs w:val="21"/>
                <w:highlight w:val="none"/>
                <w:shd w:val="clear" w:color="auto" w:fill="auto"/>
              </w:rPr>
              <w:t>现场提交质疑办理业务时间：质疑期内每个工作日采购人或采购代理机构正常工作时间，其中采购代理机构为9：00到12：00，14：00到17：00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shd w:val="clear" w:color="auto" w:fill="auto"/>
                <w:lang w:val="en"/>
              </w:rPr>
            </w:pPr>
            <w:r>
              <w:rPr>
                <w:rFonts w:hint="eastAsia" w:ascii="宋体" w:hAnsi="宋体"/>
                <w:color w:val="auto"/>
                <w:szCs w:val="21"/>
                <w:highlight w:val="none"/>
                <w:shd w:val="clear" w:color="auto" w:fill="auto"/>
              </w:rPr>
              <w:t>2</w:t>
            </w:r>
            <w:r>
              <w:rPr>
                <w:rFonts w:ascii="宋体" w:hAnsi="宋体"/>
                <w:color w:val="auto"/>
                <w:szCs w:val="21"/>
                <w:highlight w:val="none"/>
                <w:shd w:val="clear" w:color="auto" w:fill="auto"/>
                <w:lang w:val="en"/>
              </w:rPr>
              <w:t>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shd w:val="clear" w:color="auto" w:fill="auto"/>
              </w:rPr>
            </w:pPr>
            <w:r>
              <w:rPr>
                <w:rFonts w:hint="eastAsia" w:hAnsi="宋体"/>
                <w:color w:val="auto"/>
                <w:highlight w:val="none"/>
                <w:shd w:val="clear" w:color="auto" w:fill="auto"/>
              </w:rPr>
              <w:t>本招标文件解释权属广西壮族自治区政府采购中心。</w:t>
            </w:r>
          </w:p>
        </w:tc>
      </w:tr>
    </w:tbl>
    <w:p>
      <w:pPr>
        <w:pStyle w:val="29"/>
        <w:snapToGrid w:val="0"/>
        <w:spacing w:before="120" w:after="120" w:line="360" w:lineRule="exact"/>
        <w:jc w:val="center"/>
        <w:rPr>
          <w:rFonts w:ascii="仿宋_GB2312" w:eastAsia="仿宋_GB2312"/>
          <w:b/>
          <w:color w:val="auto"/>
          <w:sz w:val="32"/>
          <w:szCs w:val="32"/>
          <w:highlight w:val="none"/>
          <w:shd w:val="clear" w:color="auto" w:fill="auto"/>
        </w:rPr>
      </w:pPr>
    </w:p>
    <w:p>
      <w:pPr>
        <w:pStyle w:val="29"/>
        <w:snapToGrid w:val="0"/>
        <w:spacing w:before="120" w:after="120" w:line="360" w:lineRule="exact"/>
        <w:jc w:val="center"/>
        <w:rPr>
          <w:rFonts w:hint="eastAsia"/>
          <w:b/>
          <w:color w:val="auto"/>
          <w:highlight w:val="none"/>
          <w:shd w:val="clear" w:color="auto" w:fill="auto"/>
        </w:rPr>
      </w:pPr>
      <w:r>
        <w:rPr>
          <w:rFonts w:ascii="仿宋_GB2312" w:eastAsia="仿宋_GB2312"/>
          <w:b/>
          <w:color w:val="auto"/>
          <w:sz w:val="32"/>
          <w:szCs w:val="32"/>
          <w:highlight w:val="none"/>
          <w:shd w:val="clear" w:color="auto" w:fill="auto"/>
        </w:rPr>
        <w:br w:type="page"/>
      </w:r>
      <w:r>
        <w:rPr>
          <w:rFonts w:hint="eastAsia" w:ascii="仿宋_GB2312" w:eastAsia="仿宋_GB2312"/>
          <w:b/>
          <w:color w:val="auto"/>
          <w:sz w:val="32"/>
          <w:szCs w:val="32"/>
          <w:highlight w:val="none"/>
          <w:shd w:val="clear" w:color="auto" w:fill="auto"/>
        </w:rPr>
        <w:t>投标人须知</w:t>
      </w:r>
    </w:p>
    <w:p>
      <w:pPr>
        <w:pStyle w:val="29"/>
        <w:snapToGrid w:val="0"/>
        <w:spacing w:before="120" w:after="120" w:line="360" w:lineRule="exact"/>
        <w:rPr>
          <w:rFonts w:hint="eastAsia"/>
          <w:b/>
          <w:color w:val="auto"/>
          <w:highlight w:val="none"/>
          <w:shd w:val="clear" w:color="auto" w:fill="auto"/>
        </w:rPr>
      </w:pPr>
      <w:r>
        <w:rPr>
          <w:rFonts w:hint="eastAsia"/>
          <w:b/>
          <w:color w:val="auto"/>
          <w:highlight w:val="none"/>
          <w:shd w:val="clear" w:color="auto" w:fill="auto"/>
        </w:rPr>
        <w:t>一、总  则</w:t>
      </w:r>
    </w:p>
    <w:p>
      <w:pPr>
        <w:snapToGrid w:val="0"/>
        <w:spacing w:line="360" w:lineRule="exact"/>
        <w:ind w:firstLine="411" w:firstLineChars="196"/>
        <w:jc w:val="left"/>
        <w:outlineLvl w:val="1"/>
        <w:rPr>
          <w:rFonts w:hint="eastAsia" w:ascii="宋体"/>
          <w:color w:val="auto"/>
          <w:szCs w:val="21"/>
          <w:highlight w:val="none"/>
          <w:shd w:val="clear" w:color="auto" w:fill="auto"/>
        </w:rPr>
      </w:pPr>
      <w:r>
        <w:rPr>
          <w:rFonts w:hint="eastAsia" w:ascii="宋体"/>
          <w:color w:val="auto"/>
          <w:szCs w:val="21"/>
          <w:highlight w:val="none"/>
          <w:shd w:val="clear" w:color="auto" w:fill="auto"/>
        </w:rPr>
        <w:t>（一） 适用范围</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本招标文件适用本项目的招标、投标、评标、定标、验收、合同履约、付款等行为（法律、法规另有规定的，从其规定）。</w:t>
      </w:r>
    </w:p>
    <w:p>
      <w:pPr>
        <w:snapToGrid w:val="0"/>
        <w:spacing w:before="156" w:beforeLines="50" w:line="360" w:lineRule="exact"/>
        <w:ind w:firstLine="309" w:firstLineChars="147"/>
        <w:jc w:val="left"/>
        <w:outlineLvl w:val="0"/>
        <w:rPr>
          <w:b/>
          <w:color w:val="auto"/>
          <w:highlight w:val="none"/>
          <w:shd w:val="clear" w:color="auto" w:fill="auto"/>
        </w:rPr>
      </w:pPr>
      <w:r>
        <w:rPr>
          <w:rFonts w:hint="eastAsia"/>
          <w:b/>
          <w:color w:val="auto"/>
          <w:highlight w:val="none"/>
          <w:shd w:val="clear" w:color="auto" w:fill="auto"/>
        </w:rPr>
        <w:t>（二）定义</w:t>
      </w:r>
    </w:p>
    <w:p>
      <w:pPr>
        <w:snapToGrid w:val="0"/>
        <w:spacing w:line="360" w:lineRule="exact"/>
        <w:ind w:firstLine="420" w:firstLineChars="200"/>
        <w:jc w:val="left"/>
        <w:rPr>
          <w:rFonts w:hint="eastAsia" w:hAnsi="宋体"/>
          <w:color w:val="auto"/>
          <w:highlight w:val="none"/>
          <w:shd w:val="clear" w:color="auto" w:fill="auto"/>
        </w:rPr>
      </w:pPr>
      <w:r>
        <w:rPr>
          <w:rFonts w:hint="eastAsia" w:ascii="宋体" w:hAnsi="宋体"/>
          <w:color w:val="auto"/>
          <w:szCs w:val="21"/>
          <w:highlight w:val="none"/>
          <w:shd w:val="clear" w:color="auto" w:fill="auto"/>
        </w:rPr>
        <w:t>1.</w:t>
      </w:r>
      <w:r>
        <w:rPr>
          <w:rFonts w:hint="eastAsia" w:hAnsi="宋体"/>
          <w:color w:val="auto"/>
          <w:highlight w:val="none"/>
          <w:shd w:val="clear" w:color="auto" w:fill="auto"/>
        </w:rPr>
        <w:t xml:space="preserve"> “采购人”系指组织本次招标的采购单位。</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hAnsi="宋体"/>
          <w:color w:val="auto"/>
          <w:highlight w:val="none"/>
          <w:shd w:val="clear" w:color="auto" w:fill="auto"/>
        </w:rPr>
        <w:t xml:space="preserve"> “采购代理机构”系指广西壮族自治区政府采购中心（以下简称“本中心</w:t>
      </w:r>
      <w:r>
        <w:rPr>
          <w:rFonts w:hAnsi="宋体"/>
          <w:color w:val="auto"/>
          <w:highlight w:val="none"/>
          <w:shd w:val="clear" w:color="auto" w:fill="auto"/>
        </w:rPr>
        <w:t>”</w:t>
      </w:r>
      <w:r>
        <w:rPr>
          <w:rFonts w:hint="eastAsia" w:hAnsi="宋体"/>
          <w:color w:val="auto"/>
          <w:highlight w:val="none"/>
          <w:shd w:val="clear" w:color="auto" w:fill="auto"/>
        </w:rPr>
        <w:t>）。</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w:t>
      </w:r>
      <w:r>
        <w:rPr>
          <w:rFonts w:hint="eastAsia" w:hAnsi="宋体"/>
          <w:color w:val="auto"/>
          <w:highlight w:val="none"/>
          <w:shd w:val="clear" w:color="auto" w:fill="auto"/>
        </w:rPr>
        <w:t xml:space="preserve"> “投标人”系指响应招标、参加投标竞争的法人、其他组织或者自然人。</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 “产品”系指供方按招标文件规定，须向采购人提供的一切设备、保险、税金、备品备件、工具、手册及其它有关技术资料和材料。</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5.“服务”系指招标文件规定投标人须承担的安装、调试、技术协助、校准、培训、技术指导以及其他类似的义务。</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6.“项目”系指投标人按招标文件规定向采购人提供的产品和服务。</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7.“书面形式”包括信函、传真、电报等。</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8.“▲”系指在投标人须知中的实质性要求条款。</w:t>
      </w:r>
    </w:p>
    <w:p>
      <w:pPr>
        <w:snapToGrid w:val="0"/>
        <w:spacing w:before="156" w:beforeLines="50" w:line="360" w:lineRule="exact"/>
        <w:ind w:firstLine="413" w:firstLineChars="196"/>
        <w:jc w:val="left"/>
        <w:outlineLvl w:val="1"/>
        <w:rPr>
          <w:rFonts w:hint="eastAsia" w:ascii="宋体"/>
          <w:b/>
          <w:color w:val="auto"/>
          <w:szCs w:val="21"/>
          <w:highlight w:val="none"/>
          <w:shd w:val="clear" w:color="auto" w:fill="auto"/>
        </w:rPr>
      </w:pPr>
      <w:r>
        <w:rPr>
          <w:rFonts w:hint="eastAsia" w:ascii="宋体"/>
          <w:b/>
          <w:color w:val="auto"/>
          <w:szCs w:val="21"/>
          <w:highlight w:val="none"/>
          <w:shd w:val="clear" w:color="auto" w:fill="auto"/>
        </w:rPr>
        <w:t>（三）招标方式</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公开招标方式。</w:t>
      </w:r>
    </w:p>
    <w:p>
      <w:pPr>
        <w:snapToGrid w:val="0"/>
        <w:spacing w:before="156" w:beforeLines="50" w:line="360" w:lineRule="exact"/>
        <w:ind w:firstLine="413" w:firstLineChars="196"/>
        <w:jc w:val="left"/>
        <w:outlineLvl w:val="0"/>
        <w:rPr>
          <w:rFonts w:hint="eastAsia" w:ascii="宋体"/>
          <w:b/>
          <w:color w:val="auto"/>
          <w:szCs w:val="21"/>
          <w:highlight w:val="none"/>
          <w:shd w:val="clear" w:color="auto" w:fill="auto"/>
        </w:rPr>
      </w:pPr>
      <w:r>
        <w:rPr>
          <w:rFonts w:hint="eastAsia" w:ascii="宋体"/>
          <w:b/>
          <w:color w:val="auto"/>
          <w:szCs w:val="21"/>
          <w:highlight w:val="none"/>
          <w:shd w:val="clear" w:color="auto" w:fill="auto"/>
        </w:rPr>
        <w:t>（四）投标委托</w:t>
      </w:r>
    </w:p>
    <w:p>
      <w:pPr>
        <w:pStyle w:val="22"/>
        <w:snapToGrid w:val="0"/>
        <w:spacing w:line="360" w:lineRule="exact"/>
        <w:ind w:firstLine="420" w:firstLineChars="200"/>
        <w:jc w:val="left"/>
        <w:rPr>
          <w:rFonts w:hint="eastAsia" w:ascii="宋体" w:eastAsia="宋体"/>
          <w:color w:val="auto"/>
          <w:sz w:val="21"/>
          <w:szCs w:val="21"/>
          <w:highlight w:val="none"/>
          <w:shd w:val="clear" w:color="auto" w:fill="auto"/>
        </w:rPr>
      </w:pPr>
      <w:r>
        <w:rPr>
          <w:rFonts w:hint="eastAsia" w:ascii="宋体" w:hAnsi="宋体" w:eastAsia="宋体"/>
          <w:color w:val="auto"/>
          <w:sz w:val="21"/>
          <w:szCs w:val="21"/>
          <w:highlight w:val="none"/>
          <w:shd w:val="clear" w:color="auto" w:fill="auto"/>
        </w:rPr>
        <w:t>如投标人代表不是法定代表人(负责人)，须有法定代表人(负责人)出具的授权委托书，格式见第六章《投标文件格式》。</w:t>
      </w:r>
    </w:p>
    <w:p>
      <w:pPr>
        <w:snapToGrid w:val="0"/>
        <w:spacing w:before="156" w:beforeLines="50" w:line="360" w:lineRule="exact"/>
        <w:ind w:firstLine="413" w:firstLineChars="196"/>
        <w:jc w:val="left"/>
        <w:outlineLvl w:val="0"/>
        <w:rPr>
          <w:rFonts w:hint="eastAsia" w:ascii="宋体"/>
          <w:b/>
          <w:color w:val="auto"/>
          <w:szCs w:val="21"/>
          <w:highlight w:val="none"/>
          <w:shd w:val="clear" w:color="auto" w:fill="auto"/>
        </w:rPr>
      </w:pPr>
      <w:r>
        <w:rPr>
          <w:rFonts w:hint="eastAsia" w:ascii="宋体"/>
          <w:b/>
          <w:color w:val="auto"/>
          <w:szCs w:val="21"/>
          <w:highlight w:val="none"/>
          <w:shd w:val="clear" w:color="auto" w:fill="auto"/>
        </w:rPr>
        <w:t>（五）投标费用</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投标人均应自行承担所有与投标有关的全部费用（招标文件有相关的规定除外）。</w:t>
      </w:r>
    </w:p>
    <w:p>
      <w:pPr>
        <w:snapToGrid w:val="0"/>
        <w:spacing w:line="360" w:lineRule="exact"/>
        <w:ind w:firstLine="421" w:firstLineChars="200"/>
        <w:jc w:val="left"/>
        <w:rPr>
          <w:rFonts w:hint="eastAsia" w:ascii="宋体"/>
          <w:b/>
          <w:bCs w:val="0"/>
          <w:color w:val="auto"/>
          <w:szCs w:val="21"/>
          <w:highlight w:val="none"/>
          <w:u w:val="none"/>
          <w:shd w:val="clear" w:color="auto" w:fill="auto"/>
        </w:rPr>
      </w:pPr>
      <w:r>
        <w:rPr>
          <w:rFonts w:hint="eastAsia" w:ascii="宋体"/>
          <w:b/>
          <w:bCs w:val="0"/>
          <w:color w:val="auto"/>
          <w:szCs w:val="21"/>
          <w:highlight w:val="none"/>
          <w:u w:val="none"/>
          <w:shd w:val="clear" w:color="auto" w:fill="auto"/>
        </w:rPr>
        <w:t>（六）</w:t>
      </w:r>
      <w:r>
        <w:rPr>
          <w:rFonts w:hint="eastAsia"/>
          <w:b/>
          <w:bCs w:val="0"/>
          <w:color w:val="auto"/>
          <w:highlight w:val="none"/>
          <w:u w:val="none"/>
          <w:shd w:val="clear" w:color="auto" w:fill="auto"/>
        </w:rPr>
        <w:t>本项目不接受联合体投标</w:t>
      </w:r>
    </w:p>
    <w:p>
      <w:pPr>
        <w:snapToGrid w:val="0"/>
        <w:spacing w:before="156" w:beforeLines="50" w:line="360" w:lineRule="exact"/>
        <w:ind w:firstLine="413" w:firstLineChars="196"/>
        <w:outlineLvl w:val="0"/>
        <w:rPr>
          <w:rFonts w:hint="eastAsia" w:ascii="宋体" w:cs="宋体"/>
          <w:b/>
          <w:color w:val="auto"/>
          <w:kern w:val="0"/>
          <w:szCs w:val="21"/>
          <w:highlight w:val="none"/>
          <w:shd w:val="clear" w:color="auto" w:fill="auto"/>
        </w:rPr>
      </w:pPr>
      <w:r>
        <w:rPr>
          <w:rFonts w:hint="eastAsia" w:ascii="宋体"/>
          <w:b/>
          <w:color w:val="auto"/>
          <w:szCs w:val="21"/>
          <w:highlight w:val="none"/>
          <w:shd w:val="clear" w:color="auto" w:fill="auto"/>
        </w:rPr>
        <w:t>（七）</w:t>
      </w:r>
      <w:r>
        <w:rPr>
          <w:rFonts w:hint="eastAsia" w:ascii="宋体" w:cs="宋体"/>
          <w:b/>
          <w:color w:val="auto"/>
          <w:kern w:val="0"/>
          <w:szCs w:val="21"/>
          <w:highlight w:val="none"/>
          <w:shd w:val="clear" w:color="auto" w:fill="auto"/>
        </w:rPr>
        <w:t>转包与分包</w:t>
      </w:r>
    </w:p>
    <w:p>
      <w:pPr>
        <w:snapToGrid w:val="0"/>
        <w:spacing w:line="360" w:lineRule="exact"/>
        <w:ind w:firstLine="420" w:firstLineChars="200"/>
        <w:rPr>
          <w:rFonts w:hint="eastAsia" w:ascii="宋体" w:cs="宋体"/>
          <w:color w:val="auto"/>
          <w:kern w:val="0"/>
          <w:szCs w:val="21"/>
          <w:highlight w:val="none"/>
          <w:shd w:val="clear" w:color="auto" w:fill="auto"/>
        </w:rPr>
      </w:pPr>
      <w:r>
        <w:rPr>
          <w:rFonts w:hint="eastAsia" w:ascii="宋体" w:cs="宋体"/>
          <w:color w:val="auto"/>
          <w:kern w:val="0"/>
          <w:szCs w:val="21"/>
          <w:highlight w:val="none"/>
          <w:shd w:val="clear" w:color="auto" w:fill="auto"/>
        </w:rPr>
        <w:t>1.本项目不允许转包。</w:t>
      </w:r>
    </w:p>
    <w:p>
      <w:pPr>
        <w:snapToGrid w:val="0"/>
        <w:spacing w:line="360" w:lineRule="exact"/>
        <w:ind w:firstLine="420" w:firstLineChars="200"/>
        <w:rPr>
          <w:rFonts w:hint="eastAsia" w:ascii="宋体"/>
          <w:color w:val="auto"/>
          <w:szCs w:val="21"/>
          <w:highlight w:val="none"/>
          <w:shd w:val="clear" w:color="auto" w:fill="auto"/>
        </w:rPr>
      </w:pPr>
      <w:r>
        <w:rPr>
          <w:rFonts w:hint="eastAsia" w:ascii="宋体" w:cs="宋体"/>
          <w:color w:val="auto"/>
          <w:kern w:val="0"/>
          <w:szCs w:val="21"/>
          <w:highlight w:val="none"/>
          <w:shd w:val="clear" w:color="auto" w:fill="auto"/>
        </w:rPr>
        <w:t>2.本项目不可以分包。</w:t>
      </w:r>
    </w:p>
    <w:p>
      <w:pPr>
        <w:snapToGrid w:val="0"/>
        <w:spacing w:before="156" w:beforeLines="50"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（八）特别说明：</w:t>
      </w:r>
    </w:p>
    <w:p>
      <w:pPr>
        <w:snapToGrid w:val="0"/>
        <w:spacing w:line="360" w:lineRule="exact"/>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▲1.单位负责人为同一人或者存在直接控股、管理关系的不同供应商，不得参加同一合同项下的政府采购活动。</w:t>
      </w:r>
    </w:p>
    <w:p>
      <w:pPr>
        <w:snapToGrid w:val="0"/>
        <w:spacing w:line="360" w:lineRule="exact"/>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r>
        <w:rPr>
          <w:rFonts w:hint="eastAsia" w:ascii="宋体" w:hAnsi="宋体"/>
          <w:color w:val="auto"/>
          <w:szCs w:val="21"/>
          <w:highlight w:val="none"/>
          <w:shd w:val="clear" w:color="auto" w:fill="auto"/>
        </w:rPr>
        <w:t>使用综合评分法的采购项目，</w:t>
      </w:r>
      <w:r>
        <w:rPr>
          <w:rFonts w:hint="eastAsia"/>
          <w:color w:val="auto"/>
          <w:highlight w:val="none"/>
          <w:shd w:val="clear" w:color="auto" w:fill="auto"/>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w:t>
      </w:r>
      <w:r>
        <w:rPr>
          <w:rFonts w:hint="default"/>
          <w:color w:val="auto"/>
          <w:highlight w:val="none"/>
          <w:shd w:val="clear" w:color="auto" w:fill="auto"/>
          <w:lang w:val="en"/>
        </w:rPr>
        <w:t>评标办法及评分标准</w:t>
      </w:r>
      <w:r>
        <w:rPr>
          <w:rFonts w:hint="eastAsia"/>
          <w:color w:val="auto"/>
          <w:highlight w:val="none"/>
          <w:shd w:val="clear" w:color="auto" w:fill="auto"/>
        </w:rPr>
        <w:t>》中的推荐原则确定一个投标人获得中标人推荐资格，其他同品牌投标人不作为中标候选人。</w:t>
      </w:r>
    </w:p>
    <w:p>
      <w:pP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xml:space="preserve">    非单一产品采购项目中，多家投标人提供的招标文件中载明的核心产品品牌相同的，视为提供相同品牌产品。</w:t>
      </w:r>
    </w:p>
    <w:p>
      <w:pPr>
        <w:snapToGrid w:val="0"/>
        <w:spacing w:line="360" w:lineRule="exact"/>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▲3.投标人应仔细阅读招标文件的所有内容，按照招标文件的要求提交投标文件，并对所提供的全部资料的真实性承担法律责任。</w:t>
      </w:r>
    </w:p>
    <w:p>
      <w:pPr>
        <w:snapToGrid w:val="0"/>
        <w:spacing w:line="360" w:lineRule="exact"/>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▲4.投标人在投标活动中提供任何虚假材料、互相串通投标，其投标无效，并报监管部门查处。</w:t>
      </w:r>
    </w:p>
    <w:p>
      <w:pPr>
        <w:pStyle w:val="29"/>
        <w:snapToGrid w:val="0"/>
        <w:spacing w:line="360" w:lineRule="exact"/>
        <w:ind w:left="2" w:leftChars="1" w:firstLine="420" w:firstLineChars="200"/>
        <w:rPr>
          <w:rFonts w:hint="eastAsia" w:hAnsi="宋体" w:cs="宋体"/>
          <w:color w:val="auto"/>
          <w:kern w:val="0"/>
          <w:highlight w:val="none"/>
          <w:shd w:val="clear" w:color="auto" w:fill="auto"/>
        </w:rPr>
      </w:pPr>
      <w:r>
        <w:rPr>
          <w:rFonts w:hint="eastAsia" w:hAnsi="宋体" w:cs="宋体"/>
          <w:color w:val="auto"/>
          <w:kern w:val="0"/>
          <w:highlight w:val="none"/>
          <w:shd w:val="clear" w:color="auto" w:fill="auto"/>
        </w:rPr>
        <w:t>▲5.投标截止时间前三天，报名登记的供应商不足三家的，本中心将延迟截标和开标时间不少于十日，并书面通知已报名登记的供应商，并在财政部门指定的政府采购信息发布媒体及本中心网站上发布变更公告。</w:t>
      </w:r>
    </w:p>
    <w:p>
      <w:pPr>
        <w:pStyle w:val="29"/>
        <w:snapToGrid w:val="0"/>
        <w:spacing w:line="360" w:lineRule="exact"/>
        <w:ind w:firstLine="309" w:firstLineChars="147"/>
        <w:outlineLvl w:val="0"/>
        <w:rPr>
          <w:rFonts w:hint="eastAsia"/>
          <w:b/>
          <w:bCs/>
          <w:color w:val="auto"/>
          <w:highlight w:val="none"/>
          <w:shd w:val="clear" w:color="auto" w:fill="auto"/>
        </w:rPr>
      </w:pPr>
      <w:r>
        <w:rPr>
          <w:rFonts w:hint="eastAsia"/>
          <w:b/>
          <w:bCs/>
          <w:color w:val="auto"/>
          <w:highlight w:val="none"/>
          <w:shd w:val="clear" w:color="auto" w:fill="auto"/>
        </w:rPr>
        <w:t>（九）</w:t>
      </w:r>
      <w:r>
        <w:rPr>
          <w:rFonts w:hint="eastAsia"/>
          <w:b/>
          <w:color w:val="auto"/>
          <w:highlight w:val="none"/>
          <w:shd w:val="clear" w:color="auto" w:fill="auto"/>
        </w:rPr>
        <w:t>询问、质疑和投诉</w:t>
      </w:r>
    </w:p>
    <w:p>
      <w:pPr>
        <w:pStyle w:val="29"/>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1．投标人对政府采购活动事项有疑问的，可以向采购人、采购代理机构提出询问。</w:t>
      </w:r>
    </w:p>
    <w:p>
      <w:pPr>
        <w:pStyle w:val="29"/>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2.投标人认为招标文件、招标过程或中标结果使自己的合法权益受到损害的，应当在知道或者应知其权益受到损害之日起七个工作日内，以书面形式向采购人提出质疑。具体计算时间如下：</w:t>
      </w:r>
    </w:p>
    <w:p>
      <w:pPr>
        <w:pStyle w:val="29"/>
        <w:snapToGrid w:val="0"/>
        <w:spacing w:line="360" w:lineRule="exact"/>
        <w:ind w:firstLine="309" w:firstLineChars="147"/>
        <w:rPr>
          <w:rFonts w:hint="eastAsia"/>
          <w:bCs/>
          <w:color w:val="auto"/>
          <w:highlight w:val="none"/>
          <w:shd w:val="clear" w:color="auto" w:fill="auto"/>
        </w:rPr>
      </w:pPr>
      <w:r>
        <w:rPr>
          <w:rFonts w:hint="eastAsia"/>
          <w:b/>
          <w:color w:val="auto"/>
          <w:highlight w:val="none"/>
          <w:shd w:val="clear" w:color="auto" w:fill="auto"/>
        </w:rPr>
        <w:t>（一）对可以质疑的招标采购文件提出质疑的，为收到采购文件之日；</w:t>
      </w:r>
    </w:p>
    <w:p>
      <w:pPr>
        <w:widowControl/>
        <w:spacing w:line="360" w:lineRule="exact"/>
        <w:jc w:val="left"/>
        <w:rPr>
          <w:rFonts w:hint="eastAsia" w:ascii="宋体" w:cs="Courier New"/>
          <w:b/>
          <w:color w:val="auto"/>
          <w:szCs w:val="21"/>
          <w:highlight w:val="none"/>
          <w:shd w:val="clear" w:color="auto" w:fill="auto"/>
        </w:rPr>
      </w:pPr>
      <w:r>
        <w:rPr>
          <w:rFonts w:hint="eastAsia" w:ascii="宋体" w:cs="Courier New"/>
          <w:color w:val="auto"/>
          <w:szCs w:val="21"/>
          <w:highlight w:val="none"/>
          <w:shd w:val="clear" w:color="auto" w:fill="auto"/>
        </w:rPr>
        <w:t xml:space="preserve">　 </w:t>
      </w:r>
      <w:r>
        <w:rPr>
          <w:rFonts w:hint="eastAsia" w:ascii="宋体" w:cs="Courier New"/>
          <w:b/>
          <w:color w:val="auto"/>
          <w:szCs w:val="21"/>
          <w:highlight w:val="none"/>
          <w:shd w:val="clear" w:color="auto" w:fill="auto"/>
        </w:rPr>
        <w:t>（二）对招标采购过程提出质疑的，为各采购程序环节结束之日；</w:t>
      </w:r>
    </w:p>
    <w:p>
      <w:pPr>
        <w:widowControl/>
        <w:spacing w:line="360" w:lineRule="exact"/>
        <w:ind w:firstLine="309" w:firstLineChars="147"/>
        <w:jc w:val="left"/>
        <w:rPr>
          <w:rFonts w:hint="eastAsia" w:ascii="宋体" w:cs="Courier New"/>
          <w:b/>
          <w:color w:val="auto"/>
          <w:szCs w:val="21"/>
          <w:highlight w:val="none"/>
          <w:shd w:val="clear" w:color="auto" w:fill="auto"/>
        </w:rPr>
      </w:pPr>
      <w:r>
        <w:rPr>
          <w:rFonts w:hint="eastAsia" w:cs="Courier New"/>
          <w:b/>
          <w:color w:val="auto"/>
          <w:szCs w:val="21"/>
          <w:highlight w:val="none"/>
          <w:shd w:val="clear" w:color="auto" w:fill="auto"/>
        </w:rPr>
        <w:t>（三）对中标结果提出质疑的，为中标结果公告期限届满之日。投标人对采购单位的质疑答复不满意或者</w:t>
      </w:r>
      <w:r>
        <w:rPr>
          <w:rFonts w:hint="eastAsia" w:ascii="宋体" w:hAnsi="宋体" w:cs="Courier New"/>
          <w:b/>
          <w:color w:val="auto"/>
          <w:szCs w:val="21"/>
          <w:highlight w:val="none"/>
          <w:shd w:val="clear" w:color="auto" w:fill="auto"/>
        </w:rPr>
        <w:t>采购人</w:t>
      </w:r>
      <w:r>
        <w:rPr>
          <w:rFonts w:hint="eastAsia" w:cs="Courier New"/>
          <w:b/>
          <w:color w:val="auto"/>
          <w:szCs w:val="21"/>
          <w:highlight w:val="none"/>
          <w:shd w:val="clear" w:color="auto" w:fill="auto"/>
        </w:rPr>
        <w:t>未在规定时间内作出答复的，可以在答复期满后十五个工作日内向同级采购监管部门投诉。</w:t>
      </w:r>
    </w:p>
    <w:p>
      <w:pPr>
        <w:pStyle w:val="29"/>
        <w:snapToGrid w:val="0"/>
        <w:spacing w:line="360" w:lineRule="exact"/>
        <w:ind w:firstLine="420" w:firstLineChars="200"/>
        <w:rPr>
          <w:rFonts w:hint="eastAsia"/>
          <w:bCs/>
          <w:color w:val="auto"/>
          <w:highlight w:val="none"/>
          <w:shd w:val="clear" w:color="auto" w:fill="auto"/>
        </w:rPr>
      </w:pPr>
      <w:r>
        <w:rPr>
          <w:rFonts w:hint="eastAsia"/>
          <w:bCs/>
          <w:color w:val="auto"/>
          <w:highlight w:val="none"/>
          <w:shd w:val="clear" w:color="auto" w:fill="auto"/>
        </w:rPr>
        <w:t>3.质疑、投诉应当采用书面形式，质疑书、投诉书均应明确阐述招标采购文件、招标采购过程、中标结果中使自己合法权益受到损害的实质性内容，提供相关事实、明确的请求、必要的证明材料，便于有关单位调查、答复和处理。</w:t>
      </w:r>
    </w:p>
    <w:p>
      <w:pPr>
        <w:pStyle w:val="29"/>
        <w:spacing w:line="360" w:lineRule="exact"/>
        <w:ind w:firstLine="421" w:firstLineChars="200"/>
        <w:rPr>
          <w:b/>
          <w:color w:val="auto"/>
          <w:highlight w:val="none"/>
          <w:shd w:val="clear" w:color="auto" w:fill="auto"/>
          <w:lang w:val="en"/>
        </w:rPr>
      </w:pPr>
      <w:r>
        <w:rPr>
          <w:b/>
          <w:color w:val="auto"/>
          <w:highlight w:val="none"/>
          <w:shd w:val="clear" w:color="auto" w:fill="auto"/>
          <w:lang w:val="en"/>
        </w:rPr>
        <w:t>4.采购人、采购代理机构接收质疑函的方式、联系部门、联系电话和地址等信息详见“投标人须知前附表”。</w:t>
      </w:r>
    </w:p>
    <w:p>
      <w:pPr>
        <w:pStyle w:val="29"/>
        <w:snapToGrid w:val="0"/>
        <w:spacing w:line="360" w:lineRule="auto"/>
        <w:ind w:firstLine="421" w:firstLineChars="200"/>
        <w:rPr>
          <w:rFonts w:hint="eastAsia" w:hAnsi="宋体"/>
          <w:color w:val="auto"/>
          <w:sz w:val="21"/>
          <w:highlight w:val="none"/>
          <w:shd w:val="clear" w:color="auto" w:fill="auto"/>
          <w:lang w:val="en-US" w:eastAsia="zh-CN"/>
        </w:rPr>
      </w:pPr>
      <w:r>
        <w:rPr>
          <w:rFonts w:hint="eastAsia"/>
          <w:b/>
          <w:color w:val="auto"/>
          <w:highlight w:val="none"/>
          <w:shd w:val="clear" w:color="auto" w:fill="auto"/>
          <w:lang w:val="en-US" w:eastAsia="zh-CN"/>
        </w:rPr>
        <w:t>5.</w:t>
      </w:r>
      <w:r>
        <w:rPr>
          <w:rFonts w:hint="eastAsia" w:hAnsi="宋体"/>
          <w:color w:val="auto"/>
          <w:sz w:val="21"/>
          <w:highlight w:val="none"/>
          <w:shd w:val="clear" w:color="auto" w:fill="auto"/>
          <w:lang w:val="en-US" w:eastAsia="zh-CN"/>
        </w:rPr>
        <w:t>质疑供应商提起质疑应当符合下列条件：</w:t>
      </w:r>
    </w:p>
    <w:p>
      <w:pPr>
        <w:pStyle w:val="29"/>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（1）质疑供应商是参与所质疑项目采购活动的供应商（潜在供应商已依法获取可之一的采购文件的，可以对该采购文件质疑）；</w:t>
      </w:r>
    </w:p>
    <w:p>
      <w:pPr>
        <w:pStyle w:val="29"/>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（2）质疑函内容符合本章第3项的规定；</w:t>
      </w:r>
    </w:p>
    <w:p>
      <w:pPr>
        <w:pStyle w:val="29"/>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（3）在质疑有效期限内提起质疑；</w:t>
      </w:r>
    </w:p>
    <w:p>
      <w:pPr>
        <w:pStyle w:val="29"/>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（4）属于所质疑的采购人或采购人委托的采购代理机构组织的采购活动；</w:t>
      </w:r>
    </w:p>
    <w:p>
      <w:pPr>
        <w:pStyle w:val="29"/>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 xml:space="preserve">（5）同一质疑事项未经采购人或采购人委托的采购代理机构质疑处理； </w:t>
      </w:r>
    </w:p>
    <w:p>
      <w:pPr>
        <w:pStyle w:val="29"/>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（6）供应商对同一采购程序环节的质疑应当在质疑有效期内一次性提出；</w:t>
      </w:r>
    </w:p>
    <w:p>
      <w:pPr>
        <w:pStyle w:val="29"/>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（7）供应商提交质疑应当提交必要的证明材料，证明材料应以合法手段取得；</w:t>
      </w:r>
    </w:p>
    <w:p>
      <w:pPr>
        <w:pStyle w:val="29"/>
        <w:spacing w:line="360" w:lineRule="exact"/>
        <w:ind w:firstLine="420" w:firstLineChars="200"/>
        <w:rPr>
          <w:rFonts w:hint="default" w:eastAsia="宋体"/>
          <w:b/>
          <w:color w:val="auto"/>
          <w:highlight w:val="none"/>
          <w:shd w:val="clear" w:color="auto" w:fill="auto"/>
          <w:lang w:val="en-US" w:eastAsia="zh-CN"/>
        </w:rPr>
      </w:pPr>
      <w:r>
        <w:rPr>
          <w:rFonts w:hint="eastAsia" w:hAnsi="宋体"/>
          <w:color w:val="auto"/>
          <w:sz w:val="21"/>
          <w:highlight w:val="none"/>
          <w:shd w:val="clear" w:color="auto" w:fill="auto"/>
          <w:lang w:val="en-US" w:eastAsia="zh-CN"/>
        </w:rPr>
        <w:t>（8）财政部门规定的其他条件。</w:t>
      </w:r>
    </w:p>
    <w:p>
      <w:pPr>
        <w:pStyle w:val="29"/>
        <w:snapToGrid w:val="0"/>
        <w:spacing w:line="360" w:lineRule="exact"/>
        <w:ind w:firstLine="413" w:firstLineChars="196"/>
        <w:outlineLvl w:val="0"/>
        <w:rPr>
          <w:rFonts w:hint="eastAsia"/>
          <w:b/>
          <w:color w:val="auto"/>
          <w:highlight w:val="none"/>
          <w:shd w:val="clear" w:color="auto" w:fill="auto"/>
        </w:rPr>
      </w:pPr>
      <w:r>
        <w:rPr>
          <w:rFonts w:hint="eastAsia"/>
          <w:b/>
          <w:color w:val="auto"/>
          <w:highlight w:val="none"/>
          <w:shd w:val="clear" w:color="auto" w:fill="auto"/>
        </w:rPr>
        <w:t>二、招标文件</w:t>
      </w:r>
    </w:p>
    <w:p>
      <w:pPr>
        <w:snapToGrid w:val="0"/>
        <w:spacing w:line="360" w:lineRule="exact"/>
        <w:ind w:firstLine="413" w:firstLineChars="196"/>
        <w:jc w:val="left"/>
        <w:outlineLvl w:val="0"/>
        <w:rPr>
          <w:rFonts w:hint="eastAsia" w:ascii="宋体"/>
          <w:b/>
          <w:color w:val="auto"/>
          <w:szCs w:val="21"/>
          <w:highlight w:val="none"/>
          <w:shd w:val="clear" w:color="auto" w:fill="auto"/>
        </w:rPr>
      </w:pPr>
      <w:r>
        <w:rPr>
          <w:rFonts w:hint="eastAsia" w:ascii="宋体"/>
          <w:b/>
          <w:color w:val="auto"/>
          <w:szCs w:val="21"/>
          <w:highlight w:val="none"/>
          <w:shd w:val="clear" w:color="auto" w:fill="auto"/>
        </w:rPr>
        <w:t>（一）招标文件的构成。</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1.公开招标公告；</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2.招标项目采购需求</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3.投标人须知；</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4.</w:t>
      </w:r>
      <w:r>
        <w:rPr>
          <w:rFonts w:hint="default" w:ascii="宋体"/>
          <w:color w:val="auto"/>
          <w:szCs w:val="21"/>
          <w:highlight w:val="none"/>
          <w:shd w:val="clear" w:color="auto" w:fill="auto"/>
          <w:lang w:val="en"/>
        </w:rPr>
        <w:t>评标办法及评分标准</w:t>
      </w:r>
      <w:r>
        <w:rPr>
          <w:rFonts w:hint="eastAsia" w:ascii="宋体"/>
          <w:color w:val="auto"/>
          <w:szCs w:val="21"/>
          <w:highlight w:val="none"/>
          <w:shd w:val="clear" w:color="auto" w:fill="auto"/>
        </w:rPr>
        <w:t>；</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5.政府采购合同主要条款；</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6.投标文件格式。</w:t>
      </w:r>
    </w:p>
    <w:p>
      <w:pPr>
        <w:snapToGrid w:val="0"/>
        <w:spacing w:before="156" w:beforeLines="50" w:line="360" w:lineRule="exact"/>
        <w:ind w:firstLine="413" w:firstLineChars="196"/>
        <w:jc w:val="left"/>
        <w:outlineLvl w:val="0"/>
        <w:rPr>
          <w:rFonts w:hint="eastAsia" w:ascii="宋体"/>
          <w:b/>
          <w:color w:val="auto"/>
          <w:szCs w:val="21"/>
          <w:highlight w:val="none"/>
          <w:shd w:val="clear" w:color="auto" w:fill="auto"/>
        </w:rPr>
      </w:pPr>
      <w:r>
        <w:rPr>
          <w:rFonts w:hint="eastAsia" w:ascii="宋体"/>
          <w:b/>
          <w:color w:val="auto"/>
          <w:szCs w:val="21"/>
          <w:highlight w:val="none"/>
          <w:shd w:val="clear" w:color="auto" w:fill="auto"/>
        </w:rPr>
        <w:t>（二）投标人的风险</w:t>
      </w:r>
    </w:p>
    <w:p>
      <w:pPr>
        <w:tabs>
          <w:tab w:val="left" w:pos="180"/>
          <w:tab w:val="left" w:pos="1620"/>
        </w:tabs>
        <w:spacing w:line="400" w:lineRule="exact"/>
        <w:ind w:firstLine="420" w:firstLineChars="200"/>
        <w:rPr>
          <w:rFonts w:hint="eastAsia" w:ascii="宋体" w:cs="Courier New"/>
          <w:color w:val="auto"/>
          <w:szCs w:val="21"/>
          <w:highlight w:val="none"/>
          <w:shd w:val="clear" w:color="auto" w:fill="auto"/>
        </w:rPr>
      </w:pPr>
      <w:r>
        <w:rPr>
          <w:rFonts w:hint="eastAsia" w:ascii="宋体" w:hAnsi="宋体" w:cs="Courier New"/>
          <w:color w:val="auto"/>
          <w:szCs w:val="21"/>
          <w:highlight w:val="none"/>
          <w:shd w:val="clear" w:color="auto" w:fill="auto"/>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r>
        <w:rPr>
          <w:rFonts w:hint="eastAsia" w:ascii="宋体" w:hAnsi="宋体" w:cs="Courier New"/>
          <w:color w:val="auto"/>
          <w:szCs w:val="21"/>
          <w:highlight w:val="none"/>
          <w:shd w:val="clear" w:color="auto" w:fill="auto"/>
        </w:rPr>
        <w:cr/>
      </w:r>
      <w:r>
        <w:rPr>
          <w:rFonts w:hint="eastAsia" w:ascii="宋体" w:hAnsi="宋体" w:cs="Courier New"/>
          <w:color w:val="auto"/>
          <w:szCs w:val="21"/>
          <w:highlight w:val="none"/>
          <w:shd w:val="clear" w:color="auto" w:fill="auto"/>
        </w:rPr>
        <w:t xml:space="preserve">   2.对招标文件提出的实质性要求和条件作出明确响应是指投标人必须对招标文件中涉及招标项目的价格、采购货物的主要技术参数和性能配置、数量、交货（或竣工）时间、售后服务及其它要求、合同主要条款等内容作出明确响应。</w:t>
      </w:r>
      <w:r>
        <w:rPr>
          <w:rFonts w:hint="eastAsia" w:ascii="宋体" w:cs="Courier New"/>
          <w:color w:val="auto"/>
          <w:szCs w:val="21"/>
          <w:highlight w:val="none"/>
          <w:shd w:val="clear" w:color="auto" w:fill="auto"/>
        </w:rPr>
        <w:t xml:space="preserve"> </w:t>
      </w:r>
    </w:p>
    <w:p>
      <w:pPr>
        <w:pStyle w:val="14"/>
        <w:widowControl w:val="0"/>
        <w:tabs>
          <w:tab w:val="clear" w:pos="454"/>
        </w:tabs>
        <w:snapToGrid w:val="0"/>
        <w:spacing w:before="156" w:beforeLines="50" w:afterLines="0" w:line="400" w:lineRule="exact"/>
        <w:ind w:left="0" w:firstLine="411" w:firstLineChars="196"/>
        <w:rPr>
          <w:rFonts w:hint="eastAsia" w:ascii="宋体" w:cs="Courier New"/>
          <w:color w:val="auto"/>
          <w:kern w:val="2"/>
          <w:sz w:val="21"/>
          <w:szCs w:val="21"/>
          <w:highlight w:val="none"/>
          <w:shd w:val="clear" w:color="auto" w:fill="auto"/>
        </w:rPr>
      </w:pPr>
      <w:r>
        <w:rPr>
          <w:rFonts w:hint="eastAsia" w:ascii="宋体" w:cs="Courier New"/>
          <w:color w:val="auto"/>
          <w:kern w:val="2"/>
          <w:sz w:val="21"/>
          <w:szCs w:val="21"/>
          <w:highlight w:val="none"/>
          <w:shd w:val="clear" w:color="auto" w:fill="auto"/>
        </w:rPr>
        <w:t xml:space="preserve"> 3.采购货物的主要技术参数和性能配置由评标委员会在评标前评定，但不能改变实质性内容。</w:t>
      </w:r>
    </w:p>
    <w:p>
      <w:pPr>
        <w:pStyle w:val="14"/>
        <w:widowControl w:val="0"/>
        <w:tabs>
          <w:tab w:val="clear" w:pos="454"/>
        </w:tabs>
        <w:snapToGrid w:val="0"/>
        <w:spacing w:before="156" w:beforeLines="50" w:afterLines="0" w:line="360" w:lineRule="exact"/>
        <w:ind w:left="0" w:firstLine="413" w:firstLineChars="196"/>
        <w:outlineLvl w:val="0"/>
        <w:rPr>
          <w:rFonts w:hint="eastAsia" w:ascii="宋体"/>
          <w:b/>
          <w:color w:val="auto"/>
          <w:sz w:val="21"/>
          <w:szCs w:val="21"/>
          <w:highlight w:val="none"/>
          <w:shd w:val="clear" w:color="auto" w:fill="auto"/>
        </w:rPr>
      </w:pPr>
      <w:r>
        <w:rPr>
          <w:rFonts w:hint="eastAsia" w:ascii="宋体"/>
          <w:b/>
          <w:color w:val="auto"/>
          <w:sz w:val="21"/>
          <w:szCs w:val="21"/>
          <w:highlight w:val="none"/>
          <w:shd w:val="clear" w:color="auto" w:fill="auto"/>
        </w:rPr>
        <w:t xml:space="preserve">（三）招标文件的澄清与修改 </w:t>
      </w:r>
    </w:p>
    <w:p>
      <w:pPr>
        <w:pStyle w:val="29"/>
        <w:snapToGrid w:val="0"/>
        <w:spacing w:line="36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1.</w:t>
      </w:r>
      <w:r>
        <w:rPr>
          <w:rFonts w:hint="eastAsia" w:hAnsi="宋体"/>
          <w:bCs/>
          <w:color w:val="auto"/>
          <w:highlight w:val="none"/>
          <w:shd w:val="clear" w:color="auto" w:fill="auto"/>
        </w:rPr>
        <w:t xml:space="preserve"> 投标人应认真阅读本招标文件，发现其中有误或有不合理要求的，投标人</w:t>
      </w:r>
      <w:r>
        <w:rPr>
          <w:rFonts w:hint="eastAsia" w:hAnsi="宋体"/>
          <w:b/>
          <w:bCs/>
          <w:color w:val="auto"/>
          <w:highlight w:val="none"/>
          <w:shd w:val="clear" w:color="auto" w:fill="auto"/>
        </w:rPr>
        <w:t>应当</w:t>
      </w:r>
      <w:r>
        <w:rPr>
          <w:rFonts w:hint="eastAsia" w:hAnsi="宋体"/>
          <w:bCs/>
          <w:color w:val="auto"/>
          <w:highlight w:val="none"/>
          <w:shd w:val="clear" w:color="auto" w:fill="auto"/>
        </w:rPr>
        <w:t>在</w:t>
      </w:r>
      <w:r>
        <w:rPr>
          <w:rFonts w:hint="eastAsia" w:hAnsi="宋体"/>
          <w:bCs/>
          <w:color w:val="auto"/>
          <w:highlight w:val="none"/>
          <w:u w:val="single"/>
          <w:shd w:val="clear" w:color="auto" w:fill="auto"/>
        </w:rPr>
        <w:t>“采购文件：第三章 《投标人须知及前附表》序号6”规定的时间</w:t>
      </w:r>
      <w:r>
        <w:rPr>
          <w:rFonts w:hint="eastAsia" w:hAnsi="宋体"/>
          <w:bCs/>
          <w:color w:val="auto"/>
          <w:highlight w:val="none"/>
          <w:shd w:val="clear" w:color="auto" w:fill="auto"/>
        </w:rPr>
        <w:t>前以书面形式要求招标采购单位</w:t>
      </w:r>
      <w:r>
        <w:rPr>
          <w:rFonts w:hint="eastAsia" w:hAnsi="宋体"/>
          <w:color w:val="auto"/>
          <w:highlight w:val="none"/>
          <w:shd w:val="clear" w:color="auto" w:fill="auto"/>
        </w:rPr>
        <w:t>答疑、澄清</w:t>
      </w:r>
      <w:r>
        <w:rPr>
          <w:rFonts w:hint="eastAsia" w:hAnsi="宋体"/>
          <w:bCs/>
          <w:color w:val="auto"/>
          <w:highlight w:val="none"/>
          <w:shd w:val="clear" w:color="auto" w:fill="auto"/>
        </w:rPr>
        <w:t>。本中心对已发出的招标文件进行必要澄清或者修改</w:t>
      </w:r>
      <w:r>
        <w:rPr>
          <w:rFonts w:hint="eastAsia" w:hAnsi="宋体"/>
          <w:b/>
          <w:bCs/>
          <w:color w:val="auto"/>
          <w:highlight w:val="none"/>
          <w:shd w:val="clear" w:color="auto" w:fill="auto"/>
        </w:rPr>
        <w:t>可能影响投标文件编制的</w:t>
      </w:r>
      <w:r>
        <w:rPr>
          <w:rFonts w:hint="eastAsia" w:hAnsi="宋体"/>
          <w:bCs/>
          <w:color w:val="auto"/>
          <w:highlight w:val="none"/>
          <w:shd w:val="clear" w:color="auto" w:fill="auto"/>
        </w:rPr>
        <w:t>，应当在招标文件要求提交投标文件截止时间15日前，在财政部门指定的政府采购信息发布媒体及本中心网站上发布更正公告，并以书面形式通知所有招标文件收受人。该澄清或者修改的内容为招标文件的组成部分</w:t>
      </w:r>
      <w:r>
        <w:rPr>
          <w:rFonts w:hint="eastAsia" w:hAnsi="宋体"/>
          <w:color w:val="auto"/>
          <w:highlight w:val="none"/>
          <w:shd w:val="clear" w:color="auto" w:fill="auto"/>
        </w:rPr>
        <w:t>。</w:t>
      </w:r>
    </w:p>
    <w:p>
      <w:pPr>
        <w:pStyle w:val="29"/>
        <w:snapToGrid w:val="0"/>
        <w:spacing w:line="36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2.本中心必须以书面形式答复投标人要求澄清的问题，并将不包含问题来源的答复书面通知所有报名登记的投标人；除书面答复以外的其他澄清方式及澄清内容均无效。</w:t>
      </w:r>
    </w:p>
    <w:p>
      <w:pPr>
        <w:pStyle w:val="29"/>
        <w:snapToGrid w:val="0"/>
        <w:spacing w:line="36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3.招标文件的答疑、澄清、修改、补充的内容为招标文件的组成部分。当招标文件与招标文件的答疑、澄清、修改、补充通知就同一内容的表述不一致时，以最后发出的书面文件为准。</w:t>
      </w:r>
    </w:p>
    <w:p>
      <w:pPr>
        <w:pStyle w:val="29"/>
        <w:snapToGrid w:val="0"/>
        <w:spacing w:line="36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4.招标文件的答疑、澄清、修改、补充都应该通过本中心以法定形式发布，采购人非通过本机构，不得擅自答疑、澄清、修改、补充招标文件。</w:t>
      </w:r>
    </w:p>
    <w:p>
      <w:pPr>
        <w:pStyle w:val="29"/>
        <w:snapToGrid w:val="0"/>
        <w:spacing w:line="360" w:lineRule="exact"/>
        <w:ind w:firstLine="420" w:firstLineChars="200"/>
        <w:rPr>
          <w:rFonts w:hint="eastAsia"/>
          <w:color w:val="auto"/>
          <w:highlight w:val="none"/>
          <w:shd w:val="clear" w:color="auto" w:fill="auto"/>
        </w:rPr>
      </w:pPr>
      <w:r>
        <w:rPr>
          <w:rFonts w:hint="eastAsia" w:hAnsi="宋体"/>
          <w:color w:val="auto"/>
          <w:highlight w:val="none"/>
          <w:shd w:val="clear" w:color="auto" w:fill="auto"/>
        </w:rPr>
        <w:t>5.本中心可以视采购具体情况，延长招标文件或者资格预审文件提供期限，并在财政部门指定的政府采购信息发布媒体及本中心网站上发布公告。</w:t>
      </w:r>
    </w:p>
    <w:p>
      <w:pPr>
        <w:pStyle w:val="29"/>
        <w:snapToGrid w:val="0"/>
        <w:spacing w:line="360" w:lineRule="exact"/>
        <w:ind w:firstLine="413" w:firstLineChars="196"/>
        <w:outlineLvl w:val="1"/>
        <w:rPr>
          <w:rFonts w:hint="eastAsia"/>
          <w:b/>
          <w:color w:val="auto"/>
          <w:highlight w:val="none"/>
          <w:shd w:val="clear" w:color="auto" w:fill="auto"/>
        </w:rPr>
      </w:pPr>
      <w:r>
        <w:rPr>
          <w:rFonts w:hint="eastAsia"/>
          <w:b/>
          <w:color w:val="auto"/>
          <w:highlight w:val="none"/>
          <w:shd w:val="clear" w:color="auto" w:fill="auto"/>
        </w:rPr>
        <w:t>三、投标文件的编制</w:t>
      </w:r>
    </w:p>
    <w:p>
      <w:pPr>
        <w:snapToGrid w:val="0"/>
        <w:spacing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（一）投标文件的组成</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color w:val="auto"/>
          <w:szCs w:val="21"/>
          <w:highlight w:val="none"/>
          <w:shd w:val="clear" w:color="auto" w:fill="auto"/>
        </w:rPr>
        <w:t>投标文件由资格文件、资信及商务文件、技术文件、投标报价文件</w:t>
      </w:r>
      <w:r>
        <w:rPr>
          <w:rFonts w:hint="eastAsia" w:ascii="宋体"/>
          <w:b/>
          <w:color w:val="auto"/>
          <w:szCs w:val="21"/>
          <w:highlight w:val="none"/>
          <w:shd w:val="clear" w:color="auto" w:fill="auto"/>
        </w:rPr>
        <w:t>四部份</w:t>
      </w:r>
      <w:r>
        <w:rPr>
          <w:rFonts w:hint="eastAsia" w:ascii="宋体"/>
          <w:color w:val="auto"/>
          <w:szCs w:val="21"/>
          <w:highlight w:val="none"/>
          <w:shd w:val="clear" w:color="auto" w:fill="auto"/>
        </w:rPr>
        <w:t>组成。</w:t>
      </w:r>
    </w:p>
    <w:p>
      <w:pPr>
        <w:snapToGrid w:val="0"/>
        <w:spacing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1.资格文件：</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w:t>
      </w:r>
      <w:r>
        <w:rPr>
          <w:rFonts w:hint="eastAsia" w:ascii="宋体" w:hAnsi="宋体"/>
          <w:color w:val="auto"/>
          <w:szCs w:val="21"/>
          <w:highlight w:val="none"/>
          <w:shd w:val="clear" w:color="auto" w:fill="auto"/>
        </w:rPr>
        <w:t>有效的营业执照等证明文件复印件；</w:t>
      </w:r>
    </w:p>
    <w:p>
      <w:pPr>
        <w:pStyle w:val="29"/>
        <w:adjustRightInd w:val="0"/>
        <w:snapToGrid w:val="0"/>
        <w:spacing w:line="400" w:lineRule="exact"/>
        <w:ind w:firstLine="424" w:firstLineChars="202"/>
        <w:rPr>
          <w:rFonts w:hint="eastAsia" w:hAnsi="宋体"/>
          <w:b/>
          <w:color w:val="auto"/>
          <w:highlight w:val="none"/>
          <w:shd w:val="clear" w:color="auto" w:fill="auto"/>
        </w:rPr>
      </w:pPr>
      <w:r>
        <w:rPr>
          <w:rFonts w:hint="eastAsia" w:hAnsi="宋体"/>
          <w:color w:val="auto"/>
          <w:highlight w:val="none"/>
          <w:shd w:val="clear" w:color="auto" w:fill="auto"/>
        </w:rPr>
        <w:t>①投标人有效的营业执照等证明文件扫描件或其他电子文件，同时要加盖单位公章</w:t>
      </w:r>
      <w:r>
        <w:rPr>
          <w:rFonts w:hint="eastAsia" w:hAnsi="宋体"/>
          <w:b/>
          <w:color w:val="auto"/>
          <w:highlight w:val="none"/>
          <w:shd w:val="clear" w:color="auto" w:fill="auto"/>
        </w:rPr>
        <w:t>（必须提供）</w:t>
      </w:r>
      <w:r>
        <w:rPr>
          <w:rFonts w:hint="eastAsia" w:hAnsi="宋体"/>
          <w:color w:val="auto"/>
          <w:highlight w:val="none"/>
          <w:shd w:val="clear" w:color="auto" w:fill="auto"/>
        </w:rPr>
        <w:t>；</w:t>
      </w:r>
    </w:p>
    <w:p>
      <w:pPr>
        <w:snapToGrid w:val="0"/>
        <w:spacing w:line="360" w:lineRule="exact"/>
        <w:ind w:firstLine="424" w:firstLineChars="202"/>
        <w:jc w:val="left"/>
        <w:rPr>
          <w:rFonts w:hint="eastAsia" w:hAnsi="宋体"/>
          <w:b/>
          <w:color w:val="auto"/>
          <w:highlight w:val="none"/>
          <w:shd w:val="clear" w:color="auto" w:fill="auto"/>
        </w:rPr>
      </w:pPr>
      <w:r>
        <w:rPr>
          <w:rFonts w:hint="eastAsia" w:hAnsi="宋体"/>
          <w:color w:val="auto"/>
          <w:highlight w:val="none"/>
          <w:shd w:val="clear" w:color="auto" w:fill="auto"/>
        </w:rPr>
        <w:t>②对于有经营资质要求的，投标人必须提供有效的经营资质证书副本内页扫描件或其他电子文件，同时要加盖单位公章。</w:t>
      </w:r>
    </w:p>
    <w:p>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b/>
          <w:color w:val="auto"/>
          <w:szCs w:val="21"/>
          <w:highlight w:val="none"/>
          <w:shd w:val="clear" w:color="auto" w:fill="auto"/>
        </w:rPr>
        <w:t>和信用记录查询方法；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①</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color w:val="auto"/>
          <w:szCs w:val="21"/>
          <w:highlight w:val="none"/>
          <w:shd w:val="clear" w:color="auto" w:fill="auto"/>
        </w:rPr>
        <w:t>（格式自拟，必须提供）；</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hint="eastAsia" w:hAnsi="宋体"/>
          <w:b/>
          <w:color w:val="auto"/>
          <w:highlight w:val="none"/>
          <w:shd w:val="clear" w:color="auto" w:fill="auto"/>
        </w:rPr>
      </w:pPr>
      <w:r>
        <w:rPr>
          <w:rFonts w:hint="eastAsia" w:ascii="宋体" w:hAnsi="宋体"/>
          <w:color w:val="auto"/>
          <w:szCs w:val="21"/>
          <w:highlight w:val="none"/>
          <w:shd w:val="clear" w:color="auto" w:fill="auto"/>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2.资信及商务文件：</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（1）投标保证金的相关证明扫描件或其他电子文件（</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hint="eastAsia" w:ascii="宋体" w:hAnsi="宋体"/>
          <w:color w:val="auto"/>
          <w:szCs w:val="21"/>
          <w:highlight w:val="none"/>
          <w:u w:val="none"/>
          <w:shd w:val="clear" w:color="auto" w:fill="auto"/>
        </w:rPr>
      </w:pPr>
      <w:r>
        <w:rPr>
          <w:rFonts w:hint="eastAsia" w:ascii="宋体" w:hAnsi="宋体"/>
          <w:b/>
          <w:color w:val="auto"/>
          <w:szCs w:val="21"/>
          <w:highlight w:val="none"/>
          <w:u w:val="none"/>
          <w:shd w:val="clear" w:color="auto" w:fill="auto"/>
        </w:rPr>
        <w:t>（2）投标声明书 (格式见第六章)（必须提供）</w:t>
      </w:r>
      <w:r>
        <w:rPr>
          <w:rFonts w:hint="eastAsia" w:ascii="宋体" w:hAnsi="宋体"/>
          <w:color w:val="auto"/>
          <w:szCs w:val="21"/>
          <w:highlight w:val="none"/>
          <w:u w:val="none"/>
          <w:shd w:val="clear" w:color="auto" w:fill="auto"/>
        </w:rPr>
        <w:t>；</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（3）法定代表人授权委托书和委托代理人身份证扫描件或其他电子文件（格式见第六章)（必须提供）</w:t>
      </w:r>
      <w:r>
        <w:rPr>
          <w:rFonts w:hint="eastAsia" w:ascii="宋体" w:hAnsi="宋体"/>
          <w:color w:val="auto"/>
          <w:szCs w:val="21"/>
          <w:highlight w:val="none"/>
          <w:shd w:val="clear" w:color="auto" w:fill="auto"/>
        </w:rPr>
        <w:t>；（格式见第六章)；</w:t>
      </w:r>
      <w:r>
        <w:rPr>
          <w:rFonts w:hint="eastAsia" w:ascii="宋体" w:hAnsi="宋体"/>
          <w:b/>
          <w:color w:val="auto"/>
          <w:szCs w:val="21"/>
          <w:highlight w:val="none"/>
          <w:shd w:val="clear" w:color="auto" w:fill="auto"/>
        </w:rPr>
        <w:t>当法定代表人参加投标时，必须提供法定代表人身份证扫描件或其他电子文件</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（4）投标截止之日前半年内投标人连续三个月的依法缴纳税费或依法免缴税费的证明（扫描件或其他电子文件，格式自拟）（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无纳税记录的，应提供由投标人所在地主管国税或地税部门出具的《依法纳税或依法免税证明》（格式自拟，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（5）投标截止之日前半年内投标人连续三个月的依法缴纳社保费的缴费凭证</w:t>
      </w:r>
      <w:r>
        <w:rPr>
          <w:rFonts w:hint="eastAsia" w:ascii="宋体" w:hAnsi="宋体"/>
          <w:color w:val="auto"/>
          <w:szCs w:val="21"/>
          <w:highlight w:val="none"/>
          <w:shd w:val="clear" w:color="auto" w:fill="auto"/>
        </w:rPr>
        <w:t>（</w:t>
      </w:r>
      <w:r>
        <w:rPr>
          <w:rFonts w:hint="eastAsia" w:ascii="宋体" w:hAnsi="宋体"/>
          <w:b/>
          <w:color w:val="auto"/>
          <w:szCs w:val="21"/>
          <w:highlight w:val="none"/>
          <w:shd w:val="clear" w:color="auto" w:fill="auto"/>
        </w:rPr>
        <w:t>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无缴费记录的，应提供由投标人所在地社保部门出具的《依法缴纳或依法免缴社保费证明》（格式自拟，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pPr>
        <w:snapToGrid w:val="0"/>
        <w:spacing w:line="360" w:lineRule="exact"/>
        <w:ind w:firstLine="421" w:firstLineChars="200"/>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（6）财务状况报告（</w:t>
      </w:r>
      <w:r>
        <w:rPr>
          <w:rFonts w:hint="eastAsia" w:hAnsi="宋体"/>
          <w:b/>
          <w:color w:val="auto"/>
          <w:szCs w:val="21"/>
          <w:highlight w:val="none"/>
          <w:u w:val="single"/>
          <w:shd w:val="clear" w:color="auto" w:fill="auto"/>
        </w:rPr>
        <w:t>格式自拟，必须提供</w:t>
      </w:r>
      <w:r>
        <w:rPr>
          <w:rFonts w:hint="eastAsia" w:hAnsi="宋体"/>
          <w:b/>
          <w:color w:val="auto"/>
          <w:szCs w:val="21"/>
          <w:highlight w:val="none"/>
          <w:shd w:val="clear" w:color="auto" w:fill="auto"/>
        </w:rPr>
        <w:t>）；</w:t>
      </w:r>
    </w:p>
    <w:p>
      <w:pPr>
        <w:snapToGrid w:val="0"/>
        <w:spacing w:line="360" w:lineRule="exact"/>
        <w:ind w:firstLine="413" w:firstLineChars="196"/>
        <w:jc w:val="left"/>
        <w:rPr>
          <w:rFonts w:hint="eastAsia" w:hAnsi="宋体"/>
          <w:color w:val="auto"/>
          <w:szCs w:val="21"/>
          <w:highlight w:val="none"/>
          <w:shd w:val="clear" w:color="auto" w:fill="auto"/>
        </w:rPr>
      </w:pPr>
      <w:r>
        <w:rPr>
          <w:rFonts w:hint="eastAsia" w:hAnsi="宋体" w:cs="宋体"/>
          <w:b/>
          <w:color w:val="auto"/>
          <w:kern w:val="0"/>
          <w:szCs w:val="21"/>
          <w:highlight w:val="none"/>
          <w:shd w:val="clear" w:color="auto" w:fill="auto"/>
        </w:rPr>
        <w:t>（7）</w:t>
      </w:r>
      <w:r>
        <w:rPr>
          <w:rFonts w:hint="eastAsia" w:hAnsi="宋体"/>
          <w:b/>
          <w:color w:val="auto"/>
          <w:szCs w:val="21"/>
          <w:highlight w:val="none"/>
          <w:shd w:val="clear" w:color="auto" w:fill="auto"/>
        </w:rPr>
        <w:t>具备履行合同所必需的设备和专业技术能力的证明材料（</w:t>
      </w:r>
      <w:r>
        <w:rPr>
          <w:rFonts w:hint="eastAsia" w:hAnsi="宋体"/>
          <w:b/>
          <w:color w:val="auto"/>
          <w:szCs w:val="21"/>
          <w:highlight w:val="none"/>
          <w:u w:val="single"/>
          <w:shd w:val="clear" w:color="auto" w:fill="auto"/>
        </w:rPr>
        <w:t>内容、格式自拟，必须提供</w:t>
      </w:r>
      <w:r>
        <w:rPr>
          <w:rFonts w:hint="eastAsia" w:hAnsi="宋体"/>
          <w:b/>
          <w:color w:val="auto"/>
          <w:szCs w:val="21"/>
          <w:highlight w:val="none"/>
          <w:shd w:val="clear" w:color="auto" w:fill="auto"/>
        </w:rPr>
        <w:t>）</w:t>
      </w:r>
      <w:r>
        <w:rPr>
          <w:rFonts w:hint="eastAsia" w:hAnsi="宋体" w:cs="宋体"/>
          <w:b/>
          <w:color w:val="auto"/>
          <w:kern w:val="0"/>
          <w:szCs w:val="21"/>
          <w:highlight w:val="none"/>
          <w:shd w:val="clear" w:color="auto" w:fill="auto"/>
        </w:rPr>
        <w:t>；</w:t>
      </w:r>
    </w:p>
    <w:p>
      <w:pPr>
        <w:snapToGrid w:val="0"/>
        <w:spacing w:line="360" w:lineRule="exact"/>
        <w:ind w:firstLine="411" w:firstLineChars="196"/>
        <w:jc w:val="left"/>
        <w:rPr>
          <w:rFonts w:hint="eastAsia" w:hAnsi="宋体" w:cs="宋体"/>
          <w:color w:val="auto"/>
          <w:kern w:val="0"/>
          <w:szCs w:val="21"/>
          <w:highlight w:val="none"/>
          <w:shd w:val="clear" w:color="auto" w:fill="auto"/>
        </w:rPr>
      </w:pPr>
      <w:r>
        <w:rPr>
          <w:rFonts w:hint="eastAsia" w:hAnsi="宋体" w:cs="宋体"/>
          <w:color w:val="auto"/>
          <w:kern w:val="0"/>
          <w:szCs w:val="21"/>
          <w:highlight w:val="none"/>
          <w:shd w:val="clear" w:color="auto" w:fill="auto"/>
        </w:rPr>
        <w:t>（8）税务登记证</w:t>
      </w:r>
      <w:r>
        <w:rPr>
          <w:rFonts w:hint="eastAsia" w:ascii="宋体" w:hAnsi="宋体"/>
          <w:b/>
          <w:color w:val="auto"/>
          <w:szCs w:val="21"/>
          <w:highlight w:val="none"/>
          <w:shd w:val="clear" w:color="auto" w:fill="auto"/>
        </w:rPr>
        <w:t>扫描件</w:t>
      </w:r>
      <w:r>
        <w:rPr>
          <w:rFonts w:hint="eastAsia" w:hAnsi="宋体" w:cs="宋体"/>
          <w:color w:val="auto"/>
          <w:kern w:val="0"/>
          <w:szCs w:val="21"/>
          <w:highlight w:val="none"/>
          <w:shd w:val="clear" w:color="auto" w:fill="auto"/>
        </w:rPr>
        <w:t>；</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hAnsi="宋体"/>
          <w:color w:val="auto"/>
          <w:szCs w:val="21"/>
          <w:highlight w:val="none"/>
          <w:shd w:val="clear" w:color="auto" w:fill="auto"/>
        </w:rPr>
        <w:t>9</w:t>
      </w:r>
      <w:r>
        <w:rPr>
          <w:rFonts w:hint="eastAsia" w:ascii="宋体" w:hAnsi="宋体"/>
          <w:color w:val="auto"/>
          <w:szCs w:val="21"/>
          <w:highlight w:val="none"/>
          <w:shd w:val="clear" w:color="auto" w:fill="auto"/>
        </w:rPr>
        <w:t>）产品销售许可证；</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（10）安全生产许可证扫描件、产品代理资格证明文件扫描件；</w:t>
      </w:r>
    </w:p>
    <w:p>
      <w:pPr>
        <w:snapToGrid w:val="0"/>
        <w:spacing w:line="360" w:lineRule="exact"/>
        <w:ind w:firstLine="413" w:firstLineChars="196"/>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（11）商务响应表</w:t>
      </w:r>
      <w:r>
        <w:rPr>
          <w:rFonts w:hint="eastAsia" w:hAnsi="宋体"/>
          <w:color w:val="auto"/>
          <w:szCs w:val="21"/>
          <w:highlight w:val="none"/>
          <w:shd w:val="clear" w:color="auto" w:fill="auto"/>
        </w:rPr>
        <w:t>（格式见第六章）</w:t>
      </w:r>
      <w:r>
        <w:rPr>
          <w:rFonts w:hint="eastAsia" w:hAnsi="宋体"/>
          <w:b/>
          <w:color w:val="auto"/>
          <w:szCs w:val="21"/>
          <w:highlight w:val="none"/>
          <w:shd w:val="clear" w:color="auto" w:fill="auto"/>
        </w:rPr>
        <w:t>（</w:t>
      </w:r>
      <w:r>
        <w:rPr>
          <w:rFonts w:hint="eastAsia" w:hAnsi="宋体"/>
          <w:b/>
          <w:color w:val="auto"/>
          <w:szCs w:val="21"/>
          <w:highlight w:val="none"/>
          <w:u w:val="single"/>
          <w:shd w:val="clear" w:color="auto" w:fill="auto"/>
        </w:rPr>
        <w:t>必须提供</w:t>
      </w:r>
      <w:r>
        <w:rPr>
          <w:rFonts w:hint="eastAsia" w:hAnsi="宋体"/>
          <w:b/>
          <w:color w:val="auto"/>
          <w:szCs w:val="21"/>
          <w:highlight w:val="none"/>
          <w:shd w:val="clear" w:color="auto" w:fill="auto"/>
        </w:rPr>
        <w:t>）；</w:t>
      </w:r>
    </w:p>
    <w:p>
      <w:pPr>
        <w:snapToGrid w:val="0"/>
        <w:spacing w:line="360" w:lineRule="exact"/>
        <w:jc w:val="left"/>
        <w:rPr>
          <w:rFonts w:hint="eastAsia" w:hAnsi="宋体"/>
          <w:b/>
          <w:color w:val="auto"/>
          <w:szCs w:val="21"/>
          <w:highlight w:val="none"/>
          <w:shd w:val="clear" w:color="auto" w:fill="auto"/>
        </w:rPr>
      </w:pPr>
      <w:r>
        <w:rPr>
          <w:rFonts w:hint="eastAsia" w:hAnsi="宋体"/>
          <w:color w:val="auto"/>
          <w:highlight w:val="none"/>
          <w:shd w:val="clear" w:color="auto" w:fill="auto"/>
          <w:lang w:val="en-US" w:eastAsia="zh-CN"/>
        </w:rPr>
        <w:t xml:space="preserve">  </w:t>
      </w:r>
      <w:r>
        <w:rPr>
          <w:rFonts w:hint="eastAsia" w:hAnsi="宋体"/>
          <w:color w:val="auto"/>
          <w:highlight w:val="none"/>
          <w:shd w:val="clear" w:color="auto" w:fill="auto"/>
        </w:rPr>
        <w:t>▲</w:t>
      </w:r>
      <w:r>
        <w:rPr>
          <w:rFonts w:hint="eastAsia" w:hAnsi="宋体"/>
          <w:color w:val="auto"/>
          <w:szCs w:val="21"/>
          <w:highlight w:val="none"/>
          <w:shd w:val="clear" w:color="auto" w:fill="auto"/>
        </w:rPr>
        <w:t>（12）</w:t>
      </w:r>
      <w:r>
        <w:rPr>
          <w:rFonts w:hint="eastAsia" w:hAnsi="宋体"/>
          <w:b/>
          <w:color w:val="auto"/>
          <w:szCs w:val="21"/>
          <w:highlight w:val="none"/>
          <w:shd w:val="clear" w:color="auto" w:fill="auto"/>
        </w:rPr>
        <w:t>招标项目采购需求中要求必须提供的材料等；</w:t>
      </w:r>
    </w:p>
    <w:p>
      <w:pPr>
        <w:snapToGrid w:val="0"/>
        <w:spacing w:line="360" w:lineRule="exact"/>
        <w:ind w:firstLine="411" w:firstLineChars="196"/>
        <w:jc w:val="left"/>
        <w:rPr>
          <w:rFonts w:hint="eastAsia" w:hAnsi="宋体"/>
          <w:b/>
          <w:color w:val="auto"/>
          <w:szCs w:val="21"/>
          <w:highlight w:val="none"/>
          <w:shd w:val="clear" w:color="auto" w:fill="auto"/>
        </w:rPr>
      </w:pPr>
      <w:r>
        <w:rPr>
          <w:rFonts w:hint="eastAsia" w:hAnsi="宋体"/>
          <w:color w:val="auto"/>
          <w:szCs w:val="21"/>
          <w:highlight w:val="none"/>
          <w:shd w:val="clear" w:color="auto" w:fill="auto"/>
        </w:rPr>
        <w:t>（13）具备法律、行政法规规定的其他条件的证明材料</w:t>
      </w:r>
      <w:r>
        <w:rPr>
          <w:rFonts w:hint="eastAsia" w:hAnsi="宋体"/>
          <w:b/>
          <w:color w:val="auto"/>
          <w:szCs w:val="21"/>
          <w:highlight w:val="none"/>
          <w:shd w:val="clear" w:color="auto" w:fill="auto"/>
        </w:rPr>
        <w:t>(如有规定,则必须提供)。</w:t>
      </w:r>
    </w:p>
    <w:p>
      <w:pPr>
        <w:snapToGrid w:val="0"/>
        <w:spacing w:line="360" w:lineRule="exact"/>
        <w:ind w:firstLine="413" w:firstLineChars="196"/>
        <w:jc w:val="left"/>
        <w:rPr>
          <w:rFonts w:hint="eastAsia" w:hAnsi="宋体"/>
          <w:b/>
          <w:color w:val="auto"/>
          <w:szCs w:val="21"/>
          <w:highlight w:val="none"/>
          <w:shd w:val="clear" w:color="auto" w:fill="auto"/>
        </w:rPr>
      </w:pPr>
      <w:r>
        <w:rPr>
          <w:rFonts w:hint="eastAsia" w:hAnsi="宋体"/>
          <w:b/>
          <w:bCs/>
          <w:color w:val="auto"/>
          <w:szCs w:val="21"/>
          <w:highlight w:val="none"/>
          <w:shd w:val="clear" w:color="auto" w:fill="auto"/>
        </w:rPr>
        <w:t xml:space="preserve">可作为投标人资信评分的资质证明材料（可选）  </w:t>
      </w:r>
    </w:p>
    <w:p>
      <w:pPr>
        <w:snapToGrid w:val="0"/>
        <w:spacing w:line="360" w:lineRule="exact"/>
        <w:ind w:left="937" w:leftChars="196" w:hanging="525" w:hangingChars="250"/>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（14）类似案例成功的业绩（投标人同类项目实施情况一览表、合同扫描件）；</w:t>
      </w:r>
    </w:p>
    <w:p>
      <w:pPr>
        <w:snapToGrid w:val="0"/>
        <w:spacing w:line="360" w:lineRule="exact"/>
        <w:ind w:firstLine="421" w:firstLineChars="200"/>
        <w:jc w:val="left"/>
        <w:rPr>
          <w:rFonts w:hint="eastAsia" w:hAnsi="宋体"/>
          <w:color w:val="auto"/>
          <w:szCs w:val="21"/>
          <w:highlight w:val="none"/>
          <w:shd w:val="clear" w:color="auto" w:fill="auto"/>
        </w:rPr>
      </w:pPr>
      <w:r>
        <w:rPr>
          <w:rFonts w:hint="eastAsia" w:hAnsi="宋体"/>
          <w:b/>
          <w:color w:val="auto"/>
          <w:szCs w:val="21"/>
          <w:highlight w:val="none"/>
          <w:shd w:val="clear" w:color="auto" w:fill="auto"/>
        </w:rPr>
        <w:t>（</w:t>
      </w:r>
      <w:r>
        <w:rPr>
          <w:rFonts w:hint="eastAsia" w:hAnsi="宋体"/>
          <w:color w:val="auto"/>
          <w:szCs w:val="21"/>
          <w:highlight w:val="none"/>
          <w:shd w:val="clear" w:color="auto" w:fill="auto"/>
        </w:rPr>
        <w:t>15</w:t>
      </w:r>
      <w:r>
        <w:rPr>
          <w:rFonts w:hint="eastAsia" w:hAnsi="宋体"/>
          <w:b/>
          <w:color w:val="auto"/>
          <w:szCs w:val="21"/>
          <w:highlight w:val="none"/>
          <w:shd w:val="clear" w:color="auto" w:fill="auto"/>
        </w:rPr>
        <w:t>）</w:t>
      </w:r>
      <w:r>
        <w:rPr>
          <w:rFonts w:hint="eastAsia" w:hAnsi="宋体"/>
          <w:color w:val="auto"/>
          <w:szCs w:val="21"/>
          <w:highlight w:val="none"/>
          <w:shd w:val="clear" w:color="auto" w:fill="auto"/>
        </w:rPr>
        <w:t>其他特殊资质证书（如本地化服务能力等）；</w:t>
      </w:r>
    </w:p>
    <w:p>
      <w:pPr>
        <w:snapToGrid w:val="0"/>
        <w:spacing w:line="360" w:lineRule="exact"/>
        <w:ind w:firstLine="411" w:firstLineChars="196"/>
        <w:jc w:val="left"/>
        <w:rPr>
          <w:rFonts w:hint="eastAsia" w:hAnsi="宋体"/>
          <w:b/>
          <w:color w:val="auto"/>
          <w:szCs w:val="21"/>
          <w:highlight w:val="none"/>
          <w:shd w:val="clear" w:color="auto" w:fill="auto"/>
        </w:rPr>
      </w:pPr>
      <w:r>
        <w:rPr>
          <w:rFonts w:hint="eastAsia" w:hAnsi="宋体"/>
          <w:color w:val="auto"/>
          <w:szCs w:val="21"/>
          <w:highlight w:val="none"/>
          <w:shd w:val="clear" w:color="auto" w:fill="auto"/>
        </w:rPr>
        <w:t>（16）节能环保产品或政府强制采购节能产品清单证书</w:t>
      </w:r>
      <w:r>
        <w:rPr>
          <w:rFonts w:hint="eastAsia" w:hAnsi="宋体"/>
          <w:b/>
          <w:color w:val="auto"/>
          <w:szCs w:val="21"/>
          <w:highlight w:val="none"/>
          <w:shd w:val="clear" w:color="auto" w:fill="auto"/>
        </w:rPr>
        <w:t>；</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（17）投标人质量管理和质量保证体系等方面的认证证书；</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（18）投标人认为可以证明其能力或业绩的其他材料；</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（19）投标人关于产品生产时间、升级或者更新淘汰计划、配件供应以及本单位债务纠纷、违法违规记录等方面的情况（内容见投标声明书）；</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（20）投标人情况介绍；</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hAnsi="宋体"/>
          <w:color w:val="auto"/>
          <w:szCs w:val="21"/>
          <w:highlight w:val="none"/>
          <w:shd w:val="clear" w:color="auto" w:fill="auto"/>
        </w:rPr>
        <w:t>21</w:t>
      </w:r>
      <w:r>
        <w:rPr>
          <w:rFonts w:hint="eastAsia" w:ascii="宋体" w:hAnsi="宋体"/>
          <w:color w:val="auto"/>
          <w:szCs w:val="21"/>
          <w:highlight w:val="none"/>
          <w:shd w:val="clear" w:color="auto" w:fill="auto"/>
        </w:rPr>
        <w:t>）</w:t>
      </w:r>
      <w:r>
        <w:rPr>
          <w:rFonts w:ascii="宋体" w:hAnsi="宋体"/>
          <w:color w:val="auto"/>
          <w:highlight w:val="none"/>
          <w:shd w:val="clear" w:color="auto" w:fill="auto"/>
        </w:rPr>
        <w:t>中小企业声明函</w:t>
      </w:r>
      <w:r>
        <w:rPr>
          <w:rFonts w:hint="eastAsia" w:ascii="宋体" w:hAnsi="宋体"/>
          <w:color w:val="auto"/>
          <w:szCs w:val="21"/>
          <w:highlight w:val="none"/>
          <w:shd w:val="clear" w:color="auto" w:fill="auto"/>
        </w:rPr>
        <w:t>（按最新相关政策执行，格式见第六章，如有请提供）</w:t>
      </w:r>
      <w:r>
        <w:rPr>
          <w:rFonts w:hint="eastAsia" w:ascii="宋体" w:hAnsi="宋体"/>
          <w:color w:val="auto"/>
          <w:highlight w:val="none"/>
          <w:shd w:val="clear" w:color="auto" w:fill="auto"/>
        </w:rPr>
        <w:t>。</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3.技术文件</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（1）对本项目系统总体要求的理解；</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ascii="宋体" w:hAnsi="宋体"/>
          <w:b/>
          <w:color w:val="auto"/>
          <w:szCs w:val="21"/>
          <w:highlight w:val="none"/>
          <w:shd w:val="clear" w:color="auto" w:fill="auto"/>
        </w:rPr>
        <w:t>技术响应表（</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（3）设备配置清单（均不含报价）；</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w:t>
      </w:r>
      <w:r>
        <w:rPr>
          <w:rFonts w:hint="eastAsia"/>
          <w:b/>
          <w:color w:val="auto"/>
          <w:highlight w:val="none"/>
          <w:shd w:val="clear" w:color="auto" w:fill="auto"/>
        </w:rPr>
        <w:t>售后服务承诺书</w:t>
      </w:r>
      <w:r>
        <w:rPr>
          <w:rFonts w:hint="eastAsia"/>
          <w:color w:val="auto"/>
          <w:highlight w:val="none"/>
          <w:shd w:val="clear" w:color="auto" w:fill="auto"/>
        </w:rPr>
        <w:t>（应据项目实际要求描述如：</w:t>
      </w:r>
      <w:r>
        <w:rPr>
          <w:rFonts w:hint="eastAsia" w:ascii="宋体" w:hAnsi="宋体"/>
          <w:color w:val="auto"/>
          <w:szCs w:val="21"/>
          <w:highlight w:val="none"/>
          <w:shd w:val="clear" w:color="auto" w:fill="auto"/>
        </w:rPr>
        <w:t>投标人建议的安装、调试、验收方法或方案；技术服务、技术培训、售后服务的内容和措施等），</w:t>
      </w:r>
      <w:r>
        <w:rPr>
          <w:rFonts w:hint="eastAsia" w:ascii="宋体" w:hAnsi="宋体"/>
          <w:b/>
          <w:color w:val="auto"/>
          <w:szCs w:val="21"/>
          <w:highlight w:val="none"/>
          <w:shd w:val="clear" w:color="auto" w:fill="auto"/>
        </w:rPr>
        <w:t>(</w:t>
      </w:r>
      <w:r>
        <w:rPr>
          <w:rFonts w:hint="eastAsia" w:ascii="宋体" w:hAnsi="宋体"/>
          <w:b/>
          <w:color w:val="auto"/>
          <w:szCs w:val="21"/>
          <w:highlight w:val="none"/>
          <w:u w:val="single"/>
          <w:shd w:val="clear" w:color="auto" w:fill="auto"/>
        </w:rPr>
        <w:t>格式自拟,必须提供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（5）投标人拥有主要装备和检测设施的情况和现状（格式自拟）及项目实施人员一览表； </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（6）优惠条件：投标人承诺给予招标人的各种优惠条件，包括备品备件、专用耗材、售后服务等方面的优惠；</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（7）投标人对本项目的合理化建议和改进措施；</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（8）投标人需要说明的其他文件和说明（格式略）；</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▲（9）招标项目采购需求中要求必须提供的材料。</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4.报价文件：</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（1）投标函（</w:t>
      </w:r>
      <w:r>
        <w:rPr>
          <w:rFonts w:hint="eastAsia" w:ascii="宋体" w:hAnsi="宋体"/>
          <w:b/>
          <w:color w:val="auto"/>
          <w:szCs w:val="21"/>
          <w:highlight w:val="none"/>
          <w:shd w:val="clear" w:color="auto" w:fill="auto"/>
        </w:rPr>
        <w:t>必须提供</w:t>
      </w:r>
      <w:r>
        <w:rPr>
          <w:rFonts w:hint="eastAsia" w:ascii="宋体" w:hAnsi="宋体"/>
          <w:color w:val="auto"/>
          <w:szCs w:val="21"/>
          <w:highlight w:val="none"/>
          <w:shd w:val="clear" w:color="auto" w:fill="auto"/>
        </w:rPr>
        <w:t xml:space="preserve">,格式见第六章）； </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（2）投标报价明细表（</w:t>
      </w:r>
      <w:r>
        <w:rPr>
          <w:rFonts w:hint="eastAsia" w:ascii="宋体" w:hAnsi="宋体"/>
          <w:b/>
          <w:color w:val="auto"/>
          <w:szCs w:val="21"/>
          <w:highlight w:val="none"/>
          <w:shd w:val="clear" w:color="auto" w:fill="auto"/>
        </w:rPr>
        <w:t>必须提供</w:t>
      </w:r>
      <w:r>
        <w:rPr>
          <w:rFonts w:hint="eastAsia" w:ascii="宋体" w:hAnsi="宋体"/>
          <w:color w:val="auto"/>
          <w:szCs w:val="21"/>
          <w:highlight w:val="none"/>
          <w:shd w:val="clear" w:color="auto" w:fill="auto"/>
        </w:rPr>
        <w:t>,格式见第六章）；</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（3）投标人针对报价需要说明的其他文件和说明（格式自拟）；</w:t>
      </w:r>
    </w:p>
    <w:p>
      <w:pPr>
        <w:tabs>
          <w:tab w:val="left" w:pos="3870"/>
          <w:tab w:val="left" w:pos="4085"/>
        </w:tabs>
        <w:snapToGrid w:val="0"/>
        <w:spacing w:line="360" w:lineRule="exact"/>
        <w:ind w:firstLine="420" w:firstLineChars="200"/>
        <w:jc w:val="left"/>
        <w:rPr>
          <w:rFonts w:hint="eastAsia" w:ascii="宋体" w:hAnsi="宋体" w:eastAsia="等线"/>
          <w:color w:val="auto"/>
          <w:szCs w:val="21"/>
          <w:highlight w:val="none"/>
          <w:shd w:val="clear" w:color="auto" w:fill="auto"/>
        </w:rPr>
      </w:pPr>
      <w:r>
        <w:rPr>
          <w:rFonts w:hint="eastAsia" w:ascii="宋体" w:hAnsi="宋体"/>
          <w:color w:val="auto"/>
          <w:szCs w:val="21"/>
          <w:highlight w:val="none"/>
          <w:shd w:val="clear" w:color="auto" w:fill="auto"/>
        </w:rPr>
        <w:t>（4）开标一览表（</w:t>
      </w:r>
      <w:r>
        <w:rPr>
          <w:rFonts w:hint="eastAsia" w:ascii="宋体" w:hAnsi="宋体"/>
          <w:b/>
          <w:color w:val="auto"/>
          <w:szCs w:val="21"/>
          <w:highlight w:val="none"/>
          <w:shd w:val="clear" w:color="auto" w:fill="auto"/>
        </w:rPr>
        <w:t>必须提供</w:t>
      </w:r>
      <w:r>
        <w:rPr>
          <w:rFonts w:hint="eastAsia" w:ascii="宋体" w:hAnsi="宋体"/>
          <w:color w:val="auto"/>
          <w:szCs w:val="21"/>
          <w:highlight w:val="none"/>
          <w:shd w:val="clear" w:color="auto" w:fill="auto"/>
        </w:rPr>
        <w:t>,格式见第六章），联合体投标时还必须附《联合投标协议书》。</w:t>
      </w:r>
    </w:p>
    <w:p>
      <w:pPr>
        <w:pStyle w:val="45"/>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ascii="宋体" w:hAnsi="宋体"/>
          <w:b/>
          <w:bCs/>
          <w:color w:val="auto"/>
          <w:szCs w:val="21"/>
          <w:highlight w:val="none"/>
          <w:shd w:val="clear" w:color="auto" w:fill="auto"/>
        </w:rPr>
        <w:t>注：法定代表人授权委托书、投标声明书、投标函、开标一览表必须按</w:t>
      </w:r>
      <w:r>
        <w:rPr>
          <w:rFonts w:hint="eastAsia" w:ascii="宋体" w:hAnsi="宋体"/>
          <w:b/>
          <w:color w:val="auto"/>
          <w:szCs w:val="21"/>
          <w:highlight w:val="none"/>
          <w:shd w:val="clear" w:color="auto" w:fill="auto"/>
        </w:rPr>
        <w:t>招标文件格式要求</w:t>
      </w:r>
      <w:r>
        <w:rPr>
          <w:rFonts w:hint="default" w:ascii="宋体" w:hAnsi="宋体"/>
          <w:b/>
          <w:color w:val="auto"/>
          <w:szCs w:val="21"/>
          <w:highlight w:val="none"/>
          <w:shd w:val="clear" w:color="auto" w:fill="auto"/>
          <w:lang w:val="en"/>
        </w:rPr>
        <w:t>签字或签章</w:t>
      </w:r>
      <w:r>
        <w:rPr>
          <w:rFonts w:hint="eastAsia" w:ascii="宋体" w:hAnsi="宋体"/>
          <w:b/>
          <w:bCs/>
          <w:color w:val="auto"/>
          <w:szCs w:val="21"/>
          <w:highlight w:val="none"/>
          <w:shd w:val="clear" w:color="auto" w:fill="auto"/>
        </w:rPr>
        <w:t>并加盖单位公章。</w:t>
      </w:r>
    </w:p>
    <w:p>
      <w:pPr>
        <w:snapToGrid w:val="0"/>
        <w:spacing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（二）投标文件的语言及计量</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▲1投标文件以及投标方与招标方就有关投标事宜的所有来往函电，均应以中文汉语书写。除签名、盖章、专用名称等特殊情形外，以中文汉语以外的文字表述的投标文件视同未提供。</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▲2投标计量单位，招标文件已有明确规定的，使用招标文件规定的计量单位；招标文件没有规定的，应采用中华人民共和国法定计量单位（货币单位：人民币元），否则视同未响应。</w:t>
      </w:r>
    </w:p>
    <w:p>
      <w:pPr>
        <w:snapToGrid w:val="0"/>
        <w:spacing w:before="156" w:beforeLines="50"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（三）投标报价</w:t>
      </w:r>
    </w:p>
    <w:p>
      <w:pPr>
        <w:pStyle w:val="29"/>
        <w:snapToGrid w:val="0"/>
        <w:spacing w:line="360" w:lineRule="exact"/>
        <w:ind w:firstLine="420" w:firstLineChars="200"/>
        <w:jc w:val="left"/>
        <w:rPr>
          <w:rFonts w:hAnsi="宋体"/>
          <w:color w:val="auto"/>
          <w:highlight w:val="none"/>
          <w:shd w:val="clear" w:color="auto" w:fill="auto"/>
        </w:rPr>
      </w:pPr>
      <w:r>
        <w:rPr>
          <w:rFonts w:hint="eastAsia" w:hAnsi="宋体"/>
          <w:color w:val="auto"/>
          <w:highlight w:val="none"/>
          <w:shd w:val="clear" w:color="auto" w:fill="auto"/>
        </w:rPr>
        <w:t>1.投标报价应按招标文件中相关附表格式填写。</w:t>
      </w:r>
      <w:r>
        <w:rPr>
          <w:rFonts w:hint="eastAsia" w:hAnsi="宋体"/>
          <w:b/>
          <w:bCs/>
          <w:color w:val="auto"/>
          <w:highlight w:val="none"/>
          <w:shd w:val="clear" w:color="auto" w:fill="auto"/>
        </w:rPr>
        <w:t>投标人可就《项目采购需求》中所有分标的货物和服务内容按分标分别作完整唯一报价，也可对某个分标或几个分标的货物和服务内容按分标分别作完整唯一报价。</w:t>
      </w:r>
    </w:p>
    <w:p>
      <w:pPr>
        <w:pStyle w:val="29"/>
        <w:snapToGrid w:val="0"/>
        <w:spacing w:line="360" w:lineRule="exact"/>
        <w:ind w:firstLine="420" w:firstLineChars="200"/>
        <w:jc w:val="left"/>
        <w:rPr>
          <w:rFonts w:hint="eastAsia" w:hAnsi="宋体"/>
          <w:color w:val="auto"/>
          <w:highlight w:val="none"/>
          <w:shd w:val="clear" w:color="auto" w:fill="auto"/>
        </w:rPr>
      </w:pPr>
      <w:r>
        <w:rPr>
          <w:rFonts w:hint="eastAsia" w:hAnsi="宋体"/>
          <w:color w:val="auto"/>
          <w:highlight w:val="none"/>
          <w:shd w:val="clear" w:color="auto" w:fill="auto"/>
        </w:rPr>
        <w:t>2.投标报价是履行合同的最终价格，应包括货款、标准附件、备品备件、专用工具、包装、运输、装卸、保险、税金、货到就位以及安装、调试、培训、保修等一切税金和费用。</w:t>
      </w:r>
    </w:p>
    <w:p>
      <w:pPr>
        <w:tabs>
          <w:tab w:val="left" w:pos="52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3.投标文件只允许有一个报价，有选择的或有条件的报价将不予接受。</w:t>
      </w:r>
    </w:p>
    <w:p>
      <w:pPr>
        <w:pStyle w:val="14"/>
        <w:widowControl w:val="0"/>
        <w:tabs>
          <w:tab w:val="clear" w:pos="454"/>
        </w:tabs>
        <w:snapToGrid w:val="0"/>
        <w:spacing w:before="156" w:beforeLines="50" w:after="120" w:afterLines="0" w:line="360" w:lineRule="exact"/>
        <w:ind w:left="0" w:firstLine="413" w:firstLineChars="196"/>
        <w:outlineLvl w:val="0"/>
        <w:rPr>
          <w:rFonts w:hint="eastAsia" w:ascii="宋体" w:hAnsi="宋体"/>
          <w:b/>
          <w:color w:val="auto"/>
          <w:sz w:val="21"/>
          <w:szCs w:val="21"/>
          <w:highlight w:val="none"/>
          <w:shd w:val="clear" w:color="auto" w:fill="auto"/>
        </w:rPr>
      </w:pPr>
      <w:r>
        <w:rPr>
          <w:rFonts w:hint="eastAsia" w:ascii="宋体" w:hAnsi="宋体"/>
          <w:b/>
          <w:color w:val="auto"/>
          <w:sz w:val="21"/>
          <w:szCs w:val="21"/>
          <w:highlight w:val="none"/>
          <w:shd w:val="clear" w:color="auto" w:fill="auto"/>
        </w:rPr>
        <w:t>（四）投标文件的有效期</w:t>
      </w:r>
    </w:p>
    <w:p>
      <w:pPr>
        <w:pStyle w:val="14"/>
        <w:widowControl w:val="0"/>
        <w:tabs>
          <w:tab w:val="clear" w:pos="454"/>
        </w:tabs>
        <w:snapToGrid w:val="0"/>
        <w:spacing w:after="120" w:afterLines="0" w:line="360" w:lineRule="exact"/>
        <w:ind w:left="0" w:firstLine="420" w:firstLineChars="200"/>
        <w:rPr>
          <w:rFonts w:hint="eastAsia" w:ascii="宋体" w:hAnsi="宋体"/>
          <w:color w:val="auto"/>
          <w:sz w:val="21"/>
          <w:szCs w:val="21"/>
          <w:highlight w:val="none"/>
          <w:shd w:val="clear" w:color="auto" w:fill="auto"/>
        </w:rPr>
      </w:pPr>
      <w:r>
        <w:rPr>
          <w:rFonts w:hint="eastAsia" w:ascii="宋体" w:hAnsi="宋体"/>
          <w:color w:val="auto"/>
          <w:sz w:val="21"/>
          <w:szCs w:val="21"/>
          <w:highlight w:val="none"/>
          <w:shd w:val="clear" w:color="auto" w:fill="auto"/>
        </w:rPr>
        <w:t>1.自投标截止日起</w:t>
      </w:r>
      <w:r>
        <w:rPr>
          <w:rFonts w:hint="eastAsia" w:ascii="宋体" w:hAnsi="宋体"/>
          <w:b/>
          <w:color w:val="auto"/>
          <w:sz w:val="21"/>
          <w:szCs w:val="21"/>
          <w:highlight w:val="none"/>
          <w:u w:val="single"/>
          <w:shd w:val="clear" w:color="auto" w:fill="auto"/>
        </w:rPr>
        <w:t>六十日</w:t>
      </w:r>
      <w:r>
        <w:rPr>
          <w:rFonts w:hint="eastAsia" w:ascii="宋体" w:hAnsi="宋体"/>
          <w:color w:val="auto"/>
          <w:sz w:val="21"/>
          <w:szCs w:val="21"/>
          <w:highlight w:val="none"/>
          <w:shd w:val="clear" w:color="auto" w:fill="auto"/>
        </w:rPr>
        <w:t>投标文件应保持有效。有效期不足的投标文件将被拒绝。</w:t>
      </w:r>
    </w:p>
    <w:p>
      <w:pPr>
        <w:pStyle w:val="14"/>
        <w:widowControl w:val="0"/>
        <w:tabs>
          <w:tab w:val="clear" w:pos="454"/>
        </w:tabs>
        <w:snapToGrid w:val="0"/>
        <w:spacing w:after="120" w:afterLines="0" w:line="360" w:lineRule="exact"/>
        <w:ind w:left="0" w:firstLine="420" w:firstLineChars="200"/>
        <w:rPr>
          <w:rFonts w:hint="eastAsia" w:ascii="宋体" w:hAnsi="宋体"/>
          <w:color w:val="auto"/>
          <w:sz w:val="21"/>
          <w:szCs w:val="21"/>
          <w:highlight w:val="none"/>
          <w:shd w:val="clear" w:color="auto" w:fill="auto"/>
        </w:rPr>
      </w:pPr>
      <w:r>
        <w:rPr>
          <w:rFonts w:hint="eastAsia" w:ascii="宋体" w:hAnsi="宋体"/>
          <w:color w:val="auto"/>
          <w:sz w:val="21"/>
          <w:szCs w:val="21"/>
          <w:highlight w:val="none"/>
          <w:shd w:val="clear" w:color="auto" w:fill="auto"/>
        </w:rPr>
        <w:t>2.在特殊情况下，招标人可与投标人协商延长投标书的有效期，这种要求和答复均以书面形式进行。</w:t>
      </w:r>
    </w:p>
    <w:p>
      <w:pPr>
        <w:snapToGrid w:val="0"/>
        <w:spacing w:line="360" w:lineRule="exact"/>
        <w:ind w:firstLine="420" w:firstLineChars="200"/>
        <w:jc w:val="left"/>
        <w:outlineLvl w:val="0"/>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3.投标人可拒绝接受延期要求而不会导致投标保证金被没收。同意延长有效期的投标人需要相应延长投标保证金的有效期，但不能修改投标文件。</w:t>
      </w:r>
      <w:r>
        <w:rPr>
          <w:rFonts w:hint="eastAsia" w:ascii="宋体" w:hAnsi="宋体"/>
          <w:b/>
          <w:color w:val="auto"/>
          <w:szCs w:val="21"/>
          <w:highlight w:val="none"/>
          <w:shd w:val="clear" w:color="auto" w:fill="auto"/>
        </w:rPr>
        <w:t xml:space="preserve"> </w:t>
      </w:r>
    </w:p>
    <w:p>
      <w:pPr>
        <w:snapToGrid w:val="0"/>
        <w:spacing w:line="360" w:lineRule="exact"/>
        <w:ind w:firstLine="420" w:firstLineChars="200"/>
        <w:jc w:val="left"/>
        <w:outlineLvl w:val="0"/>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4.中标人的投标文件自开标之日起至合同履行完毕止均应保持有效。</w:t>
      </w:r>
    </w:p>
    <w:p>
      <w:pPr>
        <w:snapToGrid w:val="0"/>
        <w:spacing w:before="156" w:beforeLines="50"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（五）投标保证金</w:t>
      </w:r>
    </w:p>
    <w:p>
      <w:pPr>
        <w:pStyle w:val="29"/>
        <w:spacing w:line="420" w:lineRule="exact"/>
        <w:ind w:left="840" w:leftChars="200" w:hanging="420" w:hangingChars="200"/>
        <w:rPr>
          <w:rFonts w:hint="eastAsia" w:hAnsi="宋体"/>
          <w:color w:val="auto"/>
          <w:highlight w:val="none"/>
          <w:shd w:val="clear" w:color="auto" w:fill="auto"/>
        </w:rPr>
      </w:pPr>
      <w:r>
        <w:rPr>
          <w:rFonts w:hint="eastAsia" w:hAnsi="宋体"/>
          <w:color w:val="auto"/>
          <w:highlight w:val="none"/>
          <w:shd w:val="clear" w:color="auto" w:fill="auto"/>
        </w:rPr>
        <w:t>1. 投标保证金应用人民币，投标人须按规定提交投标保证金。否则，其投标将被拒绝。</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2.保证金交纳形式：</w:t>
      </w:r>
      <w:r>
        <w:rPr>
          <w:rFonts w:hint="eastAsia" w:ascii="宋体" w:hAnsi="宋体"/>
          <w:color w:val="auto"/>
          <w:highlight w:val="none"/>
          <w:shd w:val="clear" w:color="auto" w:fill="auto"/>
          <w:lang w:eastAsia="zh-CN"/>
        </w:rPr>
        <w:t>支票、汇票、本票、金融机构、担保机构</w:t>
      </w:r>
      <w:r>
        <w:rPr>
          <w:rFonts w:ascii="宋体" w:hAnsi="宋体"/>
          <w:color w:val="auto"/>
          <w:highlight w:val="none"/>
          <w:shd w:val="clear" w:color="auto" w:fill="auto"/>
        </w:rPr>
        <w:t>出具的保函等非现金形式</w:t>
      </w:r>
      <w:r>
        <w:rPr>
          <w:rFonts w:hint="eastAsia" w:ascii="宋体" w:hAnsi="宋体"/>
          <w:color w:val="auto"/>
          <w:szCs w:val="21"/>
          <w:highlight w:val="none"/>
          <w:shd w:val="clear" w:color="auto" w:fill="auto"/>
        </w:rPr>
        <w:t>。</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w:t>
      </w:r>
      <w:r>
        <w:rPr>
          <w:rFonts w:ascii="宋体" w:hAnsi="宋体"/>
          <w:color w:val="auto"/>
          <w:szCs w:val="21"/>
          <w:highlight w:val="none"/>
          <w:shd w:val="clear" w:color="auto" w:fill="auto"/>
        </w:rPr>
        <w:t xml:space="preserve"> 投标人应按本须知</w:t>
      </w:r>
      <w:r>
        <w:rPr>
          <w:rFonts w:hint="eastAsia" w:ascii="宋体" w:hAnsi="宋体"/>
          <w:color w:val="auto"/>
          <w:szCs w:val="21"/>
          <w:highlight w:val="none"/>
          <w:shd w:val="clear" w:color="auto" w:fill="auto"/>
        </w:rPr>
        <w:t>及</w:t>
      </w:r>
      <w:r>
        <w:rPr>
          <w:rFonts w:ascii="宋体" w:hAnsi="宋体"/>
          <w:color w:val="auto"/>
          <w:szCs w:val="21"/>
          <w:highlight w:val="none"/>
          <w:shd w:val="clear" w:color="auto" w:fill="auto"/>
        </w:rPr>
        <w:t>招标公告中所明确的开户名称、开户银行、账号，于投标截止前交到本中心账户上（投标人交纳投标保证金时应充分考虑保证金到达本中心账户上的</w:t>
      </w:r>
      <w:r>
        <w:rPr>
          <w:rFonts w:hint="eastAsia" w:ascii="宋体" w:hAnsi="宋体"/>
          <w:color w:val="auto"/>
          <w:szCs w:val="21"/>
          <w:highlight w:val="none"/>
          <w:shd w:val="clear" w:color="auto" w:fill="auto"/>
        </w:rPr>
        <w:t>清算</w:t>
      </w:r>
      <w:r>
        <w:rPr>
          <w:rFonts w:ascii="宋体" w:hAnsi="宋体"/>
          <w:color w:val="auto"/>
          <w:szCs w:val="21"/>
          <w:highlight w:val="none"/>
          <w:shd w:val="clear" w:color="auto" w:fill="auto"/>
        </w:rPr>
        <w:t>时间）。</w:t>
      </w:r>
    </w:p>
    <w:p>
      <w:pPr>
        <w:snapToGrid w:val="0"/>
        <w:spacing w:line="360" w:lineRule="exact"/>
        <w:jc w:val="left"/>
        <w:rPr>
          <w:rFonts w:hint="eastAsia" w:ascii="宋体" w:hAnsi="宋体"/>
          <w:color w:val="auto"/>
          <w:szCs w:val="21"/>
          <w:highlight w:val="none"/>
          <w:shd w:val="clear" w:color="auto" w:fill="auto"/>
        </w:rPr>
      </w:pPr>
      <w:r>
        <w:rPr>
          <w:rFonts w:hint="eastAsia"/>
          <w:b/>
          <w:color w:val="auto"/>
          <w:highlight w:val="none"/>
          <w:u w:val="single"/>
          <w:shd w:val="clear" w:color="auto" w:fill="auto"/>
        </w:rPr>
        <w:t>本中心财务（</w:t>
      </w:r>
      <w:r>
        <w:rPr>
          <w:b/>
          <w:color w:val="auto"/>
          <w:highlight w:val="none"/>
          <w:u w:val="single"/>
          <w:shd w:val="clear" w:color="auto" w:fill="auto"/>
          <w:lang w:val="en"/>
        </w:rPr>
        <w:t>地址：</w:t>
      </w:r>
    </w:p>
    <w:p>
      <w:pPr>
        <w:pStyle w:val="29"/>
        <w:spacing w:line="420" w:lineRule="exact"/>
        <w:ind w:left="1" w:firstLine="630" w:firstLineChars="349"/>
        <w:rPr>
          <w:rFonts w:hint="eastAsia"/>
          <w:b/>
          <w:color w:val="auto"/>
          <w:sz w:val="18"/>
          <w:szCs w:val="18"/>
          <w:highlight w:val="none"/>
          <w:shd w:val="clear" w:color="auto" w:fill="auto"/>
        </w:rPr>
      </w:pPr>
      <w:r>
        <w:rPr>
          <w:rFonts w:hint="eastAsia" w:hAnsi="宋体"/>
          <w:b/>
          <w:color w:val="auto"/>
          <w:sz w:val="18"/>
          <w:szCs w:val="18"/>
          <w:highlight w:val="none"/>
          <w:shd w:val="clear" w:color="auto" w:fill="auto"/>
        </w:rPr>
        <w:t>注：①</w:t>
      </w:r>
      <w:r>
        <w:rPr>
          <w:rFonts w:hint="eastAsia"/>
          <w:b/>
          <w:color w:val="auto"/>
          <w:sz w:val="18"/>
          <w:szCs w:val="18"/>
          <w:highlight w:val="none"/>
          <w:shd w:val="clear" w:color="auto" w:fill="auto"/>
        </w:rPr>
        <w:t>办理投标保证金手续时，请务必在保证金凭据上注明或写明项目名称及项目编号，以免耽误投标。</w:t>
      </w:r>
    </w:p>
    <w:p>
      <w:pPr>
        <w:snapToGrid w:val="0"/>
        <w:spacing w:line="360" w:lineRule="exact"/>
        <w:ind w:firstLine="984" w:firstLineChars="545"/>
        <w:jc w:val="left"/>
        <w:rPr>
          <w:rFonts w:hint="eastAsia" w:hAnsi="宋体"/>
          <w:b/>
          <w:color w:val="auto"/>
          <w:sz w:val="18"/>
          <w:szCs w:val="18"/>
          <w:highlight w:val="none"/>
          <w:shd w:val="clear" w:color="auto" w:fill="auto"/>
        </w:rPr>
      </w:pPr>
      <w:r>
        <w:rPr>
          <w:rFonts w:hint="eastAsia" w:hAnsi="宋体"/>
          <w:b/>
          <w:color w:val="auto"/>
          <w:sz w:val="18"/>
          <w:szCs w:val="18"/>
          <w:highlight w:val="none"/>
          <w:shd w:val="clear" w:color="auto" w:fill="auto"/>
        </w:rPr>
        <w:t>②</w:t>
      </w:r>
      <w:r>
        <w:rPr>
          <w:rFonts w:hint="eastAsia" w:ascii="宋体" w:hAnsi="宋体"/>
          <w:b/>
          <w:color w:val="auto"/>
          <w:sz w:val="18"/>
          <w:szCs w:val="18"/>
          <w:highlight w:val="none"/>
          <w:shd w:val="clear" w:color="auto" w:fill="auto"/>
        </w:rPr>
        <w:t>未中标人的投标保证金在中标通知书发出后4个工作日内退还，</w:t>
      </w:r>
      <w:r>
        <w:rPr>
          <w:rFonts w:hint="eastAsia" w:hAnsi="宋体"/>
          <w:b/>
          <w:color w:val="auto"/>
          <w:sz w:val="18"/>
          <w:szCs w:val="18"/>
          <w:highlight w:val="none"/>
          <w:shd w:val="clear" w:color="auto" w:fill="auto"/>
        </w:rPr>
        <w:t>不计利息。</w:t>
      </w:r>
    </w:p>
    <w:p>
      <w:pPr>
        <w:snapToGrid w:val="0"/>
        <w:spacing w:line="360" w:lineRule="exact"/>
        <w:ind w:firstLine="990" w:firstLineChars="548"/>
        <w:jc w:val="left"/>
        <w:rPr>
          <w:rFonts w:hint="eastAsia" w:ascii="宋体" w:hAnsi="宋体"/>
          <w:b/>
          <w:color w:val="auto"/>
          <w:sz w:val="18"/>
          <w:szCs w:val="18"/>
          <w:highlight w:val="none"/>
          <w:shd w:val="clear" w:color="auto" w:fill="auto"/>
        </w:rPr>
      </w:pPr>
      <w:r>
        <w:rPr>
          <w:rFonts w:hint="eastAsia" w:hAnsi="宋体"/>
          <w:b/>
          <w:color w:val="auto"/>
          <w:sz w:val="18"/>
          <w:szCs w:val="18"/>
          <w:highlight w:val="none"/>
          <w:shd w:val="clear" w:color="auto" w:fill="auto"/>
        </w:rPr>
        <w:t>③</w:t>
      </w:r>
      <w:r>
        <w:rPr>
          <w:rFonts w:hint="eastAsia" w:ascii="宋体" w:hAnsi="宋体"/>
          <w:b/>
          <w:color w:val="auto"/>
          <w:spacing w:val="-4"/>
          <w:sz w:val="18"/>
          <w:szCs w:val="18"/>
          <w:highlight w:val="none"/>
          <w:shd w:val="clear" w:color="auto" w:fill="auto"/>
        </w:rPr>
        <w:t>中标人的</w:t>
      </w:r>
      <w:r>
        <w:rPr>
          <w:rFonts w:ascii="宋体" w:hAnsi="宋体"/>
          <w:b/>
          <w:color w:val="auto"/>
          <w:spacing w:val="-4"/>
          <w:sz w:val="18"/>
          <w:szCs w:val="18"/>
          <w:highlight w:val="none"/>
          <w:shd w:val="clear" w:color="auto" w:fill="auto"/>
        </w:rPr>
        <w:t>投标保证金自政府采购合同签订之日起</w:t>
      </w:r>
      <w:r>
        <w:rPr>
          <w:rFonts w:hint="eastAsia" w:ascii="宋体" w:hAnsi="宋体"/>
          <w:b/>
          <w:color w:val="auto"/>
          <w:spacing w:val="-4"/>
          <w:sz w:val="18"/>
          <w:szCs w:val="18"/>
          <w:highlight w:val="none"/>
          <w:shd w:val="clear" w:color="auto" w:fill="auto"/>
        </w:rPr>
        <w:t>4个工作日</w:t>
      </w:r>
      <w:r>
        <w:rPr>
          <w:rFonts w:ascii="宋体" w:hAnsi="宋体"/>
          <w:b/>
          <w:color w:val="auto"/>
          <w:spacing w:val="-4"/>
          <w:sz w:val="18"/>
          <w:szCs w:val="18"/>
          <w:highlight w:val="none"/>
          <w:shd w:val="clear" w:color="auto" w:fill="auto"/>
        </w:rPr>
        <w:t>内</w:t>
      </w:r>
      <w:r>
        <w:rPr>
          <w:rFonts w:hint="eastAsia" w:ascii="宋体" w:hAnsi="宋体"/>
          <w:b/>
          <w:color w:val="auto"/>
          <w:spacing w:val="-4"/>
          <w:sz w:val="18"/>
          <w:szCs w:val="18"/>
          <w:highlight w:val="none"/>
          <w:shd w:val="clear" w:color="auto" w:fill="auto"/>
        </w:rPr>
        <w:t>（合同签订后送达本中心)后</w:t>
      </w:r>
      <w:r>
        <w:rPr>
          <w:rFonts w:ascii="宋体" w:hAnsi="宋体"/>
          <w:b/>
          <w:color w:val="auto"/>
          <w:spacing w:val="-4"/>
          <w:sz w:val="18"/>
          <w:szCs w:val="18"/>
          <w:highlight w:val="none"/>
          <w:shd w:val="clear" w:color="auto" w:fill="auto"/>
        </w:rPr>
        <w:t>退还</w:t>
      </w:r>
      <w:r>
        <w:rPr>
          <w:rFonts w:hint="eastAsia" w:ascii="宋体" w:hAnsi="宋体"/>
          <w:b/>
          <w:color w:val="auto"/>
          <w:spacing w:val="-4"/>
          <w:sz w:val="18"/>
          <w:szCs w:val="18"/>
          <w:highlight w:val="none"/>
          <w:shd w:val="clear" w:color="auto" w:fill="auto"/>
        </w:rPr>
        <w:t>，不计利息。</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4. </w:t>
      </w:r>
      <w:r>
        <w:rPr>
          <w:rFonts w:ascii="宋体" w:hAnsi="宋体" w:cs="宋体"/>
          <w:color w:val="auto"/>
          <w:kern w:val="0"/>
          <w:szCs w:val="21"/>
          <w:highlight w:val="none"/>
          <w:shd w:val="clear" w:color="auto" w:fill="auto"/>
        </w:rPr>
        <w:t>中标人应在中标通知书发出</w:t>
      </w:r>
      <w:r>
        <w:rPr>
          <w:rFonts w:hint="eastAsia" w:ascii="宋体" w:hAnsi="宋体" w:cs="宋体"/>
          <w:color w:val="auto"/>
          <w:kern w:val="0"/>
          <w:szCs w:val="21"/>
          <w:highlight w:val="none"/>
          <w:shd w:val="clear" w:color="auto" w:fill="auto"/>
        </w:rPr>
        <w:t>之日起</w:t>
      </w:r>
      <w:r>
        <w:rPr>
          <w:rFonts w:hint="eastAsia" w:ascii="宋体" w:hAnsi="宋体"/>
          <w:color w:val="auto"/>
          <w:szCs w:val="21"/>
          <w:highlight w:val="none"/>
          <w:u w:val="single"/>
          <w:shd w:val="clear" w:color="auto" w:fill="auto"/>
        </w:rPr>
        <w:t>25</w:t>
      </w:r>
      <w:r>
        <w:rPr>
          <w:rFonts w:hint="eastAsia" w:ascii="宋体" w:hAnsi="宋体"/>
          <w:color w:val="auto"/>
          <w:szCs w:val="21"/>
          <w:highlight w:val="none"/>
          <w:shd w:val="clear" w:color="auto" w:fill="auto"/>
        </w:rPr>
        <w:t>日内与采购人签订合同。</w:t>
      </w:r>
      <w:r>
        <w:rPr>
          <w:rFonts w:hint="eastAsia" w:hAnsi="宋体"/>
          <w:bCs/>
          <w:color w:val="auto"/>
          <w:highlight w:val="none"/>
          <w:shd w:val="clear" w:color="auto" w:fill="auto"/>
        </w:rPr>
        <w:t>采购需求另有要求的，按照其要求执行。</w:t>
      </w:r>
    </w:p>
    <w:p>
      <w:pPr>
        <w:pStyle w:val="29"/>
        <w:spacing w:line="400" w:lineRule="exact"/>
        <w:ind w:firstLine="420" w:firstLineChars="200"/>
        <w:rPr>
          <w:rFonts w:hint="eastAsia" w:hAnsi="宋体"/>
          <w:color w:val="auto"/>
          <w:highlight w:val="none"/>
          <w:shd w:val="clear" w:color="auto" w:fill="auto"/>
        </w:rPr>
      </w:pPr>
      <w:r>
        <w:rPr>
          <w:rFonts w:hint="eastAsia"/>
          <w:color w:val="auto"/>
          <w:highlight w:val="none"/>
          <w:shd w:val="clear" w:color="auto" w:fill="auto"/>
        </w:rPr>
        <w:t>5.投标保证金不计息。</w:t>
      </w:r>
    </w:p>
    <w:p>
      <w:pPr>
        <w:snapToGrid w:val="0"/>
        <w:spacing w:line="360" w:lineRule="exact"/>
        <w:ind w:firstLine="413" w:firstLineChars="196"/>
        <w:jc w:val="left"/>
        <w:rPr>
          <w:rFonts w:hint="eastAsia"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6.投标人有下列情形之一的，投标保证金将不予退还：</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（1）投标人在投标有效期内撤回投标文件的；</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（2）投标人在投标过程中弄虚作假，提供虚假材料的；</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（3）中标人无正当理由不与采购人签订合同的；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w:t>
      </w:r>
      <w:r>
        <w:rPr>
          <w:rFonts w:hint="eastAsia" w:ascii="宋体" w:hAnsi="宋体"/>
          <w:bCs/>
          <w:color w:val="auto"/>
          <w:spacing w:val="-6"/>
          <w:szCs w:val="21"/>
          <w:highlight w:val="none"/>
          <w:shd w:val="clear" w:color="auto" w:fill="auto"/>
        </w:rPr>
        <w:t>将中标项目转让给他人或者在投标文件中未说明且未经招标采购人同意，将中标项目分包给他人的；</w:t>
      </w:r>
    </w:p>
    <w:p>
      <w:pPr>
        <w:snapToGrid w:val="0"/>
        <w:spacing w:line="360" w:lineRule="exact"/>
        <w:ind w:firstLine="411" w:firstLineChars="196"/>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（5）拒绝履行合同义务的；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（6）其他严重扰乱招投标程序的。</w:t>
      </w:r>
    </w:p>
    <w:p>
      <w:pPr>
        <w:snapToGrid w:val="0"/>
        <w:spacing w:line="360" w:lineRule="exact"/>
        <w:ind w:firstLine="421" w:firstLineChars="20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（六）投标文件的签署和份数</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1.投标人应按本招标文件规定的格式和顺序编制投标文件并标注页码，投标文件内容不完整、编排混乱导致投标文件被误读、漏读或者查找不到相关内容的，是投标人的责任。</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 投标文件份数：见投标人须知及前附表。</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3.投标文件须由投标人在规定位置盖章并由法定代表人或法定代表人的授权委托人</w:t>
      </w:r>
      <w:r>
        <w:rPr>
          <w:rFonts w:hint="eastAsia" w:ascii="宋体" w:hAnsi="宋体"/>
          <w:color w:val="auto"/>
          <w:szCs w:val="21"/>
          <w:highlight w:val="none"/>
          <w:shd w:val="clear" w:color="auto" w:fill="auto"/>
          <w:lang w:eastAsia="zh-CN"/>
        </w:rPr>
        <w:t>签字或签章</w:t>
      </w:r>
      <w:r>
        <w:rPr>
          <w:rFonts w:hint="eastAsia" w:ascii="宋体" w:hAnsi="宋体"/>
          <w:color w:val="auto"/>
          <w:szCs w:val="21"/>
          <w:highlight w:val="none"/>
          <w:shd w:val="clear" w:color="auto" w:fill="auto"/>
        </w:rPr>
        <w:t>，投标人应写全称。</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4.投标文件不得涂改，若有修改错漏处，须加盖单位公章或者法定代表人或授权委托人</w:t>
      </w:r>
      <w:r>
        <w:rPr>
          <w:rFonts w:hint="eastAsia" w:ascii="宋体" w:hAnsi="宋体"/>
          <w:color w:val="auto"/>
          <w:szCs w:val="21"/>
          <w:highlight w:val="none"/>
          <w:shd w:val="clear" w:color="auto" w:fill="auto"/>
          <w:lang w:eastAsia="zh-CN"/>
        </w:rPr>
        <w:t>签字或签章</w:t>
      </w:r>
      <w:r>
        <w:rPr>
          <w:rFonts w:hint="eastAsia" w:ascii="宋体" w:hAnsi="宋体"/>
          <w:color w:val="auto"/>
          <w:szCs w:val="21"/>
          <w:highlight w:val="none"/>
          <w:shd w:val="clear" w:color="auto" w:fill="auto"/>
        </w:rPr>
        <w:t>。投标文件扫描不清晰或乱码或表达不清所引起的后果由投标人负责。</w:t>
      </w:r>
    </w:p>
    <w:p>
      <w:pPr>
        <w:snapToGrid w:val="0"/>
        <w:spacing w:before="156" w:beforeLines="50" w:line="360" w:lineRule="exact"/>
        <w:ind w:firstLine="309" w:firstLineChars="147"/>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（七）</w:t>
      </w:r>
      <w:r>
        <w:rPr>
          <w:rFonts w:hint="eastAsia"/>
          <w:b/>
          <w:color w:val="auto"/>
          <w:highlight w:val="none"/>
          <w:shd w:val="clear" w:color="auto" w:fill="auto"/>
        </w:rPr>
        <w:t>投标文件的上传、提交、修改、撤回和解密</w:t>
      </w:r>
    </w:p>
    <w:p>
      <w:pPr>
        <w:adjustRightInd w:val="0"/>
        <w:snapToGrid w:val="0"/>
        <w:spacing w:line="400" w:lineRule="exact"/>
        <w:ind w:firstLine="420"/>
        <w:jc w:val="left"/>
        <w:rPr>
          <w:rFonts w:hint="eastAsia"/>
          <w:b/>
          <w:color w:val="auto"/>
          <w:highlight w:val="none"/>
          <w:shd w:val="clear" w:color="auto" w:fill="auto"/>
        </w:rPr>
      </w:pPr>
      <w:r>
        <w:rPr>
          <w:rFonts w:hint="eastAsia" w:hAnsi="宋体"/>
          <w:color w:val="auto"/>
          <w:highlight w:val="none"/>
          <w:shd w:val="clear" w:color="auto" w:fill="auto"/>
        </w:rPr>
        <w:t>▲</w:t>
      </w:r>
      <w:r>
        <w:rPr>
          <w:rFonts w:hint="eastAsia" w:ascii="宋体" w:hAnsi="宋体"/>
          <w:color w:val="auto"/>
          <w:szCs w:val="21"/>
          <w:highlight w:val="none"/>
          <w:shd w:val="clear" w:color="auto" w:fill="auto"/>
        </w:rPr>
        <w:t xml:space="preserve">1. </w:t>
      </w:r>
      <w:r>
        <w:rPr>
          <w:rFonts w:hint="eastAsia"/>
          <w:b/>
          <w:color w:val="auto"/>
          <w:highlight w:val="none"/>
          <w:shd w:val="clear" w:color="auto" w:fill="auto"/>
        </w:rPr>
        <w:t>投标文件的上传、提交：见投标人须知及前附表。</w:t>
      </w:r>
    </w:p>
    <w:p>
      <w:pPr>
        <w:adjustRightInd w:val="0"/>
        <w:snapToGrid w:val="0"/>
        <w:spacing w:line="400" w:lineRule="exact"/>
        <w:ind w:firstLine="42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ascii="宋体" w:hAnsi="宋体" w:cs="仿宋_GB2312"/>
          <w:color w:val="auto"/>
          <w:kern w:val="0"/>
          <w:szCs w:val="21"/>
          <w:highlight w:val="none"/>
          <w:shd w:val="clear" w:color="auto" w:fill="auto"/>
          <w:lang w:val="zh-CN"/>
        </w:rPr>
        <w:t xml:space="preserve"> 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adjustRightInd w:val="0"/>
        <w:snapToGrid w:val="0"/>
        <w:spacing w:line="400" w:lineRule="exact"/>
        <w:ind w:firstLine="424" w:firstLineChars="210"/>
        <w:rPr>
          <w:rFonts w:hint="eastAsia" w:ascii="宋体" w:hAnsi="宋体"/>
          <w:color w:val="auto"/>
          <w:spacing w:val="-4"/>
          <w:szCs w:val="21"/>
          <w:highlight w:val="none"/>
          <w:shd w:val="clear" w:color="auto" w:fill="auto"/>
        </w:rPr>
      </w:pPr>
      <w:r>
        <w:rPr>
          <w:rFonts w:hint="eastAsia" w:ascii="宋体" w:hAnsi="宋体"/>
          <w:color w:val="auto"/>
          <w:spacing w:val="-4"/>
          <w:szCs w:val="21"/>
          <w:highlight w:val="none"/>
          <w:shd w:val="clear" w:color="auto" w:fill="auto"/>
        </w:rPr>
        <w:t>3.</w:t>
      </w:r>
      <w:r>
        <w:rPr>
          <w:rFonts w:hint="eastAsia" w:ascii="宋体"/>
          <w:snapToGrid w:val="0"/>
          <w:color w:val="auto"/>
          <w:szCs w:val="21"/>
          <w:highlight w:val="none"/>
          <w:shd w:val="clear" w:color="auto" w:fill="auto"/>
        </w:rPr>
        <w:t xml:space="preserve"> 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snapToGrid w:val="0"/>
        <w:spacing w:line="360" w:lineRule="exact"/>
        <w:ind w:firstLine="420"/>
        <w:jc w:val="left"/>
        <w:rPr>
          <w:rFonts w:hint="eastAsia" w:ascii="宋体" w:hAnsi="宋体"/>
          <w:color w:val="auto"/>
          <w:spacing w:val="-4"/>
          <w:szCs w:val="21"/>
          <w:highlight w:val="none"/>
          <w:shd w:val="clear" w:color="auto" w:fill="auto"/>
        </w:rPr>
      </w:pPr>
      <w:r>
        <w:rPr>
          <w:rFonts w:hint="eastAsia" w:ascii="宋体" w:hAnsi="宋体"/>
          <w:color w:val="auto"/>
          <w:spacing w:val="-4"/>
          <w:szCs w:val="21"/>
          <w:highlight w:val="none"/>
          <w:shd w:val="clear" w:color="auto" w:fill="auto"/>
        </w:rPr>
        <w:t>4.投标人已经被推荐为第一中标候选供应商后撤回投标或放弃中标的，其投标保证金将不予退还，并上缴国库，给采购人造成损失的，还应当赔偿损失，并作为不良行为记录在案。</w:t>
      </w:r>
    </w:p>
    <w:p>
      <w:pPr>
        <w:snapToGrid w:val="0"/>
        <w:spacing w:line="360" w:lineRule="exact"/>
        <w:ind w:firstLine="420"/>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（八）投标无效的情形</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1.在符合性审查和资格性审查时，如发现下列情形之一的，投标文件将被视为无效：</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（1）超越了按照法律法规规定必须获得行政许可或者行政审批的经营范围的；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（2）资格证明文件不全的，或者不符合招标文件标明的资格要求的；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（3）投标文件无法定代表人（负责人）或其授权委托代理人</w:t>
      </w:r>
      <w:r>
        <w:rPr>
          <w:rFonts w:hint="default" w:ascii="宋体" w:hAnsi="宋体" w:eastAsia="宋体"/>
          <w:color w:val="auto"/>
          <w:spacing w:val="-4"/>
          <w:sz w:val="21"/>
          <w:szCs w:val="21"/>
          <w:highlight w:val="none"/>
          <w:shd w:val="clear" w:color="auto" w:fill="auto"/>
          <w:lang w:val="en"/>
        </w:rPr>
        <w:t>签字或签章</w:t>
      </w:r>
      <w:r>
        <w:rPr>
          <w:rFonts w:hint="eastAsia" w:ascii="宋体" w:hAnsi="宋体" w:eastAsia="宋体"/>
          <w:color w:val="auto"/>
          <w:spacing w:val="-4"/>
          <w:sz w:val="21"/>
          <w:szCs w:val="21"/>
          <w:highlight w:val="none"/>
          <w:shd w:val="clear" w:color="auto" w:fill="auto"/>
        </w:rPr>
        <w:t>，或未提供法定代表人（负责人）授权委托书、投标声明书或者填写项目不齐全的；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（4）投标代表人未能出具身份证明或与法定代表人（负责人）授权委托人身份不符的；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（5）项目不齐全或者内容虚假的；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（6）投标文件的实质性内容未使用中文表述、意思表述不明确、前后矛盾或者使用计量单位不符合投标文件要求的（经评标委员会认定并允许其当场更正的笔误除外）；</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（7）投标有效期、交付使用时间、质保期等商务条款不能满足招标文件要求的；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（8）未实质性响应招标文件要求或者投标文件有招标方不能接受的附加条件的；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（9）</w:t>
      </w:r>
      <w:r>
        <w:rPr>
          <w:rFonts w:ascii="宋体" w:hAnsi="宋体" w:eastAsia="宋体"/>
          <w:color w:val="auto"/>
          <w:spacing w:val="-4"/>
          <w:sz w:val="21"/>
          <w:szCs w:val="21"/>
          <w:highlight w:val="none"/>
          <w:shd w:val="clear" w:color="auto" w:fill="auto"/>
        </w:rPr>
        <w:t>未按照招标文件的规定提交投标保证金的</w:t>
      </w:r>
      <w:r>
        <w:rPr>
          <w:rFonts w:hint="eastAsia" w:ascii="宋体" w:hAnsi="宋体" w:eastAsia="宋体"/>
          <w:color w:val="auto"/>
          <w:spacing w:val="-4"/>
          <w:sz w:val="21"/>
          <w:szCs w:val="21"/>
          <w:highlight w:val="none"/>
          <w:shd w:val="clear" w:color="auto" w:fill="auto"/>
        </w:rPr>
        <w:t>（说明：评标时，评标委员会将以本中心财务室编制的《采购文件购买名单及保证金收缴情况表》作为评审依据）。</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2.在技术评审时，如发现下列情形之一的，投标文件将被视为无效：</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（1）未提供或未如实提供投标货物的技术参数，或者投标文件标明的响应或偏离与事实不符或虚假投标的；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（2）明显不符合招标文件要求的规格型号、质量标准，或者与招标文件中的技术指标、主要功能项目发生实质性偏离的；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（3）标星号“</w:t>
      </w:r>
      <w:r>
        <w:rPr>
          <w:rFonts w:hint="eastAsia" w:ascii="宋体" w:hAnsi="宋体" w:cs="宋体"/>
          <w:color w:val="auto"/>
          <w:kern w:val="0"/>
          <w:sz w:val="21"/>
          <w:szCs w:val="21"/>
          <w:highlight w:val="none"/>
          <w:shd w:val="clear" w:color="auto" w:fill="auto"/>
        </w:rPr>
        <w:t>▲</w:t>
      </w:r>
      <w:r>
        <w:rPr>
          <w:rFonts w:hint="eastAsia" w:ascii="宋体" w:hAnsi="宋体" w:eastAsia="宋体"/>
          <w:color w:val="auto"/>
          <w:spacing w:val="-4"/>
          <w:sz w:val="21"/>
          <w:szCs w:val="21"/>
          <w:highlight w:val="none"/>
          <w:shd w:val="clear" w:color="auto" w:fill="auto"/>
        </w:rPr>
        <w:t>”的技术、性能指标发生负偏离达</w:t>
      </w:r>
      <w:r>
        <w:rPr>
          <w:rFonts w:hint="eastAsia" w:ascii="宋体" w:hAnsi="宋体" w:eastAsia="宋体"/>
          <w:color w:val="auto"/>
          <w:spacing w:val="-4"/>
          <w:sz w:val="21"/>
          <w:szCs w:val="21"/>
          <w:highlight w:val="none"/>
          <w:u w:val="single"/>
          <w:shd w:val="clear" w:color="auto" w:fill="auto"/>
        </w:rPr>
        <w:t xml:space="preserve">  1  </w:t>
      </w:r>
      <w:r>
        <w:rPr>
          <w:rFonts w:hint="eastAsia" w:ascii="宋体" w:hAnsi="宋体" w:eastAsia="宋体"/>
          <w:color w:val="auto"/>
          <w:spacing w:val="-4"/>
          <w:sz w:val="21"/>
          <w:szCs w:val="21"/>
          <w:highlight w:val="none"/>
          <w:shd w:val="clear" w:color="auto" w:fill="auto"/>
        </w:rPr>
        <w:t>项（含）以上的；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（4）投标技术方案不明确，存在一个或一个以上备选（替换）投标方案的；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（5）与其他参加本次投标供应商的投标文件（技术文件）的文字表述内容差错相同二处以上的。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3.在报价评审时，如发现下列情形之一的，投标文件将被视为无效：</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（1）未采用人民币报价或者未按照招标文件标明的币种报价的；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（2）报价超出最高限价，或者超出采购预算金额，采购人不能支付的；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（3）投标报价具有选择性，或者开标价格与投标文件承诺的优惠（折扣）价格不一致的。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（4）评标委员会认为投标人的报价明显低于其他通过符合性审查投标人的报价，有可能影响产品质量或者不能诚信履约，投标人不能证明其报价合理性的。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4.有下列情形之一的视为投标人相互串通投标，投标文件将被视为无效:</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（1）不同投标人的投标文件由同一单位或者个人编制；或不同投标人报名的IP地址一致的；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（2）不同投标人委托同一单位或者个人办理投标事宜；</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（3）不同投标人的投标文件载明的项目管理成员或者联系人员为同一人；</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（4）不同投标人的投标文件异常一致或投标报价呈规律性差异；</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（5）不同投标人的投标文件相互混装；</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（6）不同投标人的投标保证金从同一个单位或者个人账户转出。</w:t>
      </w:r>
    </w:p>
    <w:p>
      <w:pPr>
        <w:pStyle w:val="22"/>
        <w:adjustRightInd w:val="0"/>
        <w:snapToGrid w:val="0"/>
        <w:spacing w:line="400" w:lineRule="exact"/>
        <w:ind w:firstLine="395" w:firstLineChars="196"/>
        <w:rPr>
          <w:rFonts w:hint="eastAsia" w:ascii="宋体" w:hAnsi="宋体" w:eastAsia="宋体"/>
          <w:bCs/>
          <w:color w:val="auto"/>
          <w:sz w:val="21"/>
          <w:szCs w:val="21"/>
          <w:highlight w:val="none"/>
          <w:shd w:val="clear" w:color="auto" w:fill="auto"/>
        </w:rPr>
      </w:pPr>
      <w:r>
        <w:rPr>
          <w:rFonts w:ascii="宋体" w:hAnsi="宋体" w:eastAsia="宋体"/>
          <w:color w:val="auto"/>
          <w:spacing w:val="-4"/>
          <w:sz w:val="21"/>
          <w:szCs w:val="21"/>
          <w:highlight w:val="none"/>
          <w:shd w:val="clear" w:color="auto" w:fill="auto"/>
          <w:lang w:val="en"/>
        </w:rPr>
        <w:t>5</w:t>
      </w:r>
      <w:r>
        <w:rPr>
          <w:rFonts w:hint="eastAsia" w:ascii="宋体" w:hAnsi="宋体" w:eastAsia="宋体"/>
          <w:color w:val="auto"/>
          <w:spacing w:val="-4"/>
          <w:sz w:val="21"/>
          <w:szCs w:val="21"/>
          <w:highlight w:val="none"/>
          <w:shd w:val="clear" w:color="auto" w:fill="auto"/>
        </w:rPr>
        <w:t>.</w:t>
      </w:r>
      <w:r>
        <w:rPr>
          <w:rFonts w:hint="eastAsia" w:ascii="宋体" w:hAnsi="宋体"/>
          <w:bCs/>
          <w:color w:val="auto"/>
          <w:sz w:val="21"/>
          <w:szCs w:val="21"/>
          <w:highlight w:val="none"/>
          <w:shd w:val="clear" w:color="auto" w:fill="auto"/>
        </w:rPr>
        <w:t xml:space="preserve"> </w:t>
      </w:r>
      <w:r>
        <w:rPr>
          <w:rFonts w:hint="eastAsia" w:ascii="宋体" w:hAnsi="宋体" w:eastAsia="宋体"/>
          <w:bCs/>
          <w:color w:val="auto"/>
          <w:sz w:val="21"/>
          <w:szCs w:val="21"/>
          <w:highlight w:val="none"/>
          <w:shd w:val="clear" w:color="auto" w:fill="auto"/>
        </w:rPr>
        <w:t>其他投标无效的情形：</w:t>
      </w:r>
    </w:p>
    <w:p>
      <w:pPr>
        <w:pStyle w:val="22"/>
        <w:adjustRightInd w:val="0"/>
        <w:snapToGrid w:val="0"/>
        <w:spacing w:line="400" w:lineRule="exact"/>
        <w:ind w:firstLine="413" w:firstLineChars="196"/>
        <w:rPr>
          <w:rFonts w:hint="eastAsia" w:ascii="宋体" w:hAnsi="宋体" w:eastAsia="宋体"/>
          <w:b/>
          <w:bCs/>
          <w:color w:val="auto"/>
          <w:sz w:val="21"/>
          <w:szCs w:val="21"/>
          <w:highlight w:val="none"/>
          <w:shd w:val="clear" w:color="auto" w:fill="auto"/>
        </w:rPr>
      </w:pPr>
      <w:r>
        <w:rPr>
          <w:rFonts w:hint="eastAsia" w:ascii="宋体" w:hAnsi="宋体" w:eastAsia="宋体"/>
          <w:b/>
          <w:bCs/>
          <w:color w:val="auto"/>
          <w:sz w:val="21"/>
          <w:szCs w:val="21"/>
          <w:highlight w:val="none"/>
          <w:shd w:val="clear" w:color="auto" w:fill="auto"/>
        </w:rPr>
        <w:t>（1）</w:t>
      </w:r>
      <w:r>
        <w:rPr>
          <w:rFonts w:ascii="宋体" w:hAnsi="宋体" w:eastAsia="宋体"/>
          <w:b/>
          <w:bCs/>
          <w:color w:val="auto"/>
          <w:sz w:val="21"/>
          <w:szCs w:val="21"/>
          <w:highlight w:val="none"/>
          <w:shd w:val="clear" w:color="auto" w:fill="auto"/>
        </w:rPr>
        <w:t>投标文件未按招标文件要求签署</w:t>
      </w:r>
      <w:r>
        <w:rPr>
          <w:rFonts w:hint="eastAsia" w:ascii="宋体" w:hAnsi="宋体" w:eastAsia="宋体"/>
          <w:b/>
          <w:bCs/>
          <w:color w:val="auto"/>
          <w:sz w:val="21"/>
          <w:szCs w:val="21"/>
          <w:highlight w:val="none"/>
          <w:shd w:val="clear" w:color="auto" w:fill="auto"/>
        </w:rPr>
        <w:t>或</w:t>
      </w:r>
      <w:r>
        <w:rPr>
          <w:rFonts w:ascii="宋体" w:hAnsi="宋体" w:eastAsia="宋体"/>
          <w:b/>
          <w:bCs/>
          <w:color w:val="auto"/>
          <w:sz w:val="21"/>
          <w:szCs w:val="21"/>
          <w:highlight w:val="none"/>
          <w:shd w:val="clear" w:color="auto" w:fill="auto"/>
        </w:rPr>
        <w:t>CA电子签章的；</w:t>
      </w:r>
    </w:p>
    <w:p>
      <w:pPr>
        <w:pStyle w:val="22"/>
        <w:adjustRightInd w:val="0"/>
        <w:snapToGrid w:val="0"/>
        <w:spacing w:line="400" w:lineRule="exact"/>
        <w:ind w:firstLine="413" w:firstLineChars="196"/>
        <w:rPr>
          <w:rFonts w:hint="eastAsia" w:ascii="宋体" w:hAnsi="宋体" w:eastAsia="宋体"/>
          <w:b/>
          <w:bCs/>
          <w:color w:val="auto"/>
          <w:sz w:val="21"/>
          <w:szCs w:val="21"/>
          <w:highlight w:val="none"/>
          <w:shd w:val="clear" w:color="auto" w:fill="auto"/>
        </w:rPr>
      </w:pPr>
      <w:r>
        <w:rPr>
          <w:rFonts w:hint="eastAsia" w:ascii="宋体" w:hAnsi="宋体" w:eastAsia="宋体"/>
          <w:b/>
          <w:bCs/>
          <w:color w:val="auto"/>
          <w:sz w:val="21"/>
          <w:szCs w:val="21"/>
          <w:highlight w:val="none"/>
          <w:shd w:val="clear" w:color="auto" w:fill="auto"/>
        </w:rPr>
        <w:t>（2）</w:t>
      </w:r>
      <w:r>
        <w:rPr>
          <w:rFonts w:ascii="宋体" w:hAnsi="宋体" w:eastAsia="宋体"/>
          <w:b/>
          <w:bCs/>
          <w:color w:val="auto"/>
          <w:sz w:val="21"/>
          <w:szCs w:val="21"/>
          <w:highlight w:val="none"/>
          <w:shd w:val="clear" w:color="auto" w:fill="auto"/>
        </w:rPr>
        <w:t>供应商提交两份或两份以上内容不同的投标文件；</w:t>
      </w:r>
    </w:p>
    <w:p>
      <w:pPr>
        <w:pStyle w:val="29"/>
        <w:adjustRightInd w:val="0"/>
        <w:snapToGrid w:val="0"/>
        <w:spacing w:line="400" w:lineRule="exact"/>
        <w:ind w:firstLine="421" w:firstLineChars="200"/>
        <w:rPr>
          <w:rFonts w:hAnsi="宋体"/>
          <w:b/>
          <w:bCs/>
          <w:color w:val="auto"/>
          <w:highlight w:val="none"/>
          <w:shd w:val="clear" w:color="auto" w:fill="auto"/>
        </w:rPr>
      </w:pPr>
      <w:r>
        <w:rPr>
          <w:rFonts w:hint="eastAsia" w:hAnsi="宋体"/>
          <w:b/>
          <w:bCs/>
          <w:color w:val="auto"/>
          <w:highlight w:val="none"/>
          <w:shd w:val="clear" w:color="auto" w:fill="auto"/>
        </w:rPr>
        <w:t>（3）</w:t>
      </w:r>
      <w:r>
        <w:rPr>
          <w:rFonts w:hAnsi="宋体"/>
          <w:b/>
          <w:bCs/>
          <w:color w:val="auto"/>
          <w:highlight w:val="none"/>
          <w:shd w:val="clear" w:color="auto" w:fill="auto"/>
        </w:rPr>
        <w:t>投标供应商在线制作投标文件时</w:t>
      </w:r>
      <w:r>
        <w:rPr>
          <w:rFonts w:hint="eastAsia" w:hAnsi="宋体"/>
          <w:b/>
          <w:bCs/>
          <w:color w:val="auto"/>
          <w:highlight w:val="none"/>
          <w:shd w:val="clear" w:color="auto" w:fill="auto"/>
        </w:rPr>
        <w:t>填写的报价金额</w:t>
      </w:r>
      <w:r>
        <w:rPr>
          <w:rFonts w:hAnsi="宋体"/>
          <w:b/>
          <w:bCs/>
          <w:color w:val="auto"/>
          <w:highlight w:val="none"/>
          <w:shd w:val="clear" w:color="auto" w:fill="auto"/>
        </w:rPr>
        <w:t>与解密后“电子加密投标文件”中《开标一览表》填写的金额不一致并拒绝按招标文件要求接受调整的；</w:t>
      </w:r>
    </w:p>
    <w:p>
      <w:pPr>
        <w:pStyle w:val="22"/>
        <w:snapToGrid w:val="0"/>
        <w:spacing w:line="360" w:lineRule="exact"/>
        <w:ind w:firstLine="413"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s="Courier New"/>
          <w:b/>
          <w:bCs/>
          <w:color w:val="auto"/>
          <w:sz w:val="21"/>
          <w:szCs w:val="21"/>
          <w:highlight w:val="none"/>
          <w:shd w:val="clear" w:color="auto" w:fill="auto"/>
        </w:rPr>
        <w:t>（4）</w:t>
      </w:r>
      <w:r>
        <w:rPr>
          <w:rFonts w:ascii="宋体" w:hAnsi="宋体" w:eastAsia="宋体" w:cs="Courier New"/>
          <w:b/>
          <w:bCs/>
          <w:color w:val="auto"/>
          <w:sz w:val="21"/>
          <w:szCs w:val="21"/>
          <w:highlight w:val="none"/>
          <w:shd w:val="clear" w:color="auto" w:fill="auto"/>
        </w:rPr>
        <w:t>法律、法规和招标文件规定的其他无效情形（或出现重大偏差）。</w:t>
      </w:r>
    </w:p>
    <w:p>
      <w:pPr>
        <w:pStyle w:val="22"/>
        <w:snapToGrid w:val="0"/>
        <w:spacing w:line="360" w:lineRule="exact"/>
        <w:ind w:firstLine="395" w:firstLineChars="196"/>
        <w:outlineLvl w:val="0"/>
        <w:rPr>
          <w:rFonts w:ascii="宋体" w:hAnsi="宋体" w:eastAsia="宋体"/>
          <w:color w:val="auto"/>
          <w:spacing w:val="-4"/>
          <w:sz w:val="21"/>
          <w:szCs w:val="21"/>
          <w:highlight w:val="none"/>
          <w:shd w:val="clear" w:color="auto" w:fill="auto"/>
        </w:rPr>
      </w:pPr>
      <w:r>
        <w:rPr>
          <w:rFonts w:ascii="宋体" w:hAnsi="宋体" w:eastAsia="宋体"/>
          <w:color w:val="auto"/>
          <w:spacing w:val="-4"/>
          <w:sz w:val="21"/>
          <w:szCs w:val="21"/>
          <w:highlight w:val="none"/>
          <w:shd w:val="clear" w:color="auto" w:fill="auto"/>
          <w:lang w:val="en"/>
        </w:rPr>
        <w:t>6</w:t>
      </w:r>
      <w:r>
        <w:rPr>
          <w:rFonts w:hint="eastAsia" w:ascii="宋体" w:hAnsi="宋体" w:eastAsia="宋体"/>
          <w:color w:val="auto"/>
          <w:spacing w:val="-4"/>
          <w:sz w:val="21"/>
          <w:szCs w:val="21"/>
          <w:highlight w:val="none"/>
          <w:shd w:val="clear" w:color="auto" w:fill="auto"/>
        </w:rPr>
        <w:t>.被拒绝的投标文件为无效。</w:t>
      </w:r>
    </w:p>
    <w:p>
      <w:pPr>
        <w:pStyle w:val="22"/>
        <w:snapToGrid w:val="0"/>
        <w:spacing w:line="360" w:lineRule="exact"/>
        <w:ind w:firstLine="413" w:firstLineChars="196"/>
        <w:outlineLvl w:val="0"/>
        <w:rPr>
          <w:rFonts w:hint="eastAsia" w:ascii="宋体" w:hAnsi="宋体" w:eastAsia="宋体"/>
          <w:b/>
          <w:color w:val="auto"/>
          <w:sz w:val="21"/>
          <w:szCs w:val="21"/>
          <w:highlight w:val="none"/>
          <w:shd w:val="clear" w:color="auto" w:fill="auto"/>
        </w:rPr>
      </w:pPr>
    </w:p>
    <w:p>
      <w:pPr>
        <w:pStyle w:val="22"/>
        <w:snapToGrid w:val="0"/>
        <w:spacing w:line="360" w:lineRule="exact"/>
        <w:ind w:firstLine="413" w:firstLineChars="196"/>
        <w:outlineLvl w:val="0"/>
        <w:rPr>
          <w:rFonts w:hint="eastAsia" w:ascii="宋体" w:hAnsi="宋体" w:eastAsia="宋体"/>
          <w:b/>
          <w:snapToGrid w:val="0"/>
          <w:color w:val="auto"/>
          <w:sz w:val="21"/>
          <w:szCs w:val="21"/>
          <w:highlight w:val="none"/>
          <w:shd w:val="clear" w:color="auto" w:fill="auto"/>
        </w:rPr>
      </w:pPr>
      <w:r>
        <w:rPr>
          <w:rFonts w:hint="eastAsia" w:ascii="宋体" w:hAnsi="宋体" w:eastAsia="宋体"/>
          <w:b/>
          <w:color w:val="auto"/>
          <w:sz w:val="21"/>
          <w:szCs w:val="21"/>
          <w:highlight w:val="none"/>
          <w:shd w:val="clear" w:color="auto" w:fill="auto"/>
        </w:rPr>
        <w:t>四、开标</w:t>
      </w:r>
    </w:p>
    <w:p>
      <w:pPr>
        <w:pStyle w:val="29"/>
        <w:snapToGrid w:val="0"/>
        <w:spacing w:line="360" w:lineRule="exact"/>
        <w:ind w:firstLine="413" w:firstLineChars="196"/>
        <w:outlineLvl w:val="0"/>
        <w:rPr>
          <w:rFonts w:hint="eastAsia" w:hAnsi="宋体"/>
          <w:b/>
          <w:color w:val="auto"/>
          <w:highlight w:val="none"/>
          <w:shd w:val="clear" w:color="auto" w:fill="auto"/>
        </w:rPr>
      </w:pPr>
      <w:r>
        <w:rPr>
          <w:rFonts w:hint="eastAsia" w:hAnsi="宋体"/>
          <w:b/>
          <w:color w:val="auto"/>
          <w:highlight w:val="none"/>
          <w:shd w:val="clear" w:color="auto" w:fill="auto"/>
        </w:rPr>
        <w:t>（一）开标准备</w:t>
      </w:r>
    </w:p>
    <w:p>
      <w:pPr>
        <w:pStyle w:val="29"/>
        <w:snapToGrid w:val="0"/>
        <w:spacing w:line="360" w:lineRule="exact"/>
        <w:ind w:firstLine="420" w:firstLineChars="200"/>
        <w:rPr>
          <w:rFonts w:hint="eastAsia" w:hAnsi="宋体"/>
          <w:bCs/>
          <w:color w:val="auto"/>
          <w:highlight w:val="none"/>
          <w:shd w:val="clear" w:color="auto" w:fill="auto"/>
        </w:rPr>
      </w:pPr>
      <w:r>
        <w:rPr>
          <w:rFonts w:hint="eastAsia" w:hAnsi="宋体"/>
          <w:bCs/>
          <w:color w:val="auto"/>
          <w:highlight w:val="none"/>
          <w:shd w:val="clear" w:color="auto" w:fill="auto"/>
        </w:rPr>
        <w:t>本中心将</w:t>
      </w:r>
      <w:r>
        <w:rPr>
          <w:rFonts w:hint="eastAsia"/>
          <w:color w:val="auto"/>
          <w:sz w:val="22"/>
          <w:highlight w:val="none"/>
          <w:shd w:val="clear" w:color="auto" w:fill="auto"/>
        </w:rPr>
        <w:t>按招标文件规定的时间、地点通过“</w:t>
      </w:r>
      <w:r>
        <w:rPr>
          <w:rFonts w:hint="eastAsia"/>
          <w:color w:val="auto"/>
          <w:sz w:val="22"/>
          <w:highlight w:val="none"/>
          <w:shd w:val="clear" w:color="auto" w:fill="auto"/>
          <w:lang w:eastAsia="zh-CN"/>
        </w:rPr>
        <w:t>广西政府采购云平台</w:t>
      </w:r>
      <w:r>
        <w:rPr>
          <w:rFonts w:hint="eastAsia"/>
          <w:color w:val="auto"/>
          <w:sz w:val="22"/>
          <w:highlight w:val="none"/>
          <w:shd w:val="clear" w:color="auto" w:fill="auto"/>
        </w:rPr>
        <w:t>”组织开标、开启投标文件，所有供应商均应当准时在线参加。投</w:t>
      </w:r>
      <w:r>
        <w:rPr>
          <w:color w:val="auto"/>
          <w:sz w:val="22"/>
          <w:highlight w:val="none"/>
          <w:shd w:val="clear" w:color="auto" w:fill="auto"/>
        </w:rPr>
        <w:t>标供应商因未在线参加开标而导致投标文件无法按时解密等一切后果由供应商自</w:t>
      </w:r>
      <w:r>
        <w:rPr>
          <w:rFonts w:hint="eastAsia"/>
          <w:color w:val="auto"/>
          <w:sz w:val="22"/>
          <w:highlight w:val="none"/>
          <w:shd w:val="clear" w:color="auto" w:fill="auto"/>
        </w:rPr>
        <w:t>行</w:t>
      </w:r>
      <w:r>
        <w:rPr>
          <w:color w:val="auto"/>
          <w:sz w:val="22"/>
          <w:highlight w:val="none"/>
          <w:shd w:val="clear" w:color="auto" w:fill="auto"/>
        </w:rPr>
        <w:t>承担。</w:t>
      </w:r>
    </w:p>
    <w:p>
      <w:pPr>
        <w:pStyle w:val="29"/>
        <w:snapToGrid w:val="0"/>
        <w:spacing w:line="360" w:lineRule="exact"/>
        <w:ind w:firstLine="413" w:firstLineChars="196"/>
        <w:outlineLvl w:val="0"/>
        <w:rPr>
          <w:rFonts w:hint="eastAsia" w:hAnsi="宋体"/>
          <w:b/>
          <w:color w:val="auto"/>
          <w:highlight w:val="none"/>
          <w:shd w:val="clear" w:color="auto" w:fill="auto"/>
        </w:rPr>
      </w:pPr>
      <w:r>
        <w:rPr>
          <w:rFonts w:hint="eastAsia" w:hAnsi="宋体"/>
          <w:b/>
          <w:color w:val="auto"/>
          <w:highlight w:val="none"/>
          <w:shd w:val="clear" w:color="auto" w:fill="auto"/>
        </w:rPr>
        <w:t>（二） 开标程序：</w:t>
      </w:r>
    </w:p>
    <w:p>
      <w:pPr>
        <w:pStyle w:val="29"/>
        <w:adjustRightInd w:val="0"/>
        <w:snapToGrid w:val="0"/>
        <w:spacing w:line="40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1.电子开标会由本中心主持</w:t>
      </w:r>
    </w:p>
    <w:p>
      <w:pPr>
        <w:pStyle w:val="29"/>
        <w:adjustRightInd w:val="0"/>
        <w:snapToGrid w:val="0"/>
        <w:spacing w:line="400" w:lineRule="exact"/>
        <w:ind w:firstLine="420" w:firstLineChars="200"/>
        <w:rPr>
          <w:color w:val="auto"/>
          <w:highlight w:val="none"/>
          <w:shd w:val="clear" w:color="auto" w:fill="auto"/>
        </w:rPr>
      </w:pPr>
      <w:r>
        <w:rPr>
          <w:rFonts w:hint="eastAsia" w:hAnsi="宋体"/>
          <w:color w:val="auto"/>
          <w:highlight w:val="none"/>
          <w:shd w:val="clear" w:color="auto" w:fill="auto"/>
        </w:rPr>
        <w:t>2.本中心工作人员</w:t>
      </w:r>
      <w:r>
        <w:rPr>
          <w:rFonts w:hint="eastAsia"/>
          <w:color w:val="auto"/>
          <w:highlight w:val="none"/>
          <w:shd w:val="clear" w:color="auto" w:fill="auto"/>
        </w:rPr>
        <w:t>向各投标供应商发出电子加密投标文件【开始解密】通知，由供应商按招标文件规定的时间内自行进行投标文件解密。</w:t>
      </w:r>
      <w:r>
        <w:rPr>
          <w:rFonts w:hint="eastAsia"/>
          <w:snapToGrid w:val="0"/>
          <w:color w:val="auto"/>
          <w:highlight w:val="none"/>
          <w:shd w:val="clear" w:color="auto" w:fill="auto"/>
        </w:rPr>
        <w:t>投标供应商未在规定时间内完成解密的，系统默认自动放弃。</w:t>
      </w:r>
    </w:p>
    <w:p>
      <w:pPr>
        <w:pStyle w:val="29"/>
        <w:adjustRightInd w:val="0"/>
        <w:snapToGrid w:val="0"/>
        <w:spacing w:line="40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3.</w:t>
      </w:r>
      <w:r>
        <w:rPr>
          <w:rFonts w:hAnsi="宋体"/>
          <w:color w:val="auto"/>
          <w:highlight w:val="none"/>
          <w:shd w:val="clear" w:color="auto" w:fill="auto"/>
        </w:rPr>
        <w:t>投标文件解密结束，开启</w:t>
      </w:r>
      <w:r>
        <w:rPr>
          <w:rFonts w:hint="eastAsia" w:hAnsi="宋体"/>
          <w:color w:val="auto"/>
          <w:highlight w:val="none"/>
          <w:shd w:val="clear" w:color="auto" w:fill="auto"/>
        </w:rPr>
        <w:t>报价文件。投标供应商在线制作投标文件时填写的报价金额</w:t>
      </w:r>
      <w:r>
        <w:rPr>
          <w:rFonts w:hAnsi="宋体"/>
          <w:color w:val="auto"/>
          <w:highlight w:val="none"/>
          <w:shd w:val="clear" w:color="auto" w:fill="auto"/>
        </w:rPr>
        <w:t>与解密后“电子加密投标文件”中《开标一览表》填写的金额不一致的，以解密后“电子加密投标文件”中《开标一览表》填写的金额为准，投标供应商拒绝接受此调整的，按无效投标处理。</w:t>
      </w:r>
    </w:p>
    <w:p>
      <w:pPr>
        <w:pStyle w:val="29"/>
        <w:adjustRightInd w:val="0"/>
        <w:snapToGrid w:val="0"/>
        <w:spacing w:line="40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4.进入</w:t>
      </w:r>
      <w:r>
        <w:rPr>
          <w:rFonts w:hAnsi="宋体"/>
          <w:color w:val="auto"/>
          <w:highlight w:val="none"/>
          <w:shd w:val="clear" w:color="auto" w:fill="auto"/>
        </w:rPr>
        <w:t>资格文件</w:t>
      </w:r>
      <w:r>
        <w:rPr>
          <w:rFonts w:hint="eastAsia" w:hAnsi="宋体"/>
          <w:color w:val="auto"/>
          <w:highlight w:val="none"/>
          <w:shd w:val="clear" w:color="auto" w:fill="auto"/>
        </w:rPr>
        <w:t>审查环节</w:t>
      </w:r>
      <w:r>
        <w:rPr>
          <w:rFonts w:hAnsi="宋体"/>
          <w:color w:val="auto"/>
          <w:highlight w:val="none"/>
          <w:shd w:val="clear" w:color="auto" w:fill="auto"/>
        </w:rPr>
        <w:t>，</w:t>
      </w:r>
      <w:r>
        <w:rPr>
          <w:rFonts w:hint="eastAsia" w:hAnsi="宋体"/>
          <w:color w:val="auto"/>
          <w:highlight w:val="none"/>
          <w:shd w:val="clear" w:color="auto" w:fill="auto"/>
        </w:rPr>
        <w:t>本中心或者招标采购单位</w:t>
      </w:r>
      <w:r>
        <w:rPr>
          <w:rFonts w:hAnsi="宋体"/>
          <w:color w:val="auto"/>
          <w:highlight w:val="none"/>
          <w:shd w:val="clear" w:color="auto" w:fill="auto"/>
        </w:rPr>
        <w:t>依法对投标供应商的资格进行审查。</w:t>
      </w:r>
    </w:p>
    <w:p>
      <w:pPr>
        <w:pStyle w:val="29"/>
        <w:adjustRightInd w:val="0"/>
        <w:snapToGrid w:val="0"/>
        <w:spacing w:line="40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5.</w:t>
      </w:r>
      <w:r>
        <w:rPr>
          <w:rFonts w:hAnsi="宋体"/>
          <w:color w:val="auto"/>
          <w:highlight w:val="none"/>
          <w:shd w:val="clear" w:color="auto" w:fill="auto"/>
        </w:rPr>
        <w:t>开启资格审查通过的投标供应商的商务技术文件进入符合性审查及商务技术评审</w:t>
      </w:r>
      <w:r>
        <w:rPr>
          <w:rFonts w:hint="eastAsia" w:hAnsi="宋体"/>
          <w:color w:val="auto"/>
          <w:highlight w:val="none"/>
          <w:shd w:val="clear" w:color="auto" w:fill="auto"/>
        </w:rPr>
        <w:t>。</w:t>
      </w:r>
    </w:p>
    <w:p>
      <w:pPr>
        <w:pStyle w:val="29"/>
        <w:adjustRightInd w:val="0"/>
        <w:snapToGrid w:val="0"/>
        <w:spacing w:line="40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注：①当整个招标项目的投标人不足3家的不开标，本中心将按政府采购管理的有关规定处理。</w:t>
      </w:r>
    </w:p>
    <w:p>
      <w:pPr>
        <w:pStyle w:val="29"/>
        <w:adjustRightInd w:val="0"/>
        <w:snapToGrid w:val="0"/>
        <w:spacing w:line="400" w:lineRule="exact"/>
        <w:ind w:firstLine="840" w:firstLineChars="400"/>
        <w:rPr>
          <w:rFonts w:hint="eastAsia" w:hAnsi="宋体"/>
          <w:color w:val="auto"/>
          <w:highlight w:val="none"/>
          <w:shd w:val="clear" w:color="auto" w:fill="auto"/>
        </w:rPr>
      </w:pPr>
      <w:r>
        <w:rPr>
          <w:rFonts w:hint="eastAsia" w:hAnsi="宋体"/>
          <w:color w:val="auto"/>
          <w:highlight w:val="none"/>
          <w:shd w:val="clear" w:color="auto" w:fill="auto"/>
        </w:rPr>
        <w:t>②开标后,某分标投标人不足3家的，本中心将按政府采购管理的有关规定处理。</w:t>
      </w:r>
    </w:p>
    <w:p>
      <w:pPr>
        <w:pStyle w:val="29"/>
        <w:snapToGrid w:val="0"/>
        <w:spacing w:line="360" w:lineRule="exact"/>
        <w:ind w:left="689" w:leftChars="228" w:hanging="210" w:hangingChars="100"/>
        <w:rPr>
          <w:rFonts w:hint="eastAsia" w:hAnsi="宋体"/>
          <w:color w:val="auto"/>
          <w:highlight w:val="none"/>
          <w:shd w:val="clear" w:color="auto" w:fill="auto"/>
        </w:rPr>
      </w:pPr>
      <w:r>
        <w:rPr>
          <w:rFonts w:hAnsi="宋体"/>
          <w:b/>
          <w:bCs/>
          <w:color w:val="auto"/>
          <w:highlight w:val="none"/>
          <w:shd w:val="clear" w:color="auto" w:fill="auto"/>
        </w:rPr>
        <w:t>特别说明：如遇“</w:t>
      </w:r>
      <w:r>
        <w:rPr>
          <w:rFonts w:hAnsi="宋体"/>
          <w:b/>
          <w:bCs/>
          <w:color w:val="auto"/>
          <w:highlight w:val="none"/>
          <w:shd w:val="clear" w:color="auto" w:fill="auto"/>
          <w:lang w:val="en"/>
        </w:rPr>
        <w:t>广西政府采购云平台</w:t>
      </w:r>
      <w:r>
        <w:rPr>
          <w:rFonts w:hAnsi="宋体"/>
          <w:b/>
          <w:bCs/>
          <w:color w:val="auto"/>
          <w:highlight w:val="none"/>
          <w:shd w:val="clear" w:color="auto" w:fill="auto"/>
        </w:rPr>
        <w:t>”电子化开标或评审程序调整的，按调整后程序执行。</w:t>
      </w:r>
    </w:p>
    <w:p>
      <w:pPr>
        <w:pStyle w:val="29"/>
        <w:snapToGrid w:val="0"/>
        <w:spacing w:line="360" w:lineRule="exact"/>
        <w:ind w:left="771" w:leftChars="267" w:hanging="210" w:hangingChars="100"/>
        <w:outlineLvl w:val="1"/>
        <w:rPr>
          <w:rFonts w:hint="eastAsia" w:hAnsi="宋体"/>
          <w:b/>
          <w:color w:val="auto"/>
          <w:highlight w:val="none"/>
          <w:shd w:val="clear" w:color="auto" w:fill="auto"/>
        </w:rPr>
      </w:pPr>
      <w:r>
        <w:rPr>
          <w:rFonts w:hint="eastAsia" w:hAnsi="宋体"/>
          <w:b/>
          <w:color w:val="auto"/>
          <w:highlight w:val="none"/>
          <w:shd w:val="clear" w:color="auto" w:fill="auto"/>
        </w:rPr>
        <w:t>五、</w:t>
      </w:r>
      <w:r>
        <w:rPr>
          <w:rFonts w:hint="eastAsia" w:hAnsi="宋体"/>
          <w:b/>
          <w:bCs/>
          <w:color w:val="auto"/>
          <w:highlight w:val="none"/>
          <w:shd w:val="clear" w:color="auto" w:fill="auto"/>
        </w:rPr>
        <w:t>资格审查</w:t>
      </w:r>
    </w:p>
    <w:p>
      <w:pPr>
        <w:pStyle w:val="29"/>
        <w:snapToGrid w:val="0"/>
        <w:spacing w:line="360" w:lineRule="exact"/>
        <w:ind w:left="771" w:leftChars="267" w:hanging="210" w:hangingChars="100"/>
        <w:outlineLvl w:val="1"/>
        <w:rPr>
          <w:rFonts w:hint="eastAsia" w:hAnsi="宋体"/>
          <w:b/>
          <w:color w:val="auto"/>
          <w:highlight w:val="none"/>
          <w:shd w:val="clear" w:color="auto" w:fill="auto"/>
        </w:rPr>
      </w:pPr>
      <w:r>
        <w:rPr>
          <w:rFonts w:hint="eastAsia"/>
          <w:color w:val="auto"/>
          <w:highlight w:val="none"/>
          <w:shd w:val="clear" w:color="auto" w:fill="auto"/>
        </w:rPr>
        <w:t>采购人</w:t>
      </w:r>
      <w:r>
        <w:rPr>
          <w:rFonts w:hint="eastAsia"/>
          <w:color w:val="auto"/>
          <w:spacing w:val="-4"/>
          <w:highlight w:val="none"/>
          <w:shd w:val="clear" w:color="auto" w:fill="auto"/>
        </w:rPr>
        <w:t>或本中心工作人员</w:t>
      </w:r>
      <w:r>
        <w:rPr>
          <w:rFonts w:hint="eastAsia"/>
          <w:color w:val="auto"/>
          <w:highlight w:val="none"/>
          <w:shd w:val="clear" w:color="auto" w:fill="auto"/>
        </w:rPr>
        <w:t>依法对投标人的资格进行审查。合格投标人不足3家的，不得评标。</w:t>
      </w:r>
    </w:p>
    <w:p>
      <w:pPr>
        <w:pStyle w:val="29"/>
        <w:snapToGrid w:val="0"/>
        <w:spacing w:line="360" w:lineRule="exact"/>
        <w:ind w:left="771" w:leftChars="267" w:hanging="210" w:hangingChars="100"/>
        <w:outlineLvl w:val="1"/>
        <w:rPr>
          <w:rFonts w:hint="eastAsia" w:hAnsi="宋体"/>
          <w:b/>
          <w:color w:val="auto"/>
          <w:highlight w:val="none"/>
          <w:shd w:val="clear" w:color="auto" w:fill="auto"/>
        </w:rPr>
      </w:pPr>
      <w:r>
        <w:rPr>
          <w:rFonts w:hint="eastAsia" w:hAnsi="宋体"/>
          <w:b/>
          <w:color w:val="auto"/>
          <w:highlight w:val="none"/>
          <w:shd w:val="clear" w:color="auto" w:fill="auto"/>
        </w:rPr>
        <w:t>六、评标</w:t>
      </w:r>
    </w:p>
    <w:p>
      <w:pPr>
        <w:pStyle w:val="29"/>
        <w:snapToGrid w:val="0"/>
        <w:spacing w:line="360" w:lineRule="exact"/>
        <w:ind w:left="689" w:leftChars="228" w:hanging="210" w:hangingChars="100"/>
        <w:rPr>
          <w:rFonts w:hint="eastAsia" w:hAnsi="宋体"/>
          <w:b/>
          <w:color w:val="auto"/>
          <w:highlight w:val="none"/>
          <w:shd w:val="clear" w:color="auto" w:fill="auto"/>
        </w:rPr>
      </w:pPr>
      <w:r>
        <w:rPr>
          <w:rFonts w:hint="eastAsia" w:hAnsi="宋体"/>
          <w:b/>
          <w:color w:val="auto"/>
          <w:highlight w:val="none"/>
          <w:shd w:val="clear" w:color="auto" w:fill="auto"/>
        </w:rPr>
        <w:t>（一）组建评标委员会</w:t>
      </w:r>
    </w:p>
    <w:p>
      <w:pPr>
        <w:pStyle w:val="29"/>
        <w:snapToGrid w:val="0"/>
        <w:spacing w:line="360" w:lineRule="exact"/>
        <w:ind w:firstLine="420" w:firstLineChars="200"/>
        <w:rPr>
          <w:rFonts w:hint="eastAsia"/>
          <w:color w:val="auto"/>
          <w:spacing w:val="-4"/>
          <w:highlight w:val="none"/>
          <w:shd w:val="clear" w:color="auto" w:fill="auto"/>
        </w:rPr>
      </w:pPr>
      <w:r>
        <w:rPr>
          <w:rFonts w:hint="eastAsia" w:hAnsi="宋体"/>
          <w:bCs/>
          <w:color w:val="auto"/>
          <w:highlight w:val="none"/>
          <w:shd w:val="clear" w:color="auto" w:fill="auto"/>
        </w:rPr>
        <w:t>本招标采购项目的</w:t>
      </w:r>
      <w:r>
        <w:rPr>
          <w:color w:val="auto"/>
          <w:spacing w:val="-4"/>
          <w:highlight w:val="none"/>
          <w:shd w:val="clear" w:color="auto" w:fill="auto"/>
        </w:rPr>
        <w:t>评标委员会由采购人代表和评审专家组成，成员人数应当为5人以上单数，其中评审专家不得少于成员总数的三分之二。</w:t>
      </w:r>
    </w:p>
    <w:p>
      <w:pPr>
        <w:pStyle w:val="29"/>
        <w:snapToGrid w:val="0"/>
        <w:spacing w:line="360" w:lineRule="exact"/>
        <w:ind w:left="689" w:leftChars="228" w:hanging="210" w:hangingChars="100"/>
        <w:rPr>
          <w:rFonts w:hint="eastAsia" w:hAnsi="宋体"/>
          <w:b/>
          <w:color w:val="auto"/>
          <w:highlight w:val="none"/>
          <w:shd w:val="clear" w:color="auto" w:fill="auto"/>
        </w:rPr>
      </w:pPr>
      <w:r>
        <w:rPr>
          <w:rFonts w:hint="eastAsia" w:hAnsi="宋体"/>
          <w:b/>
          <w:color w:val="auto"/>
          <w:highlight w:val="none"/>
          <w:shd w:val="clear" w:color="auto" w:fill="auto"/>
        </w:rPr>
        <w:t>（二）评标的方式</w:t>
      </w:r>
    </w:p>
    <w:p>
      <w:pPr>
        <w:pStyle w:val="29"/>
        <w:snapToGrid w:val="0"/>
        <w:spacing w:line="360" w:lineRule="exact"/>
        <w:ind w:left="689" w:leftChars="228" w:hanging="210" w:hangingChars="100"/>
        <w:rPr>
          <w:rFonts w:hint="eastAsia" w:hAnsi="宋体"/>
          <w:color w:val="auto"/>
          <w:highlight w:val="none"/>
          <w:shd w:val="clear" w:color="auto" w:fill="auto"/>
        </w:rPr>
      </w:pPr>
      <w:r>
        <w:rPr>
          <w:rFonts w:hint="eastAsia" w:hAnsi="宋体"/>
          <w:color w:val="auto"/>
          <w:highlight w:val="none"/>
          <w:shd w:val="clear" w:color="auto" w:fill="auto"/>
        </w:rPr>
        <w:t>本项目采用不公开方式评标，评标的依据为招标文件和投标文件。</w:t>
      </w:r>
    </w:p>
    <w:p>
      <w:pPr>
        <w:pStyle w:val="29"/>
        <w:snapToGrid w:val="0"/>
        <w:spacing w:line="360" w:lineRule="exact"/>
        <w:ind w:left="689" w:leftChars="228" w:hanging="210" w:hangingChars="100"/>
        <w:rPr>
          <w:rFonts w:hint="eastAsia" w:hAnsi="宋体"/>
          <w:b/>
          <w:color w:val="auto"/>
          <w:highlight w:val="none"/>
          <w:shd w:val="clear" w:color="auto" w:fill="auto"/>
        </w:rPr>
      </w:pPr>
      <w:r>
        <w:rPr>
          <w:rFonts w:hint="eastAsia" w:hAnsi="宋体"/>
          <w:b/>
          <w:color w:val="auto"/>
          <w:highlight w:val="none"/>
          <w:shd w:val="clear" w:color="auto" w:fill="auto"/>
        </w:rPr>
        <w:t>（三）</w:t>
      </w:r>
      <w:r>
        <w:rPr>
          <w:rFonts w:hint="eastAsia" w:hAnsi="宋体"/>
          <w:b/>
          <w:bCs/>
          <w:color w:val="auto"/>
          <w:highlight w:val="none"/>
          <w:shd w:val="clear" w:color="auto" w:fill="auto"/>
        </w:rPr>
        <w:t>评标程序</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w:t>
      </w:r>
      <w:r>
        <w:rPr>
          <w:rFonts w:hint="eastAsia" w:ascii="宋体"/>
          <w:color w:val="auto"/>
          <w:szCs w:val="21"/>
          <w:highlight w:val="none"/>
          <w:shd w:val="clear" w:color="auto" w:fill="auto"/>
        </w:rPr>
        <w:t>评标委员会审查、评价投标文件是否符合招标文件的商务、技术等实质性要求。</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ascii="宋体"/>
          <w:color w:val="auto"/>
          <w:szCs w:val="21"/>
          <w:highlight w:val="none"/>
          <w:shd w:val="clear" w:color="auto" w:fill="auto"/>
        </w:rPr>
        <w:t>评标委员会对投标文件进行比较和评价,如有疑问,将以电子询标函的形式要求投标人在线对投标文件有关事项作出澄清或者说明。投标人向评标委员会澄清或者说明有关问题,并最终盖章的电子文件进行回复。</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投标人代表超过规定时间或者拒绝澄清或者澄清的内容改变了投标文件的实质性内容的，评标委员会有权视该投标文件无效。</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（3）各投标人的技术得分为所有评委的有效评分的算术平均数，由指定专人进行计算复核。</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（4）本中心工作人员协助评标委员会根据本项目的评分标准计算各投标人的商务报价得分。</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（5）</w:t>
      </w:r>
      <w:r>
        <w:rPr>
          <w:rFonts w:hint="eastAsia" w:ascii="宋体"/>
          <w:color w:val="auto"/>
          <w:szCs w:val="21"/>
          <w:highlight w:val="none"/>
          <w:shd w:val="clear" w:color="auto" w:fill="auto"/>
        </w:rPr>
        <w:t>评标委员会完成评标后,由</w:t>
      </w:r>
      <w:r>
        <w:rPr>
          <w:rFonts w:hint="default" w:ascii="宋体"/>
          <w:color w:val="auto"/>
          <w:szCs w:val="21"/>
          <w:highlight w:val="none"/>
          <w:shd w:val="clear" w:color="auto" w:fill="auto"/>
          <w:lang w:val="en"/>
        </w:rPr>
        <w:t>广西政府采购云</w:t>
      </w:r>
      <w:r>
        <w:rPr>
          <w:rFonts w:hint="eastAsia" w:ascii="宋体"/>
          <w:color w:val="auto"/>
          <w:szCs w:val="21"/>
          <w:highlight w:val="none"/>
          <w:shd w:val="clear" w:color="auto" w:fill="auto"/>
        </w:rPr>
        <w:t>系统对各部分得分汇总,计算出本项目最终得分、评标价等。</w:t>
      </w:r>
      <w:r>
        <w:rPr>
          <w:rFonts w:hint="eastAsia" w:ascii="宋体" w:hAnsi="宋体"/>
          <w:color w:val="auto"/>
          <w:szCs w:val="21"/>
          <w:highlight w:val="none"/>
          <w:shd w:val="clear" w:color="auto" w:fill="auto"/>
        </w:rPr>
        <w:t>评标委员会按推荐原则推荐中标候选人同时形成评标报告。</w:t>
      </w:r>
    </w:p>
    <w:p>
      <w:pPr>
        <w:snapToGrid w:val="0"/>
        <w:spacing w:line="360" w:lineRule="exact"/>
        <w:ind w:firstLine="420" w:firstLineChars="200"/>
        <w:outlineLvl w:val="0"/>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（四）</w:t>
      </w:r>
      <w:r>
        <w:rPr>
          <w:rFonts w:hint="eastAsia" w:ascii="宋体" w:hAnsi="宋体"/>
          <w:b/>
          <w:color w:val="auto"/>
          <w:szCs w:val="21"/>
          <w:highlight w:val="none"/>
          <w:shd w:val="clear" w:color="auto" w:fill="auto"/>
        </w:rPr>
        <w:t>澄清问题的形式</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对投标文件中含义不明确、同类问题表述不一致或者有明显文字和计算错误的内容，评标委员会可要求投标人作出必要的澄清、说明或者纠正。投标人的澄清、说明或者补正应当在电子询标函规定的时间期限内完成，并不得超出投标文件的范围或者改变投标文件的实质性内容。</w:t>
      </w:r>
    </w:p>
    <w:p>
      <w:pPr>
        <w:pStyle w:val="29"/>
        <w:snapToGrid w:val="0"/>
        <w:spacing w:line="360" w:lineRule="exact"/>
        <w:ind w:left="689" w:leftChars="228" w:hanging="210" w:hangingChars="100"/>
        <w:outlineLvl w:val="0"/>
        <w:rPr>
          <w:rFonts w:hint="eastAsia" w:hAnsi="宋体"/>
          <w:b/>
          <w:color w:val="auto"/>
          <w:highlight w:val="none"/>
          <w:shd w:val="clear" w:color="auto" w:fill="auto"/>
        </w:rPr>
      </w:pPr>
      <w:r>
        <w:rPr>
          <w:rFonts w:hint="eastAsia" w:hAnsi="宋体"/>
          <w:color w:val="auto"/>
          <w:highlight w:val="none"/>
          <w:shd w:val="clear" w:color="auto" w:fill="auto"/>
        </w:rPr>
        <w:t>（五）</w:t>
      </w:r>
      <w:r>
        <w:rPr>
          <w:rFonts w:hint="eastAsia" w:hAnsi="宋体"/>
          <w:b/>
          <w:color w:val="auto"/>
          <w:highlight w:val="none"/>
          <w:shd w:val="clear" w:color="auto" w:fill="auto"/>
        </w:rPr>
        <w:t>错误修正</w:t>
      </w:r>
    </w:p>
    <w:p>
      <w:pPr>
        <w:pStyle w:val="29"/>
        <w:snapToGrid w:val="0"/>
        <w:spacing w:line="360" w:lineRule="exact"/>
        <w:ind w:left="689" w:leftChars="228" w:hanging="210" w:hangingChars="100"/>
        <w:rPr>
          <w:rFonts w:hint="eastAsia" w:hAnsi="宋体"/>
          <w:color w:val="auto"/>
          <w:highlight w:val="none"/>
          <w:shd w:val="clear" w:color="auto" w:fill="auto"/>
        </w:rPr>
      </w:pPr>
      <w:r>
        <w:rPr>
          <w:rFonts w:hint="eastAsia" w:hAnsi="宋体"/>
          <w:color w:val="auto"/>
          <w:highlight w:val="none"/>
          <w:shd w:val="clear" w:color="auto" w:fill="auto"/>
        </w:rPr>
        <w:t>投标文件如果出现计算或表达上的错误，修正错误的原则如下：</w:t>
      </w:r>
    </w:p>
    <w:p>
      <w:pPr>
        <w:pStyle w:val="29"/>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1.投标文件中开标一览表（报价表）内容与投标文件中相应内容不一致的，以开标一览表（报价表）为准；</w:t>
      </w:r>
    </w:p>
    <w:p>
      <w:pPr>
        <w:pStyle w:val="29"/>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2.大写金额和小写金额不一致的，以大写金额为准；</w:t>
      </w:r>
    </w:p>
    <w:p>
      <w:pPr>
        <w:pStyle w:val="29"/>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3.单价金额小数点或者百分比有明显错位的，以开标一览表的总价为准，并修改单价；</w:t>
      </w:r>
    </w:p>
    <w:p>
      <w:pPr>
        <w:pStyle w:val="29"/>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4.总价金额与按单价汇总金额不一致的，以单价金额计算结果为准。</w:t>
      </w:r>
    </w:p>
    <w:p>
      <w:pPr>
        <w:pStyle w:val="29"/>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5.对不同文字文本投标文件的解释发生异议的，以中文文本为准。</w:t>
      </w:r>
    </w:p>
    <w:p>
      <w:pPr>
        <w:pStyle w:val="29"/>
        <w:snapToGrid w:val="0"/>
        <w:spacing w:line="360" w:lineRule="exact"/>
        <w:ind w:firstLine="420" w:firstLineChars="200"/>
        <w:rPr>
          <w:rFonts w:hint="eastAsia" w:hAnsi="宋体"/>
          <w:color w:val="auto"/>
          <w:highlight w:val="none"/>
          <w:shd w:val="clear" w:color="auto" w:fill="auto"/>
        </w:rPr>
      </w:pPr>
      <w:r>
        <w:rPr>
          <w:rFonts w:hint="eastAsia"/>
          <w:color w:val="auto"/>
          <w:highlight w:val="none"/>
          <w:shd w:val="clear" w:color="auto" w:fill="auto"/>
        </w:rPr>
        <w:t>同时出现两种以上不一致的，按照前款规定的顺序修正。</w:t>
      </w:r>
    </w:p>
    <w:p>
      <w:pPr>
        <w:pStyle w:val="29"/>
        <w:snapToGrid w:val="0"/>
        <w:spacing w:line="360" w:lineRule="exact"/>
        <w:ind w:firstLine="421" w:firstLineChars="200"/>
        <w:rPr>
          <w:rFonts w:hint="eastAsia" w:hAnsi="宋体"/>
          <w:b/>
          <w:bCs/>
          <w:color w:val="auto"/>
          <w:highlight w:val="none"/>
          <w:shd w:val="clear" w:color="auto" w:fill="auto"/>
        </w:rPr>
      </w:pPr>
      <w:r>
        <w:rPr>
          <w:rFonts w:hint="eastAsia" w:hAnsi="宋体"/>
          <w:b/>
          <w:bCs/>
          <w:color w:val="auto"/>
          <w:highlight w:val="none"/>
          <w:shd w:val="clear" w:color="auto" w:fill="auto"/>
        </w:rPr>
        <w:t>按上述修正错误的原则及方法调整或修正投标文件的投标报价，投标人同意并</w:t>
      </w:r>
      <w:r>
        <w:rPr>
          <w:rFonts w:hint="default" w:hAnsi="宋体"/>
          <w:b/>
          <w:bCs/>
          <w:color w:val="auto"/>
          <w:highlight w:val="none"/>
          <w:shd w:val="clear" w:color="auto" w:fill="auto"/>
          <w:lang w:val="en"/>
        </w:rPr>
        <w:t>签字或签章</w:t>
      </w:r>
      <w:r>
        <w:rPr>
          <w:rFonts w:hint="eastAsia" w:hAnsi="宋体"/>
          <w:b/>
          <w:bCs/>
          <w:color w:val="auto"/>
          <w:highlight w:val="none"/>
          <w:shd w:val="clear" w:color="auto" w:fill="auto"/>
        </w:rPr>
        <w:t>确认后，调整后的投标报价对投标人具有约束作用。如果投标人不接受修正后的报价，则其投标将作为无效投标处理。</w:t>
      </w:r>
    </w:p>
    <w:p>
      <w:pPr>
        <w:pStyle w:val="29"/>
        <w:tabs>
          <w:tab w:val="left" w:pos="630"/>
        </w:tabs>
        <w:snapToGrid w:val="0"/>
        <w:spacing w:line="360" w:lineRule="exact"/>
        <w:ind w:firstLine="413" w:firstLineChars="196"/>
        <w:outlineLvl w:val="0"/>
        <w:rPr>
          <w:rFonts w:hint="eastAsia" w:hAnsi="宋体"/>
          <w:b/>
          <w:color w:val="auto"/>
          <w:highlight w:val="none"/>
          <w:shd w:val="clear" w:color="auto" w:fill="auto"/>
        </w:rPr>
      </w:pPr>
      <w:r>
        <w:rPr>
          <w:rFonts w:hint="eastAsia" w:hAnsi="宋体"/>
          <w:b/>
          <w:color w:val="auto"/>
          <w:highlight w:val="none"/>
          <w:shd w:val="clear" w:color="auto" w:fill="auto"/>
        </w:rPr>
        <w:t>（六）评标原则和评标办法</w:t>
      </w:r>
    </w:p>
    <w:p>
      <w:pPr>
        <w:pStyle w:val="29"/>
        <w:snapToGrid w:val="0"/>
        <w:spacing w:line="44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29"/>
        <w:snapToGrid w:val="0"/>
        <w:spacing w:line="44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2.评标办法。本项目评标办法是</w:t>
      </w:r>
      <w:r>
        <w:rPr>
          <w:rFonts w:hint="eastAsia" w:hAnsi="宋体"/>
          <w:b/>
          <w:color w:val="auto"/>
          <w:highlight w:val="none"/>
          <w:u w:val="single"/>
          <w:shd w:val="clear" w:color="auto" w:fill="auto"/>
        </w:rPr>
        <w:t>综合评分法</w:t>
      </w:r>
      <w:r>
        <w:rPr>
          <w:rFonts w:hint="eastAsia" w:hAnsi="宋体"/>
          <w:color w:val="auto"/>
          <w:highlight w:val="none"/>
          <w:shd w:val="clear" w:color="auto" w:fill="auto"/>
        </w:rPr>
        <w:t>，具体评标内容及评分标准等详见第四章：</w:t>
      </w:r>
      <w:r>
        <w:rPr>
          <w:rFonts w:hint="default" w:hAnsi="宋体"/>
          <w:color w:val="auto"/>
          <w:highlight w:val="none"/>
          <w:shd w:val="clear" w:color="auto" w:fill="auto"/>
          <w:lang w:val="en"/>
        </w:rPr>
        <w:t>评标办法及评分标准</w:t>
      </w:r>
      <w:r>
        <w:rPr>
          <w:rFonts w:hint="eastAsia" w:hAnsi="宋体"/>
          <w:color w:val="auto"/>
          <w:highlight w:val="none"/>
          <w:shd w:val="clear" w:color="auto" w:fill="auto"/>
        </w:rPr>
        <w:t>。</w:t>
      </w:r>
    </w:p>
    <w:p>
      <w:pPr>
        <w:pStyle w:val="29"/>
        <w:snapToGrid w:val="0"/>
        <w:spacing w:line="440" w:lineRule="exact"/>
        <w:ind w:firstLine="413" w:firstLineChars="196"/>
        <w:outlineLvl w:val="0"/>
        <w:rPr>
          <w:rFonts w:hint="eastAsia" w:hAnsi="宋体"/>
          <w:b/>
          <w:color w:val="auto"/>
          <w:highlight w:val="none"/>
          <w:shd w:val="clear" w:color="auto" w:fill="auto"/>
        </w:rPr>
      </w:pPr>
      <w:r>
        <w:rPr>
          <w:rFonts w:hint="eastAsia" w:hAnsi="宋体"/>
          <w:b/>
          <w:color w:val="auto"/>
          <w:highlight w:val="none"/>
          <w:shd w:val="clear" w:color="auto" w:fill="auto"/>
        </w:rPr>
        <w:t>（七）评标过程的监控</w:t>
      </w:r>
    </w:p>
    <w:p>
      <w:pPr>
        <w:pStyle w:val="29"/>
        <w:snapToGrid w:val="0"/>
        <w:spacing w:line="44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本项目评标过程实行全程录音、录像监控，投标人在评标过程中所进行的试图影响评标结果的不公正活动，可能导致其投标被拒绝。</w:t>
      </w:r>
    </w:p>
    <w:p>
      <w:pPr>
        <w:pStyle w:val="29"/>
        <w:snapToGrid w:val="0"/>
        <w:spacing w:line="440" w:lineRule="exact"/>
        <w:ind w:firstLine="413" w:firstLineChars="196"/>
        <w:outlineLvl w:val="1"/>
        <w:rPr>
          <w:rFonts w:hint="eastAsia" w:hAnsi="宋体"/>
          <w:b/>
          <w:color w:val="auto"/>
          <w:highlight w:val="none"/>
          <w:shd w:val="clear" w:color="auto" w:fill="auto"/>
        </w:rPr>
      </w:pPr>
      <w:r>
        <w:rPr>
          <w:rFonts w:hint="eastAsia" w:hAnsi="宋体"/>
          <w:b/>
          <w:color w:val="auto"/>
          <w:highlight w:val="none"/>
          <w:shd w:val="clear" w:color="auto" w:fill="auto"/>
        </w:rPr>
        <w:t>七、评标结果</w:t>
      </w:r>
    </w:p>
    <w:p>
      <w:pPr>
        <w:pStyle w:val="29"/>
        <w:spacing w:line="440" w:lineRule="exact"/>
        <w:ind w:firstLine="420"/>
        <w:rPr>
          <w:rFonts w:hint="eastAsia" w:hAnsi="宋体"/>
          <w:color w:val="auto"/>
          <w:highlight w:val="none"/>
          <w:shd w:val="clear" w:color="auto" w:fill="auto"/>
        </w:rPr>
      </w:pPr>
      <w:r>
        <w:rPr>
          <w:rFonts w:hint="eastAsia" w:hAnsi="宋体"/>
          <w:b/>
          <w:bCs/>
          <w:color w:val="auto"/>
          <w:highlight w:val="none"/>
          <w:shd w:val="clear" w:color="auto" w:fill="auto"/>
        </w:rPr>
        <w:t>（一）</w:t>
      </w:r>
      <w:r>
        <w:rPr>
          <w:rFonts w:hint="eastAsia" w:hAnsi="宋体"/>
          <w:color w:val="auto"/>
          <w:highlight w:val="none"/>
          <w:shd w:val="clear" w:color="auto" w:fill="auto"/>
        </w:rPr>
        <w:t>本中心将在评标结束后2个工作日内将评标报告送采购人，采购人在5个工作日内按照评标报告中推荐的中标候选供应商顺序确定中标供应商。</w:t>
      </w:r>
    </w:p>
    <w:p>
      <w:pPr>
        <w:pStyle w:val="29"/>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（二）中标供应商确定后，本中心在中国政府采购网、广西财政网、</w:t>
      </w:r>
      <w:r>
        <w:rPr>
          <w:rFonts w:hint="eastAsia"/>
          <w:color w:val="auto"/>
          <w:highlight w:val="none"/>
          <w:shd w:val="clear" w:color="auto" w:fill="auto"/>
        </w:rPr>
        <w:t>广西壮族自治区政府采购中心网站</w:t>
      </w:r>
      <w:r>
        <w:rPr>
          <w:rFonts w:hint="eastAsia" w:hAnsi="宋体"/>
          <w:color w:val="auto"/>
          <w:highlight w:val="none"/>
          <w:shd w:val="clear" w:color="auto" w:fill="auto"/>
        </w:rPr>
        <w:t>发布中标结果公告。</w:t>
      </w:r>
    </w:p>
    <w:p>
      <w:pPr>
        <w:pStyle w:val="29"/>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（三）</w:t>
      </w:r>
      <w:r>
        <w:rPr>
          <w:rFonts w:hint="eastAsia"/>
          <w:color w:val="auto"/>
          <w:highlight w:val="none"/>
          <w:shd w:val="clear" w:color="auto" w:fill="auto"/>
        </w:rPr>
        <w:t>在发布中标结果公告的同时，本中心向中标供应商发出中标通知书。</w:t>
      </w:r>
    </w:p>
    <w:p>
      <w:pPr>
        <w:pStyle w:val="29"/>
        <w:spacing w:line="440" w:lineRule="exact"/>
        <w:ind w:firstLine="420" w:firstLineChars="200"/>
        <w:rPr>
          <w:rFonts w:hint="eastAsia" w:hAnsi="宋体"/>
          <w:bCs/>
          <w:color w:val="auto"/>
          <w:highlight w:val="none"/>
          <w:shd w:val="clear" w:color="auto" w:fill="auto"/>
        </w:rPr>
      </w:pPr>
      <w:r>
        <w:rPr>
          <w:rFonts w:hint="eastAsia" w:hAnsi="宋体"/>
          <w:color w:val="auto"/>
          <w:highlight w:val="none"/>
          <w:shd w:val="clear" w:color="auto" w:fill="auto"/>
        </w:rPr>
        <w:t>（四）</w:t>
      </w:r>
      <w:r>
        <w:rPr>
          <w:rFonts w:hint="eastAsia" w:hAnsi="宋体"/>
          <w:bCs/>
          <w:color w:val="auto"/>
          <w:highlight w:val="none"/>
          <w:shd w:val="clear" w:color="auto" w:fill="auto"/>
        </w:rPr>
        <w:t>投标人认为招标文件、招标过程和中标结果使自己的权益受到损害的，可以在知道或者应知其权益受到损害之日起七个工作日内，以书面形式向本中心提出质疑，并及时索要书面回执。</w:t>
      </w:r>
    </w:p>
    <w:p>
      <w:pPr>
        <w:pStyle w:val="29"/>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（五）</w:t>
      </w:r>
      <w:r>
        <w:rPr>
          <w:rFonts w:hint="eastAsia" w:hAnsi="宋体"/>
          <w:bCs/>
          <w:color w:val="auto"/>
          <w:highlight w:val="none"/>
          <w:shd w:val="clear" w:color="auto" w:fill="auto"/>
        </w:rPr>
        <w:t>本中心应当按照有关规定就采购人委托授权范围内的事项在收到投标人的书面质疑后七个工作日内做出答复，但答复的内容不得涉及商业秘密。</w:t>
      </w:r>
    </w:p>
    <w:p>
      <w:pPr>
        <w:pStyle w:val="29"/>
        <w:snapToGrid w:val="0"/>
        <w:spacing w:line="440" w:lineRule="exact"/>
        <w:ind w:firstLine="413" w:firstLineChars="196"/>
        <w:outlineLvl w:val="1"/>
        <w:rPr>
          <w:rFonts w:hint="eastAsia" w:hAnsi="宋体"/>
          <w:b/>
          <w:color w:val="auto"/>
          <w:highlight w:val="none"/>
          <w:shd w:val="clear" w:color="auto" w:fill="auto"/>
        </w:rPr>
      </w:pPr>
      <w:r>
        <w:rPr>
          <w:rFonts w:hint="eastAsia" w:hAnsi="宋体"/>
          <w:b/>
          <w:color w:val="auto"/>
          <w:highlight w:val="none"/>
          <w:shd w:val="clear" w:color="auto" w:fill="auto"/>
        </w:rPr>
        <w:t>八、签订合同</w:t>
      </w:r>
    </w:p>
    <w:p>
      <w:pPr>
        <w:pStyle w:val="29"/>
        <w:snapToGrid w:val="0"/>
        <w:spacing w:line="440" w:lineRule="exact"/>
        <w:ind w:firstLine="413" w:firstLineChars="196"/>
        <w:outlineLvl w:val="1"/>
        <w:rPr>
          <w:rFonts w:hint="eastAsia" w:hAnsi="宋体"/>
          <w:b/>
          <w:color w:val="auto"/>
          <w:highlight w:val="none"/>
          <w:shd w:val="clear" w:color="auto" w:fill="auto"/>
        </w:rPr>
      </w:pPr>
      <w:r>
        <w:rPr>
          <w:rFonts w:hint="eastAsia" w:hAnsi="宋体"/>
          <w:b/>
          <w:color w:val="auto"/>
          <w:highlight w:val="none"/>
          <w:shd w:val="clear" w:color="auto" w:fill="auto"/>
        </w:rPr>
        <w:t>（一）合同授予标准</w:t>
      </w:r>
    </w:p>
    <w:p>
      <w:pPr>
        <w:pStyle w:val="29"/>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合同将授予被确定投标文件满足招标文件全部实质性要求，具备履行合同能力，评审得分最高，综合评分排名第一的供应商。</w:t>
      </w:r>
    </w:p>
    <w:p>
      <w:pPr>
        <w:pStyle w:val="29"/>
        <w:snapToGrid w:val="0"/>
        <w:spacing w:line="440" w:lineRule="exact"/>
        <w:ind w:firstLine="413" w:firstLineChars="196"/>
        <w:outlineLvl w:val="1"/>
        <w:rPr>
          <w:rFonts w:hint="eastAsia" w:hAnsi="宋体"/>
          <w:color w:val="auto"/>
          <w:highlight w:val="none"/>
          <w:shd w:val="clear" w:color="auto" w:fill="auto"/>
        </w:rPr>
      </w:pPr>
      <w:r>
        <w:rPr>
          <w:rFonts w:hint="eastAsia" w:hAnsi="宋体"/>
          <w:b/>
          <w:color w:val="auto"/>
          <w:highlight w:val="none"/>
          <w:shd w:val="clear" w:color="auto" w:fill="auto"/>
        </w:rPr>
        <w:t>（二）签订合同</w:t>
      </w:r>
    </w:p>
    <w:p>
      <w:pPr>
        <w:pStyle w:val="29"/>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（1）</w:t>
      </w:r>
      <w:r>
        <w:rPr>
          <w:rFonts w:hint="eastAsia"/>
          <w:color w:val="auto"/>
          <w:highlight w:val="none"/>
          <w:shd w:val="clear" w:color="auto" w:fill="auto"/>
        </w:rPr>
        <w:t>投标人接到中标通知书后，应按中标通知书规定的时间、地点与采购人签订合同。中标人无正当理由不得放弃中标。</w:t>
      </w:r>
    </w:p>
    <w:p>
      <w:pPr>
        <w:pStyle w:val="29"/>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（2）如中标供应商不按中标通知书的规定签订合同，则按中标供应商违约处理，本中心将没收中标供应商投标的全部投标保证金。</w:t>
      </w:r>
    </w:p>
    <w:p>
      <w:pPr>
        <w:pStyle w:val="29"/>
        <w:spacing w:line="440" w:lineRule="exact"/>
        <w:ind w:firstLine="420" w:firstLineChars="200"/>
        <w:rPr>
          <w:rFonts w:hint="eastAsia"/>
          <w:b/>
          <w:color w:val="auto"/>
          <w:highlight w:val="none"/>
          <w:shd w:val="clear" w:color="auto" w:fill="auto"/>
        </w:rPr>
      </w:pPr>
      <w:r>
        <w:rPr>
          <w:rFonts w:hint="eastAsia" w:hAnsi="宋体"/>
          <w:color w:val="auto"/>
          <w:highlight w:val="none"/>
          <w:shd w:val="clear" w:color="auto" w:fill="auto"/>
        </w:rPr>
        <w:t>（3）中标供应商拒绝与采购人签订合同或因不可抗力或者自身原因不能履行采购合同的，采购人可以与中标供应商之后排名第一的中标候选供应商签订采购合同，以此类推,也可以重新招标。</w:t>
      </w:r>
      <w:r>
        <w:rPr>
          <w:color w:val="auto"/>
          <w:highlight w:val="none"/>
          <w:shd w:val="clear" w:color="auto" w:fill="auto"/>
        </w:rPr>
        <w:t>中标供应商放弃中标项目，拒绝与采购人签订合同的，其投标保证金</w:t>
      </w:r>
      <w:r>
        <w:rPr>
          <w:rFonts w:hint="eastAsia"/>
          <w:color w:val="auto"/>
          <w:highlight w:val="none"/>
          <w:shd w:val="clear" w:color="auto" w:fill="auto"/>
        </w:rPr>
        <w:t>将不予退还，</w:t>
      </w:r>
      <w:r>
        <w:rPr>
          <w:color w:val="auto"/>
          <w:highlight w:val="none"/>
          <w:shd w:val="clear" w:color="auto" w:fill="auto"/>
        </w:rPr>
        <w:t>并上缴国库，</w:t>
      </w:r>
      <w:r>
        <w:rPr>
          <w:rFonts w:hint="eastAsia"/>
          <w:color w:val="auto"/>
          <w:highlight w:val="none"/>
          <w:shd w:val="clear" w:color="auto" w:fill="auto"/>
        </w:rPr>
        <w:t>给</w:t>
      </w:r>
      <w:r>
        <w:rPr>
          <w:color w:val="auto"/>
          <w:highlight w:val="none"/>
          <w:shd w:val="clear" w:color="auto" w:fill="auto"/>
        </w:rPr>
        <w:t>采购人造成损失的，还应当赔偿损失，并作为不良行为记录在案</w:t>
      </w:r>
      <w:r>
        <w:rPr>
          <w:rFonts w:hint="eastAsia" w:hAnsi="宋体"/>
          <w:color w:val="auto"/>
          <w:highlight w:val="none"/>
          <w:shd w:val="clear" w:color="auto" w:fill="auto"/>
        </w:rPr>
        <w:t>。</w:t>
      </w:r>
    </w:p>
    <w:p>
      <w:pPr>
        <w:pStyle w:val="29"/>
        <w:spacing w:line="440" w:lineRule="exact"/>
        <w:ind w:firstLine="413" w:firstLineChars="196"/>
        <w:rPr>
          <w:rFonts w:hint="eastAsia"/>
          <w:b/>
          <w:color w:val="auto"/>
          <w:highlight w:val="none"/>
          <w:shd w:val="clear" w:color="auto" w:fill="auto"/>
        </w:rPr>
      </w:pPr>
      <w:r>
        <w:rPr>
          <w:rFonts w:hint="eastAsia" w:hAnsi="宋体"/>
          <w:b/>
          <w:color w:val="auto"/>
          <w:highlight w:val="none"/>
          <w:shd w:val="clear" w:color="auto" w:fill="auto"/>
        </w:rPr>
        <w:t>九、其他事项</w:t>
      </w:r>
    </w:p>
    <w:p>
      <w:pPr>
        <w:pStyle w:val="29"/>
        <w:spacing w:line="440" w:lineRule="exact"/>
        <w:ind w:firstLine="206" w:firstLineChars="98"/>
        <w:rPr>
          <w:rFonts w:hint="eastAsia"/>
          <w:b/>
          <w:color w:val="auto"/>
          <w:highlight w:val="none"/>
          <w:shd w:val="clear" w:color="auto" w:fill="auto"/>
        </w:rPr>
      </w:pPr>
      <w:r>
        <w:rPr>
          <w:rFonts w:hint="eastAsia"/>
          <w:b/>
          <w:color w:val="auto"/>
          <w:highlight w:val="none"/>
          <w:shd w:val="clear" w:color="auto" w:fill="auto"/>
        </w:rPr>
        <w:t>（1）解释权：</w:t>
      </w:r>
      <w:r>
        <w:rPr>
          <w:rFonts w:hint="eastAsia"/>
          <w:color w:val="auto"/>
          <w:spacing w:val="-4"/>
          <w:highlight w:val="none"/>
          <w:shd w:val="clear" w:color="auto" w:fill="auto"/>
        </w:rPr>
        <w:t>本招标文件解释权属本中心。</w:t>
      </w:r>
    </w:p>
    <w:p>
      <w:pPr>
        <w:pStyle w:val="29"/>
        <w:spacing w:line="440" w:lineRule="exact"/>
        <w:ind w:firstLine="206" w:firstLineChars="98"/>
        <w:rPr>
          <w:rFonts w:hint="eastAsia"/>
          <w:color w:val="auto"/>
          <w:highlight w:val="none"/>
          <w:shd w:val="clear" w:color="auto" w:fill="auto"/>
        </w:rPr>
      </w:pPr>
      <w:r>
        <w:rPr>
          <w:rFonts w:hint="eastAsia"/>
          <w:b/>
          <w:color w:val="auto"/>
          <w:highlight w:val="none"/>
          <w:shd w:val="clear" w:color="auto" w:fill="auto"/>
        </w:rPr>
        <w:t>（2）有关事宜</w:t>
      </w:r>
    </w:p>
    <w:p>
      <w:pPr>
        <w:pStyle w:val="29"/>
        <w:spacing w:line="440" w:lineRule="exact"/>
        <w:ind w:firstLine="728" w:firstLineChars="347"/>
        <w:rPr>
          <w:color w:val="auto"/>
          <w:highlight w:val="none"/>
          <w:shd w:val="clear" w:color="auto" w:fill="auto"/>
        </w:rPr>
      </w:pPr>
      <w:bookmarkStart w:id="4" w:name="_Toc254970689"/>
      <w:bookmarkStart w:id="5" w:name="_Toc254970548"/>
      <w:r>
        <w:rPr>
          <w:rFonts w:hint="eastAsia"/>
          <w:color w:val="auto"/>
          <w:highlight w:val="none"/>
          <w:shd w:val="clear" w:color="auto" w:fill="auto"/>
        </w:rPr>
        <w:t>所有与本招标文件有关的函件请按下列通讯地址联系：</w:t>
      </w:r>
    </w:p>
    <w:p>
      <w:pPr>
        <w:pStyle w:val="29"/>
        <w:tabs>
          <w:tab w:val="left" w:pos="1990"/>
        </w:tabs>
        <w:spacing w:line="440" w:lineRule="exact"/>
        <w:ind w:firstLine="709"/>
        <w:rPr>
          <w:color w:val="auto"/>
          <w:highlight w:val="none"/>
          <w:u w:val="single"/>
          <w:shd w:val="clear" w:color="auto" w:fill="auto"/>
        </w:rPr>
      </w:pPr>
      <w:r>
        <w:rPr>
          <w:rFonts w:hint="eastAsia"/>
          <w:color w:val="auto"/>
          <w:highlight w:val="none"/>
          <w:shd w:val="clear" w:color="auto" w:fill="auto"/>
        </w:rPr>
        <w:t>邮政编码：530022</w:t>
      </w:r>
    </w:p>
    <w:p>
      <w:pPr>
        <w:pStyle w:val="29"/>
        <w:tabs>
          <w:tab w:val="left" w:pos="1990"/>
        </w:tabs>
        <w:spacing w:line="440" w:lineRule="exact"/>
        <w:ind w:firstLine="709"/>
        <w:rPr>
          <w:color w:val="auto"/>
          <w:spacing w:val="-4"/>
          <w:highlight w:val="none"/>
          <w:shd w:val="clear" w:color="auto" w:fill="auto"/>
          <w:lang w:val="en"/>
        </w:rPr>
      </w:pPr>
      <w:r>
        <w:rPr>
          <w:rFonts w:hint="eastAsia"/>
          <w:color w:val="auto"/>
          <w:highlight w:val="none"/>
          <w:shd w:val="clear" w:color="auto" w:fill="auto"/>
        </w:rPr>
        <w:t xml:space="preserve">通讯地址：广西南宁市星湖路22号 </w:t>
      </w:r>
    </w:p>
    <w:p>
      <w:pPr>
        <w:pStyle w:val="29"/>
        <w:spacing w:line="440" w:lineRule="exact"/>
        <w:ind w:firstLine="707" w:firstLineChars="337"/>
        <w:rPr>
          <w:color w:val="auto"/>
          <w:highlight w:val="none"/>
          <w:shd w:val="clear" w:color="auto" w:fill="auto"/>
        </w:rPr>
      </w:pPr>
      <w:r>
        <w:rPr>
          <w:rFonts w:hint="eastAsia"/>
          <w:color w:val="auto"/>
          <w:highlight w:val="none"/>
          <w:shd w:val="clear" w:color="auto" w:fill="auto"/>
        </w:rPr>
        <w:t>电    话：</w:t>
      </w:r>
      <w:r>
        <w:rPr>
          <w:rFonts w:hint="eastAsia"/>
          <w:color w:val="auto"/>
          <w:highlight w:val="none"/>
          <w:shd w:val="clear" w:color="auto" w:fill="auto"/>
          <w:lang w:val="en-US" w:eastAsia="zh-CN"/>
        </w:rPr>
        <w:t>0771-8600343</w:t>
      </w:r>
      <w:r>
        <w:rPr>
          <w:rFonts w:hint="eastAsia"/>
          <w:color w:val="auto"/>
          <w:highlight w:val="none"/>
          <w:shd w:val="clear" w:color="auto" w:fill="auto"/>
        </w:rPr>
        <w:t xml:space="preserve"> </w:t>
      </w:r>
    </w:p>
    <w:p>
      <w:pPr>
        <w:pStyle w:val="29"/>
        <w:spacing w:line="360" w:lineRule="exact"/>
        <w:ind w:firstLine="824"/>
        <w:rPr>
          <w:rFonts w:hint="eastAsia"/>
          <w:color w:val="auto"/>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bookmarkEnd w:id="4"/>
    <w:bookmarkEnd w:id="5"/>
    <w:p>
      <w:pPr>
        <w:spacing w:line="340" w:lineRule="exact"/>
        <w:ind w:firstLine="420" w:firstLineChars="200"/>
        <w:jc w:val="center"/>
        <w:rPr>
          <w:bCs/>
          <w:color w:val="auto"/>
          <w:highlight w:val="none"/>
          <w:shd w:val="clear" w:color="auto" w:fill="auto"/>
        </w:rPr>
      </w:pPr>
      <w:r>
        <w:rPr>
          <w:bCs/>
          <w:color w:val="auto"/>
          <w:highlight w:val="none"/>
          <w:shd w:val="clear" w:color="auto" w:fill="auto"/>
        </w:rPr>
        <w:br w:type="page"/>
      </w:r>
    </w:p>
    <w:p>
      <w:pPr>
        <w:spacing w:line="340" w:lineRule="exact"/>
        <w:ind w:firstLine="642" w:firstLineChars="200"/>
        <w:jc w:val="both"/>
        <w:rPr>
          <w:rFonts w:hint="default" w:ascii="仿宋_GB2312" w:hAnsi="宋体" w:eastAsia="仿宋_GB2312"/>
          <w:b/>
          <w:color w:val="auto"/>
          <w:sz w:val="32"/>
          <w:szCs w:val="32"/>
          <w:highlight w:val="none"/>
          <w:shd w:val="clear" w:color="auto" w:fill="auto"/>
          <w:lang w:val="en" w:eastAsia="zh-CN"/>
        </w:rPr>
      </w:pPr>
      <w:r>
        <w:rPr>
          <w:rFonts w:hint="eastAsia" w:ascii="仿宋_GB2312" w:hAnsi="宋体" w:eastAsia="仿宋_GB2312"/>
          <w:b/>
          <w:color w:val="auto"/>
          <w:sz w:val="32"/>
          <w:szCs w:val="32"/>
          <w:highlight w:val="none"/>
          <w:shd w:val="clear" w:color="auto" w:fill="auto"/>
          <w:lang w:val="en-US" w:eastAsia="zh-CN"/>
        </w:rPr>
        <w:t xml:space="preserve">                </w:t>
      </w:r>
      <w:r>
        <w:rPr>
          <w:rFonts w:hint="default" w:ascii="仿宋_GB2312" w:hAnsi="宋体" w:eastAsia="仿宋_GB2312"/>
          <w:b/>
          <w:color w:val="auto"/>
          <w:sz w:val="32"/>
          <w:szCs w:val="32"/>
          <w:highlight w:val="none"/>
          <w:shd w:val="clear" w:color="auto" w:fill="auto"/>
          <w:lang w:val="en"/>
        </w:rPr>
        <w:t>评标办法及评分标准</w:t>
      </w:r>
    </w:p>
    <w:p>
      <w:pPr>
        <w:pStyle w:val="29"/>
        <w:snapToGrid w:val="0"/>
        <w:spacing w:before="120" w:after="120"/>
        <w:jc w:val="center"/>
        <w:outlineLvl w:val="0"/>
        <w:rPr>
          <w:rFonts w:hint="eastAsia" w:ascii="黑体" w:eastAsia="仿宋_GB2312"/>
          <w:b/>
          <w:color w:val="auto"/>
          <w:sz w:val="24"/>
          <w:szCs w:val="24"/>
          <w:highlight w:val="none"/>
          <w:u w:val="single"/>
          <w:shd w:val="clear" w:color="auto" w:fill="auto"/>
          <w:lang w:eastAsia="zh-CN"/>
        </w:rPr>
      </w:pPr>
      <w:r>
        <w:rPr>
          <w:rFonts w:hint="eastAsia" w:ascii="仿宋_GB2312" w:hAnsi="宋体" w:eastAsia="仿宋_GB2312"/>
          <w:b/>
          <w:color w:val="auto"/>
          <w:sz w:val="24"/>
          <w:szCs w:val="24"/>
          <w:highlight w:val="none"/>
          <w:u w:val="single"/>
          <w:shd w:val="clear" w:color="auto" w:fill="auto"/>
          <w:lang w:eastAsia="zh-CN"/>
        </w:rPr>
        <w:t>（适用</w:t>
      </w:r>
      <w:r>
        <w:rPr>
          <w:rFonts w:hint="eastAsia" w:ascii="仿宋_GB2312" w:hAnsi="宋体" w:eastAsia="仿宋_GB2312"/>
          <w:b/>
          <w:color w:val="auto"/>
          <w:sz w:val="24"/>
          <w:szCs w:val="24"/>
          <w:highlight w:val="none"/>
          <w:u w:val="single"/>
          <w:shd w:val="clear" w:color="auto" w:fill="auto"/>
          <w:lang w:val="en-US" w:eastAsia="zh-CN"/>
        </w:rPr>
        <w:t>分标1</w:t>
      </w:r>
      <w:r>
        <w:rPr>
          <w:rFonts w:hint="eastAsia" w:ascii="仿宋_GB2312" w:hAnsi="宋体" w:eastAsia="仿宋_GB2312"/>
          <w:b/>
          <w:color w:val="auto"/>
          <w:sz w:val="24"/>
          <w:szCs w:val="24"/>
          <w:highlight w:val="none"/>
          <w:u w:val="single"/>
          <w:shd w:val="clear" w:color="auto" w:fill="auto"/>
          <w:lang w:eastAsia="zh-CN"/>
        </w:rPr>
        <w:t>）</w:t>
      </w:r>
    </w:p>
    <w:p>
      <w:pPr>
        <w:spacing w:line="360" w:lineRule="exact"/>
        <w:jc w:val="center"/>
        <w:rPr>
          <w:rFonts w:hAnsi="宋体"/>
          <w:b/>
          <w:dstrike/>
          <w:color w:val="auto"/>
          <w:sz w:val="28"/>
          <w:szCs w:val="28"/>
          <w:highlight w:val="none"/>
          <w:shd w:val="clear" w:color="auto" w:fill="auto"/>
        </w:rPr>
      </w:pPr>
    </w:p>
    <w:p>
      <w:pPr>
        <w:pStyle w:val="29"/>
        <w:keepNext w:val="0"/>
        <w:keepLines w:val="0"/>
        <w:pageBreakBefore w:val="0"/>
        <w:kinsoku/>
        <w:overflowPunct/>
        <w:topLinePunct w:val="0"/>
        <w:autoSpaceDE/>
        <w:autoSpaceDN/>
        <w:bidi w:val="0"/>
        <w:spacing w:line="420" w:lineRule="exact"/>
        <w:ind w:firstLine="516" w:firstLineChars="245"/>
        <w:rPr>
          <w:rFonts w:hint="eastAsia" w:hAnsi="宋体"/>
          <w:b/>
          <w:color w:val="auto"/>
          <w:highlight w:val="none"/>
          <w:shd w:val="clear" w:color="auto" w:fill="auto"/>
        </w:rPr>
      </w:pPr>
      <w:r>
        <w:rPr>
          <w:rFonts w:hint="eastAsia" w:hAnsi="宋体"/>
          <w:b/>
          <w:color w:val="auto"/>
          <w:highlight w:val="none"/>
          <w:shd w:val="clear" w:color="auto" w:fill="auto"/>
        </w:rPr>
        <w:t>一、评标原则</w:t>
      </w:r>
    </w:p>
    <w:p>
      <w:pPr>
        <w:pStyle w:val="29"/>
        <w:keepNext w:val="0"/>
        <w:keepLines w:val="0"/>
        <w:pageBreakBefore w:val="0"/>
        <w:kinsoku/>
        <w:overflowPunct/>
        <w:topLinePunct w:val="0"/>
        <w:autoSpaceDE/>
        <w:autoSpaceDN/>
        <w:bidi w:val="0"/>
        <w:spacing w:line="420" w:lineRule="exact"/>
        <w:ind w:firstLine="483" w:firstLineChars="230"/>
        <w:rPr>
          <w:rFonts w:hint="eastAsia" w:hAnsi="宋体"/>
          <w:bCs/>
          <w:color w:val="auto"/>
          <w:szCs w:val="20"/>
          <w:highlight w:val="none"/>
          <w:shd w:val="clear" w:color="auto" w:fill="auto"/>
        </w:rPr>
      </w:pPr>
      <w:r>
        <w:rPr>
          <w:rFonts w:hint="eastAsia" w:hAnsi="宋体"/>
          <w:bCs/>
          <w:color w:val="auto"/>
          <w:highlight w:val="none"/>
          <w:shd w:val="clear" w:color="auto" w:fill="auto"/>
        </w:rPr>
        <w:t>(一)评委组成：本招标采购项目的</w:t>
      </w:r>
      <w:r>
        <w:rPr>
          <w:rFonts w:hint="eastAsia"/>
          <w:color w:val="auto"/>
          <w:spacing w:val="-4"/>
          <w:highlight w:val="none"/>
          <w:shd w:val="clear" w:color="auto" w:fill="auto"/>
        </w:rPr>
        <w:t>评标委员会由采购人代表和评审专家组成，成员人数应当为5人以上单数，其中评审专家不得少于成员总数的三分之二。</w:t>
      </w:r>
    </w:p>
    <w:p>
      <w:pPr>
        <w:pStyle w:val="29"/>
        <w:keepNext w:val="0"/>
        <w:keepLines w:val="0"/>
        <w:pageBreakBefore w:val="0"/>
        <w:kinsoku/>
        <w:overflowPunct/>
        <w:topLinePunct w:val="0"/>
        <w:autoSpaceDE/>
        <w:autoSpaceDN/>
        <w:bidi w:val="0"/>
        <w:spacing w:line="420" w:lineRule="exact"/>
        <w:ind w:firstLine="499" w:firstLineChars="238"/>
        <w:rPr>
          <w:rFonts w:hint="eastAsia" w:hAnsi="宋体"/>
          <w:bCs/>
          <w:color w:val="auto"/>
          <w:highlight w:val="none"/>
          <w:shd w:val="clear" w:color="auto" w:fill="auto"/>
        </w:rPr>
      </w:pPr>
      <w:r>
        <w:rPr>
          <w:rFonts w:hint="eastAsia" w:hAnsi="宋体"/>
          <w:bCs/>
          <w:color w:val="auto"/>
          <w:highlight w:val="none"/>
          <w:shd w:val="clear" w:color="auto" w:fill="auto"/>
        </w:rPr>
        <w:t>(二)评标依据：</w:t>
      </w:r>
      <w:r>
        <w:rPr>
          <w:rFonts w:hAnsi="宋体"/>
          <w:bCs/>
          <w:color w:val="auto"/>
          <w:highlight w:val="none"/>
          <w:shd w:val="clear" w:color="auto" w:fill="auto"/>
        </w:rPr>
        <w:t>评委将以招投标文件为评标依据，对投标人的投标内容按百分制打分。</w:t>
      </w:r>
    </w:p>
    <w:p>
      <w:pPr>
        <w:pStyle w:val="29"/>
        <w:keepNext w:val="0"/>
        <w:keepLines w:val="0"/>
        <w:pageBreakBefore w:val="0"/>
        <w:kinsoku/>
        <w:overflowPunct/>
        <w:topLinePunct w:val="0"/>
        <w:autoSpaceDE/>
        <w:autoSpaceDN/>
        <w:bidi w:val="0"/>
        <w:spacing w:line="420" w:lineRule="exact"/>
        <w:ind w:firstLine="510" w:firstLineChars="243"/>
        <w:rPr>
          <w:rFonts w:hint="eastAsia" w:hAnsi="宋体"/>
          <w:bCs/>
          <w:color w:val="auto"/>
          <w:highlight w:val="none"/>
          <w:shd w:val="clear" w:color="auto" w:fill="auto"/>
        </w:rPr>
      </w:pPr>
      <w:r>
        <w:rPr>
          <w:rFonts w:hint="eastAsia" w:hAnsi="宋体"/>
          <w:bCs/>
          <w:color w:val="auto"/>
          <w:highlight w:val="none"/>
          <w:shd w:val="clear" w:color="auto" w:fill="auto"/>
        </w:rPr>
        <w:t>(三)评标方式：以封闭方式进行。</w:t>
      </w:r>
    </w:p>
    <w:p>
      <w:pPr>
        <w:pStyle w:val="29"/>
        <w:keepNext w:val="0"/>
        <w:keepLines w:val="0"/>
        <w:pageBreakBefore w:val="0"/>
        <w:kinsoku/>
        <w:overflowPunct/>
        <w:topLinePunct w:val="0"/>
        <w:autoSpaceDE/>
        <w:autoSpaceDN/>
        <w:bidi w:val="0"/>
        <w:spacing w:line="420" w:lineRule="exact"/>
        <w:ind w:firstLine="510" w:firstLineChars="243"/>
        <w:rPr>
          <w:rFonts w:hint="eastAsia" w:hAnsi="宋体"/>
          <w:b/>
          <w:color w:val="auto"/>
          <w:highlight w:val="none"/>
          <w:shd w:val="clear" w:color="auto" w:fill="auto"/>
        </w:rPr>
      </w:pPr>
      <w:r>
        <w:rPr>
          <w:rFonts w:hint="eastAsia" w:hAnsi="宋体"/>
          <w:bCs/>
          <w:color w:val="auto"/>
          <w:highlight w:val="none"/>
          <w:shd w:val="clear" w:color="auto" w:fill="auto"/>
        </w:rPr>
        <w:t>二</w:t>
      </w:r>
      <w:r>
        <w:rPr>
          <w:rFonts w:hint="eastAsia" w:hAnsi="宋体"/>
          <w:b/>
          <w:color w:val="auto"/>
          <w:highlight w:val="none"/>
          <w:shd w:val="clear" w:color="auto" w:fill="auto"/>
        </w:rPr>
        <w:t>、评标方法</w:t>
      </w:r>
    </w:p>
    <w:p>
      <w:pPr>
        <w:pStyle w:val="29"/>
        <w:keepNext w:val="0"/>
        <w:keepLines w:val="0"/>
        <w:pageBreakBefore w:val="0"/>
        <w:kinsoku/>
        <w:overflowPunct/>
        <w:topLinePunct w:val="0"/>
        <w:autoSpaceDE/>
        <w:autoSpaceDN/>
        <w:bidi w:val="0"/>
        <w:spacing w:line="420" w:lineRule="exact"/>
        <w:ind w:firstLine="420" w:firstLineChars="200"/>
        <w:outlineLvl w:val="0"/>
        <w:rPr>
          <w:rFonts w:hint="eastAsia" w:hAnsi="宋体"/>
          <w:color w:val="auto"/>
          <w:highlight w:val="none"/>
          <w:shd w:val="clear" w:color="auto" w:fill="auto"/>
        </w:rPr>
      </w:pPr>
      <w:r>
        <w:rPr>
          <w:rFonts w:hint="eastAsia" w:hAnsi="宋体"/>
          <w:color w:val="auto"/>
          <w:highlight w:val="none"/>
          <w:shd w:val="clear" w:color="auto" w:fill="auto"/>
        </w:rPr>
        <w:t>（一）对进入详评的，采用百分制综合评分法。</w:t>
      </w:r>
    </w:p>
    <w:p>
      <w:pPr>
        <w:pStyle w:val="29"/>
        <w:keepNext w:val="0"/>
        <w:keepLines w:val="0"/>
        <w:pageBreakBefore w:val="0"/>
        <w:kinsoku/>
        <w:overflowPunct/>
        <w:topLinePunct w:val="0"/>
        <w:autoSpaceDE/>
        <w:autoSpaceDN/>
        <w:bidi w:val="0"/>
        <w:spacing w:line="420" w:lineRule="exact"/>
        <w:ind w:firstLine="420" w:firstLineChars="200"/>
        <w:outlineLvl w:val="0"/>
        <w:rPr>
          <w:rFonts w:hint="eastAsia" w:hAnsi="宋体"/>
          <w:color w:val="auto"/>
          <w:highlight w:val="none"/>
          <w:shd w:val="clear" w:color="auto" w:fill="auto"/>
        </w:rPr>
      </w:pPr>
      <w:r>
        <w:rPr>
          <w:rFonts w:hint="eastAsia" w:hAnsi="宋体"/>
          <w:color w:val="auto"/>
          <w:highlight w:val="none"/>
          <w:shd w:val="clear" w:color="auto" w:fill="auto"/>
        </w:rPr>
        <w:t>（二）计分办法（按四舍五入取至百分位）：</w:t>
      </w:r>
    </w:p>
    <w:p>
      <w:pPr>
        <w:pStyle w:val="29"/>
        <w:keepNext w:val="0"/>
        <w:keepLines w:val="0"/>
        <w:pageBreakBefore w:val="0"/>
        <w:kinsoku/>
        <w:overflowPunct/>
        <w:topLinePunct w:val="0"/>
        <w:autoSpaceDE/>
        <w:autoSpaceDN/>
        <w:bidi w:val="0"/>
        <w:spacing w:line="420" w:lineRule="exact"/>
        <w:ind w:firstLine="501" w:firstLineChars="238"/>
        <w:rPr>
          <w:b/>
          <w:color w:val="auto"/>
          <w:highlight w:val="none"/>
          <w:shd w:val="clear" w:color="auto" w:fill="auto"/>
        </w:rPr>
      </w:pPr>
      <w:r>
        <w:rPr>
          <w:rFonts w:hint="eastAsia"/>
          <w:b/>
          <w:color w:val="auto"/>
          <w:highlight w:val="none"/>
          <w:shd w:val="clear" w:color="auto" w:fill="auto"/>
        </w:rPr>
        <w:t>1</w:t>
      </w:r>
      <w:r>
        <w:rPr>
          <w:rFonts w:hint="eastAsia"/>
          <w:b/>
          <w:color w:val="auto"/>
          <w:highlight w:val="none"/>
          <w:shd w:val="clear" w:color="auto" w:fill="auto"/>
          <w:lang w:eastAsia="zh-CN"/>
        </w:rPr>
        <w:t>、</w:t>
      </w:r>
      <w:r>
        <w:rPr>
          <w:rFonts w:hint="eastAsia"/>
          <w:b/>
          <w:color w:val="auto"/>
          <w:highlight w:val="none"/>
          <w:shd w:val="clear" w:color="auto" w:fill="auto"/>
        </w:rPr>
        <w:t>价格分</w:t>
      </w:r>
      <w:r>
        <w:rPr>
          <w:rFonts w:hint="eastAsia" w:hAnsi="宋体"/>
          <w:b/>
          <w:bCs/>
          <w:color w:val="auto"/>
          <w:spacing w:val="-8"/>
          <w:highlight w:val="none"/>
          <w:shd w:val="clear" w:color="auto" w:fill="auto"/>
        </w:rPr>
        <w:t>………………………………………………………………………………………</w:t>
      </w:r>
      <w:r>
        <w:rPr>
          <w:rFonts w:hint="eastAsia"/>
          <w:b/>
          <w:color w:val="auto"/>
          <w:highlight w:val="none"/>
          <w:shd w:val="clear" w:color="auto" w:fill="auto"/>
        </w:rPr>
        <w:t>30分</w:t>
      </w:r>
    </w:p>
    <w:p>
      <w:pPr>
        <w:pStyle w:val="29"/>
        <w:keepNext w:val="0"/>
        <w:keepLines w:val="0"/>
        <w:pageBreakBefore w:val="0"/>
        <w:kinsoku/>
        <w:overflowPunct/>
        <w:topLinePunct w:val="0"/>
        <w:autoSpaceDE/>
        <w:autoSpaceDN/>
        <w:bidi w:val="0"/>
        <w:spacing w:line="42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（1）</w:t>
      </w:r>
      <w:r>
        <w:rPr>
          <w:rFonts w:hint="eastAsia" w:hAnsi="宋体" w:cs="宋体"/>
          <w:color w:val="auto"/>
          <w:kern w:val="0"/>
          <w:highlight w:val="none"/>
          <w:shd w:val="clear" w:color="auto" w:fill="auto"/>
        </w:rPr>
        <w:t>符合《政府采购促进中小企业发展管理办法》（财库〔2020〕46号）规定条件且按该办法中规定的格式提供了《中小企业声明函》的小型和微型企业。对其投标价给予10%的扣除，扣除后的价格为评标价，即评标价=投标价×（1-10%）；除上述情况外，评标价=投标价</w:t>
      </w:r>
      <w:r>
        <w:rPr>
          <w:rFonts w:hint="eastAsia" w:hAnsi="宋体"/>
          <w:color w:val="auto"/>
          <w:highlight w:val="none"/>
          <w:shd w:val="clear" w:color="auto" w:fill="auto"/>
        </w:rPr>
        <w:t>。</w:t>
      </w:r>
    </w:p>
    <w:p>
      <w:pPr>
        <w:pStyle w:val="29"/>
        <w:keepNext w:val="0"/>
        <w:keepLines w:val="0"/>
        <w:pageBreakBefore w:val="0"/>
        <w:kinsoku/>
        <w:overflowPunct/>
        <w:topLinePunct w:val="0"/>
        <w:autoSpaceDE/>
        <w:autoSpaceDN/>
        <w:bidi w:val="0"/>
        <w:spacing w:line="420" w:lineRule="exact"/>
        <w:ind w:firstLine="420" w:firstLineChars="200"/>
        <w:outlineLvl w:val="0"/>
        <w:rPr>
          <w:color w:val="auto"/>
          <w:highlight w:val="none"/>
          <w:shd w:val="clear" w:color="auto" w:fill="auto"/>
        </w:rPr>
      </w:pPr>
      <w:r>
        <w:rPr>
          <w:rFonts w:hint="eastAsia" w:hAnsi="宋体" w:cs="宋体"/>
          <w:color w:val="auto"/>
          <w:kern w:val="0"/>
          <w:highlight w:val="none"/>
          <w:shd w:val="clear" w:color="auto" w:fill="auto"/>
        </w:rPr>
        <w:t>投标产品生产企业</w:t>
      </w:r>
      <w:r>
        <w:rPr>
          <w:rFonts w:hint="eastAsia"/>
          <w:color w:val="auto"/>
          <w:highlight w:val="none"/>
          <w:shd w:val="clear" w:color="auto" w:fill="auto"/>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9"/>
        <w:keepNext w:val="0"/>
        <w:keepLines w:val="0"/>
        <w:pageBreakBefore w:val="0"/>
        <w:kinsoku/>
        <w:overflowPunct/>
        <w:topLinePunct w:val="0"/>
        <w:autoSpaceDE/>
        <w:autoSpaceDN/>
        <w:bidi w:val="0"/>
        <w:spacing w:line="420" w:lineRule="exact"/>
        <w:ind w:firstLine="420" w:firstLineChars="200"/>
        <w:outlineLvl w:val="0"/>
        <w:rPr>
          <w:color w:val="auto"/>
          <w:highlight w:val="none"/>
          <w:shd w:val="clear" w:color="auto" w:fill="auto"/>
        </w:rPr>
      </w:pPr>
      <w:r>
        <w:rPr>
          <w:rFonts w:hint="eastAsia"/>
          <w:color w:val="auto"/>
          <w:highlight w:val="none"/>
          <w:shd w:val="clear" w:color="auto" w:fill="auto"/>
        </w:rPr>
        <w:t>投标</w:t>
      </w:r>
      <w:r>
        <w:rPr>
          <w:rFonts w:hint="eastAsia"/>
          <w:b w:val="0"/>
          <w:color w:val="auto"/>
          <w:sz w:val="22"/>
          <w:szCs w:val="22"/>
          <w:highlight w:val="none"/>
          <w:shd w:val="clear" w:color="auto" w:fill="auto"/>
        </w:rPr>
        <w:t>产品</w:t>
      </w:r>
      <w:r>
        <w:rPr>
          <w:rFonts w:hint="eastAsia"/>
          <w:color w:val="auto"/>
          <w:highlight w:val="none"/>
          <w:shd w:val="clear" w:color="auto" w:fill="auto"/>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9"/>
        <w:keepNext w:val="0"/>
        <w:keepLines w:val="0"/>
        <w:pageBreakBefore w:val="0"/>
        <w:kinsoku/>
        <w:overflowPunct/>
        <w:topLinePunct w:val="0"/>
        <w:autoSpaceDE/>
        <w:autoSpaceDN/>
        <w:bidi w:val="0"/>
        <w:spacing w:line="420" w:lineRule="exact"/>
        <w:ind w:firstLine="210" w:firstLineChars="100"/>
        <w:outlineLvl w:val="0"/>
        <w:rPr>
          <w:rFonts w:hint="eastAsia" w:hAnsi="宋体"/>
          <w:color w:val="auto"/>
          <w:highlight w:val="none"/>
          <w:shd w:val="clear" w:color="auto" w:fill="auto"/>
        </w:rPr>
      </w:pPr>
      <w:r>
        <w:rPr>
          <w:rFonts w:hint="eastAsia" w:hAnsi="宋体"/>
          <w:color w:val="auto"/>
          <w:highlight w:val="none"/>
          <w:shd w:val="clear" w:color="auto" w:fill="auto"/>
        </w:rPr>
        <w:t xml:space="preserve"> （2）以</w:t>
      </w:r>
      <w:r>
        <w:rPr>
          <w:rFonts w:hint="eastAsia"/>
          <w:color w:val="auto"/>
          <w:highlight w:val="none"/>
          <w:shd w:val="clear" w:color="auto" w:fill="auto"/>
        </w:rPr>
        <w:t>满足招标文件要求且评标价最低的投标人的评标价为评标基准价，其价格分为</w:t>
      </w:r>
      <w:r>
        <w:rPr>
          <w:rFonts w:hint="eastAsia" w:hAnsi="宋体" w:cs="宋体"/>
          <w:b/>
          <w:color w:val="auto"/>
          <w:highlight w:val="none"/>
          <w:shd w:val="clear" w:color="auto" w:fill="auto"/>
        </w:rPr>
        <w:t>30</w:t>
      </w:r>
      <w:r>
        <w:rPr>
          <w:rFonts w:hint="eastAsia" w:hAnsi="宋体" w:cs="宋体"/>
          <w:color w:val="auto"/>
          <w:szCs w:val="24"/>
          <w:highlight w:val="none"/>
          <w:shd w:val="clear" w:color="auto" w:fill="auto"/>
        </w:rPr>
        <w:t>分</w:t>
      </w:r>
      <w:r>
        <w:rPr>
          <w:rFonts w:hint="eastAsia" w:ascii="Times New Roman" w:hAnsi="Times New Roman"/>
          <w:color w:val="auto"/>
          <w:szCs w:val="24"/>
          <w:highlight w:val="none"/>
          <w:shd w:val="clear" w:color="auto" w:fill="auto"/>
        </w:rPr>
        <w:t>。</w:t>
      </w:r>
    </w:p>
    <w:p>
      <w:pPr>
        <w:pStyle w:val="29"/>
        <w:keepNext w:val="0"/>
        <w:keepLines w:val="0"/>
        <w:pageBreakBefore w:val="0"/>
        <w:kinsoku/>
        <w:overflowPunct/>
        <w:topLinePunct w:val="0"/>
        <w:autoSpaceDE/>
        <w:autoSpaceDN/>
        <w:bidi w:val="0"/>
        <w:spacing w:line="420" w:lineRule="exact"/>
        <w:outlineLvl w:val="0"/>
        <w:rPr>
          <w:rFonts w:hint="eastAsia" w:eastAsia="宋体"/>
          <w:b/>
          <w:color w:val="auto"/>
          <w:highlight w:val="none"/>
          <w:shd w:val="clear" w:color="auto" w:fill="auto"/>
          <w:lang w:eastAsia="zh-CN"/>
        </w:rPr>
      </w:pPr>
      <w:r>
        <w:rPr>
          <w:rFonts w:hint="eastAsia"/>
          <w:b/>
          <w:bCs/>
          <w:color w:val="auto"/>
          <w:highlight w:val="none"/>
          <w:shd w:val="clear" w:color="auto" w:fill="auto"/>
          <w:lang w:val="en-US" w:eastAsia="zh-CN"/>
        </w:rPr>
        <w:t xml:space="preserve">   </w:t>
      </w:r>
      <w:r>
        <w:rPr>
          <w:rFonts w:hint="eastAsia"/>
          <w:b/>
          <w:bCs/>
          <w:color w:val="auto"/>
          <w:highlight w:val="none"/>
          <w:shd w:val="clear" w:color="auto" w:fill="auto"/>
          <w:lang w:eastAsia="zh-CN"/>
        </w:rPr>
        <w:t>（</w:t>
      </w:r>
      <w:r>
        <w:rPr>
          <w:rFonts w:hint="eastAsia"/>
          <w:b/>
          <w:bCs/>
          <w:color w:val="auto"/>
          <w:highlight w:val="none"/>
          <w:shd w:val="clear" w:color="auto" w:fill="auto"/>
          <w:lang w:val="en-US" w:eastAsia="zh-CN"/>
        </w:rPr>
        <w:t>3</w:t>
      </w:r>
      <w:r>
        <w:rPr>
          <w:rFonts w:hint="eastAsia"/>
          <w:b/>
          <w:bCs/>
          <w:color w:val="auto"/>
          <w:highlight w:val="none"/>
          <w:shd w:val="clear" w:color="auto" w:fill="auto"/>
          <w:lang w:eastAsia="zh-CN"/>
        </w:rPr>
        <w:t>）</w:t>
      </w:r>
      <w:r>
        <w:rPr>
          <w:rFonts w:hint="eastAsia"/>
          <w:b/>
          <w:bCs/>
          <w:color w:val="auto"/>
          <w:highlight w:val="none"/>
          <w:shd w:val="clear" w:color="auto" w:fill="auto"/>
        </w:rPr>
        <w:t>某投标人价格分</w:t>
      </w:r>
      <w:r>
        <w:rPr>
          <w:rFonts w:hint="eastAsia"/>
          <w:b/>
          <w:color w:val="auto"/>
          <w:highlight w:val="none"/>
          <w:shd w:val="clear" w:color="auto" w:fill="auto"/>
        </w:rPr>
        <w:t xml:space="preserve"> =评标基准价（金额）/某投标人报价（金额）×30分</w:t>
      </w:r>
      <w:r>
        <w:rPr>
          <w:rFonts w:hint="eastAsia"/>
          <w:b/>
          <w:color w:val="auto"/>
          <w:highlight w:val="none"/>
          <w:shd w:val="clear" w:color="auto" w:fill="auto"/>
          <w:lang w:eastAsia="zh-CN"/>
        </w:rPr>
        <w:t>。</w:t>
      </w:r>
    </w:p>
    <w:p>
      <w:pPr>
        <w:pStyle w:val="29"/>
        <w:keepNext w:val="0"/>
        <w:keepLines w:val="0"/>
        <w:pageBreakBefore w:val="0"/>
        <w:numPr>
          <w:ilvl w:val="-1"/>
          <w:numId w:val="0"/>
        </w:numPr>
        <w:kinsoku/>
        <w:overflowPunct/>
        <w:topLinePunct w:val="0"/>
        <w:autoSpaceDE/>
        <w:autoSpaceDN/>
        <w:bidi w:val="0"/>
        <w:spacing w:line="420" w:lineRule="exact"/>
        <w:ind w:firstLine="0" w:firstLineChars="0"/>
        <w:rPr>
          <w:b/>
          <w:color w:val="auto"/>
          <w:highlight w:val="none"/>
          <w:shd w:val="clear" w:color="auto" w:fill="auto"/>
        </w:rPr>
      </w:pPr>
      <w:r>
        <w:rPr>
          <w:rFonts w:hint="eastAsia" w:hAnsi="宋体"/>
          <w:b/>
          <w:color w:val="auto"/>
          <w:highlight w:val="none"/>
          <w:shd w:val="clear" w:color="auto" w:fill="auto"/>
          <w:lang w:val="en-US" w:eastAsia="zh-CN"/>
        </w:rPr>
        <w:t xml:space="preserve">    2、</w:t>
      </w:r>
      <w:r>
        <w:rPr>
          <w:rFonts w:hAnsi="宋体"/>
          <w:b/>
          <w:color w:val="auto"/>
          <w:highlight w:val="none"/>
          <w:shd w:val="clear" w:color="auto" w:fill="auto"/>
          <w:lang w:val="en"/>
        </w:rPr>
        <w:t>技术分</w:t>
      </w:r>
      <w:r>
        <w:rPr>
          <w:rFonts w:hint="eastAsia" w:hAnsi="宋体"/>
          <w:b/>
          <w:color w:val="auto"/>
          <w:highlight w:val="none"/>
          <w:shd w:val="clear" w:color="auto" w:fill="auto"/>
        </w:rPr>
        <w:t xml:space="preserve"> </w:t>
      </w:r>
      <w:r>
        <w:rPr>
          <w:rFonts w:hint="eastAsia" w:hAnsi="宋体"/>
          <w:b/>
          <w:bCs/>
          <w:color w:val="auto"/>
          <w:spacing w:val="-8"/>
          <w:highlight w:val="none"/>
          <w:shd w:val="clear" w:color="auto" w:fill="auto"/>
        </w:rPr>
        <w:t>………………………………………………………………………………………</w:t>
      </w:r>
      <w:r>
        <w:rPr>
          <w:rFonts w:hint="eastAsia" w:hAnsi="宋体"/>
          <w:b/>
          <w:bCs/>
          <w:color w:val="auto"/>
          <w:spacing w:val="-8"/>
          <w:highlight w:val="none"/>
          <w:shd w:val="clear" w:color="auto" w:fill="auto"/>
          <w:lang w:val="en-US" w:eastAsia="zh-CN"/>
        </w:rPr>
        <w:t>53</w:t>
      </w:r>
      <w:r>
        <w:rPr>
          <w:rFonts w:hint="eastAsia"/>
          <w:b/>
          <w:color w:val="auto"/>
          <w:highlight w:val="none"/>
          <w:shd w:val="clear" w:color="auto" w:fill="auto"/>
        </w:rPr>
        <w:t>分</w:t>
      </w:r>
    </w:p>
    <w:p>
      <w:pPr>
        <w:keepNext w:val="0"/>
        <w:keepLines w:val="0"/>
        <w:pageBreakBefore w:val="0"/>
        <w:kinsoku/>
        <w:overflowPunct/>
        <w:topLinePunct w:val="0"/>
        <w:autoSpaceDE/>
        <w:autoSpaceDN/>
        <w:bidi w:val="0"/>
        <w:adjustRightInd w:val="0"/>
        <w:spacing w:line="420" w:lineRule="exact"/>
        <w:textAlignment w:val="baseline"/>
        <w:rPr>
          <w:rFonts w:hint="eastAsia" w:ascii="汉仪书宋二S" w:hAnsi="汉仪书宋二S" w:eastAsia="汉仪书宋二S" w:cs="汉仪书宋二S"/>
          <w:b/>
          <w:color w:val="auto"/>
          <w:szCs w:val="21"/>
          <w:highlight w:val="none"/>
          <w:shd w:val="clear" w:color="auto" w:fill="auto"/>
          <w:lang w:val="en-US" w:eastAsia="zh-CN"/>
        </w:rPr>
      </w:pPr>
      <w:r>
        <w:rPr>
          <w:rFonts w:hint="eastAsia" w:ascii="汉仪书宋二S" w:hAnsi="汉仪书宋二S" w:eastAsia="汉仪书宋二S" w:cs="汉仪书宋二S"/>
          <w:b/>
          <w:color w:val="auto"/>
          <w:szCs w:val="21"/>
          <w:highlight w:val="none"/>
          <w:shd w:val="clear" w:color="auto" w:fill="auto"/>
          <w:lang w:val="en-US" w:eastAsia="zh-CN"/>
        </w:rPr>
        <w:t xml:space="preserve">   （1）技术性能及配置分（满分18分）</w:t>
      </w:r>
    </w:p>
    <w:p>
      <w:pPr>
        <w:keepNext w:val="0"/>
        <w:keepLines w:val="0"/>
        <w:pageBreakBefore w:val="0"/>
        <w:kinsoku/>
        <w:overflowPunct/>
        <w:topLinePunct w:val="0"/>
        <w:autoSpaceDE/>
        <w:autoSpaceDN/>
        <w:bidi w:val="0"/>
        <w:adjustRightInd w:val="0"/>
        <w:spacing w:line="420" w:lineRule="exact"/>
        <w:textAlignment w:val="baseline"/>
        <w:rPr>
          <w:rFonts w:ascii="宋体" w:hAnsi="宋体"/>
          <w:bCs/>
          <w:color w:val="auto"/>
          <w:szCs w:val="21"/>
          <w:highlight w:val="none"/>
          <w:shd w:val="clear" w:color="auto" w:fill="auto"/>
        </w:rPr>
      </w:pPr>
      <w:r>
        <w:rPr>
          <w:rFonts w:hint="eastAsia" w:ascii="汉仪书宋二S" w:hAnsi="汉仪书宋二S" w:eastAsia="汉仪书宋二S" w:cs="汉仪书宋二S"/>
          <w:b/>
          <w:color w:val="auto"/>
          <w:szCs w:val="21"/>
          <w:highlight w:val="none"/>
          <w:shd w:val="clear" w:color="auto" w:fill="auto"/>
          <w:lang w:val="en-US" w:eastAsia="zh-CN"/>
        </w:rPr>
        <w:t xml:space="preserve">    </w:t>
      </w:r>
      <w:r>
        <w:rPr>
          <w:rFonts w:hint="eastAsia" w:asciiTheme="majorEastAsia" w:hAnsiTheme="majorEastAsia" w:eastAsiaTheme="majorEastAsia" w:cstheme="majorEastAsia"/>
          <w:color w:val="auto"/>
          <w:kern w:val="2"/>
          <w:sz w:val="21"/>
          <w:szCs w:val="21"/>
          <w:highlight w:val="none"/>
          <w:shd w:val="clear" w:color="auto" w:fill="auto"/>
          <w:lang w:val="en-US" w:eastAsia="zh-CN" w:bidi="ar-SA"/>
        </w:rPr>
        <w:t>采购需求一览表中标注“★ ”的技术参数每有一项正偏离的得 2分，满分18分。</w:t>
      </w:r>
    </w:p>
    <w:p>
      <w:pPr>
        <w:keepNext w:val="0"/>
        <w:keepLines w:val="0"/>
        <w:pageBreakBefore w:val="0"/>
        <w:kinsoku/>
        <w:overflowPunct/>
        <w:topLinePunct w:val="0"/>
        <w:autoSpaceDE/>
        <w:autoSpaceDN/>
        <w:bidi w:val="0"/>
        <w:adjustRightInd w:val="0"/>
        <w:spacing w:line="420" w:lineRule="exact"/>
        <w:textAlignment w:val="baseline"/>
        <w:rPr>
          <w:rFonts w:ascii="汉仪书宋二S" w:hAnsi="汉仪书宋二S" w:eastAsia="汉仪书宋二S" w:cs="汉仪书宋二S"/>
          <w:b/>
          <w:bCs/>
          <w:color w:val="auto"/>
          <w:szCs w:val="21"/>
          <w:highlight w:val="none"/>
          <w:shd w:val="clear" w:color="auto" w:fill="auto"/>
        </w:rPr>
      </w:pPr>
      <w:r>
        <w:rPr>
          <w:rFonts w:hint="eastAsia" w:ascii="宋体" w:hAnsi="宋体"/>
          <w:bCs/>
          <w:color w:val="auto"/>
          <w:szCs w:val="21"/>
          <w:highlight w:val="none"/>
          <w:shd w:val="clear" w:color="auto" w:fill="auto"/>
        </w:rPr>
        <w:t xml:space="preserve">    注：投标参数及功能有优于的（表述为≥时，大于标准值的可视为优于；表述为≤时，小于标准值的可视为优于），投标人须在投标文件中提供投标产品的彩页或第三方检测报告复印件或厂家出具的技术参数说明等证明材料作为佐证。</w:t>
      </w:r>
    </w:p>
    <w:p>
      <w:pPr>
        <w:pStyle w:val="298"/>
        <w:keepNext w:val="0"/>
        <w:keepLines w:val="0"/>
        <w:pageBreakBefore w:val="0"/>
        <w:kinsoku/>
        <w:overflowPunct/>
        <w:topLinePunct w:val="0"/>
        <w:autoSpaceDE/>
        <w:autoSpaceDN/>
        <w:bidi w:val="0"/>
        <w:spacing w:line="420" w:lineRule="exact"/>
        <w:ind w:firstLine="422"/>
        <w:rPr>
          <w:rFonts w:hint="eastAsia" w:ascii="宋体" w:hAnsi="宋体"/>
          <w:b/>
          <w:bCs/>
          <w:color w:val="auto"/>
          <w:highlight w:val="none"/>
          <w:shd w:val="clear" w:color="auto" w:fill="auto"/>
        </w:rPr>
      </w:pPr>
      <w:r>
        <w:rPr>
          <w:rFonts w:hint="eastAsia" w:ascii="宋体" w:hAnsi="宋体" w:cs="汉仪书宋二S"/>
          <w:b/>
          <w:bCs/>
          <w:color w:val="auto"/>
          <w:highlight w:val="none"/>
          <w:shd w:val="clear" w:color="auto" w:fill="auto"/>
          <w:lang w:eastAsia="zh-CN"/>
        </w:rPr>
        <w:t>（</w:t>
      </w:r>
      <w:r>
        <w:rPr>
          <w:rFonts w:hint="eastAsia" w:ascii="宋体" w:hAnsi="宋体" w:cs="汉仪书宋二S"/>
          <w:b/>
          <w:bCs/>
          <w:color w:val="auto"/>
          <w:highlight w:val="none"/>
          <w:shd w:val="clear" w:color="auto" w:fill="auto"/>
          <w:lang w:val="en-US" w:eastAsia="zh-CN"/>
        </w:rPr>
        <w:t>2</w:t>
      </w:r>
      <w:r>
        <w:rPr>
          <w:rFonts w:hint="eastAsia" w:ascii="宋体" w:hAnsi="宋体" w:cs="汉仪书宋二S"/>
          <w:b/>
          <w:bCs/>
          <w:color w:val="auto"/>
          <w:highlight w:val="none"/>
          <w:shd w:val="clear" w:color="auto" w:fill="auto"/>
          <w:lang w:eastAsia="zh-CN"/>
        </w:rPr>
        <w:t>）</w:t>
      </w:r>
      <w:r>
        <w:rPr>
          <w:rFonts w:hint="eastAsia" w:ascii="宋体" w:hAnsi="宋体"/>
          <w:b/>
          <w:bCs/>
          <w:color w:val="auto"/>
          <w:highlight w:val="none"/>
          <w:shd w:val="clear" w:color="auto" w:fill="auto"/>
        </w:rPr>
        <w:t>项目实施方案（满分1</w:t>
      </w:r>
      <w:r>
        <w:rPr>
          <w:rFonts w:hint="eastAsia" w:ascii="宋体" w:hAnsi="宋体"/>
          <w:b/>
          <w:bCs/>
          <w:color w:val="auto"/>
          <w:highlight w:val="none"/>
          <w:shd w:val="clear" w:color="auto" w:fill="auto"/>
          <w:lang w:val="en-US" w:eastAsia="zh-CN"/>
        </w:rPr>
        <w:t>5</w:t>
      </w:r>
      <w:r>
        <w:rPr>
          <w:rFonts w:hint="eastAsia" w:ascii="宋体" w:hAnsi="宋体"/>
          <w:b/>
          <w:bCs/>
          <w:color w:val="auto"/>
          <w:highlight w:val="none"/>
          <w:shd w:val="clear" w:color="auto" w:fill="auto"/>
        </w:rPr>
        <w:t>分）</w:t>
      </w:r>
    </w:p>
    <w:p>
      <w:pPr>
        <w:keepNext w:val="0"/>
        <w:keepLines w:val="0"/>
        <w:pageBreakBefore w:val="0"/>
        <w:kinsoku/>
        <w:overflowPunct/>
        <w:topLinePunct w:val="0"/>
        <w:autoSpaceDE/>
        <w:autoSpaceDN/>
        <w:bidi w:val="0"/>
        <w:spacing w:line="420" w:lineRule="exact"/>
        <w:rPr>
          <w:color w:val="auto"/>
          <w:spacing w:val="-2"/>
          <w:szCs w:val="21"/>
          <w:highlight w:val="none"/>
          <w:shd w:val="clear" w:color="auto" w:fill="auto"/>
          <w:lang w:bidi="ar"/>
        </w:rPr>
      </w:pPr>
      <w:r>
        <w:rPr>
          <w:rFonts w:hint="eastAsia" w:hAnsi="宋体"/>
          <w:color w:val="auto"/>
          <w:highlight w:val="none"/>
          <w:shd w:val="clear" w:color="auto" w:fill="auto"/>
        </w:rPr>
        <w:t xml:space="preserve">     </w:t>
      </w:r>
      <w:r>
        <w:rPr>
          <w:color w:val="auto"/>
          <w:szCs w:val="21"/>
          <w:highlight w:val="none"/>
          <w:shd w:val="clear" w:color="auto" w:fill="auto"/>
        </w:rPr>
        <w:t>由评标委员会各成员根据各投标人提供的项目实施方案中的</w:t>
      </w:r>
      <w:r>
        <w:rPr>
          <w:color w:val="auto"/>
          <w:kern w:val="0"/>
          <w:szCs w:val="21"/>
          <w:highlight w:val="none"/>
          <w:shd w:val="clear" w:color="auto" w:fill="auto"/>
        </w:rPr>
        <w:t>总体技术实施方案、分系统技术实施方案、实施进度计划、安装调试方案、实施过程风险和难点分析控制、质量保障措施、文明施工措施、环境保护措施、项目实施人员安排、系统试运行方案、建议的验收方案、竣工文档目录等内容进行独立评审打分</w:t>
      </w:r>
      <w:r>
        <w:rPr>
          <w:color w:val="auto"/>
          <w:spacing w:val="-2"/>
          <w:szCs w:val="21"/>
          <w:highlight w:val="none"/>
          <w:shd w:val="clear" w:color="auto" w:fill="auto"/>
          <w:lang w:bidi="ar"/>
        </w:rPr>
        <w:t>。</w:t>
      </w:r>
    </w:p>
    <w:p>
      <w:pPr>
        <w:keepNext w:val="0"/>
        <w:keepLines w:val="0"/>
        <w:pageBreakBefore w:val="0"/>
        <w:kinsoku/>
        <w:overflowPunct/>
        <w:topLinePunct w:val="0"/>
        <w:autoSpaceDE/>
        <w:autoSpaceDN/>
        <w:bidi w:val="0"/>
        <w:spacing w:line="420" w:lineRule="exact"/>
        <w:rPr>
          <w:bCs/>
          <w:color w:val="auto"/>
          <w:spacing w:val="-2"/>
          <w:szCs w:val="21"/>
          <w:highlight w:val="none"/>
          <w:shd w:val="clear" w:color="auto" w:fill="auto"/>
          <w:lang w:bidi="ar"/>
        </w:rPr>
      </w:pPr>
      <w:r>
        <w:rPr>
          <w:rFonts w:hint="eastAsia"/>
          <w:bCs/>
          <w:color w:val="auto"/>
          <w:spacing w:val="-2"/>
          <w:szCs w:val="21"/>
          <w:highlight w:val="none"/>
          <w:shd w:val="clear" w:color="auto" w:fill="auto"/>
          <w:lang w:val="en-US" w:eastAsia="zh-CN" w:bidi="ar"/>
        </w:rPr>
        <w:t xml:space="preserve">     </w:t>
      </w:r>
      <w:r>
        <w:rPr>
          <w:rFonts w:hint="eastAsia"/>
          <w:bCs/>
          <w:color w:val="auto"/>
          <w:spacing w:val="-2"/>
          <w:szCs w:val="21"/>
          <w:highlight w:val="none"/>
          <w:shd w:val="clear" w:color="auto" w:fill="auto"/>
          <w:lang w:bidi="ar"/>
        </w:rPr>
        <w:t>一</w:t>
      </w:r>
      <w:r>
        <w:rPr>
          <w:bCs/>
          <w:color w:val="auto"/>
          <w:spacing w:val="-2"/>
          <w:szCs w:val="21"/>
          <w:highlight w:val="none"/>
          <w:shd w:val="clear" w:color="auto" w:fill="auto"/>
          <w:lang w:bidi="ar"/>
        </w:rPr>
        <w:t>档（</w:t>
      </w:r>
      <w:r>
        <w:rPr>
          <w:rFonts w:hint="eastAsia"/>
          <w:bCs/>
          <w:color w:val="auto"/>
          <w:spacing w:val="-2"/>
          <w:szCs w:val="21"/>
          <w:highlight w:val="none"/>
          <w:shd w:val="clear" w:color="auto" w:fill="auto"/>
          <w:lang w:val="en-US" w:eastAsia="zh-CN" w:bidi="ar"/>
        </w:rPr>
        <w:t>9</w:t>
      </w:r>
      <w:r>
        <w:rPr>
          <w:bCs/>
          <w:color w:val="auto"/>
          <w:spacing w:val="-2"/>
          <w:szCs w:val="21"/>
          <w:highlight w:val="none"/>
          <w:shd w:val="clear" w:color="auto" w:fill="auto"/>
          <w:lang w:bidi="ar"/>
        </w:rPr>
        <w:t>分）：提供了项目实施方案，但实施方案中的（</w:t>
      </w:r>
      <w:r>
        <w:rPr>
          <w:color w:val="auto"/>
          <w:kern w:val="0"/>
          <w:szCs w:val="21"/>
          <w:highlight w:val="none"/>
          <w:shd w:val="clear" w:color="auto" w:fill="auto"/>
        </w:rPr>
        <w:t>总体技术实施方案、分系统技术实施方案、实施进度计划、安装调试方案、实施过程风险和难点分析控制、质量保障措施、文明施工措施、环境保护措施、项目实施人员安排、系统试运行方案、建议的验收方案、竣工文档目录</w:t>
      </w:r>
      <w:r>
        <w:rPr>
          <w:bCs/>
          <w:color w:val="auto"/>
          <w:spacing w:val="-2"/>
          <w:szCs w:val="21"/>
          <w:highlight w:val="none"/>
          <w:shd w:val="clear" w:color="auto" w:fill="auto"/>
          <w:lang w:bidi="ar"/>
        </w:rPr>
        <w:t>）有2项（含）以上缺项的</w:t>
      </w:r>
      <w:r>
        <w:rPr>
          <w:color w:val="auto"/>
          <w:kern w:val="0"/>
          <w:szCs w:val="21"/>
          <w:highlight w:val="none"/>
          <w:shd w:val="clear" w:color="auto" w:fill="auto"/>
        </w:rPr>
        <w:t>。</w:t>
      </w:r>
    </w:p>
    <w:p>
      <w:pPr>
        <w:keepNext w:val="0"/>
        <w:keepLines w:val="0"/>
        <w:pageBreakBefore w:val="0"/>
        <w:kinsoku/>
        <w:overflowPunct/>
        <w:topLinePunct w:val="0"/>
        <w:autoSpaceDE/>
        <w:autoSpaceDN/>
        <w:bidi w:val="0"/>
        <w:spacing w:line="420" w:lineRule="exact"/>
        <w:rPr>
          <w:bCs/>
          <w:color w:val="auto"/>
          <w:spacing w:val="-2"/>
          <w:szCs w:val="21"/>
          <w:highlight w:val="none"/>
          <w:shd w:val="clear" w:color="auto" w:fill="auto"/>
          <w:lang w:bidi="ar"/>
        </w:rPr>
      </w:pPr>
      <w:r>
        <w:rPr>
          <w:rFonts w:hint="eastAsia"/>
          <w:bCs/>
          <w:color w:val="auto"/>
          <w:spacing w:val="-2"/>
          <w:szCs w:val="21"/>
          <w:highlight w:val="none"/>
          <w:shd w:val="clear" w:color="auto" w:fill="auto"/>
          <w:lang w:val="en-US" w:eastAsia="zh-CN" w:bidi="ar"/>
        </w:rPr>
        <w:t xml:space="preserve">     </w:t>
      </w:r>
      <w:r>
        <w:rPr>
          <w:rFonts w:hint="eastAsia"/>
          <w:bCs/>
          <w:color w:val="auto"/>
          <w:spacing w:val="-2"/>
          <w:szCs w:val="21"/>
          <w:highlight w:val="none"/>
          <w:shd w:val="clear" w:color="auto" w:fill="auto"/>
          <w:lang w:bidi="ar"/>
        </w:rPr>
        <w:t>二</w:t>
      </w:r>
      <w:r>
        <w:rPr>
          <w:bCs/>
          <w:color w:val="auto"/>
          <w:spacing w:val="-2"/>
          <w:szCs w:val="21"/>
          <w:highlight w:val="none"/>
          <w:shd w:val="clear" w:color="auto" w:fill="auto"/>
          <w:lang w:bidi="ar"/>
        </w:rPr>
        <w:t>档（</w:t>
      </w:r>
      <w:r>
        <w:rPr>
          <w:rFonts w:hint="eastAsia"/>
          <w:bCs/>
          <w:color w:val="auto"/>
          <w:spacing w:val="-2"/>
          <w:szCs w:val="21"/>
          <w:highlight w:val="none"/>
          <w:shd w:val="clear" w:color="auto" w:fill="auto"/>
          <w:lang w:val="en-US" w:eastAsia="zh-CN" w:bidi="ar"/>
        </w:rPr>
        <w:t>12</w:t>
      </w:r>
      <w:r>
        <w:rPr>
          <w:bCs/>
          <w:color w:val="auto"/>
          <w:spacing w:val="-2"/>
          <w:szCs w:val="21"/>
          <w:highlight w:val="none"/>
          <w:shd w:val="clear" w:color="auto" w:fill="auto"/>
          <w:lang w:bidi="ar"/>
        </w:rPr>
        <w:t>分）：提供了项目实施方案，且实施方案中的（</w:t>
      </w:r>
      <w:r>
        <w:rPr>
          <w:color w:val="auto"/>
          <w:kern w:val="0"/>
          <w:szCs w:val="21"/>
          <w:highlight w:val="none"/>
          <w:shd w:val="clear" w:color="auto" w:fill="auto"/>
        </w:rPr>
        <w:t>总体技术实施方案、分系统技术实施方案、实施进度计划、安装调试方案、实施过程风险和难点分析控制、质量保障措施、文明施工措施、环境保护措施、项目实施人员安排、系统试运行方案、建议的验收方案、竣工文档目录</w:t>
      </w:r>
      <w:r>
        <w:rPr>
          <w:bCs/>
          <w:color w:val="auto"/>
          <w:spacing w:val="-2"/>
          <w:szCs w:val="21"/>
          <w:highlight w:val="none"/>
          <w:shd w:val="clear" w:color="auto" w:fill="auto"/>
          <w:lang w:bidi="ar"/>
        </w:rPr>
        <w:t>）没有缺项；分系统技术实施方案、系统试运行方案包含了本项目涉及的系统、实施进度计划满足本项目工期要求；</w:t>
      </w:r>
    </w:p>
    <w:p>
      <w:pPr>
        <w:pStyle w:val="29"/>
        <w:keepNext w:val="0"/>
        <w:keepLines w:val="0"/>
        <w:pageBreakBefore w:val="0"/>
        <w:kinsoku/>
        <w:overflowPunct/>
        <w:topLinePunct w:val="0"/>
        <w:autoSpaceDE/>
        <w:autoSpaceDN/>
        <w:bidi w:val="0"/>
        <w:spacing w:line="420" w:lineRule="exact"/>
        <w:rPr>
          <w:rFonts w:hint="eastAsia" w:ascii="Times New Roman" w:hAnsi="Times New Roman" w:cs="Times New Roman"/>
          <w:color w:val="auto"/>
          <w:highlight w:val="none"/>
          <w:shd w:val="clear" w:color="auto" w:fill="auto"/>
        </w:rPr>
      </w:pPr>
      <w:r>
        <w:rPr>
          <w:rFonts w:hint="eastAsia"/>
          <w:color w:val="auto"/>
          <w:szCs w:val="21"/>
          <w:highlight w:val="none"/>
          <w:shd w:val="clear" w:color="auto" w:fill="auto"/>
          <w:lang w:val="en-US" w:eastAsia="zh-CN"/>
        </w:rPr>
        <w:t xml:space="preserve">    </w:t>
      </w:r>
      <w:r>
        <w:rPr>
          <w:rFonts w:hint="eastAsia"/>
          <w:color w:val="auto"/>
          <w:szCs w:val="21"/>
          <w:highlight w:val="none"/>
          <w:shd w:val="clear" w:color="auto" w:fill="auto"/>
        </w:rPr>
        <w:t>三</w:t>
      </w:r>
      <w:r>
        <w:rPr>
          <w:color w:val="auto"/>
          <w:szCs w:val="21"/>
          <w:highlight w:val="none"/>
          <w:shd w:val="clear" w:color="auto" w:fill="auto"/>
        </w:rPr>
        <w:t>档（</w:t>
      </w:r>
      <w:r>
        <w:rPr>
          <w:rFonts w:hint="eastAsia"/>
          <w:color w:val="auto"/>
          <w:szCs w:val="21"/>
          <w:highlight w:val="none"/>
          <w:shd w:val="clear" w:color="auto" w:fill="auto"/>
        </w:rPr>
        <w:t>1</w:t>
      </w:r>
      <w:r>
        <w:rPr>
          <w:rFonts w:hint="eastAsia"/>
          <w:color w:val="auto"/>
          <w:szCs w:val="21"/>
          <w:highlight w:val="none"/>
          <w:shd w:val="clear" w:color="auto" w:fill="auto"/>
          <w:lang w:val="en-US" w:eastAsia="zh-CN"/>
        </w:rPr>
        <w:t>5</w:t>
      </w:r>
      <w:r>
        <w:rPr>
          <w:color w:val="auto"/>
          <w:szCs w:val="21"/>
          <w:highlight w:val="none"/>
          <w:shd w:val="clear" w:color="auto" w:fill="auto"/>
        </w:rPr>
        <w:t>分）：在</w:t>
      </w:r>
      <w:r>
        <w:rPr>
          <w:rFonts w:hint="eastAsia"/>
          <w:color w:val="auto"/>
          <w:szCs w:val="21"/>
          <w:highlight w:val="none"/>
          <w:shd w:val="clear" w:color="auto" w:fill="auto"/>
        </w:rPr>
        <w:t>满足二</w:t>
      </w:r>
      <w:r>
        <w:rPr>
          <w:color w:val="auto"/>
          <w:szCs w:val="21"/>
          <w:highlight w:val="none"/>
          <w:shd w:val="clear" w:color="auto" w:fill="auto"/>
        </w:rPr>
        <w:t>档的基础上，有在投标文件中提供了针对本项目进行深化设计的系统图、平面布局图</w:t>
      </w:r>
      <w:r>
        <w:rPr>
          <w:rFonts w:hint="eastAsia"/>
          <w:color w:val="auto"/>
          <w:szCs w:val="21"/>
          <w:highlight w:val="none"/>
          <w:shd w:val="clear" w:color="auto" w:fill="auto"/>
          <w:lang w:eastAsia="zh-CN"/>
        </w:rPr>
        <w:t>、</w:t>
      </w:r>
      <w:r>
        <w:rPr>
          <w:rFonts w:hint="eastAsia"/>
          <w:color w:val="auto"/>
          <w:szCs w:val="21"/>
          <w:highlight w:val="none"/>
          <w:shd w:val="clear" w:color="auto" w:fill="auto"/>
          <w:lang w:val="en-US" w:eastAsia="zh-CN"/>
        </w:rPr>
        <w:t>效果图等</w:t>
      </w:r>
      <w:r>
        <w:rPr>
          <w:rFonts w:hint="eastAsia"/>
          <w:color w:val="auto"/>
          <w:szCs w:val="21"/>
          <w:highlight w:val="none"/>
          <w:shd w:val="clear" w:color="auto" w:fill="auto"/>
        </w:rPr>
        <w:t>，且提供了项目实施人员一览表。</w:t>
      </w:r>
    </w:p>
    <w:p>
      <w:pPr>
        <w:keepNext w:val="0"/>
        <w:keepLines w:val="0"/>
        <w:pageBreakBefore w:val="0"/>
        <w:kinsoku/>
        <w:overflowPunct/>
        <w:topLinePunct w:val="0"/>
        <w:autoSpaceDE/>
        <w:autoSpaceDN/>
        <w:bidi w:val="0"/>
        <w:spacing w:line="420" w:lineRule="exact"/>
        <w:ind w:firstLine="421" w:firstLineChars="200"/>
        <w:rPr>
          <w:rFonts w:hint="eastAsia" w:ascii="宋体" w:hAnsi="宋体"/>
          <w:b/>
          <w:bCs/>
          <w:color w:val="auto"/>
          <w:szCs w:val="21"/>
          <w:highlight w:val="none"/>
          <w:shd w:val="clear" w:color="auto" w:fill="auto"/>
        </w:rPr>
      </w:pPr>
      <w:r>
        <w:rPr>
          <w:rFonts w:hint="eastAsia" w:ascii="汉仪书宋二S" w:hAnsi="汉仪书宋二S" w:eastAsia="汉仪书宋二S" w:cs="汉仪书宋二S"/>
          <w:b/>
          <w:bCs/>
          <w:color w:val="auto"/>
          <w:highlight w:val="none"/>
          <w:shd w:val="clear" w:color="auto" w:fill="auto"/>
          <w:lang w:eastAsia="zh-CN"/>
        </w:rPr>
        <w:t>（</w:t>
      </w:r>
      <w:r>
        <w:rPr>
          <w:rFonts w:hint="eastAsia" w:ascii="汉仪书宋二S" w:hAnsi="汉仪书宋二S" w:eastAsia="汉仪书宋二S" w:cs="汉仪书宋二S"/>
          <w:b/>
          <w:bCs/>
          <w:color w:val="auto"/>
          <w:highlight w:val="none"/>
          <w:shd w:val="clear" w:color="auto" w:fill="auto"/>
          <w:lang w:val="en-US" w:eastAsia="zh-CN"/>
        </w:rPr>
        <w:t>3</w:t>
      </w:r>
      <w:r>
        <w:rPr>
          <w:rFonts w:hint="eastAsia" w:ascii="汉仪书宋二S" w:hAnsi="汉仪书宋二S" w:eastAsia="汉仪书宋二S" w:cs="汉仪书宋二S"/>
          <w:b/>
          <w:bCs/>
          <w:color w:val="auto"/>
          <w:highlight w:val="none"/>
          <w:shd w:val="clear" w:color="auto" w:fill="auto"/>
          <w:lang w:eastAsia="zh-CN"/>
        </w:rPr>
        <w:t>）</w:t>
      </w:r>
      <w:r>
        <w:rPr>
          <w:rFonts w:hint="eastAsia" w:ascii="宋体" w:hAnsi="宋体" w:eastAsia="汉仪书宋二S"/>
          <w:b/>
          <w:bCs/>
          <w:color w:val="auto"/>
          <w:szCs w:val="21"/>
          <w:highlight w:val="none"/>
          <w:shd w:val="clear" w:color="auto" w:fill="auto"/>
          <w:lang w:val="en-US" w:eastAsia="zh-CN"/>
        </w:rPr>
        <w:t>项目实施人员配置分</w:t>
      </w:r>
      <w:r>
        <w:rPr>
          <w:rFonts w:hint="eastAsia" w:ascii="宋体" w:hAnsi="宋体"/>
          <w:b/>
          <w:bCs/>
          <w:color w:val="auto"/>
          <w:szCs w:val="21"/>
          <w:highlight w:val="none"/>
          <w:shd w:val="clear" w:color="auto" w:fill="auto"/>
        </w:rPr>
        <w:t>（满分</w:t>
      </w:r>
      <w:r>
        <w:rPr>
          <w:rFonts w:hint="eastAsia" w:ascii="宋体" w:hAnsi="宋体"/>
          <w:b/>
          <w:bCs/>
          <w:color w:val="auto"/>
          <w:szCs w:val="21"/>
          <w:highlight w:val="none"/>
          <w:shd w:val="clear" w:color="auto" w:fill="auto"/>
          <w:lang w:val="en-US" w:eastAsia="zh-CN"/>
        </w:rPr>
        <w:t>5</w:t>
      </w:r>
      <w:r>
        <w:rPr>
          <w:rFonts w:hint="eastAsia" w:ascii="宋体" w:hAnsi="宋体"/>
          <w:b/>
          <w:bCs/>
          <w:color w:val="auto"/>
          <w:szCs w:val="21"/>
          <w:highlight w:val="none"/>
          <w:shd w:val="clear" w:color="auto" w:fill="auto"/>
        </w:rPr>
        <w:t>分）</w:t>
      </w:r>
    </w:p>
    <w:p>
      <w:pPr>
        <w:keepNext w:val="0"/>
        <w:keepLines w:val="0"/>
        <w:pageBreakBefore w:val="0"/>
        <w:kinsoku/>
        <w:overflowPunct/>
        <w:topLinePunct w:val="0"/>
        <w:autoSpaceDE/>
        <w:autoSpaceDN/>
        <w:bidi w:val="0"/>
        <w:spacing w:line="420" w:lineRule="exact"/>
        <w:rPr>
          <w:rFonts w:hint="eastAsia" w:ascii="汉仪书宋二S" w:hAnsi="汉仪书宋二S" w:eastAsia="汉仪书宋二S" w:cs="汉仪书宋二S"/>
          <w:strike/>
          <w:dstrike w:val="0"/>
          <w:color w:val="auto"/>
          <w:highlight w:val="none"/>
          <w:shd w:val="clear" w:color="auto" w:fill="auto"/>
        </w:rPr>
      </w:pPr>
      <w:r>
        <w:rPr>
          <w:rFonts w:hint="eastAsia"/>
          <w:color w:val="auto"/>
          <w:szCs w:val="21"/>
          <w:highlight w:val="none"/>
          <w:shd w:val="clear" w:color="auto" w:fill="auto"/>
          <w:lang w:val="en-US" w:eastAsia="zh-CN"/>
        </w:rPr>
        <w:t xml:space="preserve">    </w:t>
      </w:r>
      <w:r>
        <w:rPr>
          <w:rFonts w:hint="eastAsia"/>
          <w:color w:val="auto"/>
          <w:szCs w:val="21"/>
          <w:highlight w:val="none"/>
          <w:shd w:val="clear" w:color="auto" w:fill="auto"/>
        </w:rPr>
        <w:t>提供不少于5名项目实施人员（需提供人员名单及</w:t>
      </w:r>
      <w:r>
        <w:rPr>
          <w:rFonts w:hint="eastAsia"/>
          <w:color w:val="auto"/>
          <w:szCs w:val="21"/>
          <w:highlight w:val="none"/>
          <w:shd w:val="clear" w:color="auto" w:fill="auto"/>
          <w:lang w:eastAsia="zh-CN"/>
        </w:rPr>
        <w:t>合同</w:t>
      </w:r>
      <w:r>
        <w:rPr>
          <w:rFonts w:hint="eastAsia"/>
          <w:color w:val="auto"/>
          <w:szCs w:val="21"/>
          <w:highlight w:val="none"/>
          <w:shd w:val="clear" w:color="auto" w:fill="auto"/>
        </w:rPr>
        <w:t>证明材料加盖投标人公章），拟投入本项目实施的人员至少有1人具有系统集成项目管理工程师证书或网络工程师证书（投标时提供资质证书复印件）。</w:t>
      </w:r>
    </w:p>
    <w:p>
      <w:pPr>
        <w:keepNext w:val="0"/>
        <w:keepLines w:val="0"/>
        <w:pageBreakBefore w:val="0"/>
        <w:kinsoku/>
        <w:overflowPunct/>
        <w:topLinePunct w:val="0"/>
        <w:autoSpaceDE/>
        <w:autoSpaceDN/>
        <w:bidi w:val="0"/>
        <w:spacing w:line="420" w:lineRule="exact"/>
        <w:rPr>
          <w:rFonts w:hint="eastAsia" w:ascii="宋体" w:hAnsi="宋体"/>
          <w:color w:val="auto"/>
          <w:szCs w:val="21"/>
          <w:highlight w:val="none"/>
          <w:shd w:val="clear" w:color="auto" w:fill="auto"/>
        </w:rPr>
      </w:pPr>
      <w:r>
        <w:rPr>
          <w:rFonts w:hint="eastAsia" w:ascii="汉仪书宋二S" w:hAnsi="汉仪书宋二S" w:eastAsia="汉仪书宋二S" w:cs="汉仪书宋二S"/>
          <w:color w:val="auto"/>
          <w:highlight w:val="none"/>
          <w:shd w:val="clear" w:color="auto" w:fill="auto"/>
        </w:rPr>
        <w:t xml:space="preserve">   </w:t>
      </w:r>
      <w:r>
        <w:rPr>
          <w:rFonts w:hint="eastAsia" w:ascii="汉仪书宋二S" w:hAnsi="汉仪书宋二S" w:eastAsia="汉仪书宋二S" w:cs="汉仪书宋二S"/>
          <w:b/>
          <w:bCs/>
          <w:color w:val="auto"/>
          <w:highlight w:val="none"/>
          <w:shd w:val="clear" w:color="auto" w:fill="auto"/>
          <w:lang w:eastAsia="zh-CN"/>
        </w:rPr>
        <w:t>（</w:t>
      </w:r>
      <w:r>
        <w:rPr>
          <w:rFonts w:hint="eastAsia" w:ascii="汉仪书宋二S" w:hAnsi="汉仪书宋二S" w:eastAsia="汉仪书宋二S" w:cs="汉仪书宋二S"/>
          <w:b/>
          <w:bCs/>
          <w:color w:val="auto"/>
          <w:highlight w:val="none"/>
          <w:shd w:val="clear" w:color="auto" w:fill="auto"/>
          <w:lang w:val="en-US" w:eastAsia="zh-CN"/>
        </w:rPr>
        <w:t>4</w:t>
      </w:r>
      <w:r>
        <w:rPr>
          <w:rFonts w:hint="eastAsia" w:ascii="汉仪书宋二S" w:hAnsi="汉仪书宋二S" w:eastAsia="汉仪书宋二S" w:cs="汉仪书宋二S"/>
          <w:b/>
          <w:bCs/>
          <w:color w:val="auto"/>
          <w:highlight w:val="none"/>
          <w:shd w:val="clear" w:color="auto" w:fill="auto"/>
          <w:lang w:eastAsia="zh-CN"/>
        </w:rPr>
        <w:t>）</w:t>
      </w:r>
      <w:r>
        <w:rPr>
          <w:rFonts w:hint="eastAsia" w:ascii="宋体" w:hAnsi="宋体"/>
          <w:b/>
          <w:bCs/>
          <w:color w:val="auto"/>
          <w:szCs w:val="21"/>
          <w:highlight w:val="none"/>
          <w:shd w:val="clear" w:color="auto" w:fill="auto"/>
        </w:rPr>
        <w:t>售后服务方案（满分</w:t>
      </w:r>
      <w:r>
        <w:rPr>
          <w:rFonts w:ascii="宋体" w:hAnsi="宋体"/>
          <w:b/>
          <w:bCs/>
          <w:color w:val="auto"/>
          <w:szCs w:val="21"/>
          <w:highlight w:val="none"/>
          <w:shd w:val="clear" w:color="auto" w:fill="auto"/>
        </w:rPr>
        <w:t>1</w:t>
      </w:r>
      <w:r>
        <w:rPr>
          <w:rFonts w:hint="eastAsia" w:ascii="宋体" w:hAnsi="宋体"/>
          <w:b/>
          <w:bCs/>
          <w:color w:val="auto"/>
          <w:szCs w:val="21"/>
          <w:highlight w:val="none"/>
          <w:shd w:val="clear" w:color="auto" w:fill="auto"/>
          <w:lang w:val="en-US" w:eastAsia="zh-CN"/>
        </w:rPr>
        <w:t>5</w:t>
      </w:r>
      <w:r>
        <w:rPr>
          <w:rFonts w:hint="eastAsia" w:ascii="宋体" w:hAnsi="宋体"/>
          <w:b/>
          <w:bCs/>
          <w:color w:val="auto"/>
          <w:szCs w:val="21"/>
          <w:highlight w:val="none"/>
          <w:shd w:val="clear" w:color="auto" w:fill="auto"/>
        </w:rPr>
        <w:t>分）</w:t>
      </w:r>
    </w:p>
    <w:p>
      <w:pPr>
        <w:keepNext w:val="0"/>
        <w:keepLines w:val="0"/>
        <w:pageBreakBefore w:val="0"/>
        <w:kinsoku/>
        <w:overflowPunct/>
        <w:topLinePunct w:val="0"/>
        <w:autoSpaceDE/>
        <w:autoSpaceDN/>
        <w:bidi w:val="0"/>
        <w:spacing w:line="420" w:lineRule="exact"/>
        <w:ind w:firstLine="420" w:firstLineChars="200"/>
        <w:rPr>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评标委员会各成员根据投标人提供的售后服务承诺方案的内容（至少包括：免费保修期、到达故障现场时间、故障出现解决方案，定期维护（注明时间）、免费技术培训方案、免费保修期外维修方案、本地化售后服务措施、其它优惠方案）进行独立评审打分。</w:t>
      </w:r>
    </w:p>
    <w:p>
      <w:pPr>
        <w:keepNext w:val="0"/>
        <w:keepLines w:val="0"/>
        <w:pageBreakBefore w:val="0"/>
        <w:kinsoku/>
        <w:overflowPunct/>
        <w:topLinePunct w:val="0"/>
        <w:autoSpaceDE/>
        <w:autoSpaceDN/>
        <w:bidi w:val="0"/>
        <w:spacing w:line="420" w:lineRule="exact"/>
        <w:rPr>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一档（</w:t>
      </w:r>
      <w:r>
        <w:rPr>
          <w:rFonts w:hint="eastAsia"/>
          <w:bCs/>
          <w:color w:val="auto"/>
          <w:spacing w:val="-2"/>
          <w:szCs w:val="21"/>
          <w:highlight w:val="none"/>
          <w:shd w:val="clear" w:color="auto" w:fill="auto"/>
          <w:lang w:val="en-US" w:eastAsia="zh-CN" w:bidi="ar"/>
        </w:rPr>
        <w:t>9</w:t>
      </w:r>
      <w:r>
        <w:rPr>
          <w:bCs/>
          <w:color w:val="auto"/>
          <w:spacing w:val="-2"/>
          <w:szCs w:val="21"/>
          <w:highlight w:val="none"/>
          <w:shd w:val="clear" w:color="auto" w:fill="auto"/>
          <w:lang w:bidi="ar"/>
        </w:rPr>
        <w:t>分</w:t>
      </w:r>
      <w:r>
        <w:rPr>
          <w:color w:val="auto"/>
          <w:szCs w:val="21"/>
          <w:highlight w:val="none"/>
          <w:shd w:val="clear" w:color="auto" w:fill="auto"/>
        </w:rPr>
        <w:t>）：提供了售后服务承诺方案有缺项或者售后服务承诺方案（免费保修期、到达故障现场时间、故障出现解决方案，定期维护（注明时间）、免费技术培训方案、免费保修期外维修方案、本地化售后服务措施、其它优惠方案）基本满足招标文件售后服务要求的。</w:t>
      </w:r>
    </w:p>
    <w:p>
      <w:pPr>
        <w:keepNext w:val="0"/>
        <w:keepLines w:val="0"/>
        <w:pageBreakBefore w:val="0"/>
        <w:kinsoku/>
        <w:overflowPunct/>
        <w:topLinePunct w:val="0"/>
        <w:autoSpaceDE/>
        <w:autoSpaceDN/>
        <w:bidi w:val="0"/>
        <w:spacing w:line="420" w:lineRule="exact"/>
        <w:rPr>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二档（</w:t>
      </w:r>
      <w:r>
        <w:rPr>
          <w:rFonts w:hint="eastAsia"/>
          <w:bCs/>
          <w:color w:val="auto"/>
          <w:spacing w:val="-2"/>
          <w:szCs w:val="21"/>
          <w:highlight w:val="none"/>
          <w:shd w:val="clear" w:color="auto" w:fill="auto"/>
          <w:lang w:val="en-US" w:eastAsia="zh-CN" w:bidi="ar"/>
        </w:rPr>
        <w:t>12</w:t>
      </w:r>
      <w:r>
        <w:rPr>
          <w:color w:val="auto"/>
          <w:szCs w:val="21"/>
          <w:highlight w:val="none"/>
          <w:shd w:val="clear" w:color="auto" w:fill="auto"/>
        </w:rPr>
        <w:t>分）：提供了售后服务承诺方案，且（免费保修期、到达故障现场时间、故障出现解决方案，定期维护（注明时间）、免费技术培训方案、免费保修期外维修方案、本地化售后服务措施、其它优惠方案）没有缺项，到达故障现场时间优于招标需求，定期维护时间在质保期内每年不低于4次。</w:t>
      </w:r>
    </w:p>
    <w:p>
      <w:pPr>
        <w:keepNext w:val="0"/>
        <w:keepLines w:val="0"/>
        <w:pageBreakBefore w:val="0"/>
        <w:kinsoku/>
        <w:overflowPunct/>
        <w:topLinePunct w:val="0"/>
        <w:autoSpaceDE/>
        <w:autoSpaceDN/>
        <w:bidi w:val="0"/>
        <w:spacing w:line="420" w:lineRule="exact"/>
        <w:ind w:firstLineChars="0"/>
        <w:rPr>
          <w:rFonts w:hint="eastAsia" w:asciiTheme="majorEastAsia" w:hAnsiTheme="majorEastAsia" w:eastAsiaTheme="majorEastAsia" w:cstheme="majorEastAsia"/>
          <w:strike/>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三档（</w:t>
      </w:r>
      <w:r>
        <w:rPr>
          <w:rFonts w:hint="eastAsia"/>
          <w:color w:val="auto"/>
          <w:szCs w:val="21"/>
          <w:highlight w:val="none"/>
          <w:shd w:val="clear" w:color="auto" w:fill="auto"/>
        </w:rPr>
        <w:t>1</w:t>
      </w:r>
      <w:r>
        <w:rPr>
          <w:rFonts w:hint="eastAsia"/>
          <w:bCs/>
          <w:color w:val="auto"/>
          <w:spacing w:val="-2"/>
          <w:szCs w:val="21"/>
          <w:highlight w:val="none"/>
          <w:shd w:val="clear" w:color="auto" w:fill="auto"/>
          <w:lang w:val="en-US" w:eastAsia="zh-CN" w:bidi="ar"/>
        </w:rPr>
        <w:t>5</w:t>
      </w:r>
      <w:r>
        <w:rPr>
          <w:bCs/>
          <w:color w:val="auto"/>
          <w:spacing w:val="-2"/>
          <w:szCs w:val="21"/>
          <w:highlight w:val="none"/>
          <w:shd w:val="clear" w:color="auto" w:fill="auto"/>
          <w:lang w:bidi="ar"/>
        </w:rPr>
        <w:t>分</w:t>
      </w:r>
      <w:r>
        <w:rPr>
          <w:color w:val="auto"/>
          <w:szCs w:val="21"/>
          <w:highlight w:val="none"/>
          <w:shd w:val="clear" w:color="auto" w:fill="auto"/>
        </w:rPr>
        <w:t>）：在</w:t>
      </w:r>
      <w:r>
        <w:rPr>
          <w:rFonts w:hint="eastAsia"/>
          <w:color w:val="auto"/>
          <w:szCs w:val="21"/>
          <w:highlight w:val="none"/>
          <w:shd w:val="clear" w:color="auto" w:fill="auto"/>
        </w:rPr>
        <w:t>满足</w:t>
      </w:r>
      <w:r>
        <w:rPr>
          <w:color w:val="auto"/>
          <w:szCs w:val="21"/>
          <w:highlight w:val="none"/>
          <w:shd w:val="clear" w:color="auto" w:fill="auto"/>
        </w:rPr>
        <w:t>二档的基础上，在本地化售后服务措施中能提供不少于2名的</w:t>
      </w:r>
      <w:r>
        <w:rPr>
          <w:rFonts w:hint="eastAsia"/>
          <w:color w:val="auto"/>
          <w:szCs w:val="21"/>
          <w:highlight w:val="none"/>
          <w:shd w:val="clear" w:color="auto" w:fill="auto"/>
        </w:rPr>
        <w:t>专职</w:t>
      </w:r>
      <w:r>
        <w:rPr>
          <w:color w:val="auto"/>
          <w:szCs w:val="21"/>
          <w:highlight w:val="none"/>
          <w:shd w:val="clear" w:color="auto" w:fill="auto"/>
        </w:rPr>
        <w:t>售后服务</w:t>
      </w:r>
      <w:r>
        <w:rPr>
          <w:rFonts w:hint="eastAsia"/>
          <w:color w:val="auto"/>
          <w:szCs w:val="21"/>
          <w:highlight w:val="none"/>
          <w:shd w:val="clear" w:color="auto" w:fill="auto"/>
          <w:lang w:val="en-US" w:eastAsia="zh-CN"/>
        </w:rPr>
        <w:t>人员</w:t>
      </w:r>
      <w:r>
        <w:rPr>
          <w:color w:val="auto"/>
          <w:szCs w:val="21"/>
          <w:highlight w:val="none"/>
          <w:shd w:val="clear" w:color="auto" w:fill="auto"/>
        </w:rPr>
        <w:t>，提供</w:t>
      </w:r>
      <w:r>
        <w:rPr>
          <w:rFonts w:hint="eastAsia"/>
          <w:color w:val="auto"/>
          <w:szCs w:val="21"/>
          <w:highlight w:val="none"/>
          <w:shd w:val="clear" w:color="auto" w:fill="auto"/>
          <w:lang w:val="en-US" w:eastAsia="zh-CN"/>
        </w:rPr>
        <w:t>专职售后服务</w:t>
      </w:r>
      <w:r>
        <w:rPr>
          <w:color w:val="auto"/>
          <w:szCs w:val="21"/>
          <w:highlight w:val="none"/>
          <w:shd w:val="clear" w:color="auto" w:fill="auto"/>
        </w:rPr>
        <w:t>人员名单、联系电话。</w:t>
      </w:r>
      <w:r>
        <w:rPr>
          <w:rFonts w:hint="eastAsia" w:hAnsi="宋体"/>
          <w:color w:val="auto"/>
          <w:highlight w:val="none"/>
          <w:shd w:val="clear" w:color="auto" w:fill="auto"/>
        </w:rPr>
        <w:t xml:space="preserve">    </w:t>
      </w:r>
    </w:p>
    <w:p>
      <w:pPr>
        <w:pStyle w:val="51"/>
        <w:keepNext w:val="0"/>
        <w:keepLines w:val="0"/>
        <w:pageBreakBefore w:val="0"/>
        <w:kinsoku/>
        <w:overflowPunct/>
        <w:topLinePunct w:val="0"/>
        <w:autoSpaceDE/>
        <w:autoSpaceDN/>
        <w:bidi w:val="0"/>
        <w:adjustRightInd w:val="0"/>
        <w:snapToGrid w:val="0"/>
        <w:spacing w:line="420" w:lineRule="exact"/>
        <w:ind w:firstLineChars="200"/>
        <w:rPr>
          <w:rFonts w:hint="eastAsia" w:asciiTheme="majorEastAsia" w:hAnsiTheme="majorEastAsia" w:eastAsiaTheme="majorEastAsia" w:cstheme="majorEastAsia"/>
          <w:color w:val="auto"/>
          <w:sz w:val="21"/>
          <w:szCs w:val="21"/>
          <w:highlight w:val="none"/>
          <w:shd w:val="clear" w:color="auto" w:fill="auto"/>
        </w:rPr>
      </w:pPr>
    </w:p>
    <w:p>
      <w:pPr>
        <w:keepNext w:val="0"/>
        <w:keepLines w:val="0"/>
        <w:pageBreakBefore w:val="0"/>
        <w:widowControl/>
        <w:kinsoku/>
        <w:overflowPunct/>
        <w:topLinePunct w:val="0"/>
        <w:autoSpaceDE/>
        <w:autoSpaceDN/>
        <w:bidi w:val="0"/>
        <w:spacing w:line="420" w:lineRule="exact"/>
        <w:ind w:left="420" w:leftChars="200"/>
        <w:jc w:val="left"/>
        <w:rPr>
          <w:b/>
          <w:color w:val="auto"/>
          <w:highlight w:val="none"/>
          <w:shd w:val="clear" w:color="auto" w:fill="auto"/>
        </w:rPr>
      </w:pPr>
      <w:r>
        <w:rPr>
          <w:rFonts w:hint="eastAsia"/>
          <w:b/>
          <w:bCs/>
          <w:color w:val="auto"/>
          <w:highlight w:val="none"/>
          <w:shd w:val="clear" w:color="auto" w:fill="auto"/>
        </w:rPr>
        <w:t>3</w:t>
      </w:r>
      <w:r>
        <w:rPr>
          <w:rFonts w:hint="eastAsia"/>
          <w:b/>
          <w:bCs/>
          <w:color w:val="auto"/>
          <w:highlight w:val="none"/>
          <w:shd w:val="clear" w:color="auto" w:fill="auto"/>
          <w:lang w:eastAsia="zh-CN"/>
        </w:rPr>
        <w:t>、</w:t>
      </w:r>
      <w:r>
        <w:rPr>
          <w:rFonts w:hint="eastAsia"/>
          <w:b/>
          <w:bCs/>
          <w:color w:val="auto"/>
          <w:highlight w:val="none"/>
          <w:shd w:val="clear" w:color="auto" w:fill="auto"/>
        </w:rPr>
        <w:t xml:space="preserve">商务分 </w:t>
      </w:r>
      <w:r>
        <w:rPr>
          <w:rFonts w:hint="eastAsia" w:hAnsi="宋体"/>
          <w:b/>
          <w:bCs/>
          <w:color w:val="auto"/>
          <w:spacing w:val="-8"/>
          <w:highlight w:val="none"/>
          <w:shd w:val="clear" w:color="auto" w:fill="auto"/>
        </w:rPr>
        <w:t>……………………………………………………………………………</w:t>
      </w:r>
      <w:r>
        <w:rPr>
          <w:rFonts w:hint="eastAsia" w:hAnsi="宋体"/>
          <w:b/>
          <w:bCs/>
          <w:color w:val="auto"/>
          <w:spacing w:val="-8"/>
          <w:highlight w:val="none"/>
          <w:shd w:val="clear" w:color="auto" w:fill="auto"/>
          <w:lang w:val="en-US" w:eastAsia="zh-CN"/>
        </w:rPr>
        <w:t>17</w:t>
      </w:r>
      <w:r>
        <w:rPr>
          <w:rFonts w:hint="eastAsia"/>
          <w:b/>
          <w:color w:val="auto"/>
          <w:highlight w:val="none"/>
          <w:shd w:val="clear" w:color="auto" w:fill="auto"/>
        </w:rPr>
        <w:t>分</w:t>
      </w:r>
    </w:p>
    <w:p>
      <w:pPr>
        <w:keepNext w:val="0"/>
        <w:keepLines w:val="0"/>
        <w:pageBreakBefore w:val="0"/>
        <w:kinsoku/>
        <w:wordWrap w:val="0"/>
        <w:overflowPunct/>
        <w:topLinePunct w:val="0"/>
        <w:autoSpaceDE/>
        <w:autoSpaceDN/>
        <w:bidi w:val="0"/>
        <w:spacing w:line="420" w:lineRule="exact"/>
        <w:ind w:firstLine="420" w:firstLineChars="200"/>
        <w:rPr>
          <w:color w:val="auto"/>
          <w:szCs w:val="21"/>
          <w:highlight w:val="none"/>
          <w:shd w:val="clear" w:color="auto" w:fill="auto"/>
        </w:rPr>
      </w:pPr>
      <w:r>
        <w:rPr>
          <w:rFonts w:hint="eastAsia"/>
          <w:color w:val="auto"/>
          <w:szCs w:val="21"/>
          <w:highlight w:val="none"/>
          <w:shd w:val="clear" w:color="auto" w:fill="auto"/>
        </w:rPr>
        <w:t>（</w:t>
      </w:r>
      <w:r>
        <w:rPr>
          <w:color w:val="auto"/>
          <w:szCs w:val="21"/>
          <w:highlight w:val="none"/>
          <w:shd w:val="clear" w:color="auto" w:fill="auto"/>
        </w:rPr>
        <w:t>1</w:t>
      </w:r>
      <w:r>
        <w:rPr>
          <w:rFonts w:hint="eastAsia"/>
          <w:color w:val="auto"/>
          <w:szCs w:val="21"/>
          <w:highlight w:val="none"/>
          <w:shd w:val="clear" w:color="auto" w:fill="auto"/>
        </w:rPr>
        <w:t>）投标人通过ISO9001质量管理体系认证、ISO14001环境管理体系认证、ISO45001职业健康安全管理体系认证、ISO20000信息技术服务管理体系认证、ISO27001信息安全管理体系认证，投标时提供证书复印件并加盖投标人（CA签章）的，每提供1份得</w:t>
      </w:r>
      <w:r>
        <w:rPr>
          <w:rFonts w:hint="eastAsia"/>
          <w:color w:val="auto"/>
          <w:szCs w:val="21"/>
          <w:highlight w:val="none"/>
          <w:shd w:val="clear" w:color="auto" w:fill="auto"/>
          <w:lang w:val="en-US" w:eastAsia="zh-CN"/>
        </w:rPr>
        <w:t>1</w:t>
      </w:r>
      <w:r>
        <w:rPr>
          <w:rFonts w:hint="eastAsia"/>
          <w:color w:val="auto"/>
          <w:szCs w:val="21"/>
          <w:highlight w:val="none"/>
          <w:shd w:val="clear" w:color="auto" w:fill="auto"/>
        </w:rPr>
        <w:t>分，满分</w:t>
      </w:r>
      <w:r>
        <w:rPr>
          <w:rFonts w:hint="eastAsia"/>
          <w:color w:val="auto"/>
          <w:szCs w:val="21"/>
          <w:highlight w:val="none"/>
          <w:shd w:val="clear" w:color="auto" w:fill="auto"/>
          <w:lang w:val="en-US" w:eastAsia="zh-CN"/>
        </w:rPr>
        <w:t>5</w:t>
      </w:r>
      <w:r>
        <w:rPr>
          <w:rFonts w:hint="eastAsia"/>
          <w:color w:val="auto"/>
          <w:szCs w:val="21"/>
          <w:highlight w:val="none"/>
          <w:shd w:val="clear" w:color="auto" w:fill="auto"/>
        </w:rPr>
        <w:t>分</w:t>
      </w:r>
    </w:p>
    <w:p>
      <w:pPr>
        <w:keepNext w:val="0"/>
        <w:keepLines w:val="0"/>
        <w:pageBreakBefore w:val="0"/>
        <w:kinsoku/>
        <w:overflowPunct/>
        <w:topLinePunct w:val="0"/>
        <w:autoSpaceDE/>
        <w:autoSpaceDN/>
        <w:bidi w:val="0"/>
        <w:spacing w:line="420" w:lineRule="exact"/>
        <w:rPr>
          <w:color w:val="auto"/>
          <w:highlight w:val="none"/>
          <w:shd w:val="clear" w:color="auto" w:fill="auto"/>
        </w:rPr>
      </w:pPr>
      <w:r>
        <w:rPr>
          <w:rFonts w:hint="eastAsia"/>
          <w:color w:val="auto"/>
          <w:szCs w:val="21"/>
          <w:highlight w:val="none"/>
          <w:shd w:val="clear" w:color="auto" w:fill="auto"/>
          <w:lang w:val="en-US" w:eastAsia="zh-CN"/>
        </w:rPr>
        <w:t xml:space="preserve">    </w:t>
      </w:r>
      <w:r>
        <w:rPr>
          <w:rFonts w:hint="eastAsia"/>
          <w:color w:val="auto"/>
          <w:szCs w:val="21"/>
          <w:highlight w:val="none"/>
          <w:shd w:val="clear" w:color="auto" w:fill="auto"/>
        </w:rPr>
        <w:t>（2）投标人</w:t>
      </w:r>
      <w:r>
        <w:rPr>
          <w:color w:val="auto"/>
          <w:szCs w:val="21"/>
          <w:highlight w:val="none"/>
          <w:shd w:val="clear" w:color="auto" w:fill="auto"/>
        </w:rPr>
        <w:t>202</w:t>
      </w:r>
      <w:r>
        <w:rPr>
          <w:rFonts w:hint="eastAsia"/>
          <w:color w:val="auto"/>
          <w:szCs w:val="21"/>
          <w:highlight w:val="none"/>
          <w:shd w:val="clear" w:color="auto" w:fill="auto"/>
        </w:rPr>
        <w:t>2年</w:t>
      </w:r>
      <w:r>
        <w:rPr>
          <w:color w:val="auto"/>
          <w:szCs w:val="21"/>
          <w:highlight w:val="none"/>
          <w:shd w:val="clear" w:color="auto" w:fill="auto"/>
        </w:rPr>
        <w:t>1</w:t>
      </w:r>
      <w:r>
        <w:rPr>
          <w:rFonts w:hint="eastAsia"/>
          <w:color w:val="auto"/>
          <w:szCs w:val="21"/>
          <w:highlight w:val="none"/>
          <w:shd w:val="clear" w:color="auto" w:fill="auto"/>
        </w:rPr>
        <w:t>月</w:t>
      </w:r>
      <w:r>
        <w:rPr>
          <w:color w:val="auto"/>
          <w:szCs w:val="21"/>
          <w:highlight w:val="none"/>
          <w:shd w:val="clear" w:color="auto" w:fill="auto"/>
        </w:rPr>
        <w:t>1</w:t>
      </w:r>
      <w:r>
        <w:rPr>
          <w:rFonts w:hint="eastAsia"/>
          <w:color w:val="auto"/>
          <w:szCs w:val="21"/>
          <w:highlight w:val="none"/>
          <w:shd w:val="clear" w:color="auto" w:fill="auto"/>
        </w:rPr>
        <w:t>日至今承接的</w:t>
      </w:r>
      <w:r>
        <w:rPr>
          <w:rFonts w:hint="eastAsia"/>
          <w:b/>
          <w:bCs/>
          <w:color w:val="auto"/>
          <w:szCs w:val="21"/>
          <w:highlight w:val="none"/>
          <w:shd w:val="clear" w:color="auto" w:fill="auto"/>
        </w:rPr>
        <w:t>同类</w:t>
      </w:r>
      <w:r>
        <w:rPr>
          <w:rFonts w:hint="eastAsia"/>
          <w:b/>
          <w:bCs/>
          <w:color w:val="auto"/>
          <w:szCs w:val="21"/>
          <w:highlight w:val="none"/>
          <w:shd w:val="clear" w:color="auto" w:fill="auto"/>
          <w:lang w:eastAsia="zh-CN"/>
        </w:rPr>
        <w:t>项目（</w:t>
      </w:r>
      <w:r>
        <w:rPr>
          <w:rFonts w:hint="eastAsia" w:ascii="宋体" w:hAnsi="宋体"/>
          <w:b/>
          <w:bCs/>
          <w:color w:val="auto"/>
          <w:szCs w:val="21"/>
          <w:highlight w:val="none"/>
          <w:shd w:val="clear" w:color="auto" w:fill="auto"/>
          <w:lang w:eastAsia="zh-CN"/>
        </w:rPr>
        <w:t>货物</w:t>
      </w:r>
      <w:r>
        <w:rPr>
          <w:rFonts w:hint="eastAsia"/>
          <w:b/>
          <w:bCs/>
          <w:color w:val="auto"/>
          <w:szCs w:val="21"/>
          <w:highlight w:val="none"/>
          <w:shd w:val="clear" w:color="auto" w:fill="auto"/>
          <w:lang w:val="en-US" w:eastAsia="zh-CN"/>
        </w:rPr>
        <w:t>包含但不限：本分标的核心产品</w:t>
      </w:r>
      <w:r>
        <w:rPr>
          <w:rFonts w:hint="eastAsia"/>
          <w:b/>
          <w:bCs/>
          <w:color w:val="auto"/>
          <w:szCs w:val="21"/>
          <w:highlight w:val="none"/>
          <w:shd w:val="clear" w:color="auto" w:fill="auto"/>
          <w:lang w:eastAsia="zh-CN"/>
        </w:rPr>
        <w:t>）</w:t>
      </w:r>
      <w:r>
        <w:rPr>
          <w:rFonts w:hint="eastAsia"/>
          <w:color w:val="auto"/>
          <w:highlight w:val="none"/>
          <w:shd w:val="clear" w:color="auto" w:fill="auto"/>
          <w:lang w:eastAsia="zh-CN"/>
        </w:rPr>
        <w:t>，</w:t>
      </w:r>
      <w:r>
        <w:rPr>
          <w:rFonts w:hint="eastAsia"/>
          <w:color w:val="auto"/>
          <w:szCs w:val="21"/>
          <w:highlight w:val="none"/>
          <w:shd w:val="clear" w:color="auto" w:fill="auto"/>
        </w:rPr>
        <w:t>投标人于投标文件中提供以下相关证明材料并加盖投标人公章，否则不予计分：①项目中标</w:t>
      </w:r>
      <w:r>
        <w:rPr>
          <w:color w:val="auto"/>
          <w:szCs w:val="21"/>
          <w:highlight w:val="none"/>
          <w:shd w:val="clear" w:color="auto" w:fill="auto"/>
        </w:rPr>
        <w:t>/</w:t>
      </w:r>
      <w:r>
        <w:rPr>
          <w:rFonts w:hint="eastAsia"/>
          <w:color w:val="auto"/>
          <w:szCs w:val="21"/>
          <w:highlight w:val="none"/>
          <w:shd w:val="clear" w:color="auto" w:fill="auto"/>
        </w:rPr>
        <w:t>成交通知书（能清晰反映中标</w:t>
      </w:r>
      <w:r>
        <w:rPr>
          <w:color w:val="auto"/>
          <w:szCs w:val="21"/>
          <w:highlight w:val="none"/>
          <w:shd w:val="clear" w:color="auto" w:fill="auto"/>
        </w:rPr>
        <w:t>/</w:t>
      </w:r>
      <w:r>
        <w:rPr>
          <w:rFonts w:hint="eastAsia"/>
          <w:color w:val="auto"/>
          <w:szCs w:val="21"/>
          <w:highlight w:val="none"/>
          <w:shd w:val="clear" w:color="auto" w:fill="auto"/>
        </w:rPr>
        <w:t>成交标的或产品信息）或</w:t>
      </w:r>
      <w:bookmarkStart w:id="6" w:name="OLE_LINK2"/>
      <w:r>
        <w:rPr>
          <w:rFonts w:hint="eastAsia"/>
          <w:color w:val="auto"/>
          <w:szCs w:val="21"/>
          <w:highlight w:val="none"/>
          <w:shd w:val="clear" w:color="auto" w:fill="auto"/>
        </w:rPr>
        <w:t>项目合同封面及关键页（能清晰反映合同标的或产品信息）</w:t>
      </w:r>
      <w:bookmarkEnd w:id="6"/>
      <w:r>
        <w:rPr>
          <w:rFonts w:hint="eastAsia"/>
          <w:color w:val="auto"/>
          <w:szCs w:val="21"/>
          <w:highlight w:val="none"/>
          <w:shd w:val="clear" w:color="auto" w:fill="auto"/>
        </w:rPr>
        <w:t>，每提供1个业绩，得2分，满分</w:t>
      </w:r>
      <w:r>
        <w:rPr>
          <w:rFonts w:hint="eastAsia"/>
          <w:color w:val="auto"/>
          <w:szCs w:val="21"/>
          <w:highlight w:val="none"/>
          <w:shd w:val="clear" w:color="auto" w:fill="auto"/>
          <w:lang w:val="en-US" w:eastAsia="zh-CN"/>
        </w:rPr>
        <w:t>10</w:t>
      </w:r>
      <w:r>
        <w:rPr>
          <w:rFonts w:hint="eastAsia"/>
          <w:color w:val="auto"/>
          <w:szCs w:val="21"/>
          <w:highlight w:val="none"/>
          <w:shd w:val="clear" w:color="auto" w:fill="auto"/>
        </w:rPr>
        <w:t>分。</w:t>
      </w:r>
    </w:p>
    <w:p>
      <w:pPr>
        <w:pStyle w:val="652"/>
        <w:keepNext w:val="0"/>
        <w:keepLines w:val="0"/>
        <w:pageBreakBefore w:val="0"/>
        <w:kinsoku/>
        <w:overflowPunct/>
        <w:topLinePunct w:val="0"/>
        <w:autoSpaceDE/>
        <w:autoSpaceDN/>
        <w:bidi w:val="0"/>
        <w:spacing w:line="420" w:lineRule="exact"/>
        <w:ind w:left="0" w:leftChars="0" w:firstLine="0" w:firstLineChars="0"/>
        <w:rPr>
          <w:color w:val="auto"/>
          <w:kern w:val="2"/>
          <w:sz w:val="21"/>
          <w:szCs w:val="21"/>
          <w:highlight w:val="none"/>
          <w:shd w:val="clear" w:color="auto" w:fill="auto"/>
        </w:rPr>
      </w:pPr>
      <w:r>
        <w:rPr>
          <w:rFonts w:hint="eastAsia"/>
          <w:color w:val="auto"/>
          <w:kern w:val="2"/>
          <w:sz w:val="21"/>
          <w:szCs w:val="21"/>
          <w:highlight w:val="none"/>
          <w:shd w:val="clear" w:color="auto" w:fill="auto"/>
          <w:lang w:val="en-US" w:eastAsia="zh-CN"/>
        </w:rPr>
        <w:t xml:space="preserve">   </w:t>
      </w:r>
      <w:r>
        <w:rPr>
          <w:rFonts w:hint="eastAsia"/>
          <w:color w:val="auto"/>
          <w:kern w:val="2"/>
          <w:sz w:val="21"/>
          <w:szCs w:val="21"/>
          <w:highlight w:val="none"/>
          <w:shd w:val="clear" w:color="auto" w:fill="auto"/>
        </w:rPr>
        <w:t>（3）政策功能分（满分</w:t>
      </w:r>
      <w:r>
        <w:rPr>
          <w:rFonts w:hint="eastAsia"/>
          <w:color w:val="auto"/>
          <w:kern w:val="2"/>
          <w:sz w:val="21"/>
          <w:szCs w:val="21"/>
          <w:highlight w:val="none"/>
          <w:shd w:val="clear" w:color="auto" w:fill="auto"/>
          <w:lang w:val="en-US" w:eastAsia="zh-CN"/>
        </w:rPr>
        <w:t>2</w:t>
      </w:r>
      <w:r>
        <w:rPr>
          <w:rFonts w:hint="eastAsia"/>
          <w:color w:val="auto"/>
          <w:kern w:val="2"/>
          <w:sz w:val="21"/>
          <w:szCs w:val="21"/>
          <w:highlight w:val="none"/>
          <w:shd w:val="clear" w:color="auto" w:fill="auto"/>
        </w:rPr>
        <w:t>分）</w:t>
      </w:r>
    </w:p>
    <w:p>
      <w:pPr>
        <w:pStyle w:val="225"/>
        <w:keepNext w:val="0"/>
        <w:keepLines w:val="0"/>
        <w:pageBreakBefore w:val="0"/>
        <w:kinsoku/>
        <w:overflowPunct/>
        <w:topLinePunct w:val="0"/>
        <w:autoSpaceDE/>
        <w:autoSpaceDN/>
        <w:bidi w:val="0"/>
        <w:adjustRightInd w:val="0"/>
        <w:snapToGrid w:val="0"/>
        <w:spacing w:line="420" w:lineRule="exact"/>
        <w:ind w:firstLine="420"/>
        <w:rPr>
          <w:rFonts w:hint="eastAsia"/>
          <w:color w:val="auto"/>
          <w:highlight w:val="none"/>
          <w:shd w:val="clear" w:color="auto" w:fill="auto"/>
        </w:rPr>
      </w:pPr>
      <w:r>
        <w:rPr>
          <w:rFonts w:hint="eastAsia"/>
          <w:color w:val="auto"/>
          <w:highlight w:val="none"/>
          <w:shd w:val="clear" w:color="auto" w:fill="auto"/>
        </w:rPr>
        <w:t>①投标产品纳入（财库[2019]19号）中节能产品政府采购清单的（适用于非强制采购节能产品</w:t>
      </w:r>
      <w:r>
        <w:rPr>
          <w:rFonts w:hint="eastAsia"/>
          <w:color w:val="auto"/>
          <w:highlight w:val="none"/>
          <w:shd w:val="clear" w:color="auto" w:fill="auto"/>
          <w:lang w:eastAsia="zh-CN"/>
        </w:rPr>
        <w:t>，</w:t>
      </w:r>
      <w:r>
        <w:rPr>
          <w:rFonts w:hint="eastAsia"/>
          <w:color w:val="auto"/>
          <w:highlight w:val="none"/>
          <w:shd w:val="clear" w:color="auto" w:fill="auto"/>
        </w:rPr>
        <w:t>依据《市场监管总局关于发布参与实施政府采购节能产品、环境标志产品认证机构名录的公告》，提供所投相应型号产品有效的认证证书扫描件或其他电子文件</w:t>
      </w:r>
      <w:r>
        <w:rPr>
          <w:rFonts w:hint="eastAsia"/>
          <w:color w:val="auto"/>
          <w:highlight w:val="none"/>
          <w:shd w:val="clear" w:color="auto" w:fill="auto"/>
          <w:lang w:eastAsia="zh-CN"/>
        </w:rPr>
        <w:t>），得</w:t>
      </w:r>
      <w:r>
        <w:rPr>
          <w:rFonts w:hint="eastAsia"/>
          <w:color w:val="auto"/>
          <w:highlight w:val="none"/>
          <w:shd w:val="clear" w:color="auto" w:fill="auto"/>
          <w:lang w:val="en-US" w:eastAsia="zh-CN"/>
        </w:rPr>
        <w:t>1分，</w:t>
      </w:r>
      <w:r>
        <w:rPr>
          <w:rFonts w:hint="eastAsia"/>
          <w:color w:val="auto"/>
          <w:highlight w:val="none"/>
          <w:shd w:val="clear" w:color="auto" w:fill="auto"/>
        </w:rPr>
        <w:t>满分</w:t>
      </w:r>
      <w:r>
        <w:rPr>
          <w:rFonts w:hint="eastAsia"/>
          <w:color w:val="auto"/>
          <w:highlight w:val="none"/>
          <w:shd w:val="clear" w:color="auto" w:fill="auto"/>
          <w:lang w:val="en-US" w:eastAsia="zh-CN"/>
        </w:rPr>
        <w:t>1</w:t>
      </w:r>
      <w:r>
        <w:rPr>
          <w:rFonts w:hint="eastAsia"/>
          <w:color w:val="auto"/>
          <w:highlight w:val="none"/>
          <w:shd w:val="clear" w:color="auto" w:fill="auto"/>
        </w:rPr>
        <w:t>分。</w:t>
      </w:r>
    </w:p>
    <w:p>
      <w:pPr>
        <w:keepNext w:val="0"/>
        <w:keepLines w:val="0"/>
        <w:pageBreakBefore w:val="0"/>
        <w:kinsoku/>
        <w:overflowPunct/>
        <w:topLinePunct w:val="0"/>
        <w:autoSpaceDE/>
        <w:autoSpaceDN/>
        <w:bidi w:val="0"/>
        <w:spacing w:line="420" w:lineRule="exact"/>
        <w:ind w:firstLine="420" w:firstLineChars="200"/>
        <w:outlineLvl w:val="0"/>
        <w:rPr>
          <w:rFonts w:hint="eastAsia" w:ascii="宋体" w:hAnsi="宋体" w:cs="宋体"/>
          <w:color w:val="auto"/>
          <w:highlight w:val="none"/>
          <w:shd w:val="clear" w:color="auto" w:fill="auto"/>
        </w:rPr>
      </w:pPr>
      <w:r>
        <w:rPr>
          <w:rFonts w:hint="eastAsia" w:ascii="宋体" w:hAnsi="宋体" w:cs="宋体"/>
          <w:bCs/>
          <w:color w:val="auto"/>
          <w:kern w:val="0"/>
          <w:szCs w:val="21"/>
          <w:highlight w:val="none"/>
          <w:shd w:val="clear" w:color="auto" w:fill="auto"/>
          <w:lang w:bidi="ar"/>
        </w:rPr>
        <w:fldChar w:fldCharType="begin"/>
      </w:r>
      <w:r>
        <w:rPr>
          <w:rFonts w:hint="eastAsia" w:ascii="宋体" w:hAnsi="宋体" w:cs="宋体"/>
          <w:bCs/>
          <w:color w:val="auto"/>
          <w:kern w:val="0"/>
          <w:szCs w:val="21"/>
          <w:highlight w:val="none"/>
          <w:shd w:val="clear" w:color="auto" w:fill="auto"/>
          <w:lang w:bidi="ar"/>
        </w:rPr>
        <w:instrText xml:space="preserve"> = 2 \* GB3 \* MERGEFORMAT </w:instrText>
      </w:r>
      <w:r>
        <w:rPr>
          <w:rFonts w:hint="eastAsia" w:ascii="宋体" w:hAnsi="宋体" w:cs="宋体"/>
          <w:bCs/>
          <w:color w:val="auto"/>
          <w:kern w:val="0"/>
          <w:szCs w:val="21"/>
          <w:highlight w:val="none"/>
          <w:shd w:val="clear" w:color="auto" w:fill="auto"/>
          <w:lang w:bidi="ar"/>
        </w:rPr>
        <w:fldChar w:fldCharType="separate"/>
      </w:r>
      <w:r>
        <w:rPr>
          <w:rFonts w:hint="eastAsia" w:ascii="宋体" w:hAnsi="宋体" w:cs="宋体"/>
          <w:color w:val="auto"/>
          <w:highlight w:val="none"/>
          <w:shd w:val="clear" w:color="auto" w:fill="auto"/>
        </w:rPr>
        <w:t>②</w:t>
      </w:r>
      <w:r>
        <w:rPr>
          <w:rFonts w:hint="eastAsia" w:ascii="宋体" w:hAnsi="宋体" w:cs="宋体"/>
          <w:bCs/>
          <w:color w:val="auto"/>
          <w:kern w:val="0"/>
          <w:szCs w:val="21"/>
          <w:highlight w:val="none"/>
          <w:shd w:val="clear" w:color="auto" w:fill="auto"/>
          <w:lang w:bidi="ar"/>
        </w:rPr>
        <w:fldChar w:fldCharType="end"/>
      </w:r>
      <w:r>
        <w:rPr>
          <w:rFonts w:hint="eastAsia" w:ascii="宋体" w:hAnsi="宋体" w:cs="宋体"/>
          <w:color w:val="auto"/>
          <w:highlight w:val="none"/>
          <w:shd w:val="clear" w:color="auto" w:fill="auto"/>
        </w:rPr>
        <w:t>投标产品纳入（财库[2019]18号）中环境标志产品政府采购清单的（依据《市场监管总局关于发</w:t>
      </w:r>
      <w:r>
        <w:rPr>
          <w:rFonts w:hint="eastAsia"/>
          <w:color w:val="auto"/>
          <w:highlight w:val="none"/>
          <w:shd w:val="clear" w:color="auto" w:fill="auto"/>
        </w:rPr>
        <w:t>布参与实施政府采购节能产品、环境标志产品认证机构名录的公告》，提供所投相应型号产品有效的认</w:t>
      </w:r>
      <w:r>
        <w:rPr>
          <w:rFonts w:hint="eastAsia" w:ascii="宋体" w:hAnsi="宋体" w:cs="宋体"/>
          <w:color w:val="auto"/>
          <w:highlight w:val="none"/>
          <w:shd w:val="clear" w:color="auto" w:fill="auto"/>
        </w:rPr>
        <w:t>证证书扫描件或其他电子文件）</w:t>
      </w:r>
      <w:r>
        <w:rPr>
          <w:rFonts w:hint="eastAsia"/>
          <w:color w:val="auto"/>
          <w:highlight w:val="none"/>
          <w:shd w:val="clear" w:color="auto" w:fill="auto"/>
          <w:lang w:eastAsia="zh-CN"/>
        </w:rPr>
        <w:t>，得</w:t>
      </w:r>
      <w:r>
        <w:rPr>
          <w:rFonts w:hint="eastAsia"/>
          <w:color w:val="auto"/>
          <w:highlight w:val="none"/>
          <w:shd w:val="clear" w:color="auto" w:fill="auto"/>
          <w:lang w:val="en-US" w:eastAsia="zh-CN"/>
        </w:rPr>
        <w:t>1分，</w:t>
      </w:r>
      <w:r>
        <w:rPr>
          <w:rFonts w:hint="eastAsia" w:ascii="宋体" w:hAnsi="宋体" w:cs="宋体"/>
          <w:color w:val="auto"/>
          <w:highlight w:val="none"/>
          <w:shd w:val="clear" w:color="auto" w:fill="auto"/>
        </w:rPr>
        <w:t>满分</w:t>
      </w:r>
      <w:r>
        <w:rPr>
          <w:rFonts w:hint="eastAsia" w:ascii="宋体" w:hAnsi="宋体" w:cs="宋体"/>
          <w:color w:val="auto"/>
          <w:highlight w:val="none"/>
          <w:shd w:val="clear" w:color="auto" w:fill="auto"/>
          <w:lang w:val="en-US" w:eastAsia="zh-CN"/>
        </w:rPr>
        <w:t>1</w:t>
      </w:r>
      <w:r>
        <w:rPr>
          <w:rFonts w:hint="eastAsia" w:ascii="宋体" w:hAnsi="宋体" w:cs="宋体"/>
          <w:color w:val="auto"/>
          <w:highlight w:val="none"/>
          <w:shd w:val="clear" w:color="auto" w:fill="auto"/>
        </w:rPr>
        <w:t>分。</w:t>
      </w:r>
    </w:p>
    <w:p>
      <w:pPr>
        <w:pStyle w:val="29"/>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rPr>
          <w:rFonts w:hint="eastAsia" w:ascii="宋体" w:hAnsi="宋体" w:eastAsia="宋体" w:cs="Times New Roman"/>
          <w:color w:val="auto"/>
          <w:kern w:val="2"/>
          <w:sz w:val="21"/>
          <w:szCs w:val="21"/>
          <w:highlight w:val="none"/>
          <w:shd w:val="clear" w:color="auto" w:fill="auto"/>
          <w:lang w:val="en-US" w:eastAsia="zh-CN" w:bidi="ar-SA"/>
        </w:rPr>
      </w:pPr>
    </w:p>
    <w:p>
      <w:pPr>
        <w:keepNext w:val="0"/>
        <w:keepLines w:val="0"/>
        <w:pageBreakBefore w:val="0"/>
        <w:widowControl w:val="0"/>
        <w:kinsoku/>
        <w:wordWrap/>
        <w:overflowPunct/>
        <w:topLinePunct w:val="0"/>
        <w:autoSpaceDE/>
        <w:autoSpaceDN/>
        <w:bidi w:val="0"/>
        <w:adjustRightInd/>
        <w:snapToGrid/>
        <w:spacing w:line="420" w:lineRule="exact"/>
        <w:ind w:firstLine="405"/>
        <w:textAlignment w:val="auto"/>
        <w:rPr>
          <w:rFonts w:hint="eastAsia" w:hAnsi="Courier New" w:cs="Courier New"/>
          <w:b/>
          <w:bCs/>
          <w:color w:val="auto"/>
          <w:szCs w:val="21"/>
          <w:highlight w:val="none"/>
          <w:shd w:val="clear" w:color="auto" w:fill="auto"/>
        </w:rPr>
      </w:pPr>
      <w:r>
        <w:rPr>
          <w:rFonts w:hint="eastAsia" w:hAnsi="宋体" w:cs="宋体"/>
          <w:b/>
          <w:bCs/>
          <w:color w:val="auto"/>
          <w:spacing w:val="-2"/>
          <w:szCs w:val="21"/>
          <w:highlight w:val="none"/>
          <w:shd w:val="clear" w:color="auto" w:fill="auto"/>
        </w:rPr>
        <w:t>（</w:t>
      </w:r>
      <w:r>
        <w:rPr>
          <w:rFonts w:hint="eastAsia" w:cs="Courier New"/>
          <w:b/>
          <w:bCs/>
          <w:color w:val="auto"/>
          <w:spacing w:val="-2"/>
          <w:szCs w:val="21"/>
          <w:highlight w:val="none"/>
          <w:shd w:val="clear" w:color="auto" w:fill="auto"/>
        </w:rPr>
        <w:t>三</w:t>
      </w:r>
      <w:r>
        <w:rPr>
          <w:rFonts w:hint="eastAsia" w:hAnsi="宋体" w:cs="宋体"/>
          <w:b/>
          <w:bCs/>
          <w:color w:val="auto"/>
          <w:spacing w:val="-2"/>
          <w:szCs w:val="21"/>
          <w:highlight w:val="none"/>
          <w:shd w:val="clear" w:color="auto" w:fill="auto"/>
        </w:rPr>
        <w:t>）总得分</w:t>
      </w:r>
      <w:r>
        <w:rPr>
          <w:rFonts w:hint="eastAsia" w:eastAsia="Calibri" w:cs="Courier New"/>
          <w:b/>
          <w:bCs/>
          <w:color w:val="auto"/>
          <w:spacing w:val="-2"/>
          <w:szCs w:val="21"/>
          <w:highlight w:val="none"/>
          <w:shd w:val="clear" w:color="auto" w:fill="auto"/>
        </w:rPr>
        <w:t>=</w:t>
      </w:r>
      <w:r>
        <w:rPr>
          <w:rFonts w:hint="eastAsia" w:cs="Courier New"/>
          <w:color w:val="auto"/>
          <w:szCs w:val="21"/>
          <w:highlight w:val="none"/>
          <w:shd w:val="clear" w:color="auto" w:fill="auto"/>
        </w:rPr>
        <w:t xml:space="preserve"> </w:t>
      </w:r>
      <w:r>
        <w:rPr>
          <w:rFonts w:hint="eastAsia" w:cs="Courier New"/>
          <w:b/>
          <w:bCs/>
          <w:color w:val="auto"/>
          <w:szCs w:val="21"/>
          <w:highlight w:val="none"/>
          <w:shd w:val="clear" w:color="auto" w:fill="auto"/>
        </w:rPr>
        <w:t>1 + 2 + 3</w:t>
      </w:r>
    </w:p>
    <w:p>
      <w:pPr>
        <w:keepNext w:val="0"/>
        <w:keepLines w:val="0"/>
        <w:pageBreakBefore w:val="0"/>
        <w:widowControl w:val="0"/>
        <w:kinsoku/>
        <w:wordWrap/>
        <w:overflowPunct/>
        <w:topLinePunct w:val="0"/>
        <w:autoSpaceDE/>
        <w:autoSpaceDN/>
        <w:bidi w:val="0"/>
        <w:adjustRightInd/>
        <w:snapToGrid/>
        <w:spacing w:line="420" w:lineRule="exact"/>
        <w:ind w:firstLine="421" w:firstLineChars="200"/>
        <w:textAlignment w:val="auto"/>
        <w:rPr>
          <w:rFonts w:hint="eastAsia"/>
          <w:b/>
          <w:bCs/>
          <w:color w:val="auto"/>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420" w:lineRule="exact"/>
        <w:ind w:firstLine="421" w:firstLineChars="200"/>
        <w:textAlignment w:val="auto"/>
        <w:rPr>
          <w:rFonts w:hint="eastAsia"/>
          <w:b/>
          <w:bCs/>
          <w:color w:val="auto"/>
          <w:highlight w:val="none"/>
          <w:shd w:val="clear" w:color="auto" w:fill="auto"/>
        </w:rPr>
      </w:pPr>
      <w:r>
        <w:rPr>
          <w:rFonts w:hint="eastAsia"/>
          <w:b/>
          <w:bCs/>
          <w:color w:val="auto"/>
          <w:highlight w:val="none"/>
          <w:shd w:val="clear" w:color="auto" w:fill="auto"/>
        </w:rPr>
        <w:t>三、中标候选人推荐原则</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bCs/>
          <w:color w:val="auto"/>
          <w:highlight w:val="none"/>
          <w:shd w:val="clear" w:color="auto" w:fill="auto"/>
        </w:rPr>
      </w:pPr>
      <w:r>
        <w:rPr>
          <w:rFonts w:hint="eastAsia"/>
          <w:bCs/>
          <w:color w:val="auto"/>
          <w:highlight w:val="none"/>
          <w:shd w:val="clear" w:color="auto" w:fill="auto"/>
        </w:rPr>
        <w:t>（一）评标委员会将根据得分由高到低排列次序（得分相同时，以投标报价由低到高顺序排列；得分相同且投标报价相同的，按技术指标优劣顺序排列）并推荐中标候选供应商。采购人应当确定评审委员会推荐排名第一的中标候选人为中标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bCs/>
          <w:color w:val="auto"/>
          <w:highlight w:val="none"/>
          <w:shd w:val="clear" w:color="auto" w:fill="auto"/>
        </w:rPr>
      </w:pPr>
      <w:r>
        <w:rPr>
          <w:rFonts w:hint="eastAsia"/>
          <w:bCs/>
          <w:color w:val="auto"/>
          <w:highlight w:val="none"/>
          <w:shd w:val="clear" w:color="auto" w:fill="auto"/>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spacing w:line="380" w:lineRule="exact"/>
        <w:ind w:firstLine="420" w:firstLineChars="200"/>
        <w:rPr>
          <w:rFonts w:hint="eastAsia"/>
          <w:bCs/>
          <w:color w:val="auto"/>
          <w:highlight w:val="none"/>
          <w:shd w:val="clear" w:color="auto" w:fill="auto"/>
        </w:rPr>
      </w:pPr>
    </w:p>
    <w:p>
      <w:pPr>
        <w:pStyle w:val="29"/>
        <w:snapToGrid w:val="0"/>
        <w:spacing w:before="120" w:after="120"/>
        <w:jc w:val="center"/>
        <w:outlineLvl w:val="0"/>
        <w:rPr>
          <w:rFonts w:ascii="黑体" w:eastAsia="黑体"/>
          <w:b/>
          <w:color w:val="auto"/>
          <w:sz w:val="44"/>
          <w:szCs w:val="44"/>
          <w:highlight w:val="none"/>
          <w:shd w:val="clear" w:color="auto" w:fill="auto"/>
        </w:rPr>
      </w:pPr>
    </w:p>
    <w:p>
      <w:pPr>
        <w:pStyle w:val="29"/>
        <w:snapToGrid w:val="0"/>
        <w:spacing w:before="120" w:after="120"/>
        <w:jc w:val="center"/>
        <w:outlineLvl w:val="0"/>
        <w:rPr>
          <w:rFonts w:ascii="黑体" w:eastAsia="黑体"/>
          <w:b/>
          <w:color w:val="auto"/>
          <w:sz w:val="44"/>
          <w:szCs w:val="44"/>
          <w:highlight w:val="none"/>
          <w:shd w:val="clear" w:color="auto" w:fill="auto"/>
        </w:rPr>
      </w:pPr>
    </w:p>
    <w:p>
      <w:pPr>
        <w:pStyle w:val="29"/>
        <w:snapToGrid w:val="0"/>
        <w:spacing w:before="120" w:after="120"/>
        <w:jc w:val="center"/>
        <w:outlineLvl w:val="0"/>
        <w:rPr>
          <w:rFonts w:ascii="黑体" w:eastAsia="黑体"/>
          <w:b/>
          <w:color w:val="auto"/>
          <w:sz w:val="44"/>
          <w:szCs w:val="44"/>
          <w:highlight w:val="none"/>
          <w:shd w:val="clear" w:color="auto" w:fill="auto"/>
        </w:rPr>
      </w:pPr>
    </w:p>
    <w:p>
      <w:pPr>
        <w:pStyle w:val="29"/>
        <w:snapToGrid w:val="0"/>
        <w:spacing w:before="120" w:after="120"/>
        <w:jc w:val="center"/>
        <w:outlineLvl w:val="0"/>
        <w:rPr>
          <w:rFonts w:ascii="黑体" w:eastAsia="黑体"/>
          <w:b/>
          <w:color w:val="auto"/>
          <w:sz w:val="44"/>
          <w:szCs w:val="44"/>
          <w:highlight w:val="none"/>
          <w:shd w:val="clear" w:color="auto" w:fill="auto"/>
        </w:rPr>
      </w:pPr>
    </w:p>
    <w:p>
      <w:pPr>
        <w:pStyle w:val="29"/>
        <w:snapToGrid w:val="0"/>
        <w:spacing w:before="120" w:after="120"/>
        <w:jc w:val="center"/>
        <w:outlineLvl w:val="0"/>
        <w:rPr>
          <w:rFonts w:ascii="黑体" w:eastAsia="黑体"/>
          <w:b/>
          <w:color w:val="auto"/>
          <w:sz w:val="44"/>
          <w:szCs w:val="44"/>
          <w:highlight w:val="none"/>
          <w:shd w:val="clear" w:color="auto" w:fill="auto"/>
        </w:rPr>
      </w:pPr>
    </w:p>
    <w:p>
      <w:pPr>
        <w:pStyle w:val="29"/>
        <w:snapToGrid w:val="0"/>
        <w:spacing w:before="120" w:after="120"/>
        <w:jc w:val="center"/>
        <w:outlineLvl w:val="0"/>
        <w:rPr>
          <w:rFonts w:ascii="黑体" w:eastAsia="黑体"/>
          <w:b/>
          <w:color w:val="auto"/>
          <w:sz w:val="44"/>
          <w:szCs w:val="44"/>
          <w:highlight w:val="none"/>
          <w:shd w:val="clear" w:color="auto" w:fill="auto"/>
        </w:rPr>
      </w:pPr>
    </w:p>
    <w:p>
      <w:pPr>
        <w:pStyle w:val="29"/>
        <w:snapToGrid w:val="0"/>
        <w:spacing w:before="120" w:after="120"/>
        <w:jc w:val="center"/>
        <w:outlineLvl w:val="0"/>
        <w:rPr>
          <w:rFonts w:hint="default" w:ascii="仿宋_GB2312" w:hAnsi="宋体" w:eastAsia="仿宋_GB2312"/>
          <w:b/>
          <w:color w:val="auto"/>
          <w:sz w:val="32"/>
          <w:szCs w:val="32"/>
          <w:highlight w:val="none"/>
          <w:shd w:val="clear" w:color="auto" w:fill="auto"/>
          <w:lang w:val="en"/>
        </w:rPr>
      </w:pPr>
      <w:r>
        <w:rPr>
          <w:rFonts w:hint="default" w:ascii="仿宋_GB2312" w:hAnsi="宋体" w:eastAsia="仿宋_GB2312"/>
          <w:b/>
          <w:color w:val="auto"/>
          <w:sz w:val="32"/>
          <w:szCs w:val="32"/>
          <w:highlight w:val="none"/>
          <w:shd w:val="clear" w:color="auto" w:fill="auto"/>
          <w:lang w:val="en"/>
        </w:rPr>
        <w:t>评标办法及评分标准</w:t>
      </w:r>
    </w:p>
    <w:p>
      <w:pPr>
        <w:pStyle w:val="29"/>
        <w:snapToGrid w:val="0"/>
        <w:spacing w:before="120" w:after="120"/>
        <w:jc w:val="center"/>
        <w:outlineLvl w:val="0"/>
        <w:rPr>
          <w:rFonts w:hint="eastAsia" w:ascii="黑体" w:eastAsia="仿宋_GB2312"/>
          <w:b/>
          <w:color w:val="auto"/>
          <w:sz w:val="24"/>
          <w:szCs w:val="24"/>
          <w:highlight w:val="none"/>
          <w:u w:val="single"/>
          <w:shd w:val="clear" w:color="auto" w:fill="auto"/>
          <w:lang w:eastAsia="zh-CN"/>
        </w:rPr>
      </w:pPr>
      <w:r>
        <w:rPr>
          <w:rFonts w:hint="eastAsia" w:ascii="仿宋_GB2312" w:hAnsi="宋体" w:eastAsia="仿宋_GB2312"/>
          <w:b/>
          <w:color w:val="auto"/>
          <w:sz w:val="24"/>
          <w:szCs w:val="24"/>
          <w:highlight w:val="none"/>
          <w:u w:val="single"/>
          <w:shd w:val="clear" w:color="auto" w:fill="auto"/>
          <w:lang w:eastAsia="zh-CN"/>
        </w:rPr>
        <w:t>（适用</w:t>
      </w:r>
      <w:r>
        <w:rPr>
          <w:rFonts w:hint="eastAsia" w:ascii="仿宋_GB2312" w:hAnsi="宋体" w:eastAsia="仿宋_GB2312"/>
          <w:b/>
          <w:color w:val="auto"/>
          <w:sz w:val="24"/>
          <w:szCs w:val="24"/>
          <w:highlight w:val="none"/>
          <w:u w:val="single"/>
          <w:shd w:val="clear" w:color="auto" w:fill="auto"/>
          <w:lang w:val="en-US" w:eastAsia="zh-CN"/>
        </w:rPr>
        <w:t>分标2</w:t>
      </w:r>
      <w:r>
        <w:rPr>
          <w:rFonts w:hint="eastAsia" w:ascii="仿宋_GB2312" w:hAnsi="宋体" w:eastAsia="仿宋_GB2312"/>
          <w:b/>
          <w:color w:val="auto"/>
          <w:sz w:val="24"/>
          <w:szCs w:val="24"/>
          <w:highlight w:val="none"/>
          <w:u w:val="single"/>
          <w:shd w:val="clear" w:color="auto" w:fill="auto"/>
          <w:lang w:eastAsia="zh-CN"/>
        </w:rPr>
        <w:t>）</w:t>
      </w:r>
    </w:p>
    <w:p>
      <w:pPr>
        <w:pStyle w:val="29"/>
        <w:keepNext w:val="0"/>
        <w:keepLines w:val="0"/>
        <w:pageBreakBefore w:val="0"/>
        <w:kinsoku/>
        <w:wordWrap/>
        <w:overflowPunct/>
        <w:topLinePunct w:val="0"/>
        <w:autoSpaceDE/>
        <w:autoSpaceDN/>
        <w:bidi w:val="0"/>
        <w:spacing w:line="420" w:lineRule="exact"/>
        <w:ind w:firstLine="516" w:firstLineChars="245"/>
        <w:rPr>
          <w:rFonts w:hAnsi="宋体"/>
          <w:b/>
          <w:color w:val="auto"/>
          <w:highlight w:val="none"/>
          <w:shd w:val="clear" w:color="auto" w:fill="auto"/>
        </w:rPr>
      </w:pPr>
      <w:r>
        <w:rPr>
          <w:rFonts w:hint="eastAsia" w:hAnsi="宋体"/>
          <w:b/>
          <w:color w:val="auto"/>
          <w:highlight w:val="none"/>
          <w:shd w:val="clear" w:color="auto" w:fill="auto"/>
        </w:rPr>
        <w:t>一、评标原则</w:t>
      </w:r>
    </w:p>
    <w:p>
      <w:pPr>
        <w:pStyle w:val="29"/>
        <w:keepNext w:val="0"/>
        <w:keepLines w:val="0"/>
        <w:pageBreakBefore w:val="0"/>
        <w:kinsoku/>
        <w:wordWrap/>
        <w:overflowPunct/>
        <w:topLinePunct w:val="0"/>
        <w:autoSpaceDE/>
        <w:autoSpaceDN/>
        <w:bidi w:val="0"/>
        <w:spacing w:line="420" w:lineRule="exact"/>
        <w:ind w:firstLine="483" w:firstLineChars="230"/>
        <w:rPr>
          <w:rFonts w:hAnsi="宋体"/>
          <w:bCs/>
          <w:color w:val="auto"/>
          <w:szCs w:val="20"/>
          <w:highlight w:val="none"/>
          <w:shd w:val="clear" w:color="auto" w:fill="auto"/>
        </w:rPr>
      </w:pPr>
      <w:r>
        <w:rPr>
          <w:rFonts w:hint="eastAsia" w:hAnsi="宋体"/>
          <w:bCs/>
          <w:color w:val="auto"/>
          <w:highlight w:val="none"/>
          <w:shd w:val="clear" w:color="auto" w:fill="auto"/>
        </w:rPr>
        <w:t>(一)评委组成：本招标采购项目的</w:t>
      </w:r>
      <w:r>
        <w:rPr>
          <w:rFonts w:hint="eastAsia"/>
          <w:color w:val="auto"/>
          <w:spacing w:val="-4"/>
          <w:highlight w:val="none"/>
          <w:shd w:val="clear" w:color="auto" w:fill="auto"/>
        </w:rPr>
        <w:t>评标委员会由采购人代表和评审专家组成，成员人数应当为5人以上单数，其中评审专家不得少于成员总数的三分之二。</w:t>
      </w:r>
    </w:p>
    <w:p>
      <w:pPr>
        <w:pStyle w:val="29"/>
        <w:keepNext w:val="0"/>
        <w:keepLines w:val="0"/>
        <w:pageBreakBefore w:val="0"/>
        <w:kinsoku/>
        <w:wordWrap/>
        <w:overflowPunct/>
        <w:topLinePunct w:val="0"/>
        <w:autoSpaceDE/>
        <w:autoSpaceDN/>
        <w:bidi w:val="0"/>
        <w:spacing w:line="420" w:lineRule="exact"/>
        <w:ind w:firstLine="499" w:firstLineChars="238"/>
        <w:rPr>
          <w:rFonts w:hAnsi="宋体"/>
          <w:bCs/>
          <w:color w:val="auto"/>
          <w:highlight w:val="none"/>
          <w:shd w:val="clear" w:color="auto" w:fill="auto"/>
        </w:rPr>
      </w:pPr>
      <w:r>
        <w:rPr>
          <w:rFonts w:hint="eastAsia" w:hAnsi="宋体"/>
          <w:bCs/>
          <w:color w:val="auto"/>
          <w:highlight w:val="none"/>
          <w:shd w:val="clear" w:color="auto" w:fill="auto"/>
        </w:rPr>
        <w:t>(二)评标依据：</w:t>
      </w:r>
      <w:r>
        <w:rPr>
          <w:rFonts w:hAnsi="宋体"/>
          <w:bCs/>
          <w:color w:val="auto"/>
          <w:highlight w:val="none"/>
          <w:shd w:val="clear" w:color="auto" w:fill="auto"/>
        </w:rPr>
        <w:t>评委将以招投标文件为评标依据，对投标人的投标内容按百分制打分。</w:t>
      </w:r>
    </w:p>
    <w:p>
      <w:pPr>
        <w:pStyle w:val="29"/>
        <w:keepNext w:val="0"/>
        <w:keepLines w:val="0"/>
        <w:pageBreakBefore w:val="0"/>
        <w:kinsoku/>
        <w:wordWrap/>
        <w:overflowPunct/>
        <w:topLinePunct w:val="0"/>
        <w:autoSpaceDE/>
        <w:autoSpaceDN/>
        <w:bidi w:val="0"/>
        <w:spacing w:line="420" w:lineRule="exact"/>
        <w:ind w:firstLine="510" w:firstLineChars="243"/>
        <w:rPr>
          <w:rFonts w:hAnsi="宋体"/>
          <w:bCs/>
          <w:color w:val="auto"/>
          <w:highlight w:val="none"/>
          <w:shd w:val="clear" w:color="auto" w:fill="auto"/>
        </w:rPr>
      </w:pPr>
      <w:r>
        <w:rPr>
          <w:rFonts w:hint="eastAsia" w:hAnsi="宋体"/>
          <w:bCs/>
          <w:color w:val="auto"/>
          <w:highlight w:val="none"/>
          <w:shd w:val="clear" w:color="auto" w:fill="auto"/>
        </w:rPr>
        <w:t>(三)评标方式：以封闭方式进行。</w:t>
      </w:r>
    </w:p>
    <w:p>
      <w:pPr>
        <w:pStyle w:val="29"/>
        <w:keepNext w:val="0"/>
        <w:keepLines w:val="0"/>
        <w:pageBreakBefore w:val="0"/>
        <w:kinsoku/>
        <w:wordWrap/>
        <w:overflowPunct/>
        <w:topLinePunct w:val="0"/>
        <w:autoSpaceDE/>
        <w:autoSpaceDN/>
        <w:bidi w:val="0"/>
        <w:spacing w:line="420" w:lineRule="exact"/>
        <w:ind w:firstLine="510" w:firstLineChars="243"/>
        <w:rPr>
          <w:rFonts w:hAnsi="宋体"/>
          <w:b/>
          <w:color w:val="auto"/>
          <w:highlight w:val="none"/>
          <w:shd w:val="clear" w:color="auto" w:fill="auto"/>
        </w:rPr>
      </w:pPr>
      <w:r>
        <w:rPr>
          <w:rFonts w:hint="eastAsia" w:hAnsi="宋体"/>
          <w:bCs/>
          <w:color w:val="auto"/>
          <w:highlight w:val="none"/>
          <w:shd w:val="clear" w:color="auto" w:fill="auto"/>
        </w:rPr>
        <w:t>二</w:t>
      </w:r>
      <w:r>
        <w:rPr>
          <w:rFonts w:hint="eastAsia" w:hAnsi="宋体"/>
          <w:b/>
          <w:color w:val="auto"/>
          <w:highlight w:val="none"/>
          <w:shd w:val="clear" w:color="auto" w:fill="auto"/>
        </w:rPr>
        <w:t>、评标方法</w:t>
      </w:r>
    </w:p>
    <w:p>
      <w:pPr>
        <w:pStyle w:val="29"/>
        <w:keepNext w:val="0"/>
        <w:keepLines w:val="0"/>
        <w:pageBreakBefore w:val="0"/>
        <w:kinsoku/>
        <w:wordWrap/>
        <w:overflowPunct/>
        <w:topLinePunct w:val="0"/>
        <w:autoSpaceDE/>
        <w:autoSpaceDN/>
        <w:bidi w:val="0"/>
        <w:spacing w:line="420" w:lineRule="exact"/>
        <w:ind w:firstLine="420" w:firstLineChars="200"/>
        <w:outlineLvl w:val="0"/>
        <w:rPr>
          <w:rFonts w:hAnsi="宋体"/>
          <w:color w:val="auto"/>
          <w:highlight w:val="none"/>
          <w:shd w:val="clear" w:color="auto" w:fill="auto"/>
        </w:rPr>
      </w:pPr>
      <w:r>
        <w:rPr>
          <w:rFonts w:hint="eastAsia" w:hAnsi="宋体"/>
          <w:color w:val="auto"/>
          <w:highlight w:val="none"/>
          <w:shd w:val="clear" w:color="auto" w:fill="auto"/>
        </w:rPr>
        <w:t>（一）对进入详评的，采用百分制综合评分法。</w:t>
      </w:r>
    </w:p>
    <w:p>
      <w:pPr>
        <w:pStyle w:val="29"/>
        <w:keepNext w:val="0"/>
        <w:keepLines w:val="0"/>
        <w:pageBreakBefore w:val="0"/>
        <w:kinsoku/>
        <w:wordWrap/>
        <w:overflowPunct/>
        <w:topLinePunct w:val="0"/>
        <w:autoSpaceDE/>
        <w:autoSpaceDN/>
        <w:bidi w:val="0"/>
        <w:spacing w:line="420" w:lineRule="exact"/>
        <w:ind w:firstLine="420" w:firstLineChars="200"/>
        <w:outlineLvl w:val="0"/>
        <w:rPr>
          <w:rFonts w:hAnsi="宋体"/>
          <w:color w:val="auto"/>
          <w:highlight w:val="none"/>
          <w:shd w:val="clear" w:color="auto" w:fill="auto"/>
        </w:rPr>
      </w:pPr>
      <w:r>
        <w:rPr>
          <w:rFonts w:hint="eastAsia" w:hAnsi="宋体"/>
          <w:color w:val="auto"/>
          <w:highlight w:val="none"/>
          <w:shd w:val="clear" w:color="auto" w:fill="auto"/>
        </w:rPr>
        <w:t>（二）计分办法（按四舍五入取至百分位）：</w:t>
      </w:r>
    </w:p>
    <w:p>
      <w:pPr>
        <w:pStyle w:val="29"/>
        <w:keepNext w:val="0"/>
        <w:keepLines w:val="0"/>
        <w:pageBreakBefore w:val="0"/>
        <w:kinsoku/>
        <w:wordWrap/>
        <w:overflowPunct/>
        <w:topLinePunct w:val="0"/>
        <w:autoSpaceDE/>
        <w:autoSpaceDN/>
        <w:bidi w:val="0"/>
        <w:spacing w:line="420" w:lineRule="exact"/>
        <w:ind w:firstLine="501" w:firstLineChars="238"/>
        <w:rPr>
          <w:b/>
          <w:color w:val="auto"/>
          <w:highlight w:val="none"/>
          <w:shd w:val="clear" w:color="auto" w:fill="auto"/>
        </w:rPr>
      </w:pPr>
      <w:r>
        <w:rPr>
          <w:rFonts w:hint="eastAsia"/>
          <w:b/>
          <w:color w:val="auto"/>
          <w:highlight w:val="none"/>
          <w:shd w:val="clear" w:color="auto" w:fill="auto"/>
        </w:rPr>
        <w:t>1</w:t>
      </w:r>
      <w:r>
        <w:rPr>
          <w:rFonts w:hint="eastAsia"/>
          <w:b/>
          <w:color w:val="auto"/>
          <w:highlight w:val="none"/>
          <w:shd w:val="clear" w:color="auto" w:fill="auto"/>
          <w:lang w:eastAsia="zh-CN"/>
        </w:rPr>
        <w:t>、</w:t>
      </w:r>
      <w:r>
        <w:rPr>
          <w:rFonts w:hint="eastAsia"/>
          <w:b/>
          <w:color w:val="auto"/>
          <w:highlight w:val="none"/>
          <w:shd w:val="clear" w:color="auto" w:fill="auto"/>
        </w:rPr>
        <w:t>价格分</w:t>
      </w:r>
      <w:r>
        <w:rPr>
          <w:rFonts w:hint="eastAsia" w:hAnsi="宋体"/>
          <w:b/>
          <w:bCs/>
          <w:color w:val="auto"/>
          <w:spacing w:val="-8"/>
          <w:highlight w:val="none"/>
          <w:shd w:val="clear" w:color="auto" w:fill="auto"/>
        </w:rPr>
        <w:t>………………………………………………………………………………………</w:t>
      </w:r>
      <w:r>
        <w:rPr>
          <w:rFonts w:hint="eastAsia"/>
          <w:b/>
          <w:color w:val="auto"/>
          <w:highlight w:val="none"/>
          <w:shd w:val="clear" w:color="auto" w:fill="auto"/>
        </w:rPr>
        <w:t>3</w:t>
      </w:r>
      <w:r>
        <w:rPr>
          <w:rFonts w:hint="eastAsia"/>
          <w:b/>
          <w:color w:val="auto"/>
          <w:highlight w:val="none"/>
          <w:shd w:val="clear" w:color="auto" w:fill="auto"/>
          <w:lang w:val="en-US" w:eastAsia="zh-CN"/>
        </w:rPr>
        <w:t>0</w:t>
      </w:r>
      <w:r>
        <w:rPr>
          <w:rFonts w:hint="eastAsia"/>
          <w:b/>
          <w:color w:val="auto"/>
          <w:highlight w:val="none"/>
          <w:shd w:val="clear" w:color="auto" w:fill="auto"/>
        </w:rPr>
        <w:t>分</w:t>
      </w:r>
    </w:p>
    <w:p>
      <w:pPr>
        <w:pStyle w:val="29"/>
        <w:keepNext w:val="0"/>
        <w:keepLines w:val="0"/>
        <w:pageBreakBefore w:val="0"/>
        <w:kinsoku/>
        <w:wordWrap/>
        <w:overflowPunct/>
        <w:topLinePunct w:val="0"/>
        <w:autoSpaceDE/>
        <w:autoSpaceDN/>
        <w:bidi w:val="0"/>
        <w:spacing w:line="42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（1）</w:t>
      </w:r>
      <w:r>
        <w:rPr>
          <w:rFonts w:hint="eastAsia" w:hAnsi="宋体" w:cs="宋体"/>
          <w:color w:val="auto"/>
          <w:kern w:val="0"/>
          <w:highlight w:val="none"/>
          <w:shd w:val="clear" w:color="auto" w:fill="auto"/>
        </w:rPr>
        <w:t>符合《政府采购促进中小企业发展管理办法》（财库〔2020〕46号）规定条件且按该办法中规定的格式提供了《中小企业声明函》的小型和微型企业。对其投标价给予10%的扣除，扣除后的价格为评标价，即评标价=投标价×（1-10%）；除上述情况外，评标价=投标价</w:t>
      </w:r>
      <w:r>
        <w:rPr>
          <w:rFonts w:hint="eastAsia" w:hAnsi="宋体"/>
          <w:color w:val="auto"/>
          <w:highlight w:val="none"/>
          <w:shd w:val="clear" w:color="auto" w:fill="auto"/>
        </w:rPr>
        <w:t>。</w:t>
      </w:r>
    </w:p>
    <w:p>
      <w:pPr>
        <w:pStyle w:val="29"/>
        <w:keepNext w:val="0"/>
        <w:keepLines w:val="0"/>
        <w:pageBreakBefore w:val="0"/>
        <w:kinsoku/>
        <w:wordWrap/>
        <w:overflowPunct/>
        <w:topLinePunct w:val="0"/>
        <w:autoSpaceDE/>
        <w:autoSpaceDN/>
        <w:bidi w:val="0"/>
        <w:spacing w:line="420" w:lineRule="exact"/>
        <w:ind w:firstLine="420" w:firstLineChars="200"/>
        <w:outlineLvl w:val="0"/>
        <w:rPr>
          <w:color w:val="auto"/>
          <w:highlight w:val="none"/>
          <w:shd w:val="clear" w:color="auto" w:fill="auto"/>
        </w:rPr>
      </w:pPr>
      <w:r>
        <w:rPr>
          <w:rFonts w:hint="eastAsia" w:hAnsi="宋体" w:cs="宋体"/>
          <w:color w:val="auto"/>
          <w:kern w:val="0"/>
          <w:highlight w:val="none"/>
          <w:shd w:val="clear" w:color="auto" w:fill="auto"/>
        </w:rPr>
        <w:t>投标产品生产企业</w:t>
      </w:r>
      <w:r>
        <w:rPr>
          <w:rFonts w:hint="eastAsia"/>
          <w:color w:val="auto"/>
          <w:highlight w:val="none"/>
          <w:shd w:val="clear" w:color="auto" w:fill="auto"/>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9"/>
        <w:keepNext w:val="0"/>
        <w:keepLines w:val="0"/>
        <w:pageBreakBefore w:val="0"/>
        <w:kinsoku/>
        <w:wordWrap/>
        <w:overflowPunct/>
        <w:topLinePunct w:val="0"/>
        <w:autoSpaceDE/>
        <w:autoSpaceDN/>
        <w:bidi w:val="0"/>
        <w:spacing w:line="420" w:lineRule="exact"/>
        <w:ind w:firstLine="420" w:firstLineChars="200"/>
        <w:outlineLvl w:val="0"/>
        <w:rPr>
          <w:color w:val="auto"/>
          <w:highlight w:val="none"/>
          <w:shd w:val="clear" w:color="auto" w:fill="auto"/>
        </w:rPr>
      </w:pPr>
      <w:r>
        <w:rPr>
          <w:rFonts w:hint="eastAsia"/>
          <w:color w:val="auto"/>
          <w:highlight w:val="none"/>
          <w:shd w:val="clear" w:color="auto" w:fill="auto"/>
        </w:rPr>
        <w:t>投标</w:t>
      </w:r>
      <w:r>
        <w:rPr>
          <w:rFonts w:hint="eastAsia"/>
          <w:b/>
          <w:color w:val="auto"/>
          <w:highlight w:val="none"/>
          <w:shd w:val="clear" w:color="auto" w:fill="auto"/>
        </w:rPr>
        <w:t>产品</w:t>
      </w:r>
      <w:r>
        <w:rPr>
          <w:rFonts w:hint="eastAsia"/>
          <w:color w:val="auto"/>
          <w:highlight w:val="none"/>
          <w:shd w:val="clear" w:color="auto" w:fill="auto"/>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9"/>
        <w:keepNext w:val="0"/>
        <w:keepLines w:val="0"/>
        <w:pageBreakBefore w:val="0"/>
        <w:kinsoku/>
        <w:wordWrap/>
        <w:overflowPunct/>
        <w:topLinePunct w:val="0"/>
        <w:autoSpaceDE/>
        <w:autoSpaceDN/>
        <w:bidi w:val="0"/>
        <w:spacing w:line="420" w:lineRule="exact"/>
        <w:ind w:firstLine="210" w:firstLineChars="100"/>
        <w:outlineLvl w:val="0"/>
        <w:rPr>
          <w:rFonts w:hAnsi="宋体"/>
          <w:color w:val="auto"/>
          <w:highlight w:val="none"/>
          <w:shd w:val="clear" w:color="auto" w:fill="auto"/>
        </w:rPr>
      </w:pPr>
      <w:r>
        <w:rPr>
          <w:rFonts w:hint="eastAsia" w:hAnsi="宋体"/>
          <w:color w:val="auto"/>
          <w:highlight w:val="none"/>
          <w:shd w:val="clear" w:color="auto" w:fill="auto"/>
        </w:rPr>
        <w:t xml:space="preserve"> （2）以</w:t>
      </w:r>
      <w:r>
        <w:rPr>
          <w:rFonts w:hint="eastAsia"/>
          <w:color w:val="auto"/>
          <w:highlight w:val="none"/>
          <w:shd w:val="clear" w:color="auto" w:fill="auto"/>
        </w:rPr>
        <w:t>满足招标文件要求且评标价最低的投标人的评标价为评标基准价，其价格分为</w:t>
      </w:r>
      <w:r>
        <w:rPr>
          <w:rFonts w:hint="eastAsia" w:hAnsi="宋体" w:cs="宋体"/>
          <w:b/>
          <w:color w:val="auto"/>
          <w:highlight w:val="none"/>
          <w:shd w:val="clear" w:color="auto" w:fill="auto"/>
        </w:rPr>
        <w:t>3</w:t>
      </w:r>
      <w:r>
        <w:rPr>
          <w:rFonts w:hint="eastAsia" w:hAnsi="宋体" w:cs="宋体"/>
          <w:b/>
          <w:color w:val="auto"/>
          <w:highlight w:val="none"/>
          <w:shd w:val="clear" w:color="auto" w:fill="auto"/>
          <w:lang w:val="en-US" w:eastAsia="zh-CN"/>
        </w:rPr>
        <w:t>0</w:t>
      </w:r>
      <w:r>
        <w:rPr>
          <w:rFonts w:hint="eastAsia" w:hAnsi="宋体" w:cs="宋体"/>
          <w:color w:val="auto"/>
          <w:szCs w:val="24"/>
          <w:highlight w:val="none"/>
          <w:shd w:val="clear" w:color="auto" w:fill="auto"/>
        </w:rPr>
        <w:t>分</w:t>
      </w:r>
      <w:r>
        <w:rPr>
          <w:rFonts w:hint="eastAsia" w:ascii="Times New Roman" w:hAnsi="Times New Roman"/>
          <w:color w:val="auto"/>
          <w:szCs w:val="24"/>
          <w:highlight w:val="none"/>
          <w:shd w:val="clear" w:color="auto" w:fill="auto"/>
        </w:rPr>
        <w:t>。</w:t>
      </w:r>
    </w:p>
    <w:p>
      <w:pPr>
        <w:pStyle w:val="29"/>
        <w:keepNext w:val="0"/>
        <w:keepLines w:val="0"/>
        <w:pageBreakBefore w:val="0"/>
        <w:kinsoku/>
        <w:wordWrap/>
        <w:overflowPunct/>
        <w:topLinePunct w:val="0"/>
        <w:autoSpaceDE/>
        <w:autoSpaceDN/>
        <w:bidi w:val="0"/>
        <w:spacing w:line="420" w:lineRule="exact"/>
        <w:outlineLvl w:val="0"/>
        <w:rPr>
          <w:b/>
          <w:color w:val="auto"/>
          <w:highlight w:val="none"/>
          <w:shd w:val="clear" w:color="auto" w:fill="auto"/>
        </w:rPr>
      </w:pPr>
      <w:r>
        <w:rPr>
          <w:rFonts w:hint="eastAsia"/>
          <w:b/>
          <w:bCs/>
          <w:color w:val="auto"/>
          <w:highlight w:val="none"/>
          <w:shd w:val="clear" w:color="auto" w:fill="auto"/>
          <w:lang w:val="en-US" w:eastAsia="zh-CN"/>
        </w:rPr>
        <w:t xml:space="preserve">   </w:t>
      </w:r>
      <w:r>
        <w:rPr>
          <w:rFonts w:hint="eastAsia"/>
          <w:b/>
          <w:bCs/>
          <w:color w:val="auto"/>
          <w:highlight w:val="none"/>
          <w:shd w:val="clear" w:color="auto" w:fill="auto"/>
          <w:lang w:eastAsia="zh-CN"/>
        </w:rPr>
        <w:t>（</w:t>
      </w:r>
      <w:r>
        <w:rPr>
          <w:rFonts w:hint="eastAsia"/>
          <w:b/>
          <w:bCs/>
          <w:color w:val="auto"/>
          <w:highlight w:val="none"/>
          <w:shd w:val="clear" w:color="auto" w:fill="auto"/>
          <w:lang w:val="en-US" w:eastAsia="zh-CN"/>
        </w:rPr>
        <w:t>3</w:t>
      </w:r>
      <w:r>
        <w:rPr>
          <w:rFonts w:hint="eastAsia"/>
          <w:b/>
          <w:bCs/>
          <w:color w:val="auto"/>
          <w:highlight w:val="none"/>
          <w:shd w:val="clear" w:color="auto" w:fill="auto"/>
          <w:lang w:eastAsia="zh-CN"/>
        </w:rPr>
        <w:t>）</w:t>
      </w:r>
      <w:r>
        <w:rPr>
          <w:rFonts w:hint="eastAsia"/>
          <w:b/>
          <w:bCs/>
          <w:color w:val="auto"/>
          <w:highlight w:val="none"/>
          <w:shd w:val="clear" w:color="auto" w:fill="auto"/>
        </w:rPr>
        <w:t>某投标人价格分</w:t>
      </w:r>
      <w:r>
        <w:rPr>
          <w:rFonts w:hint="eastAsia"/>
          <w:b/>
          <w:color w:val="auto"/>
          <w:highlight w:val="none"/>
          <w:shd w:val="clear" w:color="auto" w:fill="auto"/>
        </w:rPr>
        <w:t xml:space="preserve"> =评标基准价（金额）/某投标人报价（金额）×3</w:t>
      </w:r>
      <w:r>
        <w:rPr>
          <w:rFonts w:hint="eastAsia"/>
          <w:b/>
          <w:color w:val="auto"/>
          <w:highlight w:val="none"/>
          <w:shd w:val="clear" w:color="auto" w:fill="auto"/>
          <w:lang w:val="en-US" w:eastAsia="zh-CN"/>
        </w:rPr>
        <w:t>0</w:t>
      </w:r>
      <w:r>
        <w:rPr>
          <w:rFonts w:hint="eastAsia"/>
          <w:b/>
          <w:color w:val="auto"/>
          <w:highlight w:val="none"/>
          <w:shd w:val="clear" w:color="auto" w:fill="auto"/>
        </w:rPr>
        <w:t>分</w:t>
      </w:r>
    </w:p>
    <w:p>
      <w:pPr>
        <w:pStyle w:val="29"/>
        <w:keepNext w:val="0"/>
        <w:keepLines w:val="0"/>
        <w:pageBreakBefore w:val="0"/>
        <w:numPr>
          <w:ilvl w:val="0"/>
          <w:numId w:val="0"/>
        </w:numPr>
        <w:kinsoku/>
        <w:wordWrap/>
        <w:overflowPunct/>
        <w:topLinePunct w:val="0"/>
        <w:autoSpaceDE/>
        <w:autoSpaceDN/>
        <w:bidi w:val="0"/>
        <w:spacing w:line="420" w:lineRule="exact"/>
        <w:rPr>
          <w:b/>
          <w:color w:val="auto"/>
          <w:highlight w:val="none"/>
          <w:shd w:val="clear" w:color="auto" w:fill="auto"/>
        </w:rPr>
      </w:pPr>
      <w:r>
        <w:rPr>
          <w:rFonts w:hint="eastAsia" w:hAnsi="宋体"/>
          <w:b/>
          <w:color w:val="auto"/>
          <w:highlight w:val="none"/>
          <w:shd w:val="clear" w:color="auto" w:fill="auto"/>
          <w:lang w:val="en-US" w:eastAsia="zh-CN"/>
        </w:rPr>
        <w:t xml:space="preserve">    2、</w:t>
      </w:r>
      <w:r>
        <w:rPr>
          <w:rFonts w:hAnsi="宋体"/>
          <w:b/>
          <w:color w:val="auto"/>
          <w:highlight w:val="none"/>
          <w:shd w:val="clear" w:color="auto" w:fill="auto"/>
          <w:lang w:val="en"/>
        </w:rPr>
        <w:t>技术分</w:t>
      </w:r>
      <w:r>
        <w:rPr>
          <w:rFonts w:hint="eastAsia" w:hAnsi="宋体"/>
          <w:b/>
          <w:color w:val="auto"/>
          <w:highlight w:val="none"/>
          <w:shd w:val="clear" w:color="auto" w:fill="auto"/>
        </w:rPr>
        <w:t xml:space="preserve"> </w:t>
      </w:r>
      <w:r>
        <w:rPr>
          <w:rFonts w:hint="eastAsia" w:hAnsi="宋体"/>
          <w:b/>
          <w:bCs/>
          <w:color w:val="auto"/>
          <w:spacing w:val="-8"/>
          <w:highlight w:val="none"/>
          <w:shd w:val="clear" w:color="auto" w:fill="auto"/>
        </w:rPr>
        <w:t>………………………………………………………………………………………6</w:t>
      </w:r>
      <w:r>
        <w:rPr>
          <w:rFonts w:hint="eastAsia" w:hAnsi="宋体"/>
          <w:b/>
          <w:bCs/>
          <w:color w:val="auto"/>
          <w:spacing w:val="-8"/>
          <w:highlight w:val="none"/>
          <w:shd w:val="clear" w:color="auto" w:fill="auto"/>
          <w:lang w:val="en-US" w:eastAsia="zh-CN"/>
        </w:rPr>
        <w:t>2</w:t>
      </w:r>
      <w:r>
        <w:rPr>
          <w:rFonts w:hint="eastAsia"/>
          <w:b/>
          <w:color w:val="auto"/>
          <w:highlight w:val="none"/>
          <w:shd w:val="clear" w:color="auto" w:fill="auto"/>
        </w:rPr>
        <w:t>分</w:t>
      </w:r>
    </w:p>
    <w:p>
      <w:pPr>
        <w:keepNext w:val="0"/>
        <w:keepLines w:val="0"/>
        <w:pageBreakBefore w:val="0"/>
        <w:kinsoku/>
        <w:wordWrap/>
        <w:overflowPunct/>
        <w:topLinePunct w:val="0"/>
        <w:autoSpaceDE/>
        <w:autoSpaceDN/>
        <w:bidi w:val="0"/>
        <w:adjustRightInd w:val="0"/>
        <w:spacing w:line="420" w:lineRule="exact"/>
        <w:textAlignment w:val="baseline"/>
        <w:rPr>
          <w:rFonts w:hint="eastAsia" w:ascii="汉仪书宋二S" w:hAnsi="汉仪书宋二S" w:eastAsia="汉仪书宋二S" w:cs="汉仪书宋二S"/>
          <w:b/>
          <w:color w:val="auto"/>
          <w:szCs w:val="21"/>
          <w:highlight w:val="none"/>
          <w:shd w:val="clear" w:color="auto" w:fill="auto"/>
          <w:lang w:val="en-US" w:eastAsia="zh-CN"/>
        </w:rPr>
      </w:pPr>
      <w:r>
        <w:rPr>
          <w:rFonts w:hint="eastAsia" w:ascii="宋体" w:hAnsi="宋体"/>
          <w:bCs/>
          <w:color w:val="auto"/>
          <w:szCs w:val="21"/>
          <w:highlight w:val="none"/>
          <w:shd w:val="clear" w:color="auto" w:fill="auto"/>
        </w:rPr>
        <w:t xml:space="preserve">  </w:t>
      </w:r>
      <w:r>
        <w:rPr>
          <w:rFonts w:hint="eastAsia" w:ascii="汉仪书宋二S" w:hAnsi="汉仪书宋二S" w:eastAsia="汉仪书宋二S" w:cs="汉仪书宋二S"/>
          <w:b/>
          <w:color w:val="auto"/>
          <w:szCs w:val="21"/>
          <w:highlight w:val="none"/>
          <w:shd w:val="clear" w:color="auto" w:fill="auto"/>
          <w:lang w:val="en-US" w:eastAsia="zh-CN"/>
        </w:rPr>
        <w:t>（1）技术性能及配置分（满分12分）</w:t>
      </w:r>
    </w:p>
    <w:p>
      <w:pPr>
        <w:keepNext w:val="0"/>
        <w:keepLines w:val="0"/>
        <w:pageBreakBefore w:val="0"/>
        <w:kinsoku/>
        <w:wordWrap/>
        <w:overflowPunct/>
        <w:topLinePunct w:val="0"/>
        <w:autoSpaceDE/>
        <w:autoSpaceDN/>
        <w:bidi w:val="0"/>
        <w:adjustRightInd w:val="0"/>
        <w:spacing w:line="420" w:lineRule="exact"/>
        <w:textAlignment w:val="baseline"/>
        <w:rPr>
          <w:rFonts w:ascii="宋体" w:hAnsi="宋体"/>
          <w:bCs/>
          <w:color w:val="auto"/>
          <w:szCs w:val="21"/>
          <w:highlight w:val="none"/>
          <w:shd w:val="clear" w:color="auto" w:fill="auto"/>
        </w:rPr>
      </w:pPr>
      <w:r>
        <w:rPr>
          <w:rFonts w:hint="eastAsia" w:ascii="汉仪书宋二S" w:hAnsi="汉仪书宋二S" w:eastAsia="汉仪书宋二S" w:cs="汉仪书宋二S"/>
          <w:b/>
          <w:color w:val="auto"/>
          <w:szCs w:val="21"/>
          <w:highlight w:val="none"/>
          <w:shd w:val="clear" w:color="auto" w:fill="auto"/>
          <w:lang w:val="en-US" w:eastAsia="zh-CN"/>
        </w:rPr>
        <w:t xml:space="preserve">    </w:t>
      </w:r>
      <w:r>
        <w:rPr>
          <w:rFonts w:hint="eastAsia" w:asciiTheme="majorEastAsia" w:hAnsiTheme="majorEastAsia" w:eastAsiaTheme="majorEastAsia" w:cstheme="majorEastAsia"/>
          <w:color w:val="auto"/>
          <w:kern w:val="2"/>
          <w:sz w:val="21"/>
          <w:szCs w:val="21"/>
          <w:highlight w:val="none"/>
          <w:shd w:val="clear" w:color="auto" w:fill="auto"/>
          <w:lang w:val="en-US" w:eastAsia="zh-CN" w:bidi="ar-SA"/>
        </w:rPr>
        <w:t>采购需求一览表中标注“★ ”的技术参数每有一项正偏离的得 1.5分，满分12分。</w:t>
      </w:r>
    </w:p>
    <w:p>
      <w:pPr>
        <w:keepNext w:val="0"/>
        <w:keepLines w:val="0"/>
        <w:pageBreakBefore w:val="0"/>
        <w:kinsoku/>
        <w:wordWrap/>
        <w:overflowPunct/>
        <w:topLinePunct w:val="0"/>
        <w:autoSpaceDE/>
        <w:autoSpaceDN/>
        <w:bidi w:val="0"/>
        <w:adjustRightInd w:val="0"/>
        <w:spacing w:line="420" w:lineRule="exact"/>
        <w:textAlignment w:val="baseline"/>
        <w:rPr>
          <w:rFonts w:ascii="汉仪书宋二S" w:hAnsi="汉仪书宋二S" w:eastAsia="汉仪书宋二S" w:cs="汉仪书宋二S"/>
          <w:b/>
          <w:bCs/>
          <w:color w:val="auto"/>
          <w:szCs w:val="21"/>
          <w:highlight w:val="none"/>
          <w:shd w:val="clear" w:color="auto" w:fill="auto"/>
        </w:rPr>
      </w:pPr>
      <w:r>
        <w:rPr>
          <w:rFonts w:hint="eastAsia" w:ascii="宋体" w:hAnsi="宋体"/>
          <w:bCs/>
          <w:color w:val="auto"/>
          <w:szCs w:val="21"/>
          <w:highlight w:val="none"/>
          <w:shd w:val="clear" w:color="auto" w:fill="auto"/>
        </w:rPr>
        <w:t xml:space="preserve">    注：投标参数及功能有优于的（表述为≥时，大于标准值的可视为优于；表述为≤时，小于标准值的可视为优于），投标人须在投标文件中提供投标产品的彩页或第三方检测报告复印件或厂家出具的技术参数说明等证明材料作为佐证。</w:t>
      </w:r>
    </w:p>
    <w:p>
      <w:pPr>
        <w:keepNext w:val="0"/>
        <w:keepLines w:val="0"/>
        <w:pageBreakBefore w:val="0"/>
        <w:widowControl/>
        <w:kinsoku/>
        <w:wordWrap/>
        <w:overflowPunct/>
        <w:topLinePunct w:val="0"/>
        <w:autoSpaceDE/>
        <w:autoSpaceDN/>
        <w:bidi w:val="0"/>
        <w:spacing w:line="420" w:lineRule="exact"/>
        <w:ind w:firstLine="420"/>
        <w:jc w:val="left"/>
        <w:rPr>
          <w:rFonts w:ascii="宋体" w:hAnsi="宋体"/>
          <w:b/>
          <w:bCs/>
          <w:color w:val="auto"/>
          <w:szCs w:val="21"/>
          <w:highlight w:val="none"/>
          <w:shd w:val="clear" w:color="auto" w:fill="auto"/>
        </w:rPr>
      </w:pPr>
      <w:r>
        <w:rPr>
          <w:rFonts w:hint="eastAsia" w:ascii="汉仪书宋二S" w:hAnsi="汉仪书宋二S" w:eastAsia="汉仪书宋二S" w:cs="汉仪书宋二S"/>
          <w:b/>
          <w:bCs/>
          <w:color w:val="auto"/>
          <w:szCs w:val="21"/>
          <w:highlight w:val="none"/>
          <w:shd w:val="clear" w:color="auto" w:fill="auto"/>
          <w:lang w:eastAsia="zh-CN"/>
        </w:rPr>
        <w:t>（</w:t>
      </w:r>
      <w:r>
        <w:rPr>
          <w:rFonts w:hint="eastAsia" w:ascii="汉仪书宋二S" w:hAnsi="汉仪书宋二S" w:eastAsia="汉仪书宋二S" w:cs="汉仪书宋二S"/>
          <w:b/>
          <w:bCs/>
          <w:color w:val="auto"/>
          <w:szCs w:val="21"/>
          <w:highlight w:val="none"/>
          <w:shd w:val="clear" w:color="auto" w:fill="auto"/>
          <w:lang w:val="en-US" w:eastAsia="zh-CN"/>
        </w:rPr>
        <w:t>2</w:t>
      </w:r>
      <w:r>
        <w:rPr>
          <w:rFonts w:hint="eastAsia" w:ascii="汉仪书宋二S" w:hAnsi="汉仪书宋二S" w:eastAsia="汉仪书宋二S" w:cs="汉仪书宋二S"/>
          <w:b/>
          <w:bCs/>
          <w:color w:val="auto"/>
          <w:szCs w:val="21"/>
          <w:highlight w:val="none"/>
          <w:shd w:val="clear" w:color="auto" w:fill="auto"/>
          <w:lang w:eastAsia="zh-CN"/>
        </w:rPr>
        <w:t>）</w:t>
      </w:r>
      <w:r>
        <w:rPr>
          <w:rFonts w:hint="eastAsia" w:ascii="宋体" w:hAnsi="宋体"/>
          <w:b/>
          <w:bCs/>
          <w:color w:val="auto"/>
          <w:szCs w:val="21"/>
          <w:highlight w:val="none"/>
          <w:shd w:val="clear" w:color="auto" w:fill="auto"/>
        </w:rPr>
        <w:t>项目实施方案（满分1</w:t>
      </w:r>
      <w:r>
        <w:rPr>
          <w:rFonts w:hint="eastAsia" w:ascii="宋体" w:hAnsi="宋体"/>
          <w:b/>
          <w:bCs/>
          <w:color w:val="auto"/>
          <w:szCs w:val="21"/>
          <w:highlight w:val="none"/>
          <w:shd w:val="clear" w:color="auto" w:fill="auto"/>
          <w:lang w:val="en-US" w:eastAsia="zh-CN"/>
        </w:rPr>
        <w:t>8</w:t>
      </w:r>
      <w:r>
        <w:rPr>
          <w:rFonts w:hint="eastAsia" w:ascii="宋体" w:hAnsi="宋体"/>
          <w:b/>
          <w:bCs/>
          <w:color w:val="auto"/>
          <w:szCs w:val="21"/>
          <w:highlight w:val="none"/>
          <w:shd w:val="clear" w:color="auto" w:fill="auto"/>
        </w:rPr>
        <w:t>分）</w:t>
      </w:r>
    </w:p>
    <w:p>
      <w:pPr>
        <w:pStyle w:val="29"/>
        <w:keepNext w:val="0"/>
        <w:keepLines w:val="0"/>
        <w:pageBreakBefore w:val="0"/>
        <w:kinsoku/>
        <w:wordWrap/>
        <w:overflowPunct/>
        <w:topLinePunct w:val="0"/>
        <w:autoSpaceDE/>
        <w:autoSpaceDN/>
        <w:bidi w:val="0"/>
        <w:spacing w:line="420" w:lineRule="exact"/>
        <w:rPr>
          <w:rFonts w:hAnsi="宋体"/>
          <w:color w:val="auto"/>
          <w:highlight w:val="none"/>
          <w:shd w:val="clear" w:color="auto" w:fill="auto"/>
        </w:rPr>
      </w:pPr>
      <w:r>
        <w:rPr>
          <w:rFonts w:hint="eastAsia" w:hAnsi="宋体"/>
          <w:color w:val="auto"/>
          <w:highlight w:val="none"/>
          <w:shd w:val="clear" w:color="auto" w:fill="auto"/>
        </w:rPr>
        <w:t xml:space="preserve">    一档（</w:t>
      </w:r>
      <w:r>
        <w:rPr>
          <w:rFonts w:hint="eastAsia" w:hAnsi="宋体"/>
          <w:color w:val="auto"/>
          <w:highlight w:val="none"/>
          <w:shd w:val="clear" w:color="auto" w:fill="auto"/>
          <w:lang w:val="en-US" w:eastAsia="zh-CN"/>
        </w:rPr>
        <w:t>12</w:t>
      </w:r>
      <w:r>
        <w:rPr>
          <w:rFonts w:hint="eastAsia" w:hAnsi="宋体"/>
          <w:color w:val="auto"/>
          <w:highlight w:val="none"/>
          <w:shd w:val="clear" w:color="auto" w:fill="auto"/>
        </w:rPr>
        <w:t>分）：方案包含从货源组织、设备运输、货到现场后安装调试等所有供货流程及进度计划安排，所有环节步骤清晰，责任人员明确，能确保产品供货。</w:t>
      </w:r>
    </w:p>
    <w:p>
      <w:pPr>
        <w:pStyle w:val="29"/>
        <w:keepNext w:val="0"/>
        <w:keepLines w:val="0"/>
        <w:pageBreakBefore w:val="0"/>
        <w:kinsoku/>
        <w:wordWrap/>
        <w:overflowPunct/>
        <w:topLinePunct w:val="0"/>
        <w:autoSpaceDE/>
        <w:autoSpaceDN/>
        <w:bidi w:val="0"/>
        <w:spacing w:line="420" w:lineRule="exact"/>
        <w:rPr>
          <w:rFonts w:hAnsi="宋体"/>
          <w:color w:val="auto"/>
          <w:highlight w:val="none"/>
          <w:shd w:val="clear" w:color="auto" w:fill="auto"/>
        </w:rPr>
      </w:pPr>
      <w:r>
        <w:rPr>
          <w:rFonts w:hint="eastAsia" w:hAnsi="宋体"/>
          <w:color w:val="auto"/>
          <w:highlight w:val="none"/>
          <w:shd w:val="clear" w:color="auto" w:fill="auto"/>
        </w:rPr>
        <w:t xml:space="preserve">    二档（</w:t>
      </w:r>
      <w:r>
        <w:rPr>
          <w:rFonts w:hint="eastAsia" w:hAnsi="宋体"/>
          <w:color w:val="auto"/>
          <w:highlight w:val="none"/>
          <w:shd w:val="clear" w:color="auto" w:fill="auto"/>
          <w:lang w:val="en-US" w:eastAsia="zh-CN"/>
        </w:rPr>
        <w:t>15</w:t>
      </w:r>
      <w:r>
        <w:rPr>
          <w:rFonts w:hint="eastAsia" w:hAnsi="宋体"/>
          <w:color w:val="auto"/>
          <w:highlight w:val="none"/>
          <w:shd w:val="clear" w:color="auto" w:fill="auto"/>
        </w:rPr>
        <w:t>分）：在上一档的基础上，完整列明各实施环节的实施办法和保障措施，分析供货流程各环节可能出现的问题并提出解决措施，同时提供现场安装调试方案。</w:t>
      </w:r>
    </w:p>
    <w:p>
      <w:pPr>
        <w:pStyle w:val="51"/>
        <w:keepNext w:val="0"/>
        <w:keepLines w:val="0"/>
        <w:pageBreakBefore w:val="0"/>
        <w:kinsoku/>
        <w:wordWrap/>
        <w:overflowPunct/>
        <w:topLinePunct w:val="0"/>
        <w:autoSpaceDE/>
        <w:autoSpaceDN/>
        <w:bidi w:val="0"/>
        <w:spacing w:line="420" w:lineRule="exact"/>
        <w:ind w:firstLine="210"/>
        <w:rPr>
          <w:rFonts w:ascii="汉仪书宋二S" w:hAnsi="汉仪书宋二S" w:eastAsia="汉仪书宋二S" w:cs="汉仪书宋二S"/>
          <w:color w:val="auto"/>
          <w:sz w:val="21"/>
          <w:highlight w:val="none"/>
          <w:shd w:val="clear" w:color="auto" w:fill="auto"/>
        </w:rPr>
      </w:pPr>
      <w:r>
        <w:rPr>
          <w:rFonts w:hint="eastAsia" w:hAnsi="宋体"/>
          <w:color w:val="auto"/>
          <w:sz w:val="21"/>
          <w:highlight w:val="none"/>
          <w:shd w:val="clear" w:color="auto" w:fill="auto"/>
        </w:rPr>
        <w:t xml:space="preserve">  </w:t>
      </w:r>
      <w:r>
        <w:rPr>
          <w:rFonts w:hint="eastAsia" w:ascii="宋体" w:hAnsi="宋体"/>
          <w:bCs/>
          <w:color w:val="auto"/>
          <w:sz w:val="21"/>
          <w:szCs w:val="21"/>
          <w:highlight w:val="none"/>
          <w:shd w:val="clear" w:color="auto" w:fill="auto"/>
        </w:rPr>
        <w:t>三档（</w:t>
      </w:r>
      <w:r>
        <w:rPr>
          <w:rFonts w:hint="eastAsia" w:ascii="宋体" w:hAnsi="宋体"/>
          <w:bCs/>
          <w:color w:val="auto"/>
          <w:sz w:val="21"/>
          <w:szCs w:val="21"/>
          <w:highlight w:val="none"/>
          <w:shd w:val="clear" w:color="auto" w:fill="auto"/>
          <w:lang w:val="en-US" w:eastAsia="zh-CN"/>
        </w:rPr>
        <w:t>18</w:t>
      </w:r>
      <w:r>
        <w:rPr>
          <w:rFonts w:hint="eastAsia" w:ascii="宋体" w:hAnsi="宋体"/>
          <w:bCs/>
          <w:color w:val="auto"/>
          <w:sz w:val="21"/>
          <w:szCs w:val="21"/>
          <w:highlight w:val="none"/>
          <w:shd w:val="clear" w:color="auto" w:fill="auto"/>
        </w:rPr>
        <w:t>分）：在上一档的基础上，分析本项目的难点重点，建立符合本项目合同履行实施的组织机构，实施计划分阶段计划，阶段性目标清晰，提供完善可行的质量控制措施、安全保障措施、应急保障措施。提供对实施人员进行阶段性考核的计划。未提供方案或方案达不到进档要求的得0分。</w:t>
      </w:r>
      <w:r>
        <w:rPr>
          <w:rFonts w:hint="eastAsia" w:ascii="汉仪书宋二S" w:hAnsi="汉仪书宋二S" w:eastAsia="汉仪书宋二S" w:cs="汉仪书宋二S"/>
          <w:color w:val="auto"/>
          <w:sz w:val="21"/>
          <w:highlight w:val="none"/>
          <w:shd w:val="clear" w:color="auto" w:fill="auto"/>
        </w:rPr>
        <w:t xml:space="preserve"> </w:t>
      </w:r>
    </w:p>
    <w:p>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汉仪书宋二S" w:hAnsi="汉仪书宋二S" w:eastAsia="汉仪书宋二S" w:cs="汉仪书宋二S"/>
          <w:color w:val="auto"/>
          <w:highlight w:val="none"/>
          <w:shd w:val="clear" w:color="auto" w:fill="auto"/>
        </w:rPr>
        <w:t xml:space="preserve">    </w:t>
      </w:r>
      <w:r>
        <w:rPr>
          <w:rFonts w:hint="eastAsia" w:ascii="汉仪书宋二S" w:hAnsi="汉仪书宋二S" w:eastAsia="汉仪书宋二S" w:cs="汉仪书宋二S"/>
          <w:b/>
          <w:bCs/>
          <w:color w:val="auto"/>
          <w:highlight w:val="none"/>
          <w:shd w:val="clear" w:color="auto" w:fill="auto"/>
          <w:lang w:eastAsia="zh-CN"/>
        </w:rPr>
        <w:t>（</w:t>
      </w:r>
      <w:r>
        <w:rPr>
          <w:rFonts w:hint="eastAsia" w:ascii="汉仪书宋二S" w:hAnsi="汉仪书宋二S" w:eastAsia="汉仪书宋二S" w:cs="汉仪书宋二S"/>
          <w:b/>
          <w:bCs/>
          <w:color w:val="auto"/>
          <w:highlight w:val="none"/>
          <w:shd w:val="clear" w:color="auto" w:fill="auto"/>
          <w:lang w:val="en-US" w:eastAsia="zh-CN"/>
        </w:rPr>
        <w:t>3</w:t>
      </w:r>
      <w:r>
        <w:rPr>
          <w:rFonts w:hint="eastAsia" w:ascii="汉仪书宋二S" w:hAnsi="汉仪书宋二S" w:eastAsia="汉仪书宋二S" w:cs="汉仪书宋二S"/>
          <w:b/>
          <w:bCs/>
          <w:color w:val="auto"/>
          <w:highlight w:val="none"/>
          <w:shd w:val="clear" w:color="auto" w:fill="auto"/>
          <w:lang w:eastAsia="zh-CN"/>
        </w:rPr>
        <w:t>）</w:t>
      </w:r>
      <w:r>
        <w:rPr>
          <w:rFonts w:hint="eastAsia" w:ascii="宋体" w:hAnsi="宋体"/>
          <w:b/>
          <w:bCs/>
          <w:color w:val="auto"/>
          <w:szCs w:val="21"/>
          <w:highlight w:val="none"/>
          <w:shd w:val="clear" w:color="auto" w:fill="auto"/>
        </w:rPr>
        <w:t>售后服务方案（满分</w:t>
      </w:r>
      <w:r>
        <w:rPr>
          <w:rFonts w:ascii="宋体" w:hAnsi="宋体"/>
          <w:b/>
          <w:bCs/>
          <w:color w:val="auto"/>
          <w:szCs w:val="21"/>
          <w:highlight w:val="none"/>
          <w:shd w:val="clear" w:color="auto" w:fill="auto"/>
        </w:rPr>
        <w:t>1</w:t>
      </w:r>
      <w:r>
        <w:rPr>
          <w:rFonts w:hint="eastAsia" w:ascii="宋体" w:hAnsi="宋体"/>
          <w:b/>
          <w:bCs/>
          <w:color w:val="auto"/>
          <w:szCs w:val="21"/>
          <w:highlight w:val="none"/>
          <w:shd w:val="clear" w:color="auto" w:fill="auto"/>
          <w:lang w:val="en-US" w:eastAsia="zh-CN"/>
        </w:rPr>
        <w:t>8</w:t>
      </w:r>
      <w:r>
        <w:rPr>
          <w:rFonts w:hint="eastAsia" w:ascii="宋体" w:hAnsi="宋体"/>
          <w:b/>
          <w:bCs/>
          <w:color w:val="auto"/>
          <w:szCs w:val="21"/>
          <w:highlight w:val="none"/>
          <w:shd w:val="clear" w:color="auto" w:fill="auto"/>
        </w:rPr>
        <w:t>分）</w:t>
      </w:r>
    </w:p>
    <w:p>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一档（</w:t>
      </w:r>
      <w:r>
        <w:rPr>
          <w:rFonts w:hint="eastAsia" w:ascii="宋体" w:hAnsi="宋体"/>
          <w:color w:val="auto"/>
          <w:szCs w:val="21"/>
          <w:highlight w:val="none"/>
          <w:shd w:val="clear" w:color="auto" w:fill="auto"/>
          <w:lang w:val="en-US" w:eastAsia="zh-CN"/>
        </w:rPr>
        <w:t>12</w:t>
      </w:r>
      <w:r>
        <w:rPr>
          <w:rFonts w:hint="eastAsia" w:ascii="宋体" w:hAnsi="宋体"/>
          <w:color w:val="auto"/>
          <w:szCs w:val="21"/>
          <w:highlight w:val="none"/>
          <w:shd w:val="clear" w:color="auto" w:fill="auto"/>
        </w:rPr>
        <w:t>分）：售后服务方案满足采购要求，仅对采购人提出的要求进行了部分细化。</w:t>
      </w:r>
    </w:p>
    <w:p>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二档（</w:t>
      </w:r>
      <w:r>
        <w:rPr>
          <w:rFonts w:hint="eastAsia" w:ascii="宋体" w:hAnsi="宋体"/>
          <w:color w:val="auto"/>
          <w:szCs w:val="21"/>
          <w:highlight w:val="none"/>
          <w:shd w:val="clear" w:color="auto" w:fill="auto"/>
          <w:lang w:val="en-US" w:eastAsia="zh-CN"/>
        </w:rPr>
        <w:t>15</w:t>
      </w:r>
      <w:r>
        <w:rPr>
          <w:rFonts w:hint="eastAsia" w:ascii="宋体" w:hAnsi="宋体"/>
          <w:color w:val="auto"/>
          <w:szCs w:val="21"/>
          <w:highlight w:val="none"/>
          <w:shd w:val="clear" w:color="auto" w:fill="auto"/>
        </w:rPr>
        <w:t>分）：在满足一档的基础上，售后服务要求对本项目具有针对性，提供了故障处理流程、维护保障流程及组织架构，售后服务方案表述清晰、完整，措施有效可行，故障响应时间、到达故障现场时间安排合理，故障维护方案合理。</w:t>
      </w:r>
    </w:p>
    <w:p>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三档（</w:t>
      </w:r>
      <w:r>
        <w:rPr>
          <w:rFonts w:hint="eastAsia" w:ascii="宋体" w:hAnsi="宋体"/>
          <w:color w:val="auto"/>
          <w:szCs w:val="21"/>
          <w:highlight w:val="none"/>
          <w:shd w:val="clear" w:color="auto" w:fill="auto"/>
          <w:lang w:val="en-US" w:eastAsia="zh-CN"/>
        </w:rPr>
        <w:t>18</w:t>
      </w:r>
      <w:r>
        <w:rPr>
          <w:rFonts w:hint="eastAsia" w:ascii="宋体" w:hAnsi="宋体"/>
          <w:color w:val="auto"/>
          <w:szCs w:val="21"/>
          <w:highlight w:val="none"/>
          <w:shd w:val="clear" w:color="auto" w:fill="auto"/>
        </w:rPr>
        <w:t>分）：在满足二档的基础上，售后服务方案完善可行，</w:t>
      </w:r>
      <w:r>
        <w:rPr>
          <w:rFonts w:hint="eastAsia" w:ascii="宋体" w:hAnsi="宋体" w:cs="宋体"/>
          <w:color w:val="auto"/>
          <w:kern w:val="0"/>
          <w:szCs w:val="21"/>
          <w:highlight w:val="none"/>
          <w:shd w:val="clear" w:color="auto" w:fill="auto"/>
        </w:rPr>
        <w:t>故障响应时间、到达现场维护时间、修复时间优于招标文件要求，有售后服务流程图</w:t>
      </w:r>
      <w:r>
        <w:rPr>
          <w:rFonts w:hint="eastAsia" w:ascii="宋体" w:hAnsi="宋体"/>
          <w:color w:val="auto"/>
          <w:szCs w:val="21"/>
          <w:highlight w:val="none"/>
          <w:shd w:val="clear" w:color="auto" w:fill="auto"/>
        </w:rPr>
        <w:t>，详细说明售后工作内容、阐述清楚售后服务办法及保障体系，具有完备售后服务规范和管理制度。</w:t>
      </w:r>
    </w:p>
    <w:p>
      <w:pPr>
        <w:pStyle w:val="51"/>
        <w:keepNext w:val="0"/>
        <w:keepLines w:val="0"/>
        <w:pageBreakBefore w:val="0"/>
        <w:kinsoku/>
        <w:wordWrap/>
        <w:overflowPunct/>
        <w:topLinePunct w:val="0"/>
        <w:autoSpaceDE/>
        <w:autoSpaceDN/>
        <w:bidi w:val="0"/>
        <w:spacing w:line="420" w:lineRule="exact"/>
        <w:ind w:firstLine="210"/>
        <w:rPr>
          <w:rFonts w:hAnsi="宋体"/>
          <w:color w:val="auto"/>
          <w:sz w:val="21"/>
          <w:highlight w:val="none"/>
          <w:shd w:val="clear" w:color="auto" w:fill="auto"/>
        </w:rPr>
      </w:pPr>
      <w:r>
        <w:rPr>
          <w:rFonts w:hint="eastAsia" w:hAnsi="宋体"/>
          <w:color w:val="auto"/>
          <w:sz w:val="21"/>
          <w:highlight w:val="none"/>
          <w:shd w:val="clear" w:color="auto" w:fill="auto"/>
          <w:lang w:val="en-US" w:eastAsia="zh-CN"/>
        </w:rPr>
        <w:t xml:space="preserve"> </w:t>
      </w:r>
      <w:r>
        <w:rPr>
          <w:rFonts w:hint="eastAsia" w:hAnsi="宋体"/>
          <w:color w:val="auto"/>
          <w:sz w:val="21"/>
          <w:highlight w:val="none"/>
          <w:shd w:val="clear" w:color="auto" w:fill="auto"/>
          <w:lang w:eastAsia="zh-CN"/>
        </w:rPr>
        <w:t>（</w:t>
      </w:r>
      <w:r>
        <w:rPr>
          <w:rFonts w:hint="eastAsia" w:hAnsi="宋体"/>
          <w:color w:val="auto"/>
          <w:sz w:val="21"/>
          <w:highlight w:val="none"/>
          <w:shd w:val="clear" w:color="auto" w:fill="auto"/>
        </w:rPr>
        <w:t>未提供方案或方案达不到进档要求的得0分</w:t>
      </w:r>
      <w:r>
        <w:rPr>
          <w:rFonts w:hint="eastAsia" w:hAnsi="宋体"/>
          <w:color w:val="auto"/>
          <w:sz w:val="21"/>
          <w:highlight w:val="none"/>
          <w:shd w:val="clear" w:color="auto" w:fill="auto"/>
          <w:lang w:eastAsia="zh-CN"/>
        </w:rPr>
        <w:t>）</w:t>
      </w:r>
    </w:p>
    <w:p>
      <w:pPr>
        <w:keepNext w:val="0"/>
        <w:keepLines w:val="0"/>
        <w:pageBreakBefore w:val="0"/>
        <w:kinsoku/>
        <w:wordWrap/>
        <w:overflowPunct/>
        <w:topLinePunct w:val="0"/>
        <w:autoSpaceDE/>
        <w:autoSpaceDN/>
        <w:bidi w:val="0"/>
        <w:spacing w:line="420" w:lineRule="exact"/>
        <w:rPr>
          <w:rFonts w:hAnsi="宋体"/>
          <w:b/>
          <w:bCs/>
          <w:color w:val="auto"/>
          <w:highlight w:val="none"/>
          <w:shd w:val="clear" w:color="auto" w:fill="auto"/>
        </w:rPr>
      </w:pPr>
      <w:r>
        <w:rPr>
          <w:rFonts w:hint="eastAsia" w:hAnsi="宋体"/>
          <w:color w:val="auto"/>
          <w:highlight w:val="none"/>
          <w:shd w:val="clear" w:color="auto" w:fill="auto"/>
        </w:rPr>
        <w:t xml:space="preserve">    </w:t>
      </w:r>
      <w:r>
        <w:rPr>
          <w:rFonts w:hint="eastAsia" w:hAnsi="宋体"/>
          <w:b/>
          <w:bCs/>
          <w:color w:val="auto"/>
          <w:highlight w:val="none"/>
          <w:shd w:val="clear" w:color="auto" w:fill="auto"/>
        </w:rPr>
        <w:t xml:space="preserve"> </w:t>
      </w:r>
      <w:r>
        <w:rPr>
          <w:rFonts w:hint="eastAsia" w:hAnsi="宋体"/>
          <w:b/>
          <w:bCs/>
          <w:color w:val="auto"/>
          <w:highlight w:val="none"/>
          <w:shd w:val="clear" w:color="auto" w:fill="auto"/>
          <w:lang w:eastAsia="zh-CN"/>
        </w:rPr>
        <w:t>（</w:t>
      </w:r>
      <w:r>
        <w:rPr>
          <w:rFonts w:hint="eastAsia" w:hAnsi="宋体"/>
          <w:b/>
          <w:bCs/>
          <w:color w:val="auto"/>
          <w:highlight w:val="none"/>
          <w:shd w:val="clear" w:color="auto" w:fill="auto"/>
          <w:lang w:val="en-US" w:eastAsia="zh-CN"/>
        </w:rPr>
        <w:t>4</w:t>
      </w:r>
      <w:r>
        <w:rPr>
          <w:rFonts w:hint="eastAsia" w:hAnsi="宋体"/>
          <w:b/>
          <w:bCs/>
          <w:color w:val="auto"/>
          <w:highlight w:val="none"/>
          <w:shd w:val="clear" w:color="auto" w:fill="auto"/>
          <w:lang w:eastAsia="zh-CN"/>
        </w:rPr>
        <w:t>）</w:t>
      </w:r>
      <w:r>
        <w:rPr>
          <w:rFonts w:hint="eastAsia" w:hAnsi="宋体"/>
          <w:b/>
          <w:bCs/>
          <w:color w:val="auto"/>
          <w:highlight w:val="none"/>
          <w:shd w:val="clear" w:color="auto" w:fill="auto"/>
        </w:rPr>
        <w:t>培训方案（满分</w:t>
      </w:r>
      <w:r>
        <w:rPr>
          <w:rFonts w:hint="eastAsia" w:hAnsi="宋体"/>
          <w:b/>
          <w:bCs/>
          <w:color w:val="auto"/>
          <w:highlight w:val="none"/>
          <w:shd w:val="clear" w:color="auto" w:fill="auto"/>
          <w:lang w:val="en-US" w:eastAsia="zh-CN"/>
        </w:rPr>
        <w:t>11</w:t>
      </w:r>
      <w:r>
        <w:rPr>
          <w:rFonts w:hint="eastAsia" w:hAnsi="宋体"/>
          <w:b/>
          <w:bCs/>
          <w:color w:val="auto"/>
          <w:highlight w:val="none"/>
          <w:shd w:val="clear" w:color="auto" w:fill="auto"/>
        </w:rPr>
        <w:t>分）</w:t>
      </w:r>
    </w:p>
    <w:p>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一档（</w:t>
      </w:r>
      <w:r>
        <w:rPr>
          <w:rFonts w:hint="eastAsia" w:ascii="宋体" w:hAnsi="宋体"/>
          <w:color w:val="auto"/>
          <w:szCs w:val="21"/>
          <w:highlight w:val="none"/>
          <w:shd w:val="clear" w:color="auto" w:fill="auto"/>
          <w:lang w:val="en-US" w:eastAsia="zh-CN"/>
        </w:rPr>
        <w:t>5</w:t>
      </w:r>
      <w:r>
        <w:rPr>
          <w:rFonts w:hint="eastAsia" w:ascii="宋体" w:hAnsi="宋体"/>
          <w:color w:val="auto"/>
          <w:szCs w:val="21"/>
          <w:highlight w:val="none"/>
          <w:shd w:val="clear" w:color="auto" w:fill="auto"/>
        </w:rPr>
        <w:t xml:space="preserve">分）：培训方案有培训计划安排，但安排不明确。 </w:t>
      </w:r>
    </w:p>
    <w:p>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二档（</w:t>
      </w:r>
      <w:r>
        <w:rPr>
          <w:rFonts w:hint="eastAsia" w:ascii="宋体" w:hAnsi="宋体"/>
          <w:color w:val="auto"/>
          <w:szCs w:val="21"/>
          <w:highlight w:val="none"/>
          <w:shd w:val="clear" w:color="auto" w:fill="auto"/>
          <w:lang w:val="en-US" w:eastAsia="zh-CN"/>
        </w:rPr>
        <w:t>8</w:t>
      </w:r>
      <w:r>
        <w:rPr>
          <w:rFonts w:hint="eastAsia" w:ascii="宋体" w:hAnsi="宋体"/>
          <w:color w:val="auto"/>
          <w:szCs w:val="21"/>
          <w:highlight w:val="none"/>
          <w:shd w:val="clear" w:color="auto" w:fill="auto"/>
        </w:rPr>
        <w:t xml:space="preserve">分）：培训方案有完整的计划，内容至少包含：培训时间、规模人数等内容。 </w:t>
      </w:r>
    </w:p>
    <w:p>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三档（</w:t>
      </w:r>
      <w:r>
        <w:rPr>
          <w:rFonts w:hint="eastAsia" w:ascii="宋体" w:hAnsi="宋体"/>
          <w:color w:val="auto"/>
          <w:szCs w:val="21"/>
          <w:highlight w:val="none"/>
          <w:shd w:val="clear" w:color="auto" w:fill="auto"/>
          <w:lang w:val="en-US" w:eastAsia="zh-CN"/>
        </w:rPr>
        <w:t>11</w:t>
      </w:r>
      <w:r>
        <w:rPr>
          <w:rFonts w:hint="eastAsia" w:ascii="宋体" w:hAnsi="宋体"/>
          <w:color w:val="auto"/>
          <w:szCs w:val="21"/>
          <w:highlight w:val="none"/>
          <w:shd w:val="clear" w:color="auto" w:fill="auto"/>
        </w:rPr>
        <w:t>分）：培训方案有完善可行的计划，包含：拟派培训技术人员的安排、拟派培训技术人员的经验介绍、培训时间、规模人数等内容。</w:t>
      </w:r>
    </w:p>
    <w:p>
      <w:pPr>
        <w:pStyle w:val="51"/>
        <w:keepNext w:val="0"/>
        <w:keepLines w:val="0"/>
        <w:pageBreakBefore w:val="0"/>
        <w:kinsoku/>
        <w:wordWrap/>
        <w:overflowPunct/>
        <w:topLinePunct w:val="0"/>
        <w:autoSpaceDE/>
        <w:autoSpaceDN/>
        <w:bidi w:val="0"/>
        <w:spacing w:line="420" w:lineRule="exact"/>
        <w:ind w:firstLine="210"/>
        <w:rPr>
          <w:rFonts w:hAnsi="宋体"/>
          <w:color w:val="auto"/>
          <w:sz w:val="21"/>
          <w:highlight w:val="none"/>
          <w:shd w:val="clear" w:color="auto" w:fill="auto"/>
        </w:rPr>
      </w:pPr>
      <w:r>
        <w:rPr>
          <w:rFonts w:hint="eastAsia" w:hAnsi="宋体"/>
          <w:color w:val="auto"/>
          <w:sz w:val="21"/>
          <w:highlight w:val="none"/>
          <w:shd w:val="clear" w:color="auto" w:fill="auto"/>
          <w:lang w:val="en-US" w:eastAsia="zh-CN"/>
        </w:rPr>
        <w:t xml:space="preserve">   （</w:t>
      </w:r>
      <w:r>
        <w:rPr>
          <w:rFonts w:hint="eastAsia" w:hAnsi="宋体"/>
          <w:color w:val="auto"/>
          <w:sz w:val="21"/>
          <w:highlight w:val="none"/>
          <w:shd w:val="clear" w:color="auto" w:fill="auto"/>
        </w:rPr>
        <w:t>未提供方案或方案达不到进档要求的得0分</w:t>
      </w:r>
      <w:r>
        <w:rPr>
          <w:rFonts w:hint="eastAsia" w:hAnsi="宋体"/>
          <w:color w:val="auto"/>
          <w:sz w:val="21"/>
          <w:highlight w:val="none"/>
          <w:shd w:val="clear" w:color="auto" w:fill="auto"/>
          <w:lang w:val="en-US" w:eastAsia="zh-CN"/>
        </w:rPr>
        <w:t>）</w:t>
      </w:r>
    </w:p>
    <w:p>
      <w:pPr>
        <w:keepNext w:val="0"/>
        <w:keepLines w:val="0"/>
        <w:pageBreakBefore w:val="0"/>
        <w:kinsoku/>
        <w:wordWrap/>
        <w:overflowPunct/>
        <w:topLinePunct w:val="0"/>
        <w:autoSpaceDE/>
        <w:autoSpaceDN/>
        <w:bidi w:val="0"/>
        <w:spacing w:line="420" w:lineRule="exact"/>
        <w:rPr>
          <w:rFonts w:ascii="宋体" w:hAnsi="宋体"/>
          <w:b/>
          <w:bCs/>
          <w:color w:val="auto"/>
          <w:szCs w:val="21"/>
          <w:highlight w:val="none"/>
          <w:shd w:val="clear" w:color="auto" w:fill="auto"/>
        </w:rPr>
      </w:pPr>
      <w:r>
        <w:rPr>
          <w:rFonts w:hint="eastAsia" w:ascii="宋体" w:hAnsi="宋体"/>
          <w:color w:val="auto"/>
          <w:szCs w:val="21"/>
          <w:highlight w:val="none"/>
          <w:shd w:val="clear" w:color="auto" w:fill="auto"/>
        </w:rPr>
        <w:t xml:space="preserve">   </w:t>
      </w:r>
      <w:r>
        <w:rPr>
          <w:rFonts w:hint="eastAsia" w:ascii="宋体" w:hAnsi="宋体"/>
          <w:b/>
          <w:bCs/>
          <w:color w:val="auto"/>
          <w:szCs w:val="21"/>
          <w:highlight w:val="none"/>
          <w:shd w:val="clear" w:color="auto" w:fill="auto"/>
        </w:rPr>
        <w:t xml:space="preserve">   </w:t>
      </w:r>
      <w:r>
        <w:rPr>
          <w:rFonts w:hint="eastAsia" w:ascii="宋体" w:hAnsi="宋体"/>
          <w:b/>
          <w:bCs/>
          <w:color w:val="auto"/>
          <w:szCs w:val="21"/>
          <w:highlight w:val="none"/>
          <w:shd w:val="clear" w:color="auto" w:fill="auto"/>
          <w:lang w:eastAsia="zh-CN"/>
        </w:rPr>
        <w:t>（</w:t>
      </w:r>
      <w:r>
        <w:rPr>
          <w:rFonts w:hint="eastAsia" w:ascii="宋体" w:hAnsi="宋体"/>
          <w:b/>
          <w:bCs/>
          <w:color w:val="auto"/>
          <w:szCs w:val="21"/>
          <w:highlight w:val="none"/>
          <w:shd w:val="clear" w:color="auto" w:fill="auto"/>
          <w:lang w:val="en-US" w:eastAsia="zh-CN"/>
        </w:rPr>
        <w:t>5</w:t>
      </w:r>
      <w:r>
        <w:rPr>
          <w:rFonts w:hint="eastAsia" w:ascii="宋体" w:hAnsi="宋体"/>
          <w:b/>
          <w:bCs/>
          <w:color w:val="auto"/>
          <w:szCs w:val="21"/>
          <w:highlight w:val="none"/>
          <w:shd w:val="clear" w:color="auto" w:fill="auto"/>
          <w:lang w:eastAsia="zh-CN"/>
        </w:rPr>
        <w:t>）</w:t>
      </w:r>
      <w:r>
        <w:rPr>
          <w:rFonts w:hint="eastAsia" w:ascii="宋体" w:hAnsi="宋体"/>
          <w:b/>
          <w:bCs/>
          <w:color w:val="auto"/>
          <w:szCs w:val="21"/>
          <w:highlight w:val="none"/>
          <w:shd w:val="clear" w:color="auto" w:fill="auto"/>
        </w:rPr>
        <w:t>质保期（满分3分）</w:t>
      </w:r>
    </w:p>
    <w:p>
      <w:pPr>
        <w:pStyle w:val="51"/>
        <w:keepNext w:val="0"/>
        <w:keepLines w:val="0"/>
        <w:pageBreakBefore w:val="0"/>
        <w:kinsoku/>
        <w:wordWrap/>
        <w:overflowPunct/>
        <w:topLinePunct w:val="0"/>
        <w:autoSpaceDE/>
        <w:autoSpaceDN/>
        <w:bidi w:val="0"/>
        <w:spacing w:line="420" w:lineRule="exact"/>
        <w:ind w:firstLine="210"/>
        <w:rPr>
          <w:rFonts w:ascii="宋体" w:hAnsi="宋体"/>
          <w:color w:val="auto"/>
          <w:sz w:val="21"/>
          <w:szCs w:val="21"/>
          <w:highlight w:val="none"/>
          <w:shd w:val="clear" w:color="auto" w:fill="auto"/>
        </w:rPr>
      </w:pPr>
      <w:r>
        <w:rPr>
          <w:rFonts w:hint="eastAsia" w:ascii="宋体" w:hAnsi="宋体"/>
          <w:color w:val="auto"/>
          <w:sz w:val="21"/>
          <w:szCs w:val="21"/>
          <w:highlight w:val="none"/>
          <w:shd w:val="clear" w:color="auto" w:fill="auto"/>
        </w:rPr>
        <w:t xml:space="preserve">   满足基本质保期的基础上，</w:t>
      </w:r>
      <w:r>
        <w:rPr>
          <w:rFonts w:hint="eastAsia" w:ascii="宋体" w:hAnsi="宋体" w:cs="宋体"/>
          <w:color w:val="auto"/>
          <w:kern w:val="0"/>
          <w:sz w:val="21"/>
          <w:szCs w:val="21"/>
          <w:highlight w:val="none"/>
          <w:shd w:val="clear" w:color="auto" w:fill="auto"/>
          <w:lang w:val="en-US" w:eastAsia="zh-CN"/>
        </w:rPr>
        <w:t>四项</w:t>
      </w:r>
      <w:r>
        <w:rPr>
          <w:rFonts w:hint="eastAsia" w:ascii="宋体" w:hAnsi="宋体"/>
          <w:color w:val="auto"/>
          <w:sz w:val="21"/>
          <w:szCs w:val="21"/>
          <w:highlight w:val="none"/>
          <w:shd w:val="clear" w:color="auto" w:fill="auto"/>
        </w:rPr>
        <w:t>产品</w:t>
      </w:r>
      <w:r>
        <w:rPr>
          <w:rFonts w:hint="eastAsia" w:ascii="宋体" w:hAnsi="宋体"/>
          <w:color w:val="auto"/>
          <w:sz w:val="21"/>
          <w:szCs w:val="21"/>
          <w:highlight w:val="none"/>
          <w:shd w:val="clear" w:color="auto" w:fill="auto"/>
          <w:lang w:eastAsia="zh-CN"/>
        </w:rPr>
        <w:t>“</w:t>
      </w:r>
      <w:r>
        <w:rPr>
          <w:rFonts w:hint="eastAsia" w:ascii="宋体" w:hAnsi="宋体" w:cs="宋体"/>
          <w:b/>
          <w:bCs/>
          <w:color w:val="auto"/>
          <w:kern w:val="0"/>
          <w:sz w:val="21"/>
          <w:szCs w:val="21"/>
          <w:highlight w:val="none"/>
          <w:shd w:val="clear" w:color="auto" w:fill="auto"/>
        </w:rPr>
        <w:t>激光工程投影机、激光工程投影机、非接触式扫描仪、电子阅览室电脑台式机</w:t>
      </w:r>
      <w:r>
        <w:rPr>
          <w:rFonts w:hint="eastAsia" w:ascii="宋体" w:hAnsi="宋体"/>
          <w:color w:val="auto"/>
          <w:sz w:val="21"/>
          <w:szCs w:val="21"/>
          <w:highlight w:val="none"/>
          <w:shd w:val="clear" w:color="auto" w:fill="auto"/>
          <w:lang w:eastAsia="zh-CN"/>
        </w:rPr>
        <w:t>”的</w:t>
      </w:r>
      <w:r>
        <w:rPr>
          <w:rFonts w:hint="eastAsia" w:ascii="宋体" w:hAnsi="宋体"/>
          <w:color w:val="auto"/>
          <w:sz w:val="21"/>
          <w:szCs w:val="21"/>
          <w:highlight w:val="none"/>
          <w:shd w:val="clear" w:color="auto" w:fill="auto"/>
        </w:rPr>
        <w:t>整体质保期</w:t>
      </w:r>
      <w:r>
        <w:rPr>
          <w:rFonts w:hint="eastAsia" w:ascii="宋体" w:hAnsi="宋体"/>
          <w:b/>
          <w:bCs/>
          <w:color w:val="auto"/>
          <w:sz w:val="21"/>
          <w:szCs w:val="21"/>
          <w:highlight w:val="none"/>
          <w:shd w:val="clear" w:color="auto" w:fill="auto"/>
          <w:lang w:eastAsia="zh-CN"/>
        </w:rPr>
        <w:t>均</w:t>
      </w:r>
      <w:r>
        <w:rPr>
          <w:rFonts w:hint="eastAsia" w:ascii="宋体" w:hAnsi="宋体"/>
          <w:color w:val="auto"/>
          <w:sz w:val="21"/>
          <w:szCs w:val="21"/>
          <w:highlight w:val="none"/>
          <w:shd w:val="clear" w:color="auto" w:fill="auto"/>
        </w:rPr>
        <w:t>每延长一年增加1分，满分3分。</w:t>
      </w:r>
      <w:r>
        <w:rPr>
          <w:rFonts w:hint="eastAsia" w:asciiTheme="majorEastAsia" w:hAnsiTheme="majorEastAsia" w:eastAsiaTheme="majorEastAsia" w:cstheme="majorEastAsia"/>
          <w:b w:val="0"/>
          <w:bCs w:val="0"/>
          <w:color w:val="auto"/>
          <w:sz w:val="21"/>
          <w:szCs w:val="21"/>
          <w:highlight w:val="none"/>
          <w:shd w:val="clear" w:color="auto" w:fill="auto"/>
          <w:lang w:eastAsia="zh-CN"/>
        </w:rPr>
        <w:t>（须提供制造厂家的质保证明或投标人的承诺书）</w:t>
      </w:r>
    </w:p>
    <w:p>
      <w:pPr>
        <w:keepNext w:val="0"/>
        <w:keepLines w:val="0"/>
        <w:pageBreakBefore w:val="0"/>
        <w:widowControl/>
        <w:kinsoku/>
        <w:wordWrap/>
        <w:overflowPunct/>
        <w:topLinePunct w:val="0"/>
        <w:autoSpaceDE/>
        <w:autoSpaceDN/>
        <w:bidi w:val="0"/>
        <w:spacing w:line="420" w:lineRule="exact"/>
        <w:ind w:firstLine="420"/>
        <w:jc w:val="left"/>
        <w:rPr>
          <w:b/>
          <w:bCs/>
          <w:color w:val="auto"/>
          <w:highlight w:val="none"/>
          <w:shd w:val="clear" w:color="auto" w:fill="auto"/>
        </w:rPr>
      </w:pPr>
    </w:p>
    <w:p>
      <w:pPr>
        <w:keepNext w:val="0"/>
        <w:keepLines w:val="0"/>
        <w:pageBreakBefore w:val="0"/>
        <w:widowControl/>
        <w:kinsoku/>
        <w:wordWrap/>
        <w:overflowPunct/>
        <w:topLinePunct w:val="0"/>
        <w:autoSpaceDE/>
        <w:autoSpaceDN/>
        <w:bidi w:val="0"/>
        <w:spacing w:line="420" w:lineRule="exact"/>
        <w:ind w:left="420" w:leftChars="200"/>
        <w:jc w:val="left"/>
        <w:rPr>
          <w:b/>
          <w:color w:val="auto"/>
          <w:highlight w:val="none"/>
          <w:shd w:val="clear" w:color="auto" w:fill="auto"/>
        </w:rPr>
      </w:pPr>
      <w:r>
        <w:rPr>
          <w:rFonts w:hint="eastAsia"/>
          <w:b/>
          <w:bCs/>
          <w:color w:val="auto"/>
          <w:highlight w:val="none"/>
          <w:shd w:val="clear" w:color="auto" w:fill="auto"/>
        </w:rPr>
        <w:t>3</w:t>
      </w:r>
      <w:r>
        <w:rPr>
          <w:rFonts w:hint="eastAsia"/>
          <w:b/>
          <w:bCs/>
          <w:color w:val="auto"/>
          <w:highlight w:val="none"/>
          <w:shd w:val="clear" w:color="auto" w:fill="auto"/>
          <w:lang w:eastAsia="zh-CN"/>
        </w:rPr>
        <w:t>、</w:t>
      </w:r>
      <w:r>
        <w:rPr>
          <w:rFonts w:hint="eastAsia"/>
          <w:b/>
          <w:bCs/>
          <w:color w:val="auto"/>
          <w:highlight w:val="none"/>
          <w:shd w:val="clear" w:color="auto" w:fill="auto"/>
        </w:rPr>
        <w:t xml:space="preserve">商务分 </w:t>
      </w:r>
      <w:r>
        <w:rPr>
          <w:rFonts w:hint="eastAsia" w:hAnsi="宋体"/>
          <w:b/>
          <w:bCs/>
          <w:color w:val="auto"/>
          <w:spacing w:val="-8"/>
          <w:highlight w:val="none"/>
          <w:shd w:val="clear" w:color="auto" w:fill="auto"/>
        </w:rPr>
        <w:t>……………………………………………………………………………</w:t>
      </w:r>
      <w:r>
        <w:rPr>
          <w:rFonts w:hint="eastAsia" w:hAnsi="宋体"/>
          <w:b/>
          <w:bCs/>
          <w:color w:val="auto"/>
          <w:spacing w:val="-8"/>
          <w:highlight w:val="none"/>
          <w:shd w:val="clear" w:color="auto" w:fill="auto"/>
          <w:lang w:val="en-US" w:eastAsia="zh-CN"/>
        </w:rPr>
        <w:t>8</w:t>
      </w:r>
      <w:r>
        <w:rPr>
          <w:rFonts w:hint="eastAsia"/>
          <w:b/>
          <w:color w:val="auto"/>
          <w:highlight w:val="none"/>
          <w:shd w:val="clear" w:color="auto" w:fill="auto"/>
        </w:rPr>
        <w:t>分</w:t>
      </w:r>
    </w:p>
    <w:p>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w:t>
      </w:r>
      <w:r>
        <w:rPr>
          <w:rFonts w:hint="eastAsia" w:ascii="宋体" w:hAnsi="宋体"/>
          <w:color w:val="auto"/>
          <w:szCs w:val="21"/>
          <w:highlight w:val="none"/>
          <w:shd w:val="clear" w:color="auto" w:fill="auto"/>
          <w:lang w:eastAsia="zh-CN"/>
        </w:rPr>
        <w:t>（</w:t>
      </w:r>
      <w:r>
        <w:rPr>
          <w:rFonts w:hint="eastAsia" w:ascii="宋体" w:hAnsi="宋体"/>
          <w:color w:val="auto"/>
          <w:szCs w:val="21"/>
          <w:highlight w:val="none"/>
          <w:shd w:val="clear" w:color="auto" w:fill="auto"/>
          <w:lang w:val="en-US" w:eastAsia="zh-CN"/>
        </w:rPr>
        <w:t>1</w:t>
      </w:r>
      <w:r>
        <w:rPr>
          <w:rFonts w:hint="eastAsia" w:ascii="宋体" w:hAnsi="宋体"/>
          <w:color w:val="auto"/>
          <w:szCs w:val="21"/>
          <w:highlight w:val="none"/>
          <w:shd w:val="clear" w:color="auto" w:fill="auto"/>
          <w:lang w:eastAsia="zh-CN"/>
        </w:rPr>
        <w:t>）</w:t>
      </w:r>
      <w:r>
        <w:rPr>
          <w:rFonts w:hint="eastAsia" w:ascii="宋体" w:hAnsi="宋体"/>
          <w:color w:val="auto"/>
          <w:szCs w:val="21"/>
          <w:highlight w:val="none"/>
          <w:shd w:val="clear" w:color="auto" w:fill="auto"/>
        </w:rPr>
        <w:t>信誉</w:t>
      </w:r>
      <w:r>
        <w:rPr>
          <w:rFonts w:hint="eastAsia" w:ascii="宋体" w:hAnsi="宋体"/>
          <w:color w:val="auto"/>
          <w:szCs w:val="21"/>
          <w:highlight w:val="none"/>
          <w:shd w:val="clear" w:color="auto" w:fill="auto"/>
          <w:lang w:eastAsia="zh-CN"/>
        </w:rPr>
        <w:t>分</w:t>
      </w:r>
      <w:r>
        <w:rPr>
          <w:rFonts w:hint="eastAsia" w:ascii="宋体" w:hAnsi="宋体"/>
          <w:color w:val="auto"/>
          <w:szCs w:val="21"/>
          <w:highlight w:val="none"/>
          <w:shd w:val="clear" w:color="auto" w:fill="auto"/>
        </w:rPr>
        <w:t>（满分</w:t>
      </w:r>
      <w:r>
        <w:rPr>
          <w:rFonts w:hint="eastAsia" w:ascii="宋体" w:hAnsi="宋体"/>
          <w:color w:val="auto"/>
          <w:szCs w:val="21"/>
          <w:highlight w:val="none"/>
          <w:shd w:val="clear" w:color="auto" w:fill="auto"/>
          <w:lang w:val="en-US" w:eastAsia="zh-CN"/>
        </w:rPr>
        <w:t>3</w:t>
      </w:r>
      <w:r>
        <w:rPr>
          <w:rFonts w:hint="eastAsia" w:ascii="宋体" w:hAnsi="宋体"/>
          <w:color w:val="auto"/>
          <w:szCs w:val="21"/>
          <w:highlight w:val="none"/>
          <w:shd w:val="clear" w:color="auto" w:fill="auto"/>
        </w:rPr>
        <w:t>分）</w:t>
      </w:r>
    </w:p>
    <w:p>
      <w:pPr>
        <w:keepNext w:val="0"/>
        <w:keepLines w:val="0"/>
        <w:pageBreakBefore w:val="0"/>
        <w:kinsoku/>
        <w:wordWrap/>
        <w:overflowPunct/>
        <w:topLinePunct w:val="0"/>
        <w:autoSpaceDE/>
        <w:autoSpaceDN/>
        <w:bidi w:val="0"/>
        <w:spacing w:line="42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w:t>
      </w: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rPr>
        <w:t>投标人或投标核心产品生产厂家具有质量管理体系认证证书、环境管理体系认证证书、职业健康安全管理体系认证证书，每有一项证书得1分，满分3分。</w:t>
      </w:r>
    </w:p>
    <w:p>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w:t>
      </w: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lang w:eastAsia="zh-CN"/>
        </w:rPr>
        <w:t>（</w:t>
      </w:r>
      <w:r>
        <w:rPr>
          <w:rFonts w:hint="eastAsia" w:ascii="宋体" w:hAnsi="宋体"/>
          <w:color w:val="auto"/>
          <w:szCs w:val="21"/>
          <w:highlight w:val="none"/>
          <w:shd w:val="clear" w:color="auto" w:fill="auto"/>
          <w:lang w:val="en-US" w:eastAsia="zh-CN"/>
        </w:rPr>
        <w:t>2</w:t>
      </w:r>
      <w:r>
        <w:rPr>
          <w:rFonts w:hint="eastAsia" w:ascii="宋体" w:hAnsi="宋体"/>
          <w:color w:val="auto"/>
          <w:szCs w:val="21"/>
          <w:highlight w:val="none"/>
          <w:shd w:val="clear" w:color="auto" w:fill="auto"/>
          <w:lang w:eastAsia="zh-CN"/>
        </w:rPr>
        <w:t>）</w:t>
      </w:r>
      <w:r>
        <w:rPr>
          <w:rFonts w:hint="eastAsia" w:ascii="宋体" w:hAnsi="宋体"/>
          <w:color w:val="auto"/>
          <w:szCs w:val="21"/>
          <w:highlight w:val="none"/>
          <w:shd w:val="clear" w:color="auto" w:fill="auto"/>
        </w:rPr>
        <w:t>业绩</w:t>
      </w:r>
      <w:r>
        <w:rPr>
          <w:rFonts w:hint="eastAsia" w:ascii="宋体" w:hAnsi="宋体"/>
          <w:color w:val="auto"/>
          <w:szCs w:val="21"/>
          <w:highlight w:val="none"/>
          <w:shd w:val="clear" w:color="auto" w:fill="auto"/>
          <w:lang w:eastAsia="zh-CN"/>
        </w:rPr>
        <w:t>分</w:t>
      </w:r>
      <w:r>
        <w:rPr>
          <w:rFonts w:hint="eastAsia" w:ascii="宋体" w:hAnsi="宋体"/>
          <w:color w:val="auto"/>
          <w:szCs w:val="21"/>
          <w:highlight w:val="none"/>
          <w:shd w:val="clear" w:color="auto" w:fill="auto"/>
        </w:rPr>
        <w:t>（满分</w:t>
      </w:r>
      <w:r>
        <w:rPr>
          <w:rFonts w:hint="eastAsia" w:ascii="宋体" w:hAnsi="宋体"/>
          <w:color w:val="auto"/>
          <w:szCs w:val="21"/>
          <w:highlight w:val="none"/>
          <w:shd w:val="clear" w:color="auto" w:fill="auto"/>
          <w:lang w:val="en-US" w:eastAsia="zh-CN"/>
        </w:rPr>
        <w:t>3</w:t>
      </w:r>
      <w:r>
        <w:rPr>
          <w:rFonts w:hint="eastAsia" w:ascii="宋体" w:hAnsi="宋体"/>
          <w:color w:val="auto"/>
          <w:szCs w:val="21"/>
          <w:highlight w:val="none"/>
          <w:shd w:val="clear" w:color="auto" w:fill="auto"/>
        </w:rPr>
        <w:t>分）</w:t>
      </w:r>
    </w:p>
    <w:p>
      <w:pPr>
        <w:keepNext w:val="0"/>
        <w:keepLines w:val="0"/>
        <w:pageBreakBefore w:val="0"/>
        <w:kinsoku/>
        <w:wordWrap/>
        <w:overflowPunct/>
        <w:topLinePunct w:val="0"/>
        <w:autoSpaceDE/>
        <w:autoSpaceDN/>
        <w:bidi w:val="0"/>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rPr>
        <w:t>投标人2020年1月1日至投标截止时间具有</w:t>
      </w:r>
      <w:r>
        <w:rPr>
          <w:rFonts w:hint="eastAsia" w:ascii="宋体" w:hAnsi="宋体"/>
          <w:b/>
          <w:bCs/>
          <w:color w:val="auto"/>
          <w:szCs w:val="21"/>
          <w:highlight w:val="none"/>
          <w:shd w:val="clear" w:color="auto" w:fill="auto"/>
        </w:rPr>
        <w:t>同类项目</w:t>
      </w:r>
      <w:r>
        <w:rPr>
          <w:rFonts w:hint="eastAsia" w:ascii="宋体" w:hAnsi="宋体"/>
          <w:b/>
          <w:bCs/>
          <w:color w:val="auto"/>
          <w:szCs w:val="21"/>
          <w:highlight w:val="none"/>
          <w:shd w:val="clear" w:color="auto" w:fill="auto"/>
          <w:lang w:eastAsia="zh-CN"/>
        </w:rPr>
        <w:t>（货物</w:t>
      </w:r>
      <w:r>
        <w:rPr>
          <w:rFonts w:hint="eastAsia"/>
          <w:b/>
          <w:bCs/>
          <w:color w:val="auto"/>
          <w:szCs w:val="21"/>
          <w:highlight w:val="none"/>
          <w:shd w:val="clear" w:color="auto" w:fill="auto"/>
          <w:lang w:val="en-US" w:eastAsia="zh-CN"/>
        </w:rPr>
        <w:t>包含但不限：本分标的核心产品</w:t>
      </w:r>
      <w:r>
        <w:rPr>
          <w:rFonts w:hint="eastAsia" w:ascii="宋体" w:hAnsi="宋体"/>
          <w:b/>
          <w:bCs/>
          <w:color w:val="auto"/>
          <w:szCs w:val="21"/>
          <w:highlight w:val="none"/>
          <w:shd w:val="clear" w:color="auto" w:fill="auto"/>
          <w:lang w:eastAsia="zh-CN"/>
        </w:rPr>
        <w:t>）</w:t>
      </w:r>
      <w:r>
        <w:rPr>
          <w:rFonts w:hint="eastAsia" w:ascii="宋体" w:hAnsi="宋体"/>
          <w:color w:val="auto"/>
          <w:szCs w:val="21"/>
          <w:highlight w:val="none"/>
          <w:shd w:val="clear" w:color="auto" w:fill="auto"/>
        </w:rPr>
        <w:t>业绩的，每个得1分，满分3分；投标文件中提供有效的合同复印件。</w:t>
      </w:r>
    </w:p>
    <w:p>
      <w:pPr>
        <w:pStyle w:val="652"/>
        <w:keepNext w:val="0"/>
        <w:keepLines w:val="0"/>
        <w:pageBreakBefore w:val="0"/>
        <w:kinsoku/>
        <w:wordWrap/>
        <w:overflowPunct/>
        <w:topLinePunct w:val="0"/>
        <w:autoSpaceDE/>
        <w:autoSpaceDN/>
        <w:bidi w:val="0"/>
        <w:spacing w:line="420" w:lineRule="exact"/>
        <w:ind w:left="0" w:leftChars="0" w:firstLine="0" w:firstLineChars="0"/>
        <w:rPr>
          <w:color w:val="auto"/>
          <w:kern w:val="2"/>
          <w:sz w:val="21"/>
          <w:szCs w:val="21"/>
          <w:highlight w:val="none"/>
          <w:shd w:val="clear" w:color="auto" w:fill="auto"/>
        </w:rPr>
      </w:pPr>
      <w:r>
        <w:rPr>
          <w:rFonts w:hint="eastAsia"/>
          <w:color w:val="auto"/>
          <w:kern w:val="2"/>
          <w:sz w:val="21"/>
          <w:szCs w:val="21"/>
          <w:highlight w:val="none"/>
          <w:shd w:val="clear" w:color="auto" w:fill="auto"/>
          <w:lang w:val="en-US" w:eastAsia="zh-CN"/>
        </w:rPr>
        <w:t xml:space="preserve">    </w:t>
      </w:r>
      <w:r>
        <w:rPr>
          <w:rFonts w:hint="eastAsia"/>
          <w:color w:val="auto"/>
          <w:kern w:val="2"/>
          <w:sz w:val="21"/>
          <w:szCs w:val="21"/>
          <w:highlight w:val="none"/>
          <w:shd w:val="clear" w:color="auto" w:fill="auto"/>
        </w:rPr>
        <w:t>（3）政策功能分（满分</w:t>
      </w:r>
      <w:r>
        <w:rPr>
          <w:rFonts w:hint="eastAsia"/>
          <w:color w:val="auto"/>
          <w:kern w:val="2"/>
          <w:sz w:val="21"/>
          <w:szCs w:val="21"/>
          <w:highlight w:val="none"/>
          <w:shd w:val="clear" w:color="auto" w:fill="auto"/>
          <w:lang w:val="en-US" w:eastAsia="zh-CN"/>
        </w:rPr>
        <w:t>2</w:t>
      </w:r>
      <w:r>
        <w:rPr>
          <w:rFonts w:hint="eastAsia"/>
          <w:color w:val="auto"/>
          <w:kern w:val="2"/>
          <w:sz w:val="21"/>
          <w:szCs w:val="21"/>
          <w:highlight w:val="none"/>
          <w:shd w:val="clear" w:color="auto" w:fill="auto"/>
        </w:rPr>
        <w:t>分）</w:t>
      </w:r>
    </w:p>
    <w:p>
      <w:pPr>
        <w:pStyle w:val="225"/>
        <w:keepNext w:val="0"/>
        <w:keepLines w:val="0"/>
        <w:pageBreakBefore w:val="0"/>
        <w:kinsoku/>
        <w:wordWrap/>
        <w:overflowPunct/>
        <w:topLinePunct w:val="0"/>
        <w:autoSpaceDE/>
        <w:autoSpaceDN/>
        <w:bidi w:val="0"/>
        <w:adjustRightInd w:val="0"/>
        <w:snapToGrid w:val="0"/>
        <w:spacing w:line="420" w:lineRule="exact"/>
        <w:ind w:firstLine="420"/>
        <w:rPr>
          <w:rFonts w:hint="eastAsia"/>
          <w:color w:val="auto"/>
          <w:highlight w:val="none"/>
          <w:shd w:val="clear" w:color="auto" w:fill="auto"/>
        </w:rPr>
      </w:pPr>
      <w:r>
        <w:rPr>
          <w:rFonts w:hint="eastAsia"/>
          <w:color w:val="auto"/>
          <w:highlight w:val="none"/>
          <w:shd w:val="clear" w:color="auto" w:fill="auto"/>
        </w:rPr>
        <w:t>①投标产品纳入（财库[2019]19号）中节能产品政府采购清单的（适用于非强制采购节能产品</w:t>
      </w:r>
      <w:r>
        <w:rPr>
          <w:rFonts w:hint="eastAsia"/>
          <w:color w:val="auto"/>
          <w:highlight w:val="none"/>
          <w:shd w:val="clear" w:color="auto" w:fill="auto"/>
          <w:lang w:eastAsia="zh-CN"/>
        </w:rPr>
        <w:t>，</w:t>
      </w:r>
      <w:r>
        <w:rPr>
          <w:rFonts w:hint="eastAsia"/>
          <w:color w:val="auto"/>
          <w:highlight w:val="none"/>
          <w:shd w:val="clear" w:color="auto" w:fill="auto"/>
        </w:rPr>
        <w:t>依据《市场监管总局关于发布参与实施政府采购节能产品、环境标志产品认证机构名录的公告》，提供所投相应型号产品有效的认证证书扫描件或其他电子文件</w:t>
      </w:r>
      <w:r>
        <w:rPr>
          <w:rFonts w:hint="eastAsia"/>
          <w:color w:val="auto"/>
          <w:highlight w:val="none"/>
          <w:shd w:val="clear" w:color="auto" w:fill="auto"/>
          <w:lang w:eastAsia="zh-CN"/>
        </w:rPr>
        <w:t>），得</w:t>
      </w:r>
      <w:r>
        <w:rPr>
          <w:rFonts w:hint="eastAsia"/>
          <w:color w:val="auto"/>
          <w:highlight w:val="none"/>
          <w:shd w:val="clear" w:color="auto" w:fill="auto"/>
          <w:lang w:val="en-US" w:eastAsia="zh-CN"/>
        </w:rPr>
        <w:t>1分，</w:t>
      </w:r>
      <w:r>
        <w:rPr>
          <w:rFonts w:hint="eastAsia"/>
          <w:color w:val="auto"/>
          <w:highlight w:val="none"/>
          <w:shd w:val="clear" w:color="auto" w:fill="auto"/>
        </w:rPr>
        <w:t>满分</w:t>
      </w:r>
      <w:r>
        <w:rPr>
          <w:rFonts w:hint="eastAsia"/>
          <w:color w:val="auto"/>
          <w:highlight w:val="none"/>
          <w:shd w:val="clear" w:color="auto" w:fill="auto"/>
          <w:lang w:val="en-US" w:eastAsia="zh-CN"/>
        </w:rPr>
        <w:t>1</w:t>
      </w:r>
      <w:r>
        <w:rPr>
          <w:rFonts w:hint="eastAsia"/>
          <w:color w:val="auto"/>
          <w:highlight w:val="none"/>
          <w:shd w:val="clear" w:color="auto" w:fill="auto"/>
        </w:rPr>
        <w:t>分。</w:t>
      </w:r>
    </w:p>
    <w:p>
      <w:pPr>
        <w:keepNext w:val="0"/>
        <w:keepLines w:val="0"/>
        <w:pageBreakBefore w:val="0"/>
        <w:kinsoku/>
        <w:wordWrap/>
        <w:overflowPunct/>
        <w:topLinePunct w:val="0"/>
        <w:autoSpaceDE/>
        <w:autoSpaceDN/>
        <w:bidi w:val="0"/>
        <w:spacing w:line="420" w:lineRule="exact"/>
        <w:ind w:firstLine="420" w:firstLineChars="200"/>
        <w:outlineLvl w:val="0"/>
        <w:rPr>
          <w:rFonts w:hint="eastAsia" w:ascii="宋体" w:hAnsi="宋体" w:cs="宋体"/>
          <w:color w:val="auto"/>
          <w:highlight w:val="none"/>
          <w:shd w:val="clear" w:color="auto" w:fill="auto"/>
        </w:rPr>
      </w:pPr>
      <w:r>
        <w:rPr>
          <w:rFonts w:hint="eastAsia" w:ascii="宋体" w:hAnsi="宋体" w:cs="宋体"/>
          <w:bCs/>
          <w:color w:val="auto"/>
          <w:kern w:val="0"/>
          <w:szCs w:val="21"/>
          <w:highlight w:val="none"/>
          <w:shd w:val="clear" w:color="auto" w:fill="auto"/>
          <w:lang w:bidi="ar"/>
        </w:rPr>
        <w:fldChar w:fldCharType="begin"/>
      </w:r>
      <w:r>
        <w:rPr>
          <w:rFonts w:hint="eastAsia" w:ascii="宋体" w:hAnsi="宋体" w:cs="宋体"/>
          <w:bCs/>
          <w:color w:val="auto"/>
          <w:kern w:val="0"/>
          <w:szCs w:val="21"/>
          <w:highlight w:val="none"/>
          <w:shd w:val="clear" w:color="auto" w:fill="auto"/>
          <w:lang w:bidi="ar"/>
        </w:rPr>
        <w:instrText xml:space="preserve"> = 2 \* GB3 \* MERGEFORMAT </w:instrText>
      </w:r>
      <w:r>
        <w:rPr>
          <w:rFonts w:hint="eastAsia" w:ascii="宋体" w:hAnsi="宋体" w:cs="宋体"/>
          <w:bCs/>
          <w:color w:val="auto"/>
          <w:kern w:val="0"/>
          <w:szCs w:val="21"/>
          <w:highlight w:val="none"/>
          <w:shd w:val="clear" w:color="auto" w:fill="auto"/>
          <w:lang w:bidi="ar"/>
        </w:rPr>
        <w:fldChar w:fldCharType="separate"/>
      </w:r>
      <w:r>
        <w:rPr>
          <w:rFonts w:hint="eastAsia" w:ascii="宋体" w:hAnsi="宋体" w:cs="宋体"/>
          <w:color w:val="auto"/>
          <w:highlight w:val="none"/>
          <w:shd w:val="clear" w:color="auto" w:fill="auto"/>
        </w:rPr>
        <w:t>②</w:t>
      </w:r>
      <w:r>
        <w:rPr>
          <w:rFonts w:hint="eastAsia" w:ascii="宋体" w:hAnsi="宋体" w:cs="宋体"/>
          <w:bCs/>
          <w:color w:val="auto"/>
          <w:kern w:val="0"/>
          <w:szCs w:val="21"/>
          <w:highlight w:val="none"/>
          <w:shd w:val="clear" w:color="auto" w:fill="auto"/>
          <w:lang w:bidi="ar"/>
        </w:rPr>
        <w:fldChar w:fldCharType="end"/>
      </w:r>
      <w:r>
        <w:rPr>
          <w:rFonts w:hint="eastAsia" w:ascii="宋体" w:hAnsi="宋体" w:cs="宋体"/>
          <w:color w:val="auto"/>
          <w:highlight w:val="none"/>
          <w:shd w:val="clear" w:color="auto" w:fill="auto"/>
        </w:rPr>
        <w:t>投标产品纳入（财库[2019]18号）中环境标志产品政府采购清单的（依据《市场监管总局关于发</w:t>
      </w:r>
      <w:r>
        <w:rPr>
          <w:rFonts w:hint="eastAsia"/>
          <w:color w:val="auto"/>
          <w:highlight w:val="none"/>
          <w:shd w:val="clear" w:color="auto" w:fill="auto"/>
        </w:rPr>
        <w:t>布参与实施政府采购节能产品、环境标志产品认证机构名录的公告》，提供所投相应型号产品有效的认</w:t>
      </w:r>
      <w:r>
        <w:rPr>
          <w:rFonts w:hint="eastAsia" w:ascii="宋体" w:hAnsi="宋体" w:cs="宋体"/>
          <w:color w:val="auto"/>
          <w:highlight w:val="none"/>
          <w:shd w:val="clear" w:color="auto" w:fill="auto"/>
        </w:rPr>
        <w:t>证证书扫描件或其他电子文件）</w:t>
      </w:r>
      <w:r>
        <w:rPr>
          <w:rFonts w:hint="eastAsia"/>
          <w:color w:val="auto"/>
          <w:highlight w:val="none"/>
          <w:shd w:val="clear" w:color="auto" w:fill="auto"/>
          <w:lang w:eastAsia="zh-CN"/>
        </w:rPr>
        <w:t>，得</w:t>
      </w:r>
      <w:r>
        <w:rPr>
          <w:rFonts w:hint="eastAsia"/>
          <w:color w:val="auto"/>
          <w:highlight w:val="none"/>
          <w:shd w:val="clear" w:color="auto" w:fill="auto"/>
          <w:lang w:val="en-US" w:eastAsia="zh-CN"/>
        </w:rPr>
        <w:t>1分，</w:t>
      </w:r>
      <w:r>
        <w:rPr>
          <w:rFonts w:hint="eastAsia" w:ascii="宋体" w:hAnsi="宋体" w:cs="宋体"/>
          <w:color w:val="auto"/>
          <w:highlight w:val="none"/>
          <w:shd w:val="clear" w:color="auto" w:fill="auto"/>
        </w:rPr>
        <w:t>满分</w:t>
      </w:r>
      <w:r>
        <w:rPr>
          <w:rFonts w:hint="eastAsia" w:ascii="宋体" w:hAnsi="宋体" w:cs="宋体"/>
          <w:color w:val="auto"/>
          <w:highlight w:val="none"/>
          <w:shd w:val="clear" w:color="auto" w:fill="auto"/>
          <w:lang w:val="en-US" w:eastAsia="zh-CN"/>
        </w:rPr>
        <w:t>1</w:t>
      </w:r>
      <w:r>
        <w:rPr>
          <w:rFonts w:hint="eastAsia" w:ascii="宋体" w:hAnsi="宋体" w:cs="宋体"/>
          <w:color w:val="auto"/>
          <w:highlight w:val="none"/>
          <w:shd w:val="clear" w:color="auto" w:fill="auto"/>
        </w:rPr>
        <w:t>分。</w:t>
      </w:r>
    </w:p>
    <w:p>
      <w:pPr>
        <w:keepNext w:val="0"/>
        <w:keepLines w:val="0"/>
        <w:pageBreakBefore w:val="0"/>
        <w:kinsoku/>
        <w:wordWrap/>
        <w:overflowPunct/>
        <w:topLinePunct w:val="0"/>
        <w:autoSpaceDE/>
        <w:autoSpaceDN/>
        <w:bidi w:val="0"/>
        <w:spacing w:line="420" w:lineRule="exact"/>
        <w:ind w:firstLine="405"/>
        <w:rPr>
          <w:rFonts w:hAnsi="Courier New" w:cs="Courier New"/>
          <w:b/>
          <w:bCs/>
          <w:color w:val="auto"/>
          <w:szCs w:val="21"/>
          <w:highlight w:val="none"/>
          <w:shd w:val="clear" w:color="auto" w:fill="auto"/>
        </w:rPr>
      </w:pPr>
      <w:r>
        <w:rPr>
          <w:rFonts w:hint="eastAsia" w:hAnsi="宋体" w:cs="宋体"/>
          <w:b/>
          <w:bCs/>
          <w:color w:val="auto"/>
          <w:spacing w:val="-2"/>
          <w:szCs w:val="21"/>
          <w:highlight w:val="none"/>
          <w:shd w:val="clear" w:color="auto" w:fill="auto"/>
        </w:rPr>
        <w:t>（</w:t>
      </w:r>
      <w:r>
        <w:rPr>
          <w:rFonts w:hint="eastAsia" w:cs="Courier New"/>
          <w:b/>
          <w:bCs/>
          <w:color w:val="auto"/>
          <w:spacing w:val="-2"/>
          <w:szCs w:val="21"/>
          <w:highlight w:val="none"/>
          <w:shd w:val="clear" w:color="auto" w:fill="auto"/>
        </w:rPr>
        <w:t>三</w:t>
      </w:r>
      <w:r>
        <w:rPr>
          <w:rFonts w:hint="eastAsia" w:hAnsi="宋体" w:cs="宋体"/>
          <w:b/>
          <w:bCs/>
          <w:color w:val="auto"/>
          <w:spacing w:val="-2"/>
          <w:szCs w:val="21"/>
          <w:highlight w:val="none"/>
          <w:shd w:val="clear" w:color="auto" w:fill="auto"/>
        </w:rPr>
        <w:t>）总得分</w:t>
      </w:r>
      <w:r>
        <w:rPr>
          <w:rFonts w:hint="eastAsia" w:eastAsia="Calibri" w:cs="Courier New"/>
          <w:b/>
          <w:bCs/>
          <w:color w:val="auto"/>
          <w:spacing w:val="-2"/>
          <w:szCs w:val="21"/>
          <w:highlight w:val="none"/>
          <w:shd w:val="clear" w:color="auto" w:fill="auto"/>
        </w:rPr>
        <w:t>=</w:t>
      </w:r>
      <w:r>
        <w:rPr>
          <w:rFonts w:hint="eastAsia" w:cs="Courier New"/>
          <w:color w:val="auto"/>
          <w:szCs w:val="21"/>
          <w:highlight w:val="none"/>
          <w:shd w:val="clear" w:color="auto" w:fill="auto"/>
        </w:rPr>
        <w:t xml:space="preserve"> </w:t>
      </w:r>
      <w:r>
        <w:rPr>
          <w:rFonts w:hint="eastAsia" w:cs="Courier New"/>
          <w:b/>
          <w:bCs/>
          <w:color w:val="auto"/>
          <w:szCs w:val="21"/>
          <w:highlight w:val="none"/>
          <w:shd w:val="clear" w:color="auto" w:fill="auto"/>
        </w:rPr>
        <w:t xml:space="preserve">1 + 2 + 3 </w:t>
      </w:r>
    </w:p>
    <w:p>
      <w:pPr>
        <w:keepNext w:val="0"/>
        <w:keepLines w:val="0"/>
        <w:pageBreakBefore w:val="0"/>
        <w:kinsoku/>
        <w:wordWrap/>
        <w:overflowPunct/>
        <w:topLinePunct w:val="0"/>
        <w:autoSpaceDE/>
        <w:autoSpaceDN/>
        <w:bidi w:val="0"/>
        <w:spacing w:line="420" w:lineRule="exact"/>
        <w:ind w:firstLine="421" w:firstLineChars="200"/>
        <w:rPr>
          <w:b/>
          <w:bCs/>
          <w:color w:val="auto"/>
          <w:highlight w:val="none"/>
          <w:shd w:val="clear" w:color="auto" w:fill="auto"/>
        </w:rPr>
      </w:pPr>
      <w:r>
        <w:rPr>
          <w:rFonts w:hint="eastAsia"/>
          <w:b/>
          <w:bCs/>
          <w:color w:val="auto"/>
          <w:highlight w:val="none"/>
          <w:shd w:val="clear" w:color="auto" w:fill="auto"/>
        </w:rPr>
        <w:t>三、中标候选人推荐原则</w:t>
      </w:r>
    </w:p>
    <w:p>
      <w:pPr>
        <w:keepNext w:val="0"/>
        <w:keepLines w:val="0"/>
        <w:pageBreakBefore w:val="0"/>
        <w:kinsoku/>
        <w:wordWrap/>
        <w:overflowPunct/>
        <w:topLinePunct w:val="0"/>
        <w:autoSpaceDE/>
        <w:autoSpaceDN/>
        <w:bidi w:val="0"/>
        <w:spacing w:line="420" w:lineRule="exact"/>
        <w:ind w:firstLine="420" w:firstLineChars="200"/>
        <w:jc w:val="left"/>
        <w:rPr>
          <w:rFonts w:hint="eastAsia"/>
          <w:bCs/>
          <w:color w:val="auto"/>
          <w:highlight w:val="none"/>
          <w:shd w:val="clear" w:color="auto" w:fill="auto"/>
        </w:rPr>
      </w:pPr>
      <w:r>
        <w:rPr>
          <w:rFonts w:hint="eastAsia"/>
          <w:bCs/>
          <w:color w:val="auto"/>
          <w:highlight w:val="none"/>
          <w:shd w:val="clear" w:color="auto" w:fill="auto"/>
        </w:rPr>
        <w:t>（一）评标委员会将根据得分由高到低排列次序（得分相同时，以投标报价由低到高顺序排列；得分相同且投标报价相同的，按技术指标优劣顺序排列）并推荐中标候选供应商。采购人应当确定评审委员会推荐排名第一的中标候选人为中标人。</w:t>
      </w:r>
    </w:p>
    <w:p>
      <w:pPr>
        <w:keepNext w:val="0"/>
        <w:keepLines w:val="0"/>
        <w:pageBreakBefore w:val="0"/>
        <w:kinsoku/>
        <w:wordWrap/>
        <w:overflowPunct/>
        <w:topLinePunct w:val="0"/>
        <w:autoSpaceDE/>
        <w:autoSpaceDN/>
        <w:bidi w:val="0"/>
        <w:spacing w:line="420" w:lineRule="exact"/>
        <w:ind w:firstLine="420" w:firstLineChars="200"/>
        <w:jc w:val="left"/>
        <w:rPr>
          <w:rFonts w:hint="eastAsia"/>
          <w:bCs/>
          <w:color w:val="auto"/>
          <w:highlight w:val="none"/>
          <w:shd w:val="clear" w:color="auto" w:fill="auto"/>
        </w:rPr>
      </w:pPr>
      <w:r>
        <w:rPr>
          <w:rFonts w:hint="eastAsia"/>
          <w:bCs/>
          <w:color w:val="auto"/>
          <w:highlight w:val="none"/>
          <w:shd w:val="clear" w:color="auto" w:fill="auto"/>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pPr>
        <w:keepNext w:val="0"/>
        <w:keepLines w:val="0"/>
        <w:pageBreakBefore w:val="0"/>
        <w:kinsoku/>
        <w:wordWrap/>
        <w:overflowPunct/>
        <w:topLinePunct w:val="0"/>
        <w:autoSpaceDE/>
        <w:autoSpaceDN/>
        <w:bidi w:val="0"/>
        <w:snapToGrid/>
        <w:spacing w:before="120" w:after="120" w:line="420" w:lineRule="exact"/>
        <w:ind w:firstLine="420" w:firstLineChars="200"/>
        <w:jc w:val="left"/>
        <w:outlineLvl w:val="0"/>
        <w:rPr>
          <w:rFonts w:hint="eastAsia" w:ascii="黑体" w:eastAsia="黑体"/>
          <w:b/>
          <w:color w:val="auto"/>
          <w:sz w:val="44"/>
          <w:szCs w:val="44"/>
          <w:highlight w:val="none"/>
          <w:shd w:val="clear" w:color="auto" w:fill="auto"/>
        </w:rPr>
      </w:pPr>
      <w:r>
        <w:rPr>
          <w:rFonts w:hint="eastAsia"/>
          <w:bCs/>
          <w:color w:val="auto"/>
          <w:highlight w:val="none"/>
          <w:shd w:val="clear" w:color="auto" w:fill="auto"/>
        </w:rPr>
        <w:t>（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r>
        <w:rPr>
          <w:rFonts w:ascii="黑体" w:eastAsia="黑体"/>
          <w:b/>
          <w:color w:val="auto"/>
          <w:sz w:val="44"/>
          <w:szCs w:val="44"/>
          <w:highlight w:val="none"/>
          <w:shd w:val="clear" w:color="auto" w:fill="auto"/>
        </w:rPr>
        <w:br w:type="page"/>
      </w:r>
    </w:p>
    <w:p>
      <w:pPr>
        <w:spacing w:line="340" w:lineRule="exact"/>
        <w:ind w:firstLine="642" w:firstLineChars="200"/>
        <w:jc w:val="center"/>
        <w:rPr>
          <w:rFonts w:hint="default" w:ascii="仿宋_GB2312" w:hAnsi="宋体" w:eastAsia="仿宋_GB2312"/>
          <w:b/>
          <w:color w:val="auto"/>
          <w:sz w:val="32"/>
          <w:szCs w:val="32"/>
          <w:highlight w:val="none"/>
          <w:shd w:val="clear" w:color="auto" w:fill="auto"/>
          <w:lang w:val="en" w:eastAsia="zh-CN"/>
        </w:rPr>
      </w:pPr>
      <w:r>
        <w:rPr>
          <w:rFonts w:hint="default" w:ascii="仿宋_GB2312" w:hAnsi="宋体" w:eastAsia="仿宋_GB2312"/>
          <w:b/>
          <w:color w:val="auto"/>
          <w:sz w:val="32"/>
          <w:szCs w:val="32"/>
          <w:highlight w:val="none"/>
          <w:shd w:val="clear" w:color="auto" w:fill="auto"/>
          <w:lang w:val="en"/>
        </w:rPr>
        <w:t>评标办法及评分标准</w:t>
      </w:r>
    </w:p>
    <w:p>
      <w:pPr>
        <w:pStyle w:val="29"/>
        <w:snapToGrid w:val="0"/>
        <w:spacing w:before="120" w:after="120"/>
        <w:jc w:val="center"/>
        <w:outlineLvl w:val="0"/>
        <w:rPr>
          <w:rFonts w:hint="eastAsia" w:ascii="黑体" w:eastAsia="仿宋_GB2312"/>
          <w:b/>
          <w:color w:val="auto"/>
          <w:sz w:val="24"/>
          <w:szCs w:val="24"/>
          <w:highlight w:val="none"/>
          <w:u w:val="single"/>
          <w:shd w:val="clear" w:color="auto" w:fill="auto"/>
          <w:lang w:eastAsia="zh-CN"/>
        </w:rPr>
      </w:pPr>
      <w:r>
        <w:rPr>
          <w:rFonts w:hint="eastAsia" w:ascii="仿宋_GB2312" w:hAnsi="宋体" w:eastAsia="仿宋_GB2312"/>
          <w:b/>
          <w:color w:val="auto"/>
          <w:sz w:val="24"/>
          <w:szCs w:val="24"/>
          <w:highlight w:val="none"/>
          <w:u w:val="single"/>
          <w:shd w:val="clear" w:color="auto" w:fill="auto"/>
          <w:lang w:eastAsia="zh-CN"/>
        </w:rPr>
        <w:t>（适用</w:t>
      </w:r>
      <w:r>
        <w:rPr>
          <w:rFonts w:hint="eastAsia" w:ascii="仿宋_GB2312" w:hAnsi="宋体" w:eastAsia="仿宋_GB2312"/>
          <w:b/>
          <w:color w:val="auto"/>
          <w:sz w:val="24"/>
          <w:szCs w:val="24"/>
          <w:highlight w:val="none"/>
          <w:u w:val="single"/>
          <w:shd w:val="clear" w:color="auto" w:fill="auto"/>
          <w:lang w:val="en-US" w:eastAsia="zh-CN"/>
        </w:rPr>
        <w:t>分标3</w:t>
      </w:r>
      <w:r>
        <w:rPr>
          <w:rFonts w:hint="eastAsia" w:ascii="仿宋_GB2312" w:hAnsi="宋体" w:eastAsia="仿宋_GB2312"/>
          <w:b/>
          <w:color w:val="auto"/>
          <w:sz w:val="24"/>
          <w:szCs w:val="24"/>
          <w:highlight w:val="none"/>
          <w:u w:val="single"/>
          <w:shd w:val="clear" w:color="auto" w:fill="auto"/>
          <w:lang w:eastAsia="zh-CN"/>
        </w:rPr>
        <w:t>）</w:t>
      </w:r>
    </w:p>
    <w:p>
      <w:pPr>
        <w:spacing w:line="360" w:lineRule="exact"/>
        <w:jc w:val="center"/>
        <w:rPr>
          <w:rFonts w:hAnsi="宋体"/>
          <w:b/>
          <w:dstrike/>
          <w:color w:val="auto"/>
          <w:sz w:val="28"/>
          <w:szCs w:val="28"/>
          <w:highlight w:val="none"/>
          <w:shd w:val="clear" w:color="auto" w:fill="auto"/>
        </w:rPr>
      </w:pPr>
    </w:p>
    <w:p>
      <w:pPr>
        <w:pStyle w:val="29"/>
        <w:pageBreakBefore w:val="0"/>
        <w:kinsoku/>
        <w:overflowPunct/>
        <w:topLinePunct w:val="0"/>
        <w:autoSpaceDE/>
        <w:autoSpaceDN/>
        <w:bidi w:val="0"/>
        <w:spacing w:line="420" w:lineRule="exact"/>
        <w:ind w:firstLine="516" w:firstLineChars="245"/>
        <w:rPr>
          <w:rFonts w:hint="eastAsia" w:hAnsi="宋体"/>
          <w:b/>
          <w:color w:val="auto"/>
          <w:highlight w:val="none"/>
          <w:shd w:val="clear" w:color="auto" w:fill="auto"/>
        </w:rPr>
      </w:pPr>
      <w:r>
        <w:rPr>
          <w:rFonts w:hint="eastAsia" w:hAnsi="宋体"/>
          <w:b/>
          <w:color w:val="auto"/>
          <w:highlight w:val="none"/>
          <w:shd w:val="clear" w:color="auto" w:fill="auto"/>
        </w:rPr>
        <w:t>一、评标原则</w:t>
      </w:r>
    </w:p>
    <w:p>
      <w:pPr>
        <w:pStyle w:val="29"/>
        <w:pageBreakBefore w:val="0"/>
        <w:kinsoku/>
        <w:overflowPunct/>
        <w:topLinePunct w:val="0"/>
        <w:autoSpaceDE/>
        <w:autoSpaceDN/>
        <w:bidi w:val="0"/>
        <w:spacing w:line="420" w:lineRule="exact"/>
        <w:ind w:firstLine="483" w:firstLineChars="230"/>
        <w:rPr>
          <w:rFonts w:hint="eastAsia" w:hAnsi="宋体"/>
          <w:bCs/>
          <w:color w:val="auto"/>
          <w:szCs w:val="20"/>
          <w:highlight w:val="none"/>
          <w:shd w:val="clear" w:color="auto" w:fill="auto"/>
        </w:rPr>
      </w:pPr>
      <w:r>
        <w:rPr>
          <w:rFonts w:hint="eastAsia" w:hAnsi="宋体"/>
          <w:bCs/>
          <w:color w:val="auto"/>
          <w:highlight w:val="none"/>
          <w:shd w:val="clear" w:color="auto" w:fill="auto"/>
        </w:rPr>
        <w:t>(一)评委组成：本招标采购项目的</w:t>
      </w:r>
      <w:r>
        <w:rPr>
          <w:rFonts w:hint="eastAsia"/>
          <w:color w:val="auto"/>
          <w:spacing w:val="-4"/>
          <w:highlight w:val="none"/>
          <w:shd w:val="clear" w:color="auto" w:fill="auto"/>
        </w:rPr>
        <w:t>评标委员会由采购人代表和评审专家组成，成员人数应当为5人以上单数，其中评审专家不得少于成员总数的三分之二。</w:t>
      </w:r>
    </w:p>
    <w:p>
      <w:pPr>
        <w:pStyle w:val="29"/>
        <w:pageBreakBefore w:val="0"/>
        <w:kinsoku/>
        <w:overflowPunct/>
        <w:topLinePunct w:val="0"/>
        <w:autoSpaceDE/>
        <w:autoSpaceDN/>
        <w:bidi w:val="0"/>
        <w:spacing w:line="420" w:lineRule="exact"/>
        <w:ind w:firstLine="499" w:firstLineChars="238"/>
        <w:rPr>
          <w:rFonts w:hint="eastAsia" w:hAnsi="宋体"/>
          <w:bCs/>
          <w:color w:val="auto"/>
          <w:highlight w:val="none"/>
          <w:shd w:val="clear" w:color="auto" w:fill="auto"/>
        </w:rPr>
      </w:pPr>
      <w:r>
        <w:rPr>
          <w:rFonts w:hint="eastAsia" w:hAnsi="宋体"/>
          <w:bCs/>
          <w:color w:val="auto"/>
          <w:highlight w:val="none"/>
          <w:shd w:val="clear" w:color="auto" w:fill="auto"/>
        </w:rPr>
        <w:t>(二)评标依据：</w:t>
      </w:r>
      <w:r>
        <w:rPr>
          <w:rFonts w:hAnsi="宋体"/>
          <w:bCs/>
          <w:color w:val="auto"/>
          <w:highlight w:val="none"/>
          <w:shd w:val="clear" w:color="auto" w:fill="auto"/>
        </w:rPr>
        <w:t>评委将以招投标文件为评标依据，对投标人的投标内容按百分制打分。</w:t>
      </w:r>
    </w:p>
    <w:p>
      <w:pPr>
        <w:pStyle w:val="29"/>
        <w:pageBreakBefore w:val="0"/>
        <w:kinsoku/>
        <w:overflowPunct/>
        <w:topLinePunct w:val="0"/>
        <w:autoSpaceDE/>
        <w:autoSpaceDN/>
        <w:bidi w:val="0"/>
        <w:spacing w:line="420" w:lineRule="exact"/>
        <w:ind w:firstLine="510" w:firstLineChars="243"/>
        <w:rPr>
          <w:rFonts w:hint="eastAsia" w:hAnsi="宋体"/>
          <w:bCs/>
          <w:color w:val="auto"/>
          <w:highlight w:val="none"/>
          <w:shd w:val="clear" w:color="auto" w:fill="auto"/>
        </w:rPr>
      </w:pPr>
      <w:r>
        <w:rPr>
          <w:rFonts w:hint="eastAsia" w:hAnsi="宋体"/>
          <w:bCs/>
          <w:color w:val="auto"/>
          <w:highlight w:val="none"/>
          <w:shd w:val="clear" w:color="auto" w:fill="auto"/>
        </w:rPr>
        <w:t>(三)评标方式：以封闭方式进行。</w:t>
      </w:r>
    </w:p>
    <w:p>
      <w:pPr>
        <w:pStyle w:val="29"/>
        <w:pageBreakBefore w:val="0"/>
        <w:kinsoku/>
        <w:overflowPunct/>
        <w:topLinePunct w:val="0"/>
        <w:autoSpaceDE/>
        <w:autoSpaceDN/>
        <w:bidi w:val="0"/>
        <w:spacing w:line="420" w:lineRule="exact"/>
        <w:ind w:firstLine="510" w:firstLineChars="243"/>
        <w:rPr>
          <w:rFonts w:hint="eastAsia" w:hAnsi="宋体"/>
          <w:b/>
          <w:color w:val="auto"/>
          <w:highlight w:val="none"/>
          <w:shd w:val="clear" w:color="auto" w:fill="auto"/>
        </w:rPr>
      </w:pPr>
      <w:r>
        <w:rPr>
          <w:rFonts w:hint="eastAsia" w:hAnsi="宋体"/>
          <w:bCs/>
          <w:color w:val="auto"/>
          <w:highlight w:val="none"/>
          <w:shd w:val="clear" w:color="auto" w:fill="auto"/>
        </w:rPr>
        <w:t>二</w:t>
      </w:r>
      <w:r>
        <w:rPr>
          <w:rFonts w:hint="eastAsia" w:hAnsi="宋体"/>
          <w:b/>
          <w:color w:val="auto"/>
          <w:highlight w:val="none"/>
          <w:shd w:val="clear" w:color="auto" w:fill="auto"/>
        </w:rPr>
        <w:t>、评标方法</w:t>
      </w:r>
    </w:p>
    <w:p>
      <w:pPr>
        <w:pStyle w:val="29"/>
        <w:pageBreakBefore w:val="0"/>
        <w:kinsoku/>
        <w:overflowPunct/>
        <w:topLinePunct w:val="0"/>
        <w:autoSpaceDE/>
        <w:autoSpaceDN/>
        <w:bidi w:val="0"/>
        <w:spacing w:line="420" w:lineRule="exact"/>
        <w:ind w:firstLine="420" w:firstLineChars="200"/>
        <w:outlineLvl w:val="0"/>
        <w:rPr>
          <w:rFonts w:hint="eastAsia" w:hAnsi="宋体"/>
          <w:color w:val="auto"/>
          <w:highlight w:val="none"/>
          <w:shd w:val="clear" w:color="auto" w:fill="auto"/>
        </w:rPr>
      </w:pPr>
      <w:r>
        <w:rPr>
          <w:rFonts w:hint="eastAsia" w:hAnsi="宋体"/>
          <w:color w:val="auto"/>
          <w:highlight w:val="none"/>
          <w:shd w:val="clear" w:color="auto" w:fill="auto"/>
        </w:rPr>
        <w:t>（一）对进入详评的，采用百分制综合评分法。</w:t>
      </w:r>
    </w:p>
    <w:p>
      <w:pPr>
        <w:pStyle w:val="29"/>
        <w:pageBreakBefore w:val="0"/>
        <w:kinsoku/>
        <w:overflowPunct/>
        <w:topLinePunct w:val="0"/>
        <w:autoSpaceDE/>
        <w:autoSpaceDN/>
        <w:bidi w:val="0"/>
        <w:spacing w:line="420" w:lineRule="exact"/>
        <w:ind w:firstLine="420" w:firstLineChars="200"/>
        <w:outlineLvl w:val="0"/>
        <w:rPr>
          <w:rFonts w:hint="eastAsia" w:hAnsi="宋体"/>
          <w:color w:val="auto"/>
          <w:highlight w:val="none"/>
          <w:shd w:val="clear" w:color="auto" w:fill="auto"/>
        </w:rPr>
      </w:pPr>
      <w:r>
        <w:rPr>
          <w:rFonts w:hint="eastAsia" w:hAnsi="宋体"/>
          <w:color w:val="auto"/>
          <w:highlight w:val="none"/>
          <w:shd w:val="clear" w:color="auto" w:fill="auto"/>
        </w:rPr>
        <w:t>（二）计分办法（按四舍五入取至百分位）：</w:t>
      </w:r>
    </w:p>
    <w:p>
      <w:pPr>
        <w:pStyle w:val="29"/>
        <w:pageBreakBefore w:val="0"/>
        <w:kinsoku/>
        <w:overflowPunct/>
        <w:topLinePunct w:val="0"/>
        <w:autoSpaceDE/>
        <w:autoSpaceDN/>
        <w:bidi w:val="0"/>
        <w:spacing w:line="420" w:lineRule="exact"/>
        <w:ind w:firstLine="501" w:firstLineChars="238"/>
        <w:rPr>
          <w:b/>
          <w:color w:val="auto"/>
          <w:highlight w:val="none"/>
          <w:shd w:val="clear" w:color="auto" w:fill="auto"/>
        </w:rPr>
      </w:pPr>
      <w:r>
        <w:rPr>
          <w:rFonts w:hint="eastAsia"/>
          <w:b/>
          <w:color w:val="auto"/>
          <w:highlight w:val="none"/>
          <w:shd w:val="clear" w:color="auto" w:fill="auto"/>
          <w:lang w:val="en-US" w:eastAsia="zh-CN"/>
        </w:rPr>
        <w:t xml:space="preserve"> </w:t>
      </w:r>
      <w:r>
        <w:rPr>
          <w:rFonts w:hint="eastAsia"/>
          <w:b/>
          <w:color w:val="auto"/>
          <w:highlight w:val="none"/>
          <w:shd w:val="clear" w:color="auto" w:fill="auto"/>
        </w:rPr>
        <w:t>1</w:t>
      </w:r>
      <w:r>
        <w:rPr>
          <w:rFonts w:hint="eastAsia"/>
          <w:b/>
          <w:color w:val="auto"/>
          <w:highlight w:val="none"/>
          <w:shd w:val="clear" w:color="auto" w:fill="auto"/>
          <w:lang w:eastAsia="zh-CN"/>
        </w:rPr>
        <w:t>、</w:t>
      </w:r>
      <w:r>
        <w:rPr>
          <w:rFonts w:hint="eastAsia"/>
          <w:b/>
          <w:color w:val="auto"/>
          <w:highlight w:val="none"/>
          <w:shd w:val="clear" w:color="auto" w:fill="auto"/>
        </w:rPr>
        <w:t>价格分</w:t>
      </w:r>
      <w:r>
        <w:rPr>
          <w:rFonts w:hint="eastAsia" w:hAnsi="宋体"/>
          <w:b/>
          <w:bCs/>
          <w:color w:val="auto"/>
          <w:spacing w:val="-8"/>
          <w:highlight w:val="none"/>
          <w:shd w:val="clear" w:color="auto" w:fill="auto"/>
        </w:rPr>
        <w:t>………………………………………………………………………………………</w:t>
      </w:r>
      <w:r>
        <w:rPr>
          <w:rFonts w:hint="eastAsia"/>
          <w:b/>
          <w:color w:val="auto"/>
          <w:highlight w:val="none"/>
          <w:shd w:val="clear" w:color="auto" w:fill="auto"/>
        </w:rPr>
        <w:t>30分</w:t>
      </w:r>
    </w:p>
    <w:p>
      <w:pPr>
        <w:pStyle w:val="29"/>
        <w:pageBreakBefore w:val="0"/>
        <w:kinsoku/>
        <w:overflowPunct/>
        <w:topLinePunct w:val="0"/>
        <w:autoSpaceDE/>
        <w:autoSpaceDN/>
        <w:bidi w:val="0"/>
        <w:spacing w:line="42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（1）</w:t>
      </w:r>
      <w:r>
        <w:rPr>
          <w:rFonts w:hint="eastAsia" w:hAnsi="宋体" w:cs="宋体"/>
          <w:color w:val="auto"/>
          <w:kern w:val="0"/>
          <w:highlight w:val="none"/>
          <w:shd w:val="clear" w:color="auto" w:fill="auto"/>
        </w:rPr>
        <w:t>符合《政府采购促进中小企业发展管理办法》（财库〔2020〕46号）规定条件且按该办法中规定的格式提供了《中小企业声明函》的小型和微型企业。对其投标价给予10%的扣除，扣除后的价格为评标价，即评标价=投标价×（1-10%）；除上述情况外，评标价=投标价</w:t>
      </w:r>
      <w:r>
        <w:rPr>
          <w:rFonts w:hint="eastAsia" w:hAnsi="宋体"/>
          <w:color w:val="auto"/>
          <w:highlight w:val="none"/>
          <w:shd w:val="clear" w:color="auto" w:fill="auto"/>
        </w:rPr>
        <w:t>。</w:t>
      </w:r>
    </w:p>
    <w:p>
      <w:pPr>
        <w:pStyle w:val="29"/>
        <w:pageBreakBefore w:val="0"/>
        <w:kinsoku/>
        <w:overflowPunct/>
        <w:topLinePunct w:val="0"/>
        <w:autoSpaceDE/>
        <w:autoSpaceDN/>
        <w:bidi w:val="0"/>
        <w:spacing w:line="420" w:lineRule="exact"/>
        <w:ind w:firstLine="420" w:firstLineChars="200"/>
        <w:outlineLvl w:val="0"/>
        <w:rPr>
          <w:color w:val="auto"/>
          <w:highlight w:val="none"/>
          <w:shd w:val="clear" w:color="auto" w:fill="auto"/>
        </w:rPr>
      </w:pPr>
      <w:r>
        <w:rPr>
          <w:rFonts w:hint="eastAsia" w:hAnsi="宋体" w:cs="宋体"/>
          <w:color w:val="auto"/>
          <w:kern w:val="0"/>
          <w:highlight w:val="none"/>
          <w:shd w:val="clear" w:color="auto" w:fill="auto"/>
        </w:rPr>
        <w:t>投标产品生产企业</w:t>
      </w:r>
      <w:r>
        <w:rPr>
          <w:rFonts w:hint="eastAsia"/>
          <w:color w:val="auto"/>
          <w:highlight w:val="none"/>
          <w:shd w:val="clear" w:color="auto" w:fill="auto"/>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9"/>
        <w:pageBreakBefore w:val="0"/>
        <w:kinsoku/>
        <w:overflowPunct/>
        <w:topLinePunct w:val="0"/>
        <w:autoSpaceDE/>
        <w:autoSpaceDN/>
        <w:bidi w:val="0"/>
        <w:spacing w:line="420" w:lineRule="exact"/>
        <w:ind w:firstLine="420" w:firstLineChars="200"/>
        <w:outlineLvl w:val="0"/>
        <w:rPr>
          <w:color w:val="auto"/>
          <w:highlight w:val="none"/>
          <w:shd w:val="clear" w:color="auto" w:fill="auto"/>
        </w:rPr>
      </w:pPr>
      <w:r>
        <w:rPr>
          <w:rFonts w:hint="eastAsia"/>
          <w:color w:val="auto"/>
          <w:highlight w:val="none"/>
          <w:shd w:val="clear" w:color="auto" w:fill="auto"/>
        </w:rPr>
        <w:t>投标</w:t>
      </w:r>
      <w:r>
        <w:rPr>
          <w:rFonts w:hint="eastAsia"/>
          <w:b w:val="0"/>
          <w:color w:val="auto"/>
          <w:sz w:val="22"/>
          <w:szCs w:val="22"/>
          <w:highlight w:val="none"/>
          <w:shd w:val="clear" w:color="auto" w:fill="auto"/>
        </w:rPr>
        <w:t>产品</w:t>
      </w:r>
      <w:r>
        <w:rPr>
          <w:rFonts w:hint="eastAsia"/>
          <w:color w:val="auto"/>
          <w:highlight w:val="none"/>
          <w:shd w:val="clear" w:color="auto" w:fill="auto"/>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9"/>
        <w:pageBreakBefore w:val="0"/>
        <w:kinsoku/>
        <w:overflowPunct/>
        <w:topLinePunct w:val="0"/>
        <w:autoSpaceDE/>
        <w:autoSpaceDN/>
        <w:bidi w:val="0"/>
        <w:spacing w:line="420" w:lineRule="exact"/>
        <w:ind w:firstLine="210" w:firstLineChars="100"/>
        <w:outlineLvl w:val="0"/>
        <w:rPr>
          <w:rFonts w:hint="eastAsia" w:hAnsi="宋体"/>
          <w:color w:val="auto"/>
          <w:highlight w:val="none"/>
          <w:shd w:val="clear" w:color="auto" w:fill="auto"/>
        </w:rPr>
      </w:pPr>
      <w:r>
        <w:rPr>
          <w:rFonts w:hint="eastAsia" w:hAnsi="宋体"/>
          <w:color w:val="auto"/>
          <w:highlight w:val="none"/>
          <w:shd w:val="clear" w:color="auto" w:fill="auto"/>
        </w:rPr>
        <w:t xml:space="preserve"> （2）以</w:t>
      </w:r>
      <w:r>
        <w:rPr>
          <w:rFonts w:hint="eastAsia"/>
          <w:color w:val="auto"/>
          <w:highlight w:val="none"/>
          <w:shd w:val="clear" w:color="auto" w:fill="auto"/>
        </w:rPr>
        <w:t>满足招标文件要求且评标价最低的投标人的评标价为评标基准价，其价格分为</w:t>
      </w:r>
      <w:r>
        <w:rPr>
          <w:rFonts w:hint="eastAsia" w:hAnsi="宋体" w:cs="宋体"/>
          <w:b/>
          <w:color w:val="auto"/>
          <w:highlight w:val="none"/>
          <w:shd w:val="clear" w:color="auto" w:fill="auto"/>
        </w:rPr>
        <w:t>30</w:t>
      </w:r>
      <w:r>
        <w:rPr>
          <w:rFonts w:hint="eastAsia" w:hAnsi="宋体" w:cs="宋体"/>
          <w:color w:val="auto"/>
          <w:szCs w:val="24"/>
          <w:highlight w:val="none"/>
          <w:shd w:val="clear" w:color="auto" w:fill="auto"/>
        </w:rPr>
        <w:t>分</w:t>
      </w:r>
      <w:r>
        <w:rPr>
          <w:rFonts w:hint="eastAsia" w:ascii="Times New Roman" w:hAnsi="Times New Roman"/>
          <w:color w:val="auto"/>
          <w:szCs w:val="24"/>
          <w:highlight w:val="none"/>
          <w:shd w:val="clear" w:color="auto" w:fill="auto"/>
        </w:rPr>
        <w:t>。</w:t>
      </w:r>
    </w:p>
    <w:p>
      <w:pPr>
        <w:pStyle w:val="29"/>
        <w:pageBreakBefore w:val="0"/>
        <w:kinsoku/>
        <w:overflowPunct/>
        <w:topLinePunct w:val="0"/>
        <w:autoSpaceDE/>
        <w:autoSpaceDN/>
        <w:bidi w:val="0"/>
        <w:spacing w:line="420" w:lineRule="exact"/>
        <w:outlineLvl w:val="0"/>
        <w:rPr>
          <w:rFonts w:hint="eastAsia" w:eastAsia="宋体"/>
          <w:b/>
          <w:color w:val="auto"/>
          <w:highlight w:val="none"/>
          <w:shd w:val="clear" w:color="auto" w:fill="auto"/>
          <w:lang w:eastAsia="zh-CN"/>
        </w:rPr>
      </w:pPr>
      <w:r>
        <w:rPr>
          <w:rFonts w:hint="eastAsia"/>
          <w:b/>
          <w:bCs/>
          <w:color w:val="auto"/>
          <w:highlight w:val="none"/>
          <w:shd w:val="clear" w:color="auto" w:fill="auto"/>
          <w:lang w:val="en-US" w:eastAsia="zh-CN"/>
        </w:rPr>
        <w:t xml:space="preserve">   </w:t>
      </w:r>
      <w:r>
        <w:rPr>
          <w:rFonts w:hint="eastAsia"/>
          <w:b/>
          <w:bCs/>
          <w:color w:val="auto"/>
          <w:highlight w:val="none"/>
          <w:shd w:val="clear" w:color="auto" w:fill="auto"/>
          <w:lang w:eastAsia="zh-CN"/>
        </w:rPr>
        <w:t>（</w:t>
      </w:r>
      <w:r>
        <w:rPr>
          <w:rFonts w:hint="eastAsia"/>
          <w:b/>
          <w:bCs/>
          <w:color w:val="auto"/>
          <w:highlight w:val="none"/>
          <w:shd w:val="clear" w:color="auto" w:fill="auto"/>
          <w:lang w:val="en-US" w:eastAsia="zh-CN"/>
        </w:rPr>
        <w:t>3</w:t>
      </w:r>
      <w:r>
        <w:rPr>
          <w:rFonts w:hint="eastAsia"/>
          <w:b/>
          <w:bCs/>
          <w:color w:val="auto"/>
          <w:highlight w:val="none"/>
          <w:shd w:val="clear" w:color="auto" w:fill="auto"/>
          <w:lang w:eastAsia="zh-CN"/>
        </w:rPr>
        <w:t>）</w:t>
      </w:r>
      <w:r>
        <w:rPr>
          <w:rFonts w:hint="eastAsia"/>
          <w:b/>
          <w:bCs/>
          <w:color w:val="auto"/>
          <w:highlight w:val="none"/>
          <w:shd w:val="clear" w:color="auto" w:fill="auto"/>
        </w:rPr>
        <w:t>某投标人价格分</w:t>
      </w:r>
      <w:r>
        <w:rPr>
          <w:rFonts w:hint="eastAsia"/>
          <w:b/>
          <w:color w:val="auto"/>
          <w:highlight w:val="none"/>
          <w:shd w:val="clear" w:color="auto" w:fill="auto"/>
        </w:rPr>
        <w:t xml:space="preserve"> =评标基准价（金额）/某投标人报价（金额）×30分</w:t>
      </w:r>
      <w:r>
        <w:rPr>
          <w:rFonts w:hint="eastAsia"/>
          <w:b/>
          <w:color w:val="auto"/>
          <w:highlight w:val="none"/>
          <w:shd w:val="clear" w:color="auto" w:fill="auto"/>
          <w:lang w:eastAsia="zh-CN"/>
        </w:rPr>
        <w:t>。</w:t>
      </w:r>
    </w:p>
    <w:p>
      <w:pPr>
        <w:pStyle w:val="29"/>
        <w:pageBreakBefore w:val="0"/>
        <w:numPr>
          <w:ilvl w:val="-1"/>
          <w:numId w:val="0"/>
        </w:numPr>
        <w:kinsoku/>
        <w:overflowPunct/>
        <w:topLinePunct w:val="0"/>
        <w:autoSpaceDE/>
        <w:autoSpaceDN/>
        <w:bidi w:val="0"/>
        <w:spacing w:line="420" w:lineRule="exact"/>
        <w:ind w:firstLine="0" w:firstLineChars="0"/>
        <w:rPr>
          <w:b/>
          <w:color w:val="auto"/>
          <w:highlight w:val="none"/>
          <w:shd w:val="clear" w:color="auto" w:fill="auto"/>
        </w:rPr>
      </w:pPr>
      <w:r>
        <w:rPr>
          <w:rFonts w:hint="eastAsia" w:hAnsi="宋体"/>
          <w:b/>
          <w:color w:val="auto"/>
          <w:highlight w:val="none"/>
          <w:shd w:val="clear" w:color="auto" w:fill="auto"/>
          <w:lang w:val="en-US" w:eastAsia="zh-CN"/>
        </w:rPr>
        <w:t xml:space="preserve">     2、</w:t>
      </w:r>
      <w:r>
        <w:rPr>
          <w:rFonts w:hAnsi="宋体"/>
          <w:b/>
          <w:color w:val="auto"/>
          <w:highlight w:val="none"/>
          <w:shd w:val="clear" w:color="auto" w:fill="auto"/>
          <w:lang w:val="en"/>
        </w:rPr>
        <w:t>技术分</w:t>
      </w:r>
      <w:r>
        <w:rPr>
          <w:rFonts w:hint="eastAsia" w:hAnsi="宋体"/>
          <w:b/>
          <w:color w:val="auto"/>
          <w:highlight w:val="none"/>
          <w:shd w:val="clear" w:color="auto" w:fill="auto"/>
        </w:rPr>
        <w:t xml:space="preserve"> </w:t>
      </w:r>
      <w:r>
        <w:rPr>
          <w:rFonts w:hint="eastAsia" w:hAnsi="宋体"/>
          <w:b/>
          <w:bCs/>
          <w:color w:val="auto"/>
          <w:spacing w:val="-8"/>
          <w:highlight w:val="none"/>
          <w:shd w:val="clear" w:color="auto" w:fill="auto"/>
        </w:rPr>
        <w:t>………………………………………………………………………………………</w:t>
      </w:r>
      <w:r>
        <w:rPr>
          <w:rFonts w:hint="eastAsia" w:hAnsi="宋体"/>
          <w:b/>
          <w:bCs/>
          <w:color w:val="auto"/>
          <w:spacing w:val="-8"/>
          <w:highlight w:val="none"/>
          <w:shd w:val="clear" w:color="auto" w:fill="auto"/>
          <w:lang w:val="en-US" w:eastAsia="zh-CN"/>
        </w:rPr>
        <w:t>52</w:t>
      </w:r>
      <w:r>
        <w:rPr>
          <w:rFonts w:hint="eastAsia"/>
          <w:b/>
          <w:color w:val="auto"/>
          <w:highlight w:val="none"/>
          <w:shd w:val="clear" w:color="auto" w:fill="auto"/>
        </w:rPr>
        <w:t>分</w:t>
      </w:r>
    </w:p>
    <w:p>
      <w:pPr>
        <w:pageBreakBefore w:val="0"/>
        <w:kinsoku/>
        <w:overflowPunct/>
        <w:topLinePunct w:val="0"/>
        <w:autoSpaceDE/>
        <w:autoSpaceDN/>
        <w:bidi w:val="0"/>
        <w:adjustRightInd w:val="0"/>
        <w:spacing w:line="420" w:lineRule="exact"/>
        <w:ind w:firstLine="421" w:firstLineChars="200"/>
        <w:textAlignment w:val="baseline"/>
        <w:rPr>
          <w:rFonts w:hint="eastAsia" w:ascii="汉仪书宋二S" w:hAnsi="汉仪书宋二S" w:eastAsia="汉仪书宋二S" w:cs="汉仪书宋二S"/>
          <w:b/>
          <w:color w:val="auto"/>
          <w:szCs w:val="21"/>
          <w:highlight w:val="none"/>
          <w:shd w:val="clear" w:color="auto" w:fill="auto"/>
          <w:lang w:val="en-US" w:eastAsia="zh-CN"/>
        </w:rPr>
      </w:pPr>
      <w:r>
        <w:rPr>
          <w:rFonts w:hint="eastAsia" w:ascii="汉仪书宋二S" w:hAnsi="汉仪书宋二S" w:eastAsia="汉仪书宋二S" w:cs="汉仪书宋二S"/>
          <w:b/>
          <w:color w:val="auto"/>
          <w:szCs w:val="21"/>
          <w:highlight w:val="none"/>
          <w:shd w:val="clear" w:color="auto" w:fill="auto"/>
          <w:lang w:val="en-US" w:eastAsia="zh-CN"/>
        </w:rPr>
        <w:t>（1）技术性能及配置分（满分18分）</w:t>
      </w:r>
    </w:p>
    <w:p>
      <w:pPr>
        <w:pageBreakBefore w:val="0"/>
        <w:kinsoku/>
        <w:overflowPunct/>
        <w:topLinePunct w:val="0"/>
        <w:autoSpaceDE/>
        <w:autoSpaceDN/>
        <w:bidi w:val="0"/>
        <w:adjustRightInd w:val="0"/>
        <w:spacing w:line="420" w:lineRule="exact"/>
        <w:ind w:firstLine="420" w:firstLineChars="200"/>
        <w:textAlignment w:val="baseline"/>
        <w:rPr>
          <w:rFonts w:ascii="宋体" w:hAnsi="宋体"/>
          <w:bCs/>
          <w:color w:val="auto"/>
          <w:szCs w:val="21"/>
          <w:highlight w:val="none"/>
          <w:shd w:val="clear" w:color="auto" w:fill="auto"/>
        </w:rPr>
      </w:pPr>
      <w:r>
        <w:rPr>
          <w:rFonts w:hint="eastAsia" w:asciiTheme="majorEastAsia" w:hAnsiTheme="majorEastAsia" w:eastAsiaTheme="majorEastAsia" w:cstheme="majorEastAsia"/>
          <w:color w:val="auto"/>
          <w:kern w:val="2"/>
          <w:sz w:val="21"/>
          <w:szCs w:val="21"/>
          <w:highlight w:val="none"/>
          <w:shd w:val="clear" w:color="auto" w:fill="auto"/>
          <w:lang w:val="en-US" w:eastAsia="zh-CN" w:bidi="ar-SA"/>
        </w:rPr>
        <w:t>采购需求一览表中标注“★ ”的技术参数每有一项正偏离的得2分，满分18分。</w:t>
      </w:r>
    </w:p>
    <w:p>
      <w:pPr>
        <w:pageBreakBefore w:val="0"/>
        <w:kinsoku/>
        <w:overflowPunct/>
        <w:topLinePunct w:val="0"/>
        <w:autoSpaceDE/>
        <w:autoSpaceDN/>
        <w:bidi w:val="0"/>
        <w:adjustRightInd w:val="0"/>
        <w:spacing w:line="420" w:lineRule="exact"/>
        <w:textAlignment w:val="baseline"/>
        <w:rPr>
          <w:rFonts w:ascii="汉仪书宋二S" w:hAnsi="汉仪书宋二S" w:eastAsia="汉仪书宋二S" w:cs="汉仪书宋二S"/>
          <w:b/>
          <w:bCs/>
          <w:color w:val="auto"/>
          <w:szCs w:val="21"/>
          <w:highlight w:val="none"/>
          <w:shd w:val="clear" w:color="auto" w:fill="auto"/>
        </w:rPr>
      </w:pPr>
      <w:r>
        <w:rPr>
          <w:rFonts w:hint="eastAsia" w:ascii="宋体" w:hAnsi="宋体"/>
          <w:bCs/>
          <w:color w:val="auto"/>
          <w:szCs w:val="21"/>
          <w:highlight w:val="none"/>
          <w:shd w:val="clear" w:color="auto" w:fill="auto"/>
        </w:rPr>
        <w:t xml:space="preserve">    注：投标参数及功能有优于的（表述为≥时，大于标准值的可视为优于；表述为≤时，小于标准值的可视为优于），投标人须在投标文件中提供投标产品的彩页或第三方检测报告复印件或厂家出具的技术参数说明等证明材料作为佐证。</w:t>
      </w:r>
    </w:p>
    <w:p>
      <w:pPr>
        <w:pStyle w:val="298"/>
        <w:pageBreakBefore w:val="0"/>
        <w:kinsoku/>
        <w:overflowPunct/>
        <w:topLinePunct w:val="0"/>
        <w:autoSpaceDE/>
        <w:autoSpaceDN/>
        <w:bidi w:val="0"/>
        <w:spacing w:line="420" w:lineRule="exact"/>
        <w:ind w:firstLine="422"/>
        <w:rPr>
          <w:rFonts w:hint="eastAsia" w:ascii="宋体" w:hAnsi="宋体"/>
          <w:b/>
          <w:bCs/>
          <w:color w:val="auto"/>
          <w:highlight w:val="none"/>
          <w:shd w:val="clear" w:color="auto" w:fill="auto"/>
        </w:rPr>
      </w:pPr>
      <w:r>
        <w:rPr>
          <w:rFonts w:hint="eastAsia" w:ascii="宋体" w:hAnsi="宋体" w:cs="汉仪书宋二S"/>
          <w:b/>
          <w:bCs/>
          <w:color w:val="auto"/>
          <w:highlight w:val="none"/>
          <w:shd w:val="clear" w:color="auto" w:fill="auto"/>
          <w:lang w:eastAsia="zh-CN"/>
        </w:rPr>
        <w:t>（</w:t>
      </w:r>
      <w:r>
        <w:rPr>
          <w:rFonts w:hint="eastAsia" w:ascii="宋体" w:hAnsi="宋体" w:cs="汉仪书宋二S"/>
          <w:b/>
          <w:bCs/>
          <w:color w:val="auto"/>
          <w:highlight w:val="none"/>
          <w:shd w:val="clear" w:color="auto" w:fill="auto"/>
          <w:lang w:val="en-US" w:eastAsia="zh-CN"/>
        </w:rPr>
        <w:t>2</w:t>
      </w:r>
      <w:r>
        <w:rPr>
          <w:rFonts w:hint="eastAsia" w:ascii="宋体" w:hAnsi="宋体" w:cs="汉仪书宋二S"/>
          <w:b/>
          <w:bCs/>
          <w:color w:val="auto"/>
          <w:highlight w:val="none"/>
          <w:shd w:val="clear" w:color="auto" w:fill="auto"/>
          <w:lang w:eastAsia="zh-CN"/>
        </w:rPr>
        <w:t>）</w:t>
      </w:r>
      <w:r>
        <w:rPr>
          <w:rFonts w:hint="eastAsia" w:ascii="宋体" w:hAnsi="宋体"/>
          <w:b/>
          <w:bCs/>
          <w:color w:val="auto"/>
          <w:highlight w:val="none"/>
          <w:shd w:val="clear" w:color="auto" w:fill="auto"/>
        </w:rPr>
        <w:t>项目实施方案（满分</w:t>
      </w:r>
      <w:r>
        <w:rPr>
          <w:rFonts w:hint="eastAsia" w:ascii="宋体" w:hAnsi="宋体"/>
          <w:b/>
          <w:bCs/>
          <w:color w:val="auto"/>
          <w:highlight w:val="none"/>
          <w:shd w:val="clear" w:color="auto" w:fill="auto"/>
          <w:lang w:val="en-US" w:eastAsia="zh-CN"/>
        </w:rPr>
        <w:t>15</w:t>
      </w:r>
      <w:r>
        <w:rPr>
          <w:rFonts w:hint="eastAsia" w:ascii="宋体" w:hAnsi="宋体"/>
          <w:b/>
          <w:bCs/>
          <w:color w:val="auto"/>
          <w:highlight w:val="none"/>
          <w:shd w:val="clear" w:color="auto" w:fill="auto"/>
        </w:rPr>
        <w:t>分）</w:t>
      </w:r>
    </w:p>
    <w:p>
      <w:pPr>
        <w:pageBreakBefore w:val="0"/>
        <w:kinsoku/>
        <w:overflowPunct/>
        <w:topLinePunct w:val="0"/>
        <w:autoSpaceDE/>
        <w:autoSpaceDN/>
        <w:bidi w:val="0"/>
        <w:spacing w:line="420" w:lineRule="exact"/>
        <w:rPr>
          <w:color w:val="auto"/>
          <w:spacing w:val="-2"/>
          <w:szCs w:val="21"/>
          <w:highlight w:val="none"/>
          <w:shd w:val="clear" w:color="auto" w:fill="auto"/>
          <w:lang w:bidi="ar"/>
        </w:rPr>
      </w:pPr>
      <w:r>
        <w:rPr>
          <w:rFonts w:hint="eastAsia" w:hAnsi="宋体"/>
          <w:color w:val="auto"/>
          <w:highlight w:val="none"/>
          <w:shd w:val="clear" w:color="auto" w:fill="auto"/>
        </w:rPr>
        <w:t xml:space="preserve">     </w:t>
      </w:r>
      <w:r>
        <w:rPr>
          <w:color w:val="auto"/>
          <w:szCs w:val="21"/>
          <w:highlight w:val="none"/>
          <w:shd w:val="clear" w:color="auto" w:fill="auto"/>
        </w:rPr>
        <w:t>由评标委员会各成员根据各投标人提供的项目实施方案中的</w:t>
      </w:r>
      <w:r>
        <w:rPr>
          <w:color w:val="auto"/>
          <w:kern w:val="0"/>
          <w:szCs w:val="21"/>
          <w:highlight w:val="none"/>
          <w:shd w:val="clear" w:color="auto" w:fill="auto"/>
        </w:rPr>
        <w:t>总体技术实施方案、分系统技术实施方案、实施进度计划、安装调试方案、实施过程风险和难点分析控制、质量保障措施、文明施工措施、环境保护措施、项目实施人员安排、系统试运行方案、建议的验收方案、竣工文档目录等内容进行独立评审打分</w:t>
      </w:r>
      <w:r>
        <w:rPr>
          <w:color w:val="auto"/>
          <w:spacing w:val="-2"/>
          <w:szCs w:val="21"/>
          <w:highlight w:val="none"/>
          <w:shd w:val="clear" w:color="auto" w:fill="auto"/>
          <w:lang w:bidi="ar"/>
        </w:rPr>
        <w:t>。</w:t>
      </w:r>
    </w:p>
    <w:p>
      <w:pPr>
        <w:pageBreakBefore w:val="0"/>
        <w:kinsoku/>
        <w:overflowPunct/>
        <w:topLinePunct w:val="0"/>
        <w:autoSpaceDE/>
        <w:autoSpaceDN/>
        <w:bidi w:val="0"/>
        <w:spacing w:line="420" w:lineRule="exact"/>
        <w:rPr>
          <w:bCs/>
          <w:color w:val="auto"/>
          <w:spacing w:val="-2"/>
          <w:szCs w:val="21"/>
          <w:highlight w:val="none"/>
          <w:shd w:val="clear" w:color="auto" w:fill="auto"/>
          <w:lang w:bidi="ar"/>
        </w:rPr>
      </w:pPr>
      <w:r>
        <w:rPr>
          <w:rFonts w:hint="eastAsia"/>
          <w:bCs/>
          <w:color w:val="auto"/>
          <w:spacing w:val="-2"/>
          <w:szCs w:val="21"/>
          <w:highlight w:val="none"/>
          <w:shd w:val="clear" w:color="auto" w:fill="auto"/>
          <w:lang w:val="en-US" w:eastAsia="zh-CN" w:bidi="ar"/>
        </w:rPr>
        <w:t xml:space="preserve">     </w:t>
      </w:r>
      <w:r>
        <w:rPr>
          <w:rFonts w:hint="eastAsia"/>
          <w:bCs/>
          <w:color w:val="auto"/>
          <w:spacing w:val="-2"/>
          <w:szCs w:val="21"/>
          <w:highlight w:val="none"/>
          <w:shd w:val="clear" w:color="auto" w:fill="auto"/>
          <w:lang w:bidi="ar"/>
        </w:rPr>
        <w:t>一</w:t>
      </w:r>
      <w:r>
        <w:rPr>
          <w:bCs/>
          <w:color w:val="auto"/>
          <w:spacing w:val="-2"/>
          <w:szCs w:val="21"/>
          <w:highlight w:val="none"/>
          <w:shd w:val="clear" w:color="auto" w:fill="auto"/>
          <w:lang w:bidi="ar"/>
        </w:rPr>
        <w:t>档（</w:t>
      </w:r>
      <w:r>
        <w:rPr>
          <w:rFonts w:hint="eastAsia"/>
          <w:bCs/>
          <w:color w:val="auto"/>
          <w:spacing w:val="-2"/>
          <w:szCs w:val="21"/>
          <w:highlight w:val="none"/>
          <w:shd w:val="clear" w:color="auto" w:fill="auto"/>
          <w:lang w:val="en-US" w:eastAsia="zh-CN" w:bidi="ar"/>
        </w:rPr>
        <w:t>9</w:t>
      </w:r>
      <w:r>
        <w:rPr>
          <w:bCs/>
          <w:color w:val="auto"/>
          <w:spacing w:val="-2"/>
          <w:szCs w:val="21"/>
          <w:highlight w:val="none"/>
          <w:shd w:val="clear" w:color="auto" w:fill="auto"/>
          <w:lang w:bidi="ar"/>
        </w:rPr>
        <w:t>分）：提供了项目实施方案，但实施方案中的（</w:t>
      </w:r>
      <w:r>
        <w:rPr>
          <w:color w:val="auto"/>
          <w:kern w:val="0"/>
          <w:szCs w:val="21"/>
          <w:highlight w:val="none"/>
          <w:shd w:val="clear" w:color="auto" w:fill="auto"/>
        </w:rPr>
        <w:t>总体技术实施方案、分系统技术实施方案、实施进度计划、安装调试方案、实施过程风险和难点分析控制、质量保障措施、文明施工措施、环境保护措施、项目实施人员安排、系统试运行方案、建议的验收方案、竣工文档目录</w:t>
      </w:r>
      <w:r>
        <w:rPr>
          <w:bCs/>
          <w:color w:val="auto"/>
          <w:spacing w:val="-2"/>
          <w:szCs w:val="21"/>
          <w:highlight w:val="none"/>
          <w:shd w:val="clear" w:color="auto" w:fill="auto"/>
          <w:lang w:bidi="ar"/>
        </w:rPr>
        <w:t>）有2项（含）以上缺项的</w:t>
      </w:r>
      <w:r>
        <w:rPr>
          <w:color w:val="auto"/>
          <w:kern w:val="0"/>
          <w:szCs w:val="21"/>
          <w:highlight w:val="none"/>
          <w:shd w:val="clear" w:color="auto" w:fill="auto"/>
        </w:rPr>
        <w:t>。</w:t>
      </w:r>
    </w:p>
    <w:p>
      <w:pPr>
        <w:pageBreakBefore w:val="0"/>
        <w:kinsoku/>
        <w:overflowPunct/>
        <w:topLinePunct w:val="0"/>
        <w:autoSpaceDE/>
        <w:autoSpaceDN/>
        <w:bidi w:val="0"/>
        <w:spacing w:line="420" w:lineRule="exact"/>
        <w:rPr>
          <w:bCs/>
          <w:color w:val="auto"/>
          <w:spacing w:val="-2"/>
          <w:szCs w:val="21"/>
          <w:highlight w:val="none"/>
          <w:shd w:val="clear" w:color="auto" w:fill="auto"/>
          <w:lang w:bidi="ar"/>
        </w:rPr>
      </w:pPr>
      <w:r>
        <w:rPr>
          <w:rFonts w:hint="eastAsia"/>
          <w:bCs/>
          <w:color w:val="auto"/>
          <w:spacing w:val="-2"/>
          <w:szCs w:val="21"/>
          <w:highlight w:val="none"/>
          <w:shd w:val="clear" w:color="auto" w:fill="auto"/>
          <w:lang w:val="en-US" w:eastAsia="zh-CN" w:bidi="ar"/>
        </w:rPr>
        <w:t xml:space="preserve">     </w:t>
      </w:r>
      <w:r>
        <w:rPr>
          <w:rFonts w:hint="eastAsia"/>
          <w:bCs/>
          <w:color w:val="auto"/>
          <w:spacing w:val="-2"/>
          <w:szCs w:val="21"/>
          <w:highlight w:val="none"/>
          <w:shd w:val="clear" w:color="auto" w:fill="auto"/>
          <w:lang w:bidi="ar"/>
        </w:rPr>
        <w:t>二</w:t>
      </w:r>
      <w:r>
        <w:rPr>
          <w:bCs/>
          <w:color w:val="auto"/>
          <w:spacing w:val="-2"/>
          <w:szCs w:val="21"/>
          <w:highlight w:val="none"/>
          <w:shd w:val="clear" w:color="auto" w:fill="auto"/>
          <w:lang w:bidi="ar"/>
        </w:rPr>
        <w:t>档（</w:t>
      </w:r>
      <w:r>
        <w:rPr>
          <w:rFonts w:hint="eastAsia"/>
          <w:bCs/>
          <w:color w:val="auto"/>
          <w:spacing w:val="-2"/>
          <w:szCs w:val="21"/>
          <w:highlight w:val="none"/>
          <w:shd w:val="clear" w:color="auto" w:fill="auto"/>
          <w:lang w:val="en-US" w:eastAsia="zh-CN" w:bidi="ar"/>
        </w:rPr>
        <w:t>12</w:t>
      </w:r>
      <w:r>
        <w:rPr>
          <w:bCs/>
          <w:color w:val="auto"/>
          <w:spacing w:val="-2"/>
          <w:szCs w:val="21"/>
          <w:highlight w:val="none"/>
          <w:shd w:val="clear" w:color="auto" w:fill="auto"/>
          <w:lang w:bidi="ar"/>
        </w:rPr>
        <w:t>分）：提供了项目实施方案，且实施方案中的（</w:t>
      </w:r>
      <w:r>
        <w:rPr>
          <w:color w:val="auto"/>
          <w:kern w:val="0"/>
          <w:szCs w:val="21"/>
          <w:highlight w:val="none"/>
          <w:shd w:val="clear" w:color="auto" w:fill="auto"/>
        </w:rPr>
        <w:t>总体技术实施方案、分系统技术实施方案、实施进度计划、安装调试方案、实施过程风险和难点分析控制、质量保障措施、文明施工措施、环境保护措施、项目实施人员安排、系统试运行方案、建议的验收方案、竣工文档目录</w:t>
      </w:r>
      <w:r>
        <w:rPr>
          <w:bCs/>
          <w:color w:val="auto"/>
          <w:spacing w:val="-2"/>
          <w:szCs w:val="21"/>
          <w:highlight w:val="none"/>
          <w:shd w:val="clear" w:color="auto" w:fill="auto"/>
          <w:lang w:bidi="ar"/>
        </w:rPr>
        <w:t>）没有缺项；分系统技术实施方案、系统试运行方案包含了本项目涉及的系统、实施进度计划满足本项目工期要求；</w:t>
      </w:r>
    </w:p>
    <w:p>
      <w:pPr>
        <w:pStyle w:val="29"/>
        <w:pageBreakBefore w:val="0"/>
        <w:kinsoku/>
        <w:overflowPunct/>
        <w:topLinePunct w:val="0"/>
        <w:autoSpaceDE/>
        <w:autoSpaceDN/>
        <w:bidi w:val="0"/>
        <w:spacing w:line="420" w:lineRule="exact"/>
        <w:rPr>
          <w:rFonts w:hint="eastAsia" w:ascii="汉仪书宋二S" w:hAnsi="汉仪书宋二S" w:eastAsia="汉仪书宋二S" w:cs="汉仪书宋二S"/>
          <w:strike/>
          <w:dstrike w:val="0"/>
          <w:color w:val="auto"/>
          <w:highlight w:val="none"/>
          <w:shd w:val="clear" w:color="auto" w:fill="auto"/>
        </w:rPr>
      </w:pPr>
      <w:r>
        <w:rPr>
          <w:rFonts w:hint="eastAsia"/>
          <w:color w:val="auto"/>
          <w:szCs w:val="21"/>
          <w:highlight w:val="none"/>
          <w:shd w:val="clear" w:color="auto" w:fill="auto"/>
          <w:lang w:val="en-US" w:eastAsia="zh-CN"/>
        </w:rPr>
        <w:t xml:space="preserve">    </w:t>
      </w:r>
      <w:r>
        <w:rPr>
          <w:rFonts w:hint="eastAsia"/>
          <w:color w:val="auto"/>
          <w:szCs w:val="21"/>
          <w:highlight w:val="none"/>
          <w:shd w:val="clear" w:color="auto" w:fill="auto"/>
        </w:rPr>
        <w:t>三</w:t>
      </w:r>
      <w:r>
        <w:rPr>
          <w:color w:val="auto"/>
          <w:szCs w:val="21"/>
          <w:highlight w:val="none"/>
          <w:shd w:val="clear" w:color="auto" w:fill="auto"/>
        </w:rPr>
        <w:t>档（</w:t>
      </w:r>
      <w:r>
        <w:rPr>
          <w:rFonts w:hint="eastAsia"/>
          <w:color w:val="auto"/>
          <w:szCs w:val="21"/>
          <w:highlight w:val="none"/>
          <w:shd w:val="clear" w:color="auto" w:fill="auto"/>
          <w:lang w:val="en-US" w:eastAsia="zh-CN"/>
        </w:rPr>
        <w:t>15</w:t>
      </w:r>
      <w:r>
        <w:rPr>
          <w:color w:val="auto"/>
          <w:szCs w:val="21"/>
          <w:highlight w:val="none"/>
          <w:shd w:val="clear" w:color="auto" w:fill="auto"/>
        </w:rPr>
        <w:t>分）：在</w:t>
      </w:r>
      <w:r>
        <w:rPr>
          <w:rFonts w:hint="eastAsia"/>
          <w:color w:val="auto"/>
          <w:szCs w:val="21"/>
          <w:highlight w:val="none"/>
          <w:shd w:val="clear" w:color="auto" w:fill="auto"/>
        </w:rPr>
        <w:t>满足二</w:t>
      </w:r>
      <w:r>
        <w:rPr>
          <w:color w:val="auto"/>
          <w:szCs w:val="21"/>
          <w:highlight w:val="none"/>
          <w:shd w:val="clear" w:color="auto" w:fill="auto"/>
        </w:rPr>
        <w:t>档的基础上，有在投标文件中提供了针对本项目进行深化设计的系统图、平面布局图</w:t>
      </w:r>
      <w:r>
        <w:rPr>
          <w:rFonts w:hint="eastAsia"/>
          <w:color w:val="auto"/>
          <w:szCs w:val="21"/>
          <w:highlight w:val="none"/>
          <w:shd w:val="clear" w:color="auto" w:fill="auto"/>
        </w:rPr>
        <w:t>，且提供了项目实施人员一览表。</w:t>
      </w:r>
    </w:p>
    <w:p>
      <w:pPr>
        <w:pageBreakBefore w:val="0"/>
        <w:kinsoku/>
        <w:overflowPunct/>
        <w:topLinePunct w:val="0"/>
        <w:autoSpaceDE/>
        <w:autoSpaceDN/>
        <w:bidi w:val="0"/>
        <w:spacing w:line="420" w:lineRule="exact"/>
        <w:rPr>
          <w:rFonts w:hint="eastAsia" w:ascii="宋体" w:hAnsi="宋体"/>
          <w:b/>
          <w:bCs/>
          <w:color w:val="auto"/>
          <w:szCs w:val="21"/>
          <w:highlight w:val="none"/>
          <w:shd w:val="clear" w:color="auto" w:fill="auto"/>
        </w:rPr>
      </w:pPr>
      <w:r>
        <w:rPr>
          <w:rFonts w:hint="eastAsia" w:ascii="汉仪书宋二S" w:hAnsi="汉仪书宋二S" w:eastAsia="汉仪书宋二S" w:cs="汉仪书宋二S"/>
          <w:color w:val="auto"/>
          <w:highlight w:val="none"/>
          <w:shd w:val="clear" w:color="auto" w:fill="auto"/>
        </w:rPr>
        <w:t xml:space="preserve">  </w:t>
      </w:r>
      <w:r>
        <w:rPr>
          <w:rFonts w:hint="eastAsia" w:ascii="汉仪书宋二S" w:hAnsi="汉仪书宋二S" w:eastAsia="汉仪书宋二S" w:cs="汉仪书宋二S"/>
          <w:b/>
          <w:bCs/>
          <w:color w:val="auto"/>
          <w:highlight w:val="none"/>
          <w:shd w:val="clear" w:color="auto" w:fill="auto"/>
        </w:rPr>
        <w:t xml:space="preserve"> </w:t>
      </w:r>
      <w:r>
        <w:rPr>
          <w:rFonts w:hint="eastAsia" w:ascii="汉仪书宋二S" w:hAnsi="汉仪书宋二S" w:eastAsia="汉仪书宋二S" w:cs="汉仪书宋二S"/>
          <w:b/>
          <w:bCs/>
          <w:color w:val="auto"/>
          <w:highlight w:val="none"/>
          <w:shd w:val="clear" w:color="auto" w:fill="auto"/>
          <w:lang w:eastAsia="zh-CN"/>
        </w:rPr>
        <w:t>（</w:t>
      </w:r>
      <w:r>
        <w:rPr>
          <w:rFonts w:hint="eastAsia" w:ascii="汉仪书宋二S" w:hAnsi="汉仪书宋二S" w:eastAsia="汉仪书宋二S" w:cs="汉仪书宋二S"/>
          <w:b/>
          <w:bCs/>
          <w:color w:val="auto"/>
          <w:highlight w:val="none"/>
          <w:shd w:val="clear" w:color="auto" w:fill="auto"/>
          <w:lang w:val="en-US" w:eastAsia="zh-CN"/>
        </w:rPr>
        <w:t>4</w:t>
      </w:r>
      <w:r>
        <w:rPr>
          <w:rFonts w:hint="eastAsia" w:ascii="汉仪书宋二S" w:hAnsi="汉仪书宋二S" w:eastAsia="汉仪书宋二S" w:cs="汉仪书宋二S"/>
          <w:b/>
          <w:bCs/>
          <w:color w:val="auto"/>
          <w:highlight w:val="none"/>
          <w:shd w:val="clear" w:color="auto" w:fill="auto"/>
          <w:lang w:eastAsia="zh-CN"/>
        </w:rPr>
        <w:t>）</w:t>
      </w:r>
      <w:r>
        <w:rPr>
          <w:rFonts w:hint="eastAsia" w:ascii="宋体" w:hAnsi="宋体"/>
          <w:b/>
          <w:bCs/>
          <w:color w:val="auto"/>
          <w:szCs w:val="21"/>
          <w:highlight w:val="none"/>
          <w:shd w:val="clear" w:color="auto" w:fill="auto"/>
        </w:rPr>
        <w:t>售后服务方案（满分</w:t>
      </w:r>
      <w:r>
        <w:rPr>
          <w:rFonts w:ascii="宋体" w:hAnsi="宋体"/>
          <w:b/>
          <w:bCs/>
          <w:color w:val="auto"/>
          <w:szCs w:val="21"/>
          <w:highlight w:val="none"/>
          <w:shd w:val="clear" w:color="auto" w:fill="auto"/>
        </w:rPr>
        <w:t>1</w:t>
      </w:r>
      <w:r>
        <w:rPr>
          <w:rFonts w:hint="eastAsia" w:ascii="宋体" w:hAnsi="宋体"/>
          <w:b/>
          <w:bCs/>
          <w:color w:val="auto"/>
          <w:szCs w:val="21"/>
          <w:highlight w:val="none"/>
          <w:shd w:val="clear" w:color="auto" w:fill="auto"/>
          <w:lang w:val="en-US" w:eastAsia="zh-CN"/>
        </w:rPr>
        <w:t>4</w:t>
      </w:r>
      <w:r>
        <w:rPr>
          <w:rFonts w:hint="eastAsia" w:ascii="宋体" w:hAnsi="宋体"/>
          <w:b/>
          <w:bCs/>
          <w:color w:val="auto"/>
          <w:szCs w:val="21"/>
          <w:highlight w:val="none"/>
          <w:shd w:val="clear" w:color="auto" w:fill="auto"/>
        </w:rPr>
        <w:t>分）</w:t>
      </w:r>
    </w:p>
    <w:p>
      <w:pPr>
        <w:pageBreakBefore w:val="0"/>
        <w:kinsoku/>
        <w:overflowPunct/>
        <w:topLinePunct w:val="0"/>
        <w:autoSpaceDE/>
        <w:autoSpaceDN/>
        <w:bidi w:val="0"/>
        <w:spacing w:line="420" w:lineRule="exact"/>
        <w:ind w:firstLine="420" w:firstLineChars="200"/>
        <w:rPr>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评标委员会各成员根据投标人提供的售后服务承诺方案的内容（至少包括：免费保修期、到达故障现场时间、故障出现解决方案，定期维护（注明时间）、免费技术培训方案、免费保修期外维修方案、本地化售后服务措施、其它优惠方案）进行独立评审打分。</w:t>
      </w:r>
    </w:p>
    <w:p>
      <w:pPr>
        <w:pageBreakBefore w:val="0"/>
        <w:kinsoku/>
        <w:overflowPunct/>
        <w:topLinePunct w:val="0"/>
        <w:autoSpaceDE/>
        <w:autoSpaceDN/>
        <w:bidi w:val="0"/>
        <w:spacing w:line="420" w:lineRule="exact"/>
        <w:rPr>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一档（</w:t>
      </w:r>
      <w:r>
        <w:rPr>
          <w:rFonts w:hint="eastAsia"/>
          <w:bCs/>
          <w:color w:val="auto"/>
          <w:spacing w:val="-2"/>
          <w:szCs w:val="21"/>
          <w:highlight w:val="none"/>
          <w:shd w:val="clear" w:color="auto" w:fill="auto"/>
          <w:lang w:val="en-US" w:eastAsia="zh-CN" w:bidi="ar"/>
        </w:rPr>
        <w:t>8</w:t>
      </w:r>
      <w:r>
        <w:rPr>
          <w:bCs/>
          <w:color w:val="auto"/>
          <w:spacing w:val="-2"/>
          <w:szCs w:val="21"/>
          <w:highlight w:val="none"/>
          <w:shd w:val="clear" w:color="auto" w:fill="auto"/>
          <w:lang w:bidi="ar"/>
        </w:rPr>
        <w:t>分</w:t>
      </w:r>
      <w:r>
        <w:rPr>
          <w:color w:val="auto"/>
          <w:szCs w:val="21"/>
          <w:highlight w:val="none"/>
          <w:shd w:val="clear" w:color="auto" w:fill="auto"/>
        </w:rPr>
        <w:t>）：提供了售后服务承诺方案有缺项或者售后服务承诺方案（免费保修期、到达故障现场时间、故障出现解决方案，定期维护（注明时间）、免费技术培训方案、免费保修期外维修方案、本地化售后服务措施、其它优惠方案）基本满足招标文件售后服务要求的。</w:t>
      </w:r>
    </w:p>
    <w:p>
      <w:pPr>
        <w:pageBreakBefore w:val="0"/>
        <w:kinsoku/>
        <w:overflowPunct/>
        <w:topLinePunct w:val="0"/>
        <w:autoSpaceDE/>
        <w:autoSpaceDN/>
        <w:bidi w:val="0"/>
        <w:spacing w:line="420" w:lineRule="exact"/>
        <w:rPr>
          <w:color w:val="auto"/>
          <w:szCs w:val="21"/>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二档（</w:t>
      </w:r>
      <w:r>
        <w:rPr>
          <w:rFonts w:hint="eastAsia"/>
          <w:bCs/>
          <w:color w:val="auto"/>
          <w:spacing w:val="-2"/>
          <w:szCs w:val="21"/>
          <w:highlight w:val="none"/>
          <w:shd w:val="clear" w:color="auto" w:fill="auto"/>
          <w:lang w:val="en-US" w:eastAsia="zh-CN" w:bidi="ar"/>
        </w:rPr>
        <w:t>11</w:t>
      </w:r>
      <w:r>
        <w:rPr>
          <w:color w:val="auto"/>
          <w:szCs w:val="21"/>
          <w:highlight w:val="none"/>
          <w:shd w:val="clear" w:color="auto" w:fill="auto"/>
        </w:rPr>
        <w:t>分）：提供了售后服务承诺方案，且（免费保修期、到达故障现场时间、故障出现解决方案，定期维护（注明时间）、免费技术培训方案、免费保修期外维修方案、本地化售后服务措施、其它优惠方案）没有缺项，到达故障现场时间优于招标需求，定期维护时间在质保期内每年不低于4次。</w:t>
      </w:r>
    </w:p>
    <w:p>
      <w:pPr>
        <w:pageBreakBefore w:val="0"/>
        <w:kinsoku/>
        <w:overflowPunct/>
        <w:topLinePunct w:val="0"/>
        <w:autoSpaceDE/>
        <w:autoSpaceDN/>
        <w:bidi w:val="0"/>
        <w:spacing w:line="420" w:lineRule="exact"/>
        <w:ind w:firstLineChars="0"/>
        <w:rPr>
          <w:rFonts w:hint="eastAsia"/>
          <w:color w:val="auto"/>
          <w:highlight w:val="none"/>
          <w:shd w:val="clear" w:color="auto" w:fill="auto"/>
        </w:rPr>
      </w:pPr>
      <w:r>
        <w:rPr>
          <w:rFonts w:hint="eastAsia"/>
          <w:color w:val="auto"/>
          <w:szCs w:val="21"/>
          <w:highlight w:val="none"/>
          <w:shd w:val="clear" w:color="auto" w:fill="auto"/>
          <w:lang w:val="en-US" w:eastAsia="zh-CN"/>
        </w:rPr>
        <w:t xml:space="preserve">   </w:t>
      </w:r>
      <w:r>
        <w:rPr>
          <w:color w:val="auto"/>
          <w:szCs w:val="21"/>
          <w:highlight w:val="none"/>
          <w:shd w:val="clear" w:color="auto" w:fill="auto"/>
        </w:rPr>
        <w:t>三档（</w:t>
      </w:r>
      <w:r>
        <w:rPr>
          <w:rFonts w:hint="eastAsia"/>
          <w:color w:val="auto"/>
          <w:szCs w:val="21"/>
          <w:highlight w:val="none"/>
          <w:shd w:val="clear" w:color="auto" w:fill="auto"/>
        </w:rPr>
        <w:t>1</w:t>
      </w:r>
      <w:r>
        <w:rPr>
          <w:rFonts w:hint="eastAsia"/>
          <w:bCs/>
          <w:color w:val="auto"/>
          <w:spacing w:val="-2"/>
          <w:szCs w:val="21"/>
          <w:highlight w:val="none"/>
          <w:shd w:val="clear" w:color="auto" w:fill="auto"/>
          <w:lang w:val="en-US" w:eastAsia="zh-CN" w:bidi="ar"/>
        </w:rPr>
        <w:t>4</w:t>
      </w:r>
      <w:r>
        <w:rPr>
          <w:bCs/>
          <w:color w:val="auto"/>
          <w:spacing w:val="-2"/>
          <w:szCs w:val="21"/>
          <w:highlight w:val="none"/>
          <w:shd w:val="clear" w:color="auto" w:fill="auto"/>
          <w:lang w:bidi="ar"/>
        </w:rPr>
        <w:t>分</w:t>
      </w:r>
      <w:r>
        <w:rPr>
          <w:color w:val="auto"/>
          <w:szCs w:val="21"/>
          <w:highlight w:val="none"/>
          <w:shd w:val="clear" w:color="auto" w:fill="auto"/>
        </w:rPr>
        <w:t>）：在</w:t>
      </w:r>
      <w:r>
        <w:rPr>
          <w:rFonts w:hint="eastAsia"/>
          <w:color w:val="auto"/>
          <w:szCs w:val="21"/>
          <w:highlight w:val="none"/>
          <w:shd w:val="clear" w:color="auto" w:fill="auto"/>
        </w:rPr>
        <w:t>满足</w:t>
      </w:r>
      <w:r>
        <w:rPr>
          <w:color w:val="auto"/>
          <w:szCs w:val="21"/>
          <w:highlight w:val="none"/>
          <w:shd w:val="clear" w:color="auto" w:fill="auto"/>
        </w:rPr>
        <w:t>二档的基础上，在本地化售后服务措施中能提供</w:t>
      </w:r>
      <w:r>
        <w:rPr>
          <w:rFonts w:hint="eastAsia"/>
          <w:color w:val="auto"/>
          <w:szCs w:val="21"/>
          <w:highlight w:val="none"/>
          <w:shd w:val="clear" w:color="auto" w:fill="auto"/>
          <w:lang w:val="en-US" w:eastAsia="zh-CN"/>
        </w:rPr>
        <w:t>本地售后服务网点场地证明，</w:t>
      </w:r>
      <w:r>
        <w:rPr>
          <w:color w:val="auto"/>
          <w:szCs w:val="21"/>
          <w:highlight w:val="none"/>
          <w:shd w:val="clear" w:color="auto" w:fill="auto"/>
        </w:rPr>
        <w:t>不少于2名的</w:t>
      </w:r>
      <w:r>
        <w:rPr>
          <w:rFonts w:hint="eastAsia"/>
          <w:color w:val="auto"/>
          <w:szCs w:val="21"/>
          <w:highlight w:val="none"/>
          <w:shd w:val="clear" w:color="auto" w:fill="auto"/>
        </w:rPr>
        <w:t>专职</w:t>
      </w:r>
      <w:r>
        <w:rPr>
          <w:color w:val="auto"/>
          <w:szCs w:val="21"/>
          <w:highlight w:val="none"/>
          <w:shd w:val="clear" w:color="auto" w:fill="auto"/>
        </w:rPr>
        <w:t>售后服务</w:t>
      </w:r>
      <w:r>
        <w:rPr>
          <w:rFonts w:hint="eastAsia"/>
          <w:color w:val="auto"/>
          <w:szCs w:val="21"/>
          <w:highlight w:val="none"/>
          <w:shd w:val="clear" w:color="auto" w:fill="auto"/>
          <w:lang w:val="en-US" w:eastAsia="zh-CN"/>
        </w:rPr>
        <w:t>维修人员</w:t>
      </w:r>
      <w:r>
        <w:rPr>
          <w:color w:val="auto"/>
          <w:szCs w:val="21"/>
          <w:highlight w:val="none"/>
          <w:shd w:val="clear" w:color="auto" w:fill="auto"/>
        </w:rPr>
        <w:t>，提供服务</w:t>
      </w:r>
      <w:r>
        <w:rPr>
          <w:rFonts w:hint="eastAsia"/>
          <w:color w:val="auto"/>
          <w:szCs w:val="21"/>
          <w:highlight w:val="none"/>
          <w:shd w:val="clear" w:color="auto" w:fill="auto"/>
          <w:lang w:val="en-US" w:eastAsia="zh-CN"/>
        </w:rPr>
        <w:t>维修</w:t>
      </w:r>
      <w:r>
        <w:rPr>
          <w:color w:val="auto"/>
          <w:szCs w:val="21"/>
          <w:highlight w:val="none"/>
          <w:shd w:val="clear" w:color="auto" w:fill="auto"/>
        </w:rPr>
        <w:t>人员名单、联系电话。</w:t>
      </w:r>
      <w:r>
        <w:rPr>
          <w:rFonts w:hint="eastAsia" w:hAnsi="宋体"/>
          <w:color w:val="auto"/>
          <w:highlight w:val="none"/>
          <w:shd w:val="clear" w:color="auto" w:fill="auto"/>
        </w:rPr>
        <w:t xml:space="preserve">    </w:t>
      </w:r>
    </w:p>
    <w:p>
      <w:pPr>
        <w:pStyle w:val="51"/>
        <w:pageBreakBefore w:val="0"/>
        <w:numPr>
          <w:ilvl w:val="0"/>
          <w:numId w:val="13"/>
        </w:numPr>
        <w:kinsoku/>
        <w:overflowPunct/>
        <w:topLinePunct w:val="0"/>
        <w:autoSpaceDE/>
        <w:autoSpaceDN/>
        <w:bidi w:val="0"/>
        <w:spacing w:line="420" w:lineRule="exact"/>
        <w:jc w:val="left"/>
        <w:rPr>
          <w:rFonts w:hint="eastAsia" w:asciiTheme="majorEastAsia" w:hAnsiTheme="majorEastAsia" w:eastAsiaTheme="majorEastAsia" w:cstheme="majorEastAsia"/>
          <w:b/>
          <w:bCs/>
          <w:color w:val="auto"/>
          <w:sz w:val="21"/>
          <w:szCs w:val="21"/>
          <w:highlight w:val="none"/>
          <w:shd w:val="clear" w:color="auto" w:fill="auto"/>
        </w:rPr>
      </w:pPr>
      <w:r>
        <w:rPr>
          <w:rFonts w:hint="eastAsia" w:asciiTheme="majorEastAsia" w:hAnsiTheme="majorEastAsia" w:eastAsiaTheme="majorEastAsia" w:cstheme="majorEastAsia"/>
          <w:b/>
          <w:bCs/>
          <w:color w:val="auto"/>
          <w:sz w:val="21"/>
          <w:szCs w:val="21"/>
          <w:highlight w:val="none"/>
          <w:shd w:val="clear" w:color="auto" w:fill="auto"/>
        </w:rPr>
        <w:t>质保期（满分</w:t>
      </w:r>
      <w:r>
        <w:rPr>
          <w:rFonts w:hint="eastAsia" w:asciiTheme="majorEastAsia" w:hAnsiTheme="majorEastAsia" w:eastAsiaTheme="majorEastAsia" w:cstheme="majorEastAsia"/>
          <w:b/>
          <w:bCs/>
          <w:color w:val="auto"/>
          <w:sz w:val="21"/>
          <w:szCs w:val="21"/>
          <w:highlight w:val="none"/>
          <w:shd w:val="clear" w:color="auto" w:fill="auto"/>
          <w:lang w:eastAsia="zh-CN"/>
        </w:rPr>
        <w:t>5</w:t>
      </w:r>
      <w:r>
        <w:rPr>
          <w:rFonts w:hint="eastAsia" w:asciiTheme="majorEastAsia" w:hAnsiTheme="majorEastAsia" w:eastAsiaTheme="majorEastAsia" w:cstheme="majorEastAsia"/>
          <w:b/>
          <w:bCs/>
          <w:color w:val="auto"/>
          <w:sz w:val="21"/>
          <w:szCs w:val="21"/>
          <w:highlight w:val="none"/>
          <w:shd w:val="clear" w:color="auto" w:fill="auto"/>
        </w:rPr>
        <w:t>分）</w:t>
      </w:r>
    </w:p>
    <w:p>
      <w:pPr>
        <w:pStyle w:val="51"/>
        <w:pageBreakBefore w:val="0"/>
        <w:numPr>
          <w:ilvl w:val="-1"/>
          <w:numId w:val="0"/>
        </w:numPr>
        <w:kinsoku/>
        <w:overflowPunct/>
        <w:topLinePunct w:val="0"/>
        <w:autoSpaceDE/>
        <w:autoSpaceDN/>
        <w:bidi w:val="0"/>
        <w:spacing w:line="420" w:lineRule="exact"/>
        <w:ind w:firstLine="0" w:firstLineChars="0"/>
        <w:jc w:val="left"/>
        <w:rPr>
          <w:rFonts w:hint="eastAsia" w:eastAsia="宋体"/>
          <w:b w:val="0"/>
          <w:bCs w:val="0"/>
          <w:color w:val="auto"/>
          <w:highlight w:val="none"/>
          <w:shd w:val="clear" w:color="auto" w:fill="auto"/>
          <w:lang w:eastAsia="zh-CN"/>
        </w:rPr>
      </w:pPr>
      <w:r>
        <w:rPr>
          <w:rFonts w:hint="eastAsia" w:asciiTheme="majorEastAsia" w:hAnsiTheme="majorEastAsia" w:eastAsiaTheme="majorEastAsia" w:cstheme="majorEastAsia"/>
          <w:b w:val="0"/>
          <w:bCs w:val="0"/>
          <w:color w:val="auto"/>
          <w:sz w:val="21"/>
          <w:szCs w:val="21"/>
          <w:highlight w:val="none"/>
          <w:shd w:val="clear" w:color="auto" w:fill="auto"/>
          <w:lang w:val="en-US" w:eastAsia="zh-CN"/>
        </w:rPr>
        <w:t xml:space="preserve">   </w:t>
      </w:r>
      <w:r>
        <w:rPr>
          <w:rFonts w:hint="eastAsia" w:asciiTheme="majorEastAsia" w:hAnsiTheme="majorEastAsia" w:eastAsiaTheme="majorEastAsia" w:cstheme="majorEastAsia"/>
          <w:b w:val="0"/>
          <w:bCs w:val="0"/>
          <w:color w:val="auto"/>
          <w:sz w:val="21"/>
          <w:szCs w:val="21"/>
          <w:highlight w:val="none"/>
          <w:shd w:val="clear" w:color="auto" w:fill="auto"/>
        </w:rPr>
        <w:t>满足基本质保期的基础上，</w:t>
      </w:r>
      <w:r>
        <w:rPr>
          <w:rFonts w:hint="eastAsia" w:asciiTheme="majorEastAsia" w:hAnsiTheme="majorEastAsia" w:eastAsiaTheme="majorEastAsia" w:cstheme="majorEastAsia"/>
          <w:b w:val="0"/>
          <w:bCs w:val="0"/>
          <w:color w:val="auto"/>
          <w:sz w:val="21"/>
          <w:szCs w:val="21"/>
          <w:highlight w:val="none"/>
          <w:shd w:val="clear" w:color="auto" w:fill="auto"/>
          <w:lang w:val="en-US" w:eastAsia="zh-CN"/>
        </w:rPr>
        <w:t>所有产品整体</w:t>
      </w:r>
      <w:r>
        <w:rPr>
          <w:rFonts w:hint="eastAsia" w:asciiTheme="majorEastAsia" w:hAnsiTheme="majorEastAsia" w:eastAsiaTheme="majorEastAsia" w:cstheme="majorEastAsia"/>
          <w:b w:val="0"/>
          <w:bCs w:val="0"/>
          <w:color w:val="auto"/>
          <w:sz w:val="21"/>
          <w:szCs w:val="21"/>
          <w:highlight w:val="none"/>
          <w:shd w:val="clear" w:color="auto" w:fill="auto"/>
        </w:rPr>
        <w:t>质保期每延长一年增加1分，满分</w:t>
      </w:r>
      <w:r>
        <w:rPr>
          <w:rFonts w:hint="eastAsia" w:asciiTheme="majorEastAsia" w:hAnsiTheme="majorEastAsia" w:eastAsiaTheme="majorEastAsia" w:cstheme="majorEastAsia"/>
          <w:b w:val="0"/>
          <w:bCs w:val="0"/>
          <w:color w:val="auto"/>
          <w:sz w:val="21"/>
          <w:szCs w:val="21"/>
          <w:highlight w:val="none"/>
          <w:shd w:val="clear" w:color="auto" w:fill="auto"/>
          <w:lang w:eastAsia="zh-CN"/>
        </w:rPr>
        <w:t>5</w:t>
      </w:r>
      <w:r>
        <w:rPr>
          <w:rFonts w:hint="eastAsia" w:asciiTheme="majorEastAsia" w:hAnsiTheme="majorEastAsia" w:eastAsiaTheme="majorEastAsia" w:cstheme="majorEastAsia"/>
          <w:b w:val="0"/>
          <w:bCs w:val="0"/>
          <w:color w:val="auto"/>
          <w:sz w:val="21"/>
          <w:szCs w:val="21"/>
          <w:highlight w:val="none"/>
          <w:shd w:val="clear" w:color="auto" w:fill="auto"/>
        </w:rPr>
        <w:t>分</w:t>
      </w:r>
      <w:r>
        <w:rPr>
          <w:rFonts w:hint="eastAsia" w:asciiTheme="majorEastAsia" w:hAnsiTheme="majorEastAsia" w:eastAsiaTheme="majorEastAsia" w:cstheme="majorEastAsia"/>
          <w:b w:val="0"/>
          <w:bCs w:val="0"/>
          <w:color w:val="auto"/>
          <w:sz w:val="21"/>
          <w:szCs w:val="21"/>
          <w:highlight w:val="none"/>
          <w:shd w:val="clear" w:color="auto" w:fill="auto"/>
          <w:lang w:eastAsia="zh-CN"/>
        </w:rPr>
        <w:t>（须提供制造厂家的质保证明或投标人的承诺书）</w:t>
      </w:r>
      <w:r>
        <w:rPr>
          <w:rFonts w:hint="eastAsia" w:asciiTheme="majorEastAsia" w:hAnsiTheme="majorEastAsia" w:eastAsiaTheme="majorEastAsia" w:cstheme="majorEastAsia"/>
          <w:b w:val="0"/>
          <w:bCs w:val="0"/>
          <w:color w:val="auto"/>
          <w:sz w:val="21"/>
          <w:szCs w:val="21"/>
          <w:highlight w:val="none"/>
          <w:shd w:val="clear" w:color="auto" w:fill="auto"/>
        </w:rPr>
        <w:t>。</w:t>
      </w:r>
    </w:p>
    <w:p>
      <w:pPr>
        <w:pageBreakBefore w:val="0"/>
        <w:widowControl/>
        <w:kinsoku/>
        <w:overflowPunct/>
        <w:topLinePunct w:val="0"/>
        <w:autoSpaceDE/>
        <w:autoSpaceDN/>
        <w:bidi w:val="0"/>
        <w:spacing w:line="420" w:lineRule="exact"/>
        <w:ind w:left="420" w:leftChars="200"/>
        <w:jc w:val="left"/>
        <w:rPr>
          <w:b/>
          <w:color w:val="auto"/>
          <w:highlight w:val="none"/>
          <w:shd w:val="clear" w:color="auto" w:fill="auto"/>
        </w:rPr>
      </w:pPr>
      <w:r>
        <w:rPr>
          <w:rFonts w:hint="eastAsia"/>
          <w:b/>
          <w:bCs/>
          <w:color w:val="auto"/>
          <w:highlight w:val="none"/>
          <w:shd w:val="clear" w:color="auto" w:fill="auto"/>
        </w:rPr>
        <w:t>3</w:t>
      </w:r>
      <w:r>
        <w:rPr>
          <w:rFonts w:hint="eastAsia"/>
          <w:b/>
          <w:bCs/>
          <w:color w:val="auto"/>
          <w:highlight w:val="none"/>
          <w:shd w:val="clear" w:color="auto" w:fill="auto"/>
          <w:lang w:eastAsia="zh-CN"/>
        </w:rPr>
        <w:t>、</w:t>
      </w:r>
      <w:r>
        <w:rPr>
          <w:rFonts w:hint="eastAsia"/>
          <w:b/>
          <w:bCs/>
          <w:color w:val="auto"/>
          <w:highlight w:val="none"/>
          <w:shd w:val="clear" w:color="auto" w:fill="auto"/>
        </w:rPr>
        <w:t xml:space="preserve">商务分 </w:t>
      </w:r>
      <w:r>
        <w:rPr>
          <w:rFonts w:hint="eastAsia" w:hAnsi="宋体"/>
          <w:b/>
          <w:bCs/>
          <w:color w:val="auto"/>
          <w:spacing w:val="-8"/>
          <w:highlight w:val="none"/>
          <w:shd w:val="clear" w:color="auto" w:fill="auto"/>
        </w:rPr>
        <w:t>……………………………………………………………………………</w:t>
      </w:r>
      <w:r>
        <w:rPr>
          <w:rFonts w:hint="eastAsia" w:hAnsi="宋体"/>
          <w:b/>
          <w:bCs/>
          <w:color w:val="auto"/>
          <w:spacing w:val="-8"/>
          <w:highlight w:val="none"/>
          <w:shd w:val="clear" w:color="auto" w:fill="auto"/>
          <w:lang w:val="en-US" w:eastAsia="zh-CN"/>
        </w:rPr>
        <w:t>18</w:t>
      </w:r>
      <w:r>
        <w:rPr>
          <w:rFonts w:hint="eastAsia"/>
          <w:b/>
          <w:color w:val="auto"/>
          <w:highlight w:val="none"/>
          <w:shd w:val="clear" w:color="auto" w:fill="auto"/>
        </w:rPr>
        <w:t>分</w:t>
      </w:r>
    </w:p>
    <w:p>
      <w:pPr>
        <w:pageBreakBefore w:val="0"/>
        <w:kinsoku/>
        <w:wordWrap w:val="0"/>
        <w:overflowPunct/>
        <w:topLinePunct w:val="0"/>
        <w:autoSpaceDE/>
        <w:autoSpaceDN/>
        <w:bidi w:val="0"/>
        <w:spacing w:line="420" w:lineRule="exact"/>
        <w:ind w:firstLine="420" w:firstLineChars="200"/>
        <w:rPr>
          <w:color w:val="auto"/>
          <w:szCs w:val="21"/>
          <w:highlight w:val="none"/>
          <w:shd w:val="clear" w:color="auto" w:fill="auto"/>
        </w:rPr>
      </w:pPr>
      <w:r>
        <w:rPr>
          <w:rFonts w:hint="eastAsia"/>
          <w:color w:val="auto"/>
          <w:szCs w:val="21"/>
          <w:highlight w:val="none"/>
          <w:shd w:val="clear" w:color="auto" w:fill="auto"/>
        </w:rPr>
        <w:t>（</w:t>
      </w:r>
      <w:r>
        <w:rPr>
          <w:color w:val="auto"/>
          <w:szCs w:val="21"/>
          <w:highlight w:val="none"/>
          <w:shd w:val="clear" w:color="auto" w:fill="auto"/>
        </w:rPr>
        <w:t>1</w:t>
      </w:r>
      <w:r>
        <w:rPr>
          <w:rFonts w:hint="eastAsia"/>
          <w:color w:val="auto"/>
          <w:szCs w:val="21"/>
          <w:highlight w:val="none"/>
          <w:shd w:val="clear" w:color="auto" w:fill="auto"/>
        </w:rPr>
        <w:t>）投标人通过ISO9001质量管理体系认证、ISO14001环境管理体系认证、ISO45001职业健康安全管理体系认证，投标时提供证书复印件并加盖投标人（CA签章）的，每提供1份得2分，满分</w:t>
      </w:r>
      <w:r>
        <w:rPr>
          <w:rFonts w:hint="eastAsia"/>
          <w:color w:val="auto"/>
          <w:szCs w:val="21"/>
          <w:highlight w:val="none"/>
          <w:shd w:val="clear" w:color="auto" w:fill="auto"/>
          <w:lang w:val="en-US" w:eastAsia="zh-CN"/>
        </w:rPr>
        <w:t>6</w:t>
      </w:r>
      <w:r>
        <w:rPr>
          <w:rFonts w:hint="eastAsia"/>
          <w:color w:val="auto"/>
          <w:szCs w:val="21"/>
          <w:highlight w:val="none"/>
          <w:shd w:val="clear" w:color="auto" w:fill="auto"/>
        </w:rPr>
        <w:t>分</w:t>
      </w:r>
    </w:p>
    <w:p>
      <w:pPr>
        <w:pageBreakBefore w:val="0"/>
        <w:kinsoku/>
        <w:overflowPunct/>
        <w:topLinePunct w:val="0"/>
        <w:autoSpaceDE/>
        <w:autoSpaceDN/>
        <w:bidi w:val="0"/>
        <w:spacing w:line="420" w:lineRule="exact"/>
        <w:rPr>
          <w:color w:val="auto"/>
          <w:highlight w:val="none"/>
          <w:shd w:val="clear" w:color="auto" w:fill="auto"/>
        </w:rPr>
      </w:pPr>
      <w:r>
        <w:rPr>
          <w:rFonts w:hint="eastAsia"/>
          <w:color w:val="auto"/>
          <w:szCs w:val="21"/>
          <w:highlight w:val="none"/>
          <w:shd w:val="clear" w:color="auto" w:fill="auto"/>
          <w:lang w:val="en-US" w:eastAsia="zh-CN"/>
        </w:rPr>
        <w:t xml:space="preserve">    </w:t>
      </w:r>
      <w:r>
        <w:rPr>
          <w:rFonts w:hint="eastAsia"/>
          <w:color w:val="auto"/>
          <w:szCs w:val="21"/>
          <w:highlight w:val="none"/>
          <w:shd w:val="clear" w:color="auto" w:fill="auto"/>
        </w:rPr>
        <w:t>（2）投标人</w:t>
      </w:r>
      <w:r>
        <w:rPr>
          <w:color w:val="auto"/>
          <w:szCs w:val="21"/>
          <w:highlight w:val="none"/>
          <w:shd w:val="clear" w:color="auto" w:fill="auto"/>
        </w:rPr>
        <w:t>202</w:t>
      </w:r>
      <w:r>
        <w:rPr>
          <w:rFonts w:hint="eastAsia"/>
          <w:color w:val="auto"/>
          <w:szCs w:val="21"/>
          <w:highlight w:val="none"/>
          <w:shd w:val="clear" w:color="auto" w:fill="auto"/>
        </w:rPr>
        <w:t>2年</w:t>
      </w:r>
      <w:r>
        <w:rPr>
          <w:color w:val="auto"/>
          <w:szCs w:val="21"/>
          <w:highlight w:val="none"/>
          <w:shd w:val="clear" w:color="auto" w:fill="auto"/>
        </w:rPr>
        <w:t>1</w:t>
      </w:r>
      <w:r>
        <w:rPr>
          <w:rFonts w:hint="eastAsia"/>
          <w:color w:val="auto"/>
          <w:szCs w:val="21"/>
          <w:highlight w:val="none"/>
          <w:shd w:val="clear" w:color="auto" w:fill="auto"/>
        </w:rPr>
        <w:t>月</w:t>
      </w:r>
      <w:r>
        <w:rPr>
          <w:color w:val="auto"/>
          <w:szCs w:val="21"/>
          <w:highlight w:val="none"/>
          <w:shd w:val="clear" w:color="auto" w:fill="auto"/>
        </w:rPr>
        <w:t>1</w:t>
      </w:r>
      <w:r>
        <w:rPr>
          <w:rFonts w:hint="eastAsia"/>
          <w:color w:val="auto"/>
          <w:szCs w:val="21"/>
          <w:highlight w:val="none"/>
          <w:shd w:val="clear" w:color="auto" w:fill="auto"/>
        </w:rPr>
        <w:t>日至今承接的</w:t>
      </w:r>
      <w:r>
        <w:rPr>
          <w:rFonts w:hint="eastAsia"/>
          <w:b/>
          <w:bCs/>
          <w:color w:val="auto"/>
          <w:szCs w:val="21"/>
          <w:highlight w:val="none"/>
          <w:shd w:val="clear" w:color="auto" w:fill="auto"/>
        </w:rPr>
        <w:t>同类</w:t>
      </w:r>
      <w:r>
        <w:rPr>
          <w:rFonts w:hint="eastAsia"/>
          <w:b/>
          <w:bCs/>
          <w:color w:val="auto"/>
          <w:szCs w:val="21"/>
          <w:highlight w:val="none"/>
          <w:shd w:val="clear" w:color="auto" w:fill="auto"/>
          <w:lang w:eastAsia="zh-CN"/>
        </w:rPr>
        <w:t>项目（</w:t>
      </w:r>
      <w:r>
        <w:rPr>
          <w:rFonts w:hint="eastAsia" w:ascii="宋体" w:hAnsi="宋体"/>
          <w:b/>
          <w:bCs/>
          <w:color w:val="auto"/>
          <w:szCs w:val="21"/>
          <w:highlight w:val="none"/>
          <w:shd w:val="clear" w:color="auto" w:fill="auto"/>
          <w:lang w:eastAsia="zh-CN"/>
        </w:rPr>
        <w:t>货物</w:t>
      </w:r>
      <w:r>
        <w:rPr>
          <w:rFonts w:hint="eastAsia"/>
          <w:b/>
          <w:bCs/>
          <w:color w:val="auto"/>
          <w:szCs w:val="21"/>
          <w:highlight w:val="none"/>
          <w:shd w:val="clear" w:color="auto" w:fill="auto"/>
          <w:lang w:val="en-US" w:eastAsia="zh-CN"/>
        </w:rPr>
        <w:t>包含但不限：本分标的核心产品</w:t>
      </w:r>
      <w:r>
        <w:rPr>
          <w:rFonts w:hint="eastAsia"/>
          <w:b/>
          <w:bCs/>
          <w:color w:val="auto"/>
          <w:szCs w:val="21"/>
          <w:highlight w:val="none"/>
          <w:shd w:val="clear" w:color="auto" w:fill="auto"/>
          <w:lang w:eastAsia="zh-CN"/>
        </w:rPr>
        <w:t>）</w:t>
      </w:r>
      <w:r>
        <w:rPr>
          <w:rFonts w:hint="eastAsia"/>
          <w:color w:val="auto"/>
          <w:szCs w:val="21"/>
          <w:highlight w:val="none"/>
          <w:shd w:val="clear" w:color="auto" w:fill="auto"/>
        </w:rPr>
        <w:t>业绩</w:t>
      </w:r>
      <w:r>
        <w:rPr>
          <w:rFonts w:hint="eastAsia"/>
          <w:color w:val="auto"/>
          <w:highlight w:val="none"/>
          <w:shd w:val="clear" w:color="auto" w:fill="auto"/>
          <w:lang w:eastAsia="zh-CN"/>
        </w:rPr>
        <w:t>，</w:t>
      </w:r>
      <w:r>
        <w:rPr>
          <w:rFonts w:hint="eastAsia"/>
          <w:color w:val="auto"/>
          <w:szCs w:val="21"/>
          <w:highlight w:val="none"/>
          <w:shd w:val="clear" w:color="auto" w:fill="auto"/>
        </w:rPr>
        <w:t>投标人于投标文件中提供以下相关证明材料并加盖投标人公章，否则不予计分：①项目中标</w:t>
      </w:r>
      <w:r>
        <w:rPr>
          <w:color w:val="auto"/>
          <w:szCs w:val="21"/>
          <w:highlight w:val="none"/>
          <w:shd w:val="clear" w:color="auto" w:fill="auto"/>
        </w:rPr>
        <w:t>/</w:t>
      </w:r>
      <w:r>
        <w:rPr>
          <w:rFonts w:hint="eastAsia"/>
          <w:color w:val="auto"/>
          <w:szCs w:val="21"/>
          <w:highlight w:val="none"/>
          <w:shd w:val="clear" w:color="auto" w:fill="auto"/>
        </w:rPr>
        <w:t>成交通知书（能清晰反映中标</w:t>
      </w:r>
      <w:r>
        <w:rPr>
          <w:color w:val="auto"/>
          <w:szCs w:val="21"/>
          <w:highlight w:val="none"/>
          <w:shd w:val="clear" w:color="auto" w:fill="auto"/>
        </w:rPr>
        <w:t>/</w:t>
      </w:r>
      <w:r>
        <w:rPr>
          <w:rFonts w:hint="eastAsia"/>
          <w:color w:val="auto"/>
          <w:szCs w:val="21"/>
          <w:highlight w:val="none"/>
          <w:shd w:val="clear" w:color="auto" w:fill="auto"/>
        </w:rPr>
        <w:t>成交标的或产品信息）或项目合同封面及关键页（能清晰反映合同标的或产品信息），每提供1个业绩，得2分，满分</w:t>
      </w:r>
      <w:r>
        <w:rPr>
          <w:rFonts w:hint="eastAsia"/>
          <w:color w:val="auto"/>
          <w:szCs w:val="21"/>
          <w:highlight w:val="none"/>
          <w:shd w:val="clear" w:color="auto" w:fill="auto"/>
          <w:lang w:val="en-US" w:eastAsia="zh-CN"/>
        </w:rPr>
        <w:t>10</w:t>
      </w:r>
      <w:r>
        <w:rPr>
          <w:rFonts w:hint="eastAsia"/>
          <w:color w:val="auto"/>
          <w:szCs w:val="21"/>
          <w:highlight w:val="none"/>
          <w:shd w:val="clear" w:color="auto" w:fill="auto"/>
        </w:rPr>
        <w:t>分。</w:t>
      </w:r>
    </w:p>
    <w:p>
      <w:pPr>
        <w:pStyle w:val="652"/>
        <w:pageBreakBefore w:val="0"/>
        <w:kinsoku/>
        <w:overflowPunct/>
        <w:topLinePunct w:val="0"/>
        <w:autoSpaceDE/>
        <w:autoSpaceDN/>
        <w:bidi w:val="0"/>
        <w:spacing w:line="420" w:lineRule="exact"/>
        <w:ind w:left="0" w:leftChars="0" w:firstLine="0" w:firstLineChars="0"/>
        <w:rPr>
          <w:color w:val="auto"/>
          <w:kern w:val="2"/>
          <w:sz w:val="21"/>
          <w:szCs w:val="21"/>
          <w:highlight w:val="none"/>
          <w:shd w:val="clear" w:color="auto" w:fill="auto"/>
        </w:rPr>
      </w:pPr>
      <w:r>
        <w:rPr>
          <w:rFonts w:hint="eastAsia"/>
          <w:color w:val="auto"/>
          <w:kern w:val="2"/>
          <w:sz w:val="21"/>
          <w:szCs w:val="21"/>
          <w:highlight w:val="none"/>
          <w:shd w:val="clear" w:color="auto" w:fill="auto"/>
          <w:lang w:val="en-US" w:eastAsia="zh-CN"/>
        </w:rPr>
        <w:t xml:space="preserve">   </w:t>
      </w:r>
      <w:r>
        <w:rPr>
          <w:rFonts w:hint="eastAsia"/>
          <w:color w:val="auto"/>
          <w:kern w:val="2"/>
          <w:sz w:val="21"/>
          <w:szCs w:val="21"/>
          <w:highlight w:val="none"/>
          <w:shd w:val="clear" w:color="auto" w:fill="auto"/>
        </w:rPr>
        <w:t>（3）政策功能分（满分</w:t>
      </w:r>
      <w:r>
        <w:rPr>
          <w:rFonts w:hint="eastAsia"/>
          <w:color w:val="auto"/>
          <w:kern w:val="2"/>
          <w:sz w:val="21"/>
          <w:szCs w:val="21"/>
          <w:highlight w:val="none"/>
          <w:shd w:val="clear" w:color="auto" w:fill="auto"/>
          <w:lang w:val="en-US" w:eastAsia="zh-CN"/>
        </w:rPr>
        <w:t>2</w:t>
      </w:r>
      <w:r>
        <w:rPr>
          <w:rFonts w:hint="eastAsia"/>
          <w:color w:val="auto"/>
          <w:kern w:val="2"/>
          <w:sz w:val="21"/>
          <w:szCs w:val="21"/>
          <w:highlight w:val="none"/>
          <w:shd w:val="clear" w:color="auto" w:fill="auto"/>
        </w:rPr>
        <w:t>分）</w:t>
      </w:r>
    </w:p>
    <w:p>
      <w:pPr>
        <w:pStyle w:val="225"/>
        <w:pageBreakBefore w:val="0"/>
        <w:kinsoku/>
        <w:overflowPunct/>
        <w:topLinePunct w:val="0"/>
        <w:autoSpaceDE/>
        <w:autoSpaceDN/>
        <w:bidi w:val="0"/>
        <w:adjustRightInd w:val="0"/>
        <w:snapToGrid w:val="0"/>
        <w:spacing w:line="420" w:lineRule="exact"/>
        <w:ind w:firstLine="420"/>
        <w:rPr>
          <w:rFonts w:hint="eastAsia"/>
          <w:color w:val="auto"/>
          <w:highlight w:val="none"/>
          <w:shd w:val="clear" w:color="auto" w:fill="auto"/>
        </w:rPr>
      </w:pPr>
      <w:r>
        <w:rPr>
          <w:rFonts w:hint="eastAsia"/>
          <w:color w:val="auto"/>
          <w:highlight w:val="none"/>
          <w:shd w:val="clear" w:color="auto" w:fill="auto"/>
        </w:rPr>
        <w:t>①投标产品纳入（财库[2019]19号）中节能产品政府采购清单的（适用于非强制采购节能产品</w:t>
      </w:r>
      <w:r>
        <w:rPr>
          <w:rFonts w:hint="eastAsia"/>
          <w:color w:val="auto"/>
          <w:highlight w:val="none"/>
          <w:shd w:val="clear" w:color="auto" w:fill="auto"/>
          <w:lang w:eastAsia="zh-CN"/>
        </w:rPr>
        <w:t>，</w:t>
      </w:r>
      <w:r>
        <w:rPr>
          <w:rFonts w:hint="eastAsia"/>
          <w:color w:val="auto"/>
          <w:highlight w:val="none"/>
          <w:shd w:val="clear" w:color="auto" w:fill="auto"/>
        </w:rPr>
        <w:t>依据《市场监管总局关于发布参与实施政府采购节能产品、环境标志产品认证机构名录的公告》，提供所投相应型号产品有效的认证证书扫描件或其他电子文件</w:t>
      </w:r>
      <w:r>
        <w:rPr>
          <w:rFonts w:hint="eastAsia"/>
          <w:color w:val="auto"/>
          <w:highlight w:val="none"/>
          <w:shd w:val="clear" w:color="auto" w:fill="auto"/>
          <w:lang w:eastAsia="zh-CN"/>
        </w:rPr>
        <w:t>），得</w:t>
      </w:r>
      <w:r>
        <w:rPr>
          <w:rFonts w:hint="eastAsia"/>
          <w:color w:val="auto"/>
          <w:highlight w:val="none"/>
          <w:shd w:val="clear" w:color="auto" w:fill="auto"/>
          <w:lang w:val="en-US" w:eastAsia="zh-CN"/>
        </w:rPr>
        <w:t>1分，</w:t>
      </w:r>
      <w:r>
        <w:rPr>
          <w:rFonts w:hint="eastAsia"/>
          <w:color w:val="auto"/>
          <w:highlight w:val="none"/>
          <w:shd w:val="clear" w:color="auto" w:fill="auto"/>
        </w:rPr>
        <w:t>满分</w:t>
      </w:r>
      <w:r>
        <w:rPr>
          <w:rFonts w:hint="eastAsia"/>
          <w:color w:val="auto"/>
          <w:highlight w:val="none"/>
          <w:shd w:val="clear" w:color="auto" w:fill="auto"/>
          <w:lang w:val="en-US" w:eastAsia="zh-CN"/>
        </w:rPr>
        <w:t>1</w:t>
      </w:r>
      <w:r>
        <w:rPr>
          <w:rFonts w:hint="eastAsia"/>
          <w:color w:val="auto"/>
          <w:highlight w:val="none"/>
          <w:shd w:val="clear" w:color="auto" w:fill="auto"/>
        </w:rPr>
        <w:t>分。</w:t>
      </w:r>
    </w:p>
    <w:p>
      <w:pPr>
        <w:pageBreakBefore w:val="0"/>
        <w:kinsoku/>
        <w:overflowPunct/>
        <w:topLinePunct w:val="0"/>
        <w:autoSpaceDE/>
        <w:autoSpaceDN/>
        <w:bidi w:val="0"/>
        <w:spacing w:line="420" w:lineRule="exact"/>
        <w:ind w:firstLine="420" w:firstLineChars="200"/>
        <w:outlineLvl w:val="0"/>
        <w:rPr>
          <w:rFonts w:hint="eastAsia" w:ascii="宋体" w:hAnsi="宋体" w:cs="宋体"/>
          <w:color w:val="auto"/>
          <w:highlight w:val="none"/>
          <w:shd w:val="clear" w:color="auto" w:fill="auto"/>
        </w:rPr>
      </w:pPr>
      <w:r>
        <w:rPr>
          <w:rFonts w:hint="eastAsia" w:ascii="宋体" w:hAnsi="宋体" w:cs="宋体"/>
          <w:bCs/>
          <w:color w:val="auto"/>
          <w:kern w:val="0"/>
          <w:szCs w:val="21"/>
          <w:highlight w:val="none"/>
          <w:shd w:val="clear" w:color="auto" w:fill="auto"/>
          <w:lang w:bidi="ar"/>
        </w:rPr>
        <w:fldChar w:fldCharType="begin"/>
      </w:r>
      <w:r>
        <w:rPr>
          <w:rFonts w:hint="eastAsia" w:ascii="宋体" w:hAnsi="宋体" w:cs="宋体"/>
          <w:bCs/>
          <w:color w:val="auto"/>
          <w:kern w:val="0"/>
          <w:szCs w:val="21"/>
          <w:highlight w:val="none"/>
          <w:shd w:val="clear" w:color="auto" w:fill="auto"/>
          <w:lang w:bidi="ar"/>
        </w:rPr>
        <w:instrText xml:space="preserve"> = 2 \* GB3 \* MERGEFORMAT </w:instrText>
      </w:r>
      <w:r>
        <w:rPr>
          <w:rFonts w:hint="eastAsia" w:ascii="宋体" w:hAnsi="宋体" w:cs="宋体"/>
          <w:bCs/>
          <w:color w:val="auto"/>
          <w:kern w:val="0"/>
          <w:szCs w:val="21"/>
          <w:highlight w:val="none"/>
          <w:shd w:val="clear" w:color="auto" w:fill="auto"/>
          <w:lang w:bidi="ar"/>
        </w:rPr>
        <w:fldChar w:fldCharType="separate"/>
      </w:r>
      <w:r>
        <w:rPr>
          <w:rFonts w:hint="eastAsia" w:ascii="宋体" w:hAnsi="宋体" w:cs="宋体"/>
          <w:color w:val="auto"/>
          <w:highlight w:val="none"/>
          <w:shd w:val="clear" w:color="auto" w:fill="auto"/>
        </w:rPr>
        <w:t>②</w:t>
      </w:r>
      <w:r>
        <w:rPr>
          <w:rFonts w:hint="eastAsia" w:ascii="宋体" w:hAnsi="宋体" w:cs="宋体"/>
          <w:bCs/>
          <w:color w:val="auto"/>
          <w:kern w:val="0"/>
          <w:szCs w:val="21"/>
          <w:highlight w:val="none"/>
          <w:shd w:val="clear" w:color="auto" w:fill="auto"/>
          <w:lang w:bidi="ar"/>
        </w:rPr>
        <w:fldChar w:fldCharType="end"/>
      </w:r>
      <w:r>
        <w:rPr>
          <w:rFonts w:hint="eastAsia" w:ascii="宋体" w:hAnsi="宋体" w:cs="宋体"/>
          <w:color w:val="auto"/>
          <w:highlight w:val="none"/>
          <w:shd w:val="clear" w:color="auto" w:fill="auto"/>
        </w:rPr>
        <w:t>投标产品纳入（财库[2019]18号）中环境标志产品政府采购清单的（依据《市场监管总局关于发</w:t>
      </w:r>
      <w:r>
        <w:rPr>
          <w:rFonts w:hint="eastAsia"/>
          <w:color w:val="auto"/>
          <w:highlight w:val="none"/>
          <w:shd w:val="clear" w:color="auto" w:fill="auto"/>
        </w:rPr>
        <w:t>布参与实施政府采购节能产品、环境标志产品认证机构名录的公告》，提供所投相应型号产品有效的认</w:t>
      </w:r>
      <w:r>
        <w:rPr>
          <w:rFonts w:hint="eastAsia" w:ascii="宋体" w:hAnsi="宋体" w:cs="宋体"/>
          <w:color w:val="auto"/>
          <w:highlight w:val="none"/>
          <w:shd w:val="clear" w:color="auto" w:fill="auto"/>
        </w:rPr>
        <w:t>证证书扫描件或其他电子文件）</w:t>
      </w:r>
      <w:r>
        <w:rPr>
          <w:rFonts w:hint="eastAsia"/>
          <w:color w:val="auto"/>
          <w:highlight w:val="none"/>
          <w:shd w:val="clear" w:color="auto" w:fill="auto"/>
          <w:lang w:eastAsia="zh-CN"/>
        </w:rPr>
        <w:t>，得</w:t>
      </w:r>
      <w:r>
        <w:rPr>
          <w:rFonts w:hint="eastAsia"/>
          <w:color w:val="auto"/>
          <w:highlight w:val="none"/>
          <w:shd w:val="clear" w:color="auto" w:fill="auto"/>
          <w:lang w:val="en-US" w:eastAsia="zh-CN"/>
        </w:rPr>
        <w:t>1分，</w:t>
      </w:r>
      <w:r>
        <w:rPr>
          <w:rFonts w:hint="eastAsia" w:ascii="宋体" w:hAnsi="宋体" w:cs="宋体"/>
          <w:color w:val="auto"/>
          <w:highlight w:val="none"/>
          <w:shd w:val="clear" w:color="auto" w:fill="auto"/>
        </w:rPr>
        <w:t>满分</w:t>
      </w:r>
      <w:r>
        <w:rPr>
          <w:rFonts w:hint="eastAsia" w:ascii="宋体" w:hAnsi="宋体" w:cs="宋体"/>
          <w:color w:val="auto"/>
          <w:highlight w:val="none"/>
          <w:shd w:val="clear" w:color="auto" w:fill="auto"/>
          <w:lang w:val="en-US" w:eastAsia="zh-CN"/>
        </w:rPr>
        <w:t>1</w:t>
      </w:r>
      <w:r>
        <w:rPr>
          <w:rFonts w:hint="eastAsia" w:ascii="宋体" w:hAnsi="宋体" w:cs="宋体"/>
          <w:color w:val="auto"/>
          <w:highlight w:val="none"/>
          <w:shd w:val="clear" w:color="auto" w:fill="auto"/>
        </w:rPr>
        <w:t>分。</w:t>
      </w:r>
    </w:p>
    <w:p>
      <w:pPr>
        <w:pStyle w:val="29"/>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rPr>
          <w:rFonts w:hint="eastAsia" w:ascii="宋体" w:hAnsi="宋体" w:eastAsia="宋体" w:cs="Times New Roman"/>
          <w:color w:val="auto"/>
          <w:kern w:val="2"/>
          <w:sz w:val="21"/>
          <w:szCs w:val="21"/>
          <w:highlight w:val="none"/>
          <w:shd w:val="clear" w:color="auto" w:fill="auto"/>
          <w:lang w:val="en-US" w:eastAsia="zh-CN" w:bidi="ar-SA"/>
        </w:rPr>
      </w:pPr>
    </w:p>
    <w:p>
      <w:pPr>
        <w:keepNext w:val="0"/>
        <w:keepLines w:val="0"/>
        <w:pageBreakBefore w:val="0"/>
        <w:widowControl w:val="0"/>
        <w:kinsoku/>
        <w:wordWrap/>
        <w:overflowPunct/>
        <w:topLinePunct w:val="0"/>
        <w:autoSpaceDE/>
        <w:autoSpaceDN/>
        <w:bidi w:val="0"/>
        <w:adjustRightInd/>
        <w:snapToGrid/>
        <w:spacing w:line="420" w:lineRule="exact"/>
        <w:ind w:firstLine="405"/>
        <w:textAlignment w:val="auto"/>
        <w:rPr>
          <w:rFonts w:hint="eastAsia" w:hAnsi="Courier New" w:cs="Courier New"/>
          <w:b/>
          <w:bCs/>
          <w:color w:val="auto"/>
          <w:szCs w:val="21"/>
          <w:highlight w:val="none"/>
          <w:shd w:val="clear" w:color="auto" w:fill="auto"/>
        </w:rPr>
      </w:pPr>
      <w:r>
        <w:rPr>
          <w:rFonts w:hint="eastAsia" w:hAnsi="宋体" w:cs="宋体"/>
          <w:b/>
          <w:bCs/>
          <w:color w:val="auto"/>
          <w:spacing w:val="-2"/>
          <w:szCs w:val="21"/>
          <w:highlight w:val="none"/>
          <w:shd w:val="clear" w:color="auto" w:fill="auto"/>
        </w:rPr>
        <w:t>（</w:t>
      </w:r>
      <w:r>
        <w:rPr>
          <w:rFonts w:hint="eastAsia" w:cs="Courier New"/>
          <w:b/>
          <w:bCs/>
          <w:color w:val="auto"/>
          <w:spacing w:val="-2"/>
          <w:szCs w:val="21"/>
          <w:highlight w:val="none"/>
          <w:shd w:val="clear" w:color="auto" w:fill="auto"/>
        </w:rPr>
        <w:t>三</w:t>
      </w:r>
      <w:r>
        <w:rPr>
          <w:rFonts w:hint="eastAsia" w:hAnsi="宋体" w:cs="宋体"/>
          <w:b/>
          <w:bCs/>
          <w:color w:val="auto"/>
          <w:spacing w:val="-2"/>
          <w:szCs w:val="21"/>
          <w:highlight w:val="none"/>
          <w:shd w:val="clear" w:color="auto" w:fill="auto"/>
        </w:rPr>
        <w:t>）总得分</w:t>
      </w:r>
      <w:r>
        <w:rPr>
          <w:rFonts w:hint="eastAsia" w:eastAsia="Calibri" w:cs="Courier New"/>
          <w:b/>
          <w:bCs/>
          <w:color w:val="auto"/>
          <w:spacing w:val="-2"/>
          <w:szCs w:val="21"/>
          <w:highlight w:val="none"/>
          <w:shd w:val="clear" w:color="auto" w:fill="auto"/>
        </w:rPr>
        <w:t>=</w:t>
      </w:r>
      <w:r>
        <w:rPr>
          <w:rFonts w:hint="eastAsia" w:cs="Courier New"/>
          <w:color w:val="auto"/>
          <w:szCs w:val="21"/>
          <w:highlight w:val="none"/>
          <w:shd w:val="clear" w:color="auto" w:fill="auto"/>
        </w:rPr>
        <w:t xml:space="preserve"> </w:t>
      </w:r>
      <w:r>
        <w:rPr>
          <w:rFonts w:hint="eastAsia" w:cs="Courier New"/>
          <w:b/>
          <w:bCs/>
          <w:color w:val="auto"/>
          <w:szCs w:val="21"/>
          <w:highlight w:val="none"/>
          <w:shd w:val="clear" w:color="auto" w:fill="auto"/>
        </w:rPr>
        <w:t>1 + 2 + 3</w:t>
      </w:r>
    </w:p>
    <w:p>
      <w:pPr>
        <w:keepNext w:val="0"/>
        <w:keepLines w:val="0"/>
        <w:pageBreakBefore w:val="0"/>
        <w:widowControl w:val="0"/>
        <w:kinsoku/>
        <w:wordWrap/>
        <w:overflowPunct/>
        <w:topLinePunct w:val="0"/>
        <w:autoSpaceDE/>
        <w:autoSpaceDN/>
        <w:bidi w:val="0"/>
        <w:adjustRightInd/>
        <w:snapToGrid/>
        <w:spacing w:line="420" w:lineRule="exact"/>
        <w:ind w:firstLine="421" w:firstLineChars="200"/>
        <w:textAlignment w:val="auto"/>
        <w:rPr>
          <w:rFonts w:hint="eastAsia"/>
          <w:b/>
          <w:bCs/>
          <w:color w:val="auto"/>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420" w:lineRule="exact"/>
        <w:ind w:firstLine="421" w:firstLineChars="200"/>
        <w:textAlignment w:val="auto"/>
        <w:rPr>
          <w:rFonts w:hint="eastAsia"/>
          <w:b/>
          <w:bCs/>
          <w:color w:val="auto"/>
          <w:highlight w:val="none"/>
          <w:shd w:val="clear" w:color="auto" w:fill="auto"/>
        </w:rPr>
      </w:pPr>
      <w:r>
        <w:rPr>
          <w:rFonts w:hint="eastAsia"/>
          <w:b/>
          <w:bCs/>
          <w:color w:val="auto"/>
          <w:highlight w:val="none"/>
          <w:shd w:val="clear" w:color="auto" w:fill="auto"/>
        </w:rPr>
        <w:t>三、中标候选人推荐原则</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bCs/>
          <w:color w:val="auto"/>
          <w:highlight w:val="none"/>
          <w:shd w:val="clear" w:color="auto" w:fill="auto"/>
        </w:rPr>
      </w:pPr>
      <w:r>
        <w:rPr>
          <w:rFonts w:hint="eastAsia"/>
          <w:bCs/>
          <w:color w:val="auto"/>
          <w:highlight w:val="none"/>
          <w:shd w:val="clear" w:color="auto" w:fill="auto"/>
        </w:rPr>
        <w:t>（一）评标委员会将根据得分由高到低排列次序（得分相同时，以投标报价由低到高顺序排列；得分相同且投标报价相同的，按技术指标优劣顺序排列）并推荐中标候选供应商。采购人应当确定评审委员会推荐排名第一的中标候选人为中标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bCs/>
          <w:color w:val="auto"/>
          <w:highlight w:val="none"/>
          <w:shd w:val="clear" w:color="auto" w:fill="auto"/>
        </w:rPr>
      </w:pPr>
      <w:r>
        <w:rPr>
          <w:rFonts w:hint="eastAsia"/>
          <w:bCs/>
          <w:color w:val="auto"/>
          <w:highlight w:val="none"/>
          <w:shd w:val="clear" w:color="auto" w:fill="auto"/>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pPr>
        <w:pStyle w:val="6"/>
        <w:pageBreakBefore w:val="0"/>
        <w:kinsoku/>
        <w:overflowPunct/>
        <w:topLinePunct w:val="0"/>
        <w:autoSpaceDE/>
        <w:autoSpaceDN/>
        <w:bidi w:val="0"/>
        <w:spacing w:line="420" w:lineRule="exact"/>
        <w:jc w:val="left"/>
        <w:rPr>
          <w:rFonts w:ascii="黑体" w:eastAsia="黑体"/>
          <w:b/>
          <w:color w:val="auto"/>
          <w:sz w:val="44"/>
          <w:szCs w:val="44"/>
          <w:highlight w:val="none"/>
          <w:shd w:val="clear" w:color="auto" w:fill="auto"/>
        </w:rPr>
      </w:pPr>
      <w:r>
        <w:rPr>
          <w:rFonts w:hint="eastAsia"/>
          <w:color w:val="auto"/>
          <w:highlight w:val="none"/>
          <w:shd w:val="clear" w:color="auto" w:fill="auto"/>
        </w:rPr>
        <w:t>（</w:t>
      </w:r>
      <w:r>
        <w:rPr>
          <w:rFonts w:hint="eastAsia" w:ascii="Times New Roman" w:hAnsi="Times New Roman" w:eastAsia="宋体"/>
          <w:bCs/>
          <w:color w:val="auto"/>
          <w:kern w:val="2"/>
          <w:sz w:val="21"/>
          <w:szCs w:val="24"/>
          <w:highlight w:val="none"/>
          <w:shd w:val="clear" w:color="auto" w:fill="auto"/>
        </w:rPr>
        <w:t>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snapToGrid w:val="0"/>
        <w:jc w:val="center"/>
        <w:rPr>
          <w:rFonts w:hint="eastAsia"/>
          <w:color w:val="auto"/>
          <w:highlight w:val="none"/>
          <w:shd w:val="clear" w:color="auto" w:fill="auto"/>
        </w:rPr>
      </w:pPr>
    </w:p>
    <w:bookmarkEnd w:id="7"/>
    <w:sectPr>
      <w:footerReference r:id="rId3" w:type="default"/>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Tahoma">
    <w:altName w:val="Droid Sans"/>
    <w:panose1 w:val="020B0604030504040204"/>
    <w:charset w:val="00"/>
    <w:family w:val="swiss"/>
    <w:pitch w:val="default"/>
    <w:sig w:usb0="00000000" w:usb1="00000000" w:usb2="00000029" w:usb3="00000000" w:csb0="200101FF" w:csb1="20280000"/>
  </w:font>
  <w:font w:name="方正中等线简体 Regular">
    <w:altName w:val="黑体"/>
    <w:panose1 w:val="00000000000000000000"/>
    <w:charset w:val="86"/>
    <w:family w:val="auto"/>
    <w:pitch w:val="default"/>
    <w:sig w:usb0="00000000" w:usb1="00000000" w:usb2="00000010" w:usb3="00000000" w:csb0="00040000" w:csb1="00000000"/>
  </w:font>
  <w:font w:name="Verdana">
    <w:altName w:val="Ubuntu"/>
    <w:panose1 w:val="020B0604030504040204"/>
    <w:charset w:val="00"/>
    <w:family w:val="swiss"/>
    <w:pitch w:val="default"/>
    <w:sig w:usb0="00000000" w:usb1="00000000"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汉仪大黑简 regular">
    <w:altName w:val="黑体"/>
    <w:panose1 w:val="00000000000000000000"/>
    <w:charset w:val="86"/>
    <w:family w:val="auto"/>
    <w:pitch w:val="default"/>
    <w:sig w:usb0="00000000" w:usb1="00000000" w:usb2="00000010" w:usb3="00000000" w:csb0="00040000" w:csb1="00000000"/>
  </w:font>
  <w:font w:name="创艺简黑体">
    <w:altName w:val="黑体"/>
    <w:panose1 w:val="00000000000000000000"/>
    <w:charset w:val="86"/>
    <w:family w:val="auto"/>
    <w:pitch w:val="default"/>
    <w:sig w:usb0="00000000" w:usb1="00000000" w:usb2="0000001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微软雅黑">
    <w:altName w:val="黑体"/>
    <w:panose1 w:val="020B0503020204020204"/>
    <w:charset w:val="86"/>
    <w:family w:val="swiss"/>
    <w:pitch w:val="default"/>
    <w:sig w:usb0="00000000" w:usb1="00000000" w:usb2="00000016" w:usb3="00000000" w:csb0="0004001F" w:csb1="00000000"/>
  </w:font>
  <w:font w:name="隶书">
    <w:altName w:val="宋体"/>
    <w:panose1 w:val="02010509060101010101"/>
    <w:charset w:val="86"/>
    <w:family w:val="modern"/>
    <w:pitch w:val="default"/>
    <w:sig w:usb0="00000000" w:usb1="00000000" w:usb2="00000000" w:usb3="00000000" w:csb0="00040000" w:csb1="00000000"/>
  </w:font>
  <w:font w:name="汉仪书宋二S">
    <w:altName w:val="宋体"/>
    <w:panose1 w:val="00000000000000000000"/>
    <w:charset w:val="00"/>
    <w:family w:val="auto"/>
    <w:pitch w:val="default"/>
    <w:sig w:usb0="00000000" w:usb1="00000000" w:usb2="00000000"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Ubuntu">
    <w:panose1 w:val="020B0604030602030204"/>
    <w:charset w:val="00"/>
    <w:family w:val="auto"/>
    <w:pitch w:val="default"/>
    <w:sig w:usb0="E00002FF" w:usb1="5000205B" w:usb2="00000000" w:usb3="00000000" w:csb0="2000009F" w:csb1="56010000"/>
  </w:font>
  <w:font w:name="FreeSerif">
    <w:panose1 w:val="02020603050405020304"/>
    <w:charset w:val="00"/>
    <w:family w:val="auto"/>
    <w:pitch w:val="default"/>
    <w:sig w:usb0="E59FAFFF" w:usb1="C200FDFF" w:usb2="43501B29" w:usb3="04000043" w:csb0="600101FF" w:csb1="FFFF0000"/>
  </w:font>
  <w:font w:name="Droid Sans">
    <w:panose1 w:val="020B0606030804020204"/>
    <w:charset w:val="00"/>
    <w:family w:val="auto"/>
    <w:pitch w:val="default"/>
    <w:sig w:usb0="E00002EF" w:usb1="4000205B" w:usb2="00000028"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MDe54oUAgAAEwQAAA4AAAAAAAAAAQAgAAAANQEAAGRycy9lMm9Eb2MueG1sUEsFBgAAAAAGAAYA&#10;WQEAALsFAAAAAA==&#10;">
              <v:fill on="f" focussize="0,0"/>
              <v:stroke on="f" weight="0.5pt"/>
              <v:imagedata o:title=""/>
              <o:lock v:ext="edit" aspectratio="f"/>
              <v:textbox inset="0mm,0mm,0mm,0mm" style="mso-fit-shape-to-text:t;">
                <w:txbxContent>
                  <w:p>
                    <w:pPr>
                      <w:pStyle w:val="3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BC3FB2"/>
    <w:multiLevelType w:val="singleLevel"/>
    <w:tmpl w:val="8CBC3FB2"/>
    <w:lvl w:ilvl="0" w:tentative="0">
      <w:start w:val="5"/>
      <w:numFmt w:val="decimal"/>
      <w:suff w:val="nothing"/>
      <w:lvlText w:val="（%1）"/>
      <w:lvlJc w:val="left"/>
    </w:lvl>
  </w:abstractNum>
  <w:abstractNum w:abstractNumId="1">
    <w:nsid w:val="FDFD269E"/>
    <w:multiLevelType w:val="singleLevel"/>
    <w:tmpl w:val="FDFD269E"/>
    <w:lvl w:ilvl="0" w:tentative="0">
      <w:start w:val="1"/>
      <w:numFmt w:val="decimal"/>
      <w:lvlText w:val="%1."/>
      <w:lvlJc w:val="left"/>
      <w:pPr>
        <w:tabs>
          <w:tab w:val="left" w:pos="312"/>
        </w:tabs>
      </w:pPr>
    </w:lvl>
  </w:abstractNum>
  <w:abstractNum w:abstractNumId="2">
    <w:nsid w:val="FE7A1F79"/>
    <w:multiLevelType w:val="singleLevel"/>
    <w:tmpl w:val="FE7A1F79"/>
    <w:lvl w:ilvl="0" w:tentative="0">
      <w:start w:val="1"/>
      <w:numFmt w:val="decimal"/>
      <w:lvlText w:val="%1."/>
      <w:lvlJc w:val="left"/>
      <w:pPr>
        <w:tabs>
          <w:tab w:val="left" w:pos="312"/>
        </w:tabs>
      </w:pPr>
    </w:lvl>
  </w:abstractNum>
  <w:abstractNum w:abstractNumId="3">
    <w:nsid w:val="0000000C"/>
    <w:multiLevelType w:val="multilevel"/>
    <w:tmpl w:val="0000000C"/>
    <w:lvl w:ilvl="0" w:tentative="0">
      <w:start w:val="1"/>
      <w:numFmt w:val="decimal"/>
      <w:pStyle w:val="374"/>
      <w:suff w:val="nothing"/>
      <w:lvlText w:val="图%1　"/>
      <w:lvlJc w:val="left"/>
      <w:rPr>
        <w:rFonts w:hint="eastAsia" w:ascii="黑体" w:hAnsi="Times New Roman" w:eastAsia="黑体" w:cs="Times New Roman"/>
        <w:b w:val="0"/>
        <w:i w:val="0"/>
        <w:sz w:val="21"/>
      </w:rPr>
    </w:lvl>
    <w:lvl w:ilvl="1" w:tentative="0">
      <w:start w:val="1"/>
      <w:numFmt w:val="decimal"/>
      <w:suff w:val="nothing"/>
      <w:lvlText w:val="%1%2　"/>
      <w:lvlJc w:val="left"/>
      <w:rPr>
        <w:rFonts w:hint="default" w:ascii="Times New Roman" w:hAnsi="Times New Roman" w:eastAsia="黑体" w:cs="Times New Roman"/>
        <w:b w:val="0"/>
        <w:i w:val="0"/>
        <w:sz w:val="21"/>
      </w:rPr>
    </w:lvl>
    <w:lvl w:ilvl="2" w:tentative="0">
      <w:start w:val="1"/>
      <w:numFmt w:val="decimal"/>
      <w:suff w:val="nothing"/>
      <w:lvlText w:val="%1%2.%3　"/>
      <w:lvlJc w:val="left"/>
      <w:rPr>
        <w:rFonts w:hint="default" w:ascii="Times New Roman" w:hAnsi="Times New Roman" w:eastAsia="黑体" w:cs="Times New Roman"/>
        <w:b w:val="0"/>
        <w:i w:val="0"/>
        <w:sz w:val="21"/>
      </w:rPr>
    </w:lvl>
    <w:lvl w:ilvl="3" w:tentative="0">
      <w:start w:val="1"/>
      <w:numFmt w:val="decimal"/>
      <w:suff w:val="nothing"/>
      <w:lvlText w:val="%1%2.%3.%4　"/>
      <w:lvlJc w:val="left"/>
      <w:rPr>
        <w:rFonts w:hint="default" w:ascii="Times New Roman" w:hAnsi="Times New Roman" w:eastAsia="黑体" w:cs="Times New Roman"/>
        <w:b w:val="0"/>
        <w:i w:val="0"/>
        <w:sz w:val="21"/>
      </w:rPr>
    </w:lvl>
    <w:lvl w:ilvl="4" w:tentative="0">
      <w:start w:val="1"/>
      <w:numFmt w:val="decimal"/>
      <w:suff w:val="nothing"/>
      <w:lvlText w:val="%1%2.%3.%4.%5　"/>
      <w:lvlJc w:val="left"/>
      <w:rPr>
        <w:rFonts w:hint="default" w:ascii="Times New Roman" w:hAnsi="Times New Roman" w:eastAsia="黑体" w:cs="Times New Roman"/>
        <w:b w:val="0"/>
        <w:i w:val="0"/>
        <w:sz w:val="21"/>
      </w:rPr>
    </w:lvl>
    <w:lvl w:ilvl="5" w:tentative="0">
      <w:start w:val="1"/>
      <w:numFmt w:val="decimal"/>
      <w:suff w:val="nothing"/>
      <w:lvlText w:val="%1%2.%3.%4.%5.%6　"/>
      <w:lvlJc w:val="left"/>
      <w:rPr>
        <w:rFonts w:hint="default" w:ascii="Times New Roman" w:hAnsi="Times New Roman" w:eastAsia="黑体" w:cs="Times New Roman"/>
        <w:b w:val="0"/>
        <w:i w:val="0"/>
        <w:sz w:val="21"/>
      </w:rPr>
    </w:lvl>
    <w:lvl w:ilvl="6" w:tentative="0">
      <w:start w:val="1"/>
      <w:numFmt w:val="decimal"/>
      <w:suff w:val="nothing"/>
      <w:lvlText w:val="%1%2.%3.%4.%5.%6.%7　"/>
      <w:lvlJc w:val="left"/>
      <w:rPr>
        <w:rFonts w:hint="default" w:ascii="Times New Roman"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4">
    <w:nsid w:val="0000000D"/>
    <w:multiLevelType w:val="multilevel"/>
    <w:tmpl w:val="0000000D"/>
    <w:lvl w:ilvl="0" w:tentative="0">
      <w:start w:val="1"/>
      <w:numFmt w:val="none"/>
      <w:pStyle w:val="361"/>
      <w:suff w:val="nothing"/>
      <w:lvlText w:val="表2　"/>
      <w:lvlJc w:val="left"/>
      <w:pPr>
        <w:ind w:left="270"/>
      </w:pPr>
      <w:rPr>
        <w:rFonts w:hint="eastAsia" w:ascii="黑体" w:hAnsi="Times New Roman" w:eastAsia="黑体" w:cs="Times New Roman"/>
        <w:b w:val="0"/>
        <w:i w:val="0"/>
        <w:sz w:val="21"/>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pStyle w:val="366"/>
      <w:lvlText w:val="%1.%2.%3"/>
      <w:lvlJc w:val="left"/>
      <w:pPr>
        <w:tabs>
          <w:tab w:val="left" w:pos="1418"/>
        </w:tabs>
        <w:ind w:left="1418" w:hanging="567"/>
      </w:pPr>
      <w:rPr>
        <w:rFonts w:hint="eastAsia" w:cs="Times New Roman"/>
      </w:rPr>
    </w:lvl>
    <w:lvl w:ilvl="3" w:tentative="0">
      <w:start w:val="1"/>
      <w:numFmt w:val="decimal"/>
      <w:pStyle w:val="365"/>
      <w:lvlText w:val="%1.%2.%3.%4"/>
      <w:lvlJc w:val="left"/>
      <w:pPr>
        <w:tabs>
          <w:tab w:val="left" w:pos="1984"/>
        </w:tabs>
        <w:ind w:left="1984" w:hanging="708"/>
      </w:pPr>
      <w:rPr>
        <w:rFonts w:hint="eastAsia" w:cs="Times New Roman"/>
      </w:rPr>
    </w:lvl>
    <w:lvl w:ilvl="4" w:tentative="0">
      <w:start w:val="1"/>
      <w:numFmt w:val="decimal"/>
      <w:pStyle w:val="364"/>
      <w:lvlText w:val="%1.%2.%3.%4.%5"/>
      <w:lvlJc w:val="left"/>
      <w:pPr>
        <w:tabs>
          <w:tab w:val="left" w:pos="2551"/>
        </w:tabs>
        <w:ind w:left="2551" w:hanging="850"/>
      </w:pPr>
      <w:rPr>
        <w:rFonts w:hint="eastAsia" w:cs="Times New Roman"/>
      </w:rPr>
    </w:lvl>
    <w:lvl w:ilvl="5" w:tentative="0">
      <w:start w:val="1"/>
      <w:numFmt w:val="decimal"/>
      <w:pStyle w:val="376"/>
      <w:lvlText w:val="%1.%2.%3.%4.%5.%6"/>
      <w:lvlJc w:val="left"/>
      <w:pPr>
        <w:tabs>
          <w:tab w:val="left" w:pos="3260"/>
        </w:tabs>
        <w:ind w:left="3260" w:hanging="1134"/>
      </w:pPr>
      <w:rPr>
        <w:rFonts w:hint="eastAsia" w:cs="Times New Roman"/>
      </w:rPr>
    </w:lvl>
    <w:lvl w:ilvl="6" w:tentative="0">
      <w:start w:val="1"/>
      <w:numFmt w:val="decimal"/>
      <w:pStyle w:val="386"/>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5">
    <w:nsid w:val="0000000E"/>
    <w:multiLevelType w:val="multilevel"/>
    <w:tmpl w:val="0000000E"/>
    <w:lvl w:ilvl="0" w:tentative="0">
      <w:start w:val="1"/>
      <w:numFmt w:val="none"/>
      <w:pStyle w:val="387"/>
      <w:lvlText w:val="%1·　"/>
      <w:lvlJc w:val="left"/>
      <w:pPr>
        <w:tabs>
          <w:tab w:val="left" w:pos="1140"/>
        </w:tabs>
        <w:ind w:left="737" w:hanging="317"/>
      </w:pPr>
      <w:rPr>
        <w:rFonts w:hint="eastAsia" w:ascii="宋体" w:hAnsi="Times New Roman" w:eastAsia="宋体" w:cs="Times New Roman"/>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0000000F"/>
    <w:multiLevelType w:val="multilevel"/>
    <w:tmpl w:val="0000000F"/>
    <w:lvl w:ilvl="0" w:tentative="0">
      <w:start w:val="1"/>
      <w:numFmt w:val="upperLetter"/>
      <w:suff w:val="nothing"/>
      <w:lvlText w:val="附　录　%1"/>
      <w:lvlJc w:val="left"/>
      <w:pPr>
        <w:ind w:left="4310"/>
      </w:pPr>
      <w:rPr>
        <w:rFonts w:cs="Times New Roman"/>
      </w:rPr>
    </w:lvl>
    <w:lvl w:ilvl="1" w:tentative="0">
      <w:start w:val="1"/>
      <w:numFmt w:val="decimal"/>
      <w:pStyle w:val="344"/>
      <w:suff w:val="nothing"/>
      <w:lvlText w:val="%1.%2　"/>
      <w:lvlJc w:val="left"/>
      <w:pPr>
        <w:ind w:left="568"/>
      </w:pPr>
      <w:rPr>
        <w:rFonts w:hint="eastAsia" w:ascii="黑体" w:hAnsi="Times New Roman" w:eastAsia="黑体" w:cs="Times New Roman"/>
        <w:b w:val="0"/>
        <w:i w:val="0"/>
        <w:snapToGrid/>
        <w:spacing w:val="0"/>
        <w:w w:val="100"/>
        <w:kern w:val="21"/>
        <w:sz w:val="21"/>
      </w:rPr>
    </w:lvl>
    <w:lvl w:ilvl="2" w:tentative="0">
      <w:start w:val="1"/>
      <w:numFmt w:val="decimal"/>
      <w:pStyle w:val="380"/>
      <w:suff w:val="nothing"/>
      <w:lvlText w:val="%1.%2.%3　"/>
      <w:lvlJc w:val="left"/>
      <w:pPr>
        <w:ind w:left="5355"/>
      </w:pPr>
      <w:rPr>
        <w:rFonts w:hint="eastAsia" w:ascii="黑体" w:hAnsi="Times New Roman" w:eastAsia="黑体" w:cs="Times New Roman"/>
        <w:b w:val="0"/>
        <w:i w:val="0"/>
        <w:sz w:val="21"/>
      </w:rPr>
    </w:lvl>
    <w:lvl w:ilvl="3" w:tentative="0">
      <w:start w:val="1"/>
      <w:numFmt w:val="decimal"/>
      <w:pStyle w:val="351"/>
      <w:suff w:val="nothing"/>
      <w:lvlText w:val="%1.%2.%3.%4　"/>
      <w:lvlJc w:val="left"/>
      <w:pPr>
        <w:ind w:left="4620"/>
      </w:pPr>
      <w:rPr>
        <w:rFonts w:hint="eastAsia" w:ascii="黑体" w:hAnsi="Times New Roman" w:eastAsia="黑体" w:cs="Times New Roman"/>
        <w:b w:val="0"/>
        <w:i w:val="0"/>
        <w:sz w:val="21"/>
      </w:rPr>
    </w:lvl>
    <w:lvl w:ilvl="4" w:tentative="0">
      <w:start w:val="1"/>
      <w:numFmt w:val="decimal"/>
      <w:pStyle w:val="346"/>
      <w:suff w:val="nothing"/>
      <w:lvlText w:val="%1.%2.%3.%4.%5　"/>
      <w:lvlJc w:val="left"/>
      <w:pPr>
        <w:ind w:left="4620"/>
      </w:pPr>
      <w:rPr>
        <w:rFonts w:hint="eastAsia" w:ascii="黑体" w:hAnsi="Times New Roman" w:eastAsia="黑体" w:cs="Times New Roman"/>
        <w:b w:val="0"/>
        <w:i w:val="0"/>
        <w:sz w:val="21"/>
      </w:rPr>
    </w:lvl>
    <w:lvl w:ilvl="5" w:tentative="0">
      <w:start w:val="1"/>
      <w:numFmt w:val="decimal"/>
      <w:pStyle w:val="368"/>
      <w:suff w:val="nothing"/>
      <w:lvlText w:val="%1.%2.%3.%4.%5.%6　"/>
      <w:lvlJc w:val="left"/>
      <w:pPr>
        <w:ind w:left="4620"/>
      </w:pPr>
      <w:rPr>
        <w:rFonts w:hint="eastAsia" w:ascii="黑体" w:hAnsi="Times New Roman" w:eastAsia="黑体" w:cs="Times New Roman"/>
        <w:b w:val="0"/>
        <w:i w:val="0"/>
        <w:sz w:val="21"/>
      </w:rPr>
    </w:lvl>
    <w:lvl w:ilvl="6" w:tentative="0">
      <w:start w:val="1"/>
      <w:numFmt w:val="decimal"/>
      <w:pStyle w:val="345"/>
      <w:suff w:val="nothing"/>
      <w:lvlText w:val="%1.%2.%3.%4.%5.%6.%7　"/>
      <w:lvlJc w:val="left"/>
      <w:pPr>
        <w:ind w:left="4620"/>
      </w:pPr>
      <w:rPr>
        <w:rFonts w:hint="eastAsia" w:ascii="黑体" w:hAnsi="Times New Roman" w:eastAsia="黑体" w:cs="Times New Roman"/>
        <w:b w:val="0"/>
        <w:i w:val="0"/>
        <w:sz w:val="21"/>
      </w:rPr>
    </w:lvl>
    <w:lvl w:ilvl="7" w:tentative="0">
      <w:start w:val="1"/>
      <w:numFmt w:val="decimal"/>
      <w:lvlText w:val="%1.%2.%3.%4.%5.%6.%7.%8"/>
      <w:lvlJc w:val="left"/>
      <w:pPr>
        <w:tabs>
          <w:tab w:val="left" w:pos="9014"/>
        </w:tabs>
        <w:ind w:left="9014" w:hanging="1418"/>
      </w:pPr>
      <w:rPr>
        <w:rFonts w:hint="eastAsia" w:cs="Times New Roman"/>
      </w:rPr>
    </w:lvl>
    <w:lvl w:ilvl="8" w:tentative="0">
      <w:start w:val="1"/>
      <w:numFmt w:val="decimal"/>
      <w:lvlText w:val="%1.%2.%3.%4.%5.%6.%7.%8.%9"/>
      <w:lvlJc w:val="left"/>
      <w:pPr>
        <w:tabs>
          <w:tab w:val="left" w:pos="9722"/>
        </w:tabs>
        <w:ind w:left="9722" w:hanging="1700"/>
      </w:pPr>
      <w:rPr>
        <w:rFonts w:hint="eastAsia" w:cs="Times New Roman"/>
      </w:rPr>
    </w:lvl>
  </w:abstractNum>
  <w:abstractNum w:abstractNumId="7">
    <w:nsid w:val="00000010"/>
    <w:multiLevelType w:val="multilevel"/>
    <w:tmpl w:val="00000010"/>
    <w:lvl w:ilvl="0" w:tentative="0">
      <w:start w:val="1"/>
      <w:numFmt w:val="none"/>
      <w:pStyle w:val="357"/>
      <w:suff w:val="nothing"/>
      <w:lvlText w:val="　"/>
      <w:lvlJc w:val="left"/>
      <w:rPr>
        <w:rFonts w:hint="eastAsia" w:ascii="黑体" w:hAnsi="Times New Roman" w:eastAsia="黑体" w:cs="Times New Roman"/>
        <w:b w:val="0"/>
        <w:i w:val="0"/>
        <w:sz w:val="21"/>
      </w:rPr>
    </w:lvl>
    <w:lvl w:ilvl="1" w:tentative="0">
      <w:start w:val="1"/>
      <w:numFmt w:val="decimal"/>
      <w:isLgl/>
      <w:suff w:val="nothing"/>
      <w:lvlText w:val="%2　"/>
      <w:lvlJc w:val="left"/>
      <w:rPr>
        <w:rFonts w:hint="eastAsia" w:ascii="黑体" w:hAnsi="Times New Roman" w:eastAsia="黑体" w:cs="Times New Roman"/>
        <w:b w:val="0"/>
        <w:i w:val="0"/>
        <w:snapToGrid/>
        <w:spacing w:val="0"/>
        <w:w w:val="100"/>
        <w:kern w:val="21"/>
        <w:sz w:val="21"/>
      </w:rPr>
    </w:lvl>
    <w:lvl w:ilvl="2" w:tentative="0">
      <w:start w:val="1"/>
      <w:numFmt w:val="decimal"/>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rPr>
        <w:rFonts w:hint="eastAsia" w:ascii="黑体" w:hAnsi="Times New Roman" w:eastAsia="黑体" w:cs="Times New Roman"/>
        <w:b w:val="0"/>
        <w:i w:val="0"/>
        <w:sz w:val="21"/>
      </w:rPr>
    </w:lvl>
    <w:lvl w:ilvl="4" w:tentative="0">
      <w:start w:val="1"/>
      <w:numFmt w:val="decimal"/>
      <w:suff w:val="nothing"/>
      <w:lvlText w:val="%1%2.%3.%4.%5　"/>
      <w:lvlJc w:val="left"/>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8">
    <w:nsid w:val="00000011"/>
    <w:multiLevelType w:val="multilevel"/>
    <w:tmpl w:val="00000011"/>
    <w:lvl w:ilvl="0" w:tentative="0">
      <w:start w:val="1"/>
      <w:numFmt w:val="none"/>
      <w:pStyle w:val="360"/>
      <w:lvlText w:val="%1注："/>
      <w:lvlJc w:val="left"/>
      <w:pPr>
        <w:tabs>
          <w:tab w:val="left" w:pos="1140"/>
        </w:tabs>
        <w:ind w:left="840" w:hanging="420"/>
      </w:pPr>
      <w:rPr>
        <w:rFonts w:hint="eastAsia" w:ascii="宋体" w:hAnsi="Times New Roman" w:eastAsia="宋体" w:cs="Times New Roman"/>
        <w:b w:val="0"/>
        <w:i w:val="0"/>
        <w:sz w:val="18"/>
      </w:rPr>
    </w:lvl>
    <w:lvl w:ilvl="1" w:tentative="0">
      <w:start w:val="1"/>
      <w:numFmt w:val="decimal"/>
      <w:lvlText w:val="%2."/>
      <w:lvlJc w:val="left"/>
      <w:pPr>
        <w:tabs>
          <w:tab w:val="left" w:pos="840"/>
        </w:tabs>
        <w:ind w:left="840" w:hanging="420"/>
      </w:pPr>
      <w:rPr>
        <w:rFonts w:hint="eastAsia" w:cs="Times New Roman"/>
        <w:b w:val="0"/>
        <w:i w:val="0"/>
        <w:sz w:val="18"/>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9">
    <w:nsid w:val="00000012"/>
    <w:multiLevelType w:val="multilevel"/>
    <w:tmpl w:val="00000012"/>
    <w:lvl w:ilvl="0" w:tentative="0">
      <w:start w:val="1"/>
      <w:numFmt w:val="none"/>
      <w:pStyle w:val="377"/>
      <w:lvlText w:val="%1示例"/>
      <w:lvlJc w:val="left"/>
      <w:pPr>
        <w:tabs>
          <w:tab w:val="left" w:pos="1120"/>
        </w:tabs>
        <w:ind w:firstLine="400"/>
      </w:pPr>
      <w:rPr>
        <w:rFonts w:hint="eastAsia" w:ascii="宋体" w:eastAsia="宋体" w:cs="Times New Roman"/>
        <w:b w:val="0"/>
        <w:i w:val="0"/>
        <w:sz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0">
    <w:nsid w:val="00000013"/>
    <w:multiLevelType w:val="multilevel"/>
    <w:tmpl w:val="00000013"/>
    <w:lvl w:ilvl="0" w:tentative="0">
      <w:start w:val="1"/>
      <w:numFmt w:val="none"/>
      <w:pStyle w:val="343"/>
      <w:suff w:val="nothing"/>
      <w:lvlText w:val="%1"/>
      <w:lvlJc w:val="left"/>
      <w:rPr>
        <w:rFonts w:hint="default" w:ascii="Times New Roman" w:hAnsi="Times New Roman" w:cs="Times New Roman"/>
        <w:b/>
        <w:i w:val="0"/>
        <w:sz w:val="21"/>
      </w:rPr>
    </w:lvl>
    <w:lvl w:ilvl="1" w:tentative="0">
      <w:start w:val="1"/>
      <w:numFmt w:val="decimal"/>
      <w:pStyle w:val="326"/>
      <w:suff w:val="nothing"/>
      <w:lvlText w:val="%1%2　"/>
      <w:lvlJc w:val="left"/>
      <w:pPr>
        <w:ind w:left="993"/>
      </w:pPr>
      <w:rPr>
        <w:rFonts w:hint="eastAsia" w:ascii="黑体" w:hAnsi="Times New Roman" w:eastAsia="黑体" w:cs="Times New Roman"/>
        <w:b w:val="0"/>
        <w:i w:val="0"/>
        <w:sz w:val="21"/>
      </w:rPr>
    </w:lvl>
    <w:lvl w:ilvl="2" w:tentative="0">
      <w:start w:val="1"/>
      <w:numFmt w:val="decimal"/>
      <w:pStyle w:val="330"/>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pPr>
        <w:ind w:left="3402"/>
      </w:pPr>
      <w:rPr>
        <w:rFonts w:hint="eastAsia" w:ascii="黑体" w:hAnsi="Times New Roman" w:eastAsia="黑体" w:cs="Times New Roman"/>
        <w:b w:val="0"/>
        <w:i w:val="0"/>
        <w:sz w:val="21"/>
      </w:rPr>
    </w:lvl>
    <w:lvl w:ilvl="4" w:tentative="0">
      <w:start w:val="1"/>
      <w:numFmt w:val="decimal"/>
      <w:suff w:val="nothing"/>
      <w:lvlText w:val="%1%2.%3.%4.%5　"/>
      <w:lvlJc w:val="left"/>
      <w:pPr>
        <w:ind w:left="284"/>
      </w:pPr>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11">
    <w:nsid w:val="00000014"/>
    <w:multiLevelType w:val="multilevel"/>
    <w:tmpl w:val="00000014"/>
    <w:lvl w:ilvl="0" w:tentative="0">
      <w:start w:val="1"/>
      <w:numFmt w:val="none"/>
      <w:pStyle w:val="375"/>
      <w:lvlText w:val="%1——"/>
      <w:lvlJc w:val="left"/>
      <w:pPr>
        <w:tabs>
          <w:tab w:val="left" w:pos="1140"/>
        </w:tabs>
        <w:ind w:left="84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2">
    <w:nsid w:val="11A3534B"/>
    <w:multiLevelType w:val="multilevel"/>
    <w:tmpl w:val="11A3534B"/>
    <w:lvl w:ilvl="0" w:tentative="0">
      <w:start w:val="1"/>
      <w:numFmt w:val="japaneseCounting"/>
      <w:pStyle w:val="342"/>
      <w:lvlText w:val="%1、"/>
      <w:lvlJc w:val="left"/>
      <w:pPr>
        <w:ind w:left="1356" w:hanging="720"/>
      </w:pPr>
      <w:rPr>
        <w:rFonts w:hint="default" w:cs="Times New Roman"/>
      </w:rPr>
    </w:lvl>
    <w:lvl w:ilvl="1" w:tentative="0">
      <w:start w:val="1"/>
      <w:numFmt w:val="lowerLetter"/>
      <w:lvlText w:val="%2)"/>
      <w:lvlJc w:val="left"/>
      <w:pPr>
        <w:ind w:left="1476" w:hanging="420"/>
      </w:pPr>
      <w:rPr>
        <w:rFonts w:cs="Times New Roman"/>
      </w:rPr>
    </w:lvl>
    <w:lvl w:ilvl="2" w:tentative="0">
      <w:start w:val="1"/>
      <w:numFmt w:val="lowerRoman"/>
      <w:lvlText w:val="%3."/>
      <w:lvlJc w:val="right"/>
      <w:pPr>
        <w:ind w:left="1896" w:hanging="420"/>
      </w:pPr>
      <w:rPr>
        <w:rFonts w:cs="Times New Roman"/>
      </w:rPr>
    </w:lvl>
    <w:lvl w:ilvl="3" w:tentative="0">
      <w:start w:val="1"/>
      <w:numFmt w:val="decimal"/>
      <w:pStyle w:val="331"/>
      <w:lvlText w:val="%4."/>
      <w:lvlJc w:val="left"/>
      <w:pPr>
        <w:ind w:left="2316" w:hanging="420"/>
      </w:pPr>
      <w:rPr>
        <w:rFonts w:cs="Times New Roman"/>
      </w:rPr>
    </w:lvl>
    <w:lvl w:ilvl="4" w:tentative="0">
      <w:start w:val="1"/>
      <w:numFmt w:val="lowerLetter"/>
      <w:lvlText w:val="%5)"/>
      <w:lvlJc w:val="left"/>
      <w:pPr>
        <w:ind w:left="2736" w:hanging="420"/>
      </w:pPr>
      <w:rPr>
        <w:rFonts w:cs="Times New Roman"/>
      </w:rPr>
    </w:lvl>
    <w:lvl w:ilvl="5" w:tentative="0">
      <w:start w:val="1"/>
      <w:numFmt w:val="lowerRoman"/>
      <w:pStyle w:val="355"/>
      <w:lvlText w:val="%6."/>
      <w:lvlJc w:val="right"/>
      <w:pPr>
        <w:ind w:left="3156" w:hanging="420"/>
      </w:pPr>
      <w:rPr>
        <w:rFonts w:cs="Times New Roman"/>
      </w:rPr>
    </w:lvl>
    <w:lvl w:ilvl="6" w:tentative="0">
      <w:start w:val="1"/>
      <w:numFmt w:val="decimal"/>
      <w:pStyle w:val="358"/>
      <w:lvlText w:val="%7."/>
      <w:lvlJc w:val="left"/>
      <w:pPr>
        <w:ind w:left="3576" w:hanging="420"/>
      </w:pPr>
      <w:rPr>
        <w:rFonts w:cs="Times New Roman"/>
      </w:rPr>
    </w:lvl>
    <w:lvl w:ilvl="7" w:tentative="0">
      <w:start w:val="1"/>
      <w:numFmt w:val="lowerLetter"/>
      <w:lvlText w:val="%8)"/>
      <w:lvlJc w:val="left"/>
      <w:pPr>
        <w:ind w:left="3996" w:hanging="420"/>
      </w:pPr>
      <w:rPr>
        <w:rFonts w:cs="Times New Roman"/>
      </w:rPr>
    </w:lvl>
    <w:lvl w:ilvl="8" w:tentative="0">
      <w:start w:val="1"/>
      <w:numFmt w:val="lowerRoman"/>
      <w:lvlText w:val="%9."/>
      <w:lvlJc w:val="right"/>
      <w:pPr>
        <w:ind w:left="4416" w:hanging="420"/>
      </w:pPr>
      <w:rPr>
        <w:rFonts w:cs="Times New Roman"/>
      </w:rPr>
    </w:lvl>
  </w:abstractNum>
  <w:num w:numId="1">
    <w:abstractNumId w:val="10"/>
  </w:num>
  <w:num w:numId="2">
    <w:abstractNumId w:val="12"/>
  </w:num>
  <w:num w:numId="3">
    <w:abstractNumId w:val="6"/>
  </w:num>
  <w:num w:numId="4">
    <w:abstractNumId w:val="7"/>
  </w:num>
  <w:num w:numId="5">
    <w:abstractNumId w:val="8"/>
  </w:num>
  <w:num w:numId="6">
    <w:abstractNumId w:val="4"/>
  </w:num>
  <w:num w:numId="7">
    <w:abstractNumId w:val="3"/>
  </w:num>
  <w:num w:numId="8">
    <w:abstractNumId w:val="11"/>
  </w:num>
  <w:num w:numId="9">
    <w:abstractNumId w:val="9"/>
  </w:num>
  <w:num w:numId="10">
    <w:abstractNumId w:val="5"/>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C7"/>
    <w:rsid w:val="00000EDA"/>
    <w:rsid w:val="000017C3"/>
    <w:rsid w:val="00001919"/>
    <w:rsid w:val="00002671"/>
    <w:rsid w:val="00004396"/>
    <w:rsid w:val="00004C13"/>
    <w:rsid w:val="00005283"/>
    <w:rsid w:val="000067E7"/>
    <w:rsid w:val="00011AD2"/>
    <w:rsid w:val="00011C3E"/>
    <w:rsid w:val="0001201E"/>
    <w:rsid w:val="00013C5C"/>
    <w:rsid w:val="00014485"/>
    <w:rsid w:val="000146BC"/>
    <w:rsid w:val="00014BA9"/>
    <w:rsid w:val="00014BC4"/>
    <w:rsid w:val="00014CBE"/>
    <w:rsid w:val="00015623"/>
    <w:rsid w:val="00015696"/>
    <w:rsid w:val="000158AC"/>
    <w:rsid w:val="00015FF2"/>
    <w:rsid w:val="00017214"/>
    <w:rsid w:val="00017E56"/>
    <w:rsid w:val="00020F29"/>
    <w:rsid w:val="00023147"/>
    <w:rsid w:val="00023833"/>
    <w:rsid w:val="00023848"/>
    <w:rsid w:val="00026CF3"/>
    <w:rsid w:val="00027888"/>
    <w:rsid w:val="000307D3"/>
    <w:rsid w:val="000334B4"/>
    <w:rsid w:val="000337D0"/>
    <w:rsid w:val="0003403D"/>
    <w:rsid w:val="00034A87"/>
    <w:rsid w:val="00035BD8"/>
    <w:rsid w:val="0003651C"/>
    <w:rsid w:val="000366A6"/>
    <w:rsid w:val="00036A22"/>
    <w:rsid w:val="00040D5A"/>
    <w:rsid w:val="000422F8"/>
    <w:rsid w:val="0004284C"/>
    <w:rsid w:val="0004291C"/>
    <w:rsid w:val="0004402C"/>
    <w:rsid w:val="000442BF"/>
    <w:rsid w:val="000446BB"/>
    <w:rsid w:val="00044DA1"/>
    <w:rsid w:val="00044DA7"/>
    <w:rsid w:val="0004500B"/>
    <w:rsid w:val="00045C4F"/>
    <w:rsid w:val="000470EA"/>
    <w:rsid w:val="0004733C"/>
    <w:rsid w:val="0005023E"/>
    <w:rsid w:val="0005054B"/>
    <w:rsid w:val="000507E6"/>
    <w:rsid w:val="00050ADD"/>
    <w:rsid w:val="000527AA"/>
    <w:rsid w:val="00053526"/>
    <w:rsid w:val="00053753"/>
    <w:rsid w:val="00054FBB"/>
    <w:rsid w:val="000562EF"/>
    <w:rsid w:val="00060C9D"/>
    <w:rsid w:val="000618AE"/>
    <w:rsid w:val="00061B0C"/>
    <w:rsid w:val="00062553"/>
    <w:rsid w:val="00062A76"/>
    <w:rsid w:val="0006301F"/>
    <w:rsid w:val="00063C24"/>
    <w:rsid w:val="00064A98"/>
    <w:rsid w:val="00071134"/>
    <w:rsid w:val="000715C5"/>
    <w:rsid w:val="0007249F"/>
    <w:rsid w:val="000741DF"/>
    <w:rsid w:val="000747D4"/>
    <w:rsid w:val="00074E70"/>
    <w:rsid w:val="000763D2"/>
    <w:rsid w:val="00076604"/>
    <w:rsid w:val="00081973"/>
    <w:rsid w:val="00082306"/>
    <w:rsid w:val="00082606"/>
    <w:rsid w:val="000829EE"/>
    <w:rsid w:val="00082A8D"/>
    <w:rsid w:val="00082D83"/>
    <w:rsid w:val="000832D6"/>
    <w:rsid w:val="000854EF"/>
    <w:rsid w:val="00087650"/>
    <w:rsid w:val="00087B32"/>
    <w:rsid w:val="00090750"/>
    <w:rsid w:val="0009307B"/>
    <w:rsid w:val="00093182"/>
    <w:rsid w:val="000936B3"/>
    <w:rsid w:val="0009412D"/>
    <w:rsid w:val="000943A9"/>
    <w:rsid w:val="0009469C"/>
    <w:rsid w:val="00095FB4"/>
    <w:rsid w:val="00096B47"/>
    <w:rsid w:val="00097764"/>
    <w:rsid w:val="00097942"/>
    <w:rsid w:val="000979F1"/>
    <w:rsid w:val="000A10B2"/>
    <w:rsid w:val="000A11B6"/>
    <w:rsid w:val="000A18EB"/>
    <w:rsid w:val="000A1F77"/>
    <w:rsid w:val="000A4246"/>
    <w:rsid w:val="000A5C50"/>
    <w:rsid w:val="000A5E3C"/>
    <w:rsid w:val="000A5EDB"/>
    <w:rsid w:val="000A6667"/>
    <w:rsid w:val="000A699E"/>
    <w:rsid w:val="000A73A0"/>
    <w:rsid w:val="000B0EE7"/>
    <w:rsid w:val="000B0EF4"/>
    <w:rsid w:val="000B2E3B"/>
    <w:rsid w:val="000B2E66"/>
    <w:rsid w:val="000B3467"/>
    <w:rsid w:val="000B3972"/>
    <w:rsid w:val="000B47D8"/>
    <w:rsid w:val="000B4849"/>
    <w:rsid w:val="000B5197"/>
    <w:rsid w:val="000B522B"/>
    <w:rsid w:val="000B575D"/>
    <w:rsid w:val="000B6654"/>
    <w:rsid w:val="000B7A17"/>
    <w:rsid w:val="000C0A4D"/>
    <w:rsid w:val="000C0BB8"/>
    <w:rsid w:val="000C1A69"/>
    <w:rsid w:val="000C2614"/>
    <w:rsid w:val="000C2F7E"/>
    <w:rsid w:val="000C3F87"/>
    <w:rsid w:val="000C443C"/>
    <w:rsid w:val="000D0113"/>
    <w:rsid w:val="000D09E9"/>
    <w:rsid w:val="000D14DE"/>
    <w:rsid w:val="000D266E"/>
    <w:rsid w:val="000D2B35"/>
    <w:rsid w:val="000D41E6"/>
    <w:rsid w:val="000D4886"/>
    <w:rsid w:val="000D4D2F"/>
    <w:rsid w:val="000D4FF6"/>
    <w:rsid w:val="000D6114"/>
    <w:rsid w:val="000D791A"/>
    <w:rsid w:val="000E5C74"/>
    <w:rsid w:val="000E616D"/>
    <w:rsid w:val="000F0207"/>
    <w:rsid w:val="000F06AF"/>
    <w:rsid w:val="000F0CDD"/>
    <w:rsid w:val="000F21AB"/>
    <w:rsid w:val="000F22D5"/>
    <w:rsid w:val="000F2305"/>
    <w:rsid w:val="000F3343"/>
    <w:rsid w:val="000F3C5E"/>
    <w:rsid w:val="000F437A"/>
    <w:rsid w:val="000F52C7"/>
    <w:rsid w:val="000F6D5A"/>
    <w:rsid w:val="000F78E8"/>
    <w:rsid w:val="00101B39"/>
    <w:rsid w:val="00102D4D"/>
    <w:rsid w:val="00103E6E"/>
    <w:rsid w:val="00103ED1"/>
    <w:rsid w:val="00104282"/>
    <w:rsid w:val="001053FF"/>
    <w:rsid w:val="00107742"/>
    <w:rsid w:val="00107CA9"/>
    <w:rsid w:val="00107FAF"/>
    <w:rsid w:val="00110645"/>
    <w:rsid w:val="00111011"/>
    <w:rsid w:val="001111AB"/>
    <w:rsid w:val="00111C88"/>
    <w:rsid w:val="0011300A"/>
    <w:rsid w:val="001153F3"/>
    <w:rsid w:val="00115F24"/>
    <w:rsid w:val="00117043"/>
    <w:rsid w:val="00117E54"/>
    <w:rsid w:val="001209A0"/>
    <w:rsid w:val="001212F2"/>
    <w:rsid w:val="00121785"/>
    <w:rsid w:val="0012314B"/>
    <w:rsid w:val="00125159"/>
    <w:rsid w:val="00125B28"/>
    <w:rsid w:val="00125B45"/>
    <w:rsid w:val="00125B4B"/>
    <w:rsid w:val="00125B6E"/>
    <w:rsid w:val="00125BFD"/>
    <w:rsid w:val="00126628"/>
    <w:rsid w:val="00127037"/>
    <w:rsid w:val="00127CD1"/>
    <w:rsid w:val="00130A11"/>
    <w:rsid w:val="0013168C"/>
    <w:rsid w:val="001322AC"/>
    <w:rsid w:val="001347B6"/>
    <w:rsid w:val="00135F9C"/>
    <w:rsid w:val="001376A6"/>
    <w:rsid w:val="0013780B"/>
    <w:rsid w:val="00142CBD"/>
    <w:rsid w:val="00142DD5"/>
    <w:rsid w:val="00143E1C"/>
    <w:rsid w:val="00144528"/>
    <w:rsid w:val="00150F02"/>
    <w:rsid w:val="001512DF"/>
    <w:rsid w:val="0015289F"/>
    <w:rsid w:val="00152F33"/>
    <w:rsid w:val="00155195"/>
    <w:rsid w:val="00155AE7"/>
    <w:rsid w:val="0015619D"/>
    <w:rsid w:val="0015733F"/>
    <w:rsid w:val="001609A8"/>
    <w:rsid w:val="00160D7A"/>
    <w:rsid w:val="00161F35"/>
    <w:rsid w:val="00162A16"/>
    <w:rsid w:val="00162DF0"/>
    <w:rsid w:val="001633EA"/>
    <w:rsid w:val="001640C5"/>
    <w:rsid w:val="001640CF"/>
    <w:rsid w:val="0016484E"/>
    <w:rsid w:val="00164C45"/>
    <w:rsid w:val="00165788"/>
    <w:rsid w:val="00166082"/>
    <w:rsid w:val="00166112"/>
    <w:rsid w:val="0016797F"/>
    <w:rsid w:val="00167F01"/>
    <w:rsid w:val="00170D3B"/>
    <w:rsid w:val="00171FC9"/>
    <w:rsid w:val="0017296F"/>
    <w:rsid w:val="00172E18"/>
    <w:rsid w:val="001736D1"/>
    <w:rsid w:val="00174295"/>
    <w:rsid w:val="00174CE7"/>
    <w:rsid w:val="00174F75"/>
    <w:rsid w:val="0017603B"/>
    <w:rsid w:val="00176270"/>
    <w:rsid w:val="00177714"/>
    <w:rsid w:val="00182610"/>
    <w:rsid w:val="00182CAF"/>
    <w:rsid w:val="00183499"/>
    <w:rsid w:val="00183CB1"/>
    <w:rsid w:val="00184BD2"/>
    <w:rsid w:val="00184DDC"/>
    <w:rsid w:val="00185D1C"/>
    <w:rsid w:val="00186819"/>
    <w:rsid w:val="00186E22"/>
    <w:rsid w:val="0019067C"/>
    <w:rsid w:val="001932A9"/>
    <w:rsid w:val="001933F1"/>
    <w:rsid w:val="001937F8"/>
    <w:rsid w:val="00193D1B"/>
    <w:rsid w:val="00193DE1"/>
    <w:rsid w:val="001947CE"/>
    <w:rsid w:val="00194E1A"/>
    <w:rsid w:val="001952FD"/>
    <w:rsid w:val="001A04EC"/>
    <w:rsid w:val="001A0961"/>
    <w:rsid w:val="001A1E4D"/>
    <w:rsid w:val="001A2221"/>
    <w:rsid w:val="001A2B79"/>
    <w:rsid w:val="001A5903"/>
    <w:rsid w:val="001A5ED0"/>
    <w:rsid w:val="001A6383"/>
    <w:rsid w:val="001A6B95"/>
    <w:rsid w:val="001A6D77"/>
    <w:rsid w:val="001A75B7"/>
    <w:rsid w:val="001B005D"/>
    <w:rsid w:val="001B0695"/>
    <w:rsid w:val="001B074A"/>
    <w:rsid w:val="001B1069"/>
    <w:rsid w:val="001B2E6A"/>
    <w:rsid w:val="001B33BA"/>
    <w:rsid w:val="001B3BF0"/>
    <w:rsid w:val="001B4360"/>
    <w:rsid w:val="001B4495"/>
    <w:rsid w:val="001B4800"/>
    <w:rsid w:val="001B5297"/>
    <w:rsid w:val="001B5A88"/>
    <w:rsid w:val="001C05B5"/>
    <w:rsid w:val="001C06A6"/>
    <w:rsid w:val="001C086A"/>
    <w:rsid w:val="001C2BD6"/>
    <w:rsid w:val="001C2E72"/>
    <w:rsid w:val="001C322F"/>
    <w:rsid w:val="001C399D"/>
    <w:rsid w:val="001C3AF8"/>
    <w:rsid w:val="001C5804"/>
    <w:rsid w:val="001C61F9"/>
    <w:rsid w:val="001C6427"/>
    <w:rsid w:val="001C7A99"/>
    <w:rsid w:val="001C7CE1"/>
    <w:rsid w:val="001D06DF"/>
    <w:rsid w:val="001D08F3"/>
    <w:rsid w:val="001D0C15"/>
    <w:rsid w:val="001D1658"/>
    <w:rsid w:val="001D2633"/>
    <w:rsid w:val="001D45D0"/>
    <w:rsid w:val="001D5FDA"/>
    <w:rsid w:val="001D6DEF"/>
    <w:rsid w:val="001E07B6"/>
    <w:rsid w:val="001E0EB3"/>
    <w:rsid w:val="001E19C4"/>
    <w:rsid w:val="001E25E8"/>
    <w:rsid w:val="001E2958"/>
    <w:rsid w:val="001E303D"/>
    <w:rsid w:val="001E46C5"/>
    <w:rsid w:val="001E4813"/>
    <w:rsid w:val="001E4BE1"/>
    <w:rsid w:val="001E4D60"/>
    <w:rsid w:val="001E5155"/>
    <w:rsid w:val="001E5C81"/>
    <w:rsid w:val="001E6ADD"/>
    <w:rsid w:val="001F1A52"/>
    <w:rsid w:val="001F1DEF"/>
    <w:rsid w:val="001F287E"/>
    <w:rsid w:val="001F5810"/>
    <w:rsid w:val="001F58B4"/>
    <w:rsid w:val="001F6988"/>
    <w:rsid w:val="001F72D2"/>
    <w:rsid w:val="001F7775"/>
    <w:rsid w:val="001F7D02"/>
    <w:rsid w:val="002007F6"/>
    <w:rsid w:val="00200AE1"/>
    <w:rsid w:val="00201C4F"/>
    <w:rsid w:val="00203CC0"/>
    <w:rsid w:val="00204D49"/>
    <w:rsid w:val="0020732B"/>
    <w:rsid w:val="00207CB8"/>
    <w:rsid w:val="00211702"/>
    <w:rsid w:val="00213241"/>
    <w:rsid w:val="00213300"/>
    <w:rsid w:val="0021391C"/>
    <w:rsid w:val="00213EA5"/>
    <w:rsid w:val="00214AF2"/>
    <w:rsid w:val="00215005"/>
    <w:rsid w:val="00220DB2"/>
    <w:rsid w:val="00221419"/>
    <w:rsid w:val="0022260A"/>
    <w:rsid w:val="00223D26"/>
    <w:rsid w:val="00224E2A"/>
    <w:rsid w:val="002258AD"/>
    <w:rsid w:val="002274F2"/>
    <w:rsid w:val="0022764F"/>
    <w:rsid w:val="00232AE2"/>
    <w:rsid w:val="002333EE"/>
    <w:rsid w:val="00234937"/>
    <w:rsid w:val="0023770F"/>
    <w:rsid w:val="00237E28"/>
    <w:rsid w:val="00240EE4"/>
    <w:rsid w:val="002422C3"/>
    <w:rsid w:val="00242BC5"/>
    <w:rsid w:val="002432DE"/>
    <w:rsid w:val="00243638"/>
    <w:rsid w:val="00243EB5"/>
    <w:rsid w:val="00243FC3"/>
    <w:rsid w:val="002455D7"/>
    <w:rsid w:val="0024586F"/>
    <w:rsid w:val="002464B4"/>
    <w:rsid w:val="00250193"/>
    <w:rsid w:val="00251ED1"/>
    <w:rsid w:val="002521DD"/>
    <w:rsid w:val="00252277"/>
    <w:rsid w:val="002532FC"/>
    <w:rsid w:val="00253A94"/>
    <w:rsid w:val="002542DC"/>
    <w:rsid w:val="002549CC"/>
    <w:rsid w:val="00254E69"/>
    <w:rsid w:val="00254E7A"/>
    <w:rsid w:val="0025738A"/>
    <w:rsid w:val="00262374"/>
    <w:rsid w:val="002625D6"/>
    <w:rsid w:val="002638AA"/>
    <w:rsid w:val="00263EEC"/>
    <w:rsid w:val="00263F04"/>
    <w:rsid w:val="002641D5"/>
    <w:rsid w:val="0026544E"/>
    <w:rsid w:val="00265823"/>
    <w:rsid w:val="00267299"/>
    <w:rsid w:val="00267F02"/>
    <w:rsid w:val="002713ED"/>
    <w:rsid w:val="00272830"/>
    <w:rsid w:val="00273AAB"/>
    <w:rsid w:val="00275FA3"/>
    <w:rsid w:val="002760B1"/>
    <w:rsid w:val="002763B7"/>
    <w:rsid w:val="00277A24"/>
    <w:rsid w:val="00277F69"/>
    <w:rsid w:val="00280AFF"/>
    <w:rsid w:val="00280E24"/>
    <w:rsid w:val="00283505"/>
    <w:rsid w:val="00285419"/>
    <w:rsid w:val="00285F06"/>
    <w:rsid w:val="002875A0"/>
    <w:rsid w:val="0029119C"/>
    <w:rsid w:val="00291A71"/>
    <w:rsid w:val="00292D36"/>
    <w:rsid w:val="0029378C"/>
    <w:rsid w:val="00294744"/>
    <w:rsid w:val="002971C9"/>
    <w:rsid w:val="00297D9A"/>
    <w:rsid w:val="002A0001"/>
    <w:rsid w:val="002A0E5D"/>
    <w:rsid w:val="002A1A55"/>
    <w:rsid w:val="002A2585"/>
    <w:rsid w:val="002A2B54"/>
    <w:rsid w:val="002A2C8F"/>
    <w:rsid w:val="002A341F"/>
    <w:rsid w:val="002A3919"/>
    <w:rsid w:val="002A450A"/>
    <w:rsid w:val="002A4924"/>
    <w:rsid w:val="002A6057"/>
    <w:rsid w:val="002B0ACE"/>
    <w:rsid w:val="002B0E52"/>
    <w:rsid w:val="002B122F"/>
    <w:rsid w:val="002B12BB"/>
    <w:rsid w:val="002B1558"/>
    <w:rsid w:val="002B17E0"/>
    <w:rsid w:val="002B196C"/>
    <w:rsid w:val="002B54F9"/>
    <w:rsid w:val="002B57E2"/>
    <w:rsid w:val="002B612A"/>
    <w:rsid w:val="002B6C31"/>
    <w:rsid w:val="002B7584"/>
    <w:rsid w:val="002C1674"/>
    <w:rsid w:val="002C2064"/>
    <w:rsid w:val="002C3DEC"/>
    <w:rsid w:val="002C51AA"/>
    <w:rsid w:val="002C52D6"/>
    <w:rsid w:val="002C593C"/>
    <w:rsid w:val="002C5D12"/>
    <w:rsid w:val="002C67F9"/>
    <w:rsid w:val="002D200A"/>
    <w:rsid w:val="002D222C"/>
    <w:rsid w:val="002D2656"/>
    <w:rsid w:val="002D2A69"/>
    <w:rsid w:val="002D2AE4"/>
    <w:rsid w:val="002D3514"/>
    <w:rsid w:val="002D372A"/>
    <w:rsid w:val="002D387A"/>
    <w:rsid w:val="002D4BDB"/>
    <w:rsid w:val="002D50B3"/>
    <w:rsid w:val="002D5611"/>
    <w:rsid w:val="002D7517"/>
    <w:rsid w:val="002E04D1"/>
    <w:rsid w:val="002E0650"/>
    <w:rsid w:val="002E255B"/>
    <w:rsid w:val="002E2FCC"/>
    <w:rsid w:val="002E33FB"/>
    <w:rsid w:val="002E38C0"/>
    <w:rsid w:val="002E46EC"/>
    <w:rsid w:val="002E4D8C"/>
    <w:rsid w:val="002E4E1D"/>
    <w:rsid w:val="002E58FB"/>
    <w:rsid w:val="002E6C25"/>
    <w:rsid w:val="002F08CF"/>
    <w:rsid w:val="002F0B22"/>
    <w:rsid w:val="002F1020"/>
    <w:rsid w:val="002F1122"/>
    <w:rsid w:val="002F3CCF"/>
    <w:rsid w:val="00300925"/>
    <w:rsid w:val="00301A62"/>
    <w:rsid w:val="00302580"/>
    <w:rsid w:val="003026D1"/>
    <w:rsid w:val="00302EF2"/>
    <w:rsid w:val="00303004"/>
    <w:rsid w:val="003050A8"/>
    <w:rsid w:val="0030546F"/>
    <w:rsid w:val="003057CE"/>
    <w:rsid w:val="00305F03"/>
    <w:rsid w:val="00307D6F"/>
    <w:rsid w:val="003107FF"/>
    <w:rsid w:val="003131EE"/>
    <w:rsid w:val="00313F5C"/>
    <w:rsid w:val="00313FC0"/>
    <w:rsid w:val="00315012"/>
    <w:rsid w:val="00316B6B"/>
    <w:rsid w:val="00317D85"/>
    <w:rsid w:val="0032013B"/>
    <w:rsid w:val="00320A79"/>
    <w:rsid w:val="00320C69"/>
    <w:rsid w:val="0032227F"/>
    <w:rsid w:val="00322607"/>
    <w:rsid w:val="00323AD5"/>
    <w:rsid w:val="00323CC8"/>
    <w:rsid w:val="0032450C"/>
    <w:rsid w:val="003248AA"/>
    <w:rsid w:val="00330512"/>
    <w:rsid w:val="00330F18"/>
    <w:rsid w:val="00332289"/>
    <w:rsid w:val="0033322E"/>
    <w:rsid w:val="00333C50"/>
    <w:rsid w:val="003340AE"/>
    <w:rsid w:val="00334B5D"/>
    <w:rsid w:val="00334D87"/>
    <w:rsid w:val="00334E62"/>
    <w:rsid w:val="00335125"/>
    <w:rsid w:val="00336242"/>
    <w:rsid w:val="00337163"/>
    <w:rsid w:val="00337231"/>
    <w:rsid w:val="0034109C"/>
    <w:rsid w:val="00341BDA"/>
    <w:rsid w:val="00341E2A"/>
    <w:rsid w:val="003440F5"/>
    <w:rsid w:val="003443A2"/>
    <w:rsid w:val="00344E8D"/>
    <w:rsid w:val="003451D7"/>
    <w:rsid w:val="00346E8F"/>
    <w:rsid w:val="00347DF8"/>
    <w:rsid w:val="0035149C"/>
    <w:rsid w:val="003516D1"/>
    <w:rsid w:val="0035238F"/>
    <w:rsid w:val="003534A9"/>
    <w:rsid w:val="003538AB"/>
    <w:rsid w:val="00353BDA"/>
    <w:rsid w:val="003549C8"/>
    <w:rsid w:val="0035698F"/>
    <w:rsid w:val="003574A0"/>
    <w:rsid w:val="00357B63"/>
    <w:rsid w:val="00357DB0"/>
    <w:rsid w:val="00360122"/>
    <w:rsid w:val="003614A1"/>
    <w:rsid w:val="00361FD0"/>
    <w:rsid w:val="0036275A"/>
    <w:rsid w:val="003631A4"/>
    <w:rsid w:val="00363443"/>
    <w:rsid w:val="00363D76"/>
    <w:rsid w:val="003643B5"/>
    <w:rsid w:val="00364972"/>
    <w:rsid w:val="00364E8E"/>
    <w:rsid w:val="00365E76"/>
    <w:rsid w:val="0036648E"/>
    <w:rsid w:val="00366F17"/>
    <w:rsid w:val="00366FA1"/>
    <w:rsid w:val="00367FFE"/>
    <w:rsid w:val="003704B8"/>
    <w:rsid w:val="00370A88"/>
    <w:rsid w:val="003714DE"/>
    <w:rsid w:val="003718F4"/>
    <w:rsid w:val="00371EAB"/>
    <w:rsid w:val="00372714"/>
    <w:rsid w:val="00372940"/>
    <w:rsid w:val="00372A69"/>
    <w:rsid w:val="00372FBD"/>
    <w:rsid w:val="00373A61"/>
    <w:rsid w:val="00373C3E"/>
    <w:rsid w:val="00376E73"/>
    <w:rsid w:val="003773B0"/>
    <w:rsid w:val="00377ADC"/>
    <w:rsid w:val="00380308"/>
    <w:rsid w:val="0038061E"/>
    <w:rsid w:val="0038142F"/>
    <w:rsid w:val="00381F0B"/>
    <w:rsid w:val="003820B6"/>
    <w:rsid w:val="00382C5D"/>
    <w:rsid w:val="00382FBA"/>
    <w:rsid w:val="00383290"/>
    <w:rsid w:val="00383537"/>
    <w:rsid w:val="00383B87"/>
    <w:rsid w:val="0038491B"/>
    <w:rsid w:val="0038543B"/>
    <w:rsid w:val="00387646"/>
    <w:rsid w:val="00387949"/>
    <w:rsid w:val="00387B16"/>
    <w:rsid w:val="00387DD5"/>
    <w:rsid w:val="0039053F"/>
    <w:rsid w:val="00391F09"/>
    <w:rsid w:val="003924B6"/>
    <w:rsid w:val="003927B2"/>
    <w:rsid w:val="0039445C"/>
    <w:rsid w:val="003948E2"/>
    <w:rsid w:val="00397666"/>
    <w:rsid w:val="00397842"/>
    <w:rsid w:val="00397A07"/>
    <w:rsid w:val="00397A3B"/>
    <w:rsid w:val="003A1B02"/>
    <w:rsid w:val="003A299A"/>
    <w:rsid w:val="003A2BBF"/>
    <w:rsid w:val="003A3052"/>
    <w:rsid w:val="003A32F2"/>
    <w:rsid w:val="003A3CA0"/>
    <w:rsid w:val="003A431C"/>
    <w:rsid w:val="003A482A"/>
    <w:rsid w:val="003A7DAC"/>
    <w:rsid w:val="003B018E"/>
    <w:rsid w:val="003B1C2F"/>
    <w:rsid w:val="003B27F0"/>
    <w:rsid w:val="003B3507"/>
    <w:rsid w:val="003B3809"/>
    <w:rsid w:val="003B3838"/>
    <w:rsid w:val="003B3D04"/>
    <w:rsid w:val="003B46E5"/>
    <w:rsid w:val="003B5711"/>
    <w:rsid w:val="003B5C52"/>
    <w:rsid w:val="003B7866"/>
    <w:rsid w:val="003B7BD6"/>
    <w:rsid w:val="003C07D5"/>
    <w:rsid w:val="003C0B48"/>
    <w:rsid w:val="003C0EB3"/>
    <w:rsid w:val="003C1358"/>
    <w:rsid w:val="003C2BFE"/>
    <w:rsid w:val="003C3788"/>
    <w:rsid w:val="003C48BC"/>
    <w:rsid w:val="003C530C"/>
    <w:rsid w:val="003C7265"/>
    <w:rsid w:val="003C734A"/>
    <w:rsid w:val="003C74C8"/>
    <w:rsid w:val="003D108A"/>
    <w:rsid w:val="003D130B"/>
    <w:rsid w:val="003D1607"/>
    <w:rsid w:val="003D2E34"/>
    <w:rsid w:val="003D3464"/>
    <w:rsid w:val="003D492B"/>
    <w:rsid w:val="003D4EB8"/>
    <w:rsid w:val="003D5982"/>
    <w:rsid w:val="003D6F83"/>
    <w:rsid w:val="003D762B"/>
    <w:rsid w:val="003D7836"/>
    <w:rsid w:val="003D7E49"/>
    <w:rsid w:val="003E06C0"/>
    <w:rsid w:val="003E0FB9"/>
    <w:rsid w:val="003E1E52"/>
    <w:rsid w:val="003E2446"/>
    <w:rsid w:val="003E2518"/>
    <w:rsid w:val="003E2981"/>
    <w:rsid w:val="003E3EFD"/>
    <w:rsid w:val="003E439A"/>
    <w:rsid w:val="003E48FD"/>
    <w:rsid w:val="003E54C9"/>
    <w:rsid w:val="003E5C25"/>
    <w:rsid w:val="003E62E5"/>
    <w:rsid w:val="003F0145"/>
    <w:rsid w:val="003F1DE3"/>
    <w:rsid w:val="003F20E1"/>
    <w:rsid w:val="003F2427"/>
    <w:rsid w:val="003F277D"/>
    <w:rsid w:val="003F2796"/>
    <w:rsid w:val="003F4D43"/>
    <w:rsid w:val="003F5163"/>
    <w:rsid w:val="003F615D"/>
    <w:rsid w:val="003F61A4"/>
    <w:rsid w:val="003F71C4"/>
    <w:rsid w:val="003F7909"/>
    <w:rsid w:val="00400379"/>
    <w:rsid w:val="00400B2E"/>
    <w:rsid w:val="004016C2"/>
    <w:rsid w:val="00402B54"/>
    <w:rsid w:val="004031C6"/>
    <w:rsid w:val="0040458F"/>
    <w:rsid w:val="00406077"/>
    <w:rsid w:val="00406571"/>
    <w:rsid w:val="0041009E"/>
    <w:rsid w:val="00410FAF"/>
    <w:rsid w:val="00410FFC"/>
    <w:rsid w:val="00411CA5"/>
    <w:rsid w:val="00411FEC"/>
    <w:rsid w:val="004124CC"/>
    <w:rsid w:val="00413681"/>
    <w:rsid w:val="00413DFF"/>
    <w:rsid w:val="00414C6C"/>
    <w:rsid w:val="00414EAA"/>
    <w:rsid w:val="00416230"/>
    <w:rsid w:val="00416445"/>
    <w:rsid w:val="00416798"/>
    <w:rsid w:val="00416C83"/>
    <w:rsid w:val="004170FF"/>
    <w:rsid w:val="00417398"/>
    <w:rsid w:val="0042124F"/>
    <w:rsid w:val="004228A8"/>
    <w:rsid w:val="00423128"/>
    <w:rsid w:val="00423F66"/>
    <w:rsid w:val="00425143"/>
    <w:rsid w:val="0042729D"/>
    <w:rsid w:val="00427F4D"/>
    <w:rsid w:val="0043057C"/>
    <w:rsid w:val="00431284"/>
    <w:rsid w:val="00431CC3"/>
    <w:rsid w:val="00434751"/>
    <w:rsid w:val="00434ADA"/>
    <w:rsid w:val="00434EB7"/>
    <w:rsid w:val="00435BE7"/>
    <w:rsid w:val="004376AF"/>
    <w:rsid w:val="004405E3"/>
    <w:rsid w:val="00440714"/>
    <w:rsid w:val="00440C91"/>
    <w:rsid w:val="004419E0"/>
    <w:rsid w:val="0044261F"/>
    <w:rsid w:val="00442A3F"/>
    <w:rsid w:val="00444624"/>
    <w:rsid w:val="00445824"/>
    <w:rsid w:val="00445D74"/>
    <w:rsid w:val="00445E36"/>
    <w:rsid w:val="0044604C"/>
    <w:rsid w:val="00446279"/>
    <w:rsid w:val="00446EE6"/>
    <w:rsid w:val="00447CCA"/>
    <w:rsid w:val="004502F8"/>
    <w:rsid w:val="0045039B"/>
    <w:rsid w:val="004504B2"/>
    <w:rsid w:val="00450AF3"/>
    <w:rsid w:val="00450F72"/>
    <w:rsid w:val="0045174B"/>
    <w:rsid w:val="00453635"/>
    <w:rsid w:val="00453E28"/>
    <w:rsid w:val="00455D22"/>
    <w:rsid w:val="00456DB4"/>
    <w:rsid w:val="004574E8"/>
    <w:rsid w:val="00460BD9"/>
    <w:rsid w:val="00461477"/>
    <w:rsid w:val="00462ACF"/>
    <w:rsid w:val="00464E45"/>
    <w:rsid w:val="004653D1"/>
    <w:rsid w:val="00465522"/>
    <w:rsid w:val="0046681D"/>
    <w:rsid w:val="00466D7D"/>
    <w:rsid w:val="0046717F"/>
    <w:rsid w:val="004703A6"/>
    <w:rsid w:val="0047168C"/>
    <w:rsid w:val="004723D9"/>
    <w:rsid w:val="00474966"/>
    <w:rsid w:val="00475146"/>
    <w:rsid w:val="00475287"/>
    <w:rsid w:val="004752BF"/>
    <w:rsid w:val="00475842"/>
    <w:rsid w:val="004763B5"/>
    <w:rsid w:val="00476B45"/>
    <w:rsid w:val="00477B86"/>
    <w:rsid w:val="004800C6"/>
    <w:rsid w:val="0048031F"/>
    <w:rsid w:val="00480DFE"/>
    <w:rsid w:val="00481A9D"/>
    <w:rsid w:val="00481F43"/>
    <w:rsid w:val="00482240"/>
    <w:rsid w:val="0048257D"/>
    <w:rsid w:val="00482611"/>
    <w:rsid w:val="004831ED"/>
    <w:rsid w:val="00483214"/>
    <w:rsid w:val="00486836"/>
    <w:rsid w:val="004872A7"/>
    <w:rsid w:val="00487E8E"/>
    <w:rsid w:val="00490AF9"/>
    <w:rsid w:val="004910AB"/>
    <w:rsid w:val="00492AC4"/>
    <w:rsid w:val="0049365C"/>
    <w:rsid w:val="0049414C"/>
    <w:rsid w:val="0049497E"/>
    <w:rsid w:val="00495949"/>
    <w:rsid w:val="004A17E0"/>
    <w:rsid w:val="004A1FCE"/>
    <w:rsid w:val="004A24B6"/>
    <w:rsid w:val="004A2EE5"/>
    <w:rsid w:val="004A3466"/>
    <w:rsid w:val="004A3AF0"/>
    <w:rsid w:val="004A4E25"/>
    <w:rsid w:val="004A6C43"/>
    <w:rsid w:val="004A78EB"/>
    <w:rsid w:val="004A7967"/>
    <w:rsid w:val="004B0AD3"/>
    <w:rsid w:val="004B2058"/>
    <w:rsid w:val="004B5C40"/>
    <w:rsid w:val="004B712A"/>
    <w:rsid w:val="004B7DC5"/>
    <w:rsid w:val="004B7ED0"/>
    <w:rsid w:val="004B7EFC"/>
    <w:rsid w:val="004C09A8"/>
    <w:rsid w:val="004C0B44"/>
    <w:rsid w:val="004C0F22"/>
    <w:rsid w:val="004C4A60"/>
    <w:rsid w:val="004C5BC4"/>
    <w:rsid w:val="004C7D32"/>
    <w:rsid w:val="004D16D0"/>
    <w:rsid w:val="004D1775"/>
    <w:rsid w:val="004D2368"/>
    <w:rsid w:val="004D36F1"/>
    <w:rsid w:val="004D382E"/>
    <w:rsid w:val="004D479B"/>
    <w:rsid w:val="004D4B54"/>
    <w:rsid w:val="004D63DA"/>
    <w:rsid w:val="004D7DEE"/>
    <w:rsid w:val="004E07E7"/>
    <w:rsid w:val="004E3687"/>
    <w:rsid w:val="004E3D4F"/>
    <w:rsid w:val="004E3F3F"/>
    <w:rsid w:val="004E4222"/>
    <w:rsid w:val="004E437F"/>
    <w:rsid w:val="004E497E"/>
    <w:rsid w:val="004E4C3C"/>
    <w:rsid w:val="004E538D"/>
    <w:rsid w:val="004E586F"/>
    <w:rsid w:val="004E5D4B"/>
    <w:rsid w:val="004E6242"/>
    <w:rsid w:val="004E7073"/>
    <w:rsid w:val="004E7AB8"/>
    <w:rsid w:val="004F0000"/>
    <w:rsid w:val="004F0761"/>
    <w:rsid w:val="004F110E"/>
    <w:rsid w:val="004F1D6B"/>
    <w:rsid w:val="004F1F13"/>
    <w:rsid w:val="004F3EF2"/>
    <w:rsid w:val="004F47BE"/>
    <w:rsid w:val="004F4C04"/>
    <w:rsid w:val="004F68D6"/>
    <w:rsid w:val="004F788B"/>
    <w:rsid w:val="004F7F0C"/>
    <w:rsid w:val="0050058C"/>
    <w:rsid w:val="005013F3"/>
    <w:rsid w:val="005025B7"/>
    <w:rsid w:val="0050281A"/>
    <w:rsid w:val="00503CAD"/>
    <w:rsid w:val="00504A90"/>
    <w:rsid w:val="005066CB"/>
    <w:rsid w:val="00506B14"/>
    <w:rsid w:val="005109C7"/>
    <w:rsid w:val="0051342E"/>
    <w:rsid w:val="00514CD5"/>
    <w:rsid w:val="00515B23"/>
    <w:rsid w:val="00515F49"/>
    <w:rsid w:val="00517B67"/>
    <w:rsid w:val="00521BA8"/>
    <w:rsid w:val="00521BB0"/>
    <w:rsid w:val="005235B8"/>
    <w:rsid w:val="00523EBC"/>
    <w:rsid w:val="00524392"/>
    <w:rsid w:val="0052573A"/>
    <w:rsid w:val="005260D7"/>
    <w:rsid w:val="005261F9"/>
    <w:rsid w:val="00526B15"/>
    <w:rsid w:val="00526F58"/>
    <w:rsid w:val="00530A95"/>
    <w:rsid w:val="00530AE2"/>
    <w:rsid w:val="00531894"/>
    <w:rsid w:val="00532B9F"/>
    <w:rsid w:val="00534CE9"/>
    <w:rsid w:val="00535A2B"/>
    <w:rsid w:val="0053642C"/>
    <w:rsid w:val="00536B4F"/>
    <w:rsid w:val="00537DFF"/>
    <w:rsid w:val="005409A3"/>
    <w:rsid w:val="005409E8"/>
    <w:rsid w:val="005409EF"/>
    <w:rsid w:val="00541107"/>
    <w:rsid w:val="00541627"/>
    <w:rsid w:val="00544602"/>
    <w:rsid w:val="00544867"/>
    <w:rsid w:val="00544A71"/>
    <w:rsid w:val="0054547D"/>
    <w:rsid w:val="00545B42"/>
    <w:rsid w:val="00545E27"/>
    <w:rsid w:val="00545ED5"/>
    <w:rsid w:val="00545F75"/>
    <w:rsid w:val="0054639A"/>
    <w:rsid w:val="00547315"/>
    <w:rsid w:val="00550255"/>
    <w:rsid w:val="00550C8D"/>
    <w:rsid w:val="005516A9"/>
    <w:rsid w:val="005521FE"/>
    <w:rsid w:val="00552A48"/>
    <w:rsid w:val="00552B50"/>
    <w:rsid w:val="005534B5"/>
    <w:rsid w:val="00553C80"/>
    <w:rsid w:val="00553D8C"/>
    <w:rsid w:val="00555C24"/>
    <w:rsid w:val="005604FE"/>
    <w:rsid w:val="00560C8C"/>
    <w:rsid w:val="00563C1D"/>
    <w:rsid w:val="00564CB3"/>
    <w:rsid w:val="00565AF3"/>
    <w:rsid w:val="005660A6"/>
    <w:rsid w:val="00567A55"/>
    <w:rsid w:val="00570E82"/>
    <w:rsid w:val="00570F36"/>
    <w:rsid w:val="00571D56"/>
    <w:rsid w:val="00571FFB"/>
    <w:rsid w:val="005732FA"/>
    <w:rsid w:val="00574139"/>
    <w:rsid w:val="0057487B"/>
    <w:rsid w:val="00574EE6"/>
    <w:rsid w:val="005757F8"/>
    <w:rsid w:val="005759BE"/>
    <w:rsid w:val="00575B79"/>
    <w:rsid w:val="00576327"/>
    <w:rsid w:val="0057653C"/>
    <w:rsid w:val="005767FA"/>
    <w:rsid w:val="005768E7"/>
    <w:rsid w:val="005772C9"/>
    <w:rsid w:val="00581027"/>
    <w:rsid w:val="005810A0"/>
    <w:rsid w:val="005813F1"/>
    <w:rsid w:val="00582974"/>
    <w:rsid w:val="00583343"/>
    <w:rsid w:val="00584577"/>
    <w:rsid w:val="00584941"/>
    <w:rsid w:val="00586459"/>
    <w:rsid w:val="00586D82"/>
    <w:rsid w:val="00586DF8"/>
    <w:rsid w:val="00587FF5"/>
    <w:rsid w:val="0059009D"/>
    <w:rsid w:val="005913A3"/>
    <w:rsid w:val="00591F67"/>
    <w:rsid w:val="0059243D"/>
    <w:rsid w:val="005929B9"/>
    <w:rsid w:val="005938C6"/>
    <w:rsid w:val="005948A5"/>
    <w:rsid w:val="0059562C"/>
    <w:rsid w:val="00595BBA"/>
    <w:rsid w:val="00595DB2"/>
    <w:rsid w:val="00595E93"/>
    <w:rsid w:val="00596700"/>
    <w:rsid w:val="00596816"/>
    <w:rsid w:val="00596F0C"/>
    <w:rsid w:val="00596F3C"/>
    <w:rsid w:val="00596FA8"/>
    <w:rsid w:val="005975DC"/>
    <w:rsid w:val="00597AB0"/>
    <w:rsid w:val="005A0AB1"/>
    <w:rsid w:val="005A2724"/>
    <w:rsid w:val="005A2EBE"/>
    <w:rsid w:val="005A3911"/>
    <w:rsid w:val="005A41B5"/>
    <w:rsid w:val="005A42E7"/>
    <w:rsid w:val="005A48AE"/>
    <w:rsid w:val="005A499B"/>
    <w:rsid w:val="005A696F"/>
    <w:rsid w:val="005A71F8"/>
    <w:rsid w:val="005A7930"/>
    <w:rsid w:val="005A7977"/>
    <w:rsid w:val="005A7B07"/>
    <w:rsid w:val="005B1261"/>
    <w:rsid w:val="005B1B6D"/>
    <w:rsid w:val="005B567F"/>
    <w:rsid w:val="005B6A17"/>
    <w:rsid w:val="005B6C77"/>
    <w:rsid w:val="005B799C"/>
    <w:rsid w:val="005C1094"/>
    <w:rsid w:val="005C29BB"/>
    <w:rsid w:val="005C31FF"/>
    <w:rsid w:val="005C35CC"/>
    <w:rsid w:val="005C4533"/>
    <w:rsid w:val="005C5119"/>
    <w:rsid w:val="005C57E9"/>
    <w:rsid w:val="005C701E"/>
    <w:rsid w:val="005C7903"/>
    <w:rsid w:val="005D0B87"/>
    <w:rsid w:val="005D1E27"/>
    <w:rsid w:val="005D32EE"/>
    <w:rsid w:val="005D4C15"/>
    <w:rsid w:val="005D4E2D"/>
    <w:rsid w:val="005D7759"/>
    <w:rsid w:val="005E0367"/>
    <w:rsid w:val="005E0C8D"/>
    <w:rsid w:val="005E2FB4"/>
    <w:rsid w:val="005E4593"/>
    <w:rsid w:val="005E4905"/>
    <w:rsid w:val="005E4F18"/>
    <w:rsid w:val="005E7917"/>
    <w:rsid w:val="005F017F"/>
    <w:rsid w:val="005F0821"/>
    <w:rsid w:val="005F0A2F"/>
    <w:rsid w:val="005F0F9E"/>
    <w:rsid w:val="005F1C3F"/>
    <w:rsid w:val="005F391A"/>
    <w:rsid w:val="005F471A"/>
    <w:rsid w:val="005F509D"/>
    <w:rsid w:val="0060084D"/>
    <w:rsid w:val="00601712"/>
    <w:rsid w:val="00601B8E"/>
    <w:rsid w:val="006023C9"/>
    <w:rsid w:val="006034C4"/>
    <w:rsid w:val="00603578"/>
    <w:rsid w:val="00603631"/>
    <w:rsid w:val="00604293"/>
    <w:rsid w:val="00605147"/>
    <w:rsid w:val="0060694B"/>
    <w:rsid w:val="00606A3E"/>
    <w:rsid w:val="00610137"/>
    <w:rsid w:val="00612C5C"/>
    <w:rsid w:val="006138C6"/>
    <w:rsid w:val="00613F72"/>
    <w:rsid w:val="006144B1"/>
    <w:rsid w:val="00616857"/>
    <w:rsid w:val="00617AB8"/>
    <w:rsid w:val="0062135C"/>
    <w:rsid w:val="00623802"/>
    <w:rsid w:val="00623B29"/>
    <w:rsid w:val="00624289"/>
    <w:rsid w:val="00624F5B"/>
    <w:rsid w:val="00626450"/>
    <w:rsid w:val="0062675E"/>
    <w:rsid w:val="00626D6E"/>
    <w:rsid w:val="00627220"/>
    <w:rsid w:val="00627B9D"/>
    <w:rsid w:val="00630E30"/>
    <w:rsid w:val="006317D0"/>
    <w:rsid w:val="00631C79"/>
    <w:rsid w:val="0063242A"/>
    <w:rsid w:val="00632A87"/>
    <w:rsid w:val="00633B94"/>
    <w:rsid w:val="00633B99"/>
    <w:rsid w:val="00634C48"/>
    <w:rsid w:val="0063534A"/>
    <w:rsid w:val="00635A7A"/>
    <w:rsid w:val="006404BF"/>
    <w:rsid w:val="006406B7"/>
    <w:rsid w:val="0064294B"/>
    <w:rsid w:val="00642A84"/>
    <w:rsid w:val="006435F1"/>
    <w:rsid w:val="006450EB"/>
    <w:rsid w:val="006451CD"/>
    <w:rsid w:val="00647B17"/>
    <w:rsid w:val="00650E99"/>
    <w:rsid w:val="00651ECB"/>
    <w:rsid w:val="00651FEB"/>
    <w:rsid w:val="00652581"/>
    <w:rsid w:val="00653480"/>
    <w:rsid w:val="0065481D"/>
    <w:rsid w:val="00654D49"/>
    <w:rsid w:val="00655718"/>
    <w:rsid w:val="006566EE"/>
    <w:rsid w:val="00656C99"/>
    <w:rsid w:val="006575D3"/>
    <w:rsid w:val="0065788D"/>
    <w:rsid w:val="006602CE"/>
    <w:rsid w:val="00663518"/>
    <w:rsid w:val="00663A8A"/>
    <w:rsid w:val="0066438C"/>
    <w:rsid w:val="00667501"/>
    <w:rsid w:val="00667E50"/>
    <w:rsid w:val="0067085B"/>
    <w:rsid w:val="00673515"/>
    <w:rsid w:val="006742F5"/>
    <w:rsid w:val="0067496E"/>
    <w:rsid w:val="006752EB"/>
    <w:rsid w:val="006764EE"/>
    <w:rsid w:val="0068090F"/>
    <w:rsid w:val="006809F6"/>
    <w:rsid w:val="00680AAC"/>
    <w:rsid w:val="00682468"/>
    <w:rsid w:val="00683048"/>
    <w:rsid w:val="00684F17"/>
    <w:rsid w:val="00687361"/>
    <w:rsid w:val="0069036C"/>
    <w:rsid w:val="00690E98"/>
    <w:rsid w:val="006922DA"/>
    <w:rsid w:val="0069349E"/>
    <w:rsid w:val="0069375E"/>
    <w:rsid w:val="006957FD"/>
    <w:rsid w:val="00696FBC"/>
    <w:rsid w:val="00697318"/>
    <w:rsid w:val="006A1112"/>
    <w:rsid w:val="006A1274"/>
    <w:rsid w:val="006A3552"/>
    <w:rsid w:val="006A3DCF"/>
    <w:rsid w:val="006A45EF"/>
    <w:rsid w:val="006A4A5B"/>
    <w:rsid w:val="006A54E7"/>
    <w:rsid w:val="006A5568"/>
    <w:rsid w:val="006A5955"/>
    <w:rsid w:val="006A6D2C"/>
    <w:rsid w:val="006A7173"/>
    <w:rsid w:val="006A7593"/>
    <w:rsid w:val="006B03E8"/>
    <w:rsid w:val="006B2F8A"/>
    <w:rsid w:val="006B6928"/>
    <w:rsid w:val="006B6C02"/>
    <w:rsid w:val="006B7AD6"/>
    <w:rsid w:val="006C1D39"/>
    <w:rsid w:val="006C2C84"/>
    <w:rsid w:val="006C3AAF"/>
    <w:rsid w:val="006C48A4"/>
    <w:rsid w:val="006C4A51"/>
    <w:rsid w:val="006C7574"/>
    <w:rsid w:val="006C7C6E"/>
    <w:rsid w:val="006D179A"/>
    <w:rsid w:val="006D20DB"/>
    <w:rsid w:val="006D297C"/>
    <w:rsid w:val="006D2F81"/>
    <w:rsid w:val="006D3323"/>
    <w:rsid w:val="006D47C1"/>
    <w:rsid w:val="006D514C"/>
    <w:rsid w:val="006D56E7"/>
    <w:rsid w:val="006D61E3"/>
    <w:rsid w:val="006D65C0"/>
    <w:rsid w:val="006D70B9"/>
    <w:rsid w:val="006E0DE1"/>
    <w:rsid w:val="006E0E3F"/>
    <w:rsid w:val="006E27C7"/>
    <w:rsid w:val="006E499D"/>
    <w:rsid w:val="006E49AC"/>
    <w:rsid w:val="006F0069"/>
    <w:rsid w:val="006F0BCB"/>
    <w:rsid w:val="006F18E6"/>
    <w:rsid w:val="006F318A"/>
    <w:rsid w:val="006F3228"/>
    <w:rsid w:val="006F3E6C"/>
    <w:rsid w:val="006F44CB"/>
    <w:rsid w:val="006F4D6A"/>
    <w:rsid w:val="006F4F82"/>
    <w:rsid w:val="006F54D4"/>
    <w:rsid w:val="006F5C64"/>
    <w:rsid w:val="006F6C54"/>
    <w:rsid w:val="006F6F11"/>
    <w:rsid w:val="00700010"/>
    <w:rsid w:val="00700793"/>
    <w:rsid w:val="00700A09"/>
    <w:rsid w:val="0070138F"/>
    <w:rsid w:val="00701F4A"/>
    <w:rsid w:val="00702071"/>
    <w:rsid w:val="00702C94"/>
    <w:rsid w:val="00702EDB"/>
    <w:rsid w:val="0070643B"/>
    <w:rsid w:val="007066CA"/>
    <w:rsid w:val="00707C90"/>
    <w:rsid w:val="00710985"/>
    <w:rsid w:val="00711A2A"/>
    <w:rsid w:val="00711F24"/>
    <w:rsid w:val="00714C47"/>
    <w:rsid w:val="00715981"/>
    <w:rsid w:val="00717AF2"/>
    <w:rsid w:val="00722BED"/>
    <w:rsid w:val="00722EC3"/>
    <w:rsid w:val="00722F34"/>
    <w:rsid w:val="007247CD"/>
    <w:rsid w:val="00725BE7"/>
    <w:rsid w:val="00725D40"/>
    <w:rsid w:val="0072610D"/>
    <w:rsid w:val="00727086"/>
    <w:rsid w:val="00731D45"/>
    <w:rsid w:val="007321AC"/>
    <w:rsid w:val="007328A5"/>
    <w:rsid w:val="00733609"/>
    <w:rsid w:val="007345DA"/>
    <w:rsid w:val="0073500D"/>
    <w:rsid w:val="00735266"/>
    <w:rsid w:val="007352A2"/>
    <w:rsid w:val="0073533E"/>
    <w:rsid w:val="00735DBB"/>
    <w:rsid w:val="00736391"/>
    <w:rsid w:val="00736E6D"/>
    <w:rsid w:val="00737D0A"/>
    <w:rsid w:val="00740963"/>
    <w:rsid w:val="0074119A"/>
    <w:rsid w:val="00741A65"/>
    <w:rsid w:val="00741BC0"/>
    <w:rsid w:val="0074265B"/>
    <w:rsid w:val="00743BB0"/>
    <w:rsid w:val="00743EF1"/>
    <w:rsid w:val="0074524E"/>
    <w:rsid w:val="00746534"/>
    <w:rsid w:val="00746744"/>
    <w:rsid w:val="00746CB5"/>
    <w:rsid w:val="00747FEB"/>
    <w:rsid w:val="00750026"/>
    <w:rsid w:val="0075046E"/>
    <w:rsid w:val="007506CF"/>
    <w:rsid w:val="007511AC"/>
    <w:rsid w:val="00753247"/>
    <w:rsid w:val="007551AF"/>
    <w:rsid w:val="00757B5E"/>
    <w:rsid w:val="00757E09"/>
    <w:rsid w:val="00760322"/>
    <w:rsid w:val="00760B52"/>
    <w:rsid w:val="00760FDF"/>
    <w:rsid w:val="007644F2"/>
    <w:rsid w:val="007666B9"/>
    <w:rsid w:val="00766A2E"/>
    <w:rsid w:val="00766C9E"/>
    <w:rsid w:val="0076781B"/>
    <w:rsid w:val="00767974"/>
    <w:rsid w:val="00767CCF"/>
    <w:rsid w:val="00770C0E"/>
    <w:rsid w:val="007712FD"/>
    <w:rsid w:val="007723B7"/>
    <w:rsid w:val="007724F3"/>
    <w:rsid w:val="00772B2B"/>
    <w:rsid w:val="00773ACA"/>
    <w:rsid w:val="00773D2D"/>
    <w:rsid w:val="00774BE6"/>
    <w:rsid w:val="007751C8"/>
    <w:rsid w:val="007755D5"/>
    <w:rsid w:val="00776EA8"/>
    <w:rsid w:val="00777A91"/>
    <w:rsid w:val="0078149D"/>
    <w:rsid w:val="007824DD"/>
    <w:rsid w:val="00782908"/>
    <w:rsid w:val="00783158"/>
    <w:rsid w:val="00783E5A"/>
    <w:rsid w:val="007846D7"/>
    <w:rsid w:val="00784D21"/>
    <w:rsid w:val="0078640E"/>
    <w:rsid w:val="00786F00"/>
    <w:rsid w:val="0079022C"/>
    <w:rsid w:val="007918E6"/>
    <w:rsid w:val="007923F2"/>
    <w:rsid w:val="0079264C"/>
    <w:rsid w:val="0079301E"/>
    <w:rsid w:val="007938F8"/>
    <w:rsid w:val="00795510"/>
    <w:rsid w:val="0079554A"/>
    <w:rsid w:val="00795AD2"/>
    <w:rsid w:val="00795EF4"/>
    <w:rsid w:val="00796786"/>
    <w:rsid w:val="00796CB4"/>
    <w:rsid w:val="00796ECA"/>
    <w:rsid w:val="007979C7"/>
    <w:rsid w:val="007A014F"/>
    <w:rsid w:val="007A0EFB"/>
    <w:rsid w:val="007A433C"/>
    <w:rsid w:val="007A4640"/>
    <w:rsid w:val="007A464D"/>
    <w:rsid w:val="007A477E"/>
    <w:rsid w:val="007A4888"/>
    <w:rsid w:val="007A5CD5"/>
    <w:rsid w:val="007A7572"/>
    <w:rsid w:val="007B1C83"/>
    <w:rsid w:val="007B23F1"/>
    <w:rsid w:val="007B34E9"/>
    <w:rsid w:val="007B3E34"/>
    <w:rsid w:val="007B4DF9"/>
    <w:rsid w:val="007B7702"/>
    <w:rsid w:val="007B7D4B"/>
    <w:rsid w:val="007C01B7"/>
    <w:rsid w:val="007C0887"/>
    <w:rsid w:val="007C1F48"/>
    <w:rsid w:val="007C2A4A"/>
    <w:rsid w:val="007C2F3B"/>
    <w:rsid w:val="007C4EC6"/>
    <w:rsid w:val="007C6479"/>
    <w:rsid w:val="007C66DF"/>
    <w:rsid w:val="007C697D"/>
    <w:rsid w:val="007C69E6"/>
    <w:rsid w:val="007C6DFC"/>
    <w:rsid w:val="007C7642"/>
    <w:rsid w:val="007D0370"/>
    <w:rsid w:val="007D0566"/>
    <w:rsid w:val="007D0764"/>
    <w:rsid w:val="007D0903"/>
    <w:rsid w:val="007D0A70"/>
    <w:rsid w:val="007D1BB5"/>
    <w:rsid w:val="007D1FAB"/>
    <w:rsid w:val="007D28C2"/>
    <w:rsid w:val="007D4296"/>
    <w:rsid w:val="007D4BE9"/>
    <w:rsid w:val="007D57A8"/>
    <w:rsid w:val="007D79CE"/>
    <w:rsid w:val="007E0084"/>
    <w:rsid w:val="007E042E"/>
    <w:rsid w:val="007E0FB2"/>
    <w:rsid w:val="007E10E1"/>
    <w:rsid w:val="007E13D4"/>
    <w:rsid w:val="007E1515"/>
    <w:rsid w:val="007E153B"/>
    <w:rsid w:val="007E2DDC"/>
    <w:rsid w:val="007E3DC0"/>
    <w:rsid w:val="007E3EE8"/>
    <w:rsid w:val="007E41DC"/>
    <w:rsid w:val="007E4D75"/>
    <w:rsid w:val="007E54C2"/>
    <w:rsid w:val="007E5725"/>
    <w:rsid w:val="007E5A60"/>
    <w:rsid w:val="007E6826"/>
    <w:rsid w:val="007E79DB"/>
    <w:rsid w:val="007F0D29"/>
    <w:rsid w:val="007F1183"/>
    <w:rsid w:val="007F1344"/>
    <w:rsid w:val="007F2AA3"/>
    <w:rsid w:val="007F2E84"/>
    <w:rsid w:val="007F3BCD"/>
    <w:rsid w:val="007F3BD0"/>
    <w:rsid w:val="007F4367"/>
    <w:rsid w:val="007F488B"/>
    <w:rsid w:val="007F5D7F"/>
    <w:rsid w:val="007F5FE1"/>
    <w:rsid w:val="007F62D8"/>
    <w:rsid w:val="007F6A23"/>
    <w:rsid w:val="007F7230"/>
    <w:rsid w:val="008004FA"/>
    <w:rsid w:val="008006EC"/>
    <w:rsid w:val="008008AC"/>
    <w:rsid w:val="00800C2F"/>
    <w:rsid w:val="00801788"/>
    <w:rsid w:val="00802237"/>
    <w:rsid w:val="00803089"/>
    <w:rsid w:val="00803723"/>
    <w:rsid w:val="0080378F"/>
    <w:rsid w:val="008037EB"/>
    <w:rsid w:val="00804275"/>
    <w:rsid w:val="00804AB2"/>
    <w:rsid w:val="0080506D"/>
    <w:rsid w:val="0080663F"/>
    <w:rsid w:val="0080721A"/>
    <w:rsid w:val="00807C70"/>
    <w:rsid w:val="00810B59"/>
    <w:rsid w:val="008117D2"/>
    <w:rsid w:val="00811A17"/>
    <w:rsid w:val="00811B18"/>
    <w:rsid w:val="0081309B"/>
    <w:rsid w:val="008131FD"/>
    <w:rsid w:val="008149D9"/>
    <w:rsid w:val="0081500C"/>
    <w:rsid w:val="00815DBB"/>
    <w:rsid w:val="00816683"/>
    <w:rsid w:val="008175BC"/>
    <w:rsid w:val="00817ABE"/>
    <w:rsid w:val="00820D6C"/>
    <w:rsid w:val="00821CED"/>
    <w:rsid w:val="00822C9A"/>
    <w:rsid w:val="0082323D"/>
    <w:rsid w:val="008238AC"/>
    <w:rsid w:val="00824148"/>
    <w:rsid w:val="00825578"/>
    <w:rsid w:val="008259C2"/>
    <w:rsid w:val="00825BA3"/>
    <w:rsid w:val="00825E9E"/>
    <w:rsid w:val="008260BD"/>
    <w:rsid w:val="00826122"/>
    <w:rsid w:val="008261C5"/>
    <w:rsid w:val="00826C71"/>
    <w:rsid w:val="00830161"/>
    <w:rsid w:val="0083119D"/>
    <w:rsid w:val="0083180D"/>
    <w:rsid w:val="008326B6"/>
    <w:rsid w:val="0083312D"/>
    <w:rsid w:val="00833ED6"/>
    <w:rsid w:val="008340EC"/>
    <w:rsid w:val="00835E8D"/>
    <w:rsid w:val="00837E0C"/>
    <w:rsid w:val="008407BD"/>
    <w:rsid w:val="008416A7"/>
    <w:rsid w:val="00841D8A"/>
    <w:rsid w:val="00843095"/>
    <w:rsid w:val="0084495B"/>
    <w:rsid w:val="008466B1"/>
    <w:rsid w:val="00847536"/>
    <w:rsid w:val="00847F07"/>
    <w:rsid w:val="00851911"/>
    <w:rsid w:val="00852444"/>
    <w:rsid w:val="00853609"/>
    <w:rsid w:val="00853886"/>
    <w:rsid w:val="00854DE2"/>
    <w:rsid w:val="008557AC"/>
    <w:rsid w:val="008604BA"/>
    <w:rsid w:val="00861B29"/>
    <w:rsid w:val="0086275C"/>
    <w:rsid w:val="0086321D"/>
    <w:rsid w:val="008638E7"/>
    <w:rsid w:val="00863B1C"/>
    <w:rsid w:val="00863B7E"/>
    <w:rsid w:val="00866A85"/>
    <w:rsid w:val="00867293"/>
    <w:rsid w:val="008702BB"/>
    <w:rsid w:val="00870CDB"/>
    <w:rsid w:val="00871D0B"/>
    <w:rsid w:val="00871DF0"/>
    <w:rsid w:val="008722EE"/>
    <w:rsid w:val="008728A3"/>
    <w:rsid w:val="00872F49"/>
    <w:rsid w:val="008748E3"/>
    <w:rsid w:val="008751AB"/>
    <w:rsid w:val="00875515"/>
    <w:rsid w:val="00875A8B"/>
    <w:rsid w:val="0087672E"/>
    <w:rsid w:val="008768B2"/>
    <w:rsid w:val="00876922"/>
    <w:rsid w:val="0087720A"/>
    <w:rsid w:val="008801B8"/>
    <w:rsid w:val="008829B9"/>
    <w:rsid w:val="00882DD2"/>
    <w:rsid w:val="00882E34"/>
    <w:rsid w:val="008830E6"/>
    <w:rsid w:val="00883BF5"/>
    <w:rsid w:val="00883DFB"/>
    <w:rsid w:val="0088414E"/>
    <w:rsid w:val="008848EF"/>
    <w:rsid w:val="008856B7"/>
    <w:rsid w:val="00885FEF"/>
    <w:rsid w:val="00886523"/>
    <w:rsid w:val="00886617"/>
    <w:rsid w:val="00890974"/>
    <w:rsid w:val="00891011"/>
    <w:rsid w:val="00893D60"/>
    <w:rsid w:val="0089416F"/>
    <w:rsid w:val="008947BE"/>
    <w:rsid w:val="00894F19"/>
    <w:rsid w:val="008951CB"/>
    <w:rsid w:val="0089538C"/>
    <w:rsid w:val="0089553C"/>
    <w:rsid w:val="00895C8E"/>
    <w:rsid w:val="008A3CC9"/>
    <w:rsid w:val="008A466D"/>
    <w:rsid w:val="008A67E8"/>
    <w:rsid w:val="008A7F02"/>
    <w:rsid w:val="008B07DB"/>
    <w:rsid w:val="008B2A9C"/>
    <w:rsid w:val="008B3710"/>
    <w:rsid w:val="008B39D4"/>
    <w:rsid w:val="008B3A4C"/>
    <w:rsid w:val="008B4387"/>
    <w:rsid w:val="008B5D3B"/>
    <w:rsid w:val="008B6089"/>
    <w:rsid w:val="008B644E"/>
    <w:rsid w:val="008B702B"/>
    <w:rsid w:val="008B79A6"/>
    <w:rsid w:val="008C06B4"/>
    <w:rsid w:val="008C0D22"/>
    <w:rsid w:val="008C262C"/>
    <w:rsid w:val="008C26A4"/>
    <w:rsid w:val="008C35D7"/>
    <w:rsid w:val="008C376D"/>
    <w:rsid w:val="008C3B8E"/>
    <w:rsid w:val="008C4AC0"/>
    <w:rsid w:val="008C52EE"/>
    <w:rsid w:val="008C604A"/>
    <w:rsid w:val="008D02B6"/>
    <w:rsid w:val="008D03D9"/>
    <w:rsid w:val="008D064A"/>
    <w:rsid w:val="008D67EE"/>
    <w:rsid w:val="008D68F5"/>
    <w:rsid w:val="008D74AF"/>
    <w:rsid w:val="008D7A0E"/>
    <w:rsid w:val="008E0906"/>
    <w:rsid w:val="008E2A23"/>
    <w:rsid w:val="008E2CEA"/>
    <w:rsid w:val="008E3C1B"/>
    <w:rsid w:val="008F0C9D"/>
    <w:rsid w:val="008F234D"/>
    <w:rsid w:val="008F3423"/>
    <w:rsid w:val="008F3CD8"/>
    <w:rsid w:val="008F6046"/>
    <w:rsid w:val="008F65AE"/>
    <w:rsid w:val="008F69B2"/>
    <w:rsid w:val="00902A9D"/>
    <w:rsid w:val="0090382B"/>
    <w:rsid w:val="00903955"/>
    <w:rsid w:val="00904375"/>
    <w:rsid w:val="009049D9"/>
    <w:rsid w:val="00905359"/>
    <w:rsid w:val="00905950"/>
    <w:rsid w:val="00905CBD"/>
    <w:rsid w:val="0090610B"/>
    <w:rsid w:val="00906908"/>
    <w:rsid w:val="00907940"/>
    <w:rsid w:val="00907ADD"/>
    <w:rsid w:val="00907C9C"/>
    <w:rsid w:val="00907CA9"/>
    <w:rsid w:val="00907D4A"/>
    <w:rsid w:val="009101A9"/>
    <w:rsid w:val="00910929"/>
    <w:rsid w:val="0091104A"/>
    <w:rsid w:val="0091126F"/>
    <w:rsid w:val="00912039"/>
    <w:rsid w:val="00912354"/>
    <w:rsid w:val="00912E2C"/>
    <w:rsid w:val="00913AB5"/>
    <w:rsid w:val="00913FED"/>
    <w:rsid w:val="00914060"/>
    <w:rsid w:val="009150E5"/>
    <w:rsid w:val="0091562D"/>
    <w:rsid w:val="00916DBE"/>
    <w:rsid w:val="00917244"/>
    <w:rsid w:val="00917BB9"/>
    <w:rsid w:val="00922BB9"/>
    <w:rsid w:val="0092314C"/>
    <w:rsid w:val="0092432E"/>
    <w:rsid w:val="00924A4E"/>
    <w:rsid w:val="00926145"/>
    <w:rsid w:val="00926A38"/>
    <w:rsid w:val="00926A78"/>
    <w:rsid w:val="00927266"/>
    <w:rsid w:val="00927318"/>
    <w:rsid w:val="009273C4"/>
    <w:rsid w:val="00927830"/>
    <w:rsid w:val="00927FC3"/>
    <w:rsid w:val="0093005A"/>
    <w:rsid w:val="009304B5"/>
    <w:rsid w:val="00930D8D"/>
    <w:rsid w:val="00931844"/>
    <w:rsid w:val="00931EF8"/>
    <w:rsid w:val="00932144"/>
    <w:rsid w:val="00932C92"/>
    <w:rsid w:val="00932D2C"/>
    <w:rsid w:val="00933C8B"/>
    <w:rsid w:val="00934A2C"/>
    <w:rsid w:val="00934BE5"/>
    <w:rsid w:val="0093563B"/>
    <w:rsid w:val="00936685"/>
    <w:rsid w:val="00936DA3"/>
    <w:rsid w:val="00937298"/>
    <w:rsid w:val="009377DD"/>
    <w:rsid w:val="00937A04"/>
    <w:rsid w:val="009401D5"/>
    <w:rsid w:val="00940EBE"/>
    <w:rsid w:val="0094141C"/>
    <w:rsid w:val="009420ED"/>
    <w:rsid w:val="009430D0"/>
    <w:rsid w:val="009438BE"/>
    <w:rsid w:val="00943DEB"/>
    <w:rsid w:val="009469F6"/>
    <w:rsid w:val="0095093A"/>
    <w:rsid w:val="00950DAA"/>
    <w:rsid w:val="009515E9"/>
    <w:rsid w:val="00951D9B"/>
    <w:rsid w:val="00952DB0"/>
    <w:rsid w:val="00952FC8"/>
    <w:rsid w:val="009534A5"/>
    <w:rsid w:val="00954485"/>
    <w:rsid w:val="00954624"/>
    <w:rsid w:val="00954679"/>
    <w:rsid w:val="00954835"/>
    <w:rsid w:val="009549F2"/>
    <w:rsid w:val="00954F42"/>
    <w:rsid w:val="0095504A"/>
    <w:rsid w:val="00955723"/>
    <w:rsid w:val="0095727D"/>
    <w:rsid w:val="009603EC"/>
    <w:rsid w:val="00960AC9"/>
    <w:rsid w:val="00960FF4"/>
    <w:rsid w:val="00961B0E"/>
    <w:rsid w:val="00964DFF"/>
    <w:rsid w:val="009679D4"/>
    <w:rsid w:val="00967E36"/>
    <w:rsid w:val="009703B7"/>
    <w:rsid w:val="00970974"/>
    <w:rsid w:val="00970AEB"/>
    <w:rsid w:val="0097111B"/>
    <w:rsid w:val="00971C6E"/>
    <w:rsid w:val="00972210"/>
    <w:rsid w:val="009754D1"/>
    <w:rsid w:val="00975DAD"/>
    <w:rsid w:val="009768E6"/>
    <w:rsid w:val="00976D96"/>
    <w:rsid w:val="0097732F"/>
    <w:rsid w:val="00977E98"/>
    <w:rsid w:val="00977EB1"/>
    <w:rsid w:val="009803BE"/>
    <w:rsid w:val="0098196C"/>
    <w:rsid w:val="009836E0"/>
    <w:rsid w:val="009838E0"/>
    <w:rsid w:val="00983BDB"/>
    <w:rsid w:val="00983E29"/>
    <w:rsid w:val="00983E2A"/>
    <w:rsid w:val="00984412"/>
    <w:rsid w:val="00985760"/>
    <w:rsid w:val="00986AD6"/>
    <w:rsid w:val="00986D24"/>
    <w:rsid w:val="009877A9"/>
    <w:rsid w:val="0099006F"/>
    <w:rsid w:val="00990A89"/>
    <w:rsid w:val="00990C08"/>
    <w:rsid w:val="00990CF2"/>
    <w:rsid w:val="00991075"/>
    <w:rsid w:val="00991EEA"/>
    <w:rsid w:val="009951F2"/>
    <w:rsid w:val="00995322"/>
    <w:rsid w:val="0099569A"/>
    <w:rsid w:val="009959D6"/>
    <w:rsid w:val="00995F1D"/>
    <w:rsid w:val="00996997"/>
    <w:rsid w:val="00997A45"/>
    <w:rsid w:val="00997CE1"/>
    <w:rsid w:val="00997EBF"/>
    <w:rsid w:val="009A1038"/>
    <w:rsid w:val="009A193D"/>
    <w:rsid w:val="009A1B3C"/>
    <w:rsid w:val="009A410D"/>
    <w:rsid w:val="009A4739"/>
    <w:rsid w:val="009A4CF9"/>
    <w:rsid w:val="009A4E27"/>
    <w:rsid w:val="009A51D0"/>
    <w:rsid w:val="009A5B6E"/>
    <w:rsid w:val="009A5F36"/>
    <w:rsid w:val="009A608B"/>
    <w:rsid w:val="009A7F09"/>
    <w:rsid w:val="009B002A"/>
    <w:rsid w:val="009B0347"/>
    <w:rsid w:val="009B147B"/>
    <w:rsid w:val="009B1D1C"/>
    <w:rsid w:val="009B2F1D"/>
    <w:rsid w:val="009B30DA"/>
    <w:rsid w:val="009B393E"/>
    <w:rsid w:val="009B4659"/>
    <w:rsid w:val="009B4F71"/>
    <w:rsid w:val="009B4F7A"/>
    <w:rsid w:val="009B5DC2"/>
    <w:rsid w:val="009B6E7E"/>
    <w:rsid w:val="009B7DB2"/>
    <w:rsid w:val="009C05C7"/>
    <w:rsid w:val="009C0CFC"/>
    <w:rsid w:val="009C1692"/>
    <w:rsid w:val="009C3ABD"/>
    <w:rsid w:val="009C3E70"/>
    <w:rsid w:val="009C3F33"/>
    <w:rsid w:val="009C4FE3"/>
    <w:rsid w:val="009C63D1"/>
    <w:rsid w:val="009C6400"/>
    <w:rsid w:val="009D014A"/>
    <w:rsid w:val="009D176D"/>
    <w:rsid w:val="009D2189"/>
    <w:rsid w:val="009D615B"/>
    <w:rsid w:val="009D69EB"/>
    <w:rsid w:val="009D6FDC"/>
    <w:rsid w:val="009D747A"/>
    <w:rsid w:val="009E0D15"/>
    <w:rsid w:val="009E0FF2"/>
    <w:rsid w:val="009E2258"/>
    <w:rsid w:val="009E25DA"/>
    <w:rsid w:val="009E367E"/>
    <w:rsid w:val="009E466E"/>
    <w:rsid w:val="009E51F1"/>
    <w:rsid w:val="009E5258"/>
    <w:rsid w:val="009E5310"/>
    <w:rsid w:val="009E54F4"/>
    <w:rsid w:val="009E57FE"/>
    <w:rsid w:val="009E5B76"/>
    <w:rsid w:val="009E5FCE"/>
    <w:rsid w:val="009E60F8"/>
    <w:rsid w:val="009E6510"/>
    <w:rsid w:val="009E6BD2"/>
    <w:rsid w:val="009E6C0B"/>
    <w:rsid w:val="009E7C82"/>
    <w:rsid w:val="009E7DF5"/>
    <w:rsid w:val="009F03D2"/>
    <w:rsid w:val="009F06BC"/>
    <w:rsid w:val="009F07BE"/>
    <w:rsid w:val="009F2242"/>
    <w:rsid w:val="009F2B2D"/>
    <w:rsid w:val="009F30CE"/>
    <w:rsid w:val="009F40AD"/>
    <w:rsid w:val="009F58D5"/>
    <w:rsid w:val="009F6D13"/>
    <w:rsid w:val="00A0137B"/>
    <w:rsid w:val="00A01A78"/>
    <w:rsid w:val="00A023DE"/>
    <w:rsid w:val="00A02449"/>
    <w:rsid w:val="00A0347F"/>
    <w:rsid w:val="00A04C22"/>
    <w:rsid w:val="00A04EA2"/>
    <w:rsid w:val="00A052DF"/>
    <w:rsid w:val="00A05365"/>
    <w:rsid w:val="00A060F1"/>
    <w:rsid w:val="00A06BB9"/>
    <w:rsid w:val="00A06C4D"/>
    <w:rsid w:val="00A06FD3"/>
    <w:rsid w:val="00A1117D"/>
    <w:rsid w:val="00A13105"/>
    <w:rsid w:val="00A13649"/>
    <w:rsid w:val="00A142B6"/>
    <w:rsid w:val="00A161D0"/>
    <w:rsid w:val="00A16EA5"/>
    <w:rsid w:val="00A172EC"/>
    <w:rsid w:val="00A20340"/>
    <w:rsid w:val="00A21EBF"/>
    <w:rsid w:val="00A2231C"/>
    <w:rsid w:val="00A235B9"/>
    <w:rsid w:val="00A237EA"/>
    <w:rsid w:val="00A24700"/>
    <w:rsid w:val="00A2556B"/>
    <w:rsid w:val="00A25876"/>
    <w:rsid w:val="00A26F29"/>
    <w:rsid w:val="00A332A5"/>
    <w:rsid w:val="00A34778"/>
    <w:rsid w:val="00A35305"/>
    <w:rsid w:val="00A35900"/>
    <w:rsid w:val="00A36354"/>
    <w:rsid w:val="00A36BD8"/>
    <w:rsid w:val="00A375B6"/>
    <w:rsid w:val="00A4330E"/>
    <w:rsid w:val="00A434C6"/>
    <w:rsid w:val="00A43B41"/>
    <w:rsid w:val="00A4488E"/>
    <w:rsid w:val="00A44C15"/>
    <w:rsid w:val="00A44C8A"/>
    <w:rsid w:val="00A45FC6"/>
    <w:rsid w:val="00A4674D"/>
    <w:rsid w:val="00A479BF"/>
    <w:rsid w:val="00A47A16"/>
    <w:rsid w:val="00A50204"/>
    <w:rsid w:val="00A50FF5"/>
    <w:rsid w:val="00A510A4"/>
    <w:rsid w:val="00A512AF"/>
    <w:rsid w:val="00A5196C"/>
    <w:rsid w:val="00A537FE"/>
    <w:rsid w:val="00A54334"/>
    <w:rsid w:val="00A56995"/>
    <w:rsid w:val="00A56B61"/>
    <w:rsid w:val="00A57EBB"/>
    <w:rsid w:val="00A61753"/>
    <w:rsid w:val="00A62A87"/>
    <w:rsid w:val="00A62AC7"/>
    <w:rsid w:val="00A62C9A"/>
    <w:rsid w:val="00A64664"/>
    <w:rsid w:val="00A64C4D"/>
    <w:rsid w:val="00A65C52"/>
    <w:rsid w:val="00A66214"/>
    <w:rsid w:val="00A66C4C"/>
    <w:rsid w:val="00A708A9"/>
    <w:rsid w:val="00A70CDA"/>
    <w:rsid w:val="00A7124C"/>
    <w:rsid w:val="00A727CD"/>
    <w:rsid w:val="00A72D12"/>
    <w:rsid w:val="00A73BA5"/>
    <w:rsid w:val="00A73D47"/>
    <w:rsid w:val="00A74F26"/>
    <w:rsid w:val="00A75202"/>
    <w:rsid w:val="00A753B5"/>
    <w:rsid w:val="00A75A41"/>
    <w:rsid w:val="00A75D09"/>
    <w:rsid w:val="00A804CF"/>
    <w:rsid w:val="00A8311A"/>
    <w:rsid w:val="00A83438"/>
    <w:rsid w:val="00A84639"/>
    <w:rsid w:val="00A84780"/>
    <w:rsid w:val="00A851BA"/>
    <w:rsid w:val="00A857BD"/>
    <w:rsid w:val="00A85B02"/>
    <w:rsid w:val="00A87D12"/>
    <w:rsid w:val="00A90FF8"/>
    <w:rsid w:val="00A91945"/>
    <w:rsid w:val="00A92BD8"/>
    <w:rsid w:val="00A92FD6"/>
    <w:rsid w:val="00A9394E"/>
    <w:rsid w:val="00A9478B"/>
    <w:rsid w:val="00A954B9"/>
    <w:rsid w:val="00A9777A"/>
    <w:rsid w:val="00A97C92"/>
    <w:rsid w:val="00A97DBE"/>
    <w:rsid w:val="00AA04D9"/>
    <w:rsid w:val="00AA08A1"/>
    <w:rsid w:val="00AA1B67"/>
    <w:rsid w:val="00AA3A5A"/>
    <w:rsid w:val="00AA4136"/>
    <w:rsid w:val="00AA426F"/>
    <w:rsid w:val="00AA44BF"/>
    <w:rsid w:val="00AA7073"/>
    <w:rsid w:val="00AA79EB"/>
    <w:rsid w:val="00AB0AEF"/>
    <w:rsid w:val="00AB10D9"/>
    <w:rsid w:val="00AB12DF"/>
    <w:rsid w:val="00AB22E2"/>
    <w:rsid w:val="00AB2F7F"/>
    <w:rsid w:val="00AB3176"/>
    <w:rsid w:val="00AB33E7"/>
    <w:rsid w:val="00AB3817"/>
    <w:rsid w:val="00AB57FB"/>
    <w:rsid w:val="00AB68D7"/>
    <w:rsid w:val="00AB714E"/>
    <w:rsid w:val="00AB7F6B"/>
    <w:rsid w:val="00AC1C81"/>
    <w:rsid w:val="00AC1FF9"/>
    <w:rsid w:val="00AC3598"/>
    <w:rsid w:val="00AC3B38"/>
    <w:rsid w:val="00AC49B1"/>
    <w:rsid w:val="00AC4D1E"/>
    <w:rsid w:val="00AC62AD"/>
    <w:rsid w:val="00AC6517"/>
    <w:rsid w:val="00AC720C"/>
    <w:rsid w:val="00AC765E"/>
    <w:rsid w:val="00AD0204"/>
    <w:rsid w:val="00AD04FE"/>
    <w:rsid w:val="00AD0715"/>
    <w:rsid w:val="00AD1E1A"/>
    <w:rsid w:val="00AD2EB0"/>
    <w:rsid w:val="00AD31FD"/>
    <w:rsid w:val="00AD34E4"/>
    <w:rsid w:val="00AD3A7C"/>
    <w:rsid w:val="00AD4789"/>
    <w:rsid w:val="00AD5351"/>
    <w:rsid w:val="00AD699C"/>
    <w:rsid w:val="00AD71A3"/>
    <w:rsid w:val="00AD75C6"/>
    <w:rsid w:val="00AE0238"/>
    <w:rsid w:val="00AE05AB"/>
    <w:rsid w:val="00AE1D12"/>
    <w:rsid w:val="00AE1EE3"/>
    <w:rsid w:val="00AE1F54"/>
    <w:rsid w:val="00AE252C"/>
    <w:rsid w:val="00AE488F"/>
    <w:rsid w:val="00AE691A"/>
    <w:rsid w:val="00AE76A9"/>
    <w:rsid w:val="00AE7710"/>
    <w:rsid w:val="00AE7952"/>
    <w:rsid w:val="00AF1416"/>
    <w:rsid w:val="00AF1DEC"/>
    <w:rsid w:val="00AF2284"/>
    <w:rsid w:val="00AF2CC0"/>
    <w:rsid w:val="00AF2FB4"/>
    <w:rsid w:val="00AF3E13"/>
    <w:rsid w:val="00AF4602"/>
    <w:rsid w:val="00AF55FC"/>
    <w:rsid w:val="00AF6EFD"/>
    <w:rsid w:val="00AF7173"/>
    <w:rsid w:val="00AF73E1"/>
    <w:rsid w:val="00AF7BB5"/>
    <w:rsid w:val="00AF7ED7"/>
    <w:rsid w:val="00B00ADC"/>
    <w:rsid w:val="00B01944"/>
    <w:rsid w:val="00B0511A"/>
    <w:rsid w:val="00B05294"/>
    <w:rsid w:val="00B056B0"/>
    <w:rsid w:val="00B073CC"/>
    <w:rsid w:val="00B078D2"/>
    <w:rsid w:val="00B10461"/>
    <w:rsid w:val="00B11627"/>
    <w:rsid w:val="00B118B1"/>
    <w:rsid w:val="00B126BB"/>
    <w:rsid w:val="00B12F7B"/>
    <w:rsid w:val="00B130E9"/>
    <w:rsid w:val="00B134CF"/>
    <w:rsid w:val="00B13A40"/>
    <w:rsid w:val="00B14FE3"/>
    <w:rsid w:val="00B152E4"/>
    <w:rsid w:val="00B15ED3"/>
    <w:rsid w:val="00B16A11"/>
    <w:rsid w:val="00B1729F"/>
    <w:rsid w:val="00B1754F"/>
    <w:rsid w:val="00B21D53"/>
    <w:rsid w:val="00B224F0"/>
    <w:rsid w:val="00B22CAA"/>
    <w:rsid w:val="00B230B6"/>
    <w:rsid w:val="00B2452C"/>
    <w:rsid w:val="00B24628"/>
    <w:rsid w:val="00B25D6A"/>
    <w:rsid w:val="00B26C06"/>
    <w:rsid w:val="00B271F5"/>
    <w:rsid w:val="00B30D6E"/>
    <w:rsid w:val="00B30DE6"/>
    <w:rsid w:val="00B3186F"/>
    <w:rsid w:val="00B31BCE"/>
    <w:rsid w:val="00B3259C"/>
    <w:rsid w:val="00B32AA4"/>
    <w:rsid w:val="00B34440"/>
    <w:rsid w:val="00B34A8C"/>
    <w:rsid w:val="00B3539C"/>
    <w:rsid w:val="00B3558E"/>
    <w:rsid w:val="00B3654B"/>
    <w:rsid w:val="00B37809"/>
    <w:rsid w:val="00B41650"/>
    <w:rsid w:val="00B44447"/>
    <w:rsid w:val="00B44E35"/>
    <w:rsid w:val="00B44F54"/>
    <w:rsid w:val="00B4592B"/>
    <w:rsid w:val="00B45AB4"/>
    <w:rsid w:val="00B45DFC"/>
    <w:rsid w:val="00B468EE"/>
    <w:rsid w:val="00B46ACA"/>
    <w:rsid w:val="00B47113"/>
    <w:rsid w:val="00B47326"/>
    <w:rsid w:val="00B50978"/>
    <w:rsid w:val="00B512BA"/>
    <w:rsid w:val="00B51DE7"/>
    <w:rsid w:val="00B52222"/>
    <w:rsid w:val="00B527BF"/>
    <w:rsid w:val="00B529B8"/>
    <w:rsid w:val="00B5300D"/>
    <w:rsid w:val="00B53E4D"/>
    <w:rsid w:val="00B53EB0"/>
    <w:rsid w:val="00B541FA"/>
    <w:rsid w:val="00B5490B"/>
    <w:rsid w:val="00B56098"/>
    <w:rsid w:val="00B56BE2"/>
    <w:rsid w:val="00B5726D"/>
    <w:rsid w:val="00B611C8"/>
    <w:rsid w:val="00B61370"/>
    <w:rsid w:val="00B61CA9"/>
    <w:rsid w:val="00B622B0"/>
    <w:rsid w:val="00B6234B"/>
    <w:rsid w:val="00B62B95"/>
    <w:rsid w:val="00B64D88"/>
    <w:rsid w:val="00B64EFA"/>
    <w:rsid w:val="00B66392"/>
    <w:rsid w:val="00B66B9E"/>
    <w:rsid w:val="00B66E4E"/>
    <w:rsid w:val="00B67876"/>
    <w:rsid w:val="00B67AEC"/>
    <w:rsid w:val="00B70152"/>
    <w:rsid w:val="00B70CFE"/>
    <w:rsid w:val="00B712AF"/>
    <w:rsid w:val="00B71E75"/>
    <w:rsid w:val="00B7237A"/>
    <w:rsid w:val="00B72CDB"/>
    <w:rsid w:val="00B7417C"/>
    <w:rsid w:val="00B742AE"/>
    <w:rsid w:val="00B7556F"/>
    <w:rsid w:val="00B75A44"/>
    <w:rsid w:val="00B80B00"/>
    <w:rsid w:val="00B85A2B"/>
    <w:rsid w:val="00B87B95"/>
    <w:rsid w:val="00B9061C"/>
    <w:rsid w:val="00B90D1F"/>
    <w:rsid w:val="00B91205"/>
    <w:rsid w:val="00B918EC"/>
    <w:rsid w:val="00B9206D"/>
    <w:rsid w:val="00B925F6"/>
    <w:rsid w:val="00B92F3F"/>
    <w:rsid w:val="00B946B8"/>
    <w:rsid w:val="00B94E6E"/>
    <w:rsid w:val="00B94EF2"/>
    <w:rsid w:val="00B95514"/>
    <w:rsid w:val="00B9618C"/>
    <w:rsid w:val="00B96341"/>
    <w:rsid w:val="00BA11E3"/>
    <w:rsid w:val="00BA203B"/>
    <w:rsid w:val="00BA20C7"/>
    <w:rsid w:val="00BA2201"/>
    <w:rsid w:val="00BA23FF"/>
    <w:rsid w:val="00BA2A4A"/>
    <w:rsid w:val="00BA2B50"/>
    <w:rsid w:val="00BA2DFD"/>
    <w:rsid w:val="00BA4A47"/>
    <w:rsid w:val="00BA557B"/>
    <w:rsid w:val="00BA5F5C"/>
    <w:rsid w:val="00BB00B9"/>
    <w:rsid w:val="00BB060B"/>
    <w:rsid w:val="00BB114C"/>
    <w:rsid w:val="00BB1709"/>
    <w:rsid w:val="00BB2F96"/>
    <w:rsid w:val="00BB360D"/>
    <w:rsid w:val="00BB68A1"/>
    <w:rsid w:val="00BB756A"/>
    <w:rsid w:val="00BC019E"/>
    <w:rsid w:val="00BC09AA"/>
    <w:rsid w:val="00BC2C85"/>
    <w:rsid w:val="00BC523E"/>
    <w:rsid w:val="00BC640C"/>
    <w:rsid w:val="00BD0434"/>
    <w:rsid w:val="00BD0474"/>
    <w:rsid w:val="00BD04E7"/>
    <w:rsid w:val="00BD0B1E"/>
    <w:rsid w:val="00BD14B5"/>
    <w:rsid w:val="00BD24D8"/>
    <w:rsid w:val="00BD308D"/>
    <w:rsid w:val="00BD3CA6"/>
    <w:rsid w:val="00BD4DB4"/>
    <w:rsid w:val="00BD4EE4"/>
    <w:rsid w:val="00BD56EE"/>
    <w:rsid w:val="00BD58DD"/>
    <w:rsid w:val="00BD656B"/>
    <w:rsid w:val="00BD6BEB"/>
    <w:rsid w:val="00BD6FE9"/>
    <w:rsid w:val="00BD7600"/>
    <w:rsid w:val="00BD777A"/>
    <w:rsid w:val="00BD7A1D"/>
    <w:rsid w:val="00BE0287"/>
    <w:rsid w:val="00BE0ACF"/>
    <w:rsid w:val="00BE2DF8"/>
    <w:rsid w:val="00BE32AD"/>
    <w:rsid w:val="00BE37E4"/>
    <w:rsid w:val="00BE4470"/>
    <w:rsid w:val="00BE58F7"/>
    <w:rsid w:val="00BE631E"/>
    <w:rsid w:val="00BE6CEB"/>
    <w:rsid w:val="00BE6FCE"/>
    <w:rsid w:val="00BF03A4"/>
    <w:rsid w:val="00BF08C6"/>
    <w:rsid w:val="00BF0BA3"/>
    <w:rsid w:val="00BF17C1"/>
    <w:rsid w:val="00BF2A28"/>
    <w:rsid w:val="00BF3832"/>
    <w:rsid w:val="00BF3CD7"/>
    <w:rsid w:val="00BF4F38"/>
    <w:rsid w:val="00BF748A"/>
    <w:rsid w:val="00C0098B"/>
    <w:rsid w:val="00C01724"/>
    <w:rsid w:val="00C01994"/>
    <w:rsid w:val="00C01E93"/>
    <w:rsid w:val="00C03133"/>
    <w:rsid w:val="00C03639"/>
    <w:rsid w:val="00C04B46"/>
    <w:rsid w:val="00C04F80"/>
    <w:rsid w:val="00C055B6"/>
    <w:rsid w:val="00C06AD5"/>
    <w:rsid w:val="00C0762F"/>
    <w:rsid w:val="00C077F2"/>
    <w:rsid w:val="00C11BB7"/>
    <w:rsid w:val="00C11F1E"/>
    <w:rsid w:val="00C121B1"/>
    <w:rsid w:val="00C13649"/>
    <w:rsid w:val="00C1521E"/>
    <w:rsid w:val="00C16135"/>
    <w:rsid w:val="00C161FA"/>
    <w:rsid w:val="00C1656D"/>
    <w:rsid w:val="00C17286"/>
    <w:rsid w:val="00C17835"/>
    <w:rsid w:val="00C2061A"/>
    <w:rsid w:val="00C2149F"/>
    <w:rsid w:val="00C21DC9"/>
    <w:rsid w:val="00C21F03"/>
    <w:rsid w:val="00C226C0"/>
    <w:rsid w:val="00C228F1"/>
    <w:rsid w:val="00C23B84"/>
    <w:rsid w:val="00C24713"/>
    <w:rsid w:val="00C24B99"/>
    <w:rsid w:val="00C2535B"/>
    <w:rsid w:val="00C2745C"/>
    <w:rsid w:val="00C3142E"/>
    <w:rsid w:val="00C321D7"/>
    <w:rsid w:val="00C32A7B"/>
    <w:rsid w:val="00C33FDD"/>
    <w:rsid w:val="00C34427"/>
    <w:rsid w:val="00C35D52"/>
    <w:rsid w:val="00C367E3"/>
    <w:rsid w:val="00C37262"/>
    <w:rsid w:val="00C402AE"/>
    <w:rsid w:val="00C409B9"/>
    <w:rsid w:val="00C421E8"/>
    <w:rsid w:val="00C4245F"/>
    <w:rsid w:val="00C43300"/>
    <w:rsid w:val="00C43654"/>
    <w:rsid w:val="00C43AD7"/>
    <w:rsid w:val="00C44863"/>
    <w:rsid w:val="00C4514C"/>
    <w:rsid w:val="00C46E04"/>
    <w:rsid w:val="00C472A8"/>
    <w:rsid w:val="00C4733D"/>
    <w:rsid w:val="00C47902"/>
    <w:rsid w:val="00C50765"/>
    <w:rsid w:val="00C50A01"/>
    <w:rsid w:val="00C51195"/>
    <w:rsid w:val="00C52235"/>
    <w:rsid w:val="00C526A3"/>
    <w:rsid w:val="00C53496"/>
    <w:rsid w:val="00C53DB1"/>
    <w:rsid w:val="00C54C6A"/>
    <w:rsid w:val="00C555D5"/>
    <w:rsid w:val="00C56782"/>
    <w:rsid w:val="00C56859"/>
    <w:rsid w:val="00C57049"/>
    <w:rsid w:val="00C63434"/>
    <w:rsid w:val="00C64255"/>
    <w:rsid w:val="00C6431D"/>
    <w:rsid w:val="00C645F7"/>
    <w:rsid w:val="00C64C9C"/>
    <w:rsid w:val="00C668EF"/>
    <w:rsid w:val="00C66AE9"/>
    <w:rsid w:val="00C670BD"/>
    <w:rsid w:val="00C67D1D"/>
    <w:rsid w:val="00C70511"/>
    <w:rsid w:val="00C7108E"/>
    <w:rsid w:val="00C7171D"/>
    <w:rsid w:val="00C723F3"/>
    <w:rsid w:val="00C7272A"/>
    <w:rsid w:val="00C733BC"/>
    <w:rsid w:val="00C7435D"/>
    <w:rsid w:val="00C75659"/>
    <w:rsid w:val="00C7621F"/>
    <w:rsid w:val="00C778FD"/>
    <w:rsid w:val="00C82082"/>
    <w:rsid w:val="00C85C0D"/>
    <w:rsid w:val="00C86B35"/>
    <w:rsid w:val="00C87746"/>
    <w:rsid w:val="00C87BE8"/>
    <w:rsid w:val="00C87FEA"/>
    <w:rsid w:val="00C91692"/>
    <w:rsid w:val="00C918BF"/>
    <w:rsid w:val="00C93029"/>
    <w:rsid w:val="00C93C1B"/>
    <w:rsid w:val="00C94A6D"/>
    <w:rsid w:val="00C94E32"/>
    <w:rsid w:val="00C951F4"/>
    <w:rsid w:val="00C96B47"/>
    <w:rsid w:val="00C96BB4"/>
    <w:rsid w:val="00C96E92"/>
    <w:rsid w:val="00CA1F87"/>
    <w:rsid w:val="00CA25F4"/>
    <w:rsid w:val="00CA2A94"/>
    <w:rsid w:val="00CA3211"/>
    <w:rsid w:val="00CA40E3"/>
    <w:rsid w:val="00CA4D5C"/>
    <w:rsid w:val="00CA6597"/>
    <w:rsid w:val="00CB0639"/>
    <w:rsid w:val="00CB192C"/>
    <w:rsid w:val="00CB201F"/>
    <w:rsid w:val="00CB2C07"/>
    <w:rsid w:val="00CB2E64"/>
    <w:rsid w:val="00CB2F4E"/>
    <w:rsid w:val="00CB337A"/>
    <w:rsid w:val="00CB4173"/>
    <w:rsid w:val="00CB5390"/>
    <w:rsid w:val="00CB564B"/>
    <w:rsid w:val="00CB5A47"/>
    <w:rsid w:val="00CC10CB"/>
    <w:rsid w:val="00CC2B29"/>
    <w:rsid w:val="00CC30DD"/>
    <w:rsid w:val="00CC36F4"/>
    <w:rsid w:val="00CC43E3"/>
    <w:rsid w:val="00CC4999"/>
    <w:rsid w:val="00CC532C"/>
    <w:rsid w:val="00CC6350"/>
    <w:rsid w:val="00CC64A1"/>
    <w:rsid w:val="00CC68B3"/>
    <w:rsid w:val="00CC70C2"/>
    <w:rsid w:val="00CC7713"/>
    <w:rsid w:val="00CC7B07"/>
    <w:rsid w:val="00CD2423"/>
    <w:rsid w:val="00CD4C21"/>
    <w:rsid w:val="00CD6264"/>
    <w:rsid w:val="00CD689E"/>
    <w:rsid w:val="00CD7A4D"/>
    <w:rsid w:val="00CE017B"/>
    <w:rsid w:val="00CE1098"/>
    <w:rsid w:val="00CE13AA"/>
    <w:rsid w:val="00CE1574"/>
    <w:rsid w:val="00CE2F20"/>
    <w:rsid w:val="00CE33FD"/>
    <w:rsid w:val="00CE36AE"/>
    <w:rsid w:val="00CE4916"/>
    <w:rsid w:val="00CE6054"/>
    <w:rsid w:val="00CE6677"/>
    <w:rsid w:val="00CE694E"/>
    <w:rsid w:val="00CE7358"/>
    <w:rsid w:val="00CF0C27"/>
    <w:rsid w:val="00CF0FCC"/>
    <w:rsid w:val="00CF204F"/>
    <w:rsid w:val="00CF27C3"/>
    <w:rsid w:val="00CF3CDF"/>
    <w:rsid w:val="00CF4347"/>
    <w:rsid w:val="00CF5695"/>
    <w:rsid w:val="00CF58E8"/>
    <w:rsid w:val="00CF5CB0"/>
    <w:rsid w:val="00CF6F7B"/>
    <w:rsid w:val="00CF75DE"/>
    <w:rsid w:val="00CF7E19"/>
    <w:rsid w:val="00D001CD"/>
    <w:rsid w:val="00D01218"/>
    <w:rsid w:val="00D01840"/>
    <w:rsid w:val="00D01A46"/>
    <w:rsid w:val="00D02945"/>
    <w:rsid w:val="00D0792B"/>
    <w:rsid w:val="00D11D0C"/>
    <w:rsid w:val="00D12214"/>
    <w:rsid w:val="00D1288F"/>
    <w:rsid w:val="00D129B4"/>
    <w:rsid w:val="00D14FC5"/>
    <w:rsid w:val="00D15897"/>
    <w:rsid w:val="00D159FE"/>
    <w:rsid w:val="00D15D88"/>
    <w:rsid w:val="00D173E9"/>
    <w:rsid w:val="00D17602"/>
    <w:rsid w:val="00D179B4"/>
    <w:rsid w:val="00D17B7B"/>
    <w:rsid w:val="00D20A9C"/>
    <w:rsid w:val="00D21257"/>
    <w:rsid w:val="00D214A7"/>
    <w:rsid w:val="00D21E84"/>
    <w:rsid w:val="00D21F58"/>
    <w:rsid w:val="00D22855"/>
    <w:rsid w:val="00D236C5"/>
    <w:rsid w:val="00D23947"/>
    <w:rsid w:val="00D239EA"/>
    <w:rsid w:val="00D2440F"/>
    <w:rsid w:val="00D2497D"/>
    <w:rsid w:val="00D24B8D"/>
    <w:rsid w:val="00D259B2"/>
    <w:rsid w:val="00D26C27"/>
    <w:rsid w:val="00D3012D"/>
    <w:rsid w:val="00D3115F"/>
    <w:rsid w:val="00D318CE"/>
    <w:rsid w:val="00D32651"/>
    <w:rsid w:val="00D328BA"/>
    <w:rsid w:val="00D32C27"/>
    <w:rsid w:val="00D34A1D"/>
    <w:rsid w:val="00D34AC9"/>
    <w:rsid w:val="00D36385"/>
    <w:rsid w:val="00D366AD"/>
    <w:rsid w:val="00D36BE4"/>
    <w:rsid w:val="00D374D6"/>
    <w:rsid w:val="00D37593"/>
    <w:rsid w:val="00D400B4"/>
    <w:rsid w:val="00D405D3"/>
    <w:rsid w:val="00D41D1C"/>
    <w:rsid w:val="00D4437E"/>
    <w:rsid w:val="00D4735E"/>
    <w:rsid w:val="00D475E7"/>
    <w:rsid w:val="00D47CE1"/>
    <w:rsid w:val="00D47DFD"/>
    <w:rsid w:val="00D5010D"/>
    <w:rsid w:val="00D510C6"/>
    <w:rsid w:val="00D52BA1"/>
    <w:rsid w:val="00D53788"/>
    <w:rsid w:val="00D54C77"/>
    <w:rsid w:val="00D5564F"/>
    <w:rsid w:val="00D55D76"/>
    <w:rsid w:val="00D567F2"/>
    <w:rsid w:val="00D57548"/>
    <w:rsid w:val="00D57D69"/>
    <w:rsid w:val="00D601C2"/>
    <w:rsid w:val="00D60203"/>
    <w:rsid w:val="00D640C6"/>
    <w:rsid w:val="00D64B0D"/>
    <w:rsid w:val="00D65737"/>
    <w:rsid w:val="00D65A14"/>
    <w:rsid w:val="00D66A45"/>
    <w:rsid w:val="00D67299"/>
    <w:rsid w:val="00D672DE"/>
    <w:rsid w:val="00D702F1"/>
    <w:rsid w:val="00D70F4D"/>
    <w:rsid w:val="00D7444D"/>
    <w:rsid w:val="00D7467B"/>
    <w:rsid w:val="00D80020"/>
    <w:rsid w:val="00D805A1"/>
    <w:rsid w:val="00D808B5"/>
    <w:rsid w:val="00D84606"/>
    <w:rsid w:val="00D84D51"/>
    <w:rsid w:val="00D8543F"/>
    <w:rsid w:val="00D85788"/>
    <w:rsid w:val="00D86422"/>
    <w:rsid w:val="00D86634"/>
    <w:rsid w:val="00D86868"/>
    <w:rsid w:val="00D87218"/>
    <w:rsid w:val="00D8740B"/>
    <w:rsid w:val="00D877E4"/>
    <w:rsid w:val="00D879F8"/>
    <w:rsid w:val="00D87F0B"/>
    <w:rsid w:val="00D90674"/>
    <w:rsid w:val="00D907C0"/>
    <w:rsid w:val="00D90D1C"/>
    <w:rsid w:val="00D918F7"/>
    <w:rsid w:val="00D91B17"/>
    <w:rsid w:val="00D92999"/>
    <w:rsid w:val="00D94F20"/>
    <w:rsid w:val="00D951E0"/>
    <w:rsid w:val="00D95F5E"/>
    <w:rsid w:val="00DA03CE"/>
    <w:rsid w:val="00DA155C"/>
    <w:rsid w:val="00DA1D1D"/>
    <w:rsid w:val="00DA2B18"/>
    <w:rsid w:val="00DA2BE7"/>
    <w:rsid w:val="00DA333A"/>
    <w:rsid w:val="00DA3C39"/>
    <w:rsid w:val="00DA489E"/>
    <w:rsid w:val="00DA4A76"/>
    <w:rsid w:val="00DA5154"/>
    <w:rsid w:val="00DA53CA"/>
    <w:rsid w:val="00DA6006"/>
    <w:rsid w:val="00DA6E22"/>
    <w:rsid w:val="00DA7835"/>
    <w:rsid w:val="00DB01CA"/>
    <w:rsid w:val="00DB3C86"/>
    <w:rsid w:val="00DB441F"/>
    <w:rsid w:val="00DB47D4"/>
    <w:rsid w:val="00DB52FB"/>
    <w:rsid w:val="00DB58C3"/>
    <w:rsid w:val="00DB596C"/>
    <w:rsid w:val="00DB6E24"/>
    <w:rsid w:val="00DB6EF8"/>
    <w:rsid w:val="00DB7A25"/>
    <w:rsid w:val="00DC0C48"/>
    <w:rsid w:val="00DC0DAA"/>
    <w:rsid w:val="00DC2146"/>
    <w:rsid w:val="00DC2F62"/>
    <w:rsid w:val="00DC3522"/>
    <w:rsid w:val="00DC35FD"/>
    <w:rsid w:val="00DC3AD7"/>
    <w:rsid w:val="00DC44BB"/>
    <w:rsid w:val="00DC4786"/>
    <w:rsid w:val="00DC4954"/>
    <w:rsid w:val="00DC5D8A"/>
    <w:rsid w:val="00DC6B1E"/>
    <w:rsid w:val="00DC7CB5"/>
    <w:rsid w:val="00DD0B1C"/>
    <w:rsid w:val="00DD106D"/>
    <w:rsid w:val="00DD1195"/>
    <w:rsid w:val="00DD17B1"/>
    <w:rsid w:val="00DD18DA"/>
    <w:rsid w:val="00DD319E"/>
    <w:rsid w:val="00DD3822"/>
    <w:rsid w:val="00DD47C8"/>
    <w:rsid w:val="00DD5B72"/>
    <w:rsid w:val="00DD6D7D"/>
    <w:rsid w:val="00DD7788"/>
    <w:rsid w:val="00DE0272"/>
    <w:rsid w:val="00DE0CDA"/>
    <w:rsid w:val="00DE0E9B"/>
    <w:rsid w:val="00DE126E"/>
    <w:rsid w:val="00DE1CA3"/>
    <w:rsid w:val="00DE30F1"/>
    <w:rsid w:val="00DE3453"/>
    <w:rsid w:val="00DE3D73"/>
    <w:rsid w:val="00DE71D8"/>
    <w:rsid w:val="00DF0380"/>
    <w:rsid w:val="00DF124D"/>
    <w:rsid w:val="00DF1B68"/>
    <w:rsid w:val="00DF1DDC"/>
    <w:rsid w:val="00DF1F8B"/>
    <w:rsid w:val="00DF2B1D"/>
    <w:rsid w:val="00DF3E98"/>
    <w:rsid w:val="00DF48C6"/>
    <w:rsid w:val="00DF4AC3"/>
    <w:rsid w:val="00DF552E"/>
    <w:rsid w:val="00DF5DA8"/>
    <w:rsid w:val="00DF62C7"/>
    <w:rsid w:val="00DF63D9"/>
    <w:rsid w:val="00DF7CEE"/>
    <w:rsid w:val="00E00761"/>
    <w:rsid w:val="00E00E62"/>
    <w:rsid w:val="00E019A2"/>
    <w:rsid w:val="00E01A23"/>
    <w:rsid w:val="00E01ABF"/>
    <w:rsid w:val="00E021DD"/>
    <w:rsid w:val="00E03166"/>
    <w:rsid w:val="00E03E53"/>
    <w:rsid w:val="00E06627"/>
    <w:rsid w:val="00E071EA"/>
    <w:rsid w:val="00E10104"/>
    <w:rsid w:val="00E1111D"/>
    <w:rsid w:val="00E125CE"/>
    <w:rsid w:val="00E12902"/>
    <w:rsid w:val="00E200D8"/>
    <w:rsid w:val="00E209AD"/>
    <w:rsid w:val="00E223EF"/>
    <w:rsid w:val="00E229D6"/>
    <w:rsid w:val="00E23E93"/>
    <w:rsid w:val="00E24611"/>
    <w:rsid w:val="00E25515"/>
    <w:rsid w:val="00E267A7"/>
    <w:rsid w:val="00E26A70"/>
    <w:rsid w:val="00E2762D"/>
    <w:rsid w:val="00E27A9B"/>
    <w:rsid w:val="00E27F53"/>
    <w:rsid w:val="00E3046B"/>
    <w:rsid w:val="00E30977"/>
    <w:rsid w:val="00E30CDC"/>
    <w:rsid w:val="00E316D6"/>
    <w:rsid w:val="00E31A3A"/>
    <w:rsid w:val="00E3230C"/>
    <w:rsid w:val="00E32AC9"/>
    <w:rsid w:val="00E32C73"/>
    <w:rsid w:val="00E33CF8"/>
    <w:rsid w:val="00E353C7"/>
    <w:rsid w:val="00E358A4"/>
    <w:rsid w:val="00E35D49"/>
    <w:rsid w:val="00E366ED"/>
    <w:rsid w:val="00E36B26"/>
    <w:rsid w:val="00E36C0D"/>
    <w:rsid w:val="00E3712E"/>
    <w:rsid w:val="00E4092E"/>
    <w:rsid w:val="00E40B64"/>
    <w:rsid w:val="00E40FC6"/>
    <w:rsid w:val="00E415C0"/>
    <w:rsid w:val="00E41A92"/>
    <w:rsid w:val="00E41A93"/>
    <w:rsid w:val="00E42129"/>
    <w:rsid w:val="00E432B3"/>
    <w:rsid w:val="00E43510"/>
    <w:rsid w:val="00E43927"/>
    <w:rsid w:val="00E46325"/>
    <w:rsid w:val="00E46515"/>
    <w:rsid w:val="00E4651C"/>
    <w:rsid w:val="00E46D8D"/>
    <w:rsid w:val="00E47CA3"/>
    <w:rsid w:val="00E51E49"/>
    <w:rsid w:val="00E525AB"/>
    <w:rsid w:val="00E526A0"/>
    <w:rsid w:val="00E52C51"/>
    <w:rsid w:val="00E53792"/>
    <w:rsid w:val="00E545E6"/>
    <w:rsid w:val="00E5549F"/>
    <w:rsid w:val="00E57167"/>
    <w:rsid w:val="00E57C6A"/>
    <w:rsid w:val="00E604CD"/>
    <w:rsid w:val="00E60785"/>
    <w:rsid w:val="00E638F4"/>
    <w:rsid w:val="00E63AD5"/>
    <w:rsid w:val="00E65A08"/>
    <w:rsid w:val="00E65C0F"/>
    <w:rsid w:val="00E65C50"/>
    <w:rsid w:val="00E66051"/>
    <w:rsid w:val="00E66BD0"/>
    <w:rsid w:val="00E70B68"/>
    <w:rsid w:val="00E70C9F"/>
    <w:rsid w:val="00E711D4"/>
    <w:rsid w:val="00E71A75"/>
    <w:rsid w:val="00E72EDB"/>
    <w:rsid w:val="00E737FD"/>
    <w:rsid w:val="00E739E8"/>
    <w:rsid w:val="00E74DC0"/>
    <w:rsid w:val="00E7588C"/>
    <w:rsid w:val="00E76625"/>
    <w:rsid w:val="00E76653"/>
    <w:rsid w:val="00E816FE"/>
    <w:rsid w:val="00E823EE"/>
    <w:rsid w:val="00E82A60"/>
    <w:rsid w:val="00E85D06"/>
    <w:rsid w:val="00E87860"/>
    <w:rsid w:val="00E87FE2"/>
    <w:rsid w:val="00E90287"/>
    <w:rsid w:val="00E91826"/>
    <w:rsid w:val="00E91AB5"/>
    <w:rsid w:val="00E91E5E"/>
    <w:rsid w:val="00E924B1"/>
    <w:rsid w:val="00E96980"/>
    <w:rsid w:val="00E96B10"/>
    <w:rsid w:val="00E97591"/>
    <w:rsid w:val="00E97C33"/>
    <w:rsid w:val="00E97FF9"/>
    <w:rsid w:val="00EA0F4B"/>
    <w:rsid w:val="00EA175C"/>
    <w:rsid w:val="00EA24C7"/>
    <w:rsid w:val="00EA2566"/>
    <w:rsid w:val="00EA289E"/>
    <w:rsid w:val="00EA2B7E"/>
    <w:rsid w:val="00EA2DDE"/>
    <w:rsid w:val="00EA3C1B"/>
    <w:rsid w:val="00EA69F5"/>
    <w:rsid w:val="00EA6C05"/>
    <w:rsid w:val="00EB035C"/>
    <w:rsid w:val="00EB14CB"/>
    <w:rsid w:val="00EB243B"/>
    <w:rsid w:val="00EB24B3"/>
    <w:rsid w:val="00EB2580"/>
    <w:rsid w:val="00EB2E32"/>
    <w:rsid w:val="00EB4161"/>
    <w:rsid w:val="00EB4200"/>
    <w:rsid w:val="00EB483B"/>
    <w:rsid w:val="00EB48D3"/>
    <w:rsid w:val="00EB4B95"/>
    <w:rsid w:val="00EB7688"/>
    <w:rsid w:val="00EB794A"/>
    <w:rsid w:val="00EB7AEA"/>
    <w:rsid w:val="00EC0508"/>
    <w:rsid w:val="00EC07B8"/>
    <w:rsid w:val="00EC08DD"/>
    <w:rsid w:val="00EC1A18"/>
    <w:rsid w:val="00EC1CE5"/>
    <w:rsid w:val="00EC2514"/>
    <w:rsid w:val="00EC27A8"/>
    <w:rsid w:val="00EC2B07"/>
    <w:rsid w:val="00EC3A3D"/>
    <w:rsid w:val="00EC427A"/>
    <w:rsid w:val="00EC439D"/>
    <w:rsid w:val="00EC43FE"/>
    <w:rsid w:val="00EC456E"/>
    <w:rsid w:val="00EC4B7B"/>
    <w:rsid w:val="00EC5698"/>
    <w:rsid w:val="00ED066A"/>
    <w:rsid w:val="00ED0B6B"/>
    <w:rsid w:val="00ED108D"/>
    <w:rsid w:val="00ED30DB"/>
    <w:rsid w:val="00ED3481"/>
    <w:rsid w:val="00ED605D"/>
    <w:rsid w:val="00ED74C8"/>
    <w:rsid w:val="00ED7912"/>
    <w:rsid w:val="00EE01E1"/>
    <w:rsid w:val="00EE0265"/>
    <w:rsid w:val="00EE1380"/>
    <w:rsid w:val="00EE5B3B"/>
    <w:rsid w:val="00EE6007"/>
    <w:rsid w:val="00EE6ED2"/>
    <w:rsid w:val="00EF1195"/>
    <w:rsid w:val="00EF206E"/>
    <w:rsid w:val="00EF2919"/>
    <w:rsid w:val="00EF3F7F"/>
    <w:rsid w:val="00EF457B"/>
    <w:rsid w:val="00EF4CF8"/>
    <w:rsid w:val="00EF5336"/>
    <w:rsid w:val="00EF682D"/>
    <w:rsid w:val="00EF7EAB"/>
    <w:rsid w:val="00F02AAA"/>
    <w:rsid w:val="00F03CF1"/>
    <w:rsid w:val="00F060EB"/>
    <w:rsid w:val="00F06106"/>
    <w:rsid w:val="00F071CB"/>
    <w:rsid w:val="00F11598"/>
    <w:rsid w:val="00F119BD"/>
    <w:rsid w:val="00F11A38"/>
    <w:rsid w:val="00F123E6"/>
    <w:rsid w:val="00F13CBB"/>
    <w:rsid w:val="00F146BE"/>
    <w:rsid w:val="00F156BA"/>
    <w:rsid w:val="00F168CD"/>
    <w:rsid w:val="00F16AC5"/>
    <w:rsid w:val="00F16BD4"/>
    <w:rsid w:val="00F16FA9"/>
    <w:rsid w:val="00F1709A"/>
    <w:rsid w:val="00F21E44"/>
    <w:rsid w:val="00F22A86"/>
    <w:rsid w:val="00F239B7"/>
    <w:rsid w:val="00F23F9C"/>
    <w:rsid w:val="00F2475E"/>
    <w:rsid w:val="00F24890"/>
    <w:rsid w:val="00F25268"/>
    <w:rsid w:val="00F26AD2"/>
    <w:rsid w:val="00F26ED7"/>
    <w:rsid w:val="00F274FC"/>
    <w:rsid w:val="00F316A6"/>
    <w:rsid w:val="00F317AE"/>
    <w:rsid w:val="00F32023"/>
    <w:rsid w:val="00F33A3F"/>
    <w:rsid w:val="00F35454"/>
    <w:rsid w:val="00F35FF7"/>
    <w:rsid w:val="00F3740F"/>
    <w:rsid w:val="00F414C4"/>
    <w:rsid w:val="00F41CC9"/>
    <w:rsid w:val="00F41D6C"/>
    <w:rsid w:val="00F41DBF"/>
    <w:rsid w:val="00F420C4"/>
    <w:rsid w:val="00F42956"/>
    <w:rsid w:val="00F44068"/>
    <w:rsid w:val="00F4494D"/>
    <w:rsid w:val="00F44CDF"/>
    <w:rsid w:val="00F453B3"/>
    <w:rsid w:val="00F45E70"/>
    <w:rsid w:val="00F45FF1"/>
    <w:rsid w:val="00F46859"/>
    <w:rsid w:val="00F46A94"/>
    <w:rsid w:val="00F47B27"/>
    <w:rsid w:val="00F519BD"/>
    <w:rsid w:val="00F51E44"/>
    <w:rsid w:val="00F54023"/>
    <w:rsid w:val="00F55F18"/>
    <w:rsid w:val="00F565A3"/>
    <w:rsid w:val="00F566E9"/>
    <w:rsid w:val="00F57325"/>
    <w:rsid w:val="00F57786"/>
    <w:rsid w:val="00F6107E"/>
    <w:rsid w:val="00F6170A"/>
    <w:rsid w:val="00F62EFC"/>
    <w:rsid w:val="00F6509E"/>
    <w:rsid w:val="00F6514D"/>
    <w:rsid w:val="00F65D98"/>
    <w:rsid w:val="00F67213"/>
    <w:rsid w:val="00F7085F"/>
    <w:rsid w:val="00F71BDE"/>
    <w:rsid w:val="00F71F95"/>
    <w:rsid w:val="00F72423"/>
    <w:rsid w:val="00F74294"/>
    <w:rsid w:val="00F7449C"/>
    <w:rsid w:val="00F757F2"/>
    <w:rsid w:val="00F75B49"/>
    <w:rsid w:val="00F768E1"/>
    <w:rsid w:val="00F779EC"/>
    <w:rsid w:val="00F80281"/>
    <w:rsid w:val="00F8228C"/>
    <w:rsid w:val="00F8308B"/>
    <w:rsid w:val="00F846C4"/>
    <w:rsid w:val="00F85EF1"/>
    <w:rsid w:val="00F87D29"/>
    <w:rsid w:val="00F900FE"/>
    <w:rsid w:val="00F91142"/>
    <w:rsid w:val="00F917F8"/>
    <w:rsid w:val="00F91888"/>
    <w:rsid w:val="00F92B84"/>
    <w:rsid w:val="00F92FFF"/>
    <w:rsid w:val="00F9339D"/>
    <w:rsid w:val="00F941F1"/>
    <w:rsid w:val="00F956CF"/>
    <w:rsid w:val="00F96321"/>
    <w:rsid w:val="00F968CC"/>
    <w:rsid w:val="00F971B3"/>
    <w:rsid w:val="00F97412"/>
    <w:rsid w:val="00F97E61"/>
    <w:rsid w:val="00FA102A"/>
    <w:rsid w:val="00FA1094"/>
    <w:rsid w:val="00FA202A"/>
    <w:rsid w:val="00FA20AE"/>
    <w:rsid w:val="00FA20F3"/>
    <w:rsid w:val="00FA276A"/>
    <w:rsid w:val="00FA5936"/>
    <w:rsid w:val="00FA70A0"/>
    <w:rsid w:val="00FA72BC"/>
    <w:rsid w:val="00FA7C70"/>
    <w:rsid w:val="00FB08C2"/>
    <w:rsid w:val="00FB0A11"/>
    <w:rsid w:val="00FB1F7C"/>
    <w:rsid w:val="00FB42A7"/>
    <w:rsid w:val="00FB48F4"/>
    <w:rsid w:val="00FB574C"/>
    <w:rsid w:val="00FB60DF"/>
    <w:rsid w:val="00FB68D4"/>
    <w:rsid w:val="00FB7F8C"/>
    <w:rsid w:val="00FC137F"/>
    <w:rsid w:val="00FC16F0"/>
    <w:rsid w:val="00FC1AE8"/>
    <w:rsid w:val="00FC37DB"/>
    <w:rsid w:val="00FC4C1C"/>
    <w:rsid w:val="00FC4CE7"/>
    <w:rsid w:val="00FC5BE6"/>
    <w:rsid w:val="00FC6AFA"/>
    <w:rsid w:val="00FC714E"/>
    <w:rsid w:val="00FC7F09"/>
    <w:rsid w:val="00FD0D25"/>
    <w:rsid w:val="00FD0FEC"/>
    <w:rsid w:val="00FD24F0"/>
    <w:rsid w:val="00FD2D8A"/>
    <w:rsid w:val="00FD475D"/>
    <w:rsid w:val="00FD55A7"/>
    <w:rsid w:val="00FD592A"/>
    <w:rsid w:val="00FD6F89"/>
    <w:rsid w:val="00FD7C90"/>
    <w:rsid w:val="00FD7D25"/>
    <w:rsid w:val="00FE2964"/>
    <w:rsid w:val="00FE39BE"/>
    <w:rsid w:val="00FE39EE"/>
    <w:rsid w:val="00FE3A78"/>
    <w:rsid w:val="00FE3B09"/>
    <w:rsid w:val="00FE58BB"/>
    <w:rsid w:val="00FE5C3B"/>
    <w:rsid w:val="00FE5C49"/>
    <w:rsid w:val="00FE6159"/>
    <w:rsid w:val="00FE6288"/>
    <w:rsid w:val="00FE6357"/>
    <w:rsid w:val="00FE6A14"/>
    <w:rsid w:val="00FE7251"/>
    <w:rsid w:val="00FE7900"/>
    <w:rsid w:val="00FE7F3E"/>
    <w:rsid w:val="00FF027C"/>
    <w:rsid w:val="00FF0559"/>
    <w:rsid w:val="00FF0B0D"/>
    <w:rsid w:val="00FF146E"/>
    <w:rsid w:val="00FF1B8A"/>
    <w:rsid w:val="00FF2108"/>
    <w:rsid w:val="00FF38F1"/>
    <w:rsid w:val="00FF3F07"/>
    <w:rsid w:val="00FF435D"/>
    <w:rsid w:val="00FF4AB1"/>
    <w:rsid w:val="00FF540B"/>
    <w:rsid w:val="00FF5D9E"/>
    <w:rsid w:val="00FF6655"/>
    <w:rsid w:val="0123E6E6"/>
    <w:rsid w:val="01C03306"/>
    <w:rsid w:val="01C310E7"/>
    <w:rsid w:val="02146CE3"/>
    <w:rsid w:val="03291083"/>
    <w:rsid w:val="037E689E"/>
    <w:rsid w:val="03ED241C"/>
    <w:rsid w:val="040B3AF1"/>
    <w:rsid w:val="04AF4A55"/>
    <w:rsid w:val="04FA52B7"/>
    <w:rsid w:val="06EF5174"/>
    <w:rsid w:val="07F16915"/>
    <w:rsid w:val="08185842"/>
    <w:rsid w:val="08BBF491"/>
    <w:rsid w:val="0AEF9229"/>
    <w:rsid w:val="0B3B9676"/>
    <w:rsid w:val="0C041CFF"/>
    <w:rsid w:val="0D603BD0"/>
    <w:rsid w:val="0DFBDADE"/>
    <w:rsid w:val="0E272EC6"/>
    <w:rsid w:val="0EF4169C"/>
    <w:rsid w:val="0FE224EF"/>
    <w:rsid w:val="10523E33"/>
    <w:rsid w:val="115B3EEF"/>
    <w:rsid w:val="11683B24"/>
    <w:rsid w:val="11804676"/>
    <w:rsid w:val="13045DA8"/>
    <w:rsid w:val="1318202A"/>
    <w:rsid w:val="133C3906"/>
    <w:rsid w:val="137A2AC6"/>
    <w:rsid w:val="13810AA4"/>
    <w:rsid w:val="14DA77BA"/>
    <w:rsid w:val="160C22A3"/>
    <w:rsid w:val="1629143C"/>
    <w:rsid w:val="16670663"/>
    <w:rsid w:val="16742EED"/>
    <w:rsid w:val="16FD73B0"/>
    <w:rsid w:val="173014EC"/>
    <w:rsid w:val="17BDADFB"/>
    <w:rsid w:val="17C96C63"/>
    <w:rsid w:val="17D47B03"/>
    <w:rsid w:val="17DF1EA9"/>
    <w:rsid w:val="189B3D09"/>
    <w:rsid w:val="18AE1E77"/>
    <w:rsid w:val="19791A18"/>
    <w:rsid w:val="1BCFCF31"/>
    <w:rsid w:val="1BDA3BC5"/>
    <w:rsid w:val="1BEE6E5A"/>
    <w:rsid w:val="1BFF6D08"/>
    <w:rsid w:val="1CDEDA0E"/>
    <w:rsid w:val="1CF94428"/>
    <w:rsid w:val="1CFBAF00"/>
    <w:rsid w:val="1D3B6AA2"/>
    <w:rsid w:val="1D886D0B"/>
    <w:rsid w:val="1DBF436D"/>
    <w:rsid w:val="1DBF78BF"/>
    <w:rsid w:val="1DEFB4C7"/>
    <w:rsid w:val="1DFD7FE0"/>
    <w:rsid w:val="1DFFB513"/>
    <w:rsid w:val="1E3D321B"/>
    <w:rsid w:val="1E7D713A"/>
    <w:rsid w:val="1EF10CB1"/>
    <w:rsid w:val="1FBF7375"/>
    <w:rsid w:val="1FEE6CB0"/>
    <w:rsid w:val="1FF9A8E2"/>
    <w:rsid w:val="214A7396"/>
    <w:rsid w:val="218F4931"/>
    <w:rsid w:val="219E062F"/>
    <w:rsid w:val="21BFC071"/>
    <w:rsid w:val="233708A3"/>
    <w:rsid w:val="2577011E"/>
    <w:rsid w:val="25AD2A5D"/>
    <w:rsid w:val="25CE052F"/>
    <w:rsid w:val="261D50CD"/>
    <w:rsid w:val="264E3873"/>
    <w:rsid w:val="267A5045"/>
    <w:rsid w:val="2732EE28"/>
    <w:rsid w:val="27370766"/>
    <w:rsid w:val="275F976D"/>
    <w:rsid w:val="2776915C"/>
    <w:rsid w:val="279351FA"/>
    <w:rsid w:val="27B96C35"/>
    <w:rsid w:val="27DB2ADC"/>
    <w:rsid w:val="27EFA6FC"/>
    <w:rsid w:val="27EFDAF0"/>
    <w:rsid w:val="29DFDC0C"/>
    <w:rsid w:val="29FF340B"/>
    <w:rsid w:val="2BA95CC2"/>
    <w:rsid w:val="2BFF6160"/>
    <w:rsid w:val="2CC7271F"/>
    <w:rsid w:val="2D7D3CE6"/>
    <w:rsid w:val="2D7F49AD"/>
    <w:rsid w:val="2DB7A765"/>
    <w:rsid w:val="2DF7D6CC"/>
    <w:rsid w:val="2E1F7190"/>
    <w:rsid w:val="2EA7AF2A"/>
    <w:rsid w:val="2EBBF7CD"/>
    <w:rsid w:val="2EEFE88B"/>
    <w:rsid w:val="2F6BFAC9"/>
    <w:rsid w:val="2FF71CFE"/>
    <w:rsid w:val="2FFF07B0"/>
    <w:rsid w:val="30912494"/>
    <w:rsid w:val="30E3C6D8"/>
    <w:rsid w:val="30E65529"/>
    <w:rsid w:val="31B735F1"/>
    <w:rsid w:val="33FBCDCC"/>
    <w:rsid w:val="34B779C7"/>
    <w:rsid w:val="34CF5CEC"/>
    <w:rsid w:val="34E055A5"/>
    <w:rsid w:val="34E5346C"/>
    <w:rsid w:val="3677BA75"/>
    <w:rsid w:val="36816193"/>
    <w:rsid w:val="36995ED7"/>
    <w:rsid w:val="36B6F232"/>
    <w:rsid w:val="36DEF824"/>
    <w:rsid w:val="36FF3DC3"/>
    <w:rsid w:val="3797248F"/>
    <w:rsid w:val="37EF5621"/>
    <w:rsid w:val="37EF74DB"/>
    <w:rsid w:val="37F76A7A"/>
    <w:rsid w:val="37FD09CB"/>
    <w:rsid w:val="384113C3"/>
    <w:rsid w:val="385B2C3E"/>
    <w:rsid w:val="389FFD0E"/>
    <w:rsid w:val="392BF547"/>
    <w:rsid w:val="398C4612"/>
    <w:rsid w:val="39A39EF4"/>
    <w:rsid w:val="3A7F6245"/>
    <w:rsid w:val="3AEB0E5A"/>
    <w:rsid w:val="3B4FA1AF"/>
    <w:rsid w:val="3B4FA5C0"/>
    <w:rsid w:val="3B531602"/>
    <w:rsid w:val="3BA9F012"/>
    <w:rsid w:val="3BAB9182"/>
    <w:rsid w:val="3BEB16C6"/>
    <w:rsid w:val="3BF66F8C"/>
    <w:rsid w:val="3C9B2C06"/>
    <w:rsid w:val="3CB7C9C3"/>
    <w:rsid w:val="3CEF8113"/>
    <w:rsid w:val="3D73248C"/>
    <w:rsid w:val="3D761FDF"/>
    <w:rsid w:val="3D7D5F47"/>
    <w:rsid w:val="3D9758B0"/>
    <w:rsid w:val="3DB15A34"/>
    <w:rsid w:val="3DD4574E"/>
    <w:rsid w:val="3DD72671"/>
    <w:rsid w:val="3DEAC215"/>
    <w:rsid w:val="3DFD693B"/>
    <w:rsid w:val="3DFF2784"/>
    <w:rsid w:val="3E3F2505"/>
    <w:rsid w:val="3EB74863"/>
    <w:rsid w:val="3ECA3916"/>
    <w:rsid w:val="3EF66B68"/>
    <w:rsid w:val="3EF79E87"/>
    <w:rsid w:val="3F673003"/>
    <w:rsid w:val="3FAFD343"/>
    <w:rsid w:val="3FBBA733"/>
    <w:rsid w:val="3FBEFB5C"/>
    <w:rsid w:val="3FBF537A"/>
    <w:rsid w:val="3FCF4807"/>
    <w:rsid w:val="3FCF8ACA"/>
    <w:rsid w:val="3FDF3ED9"/>
    <w:rsid w:val="3FDF676E"/>
    <w:rsid w:val="3FE6949F"/>
    <w:rsid w:val="3FEB6D5B"/>
    <w:rsid w:val="3FEF360D"/>
    <w:rsid w:val="3FF1D5C2"/>
    <w:rsid w:val="3FF35356"/>
    <w:rsid w:val="3FFA0245"/>
    <w:rsid w:val="3FFEB1BF"/>
    <w:rsid w:val="3FFF7F4B"/>
    <w:rsid w:val="3FFF9FBB"/>
    <w:rsid w:val="402E5086"/>
    <w:rsid w:val="41A63871"/>
    <w:rsid w:val="421A572A"/>
    <w:rsid w:val="421E2F4D"/>
    <w:rsid w:val="425B0D45"/>
    <w:rsid w:val="428D0BB2"/>
    <w:rsid w:val="43817E6A"/>
    <w:rsid w:val="43EF1321"/>
    <w:rsid w:val="44260386"/>
    <w:rsid w:val="44EED997"/>
    <w:rsid w:val="45605CF4"/>
    <w:rsid w:val="45FF0815"/>
    <w:rsid w:val="46725C94"/>
    <w:rsid w:val="468E1469"/>
    <w:rsid w:val="47C47F74"/>
    <w:rsid w:val="47E7B1C1"/>
    <w:rsid w:val="47FD46E8"/>
    <w:rsid w:val="487C33A3"/>
    <w:rsid w:val="491F48CF"/>
    <w:rsid w:val="49693D13"/>
    <w:rsid w:val="4AEFB419"/>
    <w:rsid w:val="4B1AD193"/>
    <w:rsid w:val="4B7744CC"/>
    <w:rsid w:val="4B7FA491"/>
    <w:rsid w:val="4BB7B22D"/>
    <w:rsid w:val="4CBB3BB3"/>
    <w:rsid w:val="4D5ED344"/>
    <w:rsid w:val="4D678F58"/>
    <w:rsid w:val="4D70739B"/>
    <w:rsid w:val="4DAD3831"/>
    <w:rsid w:val="4DADC526"/>
    <w:rsid w:val="4DC36B8D"/>
    <w:rsid w:val="4DEE7E83"/>
    <w:rsid w:val="4DEF6F6C"/>
    <w:rsid w:val="4DF3F31D"/>
    <w:rsid w:val="4E121292"/>
    <w:rsid w:val="4E7B459A"/>
    <w:rsid w:val="4ECD10F0"/>
    <w:rsid w:val="4EFE1133"/>
    <w:rsid w:val="4F4AF30E"/>
    <w:rsid w:val="4F5E1EC6"/>
    <w:rsid w:val="4FAFB09B"/>
    <w:rsid w:val="4FD4D313"/>
    <w:rsid w:val="4FFA63C2"/>
    <w:rsid w:val="4FFE346F"/>
    <w:rsid w:val="4FFF02FB"/>
    <w:rsid w:val="505A76D1"/>
    <w:rsid w:val="50F7734E"/>
    <w:rsid w:val="51ED42C6"/>
    <w:rsid w:val="525F4103"/>
    <w:rsid w:val="526667B8"/>
    <w:rsid w:val="52963FB5"/>
    <w:rsid w:val="53D90AE1"/>
    <w:rsid w:val="54695B81"/>
    <w:rsid w:val="55151BCF"/>
    <w:rsid w:val="553E3E88"/>
    <w:rsid w:val="55571013"/>
    <w:rsid w:val="557F59FD"/>
    <w:rsid w:val="558B2ED4"/>
    <w:rsid w:val="55EA6B3E"/>
    <w:rsid w:val="55FF7BDB"/>
    <w:rsid w:val="56BF8D58"/>
    <w:rsid w:val="56C73045"/>
    <w:rsid w:val="56FFA02C"/>
    <w:rsid w:val="56FFCDE5"/>
    <w:rsid w:val="57286503"/>
    <w:rsid w:val="5736C8ED"/>
    <w:rsid w:val="576511D6"/>
    <w:rsid w:val="577BB77E"/>
    <w:rsid w:val="57BE94E1"/>
    <w:rsid w:val="57ED2C79"/>
    <w:rsid w:val="59F7966E"/>
    <w:rsid w:val="5A4E5B07"/>
    <w:rsid w:val="5A7BFCFF"/>
    <w:rsid w:val="5ABE3825"/>
    <w:rsid w:val="5ACB49FE"/>
    <w:rsid w:val="5AEDE7B3"/>
    <w:rsid w:val="5AFCBEAC"/>
    <w:rsid w:val="5B93C95D"/>
    <w:rsid w:val="5BE79DD4"/>
    <w:rsid w:val="5BEEA8DA"/>
    <w:rsid w:val="5BFF1A7D"/>
    <w:rsid w:val="5BFFF14A"/>
    <w:rsid w:val="5C436DFB"/>
    <w:rsid w:val="5C55325F"/>
    <w:rsid w:val="5CBB6E3E"/>
    <w:rsid w:val="5CE5754D"/>
    <w:rsid w:val="5D55822B"/>
    <w:rsid w:val="5D6857E9"/>
    <w:rsid w:val="5D7E3057"/>
    <w:rsid w:val="5D7EA7FE"/>
    <w:rsid w:val="5DB4F2CF"/>
    <w:rsid w:val="5DBF61DA"/>
    <w:rsid w:val="5DCD610C"/>
    <w:rsid w:val="5DF65422"/>
    <w:rsid w:val="5DF78162"/>
    <w:rsid w:val="5E1D3FB1"/>
    <w:rsid w:val="5E2A73C0"/>
    <w:rsid w:val="5E793521"/>
    <w:rsid w:val="5E7F79EF"/>
    <w:rsid w:val="5E8866D7"/>
    <w:rsid w:val="5EB2016C"/>
    <w:rsid w:val="5EB7242C"/>
    <w:rsid w:val="5EDBF34C"/>
    <w:rsid w:val="5EDD4722"/>
    <w:rsid w:val="5EDE6DC2"/>
    <w:rsid w:val="5EE3C637"/>
    <w:rsid w:val="5EF5284B"/>
    <w:rsid w:val="5EF76C7E"/>
    <w:rsid w:val="5EFBE8D9"/>
    <w:rsid w:val="5EFCC07A"/>
    <w:rsid w:val="5EFEF3ED"/>
    <w:rsid w:val="5EFF7BE9"/>
    <w:rsid w:val="5F370C2B"/>
    <w:rsid w:val="5F5EBF92"/>
    <w:rsid w:val="5FBE7281"/>
    <w:rsid w:val="5FBFB419"/>
    <w:rsid w:val="5FDB0928"/>
    <w:rsid w:val="5FEE4964"/>
    <w:rsid w:val="5FEEF60C"/>
    <w:rsid w:val="5FF54A80"/>
    <w:rsid w:val="5FF6FB1C"/>
    <w:rsid w:val="5FF7A055"/>
    <w:rsid w:val="5FF7A82D"/>
    <w:rsid w:val="5FF7A9D2"/>
    <w:rsid w:val="5FF9708D"/>
    <w:rsid w:val="5FFB6BAF"/>
    <w:rsid w:val="5FFDA3EE"/>
    <w:rsid w:val="5FFE17C6"/>
    <w:rsid w:val="5FFE8776"/>
    <w:rsid w:val="617FDA56"/>
    <w:rsid w:val="633F6CC7"/>
    <w:rsid w:val="636F12CD"/>
    <w:rsid w:val="641F491E"/>
    <w:rsid w:val="648C0471"/>
    <w:rsid w:val="64E11B2C"/>
    <w:rsid w:val="656102B9"/>
    <w:rsid w:val="657C820C"/>
    <w:rsid w:val="659C79D3"/>
    <w:rsid w:val="65B31319"/>
    <w:rsid w:val="65DF9500"/>
    <w:rsid w:val="65E747BC"/>
    <w:rsid w:val="65F78D8C"/>
    <w:rsid w:val="65FFE939"/>
    <w:rsid w:val="6656B455"/>
    <w:rsid w:val="672F3A41"/>
    <w:rsid w:val="675EF6D4"/>
    <w:rsid w:val="676F4304"/>
    <w:rsid w:val="67E61DB3"/>
    <w:rsid w:val="67EF3224"/>
    <w:rsid w:val="67FE857C"/>
    <w:rsid w:val="67FF003E"/>
    <w:rsid w:val="684501D4"/>
    <w:rsid w:val="686E411D"/>
    <w:rsid w:val="694D23DB"/>
    <w:rsid w:val="69650304"/>
    <w:rsid w:val="6A275F63"/>
    <w:rsid w:val="6A7A31E5"/>
    <w:rsid w:val="6AAFED99"/>
    <w:rsid w:val="6AE9C1DA"/>
    <w:rsid w:val="6B436831"/>
    <w:rsid w:val="6B6E3DC4"/>
    <w:rsid w:val="6B7179B2"/>
    <w:rsid w:val="6B77E2D5"/>
    <w:rsid w:val="6BD51137"/>
    <w:rsid w:val="6BDA6921"/>
    <w:rsid w:val="6BF7EAFA"/>
    <w:rsid w:val="6BFF5620"/>
    <w:rsid w:val="6BFFD4BB"/>
    <w:rsid w:val="6C430D4D"/>
    <w:rsid w:val="6C642A0F"/>
    <w:rsid w:val="6CB076BA"/>
    <w:rsid w:val="6CF7BF9B"/>
    <w:rsid w:val="6CFD091F"/>
    <w:rsid w:val="6CFFC3B5"/>
    <w:rsid w:val="6D50169A"/>
    <w:rsid w:val="6D73CC41"/>
    <w:rsid w:val="6D77449D"/>
    <w:rsid w:val="6DB5F7F1"/>
    <w:rsid w:val="6DBA2ADD"/>
    <w:rsid w:val="6DEF40CD"/>
    <w:rsid w:val="6DF8D4BD"/>
    <w:rsid w:val="6DF9AADB"/>
    <w:rsid w:val="6EBFEB94"/>
    <w:rsid w:val="6EF127BF"/>
    <w:rsid w:val="6EFD3EB9"/>
    <w:rsid w:val="6EFE8F88"/>
    <w:rsid w:val="6F3B17DD"/>
    <w:rsid w:val="6F71D401"/>
    <w:rsid w:val="6F7796A3"/>
    <w:rsid w:val="6F8F7E74"/>
    <w:rsid w:val="6FB4E98C"/>
    <w:rsid w:val="6FCF7FB5"/>
    <w:rsid w:val="6FD902DD"/>
    <w:rsid w:val="6FDE7331"/>
    <w:rsid w:val="6FE5BAF3"/>
    <w:rsid w:val="6FE7C91E"/>
    <w:rsid w:val="6FF716C9"/>
    <w:rsid w:val="6FF71E06"/>
    <w:rsid w:val="6FFC15B4"/>
    <w:rsid w:val="6FFD4120"/>
    <w:rsid w:val="6FFE3253"/>
    <w:rsid w:val="6FFF1619"/>
    <w:rsid w:val="704666B3"/>
    <w:rsid w:val="7076285A"/>
    <w:rsid w:val="70F4632C"/>
    <w:rsid w:val="71AD6475"/>
    <w:rsid w:val="71C542E2"/>
    <w:rsid w:val="71FB6C78"/>
    <w:rsid w:val="71FE8064"/>
    <w:rsid w:val="724E022D"/>
    <w:rsid w:val="727BDBB6"/>
    <w:rsid w:val="72874010"/>
    <w:rsid w:val="72CF0DAC"/>
    <w:rsid w:val="72F2C217"/>
    <w:rsid w:val="72FB5973"/>
    <w:rsid w:val="739EBC35"/>
    <w:rsid w:val="73AFD98D"/>
    <w:rsid w:val="73BB6BF6"/>
    <w:rsid w:val="73BFDBC7"/>
    <w:rsid w:val="73DF29A0"/>
    <w:rsid w:val="73E55634"/>
    <w:rsid w:val="73E99824"/>
    <w:rsid w:val="73EFF69A"/>
    <w:rsid w:val="73F32AB8"/>
    <w:rsid w:val="73FF1F09"/>
    <w:rsid w:val="73FFA5BE"/>
    <w:rsid w:val="741811A2"/>
    <w:rsid w:val="741B741F"/>
    <w:rsid w:val="744EA2DA"/>
    <w:rsid w:val="745B3E5A"/>
    <w:rsid w:val="74EDFC71"/>
    <w:rsid w:val="7562642D"/>
    <w:rsid w:val="75B2D8F4"/>
    <w:rsid w:val="75CB71F4"/>
    <w:rsid w:val="75CB9CA2"/>
    <w:rsid w:val="75CF66C2"/>
    <w:rsid w:val="75DFCDD0"/>
    <w:rsid w:val="75E7EC3E"/>
    <w:rsid w:val="75ED4C81"/>
    <w:rsid w:val="75EE106A"/>
    <w:rsid w:val="76B7A01E"/>
    <w:rsid w:val="76D73466"/>
    <w:rsid w:val="76ED63DC"/>
    <w:rsid w:val="76EDFEA8"/>
    <w:rsid w:val="76EFA86B"/>
    <w:rsid w:val="76FBE0A6"/>
    <w:rsid w:val="76FEB519"/>
    <w:rsid w:val="77120D81"/>
    <w:rsid w:val="773B6E94"/>
    <w:rsid w:val="773F416B"/>
    <w:rsid w:val="773FC2B4"/>
    <w:rsid w:val="7767697B"/>
    <w:rsid w:val="777E1C13"/>
    <w:rsid w:val="777E241C"/>
    <w:rsid w:val="777FE2C2"/>
    <w:rsid w:val="77BEFEDF"/>
    <w:rsid w:val="77BF0C56"/>
    <w:rsid w:val="77BF2C6C"/>
    <w:rsid w:val="77BF4469"/>
    <w:rsid w:val="77DA9E1C"/>
    <w:rsid w:val="77DF0902"/>
    <w:rsid w:val="77EBC94C"/>
    <w:rsid w:val="77F3F99A"/>
    <w:rsid w:val="77F7B6A1"/>
    <w:rsid w:val="77FB3794"/>
    <w:rsid w:val="77FC1973"/>
    <w:rsid w:val="77FF2E5D"/>
    <w:rsid w:val="77FF6BD3"/>
    <w:rsid w:val="77FF73FE"/>
    <w:rsid w:val="77FF8DE4"/>
    <w:rsid w:val="77FF96DC"/>
    <w:rsid w:val="77FF98D9"/>
    <w:rsid w:val="780E2ADE"/>
    <w:rsid w:val="783FA804"/>
    <w:rsid w:val="78DB50B6"/>
    <w:rsid w:val="78E751EF"/>
    <w:rsid w:val="795A4F5B"/>
    <w:rsid w:val="797F5239"/>
    <w:rsid w:val="79FF7B0D"/>
    <w:rsid w:val="7A4A60C9"/>
    <w:rsid w:val="7A71A7FD"/>
    <w:rsid w:val="7A97FF58"/>
    <w:rsid w:val="7AF30C9D"/>
    <w:rsid w:val="7AF70606"/>
    <w:rsid w:val="7AF7D67B"/>
    <w:rsid w:val="7AFE0FCA"/>
    <w:rsid w:val="7B4307D3"/>
    <w:rsid w:val="7B4F838D"/>
    <w:rsid w:val="7B5D00BF"/>
    <w:rsid w:val="7B6BB10C"/>
    <w:rsid w:val="7B6F5563"/>
    <w:rsid w:val="7B77A0CF"/>
    <w:rsid w:val="7B77F2FD"/>
    <w:rsid w:val="7B77F8E5"/>
    <w:rsid w:val="7B7E6EAB"/>
    <w:rsid w:val="7B7ED2FE"/>
    <w:rsid w:val="7B9A2410"/>
    <w:rsid w:val="7B9FA5D8"/>
    <w:rsid w:val="7BC7C2B2"/>
    <w:rsid w:val="7BCDC113"/>
    <w:rsid w:val="7BD32125"/>
    <w:rsid w:val="7BDB155B"/>
    <w:rsid w:val="7BDDE200"/>
    <w:rsid w:val="7BE74C94"/>
    <w:rsid w:val="7BEFBC60"/>
    <w:rsid w:val="7BF5878C"/>
    <w:rsid w:val="7BF5E51E"/>
    <w:rsid w:val="7BF74946"/>
    <w:rsid w:val="7BF85915"/>
    <w:rsid w:val="7BFEB61B"/>
    <w:rsid w:val="7BFFE1E3"/>
    <w:rsid w:val="7C3DCC41"/>
    <w:rsid w:val="7C6E6434"/>
    <w:rsid w:val="7CA144D9"/>
    <w:rsid w:val="7CE37221"/>
    <w:rsid w:val="7CE7B5D6"/>
    <w:rsid w:val="7CFA7567"/>
    <w:rsid w:val="7CFAD471"/>
    <w:rsid w:val="7CFC9292"/>
    <w:rsid w:val="7CFCE577"/>
    <w:rsid w:val="7CFE1B60"/>
    <w:rsid w:val="7D3F959C"/>
    <w:rsid w:val="7D5D42EC"/>
    <w:rsid w:val="7D6E0348"/>
    <w:rsid w:val="7D732DDD"/>
    <w:rsid w:val="7D7E1CC4"/>
    <w:rsid w:val="7D7F35B0"/>
    <w:rsid w:val="7D9730E6"/>
    <w:rsid w:val="7DA55C93"/>
    <w:rsid w:val="7DAF073E"/>
    <w:rsid w:val="7DB7C70A"/>
    <w:rsid w:val="7DBA4278"/>
    <w:rsid w:val="7DBF991A"/>
    <w:rsid w:val="7DC6D82A"/>
    <w:rsid w:val="7DDB197B"/>
    <w:rsid w:val="7DDB3FF1"/>
    <w:rsid w:val="7DDDE4C2"/>
    <w:rsid w:val="7DDDEA04"/>
    <w:rsid w:val="7DDF2B9D"/>
    <w:rsid w:val="7DDF54C6"/>
    <w:rsid w:val="7DEEADF7"/>
    <w:rsid w:val="7DEF083D"/>
    <w:rsid w:val="7DEF1F47"/>
    <w:rsid w:val="7DEFC657"/>
    <w:rsid w:val="7DFD5F34"/>
    <w:rsid w:val="7DFDDCC0"/>
    <w:rsid w:val="7E2B1B1F"/>
    <w:rsid w:val="7E4435A0"/>
    <w:rsid w:val="7E5FC005"/>
    <w:rsid w:val="7E6B99FE"/>
    <w:rsid w:val="7E76C969"/>
    <w:rsid w:val="7E7AE341"/>
    <w:rsid w:val="7E7FE21D"/>
    <w:rsid w:val="7EA5A64E"/>
    <w:rsid w:val="7EB2B236"/>
    <w:rsid w:val="7EBC11EA"/>
    <w:rsid w:val="7EBE5878"/>
    <w:rsid w:val="7ED9541D"/>
    <w:rsid w:val="7EDD1C07"/>
    <w:rsid w:val="7EDF7E6F"/>
    <w:rsid w:val="7EE32EEC"/>
    <w:rsid w:val="7EE71208"/>
    <w:rsid w:val="7EE9456A"/>
    <w:rsid w:val="7EEEA49A"/>
    <w:rsid w:val="7EEEBE07"/>
    <w:rsid w:val="7EF99FF1"/>
    <w:rsid w:val="7EFA5A26"/>
    <w:rsid w:val="7EFC857F"/>
    <w:rsid w:val="7EFD6A88"/>
    <w:rsid w:val="7EFF019F"/>
    <w:rsid w:val="7EFF50EB"/>
    <w:rsid w:val="7EFFE722"/>
    <w:rsid w:val="7F37422C"/>
    <w:rsid w:val="7F37B6C6"/>
    <w:rsid w:val="7F4FE693"/>
    <w:rsid w:val="7F52B9EE"/>
    <w:rsid w:val="7F570B34"/>
    <w:rsid w:val="7F5E35AF"/>
    <w:rsid w:val="7F5E413C"/>
    <w:rsid w:val="7F795B47"/>
    <w:rsid w:val="7F7EFBC9"/>
    <w:rsid w:val="7F7F4C63"/>
    <w:rsid w:val="7F9450B2"/>
    <w:rsid w:val="7F9B6B55"/>
    <w:rsid w:val="7F9E9DD4"/>
    <w:rsid w:val="7FA38CEE"/>
    <w:rsid w:val="7FA7C4F9"/>
    <w:rsid w:val="7FA932EE"/>
    <w:rsid w:val="7FABC639"/>
    <w:rsid w:val="7FAD9DD0"/>
    <w:rsid w:val="7FAF17A5"/>
    <w:rsid w:val="7FAF8AFF"/>
    <w:rsid w:val="7FB2CBDF"/>
    <w:rsid w:val="7FB30E7D"/>
    <w:rsid w:val="7FB79512"/>
    <w:rsid w:val="7FBC335E"/>
    <w:rsid w:val="7FBD1317"/>
    <w:rsid w:val="7FBE3A7A"/>
    <w:rsid w:val="7FBEDAF6"/>
    <w:rsid w:val="7FBF790E"/>
    <w:rsid w:val="7FBF8B21"/>
    <w:rsid w:val="7FBFA282"/>
    <w:rsid w:val="7FBFEB69"/>
    <w:rsid w:val="7FCBE30D"/>
    <w:rsid w:val="7FD713CC"/>
    <w:rsid w:val="7FDB945F"/>
    <w:rsid w:val="7FDCADA8"/>
    <w:rsid w:val="7FDE127E"/>
    <w:rsid w:val="7FDE2061"/>
    <w:rsid w:val="7FDE354E"/>
    <w:rsid w:val="7FDF40D7"/>
    <w:rsid w:val="7FDF9342"/>
    <w:rsid w:val="7FE77CC4"/>
    <w:rsid w:val="7FEB85CC"/>
    <w:rsid w:val="7FEF1DEB"/>
    <w:rsid w:val="7FEFBBEE"/>
    <w:rsid w:val="7FEFF6AD"/>
    <w:rsid w:val="7FF453DC"/>
    <w:rsid w:val="7FF53FC6"/>
    <w:rsid w:val="7FF701E9"/>
    <w:rsid w:val="7FF72FF4"/>
    <w:rsid w:val="7FFB0636"/>
    <w:rsid w:val="7FFB51BE"/>
    <w:rsid w:val="7FFBA9B5"/>
    <w:rsid w:val="7FFCB6FC"/>
    <w:rsid w:val="7FFD320A"/>
    <w:rsid w:val="7FFF0A39"/>
    <w:rsid w:val="7FFF18DF"/>
    <w:rsid w:val="7FFFA720"/>
    <w:rsid w:val="7FFFA8F0"/>
    <w:rsid w:val="7FFFB070"/>
    <w:rsid w:val="7FFFB9C6"/>
    <w:rsid w:val="84F3EEA4"/>
    <w:rsid w:val="857DCA8C"/>
    <w:rsid w:val="873D52FC"/>
    <w:rsid w:val="8B9F340F"/>
    <w:rsid w:val="8F7B6424"/>
    <w:rsid w:val="8FBF9EA4"/>
    <w:rsid w:val="8FFD0918"/>
    <w:rsid w:val="93BB7998"/>
    <w:rsid w:val="93FE2EBD"/>
    <w:rsid w:val="96DB80FD"/>
    <w:rsid w:val="96DD27EB"/>
    <w:rsid w:val="97D863FB"/>
    <w:rsid w:val="99D77A41"/>
    <w:rsid w:val="9AFAD547"/>
    <w:rsid w:val="9B9FF190"/>
    <w:rsid w:val="9BE7DD3E"/>
    <w:rsid w:val="9CF9F38E"/>
    <w:rsid w:val="9D77CC9D"/>
    <w:rsid w:val="9E3F2FA2"/>
    <w:rsid w:val="9EE22732"/>
    <w:rsid w:val="9EEB06CE"/>
    <w:rsid w:val="9F1BCEB1"/>
    <w:rsid w:val="9F5F0D2C"/>
    <w:rsid w:val="9FBB84DA"/>
    <w:rsid w:val="9FBF7360"/>
    <w:rsid w:val="9FD3D22D"/>
    <w:rsid w:val="9FD50814"/>
    <w:rsid w:val="9FDF2FDD"/>
    <w:rsid w:val="9FFEBA99"/>
    <w:rsid w:val="9FFF3D56"/>
    <w:rsid w:val="9FFF4D92"/>
    <w:rsid w:val="A5EEFEF4"/>
    <w:rsid w:val="A5F8D4B3"/>
    <w:rsid w:val="A67FA771"/>
    <w:rsid w:val="A77A9539"/>
    <w:rsid w:val="A99B7769"/>
    <w:rsid w:val="AB9E912C"/>
    <w:rsid w:val="ABAF73A5"/>
    <w:rsid w:val="ABF7CADC"/>
    <w:rsid w:val="ADCFA514"/>
    <w:rsid w:val="AE7F4CDB"/>
    <w:rsid w:val="AF772FC8"/>
    <w:rsid w:val="AFF7527D"/>
    <w:rsid w:val="AFFFA1A6"/>
    <w:rsid w:val="B0FFBD90"/>
    <w:rsid w:val="B37FD117"/>
    <w:rsid w:val="B3DCEFF3"/>
    <w:rsid w:val="B3F763FD"/>
    <w:rsid w:val="B675F493"/>
    <w:rsid w:val="B6D5EC63"/>
    <w:rsid w:val="B6DD05AB"/>
    <w:rsid w:val="B6EC7BC0"/>
    <w:rsid w:val="B777AE16"/>
    <w:rsid w:val="B77DCC5C"/>
    <w:rsid w:val="B7DF047F"/>
    <w:rsid w:val="B7DF5616"/>
    <w:rsid w:val="B7DF7816"/>
    <w:rsid w:val="B991A51D"/>
    <w:rsid w:val="B9FF6ADC"/>
    <w:rsid w:val="BA7B7903"/>
    <w:rsid w:val="BBAFBAB2"/>
    <w:rsid w:val="BBE9D1DD"/>
    <w:rsid w:val="BBF32364"/>
    <w:rsid w:val="BC5D25E6"/>
    <w:rsid w:val="BC7FDC1C"/>
    <w:rsid w:val="BCB73D11"/>
    <w:rsid w:val="BD1F5AE9"/>
    <w:rsid w:val="BD57B2B1"/>
    <w:rsid w:val="BD6F761E"/>
    <w:rsid w:val="BD772A0D"/>
    <w:rsid w:val="BDBE6A84"/>
    <w:rsid w:val="BEDE61D9"/>
    <w:rsid w:val="BEECC0F3"/>
    <w:rsid w:val="BEFE7628"/>
    <w:rsid w:val="BF038994"/>
    <w:rsid w:val="BF17D58A"/>
    <w:rsid w:val="BF5FC9D0"/>
    <w:rsid w:val="BF7E5043"/>
    <w:rsid w:val="BFB761DD"/>
    <w:rsid w:val="BFBF242B"/>
    <w:rsid w:val="BFBFA5EB"/>
    <w:rsid w:val="BFBFE6FC"/>
    <w:rsid w:val="BFDA8798"/>
    <w:rsid w:val="BFDB645D"/>
    <w:rsid w:val="BFDE6F09"/>
    <w:rsid w:val="BFDFAA72"/>
    <w:rsid w:val="BFF26A67"/>
    <w:rsid w:val="BFF7C717"/>
    <w:rsid w:val="BFFFFA17"/>
    <w:rsid w:val="C5AC0AC5"/>
    <w:rsid w:val="C6473A2D"/>
    <w:rsid w:val="C7FB8E09"/>
    <w:rsid w:val="C8FB5839"/>
    <w:rsid w:val="CBFE3D58"/>
    <w:rsid w:val="CBFEFB0C"/>
    <w:rsid w:val="CCEC791A"/>
    <w:rsid w:val="CDF16012"/>
    <w:rsid w:val="CDFFB12E"/>
    <w:rsid w:val="CEEB128B"/>
    <w:rsid w:val="CF3FC383"/>
    <w:rsid w:val="CF6F24A8"/>
    <w:rsid w:val="CF78EB40"/>
    <w:rsid w:val="CF7C7D31"/>
    <w:rsid w:val="CFAF0E91"/>
    <w:rsid w:val="CFF810C0"/>
    <w:rsid w:val="D1EAE632"/>
    <w:rsid w:val="D2F3BC68"/>
    <w:rsid w:val="D3E8E1CA"/>
    <w:rsid w:val="D5BDA60A"/>
    <w:rsid w:val="D5FA850E"/>
    <w:rsid w:val="D769096E"/>
    <w:rsid w:val="D77FEC1C"/>
    <w:rsid w:val="D7F7DD0A"/>
    <w:rsid w:val="D8722C93"/>
    <w:rsid w:val="D8B34ED6"/>
    <w:rsid w:val="D8BDF9FC"/>
    <w:rsid w:val="D8DE3529"/>
    <w:rsid w:val="D9FFB7BB"/>
    <w:rsid w:val="DA595172"/>
    <w:rsid w:val="DACCC658"/>
    <w:rsid w:val="DAEE91DF"/>
    <w:rsid w:val="DAEF8942"/>
    <w:rsid w:val="DAFFEF29"/>
    <w:rsid w:val="DB3B70C9"/>
    <w:rsid w:val="DB67C22D"/>
    <w:rsid w:val="DB7B533E"/>
    <w:rsid w:val="DBF8E8B2"/>
    <w:rsid w:val="DBFF2ED8"/>
    <w:rsid w:val="DD7F6851"/>
    <w:rsid w:val="DD9FD5B5"/>
    <w:rsid w:val="DDDFBEB5"/>
    <w:rsid w:val="DDEF68B4"/>
    <w:rsid w:val="DDF160E4"/>
    <w:rsid w:val="DDFF6C41"/>
    <w:rsid w:val="DDFFC5DE"/>
    <w:rsid w:val="DE1F4019"/>
    <w:rsid w:val="DE7927F5"/>
    <w:rsid w:val="DEBB921B"/>
    <w:rsid w:val="DEDAB6FD"/>
    <w:rsid w:val="DEECBB00"/>
    <w:rsid w:val="DEF35BCA"/>
    <w:rsid w:val="DEFD52A1"/>
    <w:rsid w:val="DF2F3FF3"/>
    <w:rsid w:val="DF340EEB"/>
    <w:rsid w:val="DF5FE7E6"/>
    <w:rsid w:val="DF7BA1A6"/>
    <w:rsid w:val="DF7FCA58"/>
    <w:rsid w:val="DF7FCB2E"/>
    <w:rsid w:val="DFBD1562"/>
    <w:rsid w:val="DFEEABDF"/>
    <w:rsid w:val="DFF4F857"/>
    <w:rsid w:val="DFF5AD9A"/>
    <w:rsid w:val="DFFF8F42"/>
    <w:rsid w:val="DFFFBA83"/>
    <w:rsid w:val="DFFFBDC4"/>
    <w:rsid w:val="DFFFC6EA"/>
    <w:rsid w:val="E31F42E7"/>
    <w:rsid w:val="E32E06BB"/>
    <w:rsid w:val="E387722D"/>
    <w:rsid w:val="E3BFA3CA"/>
    <w:rsid w:val="E3D74D1A"/>
    <w:rsid w:val="E4FEF684"/>
    <w:rsid w:val="E59C0E56"/>
    <w:rsid w:val="E74B0F27"/>
    <w:rsid w:val="E75E182F"/>
    <w:rsid w:val="E79ACF5B"/>
    <w:rsid w:val="E7AA5B5A"/>
    <w:rsid w:val="E7BE4A86"/>
    <w:rsid w:val="E7BF0E98"/>
    <w:rsid w:val="E7FDAF71"/>
    <w:rsid w:val="E9C71B84"/>
    <w:rsid w:val="EAEEC950"/>
    <w:rsid w:val="EB7B27EF"/>
    <w:rsid w:val="EBCAF011"/>
    <w:rsid w:val="EBCF2E2D"/>
    <w:rsid w:val="EBF36459"/>
    <w:rsid w:val="EBF7F591"/>
    <w:rsid w:val="EBFC93BB"/>
    <w:rsid w:val="EC3F55C1"/>
    <w:rsid w:val="ECADA1C7"/>
    <w:rsid w:val="ECBF9672"/>
    <w:rsid w:val="ECCFD51D"/>
    <w:rsid w:val="ECDF8682"/>
    <w:rsid w:val="EDEBF818"/>
    <w:rsid w:val="EDEC4F9E"/>
    <w:rsid w:val="EDFD0151"/>
    <w:rsid w:val="EDFE0E96"/>
    <w:rsid w:val="EDFF3F2D"/>
    <w:rsid w:val="EE5F0BD7"/>
    <w:rsid w:val="EE73EBDF"/>
    <w:rsid w:val="EE7759B6"/>
    <w:rsid w:val="EE7D49C7"/>
    <w:rsid w:val="EE7D761B"/>
    <w:rsid w:val="EEBD69DE"/>
    <w:rsid w:val="EEEA9F01"/>
    <w:rsid w:val="EEED24C7"/>
    <w:rsid w:val="EEEEBEA1"/>
    <w:rsid w:val="EEF344FE"/>
    <w:rsid w:val="EEFBC13C"/>
    <w:rsid w:val="EF3BDF7C"/>
    <w:rsid w:val="EF5F87D5"/>
    <w:rsid w:val="EF5FFFC3"/>
    <w:rsid w:val="EF7BC6B7"/>
    <w:rsid w:val="EF7F047C"/>
    <w:rsid w:val="EF99C2BB"/>
    <w:rsid w:val="EFCE905A"/>
    <w:rsid w:val="EFD5C645"/>
    <w:rsid w:val="EFD7DBEB"/>
    <w:rsid w:val="EFDC3271"/>
    <w:rsid w:val="EFDD0567"/>
    <w:rsid w:val="EFEF0728"/>
    <w:rsid w:val="EFEF2AA3"/>
    <w:rsid w:val="EFF5ED34"/>
    <w:rsid w:val="EFF7230F"/>
    <w:rsid w:val="EFF7624A"/>
    <w:rsid w:val="EFFB0F67"/>
    <w:rsid w:val="EFFBADC9"/>
    <w:rsid w:val="EFFD087D"/>
    <w:rsid w:val="EFFFBB1F"/>
    <w:rsid w:val="EFFFD1B5"/>
    <w:rsid w:val="F0E97D8B"/>
    <w:rsid w:val="F1332741"/>
    <w:rsid w:val="F2778ABC"/>
    <w:rsid w:val="F27DA92F"/>
    <w:rsid w:val="F2DD75B2"/>
    <w:rsid w:val="F35F651E"/>
    <w:rsid w:val="F3BD0F6A"/>
    <w:rsid w:val="F3BF09FF"/>
    <w:rsid w:val="F3EB3B85"/>
    <w:rsid w:val="F3F379BA"/>
    <w:rsid w:val="F3F96835"/>
    <w:rsid w:val="F3FD34E8"/>
    <w:rsid w:val="F3FF7C7F"/>
    <w:rsid w:val="F4F5E0BF"/>
    <w:rsid w:val="F4FF0120"/>
    <w:rsid w:val="F53FFD93"/>
    <w:rsid w:val="F57E11BD"/>
    <w:rsid w:val="F57F8151"/>
    <w:rsid w:val="F5BB617B"/>
    <w:rsid w:val="F5F23960"/>
    <w:rsid w:val="F5FF76FA"/>
    <w:rsid w:val="F67B0000"/>
    <w:rsid w:val="F67F2D6B"/>
    <w:rsid w:val="F6BF3B09"/>
    <w:rsid w:val="F6CBEFDC"/>
    <w:rsid w:val="F6CED197"/>
    <w:rsid w:val="F6DF63A2"/>
    <w:rsid w:val="F6EF39F4"/>
    <w:rsid w:val="F6F7095B"/>
    <w:rsid w:val="F6FC9CB3"/>
    <w:rsid w:val="F727F50B"/>
    <w:rsid w:val="F73D64AE"/>
    <w:rsid w:val="F747E823"/>
    <w:rsid w:val="F76FEEA4"/>
    <w:rsid w:val="F77FDFAB"/>
    <w:rsid w:val="F77FF3DF"/>
    <w:rsid w:val="F7992129"/>
    <w:rsid w:val="F79D24FB"/>
    <w:rsid w:val="F7AB552A"/>
    <w:rsid w:val="F7AB9091"/>
    <w:rsid w:val="F7AEE001"/>
    <w:rsid w:val="F7BF295F"/>
    <w:rsid w:val="F7DD942A"/>
    <w:rsid w:val="F7DDEFF1"/>
    <w:rsid w:val="F7DE7453"/>
    <w:rsid w:val="F7EEBA21"/>
    <w:rsid w:val="F7EEE7EC"/>
    <w:rsid w:val="F7EF3B05"/>
    <w:rsid w:val="F7FD5B87"/>
    <w:rsid w:val="F7FFE84D"/>
    <w:rsid w:val="F7FFF532"/>
    <w:rsid w:val="F8EED86C"/>
    <w:rsid w:val="F8FF78C3"/>
    <w:rsid w:val="F9BF925E"/>
    <w:rsid w:val="F9CF2780"/>
    <w:rsid w:val="F9D544BC"/>
    <w:rsid w:val="F9F7FDF2"/>
    <w:rsid w:val="FA9DB90D"/>
    <w:rsid w:val="FABDC9E4"/>
    <w:rsid w:val="FAE7F320"/>
    <w:rsid w:val="FAF0DFC6"/>
    <w:rsid w:val="FAFDF315"/>
    <w:rsid w:val="FB2AB3E5"/>
    <w:rsid w:val="FB4D387A"/>
    <w:rsid w:val="FB5858FB"/>
    <w:rsid w:val="FB5A53A2"/>
    <w:rsid w:val="FBA990D1"/>
    <w:rsid w:val="FBAACCCA"/>
    <w:rsid w:val="FBAFF34D"/>
    <w:rsid w:val="FBB95C7F"/>
    <w:rsid w:val="FBBB1189"/>
    <w:rsid w:val="FBBBB094"/>
    <w:rsid w:val="FBBBFDBF"/>
    <w:rsid w:val="FBD3B090"/>
    <w:rsid w:val="FBDB9061"/>
    <w:rsid w:val="FBDF1618"/>
    <w:rsid w:val="FBED9F05"/>
    <w:rsid w:val="FBEF3174"/>
    <w:rsid w:val="FBF38B18"/>
    <w:rsid w:val="FBF3CAA7"/>
    <w:rsid w:val="FBF7A6ED"/>
    <w:rsid w:val="FBF915E9"/>
    <w:rsid w:val="FBFB4CA3"/>
    <w:rsid w:val="FBFB9188"/>
    <w:rsid w:val="FBFD5512"/>
    <w:rsid w:val="FBFE814D"/>
    <w:rsid w:val="FBFEB732"/>
    <w:rsid w:val="FBFF40F4"/>
    <w:rsid w:val="FBFF6A84"/>
    <w:rsid w:val="FBFFA369"/>
    <w:rsid w:val="FBFFA96C"/>
    <w:rsid w:val="FC7EF94E"/>
    <w:rsid w:val="FC7F21D6"/>
    <w:rsid w:val="FC9CDC85"/>
    <w:rsid w:val="FCD3C473"/>
    <w:rsid w:val="FCDEE495"/>
    <w:rsid w:val="FCE7D0C1"/>
    <w:rsid w:val="FCEB6C25"/>
    <w:rsid w:val="FCEE210B"/>
    <w:rsid w:val="FCF4FD18"/>
    <w:rsid w:val="FCF73229"/>
    <w:rsid w:val="FCF78121"/>
    <w:rsid w:val="FCFC1180"/>
    <w:rsid w:val="FD732306"/>
    <w:rsid w:val="FD7385D8"/>
    <w:rsid w:val="FD76EC3C"/>
    <w:rsid w:val="FD7ADA0E"/>
    <w:rsid w:val="FD7BA142"/>
    <w:rsid w:val="FDABF936"/>
    <w:rsid w:val="FDB90CB4"/>
    <w:rsid w:val="FDB9918C"/>
    <w:rsid w:val="FDBF4BBF"/>
    <w:rsid w:val="FDCB7DCA"/>
    <w:rsid w:val="FDD570B8"/>
    <w:rsid w:val="FDDAED36"/>
    <w:rsid w:val="FDDFAAE7"/>
    <w:rsid w:val="FDE6B727"/>
    <w:rsid w:val="FDEBD1F7"/>
    <w:rsid w:val="FDEF6C90"/>
    <w:rsid w:val="FDF39664"/>
    <w:rsid w:val="FDF74D82"/>
    <w:rsid w:val="FDFA7413"/>
    <w:rsid w:val="FDFAB1C5"/>
    <w:rsid w:val="FDFCE639"/>
    <w:rsid w:val="FDFFA415"/>
    <w:rsid w:val="FDFFE94D"/>
    <w:rsid w:val="FDFFFF36"/>
    <w:rsid w:val="FE03C3A5"/>
    <w:rsid w:val="FE370956"/>
    <w:rsid w:val="FE3F3BD4"/>
    <w:rsid w:val="FE3F4037"/>
    <w:rsid w:val="FE4DB469"/>
    <w:rsid w:val="FE5EC233"/>
    <w:rsid w:val="FE5F682D"/>
    <w:rsid w:val="FE92E028"/>
    <w:rsid w:val="FE9A8C7E"/>
    <w:rsid w:val="FE9D281B"/>
    <w:rsid w:val="FEAF3724"/>
    <w:rsid w:val="FEBF0FBF"/>
    <w:rsid w:val="FEBFEFF2"/>
    <w:rsid w:val="FEBFF8EF"/>
    <w:rsid w:val="FECF3F38"/>
    <w:rsid w:val="FEDE973F"/>
    <w:rsid w:val="FEEB0125"/>
    <w:rsid w:val="FEFB2736"/>
    <w:rsid w:val="FEFDC52C"/>
    <w:rsid w:val="FEFE1208"/>
    <w:rsid w:val="FEFFCD5D"/>
    <w:rsid w:val="FEFFF7C5"/>
    <w:rsid w:val="FF02AED4"/>
    <w:rsid w:val="FF130B56"/>
    <w:rsid w:val="FF336FC0"/>
    <w:rsid w:val="FF366BFC"/>
    <w:rsid w:val="FF382914"/>
    <w:rsid w:val="FF3B6C13"/>
    <w:rsid w:val="FF3F916B"/>
    <w:rsid w:val="FF46559B"/>
    <w:rsid w:val="FF4B5C8F"/>
    <w:rsid w:val="FF4F2A57"/>
    <w:rsid w:val="FF6B18CD"/>
    <w:rsid w:val="FF7773DE"/>
    <w:rsid w:val="FF7D0411"/>
    <w:rsid w:val="FF7EC806"/>
    <w:rsid w:val="FF7F554F"/>
    <w:rsid w:val="FF7FD1F0"/>
    <w:rsid w:val="FF8F6DB5"/>
    <w:rsid w:val="FFAD8156"/>
    <w:rsid w:val="FFB327D6"/>
    <w:rsid w:val="FFBB1725"/>
    <w:rsid w:val="FFBB5C56"/>
    <w:rsid w:val="FFBD4D1A"/>
    <w:rsid w:val="FFBDF24B"/>
    <w:rsid w:val="FFBF1974"/>
    <w:rsid w:val="FFBF5C9F"/>
    <w:rsid w:val="FFBFD8C3"/>
    <w:rsid w:val="FFCDDD54"/>
    <w:rsid w:val="FFD7F949"/>
    <w:rsid w:val="FFDD1CDC"/>
    <w:rsid w:val="FFDD6461"/>
    <w:rsid w:val="FFDEA5E2"/>
    <w:rsid w:val="FFDF132E"/>
    <w:rsid w:val="FFDF521D"/>
    <w:rsid w:val="FFE575D1"/>
    <w:rsid w:val="FFE7327E"/>
    <w:rsid w:val="FFEA88BC"/>
    <w:rsid w:val="FFEB855A"/>
    <w:rsid w:val="FFEDE2B3"/>
    <w:rsid w:val="FFEE3999"/>
    <w:rsid w:val="FFEF3A33"/>
    <w:rsid w:val="FFEFC0E2"/>
    <w:rsid w:val="FFF13DE9"/>
    <w:rsid w:val="FFF6FDFC"/>
    <w:rsid w:val="FFF70967"/>
    <w:rsid w:val="FFF7CCE5"/>
    <w:rsid w:val="FFF8CC0C"/>
    <w:rsid w:val="FFFB3136"/>
    <w:rsid w:val="FFFB72C0"/>
    <w:rsid w:val="FFFC7B80"/>
    <w:rsid w:val="FFFCA5FD"/>
    <w:rsid w:val="FFFD808F"/>
    <w:rsid w:val="FFFE301F"/>
    <w:rsid w:val="FFFE4FEB"/>
    <w:rsid w:val="FFFF930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0"/>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71"/>
    <w:qFormat/>
    <w:uiPriority w:val="0"/>
    <w:pPr>
      <w:keepNext/>
      <w:keepLines/>
      <w:spacing w:before="260" w:beforeLines="0" w:after="260" w:afterLines="0" w:line="416" w:lineRule="auto"/>
      <w:outlineLvl w:val="1"/>
    </w:pPr>
    <w:rPr>
      <w:rFonts w:ascii="Arial" w:hAnsi="Arial" w:eastAsia="黑体"/>
      <w:b/>
      <w:bCs/>
      <w:kern w:val="0"/>
      <w:sz w:val="32"/>
      <w:szCs w:val="32"/>
    </w:rPr>
  </w:style>
  <w:style w:type="paragraph" w:styleId="5">
    <w:name w:val="heading 3"/>
    <w:basedOn w:val="1"/>
    <w:next w:val="1"/>
    <w:link w:val="72"/>
    <w:qFormat/>
    <w:uiPriority w:val="0"/>
    <w:pPr>
      <w:keepNext/>
      <w:keepLines/>
      <w:spacing w:before="260" w:beforeLines="0" w:after="260" w:afterLines="0" w:line="416" w:lineRule="auto"/>
      <w:outlineLvl w:val="2"/>
    </w:pPr>
    <w:rPr>
      <w:b/>
      <w:bCs/>
      <w:kern w:val="0"/>
      <w:sz w:val="32"/>
      <w:szCs w:val="32"/>
    </w:rPr>
  </w:style>
  <w:style w:type="paragraph" w:styleId="6">
    <w:name w:val="heading 4"/>
    <w:basedOn w:val="1"/>
    <w:next w:val="1"/>
    <w:link w:val="73"/>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7">
    <w:name w:val="heading 5"/>
    <w:basedOn w:val="1"/>
    <w:next w:val="8"/>
    <w:link w:val="74"/>
    <w:qFormat/>
    <w:uiPriority w:val="0"/>
    <w:pPr>
      <w:keepNext/>
      <w:keepLines/>
      <w:spacing w:before="280" w:beforeLines="0" w:after="290" w:afterLines="0" w:line="376" w:lineRule="auto"/>
      <w:outlineLvl w:val="4"/>
    </w:pPr>
    <w:rPr>
      <w:b/>
      <w:sz w:val="28"/>
    </w:rPr>
  </w:style>
  <w:style w:type="paragraph" w:styleId="9">
    <w:name w:val="heading 6"/>
    <w:basedOn w:val="1"/>
    <w:next w:val="8"/>
    <w:link w:val="75"/>
    <w:qFormat/>
    <w:uiPriority w:val="0"/>
    <w:pPr>
      <w:keepNext/>
      <w:keepLines/>
      <w:spacing w:before="240" w:beforeLines="0" w:after="64" w:afterLines="0" w:line="320" w:lineRule="auto"/>
      <w:outlineLvl w:val="5"/>
    </w:pPr>
    <w:rPr>
      <w:rFonts w:ascii="Arial" w:hAnsi="Arial" w:eastAsia="黑体"/>
      <w:b/>
      <w:sz w:val="24"/>
    </w:rPr>
  </w:style>
  <w:style w:type="paragraph" w:styleId="10">
    <w:name w:val="heading 7"/>
    <w:basedOn w:val="1"/>
    <w:next w:val="8"/>
    <w:link w:val="76"/>
    <w:qFormat/>
    <w:uiPriority w:val="0"/>
    <w:pPr>
      <w:keepNext/>
      <w:keepLines/>
      <w:spacing w:before="240" w:beforeLines="0" w:after="64" w:afterLines="0" w:line="320" w:lineRule="auto"/>
      <w:outlineLvl w:val="6"/>
    </w:pPr>
    <w:rPr>
      <w:b/>
      <w:sz w:val="24"/>
    </w:rPr>
  </w:style>
  <w:style w:type="paragraph" w:styleId="11">
    <w:name w:val="heading 8"/>
    <w:basedOn w:val="1"/>
    <w:next w:val="8"/>
    <w:link w:val="77"/>
    <w:qFormat/>
    <w:uiPriority w:val="0"/>
    <w:pPr>
      <w:keepNext/>
      <w:keepLines/>
      <w:spacing w:before="240" w:beforeLines="0" w:after="64" w:afterLines="0" w:line="320" w:lineRule="auto"/>
      <w:outlineLvl w:val="7"/>
    </w:pPr>
    <w:rPr>
      <w:rFonts w:ascii="Arial" w:hAnsi="Arial" w:eastAsia="黑体"/>
      <w:sz w:val="24"/>
    </w:rPr>
  </w:style>
  <w:style w:type="paragraph" w:styleId="12">
    <w:name w:val="heading 9"/>
    <w:basedOn w:val="1"/>
    <w:next w:val="8"/>
    <w:link w:val="78"/>
    <w:qFormat/>
    <w:uiPriority w:val="0"/>
    <w:pPr>
      <w:keepNext/>
      <w:keepLines/>
      <w:spacing w:before="240" w:beforeLines="0" w:after="64" w:afterLines="0" w:line="320" w:lineRule="auto"/>
      <w:outlineLvl w:val="8"/>
    </w:pPr>
    <w:rPr>
      <w:rFonts w:ascii="Arial" w:hAnsi="Arial" w:eastAsia="黑体"/>
    </w:rPr>
  </w:style>
  <w:style w:type="character" w:default="1" w:styleId="54">
    <w:name w:val="Default Paragraph Font"/>
    <w:semiHidden/>
    <w:qFormat/>
    <w:uiPriority w:val="0"/>
  </w:style>
  <w:style w:type="table" w:default="1" w:styleId="52">
    <w:name w:val="Normal Table"/>
    <w:unhideWhenUsed/>
    <w:qFormat/>
    <w:uiPriority w:val="99"/>
    <w:tblPr>
      <w:tblCellMar>
        <w:top w:w="0" w:type="dxa"/>
        <w:left w:w="108" w:type="dxa"/>
        <w:bottom w:w="0" w:type="dxa"/>
        <w:right w:w="108" w:type="dxa"/>
      </w:tblCellMar>
    </w:tblPr>
  </w:style>
  <w:style w:type="paragraph" w:styleId="2">
    <w:name w:val="toc 1"/>
    <w:basedOn w:val="1"/>
    <w:next w:val="1"/>
    <w:qFormat/>
    <w:uiPriority w:val="39"/>
    <w:pPr>
      <w:tabs>
        <w:tab w:val="right" w:leader="dot" w:pos="8296"/>
        <w:tab w:val="right" w:leader="dot" w:pos="8398"/>
      </w:tabs>
      <w:spacing w:before="120" w:beforeLines="0" w:after="120" w:afterLines="0" w:line="320" w:lineRule="exact"/>
      <w:ind w:firstLine="840" w:firstLineChars="400"/>
      <w:jc w:val="left"/>
    </w:pPr>
    <w:rPr>
      <w:rFonts w:ascii="仿宋_GB2312" w:hAnsi="宋体" w:eastAsia="仿宋_GB2312" w:cs="Courier New"/>
      <w:bCs/>
      <w:caps/>
      <w:szCs w:val="21"/>
    </w:rPr>
  </w:style>
  <w:style w:type="paragraph" w:styleId="8">
    <w:name w:val="Normal Indent"/>
    <w:basedOn w:val="1"/>
    <w:qFormat/>
    <w:uiPriority w:val="0"/>
    <w:pPr>
      <w:ind w:firstLine="420"/>
    </w:pPr>
    <w:rPr>
      <w:szCs w:val="20"/>
    </w:r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beforeLines="0" w:after="160" w:afterLines="0"/>
    </w:pPr>
    <w:rPr>
      <w:rFonts w:ascii="Arial" w:hAnsi="Arial" w:eastAsia="黑体" w:cs="Arial"/>
      <w:sz w:val="20"/>
      <w:szCs w:val="20"/>
    </w:rPr>
  </w:style>
  <w:style w:type="paragraph" w:styleId="16">
    <w:name w:val="Document Map"/>
    <w:basedOn w:val="1"/>
    <w:link w:val="79"/>
    <w:semiHidden/>
    <w:qFormat/>
    <w:uiPriority w:val="0"/>
    <w:pPr>
      <w:shd w:val="clear" w:color="auto" w:fill="000080"/>
    </w:pPr>
  </w:style>
  <w:style w:type="paragraph" w:styleId="17">
    <w:name w:val="toa heading"/>
    <w:basedOn w:val="1"/>
    <w:next w:val="1"/>
    <w:semiHidden/>
    <w:qFormat/>
    <w:uiPriority w:val="0"/>
    <w:pPr>
      <w:adjustRightInd w:val="0"/>
      <w:spacing w:before="120" w:line="312" w:lineRule="atLeast"/>
    </w:pPr>
    <w:rPr>
      <w:rFonts w:ascii="Arial" w:hAnsi="Arial"/>
      <w:b/>
      <w:kern w:val="0"/>
      <w:sz w:val="24"/>
    </w:rPr>
  </w:style>
  <w:style w:type="paragraph" w:styleId="18">
    <w:name w:val="annotation text"/>
    <w:basedOn w:val="1"/>
    <w:link w:val="80"/>
    <w:qFormat/>
    <w:uiPriority w:val="0"/>
    <w:pPr>
      <w:adjustRightInd w:val="0"/>
      <w:spacing w:line="360" w:lineRule="atLeast"/>
      <w:jc w:val="left"/>
      <w:textAlignment w:val="baseline"/>
    </w:pPr>
    <w:rPr>
      <w:kern w:val="0"/>
      <w:sz w:val="24"/>
      <w:szCs w:val="20"/>
    </w:rPr>
  </w:style>
  <w:style w:type="paragraph" w:styleId="19">
    <w:name w:val="Salutation"/>
    <w:basedOn w:val="1"/>
    <w:next w:val="1"/>
    <w:link w:val="81"/>
    <w:qFormat/>
    <w:uiPriority w:val="0"/>
    <w:rPr>
      <w:sz w:val="28"/>
    </w:rPr>
  </w:style>
  <w:style w:type="paragraph" w:styleId="20">
    <w:name w:val="Body Text 3"/>
    <w:basedOn w:val="1"/>
    <w:link w:val="82"/>
    <w:qFormat/>
    <w:uiPriority w:val="0"/>
    <w:pPr>
      <w:spacing w:line="500" w:lineRule="exact"/>
    </w:pPr>
    <w:rPr>
      <w:b/>
      <w:bCs/>
      <w:sz w:val="24"/>
    </w:rPr>
  </w:style>
  <w:style w:type="paragraph" w:styleId="21">
    <w:name w:val="Body Text"/>
    <w:basedOn w:val="1"/>
    <w:next w:val="1"/>
    <w:link w:val="69"/>
    <w:qFormat/>
    <w:uiPriority w:val="0"/>
    <w:pPr>
      <w:spacing w:line="380" w:lineRule="exact"/>
    </w:pPr>
    <w:rPr>
      <w:sz w:val="24"/>
    </w:rPr>
  </w:style>
  <w:style w:type="paragraph" w:styleId="22">
    <w:name w:val="Body Text Indent"/>
    <w:basedOn w:val="1"/>
    <w:link w:val="83"/>
    <w:qFormat/>
    <w:uiPriority w:val="0"/>
    <w:pPr>
      <w:ind w:firstLine="830" w:firstLineChars="352"/>
    </w:pPr>
    <w:rPr>
      <w:rFonts w:ascii="仿宋_GB2312" w:eastAsia="仿宋_GB2312"/>
      <w:sz w:val="32"/>
      <w:szCs w:val="20"/>
    </w:rPr>
  </w:style>
  <w:style w:type="paragraph" w:styleId="23">
    <w:name w:val="List Number 3"/>
    <w:basedOn w:val="1"/>
    <w:qFormat/>
    <w:uiPriority w:val="0"/>
    <w:pPr>
      <w:tabs>
        <w:tab w:val="left" w:pos="360"/>
      </w:tabs>
      <w:ind w:left="360" w:hanging="360"/>
    </w:pPr>
  </w:style>
  <w:style w:type="paragraph" w:styleId="24">
    <w:name w:val="List 2"/>
    <w:basedOn w:val="1"/>
    <w:qFormat/>
    <w:uiPriority w:val="0"/>
    <w:pPr>
      <w:ind w:left="100" w:leftChars="200" w:hanging="200" w:hangingChars="200"/>
    </w:pPr>
    <w:rPr>
      <w:sz w:val="28"/>
    </w:rPr>
  </w:style>
  <w:style w:type="paragraph" w:styleId="25">
    <w:name w:val="Block Text"/>
    <w:basedOn w:val="1"/>
    <w:qFormat/>
    <w:uiPriority w:val="0"/>
    <w:pPr>
      <w:adjustRightInd w:val="0"/>
      <w:ind w:left="420" w:right="33"/>
      <w:jc w:val="left"/>
      <w:textAlignment w:val="baseline"/>
    </w:pPr>
    <w:rPr>
      <w:kern w:val="0"/>
      <w:sz w:val="24"/>
      <w:szCs w:val="20"/>
    </w:rPr>
  </w:style>
  <w:style w:type="paragraph" w:styleId="26">
    <w:name w:val="HTML Address"/>
    <w:basedOn w:val="1"/>
    <w:link w:val="84"/>
    <w:qFormat/>
    <w:uiPriority w:val="0"/>
    <w:rPr>
      <w:rFonts w:ascii="宋体"/>
      <w:i/>
      <w:iCs/>
      <w:kern w:val="21"/>
      <w:szCs w:val="21"/>
    </w:rPr>
  </w:style>
  <w:style w:type="paragraph" w:styleId="27">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8">
    <w:name w:val="toc 3"/>
    <w:basedOn w:val="1"/>
    <w:next w:val="1"/>
    <w:link w:val="85"/>
    <w:qFormat/>
    <w:uiPriority w:val="0"/>
    <w:pPr>
      <w:ind w:left="840" w:leftChars="400"/>
    </w:pPr>
  </w:style>
  <w:style w:type="paragraph" w:styleId="29">
    <w:name w:val="Plain Text"/>
    <w:basedOn w:val="1"/>
    <w:next w:val="6"/>
    <w:link w:val="86"/>
    <w:qFormat/>
    <w:uiPriority w:val="0"/>
    <w:rPr>
      <w:rFonts w:ascii="宋体" w:hAnsi="Courier New" w:cs="Courier New"/>
      <w:szCs w:val="21"/>
    </w:rPr>
  </w:style>
  <w:style w:type="paragraph" w:styleId="30">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1">
    <w:name w:val="Date"/>
    <w:basedOn w:val="1"/>
    <w:next w:val="1"/>
    <w:link w:val="87"/>
    <w:qFormat/>
    <w:uiPriority w:val="0"/>
    <w:pPr>
      <w:ind w:left="100" w:leftChars="2500"/>
    </w:pPr>
    <w:rPr>
      <w:rFonts w:ascii="宋体" w:hAnsi="Courier New" w:cs="Courier New"/>
      <w:szCs w:val="21"/>
    </w:rPr>
  </w:style>
  <w:style w:type="paragraph" w:styleId="32">
    <w:name w:val="Body Text Indent 2"/>
    <w:basedOn w:val="1"/>
    <w:link w:val="88"/>
    <w:qFormat/>
    <w:uiPriority w:val="0"/>
    <w:pPr>
      <w:ind w:firstLine="630"/>
    </w:pPr>
    <w:rPr>
      <w:sz w:val="32"/>
      <w:szCs w:val="20"/>
    </w:rPr>
  </w:style>
  <w:style w:type="paragraph" w:styleId="33">
    <w:name w:val="endnote text"/>
    <w:basedOn w:val="1"/>
    <w:link w:val="89"/>
    <w:unhideWhenUsed/>
    <w:qFormat/>
    <w:uiPriority w:val="0"/>
    <w:pPr>
      <w:snapToGrid w:val="0"/>
      <w:jc w:val="left"/>
    </w:pPr>
    <w:rPr>
      <w:rFonts w:ascii="Calibri" w:hAnsi="Calibri"/>
      <w:szCs w:val="22"/>
    </w:rPr>
  </w:style>
  <w:style w:type="paragraph" w:styleId="34">
    <w:name w:val="Balloon Text"/>
    <w:basedOn w:val="1"/>
    <w:link w:val="90"/>
    <w:semiHidden/>
    <w:qFormat/>
    <w:uiPriority w:val="0"/>
    <w:rPr>
      <w:sz w:val="18"/>
      <w:szCs w:val="18"/>
    </w:rPr>
  </w:style>
  <w:style w:type="paragraph" w:styleId="35">
    <w:name w:val="footer"/>
    <w:basedOn w:val="1"/>
    <w:link w:val="91"/>
    <w:qFormat/>
    <w:uiPriority w:val="99"/>
    <w:pPr>
      <w:tabs>
        <w:tab w:val="center" w:pos="4153"/>
        <w:tab w:val="right" w:pos="8306"/>
      </w:tabs>
      <w:snapToGrid w:val="0"/>
      <w:jc w:val="left"/>
    </w:pPr>
    <w:rPr>
      <w:sz w:val="18"/>
      <w:szCs w:val="18"/>
    </w:rPr>
  </w:style>
  <w:style w:type="paragraph" w:styleId="36">
    <w:name w:val="header"/>
    <w:basedOn w:val="1"/>
    <w:link w:val="92"/>
    <w:qFormat/>
    <w:uiPriority w:val="99"/>
    <w:pPr>
      <w:pBdr>
        <w:bottom w:val="single" w:color="auto" w:sz="6" w:space="1"/>
      </w:pBdr>
      <w:tabs>
        <w:tab w:val="center" w:pos="4153"/>
        <w:tab w:val="right" w:pos="8306"/>
      </w:tabs>
      <w:snapToGrid w:val="0"/>
      <w:jc w:val="center"/>
    </w:pPr>
    <w:rPr>
      <w:sz w:val="18"/>
      <w:szCs w:val="18"/>
    </w:rPr>
  </w:style>
  <w:style w:type="paragraph" w:styleId="37">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8">
    <w:name w:val="List"/>
    <w:basedOn w:val="1"/>
    <w:qFormat/>
    <w:uiPriority w:val="0"/>
    <w:pPr>
      <w:ind w:left="200" w:hanging="200" w:hangingChars="200"/>
    </w:pPr>
    <w:rPr>
      <w:sz w:val="28"/>
    </w:rPr>
  </w:style>
  <w:style w:type="paragraph" w:styleId="39">
    <w:name w:val="footnote text"/>
    <w:basedOn w:val="1"/>
    <w:link w:val="93"/>
    <w:semiHidden/>
    <w:qFormat/>
    <w:uiPriority w:val="0"/>
    <w:pPr>
      <w:snapToGrid w:val="0"/>
      <w:jc w:val="left"/>
    </w:pPr>
    <w:rPr>
      <w:rFonts w:ascii="宋体"/>
      <w:kern w:val="21"/>
      <w:sz w:val="18"/>
      <w:szCs w:val="18"/>
    </w:rPr>
  </w:style>
  <w:style w:type="paragraph" w:styleId="40">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94"/>
    <w:qFormat/>
    <w:uiPriority w:val="0"/>
    <w:pPr>
      <w:spacing w:after="120" w:afterLines="0"/>
      <w:ind w:left="420" w:leftChars="200"/>
    </w:pPr>
    <w:rPr>
      <w:sz w:val="16"/>
      <w:szCs w:val="16"/>
    </w:rPr>
  </w:style>
  <w:style w:type="paragraph" w:styleId="43">
    <w:name w:val="toc 2"/>
    <w:basedOn w:val="1"/>
    <w:next w:val="1"/>
    <w:qFormat/>
    <w:uiPriority w:val="39"/>
    <w:pPr>
      <w:ind w:left="420" w:leftChars="200"/>
    </w:pPr>
  </w:style>
  <w:style w:type="paragraph" w:styleId="44">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5">
    <w:name w:val="Body Text 2"/>
    <w:basedOn w:val="1"/>
    <w:link w:val="95"/>
    <w:qFormat/>
    <w:uiPriority w:val="0"/>
    <w:pPr>
      <w:spacing w:after="120" w:afterLines="0" w:line="480" w:lineRule="auto"/>
    </w:pPr>
  </w:style>
  <w:style w:type="paragraph" w:styleId="46">
    <w:name w:val="HTML Preformatted"/>
    <w:basedOn w:val="1"/>
    <w:link w:val="96"/>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7">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48">
    <w:name w:val="index 1"/>
    <w:basedOn w:val="1"/>
    <w:next w:val="1"/>
    <w:semiHidden/>
    <w:qFormat/>
    <w:uiPriority w:val="0"/>
    <w:pPr>
      <w:spacing w:line="400" w:lineRule="exact"/>
      <w:ind w:firstLine="420" w:firstLineChars="200"/>
    </w:pPr>
    <w:rPr>
      <w:rFonts w:ascii="宋体" w:hAnsi="Courier New"/>
      <w:b/>
      <w:szCs w:val="20"/>
    </w:rPr>
  </w:style>
  <w:style w:type="paragraph" w:styleId="49">
    <w:name w:val="Title"/>
    <w:basedOn w:val="1"/>
    <w:link w:val="97"/>
    <w:qFormat/>
    <w:uiPriority w:val="0"/>
    <w:pPr>
      <w:spacing w:before="240" w:beforeLines="0" w:after="60" w:afterLines="0"/>
      <w:jc w:val="center"/>
      <w:outlineLvl w:val="0"/>
    </w:pPr>
    <w:rPr>
      <w:rFonts w:ascii="Arial" w:hAnsi="Arial"/>
      <w:b/>
      <w:bCs/>
      <w:sz w:val="32"/>
      <w:szCs w:val="32"/>
    </w:rPr>
  </w:style>
  <w:style w:type="paragraph" w:styleId="50">
    <w:name w:val="annotation subject"/>
    <w:basedOn w:val="18"/>
    <w:next w:val="18"/>
    <w:link w:val="98"/>
    <w:semiHidden/>
    <w:qFormat/>
    <w:uiPriority w:val="0"/>
    <w:pPr>
      <w:adjustRightInd/>
      <w:spacing w:line="240" w:lineRule="auto"/>
      <w:textAlignment w:val="auto"/>
    </w:pPr>
    <w:rPr>
      <w:b/>
      <w:bCs/>
      <w:kern w:val="2"/>
      <w:sz w:val="21"/>
      <w:szCs w:val="24"/>
    </w:rPr>
  </w:style>
  <w:style w:type="paragraph" w:styleId="51">
    <w:name w:val="Body Text First Indent"/>
    <w:basedOn w:val="21"/>
    <w:qFormat/>
    <w:uiPriority w:val="0"/>
    <w:pPr>
      <w:spacing w:after="0" w:line="380" w:lineRule="exact"/>
      <w:ind w:firstLine="420" w:firstLineChars="100"/>
    </w:pPr>
    <w:rPr>
      <w:sz w:val="24"/>
    </w:rPr>
  </w:style>
  <w:style w:type="table" w:styleId="53">
    <w:name w:val="Table Grid"/>
    <w:basedOn w:val="52"/>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uiPriority w:val="0"/>
    <w:rPr>
      <w:b/>
      <w:bCs/>
    </w:rPr>
  </w:style>
  <w:style w:type="character" w:styleId="56">
    <w:name w:val="page number"/>
    <w:basedOn w:val="54"/>
    <w:qFormat/>
    <w:uiPriority w:val="0"/>
  </w:style>
  <w:style w:type="character" w:styleId="57">
    <w:name w:val="FollowedHyperlink"/>
    <w:qFormat/>
    <w:uiPriority w:val="0"/>
    <w:rPr>
      <w:color w:val="800080"/>
      <w:u w:val="single"/>
    </w:rPr>
  </w:style>
  <w:style w:type="character" w:styleId="58">
    <w:name w:val="Emphasis"/>
    <w:qFormat/>
    <w:uiPriority w:val="0"/>
    <w:rPr>
      <w:color w:val="CC0000"/>
    </w:rPr>
  </w:style>
  <w:style w:type="character" w:styleId="59">
    <w:name w:val="HTML Definition"/>
    <w:basedOn w:val="54"/>
    <w:qFormat/>
    <w:uiPriority w:val="0"/>
    <w:rPr>
      <w:i/>
    </w:rPr>
  </w:style>
  <w:style w:type="character" w:styleId="60">
    <w:name w:val="HTML Typewriter"/>
    <w:basedOn w:val="54"/>
    <w:qFormat/>
    <w:uiPriority w:val="0"/>
    <w:rPr>
      <w:rFonts w:ascii="Courier New" w:hAnsi="Courier New"/>
      <w:sz w:val="20"/>
    </w:rPr>
  </w:style>
  <w:style w:type="character" w:styleId="61">
    <w:name w:val="HTML Acronym"/>
    <w:basedOn w:val="54"/>
    <w:qFormat/>
    <w:uiPriority w:val="0"/>
    <w:rPr>
      <w:rFonts w:cs="Times New Roman"/>
    </w:rPr>
  </w:style>
  <w:style w:type="character" w:styleId="62">
    <w:name w:val="HTML Variable"/>
    <w:basedOn w:val="54"/>
    <w:qFormat/>
    <w:uiPriority w:val="0"/>
    <w:rPr>
      <w:i/>
    </w:rPr>
  </w:style>
  <w:style w:type="character" w:styleId="63">
    <w:name w:val="Hyperlink"/>
    <w:qFormat/>
    <w:uiPriority w:val="99"/>
    <w:rPr>
      <w:color w:val="0000FF"/>
      <w:u w:val="single"/>
    </w:rPr>
  </w:style>
  <w:style w:type="character" w:styleId="64">
    <w:name w:val="HTML Code"/>
    <w:basedOn w:val="54"/>
    <w:qFormat/>
    <w:uiPriority w:val="0"/>
    <w:rPr>
      <w:rFonts w:ascii="Courier New" w:hAnsi="Courier New"/>
      <w:sz w:val="20"/>
    </w:rPr>
  </w:style>
  <w:style w:type="character" w:styleId="65">
    <w:name w:val="annotation reference"/>
    <w:qFormat/>
    <w:uiPriority w:val="0"/>
    <w:rPr>
      <w:sz w:val="21"/>
      <w:szCs w:val="21"/>
    </w:rPr>
  </w:style>
  <w:style w:type="character" w:styleId="66">
    <w:name w:val="HTML Cite"/>
    <w:basedOn w:val="54"/>
    <w:qFormat/>
    <w:uiPriority w:val="0"/>
    <w:rPr>
      <w:i/>
    </w:rPr>
  </w:style>
  <w:style w:type="character" w:styleId="67">
    <w:name w:val="HTML Keyboard"/>
    <w:basedOn w:val="54"/>
    <w:qFormat/>
    <w:uiPriority w:val="0"/>
    <w:rPr>
      <w:rFonts w:ascii="Courier New" w:hAnsi="Courier New"/>
      <w:sz w:val="20"/>
    </w:rPr>
  </w:style>
  <w:style w:type="character" w:styleId="68">
    <w:name w:val="HTML Sample"/>
    <w:basedOn w:val="54"/>
    <w:qFormat/>
    <w:uiPriority w:val="0"/>
    <w:rPr>
      <w:rFonts w:ascii="Courier New" w:hAnsi="Courier New"/>
    </w:rPr>
  </w:style>
  <w:style w:type="character" w:customStyle="1" w:styleId="69">
    <w:name w:val="正文文本 Char"/>
    <w:link w:val="21"/>
    <w:qFormat/>
    <w:uiPriority w:val="0"/>
    <w:rPr>
      <w:rFonts w:eastAsia="宋体"/>
      <w:kern w:val="2"/>
      <w:sz w:val="24"/>
      <w:szCs w:val="24"/>
      <w:lang w:val="en-US" w:eastAsia="zh-CN" w:bidi="ar-SA"/>
    </w:rPr>
  </w:style>
  <w:style w:type="character" w:customStyle="1" w:styleId="70">
    <w:name w:val="标题 1 Char"/>
    <w:link w:val="3"/>
    <w:qFormat/>
    <w:uiPriority w:val="0"/>
    <w:rPr>
      <w:rFonts w:eastAsia="宋体"/>
      <w:b/>
      <w:bCs/>
      <w:kern w:val="44"/>
      <w:sz w:val="44"/>
      <w:szCs w:val="44"/>
      <w:lang w:val="en-US" w:eastAsia="zh-CN" w:bidi="ar-SA"/>
    </w:rPr>
  </w:style>
  <w:style w:type="character" w:customStyle="1" w:styleId="71">
    <w:name w:val="标题 2 Char"/>
    <w:link w:val="4"/>
    <w:qFormat/>
    <w:uiPriority w:val="0"/>
    <w:rPr>
      <w:rFonts w:ascii="Arial" w:hAnsi="Arial" w:eastAsia="黑体"/>
      <w:b/>
      <w:bCs/>
      <w:sz w:val="32"/>
      <w:szCs w:val="32"/>
      <w:lang w:bidi="ar-SA"/>
    </w:rPr>
  </w:style>
  <w:style w:type="character" w:customStyle="1" w:styleId="72">
    <w:name w:val="标题 3 Char"/>
    <w:link w:val="5"/>
    <w:qFormat/>
    <w:uiPriority w:val="0"/>
    <w:rPr>
      <w:rFonts w:eastAsia="宋体"/>
      <w:b/>
      <w:bCs/>
      <w:sz w:val="32"/>
      <w:szCs w:val="32"/>
      <w:lang w:bidi="ar-SA"/>
    </w:rPr>
  </w:style>
  <w:style w:type="character" w:customStyle="1" w:styleId="73">
    <w:name w:val="标题 4 Char"/>
    <w:link w:val="6"/>
    <w:qFormat/>
    <w:uiPriority w:val="0"/>
    <w:rPr>
      <w:rFonts w:ascii="Arial" w:hAnsi="Arial" w:eastAsia="黑体"/>
      <w:sz w:val="28"/>
      <w:lang w:bidi="ar-SA"/>
    </w:rPr>
  </w:style>
  <w:style w:type="character" w:customStyle="1" w:styleId="74">
    <w:name w:val="标题 5 Char"/>
    <w:link w:val="7"/>
    <w:qFormat/>
    <w:uiPriority w:val="0"/>
    <w:rPr>
      <w:rFonts w:eastAsia="宋体"/>
      <w:b/>
      <w:kern w:val="2"/>
      <w:sz w:val="28"/>
      <w:szCs w:val="24"/>
      <w:lang w:val="en-US" w:eastAsia="zh-CN" w:bidi="ar-SA"/>
    </w:rPr>
  </w:style>
  <w:style w:type="character" w:customStyle="1" w:styleId="75">
    <w:name w:val="标题 6 Char"/>
    <w:link w:val="9"/>
    <w:qFormat/>
    <w:uiPriority w:val="0"/>
    <w:rPr>
      <w:rFonts w:ascii="Arial" w:hAnsi="Arial" w:eastAsia="黑体"/>
      <w:b/>
      <w:kern w:val="2"/>
      <w:sz w:val="24"/>
      <w:szCs w:val="24"/>
      <w:lang w:val="en-US" w:eastAsia="zh-CN" w:bidi="ar-SA"/>
    </w:rPr>
  </w:style>
  <w:style w:type="character" w:customStyle="1" w:styleId="76">
    <w:name w:val="标题 7 Char"/>
    <w:link w:val="10"/>
    <w:qFormat/>
    <w:uiPriority w:val="0"/>
    <w:rPr>
      <w:rFonts w:eastAsia="宋体"/>
      <w:b/>
      <w:kern w:val="2"/>
      <w:sz w:val="24"/>
      <w:szCs w:val="24"/>
      <w:lang w:val="en-US" w:eastAsia="zh-CN" w:bidi="ar-SA"/>
    </w:rPr>
  </w:style>
  <w:style w:type="character" w:customStyle="1" w:styleId="77">
    <w:name w:val="标题 8 Char"/>
    <w:link w:val="11"/>
    <w:qFormat/>
    <w:uiPriority w:val="0"/>
    <w:rPr>
      <w:rFonts w:ascii="Arial" w:hAnsi="Arial" w:eastAsia="黑体"/>
      <w:kern w:val="2"/>
      <w:sz w:val="24"/>
      <w:szCs w:val="24"/>
      <w:lang w:val="en-US" w:eastAsia="zh-CN" w:bidi="ar-SA"/>
    </w:rPr>
  </w:style>
  <w:style w:type="character" w:customStyle="1" w:styleId="78">
    <w:name w:val="标题 9 Char"/>
    <w:link w:val="12"/>
    <w:qFormat/>
    <w:uiPriority w:val="0"/>
    <w:rPr>
      <w:rFonts w:ascii="Arial" w:hAnsi="Arial" w:eastAsia="黑体"/>
      <w:kern w:val="2"/>
      <w:sz w:val="21"/>
      <w:szCs w:val="24"/>
      <w:lang w:val="en-US" w:eastAsia="zh-CN" w:bidi="ar-SA"/>
    </w:rPr>
  </w:style>
  <w:style w:type="character" w:customStyle="1" w:styleId="79">
    <w:name w:val="文档结构图 Char"/>
    <w:link w:val="16"/>
    <w:qFormat/>
    <w:uiPriority w:val="0"/>
    <w:rPr>
      <w:rFonts w:eastAsia="宋体"/>
      <w:kern w:val="2"/>
      <w:sz w:val="21"/>
      <w:szCs w:val="24"/>
      <w:lang w:val="en-US" w:eastAsia="zh-CN" w:bidi="ar-SA"/>
    </w:rPr>
  </w:style>
  <w:style w:type="character" w:customStyle="1" w:styleId="80">
    <w:name w:val="批注文字 Char"/>
    <w:link w:val="18"/>
    <w:qFormat/>
    <w:uiPriority w:val="0"/>
    <w:rPr>
      <w:rFonts w:eastAsia="宋体"/>
      <w:sz w:val="24"/>
      <w:lang w:bidi="ar-SA"/>
    </w:rPr>
  </w:style>
  <w:style w:type="character" w:customStyle="1" w:styleId="81">
    <w:name w:val="称呼 Char"/>
    <w:link w:val="19"/>
    <w:qFormat/>
    <w:uiPriority w:val="0"/>
    <w:rPr>
      <w:kern w:val="2"/>
      <w:sz w:val="28"/>
      <w:szCs w:val="24"/>
    </w:rPr>
  </w:style>
  <w:style w:type="character" w:customStyle="1" w:styleId="82">
    <w:name w:val="正文文本 3 Char"/>
    <w:link w:val="20"/>
    <w:qFormat/>
    <w:uiPriority w:val="0"/>
    <w:rPr>
      <w:rFonts w:eastAsia="宋体"/>
      <w:b/>
      <w:bCs/>
      <w:kern w:val="2"/>
      <w:sz w:val="24"/>
      <w:szCs w:val="24"/>
      <w:lang w:val="en-US" w:eastAsia="zh-CN" w:bidi="ar-SA"/>
    </w:rPr>
  </w:style>
  <w:style w:type="character" w:customStyle="1" w:styleId="83">
    <w:name w:val="正文文本缩进 Char"/>
    <w:link w:val="22"/>
    <w:qFormat/>
    <w:uiPriority w:val="0"/>
    <w:rPr>
      <w:rFonts w:ascii="仿宋_GB2312" w:eastAsia="仿宋_GB2312"/>
      <w:kern w:val="2"/>
      <w:sz w:val="32"/>
      <w:lang w:val="en-US" w:eastAsia="zh-CN" w:bidi="ar-SA"/>
    </w:rPr>
  </w:style>
  <w:style w:type="character" w:customStyle="1" w:styleId="84">
    <w:name w:val="HTML 地址 Char"/>
    <w:basedOn w:val="54"/>
    <w:link w:val="26"/>
    <w:qFormat/>
    <w:locked/>
    <w:uiPriority w:val="0"/>
    <w:rPr>
      <w:rFonts w:ascii="宋体" w:eastAsia="宋体"/>
      <w:i/>
      <w:iCs/>
      <w:kern w:val="21"/>
      <w:sz w:val="21"/>
      <w:szCs w:val="21"/>
      <w:lang w:val="en-US" w:eastAsia="zh-CN" w:bidi="ar-SA"/>
    </w:rPr>
  </w:style>
  <w:style w:type="character" w:customStyle="1" w:styleId="85">
    <w:name w:val="目录 3 Char"/>
    <w:link w:val="28"/>
    <w:qFormat/>
    <w:locked/>
    <w:uiPriority w:val="0"/>
    <w:rPr>
      <w:rFonts w:eastAsia="宋体"/>
      <w:kern w:val="2"/>
      <w:sz w:val="21"/>
      <w:szCs w:val="24"/>
      <w:lang w:val="en-US" w:eastAsia="zh-CN" w:bidi="ar-SA"/>
    </w:rPr>
  </w:style>
  <w:style w:type="character" w:customStyle="1" w:styleId="86">
    <w:name w:val="纯文本 Char2"/>
    <w:link w:val="29"/>
    <w:qFormat/>
    <w:uiPriority w:val="0"/>
    <w:rPr>
      <w:rFonts w:ascii="宋体" w:hAnsi="Courier New" w:eastAsia="宋体" w:cs="Courier New"/>
      <w:kern w:val="2"/>
      <w:sz w:val="21"/>
      <w:szCs w:val="21"/>
      <w:lang w:val="en-US" w:eastAsia="zh-CN" w:bidi="ar-SA"/>
    </w:rPr>
  </w:style>
  <w:style w:type="character" w:customStyle="1" w:styleId="87">
    <w:name w:val="日期 Char"/>
    <w:link w:val="31"/>
    <w:qFormat/>
    <w:uiPriority w:val="0"/>
    <w:rPr>
      <w:rFonts w:ascii="宋体" w:hAnsi="Courier New" w:eastAsia="宋体" w:cs="Courier New"/>
      <w:kern w:val="2"/>
      <w:sz w:val="21"/>
      <w:szCs w:val="21"/>
      <w:lang w:val="en-US" w:eastAsia="zh-CN" w:bidi="ar-SA"/>
    </w:rPr>
  </w:style>
  <w:style w:type="character" w:customStyle="1" w:styleId="88">
    <w:name w:val="正文文本缩进 2 Char"/>
    <w:link w:val="32"/>
    <w:qFormat/>
    <w:uiPriority w:val="0"/>
    <w:rPr>
      <w:rFonts w:eastAsia="宋体"/>
      <w:kern w:val="2"/>
      <w:sz w:val="32"/>
      <w:lang w:val="en-US" w:eastAsia="zh-CN" w:bidi="ar-SA"/>
    </w:rPr>
  </w:style>
  <w:style w:type="character" w:customStyle="1" w:styleId="89">
    <w:name w:val="尾注文本 Char"/>
    <w:link w:val="33"/>
    <w:qFormat/>
    <w:uiPriority w:val="0"/>
    <w:rPr>
      <w:rFonts w:ascii="Calibri" w:hAnsi="Calibri"/>
      <w:kern w:val="2"/>
      <w:sz w:val="21"/>
      <w:szCs w:val="22"/>
    </w:rPr>
  </w:style>
  <w:style w:type="character" w:customStyle="1" w:styleId="90">
    <w:name w:val="批注框文本 Char"/>
    <w:link w:val="34"/>
    <w:semiHidden/>
    <w:qFormat/>
    <w:uiPriority w:val="0"/>
    <w:rPr>
      <w:rFonts w:eastAsia="宋体"/>
      <w:kern w:val="2"/>
      <w:sz w:val="18"/>
      <w:szCs w:val="18"/>
      <w:lang w:val="en-US" w:eastAsia="zh-CN" w:bidi="ar-SA"/>
    </w:rPr>
  </w:style>
  <w:style w:type="character" w:customStyle="1" w:styleId="91">
    <w:name w:val="页脚 Char"/>
    <w:link w:val="35"/>
    <w:qFormat/>
    <w:uiPriority w:val="99"/>
    <w:rPr>
      <w:rFonts w:eastAsia="宋体"/>
      <w:kern w:val="2"/>
      <w:sz w:val="18"/>
      <w:szCs w:val="18"/>
      <w:lang w:val="en-US" w:eastAsia="zh-CN" w:bidi="ar-SA"/>
    </w:rPr>
  </w:style>
  <w:style w:type="character" w:customStyle="1" w:styleId="92">
    <w:name w:val="页眉 Char"/>
    <w:link w:val="36"/>
    <w:qFormat/>
    <w:uiPriority w:val="99"/>
    <w:rPr>
      <w:rFonts w:eastAsia="宋体"/>
      <w:kern w:val="2"/>
      <w:sz w:val="18"/>
      <w:szCs w:val="18"/>
      <w:lang w:val="en-US" w:eastAsia="zh-CN" w:bidi="ar-SA"/>
    </w:rPr>
  </w:style>
  <w:style w:type="character" w:customStyle="1" w:styleId="93">
    <w:name w:val="脚注文本 Char"/>
    <w:basedOn w:val="54"/>
    <w:link w:val="39"/>
    <w:qFormat/>
    <w:locked/>
    <w:uiPriority w:val="0"/>
    <w:rPr>
      <w:rFonts w:ascii="宋体" w:eastAsia="宋体"/>
      <w:kern w:val="21"/>
      <w:sz w:val="18"/>
      <w:szCs w:val="18"/>
      <w:lang w:val="en-US" w:eastAsia="zh-CN" w:bidi="ar-SA"/>
    </w:rPr>
  </w:style>
  <w:style w:type="character" w:customStyle="1" w:styleId="94">
    <w:name w:val="正文文本缩进 3 Char"/>
    <w:link w:val="42"/>
    <w:qFormat/>
    <w:uiPriority w:val="0"/>
    <w:rPr>
      <w:rFonts w:eastAsia="宋体"/>
      <w:kern w:val="2"/>
      <w:sz w:val="16"/>
      <w:szCs w:val="16"/>
      <w:lang w:val="en-US" w:eastAsia="zh-CN" w:bidi="ar-SA"/>
    </w:rPr>
  </w:style>
  <w:style w:type="character" w:customStyle="1" w:styleId="95">
    <w:name w:val="正文文本 2 Char"/>
    <w:link w:val="45"/>
    <w:qFormat/>
    <w:uiPriority w:val="0"/>
    <w:rPr>
      <w:rFonts w:eastAsia="宋体"/>
      <w:kern w:val="2"/>
      <w:sz w:val="21"/>
      <w:szCs w:val="24"/>
      <w:lang w:val="en-US" w:eastAsia="zh-CN" w:bidi="ar-SA"/>
    </w:rPr>
  </w:style>
  <w:style w:type="character" w:customStyle="1" w:styleId="96">
    <w:name w:val="HTML 预设格式 Char"/>
    <w:link w:val="46"/>
    <w:qFormat/>
    <w:uiPriority w:val="0"/>
    <w:rPr>
      <w:rFonts w:ascii="黑体" w:hAnsi="Courier New" w:eastAsia="黑体" w:cs="Courier New"/>
      <w:lang w:val="en-US" w:eastAsia="zh-CN" w:bidi="ar-SA"/>
    </w:rPr>
  </w:style>
  <w:style w:type="character" w:customStyle="1" w:styleId="97">
    <w:name w:val="标题 Char"/>
    <w:link w:val="49"/>
    <w:qFormat/>
    <w:uiPriority w:val="0"/>
    <w:rPr>
      <w:rFonts w:ascii="Arial" w:hAnsi="Arial" w:eastAsia="宋体"/>
      <w:b/>
      <w:bCs/>
      <w:kern w:val="2"/>
      <w:sz w:val="32"/>
      <w:szCs w:val="32"/>
      <w:lang w:bidi="ar-SA"/>
    </w:rPr>
  </w:style>
  <w:style w:type="character" w:customStyle="1" w:styleId="98">
    <w:name w:val="批注主题 Char"/>
    <w:link w:val="50"/>
    <w:semiHidden/>
    <w:qFormat/>
    <w:uiPriority w:val="0"/>
    <w:rPr>
      <w:b/>
      <w:bCs/>
      <w:kern w:val="2"/>
      <w:sz w:val="21"/>
      <w:szCs w:val="24"/>
    </w:rPr>
  </w:style>
  <w:style w:type="paragraph" w:customStyle="1" w:styleId="99">
    <w:name w:val="表格文字"/>
    <w:basedOn w:val="1"/>
    <w:next w:val="21"/>
    <w:qFormat/>
    <w:uiPriority w:val="0"/>
    <w:pPr>
      <w:keepNext w:val="0"/>
      <w:keepLines w:val="0"/>
      <w:widowControl w:val="0"/>
      <w:suppressLineNumbers w:val="0"/>
      <w:spacing w:before="25" w:beforeAutospacing="0" w:after="25" w:afterAutospacing="0"/>
      <w:ind w:left="0" w:right="0"/>
      <w:jc w:val="left"/>
    </w:pPr>
    <w:rPr>
      <w:rFonts w:hint="default" w:ascii="Times New Roman" w:hAnsi="Times New Roman" w:eastAsia="宋体" w:cs="Times New Roman"/>
      <w:bCs/>
      <w:spacing w:val="10"/>
      <w:kern w:val="0"/>
      <w:sz w:val="24"/>
      <w:szCs w:val="24"/>
      <w:lang w:val="en-US" w:eastAsia="zh-CN" w:bidi="ar"/>
    </w:rPr>
  </w:style>
  <w:style w:type="paragraph" w:customStyle="1" w:styleId="100">
    <w:name w:val="_Style 8"/>
    <w:basedOn w:val="16"/>
    <w:qFormat/>
    <w:uiPriority w:val="0"/>
    <w:pPr>
      <w:widowControl/>
      <w:ind w:firstLine="454"/>
      <w:jc w:val="left"/>
    </w:pPr>
  </w:style>
  <w:style w:type="character" w:customStyle="1" w:styleId="101">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02">
    <w:name w:val="apple-style-span"/>
    <w:basedOn w:val="54"/>
    <w:qFormat/>
    <w:uiPriority w:val="0"/>
  </w:style>
  <w:style w:type="character" w:customStyle="1" w:styleId="103">
    <w:name w:val="无间隔 Char"/>
    <w:link w:val="104"/>
    <w:qFormat/>
    <w:uiPriority w:val="0"/>
    <w:rPr>
      <w:sz w:val="22"/>
      <w:szCs w:val="22"/>
      <w:lang w:val="en-US" w:eastAsia="zh-CN" w:bidi="ar-SA"/>
    </w:rPr>
  </w:style>
  <w:style w:type="paragraph" w:styleId="104">
    <w:name w:val="No Spacing"/>
    <w:link w:val="103"/>
    <w:qFormat/>
    <w:uiPriority w:val="0"/>
    <w:rPr>
      <w:rFonts w:ascii="Times New Roman" w:hAnsi="Times New Roman" w:eastAsia="宋体" w:cs="Times New Roman"/>
      <w:sz w:val="22"/>
      <w:szCs w:val="22"/>
      <w:lang w:val="en-US" w:eastAsia="zh-CN" w:bidi="ar-SA"/>
    </w:rPr>
  </w:style>
  <w:style w:type="character" w:customStyle="1" w:styleId="105">
    <w:name w:val="纯文本 Char"/>
    <w:qFormat/>
    <w:uiPriority w:val="99"/>
    <w:rPr>
      <w:rFonts w:ascii="宋体" w:hAnsi="Courier New" w:eastAsia="宋体"/>
      <w:kern w:val="2"/>
      <w:sz w:val="21"/>
      <w:lang w:val="en-US" w:eastAsia="zh-CN" w:bidi="ar-SA"/>
    </w:rPr>
  </w:style>
  <w:style w:type="character" w:customStyle="1" w:styleId="106">
    <w:name w:val="ca-10"/>
    <w:basedOn w:val="54"/>
    <w:qFormat/>
    <w:uiPriority w:val="0"/>
  </w:style>
  <w:style w:type="character" w:customStyle="1" w:styleId="107">
    <w:name w:val="Char Char Char Char Char"/>
    <w:qFormat/>
    <w:uiPriority w:val="0"/>
    <w:rPr>
      <w:rFonts w:hint="eastAsia" w:ascii="宋体" w:hAnsi="宋体" w:eastAsia="宋体"/>
      <w:b/>
      <w:bCs/>
      <w:kern w:val="44"/>
      <w:sz w:val="44"/>
      <w:szCs w:val="44"/>
      <w:lang w:val="en-US" w:eastAsia="zh-CN" w:bidi="ar-SA"/>
    </w:rPr>
  </w:style>
  <w:style w:type="character" w:customStyle="1" w:styleId="108">
    <w:name w:val="font41"/>
    <w:basedOn w:val="54"/>
    <w:qFormat/>
    <w:uiPriority w:val="0"/>
    <w:rPr>
      <w:rFonts w:hint="eastAsia" w:ascii="仿宋_GB2312" w:eastAsia="仿宋_GB2312" w:cs="仿宋_GB2312"/>
      <w:color w:val="000000"/>
      <w:sz w:val="20"/>
      <w:szCs w:val="20"/>
      <w:u w:val="none"/>
    </w:rPr>
  </w:style>
  <w:style w:type="character" w:customStyle="1" w:styleId="109">
    <w:name w:val="ca-11"/>
    <w:basedOn w:val="54"/>
    <w:qFormat/>
    <w:uiPriority w:val="0"/>
  </w:style>
  <w:style w:type="character" w:customStyle="1" w:styleId="110">
    <w:name w:val="Char Char12"/>
    <w:qFormat/>
    <w:uiPriority w:val="0"/>
    <w:rPr>
      <w:rFonts w:ascii="宋体" w:eastAsia="宋体" w:cs="Courier New"/>
      <w:kern w:val="2"/>
      <w:sz w:val="21"/>
      <w:szCs w:val="21"/>
      <w:lang w:val="en-US" w:eastAsia="zh-CN" w:bidi="ar-SA"/>
    </w:rPr>
  </w:style>
  <w:style w:type="character" w:customStyle="1" w:styleId="111">
    <w:name w:val="普通文字 Char Char4"/>
    <w:qFormat/>
    <w:uiPriority w:val="0"/>
    <w:rPr>
      <w:rFonts w:ascii="宋体" w:hAnsi="Courier New" w:eastAsia="宋体" w:cs="Courier New"/>
      <w:kern w:val="2"/>
      <w:sz w:val="21"/>
      <w:szCs w:val="21"/>
      <w:lang w:val="en-US" w:eastAsia="zh-CN" w:bidi="ar-SA"/>
    </w:rPr>
  </w:style>
  <w:style w:type="character" w:customStyle="1" w:styleId="112">
    <w:name w:val="ca-12"/>
    <w:basedOn w:val="54"/>
    <w:qFormat/>
    <w:uiPriority w:val="0"/>
  </w:style>
  <w:style w:type="character" w:customStyle="1" w:styleId="113">
    <w:name w:val="font71"/>
    <w:basedOn w:val="54"/>
    <w:qFormat/>
    <w:uiPriority w:val="0"/>
    <w:rPr>
      <w:rFonts w:hint="eastAsia" w:ascii="宋体" w:hAnsi="宋体" w:eastAsia="宋体" w:cs="宋体"/>
      <w:color w:val="FF0000"/>
      <w:sz w:val="18"/>
      <w:szCs w:val="18"/>
      <w:u w:val="none"/>
    </w:rPr>
  </w:style>
  <w:style w:type="character" w:customStyle="1" w:styleId="114">
    <w:name w:val="unnamed3"/>
    <w:basedOn w:val="54"/>
    <w:qFormat/>
    <w:uiPriority w:val="0"/>
  </w:style>
  <w:style w:type="character" w:customStyle="1" w:styleId="115">
    <w:name w:val="Char Char7"/>
    <w:qFormat/>
    <w:uiPriority w:val="0"/>
    <w:rPr>
      <w:rFonts w:ascii="宋体" w:eastAsia="宋体" w:cs="Courier New"/>
      <w:kern w:val="2"/>
      <w:sz w:val="21"/>
      <w:szCs w:val="21"/>
      <w:lang w:val="en-US" w:eastAsia="zh-CN" w:bidi="ar-SA"/>
    </w:rPr>
  </w:style>
  <w:style w:type="character" w:customStyle="1" w:styleId="116">
    <w:name w:val="ca-3"/>
    <w:basedOn w:val="54"/>
    <w:qFormat/>
    <w:uiPriority w:val="0"/>
  </w:style>
  <w:style w:type="character" w:customStyle="1" w:styleId="117">
    <w:name w:val="mark13"/>
    <w:basedOn w:val="54"/>
    <w:qFormat/>
    <w:uiPriority w:val="0"/>
  </w:style>
  <w:style w:type="character" w:customStyle="1" w:styleId="118">
    <w:name w:val="style21"/>
    <w:qFormat/>
    <w:uiPriority w:val="0"/>
    <w:rPr>
      <w:sz w:val="18"/>
      <w:szCs w:val="18"/>
    </w:rPr>
  </w:style>
  <w:style w:type="character" w:customStyle="1" w:styleId="119">
    <w:name w:val="Char Char14"/>
    <w:qFormat/>
    <w:uiPriority w:val="0"/>
    <w:rPr>
      <w:sz w:val="18"/>
      <w:szCs w:val="18"/>
    </w:rPr>
  </w:style>
  <w:style w:type="character" w:customStyle="1" w:styleId="120">
    <w:name w:val="Char Char15"/>
    <w:qFormat/>
    <w:uiPriority w:val="0"/>
    <w:rPr>
      <w:sz w:val="18"/>
      <w:szCs w:val="18"/>
    </w:rPr>
  </w:style>
  <w:style w:type="character" w:customStyle="1" w:styleId="121">
    <w:name w:val="p1"/>
    <w:basedOn w:val="54"/>
    <w:qFormat/>
    <w:uiPriority w:val="0"/>
  </w:style>
  <w:style w:type="character" w:customStyle="1" w:styleId="122">
    <w:name w:val="UP标题3 Char Char"/>
    <w:link w:val="123"/>
    <w:qFormat/>
    <w:locked/>
    <w:uiPriority w:val="0"/>
    <w:rPr>
      <w:rFonts w:ascii="黑体" w:eastAsia="黑体"/>
      <w:sz w:val="28"/>
      <w:szCs w:val="28"/>
      <w:lang w:bidi="ar-SA"/>
    </w:rPr>
  </w:style>
  <w:style w:type="paragraph" w:customStyle="1" w:styleId="123">
    <w:name w:val="UP标题3"/>
    <w:basedOn w:val="1"/>
    <w:link w:val="122"/>
    <w:qFormat/>
    <w:uiPriority w:val="0"/>
    <w:pPr>
      <w:spacing w:line="360" w:lineRule="auto"/>
      <w:ind w:firstLine="149" w:firstLineChars="149"/>
    </w:pPr>
    <w:rPr>
      <w:rFonts w:ascii="黑体" w:eastAsia="黑体"/>
      <w:kern w:val="0"/>
      <w:sz w:val="28"/>
      <w:szCs w:val="28"/>
    </w:rPr>
  </w:style>
  <w:style w:type="character" w:customStyle="1" w:styleId="124">
    <w:name w:val="ca-8"/>
    <w:basedOn w:val="54"/>
    <w:qFormat/>
    <w:uiPriority w:val="0"/>
  </w:style>
  <w:style w:type="character" w:customStyle="1" w:styleId="125">
    <w:name w:val="Body Text Char"/>
    <w:qFormat/>
    <w:locked/>
    <w:uiPriority w:val="0"/>
    <w:rPr>
      <w:rFonts w:eastAsia="宋体"/>
      <w:kern w:val="2"/>
      <w:sz w:val="24"/>
      <w:szCs w:val="24"/>
      <w:lang w:val="en-US" w:eastAsia="zh-CN" w:bidi="ar-SA"/>
    </w:rPr>
  </w:style>
  <w:style w:type="character" w:customStyle="1" w:styleId="126">
    <w:name w:val="ca-16"/>
    <w:basedOn w:val="54"/>
    <w:qFormat/>
    <w:uiPriority w:val="0"/>
  </w:style>
  <w:style w:type="character" w:customStyle="1" w:styleId="127">
    <w:name w:val="Char Char17"/>
    <w:qFormat/>
    <w:uiPriority w:val="0"/>
    <w:rPr>
      <w:rFonts w:hint="default" w:ascii="Times New Roman" w:hAnsi="Times New Roman" w:cs="Times New Roman"/>
      <w:b/>
      <w:bCs/>
      <w:kern w:val="2"/>
      <w:sz w:val="21"/>
      <w:szCs w:val="24"/>
    </w:rPr>
  </w:style>
  <w:style w:type="character" w:customStyle="1" w:styleId="128">
    <w:name w:val="ca-0"/>
    <w:qFormat/>
    <w:uiPriority w:val="0"/>
  </w:style>
  <w:style w:type="character" w:customStyle="1" w:styleId="129">
    <w:name w:val="Char Char8"/>
    <w:qFormat/>
    <w:uiPriority w:val="0"/>
    <w:rPr>
      <w:rFonts w:hint="eastAsia" w:ascii="仿宋_GB2312" w:eastAsia="仿宋_GB2312"/>
      <w:kern w:val="2"/>
      <w:sz w:val="32"/>
      <w:lang w:val="en-US" w:eastAsia="zh-CN" w:bidi="ar-SA"/>
    </w:rPr>
  </w:style>
  <w:style w:type="character" w:customStyle="1" w:styleId="130">
    <w:name w:val="Char Char3"/>
    <w:qFormat/>
    <w:locked/>
    <w:uiPriority w:val="0"/>
    <w:rPr>
      <w:rFonts w:ascii="宋体" w:hAnsi="Courier New" w:eastAsia="宋体" w:cs="Courier New"/>
      <w:kern w:val="2"/>
      <w:sz w:val="21"/>
      <w:szCs w:val="21"/>
      <w:lang w:val="en-US" w:eastAsia="zh-CN" w:bidi="ar-SA"/>
    </w:rPr>
  </w:style>
  <w:style w:type="character" w:customStyle="1" w:styleId="131">
    <w:name w:val="Char Char2"/>
    <w:qFormat/>
    <w:uiPriority w:val="0"/>
    <w:rPr>
      <w:rFonts w:eastAsia="宋体"/>
      <w:sz w:val="24"/>
    </w:rPr>
  </w:style>
  <w:style w:type="character" w:customStyle="1" w:styleId="132">
    <w:name w:val="批注文字 Char1"/>
    <w:semiHidden/>
    <w:qFormat/>
    <w:uiPriority w:val="0"/>
    <w:rPr>
      <w:kern w:val="2"/>
      <w:sz w:val="21"/>
      <w:szCs w:val="24"/>
    </w:rPr>
  </w:style>
  <w:style w:type="character" w:customStyle="1" w:styleId="133">
    <w:name w:val="Char Char23"/>
    <w:qFormat/>
    <w:uiPriority w:val="0"/>
    <w:rPr>
      <w:rFonts w:hint="default" w:ascii="Times New Roman" w:hAnsi="Times New Roman" w:eastAsia="宋体" w:cs="Times New Roman"/>
      <w:b/>
      <w:bCs/>
      <w:kern w:val="44"/>
      <w:sz w:val="44"/>
      <w:szCs w:val="44"/>
    </w:rPr>
  </w:style>
  <w:style w:type="character" w:customStyle="1" w:styleId="134">
    <w:name w:val="ca-5"/>
    <w:basedOn w:val="54"/>
    <w:qFormat/>
    <w:uiPriority w:val="0"/>
  </w:style>
  <w:style w:type="character" w:customStyle="1" w:styleId="135">
    <w:name w:val="cubane_hilight1"/>
    <w:qFormat/>
    <w:uiPriority w:val="0"/>
    <w:rPr>
      <w:color w:val="CC0000"/>
    </w:rPr>
  </w:style>
  <w:style w:type="character" w:customStyle="1" w:styleId="136">
    <w:name w:val="ca-7"/>
    <w:basedOn w:val="54"/>
    <w:qFormat/>
    <w:uiPriority w:val="0"/>
  </w:style>
  <w:style w:type="character" w:customStyle="1" w:styleId="137">
    <w:name w:val="普通文字 Char Char2"/>
    <w:qFormat/>
    <w:uiPriority w:val="0"/>
    <w:rPr>
      <w:rFonts w:ascii="宋体" w:hAnsi="Courier New" w:eastAsia="宋体"/>
      <w:kern w:val="2"/>
      <w:sz w:val="21"/>
      <w:lang w:val="en-US" w:eastAsia="zh-CN" w:bidi="ar-SA"/>
    </w:rPr>
  </w:style>
  <w:style w:type="character" w:customStyle="1" w:styleId="138">
    <w:name w:val="apple-converted-space"/>
    <w:basedOn w:val="54"/>
    <w:qFormat/>
    <w:uiPriority w:val="0"/>
  </w:style>
  <w:style w:type="character" w:customStyle="1" w:styleId="139">
    <w:name w:val="标题 Char1"/>
    <w:qFormat/>
    <w:uiPriority w:val="0"/>
    <w:rPr>
      <w:rFonts w:hint="default" w:ascii="Cambria" w:hAnsi="Cambria" w:cs="Times New Roman"/>
      <w:b/>
      <w:bCs/>
      <w:kern w:val="2"/>
      <w:sz w:val="32"/>
      <w:szCs w:val="32"/>
    </w:rPr>
  </w:style>
  <w:style w:type="character" w:customStyle="1" w:styleId="140">
    <w:name w:val="ca-4"/>
    <w:basedOn w:val="54"/>
    <w:qFormat/>
    <w:uiPriority w:val="0"/>
  </w:style>
  <w:style w:type="character" w:customStyle="1" w:styleId="141">
    <w:name w:val="ca-2"/>
    <w:basedOn w:val="54"/>
    <w:qFormat/>
    <w:uiPriority w:val="0"/>
  </w:style>
  <w:style w:type="character" w:customStyle="1" w:styleId="142">
    <w:name w:val="Char Char10"/>
    <w:semiHidden/>
    <w:qFormat/>
    <w:uiPriority w:val="0"/>
    <w:rPr>
      <w:rFonts w:hint="eastAsia" w:ascii="宋体" w:hAnsi="宋体" w:eastAsia="宋体"/>
      <w:kern w:val="2"/>
      <w:sz w:val="24"/>
      <w:szCs w:val="24"/>
      <w:lang w:val="en-US" w:eastAsia="zh-CN" w:bidi="ar-SA"/>
    </w:rPr>
  </w:style>
  <w:style w:type="character" w:customStyle="1" w:styleId="143">
    <w:name w:val="1ji Char Char"/>
    <w:qFormat/>
    <w:locked/>
    <w:uiPriority w:val="0"/>
    <w:rPr>
      <w:rFonts w:ascii="宋体" w:hAnsi="宋体" w:eastAsia="宋体"/>
      <w:b/>
      <w:bCs/>
      <w:kern w:val="44"/>
      <w:sz w:val="36"/>
      <w:szCs w:val="44"/>
    </w:rPr>
  </w:style>
  <w:style w:type="character" w:customStyle="1" w:styleId="144">
    <w:name w:val="H1 Char1"/>
    <w:qFormat/>
    <w:uiPriority w:val="0"/>
    <w:rPr>
      <w:rFonts w:eastAsia="宋体"/>
      <w:b/>
      <w:bCs/>
      <w:kern w:val="44"/>
      <w:sz w:val="44"/>
      <w:szCs w:val="44"/>
      <w:lang w:val="en-US" w:eastAsia="zh-CN" w:bidi="ar-SA"/>
    </w:rPr>
  </w:style>
  <w:style w:type="character" w:customStyle="1" w:styleId="145">
    <w:name w:val=" Char Char10"/>
    <w:semiHidden/>
    <w:qFormat/>
    <w:uiPriority w:val="0"/>
    <w:rPr>
      <w:rFonts w:eastAsia="宋体"/>
      <w:kern w:val="2"/>
      <w:sz w:val="24"/>
      <w:szCs w:val="24"/>
      <w:lang w:val="en-US" w:eastAsia="zh-CN" w:bidi="ar-SA"/>
    </w:rPr>
  </w:style>
  <w:style w:type="character" w:customStyle="1" w:styleId="146">
    <w:name w:val=" Char Char14"/>
    <w:qFormat/>
    <w:uiPriority w:val="0"/>
    <w:rPr>
      <w:sz w:val="18"/>
      <w:szCs w:val="18"/>
    </w:rPr>
  </w:style>
  <w:style w:type="character" w:customStyle="1" w:styleId="147">
    <w:name w:val="H1 Char2"/>
    <w:qFormat/>
    <w:uiPriority w:val="0"/>
    <w:rPr>
      <w:rFonts w:eastAsia="宋体"/>
      <w:b/>
      <w:bCs/>
      <w:kern w:val="44"/>
      <w:sz w:val="44"/>
      <w:szCs w:val="44"/>
      <w:lang w:val="en-US" w:eastAsia="zh-CN" w:bidi="ar-SA"/>
    </w:rPr>
  </w:style>
  <w:style w:type="character" w:customStyle="1" w:styleId="148">
    <w:name w:val="无间隔 Char Char"/>
    <w:qFormat/>
    <w:uiPriority w:val="0"/>
    <w:rPr>
      <w:rFonts w:ascii="Calibri" w:hAnsi="Calibri" w:eastAsia="宋体"/>
      <w:sz w:val="22"/>
      <w:szCs w:val="22"/>
      <w:lang w:val="en-US" w:eastAsia="zh-CN" w:bidi="ar-SA"/>
    </w:rPr>
  </w:style>
  <w:style w:type="character" w:customStyle="1" w:styleId="149">
    <w:name w:val="正文文本缩进 Char1"/>
    <w:semiHidden/>
    <w:qFormat/>
    <w:uiPriority w:val="0"/>
    <w:rPr>
      <w:kern w:val="2"/>
      <w:sz w:val="21"/>
      <w:szCs w:val="22"/>
    </w:rPr>
  </w:style>
  <w:style w:type="character" w:customStyle="1" w:styleId="150">
    <w:name w:val="font31"/>
    <w:basedOn w:val="54"/>
    <w:qFormat/>
    <w:uiPriority w:val="0"/>
    <w:rPr>
      <w:rFonts w:hint="eastAsia" w:ascii="宋体" w:hAnsi="宋体" w:eastAsia="宋体" w:cs="宋体"/>
      <w:color w:val="000000"/>
      <w:sz w:val="16"/>
      <w:szCs w:val="16"/>
      <w:u w:val="none"/>
    </w:rPr>
  </w:style>
  <w:style w:type="character" w:customStyle="1" w:styleId="151">
    <w:name w:val="Char Char4"/>
    <w:qFormat/>
    <w:locked/>
    <w:uiPriority w:val="0"/>
    <w:rPr>
      <w:rFonts w:ascii="宋体" w:hAnsi="Courier New" w:eastAsia="宋体" w:cs="Courier New"/>
      <w:kern w:val="2"/>
      <w:sz w:val="21"/>
      <w:szCs w:val="21"/>
      <w:lang w:val="en-US" w:eastAsia="zh-CN" w:bidi="ar-SA"/>
    </w:rPr>
  </w:style>
  <w:style w:type="character" w:customStyle="1" w:styleId="152">
    <w:name w:val="Char Char21"/>
    <w:qFormat/>
    <w:uiPriority w:val="0"/>
    <w:rPr>
      <w:rFonts w:ascii="宋体" w:eastAsia="宋体"/>
      <w:sz w:val="24"/>
    </w:rPr>
  </w:style>
  <w:style w:type="character" w:customStyle="1" w:styleId="153">
    <w:name w:val=" Char Char11"/>
    <w:qFormat/>
    <w:uiPriority w:val="0"/>
    <w:rPr>
      <w:rFonts w:ascii="Times New Roman" w:hAnsi="Times New Roman" w:eastAsia="宋体" w:cs="Times New Roman"/>
      <w:sz w:val="30"/>
      <w:szCs w:val="24"/>
    </w:rPr>
  </w:style>
  <w:style w:type="character" w:customStyle="1" w:styleId="154">
    <w:name w:val="font21"/>
    <w:basedOn w:val="54"/>
    <w:qFormat/>
    <w:uiPriority w:val="0"/>
    <w:rPr>
      <w:rFonts w:ascii="Calibri" w:hAnsi="Calibri" w:cs="Calibri"/>
      <w:color w:val="000000"/>
      <w:sz w:val="20"/>
      <w:szCs w:val="20"/>
      <w:u w:val="none"/>
    </w:rPr>
  </w:style>
  <w:style w:type="character" w:customStyle="1" w:styleId="155">
    <w:name w:val="彩色列表 - 强调文字颜色 1 Char"/>
    <w:qFormat/>
    <w:locked/>
    <w:uiPriority w:val="34"/>
    <w:rPr>
      <w:rFonts w:ascii="Calibri" w:hAnsi="Calibri"/>
      <w:sz w:val="24"/>
      <w:szCs w:val="24"/>
      <w:lang w:eastAsia="en-US"/>
    </w:rPr>
  </w:style>
  <w:style w:type="character" w:customStyle="1" w:styleId="156">
    <w:name w:val="Char Char111"/>
    <w:qFormat/>
    <w:uiPriority w:val="0"/>
    <w:rPr>
      <w:rFonts w:hint="default" w:ascii="Times New Roman" w:hAnsi="Times New Roman" w:eastAsia="宋体" w:cs="Times New Roman"/>
      <w:sz w:val="30"/>
      <w:szCs w:val="24"/>
    </w:rPr>
  </w:style>
  <w:style w:type="character" w:customStyle="1" w:styleId="157">
    <w:name w:val="ca-14"/>
    <w:basedOn w:val="54"/>
    <w:qFormat/>
    <w:uiPriority w:val="0"/>
  </w:style>
  <w:style w:type="character" w:customStyle="1" w:styleId="158">
    <w:name w:val="font11"/>
    <w:qFormat/>
    <w:uiPriority w:val="0"/>
    <w:rPr>
      <w:rFonts w:hint="eastAsia" w:ascii="宋体" w:hAnsi="宋体" w:eastAsia="宋体" w:cs="宋体"/>
      <w:color w:val="FF0000"/>
      <w:sz w:val="16"/>
      <w:szCs w:val="16"/>
      <w:u w:val="none"/>
    </w:rPr>
  </w:style>
  <w:style w:type="character" w:customStyle="1" w:styleId="159">
    <w:name w:val="row08"/>
    <w:qFormat/>
    <w:uiPriority w:val="0"/>
    <w:rPr>
      <w:rFonts w:cs="Times New Roman"/>
      <w:lang w:bidi="ar-SA"/>
    </w:rPr>
  </w:style>
  <w:style w:type="character" w:customStyle="1" w:styleId="160">
    <w:name w:val="列出段落 Char"/>
    <w:link w:val="161"/>
    <w:qFormat/>
    <w:uiPriority w:val="0"/>
    <w:rPr>
      <w:rFonts w:ascii="Calibri" w:hAnsi="Calibri" w:eastAsia="宋体"/>
      <w:kern w:val="2"/>
      <w:sz w:val="21"/>
      <w:szCs w:val="22"/>
      <w:lang w:val="en-US" w:eastAsia="zh-CN" w:bidi="ar-SA"/>
    </w:rPr>
  </w:style>
  <w:style w:type="paragraph" w:customStyle="1" w:styleId="161">
    <w:name w:val="列出段落3"/>
    <w:basedOn w:val="1"/>
    <w:link w:val="160"/>
    <w:qFormat/>
    <w:uiPriority w:val="0"/>
    <w:pPr>
      <w:ind w:firstLine="420" w:firstLineChars="200"/>
    </w:pPr>
    <w:rPr>
      <w:rFonts w:ascii="Calibri" w:hAnsi="Calibri"/>
      <w:szCs w:val="22"/>
    </w:rPr>
  </w:style>
  <w:style w:type="character" w:customStyle="1" w:styleId="162">
    <w:name w:val="自定义标题一 Char"/>
    <w:link w:val="163"/>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63">
    <w:name w:val="自定义标题一"/>
    <w:basedOn w:val="3"/>
    <w:link w:val="162"/>
    <w:qFormat/>
    <w:uiPriority w:val="0"/>
    <w:pPr>
      <w:pageBreakBefore/>
      <w:tabs>
        <w:tab w:val="left" w:pos="144"/>
      </w:tabs>
      <w:spacing w:before="0" w:beforeLines="0" w:after="0" w:afterLines="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164">
    <w:name w:val="Char Char6"/>
    <w:qFormat/>
    <w:locked/>
    <w:uiPriority w:val="0"/>
    <w:rPr>
      <w:rFonts w:ascii="宋体" w:hAnsi="Courier New" w:eastAsia="宋体" w:cs="Courier New"/>
      <w:kern w:val="2"/>
      <w:sz w:val="21"/>
      <w:szCs w:val="21"/>
      <w:lang w:val="en-US" w:eastAsia="zh-CN" w:bidi="ar-SA"/>
    </w:rPr>
  </w:style>
  <w:style w:type="character" w:customStyle="1" w:styleId="165">
    <w:name w:val="ca-15"/>
    <w:basedOn w:val="54"/>
    <w:qFormat/>
    <w:uiPriority w:val="0"/>
  </w:style>
  <w:style w:type="character" w:customStyle="1" w:styleId="166">
    <w:name w:val="Char Char28"/>
    <w:qFormat/>
    <w:locked/>
    <w:uiPriority w:val="0"/>
    <w:rPr>
      <w:rFonts w:eastAsia="宋体"/>
      <w:b/>
      <w:bCs/>
      <w:kern w:val="44"/>
      <w:sz w:val="44"/>
      <w:szCs w:val="44"/>
      <w:lang w:val="en-US" w:eastAsia="zh-CN" w:bidi="ar-SA"/>
    </w:rPr>
  </w:style>
  <w:style w:type="character" w:customStyle="1" w:styleId="167">
    <w:name w:val=" Char Char Char Char Char"/>
    <w:qFormat/>
    <w:uiPriority w:val="0"/>
    <w:rPr>
      <w:rFonts w:eastAsia="宋体"/>
      <w:b/>
      <w:bCs/>
      <w:kern w:val="44"/>
      <w:sz w:val="44"/>
      <w:szCs w:val="44"/>
      <w:lang w:val="en-US" w:eastAsia="zh-CN" w:bidi="ar-SA"/>
    </w:rPr>
  </w:style>
  <w:style w:type="character" w:customStyle="1" w:styleId="168">
    <w:name w:val="正文2 Char Char"/>
    <w:link w:val="169"/>
    <w:qFormat/>
    <w:locked/>
    <w:uiPriority w:val="0"/>
    <w:rPr>
      <w:kern w:val="2"/>
      <w:sz w:val="28"/>
      <w:szCs w:val="22"/>
      <w:lang w:bidi="ar-SA"/>
    </w:rPr>
  </w:style>
  <w:style w:type="paragraph" w:customStyle="1" w:styleId="169">
    <w:name w:val="正文2"/>
    <w:basedOn w:val="1"/>
    <w:link w:val="168"/>
    <w:qFormat/>
    <w:uiPriority w:val="0"/>
    <w:pPr>
      <w:spacing w:line="360" w:lineRule="auto"/>
      <w:ind w:firstLine="200" w:firstLineChars="200"/>
    </w:pPr>
    <w:rPr>
      <w:sz w:val="28"/>
      <w:szCs w:val="22"/>
    </w:rPr>
  </w:style>
  <w:style w:type="character" w:customStyle="1" w:styleId="170">
    <w:name w:val="正文文字首行缩进 Char"/>
    <w:qFormat/>
    <w:locked/>
    <w:uiPriority w:val="0"/>
    <w:rPr>
      <w:rFonts w:ascii="仿宋_GB2312" w:eastAsia="仿宋_GB2312"/>
      <w:kern w:val="2"/>
      <w:sz w:val="32"/>
    </w:rPr>
  </w:style>
  <w:style w:type="character" w:customStyle="1" w:styleId="171">
    <w:name w:val="Char Char"/>
    <w:qFormat/>
    <w:uiPriority w:val="0"/>
    <w:rPr>
      <w:rFonts w:ascii="宋体" w:eastAsia="宋体" w:cs="Courier New"/>
      <w:kern w:val="2"/>
      <w:sz w:val="21"/>
      <w:szCs w:val="21"/>
      <w:lang w:val="en-US" w:eastAsia="zh-CN" w:bidi="ar-SA"/>
    </w:rPr>
  </w:style>
  <w:style w:type="character" w:customStyle="1" w:styleId="172">
    <w:name w:val="H1 Char"/>
    <w:qFormat/>
    <w:uiPriority w:val="0"/>
    <w:rPr>
      <w:rFonts w:eastAsia="宋体"/>
      <w:b/>
      <w:bCs/>
      <w:kern w:val="44"/>
      <w:sz w:val="44"/>
      <w:szCs w:val="44"/>
      <w:lang w:val="en-US" w:eastAsia="zh-CN" w:bidi="ar-SA"/>
    </w:rPr>
  </w:style>
  <w:style w:type="character" w:customStyle="1" w:styleId="173">
    <w:name w:val="Plain Text Char"/>
    <w:link w:val="174"/>
    <w:qFormat/>
    <w:locked/>
    <w:uiPriority w:val="0"/>
    <w:rPr>
      <w:rFonts w:ascii="宋体" w:hAnsi="Courier New" w:eastAsia="宋体"/>
      <w:kern w:val="2"/>
      <w:sz w:val="21"/>
    </w:rPr>
  </w:style>
  <w:style w:type="paragraph" w:customStyle="1" w:styleId="174">
    <w:name w:val="Plain Text"/>
    <w:basedOn w:val="1"/>
    <w:link w:val="173"/>
    <w:qFormat/>
    <w:uiPriority w:val="0"/>
    <w:rPr>
      <w:rFonts w:ascii="宋体" w:hAnsi="Courier New"/>
      <w:szCs w:val="20"/>
    </w:rPr>
  </w:style>
  <w:style w:type="character" w:customStyle="1" w:styleId="175">
    <w:name w:val="style31"/>
    <w:qFormat/>
    <w:uiPriority w:val="0"/>
    <w:rPr>
      <w:sz w:val="18"/>
      <w:szCs w:val="18"/>
    </w:rPr>
  </w:style>
  <w:style w:type="character" w:customStyle="1" w:styleId="176">
    <w:name w:val="纯文本 字符"/>
    <w:qFormat/>
    <w:uiPriority w:val="0"/>
    <w:rPr>
      <w:rFonts w:ascii="宋体" w:hAnsi="Courier New" w:eastAsia="宋体" w:cs="Courier New"/>
      <w:kern w:val="2"/>
      <w:sz w:val="21"/>
      <w:szCs w:val="21"/>
      <w:lang w:val="en-US" w:eastAsia="zh-CN" w:bidi="ar-SA"/>
    </w:rPr>
  </w:style>
  <w:style w:type="character" w:customStyle="1" w:styleId="177">
    <w:name w:val="ti"/>
    <w:basedOn w:val="54"/>
    <w:qFormat/>
    <w:uiPriority w:val="0"/>
  </w:style>
  <w:style w:type="character" w:customStyle="1" w:styleId="178">
    <w:name w:val="1ji Char"/>
    <w:link w:val="179"/>
    <w:qFormat/>
    <w:uiPriority w:val="0"/>
    <w:rPr>
      <w:rFonts w:ascii="宋体" w:hAnsi="宋体" w:eastAsia="宋体"/>
      <w:b/>
      <w:bCs/>
      <w:kern w:val="44"/>
      <w:sz w:val="36"/>
      <w:szCs w:val="44"/>
      <w:lang w:val="en-US" w:eastAsia="zh-CN" w:bidi="ar-SA"/>
    </w:rPr>
  </w:style>
  <w:style w:type="paragraph" w:customStyle="1" w:styleId="179">
    <w:name w:val="1ji"/>
    <w:basedOn w:val="3"/>
    <w:link w:val="178"/>
    <w:qFormat/>
    <w:uiPriority w:val="0"/>
    <w:pPr>
      <w:keepLines w:val="0"/>
      <w:widowControl/>
      <w:spacing w:before="0" w:beforeLines="0" w:after="0" w:afterLines="0" w:line="240" w:lineRule="auto"/>
      <w:jc w:val="center"/>
    </w:pPr>
    <w:rPr>
      <w:rFonts w:ascii="宋体" w:hAnsi="宋体"/>
      <w:sz w:val="36"/>
    </w:rPr>
  </w:style>
  <w:style w:type="character" w:customStyle="1" w:styleId="180">
    <w:name w:val=" Char Char23"/>
    <w:qFormat/>
    <w:uiPriority w:val="0"/>
    <w:rPr>
      <w:rFonts w:ascii="Times New Roman" w:hAnsi="Times New Roman" w:eastAsia="宋体" w:cs="Times New Roman"/>
      <w:b/>
      <w:bCs/>
      <w:kern w:val="44"/>
      <w:sz w:val="44"/>
      <w:szCs w:val="44"/>
    </w:rPr>
  </w:style>
  <w:style w:type="character" w:customStyle="1" w:styleId="181">
    <w:name w:val="ca-13"/>
    <w:basedOn w:val="54"/>
    <w:qFormat/>
    <w:uiPriority w:val="0"/>
  </w:style>
  <w:style w:type="character" w:customStyle="1" w:styleId="182">
    <w:name w:val="纯文本 Char1"/>
    <w:qFormat/>
    <w:uiPriority w:val="99"/>
    <w:rPr>
      <w:rFonts w:ascii="宋体" w:hAnsi="Courier New" w:eastAsia="宋体" w:cs="Courier New"/>
      <w:kern w:val="2"/>
      <w:sz w:val="21"/>
      <w:szCs w:val="21"/>
      <w:lang w:val="en-US" w:eastAsia="zh-CN" w:bidi="ar-SA"/>
    </w:rPr>
  </w:style>
  <w:style w:type="character" w:customStyle="1" w:styleId="183">
    <w:name w:val="font51"/>
    <w:basedOn w:val="54"/>
    <w:qFormat/>
    <w:uiPriority w:val="0"/>
    <w:rPr>
      <w:rFonts w:hint="eastAsia" w:ascii="宋体" w:hAnsi="宋体" w:eastAsia="宋体" w:cs="宋体"/>
      <w:color w:val="FF0000"/>
      <w:sz w:val="18"/>
      <w:szCs w:val="18"/>
      <w:u w:val="none"/>
      <w:vertAlign w:val="superscript"/>
    </w:rPr>
  </w:style>
  <w:style w:type="character" w:customStyle="1" w:styleId="184">
    <w:name w:val="ca-6"/>
    <w:basedOn w:val="54"/>
    <w:qFormat/>
    <w:uiPriority w:val="0"/>
  </w:style>
  <w:style w:type="character" w:customStyle="1" w:styleId="185">
    <w:name w:val="style161"/>
    <w:qFormat/>
    <w:uiPriority w:val="0"/>
    <w:rPr>
      <w:color w:val="666666"/>
    </w:rPr>
  </w:style>
  <w:style w:type="character" w:customStyle="1" w:styleId="186">
    <w:name w:val=" Char Char15"/>
    <w:qFormat/>
    <w:uiPriority w:val="0"/>
    <w:rPr>
      <w:sz w:val="18"/>
      <w:szCs w:val="18"/>
    </w:rPr>
  </w:style>
  <w:style w:type="character" w:customStyle="1" w:styleId="187">
    <w:name w:val="llyf92"/>
    <w:qFormat/>
    <w:uiPriority w:val="0"/>
    <w:rPr>
      <w:sz w:val="18"/>
      <w:szCs w:val="18"/>
    </w:rPr>
  </w:style>
  <w:style w:type="paragraph" w:customStyle="1" w:styleId="188">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89">
    <w:name w:val="Char Char1 Char Char Char Char1"/>
    <w:basedOn w:val="16"/>
    <w:qFormat/>
    <w:uiPriority w:val="0"/>
    <w:rPr>
      <w:rFonts w:ascii="Tahoma" w:hAnsi="Tahoma"/>
      <w:sz w:val="24"/>
    </w:rPr>
  </w:style>
  <w:style w:type="paragraph" w:customStyle="1" w:styleId="190">
    <w:name w:val="表-正文"/>
    <w:basedOn w:val="1"/>
    <w:qFormat/>
    <w:uiPriority w:val="0"/>
    <w:pPr>
      <w:autoSpaceDE w:val="0"/>
      <w:autoSpaceDN w:val="0"/>
      <w:adjustRightInd w:val="0"/>
      <w:spacing w:line="240" w:lineRule="atLeast"/>
      <w:jc w:val="center"/>
    </w:pPr>
    <w:rPr>
      <w:rFonts w:ascii="方正中等线简体 Regular" w:hAnsi="Calibri" w:eastAsia="方正中等线简体 Regular" w:cs="方正中等线简体 Regular"/>
      <w:color w:val="000000"/>
      <w:kern w:val="0"/>
      <w:sz w:val="18"/>
      <w:szCs w:val="18"/>
      <w:lang w:val="zh-CN"/>
    </w:rPr>
  </w:style>
  <w:style w:type="paragraph" w:customStyle="1" w:styleId="191">
    <w:name w:val="Char Char1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192">
    <w:name w:val="列出段落1"/>
    <w:qFormat/>
    <w:uiPriority w:val="0"/>
    <w:pPr>
      <w:ind w:firstLine="420" w:firstLineChars="200"/>
    </w:pPr>
    <w:rPr>
      <w:rFonts w:ascii="Times New Roman" w:hAnsi="Times New Roman" w:eastAsia="宋体" w:cs="Times New Roman"/>
      <w:szCs w:val="22"/>
      <w:lang w:val="en-US" w:eastAsia="zh-CN" w:bidi="ar-SA"/>
    </w:rPr>
  </w:style>
  <w:style w:type="paragraph" w:customStyle="1" w:styleId="193">
    <w:name w:val="标准文本"/>
    <w:basedOn w:val="1"/>
    <w:qFormat/>
    <w:uiPriority w:val="0"/>
    <w:pPr>
      <w:spacing w:line="360" w:lineRule="auto"/>
      <w:ind w:firstLine="200" w:firstLineChars="200"/>
    </w:pPr>
    <w:rPr>
      <w:kern w:val="0"/>
      <w:sz w:val="24"/>
      <w:szCs w:val="20"/>
    </w:rPr>
  </w:style>
  <w:style w:type="paragraph" w:customStyle="1" w:styleId="194">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195">
    <w:name w:val="font10"/>
    <w:basedOn w:val="1"/>
    <w:qFormat/>
    <w:uiPriority w:val="0"/>
    <w:pPr>
      <w:widowControl/>
      <w:spacing w:before="100" w:beforeAutospacing="1" w:after="100" w:afterAutospacing="1"/>
      <w:jc w:val="left"/>
    </w:pPr>
    <w:rPr>
      <w:color w:val="000000"/>
      <w:kern w:val="0"/>
      <w:sz w:val="24"/>
    </w:rPr>
  </w:style>
  <w:style w:type="paragraph" w:customStyle="1" w:styleId="196">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7">
    <w:name w:val="列出段落2"/>
    <w:basedOn w:val="1"/>
    <w:qFormat/>
    <w:uiPriority w:val="0"/>
    <w:pPr>
      <w:ind w:firstLine="420" w:firstLineChars="200"/>
    </w:pPr>
    <w:rPr>
      <w:sz w:val="24"/>
    </w:rPr>
  </w:style>
  <w:style w:type="paragraph" w:customStyle="1" w:styleId="198">
    <w:name w:val="Char Char18"/>
    <w:basedOn w:val="16"/>
    <w:qFormat/>
    <w:uiPriority w:val="0"/>
    <w:pPr>
      <w:widowControl/>
      <w:ind w:firstLine="454"/>
      <w:jc w:val="left"/>
    </w:pPr>
    <w:rPr>
      <w:rFonts w:ascii="Tahoma" w:hAnsi="Tahoma" w:cs="宋体"/>
      <w:kern w:val="0"/>
      <w:sz w:val="24"/>
      <w:szCs w:val="20"/>
    </w:rPr>
  </w:style>
  <w:style w:type="paragraph" w:customStyle="1" w:styleId="199">
    <w:name w:val="Char Char Char Char Char Char Char Char Char"/>
    <w:basedOn w:val="1"/>
    <w:qFormat/>
    <w:uiPriority w:val="0"/>
    <w:pPr>
      <w:widowControl/>
      <w:spacing w:after="160" w:afterLines="0" w:line="240" w:lineRule="exact"/>
      <w:jc w:val="left"/>
    </w:pPr>
    <w:rPr>
      <w:szCs w:val="20"/>
    </w:rPr>
  </w:style>
  <w:style w:type="paragraph" w:customStyle="1" w:styleId="200">
    <w:name w:val="Table Paragraph"/>
    <w:basedOn w:val="1"/>
    <w:qFormat/>
    <w:uiPriority w:val="1"/>
    <w:rPr>
      <w:rFonts w:ascii="宋体" w:hAnsi="宋体" w:cs="宋体"/>
      <w:lang w:val="zh-CN" w:bidi="zh-CN"/>
    </w:rPr>
  </w:style>
  <w:style w:type="paragraph" w:customStyle="1" w:styleId="201">
    <w:name w:val="纯文本1"/>
    <w:basedOn w:val="1"/>
    <w:qFormat/>
    <w:uiPriority w:val="0"/>
    <w:rPr>
      <w:rFonts w:ascii="宋体"/>
      <w:szCs w:val="21"/>
    </w:rPr>
  </w:style>
  <w:style w:type="paragraph" w:customStyle="1" w:styleId="202">
    <w:name w:val="1"/>
    <w:basedOn w:val="1"/>
    <w:next w:val="29"/>
    <w:qFormat/>
    <w:uiPriority w:val="0"/>
    <w:rPr>
      <w:rFonts w:ascii="宋体" w:hAnsi="Courier New"/>
      <w:szCs w:val="20"/>
    </w:rPr>
  </w:style>
  <w:style w:type="paragraph" w:customStyle="1" w:styleId="203">
    <w:name w:val="文章附标题"/>
    <w:basedOn w:val="1"/>
    <w:next w:val="3"/>
    <w:qFormat/>
    <w:uiPriority w:val="0"/>
    <w:pPr>
      <w:widowControl/>
      <w:spacing w:before="187" w:beforeLines="0" w:after="175" w:afterLines="0" w:line="374" w:lineRule="atLeast"/>
      <w:jc w:val="center"/>
      <w:textAlignment w:val="baseline"/>
    </w:pPr>
    <w:rPr>
      <w:color w:val="000000"/>
      <w:kern w:val="0"/>
      <w:sz w:val="36"/>
      <w:szCs w:val="20"/>
    </w:rPr>
  </w:style>
  <w:style w:type="paragraph" w:customStyle="1" w:styleId="204">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205">
    <w:name w:val=" Char2"/>
    <w:basedOn w:val="1"/>
    <w:qFormat/>
    <w:uiPriority w:val="0"/>
    <w:rPr>
      <w:szCs w:val="20"/>
    </w:rPr>
  </w:style>
  <w:style w:type="paragraph" w:customStyle="1" w:styleId="206">
    <w:name w:val="_Style 205"/>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07">
    <w:name w:val="正文文本缩进 Char Char Char Char"/>
    <w:basedOn w:val="1"/>
    <w:qFormat/>
    <w:uiPriority w:val="0"/>
    <w:pPr>
      <w:ind w:firstLine="540"/>
    </w:pPr>
    <w:rPr>
      <w:rFonts w:hint="eastAsia" w:ascii="宋体" w:hAnsi="Courier New"/>
      <w:szCs w:val="20"/>
    </w:rPr>
  </w:style>
  <w:style w:type="paragraph" w:customStyle="1" w:styleId="208">
    <w:name w:val="Char Char19 Char Char Char Char"/>
    <w:basedOn w:val="16"/>
    <w:qFormat/>
    <w:uiPriority w:val="0"/>
    <w:pPr>
      <w:widowControl/>
      <w:ind w:firstLine="454"/>
      <w:jc w:val="left"/>
    </w:pPr>
  </w:style>
  <w:style w:type="paragraph" w:customStyle="1" w:styleId="209">
    <w:name w:val="pa-14"/>
    <w:basedOn w:val="1"/>
    <w:qFormat/>
    <w:uiPriority w:val="0"/>
    <w:pPr>
      <w:widowControl/>
      <w:spacing w:before="169" w:after="169"/>
      <w:jc w:val="left"/>
    </w:pPr>
    <w:rPr>
      <w:rFonts w:ascii="宋体" w:hAnsi="宋体" w:cs="宋体"/>
      <w:kern w:val="0"/>
      <w:sz w:val="24"/>
    </w:rPr>
  </w:style>
  <w:style w:type="paragraph" w:customStyle="1" w:styleId="210">
    <w:name w:val="标题3"/>
    <w:basedOn w:val="5"/>
    <w:qFormat/>
    <w:uiPriority w:val="0"/>
    <w:pPr>
      <w:keepLines w:val="0"/>
      <w:widowControl/>
      <w:tabs>
        <w:tab w:val="left" w:pos="1247"/>
      </w:tabs>
      <w:spacing w:before="240" w:beforeLines="0" w:after="120" w:afterLines="0" w:line="360" w:lineRule="auto"/>
      <w:ind w:left="1247" w:hanging="1247"/>
      <w:jc w:val="left"/>
    </w:pPr>
    <w:rPr>
      <w:rFonts w:ascii="Arial" w:hAnsi="Arial"/>
      <w:sz w:val="52"/>
      <w:szCs w:val="52"/>
      <w:lang w:val="en-US" w:eastAsia="zh-CN"/>
    </w:rPr>
  </w:style>
  <w:style w:type="paragraph" w:customStyle="1" w:styleId="211">
    <w:name w:val="msolistparagraph"/>
    <w:basedOn w:val="1"/>
    <w:qFormat/>
    <w:uiPriority w:val="0"/>
    <w:pPr>
      <w:ind w:firstLine="420" w:firstLineChars="200"/>
    </w:pPr>
    <w:rPr>
      <w:rFonts w:ascii="Calibri" w:hAnsi="Calibri"/>
      <w:szCs w:val="22"/>
    </w:rPr>
  </w:style>
  <w:style w:type="paragraph" w:customStyle="1" w:styleId="212">
    <w:name w:val="标准正文"/>
    <w:basedOn w:val="1"/>
    <w:qFormat/>
    <w:uiPriority w:val="0"/>
    <w:pPr>
      <w:spacing w:before="60" w:after="60" w:line="360" w:lineRule="auto"/>
      <w:ind w:firstLine="482"/>
    </w:pPr>
    <w:rPr>
      <w:rFonts w:ascii="Arial" w:hAnsi="Arial"/>
      <w:color w:val="000000"/>
      <w:sz w:val="24"/>
      <w:szCs w:val="20"/>
    </w:rPr>
  </w:style>
  <w:style w:type="paragraph" w:customStyle="1" w:styleId="213">
    <w:name w:val="pa-6"/>
    <w:basedOn w:val="1"/>
    <w:qFormat/>
    <w:uiPriority w:val="0"/>
    <w:pPr>
      <w:widowControl/>
      <w:spacing w:before="169" w:after="169"/>
      <w:jc w:val="left"/>
    </w:pPr>
    <w:rPr>
      <w:rFonts w:ascii="宋体" w:hAnsi="宋体" w:cs="宋体"/>
      <w:kern w:val="0"/>
      <w:sz w:val="24"/>
    </w:rPr>
  </w:style>
  <w:style w:type="paragraph" w:customStyle="1" w:styleId="214">
    <w:name w:val="_Style 213"/>
    <w:semiHidden/>
    <w:qFormat/>
    <w:uiPriority w:val="99"/>
    <w:rPr>
      <w:rFonts w:ascii="Times New Roman" w:hAnsi="Times New Roman" w:eastAsia="宋体" w:cs="Times New Roman"/>
      <w:kern w:val="2"/>
      <w:sz w:val="21"/>
      <w:szCs w:val="24"/>
      <w:lang w:val="en-US" w:eastAsia="zh-CN" w:bidi="ar-SA"/>
    </w:rPr>
  </w:style>
  <w:style w:type="paragraph" w:customStyle="1" w:styleId="215">
    <w:name w:val="pa-4"/>
    <w:basedOn w:val="1"/>
    <w:qFormat/>
    <w:uiPriority w:val="0"/>
    <w:pPr>
      <w:widowControl/>
      <w:spacing w:before="169" w:after="169"/>
      <w:jc w:val="left"/>
    </w:pPr>
    <w:rPr>
      <w:rFonts w:ascii="宋体" w:hAnsi="宋体" w:cs="宋体"/>
      <w:kern w:val="0"/>
      <w:sz w:val="24"/>
    </w:rPr>
  </w:style>
  <w:style w:type="paragraph" w:customStyle="1" w:styleId="216">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217">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218">
    <w:name w:val="样式 首行缩进:  2 字符"/>
    <w:basedOn w:val="1"/>
    <w:qFormat/>
    <w:uiPriority w:val="0"/>
    <w:pPr>
      <w:spacing w:line="400" w:lineRule="exact"/>
      <w:ind w:firstLine="200" w:firstLineChars="200"/>
    </w:pPr>
    <w:rPr>
      <w:rFonts w:cs="宋体"/>
      <w:sz w:val="24"/>
    </w:rPr>
  </w:style>
  <w:style w:type="paragraph" w:customStyle="1" w:styleId="219">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220">
    <w:name w:val="7"/>
    <w:basedOn w:val="16"/>
    <w:qFormat/>
    <w:uiPriority w:val="0"/>
    <w:pPr>
      <w:widowControl/>
      <w:ind w:firstLine="454"/>
      <w:jc w:val="left"/>
    </w:pPr>
    <w:rPr>
      <w:rFonts w:ascii="Tahoma" w:hAnsi="Tahoma" w:cs="宋体"/>
      <w:kern w:val="0"/>
      <w:sz w:val="24"/>
      <w:szCs w:val="20"/>
    </w:rPr>
  </w:style>
  <w:style w:type="paragraph" w:customStyle="1" w:styleId="221">
    <w:name w:val="Char Char1"/>
    <w:basedOn w:val="1"/>
    <w:qFormat/>
    <w:uiPriority w:val="0"/>
    <w:pPr>
      <w:widowControl/>
      <w:spacing w:after="160" w:afterLines="0" w:line="240" w:lineRule="exact"/>
      <w:jc w:val="left"/>
    </w:pPr>
    <w:rPr>
      <w:rFonts w:ascii="Verdana" w:hAnsi="Verdana" w:eastAsia="楷体_GB2312" w:cs="宋体"/>
      <w:b/>
      <w:i/>
      <w:iCs/>
      <w:color w:val="000000"/>
      <w:kern w:val="0"/>
      <w:sz w:val="20"/>
      <w:lang w:eastAsia="en-US"/>
    </w:rPr>
  </w:style>
  <w:style w:type="paragraph" w:customStyle="1" w:styleId="222">
    <w:name w:val="pa-10"/>
    <w:basedOn w:val="1"/>
    <w:qFormat/>
    <w:uiPriority w:val="0"/>
    <w:pPr>
      <w:widowControl/>
      <w:spacing w:before="169" w:after="169"/>
      <w:jc w:val="left"/>
    </w:pPr>
    <w:rPr>
      <w:rFonts w:ascii="宋体" w:hAnsi="宋体" w:cs="宋体"/>
      <w:kern w:val="0"/>
      <w:sz w:val="24"/>
    </w:rPr>
  </w:style>
  <w:style w:type="paragraph" w:customStyle="1" w:styleId="223">
    <w:name w:val="表格"/>
    <w:basedOn w:val="1"/>
    <w:qFormat/>
    <w:uiPriority w:val="0"/>
    <w:pPr>
      <w:spacing w:line="400" w:lineRule="exact"/>
    </w:pPr>
    <w:rPr>
      <w:sz w:val="24"/>
    </w:rPr>
  </w:style>
  <w:style w:type="paragraph" w:customStyle="1" w:styleId="224">
    <w:name w:val="小节标题"/>
    <w:basedOn w:val="1"/>
    <w:next w:val="1"/>
    <w:qFormat/>
    <w:uiPriority w:val="0"/>
    <w:pPr>
      <w:widowControl/>
      <w:spacing w:before="175" w:beforeLines="0" w:after="102" w:afterLines="0" w:line="351" w:lineRule="atLeast"/>
      <w:textAlignment w:val="baseline"/>
    </w:pPr>
    <w:rPr>
      <w:rFonts w:eastAsia="黑体"/>
      <w:color w:val="000000"/>
      <w:kern w:val="0"/>
      <w:szCs w:val="20"/>
    </w:rPr>
  </w:style>
  <w:style w:type="paragraph" w:customStyle="1" w:styleId="225">
    <w:name w:val="p15"/>
    <w:basedOn w:val="1"/>
    <w:qFormat/>
    <w:uiPriority w:val="0"/>
    <w:pPr>
      <w:widowControl/>
    </w:pPr>
    <w:rPr>
      <w:rFonts w:ascii="宋体" w:hAnsi="宋体" w:cs="宋体"/>
      <w:kern w:val="0"/>
      <w:szCs w:val="21"/>
    </w:rPr>
  </w:style>
  <w:style w:type="paragraph" w:customStyle="1" w:styleId="226">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227">
    <w:name w:val="正文段"/>
    <w:basedOn w:val="1"/>
    <w:qFormat/>
    <w:uiPriority w:val="0"/>
    <w:pPr>
      <w:widowControl/>
      <w:snapToGrid w:val="0"/>
      <w:spacing w:after="156" w:afterLines="50"/>
      <w:ind w:firstLine="200" w:firstLineChars="200"/>
    </w:pPr>
    <w:rPr>
      <w:kern w:val="0"/>
      <w:sz w:val="24"/>
      <w:szCs w:val="20"/>
    </w:rPr>
  </w:style>
  <w:style w:type="paragraph" w:customStyle="1" w:styleId="228">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229">
    <w:name w:val="Default Paragraph Font Para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3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31">
    <w:name w:val="p0"/>
    <w:basedOn w:val="1"/>
    <w:qFormat/>
    <w:uiPriority w:val="0"/>
    <w:pPr>
      <w:widowControl/>
    </w:pPr>
    <w:rPr>
      <w:kern w:val="0"/>
      <w:szCs w:val="21"/>
    </w:rPr>
  </w:style>
  <w:style w:type="paragraph" w:customStyle="1" w:styleId="232">
    <w:name w:val="段"/>
    <w:link w:val="23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33">
    <w:name w:val="段 Char Char"/>
    <w:link w:val="232"/>
    <w:qFormat/>
    <w:locked/>
    <w:uiPriority w:val="0"/>
    <w:rPr>
      <w:rFonts w:ascii="宋体"/>
      <w:sz w:val="21"/>
      <w:lang w:val="en-US" w:eastAsia="zh-CN" w:bidi="ar-SA"/>
    </w:rPr>
  </w:style>
  <w:style w:type="paragraph" w:customStyle="1" w:styleId="234">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235">
    <w:name w:val=" Char Char19 Char Char Char Char"/>
    <w:basedOn w:val="16"/>
    <w:qFormat/>
    <w:uiPriority w:val="0"/>
    <w:pPr>
      <w:widowControl/>
      <w:ind w:firstLine="454"/>
      <w:jc w:val="left"/>
    </w:pPr>
  </w:style>
  <w:style w:type="paragraph" w:customStyle="1" w:styleId="236">
    <w:name w:val="文章总标题"/>
    <w:basedOn w:val="1"/>
    <w:next w:val="203"/>
    <w:qFormat/>
    <w:uiPriority w:val="0"/>
    <w:pPr>
      <w:widowControl/>
      <w:spacing w:before="566" w:beforeLines="0" w:after="544" w:afterLines="0" w:line="566" w:lineRule="atLeast"/>
      <w:jc w:val="center"/>
      <w:textAlignment w:val="baseline"/>
    </w:pPr>
    <w:rPr>
      <w:rFonts w:ascii="Arial" w:eastAsia="黑体"/>
      <w:color w:val="000000"/>
      <w:kern w:val="0"/>
      <w:sz w:val="54"/>
      <w:szCs w:val="20"/>
    </w:rPr>
  </w:style>
  <w:style w:type="paragraph" w:customStyle="1" w:styleId="237">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textAlignment w:val="top"/>
    </w:pPr>
    <w:rPr>
      <w:kern w:val="0"/>
      <w:szCs w:val="21"/>
    </w:rPr>
  </w:style>
  <w:style w:type="paragraph" w:customStyle="1" w:styleId="238">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239">
    <w:name w:val="4"/>
    <w:basedOn w:val="1"/>
    <w:next w:val="32"/>
    <w:qFormat/>
    <w:uiPriority w:val="0"/>
    <w:pPr>
      <w:spacing w:line="420" w:lineRule="exact"/>
      <w:ind w:firstLine="409" w:firstLineChars="195"/>
    </w:pPr>
  </w:style>
  <w:style w:type="paragraph" w:customStyle="1" w:styleId="240">
    <w:name w:val="pa-8"/>
    <w:basedOn w:val="1"/>
    <w:qFormat/>
    <w:uiPriority w:val="0"/>
    <w:pPr>
      <w:widowControl/>
      <w:spacing w:before="169" w:after="169"/>
      <w:jc w:val="left"/>
    </w:pPr>
    <w:rPr>
      <w:rFonts w:ascii="宋体" w:hAnsi="宋体" w:cs="宋体"/>
      <w:kern w:val="0"/>
      <w:sz w:val="24"/>
    </w:rPr>
  </w:style>
  <w:style w:type="paragraph" w:customStyle="1" w:styleId="241">
    <w:name w:val="Char Char Char Char"/>
    <w:basedOn w:val="16"/>
    <w:qFormat/>
    <w:uiPriority w:val="0"/>
    <w:pPr>
      <w:adjustRightInd w:val="0"/>
      <w:snapToGrid w:val="0"/>
      <w:spacing w:line="360" w:lineRule="auto"/>
    </w:pPr>
    <w:rPr>
      <w:rFonts w:ascii="Tahoma" w:hAnsi="Tahoma"/>
      <w:sz w:val="24"/>
    </w:rPr>
  </w:style>
  <w:style w:type="paragraph" w:customStyle="1" w:styleId="242">
    <w:name w:val="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3">
    <w:name w:val="表内文字"/>
    <w:basedOn w:val="1"/>
    <w:qFormat/>
    <w:uiPriority w:val="0"/>
    <w:pPr>
      <w:snapToGrid w:val="0"/>
      <w:spacing w:before="50" w:beforeLines="0" w:after="50" w:afterLines="0" w:line="360" w:lineRule="exact"/>
    </w:pPr>
    <w:rPr>
      <w:rFonts w:ascii="宋体" w:hAnsi="宋体"/>
      <w:b/>
      <w:color w:val="0000FF"/>
      <w:szCs w:val="21"/>
    </w:rPr>
  </w:style>
  <w:style w:type="paragraph" w:customStyle="1" w:styleId="244">
    <w:name w:val="样式 正文文字 + 小四 段后: 0 磅 行距: 1.5 倍行距"/>
    <w:basedOn w:val="21"/>
    <w:qFormat/>
    <w:uiPriority w:val="0"/>
    <w:pPr>
      <w:spacing w:line="360" w:lineRule="auto"/>
      <w:ind w:firstLine="480" w:firstLineChars="200"/>
    </w:pPr>
    <w:rPr>
      <w:rFonts w:cs="宋体"/>
      <w:szCs w:val="20"/>
    </w:rPr>
  </w:style>
  <w:style w:type="paragraph" w:customStyle="1" w:styleId="245">
    <w:name w:val="No Spacing11"/>
    <w:link w:val="246"/>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46">
    <w:name w:val="No Spacing Char"/>
    <w:link w:val="245"/>
    <w:qFormat/>
    <w:locked/>
    <w:uiPriority w:val="0"/>
    <w:rPr>
      <w:kern w:val="2"/>
      <w:sz w:val="21"/>
      <w:szCs w:val="22"/>
      <w:lang w:val="en-US" w:eastAsia="zh-CN" w:bidi="ar-SA"/>
    </w:rPr>
  </w:style>
  <w:style w:type="paragraph" w:customStyle="1" w:styleId="247">
    <w:name w:val="Char21"/>
    <w:basedOn w:val="1"/>
    <w:qFormat/>
    <w:uiPriority w:val="0"/>
    <w:pPr>
      <w:widowControl/>
      <w:spacing w:after="160" w:line="240" w:lineRule="exact"/>
      <w:jc w:val="left"/>
    </w:pPr>
  </w:style>
  <w:style w:type="paragraph" w:customStyle="1" w:styleId="248">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249">
    <w:name w:val="默认段落字体 Para Char"/>
    <w:basedOn w:val="1"/>
    <w:qFormat/>
    <w:uiPriority w:val="0"/>
    <w:pPr>
      <w:adjustRightInd w:val="0"/>
      <w:spacing w:line="360" w:lineRule="auto"/>
    </w:pPr>
    <w:rPr>
      <w:szCs w:val="20"/>
    </w:rPr>
  </w:style>
  <w:style w:type="paragraph" w:customStyle="1" w:styleId="250">
    <w:name w:val="Char11"/>
    <w:basedOn w:val="16"/>
    <w:qFormat/>
    <w:uiPriority w:val="0"/>
    <w:pPr>
      <w:widowControl/>
      <w:ind w:firstLine="454"/>
      <w:jc w:val="left"/>
    </w:pPr>
    <w:rPr>
      <w:rFonts w:ascii="Tahoma" w:hAnsi="Tahoma" w:cs="宋体"/>
      <w:kern w:val="0"/>
      <w:sz w:val="24"/>
      <w:szCs w:val="20"/>
    </w:rPr>
  </w:style>
  <w:style w:type="paragraph" w:customStyle="1" w:styleId="251">
    <w:name w:val="pa-11"/>
    <w:basedOn w:val="1"/>
    <w:qFormat/>
    <w:uiPriority w:val="0"/>
    <w:pPr>
      <w:widowControl/>
      <w:spacing w:before="169" w:after="169"/>
      <w:jc w:val="left"/>
    </w:pPr>
    <w:rPr>
      <w:rFonts w:ascii="宋体" w:hAnsi="宋体" w:cs="宋体"/>
      <w:kern w:val="0"/>
      <w:sz w:val="24"/>
    </w:rPr>
  </w:style>
  <w:style w:type="paragraph" w:customStyle="1" w:styleId="252">
    <w:name w:val=" Char"/>
    <w:basedOn w:val="16"/>
    <w:qFormat/>
    <w:uiPriority w:val="0"/>
    <w:pPr>
      <w:widowControl/>
      <w:ind w:firstLine="454"/>
      <w:jc w:val="left"/>
    </w:pPr>
    <w:rPr>
      <w:rFonts w:ascii="Tahoma" w:hAnsi="Tahoma" w:cs="宋体"/>
      <w:kern w:val="0"/>
      <w:sz w:val="24"/>
      <w:szCs w:val="20"/>
    </w:rPr>
  </w:style>
  <w:style w:type="paragraph" w:customStyle="1" w:styleId="253">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254">
    <w:name w:val=" Char Char1 Char Char Char Char"/>
    <w:basedOn w:val="16"/>
    <w:qFormat/>
    <w:uiPriority w:val="0"/>
    <w:rPr>
      <w:rFonts w:ascii="Tahoma" w:hAnsi="Tahoma"/>
      <w:sz w:val="24"/>
    </w:rPr>
  </w:style>
  <w:style w:type="paragraph" w:customStyle="1" w:styleId="255">
    <w:name w:val="目录1"/>
    <w:basedOn w:val="1"/>
    <w:next w:val="1"/>
    <w:qFormat/>
    <w:uiPriority w:val="0"/>
    <w:pPr>
      <w:widowControl/>
      <w:tabs>
        <w:tab w:val="left" w:leader="dot" w:pos="8503"/>
      </w:tabs>
      <w:spacing w:after="136" w:afterLines="0" w:line="289" w:lineRule="atLeast"/>
      <w:jc w:val="left"/>
      <w:textAlignment w:val="baseline"/>
    </w:pPr>
    <w:rPr>
      <w:rFonts w:ascii="Arial" w:eastAsia="黑体"/>
      <w:color w:val="000000"/>
      <w:kern w:val="0"/>
      <w:sz w:val="28"/>
      <w:szCs w:val="20"/>
    </w:rPr>
  </w:style>
  <w:style w:type="paragraph" w:customStyle="1" w:styleId="256">
    <w:name w:val="pa-12"/>
    <w:basedOn w:val="1"/>
    <w:qFormat/>
    <w:uiPriority w:val="0"/>
    <w:pPr>
      <w:widowControl/>
      <w:spacing w:before="169" w:after="169"/>
      <w:jc w:val="left"/>
    </w:pPr>
    <w:rPr>
      <w:rFonts w:ascii="宋体" w:hAnsi="宋体" w:cs="宋体"/>
      <w:kern w:val="0"/>
      <w:sz w:val="24"/>
    </w:rPr>
  </w:style>
  <w:style w:type="paragraph" w:customStyle="1" w:styleId="257">
    <w:name w:val="标题1"/>
    <w:basedOn w:val="3"/>
    <w:qFormat/>
    <w:uiPriority w:val="0"/>
    <w:pPr>
      <w:keepLines w:val="0"/>
      <w:widowControl/>
      <w:pBdr>
        <w:bottom w:val="single" w:color="auto" w:sz="8" w:space="6"/>
      </w:pBdr>
      <w:tabs>
        <w:tab w:val="left" w:pos="0"/>
      </w:tabs>
      <w:spacing w:before="480" w:beforeLines="0" w:after="240" w:afterLines="0" w:line="360" w:lineRule="auto"/>
      <w:ind w:left="567" w:hanging="567"/>
      <w:jc w:val="left"/>
    </w:pPr>
    <w:rPr>
      <w:rFonts w:ascii="宋体" w:hAnsi="宋体"/>
      <w:smallCaps/>
      <w:color w:val="000000"/>
      <w:spacing w:val="10"/>
      <w:kern w:val="20"/>
      <w:sz w:val="21"/>
      <w:szCs w:val="21"/>
    </w:rPr>
  </w:style>
  <w:style w:type="paragraph" w:customStyle="1" w:styleId="258">
    <w:name w:val="2ji"/>
    <w:basedOn w:val="4"/>
    <w:qFormat/>
    <w:uiPriority w:val="0"/>
    <w:pPr>
      <w:adjustRightInd w:val="0"/>
      <w:spacing w:before="0" w:beforeLines="0" w:after="0" w:afterLines="0" w:line="360" w:lineRule="auto"/>
      <w:textAlignment w:val="baseline"/>
    </w:pPr>
    <w:rPr>
      <w:rFonts w:ascii="宋体" w:hAnsi="宋体" w:eastAsia="宋体"/>
      <w:sz w:val="21"/>
      <w:szCs w:val="21"/>
    </w:rPr>
  </w:style>
  <w:style w:type="paragraph" w:customStyle="1" w:styleId="259">
    <w:name w:val="pa-9"/>
    <w:basedOn w:val="1"/>
    <w:qFormat/>
    <w:uiPriority w:val="0"/>
    <w:pPr>
      <w:widowControl/>
      <w:spacing w:before="169" w:after="169"/>
      <w:jc w:val="left"/>
    </w:pPr>
    <w:rPr>
      <w:rFonts w:ascii="宋体" w:hAnsi="宋体" w:cs="宋体"/>
      <w:kern w:val="0"/>
      <w:sz w:val="24"/>
    </w:rPr>
  </w:style>
  <w:style w:type="paragraph" w:customStyle="1" w:styleId="260">
    <w:name w:val="正文首行缩进两字符"/>
    <w:basedOn w:val="1"/>
    <w:qFormat/>
    <w:uiPriority w:val="0"/>
    <w:pPr>
      <w:spacing w:line="360" w:lineRule="auto"/>
      <w:ind w:firstLine="200" w:firstLineChars="200"/>
    </w:pPr>
  </w:style>
  <w:style w:type="paragraph" w:customStyle="1" w:styleId="261">
    <w:name w:val="Char Char Char1"/>
    <w:basedOn w:val="1"/>
    <w:qFormat/>
    <w:uiPriority w:val="0"/>
    <w:rPr>
      <w:rFonts w:ascii="Tahoma" w:hAnsi="Tahoma"/>
      <w:sz w:val="24"/>
      <w:szCs w:val="20"/>
    </w:rPr>
  </w:style>
  <w:style w:type="paragraph" w:customStyle="1" w:styleId="262">
    <w:name w:val="节标题"/>
    <w:basedOn w:val="1"/>
    <w:next w:val="224"/>
    <w:qFormat/>
    <w:uiPriority w:val="0"/>
    <w:pPr>
      <w:widowControl/>
      <w:spacing w:line="289" w:lineRule="atLeast"/>
      <w:jc w:val="center"/>
      <w:textAlignment w:val="baseline"/>
    </w:pPr>
    <w:rPr>
      <w:color w:val="000000"/>
      <w:kern w:val="0"/>
      <w:sz w:val="28"/>
      <w:szCs w:val="20"/>
    </w:rPr>
  </w:style>
  <w:style w:type="paragraph" w:customStyle="1" w:styleId="263">
    <w:name w:val="F2"/>
    <w:basedOn w:val="1"/>
    <w:qFormat/>
    <w:uiPriority w:val="0"/>
    <w:pPr>
      <w:autoSpaceDE w:val="0"/>
      <w:autoSpaceDN w:val="0"/>
      <w:adjustRightInd w:val="0"/>
      <w:ind w:firstLine="601"/>
    </w:pPr>
    <w:rPr>
      <w:kern w:val="0"/>
      <w:sz w:val="24"/>
      <w:szCs w:val="20"/>
    </w:rPr>
  </w:style>
  <w:style w:type="paragraph" w:customStyle="1" w:styleId="264">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265">
    <w:name w:val="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66">
    <w:name w:val=" Char Char9 Char Char Char Char"/>
    <w:basedOn w:val="1"/>
    <w:qFormat/>
    <w:uiPriority w:val="0"/>
    <w:pPr>
      <w:widowControl/>
      <w:spacing w:after="160" w:line="240" w:lineRule="exact"/>
      <w:jc w:val="left"/>
    </w:pPr>
  </w:style>
  <w:style w:type="paragraph" w:customStyle="1" w:styleId="267">
    <w:name w:val="p16"/>
    <w:basedOn w:val="1"/>
    <w:qFormat/>
    <w:uiPriority w:val="0"/>
    <w:pPr>
      <w:widowControl/>
    </w:pPr>
    <w:rPr>
      <w:rFonts w:ascii="宋体" w:cs="宋体"/>
      <w:kern w:val="0"/>
      <w:sz w:val="20"/>
      <w:szCs w:val="20"/>
    </w:rPr>
  </w:style>
  <w:style w:type="paragraph" w:customStyle="1" w:styleId="268">
    <w:name w:val="Char Char Char1 Char Char Char Char Char Char Char Char Char Char Char Char Char Char Char"/>
    <w:basedOn w:val="1"/>
    <w:qFormat/>
    <w:uiPriority w:val="0"/>
    <w:pPr>
      <w:widowControl/>
      <w:adjustRightInd w:val="0"/>
      <w:spacing w:after="160" w:afterLines="0" w:line="240" w:lineRule="exact"/>
      <w:jc w:val="left"/>
    </w:pPr>
    <w:rPr>
      <w:rFonts w:ascii="Verdana" w:hAnsi="Verdana"/>
      <w:kern w:val="0"/>
      <w:sz w:val="20"/>
      <w:szCs w:val="20"/>
      <w:lang w:eastAsia="en-US"/>
    </w:rPr>
  </w:style>
  <w:style w:type="paragraph" w:customStyle="1" w:styleId="269">
    <w:name w:val="_Style 35"/>
    <w:basedOn w:val="16"/>
    <w:qFormat/>
    <w:uiPriority w:val="0"/>
    <w:pPr>
      <w:widowControl/>
      <w:ind w:firstLine="454"/>
      <w:jc w:val="left"/>
    </w:pPr>
  </w:style>
  <w:style w:type="paragraph" w:customStyle="1" w:styleId="270">
    <w:name w:val="Body"/>
    <w:basedOn w:val="1"/>
    <w:qFormat/>
    <w:uiPriority w:val="0"/>
    <w:pPr>
      <w:widowControl/>
      <w:tabs>
        <w:tab w:val="left" w:pos="1980"/>
      </w:tabs>
      <w:spacing w:before="80" w:beforeLines="0" w:after="80" w:afterLines="0" w:line="360" w:lineRule="auto"/>
      <w:jc w:val="center"/>
    </w:pPr>
    <w:rPr>
      <w:szCs w:val="21"/>
    </w:rPr>
  </w:style>
  <w:style w:type="paragraph" w:customStyle="1" w:styleId="271">
    <w:name w:val="列出段落11"/>
    <w:basedOn w:val="1"/>
    <w:qFormat/>
    <w:uiPriority w:val="0"/>
    <w:pPr>
      <w:ind w:firstLine="200" w:firstLineChars="200"/>
    </w:pPr>
    <w:rPr>
      <w:sz w:val="24"/>
    </w:rPr>
  </w:style>
  <w:style w:type="paragraph" w:customStyle="1" w:styleId="272">
    <w:name w:val="pa-7"/>
    <w:basedOn w:val="1"/>
    <w:qFormat/>
    <w:uiPriority w:val="0"/>
    <w:pPr>
      <w:widowControl/>
      <w:spacing w:before="169" w:after="169"/>
      <w:jc w:val="left"/>
    </w:pPr>
    <w:rPr>
      <w:rFonts w:ascii="宋体" w:hAnsi="宋体" w:cs="宋体"/>
      <w:kern w:val="0"/>
      <w:sz w:val="24"/>
    </w:rPr>
  </w:style>
  <w:style w:type="paragraph" w:customStyle="1" w:styleId="273">
    <w:name w:val="Char"/>
    <w:basedOn w:val="16"/>
    <w:qFormat/>
    <w:uiPriority w:val="0"/>
    <w:pPr>
      <w:widowControl/>
      <w:ind w:firstLine="454"/>
      <w:jc w:val="left"/>
    </w:pPr>
    <w:rPr>
      <w:rFonts w:ascii="Tahoma" w:hAnsi="Tahoma" w:cs="宋体"/>
      <w:kern w:val="0"/>
      <w:sz w:val="24"/>
      <w:szCs w:val="20"/>
    </w:rPr>
  </w:style>
  <w:style w:type="paragraph" w:customStyle="1" w:styleId="274">
    <w:name w:val="pa-15"/>
    <w:basedOn w:val="1"/>
    <w:qFormat/>
    <w:uiPriority w:val="0"/>
    <w:pPr>
      <w:widowControl/>
      <w:spacing w:before="169" w:after="169"/>
      <w:jc w:val="left"/>
    </w:pPr>
    <w:rPr>
      <w:rFonts w:ascii="宋体" w:hAnsi="宋体" w:cs="宋体"/>
      <w:kern w:val="0"/>
      <w:sz w:val="24"/>
    </w:rPr>
  </w:style>
  <w:style w:type="paragraph" w:customStyle="1" w:styleId="275">
    <w:name w:val="表-标题"/>
    <w:basedOn w:val="1"/>
    <w:qFormat/>
    <w:uiPriority w:val="0"/>
    <w:pPr>
      <w:autoSpaceDE w:val="0"/>
      <w:autoSpaceDN w:val="0"/>
      <w:adjustRightInd w:val="0"/>
      <w:spacing w:line="288" w:lineRule="auto"/>
      <w:jc w:val="center"/>
    </w:pPr>
    <w:rPr>
      <w:rFonts w:ascii="汉仪大黑简 regular" w:hAnsi="Calibri" w:eastAsia="汉仪大黑简 regular" w:cs="汉仪大黑简 regular"/>
      <w:color w:val="000000"/>
      <w:kern w:val="0"/>
      <w:sz w:val="16"/>
      <w:szCs w:val="16"/>
      <w:lang w:val="zh-CN"/>
    </w:rPr>
  </w:style>
  <w:style w:type="paragraph" w:customStyle="1" w:styleId="276">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277">
    <w:name w:val="List Paragraph1"/>
    <w:basedOn w:val="1"/>
    <w:qFormat/>
    <w:uiPriority w:val="0"/>
    <w:pPr>
      <w:ind w:firstLine="420" w:firstLineChars="200"/>
    </w:pPr>
  </w:style>
  <w:style w:type="paragraph" w:customStyle="1" w:styleId="278">
    <w:name w:val=" 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79">
    <w:name w:val="[基本段落]"/>
    <w:basedOn w:val="1"/>
    <w:qFormat/>
    <w:uiPriority w:val="0"/>
    <w:pPr>
      <w:autoSpaceDE w:val="0"/>
      <w:autoSpaceDN w:val="0"/>
      <w:adjustRightInd w:val="0"/>
      <w:spacing w:line="288" w:lineRule="auto"/>
    </w:pPr>
    <w:rPr>
      <w:rFonts w:ascii="汉仪大黑简 regular" w:hAnsi="Calibri" w:eastAsia="汉仪大黑简 regular"/>
      <w:color w:val="000000"/>
      <w:kern w:val="0"/>
      <w:sz w:val="24"/>
      <w:lang w:val="zh-CN"/>
    </w:rPr>
  </w:style>
  <w:style w:type="paragraph" w:customStyle="1" w:styleId="280">
    <w:name w:val="Char Char1 Char Char Char Char"/>
    <w:basedOn w:val="16"/>
    <w:qFormat/>
    <w:uiPriority w:val="0"/>
    <w:rPr>
      <w:rFonts w:ascii="Tahoma" w:hAnsi="Tahoma"/>
      <w:sz w:val="24"/>
    </w:rPr>
  </w:style>
  <w:style w:type="paragraph" w:customStyle="1" w:styleId="281">
    <w:name w:val="默认段落字体 Para Char Char Char Char Char Char Char Char Char1 Char Char Char Char"/>
    <w:basedOn w:val="1"/>
    <w:qFormat/>
    <w:uiPriority w:val="0"/>
    <w:rPr>
      <w:rFonts w:ascii="Tahoma" w:hAnsi="Tahoma"/>
      <w:sz w:val="24"/>
      <w:szCs w:val="20"/>
    </w:rPr>
  </w:style>
  <w:style w:type="paragraph" w:customStyle="1" w:styleId="282">
    <w:name w:val="目录标题"/>
    <w:basedOn w:val="1"/>
    <w:next w:val="1"/>
    <w:qFormat/>
    <w:uiPriority w:val="0"/>
    <w:pPr>
      <w:widowControl/>
      <w:spacing w:before="566" w:beforeLines="0" w:after="544" w:afterLines="0" w:line="566" w:lineRule="atLeast"/>
      <w:ind w:firstLine="419"/>
      <w:jc w:val="center"/>
      <w:textAlignment w:val="baseline"/>
    </w:pPr>
    <w:rPr>
      <w:rFonts w:ascii="Arial" w:eastAsia="黑体"/>
      <w:color w:val="000000"/>
      <w:spacing w:val="566"/>
      <w:kern w:val="0"/>
      <w:sz w:val="54"/>
      <w:szCs w:val="20"/>
    </w:rPr>
  </w:style>
  <w:style w:type="paragraph" w:customStyle="1" w:styleId="28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84">
    <w:name w:val="我的正文"/>
    <w:basedOn w:val="1"/>
    <w:qFormat/>
    <w:uiPriority w:val="0"/>
    <w:pPr>
      <w:spacing w:line="520" w:lineRule="exact"/>
      <w:ind w:firstLine="192" w:firstLineChars="192"/>
    </w:pPr>
    <w:rPr>
      <w:sz w:val="28"/>
      <w:szCs w:val="28"/>
    </w:rPr>
  </w:style>
  <w:style w:type="paragraph" w:customStyle="1" w:styleId="285">
    <w:name w:val="Char Char Char Char Char Char1 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286">
    <w:name w:val="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28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88">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89">
    <w:name w:val="Char Char9 Char Char Char Char1"/>
    <w:basedOn w:val="1"/>
    <w:qFormat/>
    <w:uiPriority w:val="0"/>
    <w:pPr>
      <w:widowControl/>
      <w:spacing w:after="160" w:line="240" w:lineRule="exact"/>
      <w:jc w:val="left"/>
    </w:pPr>
  </w:style>
  <w:style w:type="paragraph" w:customStyle="1" w:styleId="290">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291">
    <w:name w:val="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92">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293">
    <w:name w:val="Bullets"/>
    <w:basedOn w:val="1"/>
    <w:qFormat/>
    <w:uiPriority w:val="0"/>
    <w:pPr>
      <w:widowControl/>
      <w:adjustRightInd w:val="0"/>
      <w:snapToGrid w:val="0"/>
      <w:spacing w:before="60" w:after="60"/>
    </w:pPr>
    <w:rPr>
      <w:kern w:val="0"/>
      <w:sz w:val="24"/>
      <w:lang w:val="en-GB"/>
    </w:rPr>
  </w:style>
  <w:style w:type="paragraph" w:customStyle="1" w:styleId="294">
    <w:name w:val="Char1"/>
    <w:basedOn w:val="1"/>
    <w:qFormat/>
    <w:uiPriority w:val="0"/>
    <w:rPr>
      <w:szCs w:val="21"/>
    </w:rPr>
  </w:style>
  <w:style w:type="paragraph" w:customStyle="1" w:styleId="295">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29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97">
    <w:name w:val="样式1"/>
    <w:basedOn w:val="1"/>
    <w:qFormat/>
    <w:uiPriority w:val="0"/>
    <w:pPr>
      <w:spacing w:before="120" w:beforeLines="0" w:after="120" w:afterLines="0" w:line="300" w:lineRule="auto"/>
    </w:pPr>
    <w:rPr>
      <w:rFonts w:ascii="宋体" w:hAnsi="宋体"/>
      <w:b/>
      <w:sz w:val="24"/>
      <w:szCs w:val="20"/>
    </w:rPr>
  </w:style>
  <w:style w:type="paragraph" w:customStyle="1" w:styleId="298">
    <w:name w:val="List Paragraph"/>
    <w:basedOn w:val="1"/>
    <w:qFormat/>
    <w:uiPriority w:val="34"/>
    <w:pPr>
      <w:ind w:firstLine="420" w:firstLineChars="200"/>
    </w:pPr>
    <w:rPr>
      <w:rFonts w:ascii="Calibri" w:hAnsi="Calibri"/>
      <w:szCs w:val="22"/>
    </w:rPr>
  </w:style>
  <w:style w:type="paragraph" w:customStyle="1" w:styleId="299">
    <w:name w:val=" Char Char Char Char Char Char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300">
    <w:name w:val="444"/>
    <w:basedOn w:val="1"/>
    <w:qFormat/>
    <w:uiPriority w:val="0"/>
    <w:pPr>
      <w:adjustRightInd w:val="0"/>
      <w:spacing w:line="312" w:lineRule="atLeast"/>
      <w:jc w:val="center"/>
      <w:textAlignment w:val="baseline"/>
    </w:pPr>
    <w:rPr>
      <w:b/>
      <w:kern w:val="0"/>
      <w:sz w:val="36"/>
      <w:szCs w:val="36"/>
    </w:rPr>
  </w:style>
  <w:style w:type="paragraph" w:customStyle="1" w:styleId="301">
    <w:name w:val="Char Char9 Char Char Char Char"/>
    <w:basedOn w:val="1"/>
    <w:qFormat/>
    <w:uiPriority w:val="0"/>
    <w:pPr>
      <w:widowControl/>
      <w:spacing w:after="160" w:line="240" w:lineRule="exact"/>
      <w:jc w:val="left"/>
    </w:pPr>
  </w:style>
  <w:style w:type="paragraph" w:customStyle="1" w:styleId="302">
    <w:name w:val="样式 标题 2 + (西文) 宋体 非加粗 居中"/>
    <w:basedOn w:val="4"/>
    <w:qFormat/>
    <w:uiPriority w:val="0"/>
    <w:pPr>
      <w:jc w:val="center"/>
    </w:pPr>
    <w:rPr>
      <w:rFonts w:ascii="宋体" w:hAnsi="宋体" w:cs="宋体"/>
      <w:b w:val="0"/>
      <w:bCs w:val="0"/>
      <w:spacing w:val="2"/>
      <w:sz w:val="28"/>
      <w:szCs w:val="20"/>
    </w:rPr>
  </w:style>
  <w:style w:type="paragraph" w:customStyle="1" w:styleId="303">
    <w:name w:val="2-2ji"/>
    <w:basedOn w:val="4"/>
    <w:qFormat/>
    <w:uiPriority w:val="0"/>
    <w:pPr>
      <w:adjustRightInd w:val="0"/>
      <w:spacing w:before="0" w:beforeLines="0" w:after="0" w:afterLines="0" w:line="360" w:lineRule="auto"/>
      <w:jc w:val="center"/>
      <w:textAlignment w:val="baseline"/>
    </w:pPr>
    <w:rPr>
      <w:rFonts w:ascii="宋体" w:hAnsi="宋体" w:eastAsia="宋体"/>
      <w:bCs w:val="0"/>
      <w:sz w:val="36"/>
    </w:rPr>
  </w:style>
  <w:style w:type="table" w:customStyle="1" w:styleId="304">
    <w:name w:val="彩色列表 - 强调文字颜色 1111"/>
    <w:basedOn w:val="52"/>
    <w:qFormat/>
    <w:uiPriority w:val="34"/>
    <w:rPr>
      <w:rFonts w:ascii="Calibri" w:hAnsi="Calibri"/>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paragraph" w:customStyle="1" w:styleId="305">
    <w:name w:val="_Style 4"/>
    <w:basedOn w:val="1"/>
    <w:next w:val="298"/>
    <w:qFormat/>
    <w:uiPriority w:val="0"/>
    <w:pPr>
      <w:ind w:firstLine="420" w:firstLineChars="200"/>
    </w:pPr>
  </w:style>
  <w:style w:type="table" w:customStyle="1" w:styleId="306">
    <w:name w:val="彩色列表 - 强调文字颜色 11"/>
    <w:basedOn w:val="52"/>
    <w:qFormat/>
    <w:uiPriority w:val="0"/>
    <w:rPr>
      <w:rFonts w:ascii="Calibri" w:hAnsi="Calibri" w:eastAsia="等线"/>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307">
    <w:name w:val="Header Char"/>
    <w:basedOn w:val="54"/>
    <w:qFormat/>
    <w:locked/>
    <w:uiPriority w:val="0"/>
    <w:rPr>
      <w:rFonts w:ascii="Calibri" w:hAnsi="Calibri" w:eastAsia="宋体"/>
      <w:kern w:val="2"/>
      <w:sz w:val="18"/>
      <w:szCs w:val="18"/>
      <w:lang w:val="en-US" w:eastAsia="zh-CN" w:bidi="ar-SA"/>
    </w:rPr>
  </w:style>
  <w:style w:type="character" w:customStyle="1" w:styleId="308">
    <w:name w:val="Footer Char"/>
    <w:basedOn w:val="54"/>
    <w:qFormat/>
    <w:locked/>
    <w:uiPriority w:val="0"/>
    <w:rPr>
      <w:rFonts w:ascii="Calibri" w:hAnsi="Calibri" w:eastAsia="宋体"/>
      <w:kern w:val="2"/>
      <w:sz w:val="18"/>
      <w:szCs w:val="18"/>
      <w:lang w:val="en-US" w:eastAsia="zh-CN" w:bidi="ar-SA"/>
    </w:rPr>
  </w:style>
  <w:style w:type="paragraph" w:customStyle="1" w:styleId="309">
    <w:name w:val="列表段落1"/>
    <w:basedOn w:val="1"/>
    <w:qFormat/>
    <w:uiPriority w:val="0"/>
    <w:pPr>
      <w:ind w:firstLine="420" w:firstLineChars="200"/>
    </w:pPr>
    <w:rPr>
      <w:rFonts w:ascii="Calibri" w:hAnsi="Calibri"/>
      <w:szCs w:val="22"/>
    </w:rPr>
  </w:style>
  <w:style w:type="character" w:customStyle="1" w:styleId="310">
    <w:name w:val="Heading 1 Char"/>
    <w:basedOn w:val="54"/>
    <w:qFormat/>
    <w:locked/>
    <w:uiPriority w:val="0"/>
    <w:rPr>
      <w:rFonts w:ascii="宋体" w:eastAsia="宋体"/>
      <w:b/>
      <w:bCs/>
      <w:kern w:val="44"/>
      <w:sz w:val="44"/>
      <w:szCs w:val="44"/>
      <w:lang w:val="en-US" w:eastAsia="zh-CN" w:bidi="ar-SA"/>
    </w:rPr>
  </w:style>
  <w:style w:type="character" w:customStyle="1" w:styleId="311">
    <w:name w:val="Heading 2 Char"/>
    <w:basedOn w:val="54"/>
    <w:qFormat/>
    <w:locked/>
    <w:uiPriority w:val="0"/>
    <w:rPr>
      <w:rFonts w:ascii="Arial" w:hAnsi="Arial" w:eastAsia="黑体"/>
      <w:b/>
      <w:bCs/>
      <w:kern w:val="21"/>
      <w:sz w:val="32"/>
      <w:szCs w:val="32"/>
      <w:lang w:val="en-US" w:eastAsia="zh-CN" w:bidi="ar-SA"/>
    </w:rPr>
  </w:style>
  <w:style w:type="character" w:customStyle="1" w:styleId="312">
    <w:name w:val="Heading 3 Char"/>
    <w:basedOn w:val="54"/>
    <w:qFormat/>
    <w:locked/>
    <w:uiPriority w:val="0"/>
    <w:rPr>
      <w:rFonts w:ascii="宋体" w:eastAsia="宋体"/>
      <w:b/>
      <w:bCs/>
      <w:kern w:val="21"/>
      <w:sz w:val="32"/>
      <w:szCs w:val="32"/>
      <w:lang w:val="en-US" w:eastAsia="zh-CN" w:bidi="ar-SA"/>
    </w:rPr>
  </w:style>
  <w:style w:type="character" w:customStyle="1" w:styleId="313">
    <w:name w:val="Heading 4 Char"/>
    <w:basedOn w:val="54"/>
    <w:qFormat/>
    <w:locked/>
    <w:uiPriority w:val="0"/>
    <w:rPr>
      <w:rFonts w:ascii="Arial" w:hAnsi="Arial" w:eastAsia="黑体"/>
      <w:b/>
      <w:bCs/>
      <w:kern w:val="21"/>
      <w:sz w:val="28"/>
      <w:szCs w:val="28"/>
      <w:lang w:val="en-US" w:eastAsia="zh-CN" w:bidi="ar-SA"/>
    </w:rPr>
  </w:style>
  <w:style w:type="character" w:customStyle="1" w:styleId="314">
    <w:name w:val="Heading 5 Char"/>
    <w:basedOn w:val="54"/>
    <w:qFormat/>
    <w:locked/>
    <w:uiPriority w:val="0"/>
    <w:rPr>
      <w:rFonts w:ascii="宋体" w:eastAsia="宋体"/>
      <w:b/>
      <w:bCs/>
      <w:kern w:val="21"/>
      <w:sz w:val="28"/>
      <w:szCs w:val="28"/>
      <w:lang w:val="en-US" w:eastAsia="zh-CN" w:bidi="ar-SA"/>
    </w:rPr>
  </w:style>
  <w:style w:type="character" w:customStyle="1" w:styleId="315">
    <w:name w:val="Heading 6 Char"/>
    <w:basedOn w:val="54"/>
    <w:qFormat/>
    <w:locked/>
    <w:uiPriority w:val="0"/>
    <w:rPr>
      <w:rFonts w:ascii="Arial" w:hAnsi="Arial" w:eastAsia="黑体"/>
      <w:b/>
      <w:bCs/>
      <w:kern w:val="21"/>
      <w:sz w:val="24"/>
      <w:szCs w:val="21"/>
      <w:lang w:val="en-US" w:eastAsia="zh-CN" w:bidi="ar-SA"/>
    </w:rPr>
  </w:style>
  <w:style w:type="character" w:customStyle="1" w:styleId="316">
    <w:name w:val="Heading 7 Char"/>
    <w:basedOn w:val="54"/>
    <w:qFormat/>
    <w:locked/>
    <w:uiPriority w:val="0"/>
    <w:rPr>
      <w:rFonts w:ascii="宋体" w:eastAsia="宋体"/>
      <w:b/>
      <w:bCs/>
      <w:kern w:val="21"/>
      <w:sz w:val="24"/>
      <w:szCs w:val="21"/>
      <w:lang w:val="en-US" w:eastAsia="zh-CN" w:bidi="ar-SA"/>
    </w:rPr>
  </w:style>
  <w:style w:type="character" w:customStyle="1" w:styleId="317">
    <w:name w:val="Heading 8 Char"/>
    <w:basedOn w:val="54"/>
    <w:qFormat/>
    <w:locked/>
    <w:uiPriority w:val="0"/>
    <w:rPr>
      <w:rFonts w:ascii="Arial" w:hAnsi="Arial" w:eastAsia="黑体"/>
      <w:kern w:val="21"/>
      <w:sz w:val="24"/>
      <w:szCs w:val="21"/>
      <w:lang w:val="en-US" w:eastAsia="zh-CN" w:bidi="ar-SA"/>
    </w:rPr>
  </w:style>
  <w:style w:type="character" w:customStyle="1" w:styleId="318">
    <w:name w:val="Heading 9 Char"/>
    <w:basedOn w:val="54"/>
    <w:qFormat/>
    <w:locked/>
    <w:uiPriority w:val="0"/>
    <w:rPr>
      <w:rFonts w:ascii="Arial" w:hAnsi="Arial" w:eastAsia="黑体"/>
      <w:kern w:val="21"/>
      <w:sz w:val="21"/>
      <w:szCs w:val="21"/>
      <w:lang w:val="en-US" w:eastAsia="zh-CN" w:bidi="ar-SA"/>
    </w:rPr>
  </w:style>
  <w:style w:type="character" w:customStyle="1" w:styleId="319">
    <w:name w:val="一级条标题 Char"/>
    <w:basedOn w:val="320"/>
    <w:qFormat/>
    <w:uiPriority w:val="0"/>
    <w:rPr>
      <w:rFonts w:cs="黑体"/>
      <w:szCs w:val="21"/>
      <w:lang w:bidi="ar-SA"/>
    </w:rPr>
  </w:style>
  <w:style w:type="character" w:customStyle="1" w:styleId="320">
    <w:name w:val="章标题 Char"/>
    <w:qFormat/>
    <w:uiPriority w:val="0"/>
    <w:rPr>
      <w:rFonts w:ascii="黑体" w:eastAsia="黑体"/>
      <w:sz w:val="21"/>
      <w:lang w:val="en-US" w:eastAsia="zh-CN"/>
    </w:rPr>
  </w:style>
  <w:style w:type="character" w:customStyle="1" w:styleId="321">
    <w:name w:val="发布"/>
    <w:qFormat/>
    <w:uiPriority w:val="0"/>
    <w:rPr>
      <w:rFonts w:ascii="黑体" w:eastAsia="黑体"/>
      <w:spacing w:val="22"/>
      <w:w w:val="100"/>
      <w:position w:val="3"/>
      <w:sz w:val="28"/>
    </w:rPr>
  </w:style>
  <w:style w:type="character" w:customStyle="1" w:styleId="322">
    <w:name w:val="个人答复风格"/>
    <w:qFormat/>
    <w:uiPriority w:val="0"/>
    <w:rPr>
      <w:rFonts w:ascii="Arial" w:hAnsi="Arial" w:eastAsia="宋体"/>
      <w:color w:val="auto"/>
      <w:sz w:val="20"/>
    </w:rPr>
  </w:style>
  <w:style w:type="character" w:customStyle="1" w:styleId="323">
    <w:name w:val="三级条标题 Char"/>
    <w:basedOn w:val="324"/>
    <w:qFormat/>
    <w:uiPriority w:val="0"/>
  </w:style>
  <w:style w:type="character" w:customStyle="1" w:styleId="324">
    <w:name w:val="二级条标题 Char"/>
    <w:basedOn w:val="319"/>
    <w:qFormat/>
    <w:uiPriority w:val="0"/>
  </w:style>
  <w:style w:type="character" w:customStyle="1" w:styleId="325">
    <w:name w:val="章标题 Char Char"/>
    <w:link w:val="326"/>
    <w:qFormat/>
    <w:locked/>
    <w:uiPriority w:val="0"/>
    <w:rPr>
      <w:rFonts w:ascii="黑体" w:eastAsia="黑体"/>
      <w:kern w:val="2"/>
      <w:sz w:val="22"/>
      <w:lang w:val="en-US" w:eastAsia="zh-CN" w:bidi="ar-SA"/>
    </w:rPr>
  </w:style>
  <w:style w:type="paragraph" w:customStyle="1" w:styleId="326">
    <w:name w:val="章标题"/>
    <w:next w:val="232"/>
    <w:link w:val="325"/>
    <w:qFormat/>
    <w:uiPriority w:val="0"/>
    <w:pPr>
      <w:numPr>
        <w:ilvl w:val="1"/>
        <w:numId w:val="1"/>
      </w:numPr>
      <w:spacing w:beforeLines="50" w:afterLines="50"/>
      <w:jc w:val="both"/>
      <w:outlineLvl w:val="1"/>
    </w:pPr>
    <w:rPr>
      <w:rFonts w:ascii="黑体" w:hAnsi="Times New Roman" w:eastAsia="黑体" w:cs="Times New Roman"/>
      <w:kern w:val="2"/>
      <w:sz w:val="22"/>
      <w:lang w:val="en-US" w:eastAsia="zh-CN" w:bidi="ar-SA"/>
    </w:rPr>
  </w:style>
  <w:style w:type="character" w:customStyle="1" w:styleId="327">
    <w:name w:val="三级条标题 Char Char"/>
    <w:basedOn w:val="328"/>
    <w:link w:val="332"/>
    <w:qFormat/>
    <w:locked/>
    <w:uiPriority w:val="0"/>
  </w:style>
  <w:style w:type="character" w:customStyle="1" w:styleId="328">
    <w:name w:val="二级条标题 Char Char"/>
    <w:basedOn w:val="329"/>
    <w:link w:val="331"/>
    <w:qFormat/>
    <w:locked/>
    <w:uiPriority w:val="0"/>
  </w:style>
  <w:style w:type="character" w:customStyle="1" w:styleId="329">
    <w:name w:val="一级条标题 Char Char"/>
    <w:basedOn w:val="325"/>
    <w:link w:val="330"/>
    <w:qFormat/>
    <w:locked/>
    <w:uiPriority w:val="0"/>
    <w:rPr>
      <w:szCs w:val="22"/>
    </w:rPr>
  </w:style>
  <w:style w:type="paragraph" w:customStyle="1" w:styleId="330">
    <w:name w:val="一级条标题"/>
    <w:basedOn w:val="326"/>
    <w:next w:val="232"/>
    <w:link w:val="329"/>
    <w:qFormat/>
    <w:uiPriority w:val="0"/>
    <w:pPr>
      <w:numPr>
        <w:ilvl w:val="2"/>
        <w:numId w:val="1"/>
      </w:numPr>
      <w:tabs>
        <w:tab w:val="left" w:pos="312"/>
        <w:tab w:val="left" w:pos="360"/>
      </w:tabs>
      <w:spacing w:beforeLines="0" w:afterLines="0"/>
      <w:ind w:left="0"/>
      <w:outlineLvl w:val="2"/>
    </w:pPr>
    <w:rPr>
      <w:szCs w:val="22"/>
    </w:rPr>
  </w:style>
  <w:style w:type="paragraph" w:customStyle="1" w:styleId="331">
    <w:name w:val="二级条标题"/>
    <w:basedOn w:val="330"/>
    <w:next w:val="232"/>
    <w:link w:val="328"/>
    <w:qFormat/>
    <w:uiPriority w:val="0"/>
    <w:pPr>
      <w:numPr>
        <w:ilvl w:val="3"/>
        <w:numId w:val="2"/>
      </w:numPr>
      <w:outlineLvl w:val="3"/>
    </w:pPr>
  </w:style>
  <w:style w:type="paragraph" w:customStyle="1" w:styleId="332">
    <w:name w:val="三级条标题"/>
    <w:basedOn w:val="331"/>
    <w:next w:val="232"/>
    <w:link w:val="327"/>
    <w:qFormat/>
    <w:uiPriority w:val="0"/>
  </w:style>
  <w:style w:type="character" w:customStyle="1" w:styleId="333">
    <w:name w:val="个人撰写风格"/>
    <w:qFormat/>
    <w:uiPriority w:val="0"/>
    <w:rPr>
      <w:rFonts w:ascii="Arial" w:hAnsi="Arial" w:eastAsia="宋体"/>
      <w:color w:val="auto"/>
      <w:sz w:val="20"/>
    </w:rPr>
  </w:style>
  <w:style w:type="paragraph" w:customStyle="1" w:styleId="334">
    <w:name w:val="其他发布部门"/>
    <w:basedOn w:val="335"/>
    <w:qFormat/>
    <w:uiPriority w:val="0"/>
    <w:pPr>
      <w:spacing w:line="240" w:lineRule="atLeast"/>
    </w:pPr>
    <w:rPr>
      <w:rFonts w:ascii="黑体" w:eastAsia="黑体"/>
      <w:b w:val="0"/>
    </w:rPr>
  </w:style>
  <w:style w:type="paragraph" w:customStyle="1" w:styleId="335">
    <w:name w:val="发布部门"/>
    <w:next w:val="232"/>
    <w:qFormat/>
    <w:uiPriority w:val="0"/>
    <w:pPr>
      <w:jc w:val="center"/>
    </w:pPr>
    <w:rPr>
      <w:rFonts w:ascii="宋体" w:hAnsi="Times New Roman" w:eastAsia="宋体" w:cs="Times New Roman"/>
      <w:b/>
      <w:spacing w:val="20"/>
      <w:w w:val="135"/>
      <w:sz w:val="36"/>
      <w:lang w:val="en-US" w:eastAsia="zh-CN" w:bidi="ar-SA"/>
    </w:rPr>
  </w:style>
  <w:style w:type="paragraph" w:customStyle="1" w:styleId="336">
    <w:name w:val="其他标准称谓"/>
    <w:qFormat/>
    <w:uiPriority w:val="0"/>
    <w:pPr>
      <w:spacing w:line="240" w:lineRule="atLeast"/>
      <w:jc w:val="distribute"/>
    </w:pPr>
    <w:rPr>
      <w:rFonts w:ascii="黑体" w:hAnsi="宋体" w:eastAsia="黑体" w:cs="Times New Roman"/>
      <w:sz w:val="52"/>
      <w:lang w:val="en-US" w:eastAsia="zh-CN" w:bidi="ar-SA"/>
    </w:rPr>
  </w:style>
  <w:style w:type="paragraph" w:customStyle="1" w:styleId="337">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338">
    <w:name w:val="文献分类号"/>
    <w:qFormat/>
    <w:uiPriority w:val="0"/>
    <w:pPr>
      <w:widowControl w:val="0"/>
      <w:jc w:val="both"/>
      <w:textAlignment w:val="center"/>
    </w:pPr>
    <w:rPr>
      <w:rFonts w:ascii="Times New Roman" w:hAnsi="Times New Roman" w:eastAsia="黑体" w:cs="Times New Roman"/>
      <w:sz w:val="21"/>
      <w:lang w:val="en-US" w:eastAsia="zh-CN" w:bidi="ar-SA"/>
    </w:rPr>
  </w:style>
  <w:style w:type="paragraph" w:customStyle="1" w:styleId="339">
    <w:name w:val="封面标准代替信息"/>
    <w:basedOn w:val="340"/>
    <w:qFormat/>
    <w:uiPriority w:val="0"/>
    <w:pPr>
      <w:spacing w:before="57"/>
    </w:pPr>
    <w:rPr>
      <w:rFonts w:ascii="宋体"/>
      <w:sz w:val="21"/>
    </w:rPr>
  </w:style>
  <w:style w:type="paragraph" w:customStyle="1" w:styleId="340">
    <w:name w:val="封面标准号2"/>
    <w:basedOn w:val="341"/>
    <w:qFormat/>
    <w:uiPriority w:val="0"/>
    <w:pPr>
      <w:adjustRightInd w:val="0"/>
      <w:spacing w:before="357" w:line="280" w:lineRule="exact"/>
    </w:pPr>
  </w:style>
  <w:style w:type="paragraph" w:customStyle="1" w:styleId="34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342">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43">
    <w:name w:val="正文表标题"/>
    <w:next w:val="232"/>
    <w:qFormat/>
    <w:uiPriority w:val="0"/>
    <w:pPr>
      <w:numPr>
        <w:ilvl w:val="0"/>
        <w:numId w:val="1"/>
      </w:numPr>
      <w:jc w:val="center"/>
    </w:pPr>
    <w:rPr>
      <w:rFonts w:ascii="黑体" w:hAnsi="Times New Roman" w:eastAsia="黑体" w:cs="Times New Roman"/>
      <w:sz w:val="21"/>
      <w:lang w:val="en-US" w:eastAsia="zh-CN" w:bidi="ar-SA"/>
    </w:rPr>
  </w:style>
  <w:style w:type="paragraph" w:customStyle="1" w:styleId="344">
    <w:name w:val="附录章标题"/>
    <w:next w:val="232"/>
    <w:qFormat/>
    <w:uiPriority w:val="0"/>
    <w:pPr>
      <w:numPr>
        <w:ilvl w:val="1"/>
        <w:numId w:val="3"/>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345">
    <w:name w:val="五级无标题条"/>
    <w:basedOn w:val="1"/>
    <w:qFormat/>
    <w:uiPriority w:val="0"/>
    <w:pPr>
      <w:numPr>
        <w:ilvl w:val="6"/>
        <w:numId w:val="3"/>
      </w:numPr>
    </w:pPr>
    <w:rPr>
      <w:rFonts w:ascii="宋体"/>
      <w:kern w:val="21"/>
      <w:szCs w:val="21"/>
    </w:rPr>
  </w:style>
  <w:style w:type="paragraph" w:customStyle="1" w:styleId="346">
    <w:name w:val="三级无标题条"/>
    <w:basedOn w:val="1"/>
    <w:qFormat/>
    <w:uiPriority w:val="0"/>
    <w:pPr>
      <w:numPr>
        <w:ilvl w:val="4"/>
        <w:numId w:val="3"/>
      </w:numPr>
    </w:pPr>
    <w:rPr>
      <w:rFonts w:ascii="宋体"/>
      <w:kern w:val="21"/>
      <w:szCs w:val="21"/>
    </w:rPr>
  </w:style>
  <w:style w:type="character" w:customStyle="1" w:styleId="347">
    <w:name w:val="Document Map Char"/>
    <w:basedOn w:val="54"/>
    <w:qFormat/>
    <w:locked/>
    <w:uiPriority w:val="0"/>
    <w:rPr>
      <w:rFonts w:ascii="宋体" w:eastAsia="宋体"/>
      <w:kern w:val="21"/>
      <w:sz w:val="21"/>
      <w:szCs w:val="21"/>
      <w:lang w:val="en-US" w:eastAsia="zh-CN" w:bidi="ar-SA"/>
    </w:rPr>
  </w:style>
  <w:style w:type="paragraph" w:customStyle="1" w:styleId="348">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349">
    <w:name w:val="目次、标准名称标题"/>
    <w:basedOn w:val="342"/>
    <w:next w:val="232"/>
    <w:qFormat/>
    <w:uiPriority w:val="0"/>
    <w:pPr>
      <w:numPr>
        <w:ilvl w:val="0"/>
        <w:numId w:val="0"/>
      </w:numPr>
      <w:spacing w:line="460" w:lineRule="exact"/>
    </w:pPr>
  </w:style>
  <w:style w:type="paragraph" w:customStyle="1" w:styleId="350">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51">
    <w:name w:val="二级无标题条"/>
    <w:basedOn w:val="1"/>
    <w:qFormat/>
    <w:uiPriority w:val="0"/>
    <w:pPr>
      <w:numPr>
        <w:ilvl w:val="3"/>
        <w:numId w:val="3"/>
      </w:numPr>
    </w:pPr>
    <w:rPr>
      <w:rFonts w:ascii="宋体"/>
      <w:kern w:val="21"/>
      <w:szCs w:val="21"/>
    </w:rPr>
  </w:style>
  <w:style w:type="paragraph" w:customStyle="1" w:styleId="352">
    <w:name w:val="条文脚注"/>
    <w:basedOn w:val="39"/>
    <w:qFormat/>
    <w:uiPriority w:val="0"/>
    <w:pPr>
      <w:ind w:left="780" w:leftChars="200" w:hanging="360" w:hangingChars="200"/>
      <w:jc w:val="both"/>
    </w:pPr>
  </w:style>
  <w:style w:type="character" w:customStyle="1" w:styleId="353">
    <w:name w:val="HTML Preformatted Char"/>
    <w:basedOn w:val="54"/>
    <w:qFormat/>
    <w:locked/>
    <w:uiPriority w:val="0"/>
    <w:rPr>
      <w:rFonts w:ascii="Courier New" w:hAnsi="Courier New" w:eastAsia="宋体" w:cs="Courier New"/>
      <w:kern w:val="21"/>
      <w:lang w:val="en-US" w:eastAsia="zh-CN" w:bidi="ar-SA"/>
    </w:rPr>
  </w:style>
  <w:style w:type="character" w:customStyle="1" w:styleId="354">
    <w:name w:val="Date Char"/>
    <w:basedOn w:val="54"/>
    <w:qFormat/>
    <w:locked/>
    <w:uiPriority w:val="0"/>
    <w:rPr>
      <w:rFonts w:ascii="宋体" w:eastAsia="宋体"/>
      <w:kern w:val="21"/>
      <w:sz w:val="24"/>
      <w:lang w:val="en-US" w:eastAsia="zh-CN" w:bidi="ar-SA"/>
    </w:rPr>
  </w:style>
  <w:style w:type="paragraph" w:customStyle="1" w:styleId="355">
    <w:name w:val="四级条标题"/>
    <w:basedOn w:val="332"/>
    <w:next w:val="232"/>
    <w:qFormat/>
    <w:uiPriority w:val="0"/>
    <w:pPr>
      <w:numPr>
        <w:ilvl w:val="5"/>
        <w:numId w:val="2"/>
      </w:numPr>
      <w:ind w:left="2316"/>
      <w:outlineLvl w:val="5"/>
    </w:pPr>
  </w:style>
  <w:style w:type="character" w:customStyle="1" w:styleId="356">
    <w:name w:val="Title Char"/>
    <w:basedOn w:val="54"/>
    <w:qFormat/>
    <w:locked/>
    <w:uiPriority w:val="0"/>
    <w:rPr>
      <w:rFonts w:ascii="Arial" w:hAnsi="Arial" w:eastAsia="宋体" w:cs="Arial"/>
      <w:b/>
      <w:bCs/>
      <w:kern w:val="21"/>
      <w:sz w:val="32"/>
      <w:szCs w:val="32"/>
      <w:lang w:val="en-US" w:eastAsia="zh-CN" w:bidi="ar-SA"/>
    </w:rPr>
  </w:style>
  <w:style w:type="paragraph" w:customStyle="1" w:styleId="357">
    <w:name w:val="注："/>
    <w:next w:val="232"/>
    <w:qFormat/>
    <w:uiPriority w:val="0"/>
    <w:pPr>
      <w:widowControl w:val="0"/>
      <w:numPr>
        <w:ilvl w:val="0"/>
        <w:numId w:val="4"/>
      </w:numPr>
      <w:autoSpaceDE w:val="0"/>
      <w:autoSpaceDN w:val="0"/>
      <w:jc w:val="both"/>
    </w:pPr>
    <w:rPr>
      <w:rFonts w:ascii="宋体" w:hAnsi="Times New Roman" w:eastAsia="宋体" w:cs="Times New Roman"/>
      <w:sz w:val="18"/>
      <w:lang w:val="en-US" w:eastAsia="zh-CN" w:bidi="ar-SA"/>
    </w:rPr>
  </w:style>
  <w:style w:type="paragraph" w:customStyle="1" w:styleId="358">
    <w:name w:val="五级条标题"/>
    <w:basedOn w:val="355"/>
    <w:next w:val="232"/>
    <w:qFormat/>
    <w:uiPriority w:val="0"/>
    <w:pPr>
      <w:numPr>
        <w:ilvl w:val="6"/>
        <w:numId w:val="2"/>
      </w:numPr>
      <w:outlineLvl w:val="6"/>
    </w:pPr>
  </w:style>
  <w:style w:type="paragraph" w:customStyle="1" w:styleId="359">
    <w:name w:val="附录表标题"/>
    <w:next w:val="232"/>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360">
    <w:name w:val="正文图标题"/>
    <w:next w:val="232"/>
    <w:qFormat/>
    <w:uiPriority w:val="0"/>
    <w:pPr>
      <w:numPr>
        <w:ilvl w:val="0"/>
        <w:numId w:val="5"/>
      </w:numPr>
      <w:jc w:val="center"/>
    </w:pPr>
    <w:rPr>
      <w:rFonts w:ascii="黑体" w:hAnsi="Times New Roman" w:eastAsia="黑体" w:cs="Times New Roman"/>
      <w:sz w:val="21"/>
      <w:lang w:val="en-US" w:eastAsia="zh-CN" w:bidi="ar-SA"/>
    </w:rPr>
  </w:style>
  <w:style w:type="paragraph" w:customStyle="1" w:styleId="361">
    <w:name w:val="附录标识"/>
    <w:basedOn w:val="342"/>
    <w:qFormat/>
    <w:uiPriority w:val="0"/>
    <w:pPr>
      <w:numPr>
        <w:ilvl w:val="0"/>
        <w:numId w:val="6"/>
      </w:numPr>
      <w:tabs>
        <w:tab w:val="left" w:pos="6405"/>
      </w:tabs>
      <w:spacing w:after="200"/>
      <w:ind w:firstLine="0"/>
    </w:pPr>
    <w:rPr>
      <w:sz w:val="21"/>
    </w:rPr>
  </w:style>
  <w:style w:type="paragraph" w:customStyle="1" w:styleId="362">
    <w:name w:val="标准书眉_偶数页"/>
    <w:basedOn w:val="363"/>
    <w:next w:val="1"/>
    <w:qFormat/>
    <w:uiPriority w:val="0"/>
    <w:pPr>
      <w:tabs>
        <w:tab w:val="center" w:pos="4154"/>
        <w:tab w:val="right" w:pos="8306"/>
      </w:tabs>
      <w:jc w:val="left"/>
    </w:pPr>
  </w:style>
  <w:style w:type="paragraph" w:customStyle="1" w:styleId="36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364">
    <w:name w:val="附录三级条标题"/>
    <w:basedOn w:val="365"/>
    <w:next w:val="232"/>
    <w:qFormat/>
    <w:uiPriority w:val="0"/>
    <w:pPr>
      <w:numPr>
        <w:ilvl w:val="4"/>
        <w:numId w:val="6"/>
      </w:numPr>
      <w:tabs>
        <w:tab w:val="left" w:pos="1418"/>
        <w:tab w:val="left" w:pos="1984"/>
      </w:tabs>
      <w:outlineLvl w:val="4"/>
    </w:pPr>
  </w:style>
  <w:style w:type="paragraph" w:customStyle="1" w:styleId="365">
    <w:name w:val="附录二级条标题"/>
    <w:basedOn w:val="366"/>
    <w:next w:val="232"/>
    <w:qFormat/>
    <w:uiPriority w:val="0"/>
    <w:pPr>
      <w:numPr>
        <w:ilvl w:val="3"/>
        <w:numId w:val="6"/>
      </w:numPr>
      <w:tabs>
        <w:tab w:val="left" w:pos="1418"/>
      </w:tabs>
      <w:outlineLvl w:val="3"/>
    </w:pPr>
  </w:style>
  <w:style w:type="paragraph" w:customStyle="1" w:styleId="366">
    <w:name w:val="附录一级条标题"/>
    <w:basedOn w:val="344"/>
    <w:next w:val="232"/>
    <w:qFormat/>
    <w:uiPriority w:val="0"/>
    <w:pPr>
      <w:numPr>
        <w:ilvl w:val="2"/>
        <w:numId w:val="6"/>
      </w:numPr>
      <w:autoSpaceDN w:val="0"/>
      <w:spacing w:beforeLines="0" w:afterLines="0"/>
      <w:outlineLvl w:val="2"/>
    </w:pPr>
  </w:style>
  <w:style w:type="paragraph" w:customStyle="1" w:styleId="367">
    <w:name w:val="附录图标题"/>
    <w:next w:val="232"/>
    <w:qFormat/>
    <w:uiPriority w:val="0"/>
    <w:pPr>
      <w:jc w:val="center"/>
    </w:pPr>
    <w:rPr>
      <w:rFonts w:ascii="黑体" w:hAnsi="Times New Roman" w:eastAsia="黑体" w:cs="Times New Roman"/>
      <w:sz w:val="21"/>
      <w:lang w:val="en-US" w:eastAsia="zh-CN" w:bidi="ar-SA"/>
    </w:rPr>
  </w:style>
  <w:style w:type="paragraph" w:customStyle="1" w:styleId="368">
    <w:name w:val="四级无标题条"/>
    <w:basedOn w:val="1"/>
    <w:qFormat/>
    <w:uiPriority w:val="0"/>
    <w:pPr>
      <w:numPr>
        <w:ilvl w:val="5"/>
        <w:numId w:val="3"/>
      </w:numPr>
    </w:pPr>
    <w:rPr>
      <w:rFonts w:ascii="宋体"/>
      <w:kern w:val="21"/>
      <w:szCs w:val="21"/>
    </w:rPr>
  </w:style>
  <w:style w:type="paragraph" w:customStyle="1" w:styleId="369">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370">
    <w:name w:val="封面正文"/>
    <w:qFormat/>
    <w:uiPriority w:val="0"/>
    <w:pPr>
      <w:jc w:val="both"/>
    </w:pPr>
    <w:rPr>
      <w:rFonts w:ascii="Times New Roman" w:hAnsi="Times New Roman" w:eastAsia="宋体" w:cs="Times New Roman"/>
      <w:lang w:val="en-US" w:eastAsia="zh-CN" w:bidi="ar-SA"/>
    </w:rPr>
  </w:style>
  <w:style w:type="character" w:customStyle="1" w:styleId="371">
    <w:name w:val="Balloon Text Char"/>
    <w:basedOn w:val="54"/>
    <w:qFormat/>
    <w:locked/>
    <w:uiPriority w:val="0"/>
    <w:rPr>
      <w:rFonts w:ascii="宋体" w:eastAsia="宋体"/>
      <w:kern w:val="21"/>
      <w:sz w:val="18"/>
      <w:szCs w:val="18"/>
      <w:lang w:val="en-US" w:eastAsia="zh-CN" w:bidi="ar-SA"/>
    </w:rPr>
  </w:style>
  <w:style w:type="paragraph" w:customStyle="1" w:styleId="372">
    <w:name w:val="实施日期"/>
    <w:basedOn w:val="373"/>
    <w:qFormat/>
    <w:uiPriority w:val="0"/>
    <w:pPr>
      <w:jc w:val="right"/>
    </w:pPr>
  </w:style>
  <w:style w:type="paragraph" w:customStyle="1" w:styleId="373">
    <w:name w:val="发布日期"/>
    <w:qFormat/>
    <w:uiPriority w:val="0"/>
    <w:pPr>
      <w:jc w:val="both"/>
    </w:pPr>
    <w:rPr>
      <w:rFonts w:ascii="Times New Roman" w:hAnsi="Times New Roman" w:eastAsia="黑体" w:cs="Times New Roman"/>
      <w:sz w:val="28"/>
      <w:lang w:val="en-US" w:eastAsia="zh-CN" w:bidi="ar-SA"/>
    </w:rPr>
  </w:style>
  <w:style w:type="paragraph" w:customStyle="1" w:styleId="374">
    <w:name w:val="列项——"/>
    <w:qFormat/>
    <w:uiPriority w:val="0"/>
    <w:pPr>
      <w:widowControl w:val="0"/>
      <w:numPr>
        <w:ilvl w:val="0"/>
        <w:numId w:val="7"/>
      </w:numPr>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375">
    <w:name w:val="示例"/>
    <w:next w:val="232"/>
    <w:qFormat/>
    <w:uiPriority w:val="0"/>
    <w:pPr>
      <w:numPr>
        <w:ilvl w:val="0"/>
        <w:numId w:val="8"/>
      </w:numPr>
      <w:tabs>
        <w:tab w:val="left" w:pos="816"/>
        <w:tab w:val="clear" w:pos="1140"/>
      </w:tabs>
      <w:ind w:firstLine="419" w:firstLineChars="233"/>
      <w:jc w:val="both"/>
    </w:pPr>
    <w:rPr>
      <w:rFonts w:ascii="宋体" w:hAnsi="Times New Roman" w:eastAsia="宋体" w:cs="Times New Roman"/>
      <w:sz w:val="18"/>
      <w:lang w:val="en-US" w:eastAsia="zh-CN" w:bidi="ar-SA"/>
    </w:rPr>
  </w:style>
  <w:style w:type="paragraph" w:customStyle="1" w:styleId="376">
    <w:name w:val="附录四级条标题"/>
    <w:basedOn w:val="364"/>
    <w:next w:val="232"/>
    <w:qFormat/>
    <w:uiPriority w:val="0"/>
    <w:pPr>
      <w:numPr>
        <w:ilvl w:val="5"/>
        <w:numId w:val="6"/>
      </w:numPr>
      <w:outlineLvl w:val="5"/>
    </w:pPr>
  </w:style>
  <w:style w:type="paragraph" w:customStyle="1" w:styleId="377">
    <w:name w:val="列项·"/>
    <w:qFormat/>
    <w:uiPriority w:val="0"/>
    <w:pPr>
      <w:numPr>
        <w:ilvl w:val="0"/>
        <w:numId w:val="9"/>
      </w:numPr>
      <w:tabs>
        <w:tab w:val="left" w:pos="840"/>
        <w:tab w:val="clear" w:pos="1120"/>
      </w:tabs>
      <w:ind w:left="840" w:leftChars="200" w:hanging="420" w:hangingChars="200"/>
      <w:jc w:val="both"/>
    </w:pPr>
    <w:rPr>
      <w:rFonts w:ascii="宋体" w:hAnsi="Times New Roman" w:eastAsia="宋体" w:cs="Times New Roman"/>
      <w:sz w:val="21"/>
      <w:lang w:val="en-US" w:eastAsia="zh-CN" w:bidi="ar-SA"/>
    </w:rPr>
  </w:style>
  <w:style w:type="paragraph" w:customStyle="1" w:styleId="378">
    <w:name w:val="图表脚注"/>
    <w:next w:val="232"/>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37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80">
    <w:name w:val="一级无标题条"/>
    <w:basedOn w:val="1"/>
    <w:qFormat/>
    <w:uiPriority w:val="0"/>
    <w:pPr>
      <w:numPr>
        <w:ilvl w:val="2"/>
        <w:numId w:val="3"/>
      </w:numPr>
    </w:pPr>
    <w:rPr>
      <w:rFonts w:ascii="宋体"/>
      <w:kern w:val="21"/>
      <w:szCs w:val="21"/>
    </w:rPr>
  </w:style>
  <w:style w:type="paragraph" w:customStyle="1" w:styleId="38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382">
    <w:name w:val="无标题条"/>
    <w:next w:val="232"/>
    <w:qFormat/>
    <w:uiPriority w:val="0"/>
    <w:pPr>
      <w:jc w:val="both"/>
    </w:pPr>
    <w:rPr>
      <w:rFonts w:ascii="Times New Roman" w:hAnsi="Times New Roman" w:eastAsia="宋体" w:cs="Times New Roman"/>
      <w:sz w:val="21"/>
      <w:lang w:val="en-US" w:eastAsia="zh-CN" w:bidi="ar-SA"/>
    </w:rPr>
  </w:style>
  <w:style w:type="paragraph" w:customStyle="1" w:styleId="383">
    <w:name w:val="标准书眉一"/>
    <w:qFormat/>
    <w:uiPriority w:val="0"/>
    <w:pPr>
      <w:jc w:val="both"/>
    </w:pPr>
    <w:rPr>
      <w:rFonts w:ascii="Times New Roman" w:hAnsi="Times New Roman" w:eastAsia="宋体" w:cs="Times New Roman"/>
      <w:lang w:val="en-US" w:eastAsia="zh-CN" w:bidi="ar-SA"/>
    </w:rPr>
  </w:style>
  <w:style w:type="paragraph" w:customStyle="1" w:styleId="384">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385">
    <w:name w:val="标准称谓"/>
    <w:next w:val="1"/>
    <w:qFormat/>
    <w:uiPriority w:val="0"/>
    <w:pPr>
      <w:widowControl w:val="0"/>
      <w:kinsoku w:val="0"/>
      <w:overflowPunct w:val="0"/>
      <w:autoSpaceDE w:val="0"/>
      <w:autoSpaceDN w:val="0"/>
      <w:spacing w:line="240" w:lineRule="atLeast"/>
      <w:jc w:val="distribute"/>
    </w:pPr>
    <w:rPr>
      <w:rFonts w:ascii="宋体" w:hAnsi="Times New Roman" w:eastAsia="宋体" w:cs="Times New Roman"/>
      <w:b/>
      <w:bCs/>
      <w:spacing w:val="20"/>
      <w:w w:val="148"/>
      <w:sz w:val="52"/>
      <w:lang w:val="en-US" w:eastAsia="zh-CN" w:bidi="ar-SA"/>
    </w:rPr>
  </w:style>
  <w:style w:type="paragraph" w:customStyle="1" w:styleId="386">
    <w:name w:val="附录五级条标题"/>
    <w:basedOn w:val="376"/>
    <w:next w:val="232"/>
    <w:qFormat/>
    <w:uiPriority w:val="0"/>
    <w:pPr>
      <w:numPr>
        <w:ilvl w:val="6"/>
        <w:numId w:val="6"/>
      </w:numPr>
      <w:outlineLvl w:val="6"/>
    </w:pPr>
  </w:style>
  <w:style w:type="paragraph" w:customStyle="1" w:styleId="387">
    <w:name w:val="注×："/>
    <w:qFormat/>
    <w:uiPriority w:val="0"/>
    <w:pPr>
      <w:widowControl w:val="0"/>
      <w:numPr>
        <w:ilvl w:val="0"/>
        <w:numId w:val="10"/>
      </w:numPr>
      <w:tabs>
        <w:tab w:val="left" w:pos="630"/>
      </w:tabs>
      <w:autoSpaceDE w:val="0"/>
      <w:autoSpaceDN w:val="0"/>
      <w:jc w:val="both"/>
    </w:pPr>
    <w:rPr>
      <w:rFonts w:ascii="宋体" w:hAnsi="Times New Roman" w:eastAsia="宋体" w:cs="Times New Roman"/>
      <w:sz w:val="18"/>
      <w:lang w:val="en-US" w:eastAsia="zh-CN" w:bidi="ar-SA"/>
    </w:rPr>
  </w:style>
  <w:style w:type="paragraph" w:customStyle="1" w:styleId="38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389">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390">
    <w:name w:val="参考文献、索引标题"/>
    <w:basedOn w:val="342"/>
    <w:next w:val="1"/>
    <w:qFormat/>
    <w:uiPriority w:val="0"/>
    <w:pPr>
      <w:numPr>
        <w:ilvl w:val="0"/>
        <w:numId w:val="0"/>
      </w:numPr>
      <w:spacing w:after="200"/>
    </w:pPr>
    <w:rPr>
      <w:sz w:val="21"/>
    </w:rPr>
  </w:style>
  <w:style w:type="paragraph" w:customStyle="1" w:styleId="391">
    <w:name w:val="标准书脚_偶数页"/>
    <w:qFormat/>
    <w:uiPriority w:val="0"/>
    <w:pPr>
      <w:spacing w:before="120"/>
      <w:jc w:val="both"/>
    </w:pPr>
    <w:rPr>
      <w:rFonts w:ascii="Times New Roman" w:hAnsi="Times New Roman" w:eastAsia="宋体" w:cs="Times New Roman"/>
      <w:sz w:val="18"/>
      <w:lang w:val="en-US" w:eastAsia="zh-CN" w:bidi="ar-SA"/>
    </w:rPr>
  </w:style>
  <w:style w:type="paragraph" w:customStyle="1" w:styleId="392">
    <w:name w:val="标准标志"/>
    <w:next w:val="1"/>
    <w:qFormat/>
    <w:uiPriority w:val="0"/>
    <w:pPr>
      <w:shd w:val="solid" w:color="FFFFFF" w:fill="FFFFFF"/>
      <w:spacing w:line="240" w:lineRule="atLeast"/>
      <w:jc w:val="right"/>
    </w:pPr>
    <w:rPr>
      <w:rFonts w:ascii="Times New Roman" w:hAnsi="Times New Roman" w:eastAsia="宋体" w:cs="Times New Roman"/>
      <w:b/>
      <w:w w:val="130"/>
      <w:sz w:val="96"/>
      <w:lang w:val="en-US" w:eastAsia="zh-CN" w:bidi="ar-SA"/>
    </w:rPr>
  </w:style>
  <w:style w:type="paragraph" w:customStyle="1" w:styleId="393">
    <w:name w:val="示例×："/>
    <w:basedOn w:val="1"/>
    <w:next w:val="1"/>
    <w:qFormat/>
    <w:uiPriority w:val="0"/>
    <w:pPr>
      <w:tabs>
        <w:tab w:val="left" w:pos="630"/>
        <w:tab w:val="left" w:pos="760"/>
      </w:tabs>
      <w:autoSpaceDE w:val="0"/>
      <w:autoSpaceDN w:val="0"/>
      <w:ind w:left="20" w:firstLine="380"/>
    </w:pPr>
    <w:rPr>
      <w:rFonts w:ascii="宋体"/>
      <w:kern w:val="0"/>
      <w:sz w:val="18"/>
      <w:szCs w:val="20"/>
    </w:rPr>
  </w:style>
  <w:style w:type="character" w:customStyle="1" w:styleId="394">
    <w:name w:val=" Char Char33"/>
    <w:qFormat/>
    <w:uiPriority w:val="0"/>
    <w:rPr>
      <w:rFonts w:eastAsia="宋体"/>
      <w:b/>
      <w:bCs/>
      <w:kern w:val="44"/>
      <w:sz w:val="44"/>
      <w:szCs w:val="44"/>
      <w:lang w:val="en-US" w:eastAsia="zh-CN" w:bidi="ar-SA"/>
    </w:rPr>
  </w:style>
  <w:style w:type="character" w:customStyle="1" w:styleId="395">
    <w:name w:val=" Char Char32"/>
    <w:qFormat/>
    <w:uiPriority w:val="0"/>
    <w:rPr>
      <w:rFonts w:ascii="Arial" w:hAnsi="Arial" w:eastAsia="黑体"/>
      <w:b/>
      <w:bCs/>
      <w:sz w:val="32"/>
      <w:szCs w:val="32"/>
      <w:lang w:bidi="ar-SA"/>
    </w:rPr>
  </w:style>
  <w:style w:type="character" w:customStyle="1" w:styleId="396">
    <w:name w:val=" Char Char35"/>
    <w:qFormat/>
    <w:uiPriority w:val="0"/>
    <w:rPr>
      <w:rFonts w:eastAsia="宋体"/>
      <w:b/>
      <w:bCs/>
      <w:kern w:val="44"/>
      <w:sz w:val="44"/>
      <w:szCs w:val="44"/>
      <w:lang w:val="en-US" w:eastAsia="zh-CN" w:bidi="ar-SA"/>
    </w:rPr>
  </w:style>
  <w:style w:type="character" w:customStyle="1" w:styleId="397">
    <w:name w:val=" Char Char34"/>
    <w:qFormat/>
    <w:uiPriority w:val="0"/>
    <w:rPr>
      <w:rFonts w:ascii="Arial" w:hAnsi="Arial" w:eastAsia="黑体"/>
      <w:b/>
      <w:bCs/>
      <w:sz w:val="32"/>
      <w:szCs w:val="32"/>
      <w:lang w:bidi="ar-SA"/>
    </w:rPr>
  </w:style>
  <w:style w:type="paragraph" w:customStyle="1" w:styleId="398">
    <w:name w:val="标准正文 S"/>
    <w:basedOn w:val="1"/>
    <w:qFormat/>
    <w:uiPriority w:val="0"/>
    <w:pPr>
      <w:spacing w:beforeLines="50" w:afterLines="50" w:line="360" w:lineRule="auto"/>
      <w:ind w:firstLine="480"/>
      <w:jc w:val="left"/>
    </w:pPr>
    <w:rPr>
      <w:rFonts w:ascii="Calibri" w:hAnsi="Calibri"/>
      <w:sz w:val="24"/>
    </w:rPr>
  </w:style>
  <w:style w:type="paragraph" w:customStyle="1" w:styleId="399">
    <w:name w:val="*正文"/>
    <w:basedOn w:val="1"/>
    <w:qFormat/>
    <w:uiPriority w:val="0"/>
    <w:pPr>
      <w:spacing w:line="360" w:lineRule="auto"/>
      <w:ind w:firstLine="482"/>
      <w:jc w:val="left"/>
    </w:pPr>
    <w:rPr>
      <w:rFonts w:ascii="宋体" w:hAnsi="宋体"/>
      <w:kern w:val="0"/>
      <w:sz w:val="24"/>
      <w:szCs w:val="20"/>
    </w:rPr>
  </w:style>
  <w:style w:type="character" w:customStyle="1" w:styleId="400">
    <w:name w:val="Body text|3_"/>
    <w:basedOn w:val="54"/>
    <w:link w:val="401"/>
    <w:qFormat/>
    <w:uiPriority w:val="0"/>
    <w:rPr>
      <w:rFonts w:ascii="宋体" w:hAnsi="宋体" w:eastAsia="宋体"/>
      <w:sz w:val="34"/>
      <w:szCs w:val="34"/>
      <w:lang w:bidi="ar-SA"/>
    </w:rPr>
  </w:style>
  <w:style w:type="paragraph" w:customStyle="1" w:styleId="401">
    <w:name w:val="Body text|3"/>
    <w:basedOn w:val="1"/>
    <w:link w:val="400"/>
    <w:qFormat/>
    <w:uiPriority w:val="0"/>
    <w:pPr>
      <w:spacing w:after="460"/>
      <w:jc w:val="center"/>
    </w:pPr>
    <w:rPr>
      <w:rFonts w:ascii="宋体" w:hAnsi="宋体" w:eastAsia="宋体"/>
      <w:kern w:val="0"/>
      <w:sz w:val="34"/>
      <w:szCs w:val="34"/>
    </w:rPr>
  </w:style>
  <w:style w:type="character" w:customStyle="1" w:styleId="402">
    <w:name w:val="Body text|1_"/>
    <w:basedOn w:val="54"/>
    <w:link w:val="403"/>
    <w:qFormat/>
    <w:uiPriority w:val="0"/>
    <w:rPr>
      <w:rFonts w:ascii="宋体" w:hAnsi="宋体" w:eastAsia="宋体"/>
      <w:sz w:val="30"/>
      <w:szCs w:val="30"/>
      <w:lang w:bidi="ar-SA"/>
    </w:rPr>
  </w:style>
  <w:style w:type="paragraph" w:customStyle="1" w:styleId="403">
    <w:name w:val="Body text|1"/>
    <w:basedOn w:val="1"/>
    <w:link w:val="402"/>
    <w:qFormat/>
    <w:uiPriority w:val="0"/>
    <w:pPr>
      <w:spacing w:line="353" w:lineRule="auto"/>
      <w:ind w:firstLine="400"/>
      <w:jc w:val="left"/>
    </w:pPr>
    <w:rPr>
      <w:rFonts w:ascii="宋体" w:hAnsi="宋体" w:eastAsia="宋体"/>
      <w:kern w:val="0"/>
      <w:sz w:val="30"/>
      <w:szCs w:val="30"/>
    </w:rPr>
  </w:style>
  <w:style w:type="character" w:customStyle="1" w:styleId="404">
    <w:name w:val=" Char Char37"/>
    <w:qFormat/>
    <w:uiPriority w:val="0"/>
    <w:rPr>
      <w:rFonts w:eastAsia="宋体"/>
      <w:b/>
      <w:bCs/>
      <w:kern w:val="44"/>
      <w:sz w:val="44"/>
      <w:szCs w:val="44"/>
      <w:lang w:val="en-US" w:eastAsia="zh-CN" w:bidi="ar-SA"/>
    </w:rPr>
  </w:style>
  <w:style w:type="character" w:customStyle="1" w:styleId="405">
    <w:name w:val=" Char Char36"/>
    <w:qFormat/>
    <w:uiPriority w:val="0"/>
    <w:rPr>
      <w:rFonts w:ascii="Arial" w:hAnsi="Arial" w:eastAsia="黑体"/>
      <w:b/>
      <w:bCs/>
      <w:sz w:val="32"/>
      <w:szCs w:val="32"/>
      <w:lang w:bidi="ar-SA"/>
    </w:rPr>
  </w:style>
  <w:style w:type="character" w:customStyle="1" w:styleId="406">
    <w:name w:val="无间隔 字符"/>
    <w:qFormat/>
    <w:uiPriority w:val="0"/>
    <w:rPr>
      <w:sz w:val="22"/>
      <w:szCs w:val="22"/>
      <w:lang w:val="en-US" w:eastAsia="zh-CN" w:bidi="ar-SA"/>
    </w:rPr>
  </w:style>
  <w:style w:type="character" w:customStyle="1" w:styleId="407">
    <w:name w:val="正文文本 2 字符"/>
    <w:qFormat/>
    <w:uiPriority w:val="0"/>
    <w:rPr>
      <w:rFonts w:eastAsia="宋体"/>
      <w:kern w:val="2"/>
      <w:sz w:val="21"/>
      <w:szCs w:val="24"/>
      <w:lang w:val="en-US" w:eastAsia="zh-CN" w:bidi="ar-SA"/>
    </w:rPr>
  </w:style>
  <w:style w:type="character" w:customStyle="1" w:styleId="408">
    <w:name w:val="HTML 地址 字符"/>
    <w:qFormat/>
    <w:locked/>
    <w:uiPriority w:val="0"/>
    <w:rPr>
      <w:rFonts w:ascii="宋体" w:eastAsia="宋体"/>
      <w:i/>
      <w:iCs/>
      <w:kern w:val="21"/>
      <w:sz w:val="21"/>
      <w:szCs w:val="21"/>
      <w:lang w:val="en-US" w:eastAsia="zh-CN" w:bidi="ar-SA"/>
    </w:rPr>
  </w:style>
  <w:style w:type="character" w:customStyle="1" w:styleId="409">
    <w:name w:val="标题 6 字符"/>
    <w:qFormat/>
    <w:uiPriority w:val="0"/>
    <w:rPr>
      <w:rFonts w:ascii="Arial" w:hAnsi="Arial" w:eastAsia="黑体"/>
      <w:b/>
      <w:kern w:val="2"/>
      <w:sz w:val="24"/>
      <w:szCs w:val="24"/>
      <w:lang w:val="en-US" w:eastAsia="zh-CN" w:bidi="ar-SA"/>
    </w:rPr>
  </w:style>
  <w:style w:type="character" w:customStyle="1" w:styleId="410">
    <w:name w:val="日期 字符"/>
    <w:qFormat/>
    <w:uiPriority w:val="0"/>
    <w:rPr>
      <w:rFonts w:ascii="宋体" w:hAnsi="Courier New" w:eastAsia="宋体" w:cs="Courier New"/>
      <w:kern w:val="2"/>
      <w:sz w:val="21"/>
      <w:szCs w:val="21"/>
      <w:lang w:val="en-US" w:eastAsia="zh-CN" w:bidi="ar-SA"/>
    </w:rPr>
  </w:style>
  <w:style w:type="character" w:customStyle="1" w:styleId="411">
    <w:name w:val="正文文本缩进 2 字符"/>
    <w:qFormat/>
    <w:uiPriority w:val="0"/>
    <w:rPr>
      <w:rFonts w:eastAsia="宋体"/>
      <w:kern w:val="2"/>
      <w:sz w:val="32"/>
      <w:lang w:val="en-US" w:eastAsia="zh-CN" w:bidi="ar-SA"/>
    </w:rPr>
  </w:style>
  <w:style w:type="character" w:customStyle="1" w:styleId="412">
    <w:name w:val="标题 1 字符"/>
    <w:qFormat/>
    <w:uiPriority w:val="0"/>
    <w:rPr>
      <w:rFonts w:eastAsia="宋体"/>
      <w:b/>
      <w:bCs/>
      <w:kern w:val="44"/>
      <w:sz w:val="44"/>
      <w:szCs w:val="44"/>
      <w:lang w:val="en-US" w:eastAsia="zh-CN" w:bidi="ar-SA"/>
    </w:rPr>
  </w:style>
  <w:style w:type="character" w:customStyle="1" w:styleId="413">
    <w:name w:val="正文文本缩进 3 字符"/>
    <w:qFormat/>
    <w:uiPriority w:val="0"/>
    <w:rPr>
      <w:rFonts w:eastAsia="宋体"/>
      <w:kern w:val="2"/>
      <w:sz w:val="16"/>
      <w:szCs w:val="16"/>
      <w:lang w:val="en-US" w:eastAsia="zh-CN" w:bidi="ar-SA"/>
    </w:rPr>
  </w:style>
  <w:style w:type="character" w:customStyle="1" w:styleId="414">
    <w:name w:val="标题 2 字符"/>
    <w:qFormat/>
    <w:uiPriority w:val="0"/>
    <w:rPr>
      <w:rFonts w:ascii="Arial" w:hAnsi="Arial" w:eastAsia="黑体"/>
      <w:b/>
      <w:bCs/>
      <w:sz w:val="32"/>
      <w:szCs w:val="32"/>
      <w:lang w:bidi="ar-SA"/>
    </w:rPr>
  </w:style>
  <w:style w:type="character" w:customStyle="1" w:styleId="415">
    <w:name w:val="标题 3 字符"/>
    <w:qFormat/>
    <w:uiPriority w:val="0"/>
    <w:rPr>
      <w:rFonts w:eastAsia="宋体"/>
      <w:b/>
      <w:bCs/>
      <w:sz w:val="32"/>
      <w:szCs w:val="32"/>
      <w:lang w:bidi="ar-SA"/>
    </w:rPr>
  </w:style>
  <w:style w:type="character" w:customStyle="1" w:styleId="416">
    <w:name w:val="标题 4 字符"/>
    <w:qFormat/>
    <w:uiPriority w:val="0"/>
    <w:rPr>
      <w:rFonts w:ascii="Arial" w:hAnsi="Arial" w:eastAsia="黑体"/>
      <w:sz w:val="28"/>
      <w:lang w:bidi="ar-SA"/>
    </w:rPr>
  </w:style>
  <w:style w:type="character" w:customStyle="1" w:styleId="417">
    <w:name w:val="标题 5 字符"/>
    <w:qFormat/>
    <w:uiPriority w:val="0"/>
    <w:rPr>
      <w:rFonts w:eastAsia="宋体"/>
      <w:b/>
      <w:kern w:val="2"/>
      <w:sz w:val="28"/>
      <w:szCs w:val="24"/>
      <w:lang w:val="en-US" w:eastAsia="zh-CN" w:bidi="ar-SA"/>
    </w:rPr>
  </w:style>
  <w:style w:type="character" w:customStyle="1" w:styleId="418">
    <w:name w:val="标题 7 字符"/>
    <w:qFormat/>
    <w:uiPriority w:val="0"/>
    <w:rPr>
      <w:rFonts w:eastAsia="宋体"/>
      <w:b/>
      <w:kern w:val="2"/>
      <w:sz w:val="24"/>
      <w:szCs w:val="24"/>
      <w:lang w:val="en-US" w:eastAsia="zh-CN" w:bidi="ar-SA"/>
    </w:rPr>
  </w:style>
  <w:style w:type="character" w:customStyle="1" w:styleId="419">
    <w:name w:val="标题 8 字符"/>
    <w:qFormat/>
    <w:uiPriority w:val="0"/>
    <w:rPr>
      <w:rFonts w:ascii="Arial" w:hAnsi="Arial" w:eastAsia="黑体"/>
      <w:kern w:val="2"/>
      <w:sz w:val="24"/>
      <w:szCs w:val="24"/>
      <w:lang w:val="en-US" w:eastAsia="zh-CN" w:bidi="ar-SA"/>
    </w:rPr>
  </w:style>
  <w:style w:type="character" w:customStyle="1" w:styleId="420">
    <w:name w:val="标题 9 字符"/>
    <w:qFormat/>
    <w:uiPriority w:val="0"/>
    <w:rPr>
      <w:rFonts w:ascii="Arial" w:hAnsi="Arial" w:eastAsia="黑体"/>
      <w:kern w:val="2"/>
      <w:sz w:val="21"/>
      <w:szCs w:val="24"/>
      <w:lang w:val="en-US" w:eastAsia="zh-CN" w:bidi="ar-SA"/>
    </w:rPr>
  </w:style>
  <w:style w:type="character" w:customStyle="1" w:styleId="421">
    <w:name w:val="正文文本 3 字符"/>
    <w:qFormat/>
    <w:uiPriority w:val="0"/>
    <w:rPr>
      <w:rFonts w:eastAsia="宋体"/>
      <w:b/>
      <w:bCs/>
      <w:kern w:val="2"/>
      <w:sz w:val="24"/>
      <w:szCs w:val="24"/>
      <w:lang w:val="en-US" w:eastAsia="zh-CN" w:bidi="ar-SA"/>
    </w:rPr>
  </w:style>
  <w:style w:type="character" w:customStyle="1" w:styleId="422">
    <w:name w:val="页眉 字符"/>
    <w:qFormat/>
    <w:uiPriority w:val="0"/>
    <w:rPr>
      <w:rFonts w:eastAsia="宋体"/>
      <w:kern w:val="2"/>
      <w:sz w:val="18"/>
      <w:szCs w:val="18"/>
      <w:lang w:val="en-US" w:eastAsia="zh-CN" w:bidi="ar-SA"/>
    </w:rPr>
  </w:style>
  <w:style w:type="character" w:customStyle="1" w:styleId="423">
    <w:name w:val="标题 字符"/>
    <w:qFormat/>
    <w:uiPriority w:val="0"/>
    <w:rPr>
      <w:rFonts w:ascii="Arial" w:hAnsi="Arial" w:eastAsia="宋体"/>
      <w:b/>
      <w:bCs/>
      <w:kern w:val="2"/>
      <w:sz w:val="32"/>
      <w:szCs w:val="32"/>
      <w:lang w:bidi="ar-SA"/>
    </w:rPr>
  </w:style>
  <w:style w:type="character" w:customStyle="1" w:styleId="424">
    <w:name w:val="称呼 字符"/>
    <w:qFormat/>
    <w:uiPriority w:val="0"/>
    <w:rPr>
      <w:kern w:val="2"/>
      <w:sz w:val="28"/>
      <w:szCs w:val="24"/>
    </w:rPr>
  </w:style>
  <w:style w:type="character" w:customStyle="1" w:styleId="425">
    <w:name w:val="尾注文本 字符"/>
    <w:qFormat/>
    <w:uiPriority w:val="0"/>
    <w:rPr>
      <w:rFonts w:ascii="Calibri" w:hAnsi="Calibri"/>
      <w:kern w:val="2"/>
      <w:sz w:val="21"/>
      <w:szCs w:val="22"/>
    </w:rPr>
  </w:style>
  <w:style w:type="character" w:customStyle="1" w:styleId="426">
    <w:name w:val="纯文本 字符1"/>
    <w:qFormat/>
    <w:uiPriority w:val="0"/>
    <w:rPr>
      <w:rFonts w:ascii="宋体" w:hAnsi="Courier New" w:eastAsia="宋体" w:cs="Courier New"/>
      <w:kern w:val="2"/>
      <w:sz w:val="21"/>
      <w:szCs w:val="21"/>
      <w:lang w:val="en-US" w:eastAsia="zh-CN" w:bidi="ar-SA"/>
    </w:rPr>
  </w:style>
  <w:style w:type="character" w:customStyle="1" w:styleId="427">
    <w:name w:val="页脚 字符"/>
    <w:qFormat/>
    <w:uiPriority w:val="0"/>
    <w:rPr>
      <w:rFonts w:eastAsia="宋体"/>
      <w:kern w:val="2"/>
      <w:sz w:val="18"/>
      <w:szCs w:val="18"/>
      <w:lang w:val="en-US" w:eastAsia="zh-CN" w:bidi="ar-SA"/>
    </w:rPr>
  </w:style>
  <w:style w:type="character" w:customStyle="1" w:styleId="428">
    <w:name w:val="正文文本 字符"/>
    <w:qFormat/>
    <w:uiPriority w:val="0"/>
    <w:rPr>
      <w:rFonts w:eastAsia="宋体"/>
      <w:kern w:val="2"/>
      <w:sz w:val="24"/>
      <w:szCs w:val="24"/>
      <w:lang w:val="en-US" w:eastAsia="zh-CN" w:bidi="ar-SA"/>
    </w:rPr>
  </w:style>
  <w:style w:type="character" w:customStyle="1" w:styleId="429">
    <w:name w:val="HTML 预设格式 字符"/>
    <w:qFormat/>
    <w:uiPriority w:val="0"/>
    <w:rPr>
      <w:rFonts w:ascii="黑体" w:hAnsi="Courier New" w:eastAsia="黑体" w:cs="Courier New"/>
      <w:lang w:val="en-US" w:eastAsia="zh-CN" w:bidi="ar-SA"/>
    </w:rPr>
  </w:style>
  <w:style w:type="character" w:customStyle="1" w:styleId="430">
    <w:name w:val="批注文字 字符"/>
    <w:qFormat/>
    <w:uiPriority w:val="0"/>
    <w:rPr>
      <w:rFonts w:eastAsia="宋体"/>
      <w:sz w:val="24"/>
      <w:lang w:bidi="ar-SA"/>
    </w:rPr>
  </w:style>
  <w:style w:type="character" w:customStyle="1" w:styleId="431">
    <w:name w:val="正文文本缩进 字符"/>
    <w:qFormat/>
    <w:uiPriority w:val="0"/>
    <w:rPr>
      <w:rFonts w:ascii="仿宋_GB2312" w:eastAsia="仿宋_GB2312"/>
      <w:kern w:val="2"/>
      <w:sz w:val="32"/>
      <w:lang w:val="en-US" w:eastAsia="zh-CN" w:bidi="ar-SA"/>
    </w:rPr>
  </w:style>
  <w:style w:type="character" w:customStyle="1" w:styleId="432">
    <w:name w:val="脚注文本 字符"/>
    <w:qFormat/>
    <w:locked/>
    <w:uiPriority w:val="0"/>
    <w:rPr>
      <w:rFonts w:ascii="宋体" w:eastAsia="宋体"/>
      <w:kern w:val="21"/>
      <w:sz w:val="18"/>
      <w:szCs w:val="18"/>
      <w:lang w:val="en-US" w:eastAsia="zh-CN" w:bidi="ar-SA"/>
    </w:rPr>
  </w:style>
  <w:style w:type="character" w:customStyle="1" w:styleId="433">
    <w:name w:val="文档结构图 字符"/>
    <w:qFormat/>
    <w:uiPriority w:val="0"/>
    <w:rPr>
      <w:rFonts w:eastAsia="宋体"/>
      <w:kern w:val="2"/>
      <w:sz w:val="21"/>
      <w:szCs w:val="24"/>
      <w:lang w:val="en-US" w:eastAsia="zh-CN" w:bidi="ar-SA"/>
    </w:rPr>
  </w:style>
  <w:style w:type="character" w:customStyle="1" w:styleId="434">
    <w:name w:val="标题 3 字符1"/>
    <w:qFormat/>
    <w:uiPriority w:val="0"/>
    <w:rPr>
      <w:rFonts w:eastAsia="宋体"/>
      <w:b/>
      <w:bCs/>
      <w:sz w:val="32"/>
      <w:szCs w:val="32"/>
      <w:lang w:bidi="ar-SA"/>
    </w:rPr>
  </w:style>
  <w:style w:type="character" w:customStyle="1" w:styleId="435">
    <w:name w:val="纯文本 字符2"/>
    <w:qFormat/>
    <w:uiPriority w:val="0"/>
    <w:rPr>
      <w:rFonts w:ascii="宋体" w:hAnsi="Courier New" w:eastAsia="宋体" w:cs="Courier New"/>
      <w:kern w:val="2"/>
      <w:sz w:val="21"/>
      <w:szCs w:val="21"/>
      <w:lang w:val="en-US" w:eastAsia="zh-CN" w:bidi="ar-SA"/>
    </w:rPr>
  </w:style>
  <w:style w:type="character" w:customStyle="1" w:styleId="436">
    <w:name w:val="标题 5 字符1"/>
    <w:qFormat/>
    <w:uiPriority w:val="0"/>
    <w:rPr>
      <w:rFonts w:eastAsia="宋体"/>
      <w:b/>
      <w:kern w:val="2"/>
      <w:sz w:val="28"/>
      <w:szCs w:val="24"/>
      <w:lang w:val="en-US" w:eastAsia="zh-CN" w:bidi="ar-SA"/>
    </w:rPr>
  </w:style>
  <w:style w:type="character" w:customStyle="1" w:styleId="437">
    <w:name w:val="标题 8 字符1"/>
    <w:qFormat/>
    <w:uiPriority w:val="0"/>
    <w:rPr>
      <w:rFonts w:ascii="Arial" w:hAnsi="Arial" w:eastAsia="黑体"/>
      <w:kern w:val="2"/>
      <w:sz w:val="24"/>
      <w:szCs w:val="24"/>
      <w:lang w:val="en-US" w:eastAsia="zh-CN" w:bidi="ar-SA"/>
    </w:rPr>
  </w:style>
  <w:style w:type="character" w:customStyle="1" w:styleId="438">
    <w:name w:val="文档结构图 字符1"/>
    <w:qFormat/>
    <w:uiPriority w:val="0"/>
    <w:rPr>
      <w:rFonts w:eastAsia="宋体"/>
      <w:kern w:val="2"/>
      <w:sz w:val="21"/>
      <w:szCs w:val="24"/>
      <w:lang w:val="en-US" w:eastAsia="zh-CN" w:bidi="ar-SA"/>
    </w:rPr>
  </w:style>
  <w:style w:type="character" w:customStyle="1" w:styleId="439">
    <w:name w:val="标题 1 字符1"/>
    <w:qFormat/>
    <w:uiPriority w:val="0"/>
    <w:rPr>
      <w:rFonts w:eastAsia="宋体"/>
      <w:b/>
      <w:bCs/>
      <w:kern w:val="44"/>
      <w:sz w:val="44"/>
      <w:szCs w:val="44"/>
      <w:lang w:val="en-US" w:eastAsia="zh-CN" w:bidi="ar-SA"/>
    </w:rPr>
  </w:style>
  <w:style w:type="character" w:customStyle="1" w:styleId="440">
    <w:name w:val="页眉 字符1"/>
    <w:qFormat/>
    <w:uiPriority w:val="0"/>
    <w:rPr>
      <w:rFonts w:eastAsia="宋体"/>
      <w:kern w:val="2"/>
      <w:sz w:val="18"/>
      <w:szCs w:val="18"/>
      <w:lang w:val="en-US" w:eastAsia="zh-CN" w:bidi="ar-SA"/>
    </w:rPr>
  </w:style>
  <w:style w:type="character" w:customStyle="1" w:styleId="441">
    <w:name w:val="正文文本缩进 3 字符1"/>
    <w:qFormat/>
    <w:uiPriority w:val="0"/>
    <w:rPr>
      <w:rFonts w:eastAsia="宋体"/>
      <w:kern w:val="2"/>
      <w:sz w:val="16"/>
      <w:szCs w:val="16"/>
      <w:lang w:val="en-US" w:eastAsia="zh-CN" w:bidi="ar-SA"/>
    </w:rPr>
  </w:style>
  <w:style w:type="character" w:customStyle="1" w:styleId="442">
    <w:name w:val="页脚 字符1"/>
    <w:qFormat/>
    <w:uiPriority w:val="0"/>
    <w:rPr>
      <w:rFonts w:eastAsia="宋体"/>
      <w:kern w:val="2"/>
      <w:sz w:val="18"/>
      <w:szCs w:val="18"/>
      <w:lang w:val="en-US" w:eastAsia="zh-CN" w:bidi="ar-SA"/>
    </w:rPr>
  </w:style>
  <w:style w:type="character" w:customStyle="1" w:styleId="443">
    <w:name w:val="正文文本缩进 字符1"/>
    <w:qFormat/>
    <w:uiPriority w:val="0"/>
    <w:rPr>
      <w:rFonts w:ascii="仿宋_GB2312" w:eastAsia="仿宋_GB2312"/>
      <w:kern w:val="2"/>
      <w:sz w:val="32"/>
      <w:lang w:val="en-US" w:eastAsia="zh-CN" w:bidi="ar-SA"/>
    </w:rPr>
  </w:style>
  <w:style w:type="character" w:customStyle="1" w:styleId="444">
    <w:name w:val="标题 9 字符1"/>
    <w:qFormat/>
    <w:uiPriority w:val="0"/>
    <w:rPr>
      <w:rFonts w:ascii="Arial" w:hAnsi="Arial" w:eastAsia="黑体"/>
      <w:kern w:val="2"/>
      <w:sz w:val="21"/>
      <w:szCs w:val="24"/>
      <w:lang w:val="en-US" w:eastAsia="zh-CN" w:bidi="ar-SA"/>
    </w:rPr>
  </w:style>
  <w:style w:type="character" w:customStyle="1" w:styleId="445">
    <w:name w:val="正文文本缩进 2 字符1"/>
    <w:qFormat/>
    <w:uiPriority w:val="0"/>
    <w:rPr>
      <w:rFonts w:eastAsia="宋体"/>
      <w:kern w:val="2"/>
      <w:sz w:val="32"/>
      <w:lang w:val="en-US" w:eastAsia="zh-CN" w:bidi="ar-SA"/>
    </w:rPr>
  </w:style>
  <w:style w:type="character" w:customStyle="1" w:styleId="446">
    <w:name w:val="HTML 预设格式 字符1"/>
    <w:qFormat/>
    <w:uiPriority w:val="0"/>
    <w:rPr>
      <w:rFonts w:ascii="黑体" w:hAnsi="Courier New" w:eastAsia="黑体" w:cs="Courier New"/>
      <w:lang w:val="en-US" w:eastAsia="zh-CN" w:bidi="ar-SA"/>
    </w:rPr>
  </w:style>
  <w:style w:type="character" w:customStyle="1" w:styleId="447">
    <w:name w:val="正文文本 2 字符1"/>
    <w:qFormat/>
    <w:uiPriority w:val="0"/>
    <w:rPr>
      <w:rFonts w:eastAsia="宋体"/>
      <w:kern w:val="2"/>
      <w:sz w:val="21"/>
      <w:szCs w:val="24"/>
      <w:lang w:val="en-US" w:eastAsia="zh-CN" w:bidi="ar-SA"/>
    </w:rPr>
  </w:style>
  <w:style w:type="character" w:customStyle="1" w:styleId="448">
    <w:name w:val="正文文本 字符1"/>
    <w:qFormat/>
    <w:uiPriority w:val="0"/>
    <w:rPr>
      <w:rFonts w:eastAsia="宋体"/>
      <w:kern w:val="2"/>
      <w:sz w:val="24"/>
      <w:szCs w:val="24"/>
      <w:lang w:val="en-US" w:eastAsia="zh-CN" w:bidi="ar-SA"/>
    </w:rPr>
  </w:style>
  <w:style w:type="character" w:customStyle="1" w:styleId="449">
    <w:name w:val="标题 6 字符1"/>
    <w:qFormat/>
    <w:uiPriority w:val="0"/>
    <w:rPr>
      <w:rFonts w:ascii="Arial" w:hAnsi="Arial" w:eastAsia="黑体"/>
      <w:b/>
      <w:kern w:val="2"/>
      <w:sz w:val="24"/>
      <w:szCs w:val="24"/>
      <w:lang w:val="en-US" w:eastAsia="zh-CN" w:bidi="ar-SA"/>
    </w:rPr>
  </w:style>
  <w:style w:type="character" w:customStyle="1" w:styleId="450">
    <w:name w:val="称呼 字符1"/>
    <w:qFormat/>
    <w:uiPriority w:val="0"/>
    <w:rPr>
      <w:kern w:val="2"/>
      <w:sz w:val="28"/>
      <w:szCs w:val="24"/>
    </w:rPr>
  </w:style>
  <w:style w:type="character" w:customStyle="1" w:styleId="451">
    <w:name w:val="标题 4 字符1"/>
    <w:qFormat/>
    <w:uiPriority w:val="0"/>
    <w:rPr>
      <w:rFonts w:ascii="Arial" w:hAnsi="Arial" w:eastAsia="黑体"/>
      <w:sz w:val="28"/>
      <w:lang w:bidi="ar-SA"/>
    </w:rPr>
  </w:style>
  <w:style w:type="character" w:customStyle="1" w:styleId="452">
    <w:name w:val="标题 2 字符1"/>
    <w:qFormat/>
    <w:uiPriority w:val="0"/>
    <w:rPr>
      <w:rFonts w:ascii="Arial" w:hAnsi="Arial" w:eastAsia="黑体"/>
      <w:b/>
      <w:bCs/>
      <w:sz w:val="32"/>
      <w:szCs w:val="32"/>
      <w:lang w:bidi="ar-SA"/>
    </w:rPr>
  </w:style>
  <w:style w:type="character" w:customStyle="1" w:styleId="453">
    <w:name w:val="尾注文本 字符1"/>
    <w:qFormat/>
    <w:uiPriority w:val="0"/>
    <w:rPr>
      <w:rFonts w:ascii="Calibri" w:hAnsi="Calibri"/>
      <w:kern w:val="2"/>
      <w:sz w:val="21"/>
      <w:szCs w:val="22"/>
    </w:rPr>
  </w:style>
  <w:style w:type="character" w:customStyle="1" w:styleId="454">
    <w:name w:val="正文文本 3 字符1"/>
    <w:qFormat/>
    <w:uiPriority w:val="0"/>
    <w:rPr>
      <w:rFonts w:eastAsia="宋体"/>
      <w:b/>
      <w:bCs/>
      <w:kern w:val="2"/>
      <w:sz w:val="24"/>
      <w:szCs w:val="24"/>
      <w:lang w:val="en-US" w:eastAsia="zh-CN" w:bidi="ar-SA"/>
    </w:rPr>
  </w:style>
  <w:style w:type="character" w:customStyle="1" w:styleId="455">
    <w:name w:val="日期 字符1"/>
    <w:qFormat/>
    <w:uiPriority w:val="0"/>
    <w:rPr>
      <w:rFonts w:ascii="宋体" w:hAnsi="Courier New" w:eastAsia="宋体" w:cs="Courier New"/>
      <w:kern w:val="2"/>
      <w:sz w:val="21"/>
      <w:szCs w:val="21"/>
      <w:lang w:val="en-US" w:eastAsia="zh-CN" w:bidi="ar-SA"/>
    </w:rPr>
  </w:style>
  <w:style w:type="character" w:customStyle="1" w:styleId="456">
    <w:name w:val="批注文字 字符1"/>
    <w:qFormat/>
    <w:uiPriority w:val="0"/>
    <w:rPr>
      <w:rFonts w:eastAsia="宋体"/>
      <w:sz w:val="24"/>
      <w:lang w:bidi="ar-SA"/>
    </w:rPr>
  </w:style>
  <w:style w:type="character" w:customStyle="1" w:styleId="457">
    <w:name w:val="标题 字符1"/>
    <w:qFormat/>
    <w:uiPriority w:val="0"/>
    <w:rPr>
      <w:rFonts w:ascii="Arial" w:hAnsi="Arial" w:eastAsia="宋体"/>
      <w:b/>
      <w:bCs/>
      <w:kern w:val="2"/>
      <w:sz w:val="32"/>
      <w:szCs w:val="32"/>
      <w:lang w:bidi="ar-SA"/>
    </w:rPr>
  </w:style>
  <w:style w:type="character" w:customStyle="1" w:styleId="458">
    <w:name w:val="标题 7 字符1"/>
    <w:qFormat/>
    <w:uiPriority w:val="0"/>
    <w:rPr>
      <w:rFonts w:eastAsia="宋体"/>
      <w:b/>
      <w:kern w:val="2"/>
      <w:sz w:val="24"/>
      <w:szCs w:val="24"/>
      <w:lang w:val="en-US" w:eastAsia="zh-CN" w:bidi="ar-SA"/>
    </w:rPr>
  </w:style>
  <w:style w:type="character" w:customStyle="1" w:styleId="459">
    <w:name w:val="HTML 地址 字符1"/>
    <w:qFormat/>
    <w:locked/>
    <w:uiPriority w:val="0"/>
    <w:rPr>
      <w:rFonts w:ascii="宋体" w:eastAsia="宋体"/>
      <w:i/>
      <w:iCs/>
      <w:kern w:val="21"/>
      <w:sz w:val="21"/>
      <w:szCs w:val="21"/>
      <w:lang w:val="en-US" w:eastAsia="zh-CN" w:bidi="ar-SA"/>
    </w:rPr>
  </w:style>
  <w:style w:type="character" w:customStyle="1" w:styleId="460">
    <w:name w:val="无间隔 字符1"/>
    <w:qFormat/>
    <w:uiPriority w:val="0"/>
    <w:rPr>
      <w:sz w:val="22"/>
      <w:szCs w:val="22"/>
      <w:lang w:val="en-US" w:eastAsia="zh-CN" w:bidi="ar-SA"/>
    </w:rPr>
  </w:style>
  <w:style w:type="character" w:customStyle="1" w:styleId="461">
    <w:name w:val="脚注文本 字符1"/>
    <w:qFormat/>
    <w:locked/>
    <w:uiPriority w:val="0"/>
    <w:rPr>
      <w:rFonts w:ascii="宋体" w:eastAsia="宋体"/>
      <w:kern w:val="21"/>
      <w:sz w:val="18"/>
      <w:szCs w:val="18"/>
      <w:lang w:val="en-US" w:eastAsia="zh-CN" w:bidi="ar-SA"/>
    </w:rPr>
  </w:style>
  <w:style w:type="character" w:customStyle="1" w:styleId="462">
    <w:name w:val="批注文字 字符2"/>
    <w:qFormat/>
    <w:uiPriority w:val="0"/>
    <w:rPr>
      <w:rFonts w:eastAsia="宋体"/>
      <w:sz w:val="24"/>
      <w:lang w:bidi="ar-SA"/>
    </w:rPr>
  </w:style>
  <w:style w:type="character" w:customStyle="1" w:styleId="463">
    <w:name w:val="HTML 预设格式 字符2"/>
    <w:qFormat/>
    <w:uiPriority w:val="0"/>
    <w:rPr>
      <w:rFonts w:ascii="黑体" w:hAnsi="Courier New" w:eastAsia="黑体" w:cs="Courier New"/>
      <w:lang w:val="en-US" w:eastAsia="zh-CN" w:bidi="ar-SA"/>
    </w:rPr>
  </w:style>
  <w:style w:type="character" w:customStyle="1" w:styleId="464">
    <w:name w:val="HTML 地址 字符2"/>
    <w:qFormat/>
    <w:locked/>
    <w:uiPriority w:val="0"/>
    <w:rPr>
      <w:rFonts w:ascii="宋体" w:eastAsia="宋体"/>
      <w:i/>
      <w:iCs/>
      <w:kern w:val="21"/>
      <w:sz w:val="21"/>
      <w:szCs w:val="21"/>
      <w:lang w:val="en-US" w:eastAsia="zh-CN" w:bidi="ar-SA"/>
    </w:rPr>
  </w:style>
  <w:style w:type="character" w:customStyle="1" w:styleId="465">
    <w:name w:val="页脚 字符2"/>
    <w:qFormat/>
    <w:uiPriority w:val="0"/>
    <w:rPr>
      <w:rFonts w:eastAsia="宋体"/>
      <w:kern w:val="2"/>
      <w:sz w:val="18"/>
      <w:szCs w:val="18"/>
      <w:lang w:val="en-US" w:eastAsia="zh-CN" w:bidi="ar-SA"/>
    </w:rPr>
  </w:style>
  <w:style w:type="character" w:customStyle="1" w:styleId="466">
    <w:name w:val="标题 5 字符2"/>
    <w:qFormat/>
    <w:uiPriority w:val="0"/>
    <w:rPr>
      <w:rFonts w:eastAsia="宋体"/>
      <w:b/>
      <w:kern w:val="2"/>
      <w:sz w:val="28"/>
      <w:szCs w:val="24"/>
      <w:lang w:val="en-US" w:eastAsia="zh-CN" w:bidi="ar-SA"/>
    </w:rPr>
  </w:style>
  <w:style w:type="character" w:customStyle="1" w:styleId="467">
    <w:name w:val="标题 8 字符2"/>
    <w:qFormat/>
    <w:uiPriority w:val="0"/>
    <w:rPr>
      <w:rFonts w:ascii="Arial" w:hAnsi="Arial" w:eastAsia="黑体"/>
      <w:kern w:val="2"/>
      <w:sz w:val="24"/>
      <w:szCs w:val="24"/>
      <w:lang w:val="en-US" w:eastAsia="zh-CN" w:bidi="ar-SA"/>
    </w:rPr>
  </w:style>
  <w:style w:type="character" w:customStyle="1" w:styleId="468">
    <w:name w:val="尾注文本 字符2"/>
    <w:qFormat/>
    <w:uiPriority w:val="0"/>
    <w:rPr>
      <w:rFonts w:ascii="Calibri" w:hAnsi="Calibri"/>
      <w:kern w:val="2"/>
      <w:sz w:val="21"/>
      <w:szCs w:val="22"/>
    </w:rPr>
  </w:style>
  <w:style w:type="character" w:customStyle="1" w:styleId="469">
    <w:name w:val="正文文本 2 字符2"/>
    <w:qFormat/>
    <w:uiPriority w:val="0"/>
    <w:rPr>
      <w:rFonts w:eastAsia="宋体"/>
      <w:kern w:val="2"/>
      <w:sz w:val="21"/>
      <w:szCs w:val="24"/>
      <w:lang w:val="en-US" w:eastAsia="zh-CN" w:bidi="ar-SA"/>
    </w:rPr>
  </w:style>
  <w:style w:type="character" w:customStyle="1" w:styleId="470">
    <w:name w:val="标题 1 字符2"/>
    <w:qFormat/>
    <w:uiPriority w:val="0"/>
    <w:rPr>
      <w:rFonts w:eastAsia="宋体"/>
      <w:b/>
      <w:bCs/>
      <w:kern w:val="44"/>
      <w:sz w:val="44"/>
      <w:szCs w:val="44"/>
      <w:lang w:val="en-US" w:eastAsia="zh-CN" w:bidi="ar-SA"/>
    </w:rPr>
  </w:style>
  <w:style w:type="character" w:customStyle="1" w:styleId="471">
    <w:name w:val="标题 9 字符2"/>
    <w:qFormat/>
    <w:uiPriority w:val="0"/>
    <w:rPr>
      <w:rFonts w:ascii="Arial" w:hAnsi="Arial" w:eastAsia="黑体"/>
      <w:kern w:val="2"/>
      <w:sz w:val="21"/>
      <w:szCs w:val="24"/>
      <w:lang w:val="en-US" w:eastAsia="zh-CN" w:bidi="ar-SA"/>
    </w:rPr>
  </w:style>
  <w:style w:type="character" w:customStyle="1" w:styleId="472">
    <w:name w:val="标题 6 字符2"/>
    <w:qFormat/>
    <w:uiPriority w:val="0"/>
    <w:rPr>
      <w:rFonts w:ascii="Arial" w:hAnsi="Arial" w:eastAsia="黑体"/>
      <w:b/>
      <w:kern w:val="2"/>
      <w:sz w:val="24"/>
      <w:szCs w:val="24"/>
      <w:lang w:val="en-US" w:eastAsia="zh-CN" w:bidi="ar-SA"/>
    </w:rPr>
  </w:style>
  <w:style w:type="character" w:customStyle="1" w:styleId="473">
    <w:name w:val="正文文本缩进 3 字符2"/>
    <w:qFormat/>
    <w:uiPriority w:val="0"/>
    <w:rPr>
      <w:rFonts w:eastAsia="宋体"/>
      <w:kern w:val="2"/>
      <w:sz w:val="16"/>
      <w:szCs w:val="16"/>
      <w:lang w:val="en-US" w:eastAsia="zh-CN" w:bidi="ar-SA"/>
    </w:rPr>
  </w:style>
  <w:style w:type="character" w:customStyle="1" w:styleId="474">
    <w:name w:val="标题 4 字符2"/>
    <w:qFormat/>
    <w:uiPriority w:val="0"/>
    <w:rPr>
      <w:rFonts w:ascii="Arial" w:hAnsi="Arial" w:eastAsia="黑体"/>
      <w:sz w:val="28"/>
      <w:lang w:bidi="ar-SA"/>
    </w:rPr>
  </w:style>
  <w:style w:type="character" w:customStyle="1" w:styleId="475">
    <w:name w:val="标题 字符2"/>
    <w:qFormat/>
    <w:uiPriority w:val="0"/>
    <w:rPr>
      <w:rFonts w:ascii="Arial" w:hAnsi="Arial" w:eastAsia="宋体"/>
      <w:b/>
      <w:bCs/>
      <w:kern w:val="2"/>
      <w:sz w:val="32"/>
      <w:szCs w:val="32"/>
      <w:lang w:bidi="ar-SA"/>
    </w:rPr>
  </w:style>
  <w:style w:type="character" w:customStyle="1" w:styleId="476">
    <w:name w:val="文档结构图 字符2"/>
    <w:qFormat/>
    <w:uiPriority w:val="0"/>
    <w:rPr>
      <w:rFonts w:eastAsia="宋体"/>
      <w:kern w:val="2"/>
      <w:sz w:val="21"/>
      <w:szCs w:val="24"/>
      <w:lang w:val="en-US" w:eastAsia="zh-CN" w:bidi="ar-SA"/>
    </w:rPr>
  </w:style>
  <w:style w:type="character" w:customStyle="1" w:styleId="477">
    <w:name w:val="正文文本 3 字符2"/>
    <w:qFormat/>
    <w:uiPriority w:val="0"/>
    <w:rPr>
      <w:rFonts w:eastAsia="宋体"/>
      <w:b/>
      <w:bCs/>
      <w:kern w:val="2"/>
      <w:sz w:val="24"/>
      <w:szCs w:val="24"/>
      <w:lang w:val="en-US" w:eastAsia="zh-CN" w:bidi="ar-SA"/>
    </w:rPr>
  </w:style>
  <w:style w:type="character" w:customStyle="1" w:styleId="478">
    <w:name w:val="正文文本 字符2"/>
    <w:qFormat/>
    <w:uiPriority w:val="0"/>
    <w:rPr>
      <w:rFonts w:eastAsia="宋体"/>
      <w:kern w:val="2"/>
      <w:sz w:val="24"/>
      <w:szCs w:val="24"/>
      <w:lang w:val="en-US" w:eastAsia="zh-CN" w:bidi="ar-SA"/>
    </w:rPr>
  </w:style>
  <w:style w:type="character" w:customStyle="1" w:styleId="479">
    <w:name w:val="无间隔 字符2"/>
    <w:qFormat/>
    <w:uiPriority w:val="0"/>
    <w:rPr>
      <w:sz w:val="22"/>
      <w:szCs w:val="22"/>
      <w:lang w:val="en-US" w:eastAsia="zh-CN" w:bidi="ar-SA"/>
    </w:rPr>
  </w:style>
  <w:style w:type="character" w:customStyle="1" w:styleId="480">
    <w:name w:val="正文文本缩进 字符2"/>
    <w:qFormat/>
    <w:uiPriority w:val="0"/>
    <w:rPr>
      <w:rFonts w:ascii="仿宋_GB2312" w:eastAsia="仿宋_GB2312"/>
      <w:kern w:val="2"/>
      <w:sz w:val="32"/>
      <w:lang w:val="en-US" w:eastAsia="zh-CN" w:bidi="ar-SA"/>
    </w:rPr>
  </w:style>
  <w:style w:type="character" w:customStyle="1" w:styleId="481">
    <w:name w:val="标题 2 字符2"/>
    <w:qFormat/>
    <w:uiPriority w:val="0"/>
    <w:rPr>
      <w:rFonts w:ascii="Arial" w:hAnsi="Arial" w:eastAsia="黑体"/>
      <w:b/>
      <w:bCs/>
      <w:sz w:val="32"/>
      <w:szCs w:val="32"/>
      <w:lang w:bidi="ar-SA"/>
    </w:rPr>
  </w:style>
  <w:style w:type="character" w:customStyle="1" w:styleId="482">
    <w:name w:val="标题 3 字符2"/>
    <w:qFormat/>
    <w:uiPriority w:val="0"/>
    <w:rPr>
      <w:rFonts w:eastAsia="宋体"/>
      <w:b/>
      <w:bCs/>
      <w:sz w:val="32"/>
      <w:szCs w:val="32"/>
      <w:lang w:bidi="ar-SA"/>
    </w:rPr>
  </w:style>
  <w:style w:type="character" w:customStyle="1" w:styleId="483">
    <w:name w:val="标题 7 字符2"/>
    <w:qFormat/>
    <w:uiPriority w:val="0"/>
    <w:rPr>
      <w:rFonts w:eastAsia="宋体"/>
      <w:b/>
      <w:kern w:val="2"/>
      <w:sz w:val="24"/>
      <w:szCs w:val="24"/>
      <w:lang w:val="en-US" w:eastAsia="zh-CN" w:bidi="ar-SA"/>
    </w:rPr>
  </w:style>
  <w:style w:type="character" w:customStyle="1" w:styleId="484">
    <w:name w:val="正文文本缩进 2 字符2"/>
    <w:qFormat/>
    <w:uiPriority w:val="0"/>
    <w:rPr>
      <w:rFonts w:eastAsia="宋体"/>
      <w:kern w:val="2"/>
      <w:sz w:val="32"/>
      <w:lang w:val="en-US" w:eastAsia="zh-CN" w:bidi="ar-SA"/>
    </w:rPr>
  </w:style>
  <w:style w:type="character" w:customStyle="1" w:styleId="485">
    <w:name w:val="称呼 字符2"/>
    <w:qFormat/>
    <w:uiPriority w:val="0"/>
    <w:rPr>
      <w:kern w:val="2"/>
      <w:sz w:val="28"/>
      <w:szCs w:val="24"/>
    </w:rPr>
  </w:style>
  <w:style w:type="character" w:customStyle="1" w:styleId="486">
    <w:name w:val="纯文本 字符3"/>
    <w:qFormat/>
    <w:uiPriority w:val="0"/>
    <w:rPr>
      <w:rFonts w:ascii="宋体" w:hAnsi="Courier New" w:eastAsia="宋体" w:cs="Courier New"/>
      <w:kern w:val="2"/>
      <w:sz w:val="21"/>
      <w:szCs w:val="21"/>
      <w:lang w:val="en-US" w:eastAsia="zh-CN" w:bidi="ar-SA"/>
    </w:rPr>
  </w:style>
  <w:style w:type="character" w:customStyle="1" w:styleId="487">
    <w:name w:val="日期 字符2"/>
    <w:qFormat/>
    <w:uiPriority w:val="0"/>
    <w:rPr>
      <w:rFonts w:ascii="宋体" w:hAnsi="Courier New" w:eastAsia="宋体" w:cs="Courier New"/>
      <w:kern w:val="2"/>
      <w:sz w:val="21"/>
      <w:szCs w:val="21"/>
      <w:lang w:val="en-US" w:eastAsia="zh-CN" w:bidi="ar-SA"/>
    </w:rPr>
  </w:style>
  <w:style w:type="character" w:customStyle="1" w:styleId="488">
    <w:name w:val="页眉 字符2"/>
    <w:qFormat/>
    <w:uiPriority w:val="0"/>
    <w:rPr>
      <w:rFonts w:eastAsia="宋体"/>
      <w:kern w:val="2"/>
      <w:sz w:val="18"/>
      <w:szCs w:val="18"/>
      <w:lang w:val="en-US" w:eastAsia="zh-CN" w:bidi="ar-SA"/>
    </w:rPr>
  </w:style>
  <w:style w:type="character" w:customStyle="1" w:styleId="489">
    <w:name w:val="脚注文本 字符2"/>
    <w:qFormat/>
    <w:locked/>
    <w:uiPriority w:val="0"/>
    <w:rPr>
      <w:rFonts w:ascii="宋体" w:eastAsia="宋体"/>
      <w:kern w:val="21"/>
      <w:sz w:val="18"/>
      <w:szCs w:val="18"/>
      <w:lang w:val="en-US" w:eastAsia="zh-CN" w:bidi="ar-SA"/>
    </w:rPr>
  </w:style>
  <w:style w:type="character" w:customStyle="1" w:styleId="490">
    <w:name w:val=" Char Char39"/>
    <w:qFormat/>
    <w:uiPriority w:val="0"/>
    <w:rPr>
      <w:rFonts w:eastAsia="宋体"/>
      <w:b/>
      <w:bCs/>
      <w:kern w:val="44"/>
      <w:sz w:val="44"/>
      <w:szCs w:val="44"/>
      <w:lang w:val="en-US" w:eastAsia="zh-CN" w:bidi="ar-SA"/>
    </w:rPr>
  </w:style>
  <w:style w:type="character" w:customStyle="1" w:styleId="491">
    <w:name w:val=" Char Char38"/>
    <w:qFormat/>
    <w:uiPriority w:val="0"/>
    <w:rPr>
      <w:rFonts w:ascii="Arial" w:hAnsi="Arial" w:eastAsia="黑体"/>
      <w:b/>
      <w:bCs/>
      <w:sz w:val="32"/>
      <w:szCs w:val="32"/>
      <w:lang w:bidi="ar-SA"/>
    </w:rPr>
  </w:style>
  <w:style w:type="character" w:customStyle="1" w:styleId="492">
    <w:name w:val="无间隔 字符3"/>
    <w:qFormat/>
    <w:uiPriority w:val="0"/>
    <w:rPr>
      <w:sz w:val="22"/>
      <w:szCs w:val="22"/>
      <w:lang w:val="en-US" w:eastAsia="zh-CN" w:bidi="ar-SA"/>
    </w:rPr>
  </w:style>
  <w:style w:type="character" w:customStyle="1" w:styleId="493">
    <w:name w:val="普通文字 Char Char6"/>
    <w:qFormat/>
    <w:uiPriority w:val="0"/>
    <w:rPr>
      <w:rFonts w:ascii="宋体" w:hAnsi="Courier New" w:eastAsia="宋体" w:cs="Courier New"/>
      <w:kern w:val="2"/>
      <w:sz w:val="21"/>
      <w:szCs w:val="21"/>
      <w:lang w:val="en-US" w:eastAsia="zh-CN" w:bidi="ar-SA"/>
    </w:rPr>
  </w:style>
  <w:style w:type="character" w:customStyle="1" w:styleId="494">
    <w:name w:val="页脚 Char2"/>
    <w:qFormat/>
    <w:locked/>
    <w:uiPriority w:val="0"/>
    <w:rPr>
      <w:rFonts w:hint="eastAsia" w:ascii="宋体" w:hAnsi="宋体" w:eastAsia="宋体"/>
      <w:kern w:val="2"/>
      <w:sz w:val="18"/>
      <w:szCs w:val="18"/>
    </w:rPr>
  </w:style>
  <w:style w:type="character" w:customStyle="1" w:styleId="495">
    <w:name w:val="font61"/>
    <w:basedOn w:val="54"/>
    <w:qFormat/>
    <w:uiPriority w:val="0"/>
    <w:rPr>
      <w:rFonts w:hint="eastAsia" w:ascii="宋体" w:hAnsi="宋体" w:eastAsia="宋体" w:cs="宋体"/>
      <w:color w:val="000000"/>
      <w:sz w:val="21"/>
      <w:szCs w:val="21"/>
      <w:u w:val="none"/>
    </w:rPr>
  </w:style>
  <w:style w:type="character" w:customStyle="1" w:styleId="496">
    <w:name w:val="font101"/>
    <w:basedOn w:val="54"/>
    <w:qFormat/>
    <w:uiPriority w:val="0"/>
    <w:rPr>
      <w:rFonts w:hint="eastAsia" w:ascii="宋体" w:hAnsi="宋体" w:eastAsia="宋体" w:cs="宋体"/>
      <w:color w:val="000000"/>
      <w:sz w:val="21"/>
      <w:szCs w:val="21"/>
      <w:u w:val="none"/>
    </w:rPr>
  </w:style>
  <w:style w:type="table" w:customStyle="1" w:styleId="497">
    <w:name w:val="Colorful List Accent 1"/>
    <w:qFormat/>
    <w:uiPriority w:val="0"/>
    <w:rPr>
      <w:rFonts w:ascii="Calibri" w:hAnsi="Calibri"/>
      <w:sz w:val="24"/>
      <w:szCs w:val="24"/>
      <w:lang w:val="en-US" w:eastAsia="en-US" w:bidi="ar-SA"/>
    </w:rPr>
    <w:tblPr>
      <w:tblCellMar>
        <w:top w:w="0" w:type="dxa"/>
        <w:left w:w="108" w:type="dxa"/>
        <w:bottom w:w="0" w:type="dxa"/>
        <w:right w:w="108" w:type="dxa"/>
      </w:tblCellMar>
    </w:tblPr>
    <w:tcPr>
      <w:shd w:val="clear" w:color="auto" w:fill="EDF2F8"/>
    </w:tcPr>
  </w:style>
  <w:style w:type="character" w:customStyle="1" w:styleId="498">
    <w:name w:val="Body Text Char1"/>
    <w:qFormat/>
    <w:locked/>
    <w:uiPriority w:val="0"/>
    <w:rPr>
      <w:rFonts w:eastAsia="宋体"/>
      <w:kern w:val="2"/>
      <w:sz w:val="24"/>
      <w:lang w:val="en-US" w:eastAsia="zh-CN"/>
    </w:rPr>
  </w:style>
  <w:style w:type="character" w:customStyle="1" w:styleId="499">
    <w:name w:val="Heading 1 Char1"/>
    <w:qFormat/>
    <w:locked/>
    <w:uiPriority w:val="0"/>
    <w:rPr>
      <w:rFonts w:eastAsia="宋体"/>
      <w:b/>
      <w:kern w:val="44"/>
      <w:sz w:val="44"/>
      <w:lang w:val="en-US" w:eastAsia="zh-CN"/>
    </w:rPr>
  </w:style>
  <w:style w:type="character" w:customStyle="1" w:styleId="500">
    <w:name w:val="Heading 2 Char1"/>
    <w:qFormat/>
    <w:locked/>
    <w:uiPriority w:val="0"/>
    <w:rPr>
      <w:rFonts w:ascii="Arial" w:hAnsi="Arial" w:eastAsia="黑体"/>
      <w:b/>
      <w:sz w:val="32"/>
    </w:rPr>
  </w:style>
  <w:style w:type="character" w:customStyle="1" w:styleId="501">
    <w:name w:val="Heading 3 Char1"/>
    <w:qFormat/>
    <w:locked/>
    <w:uiPriority w:val="0"/>
    <w:rPr>
      <w:rFonts w:eastAsia="宋体"/>
      <w:b/>
      <w:sz w:val="32"/>
    </w:rPr>
  </w:style>
  <w:style w:type="character" w:customStyle="1" w:styleId="502">
    <w:name w:val="Heading 4 Char1"/>
    <w:qFormat/>
    <w:locked/>
    <w:uiPriority w:val="0"/>
    <w:rPr>
      <w:rFonts w:ascii="Arial" w:hAnsi="Arial" w:eastAsia="黑体"/>
      <w:sz w:val="28"/>
    </w:rPr>
  </w:style>
  <w:style w:type="character" w:customStyle="1" w:styleId="503">
    <w:name w:val="Heading 5 Char1"/>
    <w:qFormat/>
    <w:locked/>
    <w:uiPriority w:val="0"/>
    <w:rPr>
      <w:rFonts w:eastAsia="宋体"/>
      <w:b/>
      <w:kern w:val="2"/>
      <w:sz w:val="24"/>
      <w:lang w:val="en-US" w:eastAsia="zh-CN"/>
    </w:rPr>
  </w:style>
  <w:style w:type="character" w:customStyle="1" w:styleId="504">
    <w:name w:val="Heading 6 Char1"/>
    <w:qFormat/>
    <w:locked/>
    <w:uiPriority w:val="0"/>
    <w:rPr>
      <w:rFonts w:ascii="Arial" w:hAnsi="Arial" w:eastAsia="黑体"/>
      <w:b/>
      <w:kern w:val="2"/>
      <w:sz w:val="24"/>
      <w:lang w:val="en-US" w:eastAsia="zh-CN"/>
    </w:rPr>
  </w:style>
  <w:style w:type="character" w:customStyle="1" w:styleId="505">
    <w:name w:val="Heading 7 Char1"/>
    <w:qFormat/>
    <w:locked/>
    <w:uiPriority w:val="0"/>
    <w:rPr>
      <w:rFonts w:eastAsia="宋体"/>
      <w:b/>
      <w:kern w:val="2"/>
      <w:sz w:val="24"/>
      <w:lang w:val="en-US" w:eastAsia="zh-CN"/>
    </w:rPr>
  </w:style>
  <w:style w:type="character" w:customStyle="1" w:styleId="506">
    <w:name w:val="Heading 8 Char1"/>
    <w:qFormat/>
    <w:locked/>
    <w:uiPriority w:val="0"/>
    <w:rPr>
      <w:rFonts w:ascii="Arial" w:hAnsi="Arial" w:eastAsia="黑体"/>
      <w:kern w:val="2"/>
      <w:sz w:val="24"/>
      <w:lang w:val="en-US" w:eastAsia="zh-CN"/>
    </w:rPr>
  </w:style>
  <w:style w:type="character" w:customStyle="1" w:styleId="507">
    <w:name w:val="Heading 9 Char1"/>
    <w:qFormat/>
    <w:locked/>
    <w:uiPriority w:val="0"/>
    <w:rPr>
      <w:rFonts w:ascii="Arial" w:hAnsi="Arial" w:eastAsia="黑体"/>
      <w:kern w:val="2"/>
      <w:sz w:val="24"/>
      <w:lang w:val="en-US" w:eastAsia="zh-CN"/>
    </w:rPr>
  </w:style>
  <w:style w:type="character" w:customStyle="1" w:styleId="508">
    <w:name w:val="Document Map Char1"/>
    <w:qFormat/>
    <w:locked/>
    <w:uiPriority w:val="0"/>
    <w:rPr>
      <w:rFonts w:eastAsia="宋体"/>
      <w:kern w:val="2"/>
      <w:sz w:val="24"/>
      <w:lang w:val="en-US" w:eastAsia="zh-CN"/>
    </w:rPr>
  </w:style>
  <w:style w:type="character" w:customStyle="1" w:styleId="509">
    <w:name w:val="Comment Text Char"/>
    <w:qFormat/>
    <w:locked/>
    <w:uiPriority w:val="0"/>
    <w:rPr>
      <w:rFonts w:eastAsia="宋体"/>
      <w:sz w:val="24"/>
    </w:rPr>
  </w:style>
  <w:style w:type="character" w:customStyle="1" w:styleId="510">
    <w:name w:val="Salutation Char"/>
    <w:qFormat/>
    <w:locked/>
    <w:uiPriority w:val="0"/>
    <w:rPr>
      <w:kern w:val="2"/>
      <w:sz w:val="24"/>
    </w:rPr>
  </w:style>
  <w:style w:type="character" w:customStyle="1" w:styleId="511">
    <w:name w:val="Body Text 3 Char"/>
    <w:qFormat/>
    <w:locked/>
    <w:uiPriority w:val="0"/>
    <w:rPr>
      <w:rFonts w:eastAsia="宋体"/>
      <w:b/>
      <w:kern w:val="2"/>
      <w:sz w:val="24"/>
      <w:lang w:val="en-US" w:eastAsia="zh-CN"/>
    </w:rPr>
  </w:style>
  <w:style w:type="character" w:customStyle="1" w:styleId="512">
    <w:name w:val="Body Text Indent Char"/>
    <w:qFormat/>
    <w:locked/>
    <w:uiPriority w:val="0"/>
    <w:rPr>
      <w:rFonts w:ascii="仿宋_GB2312" w:eastAsia="仿宋_GB2312"/>
      <w:kern w:val="2"/>
      <w:sz w:val="32"/>
      <w:lang w:val="en-US" w:eastAsia="zh-CN"/>
    </w:rPr>
  </w:style>
  <w:style w:type="character" w:customStyle="1" w:styleId="513">
    <w:name w:val="Plain Text Char1"/>
    <w:qFormat/>
    <w:locked/>
    <w:uiPriority w:val="0"/>
    <w:rPr>
      <w:rFonts w:ascii="宋体" w:hAnsi="Courier New" w:eastAsia="宋体"/>
      <w:kern w:val="2"/>
      <w:sz w:val="21"/>
      <w:lang w:val="en-US" w:eastAsia="zh-CN"/>
    </w:rPr>
  </w:style>
  <w:style w:type="character" w:customStyle="1" w:styleId="514">
    <w:name w:val="Date Char1"/>
    <w:qFormat/>
    <w:locked/>
    <w:uiPriority w:val="0"/>
    <w:rPr>
      <w:rFonts w:ascii="宋体" w:hAnsi="Courier New" w:eastAsia="宋体"/>
      <w:kern w:val="2"/>
      <w:sz w:val="21"/>
      <w:lang w:val="en-US" w:eastAsia="zh-CN"/>
    </w:rPr>
  </w:style>
  <w:style w:type="character" w:customStyle="1" w:styleId="515">
    <w:name w:val="Body Text Indent 2 Char"/>
    <w:qFormat/>
    <w:locked/>
    <w:uiPriority w:val="0"/>
    <w:rPr>
      <w:rFonts w:eastAsia="宋体"/>
      <w:kern w:val="2"/>
      <w:sz w:val="32"/>
      <w:lang w:val="en-US" w:eastAsia="zh-CN"/>
    </w:rPr>
  </w:style>
  <w:style w:type="character" w:customStyle="1" w:styleId="516">
    <w:name w:val="Endnote Text Char"/>
    <w:qFormat/>
    <w:locked/>
    <w:uiPriority w:val="0"/>
    <w:rPr>
      <w:rFonts w:ascii="Calibri" w:hAnsi="Calibri"/>
      <w:kern w:val="2"/>
      <w:sz w:val="22"/>
    </w:rPr>
  </w:style>
  <w:style w:type="character" w:customStyle="1" w:styleId="517">
    <w:name w:val="Balloon Text Char1"/>
    <w:semiHidden/>
    <w:qFormat/>
    <w:locked/>
    <w:uiPriority w:val="0"/>
    <w:rPr>
      <w:rFonts w:eastAsia="宋体"/>
      <w:kern w:val="2"/>
      <w:sz w:val="18"/>
      <w:lang w:val="en-US" w:eastAsia="zh-CN"/>
    </w:rPr>
  </w:style>
  <w:style w:type="character" w:customStyle="1" w:styleId="518">
    <w:name w:val="Footer Char1"/>
    <w:qFormat/>
    <w:locked/>
    <w:uiPriority w:val="0"/>
    <w:rPr>
      <w:rFonts w:eastAsia="宋体"/>
      <w:kern w:val="2"/>
      <w:sz w:val="18"/>
      <w:lang w:val="en-US" w:eastAsia="zh-CN"/>
    </w:rPr>
  </w:style>
  <w:style w:type="character" w:customStyle="1" w:styleId="519">
    <w:name w:val="Header Char1"/>
    <w:qFormat/>
    <w:locked/>
    <w:uiPriority w:val="0"/>
    <w:rPr>
      <w:rFonts w:eastAsia="宋体"/>
      <w:kern w:val="2"/>
      <w:sz w:val="18"/>
      <w:lang w:val="en-US" w:eastAsia="zh-CN"/>
    </w:rPr>
  </w:style>
  <w:style w:type="character" w:customStyle="1" w:styleId="520">
    <w:name w:val="Body Text Indent 3 Char"/>
    <w:qFormat/>
    <w:locked/>
    <w:uiPriority w:val="0"/>
    <w:rPr>
      <w:rFonts w:eastAsia="宋体"/>
      <w:kern w:val="2"/>
      <w:sz w:val="16"/>
      <w:lang w:val="en-US" w:eastAsia="zh-CN"/>
    </w:rPr>
  </w:style>
  <w:style w:type="character" w:customStyle="1" w:styleId="521">
    <w:name w:val="Body Text 2 Char"/>
    <w:qFormat/>
    <w:locked/>
    <w:uiPriority w:val="0"/>
    <w:rPr>
      <w:rFonts w:eastAsia="宋体"/>
      <w:kern w:val="2"/>
      <w:sz w:val="24"/>
      <w:lang w:val="en-US" w:eastAsia="zh-CN"/>
    </w:rPr>
  </w:style>
  <w:style w:type="character" w:customStyle="1" w:styleId="522">
    <w:name w:val="HTML Preformatted Char1"/>
    <w:qFormat/>
    <w:locked/>
    <w:uiPriority w:val="0"/>
    <w:rPr>
      <w:rFonts w:ascii="黑体" w:hAnsi="Courier New" w:eastAsia="黑体"/>
      <w:lang w:val="en-US" w:eastAsia="zh-CN"/>
    </w:rPr>
  </w:style>
  <w:style w:type="character" w:customStyle="1" w:styleId="523">
    <w:name w:val="Title Char1"/>
    <w:qFormat/>
    <w:locked/>
    <w:uiPriority w:val="0"/>
    <w:rPr>
      <w:rFonts w:ascii="Arial" w:hAnsi="Arial" w:eastAsia="宋体"/>
      <w:b/>
      <w:kern w:val="2"/>
      <w:sz w:val="32"/>
    </w:rPr>
  </w:style>
  <w:style w:type="character" w:customStyle="1" w:styleId="524">
    <w:name w:val="Comment Subject Char"/>
    <w:semiHidden/>
    <w:qFormat/>
    <w:locked/>
    <w:uiPriority w:val="0"/>
    <w:rPr>
      <w:b/>
      <w:kern w:val="2"/>
      <w:sz w:val="24"/>
    </w:rPr>
  </w:style>
  <w:style w:type="character" w:customStyle="1" w:styleId="525">
    <w:name w:val="Char Char101"/>
    <w:semiHidden/>
    <w:qFormat/>
    <w:uiPriority w:val="0"/>
    <w:rPr>
      <w:rFonts w:eastAsia="宋体"/>
      <w:kern w:val="2"/>
      <w:sz w:val="24"/>
      <w:lang w:val="en-US" w:eastAsia="zh-CN"/>
    </w:rPr>
  </w:style>
  <w:style w:type="character" w:customStyle="1" w:styleId="526">
    <w:name w:val="Char Char141"/>
    <w:qFormat/>
    <w:uiPriority w:val="0"/>
    <w:rPr>
      <w:sz w:val="18"/>
    </w:rPr>
  </w:style>
  <w:style w:type="character" w:customStyle="1" w:styleId="527">
    <w:name w:val="Char Char Char Char Char1"/>
    <w:qFormat/>
    <w:uiPriority w:val="0"/>
    <w:rPr>
      <w:rFonts w:eastAsia="宋体"/>
      <w:b/>
      <w:kern w:val="44"/>
      <w:sz w:val="44"/>
      <w:lang w:val="en-US" w:eastAsia="zh-CN"/>
    </w:rPr>
  </w:style>
  <w:style w:type="character" w:customStyle="1" w:styleId="528">
    <w:name w:val="Char Char231"/>
    <w:qFormat/>
    <w:uiPriority w:val="0"/>
    <w:rPr>
      <w:rFonts w:ascii="Times New Roman" w:hAnsi="Times New Roman" w:eastAsia="宋体"/>
      <w:b/>
      <w:kern w:val="44"/>
      <w:sz w:val="44"/>
    </w:rPr>
  </w:style>
  <w:style w:type="character" w:customStyle="1" w:styleId="529">
    <w:name w:val="Char Char151"/>
    <w:qFormat/>
    <w:uiPriority w:val="0"/>
    <w:rPr>
      <w:sz w:val="18"/>
    </w:rPr>
  </w:style>
  <w:style w:type="paragraph" w:customStyle="1" w:styleId="530">
    <w:name w:val="Char Char112"/>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531">
    <w:name w:val="纯文本11"/>
    <w:basedOn w:val="1"/>
    <w:qFormat/>
    <w:uiPriority w:val="0"/>
    <w:rPr>
      <w:rFonts w:ascii="宋体"/>
      <w:szCs w:val="21"/>
    </w:rPr>
  </w:style>
  <w:style w:type="paragraph" w:customStyle="1" w:styleId="532">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533">
    <w:name w:val="修订1"/>
    <w:semiHidden/>
    <w:qFormat/>
    <w:uiPriority w:val="0"/>
    <w:rPr>
      <w:rFonts w:ascii="Times New Roman" w:hAnsi="Times New Roman" w:eastAsia="宋体" w:cs="Times New Roman"/>
      <w:kern w:val="2"/>
      <w:sz w:val="21"/>
      <w:szCs w:val="24"/>
      <w:lang w:val="en-US" w:eastAsia="zh-CN" w:bidi="ar-SA"/>
    </w:rPr>
  </w:style>
  <w:style w:type="paragraph" w:customStyle="1" w:styleId="534">
    <w:name w:val="Char Char19 Char Char Char Char1"/>
    <w:basedOn w:val="16"/>
    <w:qFormat/>
    <w:uiPriority w:val="0"/>
    <w:pPr>
      <w:widowControl/>
      <w:ind w:firstLine="454"/>
      <w:jc w:val="left"/>
    </w:pPr>
  </w:style>
  <w:style w:type="paragraph" w:customStyle="1" w:styleId="535">
    <w:name w:val="No Spacing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6">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537">
    <w:name w:val="Char3"/>
    <w:basedOn w:val="16"/>
    <w:qFormat/>
    <w:uiPriority w:val="0"/>
    <w:pPr>
      <w:widowControl/>
      <w:ind w:firstLine="454"/>
      <w:jc w:val="left"/>
    </w:pPr>
    <w:rPr>
      <w:rFonts w:ascii="Tahoma" w:hAnsi="Tahoma" w:cs="宋体"/>
      <w:kern w:val="0"/>
      <w:sz w:val="24"/>
      <w:szCs w:val="20"/>
    </w:rPr>
  </w:style>
  <w:style w:type="paragraph" w:customStyle="1" w:styleId="538">
    <w:name w:val="Char Char1 Char Char Char Char2"/>
    <w:basedOn w:val="16"/>
    <w:qFormat/>
    <w:uiPriority w:val="0"/>
    <w:rPr>
      <w:rFonts w:ascii="Tahoma" w:hAnsi="Tahoma"/>
      <w:sz w:val="24"/>
    </w:rPr>
  </w:style>
  <w:style w:type="paragraph" w:customStyle="1" w:styleId="539">
    <w:name w:val="Char Char Char Char Char Char1 Char2"/>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540">
    <w:name w:val="Char22"/>
    <w:basedOn w:val="1"/>
    <w:qFormat/>
    <w:uiPriority w:val="0"/>
    <w:pPr>
      <w:widowControl/>
      <w:spacing w:after="160" w:line="240" w:lineRule="exact"/>
      <w:jc w:val="left"/>
    </w:pPr>
    <w:rPr>
      <w:rFonts w:ascii="Verdana" w:hAnsi="Verdana"/>
      <w:kern w:val="0"/>
      <w:szCs w:val="20"/>
      <w:lang w:eastAsia="en-US"/>
    </w:rPr>
  </w:style>
  <w:style w:type="paragraph" w:customStyle="1" w:styleId="541">
    <w:name w:val="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542">
    <w:name w:val="Char13"/>
    <w:basedOn w:val="1"/>
    <w:qFormat/>
    <w:uiPriority w:val="0"/>
    <w:rPr>
      <w:szCs w:val="21"/>
    </w:rPr>
  </w:style>
  <w:style w:type="paragraph" w:customStyle="1" w:styleId="543">
    <w:name w:val="列出段落4"/>
    <w:basedOn w:val="1"/>
    <w:qFormat/>
    <w:uiPriority w:val="0"/>
    <w:pPr>
      <w:ind w:firstLine="420" w:firstLineChars="200"/>
    </w:pPr>
    <w:rPr>
      <w:rFonts w:ascii="Calibri" w:hAnsi="Calibri"/>
      <w:szCs w:val="22"/>
    </w:rPr>
  </w:style>
  <w:style w:type="paragraph" w:customStyle="1" w:styleId="544">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545">
    <w:name w:val="Char Char9 Char Char Char Char2"/>
    <w:basedOn w:val="1"/>
    <w:qFormat/>
    <w:uiPriority w:val="0"/>
    <w:pPr>
      <w:widowControl/>
      <w:spacing w:after="160" w:line="240" w:lineRule="exact"/>
      <w:jc w:val="left"/>
    </w:pPr>
  </w:style>
  <w:style w:type="character" w:customStyle="1" w:styleId="546">
    <w:name w:val="Char Char33"/>
    <w:qFormat/>
    <w:uiPriority w:val="0"/>
    <w:rPr>
      <w:rFonts w:eastAsia="宋体"/>
      <w:b/>
      <w:kern w:val="44"/>
      <w:sz w:val="44"/>
      <w:lang w:val="en-US" w:eastAsia="zh-CN"/>
    </w:rPr>
  </w:style>
  <w:style w:type="character" w:customStyle="1" w:styleId="547">
    <w:name w:val="Char Char32"/>
    <w:qFormat/>
    <w:uiPriority w:val="0"/>
    <w:rPr>
      <w:rFonts w:ascii="Arial" w:hAnsi="Arial" w:eastAsia="黑体"/>
      <w:b/>
      <w:sz w:val="32"/>
    </w:rPr>
  </w:style>
  <w:style w:type="character" w:customStyle="1" w:styleId="548">
    <w:name w:val="Char Char35"/>
    <w:qFormat/>
    <w:uiPriority w:val="0"/>
    <w:rPr>
      <w:rFonts w:eastAsia="宋体"/>
      <w:b/>
      <w:kern w:val="44"/>
      <w:sz w:val="44"/>
      <w:lang w:val="en-US" w:eastAsia="zh-CN"/>
    </w:rPr>
  </w:style>
  <w:style w:type="character" w:customStyle="1" w:styleId="549">
    <w:name w:val="Char Char34"/>
    <w:qFormat/>
    <w:uiPriority w:val="0"/>
    <w:rPr>
      <w:rFonts w:ascii="Arial" w:hAnsi="Arial" w:eastAsia="黑体"/>
      <w:b/>
      <w:sz w:val="32"/>
    </w:rPr>
  </w:style>
  <w:style w:type="character" w:customStyle="1" w:styleId="550">
    <w:name w:val="Char Char37"/>
    <w:qFormat/>
    <w:uiPriority w:val="0"/>
    <w:rPr>
      <w:rFonts w:eastAsia="宋体"/>
      <w:b/>
      <w:kern w:val="44"/>
      <w:sz w:val="44"/>
      <w:lang w:val="en-US" w:eastAsia="zh-CN"/>
    </w:rPr>
  </w:style>
  <w:style w:type="character" w:customStyle="1" w:styleId="551">
    <w:name w:val="Char Char36"/>
    <w:qFormat/>
    <w:uiPriority w:val="0"/>
    <w:rPr>
      <w:rFonts w:ascii="Arial" w:hAnsi="Arial" w:eastAsia="黑体"/>
      <w:b/>
      <w:sz w:val="32"/>
    </w:rPr>
  </w:style>
  <w:style w:type="character" w:customStyle="1" w:styleId="552">
    <w:name w:val="Char Char39"/>
    <w:qFormat/>
    <w:uiPriority w:val="0"/>
    <w:rPr>
      <w:rFonts w:eastAsia="宋体"/>
      <w:b/>
      <w:kern w:val="44"/>
      <w:sz w:val="44"/>
      <w:lang w:val="en-US" w:eastAsia="zh-CN"/>
    </w:rPr>
  </w:style>
  <w:style w:type="character" w:customStyle="1" w:styleId="553">
    <w:name w:val="Char Char38"/>
    <w:qFormat/>
    <w:uiPriority w:val="0"/>
    <w:rPr>
      <w:rFonts w:ascii="Arial" w:hAnsi="Arial" w:eastAsia="黑体"/>
      <w:b/>
      <w:sz w:val="32"/>
    </w:rPr>
  </w:style>
  <w:style w:type="paragraph" w:customStyle="1" w:styleId="554">
    <w:name w:val="_Style 49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55">
    <w:name w:val=" Char Char42"/>
    <w:qFormat/>
    <w:uiPriority w:val="0"/>
    <w:rPr>
      <w:rFonts w:eastAsia="宋体"/>
      <w:b/>
      <w:bCs/>
      <w:kern w:val="44"/>
      <w:sz w:val="44"/>
      <w:szCs w:val="44"/>
      <w:lang w:val="en-US" w:eastAsia="zh-CN" w:bidi="ar-SA"/>
    </w:rPr>
  </w:style>
  <w:style w:type="character" w:customStyle="1" w:styleId="556">
    <w:name w:val=" Char Char41"/>
    <w:qFormat/>
    <w:uiPriority w:val="0"/>
    <w:rPr>
      <w:rFonts w:ascii="Arial" w:hAnsi="Arial" w:eastAsia="黑体"/>
      <w:b/>
      <w:bCs/>
      <w:sz w:val="32"/>
      <w:szCs w:val="32"/>
      <w:lang w:bidi="ar-SA"/>
    </w:rPr>
  </w:style>
  <w:style w:type="character" w:customStyle="1" w:styleId="557">
    <w:name w:val=" Char Char40"/>
    <w:qFormat/>
    <w:uiPriority w:val="0"/>
    <w:rPr>
      <w:rFonts w:eastAsia="宋体"/>
      <w:b/>
      <w:bCs/>
      <w:sz w:val="32"/>
      <w:szCs w:val="32"/>
      <w:lang w:bidi="ar-SA"/>
    </w:rPr>
  </w:style>
  <w:style w:type="character" w:customStyle="1" w:styleId="558">
    <w:name w:val=" Char Char45"/>
    <w:qFormat/>
    <w:uiPriority w:val="0"/>
    <w:rPr>
      <w:rFonts w:eastAsia="宋体"/>
      <w:b/>
      <w:bCs/>
      <w:kern w:val="44"/>
      <w:sz w:val="44"/>
      <w:szCs w:val="44"/>
      <w:lang w:val="en-US" w:eastAsia="zh-CN" w:bidi="ar-SA"/>
    </w:rPr>
  </w:style>
  <w:style w:type="character" w:customStyle="1" w:styleId="559">
    <w:name w:val=" Char Char44"/>
    <w:qFormat/>
    <w:uiPriority w:val="0"/>
    <w:rPr>
      <w:rFonts w:ascii="Arial" w:hAnsi="Arial" w:eastAsia="黑体"/>
      <w:b/>
      <w:bCs/>
      <w:sz w:val="32"/>
      <w:szCs w:val="32"/>
      <w:lang w:bidi="ar-SA"/>
    </w:rPr>
  </w:style>
  <w:style w:type="character" w:customStyle="1" w:styleId="560">
    <w:name w:val=" Char Char43"/>
    <w:qFormat/>
    <w:uiPriority w:val="0"/>
    <w:rPr>
      <w:rFonts w:eastAsia="宋体"/>
      <w:b/>
      <w:bCs/>
      <w:sz w:val="32"/>
      <w:szCs w:val="32"/>
      <w:lang w:bidi="ar-SA"/>
    </w:rPr>
  </w:style>
  <w:style w:type="table" w:customStyle="1" w:styleId="561">
    <w:name w:val="彩色列表 - 强调文字颜色 111"/>
    <w:basedOn w:val="52"/>
    <w:qFormat/>
    <w:uiPriority w:val="0"/>
    <w:rPr>
      <w:rFonts w:ascii="Calibri" w:hAnsi="Calibri"/>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562">
    <w:name w:val=" Char Char48"/>
    <w:qFormat/>
    <w:uiPriority w:val="0"/>
    <w:rPr>
      <w:rFonts w:eastAsia="宋体"/>
      <w:b/>
      <w:bCs/>
      <w:kern w:val="44"/>
      <w:sz w:val="44"/>
      <w:szCs w:val="44"/>
      <w:lang w:val="en-US" w:eastAsia="zh-CN" w:bidi="ar-SA"/>
    </w:rPr>
  </w:style>
  <w:style w:type="character" w:customStyle="1" w:styleId="563">
    <w:name w:val=" Char Char47"/>
    <w:qFormat/>
    <w:uiPriority w:val="0"/>
    <w:rPr>
      <w:rFonts w:ascii="Arial" w:hAnsi="Arial" w:eastAsia="黑体"/>
      <w:b/>
      <w:bCs/>
      <w:sz w:val="32"/>
      <w:szCs w:val="32"/>
      <w:lang w:bidi="ar-SA"/>
    </w:rPr>
  </w:style>
  <w:style w:type="character" w:customStyle="1" w:styleId="564">
    <w:name w:val=" Char Char46"/>
    <w:qFormat/>
    <w:uiPriority w:val="0"/>
    <w:rPr>
      <w:rFonts w:eastAsia="宋体"/>
      <w:b/>
      <w:bCs/>
      <w:sz w:val="32"/>
      <w:szCs w:val="32"/>
      <w:lang w:bidi="ar-SA"/>
    </w:rPr>
  </w:style>
  <w:style w:type="character" w:customStyle="1" w:styleId="565">
    <w:name w:val="普通文字 Char Char3"/>
    <w:qFormat/>
    <w:uiPriority w:val="0"/>
    <w:rPr>
      <w:rFonts w:ascii="宋体" w:hAnsi="Courier New" w:eastAsia="宋体" w:cs="Courier New"/>
      <w:kern w:val="2"/>
      <w:sz w:val="21"/>
      <w:szCs w:val="21"/>
      <w:lang w:val="en-US" w:eastAsia="zh-CN" w:bidi="ar-SA"/>
    </w:rPr>
  </w:style>
  <w:style w:type="character" w:customStyle="1" w:styleId="566">
    <w:name w:val="普通文字 Char Char5"/>
    <w:qFormat/>
    <w:uiPriority w:val="0"/>
    <w:rPr>
      <w:rFonts w:ascii="宋体" w:hAnsi="Courier New" w:eastAsia="宋体" w:cs="Courier New"/>
      <w:kern w:val="2"/>
      <w:sz w:val="21"/>
      <w:szCs w:val="21"/>
      <w:lang w:val="en-US" w:eastAsia="zh-CN" w:bidi="ar-SA"/>
    </w:rPr>
  </w:style>
  <w:style w:type="paragraph" w:customStyle="1" w:styleId="567">
    <w:name w:val="首行缩进"/>
    <w:basedOn w:val="1"/>
    <w:qFormat/>
    <w:uiPriority w:val="0"/>
    <w:pPr>
      <w:ind w:firstLine="480" w:firstLineChars="200"/>
    </w:pPr>
    <w:rPr>
      <w:sz w:val="24"/>
    </w:rPr>
  </w:style>
  <w:style w:type="paragraph" w:customStyle="1" w:styleId="568">
    <w:name w:val="_Style 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69">
    <w:name w:val="称呼 字符3"/>
    <w:qFormat/>
    <w:uiPriority w:val="0"/>
    <w:rPr>
      <w:kern w:val="2"/>
      <w:sz w:val="28"/>
      <w:szCs w:val="24"/>
    </w:rPr>
  </w:style>
  <w:style w:type="character" w:customStyle="1" w:styleId="570">
    <w:name w:val="批注文字 字符3"/>
    <w:qFormat/>
    <w:uiPriority w:val="0"/>
    <w:rPr>
      <w:rFonts w:eastAsia="宋体"/>
      <w:sz w:val="24"/>
      <w:lang w:bidi="ar-SA"/>
    </w:rPr>
  </w:style>
  <w:style w:type="character" w:customStyle="1" w:styleId="571">
    <w:name w:val="正文文本缩进 2 字符3"/>
    <w:qFormat/>
    <w:uiPriority w:val="0"/>
    <w:rPr>
      <w:rFonts w:eastAsia="宋体"/>
      <w:kern w:val="2"/>
      <w:sz w:val="32"/>
      <w:lang w:val="en-US" w:eastAsia="zh-CN" w:bidi="ar-SA"/>
    </w:rPr>
  </w:style>
  <w:style w:type="character" w:customStyle="1" w:styleId="572">
    <w:name w:val="标题 5 字符3"/>
    <w:qFormat/>
    <w:uiPriority w:val="0"/>
    <w:rPr>
      <w:rFonts w:eastAsia="宋体"/>
      <w:b/>
      <w:kern w:val="2"/>
      <w:sz w:val="28"/>
      <w:szCs w:val="24"/>
      <w:lang w:val="en-US" w:eastAsia="zh-CN" w:bidi="ar-SA"/>
    </w:rPr>
  </w:style>
  <w:style w:type="character" w:customStyle="1" w:styleId="573">
    <w:name w:val="正文文本 3 字符3"/>
    <w:qFormat/>
    <w:uiPriority w:val="0"/>
    <w:rPr>
      <w:rFonts w:eastAsia="宋体"/>
      <w:b/>
      <w:bCs/>
      <w:kern w:val="2"/>
      <w:sz w:val="24"/>
      <w:szCs w:val="24"/>
      <w:lang w:val="en-US" w:eastAsia="zh-CN" w:bidi="ar-SA"/>
    </w:rPr>
  </w:style>
  <w:style w:type="character" w:customStyle="1" w:styleId="574">
    <w:name w:val="标题 8 字符3"/>
    <w:qFormat/>
    <w:uiPriority w:val="0"/>
    <w:rPr>
      <w:rFonts w:ascii="Arial" w:hAnsi="Arial" w:eastAsia="黑体"/>
      <w:kern w:val="2"/>
      <w:sz w:val="24"/>
      <w:szCs w:val="24"/>
      <w:lang w:val="en-US" w:eastAsia="zh-CN" w:bidi="ar-SA"/>
    </w:rPr>
  </w:style>
  <w:style w:type="character" w:customStyle="1" w:styleId="575">
    <w:name w:val="正文文本 字符3"/>
    <w:qFormat/>
    <w:uiPriority w:val="0"/>
    <w:rPr>
      <w:rFonts w:eastAsia="宋体"/>
      <w:kern w:val="2"/>
      <w:sz w:val="24"/>
      <w:szCs w:val="24"/>
      <w:lang w:val="en-US" w:eastAsia="zh-CN" w:bidi="ar-SA"/>
    </w:rPr>
  </w:style>
  <w:style w:type="character" w:customStyle="1" w:styleId="576">
    <w:name w:val="标题 1 字符3"/>
    <w:qFormat/>
    <w:uiPriority w:val="0"/>
    <w:rPr>
      <w:rFonts w:eastAsia="宋体"/>
      <w:b/>
      <w:bCs/>
      <w:kern w:val="44"/>
      <w:sz w:val="44"/>
      <w:szCs w:val="44"/>
      <w:lang w:val="en-US" w:eastAsia="zh-CN" w:bidi="ar-SA"/>
    </w:rPr>
  </w:style>
  <w:style w:type="character" w:customStyle="1" w:styleId="577">
    <w:name w:val="文档结构图 字符3"/>
    <w:qFormat/>
    <w:uiPriority w:val="0"/>
    <w:rPr>
      <w:rFonts w:eastAsia="宋体"/>
      <w:kern w:val="2"/>
      <w:sz w:val="21"/>
      <w:szCs w:val="24"/>
      <w:lang w:val="en-US" w:eastAsia="zh-CN" w:bidi="ar-SA"/>
    </w:rPr>
  </w:style>
  <w:style w:type="character" w:customStyle="1" w:styleId="578">
    <w:name w:val="标题 7 字符3"/>
    <w:qFormat/>
    <w:uiPriority w:val="0"/>
    <w:rPr>
      <w:rFonts w:eastAsia="宋体"/>
      <w:b/>
      <w:kern w:val="2"/>
      <w:sz w:val="24"/>
      <w:szCs w:val="24"/>
      <w:lang w:val="en-US" w:eastAsia="zh-CN" w:bidi="ar-SA"/>
    </w:rPr>
  </w:style>
  <w:style w:type="character" w:customStyle="1" w:styleId="579">
    <w:name w:val="标题 6 字符3"/>
    <w:qFormat/>
    <w:uiPriority w:val="0"/>
    <w:rPr>
      <w:rFonts w:ascii="Arial" w:hAnsi="Arial" w:eastAsia="黑体"/>
      <w:b/>
      <w:kern w:val="2"/>
      <w:sz w:val="24"/>
      <w:szCs w:val="24"/>
      <w:lang w:val="en-US" w:eastAsia="zh-CN" w:bidi="ar-SA"/>
    </w:rPr>
  </w:style>
  <w:style w:type="character" w:customStyle="1" w:styleId="580">
    <w:name w:val="标题 3 字符3"/>
    <w:qFormat/>
    <w:uiPriority w:val="0"/>
    <w:rPr>
      <w:rFonts w:eastAsia="宋体"/>
      <w:b/>
      <w:bCs/>
      <w:sz w:val="32"/>
      <w:szCs w:val="32"/>
      <w:lang w:bidi="ar-SA"/>
    </w:rPr>
  </w:style>
  <w:style w:type="character" w:customStyle="1" w:styleId="581">
    <w:name w:val="页脚 字符3"/>
    <w:qFormat/>
    <w:uiPriority w:val="0"/>
    <w:rPr>
      <w:rFonts w:eastAsia="宋体"/>
      <w:kern w:val="2"/>
      <w:sz w:val="18"/>
      <w:szCs w:val="18"/>
      <w:lang w:val="en-US" w:eastAsia="zh-CN" w:bidi="ar-SA"/>
    </w:rPr>
  </w:style>
  <w:style w:type="character" w:customStyle="1" w:styleId="582">
    <w:name w:val="尾注文本 字符3"/>
    <w:qFormat/>
    <w:uiPriority w:val="0"/>
    <w:rPr>
      <w:rFonts w:ascii="Calibri" w:hAnsi="Calibri"/>
      <w:kern w:val="2"/>
      <w:sz w:val="21"/>
      <w:szCs w:val="22"/>
    </w:rPr>
  </w:style>
  <w:style w:type="character" w:customStyle="1" w:styleId="583">
    <w:name w:val="日期 字符3"/>
    <w:qFormat/>
    <w:uiPriority w:val="0"/>
    <w:rPr>
      <w:rFonts w:ascii="宋体" w:hAnsi="Courier New" w:eastAsia="宋体" w:cs="Courier New"/>
      <w:kern w:val="2"/>
      <w:sz w:val="21"/>
      <w:szCs w:val="21"/>
      <w:lang w:val="en-US" w:eastAsia="zh-CN" w:bidi="ar-SA"/>
    </w:rPr>
  </w:style>
  <w:style w:type="character" w:customStyle="1" w:styleId="584">
    <w:name w:val="正文文本缩进 字符3"/>
    <w:qFormat/>
    <w:uiPriority w:val="0"/>
    <w:rPr>
      <w:rFonts w:ascii="仿宋_GB2312" w:eastAsia="仿宋_GB2312"/>
      <w:kern w:val="2"/>
      <w:sz w:val="32"/>
      <w:lang w:val="en-US" w:eastAsia="zh-CN" w:bidi="ar-SA"/>
    </w:rPr>
  </w:style>
  <w:style w:type="character" w:customStyle="1" w:styleId="585">
    <w:name w:val="标题 9 字符3"/>
    <w:qFormat/>
    <w:uiPriority w:val="0"/>
    <w:rPr>
      <w:rFonts w:ascii="Arial" w:hAnsi="Arial" w:eastAsia="黑体"/>
      <w:kern w:val="2"/>
      <w:sz w:val="21"/>
      <w:szCs w:val="24"/>
      <w:lang w:val="en-US" w:eastAsia="zh-CN" w:bidi="ar-SA"/>
    </w:rPr>
  </w:style>
  <w:style w:type="character" w:customStyle="1" w:styleId="586">
    <w:name w:val="正文文本缩进 3 字符3"/>
    <w:qFormat/>
    <w:uiPriority w:val="0"/>
    <w:rPr>
      <w:rFonts w:eastAsia="宋体"/>
      <w:kern w:val="2"/>
      <w:sz w:val="16"/>
      <w:szCs w:val="16"/>
      <w:lang w:val="en-US" w:eastAsia="zh-CN" w:bidi="ar-SA"/>
    </w:rPr>
  </w:style>
  <w:style w:type="character" w:customStyle="1" w:styleId="587">
    <w:name w:val="脚注文本 字符3"/>
    <w:qFormat/>
    <w:locked/>
    <w:uiPriority w:val="0"/>
    <w:rPr>
      <w:rFonts w:ascii="宋体" w:eastAsia="宋体"/>
      <w:kern w:val="21"/>
      <w:sz w:val="18"/>
      <w:szCs w:val="18"/>
      <w:lang w:val="en-US" w:eastAsia="zh-CN" w:bidi="ar-SA"/>
    </w:rPr>
  </w:style>
  <w:style w:type="character" w:customStyle="1" w:styleId="588">
    <w:name w:val="纯文本 字符4"/>
    <w:qFormat/>
    <w:uiPriority w:val="0"/>
    <w:rPr>
      <w:rFonts w:ascii="宋体" w:hAnsi="Courier New" w:eastAsia="宋体" w:cs="Courier New"/>
      <w:kern w:val="2"/>
      <w:sz w:val="21"/>
      <w:szCs w:val="21"/>
      <w:lang w:val="en-US" w:eastAsia="zh-CN" w:bidi="ar-SA"/>
    </w:rPr>
  </w:style>
  <w:style w:type="character" w:customStyle="1" w:styleId="589">
    <w:name w:val="HTML 预设格式 字符3"/>
    <w:qFormat/>
    <w:uiPriority w:val="0"/>
    <w:rPr>
      <w:rFonts w:ascii="黑体" w:hAnsi="Courier New" w:eastAsia="黑体" w:cs="Courier New"/>
      <w:lang w:val="en-US" w:eastAsia="zh-CN" w:bidi="ar-SA"/>
    </w:rPr>
  </w:style>
  <w:style w:type="character" w:customStyle="1" w:styleId="590">
    <w:name w:val="标题 2 字符3"/>
    <w:qFormat/>
    <w:uiPriority w:val="0"/>
    <w:rPr>
      <w:rFonts w:ascii="Arial" w:hAnsi="Arial" w:eastAsia="黑体"/>
      <w:b/>
      <w:bCs/>
      <w:sz w:val="32"/>
      <w:szCs w:val="32"/>
      <w:lang w:bidi="ar-SA"/>
    </w:rPr>
  </w:style>
  <w:style w:type="character" w:customStyle="1" w:styleId="591">
    <w:name w:val="HTML 地址 字符3"/>
    <w:qFormat/>
    <w:locked/>
    <w:uiPriority w:val="0"/>
    <w:rPr>
      <w:rFonts w:ascii="宋体" w:eastAsia="宋体"/>
      <w:i/>
      <w:iCs/>
      <w:kern w:val="21"/>
      <w:sz w:val="21"/>
      <w:szCs w:val="21"/>
      <w:lang w:val="en-US" w:eastAsia="zh-CN" w:bidi="ar-SA"/>
    </w:rPr>
  </w:style>
  <w:style w:type="character" w:customStyle="1" w:styleId="592">
    <w:name w:val="页眉 字符3"/>
    <w:qFormat/>
    <w:uiPriority w:val="0"/>
    <w:rPr>
      <w:rFonts w:eastAsia="宋体"/>
      <w:kern w:val="2"/>
      <w:sz w:val="18"/>
      <w:szCs w:val="18"/>
      <w:lang w:val="en-US" w:eastAsia="zh-CN" w:bidi="ar-SA"/>
    </w:rPr>
  </w:style>
  <w:style w:type="character" w:customStyle="1" w:styleId="593">
    <w:name w:val="无间隔 字符4"/>
    <w:qFormat/>
    <w:uiPriority w:val="0"/>
    <w:rPr>
      <w:sz w:val="22"/>
      <w:szCs w:val="22"/>
      <w:lang w:val="en-US" w:eastAsia="zh-CN" w:bidi="ar-SA"/>
    </w:rPr>
  </w:style>
  <w:style w:type="character" w:customStyle="1" w:styleId="594">
    <w:name w:val="正文文本 2 字符3"/>
    <w:qFormat/>
    <w:uiPriority w:val="0"/>
    <w:rPr>
      <w:rFonts w:eastAsia="宋体"/>
      <w:kern w:val="2"/>
      <w:sz w:val="21"/>
      <w:szCs w:val="24"/>
      <w:lang w:val="en-US" w:eastAsia="zh-CN" w:bidi="ar-SA"/>
    </w:rPr>
  </w:style>
  <w:style w:type="character" w:customStyle="1" w:styleId="595">
    <w:name w:val="标题 字符3"/>
    <w:qFormat/>
    <w:uiPriority w:val="0"/>
    <w:rPr>
      <w:rFonts w:ascii="Arial" w:hAnsi="Arial" w:eastAsia="宋体"/>
      <w:b/>
      <w:bCs/>
      <w:kern w:val="2"/>
      <w:sz w:val="32"/>
      <w:szCs w:val="32"/>
      <w:lang w:bidi="ar-SA"/>
    </w:rPr>
  </w:style>
  <w:style w:type="character" w:customStyle="1" w:styleId="596">
    <w:name w:val="标题 4 字符3"/>
    <w:qFormat/>
    <w:uiPriority w:val="0"/>
    <w:rPr>
      <w:rFonts w:ascii="Arial" w:hAnsi="Arial" w:eastAsia="黑体"/>
      <w:sz w:val="28"/>
      <w:lang w:bidi="ar-SA"/>
    </w:rPr>
  </w:style>
  <w:style w:type="character" w:customStyle="1" w:styleId="597">
    <w:name w:val=" Char Char50"/>
    <w:qFormat/>
    <w:uiPriority w:val="0"/>
    <w:rPr>
      <w:rFonts w:eastAsia="宋体"/>
      <w:b/>
      <w:bCs/>
      <w:kern w:val="44"/>
      <w:sz w:val="44"/>
      <w:szCs w:val="44"/>
      <w:lang w:val="en-US" w:eastAsia="zh-CN" w:bidi="ar-SA"/>
    </w:rPr>
  </w:style>
  <w:style w:type="character" w:customStyle="1" w:styleId="598">
    <w:name w:val=" Char Char49"/>
    <w:qFormat/>
    <w:uiPriority w:val="0"/>
    <w:rPr>
      <w:rFonts w:ascii="Arial" w:hAnsi="Arial" w:eastAsia="黑体"/>
      <w:b/>
      <w:bCs/>
      <w:sz w:val="32"/>
      <w:szCs w:val="32"/>
      <w:lang w:bidi="ar-SA"/>
    </w:rPr>
  </w:style>
  <w:style w:type="character" w:customStyle="1" w:styleId="599">
    <w:name w:val="普通文字 Char Char7"/>
    <w:qFormat/>
    <w:uiPriority w:val="0"/>
    <w:rPr>
      <w:rFonts w:ascii="宋体" w:hAnsi="Courier New" w:eastAsia="宋体" w:cs="Courier New"/>
      <w:kern w:val="2"/>
      <w:sz w:val="21"/>
      <w:szCs w:val="21"/>
      <w:lang w:val="en-US" w:eastAsia="zh-CN" w:bidi="ar-SA"/>
    </w:rPr>
  </w:style>
  <w:style w:type="paragraph" w:customStyle="1" w:styleId="600">
    <w:name w:val="Char Char Char3"/>
    <w:basedOn w:val="1"/>
    <w:qFormat/>
    <w:uiPriority w:val="0"/>
    <w:pPr>
      <w:widowControl/>
      <w:spacing w:after="160" w:line="240" w:lineRule="exact"/>
      <w:jc w:val="left"/>
    </w:pPr>
    <w:rPr>
      <w:rFonts w:ascii="Verdana" w:hAnsi="Verdana"/>
      <w:kern w:val="0"/>
      <w:sz w:val="20"/>
      <w:szCs w:val="20"/>
      <w:lang w:eastAsia="en-US"/>
    </w:rPr>
  </w:style>
  <w:style w:type="character" w:customStyle="1" w:styleId="601">
    <w:name w:val="普通文字 Char Char2 Char"/>
    <w:qFormat/>
    <w:locked/>
    <w:uiPriority w:val="0"/>
    <w:rPr>
      <w:rFonts w:ascii="宋体" w:hAnsi="Courier New" w:eastAsia="宋体"/>
      <w:kern w:val="2"/>
      <w:sz w:val="21"/>
      <w:lang w:val="en-US" w:eastAsia="zh-CN" w:bidi="ar-SA"/>
    </w:rPr>
  </w:style>
  <w:style w:type="character" w:customStyle="1" w:styleId="602">
    <w:name w:val="标题 1 字符4"/>
    <w:qFormat/>
    <w:uiPriority w:val="0"/>
    <w:rPr>
      <w:rFonts w:eastAsia="宋体"/>
      <w:b/>
      <w:bCs/>
      <w:kern w:val="44"/>
      <w:sz w:val="44"/>
      <w:szCs w:val="44"/>
      <w:lang w:val="en-US" w:eastAsia="zh-CN" w:bidi="ar-SA"/>
    </w:rPr>
  </w:style>
  <w:style w:type="character" w:customStyle="1" w:styleId="603">
    <w:name w:val="标题 2 字符4"/>
    <w:qFormat/>
    <w:uiPriority w:val="0"/>
    <w:rPr>
      <w:rFonts w:ascii="Arial" w:hAnsi="Arial" w:eastAsia="黑体"/>
      <w:b/>
      <w:bCs/>
      <w:sz w:val="32"/>
      <w:szCs w:val="32"/>
      <w:lang w:bidi="ar-SA"/>
    </w:rPr>
  </w:style>
  <w:style w:type="character" w:customStyle="1" w:styleId="604">
    <w:name w:val="标题 3 字符4"/>
    <w:qFormat/>
    <w:uiPriority w:val="0"/>
    <w:rPr>
      <w:rFonts w:eastAsia="宋体"/>
      <w:b/>
      <w:bCs/>
      <w:sz w:val="32"/>
      <w:szCs w:val="32"/>
      <w:lang w:bidi="ar-SA"/>
    </w:rPr>
  </w:style>
  <w:style w:type="character" w:customStyle="1" w:styleId="605">
    <w:name w:val="标题 4 字符4"/>
    <w:qFormat/>
    <w:uiPriority w:val="0"/>
    <w:rPr>
      <w:rFonts w:ascii="Arial" w:hAnsi="Arial" w:eastAsia="黑体"/>
      <w:sz w:val="28"/>
      <w:lang w:bidi="ar-SA"/>
    </w:rPr>
  </w:style>
  <w:style w:type="character" w:customStyle="1" w:styleId="606">
    <w:name w:val="标题 5 字符4"/>
    <w:qFormat/>
    <w:uiPriority w:val="0"/>
    <w:rPr>
      <w:rFonts w:eastAsia="宋体"/>
      <w:b/>
      <w:kern w:val="2"/>
      <w:sz w:val="28"/>
      <w:szCs w:val="24"/>
      <w:lang w:val="en-US" w:eastAsia="zh-CN" w:bidi="ar-SA"/>
    </w:rPr>
  </w:style>
  <w:style w:type="character" w:customStyle="1" w:styleId="607">
    <w:name w:val="标题 6 字符4"/>
    <w:qFormat/>
    <w:uiPriority w:val="0"/>
    <w:rPr>
      <w:rFonts w:ascii="Arial" w:hAnsi="Arial" w:eastAsia="黑体"/>
      <w:b/>
      <w:kern w:val="2"/>
      <w:sz w:val="24"/>
      <w:szCs w:val="24"/>
      <w:lang w:val="en-US" w:eastAsia="zh-CN" w:bidi="ar-SA"/>
    </w:rPr>
  </w:style>
  <w:style w:type="character" w:customStyle="1" w:styleId="608">
    <w:name w:val="标题 7 字符4"/>
    <w:qFormat/>
    <w:uiPriority w:val="0"/>
    <w:rPr>
      <w:rFonts w:eastAsia="宋体"/>
      <w:b/>
      <w:kern w:val="2"/>
      <w:sz w:val="24"/>
      <w:szCs w:val="24"/>
      <w:lang w:val="en-US" w:eastAsia="zh-CN" w:bidi="ar-SA"/>
    </w:rPr>
  </w:style>
  <w:style w:type="character" w:customStyle="1" w:styleId="609">
    <w:name w:val="标题 8 字符4"/>
    <w:qFormat/>
    <w:uiPriority w:val="0"/>
    <w:rPr>
      <w:rFonts w:ascii="Arial" w:hAnsi="Arial" w:eastAsia="黑体"/>
      <w:kern w:val="2"/>
      <w:sz w:val="24"/>
      <w:szCs w:val="24"/>
      <w:lang w:val="en-US" w:eastAsia="zh-CN" w:bidi="ar-SA"/>
    </w:rPr>
  </w:style>
  <w:style w:type="character" w:customStyle="1" w:styleId="610">
    <w:name w:val="标题 9 字符4"/>
    <w:qFormat/>
    <w:uiPriority w:val="0"/>
    <w:rPr>
      <w:rFonts w:ascii="Arial" w:hAnsi="Arial" w:eastAsia="黑体"/>
      <w:kern w:val="2"/>
      <w:sz w:val="21"/>
      <w:szCs w:val="24"/>
      <w:lang w:val="en-US" w:eastAsia="zh-CN" w:bidi="ar-SA"/>
    </w:rPr>
  </w:style>
  <w:style w:type="character" w:customStyle="1" w:styleId="611">
    <w:name w:val="文档结构图 字符4"/>
    <w:qFormat/>
    <w:uiPriority w:val="0"/>
    <w:rPr>
      <w:rFonts w:eastAsia="宋体"/>
      <w:kern w:val="2"/>
      <w:sz w:val="21"/>
      <w:szCs w:val="24"/>
      <w:lang w:val="en-US" w:eastAsia="zh-CN" w:bidi="ar-SA"/>
    </w:rPr>
  </w:style>
  <w:style w:type="character" w:customStyle="1" w:styleId="612">
    <w:name w:val="批注文字 字符4"/>
    <w:qFormat/>
    <w:uiPriority w:val="0"/>
    <w:rPr>
      <w:rFonts w:eastAsia="宋体"/>
      <w:sz w:val="24"/>
      <w:lang w:bidi="ar-SA"/>
    </w:rPr>
  </w:style>
  <w:style w:type="character" w:customStyle="1" w:styleId="613">
    <w:name w:val="称呼 字符4"/>
    <w:qFormat/>
    <w:uiPriority w:val="0"/>
    <w:rPr>
      <w:kern w:val="2"/>
      <w:sz w:val="28"/>
      <w:szCs w:val="24"/>
    </w:rPr>
  </w:style>
  <w:style w:type="character" w:customStyle="1" w:styleId="614">
    <w:name w:val="正文文本 3 字符4"/>
    <w:qFormat/>
    <w:uiPriority w:val="0"/>
    <w:rPr>
      <w:rFonts w:eastAsia="宋体"/>
      <w:b/>
      <w:bCs/>
      <w:kern w:val="2"/>
      <w:sz w:val="24"/>
      <w:szCs w:val="24"/>
      <w:lang w:val="en-US" w:eastAsia="zh-CN" w:bidi="ar-SA"/>
    </w:rPr>
  </w:style>
  <w:style w:type="character" w:customStyle="1" w:styleId="615">
    <w:name w:val="正文文本 字符4"/>
    <w:qFormat/>
    <w:uiPriority w:val="0"/>
    <w:rPr>
      <w:rFonts w:eastAsia="宋体"/>
      <w:kern w:val="2"/>
      <w:sz w:val="24"/>
      <w:szCs w:val="24"/>
      <w:lang w:val="en-US" w:eastAsia="zh-CN" w:bidi="ar-SA"/>
    </w:rPr>
  </w:style>
  <w:style w:type="character" w:customStyle="1" w:styleId="616">
    <w:name w:val="正文文本缩进 字符4"/>
    <w:qFormat/>
    <w:uiPriority w:val="0"/>
    <w:rPr>
      <w:rFonts w:ascii="仿宋_GB2312" w:eastAsia="仿宋_GB2312"/>
      <w:kern w:val="2"/>
      <w:sz w:val="32"/>
      <w:lang w:val="en-US" w:eastAsia="zh-CN" w:bidi="ar-SA"/>
    </w:rPr>
  </w:style>
  <w:style w:type="character" w:customStyle="1" w:styleId="617">
    <w:name w:val="HTML 地址 字符4"/>
    <w:qFormat/>
    <w:locked/>
    <w:uiPriority w:val="0"/>
    <w:rPr>
      <w:rFonts w:ascii="宋体" w:eastAsia="宋体"/>
      <w:i/>
      <w:iCs/>
      <w:kern w:val="21"/>
      <w:sz w:val="21"/>
      <w:szCs w:val="21"/>
      <w:lang w:val="en-US" w:eastAsia="zh-CN" w:bidi="ar-SA"/>
    </w:rPr>
  </w:style>
  <w:style w:type="character" w:customStyle="1" w:styleId="618">
    <w:name w:val="TOC 3 字符"/>
    <w:qFormat/>
    <w:locked/>
    <w:uiPriority w:val="0"/>
    <w:rPr>
      <w:rFonts w:eastAsia="宋体"/>
      <w:kern w:val="2"/>
      <w:sz w:val="21"/>
      <w:szCs w:val="24"/>
      <w:lang w:val="en-US" w:eastAsia="zh-CN" w:bidi="ar-SA"/>
    </w:rPr>
  </w:style>
  <w:style w:type="character" w:customStyle="1" w:styleId="619">
    <w:name w:val="纯文本 字符5"/>
    <w:qFormat/>
    <w:uiPriority w:val="0"/>
    <w:rPr>
      <w:rFonts w:ascii="宋体" w:hAnsi="Courier New" w:eastAsia="宋体" w:cs="Courier New"/>
      <w:kern w:val="2"/>
      <w:sz w:val="21"/>
      <w:szCs w:val="21"/>
      <w:lang w:val="en-US" w:eastAsia="zh-CN" w:bidi="ar-SA"/>
    </w:rPr>
  </w:style>
  <w:style w:type="character" w:customStyle="1" w:styleId="620">
    <w:name w:val="日期 字符4"/>
    <w:qFormat/>
    <w:uiPriority w:val="0"/>
    <w:rPr>
      <w:rFonts w:ascii="宋体" w:hAnsi="Courier New" w:eastAsia="宋体" w:cs="Courier New"/>
      <w:kern w:val="2"/>
      <w:sz w:val="21"/>
      <w:szCs w:val="21"/>
      <w:lang w:val="en-US" w:eastAsia="zh-CN" w:bidi="ar-SA"/>
    </w:rPr>
  </w:style>
  <w:style w:type="character" w:customStyle="1" w:styleId="621">
    <w:name w:val="正文文本缩进 2 字符4"/>
    <w:qFormat/>
    <w:uiPriority w:val="0"/>
    <w:rPr>
      <w:rFonts w:eastAsia="宋体"/>
      <w:kern w:val="2"/>
      <w:sz w:val="32"/>
      <w:lang w:val="en-US" w:eastAsia="zh-CN" w:bidi="ar-SA"/>
    </w:rPr>
  </w:style>
  <w:style w:type="character" w:customStyle="1" w:styleId="622">
    <w:name w:val="尾注文本 字符4"/>
    <w:qFormat/>
    <w:uiPriority w:val="0"/>
    <w:rPr>
      <w:rFonts w:ascii="Calibri" w:hAnsi="Calibri"/>
      <w:kern w:val="2"/>
      <w:sz w:val="21"/>
      <w:szCs w:val="22"/>
    </w:rPr>
  </w:style>
  <w:style w:type="character" w:customStyle="1" w:styleId="623">
    <w:name w:val="页脚 字符4"/>
    <w:qFormat/>
    <w:uiPriority w:val="0"/>
    <w:rPr>
      <w:rFonts w:eastAsia="宋体"/>
      <w:kern w:val="2"/>
      <w:sz w:val="18"/>
      <w:szCs w:val="18"/>
      <w:lang w:val="en-US" w:eastAsia="zh-CN" w:bidi="ar-SA"/>
    </w:rPr>
  </w:style>
  <w:style w:type="character" w:customStyle="1" w:styleId="624">
    <w:name w:val="页眉 字符4"/>
    <w:qFormat/>
    <w:uiPriority w:val="0"/>
    <w:rPr>
      <w:rFonts w:eastAsia="宋体"/>
      <w:kern w:val="2"/>
      <w:sz w:val="18"/>
      <w:szCs w:val="18"/>
      <w:lang w:val="en-US" w:eastAsia="zh-CN" w:bidi="ar-SA"/>
    </w:rPr>
  </w:style>
  <w:style w:type="character" w:customStyle="1" w:styleId="625">
    <w:name w:val="脚注文本 字符4"/>
    <w:qFormat/>
    <w:locked/>
    <w:uiPriority w:val="0"/>
    <w:rPr>
      <w:rFonts w:ascii="宋体" w:eastAsia="宋体"/>
      <w:kern w:val="21"/>
      <w:sz w:val="18"/>
      <w:szCs w:val="18"/>
      <w:lang w:val="en-US" w:eastAsia="zh-CN" w:bidi="ar-SA"/>
    </w:rPr>
  </w:style>
  <w:style w:type="character" w:customStyle="1" w:styleId="626">
    <w:name w:val="正文文本缩进 3 字符4"/>
    <w:qFormat/>
    <w:uiPriority w:val="0"/>
    <w:rPr>
      <w:rFonts w:eastAsia="宋体"/>
      <w:kern w:val="2"/>
      <w:sz w:val="16"/>
      <w:szCs w:val="16"/>
      <w:lang w:val="en-US" w:eastAsia="zh-CN" w:bidi="ar-SA"/>
    </w:rPr>
  </w:style>
  <w:style w:type="character" w:customStyle="1" w:styleId="627">
    <w:name w:val="正文文本 2 字符4"/>
    <w:qFormat/>
    <w:uiPriority w:val="0"/>
    <w:rPr>
      <w:rFonts w:eastAsia="宋体"/>
      <w:kern w:val="2"/>
      <w:sz w:val="21"/>
      <w:szCs w:val="24"/>
      <w:lang w:val="en-US" w:eastAsia="zh-CN" w:bidi="ar-SA"/>
    </w:rPr>
  </w:style>
  <w:style w:type="character" w:customStyle="1" w:styleId="628">
    <w:name w:val="HTML 预设格式 字符4"/>
    <w:qFormat/>
    <w:uiPriority w:val="0"/>
    <w:rPr>
      <w:rFonts w:ascii="黑体" w:hAnsi="Courier New" w:eastAsia="黑体" w:cs="Courier New"/>
      <w:lang w:val="en-US" w:eastAsia="zh-CN" w:bidi="ar-SA"/>
    </w:rPr>
  </w:style>
  <w:style w:type="character" w:customStyle="1" w:styleId="629">
    <w:name w:val="标题 字符4"/>
    <w:qFormat/>
    <w:uiPriority w:val="0"/>
    <w:rPr>
      <w:rFonts w:ascii="Arial" w:hAnsi="Arial" w:eastAsia="宋体"/>
      <w:b/>
      <w:bCs/>
      <w:kern w:val="2"/>
      <w:sz w:val="32"/>
      <w:szCs w:val="32"/>
      <w:lang w:bidi="ar-SA"/>
    </w:rPr>
  </w:style>
  <w:style w:type="character" w:customStyle="1" w:styleId="630">
    <w:name w:val="无间隔 字符5"/>
    <w:qFormat/>
    <w:uiPriority w:val="0"/>
    <w:rPr>
      <w:sz w:val="22"/>
      <w:szCs w:val="22"/>
      <w:lang w:val="en-US" w:eastAsia="zh-CN" w:bidi="ar-SA"/>
    </w:rPr>
  </w:style>
  <w:style w:type="character" w:customStyle="1" w:styleId="631">
    <w:name w:val=" Char Char53"/>
    <w:qFormat/>
    <w:uiPriority w:val="0"/>
    <w:rPr>
      <w:rFonts w:eastAsia="宋体"/>
      <w:b/>
      <w:bCs/>
      <w:kern w:val="44"/>
      <w:sz w:val="44"/>
      <w:szCs w:val="44"/>
      <w:lang w:val="en-US" w:eastAsia="zh-CN" w:bidi="ar-SA"/>
    </w:rPr>
  </w:style>
  <w:style w:type="character" w:customStyle="1" w:styleId="632">
    <w:name w:val=" Char Char52"/>
    <w:qFormat/>
    <w:uiPriority w:val="0"/>
    <w:rPr>
      <w:rFonts w:ascii="Arial" w:hAnsi="Arial" w:eastAsia="黑体"/>
      <w:b/>
      <w:bCs/>
      <w:sz w:val="32"/>
      <w:szCs w:val="32"/>
      <w:lang w:bidi="ar-SA"/>
    </w:rPr>
  </w:style>
  <w:style w:type="character" w:customStyle="1" w:styleId="633">
    <w:name w:val=" Char Char51"/>
    <w:qFormat/>
    <w:uiPriority w:val="0"/>
    <w:rPr>
      <w:rFonts w:eastAsia="宋体"/>
      <w:b/>
      <w:bCs/>
      <w:sz w:val="32"/>
      <w:szCs w:val="32"/>
      <w:lang w:bidi="ar-SA"/>
    </w:rPr>
  </w:style>
  <w:style w:type="character" w:customStyle="1" w:styleId="634">
    <w:name w:val="无间隔 字符6"/>
    <w:qFormat/>
    <w:uiPriority w:val="0"/>
    <w:rPr>
      <w:sz w:val="22"/>
      <w:szCs w:val="22"/>
      <w:lang w:val="en-US" w:eastAsia="zh-CN" w:bidi="ar-SA"/>
    </w:rPr>
  </w:style>
  <w:style w:type="character" w:customStyle="1" w:styleId="635">
    <w:name w:val="普通文字 Char Char8"/>
    <w:qFormat/>
    <w:uiPriority w:val="0"/>
    <w:rPr>
      <w:rFonts w:ascii="宋体" w:hAnsi="Courier New" w:eastAsia="宋体" w:cs="Courier New"/>
      <w:kern w:val="2"/>
      <w:sz w:val="21"/>
      <w:szCs w:val="21"/>
      <w:lang w:val="en-US" w:eastAsia="zh-CN" w:bidi="ar-SA"/>
    </w:rPr>
  </w:style>
  <w:style w:type="character" w:customStyle="1" w:styleId="636">
    <w:name w:val="font81"/>
    <w:basedOn w:val="54"/>
    <w:qFormat/>
    <w:uiPriority w:val="0"/>
    <w:rPr>
      <w:rFonts w:ascii="微软雅黑" w:hAnsi="微软雅黑" w:eastAsia="微软雅黑" w:cs="微软雅黑"/>
      <w:color w:val="000000"/>
      <w:sz w:val="18"/>
      <w:szCs w:val="18"/>
      <w:u w:val="none"/>
    </w:rPr>
  </w:style>
  <w:style w:type="character" w:customStyle="1" w:styleId="637">
    <w:name w:val=" Char Char57"/>
    <w:qFormat/>
    <w:uiPriority w:val="0"/>
    <w:rPr>
      <w:rFonts w:eastAsia="宋体"/>
      <w:b/>
      <w:bCs/>
      <w:kern w:val="44"/>
      <w:sz w:val="44"/>
      <w:szCs w:val="44"/>
      <w:lang w:val="en-US" w:eastAsia="zh-CN" w:bidi="ar-SA"/>
    </w:rPr>
  </w:style>
  <w:style w:type="character" w:customStyle="1" w:styleId="638">
    <w:name w:val=" Char Char56"/>
    <w:qFormat/>
    <w:uiPriority w:val="0"/>
    <w:rPr>
      <w:rFonts w:ascii="Arial" w:hAnsi="Arial" w:eastAsia="黑体"/>
      <w:b/>
      <w:bCs/>
      <w:sz w:val="32"/>
      <w:szCs w:val="32"/>
      <w:lang w:bidi="ar-SA"/>
    </w:rPr>
  </w:style>
  <w:style w:type="character" w:customStyle="1" w:styleId="639">
    <w:name w:val=" Char Char55"/>
    <w:qFormat/>
    <w:uiPriority w:val="0"/>
    <w:rPr>
      <w:rFonts w:eastAsia="宋体"/>
      <w:b/>
      <w:bCs/>
      <w:sz w:val="32"/>
      <w:szCs w:val="32"/>
      <w:lang w:bidi="ar-SA"/>
    </w:rPr>
  </w:style>
  <w:style w:type="character" w:customStyle="1" w:styleId="640">
    <w:name w:val=" Char Char54"/>
    <w:qFormat/>
    <w:uiPriority w:val="0"/>
    <w:rPr>
      <w:rFonts w:ascii="Arial" w:hAnsi="Arial" w:eastAsia="黑体"/>
      <w:sz w:val="28"/>
      <w:lang w:bidi="ar-SA"/>
    </w:rPr>
  </w:style>
  <w:style w:type="character" w:customStyle="1" w:styleId="641">
    <w:name w:val="无间隔 字符7"/>
    <w:qFormat/>
    <w:uiPriority w:val="0"/>
    <w:rPr>
      <w:sz w:val="22"/>
      <w:szCs w:val="22"/>
      <w:lang w:val="en-US" w:eastAsia="zh-CN" w:bidi="ar-SA"/>
    </w:rPr>
  </w:style>
  <w:style w:type="paragraph" w:customStyle="1" w:styleId="642">
    <w:name w:val="_Style 637"/>
    <w:basedOn w:val="1"/>
    <w:next w:val="1"/>
    <w:qFormat/>
    <w:uiPriority w:val="0"/>
    <w:pPr>
      <w:tabs>
        <w:tab w:val="right" w:leader="dot" w:pos="9185"/>
      </w:tabs>
      <w:adjustRightInd w:val="0"/>
      <w:spacing w:line="312" w:lineRule="atLeast"/>
      <w:ind w:left="3360"/>
      <w:textAlignment w:val="baseline"/>
    </w:pPr>
    <w:rPr>
      <w:kern w:val="0"/>
      <w:szCs w:val="20"/>
    </w:rPr>
  </w:style>
  <w:style w:type="character" w:customStyle="1" w:styleId="643">
    <w:name w:val=" Char Char61"/>
    <w:qFormat/>
    <w:uiPriority w:val="0"/>
    <w:rPr>
      <w:rFonts w:eastAsia="宋体"/>
      <w:b/>
      <w:bCs/>
      <w:kern w:val="44"/>
      <w:sz w:val="44"/>
      <w:szCs w:val="44"/>
      <w:lang w:val="en-US" w:eastAsia="zh-CN" w:bidi="ar-SA"/>
    </w:rPr>
  </w:style>
  <w:style w:type="character" w:customStyle="1" w:styleId="644">
    <w:name w:val=" Char Char60"/>
    <w:qFormat/>
    <w:uiPriority w:val="0"/>
    <w:rPr>
      <w:rFonts w:ascii="Arial" w:hAnsi="Arial" w:eastAsia="黑体"/>
      <w:b/>
      <w:bCs/>
      <w:sz w:val="32"/>
      <w:szCs w:val="32"/>
      <w:lang w:bidi="ar-SA"/>
    </w:rPr>
  </w:style>
  <w:style w:type="character" w:customStyle="1" w:styleId="645">
    <w:name w:val=" Char Char59"/>
    <w:qFormat/>
    <w:uiPriority w:val="0"/>
    <w:rPr>
      <w:rFonts w:eastAsia="宋体"/>
      <w:b/>
      <w:bCs/>
      <w:sz w:val="32"/>
      <w:szCs w:val="32"/>
      <w:lang w:bidi="ar-SA"/>
    </w:rPr>
  </w:style>
  <w:style w:type="character" w:customStyle="1" w:styleId="646">
    <w:name w:val=" Char Char58"/>
    <w:qFormat/>
    <w:uiPriority w:val="0"/>
    <w:rPr>
      <w:rFonts w:ascii="Arial" w:hAnsi="Arial" w:eastAsia="黑体"/>
      <w:sz w:val="28"/>
      <w:lang w:bidi="ar-SA"/>
    </w:rPr>
  </w:style>
  <w:style w:type="character" w:customStyle="1" w:styleId="647">
    <w:name w:val="无间隔 字符8"/>
    <w:qFormat/>
    <w:uiPriority w:val="0"/>
    <w:rPr>
      <w:sz w:val="22"/>
      <w:szCs w:val="22"/>
      <w:lang w:val="en-US" w:eastAsia="zh-CN" w:bidi="ar-SA"/>
    </w:rPr>
  </w:style>
  <w:style w:type="character" w:customStyle="1" w:styleId="648">
    <w:name w:val="font121"/>
    <w:basedOn w:val="54"/>
    <w:qFormat/>
    <w:uiPriority w:val="0"/>
    <w:rPr>
      <w:rFonts w:hint="eastAsia" w:ascii="宋体" w:hAnsi="宋体" w:eastAsia="宋体" w:cs="宋体"/>
      <w:b/>
      <w:bCs/>
      <w:color w:val="000000"/>
      <w:sz w:val="12"/>
      <w:szCs w:val="12"/>
      <w:u w:val="none"/>
    </w:rPr>
  </w:style>
  <w:style w:type="paragraph" w:customStyle="1" w:styleId="649">
    <w:name w:val="Table Text"/>
    <w:basedOn w:val="1"/>
    <w:semiHidden/>
    <w:qFormat/>
    <w:uiPriority w:val="0"/>
    <w:rPr>
      <w:rFonts w:ascii="宋体" w:hAnsi="宋体" w:eastAsia="宋体" w:cs="宋体"/>
      <w:sz w:val="20"/>
      <w:szCs w:val="20"/>
    </w:rPr>
  </w:style>
  <w:style w:type="paragraph" w:customStyle="1" w:styleId="650">
    <w:name w:val="null3"/>
    <w:basedOn w:val="1"/>
    <w:unhideWhenUsed/>
    <w:qFormat/>
    <w:uiPriority w:val="99"/>
    <w:pPr>
      <w:widowControl/>
    </w:pPr>
    <w:rPr>
      <w:rFonts w:hint="eastAsia" w:ascii="Calibri" w:hAnsi="Calibri" w:cs="Calibri"/>
      <w:sz w:val="20"/>
      <w:szCs w:val="20"/>
    </w:rPr>
  </w:style>
  <w:style w:type="paragraph" w:customStyle="1" w:styleId="651">
    <w:name w:val="列表段落11"/>
    <w:basedOn w:val="1"/>
    <w:qFormat/>
    <w:uiPriority w:val="34"/>
    <w:pPr>
      <w:ind w:firstLine="420" w:firstLineChars="200"/>
    </w:pPr>
    <w:rPr>
      <w:rFonts w:ascii="Calibri" w:hAnsi="Calibri"/>
      <w:szCs w:val="22"/>
    </w:rPr>
  </w:style>
  <w:style w:type="paragraph" w:customStyle="1" w:styleId="652">
    <w:name w:val="正文格式"/>
    <w:qFormat/>
    <w:uiPriority w:val="0"/>
    <w:pPr>
      <w:adjustRightInd w:val="0"/>
      <w:snapToGrid w:val="0"/>
      <w:spacing w:line="400" w:lineRule="atLeast"/>
      <w:ind w:firstLine="482"/>
      <w:jc w:val="both"/>
      <w:textAlignment w:val="baseline"/>
    </w:pPr>
    <w:rPr>
      <w:rFonts w:ascii="Times New Roman" w:hAnsi="Times New Roman"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108</Pages>
  <Words>8283</Words>
  <Characters>9505</Characters>
  <Lines>411</Lines>
  <Paragraphs>115</Paragraphs>
  <TotalTime>4</TotalTime>
  <ScaleCrop>false</ScaleCrop>
  <LinksUpToDate>false</LinksUpToDate>
  <CharactersWithSpaces>9791</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2022-05-18T19:06:00Z</dcterms:created>
  <dc:creator>聂泉源</dc:creator>
  <cp:lastModifiedBy>gxxc</cp:lastModifiedBy>
  <cp:lastPrinted>2021-02-05T00:33:00Z</cp:lastPrinted>
  <dcterms:modified xsi:type="dcterms:W3CDTF">2025-11-03T10:03:08Z</dcterms:modified>
  <dc:title>3</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KSOTemplateDocerSaveRecord">
    <vt:lpwstr>eyJoZGlkIjoiZGQzYmM4YTI1YzdmMGRhZjAyM2NlZGJmMmFjNzY5NDQifQ==</vt:lpwstr>
  </property>
  <property fmtid="{D5CDD505-2E9C-101B-9397-08002B2CF9AE}" pid="4" name="ICV">
    <vt:lpwstr>889067251D53455EB25B15091B9467F6_13</vt:lpwstr>
  </property>
</Properties>
</file>