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BCE0D">
      <w:pPr>
        <w:pStyle w:val="14"/>
        <w:widowControl/>
        <w:numPr>
          <w:ilvl w:val="0"/>
          <w:numId w:val="0"/>
        </w:numPr>
        <w:spacing w:line="330" w:lineRule="atLeast"/>
        <w:jc w:val="center"/>
        <w:rPr>
          <w:rFonts w:hint="default" w:asciiTheme="minorHAnsi" w:hAnsiTheme="minorHAnsi" w:cstheme="minorBidi"/>
          <w:b/>
          <w:bCs/>
          <w:color w:val="auto"/>
          <w:kern w:val="2"/>
          <w:sz w:val="32"/>
          <w:szCs w:val="32"/>
          <w:highlight w:val="none"/>
          <w:lang w:val="en-US" w:eastAsia="zh-CN" w:bidi="ar-SA"/>
        </w:rPr>
      </w:pPr>
      <w:r>
        <w:rPr>
          <w:rFonts w:hint="eastAsia" w:asciiTheme="minorHAnsi" w:hAnsiTheme="minorHAnsi" w:eastAsiaTheme="minorEastAsia" w:cstheme="minorBidi"/>
          <w:b/>
          <w:bCs/>
          <w:color w:val="auto"/>
          <w:kern w:val="2"/>
          <w:sz w:val="32"/>
          <w:szCs w:val="32"/>
          <w:highlight w:val="none"/>
          <w:lang w:val="en-US" w:eastAsia="zh-CN" w:bidi="ar-SA"/>
        </w:rPr>
        <w:t>广西艺术学院</w:t>
      </w:r>
      <w:r>
        <w:rPr>
          <w:rFonts w:hint="eastAsia" w:asciiTheme="minorHAnsi" w:hAnsiTheme="minorHAnsi" w:cstheme="minorBidi"/>
          <w:b/>
          <w:bCs/>
          <w:color w:val="auto"/>
          <w:kern w:val="2"/>
          <w:sz w:val="32"/>
          <w:szCs w:val="32"/>
          <w:highlight w:val="none"/>
          <w:lang w:val="en-US" w:eastAsia="zh-CN" w:bidi="ar-SA"/>
        </w:rPr>
        <w:t>及</w:t>
      </w:r>
      <w:r>
        <w:rPr>
          <w:rFonts w:hint="eastAsia" w:asciiTheme="minorHAnsi" w:hAnsiTheme="minorHAnsi" w:eastAsiaTheme="minorEastAsia" w:cstheme="minorBidi"/>
          <w:b/>
          <w:bCs/>
          <w:color w:val="auto"/>
          <w:kern w:val="2"/>
          <w:sz w:val="32"/>
          <w:szCs w:val="32"/>
          <w:highlight w:val="none"/>
          <w:lang w:val="en-US" w:eastAsia="zh-CN" w:bidi="ar-SA"/>
        </w:rPr>
        <w:t>广西艺术学院</w:t>
      </w:r>
      <w:r>
        <w:rPr>
          <w:rFonts w:hint="eastAsia" w:asciiTheme="minorHAnsi" w:hAnsiTheme="minorHAnsi" w:cstheme="minorBidi"/>
          <w:b/>
          <w:bCs/>
          <w:color w:val="auto"/>
          <w:kern w:val="2"/>
          <w:sz w:val="32"/>
          <w:szCs w:val="32"/>
          <w:highlight w:val="none"/>
          <w:lang w:val="en-US" w:eastAsia="zh-CN" w:bidi="ar-SA"/>
        </w:rPr>
        <w:t>附属中等艺术学校2026级、2027级新</w:t>
      </w:r>
      <w:r>
        <w:rPr>
          <w:rFonts w:hint="eastAsia" w:asciiTheme="minorHAnsi" w:hAnsiTheme="minorHAnsi" w:eastAsiaTheme="minorEastAsia" w:cstheme="minorBidi"/>
          <w:b/>
          <w:bCs/>
          <w:color w:val="auto"/>
          <w:kern w:val="2"/>
          <w:sz w:val="32"/>
          <w:szCs w:val="32"/>
          <w:highlight w:val="none"/>
          <w:lang w:val="en-US" w:eastAsia="zh-CN" w:bidi="ar-SA"/>
        </w:rPr>
        <w:t>生入学体检服务项目采购</w:t>
      </w:r>
      <w:r>
        <w:rPr>
          <w:rFonts w:hint="eastAsia" w:asciiTheme="minorHAnsi" w:hAnsiTheme="minorHAnsi" w:cstheme="minorBidi"/>
          <w:b/>
          <w:bCs/>
          <w:color w:val="auto"/>
          <w:kern w:val="2"/>
          <w:sz w:val="32"/>
          <w:szCs w:val="32"/>
          <w:highlight w:val="none"/>
          <w:lang w:val="en-US" w:eastAsia="zh-CN" w:bidi="ar-SA"/>
        </w:rPr>
        <w:t>文件</w:t>
      </w:r>
    </w:p>
    <w:p w14:paraId="105E73D7">
      <w:pPr>
        <w:pStyle w:val="14"/>
        <w:widowControl/>
        <w:numPr>
          <w:ilvl w:val="0"/>
          <w:numId w:val="0"/>
        </w:numPr>
        <w:spacing w:line="330" w:lineRule="atLeast"/>
        <w:jc w:val="center"/>
        <w:rPr>
          <w:rFonts w:hint="eastAsia" w:asciiTheme="minorHAnsi" w:hAnsiTheme="minorHAnsi" w:cstheme="minorBidi"/>
          <w:b/>
          <w:bCs/>
          <w:color w:val="auto"/>
          <w:kern w:val="2"/>
          <w:sz w:val="32"/>
          <w:szCs w:val="32"/>
          <w:highlight w:val="none"/>
          <w:lang w:val="en-US" w:eastAsia="zh-CN" w:bidi="ar-SA"/>
        </w:rPr>
      </w:pPr>
    </w:p>
    <w:p w14:paraId="77F2A7DC">
      <w:pPr>
        <w:pStyle w:val="14"/>
        <w:widowControl/>
        <w:numPr>
          <w:ilvl w:val="0"/>
          <w:numId w:val="0"/>
        </w:numPr>
        <w:spacing w:line="330" w:lineRule="atLeast"/>
        <w:jc w:val="center"/>
        <w:rPr>
          <w:rFonts w:hint="eastAsia" w:asciiTheme="minorHAnsi" w:hAnsiTheme="minorHAnsi" w:cstheme="minorBidi"/>
          <w:b/>
          <w:bCs/>
          <w:color w:val="auto"/>
          <w:kern w:val="2"/>
          <w:sz w:val="32"/>
          <w:szCs w:val="32"/>
          <w:highlight w:val="none"/>
          <w:lang w:val="en-US" w:eastAsia="zh-CN" w:bidi="ar-SA"/>
        </w:rPr>
      </w:pPr>
    </w:p>
    <w:p w14:paraId="636EF192">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720" w:firstLineChars="3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一、项目概况</w:t>
      </w:r>
    </w:p>
    <w:p w14:paraId="352AB52A">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240" w:firstLineChars="1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（一）</w:t>
      </w:r>
      <w:r>
        <w:rPr>
          <w:rFonts w:hint="default" w:eastAsiaTheme="minorEastAsia"/>
          <w:color w:val="auto"/>
          <w:sz w:val="24"/>
          <w:szCs w:val="24"/>
          <w:highlight w:val="none"/>
          <w:lang w:val="en-US" w:eastAsia="zh-CN"/>
        </w:rPr>
        <w:t>体检对象： 202</w:t>
      </w:r>
      <w:r>
        <w:rPr>
          <w:rFonts w:hint="eastAsia"/>
          <w:color w:val="auto"/>
          <w:sz w:val="24"/>
          <w:szCs w:val="24"/>
          <w:highlight w:val="none"/>
          <w:lang w:val="en-US" w:eastAsia="zh-CN"/>
        </w:rPr>
        <w:t>6</w:t>
      </w:r>
      <w:r>
        <w:rPr>
          <w:rFonts w:hint="default" w:eastAsiaTheme="minorEastAsia"/>
          <w:color w:val="auto"/>
          <w:sz w:val="24"/>
          <w:szCs w:val="24"/>
          <w:highlight w:val="none"/>
          <w:lang w:val="en-US" w:eastAsia="zh-CN"/>
        </w:rPr>
        <w:t>级</w:t>
      </w:r>
      <w:r>
        <w:rPr>
          <w:rFonts w:hint="eastAsia"/>
          <w:color w:val="auto"/>
          <w:sz w:val="24"/>
          <w:szCs w:val="24"/>
          <w:highlight w:val="none"/>
          <w:lang w:val="en-US" w:eastAsia="zh-CN"/>
        </w:rPr>
        <w:t>、2027级</w:t>
      </w:r>
      <w:r>
        <w:rPr>
          <w:rFonts w:hint="default" w:eastAsiaTheme="minorEastAsia"/>
          <w:color w:val="auto"/>
          <w:sz w:val="24"/>
          <w:szCs w:val="24"/>
          <w:highlight w:val="none"/>
          <w:lang w:val="en-US" w:eastAsia="zh-CN"/>
        </w:rPr>
        <w:t>新生入学体检</w:t>
      </w:r>
      <w:r>
        <w:rPr>
          <w:rFonts w:hint="eastAsia"/>
          <w:color w:val="auto"/>
          <w:sz w:val="24"/>
          <w:szCs w:val="24"/>
          <w:highlight w:val="none"/>
          <w:lang w:val="en-US" w:eastAsia="zh-CN"/>
        </w:rPr>
        <w:t>。本项目由广西艺术学院及</w:t>
      </w:r>
      <w:r>
        <w:rPr>
          <w:rFonts w:hint="eastAsia" w:asciiTheme="minorHAnsi" w:hAnsiTheme="minorHAnsi" w:eastAsiaTheme="minorEastAsia" w:cstheme="minorBidi"/>
          <w:b w:val="0"/>
          <w:bCs w:val="0"/>
          <w:color w:val="auto"/>
          <w:kern w:val="2"/>
          <w:sz w:val="24"/>
          <w:szCs w:val="24"/>
          <w:highlight w:val="none"/>
          <w:lang w:val="en-US" w:eastAsia="zh-CN" w:bidi="ar-SA"/>
        </w:rPr>
        <w:t>广西艺术学院</w:t>
      </w:r>
      <w:r>
        <w:rPr>
          <w:rFonts w:hint="eastAsia" w:asciiTheme="minorHAnsi" w:hAnsiTheme="minorHAnsi" w:cstheme="minorBidi"/>
          <w:b w:val="0"/>
          <w:bCs w:val="0"/>
          <w:color w:val="auto"/>
          <w:kern w:val="2"/>
          <w:sz w:val="24"/>
          <w:szCs w:val="24"/>
          <w:highlight w:val="none"/>
          <w:lang w:val="en-US" w:eastAsia="zh-CN" w:bidi="ar-SA"/>
        </w:rPr>
        <w:t>附属中等艺术学校</w:t>
      </w:r>
      <w:r>
        <w:rPr>
          <w:rFonts w:hint="eastAsia" w:cstheme="minorBidi"/>
          <w:b w:val="0"/>
          <w:bCs w:val="0"/>
          <w:color w:val="auto"/>
          <w:kern w:val="2"/>
          <w:sz w:val="24"/>
          <w:szCs w:val="24"/>
          <w:highlight w:val="none"/>
          <w:lang w:val="en-US" w:eastAsia="zh-CN" w:bidi="ar-SA"/>
        </w:rPr>
        <w:t>联合采购，由广西艺术学院作为联合采购牵头人，</w:t>
      </w:r>
      <w:r>
        <w:rPr>
          <w:rFonts w:hint="eastAsia"/>
          <w:color w:val="auto"/>
          <w:sz w:val="24"/>
          <w:szCs w:val="24"/>
          <w:highlight w:val="none"/>
          <w:lang w:val="en-US" w:eastAsia="zh-CN"/>
        </w:rPr>
        <w:t>分为A、B两部分，其中A部分为广西艺术学院新生体检服务，总人数约9000人（按两年预计），以实际参加体检人数为准；B部分为广西艺术学院附属中等艺术学校学生体检服务，总人数约1000人（按两年预计），以实际参加体检人数为准。</w:t>
      </w:r>
    </w:p>
    <w:p w14:paraId="01D43563">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240" w:firstLineChars="1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（二）</w:t>
      </w:r>
      <w:r>
        <w:rPr>
          <w:rFonts w:hint="default" w:eastAsiaTheme="minorEastAsia"/>
          <w:color w:val="auto"/>
          <w:sz w:val="24"/>
          <w:szCs w:val="24"/>
          <w:highlight w:val="none"/>
          <w:lang w:val="en-US" w:eastAsia="zh-CN"/>
        </w:rPr>
        <w:t xml:space="preserve">体检时间： </w:t>
      </w:r>
      <w:r>
        <w:rPr>
          <w:rFonts w:hint="eastAsia"/>
          <w:color w:val="auto"/>
          <w:sz w:val="24"/>
          <w:szCs w:val="24"/>
          <w:highlight w:val="none"/>
          <w:lang w:val="en-US" w:eastAsia="zh-CN"/>
        </w:rPr>
        <w:t>按采购方指定的时间提供体检服务。</w:t>
      </w:r>
    </w:p>
    <w:p w14:paraId="7AC8FEE1">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720" w:firstLineChars="3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（三）</w:t>
      </w:r>
      <w:r>
        <w:rPr>
          <w:rFonts w:hint="default" w:eastAsiaTheme="minorEastAsia"/>
          <w:color w:val="auto"/>
          <w:sz w:val="24"/>
          <w:szCs w:val="24"/>
          <w:highlight w:val="none"/>
          <w:lang w:val="en-US" w:eastAsia="zh-CN"/>
        </w:rPr>
        <w:t xml:space="preserve">体检地点： </w:t>
      </w:r>
      <w:r>
        <w:rPr>
          <w:rFonts w:hint="eastAsia"/>
          <w:color w:val="auto"/>
          <w:sz w:val="24"/>
          <w:szCs w:val="24"/>
          <w:highlight w:val="none"/>
          <w:lang w:val="en-US" w:eastAsia="zh-CN"/>
        </w:rPr>
        <w:t>广西壮族自治区南宁市青秀区教育路7号广西艺术学院南湖校区、南宁市西乡塘区罗文大道8号广西艺术学院相思湖校区。</w:t>
      </w:r>
      <w:r>
        <w:rPr>
          <w:rFonts w:hint="default" w:eastAsiaTheme="minorEastAsia"/>
          <w:color w:val="auto"/>
          <w:sz w:val="24"/>
          <w:szCs w:val="24"/>
          <w:highlight w:val="none"/>
          <w:lang w:val="en-US" w:eastAsia="zh-CN"/>
        </w:rPr>
        <w:t xml:space="preserve"> </w:t>
      </w:r>
    </w:p>
    <w:p w14:paraId="37E905C1">
      <w:pPr>
        <w:pStyle w:val="14"/>
        <w:widowControl/>
        <w:numPr>
          <w:ilvl w:val="0"/>
          <w:numId w:val="0"/>
        </w:numPr>
        <w:spacing w:line="330" w:lineRule="atLeast"/>
        <w:jc w:val="both"/>
        <w:rPr>
          <w:rFonts w:hint="default" w:asciiTheme="minorHAnsi" w:hAnsiTheme="minorHAnsi" w:cstheme="minorBidi"/>
          <w:b/>
          <w:bCs/>
          <w:color w:val="auto"/>
          <w:kern w:val="2"/>
          <w:sz w:val="32"/>
          <w:szCs w:val="32"/>
          <w:highlight w:val="none"/>
          <w:lang w:val="en-US" w:eastAsia="zh-CN" w:bidi="ar-SA"/>
        </w:rPr>
      </w:pPr>
    </w:p>
    <w:p w14:paraId="739EC61F">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480" w:firstLineChars="200"/>
        <w:textAlignment w:val="auto"/>
        <w:rPr>
          <w:rFonts w:hint="eastAsia" w:cstheme="minorBidi"/>
          <w:b w:val="0"/>
          <w:bCs w:val="0"/>
          <w:color w:val="auto"/>
          <w:sz w:val="24"/>
          <w:szCs w:val="24"/>
          <w:highlight w:val="none"/>
          <w:lang w:val="en-US" w:eastAsia="zh-CN"/>
        </w:rPr>
      </w:pPr>
      <w:r>
        <w:rPr>
          <w:rFonts w:hint="eastAsia"/>
          <w:color w:val="auto"/>
          <w:sz w:val="24"/>
          <w:szCs w:val="24"/>
          <w:highlight w:val="none"/>
          <w:lang w:val="en-US" w:eastAsia="zh-CN"/>
        </w:rPr>
        <w:t>二、采购需求</w:t>
      </w:r>
      <w:r>
        <w:rPr>
          <w:rFonts w:hint="eastAsia"/>
          <w:b/>
          <w:bCs/>
          <w:color w:val="auto"/>
          <w:sz w:val="24"/>
          <w:szCs w:val="24"/>
          <w:highlight w:val="none"/>
          <w:lang w:val="en-US" w:eastAsia="zh-CN"/>
        </w:rPr>
        <w:t>（</w:t>
      </w:r>
      <w:r>
        <w:rPr>
          <w:rFonts w:hint="eastAsia" w:asciiTheme="minorHAnsi" w:hAnsiTheme="minorHAnsi" w:cstheme="minorBidi"/>
          <w:b/>
          <w:bCs/>
          <w:color w:val="auto"/>
          <w:sz w:val="24"/>
          <w:szCs w:val="24"/>
          <w:highlight w:val="none"/>
          <w:lang w:val="en-US" w:eastAsia="zh-CN"/>
        </w:rPr>
        <w:t>本项目不允许负偏离</w:t>
      </w:r>
      <w:r>
        <w:rPr>
          <w:rFonts w:hint="eastAsia" w:cstheme="minorBidi"/>
          <w:b/>
          <w:bCs/>
          <w:color w:val="auto"/>
          <w:sz w:val="24"/>
          <w:szCs w:val="24"/>
          <w:highlight w:val="none"/>
          <w:lang w:val="en-US" w:eastAsia="zh-CN"/>
        </w:rPr>
        <w:t>）</w:t>
      </w:r>
    </w:p>
    <w:p w14:paraId="3948F87E">
      <w:pPr>
        <w:pStyle w:val="2"/>
        <w:rPr>
          <w:rFonts w:hint="default"/>
          <w:color w:val="auto"/>
          <w:lang w:val="en-US" w:eastAsia="zh-CN"/>
        </w:rPr>
      </w:pPr>
      <w:r>
        <w:rPr>
          <w:rFonts w:hint="eastAsia" w:cstheme="minorBidi"/>
          <w:b w:val="0"/>
          <w:bCs w:val="0"/>
          <w:color w:val="auto"/>
          <w:sz w:val="24"/>
          <w:szCs w:val="24"/>
          <w:highlight w:val="none"/>
          <w:lang w:val="en-US" w:eastAsia="zh-CN"/>
        </w:rPr>
        <w:t xml:space="preserve">   </w:t>
      </w:r>
      <w:r>
        <w:rPr>
          <w:rFonts w:hint="eastAsia" w:cstheme="minorBidi"/>
          <w:b/>
          <w:bCs/>
          <w:color w:val="auto"/>
          <w:sz w:val="24"/>
          <w:szCs w:val="24"/>
          <w:highlight w:val="none"/>
          <w:lang w:val="en-US" w:eastAsia="zh-CN"/>
        </w:rPr>
        <w:t xml:space="preserve">   A部分：</w:t>
      </w:r>
      <w:r>
        <w:rPr>
          <w:rFonts w:hint="eastAsia"/>
          <w:b/>
          <w:bCs/>
          <w:color w:val="auto"/>
          <w:sz w:val="24"/>
          <w:szCs w:val="24"/>
          <w:highlight w:val="none"/>
          <w:lang w:val="en-US" w:eastAsia="zh-CN"/>
        </w:rPr>
        <w:t>广西艺术学院新生体检服务</w:t>
      </w:r>
    </w:p>
    <w:p w14:paraId="12C2432C">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0" w:firstLineChars="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 xml:space="preserve">     （一）体检项目</w:t>
      </w:r>
    </w:p>
    <w:p w14:paraId="1FD186BA">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color w:val="auto"/>
          <w:sz w:val="24"/>
          <w:szCs w:val="24"/>
          <w:highlight w:val="none"/>
        </w:rPr>
      </w:pPr>
      <w:r>
        <w:rPr>
          <w:rFonts w:hint="eastAsia"/>
          <w:color w:val="auto"/>
          <w:sz w:val="24"/>
          <w:szCs w:val="24"/>
          <w:highlight w:val="none"/>
        </w:rPr>
        <w:t>一般</w:t>
      </w:r>
      <w:r>
        <w:rPr>
          <w:rFonts w:hint="eastAsia"/>
          <w:color w:val="auto"/>
          <w:sz w:val="24"/>
          <w:szCs w:val="24"/>
          <w:highlight w:val="none"/>
          <w:lang w:val="en-US" w:eastAsia="zh-CN"/>
        </w:rPr>
        <w:t>检查</w:t>
      </w:r>
      <w:r>
        <w:rPr>
          <w:rFonts w:hint="eastAsia"/>
          <w:color w:val="auto"/>
          <w:sz w:val="24"/>
          <w:szCs w:val="24"/>
          <w:highlight w:val="none"/>
          <w:lang w:eastAsia="zh-CN"/>
        </w:rPr>
        <w:t>：</w:t>
      </w:r>
      <w:r>
        <w:rPr>
          <w:rFonts w:hint="eastAsia"/>
          <w:color w:val="auto"/>
          <w:sz w:val="24"/>
          <w:szCs w:val="24"/>
          <w:highlight w:val="none"/>
        </w:rPr>
        <w:t>内科、外科、五官 （眼</w:t>
      </w:r>
      <w:r>
        <w:rPr>
          <w:rFonts w:hint="eastAsia"/>
          <w:color w:val="auto"/>
          <w:sz w:val="24"/>
          <w:szCs w:val="24"/>
          <w:highlight w:val="none"/>
          <w:lang w:eastAsia="zh-CN"/>
        </w:rPr>
        <w:t>、</w:t>
      </w:r>
      <w:r>
        <w:rPr>
          <w:rFonts w:hint="eastAsia"/>
          <w:color w:val="auto"/>
          <w:sz w:val="24"/>
          <w:szCs w:val="24"/>
          <w:highlight w:val="none"/>
        </w:rPr>
        <w:t>耳</w:t>
      </w:r>
      <w:r>
        <w:rPr>
          <w:rFonts w:hint="eastAsia"/>
          <w:color w:val="auto"/>
          <w:sz w:val="24"/>
          <w:szCs w:val="24"/>
          <w:highlight w:val="none"/>
          <w:lang w:eastAsia="zh-CN"/>
        </w:rPr>
        <w:t>、</w:t>
      </w:r>
      <w:r>
        <w:rPr>
          <w:rFonts w:hint="eastAsia"/>
          <w:color w:val="auto"/>
          <w:sz w:val="24"/>
          <w:szCs w:val="24"/>
          <w:highlight w:val="none"/>
        </w:rPr>
        <w:t xml:space="preserve">鼻 </w:t>
      </w:r>
      <w:r>
        <w:rPr>
          <w:rFonts w:hint="eastAsia"/>
          <w:color w:val="auto"/>
          <w:sz w:val="24"/>
          <w:szCs w:val="24"/>
          <w:highlight w:val="none"/>
          <w:lang w:eastAsia="zh-CN"/>
        </w:rPr>
        <w:t>、</w:t>
      </w:r>
      <w:r>
        <w:rPr>
          <w:rFonts w:hint="eastAsia"/>
          <w:color w:val="auto"/>
          <w:sz w:val="24"/>
          <w:szCs w:val="24"/>
          <w:highlight w:val="none"/>
        </w:rPr>
        <w:t>喉</w:t>
      </w:r>
      <w:r>
        <w:rPr>
          <w:rFonts w:hint="eastAsia"/>
          <w:color w:val="auto"/>
          <w:sz w:val="24"/>
          <w:szCs w:val="24"/>
          <w:highlight w:val="none"/>
          <w:lang w:eastAsia="zh-CN"/>
        </w:rPr>
        <w:t>、</w:t>
      </w:r>
      <w:r>
        <w:rPr>
          <w:rFonts w:hint="eastAsia"/>
          <w:color w:val="auto"/>
          <w:sz w:val="24"/>
          <w:szCs w:val="24"/>
          <w:highlight w:val="none"/>
        </w:rPr>
        <w:t>口腔）、眼科</w:t>
      </w:r>
      <w:r>
        <w:rPr>
          <w:rFonts w:hint="eastAsia"/>
          <w:color w:val="auto"/>
          <w:sz w:val="24"/>
          <w:szCs w:val="24"/>
          <w:highlight w:val="none"/>
          <w:lang w:eastAsia="zh-CN"/>
        </w:rPr>
        <w:t>（</w:t>
      </w:r>
      <w:r>
        <w:rPr>
          <w:rFonts w:hint="eastAsia"/>
          <w:color w:val="auto"/>
          <w:sz w:val="24"/>
          <w:szCs w:val="24"/>
          <w:highlight w:val="none"/>
        </w:rPr>
        <w:t>视力、</w:t>
      </w:r>
      <w:r>
        <w:rPr>
          <w:rFonts w:hint="eastAsia"/>
          <w:color w:val="auto"/>
          <w:sz w:val="24"/>
          <w:szCs w:val="24"/>
          <w:highlight w:val="none"/>
          <w:lang w:val="en-US" w:eastAsia="zh-CN"/>
        </w:rPr>
        <w:t>辨</w:t>
      </w:r>
      <w:r>
        <w:rPr>
          <w:rFonts w:hint="eastAsia"/>
          <w:color w:val="auto"/>
          <w:sz w:val="24"/>
          <w:szCs w:val="24"/>
          <w:highlight w:val="none"/>
        </w:rPr>
        <w:t>色力</w:t>
      </w:r>
      <w:r>
        <w:rPr>
          <w:rFonts w:hint="eastAsia"/>
          <w:color w:val="auto"/>
          <w:sz w:val="24"/>
          <w:szCs w:val="24"/>
          <w:highlight w:val="none"/>
          <w:lang w:eastAsia="zh-CN"/>
        </w:rPr>
        <w:t>）、</w:t>
      </w:r>
      <w:r>
        <w:rPr>
          <w:rFonts w:hint="eastAsia"/>
          <w:color w:val="auto"/>
          <w:sz w:val="24"/>
          <w:szCs w:val="24"/>
          <w:highlight w:val="none"/>
        </w:rPr>
        <w:t>听力、身高、体重、血压。</w:t>
      </w:r>
    </w:p>
    <w:p w14:paraId="5795F006">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eastAsiaTheme="minorEastAsia"/>
          <w:color w:val="auto"/>
          <w:sz w:val="24"/>
          <w:szCs w:val="24"/>
          <w:highlight w:val="none"/>
          <w:lang w:eastAsia="zh-CN"/>
        </w:rPr>
      </w:pPr>
      <w:r>
        <w:rPr>
          <w:rFonts w:hint="eastAsia"/>
          <w:color w:val="auto"/>
          <w:sz w:val="24"/>
          <w:szCs w:val="24"/>
          <w:highlight w:val="none"/>
        </w:rPr>
        <w:t>血常规</w:t>
      </w:r>
      <w:r>
        <w:rPr>
          <w:rFonts w:hint="eastAsia"/>
          <w:color w:val="auto"/>
          <w:sz w:val="24"/>
          <w:szCs w:val="24"/>
          <w:highlight w:val="none"/>
          <w:lang w:eastAsia="zh-CN"/>
        </w:rPr>
        <w:t>（</w:t>
      </w:r>
      <w:r>
        <w:rPr>
          <w:rFonts w:hint="eastAsia"/>
          <w:color w:val="auto"/>
          <w:sz w:val="24"/>
          <w:szCs w:val="24"/>
          <w:highlight w:val="none"/>
          <w:lang w:val="en-US" w:eastAsia="zh-CN"/>
        </w:rPr>
        <w:t>全血细胞计数3分类</w:t>
      </w:r>
      <w:r>
        <w:rPr>
          <w:rFonts w:hint="eastAsia"/>
          <w:color w:val="auto"/>
          <w:sz w:val="24"/>
          <w:szCs w:val="24"/>
          <w:highlight w:val="none"/>
          <w:lang w:eastAsia="zh-CN"/>
        </w:rPr>
        <w:t>）</w:t>
      </w:r>
    </w:p>
    <w:p w14:paraId="23D6C4ED">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color w:val="auto"/>
          <w:sz w:val="24"/>
          <w:szCs w:val="24"/>
          <w:highlight w:val="none"/>
        </w:rPr>
      </w:pPr>
      <w:r>
        <w:rPr>
          <w:rFonts w:hint="eastAsia"/>
          <w:color w:val="auto"/>
          <w:sz w:val="24"/>
          <w:szCs w:val="24"/>
          <w:highlight w:val="none"/>
        </w:rPr>
        <w:t>肝功能</w:t>
      </w:r>
      <w:r>
        <w:rPr>
          <w:rFonts w:hint="eastAsia"/>
          <w:color w:val="auto"/>
          <w:sz w:val="24"/>
          <w:szCs w:val="24"/>
          <w:highlight w:val="none"/>
          <w:lang w:eastAsia="zh-CN"/>
        </w:rPr>
        <w:t>：</w:t>
      </w:r>
      <w:r>
        <w:rPr>
          <w:rFonts w:hint="eastAsia"/>
          <w:color w:val="auto"/>
          <w:sz w:val="24"/>
          <w:szCs w:val="24"/>
          <w:highlight w:val="none"/>
        </w:rPr>
        <w:t>血清丙氨酸氨基转移酶测定、总胆红素测定</w:t>
      </w:r>
    </w:p>
    <w:p w14:paraId="1D5F5E14">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eastAsiaTheme="minorEastAsia"/>
          <w:color w:val="auto"/>
          <w:sz w:val="24"/>
          <w:szCs w:val="24"/>
          <w:highlight w:val="none"/>
          <w:lang w:eastAsia="zh-CN"/>
        </w:rPr>
      </w:pPr>
      <w:r>
        <w:rPr>
          <w:rFonts w:hint="eastAsia"/>
          <w:color w:val="auto"/>
          <w:sz w:val="24"/>
          <w:szCs w:val="24"/>
          <w:highlight w:val="none"/>
        </w:rPr>
        <w:t>胸部数字化摄影DR</w:t>
      </w:r>
      <w:r>
        <w:rPr>
          <w:rFonts w:hint="eastAsia"/>
          <w:color w:val="auto"/>
          <w:sz w:val="24"/>
          <w:szCs w:val="24"/>
          <w:highlight w:val="none"/>
          <w:lang w:eastAsia="zh-CN"/>
        </w:rPr>
        <w:t>（</w:t>
      </w:r>
      <w:r>
        <w:rPr>
          <w:rFonts w:hint="eastAsia"/>
          <w:color w:val="auto"/>
          <w:sz w:val="24"/>
          <w:szCs w:val="24"/>
          <w:highlight w:val="none"/>
          <w:lang w:val="en-US" w:eastAsia="zh-CN"/>
        </w:rPr>
        <w:t>不含胶片</w:t>
      </w:r>
      <w:r>
        <w:rPr>
          <w:rFonts w:hint="eastAsia"/>
          <w:color w:val="auto"/>
          <w:sz w:val="24"/>
          <w:szCs w:val="24"/>
          <w:highlight w:val="none"/>
          <w:lang w:eastAsia="zh-CN"/>
        </w:rPr>
        <w:t>）</w:t>
      </w:r>
    </w:p>
    <w:p w14:paraId="32B5459D">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（二）服务要求</w:t>
      </w:r>
    </w:p>
    <w:p w14:paraId="133B0538">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1、供应商必须具有独立法人资格及医疗机构执业许可证，是南宁市范围内公立性质的具备健康体检资质的医疗卫生机构。</w:t>
      </w:r>
      <w:r>
        <w:rPr>
          <w:rFonts w:hint="eastAsia"/>
          <w:color w:val="auto"/>
          <w:sz w:val="24"/>
          <w:szCs w:val="24"/>
          <w:highlight w:val="none"/>
        </w:rPr>
        <w:t>必须按照采购文件要求和响应文件承诺签署合同，并严格履行合同，承诺按行业技术标准，按既定体检项目，开展体检服务。以人为本 、认真负责 、确保质量 、优质服务</w:t>
      </w:r>
      <w:r>
        <w:rPr>
          <w:rFonts w:hint="eastAsia"/>
          <w:color w:val="auto"/>
          <w:sz w:val="24"/>
          <w:szCs w:val="24"/>
          <w:highlight w:val="none"/>
          <w:lang w:eastAsia="zh-CN"/>
        </w:rPr>
        <w:t>，</w:t>
      </w:r>
      <w:r>
        <w:rPr>
          <w:rFonts w:hint="eastAsia"/>
          <w:color w:val="auto"/>
          <w:sz w:val="24"/>
          <w:szCs w:val="24"/>
          <w:highlight w:val="none"/>
        </w:rPr>
        <w:t>严格按照体检的技术指标和操作规范，确保体检质量和检查结果的准确性，做到不漏检、不误检。</w:t>
      </w:r>
      <w:r>
        <w:rPr>
          <w:rFonts w:hint="eastAsia" w:eastAsia="宋体"/>
          <w:b/>
          <w:bCs/>
          <w:color w:val="auto"/>
          <w:sz w:val="24"/>
          <w:szCs w:val="24"/>
          <w:highlight w:val="none"/>
          <w:lang w:val="en-US" w:eastAsia="zh-CN"/>
        </w:rPr>
        <w:t>供应商须提供有关资质证明复印件材料。</w:t>
      </w:r>
    </w:p>
    <w:p w14:paraId="1C3AC98A">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b/>
          <w:bCs/>
          <w:color w:val="auto"/>
          <w:sz w:val="24"/>
          <w:szCs w:val="24"/>
          <w:highlight w:val="none"/>
          <w:lang w:val="en-US" w:eastAsia="zh-CN"/>
        </w:rPr>
      </w:pPr>
      <w:r>
        <w:rPr>
          <w:rFonts w:hint="eastAsia" w:eastAsia="宋体"/>
          <w:color w:val="auto"/>
          <w:sz w:val="24"/>
          <w:szCs w:val="24"/>
          <w:highlight w:val="none"/>
          <w:lang w:val="en-US" w:eastAsia="zh-CN"/>
        </w:rPr>
        <w:t>2、供应商须具有1日内承接至少3000名高校新生入学体检的能力，组织不少于30人的现场体检团队（</w:t>
      </w:r>
      <w:r>
        <w:rPr>
          <w:rFonts w:hint="eastAsia" w:eastAsia="宋体"/>
          <w:b/>
          <w:bCs/>
          <w:color w:val="auto"/>
          <w:sz w:val="24"/>
          <w:szCs w:val="24"/>
          <w:highlight w:val="none"/>
          <w:lang w:val="en-US" w:eastAsia="zh-CN"/>
        </w:rPr>
        <w:t>如供应商同时承接本项目A、B两部分体检项目，则在满足A、B两部分体检项目需要且高效有序的前提下，拟投入体检团队人员可共用</w:t>
      </w:r>
      <w:r>
        <w:rPr>
          <w:rFonts w:hint="eastAsia" w:eastAsia="宋体"/>
          <w:color w:val="auto"/>
          <w:sz w:val="24"/>
          <w:szCs w:val="24"/>
          <w:highlight w:val="none"/>
          <w:lang w:val="en-US" w:eastAsia="zh-CN"/>
        </w:rPr>
        <w:t>）为体检服务，允许采购人根据实际情况，要求供应商调整体检团队人数。</w:t>
      </w:r>
      <w:r>
        <w:rPr>
          <w:rFonts w:hint="eastAsia" w:eastAsia="宋体"/>
          <w:b/>
          <w:bCs/>
          <w:color w:val="auto"/>
          <w:sz w:val="24"/>
          <w:szCs w:val="24"/>
          <w:highlight w:val="none"/>
          <w:lang w:val="en-US" w:eastAsia="zh-CN"/>
        </w:rPr>
        <w:t>供应商须提供自2020年1月1日以来的至少一个类似业绩证明材料复印件。</w:t>
      </w:r>
    </w:p>
    <w:p w14:paraId="286D4B9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3、</w:t>
      </w:r>
      <w:r>
        <w:rPr>
          <w:rFonts w:hint="eastAsia"/>
          <w:color w:val="auto"/>
          <w:sz w:val="24"/>
          <w:szCs w:val="24"/>
          <w:highlight w:val="none"/>
          <w:lang w:eastAsia="zh-CN"/>
        </w:rPr>
        <w:t>按照学校体检工作时间安排</w:t>
      </w:r>
      <w:r>
        <w:rPr>
          <w:rFonts w:hint="eastAsia"/>
          <w:color w:val="auto"/>
          <w:sz w:val="24"/>
          <w:szCs w:val="24"/>
          <w:highlight w:val="none"/>
        </w:rPr>
        <w:t>，体检前一周发送《体检温馨提示》</w:t>
      </w:r>
      <w:r>
        <w:rPr>
          <w:rFonts w:hint="eastAsia"/>
          <w:color w:val="auto"/>
          <w:sz w:val="24"/>
          <w:szCs w:val="24"/>
          <w:highlight w:val="none"/>
          <w:lang w:eastAsia="zh-CN"/>
        </w:rPr>
        <w:t>；发放体检材料，</w:t>
      </w:r>
      <w:r>
        <w:rPr>
          <w:rFonts w:hint="eastAsia"/>
          <w:color w:val="auto"/>
          <w:sz w:val="24"/>
          <w:szCs w:val="24"/>
          <w:highlight w:val="none"/>
        </w:rPr>
        <w:t>上门体检提前考察场地及体检车用电需求满足</w:t>
      </w:r>
      <w:r>
        <w:rPr>
          <w:rFonts w:hint="eastAsia"/>
          <w:color w:val="auto"/>
          <w:sz w:val="24"/>
          <w:szCs w:val="24"/>
          <w:highlight w:val="none"/>
          <w:lang w:eastAsia="zh-CN"/>
        </w:rPr>
        <w:t>情况，保证按约定时间到达学校布置体检场所，开展体检工作，并及时收回体检表。</w:t>
      </w:r>
    </w:p>
    <w:p w14:paraId="033B888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rPr>
      </w:pPr>
      <w:r>
        <w:rPr>
          <w:rFonts w:hint="eastAsia"/>
          <w:color w:val="auto"/>
          <w:sz w:val="24"/>
          <w:szCs w:val="24"/>
          <w:highlight w:val="none"/>
        </w:rPr>
        <w:t>4</w:t>
      </w:r>
      <w:r>
        <w:rPr>
          <w:rFonts w:hint="eastAsia"/>
          <w:color w:val="auto"/>
          <w:sz w:val="24"/>
          <w:szCs w:val="24"/>
          <w:highlight w:val="none"/>
          <w:lang w:val="en-US" w:eastAsia="zh-CN"/>
        </w:rPr>
        <w:t>、</w:t>
      </w:r>
      <w:r>
        <w:rPr>
          <w:rFonts w:hint="default"/>
          <w:color w:val="auto"/>
          <w:sz w:val="24"/>
          <w:szCs w:val="24"/>
          <w:highlight w:val="none"/>
        </w:rPr>
        <w:t>供应商</w:t>
      </w:r>
      <w:r>
        <w:rPr>
          <w:color w:val="auto"/>
          <w:sz w:val="24"/>
          <w:szCs w:val="24"/>
          <w:highlight w:val="none"/>
        </w:rPr>
        <w:t>需</w:t>
      </w:r>
      <w:r>
        <w:rPr>
          <w:rFonts w:hint="eastAsia"/>
          <w:color w:val="auto"/>
          <w:sz w:val="24"/>
          <w:szCs w:val="24"/>
          <w:highlight w:val="none"/>
          <w:lang w:val="en-US" w:eastAsia="zh-CN"/>
        </w:rPr>
        <w:t>提供至少2</w:t>
      </w:r>
      <w:r>
        <w:rPr>
          <w:color w:val="auto"/>
          <w:sz w:val="24"/>
          <w:szCs w:val="24"/>
          <w:highlight w:val="none"/>
        </w:rPr>
        <w:t>台性能良好、符合国家标准的DR车</w:t>
      </w:r>
      <w:r>
        <w:rPr>
          <w:rFonts w:hint="eastAsia"/>
          <w:color w:val="auto"/>
          <w:sz w:val="24"/>
          <w:szCs w:val="24"/>
          <w:highlight w:val="none"/>
          <w:lang w:eastAsia="zh-CN"/>
        </w:rPr>
        <w:t>（</w:t>
      </w:r>
      <w:r>
        <w:rPr>
          <w:rFonts w:hint="eastAsia" w:eastAsia="宋体"/>
          <w:b/>
          <w:bCs/>
          <w:color w:val="auto"/>
          <w:sz w:val="24"/>
          <w:szCs w:val="24"/>
          <w:highlight w:val="none"/>
          <w:lang w:val="en-US" w:eastAsia="zh-CN"/>
        </w:rPr>
        <w:t>如供应商同时承接本项目A、B两部分体检项目，则在满足A、B两部分体检项目需要且高效有序的前提下，拟投入DR车可共用</w:t>
      </w:r>
      <w:r>
        <w:rPr>
          <w:rFonts w:hint="eastAsia"/>
          <w:color w:val="auto"/>
          <w:sz w:val="24"/>
          <w:szCs w:val="24"/>
          <w:highlight w:val="none"/>
          <w:lang w:eastAsia="zh-CN"/>
        </w:rPr>
        <w:t>）</w:t>
      </w:r>
      <w:r>
        <w:rPr>
          <w:color w:val="auto"/>
          <w:sz w:val="24"/>
          <w:szCs w:val="24"/>
          <w:highlight w:val="none"/>
        </w:rPr>
        <w:t>，用于胸部DR检查，设备需在有效期内。</w:t>
      </w:r>
      <w:r>
        <w:rPr>
          <w:rFonts w:hint="eastAsia" w:eastAsia="宋体"/>
          <w:b/>
          <w:bCs/>
          <w:color w:val="auto"/>
          <w:sz w:val="24"/>
          <w:szCs w:val="24"/>
          <w:highlight w:val="none"/>
          <w:lang w:val="en-US" w:eastAsia="zh-CN"/>
        </w:rPr>
        <w:t>供应商须提供有关证明材料（自有的提供资产证明等证明材料，租赁的提供租赁合同等证明材料）。</w:t>
      </w:r>
      <w:r>
        <w:rPr>
          <w:rFonts w:ascii="宋体" w:hAnsi="宋体" w:eastAsia="宋体" w:cs="宋体"/>
          <w:color w:val="auto"/>
          <w:sz w:val="24"/>
          <w:szCs w:val="24"/>
          <w:highlight w:val="none"/>
        </w:rPr>
        <w:t>采购人组织体检服务开展</w:t>
      </w:r>
      <w:r>
        <w:rPr>
          <w:rFonts w:hint="eastAsia" w:ascii="宋体" w:hAnsi="宋体" w:eastAsia="宋体" w:cs="宋体"/>
          <w:color w:val="auto"/>
          <w:sz w:val="24"/>
          <w:szCs w:val="24"/>
          <w:highlight w:val="none"/>
          <w:lang w:eastAsia="zh-CN"/>
        </w:rPr>
        <w:t>的</w:t>
      </w:r>
      <w:r>
        <w:rPr>
          <w:rFonts w:ascii="宋体" w:hAnsi="宋体" w:eastAsia="宋体" w:cs="宋体"/>
          <w:color w:val="auto"/>
          <w:sz w:val="24"/>
          <w:szCs w:val="24"/>
          <w:highlight w:val="none"/>
        </w:rPr>
        <w:t>前一日，供应商须将拟投入的 2 台 DR 体检车辆运送至采购人指定体检</w:t>
      </w:r>
      <w:r>
        <w:rPr>
          <w:rFonts w:hint="eastAsia" w:ascii="宋体" w:hAnsi="宋体" w:eastAsia="宋体" w:cs="宋体"/>
          <w:color w:val="auto"/>
          <w:sz w:val="24"/>
          <w:szCs w:val="24"/>
          <w:highlight w:val="none"/>
          <w:lang w:val="en-US" w:eastAsia="zh-CN"/>
        </w:rPr>
        <w:t>地点</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并</w:t>
      </w:r>
      <w:r>
        <w:rPr>
          <w:rFonts w:ascii="宋体" w:hAnsi="宋体" w:eastAsia="宋体" w:cs="宋体"/>
          <w:color w:val="auto"/>
          <w:sz w:val="24"/>
          <w:szCs w:val="24"/>
          <w:highlight w:val="none"/>
        </w:rPr>
        <w:t>完成设备安装、调试及检测工作，确保设备可正常投入使用。</w:t>
      </w:r>
    </w:p>
    <w:p w14:paraId="66CDADE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5、</w:t>
      </w:r>
      <w:r>
        <w:rPr>
          <w:rFonts w:hint="eastAsia"/>
          <w:color w:val="auto"/>
          <w:sz w:val="24"/>
          <w:szCs w:val="24"/>
          <w:highlight w:val="none"/>
        </w:rPr>
        <w:t>按双方预定时间段，安排上门体检</w:t>
      </w:r>
      <w:r>
        <w:rPr>
          <w:rFonts w:hint="eastAsia"/>
          <w:color w:val="auto"/>
          <w:sz w:val="24"/>
          <w:szCs w:val="24"/>
          <w:highlight w:val="none"/>
          <w:lang w:eastAsia="zh-CN"/>
        </w:rPr>
        <w:t>。</w:t>
      </w:r>
      <w:r>
        <w:rPr>
          <w:rFonts w:hint="eastAsia"/>
          <w:color w:val="auto"/>
          <w:sz w:val="24"/>
          <w:szCs w:val="24"/>
          <w:highlight w:val="none"/>
        </w:rPr>
        <w:t>新生注册第二</w:t>
      </w:r>
      <w:r>
        <w:rPr>
          <w:rFonts w:hint="eastAsia"/>
          <w:color w:val="auto"/>
          <w:sz w:val="24"/>
          <w:szCs w:val="24"/>
          <w:highlight w:val="none"/>
          <w:lang w:val="en-US" w:eastAsia="zh-CN"/>
        </w:rPr>
        <w:t>日（南湖校区）</w:t>
      </w:r>
      <w:r>
        <w:rPr>
          <w:rFonts w:hint="eastAsia"/>
          <w:color w:val="auto"/>
          <w:sz w:val="24"/>
          <w:szCs w:val="24"/>
          <w:highlight w:val="none"/>
          <w:lang w:eastAsia="zh-CN"/>
        </w:rPr>
        <w:t>、</w:t>
      </w:r>
      <w:r>
        <w:rPr>
          <w:rFonts w:hint="eastAsia"/>
          <w:color w:val="auto"/>
          <w:sz w:val="24"/>
          <w:szCs w:val="24"/>
          <w:highlight w:val="none"/>
          <w:lang w:val="en-US" w:eastAsia="zh-CN"/>
        </w:rPr>
        <w:t>第三</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lang w:val="en-US" w:eastAsia="zh-CN"/>
        </w:rPr>
        <w:t>相思湖校区</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lang w:val="en-US" w:eastAsia="zh-CN"/>
        </w:rPr>
        <w:t>供应商</w:t>
      </w:r>
      <w:r>
        <w:rPr>
          <w:rFonts w:hint="eastAsia"/>
          <w:color w:val="auto"/>
          <w:sz w:val="24"/>
          <w:szCs w:val="24"/>
          <w:highlight w:val="none"/>
        </w:rPr>
        <w:t>分别安排</w:t>
      </w:r>
      <w:r>
        <w:rPr>
          <w:rFonts w:hint="eastAsia"/>
          <w:color w:val="auto"/>
          <w:sz w:val="24"/>
          <w:szCs w:val="24"/>
          <w:highlight w:val="none"/>
          <w:lang w:val="en-US" w:eastAsia="zh-CN"/>
        </w:rPr>
        <w:t>2</w:t>
      </w:r>
      <w:r>
        <w:rPr>
          <w:rFonts w:hint="eastAsia"/>
          <w:color w:val="auto"/>
          <w:sz w:val="24"/>
          <w:szCs w:val="24"/>
          <w:highlight w:val="none"/>
        </w:rPr>
        <w:t>台DR体检车为新生进行胸部DR检测</w:t>
      </w:r>
      <w:r>
        <w:rPr>
          <w:rFonts w:hint="default" w:asciiTheme="minorAscii" w:hAnsiTheme="minorAscii"/>
          <w:color w:val="auto"/>
          <w:sz w:val="24"/>
          <w:szCs w:val="24"/>
          <w:highlight w:val="none"/>
          <w:u w:val="none"/>
          <w:lang w:eastAsia="zh-CN"/>
        </w:rPr>
        <w:t>（</w:t>
      </w:r>
      <w:r>
        <w:rPr>
          <w:rFonts w:hint="default"/>
          <w:color w:val="auto"/>
          <w:sz w:val="24"/>
          <w:szCs w:val="24"/>
          <w:highlight w:val="none"/>
          <w:lang w:val="en-US" w:eastAsia="zh-CN"/>
        </w:rPr>
        <w:t>务必配置胸透专用防辐射围脖，必要时提供</w:t>
      </w:r>
      <w:r>
        <w:rPr>
          <w:rFonts w:hint="eastAsia"/>
          <w:color w:val="auto"/>
          <w:sz w:val="24"/>
          <w:szCs w:val="24"/>
          <w:highlight w:val="none"/>
          <w:lang w:val="en-US" w:eastAsia="zh-CN"/>
        </w:rPr>
        <w:t>给</w:t>
      </w:r>
      <w:r>
        <w:rPr>
          <w:rFonts w:hint="default"/>
          <w:color w:val="auto"/>
          <w:sz w:val="24"/>
          <w:szCs w:val="24"/>
          <w:highlight w:val="none"/>
          <w:lang w:val="en-US" w:eastAsia="zh-CN"/>
        </w:rPr>
        <w:t>受检学生做好辐射防护</w:t>
      </w:r>
      <w:r>
        <w:rPr>
          <w:rFonts w:hint="default"/>
          <w:color w:val="auto"/>
          <w:sz w:val="24"/>
          <w:szCs w:val="24"/>
          <w:highlight w:val="none"/>
          <w:lang w:eastAsia="zh-CN"/>
        </w:rPr>
        <w:t>）</w:t>
      </w:r>
      <w:r>
        <w:rPr>
          <w:rFonts w:hint="eastAsia"/>
          <w:color w:val="auto"/>
          <w:sz w:val="24"/>
          <w:szCs w:val="24"/>
          <w:highlight w:val="none"/>
        </w:rPr>
        <w:t>，检查异常（肺结核、胸腔积液等）的学生，当日立即通报学校</w:t>
      </w:r>
      <w:r>
        <w:rPr>
          <w:rFonts w:hint="eastAsia"/>
          <w:color w:val="auto"/>
          <w:sz w:val="24"/>
          <w:szCs w:val="24"/>
          <w:highlight w:val="none"/>
          <w:lang w:val="en-US" w:eastAsia="zh-CN"/>
        </w:rPr>
        <w:t>医务</w:t>
      </w:r>
      <w:r>
        <w:rPr>
          <w:rFonts w:hint="eastAsia"/>
          <w:color w:val="auto"/>
          <w:sz w:val="24"/>
          <w:szCs w:val="24"/>
          <w:highlight w:val="none"/>
        </w:rPr>
        <w:t>所工作人员。</w:t>
      </w:r>
      <w:r>
        <w:rPr>
          <w:rFonts w:hint="eastAsia"/>
          <w:color w:val="auto"/>
          <w:sz w:val="24"/>
          <w:szCs w:val="24"/>
          <w:highlight w:val="none"/>
          <w:lang w:val="en-US" w:eastAsia="zh-CN"/>
        </w:rPr>
        <w:t>供应商</w:t>
      </w:r>
      <w:r>
        <w:rPr>
          <w:rFonts w:hint="eastAsia"/>
          <w:color w:val="auto"/>
          <w:sz w:val="24"/>
          <w:szCs w:val="24"/>
          <w:highlight w:val="none"/>
        </w:rPr>
        <w:t>自备</w:t>
      </w:r>
      <w:r>
        <w:rPr>
          <w:rFonts w:hint="eastAsia"/>
          <w:color w:val="auto"/>
          <w:sz w:val="24"/>
          <w:szCs w:val="24"/>
          <w:highlight w:val="none"/>
          <w:lang w:val="en-US" w:eastAsia="zh-CN"/>
        </w:rPr>
        <w:t>体检器械</w:t>
      </w:r>
      <w:r>
        <w:rPr>
          <w:rFonts w:hint="eastAsia"/>
          <w:color w:val="auto"/>
          <w:sz w:val="24"/>
          <w:szCs w:val="24"/>
          <w:highlight w:val="none"/>
        </w:rPr>
        <w:t>、</w:t>
      </w:r>
      <w:r>
        <w:rPr>
          <w:rFonts w:hint="eastAsia"/>
          <w:color w:val="auto"/>
          <w:sz w:val="24"/>
          <w:szCs w:val="24"/>
          <w:highlight w:val="none"/>
          <w:lang w:val="en-US" w:eastAsia="zh-CN"/>
        </w:rPr>
        <w:t>医疗耗材</w:t>
      </w:r>
      <w:r>
        <w:rPr>
          <w:rFonts w:hint="eastAsia"/>
          <w:color w:val="auto"/>
          <w:sz w:val="24"/>
          <w:szCs w:val="24"/>
          <w:highlight w:val="none"/>
        </w:rPr>
        <w:t>，将专业体检设备</w:t>
      </w:r>
      <w:r>
        <w:rPr>
          <w:rFonts w:hint="eastAsia"/>
          <w:color w:val="auto"/>
          <w:sz w:val="24"/>
          <w:szCs w:val="24"/>
          <w:highlight w:val="none"/>
          <w:lang w:val="en-US" w:eastAsia="zh-CN"/>
        </w:rPr>
        <w:t>耗材</w:t>
      </w:r>
      <w:r>
        <w:rPr>
          <w:rFonts w:hint="eastAsia"/>
          <w:color w:val="auto"/>
          <w:sz w:val="24"/>
          <w:szCs w:val="24"/>
          <w:highlight w:val="none"/>
        </w:rPr>
        <w:t>运到学校</w:t>
      </w:r>
      <w:r>
        <w:rPr>
          <w:rFonts w:hint="eastAsia"/>
          <w:color w:val="auto"/>
          <w:sz w:val="24"/>
          <w:szCs w:val="24"/>
          <w:highlight w:val="none"/>
          <w:lang w:val="en-US" w:eastAsia="zh-CN"/>
        </w:rPr>
        <w:t>体检场地</w:t>
      </w:r>
      <w:r>
        <w:rPr>
          <w:rFonts w:hint="eastAsia"/>
          <w:color w:val="auto"/>
          <w:sz w:val="24"/>
          <w:szCs w:val="24"/>
          <w:highlight w:val="none"/>
        </w:rPr>
        <w:t>，</w:t>
      </w:r>
      <w:r>
        <w:rPr>
          <w:rFonts w:hint="eastAsia"/>
          <w:color w:val="auto"/>
          <w:sz w:val="24"/>
          <w:szCs w:val="24"/>
          <w:highlight w:val="none"/>
          <w:lang w:val="en-US" w:eastAsia="zh-CN"/>
        </w:rPr>
        <w:t>当日</w:t>
      </w:r>
      <w:r>
        <w:rPr>
          <w:rFonts w:hint="eastAsia"/>
          <w:color w:val="auto"/>
          <w:sz w:val="24"/>
          <w:szCs w:val="24"/>
          <w:highlight w:val="none"/>
        </w:rPr>
        <w:t>在校内完成新生全部体检项目</w:t>
      </w:r>
      <w:r>
        <w:rPr>
          <w:rFonts w:hint="eastAsia"/>
          <w:color w:val="auto"/>
          <w:sz w:val="24"/>
          <w:szCs w:val="24"/>
          <w:highlight w:val="none"/>
          <w:lang w:eastAsia="zh-CN"/>
        </w:rPr>
        <w:t>；体检时</w:t>
      </w:r>
      <w:r>
        <w:rPr>
          <w:rFonts w:hint="eastAsia"/>
          <w:color w:val="auto"/>
          <w:sz w:val="24"/>
          <w:szCs w:val="24"/>
          <w:highlight w:val="none"/>
          <w:lang w:val="en-US" w:eastAsia="zh-CN"/>
        </w:rPr>
        <w:t>配置足够采</w:t>
      </w:r>
      <w:r>
        <w:rPr>
          <w:rFonts w:hint="eastAsia"/>
          <w:color w:val="auto"/>
          <w:sz w:val="24"/>
          <w:szCs w:val="24"/>
          <w:highlight w:val="none"/>
          <w:lang w:eastAsia="zh-CN"/>
        </w:rPr>
        <w:t>血人员，确保在当日1</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lang w:val="en-US" w:eastAsia="zh-CN"/>
        </w:rPr>
        <w:t>0</w:t>
      </w:r>
      <w:r>
        <w:rPr>
          <w:rFonts w:hint="eastAsia"/>
          <w:color w:val="auto"/>
          <w:sz w:val="24"/>
          <w:szCs w:val="24"/>
          <w:highlight w:val="none"/>
          <w:lang w:eastAsia="zh-CN"/>
        </w:rPr>
        <w:t>0前完成抽血。</w:t>
      </w:r>
    </w:p>
    <w:p w14:paraId="77B35C1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6、体检医务人员必须为供应商在职工作人员，不允许有非供应商员工。拟投入医务人员中级职称比例不少于50%，高级职称至少3名，且体检医师必须具备医师资质和执业证书，其中DR检测的影像医生必须至少为中级职称。指定一名项目负责人（兼总检医师，下同），项目负责人须具有副主任医师或以上职称。投标时提供相关人员及职责情况说明表，并提供人员资质、职称等证明材料以及投标前半年内投标人为其缴纳的任意一个月社保缴费证明材料。</w:t>
      </w:r>
      <w:r>
        <w:rPr>
          <w:rFonts w:hint="eastAsia" w:eastAsia="宋体"/>
          <w:b/>
          <w:bCs/>
          <w:color w:val="auto"/>
          <w:sz w:val="24"/>
          <w:szCs w:val="24"/>
          <w:highlight w:val="none"/>
          <w:lang w:val="en-US" w:eastAsia="zh-CN"/>
        </w:rPr>
        <w:t>供应商须提供有关证明材料。如供应商同时承接本项目A、B两部分体检项目，则在满足A、B两部分体检项目需要且高效有序的前提下，上述拟投入体检医务人员均可共用。</w:t>
      </w:r>
    </w:p>
    <w:p w14:paraId="3C6C5D6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7、</w:t>
      </w:r>
      <w:r>
        <w:rPr>
          <w:rFonts w:hint="eastAsia"/>
          <w:color w:val="auto"/>
          <w:sz w:val="24"/>
          <w:szCs w:val="24"/>
          <w:highlight w:val="none"/>
        </w:rPr>
        <w:t>体检过程中发现有心血管杂音的，怀疑有心血管疾病的，要求当场免费做心电图检查进行排查（心内科及心电图检查医生要求主治及以上职称的医生检查）</w:t>
      </w:r>
      <w:r>
        <w:rPr>
          <w:rFonts w:hint="eastAsia"/>
          <w:color w:val="auto"/>
          <w:sz w:val="24"/>
          <w:szCs w:val="24"/>
          <w:highlight w:val="none"/>
          <w:lang w:eastAsia="zh-CN"/>
        </w:rPr>
        <w:t>。</w:t>
      </w:r>
    </w:p>
    <w:p w14:paraId="30514D7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8、</w:t>
      </w:r>
      <w:r>
        <w:rPr>
          <w:rFonts w:hint="eastAsia"/>
          <w:color w:val="auto"/>
          <w:sz w:val="24"/>
          <w:szCs w:val="24"/>
          <w:highlight w:val="none"/>
        </w:rPr>
        <w:t>人员分流：体检项目根据场地合理规划区域，现场</w:t>
      </w:r>
      <w:r>
        <w:rPr>
          <w:rFonts w:hint="eastAsia"/>
          <w:color w:val="auto"/>
          <w:sz w:val="24"/>
          <w:szCs w:val="24"/>
          <w:highlight w:val="none"/>
          <w:lang w:val="en-US" w:eastAsia="zh-CN"/>
        </w:rPr>
        <w:t>由供应商</w:t>
      </w:r>
      <w:r>
        <w:rPr>
          <w:rFonts w:hint="eastAsia"/>
          <w:color w:val="auto"/>
          <w:sz w:val="24"/>
          <w:szCs w:val="24"/>
          <w:highlight w:val="none"/>
        </w:rPr>
        <w:t>安排工作人员疏导分流学生；</w:t>
      </w:r>
    </w:p>
    <w:p w14:paraId="0CAF563F">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eastAsiaTheme="minorEastAsia"/>
          <w:color w:val="auto"/>
          <w:sz w:val="24"/>
          <w:szCs w:val="24"/>
          <w:highlight w:val="none"/>
          <w:lang w:eastAsia="zh-CN"/>
        </w:rPr>
      </w:pPr>
      <w:r>
        <w:rPr>
          <w:rFonts w:hint="eastAsia"/>
          <w:color w:val="auto"/>
          <w:sz w:val="24"/>
          <w:szCs w:val="24"/>
          <w:highlight w:val="none"/>
          <w:lang w:val="en-US" w:eastAsia="zh-CN"/>
        </w:rPr>
        <w:t>9、</w:t>
      </w:r>
      <w:r>
        <w:rPr>
          <w:rFonts w:hint="eastAsia"/>
          <w:color w:val="auto"/>
          <w:sz w:val="24"/>
          <w:szCs w:val="24"/>
          <w:highlight w:val="none"/>
        </w:rPr>
        <w:t>设置应急处置区，</w:t>
      </w:r>
      <w:r>
        <w:rPr>
          <w:rFonts w:hint="eastAsia"/>
          <w:color w:val="auto"/>
          <w:sz w:val="24"/>
          <w:szCs w:val="24"/>
          <w:highlight w:val="none"/>
          <w:lang w:val="en-US" w:eastAsia="zh-CN"/>
        </w:rPr>
        <w:t>供应商设置</w:t>
      </w:r>
      <w:r>
        <w:rPr>
          <w:rFonts w:hint="eastAsia"/>
          <w:color w:val="auto"/>
          <w:sz w:val="24"/>
          <w:szCs w:val="24"/>
          <w:highlight w:val="none"/>
        </w:rPr>
        <w:t>应急救治小组</w:t>
      </w:r>
      <w:r>
        <w:rPr>
          <w:rFonts w:hint="eastAsia"/>
          <w:color w:val="auto"/>
          <w:sz w:val="24"/>
          <w:szCs w:val="24"/>
          <w:highlight w:val="none"/>
          <w:lang w:eastAsia="zh-CN"/>
        </w:rPr>
        <w:t>，</w:t>
      </w:r>
      <w:r>
        <w:rPr>
          <w:rFonts w:hint="eastAsia"/>
          <w:color w:val="auto"/>
          <w:sz w:val="24"/>
          <w:szCs w:val="24"/>
          <w:highlight w:val="none"/>
          <w:lang w:val="en-US" w:eastAsia="zh-CN"/>
        </w:rPr>
        <w:t>有应急预案，</w:t>
      </w:r>
      <w:r>
        <w:rPr>
          <w:rFonts w:hint="eastAsia"/>
          <w:color w:val="auto"/>
          <w:sz w:val="24"/>
          <w:szCs w:val="24"/>
          <w:highlight w:val="none"/>
        </w:rPr>
        <w:t>携带应急用品及药品，</w:t>
      </w:r>
      <w:r>
        <w:rPr>
          <w:rFonts w:hint="eastAsia"/>
          <w:color w:val="auto"/>
          <w:sz w:val="24"/>
          <w:szCs w:val="24"/>
          <w:highlight w:val="none"/>
          <w:lang w:val="en-US" w:eastAsia="zh-CN"/>
        </w:rPr>
        <w:t>负责现场抢救处置、</w:t>
      </w:r>
      <w:r>
        <w:rPr>
          <w:rFonts w:hint="eastAsia"/>
          <w:color w:val="auto"/>
          <w:sz w:val="24"/>
          <w:szCs w:val="24"/>
          <w:highlight w:val="none"/>
        </w:rPr>
        <w:t>晕血、晕针、低血糖等突发情况</w:t>
      </w:r>
      <w:r>
        <w:rPr>
          <w:rFonts w:hint="eastAsia"/>
          <w:color w:val="auto"/>
          <w:sz w:val="24"/>
          <w:szCs w:val="24"/>
          <w:highlight w:val="none"/>
          <w:lang w:eastAsia="zh-CN"/>
        </w:rPr>
        <w:t>。</w:t>
      </w:r>
    </w:p>
    <w:p w14:paraId="22F04A0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10、体检现场产生的医疗垃圾由供应商负责管理，体检完毕，由供应商负责将所有的医疗垃圾回收后带走集中处理。</w:t>
      </w:r>
    </w:p>
    <w:p w14:paraId="1A78DB8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11、对体检发现有异常检查结果的学生，要提出针对性对策建议，协助安排后续复查、指导就诊，所有异常结果提供免费复查1次；发现传染病或其它重大疾病应按有关规定及时以书面形式向学生本人和学校反馈。</w:t>
      </w:r>
    </w:p>
    <w:p w14:paraId="1E0A5C0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eastAsiaTheme="minorEastAsia"/>
          <w:color w:val="auto"/>
          <w:sz w:val="24"/>
          <w:szCs w:val="24"/>
          <w:highlight w:val="none"/>
          <w:lang w:val="en-US" w:eastAsia="zh-CN"/>
        </w:rPr>
      </w:pPr>
      <w:r>
        <w:rPr>
          <w:rFonts w:hint="eastAsia"/>
          <w:color w:val="auto"/>
          <w:sz w:val="24"/>
          <w:szCs w:val="24"/>
          <w:highlight w:val="none"/>
          <w:lang w:val="en-US" w:eastAsia="zh-CN"/>
        </w:rPr>
        <w:t>12、</w:t>
      </w:r>
      <w:r>
        <w:rPr>
          <w:color w:val="auto"/>
          <w:sz w:val="24"/>
          <w:szCs w:val="24"/>
          <w:highlight w:val="none"/>
        </w:rPr>
        <w:t>补检服务：为因特殊原因未能在集中体检日参加体检的学生提供补检服务，</w:t>
      </w:r>
      <w:r>
        <w:rPr>
          <w:rFonts w:hint="eastAsia"/>
          <w:color w:val="auto"/>
          <w:sz w:val="24"/>
          <w:szCs w:val="24"/>
          <w:highlight w:val="none"/>
        </w:rPr>
        <w:t>在</w:t>
      </w:r>
      <w:r>
        <w:rPr>
          <w:rFonts w:hint="eastAsia"/>
          <w:color w:val="auto"/>
          <w:sz w:val="24"/>
          <w:szCs w:val="24"/>
          <w:highlight w:val="none"/>
          <w:lang w:val="en-US" w:eastAsia="zh-CN"/>
        </w:rPr>
        <w:t>合理的</w:t>
      </w:r>
      <w:r>
        <w:rPr>
          <w:rFonts w:hint="eastAsia"/>
          <w:color w:val="auto"/>
          <w:sz w:val="24"/>
          <w:szCs w:val="24"/>
          <w:highlight w:val="none"/>
        </w:rPr>
        <w:t>规定时间内，可以自行前往</w:t>
      </w:r>
      <w:r>
        <w:rPr>
          <w:rFonts w:hint="eastAsia"/>
          <w:color w:val="auto"/>
          <w:sz w:val="24"/>
          <w:szCs w:val="24"/>
          <w:highlight w:val="none"/>
          <w:lang w:eastAsia="zh-CN"/>
        </w:rPr>
        <w:t>供应商</w:t>
      </w:r>
      <w:r>
        <w:rPr>
          <w:rFonts w:hint="eastAsia"/>
          <w:color w:val="auto"/>
          <w:sz w:val="24"/>
          <w:szCs w:val="24"/>
          <w:highlight w:val="none"/>
        </w:rPr>
        <w:t>体检中心补检</w:t>
      </w:r>
      <w:r>
        <w:rPr>
          <w:rFonts w:hint="eastAsia"/>
          <w:color w:val="auto"/>
          <w:sz w:val="24"/>
          <w:szCs w:val="24"/>
          <w:highlight w:val="none"/>
          <w:lang w:eastAsia="zh-CN"/>
        </w:rPr>
        <w:t>，</w:t>
      </w:r>
      <w:r>
        <w:rPr>
          <w:color w:val="auto"/>
          <w:sz w:val="24"/>
          <w:szCs w:val="24"/>
          <w:highlight w:val="none"/>
        </w:rPr>
        <w:t>流程和质量与集中体检一致</w:t>
      </w:r>
      <w:r>
        <w:rPr>
          <w:rFonts w:hint="eastAsia"/>
          <w:color w:val="auto"/>
          <w:sz w:val="24"/>
          <w:szCs w:val="24"/>
          <w:highlight w:val="none"/>
          <w:lang w:eastAsia="zh-CN"/>
        </w:rPr>
        <w:t>，补检不额外收费。</w:t>
      </w:r>
    </w:p>
    <w:p w14:paraId="01AAC358">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highlight w:val="none"/>
          <w:lang w:val="en-US" w:eastAsia="zh-CN"/>
        </w:rPr>
      </w:pPr>
      <w:r>
        <w:rPr>
          <w:rFonts w:hint="eastAsia"/>
          <w:color w:val="auto"/>
          <w:sz w:val="24"/>
          <w:szCs w:val="24"/>
          <w:highlight w:val="none"/>
          <w:lang w:val="en-US" w:eastAsia="zh-CN"/>
        </w:rPr>
        <w:t>13、学校</w:t>
      </w:r>
      <w:r>
        <w:rPr>
          <w:color w:val="auto"/>
          <w:sz w:val="24"/>
          <w:szCs w:val="24"/>
          <w:highlight w:val="none"/>
        </w:rPr>
        <w:t>体检结束后</w:t>
      </w:r>
      <w:r>
        <w:rPr>
          <w:rFonts w:hint="eastAsia"/>
          <w:color w:val="auto"/>
          <w:sz w:val="24"/>
          <w:szCs w:val="24"/>
          <w:highlight w:val="none"/>
          <w:lang w:val="en-US" w:eastAsia="zh-CN"/>
        </w:rPr>
        <w:t>1</w:t>
      </w:r>
      <w:r>
        <w:rPr>
          <w:color w:val="auto"/>
          <w:sz w:val="24"/>
          <w:szCs w:val="24"/>
          <w:highlight w:val="none"/>
        </w:rPr>
        <w:t>5个</w:t>
      </w:r>
      <w:r>
        <w:rPr>
          <w:rFonts w:hint="eastAsia"/>
          <w:color w:val="auto"/>
          <w:sz w:val="24"/>
          <w:szCs w:val="24"/>
          <w:highlight w:val="none"/>
          <w:lang w:val="en-US" w:eastAsia="zh-CN"/>
        </w:rPr>
        <w:t>日历</w:t>
      </w:r>
      <w:r>
        <w:rPr>
          <w:color w:val="auto"/>
          <w:sz w:val="24"/>
          <w:szCs w:val="24"/>
          <w:highlight w:val="none"/>
        </w:rPr>
        <w:t>日内，</w:t>
      </w:r>
      <w:r>
        <w:rPr>
          <w:rFonts w:hint="eastAsia"/>
          <w:color w:val="auto"/>
          <w:sz w:val="24"/>
          <w:szCs w:val="24"/>
          <w:highlight w:val="none"/>
          <w:lang w:val="en-US" w:eastAsia="zh-CN"/>
        </w:rPr>
        <w:t>供应商</w:t>
      </w:r>
      <w:r>
        <w:rPr>
          <w:color w:val="auto"/>
          <w:sz w:val="24"/>
          <w:szCs w:val="24"/>
          <w:highlight w:val="none"/>
        </w:rPr>
        <w:t>完成体检数据的统计、分析和汇总工作，为每个学生出具详细的体检报告</w:t>
      </w:r>
      <w:r>
        <w:rPr>
          <w:rFonts w:hint="eastAsia"/>
          <w:color w:val="auto"/>
          <w:sz w:val="24"/>
          <w:szCs w:val="24"/>
          <w:highlight w:val="none"/>
          <w:lang w:val="en-US" w:eastAsia="zh-CN"/>
        </w:rPr>
        <w:t>及匹配的化验单</w:t>
      </w:r>
      <w:r>
        <w:rPr>
          <w:color w:val="auto"/>
          <w:sz w:val="24"/>
          <w:szCs w:val="24"/>
          <w:highlight w:val="none"/>
        </w:rPr>
        <w:t>，</w:t>
      </w:r>
      <w:r>
        <w:rPr>
          <w:rFonts w:hint="eastAsia"/>
          <w:color w:val="auto"/>
          <w:sz w:val="24"/>
          <w:szCs w:val="24"/>
          <w:highlight w:val="none"/>
          <w:lang w:val="en-US" w:eastAsia="zh-CN"/>
        </w:rPr>
        <w:t>支持学生在手机互联网线上查询个人体检结果，并</w:t>
      </w:r>
      <w:r>
        <w:rPr>
          <w:color w:val="auto"/>
          <w:sz w:val="24"/>
          <w:szCs w:val="24"/>
          <w:highlight w:val="none"/>
        </w:rPr>
        <w:t>提供整体的</w:t>
      </w:r>
      <w:r>
        <w:rPr>
          <w:rFonts w:hint="eastAsia"/>
          <w:color w:val="auto"/>
          <w:sz w:val="24"/>
          <w:szCs w:val="24"/>
          <w:highlight w:val="none"/>
          <w:lang w:val="en-US" w:eastAsia="zh-CN"/>
        </w:rPr>
        <w:t>加盖公章的</w:t>
      </w:r>
      <w:r>
        <w:rPr>
          <w:color w:val="auto"/>
          <w:sz w:val="24"/>
          <w:szCs w:val="24"/>
          <w:highlight w:val="none"/>
        </w:rPr>
        <w:t>体检总结报告</w:t>
      </w:r>
      <w:r>
        <w:rPr>
          <w:rFonts w:hint="eastAsia"/>
          <w:color w:val="auto"/>
          <w:sz w:val="24"/>
          <w:szCs w:val="24"/>
          <w:highlight w:val="none"/>
          <w:lang w:val="en-US" w:eastAsia="zh-CN"/>
        </w:rPr>
        <w:t>及异常结果汇总表，</w:t>
      </w:r>
      <w:r>
        <w:rPr>
          <w:color w:val="auto"/>
          <w:sz w:val="24"/>
          <w:szCs w:val="24"/>
          <w:highlight w:val="none"/>
        </w:rPr>
        <w:t>报告需以纸质版和电子版两种形式提交</w:t>
      </w:r>
      <w:r>
        <w:rPr>
          <w:rFonts w:hint="eastAsia"/>
          <w:color w:val="auto"/>
          <w:sz w:val="24"/>
          <w:szCs w:val="24"/>
          <w:highlight w:val="none"/>
        </w:rPr>
        <w:t>送至采购方指定签收处</w:t>
      </w:r>
      <w:r>
        <w:rPr>
          <w:rFonts w:hint="eastAsia"/>
          <w:color w:val="auto"/>
          <w:sz w:val="24"/>
          <w:szCs w:val="24"/>
          <w:highlight w:val="none"/>
          <w:lang w:eastAsia="zh-CN"/>
        </w:rPr>
        <w:t>，</w:t>
      </w:r>
      <w:r>
        <w:rPr>
          <w:rFonts w:hint="eastAsia"/>
          <w:color w:val="auto"/>
          <w:sz w:val="24"/>
          <w:szCs w:val="24"/>
          <w:highlight w:val="none"/>
          <w:lang w:val="en-US" w:eastAsia="zh-CN"/>
        </w:rPr>
        <w:t>根据实际体检人数及合同价格开具正规发票后，采购方按合同结算给供应商。</w:t>
      </w:r>
    </w:p>
    <w:p w14:paraId="404184A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14、供应商在为学生体检过程中一切操作规程必须符合国家法律法规，如因操作不规范所造成的人身安全事故由供应商承担。</w:t>
      </w:r>
    </w:p>
    <w:p w14:paraId="489B70D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15、</w:t>
      </w:r>
      <w:r>
        <w:rPr>
          <w:color w:val="auto"/>
          <w:sz w:val="24"/>
          <w:szCs w:val="24"/>
          <w:highlight w:val="none"/>
        </w:rPr>
        <w:t>严格保护学生的个人隐私和体检信息，不得向任何第三方泄露</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除法律、法规规定的范围以外</w:t>
      </w:r>
      <w:r>
        <w:rPr>
          <w:rFonts w:hint="eastAsia" w:eastAsia="宋体"/>
          <w:color w:val="auto"/>
          <w:sz w:val="24"/>
          <w:szCs w:val="24"/>
          <w:highlight w:val="none"/>
          <w:lang w:eastAsia="zh-CN"/>
        </w:rPr>
        <w:t>）</w:t>
      </w:r>
      <w:r>
        <w:rPr>
          <w:color w:val="auto"/>
          <w:sz w:val="24"/>
          <w:szCs w:val="24"/>
          <w:highlight w:val="none"/>
        </w:rPr>
        <w:t>，体检数据的存储和传输需采取安全加密措施</w:t>
      </w:r>
      <w:r>
        <w:rPr>
          <w:rFonts w:hint="eastAsia"/>
          <w:color w:val="auto"/>
          <w:sz w:val="24"/>
          <w:szCs w:val="24"/>
          <w:highlight w:val="none"/>
          <w:lang w:eastAsia="zh-CN"/>
        </w:rPr>
        <w:t>，</w:t>
      </w:r>
      <w:r>
        <w:rPr>
          <w:rFonts w:hint="eastAsia"/>
          <w:color w:val="auto"/>
          <w:sz w:val="24"/>
          <w:szCs w:val="24"/>
          <w:highlight w:val="none"/>
          <w:lang w:val="en-US" w:eastAsia="zh-CN"/>
        </w:rPr>
        <w:t>泄密引起的一切后果由供应商承担。</w:t>
      </w:r>
    </w:p>
    <w:p w14:paraId="3F22A78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16、协助保障：合同期间内，采购方学校内出现传染病疫情（如肺结核），</w:t>
      </w:r>
      <w:r>
        <w:rPr>
          <w:rFonts w:hint="default"/>
          <w:color w:val="auto"/>
          <w:sz w:val="24"/>
          <w:szCs w:val="24"/>
          <w:highlight w:val="none"/>
        </w:rPr>
        <w:t>供应商</w:t>
      </w:r>
      <w:r>
        <w:rPr>
          <w:rFonts w:hint="eastAsia"/>
          <w:color w:val="auto"/>
          <w:sz w:val="24"/>
          <w:szCs w:val="24"/>
          <w:highlight w:val="none"/>
          <w:lang w:val="en-US" w:eastAsia="zh-CN"/>
        </w:rPr>
        <w:t>接到学校协助排查密接者的通知，须48小时内派出DR车到学校免费协助排查。</w:t>
      </w:r>
    </w:p>
    <w:p w14:paraId="265DC64F">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17、体检</w:t>
      </w:r>
      <w:r>
        <w:rPr>
          <w:rFonts w:hint="eastAsia"/>
          <w:color w:val="auto"/>
          <w:sz w:val="24"/>
          <w:szCs w:val="24"/>
          <w:highlight w:val="none"/>
        </w:rPr>
        <w:t>报告解读咨询服务。合同期限内，</w:t>
      </w:r>
      <w:r>
        <w:rPr>
          <w:rFonts w:hint="eastAsia"/>
          <w:color w:val="auto"/>
          <w:sz w:val="24"/>
          <w:szCs w:val="24"/>
          <w:highlight w:val="none"/>
          <w:lang w:val="en-US" w:eastAsia="zh-CN"/>
        </w:rPr>
        <w:t>供应商</w:t>
      </w:r>
      <w:r>
        <w:rPr>
          <w:rFonts w:hint="eastAsia"/>
          <w:color w:val="auto"/>
          <w:sz w:val="24"/>
          <w:szCs w:val="24"/>
          <w:highlight w:val="none"/>
        </w:rPr>
        <w:t>可提供定期健康讲座、大型项目期间的医疗救助支持。</w:t>
      </w:r>
    </w:p>
    <w:p w14:paraId="0173D39A">
      <w:pPr>
        <w:pStyle w:val="2"/>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18、该项目不接受联合体竞标，不允许转包。</w:t>
      </w:r>
    </w:p>
    <w:p w14:paraId="5205E7A7">
      <w:pPr>
        <w:pStyle w:val="2"/>
        <w:spacing w:line="360" w:lineRule="auto"/>
        <w:ind w:firstLine="480" w:firstLineChars="200"/>
        <w:rPr>
          <w:rFonts w:hint="eastAsia"/>
          <w:color w:val="auto"/>
          <w:sz w:val="24"/>
          <w:szCs w:val="24"/>
          <w:highlight w:val="none"/>
          <w:lang w:val="en-US" w:eastAsia="zh-CN"/>
        </w:rPr>
      </w:pPr>
      <w:r>
        <w:rPr>
          <w:rFonts w:hint="eastAsia" w:asciiTheme="minorHAnsi" w:hAnsiTheme="minorHAnsi" w:eastAsiaTheme="minorEastAsia" w:cstheme="minorBidi"/>
          <w:color w:val="auto"/>
          <w:kern w:val="2"/>
          <w:sz w:val="24"/>
          <w:szCs w:val="24"/>
          <w:highlight w:val="none"/>
          <w:lang w:val="en-US" w:eastAsia="zh-CN" w:bidi="ar-SA"/>
        </w:rPr>
        <w:t>19、本项目服务期限为自合同签订之日起</w:t>
      </w:r>
      <w:r>
        <w:rPr>
          <w:rFonts w:hint="eastAsia" w:asciiTheme="minorHAnsi" w:hAnsiTheme="minorHAnsi" w:eastAsiaTheme="minorEastAsia" w:cstheme="minorBidi"/>
          <w:b/>
          <w:bCs/>
          <w:color w:val="auto"/>
          <w:kern w:val="2"/>
          <w:sz w:val="24"/>
          <w:szCs w:val="24"/>
          <w:highlight w:val="none"/>
          <w:lang w:val="en-US" w:eastAsia="zh-CN" w:bidi="ar-SA"/>
        </w:rPr>
        <w:t>二年</w:t>
      </w:r>
      <w:r>
        <w:rPr>
          <w:rFonts w:hint="eastAsia" w:asciiTheme="minorHAnsi" w:hAnsiTheme="minorHAnsi" w:eastAsiaTheme="minorEastAsia" w:cstheme="minorBidi"/>
          <w:color w:val="auto"/>
          <w:kern w:val="2"/>
          <w:sz w:val="24"/>
          <w:szCs w:val="24"/>
          <w:highlight w:val="none"/>
          <w:lang w:val="en-US" w:eastAsia="zh-CN" w:bidi="ar-SA"/>
        </w:rPr>
        <w:t>。</w:t>
      </w:r>
    </w:p>
    <w:p w14:paraId="59CD4352">
      <w:pPr>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（三）合同签订及履约要求</w:t>
      </w:r>
    </w:p>
    <w:p w14:paraId="5CB2C353">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 xml:space="preserve">1、合同签订期：自成交结果公告发出之日起7个工作日内 </w:t>
      </w:r>
    </w:p>
    <w:p w14:paraId="40C83304">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2、提交体检结果时间：体检完成后15个日历日内。</w:t>
      </w:r>
    </w:p>
    <w:p w14:paraId="5016F757">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3、服务地点及期限：采购人指定地点，体检开始至全服务合格，并提交体检结果。</w:t>
      </w:r>
    </w:p>
    <w:p w14:paraId="004386FD">
      <w:pPr>
        <w:pStyle w:val="2"/>
        <w:rPr>
          <w:rFonts w:hint="eastAsia"/>
          <w:color w:val="auto"/>
          <w:lang w:val="en-US" w:eastAsia="zh-CN"/>
        </w:rPr>
      </w:pPr>
    </w:p>
    <w:p w14:paraId="2EF930D1">
      <w:pPr>
        <w:pStyle w:val="2"/>
        <w:ind w:firstLine="480"/>
        <w:rPr>
          <w:rFonts w:hint="eastAsia"/>
          <w:b/>
          <w:bCs/>
          <w:color w:val="auto"/>
          <w:sz w:val="24"/>
          <w:szCs w:val="24"/>
          <w:highlight w:val="none"/>
          <w:lang w:val="en-US" w:eastAsia="zh-CN"/>
        </w:rPr>
      </w:pPr>
      <w:r>
        <w:rPr>
          <w:rFonts w:hint="eastAsia"/>
          <w:b/>
          <w:bCs/>
          <w:color w:val="auto"/>
          <w:sz w:val="24"/>
          <w:szCs w:val="24"/>
          <w:highlight w:val="none"/>
          <w:lang w:val="en-US" w:eastAsia="zh-CN"/>
        </w:rPr>
        <w:t>B部分：广西艺术学院附属中等艺术学校学生体检服务</w:t>
      </w:r>
    </w:p>
    <w:p w14:paraId="0B9B87EB">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0" w:firstLineChars="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 xml:space="preserve">  （一）体检项目</w:t>
      </w:r>
    </w:p>
    <w:p w14:paraId="6289EBAB">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color w:val="auto"/>
          <w:sz w:val="24"/>
          <w:szCs w:val="24"/>
          <w:highlight w:val="none"/>
        </w:rPr>
      </w:pPr>
      <w:r>
        <w:rPr>
          <w:rFonts w:hint="eastAsia"/>
          <w:color w:val="auto"/>
          <w:sz w:val="24"/>
          <w:szCs w:val="24"/>
          <w:highlight w:val="none"/>
        </w:rPr>
        <w:t>一般</w:t>
      </w:r>
      <w:r>
        <w:rPr>
          <w:rFonts w:hint="eastAsia"/>
          <w:color w:val="auto"/>
          <w:sz w:val="24"/>
          <w:szCs w:val="24"/>
          <w:highlight w:val="none"/>
          <w:lang w:val="en-US" w:eastAsia="zh-CN"/>
        </w:rPr>
        <w:t>检查</w:t>
      </w:r>
      <w:r>
        <w:rPr>
          <w:rFonts w:hint="eastAsia"/>
          <w:color w:val="auto"/>
          <w:sz w:val="24"/>
          <w:szCs w:val="24"/>
          <w:highlight w:val="none"/>
          <w:lang w:eastAsia="zh-CN"/>
        </w:rPr>
        <w:t>：</w:t>
      </w:r>
      <w:r>
        <w:rPr>
          <w:rFonts w:hint="eastAsia"/>
          <w:color w:val="auto"/>
          <w:sz w:val="24"/>
          <w:szCs w:val="24"/>
          <w:highlight w:val="none"/>
        </w:rPr>
        <w:t>内科、外科、五官 （眼</w:t>
      </w:r>
      <w:r>
        <w:rPr>
          <w:rFonts w:hint="eastAsia"/>
          <w:color w:val="auto"/>
          <w:sz w:val="24"/>
          <w:szCs w:val="24"/>
          <w:highlight w:val="none"/>
          <w:lang w:eastAsia="zh-CN"/>
        </w:rPr>
        <w:t>、</w:t>
      </w:r>
      <w:r>
        <w:rPr>
          <w:rFonts w:hint="eastAsia"/>
          <w:color w:val="auto"/>
          <w:sz w:val="24"/>
          <w:szCs w:val="24"/>
          <w:highlight w:val="none"/>
        </w:rPr>
        <w:t>耳</w:t>
      </w:r>
      <w:r>
        <w:rPr>
          <w:rFonts w:hint="eastAsia"/>
          <w:color w:val="auto"/>
          <w:sz w:val="24"/>
          <w:szCs w:val="24"/>
          <w:highlight w:val="none"/>
          <w:lang w:eastAsia="zh-CN"/>
        </w:rPr>
        <w:t>、</w:t>
      </w:r>
      <w:r>
        <w:rPr>
          <w:rFonts w:hint="eastAsia"/>
          <w:color w:val="auto"/>
          <w:sz w:val="24"/>
          <w:szCs w:val="24"/>
          <w:highlight w:val="none"/>
        </w:rPr>
        <w:t xml:space="preserve">鼻 </w:t>
      </w:r>
      <w:r>
        <w:rPr>
          <w:rFonts w:hint="eastAsia"/>
          <w:color w:val="auto"/>
          <w:sz w:val="24"/>
          <w:szCs w:val="24"/>
          <w:highlight w:val="none"/>
          <w:lang w:eastAsia="zh-CN"/>
        </w:rPr>
        <w:t>、</w:t>
      </w:r>
      <w:r>
        <w:rPr>
          <w:rFonts w:hint="eastAsia"/>
          <w:color w:val="auto"/>
          <w:sz w:val="24"/>
          <w:szCs w:val="24"/>
          <w:highlight w:val="none"/>
        </w:rPr>
        <w:t>喉</w:t>
      </w:r>
      <w:r>
        <w:rPr>
          <w:rFonts w:hint="eastAsia"/>
          <w:color w:val="auto"/>
          <w:sz w:val="24"/>
          <w:szCs w:val="24"/>
          <w:highlight w:val="none"/>
          <w:lang w:eastAsia="zh-CN"/>
        </w:rPr>
        <w:t>、</w:t>
      </w:r>
      <w:r>
        <w:rPr>
          <w:rFonts w:hint="eastAsia"/>
          <w:color w:val="auto"/>
          <w:sz w:val="24"/>
          <w:szCs w:val="24"/>
          <w:highlight w:val="none"/>
        </w:rPr>
        <w:t>口腔）、眼科</w:t>
      </w:r>
      <w:r>
        <w:rPr>
          <w:rFonts w:hint="eastAsia"/>
          <w:color w:val="auto"/>
          <w:sz w:val="24"/>
          <w:szCs w:val="24"/>
          <w:highlight w:val="none"/>
          <w:lang w:eastAsia="zh-CN"/>
        </w:rPr>
        <w:t>（</w:t>
      </w:r>
      <w:r>
        <w:rPr>
          <w:rFonts w:hint="eastAsia"/>
          <w:color w:val="auto"/>
          <w:sz w:val="24"/>
          <w:szCs w:val="24"/>
          <w:highlight w:val="none"/>
        </w:rPr>
        <w:t>视力、</w:t>
      </w:r>
      <w:r>
        <w:rPr>
          <w:rFonts w:hint="eastAsia"/>
          <w:color w:val="auto"/>
          <w:sz w:val="24"/>
          <w:szCs w:val="24"/>
          <w:highlight w:val="none"/>
          <w:lang w:val="en-US" w:eastAsia="zh-CN"/>
        </w:rPr>
        <w:t>辨</w:t>
      </w:r>
      <w:r>
        <w:rPr>
          <w:rFonts w:hint="eastAsia"/>
          <w:color w:val="auto"/>
          <w:sz w:val="24"/>
          <w:szCs w:val="24"/>
          <w:highlight w:val="none"/>
        </w:rPr>
        <w:t>色力</w:t>
      </w:r>
      <w:r>
        <w:rPr>
          <w:rFonts w:hint="eastAsia"/>
          <w:color w:val="auto"/>
          <w:sz w:val="24"/>
          <w:szCs w:val="24"/>
          <w:highlight w:val="none"/>
          <w:lang w:eastAsia="zh-CN"/>
        </w:rPr>
        <w:t>）、</w:t>
      </w:r>
      <w:r>
        <w:rPr>
          <w:rFonts w:hint="eastAsia"/>
          <w:color w:val="auto"/>
          <w:sz w:val="24"/>
          <w:szCs w:val="24"/>
          <w:highlight w:val="none"/>
        </w:rPr>
        <w:t>听力、身高、体重、血压。</w:t>
      </w:r>
    </w:p>
    <w:p w14:paraId="7B14BBDC">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eastAsiaTheme="minorEastAsia"/>
          <w:color w:val="auto"/>
          <w:sz w:val="24"/>
          <w:szCs w:val="24"/>
          <w:highlight w:val="none"/>
          <w:lang w:eastAsia="zh-CN"/>
        </w:rPr>
      </w:pPr>
      <w:r>
        <w:rPr>
          <w:rFonts w:hint="eastAsia"/>
          <w:color w:val="auto"/>
          <w:sz w:val="24"/>
          <w:szCs w:val="24"/>
          <w:highlight w:val="none"/>
        </w:rPr>
        <w:t>血常规</w:t>
      </w:r>
      <w:r>
        <w:rPr>
          <w:rFonts w:hint="eastAsia"/>
          <w:color w:val="auto"/>
          <w:sz w:val="24"/>
          <w:szCs w:val="24"/>
          <w:highlight w:val="none"/>
          <w:lang w:eastAsia="zh-CN"/>
        </w:rPr>
        <w:t>（</w:t>
      </w:r>
      <w:r>
        <w:rPr>
          <w:rFonts w:hint="eastAsia"/>
          <w:color w:val="auto"/>
          <w:sz w:val="24"/>
          <w:szCs w:val="24"/>
          <w:highlight w:val="none"/>
          <w:lang w:val="en-US" w:eastAsia="zh-CN"/>
        </w:rPr>
        <w:t>全血细胞计数3分类</w:t>
      </w:r>
      <w:r>
        <w:rPr>
          <w:rFonts w:hint="eastAsia"/>
          <w:color w:val="auto"/>
          <w:sz w:val="24"/>
          <w:szCs w:val="24"/>
          <w:highlight w:val="none"/>
          <w:lang w:eastAsia="zh-CN"/>
        </w:rPr>
        <w:t>）</w:t>
      </w:r>
    </w:p>
    <w:p w14:paraId="1E9D670A">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color w:val="auto"/>
          <w:sz w:val="24"/>
          <w:szCs w:val="24"/>
          <w:highlight w:val="none"/>
        </w:rPr>
      </w:pPr>
      <w:r>
        <w:rPr>
          <w:rFonts w:hint="eastAsia"/>
          <w:color w:val="auto"/>
          <w:sz w:val="24"/>
          <w:szCs w:val="24"/>
          <w:highlight w:val="none"/>
        </w:rPr>
        <w:t>肝功能</w:t>
      </w:r>
      <w:r>
        <w:rPr>
          <w:rFonts w:hint="eastAsia"/>
          <w:color w:val="auto"/>
          <w:sz w:val="24"/>
          <w:szCs w:val="24"/>
          <w:highlight w:val="none"/>
          <w:lang w:eastAsia="zh-CN"/>
        </w:rPr>
        <w:t>：</w:t>
      </w:r>
      <w:r>
        <w:rPr>
          <w:rFonts w:hint="eastAsia"/>
          <w:color w:val="auto"/>
          <w:sz w:val="24"/>
          <w:szCs w:val="24"/>
          <w:highlight w:val="none"/>
        </w:rPr>
        <w:t>血清丙氨酸氨基转移酶测定、总胆红素测定</w:t>
      </w:r>
    </w:p>
    <w:p w14:paraId="75EB8C92">
      <w:pPr>
        <w:keepNext w:val="0"/>
        <w:keepLines w:val="0"/>
        <w:pageBreakBefore w:val="0"/>
        <w:widowControl w:val="0"/>
        <w:kinsoku/>
        <w:wordWrap/>
        <w:overflowPunct/>
        <w:topLinePunct w:val="0"/>
        <w:bidi w:val="0"/>
        <w:adjustRightInd/>
        <w:snapToGrid/>
        <w:spacing w:line="360" w:lineRule="auto"/>
        <w:ind w:firstLine="720" w:firstLineChars="300"/>
        <w:textAlignment w:val="auto"/>
        <w:rPr>
          <w:rFonts w:hint="eastAsia" w:eastAsiaTheme="minorEastAsia"/>
          <w:color w:val="auto"/>
          <w:sz w:val="24"/>
          <w:szCs w:val="24"/>
          <w:highlight w:val="none"/>
          <w:lang w:eastAsia="zh-CN"/>
        </w:rPr>
      </w:pPr>
      <w:r>
        <w:rPr>
          <w:rFonts w:hint="eastAsia"/>
          <w:color w:val="auto"/>
          <w:sz w:val="24"/>
          <w:szCs w:val="24"/>
          <w:highlight w:val="none"/>
        </w:rPr>
        <w:t>胸部数字化摄影DR</w:t>
      </w:r>
      <w:r>
        <w:rPr>
          <w:rFonts w:hint="eastAsia"/>
          <w:color w:val="auto"/>
          <w:sz w:val="24"/>
          <w:szCs w:val="24"/>
          <w:highlight w:val="none"/>
          <w:lang w:eastAsia="zh-CN"/>
        </w:rPr>
        <w:t>（</w:t>
      </w:r>
      <w:r>
        <w:rPr>
          <w:rFonts w:hint="eastAsia"/>
          <w:color w:val="auto"/>
          <w:sz w:val="24"/>
          <w:szCs w:val="24"/>
          <w:highlight w:val="none"/>
          <w:lang w:val="en-US" w:eastAsia="zh-CN"/>
        </w:rPr>
        <w:t>不含胶片</w:t>
      </w:r>
      <w:r>
        <w:rPr>
          <w:rFonts w:hint="eastAsia"/>
          <w:color w:val="auto"/>
          <w:sz w:val="24"/>
          <w:szCs w:val="24"/>
          <w:highlight w:val="none"/>
          <w:lang w:eastAsia="zh-CN"/>
        </w:rPr>
        <w:t>）</w:t>
      </w:r>
    </w:p>
    <w:p w14:paraId="6AE6AE55">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（二）服务要求</w:t>
      </w:r>
    </w:p>
    <w:p w14:paraId="60AE380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1、供应商必须具有独立法人资格及医疗机构执业许可证，是南宁市范围内公立性质的具备健康体检资质的医疗卫生机构。</w:t>
      </w:r>
      <w:r>
        <w:rPr>
          <w:rFonts w:hint="eastAsia"/>
          <w:color w:val="auto"/>
          <w:sz w:val="24"/>
          <w:szCs w:val="24"/>
          <w:highlight w:val="none"/>
        </w:rPr>
        <w:t>必须按照采购文件要求和响应文件承诺签署合同，并严格履行合同，承诺按行业技术标准，按既定体检项目，开展体检服务。以人为本 、认真负责 、确保质量 、优质服务</w:t>
      </w:r>
      <w:r>
        <w:rPr>
          <w:rFonts w:hint="eastAsia"/>
          <w:color w:val="auto"/>
          <w:sz w:val="24"/>
          <w:szCs w:val="24"/>
          <w:highlight w:val="none"/>
          <w:lang w:eastAsia="zh-CN"/>
        </w:rPr>
        <w:t>，</w:t>
      </w:r>
      <w:r>
        <w:rPr>
          <w:rFonts w:hint="eastAsia"/>
          <w:color w:val="auto"/>
          <w:sz w:val="24"/>
          <w:szCs w:val="24"/>
          <w:highlight w:val="none"/>
        </w:rPr>
        <w:t>严格按照体检的技术指标和操作规范，确保体检质量和检查结果的准确性，做到不漏检、不误检。</w:t>
      </w:r>
      <w:r>
        <w:rPr>
          <w:rFonts w:hint="eastAsia" w:eastAsia="宋体"/>
          <w:b/>
          <w:bCs/>
          <w:color w:val="auto"/>
          <w:sz w:val="24"/>
          <w:szCs w:val="24"/>
          <w:highlight w:val="none"/>
          <w:lang w:val="en-US" w:eastAsia="zh-CN"/>
        </w:rPr>
        <w:t>供应商须提供有关资质证明复印件材料。</w:t>
      </w:r>
    </w:p>
    <w:p w14:paraId="7007C4D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b/>
          <w:bCs/>
          <w:color w:val="auto"/>
          <w:sz w:val="24"/>
          <w:szCs w:val="24"/>
          <w:highlight w:val="none"/>
          <w:lang w:val="en-US" w:eastAsia="zh-CN"/>
        </w:rPr>
      </w:pPr>
      <w:r>
        <w:rPr>
          <w:rFonts w:hint="eastAsia" w:eastAsia="宋体"/>
          <w:color w:val="auto"/>
          <w:sz w:val="24"/>
          <w:szCs w:val="24"/>
          <w:highlight w:val="none"/>
          <w:lang w:val="en-US" w:eastAsia="zh-CN"/>
        </w:rPr>
        <w:t>2、</w:t>
      </w:r>
      <w:r>
        <w:rPr>
          <w:rFonts w:hint="eastAsia" w:eastAsia="宋体"/>
          <w:b/>
          <w:bCs/>
          <w:color w:val="auto"/>
          <w:sz w:val="24"/>
          <w:szCs w:val="24"/>
          <w:highlight w:val="none"/>
          <w:lang w:val="en-US" w:eastAsia="zh-CN"/>
        </w:rPr>
        <w:t>供应商须具有1日内承接至少500名学校学生开学体检的能力，组织不少于10人的体检团队</w:t>
      </w:r>
      <w:r>
        <w:rPr>
          <w:rFonts w:hint="eastAsia" w:eastAsia="宋体"/>
          <w:color w:val="auto"/>
          <w:sz w:val="24"/>
          <w:szCs w:val="24"/>
          <w:highlight w:val="none"/>
          <w:lang w:val="en-US" w:eastAsia="zh-CN"/>
        </w:rPr>
        <w:t>（</w:t>
      </w:r>
      <w:r>
        <w:rPr>
          <w:rFonts w:hint="eastAsia" w:eastAsia="宋体"/>
          <w:b/>
          <w:bCs/>
          <w:color w:val="auto"/>
          <w:sz w:val="24"/>
          <w:szCs w:val="24"/>
          <w:highlight w:val="none"/>
          <w:lang w:val="en-US" w:eastAsia="zh-CN"/>
        </w:rPr>
        <w:t>如供应商同时承接本项目A、B两部分体检项目，则在满足A、B两部分体检项目需要且高效有序的前提下，拟投入体检团队人员可共用</w:t>
      </w:r>
      <w:r>
        <w:rPr>
          <w:rFonts w:hint="eastAsia" w:eastAsia="宋体"/>
          <w:color w:val="auto"/>
          <w:sz w:val="24"/>
          <w:szCs w:val="24"/>
          <w:highlight w:val="none"/>
          <w:lang w:val="en-US" w:eastAsia="zh-CN"/>
        </w:rPr>
        <w:t>）为体检服务，允许采购人根据实际情况，要求供应商调整体检团队人数。</w:t>
      </w:r>
      <w:r>
        <w:rPr>
          <w:rFonts w:hint="eastAsia" w:eastAsia="宋体"/>
          <w:b/>
          <w:bCs/>
          <w:color w:val="auto"/>
          <w:sz w:val="24"/>
          <w:szCs w:val="24"/>
          <w:highlight w:val="none"/>
          <w:lang w:val="en-US" w:eastAsia="zh-CN"/>
        </w:rPr>
        <w:t>供应商须提供自2020年1月1日以来的至少一个类似业绩证明材料复印件。</w:t>
      </w:r>
    </w:p>
    <w:p w14:paraId="1BC80C9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3、</w:t>
      </w:r>
      <w:r>
        <w:rPr>
          <w:rFonts w:hint="eastAsia"/>
          <w:color w:val="auto"/>
          <w:sz w:val="24"/>
          <w:szCs w:val="24"/>
          <w:highlight w:val="none"/>
          <w:lang w:eastAsia="zh-CN"/>
        </w:rPr>
        <w:t>按照学校体检工作时间安排</w:t>
      </w:r>
      <w:r>
        <w:rPr>
          <w:rFonts w:hint="eastAsia"/>
          <w:color w:val="auto"/>
          <w:sz w:val="24"/>
          <w:szCs w:val="24"/>
          <w:highlight w:val="none"/>
        </w:rPr>
        <w:t>，体检前一周发送《体检温馨提示》</w:t>
      </w:r>
      <w:r>
        <w:rPr>
          <w:rFonts w:hint="eastAsia"/>
          <w:color w:val="auto"/>
          <w:sz w:val="24"/>
          <w:szCs w:val="24"/>
          <w:highlight w:val="none"/>
          <w:lang w:eastAsia="zh-CN"/>
        </w:rPr>
        <w:t>；发放体检材料，</w:t>
      </w:r>
      <w:r>
        <w:rPr>
          <w:rFonts w:hint="eastAsia"/>
          <w:color w:val="auto"/>
          <w:sz w:val="24"/>
          <w:szCs w:val="24"/>
          <w:highlight w:val="none"/>
        </w:rPr>
        <w:t>上门体检提前考察场地及体检车用电需求满足</w:t>
      </w:r>
      <w:r>
        <w:rPr>
          <w:rFonts w:hint="eastAsia"/>
          <w:color w:val="auto"/>
          <w:sz w:val="24"/>
          <w:szCs w:val="24"/>
          <w:highlight w:val="none"/>
          <w:lang w:eastAsia="zh-CN"/>
        </w:rPr>
        <w:t>情况，保证按约定时间到达学校布置体检场所，开展体检工作，并及时收回体检表。</w:t>
      </w:r>
    </w:p>
    <w:p w14:paraId="3B8AC29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rPr>
        <w:t>4</w:t>
      </w:r>
      <w:r>
        <w:rPr>
          <w:rFonts w:hint="eastAsia"/>
          <w:color w:val="auto"/>
          <w:sz w:val="24"/>
          <w:szCs w:val="24"/>
          <w:highlight w:val="none"/>
          <w:lang w:val="en-US" w:eastAsia="zh-CN"/>
        </w:rPr>
        <w:t>、</w:t>
      </w:r>
      <w:r>
        <w:rPr>
          <w:rFonts w:hint="default"/>
          <w:color w:val="auto"/>
          <w:sz w:val="24"/>
          <w:szCs w:val="24"/>
          <w:highlight w:val="none"/>
        </w:rPr>
        <w:t>供应商</w:t>
      </w:r>
      <w:r>
        <w:rPr>
          <w:color w:val="auto"/>
          <w:sz w:val="24"/>
          <w:szCs w:val="24"/>
          <w:highlight w:val="none"/>
        </w:rPr>
        <w:t>需</w:t>
      </w:r>
      <w:r>
        <w:rPr>
          <w:rFonts w:hint="eastAsia"/>
          <w:color w:val="auto"/>
          <w:sz w:val="24"/>
          <w:szCs w:val="24"/>
          <w:highlight w:val="none"/>
          <w:lang w:val="en-US" w:eastAsia="zh-CN"/>
        </w:rPr>
        <w:t>提供</w:t>
      </w:r>
      <w:r>
        <w:rPr>
          <w:rFonts w:hint="eastAsia"/>
          <w:b/>
          <w:bCs/>
          <w:color w:val="auto"/>
          <w:sz w:val="24"/>
          <w:szCs w:val="24"/>
          <w:highlight w:val="none"/>
          <w:lang w:val="en-US" w:eastAsia="zh-CN"/>
        </w:rPr>
        <w:t>至少1</w:t>
      </w:r>
      <w:r>
        <w:rPr>
          <w:b/>
          <w:bCs/>
          <w:color w:val="auto"/>
          <w:sz w:val="24"/>
          <w:szCs w:val="24"/>
          <w:highlight w:val="none"/>
        </w:rPr>
        <w:t>台性能良好、符合国家标准的DR车</w:t>
      </w:r>
      <w:r>
        <w:rPr>
          <w:rFonts w:hint="eastAsia"/>
          <w:color w:val="auto"/>
          <w:sz w:val="24"/>
          <w:szCs w:val="24"/>
          <w:highlight w:val="none"/>
          <w:lang w:eastAsia="zh-CN"/>
        </w:rPr>
        <w:t>（</w:t>
      </w:r>
      <w:r>
        <w:rPr>
          <w:rFonts w:hint="eastAsia" w:eastAsia="宋体"/>
          <w:b/>
          <w:bCs/>
          <w:color w:val="auto"/>
          <w:sz w:val="24"/>
          <w:szCs w:val="24"/>
          <w:highlight w:val="none"/>
          <w:lang w:val="en-US" w:eastAsia="zh-CN"/>
        </w:rPr>
        <w:t>如供应商同时承接本项目A、B两部分体检项目，则在满足A、B两部分体检项目需要且高效有序的前提下，拟投入DR车可共用</w:t>
      </w:r>
      <w:r>
        <w:rPr>
          <w:rFonts w:hint="eastAsia"/>
          <w:color w:val="auto"/>
          <w:sz w:val="24"/>
          <w:szCs w:val="24"/>
          <w:highlight w:val="none"/>
          <w:lang w:eastAsia="zh-CN"/>
        </w:rPr>
        <w:t>）</w:t>
      </w:r>
      <w:r>
        <w:rPr>
          <w:color w:val="auto"/>
          <w:sz w:val="24"/>
          <w:szCs w:val="24"/>
          <w:highlight w:val="none"/>
        </w:rPr>
        <w:t>，用于胸部DR检查，设备需在有效期内。</w:t>
      </w:r>
      <w:r>
        <w:rPr>
          <w:rFonts w:hint="eastAsia" w:eastAsia="宋体"/>
          <w:b/>
          <w:bCs/>
          <w:color w:val="auto"/>
          <w:sz w:val="24"/>
          <w:szCs w:val="24"/>
          <w:highlight w:val="none"/>
          <w:lang w:val="en-US" w:eastAsia="zh-CN"/>
        </w:rPr>
        <w:t>供应商须提供有关证明材料（自有的提供资产证明等证明材料，租赁的提供租赁合同等证明材料）。</w:t>
      </w:r>
      <w:r>
        <w:rPr>
          <w:rFonts w:ascii="宋体" w:hAnsi="宋体" w:eastAsia="宋体" w:cs="宋体"/>
          <w:color w:val="auto"/>
          <w:sz w:val="24"/>
          <w:szCs w:val="24"/>
          <w:highlight w:val="none"/>
        </w:rPr>
        <w:t>采购人组织体检服务开展</w:t>
      </w:r>
      <w:r>
        <w:rPr>
          <w:rFonts w:hint="eastAsia" w:ascii="宋体" w:hAnsi="宋体" w:eastAsia="宋体" w:cs="宋体"/>
          <w:color w:val="auto"/>
          <w:sz w:val="24"/>
          <w:szCs w:val="24"/>
          <w:highlight w:val="none"/>
          <w:lang w:eastAsia="zh-CN"/>
        </w:rPr>
        <w:t>的</w:t>
      </w:r>
      <w:r>
        <w:rPr>
          <w:rFonts w:ascii="宋体" w:hAnsi="宋体" w:eastAsia="宋体" w:cs="宋体"/>
          <w:color w:val="auto"/>
          <w:sz w:val="24"/>
          <w:szCs w:val="24"/>
          <w:highlight w:val="none"/>
        </w:rPr>
        <w:t>前一日，供应商须将拟投入的 DR 体检车辆运送至采购人指定体检</w:t>
      </w:r>
      <w:r>
        <w:rPr>
          <w:rFonts w:hint="eastAsia" w:ascii="宋体" w:hAnsi="宋体" w:eastAsia="宋体" w:cs="宋体"/>
          <w:color w:val="auto"/>
          <w:sz w:val="24"/>
          <w:szCs w:val="24"/>
          <w:highlight w:val="none"/>
          <w:lang w:val="en-US" w:eastAsia="zh-CN"/>
        </w:rPr>
        <w:t>地点</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并</w:t>
      </w:r>
      <w:r>
        <w:rPr>
          <w:rFonts w:ascii="宋体" w:hAnsi="宋体" w:eastAsia="宋体" w:cs="宋体"/>
          <w:color w:val="auto"/>
          <w:sz w:val="24"/>
          <w:szCs w:val="24"/>
          <w:highlight w:val="none"/>
        </w:rPr>
        <w:t>完成设备安装、调试及检测工作，确保设备可正常投入使用。</w:t>
      </w:r>
    </w:p>
    <w:p w14:paraId="43C8E1C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5、</w:t>
      </w:r>
      <w:r>
        <w:rPr>
          <w:rFonts w:hint="eastAsia"/>
          <w:color w:val="auto"/>
          <w:sz w:val="24"/>
          <w:szCs w:val="24"/>
          <w:highlight w:val="none"/>
        </w:rPr>
        <w:t>按双方预定时间段，安排上门体检</w:t>
      </w:r>
      <w:r>
        <w:rPr>
          <w:rFonts w:hint="eastAsia"/>
          <w:color w:val="auto"/>
          <w:sz w:val="24"/>
          <w:szCs w:val="24"/>
          <w:highlight w:val="none"/>
          <w:lang w:eastAsia="zh-CN"/>
        </w:rPr>
        <w:t>。</w:t>
      </w:r>
      <w:r>
        <w:rPr>
          <w:rFonts w:hint="eastAsia"/>
          <w:color w:val="auto"/>
          <w:sz w:val="24"/>
          <w:szCs w:val="24"/>
          <w:highlight w:val="none"/>
          <w:lang w:val="en-US" w:eastAsia="zh-CN"/>
        </w:rPr>
        <w:t>根据采购人时间要求</w:t>
      </w:r>
      <w:r>
        <w:rPr>
          <w:rFonts w:hint="eastAsia"/>
          <w:b/>
          <w:bCs/>
          <w:color w:val="auto"/>
          <w:sz w:val="24"/>
          <w:szCs w:val="24"/>
          <w:highlight w:val="none"/>
          <w:lang w:val="en-US" w:eastAsia="zh-CN"/>
        </w:rPr>
        <w:t>，供应商至少</w:t>
      </w:r>
      <w:r>
        <w:rPr>
          <w:rFonts w:hint="eastAsia"/>
          <w:b/>
          <w:bCs/>
          <w:color w:val="auto"/>
          <w:sz w:val="24"/>
          <w:szCs w:val="24"/>
          <w:highlight w:val="none"/>
        </w:rPr>
        <w:t>安排</w:t>
      </w:r>
      <w:r>
        <w:rPr>
          <w:rFonts w:hint="eastAsia"/>
          <w:b/>
          <w:bCs/>
          <w:color w:val="auto"/>
          <w:sz w:val="24"/>
          <w:szCs w:val="24"/>
          <w:highlight w:val="none"/>
          <w:lang w:val="en-US" w:eastAsia="zh-CN"/>
        </w:rPr>
        <w:t>1</w:t>
      </w:r>
      <w:r>
        <w:rPr>
          <w:rFonts w:hint="eastAsia"/>
          <w:b/>
          <w:bCs/>
          <w:color w:val="auto"/>
          <w:sz w:val="24"/>
          <w:szCs w:val="24"/>
          <w:highlight w:val="none"/>
        </w:rPr>
        <w:t>台</w:t>
      </w:r>
      <w:r>
        <w:rPr>
          <w:rFonts w:hint="eastAsia"/>
          <w:color w:val="auto"/>
          <w:sz w:val="24"/>
          <w:szCs w:val="24"/>
          <w:highlight w:val="none"/>
        </w:rPr>
        <w:t>DR体检车为</w:t>
      </w:r>
      <w:r>
        <w:rPr>
          <w:rFonts w:hint="eastAsia"/>
          <w:color w:val="auto"/>
          <w:sz w:val="24"/>
          <w:szCs w:val="24"/>
          <w:highlight w:val="none"/>
          <w:lang w:val="en-US" w:eastAsia="zh-CN"/>
        </w:rPr>
        <w:t>学</w:t>
      </w:r>
      <w:r>
        <w:rPr>
          <w:rFonts w:hint="eastAsia"/>
          <w:color w:val="auto"/>
          <w:sz w:val="24"/>
          <w:szCs w:val="24"/>
          <w:highlight w:val="none"/>
        </w:rPr>
        <w:t>生进行胸部DR检测</w:t>
      </w:r>
      <w:r>
        <w:rPr>
          <w:rFonts w:hint="default" w:asciiTheme="minorAscii" w:hAnsiTheme="minorAscii"/>
          <w:color w:val="auto"/>
          <w:sz w:val="24"/>
          <w:szCs w:val="24"/>
          <w:highlight w:val="none"/>
          <w:u w:val="none"/>
          <w:lang w:eastAsia="zh-CN"/>
        </w:rPr>
        <w:t>（</w:t>
      </w:r>
      <w:r>
        <w:rPr>
          <w:rFonts w:hint="default"/>
          <w:color w:val="auto"/>
          <w:sz w:val="24"/>
          <w:szCs w:val="24"/>
          <w:highlight w:val="none"/>
          <w:lang w:val="en-US" w:eastAsia="zh-CN"/>
        </w:rPr>
        <w:t>务必配置胸透专用防辐射围脖，必要时提供</w:t>
      </w:r>
      <w:r>
        <w:rPr>
          <w:rFonts w:hint="eastAsia"/>
          <w:color w:val="auto"/>
          <w:sz w:val="24"/>
          <w:szCs w:val="24"/>
          <w:highlight w:val="none"/>
          <w:lang w:val="en-US" w:eastAsia="zh-CN"/>
        </w:rPr>
        <w:t>给</w:t>
      </w:r>
      <w:r>
        <w:rPr>
          <w:rFonts w:hint="default"/>
          <w:color w:val="auto"/>
          <w:sz w:val="24"/>
          <w:szCs w:val="24"/>
          <w:highlight w:val="none"/>
          <w:lang w:val="en-US" w:eastAsia="zh-CN"/>
        </w:rPr>
        <w:t>受检学生做好辐射防护</w:t>
      </w:r>
      <w:r>
        <w:rPr>
          <w:rFonts w:hint="default"/>
          <w:color w:val="auto"/>
          <w:sz w:val="24"/>
          <w:szCs w:val="24"/>
          <w:highlight w:val="none"/>
          <w:lang w:eastAsia="zh-CN"/>
        </w:rPr>
        <w:t>）</w:t>
      </w:r>
      <w:r>
        <w:rPr>
          <w:rFonts w:hint="eastAsia"/>
          <w:color w:val="auto"/>
          <w:sz w:val="24"/>
          <w:szCs w:val="24"/>
          <w:highlight w:val="none"/>
        </w:rPr>
        <w:t>，检查异常（肺结核、胸腔积液等）的学生，当日立即通报学校</w:t>
      </w:r>
      <w:r>
        <w:rPr>
          <w:rFonts w:hint="eastAsia"/>
          <w:color w:val="auto"/>
          <w:sz w:val="24"/>
          <w:szCs w:val="24"/>
          <w:highlight w:val="none"/>
          <w:lang w:val="en-US" w:eastAsia="zh-CN"/>
        </w:rPr>
        <w:t>医务</w:t>
      </w:r>
      <w:r>
        <w:rPr>
          <w:rFonts w:hint="eastAsia"/>
          <w:color w:val="auto"/>
          <w:sz w:val="24"/>
          <w:szCs w:val="24"/>
          <w:highlight w:val="none"/>
        </w:rPr>
        <w:t>所工作人员。</w:t>
      </w:r>
      <w:r>
        <w:rPr>
          <w:rFonts w:hint="eastAsia"/>
          <w:color w:val="auto"/>
          <w:sz w:val="24"/>
          <w:szCs w:val="24"/>
          <w:highlight w:val="none"/>
          <w:lang w:val="en-US" w:eastAsia="zh-CN"/>
        </w:rPr>
        <w:t>供应商</w:t>
      </w:r>
      <w:r>
        <w:rPr>
          <w:rFonts w:hint="eastAsia"/>
          <w:color w:val="auto"/>
          <w:sz w:val="24"/>
          <w:szCs w:val="24"/>
          <w:highlight w:val="none"/>
        </w:rPr>
        <w:t>自备</w:t>
      </w:r>
      <w:r>
        <w:rPr>
          <w:rFonts w:hint="eastAsia"/>
          <w:color w:val="auto"/>
          <w:sz w:val="24"/>
          <w:szCs w:val="24"/>
          <w:highlight w:val="none"/>
          <w:lang w:val="en-US" w:eastAsia="zh-CN"/>
        </w:rPr>
        <w:t>体检器械</w:t>
      </w:r>
      <w:r>
        <w:rPr>
          <w:rFonts w:hint="eastAsia"/>
          <w:color w:val="auto"/>
          <w:sz w:val="24"/>
          <w:szCs w:val="24"/>
          <w:highlight w:val="none"/>
        </w:rPr>
        <w:t>、</w:t>
      </w:r>
      <w:r>
        <w:rPr>
          <w:rFonts w:hint="eastAsia"/>
          <w:color w:val="auto"/>
          <w:sz w:val="24"/>
          <w:szCs w:val="24"/>
          <w:highlight w:val="none"/>
          <w:lang w:val="en-US" w:eastAsia="zh-CN"/>
        </w:rPr>
        <w:t>医疗耗材</w:t>
      </w:r>
      <w:r>
        <w:rPr>
          <w:rFonts w:hint="eastAsia"/>
          <w:color w:val="auto"/>
          <w:sz w:val="24"/>
          <w:szCs w:val="24"/>
          <w:highlight w:val="none"/>
        </w:rPr>
        <w:t>，将专业体检设备</w:t>
      </w:r>
      <w:r>
        <w:rPr>
          <w:rFonts w:hint="eastAsia"/>
          <w:color w:val="auto"/>
          <w:sz w:val="24"/>
          <w:szCs w:val="24"/>
          <w:highlight w:val="none"/>
          <w:lang w:val="en-US" w:eastAsia="zh-CN"/>
        </w:rPr>
        <w:t>耗材</w:t>
      </w:r>
      <w:r>
        <w:rPr>
          <w:rFonts w:hint="eastAsia"/>
          <w:color w:val="auto"/>
          <w:sz w:val="24"/>
          <w:szCs w:val="24"/>
          <w:highlight w:val="none"/>
        </w:rPr>
        <w:t>运到学校</w:t>
      </w:r>
      <w:r>
        <w:rPr>
          <w:rFonts w:hint="eastAsia"/>
          <w:color w:val="auto"/>
          <w:sz w:val="24"/>
          <w:szCs w:val="24"/>
          <w:highlight w:val="none"/>
          <w:lang w:val="en-US" w:eastAsia="zh-CN"/>
        </w:rPr>
        <w:t>体检场地</w:t>
      </w:r>
      <w:r>
        <w:rPr>
          <w:rFonts w:hint="eastAsia"/>
          <w:color w:val="auto"/>
          <w:sz w:val="24"/>
          <w:szCs w:val="24"/>
          <w:highlight w:val="none"/>
        </w:rPr>
        <w:t>，</w:t>
      </w:r>
      <w:r>
        <w:rPr>
          <w:rFonts w:hint="eastAsia"/>
          <w:color w:val="auto"/>
          <w:sz w:val="24"/>
          <w:szCs w:val="24"/>
          <w:highlight w:val="none"/>
          <w:lang w:val="en-US" w:eastAsia="zh-CN"/>
        </w:rPr>
        <w:t>当日</w:t>
      </w:r>
      <w:r>
        <w:rPr>
          <w:rFonts w:hint="eastAsia"/>
          <w:color w:val="auto"/>
          <w:sz w:val="24"/>
          <w:szCs w:val="24"/>
          <w:highlight w:val="none"/>
        </w:rPr>
        <w:t>在校内完成新生全部体检项目</w:t>
      </w:r>
      <w:r>
        <w:rPr>
          <w:rFonts w:hint="eastAsia"/>
          <w:color w:val="auto"/>
          <w:sz w:val="24"/>
          <w:szCs w:val="24"/>
          <w:highlight w:val="none"/>
          <w:lang w:eastAsia="zh-CN"/>
        </w:rPr>
        <w:t>；体检时</w:t>
      </w:r>
      <w:r>
        <w:rPr>
          <w:rFonts w:hint="eastAsia"/>
          <w:color w:val="auto"/>
          <w:sz w:val="24"/>
          <w:szCs w:val="24"/>
          <w:highlight w:val="none"/>
          <w:lang w:val="en-US" w:eastAsia="zh-CN"/>
        </w:rPr>
        <w:t>配置足够采</w:t>
      </w:r>
      <w:r>
        <w:rPr>
          <w:rFonts w:hint="eastAsia"/>
          <w:color w:val="auto"/>
          <w:sz w:val="24"/>
          <w:szCs w:val="24"/>
          <w:highlight w:val="none"/>
          <w:lang w:eastAsia="zh-CN"/>
        </w:rPr>
        <w:t>血人员，确保在当日1</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lang w:val="en-US" w:eastAsia="zh-CN"/>
        </w:rPr>
        <w:t>0</w:t>
      </w:r>
      <w:r>
        <w:rPr>
          <w:rFonts w:hint="eastAsia"/>
          <w:color w:val="auto"/>
          <w:sz w:val="24"/>
          <w:szCs w:val="24"/>
          <w:highlight w:val="none"/>
          <w:lang w:eastAsia="zh-CN"/>
        </w:rPr>
        <w:t>0前完成抽血。</w:t>
      </w:r>
    </w:p>
    <w:p w14:paraId="519FFBF7">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rPr>
      </w:pPr>
      <w:r>
        <w:rPr>
          <w:rFonts w:hint="eastAsia"/>
          <w:color w:val="auto"/>
          <w:sz w:val="24"/>
          <w:szCs w:val="24"/>
          <w:highlight w:val="none"/>
          <w:lang w:val="en-US" w:eastAsia="zh-CN"/>
        </w:rPr>
        <w:t>6、体检医务人员必须为供应商在职工作人员，不允许有非供应商员工。拟投入医务人员中级职称比例不少于50%，高级职称至少3名，且体检医师必须具备医师资质和执业证书，其中DR检测的影像医生必须至少为中级职称。指定一名项目负责人（兼总检医师，下同），项目负责人须具有副主任医师或以上职称。投标时提供相关人员及职责情况说明表，并提供人员资质、职称等证明材料以及投标前半年内投标人为其缴纳的任意一个月社保缴费证明材料。</w:t>
      </w:r>
      <w:r>
        <w:rPr>
          <w:rFonts w:hint="eastAsia" w:eastAsia="宋体"/>
          <w:b/>
          <w:bCs/>
          <w:color w:val="auto"/>
          <w:sz w:val="24"/>
          <w:szCs w:val="24"/>
          <w:highlight w:val="none"/>
          <w:lang w:val="en-US" w:eastAsia="zh-CN"/>
        </w:rPr>
        <w:t>供应商须提供有关证明材料，如供应商同时承接本项目A、B两部分体检项目，则在满足A、B两部分体检项目需要且高效有序的前提下，上述拟投入体检医务人员均可共用。</w:t>
      </w:r>
    </w:p>
    <w:p w14:paraId="261E927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7、</w:t>
      </w:r>
      <w:r>
        <w:rPr>
          <w:rFonts w:hint="eastAsia"/>
          <w:color w:val="auto"/>
          <w:sz w:val="24"/>
          <w:szCs w:val="24"/>
          <w:highlight w:val="none"/>
        </w:rPr>
        <w:t>体检过程中发现有心血管杂音的，怀疑有心血管疾病的，要求当场免费做心电图检查进行排查（心内科及心电图检查医生要求主治及以上职称的医生检查）</w:t>
      </w:r>
      <w:r>
        <w:rPr>
          <w:rFonts w:hint="eastAsia"/>
          <w:color w:val="auto"/>
          <w:sz w:val="24"/>
          <w:szCs w:val="24"/>
          <w:highlight w:val="none"/>
          <w:lang w:eastAsia="zh-CN"/>
        </w:rPr>
        <w:t>。</w:t>
      </w:r>
    </w:p>
    <w:p w14:paraId="50747BDF">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eastAsiaTheme="minorEastAsia"/>
          <w:color w:val="auto"/>
          <w:sz w:val="24"/>
          <w:szCs w:val="24"/>
          <w:highlight w:val="none"/>
          <w:lang w:eastAsia="zh-CN"/>
        </w:rPr>
      </w:pPr>
      <w:r>
        <w:rPr>
          <w:rFonts w:hint="eastAsia"/>
          <w:color w:val="auto"/>
          <w:sz w:val="24"/>
          <w:szCs w:val="24"/>
          <w:highlight w:val="none"/>
          <w:lang w:val="en-US" w:eastAsia="zh-CN"/>
        </w:rPr>
        <w:t>8、</w:t>
      </w:r>
      <w:r>
        <w:rPr>
          <w:rFonts w:hint="eastAsia"/>
          <w:color w:val="auto"/>
          <w:sz w:val="24"/>
          <w:szCs w:val="24"/>
          <w:highlight w:val="none"/>
        </w:rPr>
        <w:t>人员分流：体检项目根据场地合理规划区域，现场</w:t>
      </w:r>
      <w:r>
        <w:rPr>
          <w:rFonts w:hint="eastAsia"/>
          <w:color w:val="auto"/>
          <w:sz w:val="24"/>
          <w:szCs w:val="24"/>
          <w:highlight w:val="none"/>
          <w:lang w:val="en-US" w:eastAsia="zh-CN"/>
        </w:rPr>
        <w:t>由供应商</w:t>
      </w:r>
      <w:r>
        <w:rPr>
          <w:rFonts w:hint="eastAsia"/>
          <w:color w:val="auto"/>
          <w:sz w:val="24"/>
          <w:szCs w:val="24"/>
          <w:highlight w:val="none"/>
        </w:rPr>
        <w:t>安排工作人员疏导分流学生</w:t>
      </w:r>
      <w:r>
        <w:rPr>
          <w:rFonts w:hint="eastAsia"/>
          <w:color w:val="auto"/>
          <w:sz w:val="24"/>
          <w:szCs w:val="24"/>
          <w:highlight w:val="none"/>
          <w:lang w:eastAsia="zh-CN"/>
        </w:rPr>
        <w:t>。</w:t>
      </w:r>
    </w:p>
    <w:p w14:paraId="782A8B5C">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eastAsiaTheme="minorEastAsia"/>
          <w:color w:val="auto"/>
          <w:sz w:val="24"/>
          <w:szCs w:val="24"/>
          <w:highlight w:val="none"/>
          <w:lang w:eastAsia="zh-CN"/>
        </w:rPr>
      </w:pPr>
      <w:r>
        <w:rPr>
          <w:rFonts w:hint="eastAsia"/>
          <w:color w:val="auto"/>
          <w:sz w:val="24"/>
          <w:szCs w:val="24"/>
          <w:highlight w:val="none"/>
          <w:lang w:val="en-US" w:eastAsia="zh-CN"/>
        </w:rPr>
        <w:t>9、</w:t>
      </w:r>
      <w:r>
        <w:rPr>
          <w:rFonts w:hint="eastAsia"/>
          <w:color w:val="auto"/>
          <w:sz w:val="24"/>
          <w:szCs w:val="24"/>
          <w:highlight w:val="none"/>
        </w:rPr>
        <w:t>设置应急处置区，</w:t>
      </w:r>
      <w:r>
        <w:rPr>
          <w:rFonts w:hint="eastAsia"/>
          <w:color w:val="auto"/>
          <w:sz w:val="24"/>
          <w:szCs w:val="24"/>
          <w:highlight w:val="none"/>
          <w:lang w:val="en-US" w:eastAsia="zh-CN"/>
        </w:rPr>
        <w:t>供应商设置</w:t>
      </w:r>
      <w:r>
        <w:rPr>
          <w:rFonts w:hint="eastAsia"/>
          <w:color w:val="auto"/>
          <w:sz w:val="24"/>
          <w:szCs w:val="24"/>
          <w:highlight w:val="none"/>
        </w:rPr>
        <w:t>应急救治小组</w:t>
      </w:r>
      <w:r>
        <w:rPr>
          <w:rFonts w:hint="eastAsia"/>
          <w:color w:val="auto"/>
          <w:sz w:val="24"/>
          <w:szCs w:val="24"/>
          <w:highlight w:val="none"/>
          <w:lang w:eastAsia="zh-CN"/>
        </w:rPr>
        <w:t>，</w:t>
      </w:r>
      <w:r>
        <w:rPr>
          <w:rFonts w:hint="eastAsia"/>
          <w:color w:val="auto"/>
          <w:sz w:val="24"/>
          <w:szCs w:val="24"/>
          <w:highlight w:val="none"/>
          <w:lang w:val="en-US" w:eastAsia="zh-CN"/>
        </w:rPr>
        <w:t>有应急预案，</w:t>
      </w:r>
      <w:r>
        <w:rPr>
          <w:rFonts w:hint="eastAsia"/>
          <w:color w:val="auto"/>
          <w:sz w:val="24"/>
          <w:szCs w:val="24"/>
          <w:highlight w:val="none"/>
        </w:rPr>
        <w:t>携带应急用品及药品，</w:t>
      </w:r>
      <w:r>
        <w:rPr>
          <w:rFonts w:hint="eastAsia"/>
          <w:color w:val="auto"/>
          <w:sz w:val="24"/>
          <w:szCs w:val="24"/>
          <w:highlight w:val="none"/>
          <w:lang w:val="en-US" w:eastAsia="zh-CN"/>
        </w:rPr>
        <w:t>负责现场抢救处置、</w:t>
      </w:r>
      <w:r>
        <w:rPr>
          <w:rFonts w:hint="eastAsia"/>
          <w:color w:val="auto"/>
          <w:sz w:val="24"/>
          <w:szCs w:val="24"/>
          <w:highlight w:val="none"/>
        </w:rPr>
        <w:t>晕血、晕针、低血糖等突发情况</w:t>
      </w:r>
      <w:r>
        <w:rPr>
          <w:rFonts w:hint="eastAsia"/>
          <w:color w:val="auto"/>
          <w:sz w:val="24"/>
          <w:szCs w:val="24"/>
          <w:highlight w:val="none"/>
          <w:lang w:eastAsia="zh-CN"/>
        </w:rPr>
        <w:t>。</w:t>
      </w:r>
    </w:p>
    <w:p w14:paraId="2AB81CE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10、体检现场产生的医疗垃圾由供应商负责管理，体检完毕，由供应商负责将所有的医疗垃圾回收后带走集中处理。</w:t>
      </w:r>
    </w:p>
    <w:p w14:paraId="1F1FBC5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11、对体检发现有异常检查结果的学生，要提出针对性对策建议，协助安排后续复查、指导就诊，所有异常结果提供免费复查1次；发现传染病或其它重大疾病应按有关规定及时以书面形式向学生本人和学校反馈。</w:t>
      </w:r>
    </w:p>
    <w:p w14:paraId="08E42A8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eastAsiaTheme="minorEastAsia"/>
          <w:color w:val="auto"/>
          <w:sz w:val="24"/>
          <w:szCs w:val="24"/>
          <w:highlight w:val="none"/>
          <w:lang w:val="en-US" w:eastAsia="zh-CN"/>
        </w:rPr>
      </w:pPr>
      <w:r>
        <w:rPr>
          <w:rFonts w:hint="eastAsia"/>
          <w:color w:val="auto"/>
          <w:sz w:val="24"/>
          <w:szCs w:val="24"/>
          <w:highlight w:val="none"/>
          <w:lang w:val="en-US" w:eastAsia="zh-CN"/>
        </w:rPr>
        <w:t>12、</w:t>
      </w:r>
      <w:r>
        <w:rPr>
          <w:color w:val="auto"/>
          <w:sz w:val="24"/>
          <w:szCs w:val="24"/>
          <w:highlight w:val="none"/>
        </w:rPr>
        <w:t>补检服务：为因特殊原因未能在集中体检日参加体检的学生提供补检服务，</w:t>
      </w:r>
      <w:r>
        <w:rPr>
          <w:rFonts w:hint="eastAsia"/>
          <w:color w:val="auto"/>
          <w:sz w:val="24"/>
          <w:szCs w:val="24"/>
          <w:highlight w:val="none"/>
        </w:rPr>
        <w:t>在规定时间内，可以自行前往</w:t>
      </w:r>
      <w:r>
        <w:rPr>
          <w:rFonts w:hint="eastAsia"/>
          <w:color w:val="auto"/>
          <w:sz w:val="24"/>
          <w:szCs w:val="24"/>
          <w:highlight w:val="none"/>
          <w:lang w:eastAsia="zh-CN"/>
        </w:rPr>
        <w:t>供应商</w:t>
      </w:r>
      <w:r>
        <w:rPr>
          <w:rFonts w:hint="eastAsia"/>
          <w:color w:val="auto"/>
          <w:sz w:val="24"/>
          <w:szCs w:val="24"/>
          <w:highlight w:val="none"/>
        </w:rPr>
        <w:t>体检中心补检</w:t>
      </w:r>
      <w:r>
        <w:rPr>
          <w:rFonts w:hint="eastAsia"/>
          <w:color w:val="auto"/>
          <w:sz w:val="24"/>
          <w:szCs w:val="24"/>
          <w:highlight w:val="none"/>
          <w:lang w:eastAsia="zh-CN"/>
        </w:rPr>
        <w:t>，</w:t>
      </w:r>
      <w:r>
        <w:rPr>
          <w:color w:val="auto"/>
          <w:sz w:val="24"/>
          <w:szCs w:val="24"/>
          <w:highlight w:val="none"/>
        </w:rPr>
        <w:t>流程和质量与集中体检一致</w:t>
      </w:r>
      <w:r>
        <w:rPr>
          <w:rFonts w:hint="eastAsia"/>
          <w:color w:val="auto"/>
          <w:sz w:val="24"/>
          <w:szCs w:val="24"/>
          <w:highlight w:val="none"/>
          <w:lang w:eastAsia="zh-CN"/>
        </w:rPr>
        <w:t>，补检不额外收费。</w:t>
      </w:r>
    </w:p>
    <w:p w14:paraId="4D8A9E0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highlight w:val="none"/>
          <w:lang w:val="en-US" w:eastAsia="zh-CN"/>
        </w:rPr>
      </w:pPr>
      <w:r>
        <w:rPr>
          <w:rFonts w:hint="eastAsia"/>
          <w:color w:val="auto"/>
          <w:sz w:val="24"/>
          <w:szCs w:val="24"/>
          <w:highlight w:val="none"/>
          <w:lang w:val="en-US" w:eastAsia="zh-CN"/>
        </w:rPr>
        <w:t>13、学校</w:t>
      </w:r>
      <w:r>
        <w:rPr>
          <w:color w:val="auto"/>
          <w:sz w:val="24"/>
          <w:szCs w:val="24"/>
          <w:highlight w:val="none"/>
        </w:rPr>
        <w:t>体检结束后</w:t>
      </w:r>
      <w:r>
        <w:rPr>
          <w:rFonts w:hint="eastAsia"/>
          <w:color w:val="auto"/>
          <w:sz w:val="24"/>
          <w:szCs w:val="24"/>
          <w:highlight w:val="none"/>
          <w:lang w:val="en-US" w:eastAsia="zh-CN"/>
        </w:rPr>
        <w:t>1</w:t>
      </w:r>
      <w:r>
        <w:rPr>
          <w:color w:val="auto"/>
          <w:sz w:val="24"/>
          <w:szCs w:val="24"/>
          <w:highlight w:val="none"/>
        </w:rPr>
        <w:t>5个</w:t>
      </w:r>
      <w:r>
        <w:rPr>
          <w:rFonts w:hint="eastAsia"/>
          <w:color w:val="auto"/>
          <w:sz w:val="24"/>
          <w:szCs w:val="24"/>
          <w:highlight w:val="none"/>
          <w:lang w:val="en-US" w:eastAsia="zh-CN"/>
        </w:rPr>
        <w:t>日历</w:t>
      </w:r>
      <w:r>
        <w:rPr>
          <w:color w:val="auto"/>
          <w:sz w:val="24"/>
          <w:szCs w:val="24"/>
          <w:highlight w:val="none"/>
        </w:rPr>
        <w:t>日内，</w:t>
      </w:r>
      <w:r>
        <w:rPr>
          <w:rFonts w:hint="eastAsia"/>
          <w:color w:val="auto"/>
          <w:sz w:val="24"/>
          <w:szCs w:val="24"/>
          <w:highlight w:val="none"/>
          <w:lang w:val="en-US" w:eastAsia="zh-CN"/>
        </w:rPr>
        <w:t>供应商</w:t>
      </w:r>
      <w:r>
        <w:rPr>
          <w:color w:val="auto"/>
          <w:sz w:val="24"/>
          <w:szCs w:val="24"/>
          <w:highlight w:val="none"/>
        </w:rPr>
        <w:t>完成体检数据的统计、分析和汇总工作，为每个学生出具详细的体检报告</w:t>
      </w:r>
      <w:r>
        <w:rPr>
          <w:rFonts w:hint="eastAsia"/>
          <w:color w:val="auto"/>
          <w:sz w:val="24"/>
          <w:szCs w:val="24"/>
          <w:highlight w:val="none"/>
          <w:lang w:val="en-US" w:eastAsia="zh-CN"/>
        </w:rPr>
        <w:t>及匹配的化验单</w:t>
      </w:r>
      <w:r>
        <w:rPr>
          <w:color w:val="auto"/>
          <w:sz w:val="24"/>
          <w:szCs w:val="24"/>
          <w:highlight w:val="none"/>
        </w:rPr>
        <w:t>，</w:t>
      </w:r>
      <w:r>
        <w:rPr>
          <w:rFonts w:hint="eastAsia"/>
          <w:color w:val="auto"/>
          <w:sz w:val="24"/>
          <w:szCs w:val="24"/>
          <w:highlight w:val="none"/>
          <w:lang w:val="en-US" w:eastAsia="zh-CN"/>
        </w:rPr>
        <w:t>支持学生在手机互联网线上查询个人体检结果，并</w:t>
      </w:r>
      <w:r>
        <w:rPr>
          <w:color w:val="auto"/>
          <w:sz w:val="24"/>
          <w:szCs w:val="24"/>
          <w:highlight w:val="none"/>
        </w:rPr>
        <w:t>提供整体的</w:t>
      </w:r>
      <w:r>
        <w:rPr>
          <w:rFonts w:hint="eastAsia"/>
          <w:color w:val="auto"/>
          <w:sz w:val="24"/>
          <w:szCs w:val="24"/>
          <w:highlight w:val="none"/>
          <w:lang w:val="en-US" w:eastAsia="zh-CN"/>
        </w:rPr>
        <w:t>加盖公章的</w:t>
      </w:r>
      <w:r>
        <w:rPr>
          <w:color w:val="auto"/>
          <w:sz w:val="24"/>
          <w:szCs w:val="24"/>
          <w:highlight w:val="none"/>
        </w:rPr>
        <w:t>体检总结报告</w:t>
      </w:r>
      <w:r>
        <w:rPr>
          <w:rFonts w:hint="eastAsia"/>
          <w:color w:val="auto"/>
          <w:sz w:val="24"/>
          <w:szCs w:val="24"/>
          <w:highlight w:val="none"/>
          <w:lang w:val="en-US" w:eastAsia="zh-CN"/>
        </w:rPr>
        <w:t>及异常结果汇总表，</w:t>
      </w:r>
      <w:r>
        <w:rPr>
          <w:color w:val="auto"/>
          <w:sz w:val="24"/>
          <w:szCs w:val="24"/>
          <w:highlight w:val="none"/>
        </w:rPr>
        <w:t>报告需以纸质版和电子版两种形式提交</w:t>
      </w:r>
      <w:r>
        <w:rPr>
          <w:rFonts w:hint="eastAsia"/>
          <w:color w:val="auto"/>
          <w:sz w:val="24"/>
          <w:szCs w:val="24"/>
          <w:highlight w:val="none"/>
        </w:rPr>
        <w:t>送至采购方指定签收处</w:t>
      </w:r>
      <w:r>
        <w:rPr>
          <w:rFonts w:hint="eastAsia"/>
          <w:color w:val="auto"/>
          <w:sz w:val="24"/>
          <w:szCs w:val="24"/>
          <w:highlight w:val="none"/>
          <w:lang w:eastAsia="zh-CN"/>
        </w:rPr>
        <w:t>，</w:t>
      </w:r>
      <w:r>
        <w:rPr>
          <w:rFonts w:hint="eastAsia"/>
          <w:color w:val="auto"/>
          <w:sz w:val="24"/>
          <w:szCs w:val="24"/>
          <w:highlight w:val="none"/>
          <w:lang w:val="en-US" w:eastAsia="zh-CN"/>
        </w:rPr>
        <w:t>根据实际体检人数及合同价格开具正规发票后，采购方按合同结算给供应商。</w:t>
      </w:r>
    </w:p>
    <w:p w14:paraId="748BF1A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14、供应商在为学生体检过程中一切操作规程必须符合国家法律法规，如因操作不规范所造成的人身安全事故由供应商承担。</w:t>
      </w:r>
    </w:p>
    <w:p w14:paraId="0F9605B8">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15、</w:t>
      </w:r>
      <w:r>
        <w:rPr>
          <w:color w:val="auto"/>
          <w:sz w:val="24"/>
          <w:szCs w:val="24"/>
          <w:highlight w:val="none"/>
        </w:rPr>
        <w:t>严格保护学生的个人隐私和体检信息，不得向任何第三方泄露</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除法律、法规规定的范围以外</w:t>
      </w:r>
      <w:r>
        <w:rPr>
          <w:rFonts w:hint="eastAsia" w:eastAsia="宋体"/>
          <w:color w:val="auto"/>
          <w:sz w:val="24"/>
          <w:szCs w:val="24"/>
          <w:highlight w:val="none"/>
          <w:lang w:eastAsia="zh-CN"/>
        </w:rPr>
        <w:t>）</w:t>
      </w:r>
      <w:r>
        <w:rPr>
          <w:color w:val="auto"/>
          <w:sz w:val="24"/>
          <w:szCs w:val="24"/>
          <w:highlight w:val="none"/>
        </w:rPr>
        <w:t>，体检数据的存储和传输需采取安全加密措施</w:t>
      </w:r>
      <w:r>
        <w:rPr>
          <w:rFonts w:hint="eastAsia"/>
          <w:color w:val="auto"/>
          <w:sz w:val="24"/>
          <w:szCs w:val="24"/>
          <w:highlight w:val="none"/>
          <w:lang w:eastAsia="zh-CN"/>
        </w:rPr>
        <w:t>，</w:t>
      </w:r>
      <w:r>
        <w:rPr>
          <w:rFonts w:hint="eastAsia"/>
          <w:color w:val="auto"/>
          <w:sz w:val="24"/>
          <w:szCs w:val="24"/>
          <w:highlight w:val="none"/>
          <w:lang w:val="en-US" w:eastAsia="zh-CN"/>
        </w:rPr>
        <w:t>泄密引起的一切后果由供应商承担。</w:t>
      </w:r>
    </w:p>
    <w:p w14:paraId="6349A7E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16、协助保障：合同期间内，采购方学校内出现传染病疫情（如肺结核），</w:t>
      </w:r>
      <w:r>
        <w:rPr>
          <w:rFonts w:hint="default"/>
          <w:color w:val="auto"/>
          <w:sz w:val="24"/>
          <w:szCs w:val="24"/>
          <w:highlight w:val="none"/>
        </w:rPr>
        <w:t>供应商</w:t>
      </w:r>
      <w:r>
        <w:rPr>
          <w:rFonts w:hint="eastAsia"/>
          <w:color w:val="auto"/>
          <w:sz w:val="24"/>
          <w:szCs w:val="24"/>
          <w:highlight w:val="none"/>
          <w:lang w:val="en-US" w:eastAsia="zh-CN"/>
        </w:rPr>
        <w:t>接到学校协助排查密接者的通知，须48小时内派出DR车到学校免费协助排查。</w:t>
      </w:r>
    </w:p>
    <w:p w14:paraId="6CD279C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17、体检</w:t>
      </w:r>
      <w:r>
        <w:rPr>
          <w:rFonts w:hint="eastAsia"/>
          <w:color w:val="auto"/>
          <w:sz w:val="24"/>
          <w:szCs w:val="24"/>
          <w:highlight w:val="none"/>
        </w:rPr>
        <w:t>报告解读咨询服务。合同期限内，</w:t>
      </w:r>
      <w:r>
        <w:rPr>
          <w:rFonts w:hint="eastAsia"/>
          <w:color w:val="auto"/>
          <w:sz w:val="24"/>
          <w:szCs w:val="24"/>
          <w:highlight w:val="none"/>
          <w:lang w:val="en-US" w:eastAsia="zh-CN"/>
        </w:rPr>
        <w:t>供应商</w:t>
      </w:r>
      <w:r>
        <w:rPr>
          <w:rFonts w:hint="eastAsia"/>
          <w:color w:val="auto"/>
          <w:sz w:val="24"/>
          <w:szCs w:val="24"/>
          <w:highlight w:val="none"/>
        </w:rPr>
        <w:t>可提供定期健康讲座、大型项目期间的医疗救助支持。</w:t>
      </w:r>
    </w:p>
    <w:p w14:paraId="7414FA9C">
      <w:pPr>
        <w:pStyle w:val="2"/>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18、该项目不接受联合体竞标，不允许转包。</w:t>
      </w:r>
    </w:p>
    <w:p w14:paraId="02AB3F68">
      <w:pPr>
        <w:pStyle w:val="2"/>
        <w:spacing w:line="360" w:lineRule="auto"/>
        <w:ind w:firstLine="480" w:firstLineChars="200"/>
        <w:rPr>
          <w:rFonts w:hint="eastAsia"/>
          <w:color w:val="auto"/>
          <w:sz w:val="24"/>
          <w:szCs w:val="24"/>
          <w:highlight w:val="none"/>
          <w:lang w:val="en-US" w:eastAsia="zh-CN"/>
        </w:rPr>
      </w:pPr>
      <w:r>
        <w:rPr>
          <w:rFonts w:hint="eastAsia" w:asciiTheme="minorHAnsi" w:hAnsiTheme="minorHAnsi" w:eastAsiaTheme="minorEastAsia" w:cstheme="minorBidi"/>
          <w:color w:val="auto"/>
          <w:kern w:val="2"/>
          <w:sz w:val="24"/>
          <w:szCs w:val="24"/>
          <w:highlight w:val="none"/>
          <w:lang w:val="en-US" w:eastAsia="zh-CN" w:bidi="ar-SA"/>
        </w:rPr>
        <w:t>19、本项目服务期限为自合同签订之日起</w:t>
      </w:r>
      <w:r>
        <w:rPr>
          <w:rFonts w:hint="eastAsia" w:asciiTheme="minorHAnsi" w:hAnsiTheme="minorHAnsi" w:eastAsiaTheme="minorEastAsia" w:cstheme="minorBidi"/>
          <w:b/>
          <w:bCs/>
          <w:color w:val="auto"/>
          <w:kern w:val="2"/>
          <w:sz w:val="24"/>
          <w:szCs w:val="24"/>
          <w:highlight w:val="none"/>
          <w:lang w:val="en-US" w:eastAsia="zh-CN" w:bidi="ar-SA"/>
        </w:rPr>
        <w:t>二年</w:t>
      </w:r>
      <w:r>
        <w:rPr>
          <w:rFonts w:hint="eastAsia" w:asciiTheme="minorHAnsi" w:hAnsiTheme="minorHAnsi" w:eastAsiaTheme="minorEastAsia" w:cstheme="minorBidi"/>
          <w:color w:val="auto"/>
          <w:kern w:val="2"/>
          <w:sz w:val="24"/>
          <w:szCs w:val="24"/>
          <w:highlight w:val="none"/>
          <w:lang w:val="en-US" w:eastAsia="zh-CN" w:bidi="ar-SA"/>
        </w:rPr>
        <w:t>。</w:t>
      </w:r>
    </w:p>
    <w:p w14:paraId="7648ECFD">
      <w:pPr>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（三）合同签订及履约要求</w:t>
      </w:r>
    </w:p>
    <w:p w14:paraId="645DBB6B">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 xml:space="preserve">1、合同签订期：自成交结果公告发出之日起7个工作日内 </w:t>
      </w:r>
    </w:p>
    <w:p w14:paraId="7CB78040">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2、提交体检结果时间：体检完成后15个日历日内。</w:t>
      </w:r>
    </w:p>
    <w:p w14:paraId="251D2EEE">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3、服务地点及期限：采购人指定地点，体检开始至全服务合格，并提交体检结果。</w:t>
      </w:r>
    </w:p>
    <w:p w14:paraId="02A11AF6">
      <w:p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三、采购控制价、报价要求及付款方式</w:t>
      </w:r>
    </w:p>
    <w:p w14:paraId="7F8B8299">
      <w:pPr>
        <w:spacing w:line="360" w:lineRule="auto"/>
        <w:ind w:firstLine="480" w:firstLineChars="200"/>
        <w:rPr>
          <w:rFonts w:hint="default"/>
          <w:b/>
          <w:bCs/>
          <w:color w:val="auto"/>
          <w:sz w:val="24"/>
          <w:szCs w:val="24"/>
          <w:highlight w:val="none"/>
          <w:lang w:val="en-US" w:eastAsia="zh-CN"/>
        </w:rPr>
      </w:pPr>
      <w:r>
        <w:rPr>
          <w:rFonts w:hint="eastAsia"/>
          <w:color w:val="auto"/>
          <w:sz w:val="24"/>
          <w:szCs w:val="24"/>
          <w:highlight w:val="none"/>
          <w:lang w:val="en-US" w:eastAsia="zh-CN"/>
        </w:rPr>
        <w:t>1、</w:t>
      </w:r>
      <w:r>
        <w:rPr>
          <w:rFonts w:hint="eastAsia" w:asciiTheme="minorHAnsi" w:hAnsiTheme="minorHAnsi" w:cstheme="minorBidi"/>
          <w:b w:val="0"/>
          <w:bCs w:val="0"/>
          <w:color w:val="auto"/>
          <w:sz w:val="24"/>
          <w:szCs w:val="24"/>
          <w:highlight w:val="none"/>
          <w:lang w:val="en-US" w:eastAsia="zh-CN"/>
        </w:rPr>
        <w:t>本项目</w:t>
      </w:r>
      <w:r>
        <w:rPr>
          <w:rFonts w:hint="eastAsia" w:cstheme="minorBidi"/>
          <w:b w:val="0"/>
          <w:bCs w:val="0"/>
          <w:color w:val="auto"/>
          <w:sz w:val="24"/>
          <w:szCs w:val="24"/>
          <w:highlight w:val="none"/>
          <w:lang w:val="en-US" w:eastAsia="zh-CN"/>
        </w:rPr>
        <w:t>A、B两部分</w:t>
      </w:r>
      <w:r>
        <w:rPr>
          <w:rFonts w:hint="eastAsia" w:asciiTheme="minorHAnsi" w:hAnsiTheme="minorHAnsi" w:cstheme="minorBidi"/>
          <w:b w:val="0"/>
          <w:bCs w:val="0"/>
          <w:color w:val="auto"/>
          <w:sz w:val="24"/>
          <w:szCs w:val="24"/>
          <w:highlight w:val="none"/>
          <w:lang w:val="en-US" w:eastAsia="zh-CN"/>
        </w:rPr>
        <w:t>每个学生体检费用采购控制价为60元/人。供应商须报出每个学生体检费用的价格（价格超过控制价的投标视为无效投标，本项目不允许负偏离）</w:t>
      </w:r>
      <w:r>
        <w:rPr>
          <w:rFonts w:hint="eastAsia" w:cstheme="minorBidi"/>
          <w:b w:val="0"/>
          <w:bCs w:val="0"/>
          <w:color w:val="auto"/>
          <w:sz w:val="24"/>
          <w:szCs w:val="24"/>
          <w:highlight w:val="none"/>
          <w:lang w:val="en-US" w:eastAsia="zh-CN"/>
        </w:rPr>
        <w:t>，</w:t>
      </w:r>
      <w:r>
        <w:rPr>
          <w:rFonts w:hint="eastAsia" w:cstheme="minorBidi"/>
          <w:b/>
          <w:bCs/>
          <w:color w:val="auto"/>
          <w:sz w:val="24"/>
          <w:szCs w:val="24"/>
          <w:highlight w:val="none"/>
          <w:lang w:val="en-US" w:eastAsia="zh-CN"/>
        </w:rPr>
        <w:t>供应商</w:t>
      </w:r>
      <w:r>
        <w:rPr>
          <w:rFonts w:ascii="宋体" w:hAnsi="宋体" w:eastAsia="宋体" w:cs="宋体"/>
          <w:b/>
          <w:bCs/>
          <w:color w:val="auto"/>
          <w:sz w:val="24"/>
          <w:szCs w:val="24"/>
        </w:rPr>
        <w:t>须同时对A、B两个部分进行报价</w:t>
      </w:r>
      <w:r>
        <w:rPr>
          <w:rFonts w:hint="eastAsia" w:ascii="宋体" w:hAnsi="宋体" w:eastAsia="宋体" w:cs="宋体"/>
          <w:b/>
          <w:bCs/>
          <w:color w:val="auto"/>
          <w:sz w:val="24"/>
          <w:szCs w:val="24"/>
          <w:lang w:val="en-US" w:eastAsia="zh-CN"/>
        </w:rPr>
        <w:t>并分别提供响应材料（材料里须区分A部分响应材料与B部分响应材料）</w:t>
      </w:r>
      <w:r>
        <w:rPr>
          <w:rFonts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且A、B两部分的报价务必相同，如未对A、B两部分同时报价或A、B两部分报价不相同的</w:t>
      </w:r>
      <w:r>
        <w:rPr>
          <w:rFonts w:ascii="宋体" w:hAnsi="宋体" w:eastAsia="宋体" w:cs="宋体"/>
          <w:b/>
          <w:bCs/>
          <w:color w:val="auto"/>
          <w:sz w:val="24"/>
          <w:szCs w:val="24"/>
        </w:rPr>
        <w:t>，按无效</w:t>
      </w:r>
      <w:r>
        <w:rPr>
          <w:rFonts w:hint="eastAsia" w:ascii="宋体" w:hAnsi="宋体" w:eastAsia="宋体" w:cs="宋体"/>
          <w:b/>
          <w:bCs/>
          <w:color w:val="auto"/>
          <w:sz w:val="24"/>
          <w:szCs w:val="24"/>
          <w:lang w:val="en-US" w:eastAsia="zh-CN"/>
        </w:rPr>
        <w:t>响应</w:t>
      </w:r>
      <w:r>
        <w:rPr>
          <w:rFonts w:ascii="宋体" w:hAnsi="宋体" w:eastAsia="宋体" w:cs="宋体"/>
          <w:b/>
          <w:bCs/>
          <w:color w:val="auto"/>
          <w:sz w:val="24"/>
          <w:szCs w:val="24"/>
        </w:rPr>
        <w:t>处理</w:t>
      </w:r>
      <w:r>
        <w:rPr>
          <w:rFonts w:hint="eastAsia" w:cstheme="minorBidi"/>
          <w:b/>
          <w:bCs/>
          <w:color w:val="auto"/>
          <w:kern w:val="2"/>
          <w:sz w:val="24"/>
          <w:szCs w:val="24"/>
          <w:highlight w:val="none"/>
          <w:lang w:val="en-US" w:eastAsia="zh-CN" w:bidi="ar-SA"/>
        </w:rPr>
        <w:t>。</w:t>
      </w:r>
    </w:p>
    <w:p w14:paraId="735B700D">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w:t>
      </w:r>
      <w:r>
        <w:rPr>
          <w:rFonts w:hint="eastAsia" w:cstheme="minorBidi"/>
          <w:b w:val="0"/>
          <w:bCs w:val="0"/>
          <w:color w:val="auto"/>
          <w:sz w:val="24"/>
          <w:szCs w:val="24"/>
          <w:highlight w:val="none"/>
          <w:lang w:val="en-US" w:eastAsia="zh-CN"/>
        </w:rPr>
        <w:t>A、B两部分</w:t>
      </w:r>
      <w:r>
        <w:rPr>
          <w:rFonts w:hint="eastAsia"/>
          <w:color w:val="auto"/>
          <w:sz w:val="24"/>
          <w:szCs w:val="24"/>
          <w:highlight w:val="none"/>
          <w:lang w:val="en-US" w:eastAsia="zh-CN"/>
        </w:rPr>
        <w:t>报价要求：</w:t>
      </w:r>
    </w:p>
    <w:p w14:paraId="1E123E70">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1）本次报价为按要求完成服务的全部价格，包含体检、化验、材料（如设备、体检表格、消耗性材料等）、医疗垃圾管理及处置、体检结果分析、与本项目服务业务有关一切费用和政策性文件规定及合同包含的所有风险、责任等全部费用，采购人不再支付其它费用。</w:t>
      </w:r>
    </w:p>
    <w:p w14:paraId="703B3C91">
      <w:pPr>
        <w:keepNext w:val="0"/>
        <w:keepLines w:val="0"/>
        <w:pageBreakBefore w:val="0"/>
        <w:widowControl w:val="0"/>
        <w:kinsoku/>
        <w:wordWrap/>
        <w:overflowPunct/>
        <w:topLinePunct w:val="0"/>
        <w:autoSpaceDE/>
        <w:autoSpaceDN/>
        <w:bidi w:val="0"/>
        <w:adjustRightInd/>
        <w:snapToGrid/>
        <w:spacing w:line="360" w:lineRule="auto"/>
        <w:ind w:firstLineChars="200"/>
        <w:jc w:val="both"/>
        <w:textAlignment w:val="auto"/>
        <w:rPr>
          <w:rFonts w:hint="default" w:asciiTheme="minorHAnsi" w:hAnsiTheme="minorHAnsi" w:cstheme="minorBidi"/>
          <w:b w:val="0"/>
          <w:bCs w:val="0"/>
          <w:color w:val="auto"/>
          <w:sz w:val="24"/>
          <w:szCs w:val="24"/>
          <w:highlight w:val="none"/>
          <w:lang w:val="en-US" w:eastAsia="zh-CN"/>
        </w:rPr>
      </w:pPr>
      <w:r>
        <w:rPr>
          <w:rFonts w:hint="eastAsia"/>
          <w:color w:val="auto"/>
          <w:sz w:val="24"/>
          <w:szCs w:val="24"/>
          <w:highlight w:val="none"/>
          <w:lang w:val="en-US" w:eastAsia="zh-CN"/>
        </w:rPr>
        <w:t>（2）本次报价按单价包干的形式，结算</w:t>
      </w:r>
      <w:r>
        <w:rPr>
          <w:rFonts w:hint="eastAsia" w:asciiTheme="minorHAnsi" w:hAnsiTheme="minorHAnsi" w:cstheme="minorBidi"/>
          <w:b w:val="0"/>
          <w:bCs w:val="0"/>
          <w:color w:val="auto"/>
          <w:sz w:val="24"/>
          <w:szCs w:val="24"/>
          <w:highlight w:val="none"/>
          <w:lang w:val="en-US" w:eastAsia="zh-CN"/>
        </w:rPr>
        <w:t>本项目实际支出总费用=每个学生体检费用的成交价格×实际参与体检的学生人数。</w:t>
      </w:r>
    </w:p>
    <w:p w14:paraId="1C13170E">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（3）本项目所列人数均为暂估数量，作为竞标人报价的共同基础，最终体检人数有浮动的可能， 请竞标人自行考虑相关风险后报价，合同服务期内单价不予调整。</w:t>
      </w:r>
    </w:p>
    <w:p w14:paraId="32F2E595">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w:t>
      </w:r>
      <w:r>
        <w:rPr>
          <w:rFonts w:hint="eastAsia" w:cstheme="minorBidi"/>
          <w:b w:val="0"/>
          <w:bCs w:val="0"/>
          <w:color w:val="auto"/>
          <w:sz w:val="24"/>
          <w:szCs w:val="24"/>
          <w:highlight w:val="none"/>
          <w:lang w:val="en-US" w:eastAsia="zh-CN"/>
        </w:rPr>
        <w:t>A、B两部分</w:t>
      </w:r>
      <w:r>
        <w:rPr>
          <w:rFonts w:hint="eastAsia"/>
          <w:color w:val="auto"/>
          <w:sz w:val="24"/>
          <w:szCs w:val="24"/>
          <w:highlight w:val="none"/>
          <w:lang w:val="en-US" w:eastAsia="zh-CN"/>
        </w:rPr>
        <w:t>付款方式：本项目无预付款，按实际体检人数，在体检结束并将采购文件要求的全部资料提交给采购人后以转账方式支付；付款前成交供应商必须按照合同要求提供真实、有效、合法的正式发票，并经采购人检查票据合格。供应商未提供发票的，采购人的付款义务顺延，且不承担迟延履行的相关责任。</w:t>
      </w:r>
    </w:p>
    <w:p w14:paraId="6665DF5B">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四、报价人资质要求</w:t>
      </w:r>
    </w:p>
    <w:p w14:paraId="3C3171F6">
      <w:pPr>
        <w:pStyle w:val="2"/>
        <w:rPr>
          <w:rFonts w:hint="default"/>
          <w:color w:val="auto"/>
          <w:lang w:val="en-US" w:eastAsia="zh-CN"/>
        </w:rPr>
      </w:pPr>
      <w:r>
        <w:rPr>
          <w:rFonts w:hint="eastAsia"/>
          <w:b/>
          <w:bCs/>
          <w:color w:val="auto"/>
          <w:sz w:val="24"/>
          <w:szCs w:val="24"/>
          <w:highlight w:val="none"/>
          <w:lang w:val="en-US" w:eastAsia="zh-CN"/>
        </w:rPr>
        <w:t xml:space="preserve">     A、B两部分资质要求：</w:t>
      </w:r>
    </w:p>
    <w:p w14:paraId="30B74844">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（一）供应商必须具有独立法人资格及医疗机构执业许可证，是南宁市范围内公立性质的具备健康体检资质的医疗卫生机构。投标时提供营业执照及相关资质证明文件复印件。</w:t>
      </w:r>
    </w:p>
    <w:p w14:paraId="325C10E1">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（二）供应商须提供自2020年1月1日以来的至少一个类似业绩证明材料复印件，以合同复印件或中标（成交）通知书为准。类似业绩指体检服务项目。</w:t>
      </w:r>
    </w:p>
    <w:p w14:paraId="3BB0F4B9">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（三）根据第二大点第（二）点服务要求提供相关证明材料。</w:t>
      </w:r>
    </w:p>
    <w:p w14:paraId="4AE2706F">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四）未被列入失信被执行人名单、重大税收违法案件当事人名单、政府采购严重违法失信行为记录名单，信用信息以最新的信用中国网站和中国政府采购网公布为准，请提供最新的信用中国网站和中国政府采购网的截图证明信息。</w:t>
      </w:r>
    </w:p>
    <w:p w14:paraId="5CF52D4A">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信用中国”网站查询方法：投标人在本项目投标截止时间前10日内,进入投标人基本信息页面，点击“下载信用报告”后点击“下载”。“中国政府采购网”的查询方法：点击“政府采购严重违法失信行为记录名单”进行查询。截止时间为本项目投标截止时间前10日至投标截止时间中任意一天。采购人将对供应商信用记录进行甄别，对列入失信被执行人、重大税收违法案件当事人名单、政府采购严重违法失信行为记录名单及其他不符合《中华人民共和国政府采购法》第二十二条规定条件的供应商，将拒绝其参与采购活动。</w:t>
      </w:r>
    </w:p>
    <w:p w14:paraId="71EA4725">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cstheme="minorBidi"/>
          <w:b w:val="0"/>
          <w:bCs w:val="0"/>
          <w:color w:val="auto"/>
          <w:kern w:val="2"/>
          <w:sz w:val="24"/>
          <w:szCs w:val="24"/>
          <w:highlight w:val="none"/>
          <w:lang w:val="en-US" w:eastAsia="zh-CN" w:bidi="ar-SA"/>
        </w:rPr>
      </w:pPr>
      <w:r>
        <w:rPr>
          <w:rFonts w:hint="eastAsia" w:cstheme="minorBidi"/>
          <w:b w:val="0"/>
          <w:bCs w:val="0"/>
          <w:color w:val="auto"/>
          <w:kern w:val="2"/>
          <w:sz w:val="24"/>
          <w:szCs w:val="24"/>
          <w:highlight w:val="none"/>
          <w:lang w:val="en-US" w:eastAsia="zh-CN" w:bidi="ar-SA"/>
        </w:rPr>
        <w:t>（五）单位负责人为同一人或者存在直接控股、管理关系的不同供应商，不得参加同一合同项下的采购活动。本项目不接受联合体。（投标时提供附件投标人直接控股、管理关系表）</w:t>
      </w:r>
    </w:p>
    <w:p w14:paraId="1097385D">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eastAsia" w:cstheme="minorBidi"/>
          <w:b/>
          <w:bCs/>
          <w:color w:val="auto"/>
          <w:kern w:val="2"/>
          <w:sz w:val="24"/>
          <w:szCs w:val="24"/>
          <w:highlight w:val="none"/>
          <w:lang w:val="en-US" w:eastAsia="zh-CN" w:bidi="ar-SA"/>
        </w:rPr>
      </w:pPr>
      <w:r>
        <w:rPr>
          <w:rFonts w:hint="eastAsia" w:cstheme="minorBidi"/>
          <w:b/>
          <w:bCs/>
          <w:color w:val="auto"/>
          <w:kern w:val="2"/>
          <w:sz w:val="24"/>
          <w:szCs w:val="24"/>
          <w:highlight w:val="none"/>
          <w:lang w:val="en-US" w:eastAsia="zh-CN" w:bidi="ar-SA"/>
        </w:rPr>
        <w:t>五、报价要求</w:t>
      </w:r>
    </w:p>
    <w:p w14:paraId="5C685937">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cstheme="minorBidi"/>
          <w:b/>
          <w:bCs/>
          <w:color w:val="auto"/>
          <w:kern w:val="2"/>
          <w:sz w:val="24"/>
          <w:szCs w:val="24"/>
          <w:highlight w:val="none"/>
          <w:lang w:val="en-US" w:eastAsia="zh-CN" w:bidi="ar-SA"/>
        </w:rPr>
      </w:pPr>
      <w:r>
        <w:rPr>
          <w:rFonts w:hint="eastAsia" w:cstheme="minorBidi"/>
          <w:b/>
          <w:bCs/>
          <w:color w:val="auto"/>
          <w:kern w:val="2"/>
          <w:sz w:val="24"/>
          <w:szCs w:val="24"/>
          <w:highlight w:val="none"/>
          <w:lang w:val="en-US" w:eastAsia="zh-CN" w:bidi="ar-SA"/>
        </w:rPr>
        <w:t>A、B两部分的报价要求：</w:t>
      </w:r>
    </w:p>
    <w:p w14:paraId="16666AB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（一）提供法人授权委托书（格式自拟）、有效的营业执照复印件（加盖单位公章）、被授权人身份证（复印件）及按第</w:t>
      </w:r>
      <w:r>
        <w:rPr>
          <w:rFonts w:hint="eastAsia" w:cstheme="minorBidi"/>
          <w:color w:val="auto"/>
          <w:kern w:val="2"/>
          <w:sz w:val="24"/>
          <w:szCs w:val="24"/>
          <w:highlight w:val="none"/>
          <w:lang w:val="en-US" w:eastAsia="zh-CN" w:bidi="ar-SA"/>
        </w:rPr>
        <w:t>四</w:t>
      </w:r>
      <w:r>
        <w:rPr>
          <w:rFonts w:hint="eastAsia" w:asciiTheme="minorHAnsi" w:hAnsiTheme="minorHAnsi" w:eastAsiaTheme="minorEastAsia" w:cstheme="minorBidi"/>
          <w:color w:val="auto"/>
          <w:kern w:val="2"/>
          <w:sz w:val="24"/>
          <w:szCs w:val="24"/>
          <w:highlight w:val="none"/>
          <w:lang w:val="en-US" w:eastAsia="zh-CN" w:bidi="ar-SA"/>
        </w:rPr>
        <w:t>大点资格要求列明的证明材料。</w:t>
      </w:r>
    </w:p>
    <w:p w14:paraId="288FBA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（二）报价函（格式自拟，</w:t>
      </w:r>
      <w:r>
        <w:rPr>
          <w:rFonts w:hint="eastAsia" w:asciiTheme="minorHAnsi" w:hAnsiTheme="minorHAnsi" w:cstheme="minorBidi"/>
          <w:b w:val="0"/>
          <w:bCs w:val="0"/>
          <w:color w:val="auto"/>
          <w:sz w:val="24"/>
          <w:szCs w:val="24"/>
          <w:highlight w:val="none"/>
          <w:lang w:val="en-US" w:eastAsia="zh-CN"/>
        </w:rPr>
        <w:t>供应商须报出每个学生体检</w:t>
      </w:r>
      <w:r>
        <w:rPr>
          <w:rFonts w:hint="eastAsia" w:cstheme="minorBidi"/>
          <w:b w:val="0"/>
          <w:bCs w:val="0"/>
          <w:color w:val="auto"/>
          <w:sz w:val="24"/>
          <w:szCs w:val="24"/>
          <w:highlight w:val="none"/>
          <w:lang w:val="en-US" w:eastAsia="zh-CN"/>
        </w:rPr>
        <w:t>费用</w:t>
      </w:r>
      <w:r>
        <w:rPr>
          <w:rFonts w:hint="eastAsia" w:asciiTheme="minorHAnsi" w:hAnsiTheme="minorHAnsi" w:cstheme="minorBidi"/>
          <w:b w:val="0"/>
          <w:bCs w:val="0"/>
          <w:color w:val="auto"/>
          <w:sz w:val="24"/>
          <w:szCs w:val="24"/>
          <w:highlight w:val="none"/>
          <w:lang w:val="en-US" w:eastAsia="zh-CN"/>
        </w:rPr>
        <w:t>的价格</w:t>
      </w:r>
      <w:r>
        <w:rPr>
          <w:rFonts w:hint="eastAsia" w:asciiTheme="minorHAnsi" w:hAnsiTheme="minorHAnsi" w:eastAsiaTheme="minorEastAsia" w:cstheme="minorBidi"/>
          <w:color w:val="auto"/>
          <w:kern w:val="2"/>
          <w:sz w:val="24"/>
          <w:szCs w:val="24"/>
          <w:highlight w:val="none"/>
          <w:lang w:val="en-US" w:eastAsia="zh-CN" w:bidi="ar-SA"/>
        </w:rPr>
        <w:t>）。</w:t>
      </w:r>
    </w:p>
    <w:p w14:paraId="71AB445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（三）关于本项目的</w:t>
      </w:r>
      <w:r>
        <w:rPr>
          <w:rFonts w:hint="eastAsia" w:asciiTheme="minorHAnsi" w:hAnsiTheme="minorHAnsi" w:eastAsiaTheme="minorEastAsia" w:cstheme="minorBidi"/>
          <w:b/>
          <w:bCs/>
          <w:color w:val="auto"/>
          <w:kern w:val="2"/>
          <w:sz w:val="24"/>
          <w:szCs w:val="24"/>
          <w:highlight w:val="none"/>
          <w:lang w:val="en-US" w:eastAsia="zh-CN" w:bidi="ar-SA"/>
        </w:rPr>
        <w:t>服务需求响应偏离表</w:t>
      </w:r>
      <w:r>
        <w:rPr>
          <w:rFonts w:hint="eastAsia" w:asciiTheme="minorHAnsi" w:hAnsiTheme="minorHAnsi" w:eastAsiaTheme="minorEastAsia" w:cstheme="minorBidi"/>
          <w:color w:val="auto"/>
          <w:kern w:val="2"/>
          <w:sz w:val="24"/>
          <w:szCs w:val="24"/>
          <w:highlight w:val="none"/>
          <w:lang w:val="en-US" w:eastAsia="zh-CN" w:bidi="ar-SA"/>
        </w:rPr>
        <w:t>（</w:t>
      </w:r>
      <w:r>
        <w:rPr>
          <w:rFonts w:hint="eastAsia" w:cstheme="minorBidi"/>
          <w:b/>
          <w:bCs/>
          <w:color w:val="auto"/>
          <w:kern w:val="2"/>
          <w:sz w:val="24"/>
          <w:szCs w:val="24"/>
          <w:highlight w:val="none"/>
          <w:lang w:val="en-US" w:eastAsia="zh-CN" w:bidi="ar-SA"/>
        </w:rPr>
        <w:t>必须提供，</w:t>
      </w:r>
      <w:r>
        <w:rPr>
          <w:rFonts w:hint="eastAsia" w:asciiTheme="minorHAnsi" w:hAnsiTheme="minorHAnsi" w:eastAsiaTheme="minorEastAsia" w:cstheme="minorBidi"/>
          <w:b/>
          <w:bCs/>
          <w:color w:val="auto"/>
          <w:kern w:val="2"/>
          <w:sz w:val="24"/>
          <w:szCs w:val="24"/>
          <w:highlight w:val="none"/>
          <w:lang w:val="en-US" w:eastAsia="zh-CN" w:bidi="ar-SA"/>
        </w:rPr>
        <w:t>需与本项目服务需求逐项比对，写明偏离情况</w:t>
      </w:r>
      <w:r>
        <w:rPr>
          <w:rFonts w:hint="eastAsia" w:asciiTheme="minorHAnsi" w:hAnsiTheme="minorHAnsi" w:eastAsiaTheme="minorEastAsia" w:cstheme="minorBidi"/>
          <w:color w:val="auto"/>
          <w:kern w:val="2"/>
          <w:sz w:val="24"/>
          <w:szCs w:val="24"/>
          <w:highlight w:val="none"/>
          <w:lang w:val="en-US" w:eastAsia="zh-CN" w:bidi="ar-SA"/>
        </w:rPr>
        <w:t>）</w:t>
      </w:r>
      <w:r>
        <w:rPr>
          <w:rFonts w:hint="eastAsia" w:cstheme="minorBidi"/>
          <w:color w:val="auto"/>
          <w:kern w:val="2"/>
          <w:sz w:val="24"/>
          <w:szCs w:val="24"/>
          <w:highlight w:val="none"/>
          <w:lang w:val="en-US" w:eastAsia="zh-CN" w:bidi="ar-SA"/>
        </w:rPr>
        <w:t>、</w:t>
      </w:r>
      <w:r>
        <w:rPr>
          <w:rFonts w:hint="eastAsia" w:asciiTheme="minorHAnsi" w:hAnsiTheme="minorHAnsi" w:eastAsiaTheme="minorEastAsia" w:cstheme="minorBidi"/>
          <w:color w:val="auto"/>
          <w:kern w:val="2"/>
          <w:sz w:val="24"/>
          <w:szCs w:val="24"/>
          <w:highlight w:val="none"/>
          <w:lang w:val="en-US" w:eastAsia="zh-CN" w:bidi="ar-SA"/>
        </w:rPr>
        <w:t>服务方案与服务承诺（格式自拟）。</w:t>
      </w:r>
    </w:p>
    <w:p w14:paraId="0991B3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default" w:asciiTheme="minorHAnsi" w:hAnsiTheme="minorHAnsi" w:eastAsiaTheme="minorEastAsia"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（四）根据评审标准提供的相关证明材料。</w:t>
      </w:r>
    </w:p>
    <w:p w14:paraId="7BEED5A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default" w:cstheme="minorBidi"/>
          <w:color w:val="auto"/>
          <w:kern w:val="2"/>
          <w:sz w:val="24"/>
          <w:szCs w:val="24"/>
          <w:highlight w:val="none"/>
          <w:lang w:val="en-US" w:eastAsia="zh-CN" w:bidi="ar-SA"/>
        </w:rPr>
      </w:pPr>
      <w:r>
        <w:rPr>
          <w:rFonts w:hint="eastAsia" w:asciiTheme="minorHAnsi" w:hAnsiTheme="minorHAnsi" w:eastAsiaTheme="minorEastAsia" w:cstheme="minorBidi"/>
          <w:color w:val="auto"/>
          <w:kern w:val="2"/>
          <w:sz w:val="24"/>
          <w:szCs w:val="24"/>
          <w:highlight w:val="none"/>
          <w:lang w:val="en-US" w:eastAsia="zh-CN" w:bidi="ar-SA"/>
        </w:rPr>
        <w:t>注：</w:t>
      </w:r>
      <w:r>
        <w:rPr>
          <w:rFonts w:hint="eastAsia" w:cstheme="minorBidi"/>
          <w:b/>
          <w:bCs/>
          <w:color w:val="auto"/>
          <w:sz w:val="24"/>
          <w:szCs w:val="24"/>
          <w:highlight w:val="none"/>
          <w:lang w:val="en-US" w:eastAsia="zh-CN"/>
        </w:rPr>
        <w:t>供应商</w:t>
      </w:r>
      <w:r>
        <w:rPr>
          <w:rFonts w:ascii="宋体" w:hAnsi="宋体" w:eastAsia="宋体" w:cs="宋体"/>
          <w:b/>
          <w:bCs/>
          <w:color w:val="auto"/>
          <w:sz w:val="24"/>
          <w:szCs w:val="24"/>
        </w:rPr>
        <w:t>须同时对A、B两个部分进行报价</w:t>
      </w:r>
      <w:r>
        <w:rPr>
          <w:rFonts w:hint="eastAsia" w:ascii="宋体" w:hAnsi="宋体" w:eastAsia="宋体" w:cs="宋体"/>
          <w:b/>
          <w:bCs/>
          <w:color w:val="auto"/>
          <w:sz w:val="24"/>
          <w:szCs w:val="24"/>
          <w:lang w:val="en-US" w:eastAsia="zh-CN"/>
        </w:rPr>
        <w:t>并分别提供响应材料（材料里须区分A部分响应材料与B部分响应材料），</w:t>
      </w:r>
      <w:r>
        <w:rPr>
          <w:rFonts w:hint="eastAsia" w:asciiTheme="minorHAnsi" w:hAnsiTheme="minorHAnsi" w:eastAsiaTheme="minorEastAsia" w:cstheme="minorBidi"/>
          <w:color w:val="auto"/>
          <w:kern w:val="2"/>
          <w:sz w:val="24"/>
          <w:szCs w:val="24"/>
          <w:highlight w:val="none"/>
          <w:lang w:val="en-US" w:eastAsia="zh-CN" w:bidi="ar-SA"/>
        </w:rPr>
        <w:t>所有</w:t>
      </w:r>
      <w:r>
        <w:rPr>
          <w:rFonts w:hint="eastAsia" w:cstheme="minorBidi"/>
          <w:color w:val="auto"/>
          <w:kern w:val="2"/>
          <w:sz w:val="24"/>
          <w:szCs w:val="24"/>
          <w:highlight w:val="none"/>
          <w:lang w:val="en-US" w:eastAsia="zh-CN" w:bidi="ar-SA"/>
        </w:rPr>
        <w:t>报价</w:t>
      </w:r>
      <w:r>
        <w:rPr>
          <w:rFonts w:hint="eastAsia" w:asciiTheme="minorHAnsi" w:hAnsiTheme="minorHAnsi" w:eastAsiaTheme="minorEastAsia" w:cstheme="minorBidi"/>
          <w:color w:val="auto"/>
          <w:kern w:val="2"/>
          <w:sz w:val="24"/>
          <w:szCs w:val="24"/>
          <w:highlight w:val="none"/>
          <w:lang w:val="en-US" w:eastAsia="zh-CN" w:bidi="ar-SA"/>
        </w:rPr>
        <w:t>材料必须一正一副，且须加盖公章后密封提供。</w:t>
      </w:r>
    </w:p>
    <w:p w14:paraId="499EB74D">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eastAsia"/>
          <w:color w:val="auto"/>
          <w:sz w:val="24"/>
          <w:szCs w:val="24"/>
          <w:highlight w:val="none"/>
          <w:lang w:val="en-US" w:eastAsia="zh-CN"/>
        </w:rPr>
      </w:pPr>
      <w:r>
        <w:rPr>
          <w:rFonts w:hint="eastAsia"/>
          <w:b/>
          <w:bCs/>
          <w:color w:val="auto"/>
          <w:sz w:val="24"/>
          <w:szCs w:val="24"/>
          <w:highlight w:val="none"/>
          <w:lang w:val="en-US" w:eastAsia="zh-CN"/>
        </w:rPr>
        <w:t>六、成交方式</w:t>
      </w:r>
      <w:r>
        <w:rPr>
          <w:rFonts w:hint="eastAsia"/>
          <w:color w:val="auto"/>
          <w:sz w:val="24"/>
          <w:szCs w:val="24"/>
          <w:highlight w:val="none"/>
          <w:lang w:val="en-US" w:eastAsia="zh-CN"/>
        </w:rPr>
        <w:t>：</w:t>
      </w:r>
    </w:p>
    <w:p w14:paraId="25B9F353">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default"/>
          <w:color w:val="auto"/>
          <w:highlight w:val="none"/>
          <w:lang w:val="en-US" w:eastAsia="zh-CN"/>
        </w:rPr>
      </w:pPr>
      <w:r>
        <w:rPr>
          <w:rFonts w:hint="eastAsia"/>
          <w:b/>
          <w:bCs/>
          <w:color w:val="auto"/>
          <w:sz w:val="24"/>
          <w:szCs w:val="24"/>
          <w:highlight w:val="none"/>
          <w:lang w:val="en-US" w:eastAsia="zh-CN"/>
        </w:rPr>
        <w:t xml:space="preserve"> A、B两部分成交方式均为</w:t>
      </w:r>
      <w:r>
        <w:rPr>
          <w:rFonts w:hint="eastAsia"/>
          <w:color w:val="auto"/>
          <w:sz w:val="24"/>
          <w:szCs w:val="24"/>
          <w:highlight w:val="none"/>
          <w:lang w:val="en-US" w:eastAsia="zh-CN"/>
        </w:rPr>
        <w:t>综合评分法。详见附件评审标准。</w:t>
      </w:r>
    </w:p>
    <w:p w14:paraId="68FEA8C1">
      <w:pPr>
        <w:keepNext w:val="0"/>
        <w:keepLines w:val="0"/>
        <w:pageBreakBefore w:val="0"/>
        <w:widowControl w:val="0"/>
        <w:numPr>
          <w:ilvl w:val="-1"/>
          <w:numId w:val="0"/>
        </w:numPr>
        <w:kinsoku/>
        <w:wordWrap/>
        <w:overflowPunct/>
        <w:topLinePunct w:val="0"/>
        <w:bidi w:val="0"/>
        <w:adjustRightInd/>
        <w:snapToGrid/>
        <w:spacing w:line="360" w:lineRule="auto"/>
        <w:ind w:left="420" w:leftChars="0" w:firstLine="0" w:firstLineChars="0"/>
        <w:textAlignment w:val="auto"/>
        <w:rPr>
          <w:rFonts w:hint="default"/>
          <w:b/>
          <w:bCs/>
          <w:color w:val="auto"/>
          <w:sz w:val="24"/>
          <w:szCs w:val="24"/>
          <w:highlight w:val="none"/>
          <w:lang w:val="en-US" w:eastAsia="zh-CN"/>
        </w:rPr>
      </w:pPr>
      <w:r>
        <w:rPr>
          <w:rFonts w:hint="eastAsia"/>
          <w:b/>
          <w:bCs/>
          <w:color w:val="auto"/>
          <w:sz w:val="24"/>
          <w:szCs w:val="24"/>
          <w:highlight w:val="none"/>
          <w:lang w:val="en-US" w:eastAsia="zh-CN"/>
        </w:rPr>
        <w:t>七、报价</w:t>
      </w:r>
      <w:r>
        <w:rPr>
          <w:rFonts w:hint="default"/>
          <w:b/>
          <w:bCs/>
          <w:color w:val="auto"/>
          <w:sz w:val="24"/>
          <w:szCs w:val="24"/>
          <w:highlight w:val="none"/>
          <w:lang w:val="en-US" w:eastAsia="zh-CN"/>
        </w:rPr>
        <w:t>截止时间和地点</w:t>
      </w:r>
    </w:p>
    <w:p w14:paraId="189E30DB">
      <w:pPr>
        <w:keepNext w:val="0"/>
        <w:keepLines w:val="0"/>
        <w:pageBreakBefore w:val="0"/>
        <w:widowControl w:val="0"/>
        <w:numPr>
          <w:ilvl w:val="0"/>
          <w:numId w:val="0"/>
        </w:numPr>
        <w:kinsoku/>
        <w:wordWrap/>
        <w:overflowPunct/>
        <w:topLinePunct w:val="0"/>
        <w:bidi w:val="0"/>
        <w:adjustRightInd/>
        <w:snapToGrid/>
        <w:spacing w:line="360" w:lineRule="auto"/>
        <w:ind w:left="42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提交响应文件</w:t>
      </w:r>
      <w:r>
        <w:rPr>
          <w:rFonts w:hint="default"/>
          <w:color w:val="auto"/>
          <w:sz w:val="24"/>
          <w:szCs w:val="24"/>
          <w:highlight w:val="none"/>
          <w:lang w:val="en-US" w:eastAsia="zh-CN"/>
        </w:rPr>
        <w:t>时间：凡愿意且符合条件</w:t>
      </w:r>
      <w:r>
        <w:rPr>
          <w:rFonts w:hint="eastAsia"/>
          <w:color w:val="auto"/>
          <w:sz w:val="24"/>
          <w:szCs w:val="24"/>
          <w:highlight w:val="none"/>
          <w:lang w:val="en-US" w:eastAsia="zh-CN"/>
        </w:rPr>
        <w:t>报价</w:t>
      </w:r>
      <w:r>
        <w:rPr>
          <w:rFonts w:hint="default"/>
          <w:color w:val="auto"/>
          <w:sz w:val="24"/>
          <w:szCs w:val="24"/>
          <w:highlight w:val="none"/>
          <w:lang w:val="en-US" w:eastAsia="zh-CN"/>
        </w:rPr>
        <w:t>人，请于202</w:t>
      </w:r>
      <w:r>
        <w:rPr>
          <w:rFonts w:hint="eastAsia"/>
          <w:color w:val="auto"/>
          <w:sz w:val="24"/>
          <w:szCs w:val="24"/>
          <w:highlight w:val="none"/>
          <w:lang w:val="en-US" w:eastAsia="zh-CN"/>
        </w:rPr>
        <w:t>6</w:t>
      </w:r>
      <w:r>
        <w:rPr>
          <w:rFonts w:hint="default"/>
          <w:color w:val="auto"/>
          <w:sz w:val="24"/>
          <w:szCs w:val="24"/>
          <w:highlight w:val="none"/>
          <w:lang w:val="en-US" w:eastAsia="zh-CN"/>
        </w:rPr>
        <w:t>年</w:t>
      </w:r>
      <w:r>
        <w:rPr>
          <w:rFonts w:hint="eastAsia"/>
          <w:color w:val="auto"/>
          <w:sz w:val="24"/>
          <w:szCs w:val="24"/>
          <w:highlight w:val="none"/>
          <w:lang w:val="en-US" w:eastAsia="zh-CN"/>
        </w:rPr>
        <w:t>7</w:t>
      </w:r>
      <w:r>
        <w:rPr>
          <w:rFonts w:hint="default"/>
          <w:color w:val="auto"/>
          <w:sz w:val="24"/>
          <w:szCs w:val="24"/>
          <w:highlight w:val="none"/>
          <w:lang w:val="en-US" w:eastAsia="zh-CN"/>
        </w:rPr>
        <w:t>月</w:t>
      </w:r>
      <w:r>
        <w:rPr>
          <w:rFonts w:hint="eastAsia"/>
          <w:color w:val="auto"/>
          <w:sz w:val="24"/>
          <w:szCs w:val="24"/>
          <w:highlight w:val="none"/>
          <w:lang w:val="en-US" w:eastAsia="zh-CN"/>
        </w:rPr>
        <w:t>9</w:t>
      </w:r>
      <w:bookmarkStart w:id="1" w:name="_GoBack"/>
      <w:bookmarkEnd w:id="1"/>
      <w:r>
        <w:rPr>
          <w:rFonts w:hint="default"/>
          <w:color w:val="auto"/>
          <w:sz w:val="24"/>
          <w:szCs w:val="24"/>
          <w:highlight w:val="none"/>
          <w:lang w:val="en-US" w:eastAsia="zh-CN"/>
        </w:rPr>
        <w:t>日上午9点至11点</w:t>
      </w:r>
    </w:p>
    <w:p w14:paraId="5EBF9179">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default"/>
          <w:color w:val="auto"/>
          <w:sz w:val="24"/>
          <w:szCs w:val="24"/>
          <w:highlight w:val="none"/>
          <w:lang w:val="en-US" w:eastAsia="zh-CN"/>
        </w:rPr>
      </w:pPr>
      <w:r>
        <w:rPr>
          <w:rFonts w:hint="default"/>
          <w:color w:val="auto"/>
          <w:sz w:val="24"/>
          <w:szCs w:val="24"/>
          <w:highlight w:val="none"/>
          <w:lang w:val="en-US" w:eastAsia="zh-CN"/>
        </w:rPr>
        <w:t>之间，将</w:t>
      </w:r>
      <w:r>
        <w:rPr>
          <w:rFonts w:hint="eastAsia"/>
          <w:color w:val="auto"/>
          <w:sz w:val="24"/>
          <w:szCs w:val="24"/>
          <w:highlight w:val="none"/>
          <w:lang w:val="en-US" w:eastAsia="zh-CN"/>
        </w:rPr>
        <w:t>报价</w:t>
      </w:r>
      <w:r>
        <w:rPr>
          <w:rFonts w:hint="default"/>
          <w:color w:val="auto"/>
          <w:sz w:val="24"/>
          <w:szCs w:val="24"/>
          <w:highlight w:val="none"/>
          <w:lang w:val="en-US" w:eastAsia="zh-CN"/>
        </w:rPr>
        <w:t>文件送达广西艺术学院财务资产处，其他时间不接收报名材料。</w:t>
      </w:r>
      <w:r>
        <w:rPr>
          <w:rFonts w:hint="eastAsia"/>
          <w:color w:val="auto"/>
          <w:sz w:val="24"/>
          <w:szCs w:val="24"/>
          <w:highlight w:val="none"/>
          <w:lang w:val="en-US" w:eastAsia="zh-CN"/>
        </w:rPr>
        <w:t>提交响应文件</w:t>
      </w:r>
      <w:r>
        <w:rPr>
          <w:rFonts w:hint="default"/>
          <w:color w:val="auto"/>
          <w:sz w:val="24"/>
          <w:szCs w:val="24"/>
          <w:highlight w:val="none"/>
          <w:lang w:val="en-US" w:eastAsia="zh-CN"/>
        </w:rPr>
        <w:t>地点：南宁市青秀区教育路7号广西艺术学院雕塑办公楼107室财务资产处采购管理科。联系人：李老师，</w:t>
      </w:r>
      <w:r>
        <w:rPr>
          <w:rFonts w:hint="eastAsia"/>
          <w:color w:val="auto"/>
          <w:sz w:val="24"/>
          <w:szCs w:val="24"/>
          <w:highlight w:val="none"/>
          <w:lang w:val="en-US" w:eastAsia="zh-CN"/>
        </w:rPr>
        <w:t>朱老师，</w:t>
      </w:r>
      <w:r>
        <w:rPr>
          <w:rFonts w:hint="default"/>
          <w:color w:val="auto"/>
          <w:sz w:val="24"/>
          <w:szCs w:val="24"/>
          <w:highlight w:val="none"/>
          <w:lang w:val="en-US" w:eastAsia="zh-CN"/>
        </w:rPr>
        <w:t>高老师，联系电话：07715327987.</w:t>
      </w:r>
    </w:p>
    <w:p w14:paraId="1ED27821">
      <w:pPr>
        <w:keepNext w:val="0"/>
        <w:keepLines w:val="0"/>
        <w:pageBreakBefore w:val="0"/>
        <w:widowControl w:val="0"/>
        <w:numPr>
          <w:ilvl w:val="-1"/>
          <w:numId w:val="0"/>
        </w:numPr>
        <w:kinsoku/>
        <w:wordWrap/>
        <w:overflowPunct/>
        <w:topLinePunct w:val="0"/>
        <w:bidi w:val="0"/>
        <w:adjustRightInd/>
        <w:snapToGrid/>
        <w:spacing w:line="360" w:lineRule="auto"/>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八、</w:t>
      </w:r>
      <w:r>
        <w:rPr>
          <w:rFonts w:hint="default"/>
          <w:color w:val="auto"/>
          <w:sz w:val="24"/>
          <w:szCs w:val="24"/>
          <w:highlight w:val="none"/>
          <w:lang w:val="en-US" w:eastAsia="zh-CN"/>
        </w:rPr>
        <w:t>本次采购的相关信息（包括但不限于采购公告与附件及其修改、补充、澄清等，下同）在广西艺术学院主页的“机构设置-财务资产处-招标公告”栏（网址：https://cwc.gxau.edu.cn/zbgg2）上发布，本次采购的相关信息一经在上述网站发布，即视为已发送给投标人。投标人据此参与本次采购活动，即视为对本次采购的相关信息、内容及规则没有异议。</w:t>
      </w:r>
    </w:p>
    <w:p w14:paraId="355762D1">
      <w:pPr>
        <w:pStyle w:val="3"/>
        <w:jc w:val="both"/>
        <w:rPr>
          <w:rFonts w:hint="eastAsia" w:asciiTheme="minorHAnsi" w:hAnsiTheme="minorHAnsi" w:eastAsiaTheme="minorEastAsia" w:cstheme="minorBidi"/>
          <w:color w:val="auto"/>
          <w:kern w:val="2"/>
          <w:sz w:val="24"/>
          <w:szCs w:val="24"/>
          <w:highlight w:val="none"/>
          <w:lang w:val="en-US" w:eastAsia="zh-CN" w:bidi="ar-SA"/>
        </w:rPr>
      </w:pPr>
    </w:p>
    <w:p w14:paraId="3CDE0939">
      <w:pPr>
        <w:spacing w:before="86" w:line="188" w:lineRule="auto"/>
        <w:jc w:val="both"/>
        <w:rPr>
          <w:rFonts w:hint="eastAsia" w:ascii="微软雅黑" w:hAnsi="微软雅黑" w:eastAsia="微软雅黑" w:cs="微软雅黑"/>
          <w:b/>
          <w:bCs/>
          <w:color w:val="auto"/>
          <w:spacing w:val="3"/>
          <w:sz w:val="32"/>
          <w:szCs w:val="32"/>
          <w:highlight w:val="none"/>
          <w:lang w:val="en-US" w:eastAsia="zh-CN"/>
        </w:rPr>
      </w:pPr>
    </w:p>
    <w:p w14:paraId="077DEA49">
      <w:pPr>
        <w:pStyle w:val="2"/>
        <w:rPr>
          <w:rFonts w:hint="eastAsia" w:ascii="微软雅黑" w:hAnsi="微软雅黑" w:eastAsia="微软雅黑" w:cs="微软雅黑"/>
          <w:b/>
          <w:bCs/>
          <w:color w:val="auto"/>
          <w:spacing w:val="3"/>
          <w:sz w:val="32"/>
          <w:szCs w:val="32"/>
          <w:highlight w:val="none"/>
          <w:lang w:val="en-US" w:eastAsia="zh-CN"/>
        </w:rPr>
      </w:pPr>
    </w:p>
    <w:p w14:paraId="0BFA6154">
      <w:pPr>
        <w:pStyle w:val="3"/>
        <w:rPr>
          <w:rFonts w:hint="eastAsia" w:ascii="微软雅黑" w:hAnsi="微软雅黑" w:eastAsia="微软雅黑" w:cs="微软雅黑"/>
          <w:b/>
          <w:bCs/>
          <w:color w:val="auto"/>
          <w:spacing w:val="3"/>
          <w:sz w:val="32"/>
          <w:szCs w:val="32"/>
          <w:highlight w:val="none"/>
          <w:lang w:val="en-US" w:eastAsia="zh-CN"/>
        </w:rPr>
      </w:pPr>
    </w:p>
    <w:p w14:paraId="2162127C">
      <w:pPr>
        <w:rPr>
          <w:rFonts w:hint="eastAsia" w:ascii="微软雅黑" w:hAnsi="微软雅黑" w:eastAsia="微软雅黑" w:cs="微软雅黑"/>
          <w:b/>
          <w:bCs/>
          <w:color w:val="auto"/>
          <w:spacing w:val="3"/>
          <w:sz w:val="32"/>
          <w:szCs w:val="32"/>
          <w:highlight w:val="none"/>
          <w:lang w:val="en-US" w:eastAsia="zh-CN"/>
        </w:rPr>
      </w:pPr>
    </w:p>
    <w:p w14:paraId="2C77BEE1">
      <w:pPr>
        <w:pStyle w:val="2"/>
        <w:rPr>
          <w:rFonts w:hint="eastAsia" w:ascii="微软雅黑" w:hAnsi="微软雅黑" w:eastAsia="微软雅黑" w:cs="微软雅黑"/>
          <w:b/>
          <w:bCs/>
          <w:color w:val="auto"/>
          <w:spacing w:val="3"/>
          <w:sz w:val="32"/>
          <w:szCs w:val="32"/>
          <w:highlight w:val="none"/>
          <w:lang w:val="en-US" w:eastAsia="zh-CN"/>
        </w:rPr>
      </w:pPr>
    </w:p>
    <w:p w14:paraId="76C928C1">
      <w:pPr>
        <w:pStyle w:val="3"/>
        <w:rPr>
          <w:rFonts w:hint="eastAsia" w:ascii="微软雅黑" w:hAnsi="微软雅黑" w:eastAsia="微软雅黑" w:cs="微软雅黑"/>
          <w:b/>
          <w:bCs/>
          <w:color w:val="auto"/>
          <w:spacing w:val="3"/>
          <w:sz w:val="32"/>
          <w:szCs w:val="32"/>
          <w:highlight w:val="none"/>
          <w:lang w:val="en-US" w:eastAsia="zh-CN"/>
        </w:rPr>
      </w:pPr>
    </w:p>
    <w:p w14:paraId="55258147">
      <w:pPr>
        <w:rPr>
          <w:rFonts w:hint="eastAsia" w:ascii="微软雅黑" w:hAnsi="微软雅黑" w:eastAsia="微软雅黑" w:cs="微软雅黑"/>
          <w:b/>
          <w:bCs/>
          <w:color w:val="auto"/>
          <w:spacing w:val="3"/>
          <w:sz w:val="32"/>
          <w:szCs w:val="32"/>
          <w:highlight w:val="none"/>
          <w:lang w:val="en-US" w:eastAsia="zh-CN"/>
        </w:rPr>
      </w:pPr>
    </w:p>
    <w:p w14:paraId="17A08B5A">
      <w:pPr>
        <w:pStyle w:val="2"/>
        <w:rPr>
          <w:rFonts w:hint="eastAsia"/>
          <w:lang w:val="en-US" w:eastAsia="zh-CN"/>
        </w:rPr>
      </w:pPr>
    </w:p>
    <w:p w14:paraId="3A27C2C0">
      <w:pPr>
        <w:rPr>
          <w:rFonts w:hint="eastAsia"/>
          <w:color w:val="auto"/>
          <w:lang w:val="en-US" w:eastAsia="zh-CN"/>
        </w:rPr>
      </w:pPr>
    </w:p>
    <w:p w14:paraId="699B485A">
      <w:pPr>
        <w:numPr>
          <w:ilvl w:val="0"/>
          <w:numId w:val="0"/>
        </w:numPr>
        <w:spacing w:before="0" w:line="360" w:lineRule="auto"/>
        <w:ind w:firstLine="643" w:firstLineChars="200"/>
        <w:jc w:val="center"/>
        <w:rPr>
          <w:rFonts w:hint="eastAsia" w:asciiTheme="minorHAnsi" w:hAnsiTheme="minorHAnsi" w:eastAsiaTheme="minorEastAsia" w:cstheme="minorBidi"/>
          <w:b/>
          <w:bCs/>
          <w:color w:val="auto"/>
          <w:spacing w:val="0"/>
          <w:sz w:val="32"/>
          <w:szCs w:val="32"/>
          <w:highlight w:val="none"/>
          <w:lang w:val="en-US" w:eastAsia="zh-CN"/>
        </w:rPr>
      </w:pPr>
      <w:r>
        <w:rPr>
          <w:rFonts w:hint="eastAsia" w:asciiTheme="minorHAnsi" w:hAnsiTheme="minorHAnsi" w:eastAsiaTheme="minorEastAsia" w:cstheme="minorBidi"/>
          <w:b/>
          <w:bCs/>
          <w:color w:val="auto"/>
          <w:spacing w:val="0"/>
          <w:sz w:val="32"/>
          <w:szCs w:val="32"/>
          <w:highlight w:val="none"/>
          <w:lang w:val="en-US" w:eastAsia="zh-CN"/>
        </w:rPr>
        <w:t>附件一：</w:t>
      </w:r>
      <w:r>
        <w:rPr>
          <w:rFonts w:hint="eastAsia" w:asciiTheme="minorHAnsi" w:hAnsiTheme="minorHAnsi" w:eastAsiaTheme="minorEastAsia" w:cstheme="minorBidi"/>
          <w:b/>
          <w:bCs/>
          <w:color w:val="auto"/>
          <w:spacing w:val="0"/>
          <w:sz w:val="32"/>
          <w:szCs w:val="32"/>
          <w:highlight w:val="none"/>
        </w:rPr>
        <w:t>评审标准</w:t>
      </w:r>
    </w:p>
    <w:p w14:paraId="5C0B8522">
      <w:pPr>
        <w:numPr>
          <w:ilvl w:val="0"/>
          <w:numId w:val="0"/>
        </w:numPr>
        <w:spacing w:before="0" w:line="360" w:lineRule="auto"/>
        <w:ind w:firstLine="482" w:firstLineChars="200"/>
        <w:rPr>
          <w:rFonts w:hint="default" w:asciiTheme="minorHAnsi" w:hAnsiTheme="minorHAnsi" w:eastAsiaTheme="minorEastAsia" w:cstheme="minorBidi"/>
          <w:b/>
          <w:bCs/>
          <w:color w:val="auto"/>
          <w:sz w:val="24"/>
          <w:szCs w:val="24"/>
          <w:highlight w:val="none"/>
        </w:rPr>
      </w:pPr>
      <w:r>
        <w:rPr>
          <w:rFonts w:hint="eastAsia" w:cstheme="minorBidi"/>
          <w:b/>
          <w:bCs/>
          <w:color w:val="auto"/>
          <w:spacing w:val="0"/>
          <w:sz w:val="24"/>
          <w:szCs w:val="24"/>
          <w:highlight w:val="none"/>
          <w:lang w:val="en-US" w:eastAsia="zh-CN"/>
        </w:rPr>
        <w:t>A部分</w:t>
      </w:r>
      <w:r>
        <w:rPr>
          <w:rFonts w:hint="default" w:asciiTheme="minorHAnsi" w:hAnsiTheme="minorHAnsi" w:eastAsiaTheme="minorEastAsia" w:cstheme="minorBidi"/>
          <w:b/>
          <w:bCs/>
          <w:color w:val="auto"/>
          <w:spacing w:val="0"/>
          <w:sz w:val="24"/>
          <w:szCs w:val="24"/>
          <w:highlight w:val="none"/>
        </w:rPr>
        <w:t>评分细则： （按四舍五入取至小数点后二位）</w:t>
      </w:r>
    </w:p>
    <w:tbl>
      <w:tblPr>
        <w:tblStyle w:val="35"/>
        <w:tblW w:w="1079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3"/>
        <w:gridCol w:w="890"/>
        <w:gridCol w:w="731"/>
        <w:gridCol w:w="7549"/>
      </w:tblGrid>
      <w:tr w14:paraId="6053D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623" w:type="dxa"/>
            <w:vAlign w:val="top"/>
          </w:tcPr>
          <w:p w14:paraId="57570979">
            <w:pPr>
              <w:pStyle w:val="42"/>
              <w:spacing w:before="155" w:line="171" w:lineRule="auto"/>
              <w:ind w:left="286"/>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w:t>
            </w:r>
          </w:p>
        </w:tc>
        <w:tc>
          <w:tcPr>
            <w:tcW w:w="890" w:type="dxa"/>
            <w:vAlign w:val="top"/>
          </w:tcPr>
          <w:p w14:paraId="2DC750B8">
            <w:pPr>
              <w:pStyle w:val="42"/>
              <w:spacing w:before="154" w:line="172" w:lineRule="auto"/>
              <w:ind w:left="176"/>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内容</w:t>
            </w:r>
          </w:p>
        </w:tc>
        <w:tc>
          <w:tcPr>
            <w:tcW w:w="731" w:type="dxa"/>
            <w:vAlign w:val="top"/>
          </w:tcPr>
          <w:p w14:paraId="198A08CA">
            <w:pPr>
              <w:pStyle w:val="42"/>
              <w:spacing w:before="152" w:line="173" w:lineRule="auto"/>
              <w:ind w:left="32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分值</w:t>
            </w:r>
          </w:p>
        </w:tc>
        <w:tc>
          <w:tcPr>
            <w:tcW w:w="7549" w:type="dxa"/>
            <w:vAlign w:val="top"/>
          </w:tcPr>
          <w:p w14:paraId="34731FE1">
            <w:pPr>
              <w:pStyle w:val="42"/>
              <w:spacing w:before="154" w:line="172" w:lineRule="auto"/>
              <w:ind w:left="3355"/>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评分标准</w:t>
            </w:r>
          </w:p>
        </w:tc>
      </w:tr>
      <w:tr w14:paraId="0ACDC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jc w:val="center"/>
        </w:trPr>
        <w:tc>
          <w:tcPr>
            <w:tcW w:w="1623" w:type="dxa"/>
            <w:vAlign w:val="top"/>
          </w:tcPr>
          <w:p w14:paraId="73EBEC3C">
            <w:pPr>
              <w:pStyle w:val="42"/>
              <w:tabs>
                <w:tab w:val="left" w:pos="735"/>
              </w:tabs>
              <w:spacing w:before="85" w:line="282" w:lineRule="auto"/>
              <w:ind w:left="113" w:right="239" w:firstLine="1"/>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价格分 （ 20</w:t>
            </w:r>
            <w:r>
              <w:rPr>
                <w:rFonts w:hint="eastAsia" w:asciiTheme="minorHAnsi" w:hAnsiTheme="minorHAnsi" w:eastAsiaTheme="minorEastAsia" w:cstheme="minorBidi"/>
                <w:color w:val="auto"/>
                <w:spacing w:val="0"/>
                <w:kern w:val="2"/>
                <w:sz w:val="24"/>
                <w:szCs w:val="24"/>
                <w:highlight w:val="none"/>
                <w:lang w:val="en-US" w:eastAsia="zh-CN" w:bidi="ar-SA"/>
              </w:rPr>
              <w:tab/>
            </w:r>
            <w:r>
              <w:rPr>
                <w:rFonts w:hint="eastAsia" w:asciiTheme="minorHAnsi" w:hAnsiTheme="minorHAnsi" w:eastAsiaTheme="minorEastAsia" w:cstheme="minorBidi"/>
                <w:color w:val="auto"/>
                <w:spacing w:val="0"/>
                <w:kern w:val="2"/>
                <w:sz w:val="24"/>
                <w:szCs w:val="24"/>
                <w:highlight w:val="none"/>
                <w:lang w:val="en-US" w:eastAsia="zh-CN" w:bidi="ar-SA"/>
              </w:rPr>
              <w:t xml:space="preserve"> 分）</w:t>
            </w:r>
          </w:p>
        </w:tc>
        <w:tc>
          <w:tcPr>
            <w:tcW w:w="890" w:type="dxa"/>
            <w:vAlign w:val="center"/>
          </w:tcPr>
          <w:p w14:paraId="654F15DE">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价格 分</w:t>
            </w:r>
          </w:p>
        </w:tc>
        <w:tc>
          <w:tcPr>
            <w:tcW w:w="731" w:type="dxa"/>
            <w:vAlign w:val="center"/>
          </w:tcPr>
          <w:p w14:paraId="0116B149">
            <w:pPr>
              <w:pStyle w:val="42"/>
              <w:spacing w:before="86"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20</w:t>
            </w:r>
          </w:p>
        </w:tc>
        <w:tc>
          <w:tcPr>
            <w:tcW w:w="7549" w:type="dxa"/>
            <w:vAlign w:val="top"/>
          </w:tcPr>
          <w:p w14:paraId="5C4E0E0E">
            <w:pPr>
              <w:pStyle w:val="42"/>
              <w:spacing w:before="146" w:line="218" w:lineRule="auto"/>
              <w:ind w:left="126"/>
              <w:rPr>
                <w:rFonts w:hint="default" w:asciiTheme="minorHAnsi" w:hAnsiTheme="minorHAnsi" w:eastAsiaTheme="minorEastAsia" w:cstheme="minorBidi"/>
                <w:color w:val="auto"/>
                <w:sz w:val="24"/>
                <w:szCs w:val="24"/>
                <w:highlight w:val="none"/>
                <w:lang w:eastAsia="zh-CN"/>
              </w:rPr>
            </w:pPr>
            <w:r>
              <w:rPr>
                <w:rFonts w:hint="default" w:asciiTheme="minorHAnsi" w:hAnsiTheme="minorHAnsi" w:eastAsiaTheme="minorEastAsia" w:cstheme="minorBidi"/>
                <w:color w:val="auto"/>
                <w:spacing w:val="0"/>
                <w:sz w:val="24"/>
                <w:szCs w:val="24"/>
                <w:highlight w:val="none"/>
                <w:lang w:eastAsia="zh-CN"/>
              </w:rPr>
              <w:t>1.价格分以有效供应商的最终报价计算 。评标价=有效供应商的最终报价。</w:t>
            </w:r>
          </w:p>
          <w:p w14:paraId="1D0F843A">
            <w:pPr>
              <w:pStyle w:val="42"/>
              <w:spacing w:before="89" w:line="277" w:lineRule="auto"/>
              <w:ind w:left="113" w:right="143" w:hanging="3"/>
              <w:rPr>
                <w:rFonts w:hint="default" w:asciiTheme="minorHAnsi" w:hAnsiTheme="minorHAnsi" w:eastAsiaTheme="minorEastAsia" w:cstheme="minorBidi"/>
                <w:color w:val="auto"/>
                <w:sz w:val="24"/>
                <w:szCs w:val="24"/>
                <w:highlight w:val="none"/>
                <w:lang w:eastAsia="zh-CN"/>
              </w:rPr>
            </w:pPr>
            <w:r>
              <w:rPr>
                <w:rFonts w:hint="default" w:asciiTheme="minorHAnsi" w:hAnsiTheme="minorHAnsi" w:eastAsiaTheme="minorEastAsia" w:cstheme="minorBidi"/>
                <w:color w:val="auto"/>
                <w:spacing w:val="0"/>
                <w:sz w:val="24"/>
                <w:szCs w:val="24"/>
                <w:highlight w:val="none"/>
                <w:lang w:eastAsia="zh-CN"/>
              </w:rPr>
              <w:t>2.有效报价范围： 为通过资格和符合性审查 、最终报价低于或等于采购控制价的报价。</w:t>
            </w:r>
          </w:p>
          <w:p w14:paraId="3520400B">
            <w:pPr>
              <w:pStyle w:val="42"/>
              <w:spacing w:before="7" w:line="226" w:lineRule="auto"/>
              <w:ind w:left="111" w:right="1649"/>
              <w:rPr>
                <w:rFonts w:hint="eastAsia" w:asciiTheme="minorHAnsi" w:hAnsiTheme="minorHAnsi" w:eastAsiaTheme="minorEastAsia" w:cstheme="minorBidi"/>
                <w:color w:val="auto"/>
                <w:spacing w:val="0"/>
                <w:kern w:val="2"/>
                <w:sz w:val="24"/>
                <w:szCs w:val="24"/>
                <w:highlight w:val="none"/>
                <w:lang w:val="en-US" w:eastAsia="zh-CN" w:bidi="ar-SA"/>
              </w:rPr>
            </w:pPr>
            <w:r>
              <w:rPr>
                <w:rFonts w:hint="default" w:asciiTheme="minorHAnsi" w:hAnsiTheme="minorHAnsi" w:eastAsiaTheme="minorEastAsia" w:cstheme="minorBidi"/>
                <w:color w:val="auto"/>
                <w:spacing w:val="0"/>
                <w:sz w:val="24"/>
                <w:szCs w:val="24"/>
                <w:highlight w:val="none"/>
                <w:lang w:eastAsia="zh-CN"/>
              </w:rPr>
              <w:t>3.评标基准价=有效供应商的最低最终报价， 其价格分得 20 分。</w:t>
            </w:r>
            <w:r>
              <w:rPr>
                <w:rFonts w:hint="default" w:asciiTheme="minorHAnsi" w:hAnsiTheme="minorHAnsi" w:eastAsiaTheme="minorEastAsia" w:cstheme="minorBidi"/>
                <w:color w:val="auto"/>
                <w:sz w:val="24"/>
                <w:szCs w:val="24"/>
                <w:highlight w:val="none"/>
                <w:lang w:eastAsia="zh-CN"/>
              </w:rPr>
              <w:t xml:space="preserve"> </w:t>
            </w:r>
            <w:r>
              <w:rPr>
                <w:rFonts w:hint="default" w:asciiTheme="minorHAnsi" w:hAnsiTheme="minorHAnsi" w:eastAsiaTheme="minorEastAsia" w:cstheme="minorBidi"/>
                <w:color w:val="auto"/>
                <w:spacing w:val="0"/>
                <w:sz w:val="24"/>
                <w:szCs w:val="24"/>
                <w:highlight w:val="none"/>
                <w:lang w:eastAsia="zh-CN"/>
              </w:rPr>
              <w:t>其他供应商报价分=评标基准价/评标价*20。</w:t>
            </w:r>
          </w:p>
        </w:tc>
      </w:tr>
      <w:tr w14:paraId="6556D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jc w:val="center"/>
        </w:trPr>
        <w:tc>
          <w:tcPr>
            <w:tcW w:w="1623" w:type="dxa"/>
            <w:vMerge w:val="restart"/>
            <w:tcBorders>
              <w:bottom w:val="nil"/>
            </w:tcBorders>
            <w:vAlign w:val="top"/>
          </w:tcPr>
          <w:p w14:paraId="0A5F340A">
            <w:pPr>
              <w:rPr>
                <w:rFonts w:hint="eastAsia" w:asciiTheme="minorHAnsi" w:hAnsiTheme="minorHAnsi" w:eastAsiaTheme="minorEastAsia" w:cstheme="minorBidi"/>
                <w:color w:val="auto"/>
                <w:spacing w:val="0"/>
                <w:kern w:val="2"/>
                <w:sz w:val="24"/>
                <w:szCs w:val="24"/>
                <w:highlight w:val="none"/>
                <w:lang w:val="en-US" w:eastAsia="zh-CN" w:bidi="ar-SA"/>
              </w:rPr>
            </w:pPr>
          </w:p>
          <w:p w14:paraId="0630A83E">
            <w:pPr>
              <w:pStyle w:val="42"/>
              <w:tabs>
                <w:tab w:val="left" w:pos="735"/>
              </w:tabs>
              <w:spacing w:before="86" w:line="282" w:lineRule="auto"/>
              <w:ind w:right="239"/>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商务分</w:t>
            </w:r>
          </w:p>
          <w:p w14:paraId="24B7FB81">
            <w:pPr>
              <w:pStyle w:val="42"/>
              <w:tabs>
                <w:tab w:val="left" w:pos="735"/>
              </w:tabs>
              <w:spacing w:before="86" w:line="282" w:lineRule="auto"/>
              <w:ind w:right="239"/>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（15分）</w:t>
            </w:r>
          </w:p>
        </w:tc>
        <w:tc>
          <w:tcPr>
            <w:tcW w:w="890" w:type="dxa"/>
            <w:vAlign w:val="top"/>
          </w:tcPr>
          <w:p w14:paraId="7CFE0CDD">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业绩 分</w:t>
            </w:r>
          </w:p>
        </w:tc>
        <w:tc>
          <w:tcPr>
            <w:tcW w:w="731" w:type="dxa"/>
            <w:vAlign w:val="center"/>
          </w:tcPr>
          <w:p w14:paraId="326B4600">
            <w:pPr>
              <w:pStyle w:val="42"/>
              <w:spacing w:before="86" w:line="165"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9</w:t>
            </w:r>
          </w:p>
        </w:tc>
        <w:tc>
          <w:tcPr>
            <w:tcW w:w="7549" w:type="dxa"/>
            <w:vAlign w:val="top"/>
          </w:tcPr>
          <w:p w14:paraId="35B4984C">
            <w:pPr>
              <w:pStyle w:val="42"/>
              <w:spacing w:before="147" w:line="272" w:lineRule="auto"/>
              <w:ind w:left="108" w:right="107" w:hanging="1"/>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供应商 2020 年1月1日至今的类似项目业绩且无不良记录的，每有一项为机关、企业 、事业单位等提供体检项目的类似项目业绩的得3 分， 满分 9 分 。 （需提供合同复印件或中标（成交）通知书， 否则不计分）</w:t>
            </w:r>
          </w:p>
        </w:tc>
      </w:tr>
      <w:tr w14:paraId="4F438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9" w:hRule="atLeast"/>
          <w:jc w:val="center"/>
        </w:trPr>
        <w:tc>
          <w:tcPr>
            <w:tcW w:w="1623" w:type="dxa"/>
            <w:vMerge w:val="continue"/>
            <w:tcBorders>
              <w:top w:val="nil"/>
            </w:tcBorders>
            <w:vAlign w:val="top"/>
          </w:tcPr>
          <w:p w14:paraId="45B250EF">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890" w:type="dxa"/>
            <w:vAlign w:val="top"/>
          </w:tcPr>
          <w:p w14:paraId="5F045070">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履约能力分</w:t>
            </w:r>
          </w:p>
        </w:tc>
        <w:tc>
          <w:tcPr>
            <w:tcW w:w="731" w:type="dxa"/>
            <w:vAlign w:val="center"/>
          </w:tcPr>
          <w:p w14:paraId="001AEAF5">
            <w:pPr>
              <w:pStyle w:val="42"/>
              <w:spacing w:before="86" w:line="165"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6</w:t>
            </w:r>
          </w:p>
        </w:tc>
        <w:tc>
          <w:tcPr>
            <w:tcW w:w="7549" w:type="dxa"/>
            <w:vAlign w:val="top"/>
          </w:tcPr>
          <w:p w14:paraId="71DACB61">
            <w:pPr>
              <w:pStyle w:val="42"/>
              <w:spacing w:before="92" w:line="247" w:lineRule="auto"/>
              <w:ind w:left="112" w:right="142" w:firstLine="4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 供应商有专门体检中心或体检部且成立了 5 年或以上的得 2 分， 成立了 10 年或以上的得 5分 。 （需提供证明材料， 加盖单位公章， 否则不计分）</w:t>
            </w:r>
          </w:p>
          <w:p w14:paraId="70FA3DBA">
            <w:pPr>
              <w:pStyle w:val="42"/>
              <w:spacing w:before="96" w:line="225" w:lineRule="auto"/>
              <w:ind w:left="112" w:right="162" w:firstLine="41"/>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 供应商须至少提供2台车载DR体检车，3台或以上得 1 分 。 （需提供本单位所有或南宁市内租赁合同证明材料， 加盖单位公章， 否则不计分）</w:t>
            </w:r>
          </w:p>
        </w:tc>
      </w:tr>
      <w:tr w14:paraId="6A8DB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3" w:hRule="atLeast"/>
          <w:jc w:val="center"/>
        </w:trPr>
        <w:tc>
          <w:tcPr>
            <w:tcW w:w="1623" w:type="dxa"/>
            <w:vMerge w:val="restart"/>
            <w:tcBorders>
              <w:bottom w:val="nil"/>
            </w:tcBorders>
            <w:vAlign w:val="top"/>
          </w:tcPr>
          <w:p w14:paraId="7E1CEAA0">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268AB53A">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7A8C39A">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718942C4">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9B058A4">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191136F6">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7AC4A1F4">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1206ED76">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68BD959D">
            <w:pPr>
              <w:pStyle w:val="42"/>
              <w:tabs>
                <w:tab w:val="left" w:pos="735"/>
              </w:tabs>
              <w:spacing w:before="86" w:line="283" w:lineRule="auto"/>
              <w:ind w:left="113" w:right="239" w:firstLine="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技术分</w:t>
            </w:r>
          </w:p>
          <w:p w14:paraId="37BB1BDF">
            <w:pPr>
              <w:pStyle w:val="42"/>
              <w:tabs>
                <w:tab w:val="left" w:pos="735"/>
              </w:tabs>
              <w:spacing w:before="86" w:line="283" w:lineRule="auto"/>
              <w:ind w:left="113" w:right="239" w:firstLine="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（65 分）</w:t>
            </w:r>
          </w:p>
        </w:tc>
        <w:tc>
          <w:tcPr>
            <w:tcW w:w="890" w:type="dxa"/>
            <w:vAlign w:val="top"/>
          </w:tcPr>
          <w:p w14:paraId="47AC39E9">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4C5ACB8">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25FFCA31">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 实施 人员</w:t>
            </w:r>
          </w:p>
        </w:tc>
        <w:tc>
          <w:tcPr>
            <w:tcW w:w="731" w:type="dxa"/>
            <w:vAlign w:val="center"/>
          </w:tcPr>
          <w:p w14:paraId="1B097DD7">
            <w:pPr>
              <w:pStyle w:val="42"/>
              <w:spacing w:before="86"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20</w:t>
            </w:r>
          </w:p>
        </w:tc>
        <w:tc>
          <w:tcPr>
            <w:tcW w:w="7549" w:type="dxa"/>
            <w:vAlign w:val="top"/>
          </w:tcPr>
          <w:p w14:paraId="227078F2">
            <w:pPr>
              <w:pStyle w:val="42"/>
              <w:spacing w:before="151" w:line="257" w:lineRule="auto"/>
              <w:ind w:left="113" w:right="107" w:firstLine="40"/>
              <w:rPr>
                <w:rFonts w:hint="eastAsia" w:asciiTheme="minorHAnsi" w:hAnsiTheme="minorHAnsi" w:eastAsiaTheme="minorEastAsia" w:cstheme="minorBidi"/>
                <w:color w:val="FF0000"/>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1.拟投入项目实施医务人员不少于 30人， 31 人至 39 人得 3 分， 40 人至 49 人得 4 分，50 人及以上得 5 分， 满分5分； （响应文件中提供项目实施人员清单， 否则不计分）</w:t>
            </w:r>
          </w:p>
          <w:p w14:paraId="2D80A454">
            <w:pPr>
              <w:pStyle w:val="42"/>
              <w:spacing w:before="96" w:line="213" w:lineRule="auto"/>
              <w:ind w:left="153"/>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2.项目负责人为主任医师或以上的，得5分，满分5分；（响应文件提供项目负责人的职称证书复印件和执业资格证复印件，否则不计分）</w:t>
            </w:r>
          </w:p>
          <w:p w14:paraId="4FE2E03F">
            <w:pPr>
              <w:pStyle w:val="42"/>
              <w:spacing w:before="25" w:line="274" w:lineRule="auto"/>
              <w:ind w:left="109" w:right="108" w:firstLine="4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3.拟投入项目实施人员中具有高级职称的医护人员在 3 人的基础上，每增加 1 人加 2 分， 满分 10 分； （响应文件提供项目实施人员的职称证书复印件和执业资格证复印件，否则不计分）</w:t>
            </w:r>
          </w:p>
        </w:tc>
      </w:tr>
      <w:tr w14:paraId="55298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6" w:hRule="atLeast"/>
          <w:jc w:val="center"/>
        </w:trPr>
        <w:tc>
          <w:tcPr>
            <w:tcW w:w="1623" w:type="dxa"/>
            <w:vMerge w:val="continue"/>
            <w:tcBorders>
              <w:top w:val="nil"/>
            </w:tcBorders>
            <w:vAlign w:val="top"/>
          </w:tcPr>
          <w:p w14:paraId="1E506BEE">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890" w:type="dxa"/>
            <w:vAlign w:val="top"/>
          </w:tcPr>
          <w:p w14:paraId="0E011795">
            <w:pPr>
              <w:pStyle w:val="42"/>
              <w:spacing w:before="156" w:line="224" w:lineRule="auto"/>
              <w:ind w:left="151" w:right="151" w:firstLine="3"/>
              <w:rPr>
                <w:rFonts w:hint="eastAsia" w:asciiTheme="minorHAnsi" w:hAnsiTheme="minorHAnsi" w:eastAsiaTheme="minorEastAsia" w:cstheme="minorBidi"/>
                <w:color w:val="auto"/>
                <w:spacing w:val="0"/>
                <w:kern w:val="2"/>
                <w:sz w:val="24"/>
                <w:szCs w:val="24"/>
                <w:highlight w:val="none"/>
                <w:lang w:val="en-US" w:eastAsia="zh-CN" w:bidi="ar-SA"/>
              </w:rPr>
            </w:pPr>
          </w:p>
          <w:p w14:paraId="6B058043">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体检 相关配套 服务</w:t>
            </w:r>
          </w:p>
        </w:tc>
        <w:tc>
          <w:tcPr>
            <w:tcW w:w="731" w:type="dxa"/>
            <w:vAlign w:val="center"/>
          </w:tcPr>
          <w:p w14:paraId="4230D2AE">
            <w:pPr>
              <w:pStyle w:val="42"/>
              <w:spacing w:before="85"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21</w:t>
            </w:r>
          </w:p>
        </w:tc>
        <w:tc>
          <w:tcPr>
            <w:tcW w:w="7549" w:type="dxa"/>
            <w:vAlign w:val="top"/>
          </w:tcPr>
          <w:p w14:paraId="0D0C7B02">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根据供应商提供体检相关配套服务进行打分，体检相关配套服务包含但不限于一般的体检相关配套服务 、对体检结果的处理措施 、体检人员健康总体评价 、建立健康档案 、增值服务等， 不提供不得分。</w:t>
            </w:r>
          </w:p>
          <w:p w14:paraId="6530C8C8">
            <w:pPr>
              <w:pStyle w:val="42"/>
              <w:spacing w:before="151" w:line="257" w:lineRule="auto"/>
              <w:ind w:left="113" w:right="107" w:firstLine="4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一档 （15 分）： 有针对体检结果的处理、个人隐私资料的保密措施，体检相关配套服务简单， 无针对性。</w:t>
            </w:r>
          </w:p>
          <w:p w14:paraId="1FB3AD0F">
            <w:pPr>
              <w:pStyle w:val="42"/>
              <w:spacing w:before="21" w:line="258" w:lineRule="auto"/>
              <w:ind w:left="105" w:right="143" w:firstLine="5"/>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二档 （18分）： 体检相关配套服务较详细， 有针对体检结果的处理、个人隐私资料的保密措施，有针对体检结果的处理及增值服务承诺。</w:t>
            </w:r>
          </w:p>
          <w:p w14:paraId="429FA10A">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三档（ 21分）： 体检相关配套服务详细，有针对体检结果的处理、个人隐私资料保密措施， 有体检人员健康总体评价， 能做到检后的健康监控跟踪等， 能建立精准健康档案及至少两项增值服务承诺。支持互联网线上个人查询化验结果。</w:t>
            </w:r>
          </w:p>
        </w:tc>
      </w:tr>
    </w:tbl>
    <w:p w14:paraId="22427A86">
      <w:pPr>
        <w:spacing w:before="38"/>
        <w:rPr>
          <w:rFonts w:hint="eastAsia" w:asciiTheme="minorHAnsi" w:hAnsiTheme="minorHAnsi" w:eastAsiaTheme="minorEastAsia" w:cstheme="minorBidi"/>
          <w:color w:val="auto"/>
          <w:spacing w:val="0"/>
          <w:kern w:val="2"/>
          <w:sz w:val="24"/>
          <w:szCs w:val="24"/>
          <w:highlight w:val="none"/>
          <w:lang w:val="en-US" w:eastAsia="zh-CN" w:bidi="ar-SA"/>
        </w:rPr>
      </w:pPr>
    </w:p>
    <w:tbl>
      <w:tblPr>
        <w:tblStyle w:val="35"/>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720"/>
        <w:gridCol w:w="901"/>
        <w:gridCol w:w="7549"/>
      </w:tblGrid>
      <w:tr w14:paraId="196FB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981" w:type="dxa"/>
            <w:tcBorders>
              <w:top w:val="nil"/>
            </w:tcBorders>
            <w:vAlign w:val="top"/>
          </w:tcPr>
          <w:p w14:paraId="50E0CC7B">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720" w:type="dxa"/>
            <w:vAlign w:val="top"/>
          </w:tcPr>
          <w:p w14:paraId="4A354C51">
            <w:pPr>
              <w:spacing w:line="275"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3F7970F">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49D8B2DB">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179326B0">
            <w:pPr>
              <w:spacing w:line="276"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p w14:paraId="21F0DC94">
            <w:pPr>
              <w:pStyle w:val="42"/>
              <w:spacing w:before="85" w:line="280" w:lineRule="auto"/>
              <w:ind w:left="151" w:right="151" w:firstLine="1"/>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服务 方案</w:t>
            </w:r>
          </w:p>
        </w:tc>
        <w:tc>
          <w:tcPr>
            <w:tcW w:w="901" w:type="dxa"/>
            <w:vAlign w:val="top"/>
          </w:tcPr>
          <w:p w14:paraId="259B96EE">
            <w:pPr>
              <w:spacing w:line="269"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BEB90C0">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4257C841">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4A2A6687">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67CD0B5B">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244BF8C6">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52C539F8">
            <w:pPr>
              <w:spacing w:line="270"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62F7A3D4">
            <w:pPr>
              <w:pStyle w:val="42"/>
              <w:spacing w:before="85" w:line="167" w:lineRule="auto"/>
              <w:ind w:left="362"/>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24</w:t>
            </w:r>
          </w:p>
        </w:tc>
        <w:tc>
          <w:tcPr>
            <w:tcW w:w="7549" w:type="dxa"/>
            <w:vAlign w:val="top"/>
          </w:tcPr>
          <w:p w14:paraId="2D4BB60D">
            <w:pPr>
              <w:pStyle w:val="42"/>
              <w:spacing w:before="149" w:line="263" w:lineRule="auto"/>
              <w:ind w:left="107" w:right="107" w:firstLine="27"/>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根据供应商提供的服务方案进行打分，服务方案包含但不限于体检服务方案， 医疗保障方案， 职业健康安全保障制度， 应急措施（预案）， 不提供不得分。</w:t>
            </w:r>
          </w:p>
          <w:p w14:paraId="6973D175">
            <w:pPr>
              <w:pStyle w:val="42"/>
              <w:spacing w:before="72" w:line="213" w:lineRule="auto"/>
              <w:ind w:left="11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一档 （18分）： 服务方案简单基本满足项目要求。</w:t>
            </w:r>
          </w:p>
          <w:p w14:paraId="6787ED45">
            <w:pPr>
              <w:pStyle w:val="42"/>
              <w:spacing w:before="93" w:line="256" w:lineRule="auto"/>
              <w:ind w:left="113" w:right="143" w:hanging="3"/>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二档 （21分）： 服务方案满足项目要求， 提供的方案较为健全， 措施得当并符合实际的。</w:t>
            </w:r>
          </w:p>
          <w:p w14:paraId="56D51BD1">
            <w:pPr>
              <w:pStyle w:val="42"/>
              <w:spacing w:before="71" w:line="252" w:lineRule="auto"/>
              <w:ind w:left="110" w:right="44" w:firstLine="2"/>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三档（24分）：提供的方案较为健全，措施得当并符合实际的，现场有医生讲解、 有体检服务后义诊 、提供健康讲座 、有单位汇总报告分析 ，能到学校为传染病（如肺结核）筛查提供协助服务的，或提出优于采购文件售后服务要求的其他有利于采购人的优化服务措施且被评审小组接受。</w:t>
            </w:r>
          </w:p>
        </w:tc>
      </w:tr>
      <w:tr w14:paraId="153EF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701" w:type="dxa"/>
            <w:gridSpan w:val="2"/>
            <w:vAlign w:val="top"/>
          </w:tcPr>
          <w:p w14:paraId="4007E36A">
            <w:pPr>
              <w:pStyle w:val="42"/>
              <w:spacing w:before="298" w:line="186" w:lineRule="auto"/>
              <w:ind w:left="645"/>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合计</w:t>
            </w:r>
          </w:p>
        </w:tc>
        <w:tc>
          <w:tcPr>
            <w:tcW w:w="901" w:type="dxa"/>
            <w:vAlign w:val="top"/>
          </w:tcPr>
          <w:p w14:paraId="6B3173E6">
            <w:pPr>
              <w:spacing w:line="245"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8FEE429">
            <w:pPr>
              <w:pStyle w:val="42"/>
              <w:spacing w:before="86" w:line="167" w:lineRule="auto"/>
              <w:ind w:left="309"/>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100</w:t>
            </w:r>
          </w:p>
        </w:tc>
        <w:tc>
          <w:tcPr>
            <w:tcW w:w="7549" w:type="dxa"/>
            <w:vAlign w:val="top"/>
          </w:tcPr>
          <w:p w14:paraId="7D78A269">
            <w:pPr>
              <w:pStyle w:val="42"/>
              <w:spacing w:before="297" w:line="217" w:lineRule="auto"/>
              <w:ind w:left="112"/>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综合得分=价格分+商务分+技术分</w:t>
            </w:r>
          </w:p>
        </w:tc>
      </w:tr>
      <w:tr w14:paraId="391C9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0151" w:type="dxa"/>
            <w:gridSpan w:val="4"/>
            <w:vAlign w:val="top"/>
          </w:tcPr>
          <w:p w14:paraId="5F469EA2">
            <w:pPr>
              <w:pStyle w:val="42"/>
              <w:spacing w:before="298" w:line="213" w:lineRule="auto"/>
              <w:ind w:left="1341"/>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（注： 若报价人有违法违规行为而不说明的， 经查属实的， 直接取消成交资格）</w:t>
            </w:r>
          </w:p>
        </w:tc>
      </w:tr>
    </w:tbl>
    <w:p w14:paraId="321B41C1">
      <w:pPr>
        <w:pStyle w:val="3"/>
        <w:spacing w:before="0" w:after="0"/>
        <w:jc w:val="both"/>
        <w:rPr>
          <w:rFonts w:hint="eastAsia"/>
          <w:color w:val="auto"/>
          <w:highlight w:val="none"/>
        </w:rPr>
      </w:pPr>
    </w:p>
    <w:p w14:paraId="028D7612">
      <w:pPr>
        <w:pStyle w:val="3"/>
        <w:jc w:val="both"/>
        <w:rPr>
          <w:rFonts w:hint="eastAsia"/>
          <w:color w:val="auto"/>
          <w:highlight w:val="none"/>
        </w:rPr>
      </w:pPr>
    </w:p>
    <w:p w14:paraId="67E8D446">
      <w:pPr>
        <w:numPr>
          <w:ilvl w:val="0"/>
          <w:numId w:val="0"/>
        </w:numPr>
        <w:spacing w:before="0" w:line="360" w:lineRule="auto"/>
        <w:ind w:firstLine="482" w:firstLineChars="200"/>
        <w:rPr>
          <w:rFonts w:hint="default" w:asciiTheme="minorHAnsi" w:hAnsiTheme="minorHAnsi" w:eastAsiaTheme="minorEastAsia" w:cstheme="minorBidi"/>
          <w:b/>
          <w:bCs/>
          <w:color w:val="auto"/>
          <w:sz w:val="24"/>
          <w:szCs w:val="24"/>
          <w:highlight w:val="none"/>
        </w:rPr>
      </w:pPr>
      <w:r>
        <w:rPr>
          <w:rFonts w:hint="eastAsia" w:cstheme="minorBidi"/>
          <w:b/>
          <w:bCs/>
          <w:color w:val="auto"/>
          <w:spacing w:val="0"/>
          <w:sz w:val="24"/>
          <w:szCs w:val="24"/>
          <w:highlight w:val="none"/>
          <w:lang w:val="en-US" w:eastAsia="zh-CN"/>
        </w:rPr>
        <w:t>B部分</w:t>
      </w:r>
      <w:r>
        <w:rPr>
          <w:rFonts w:hint="default" w:asciiTheme="minorHAnsi" w:hAnsiTheme="minorHAnsi" w:eastAsiaTheme="minorEastAsia" w:cstheme="minorBidi"/>
          <w:b/>
          <w:bCs/>
          <w:color w:val="auto"/>
          <w:spacing w:val="0"/>
          <w:sz w:val="24"/>
          <w:szCs w:val="24"/>
          <w:highlight w:val="none"/>
        </w:rPr>
        <w:t>评分细则： （按四舍五入取至小数点后二位）</w:t>
      </w:r>
    </w:p>
    <w:tbl>
      <w:tblPr>
        <w:tblStyle w:val="35"/>
        <w:tblW w:w="1079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3"/>
        <w:gridCol w:w="890"/>
        <w:gridCol w:w="731"/>
        <w:gridCol w:w="7549"/>
      </w:tblGrid>
      <w:tr w14:paraId="59E14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623" w:type="dxa"/>
            <w:vAlign w:val="top"/>
          </w:tcPr>
          <w:p w14:paraId="54A93733">
            <w:pPr>
              <w:pStyle w:val="42"/>
              <w:spacing w:before="155" w:line="171" w:lineRule="auto"/>
              <w:ind w:left="286"/>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w:t>
            </w:r>
          </w:p>
        </w:tc>
        <w:tc>
          <w:tcPr>
            <w:tcW w:w="890" w:type="dxa"/>
            <w:vAlign w:val="top"/>
          </w:tcPr>
          <w:p w14:paraId="338FAECF">
            <w:pPr>
              <w:pStyle w:val="42"/>
              <w:spacing w:before="154" w:line="172" w:lineRule="auto"/>
              <w:ind w:left="176"/>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内容</w:t>
            </w:r>
          </w:p>
        </w:tc>
        <w:tc>
          <w:tcPr>
            <w:tcW w:w="731" w:type="dxa"/>
            <w:vAlign w:val="top"/>
          </w:tcPr>
          <w:p w14:paraId="0799251B">
            <w:pPr>
              <w:pStyle w:val="42"/>
              <w:spacing w:before="152" w:line="173" w:lineRule="auto"/>
              <w:ind w:left="32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分值</w:t>
            </w:r>
          </w:p>
        </w:tc>
        <w:tc>
          <w:tcPr>
            <w:tcW w:w="7549" w:type="dxa"/>
            <w:vAlign w:val="top"/>
          </w:tcPr>
          <w:p w14:paraId="7A8FA5ED">
            <w:pPr>
              <w:pStyle w:val="42"/>
              <w:spacing w:before="154" w:line="172" w:lineRule="auto"/>
              <w:ind w:left="3355"/>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评分标准</w:t>
            </w:r>
          </w:p>
        </w:tc>
      </w:tr>
      <w:tr w14:paraId="09E7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jc w:val="center"/>
        </w:trPr>
        <w:tc>
          <w:tcPr>
            <w:tcW w:w="1623" w:type="dxa"/>
            <w:vAlign w:val="top"/>
          </w:tcPr>
          <w:p w14:paraId="41F26BE4">
            <w:pPr>
              <w:pStyle w:val="42"/>
              <w:tabs>
                <w:tab w:val="left" w:pos="735"/>
              </w:tabs>
              <w:spacing w:before="85" w:line="282" w:lineRule="auto"/>
              <w:ind w:left="113" w:right="239" w:firstLine="1"/>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价格分 （ 20</w:t>
            </w:r>
            <w:r>
              <w:rPr>
                <w:rFonts w:hint="eastAsia" w:asciiTheme="minorHAnsi" w:hAnsiTheme="minorHAnsi" w:eastAsiaTheme="minorEastAsia" w:cstheme="minorBidi"/>
                <w:color w:val="auto"/>
                <w:spacing w:val="0"/>
                <w:kern w:val="2"/>
                <w:sz w:val="24"/>
                <w:szCs w:val="24"/>
                <w:highlight w:val="none"/>
                <w:lang w:val="en-US" w:eastAsia="zh-CN" w:bidi="ar-SA"/>
              </w:rPr>
              <w:tab/>
            </w:r>
            <w:r>
              <w:rPr>
                <w:rFonts w:hint="eastAsia" w:asciiTheme="minorHAnsi" w:hAnsiTheme="minorHAnsi" w:eastAsiaTheme="minorEastAsia" w:cstheme="minorBidi"/>
                <w:color w:val="auto"/>
                <w:spacing w:val="0"/>
                <w:kern w:val="2"/>
                <w:sz w:val="24"/>
                <w:szCs w:val="24"/>
                <w:highlight w:val="none"/>
                <w:lang w:val="en-US" w:eastAsia="zh-CN" w:bidi="ar-SA"/>
              </w:rPr>
              <w:t xml:space="preserve"> 分）</w:t>
            </w:r>
          </w:p>
        </w:tc>
        <w:tc>
          <w:tcPr>
            <w:tcW w:w="890" w:type="dxa"/>
            <w:vAlign w:val="center"/>
          </w:tcPr>
          <w:p w14:paraId="7B9DE6C6">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价格 分</w:t>
            </w:r>
          </w:p>
        </w:tc>
        <w:tc>
          <w:tcPr>
            <w:tcW w:w="731" w:type="dxa"/>
            <w:vAlign w:val="center"/>
          </w:tcPr>
          <w:p w14:paraId="6A66A8F6">
            <w:pPr>
              <w:pStyle w:val="42"/>
              <w:spacing w:before="86"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20</w:t>
            </w:r>
          </w:p>
        </w:tc>
        <w:tc>
          <w:tcPr>
            <w:tcW w:w="7549" w:type="dxa"/>
            <w:vAlign w:val="top"/>
          </w:tcPr>
          <w:p w14:paraId="65AF943C">
            <w:pPr>
              <w:pStyle w:val="42"/>
              <w:spacing w:before="146" w:line="218" w:lineRule="auto"/>
              <w:ind w:left="126"/>
              <w:rPr>
                <w:rFonts w:hint="default" w:asciiTheme="minorHAnsi" w:hAnsiTheme="minorHAnsi" w:eastAsiaTheme="minorEastAsia" w:cstheme="minorBidi"/>
                <w:color w:val="auto"/>
                <w:sz w:val="24"/>
                <w:szCs w:val="24"/>
                <w:highlight w:val="none"/>
                <w:lang w:eastAsia="zh-CN"/>
              </w:rPr>
            </w:pPr>
            <w:r>
              <w:rPr>
                <w:rFonts w:hint="default" w:asciiTheme="minorHAnsi" w:hAnsiTheme="minorHAnsi" w:eastAsiaTheme="minorEastAsia" w:cstheme="minorBidi"/>
                <w:color w:val="auto"/>
                <w:spacing w:val="0"/>
                <w:sz w:val="24"/>
                <w:szCs w:val="24"/>
                <w:highlight w:val="none"/>
                <w:lang w:eastAsia="zh-CN"/>
              </w:rPr>
              <w:t>1.价格分以有效供应商的最终报价计算 。评标价=有效供应商的最终报价。</w:t>
            </w:r>
          </w:p>
          <w:p w14:paraId="487E9A1D">
            <w:pPr>
              <w:pStyle w:val="42"/>
              <w:spacing w:before="89" w:line="277" w:lineRule="auto"/>
              <w:ind w:left="113" w:right="143" w:hanging="3"/>
              <w:rPr>
                <w:rFonts w:hint="default" w:asciiTheme="minorHAnsi" w:hAnsiTheme="minorHAnsi" w:eastAsiaTheme="minorEastAsia" w:cstheme="minorBidi"/>
                <w:color w:val="auto"/>
                <w:sz w:val="24"/>
                <w:szCs w:val="24"/>
                <w:highlight w:val="none"/>
                <w:lang w:eastAsia="zh-CN"/>
              </w:rPr>
            </w:pPr>
            <w:r>
              <w:rPr>
                <w:rFonts w:hint="default" w:asciiTheme="minorHAnsi" w:hAnsiTheme="minorHAnsi" w:eastAsiaTheme="minorEastAsia" w:cstheme="minorBidi"/>
                <w:color w:val="auto"/>
                <w:spacing w:val="0"/>
                <w:sz w:val="24"/>
                <w:szCs w:val="24"/>
                <w:highlight w:val="none"/>
                <w:lang w:eastAsia="zh-CN"/>
              </w:rPr>
              <w:t>2.有效报价范围： 为通过资格和符合性审查 、最终报价低于或等于采购控制价的报价。</w:t>
            </w:r>
          </w:p>
          <w:p w14:paraId="343B5640">
            <w:pPr>
              <w:pStyle w:val="42"/>
              <w:spacing w:before="7" w:line="226" w:lineRule="auto"/>
              <w:ind w:left="111" w:right="1649"/>
              <w:rPr>
                <w:rFonts w:hint="eastAsia" w:asciiTheme="minorHAnsi" w:hAnsiTheme="minorHAnsi" w:eastAsiaTheme="minorEastAsia" w:cstheme="minorBidi"/>
                <w:color w:val="auto"/>
                <w:spacing w:val="0"/>
                <w:kern w:val="2"/>
                <w:sz w:val="24"/>
                <w:szCs w:val="24"/>
                <w:highlight w:val="none"/>
                <w:lang w:val="en-US" w:eastAsia="zh-CN" w:bidi="ar-SA"/>
              </w:rPr>
            </w:pPr>
            <w:r>
              <w:rPr>
                <w:rFonts w:hint="default" w:asciiTheme="minorHAnsi" w:hAnsiTheme="minorHAnsi" w:eastAsiaTheme="minorEastAsia" w:cstheme="minorBidi"/>
                <w:color w:val="auto"/>
                <w:spacing w:val="0"/>
                <w:sz w:val="24"/>
                <w:szCs w:val="24"/>
                <w:highlight w:val="none"/>
                <w:lang w:eastAsia="zh-CN"/>
              </w:rPr>
              <w:t>3.评标基准价=有效供应商的最低最终报价， 其价格分得 20 分。</w:t>
            </w:r>
            <w:r>
              <w:rPr>
                <w:rFonts w:hint="default" w:asciiTheme="minorHAnsi" w:hAnsiTheme="minorHAnsi" w:eastAsiaTheme="minorEastAsia" w:cstheme="minorBidi"/>
                <w:color w:val="auto"/>
                <w:sz w:val="24"/>
                <w:szCs w:val="24"/>
                <w:highlight w:val="none"/>
                <w:lang w:eastAsia="zh-CN"/>
              </w:rPr>
              <w:t xml:space="preserve"> </w:t>
            </w:r>
            <w:r>
              <w:rPr>
                <w:rFonts w:hint="default" w:asciiTheme="minorHAnsi" w:hAnsiTheme="minorHAnsi" w:eastAsiaTheme="minorEastAsia" w:cstheme="minorBidi"/>
                <w:color w:val="auto"/>
                <w:spacing w:val="0"/>
                <w:sz w:val="24"/>
                <w:szCs w:val="24"/>
                <w:highlight w:val="none"/>
                <w:lang w:eastAsia="zh-CN"/>
              </w:rPr>
              <w:t>其他供应商报价分=评标基准价/评标价*20。</w:t>
            </w:r>
          </w:p>
        </w:tc>
      </w:tr>
      <w:tr w14:paraId="10898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jc w:val="center"/>
        </w:trPr>
        <w:tc>
          <w:tcPr>
            <w:tcW w:w="1623" w:type="dxa"/>
            <w:vMerge w:val="restart"/>
            <w:tcBorders>
              <w:bottom w:val="nil"/>
            </w:tcBorders>
            <w:vAlign w:val="top"/>
          </w:tcPr>
          <w:p w14:paraId="54EA48B0">
            <w:pPr>
              <w:rPr>
                <w:rFonts w:hint="eastAsia" w:asciiTheme="minorHAnsi" w:hAnsiTheme="minorHAnsi" w:eastAsiaTheme="minorEastAsia" w:cstheme="minorBidi"/>
                <w:color w:val="auto"/>
                <w:spacing w:val="0"/>
                <w:kern w:val="2"/>
                <w:sz w:val="24"/>
                <w:szCs w:val="24"/>
                <w:highlight w:val="none"/>
                <w:lang w:val="en-US" w:eastAsia="zh-CN" w:bidi="ar-SA"/>
              </w:rPr>
            </w:pPr>
          </w:p>
          <w:p w14:paraId="699C4734">
            <w:pPr>
              <w:pStyle w:val="42"/>
              <w:tabs>
                <w:tab w:val="left" w:pos="735"/>
              </w:tabs>
              <w:spacing w:before="86" w:line="282" w:lineRule="auto"/>
              <w:ind w:right="239"/>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商务分</w:t>
            </w:r>
          </w:p>
          <w:p w14:paraId="695C90EF">
            <w:pPr>
              <w:pStyle w:val="42"/>
              <w:tabs>
                <w:tab w:val="left" w:pos="735"/>
              </w:tabs>
              <w:spacing w:before="86" w:line="282" w:lineRule="auto"/>
              <w:ind w:right="239"/>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（15分）</w:t>
            </w:r>
          </w:p>
        </w:tc>
        <w:tc>
          <w:tcPr>
            <w:tcW w:w="890" w:type="dxa"/>
            <w:vAlign w:val="top"/>
          </w:tcPr>
          <w:p w14:paraId="7AAEF4C3">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业绩 分</w:t>
            </w:r>
          </w:p>
        </w:tc>
        <w:tc>
          <w:tcPr>
            <w:tcW w:w="731" w:type="dxa"/>
            <w:vAlign w:val="center"/>
          </w:tcPr>
          <w:p w14:paraId="0AA79541">
            <w:pPr>
              <w:pStyle w:val="42"/>
              <w:spacing w:before="86" w:line="165"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9</w:t>
            </w:r>
          </w:p>
        </w:tc>
        <w:tc>
          <w:tcPr>
            <w:tcW w:w="7549" w:type="dxa"/>
            <w:vAlign w:val="top"/>
          </w:tcPr>
          <w:p w14:paraId="28CFA828">
            <w:pPr>
              <w:pStyle w:val="42"/>
              <w:spacing w:before="147" w:line="272" w:lineRule="auto"/>
              <w:ind w:left="108" w:right="107" w:hanging="1"/>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供应商 2020 年1月1日至今的类似项目业绩且无不良记录的，每有一项为机关、企业 、事业单位等提供体检项目的类似项目业绩的得3 分， 满分 9 分 。 （需提供合同复印件或中标（成交）通知书， 否则不计分）</w:t>
            </w:r>
          </w:p>
        </w:tc>
      </w:tr>
      <w:tr w14:paraId="73ED5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9" w:hRule="atLeast"/>
          <w:jc w:val="center"/>
        </w:trPr>
        <w:tc>
          <w:tcPr>
            <w:tcW w:w="1623" w:type="dxa"/>
            <w:vMerge w:val="continue"/>
            <w:tcBorders>
              <w:top w:val="nil"/>
            </w:tcBorders>
            <w:vAlign w:val="top"/>
          </w:tcPr>
          <w:p w14:paraId="47E6976F">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890" w:type="dxa"/>
            <w:vAlign w:val="top"/>
          </w:tcPr>
          <w:p w14:paraId="6DC6B7BD">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履约能力分</w:t>
            </w:r>
          </w:p>
        </w:tc>
        <w:tc>
          <w:tcPr>
            <w:tcW w:w="731" w:type="dxa"/>
            <w:vAlign w:val="center"/>
          </w:tcPr>
          <w:p w14:paraId="049B0EC1">
            <w:pPr>
              <w:pStyle w:val="42"/>
              <w:spacing w:before="86" w:line="165"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6</w:t>
            </w:r>
          </w:p>
        </w:tc>
        <w:tc>
          <w:tcPr>
            <w:tcW w:w="7549" w:type="dxa"/>
            <w:vAlign w:val="top"/>
          </w:tcPr>
          <w:p w14:paraId="3AB4761E">
            <w:pPr>
              <w:pStyle w:val="42"/>
              <w:spacing w:before="92" w:line="247" w:lineRule="auto"/>
              <w:ind w:left="112" w:right="142" w:firstLine="4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 供应商有专门体检中心或体检部且成立了 5 年或以上的得 2 分， 成立了 10 年或以上的得 5分 。 （需提供证明材料， 加盖单位公章， 否则不计分）</w:t>
            </w:r>
          </w:p>
          <w:p w14:paraId="3D14A493">
            <w:pPr>
              <w:pStyle w:val="42"/>
              <w:spacing w:before="96" w:line="225" w:lineRule="auto"/>
              <w:ind w:left="112" w:right="162" w:firstLine="41"/>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 供应商须至少提供1台车载DR体检车，2台或以上得 1 分 。 （需提供本单位所有或南宁市内租赁合同证明材料， 加盖单位公章， 否则不计分）</w:t>
            </w:r>
          </w:p>
        </w:tc>
      </w:tr>
      <w:tr w14:paraId="4F335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3" w:hRule="atLeast"/>
          <w:jc w:val="center"/>
        </w:trPr>
        <w:tc>
          <w:tcPr>
            <w:tcW w:w="1623" w:type="dxa"/>
            <w:vMerge w:val="restart"/>
            <w:vAlign w:val="top"/>
          </w:tcPr>
          <w:p w14:paraId="01003606">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083A2298">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45A49EF5">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18D56585">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33F5A907">
            <w:pPr>
              <w:spacing w:line="257"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7E318F35">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6B34099F">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3EA92998">
            <w:pPr>
              <w:spacing w:line="258"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3443603D">
            <w:pPr>
              <w:pStyle w:val="42"/>
              <w:tabs>
                <w:tab w:val="left" w:pos="735"/>
              </w:tabs>
              <w:spacing w:before="86" w:line="283" w:lineRule="auto"/>
              <w:ind w:left="113" w:right="239" w:firstLine="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技术分</w:t>
            </w:r>
          </w:p>
          <w:p w14:paraId="0CE9D36C">
            <w:pPr>
              <w:pStyle w:val="42"/>
              <w:tabs>
                <w:tab w:val="left" w:pos="735"/>
              </w:tabs>
              <w:spacing w:before="86" w:line="283" w:lineRule="auto"/>
              <w:ind w:left="113" w:right="239" w:firstLine="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（65 分）</w:t>
            </w:r>
          </w:p>
        </w:tc>
        <w:tc>
          <w:tcPr>
            <w:tcW w:w="890" w:type="dxa"/>
            <w:tcBorders>
              <w:bottom w:val="single" w:color="000000" w:sz="2" w:space="0"/>
            </w:tcBorders>
            <w:vAlign w:val="top"/>
          </w:tcPr>
          <w:p w14:paraId="637C21BD">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7DE389E2">
            <w:pPr>
              <w:spacing w:line="276" w:lineRule="auto"/>
              <w:rPr>
                <w:rFonts w:hint="eastAsia" w:asciiTheme="minorHAnsi" w:hAnsiTheme="minorHAnsi" w:eastAsiaTheme="minorEastAsia" w:cstheme="minorBidi"/>
                <w:color w:val="auto"/>
                <w:spacing w:val="0"/>
                <w:kern w:val="2"/>
                <w:sz w:val="24"/>
                <w:szCs w:val="24"/>
                <w:highlight w:val="none"/>
                <w:lang w:val="en-US" w:eastAsia="zh-CN" w:bidi="ar-SA"/>
              </w:rPr>
            </w:pPr>
          </w:p>
          <w:p w14:paraId="704B94CE">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 实施 人员</w:t>
            </w:r>
          </w:p>
        </w:tc>
        <w:tc>
          <w:tcPr>
            <w:tcW w:w="731" w:type="dxa"/>
            <w:tcBorders>
              <w:bottom w:val="single" w:color="000000" w:sz="2" w:space="0"/>
            </w:tcBorders>
            <w:vAlign w:val="center"/>
          </w:tcPr>
          <w:p w14:paraId="58D5D74E">
            <w:pPr>
              <w:pStyle w:val="42"/>
              <w:spacing w:before="86"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20</w:t>
            </w:r>
          </w:p>
        </w:tc>
        <w:tc>
          <w:tcPr>
            <w:tcW w:w="7549" w:type="dxa"/>
            <w:vAlign w:val="top"/>
          </w:tcPr>
          <w:p w14:paraId="38CD6342">
            <w:pPr>
              <w:pStyle w:val="42"/>
              <w:spacing w:before="151" w:line="257" w:lineRule="auto"/>
              <w:ind w:left="113" w:right="107" w:firstLine="4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1.拟投入项目实施医务人员不少于 10 人， 11 人至19 人得 3 分， 20人至 29   人得 4 分，30 人及以上得 5 分， 满分5分； （响应文件中提供项目实施人员清单， 否则不计分）</w:t>
            </w:r>
          </w:p>
          <w:p w14:paraId="4AC41820">
            <w:pPr>
              <w:pStyle w:val="42"/>
              <w:spacing w:before="96" w:line="213" w:lineRule="auto"/>
              <w:ind w:left="153"/>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2.项目负责人为主任医师或以上的，得5分，满分5分；（响应文件提供项目负责人的职称证书复印件和执业资格证复印件，否则不计分）</w:t>
            </w:r>
          </w:p>
          <w:p w14:paraId="1AFB44FE">
            <w:pPr>
              <w:pStyle w:val="42"/>
              <w:spacing w:before="25" w:line="274" w:lineRule="auto"/>
              <w:ind w:left="109" w:right="108" w:firstLine="44"/>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3.拟投入项目实施人员中具有高级职称的医护人员在 3 人的基础上，每增加 1 人加 2 分， 满分 10 分； （响应文件提供项目实施人员的职称证书复印件和执业资格证复印件，否则不计分）</w:t>
            </w:r>
          </w:p>
        </w:tc>
      </w:tr>
      <w:tr w14:paraId="5A931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6" w:hRule="atLeast"/>
          <w:jc w:val="center"/>
        </w:trPr>
        <w:tc>
          <w:tcPr>
            <w:tcW w:w="1623" w:type="dxa"/>
            <w:vMerge w:val="continue"/>
            <w:vAlign w:val="top"/>
          </w:tcPr>
          <w:p w14:paraId="2F31023A">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890" w:type="dxa"/>
            <w:tcBorders>
              <w:top w:val="single" w:color="000000" w:sz="2" w:space="0"/>
              <w:bottom w:val="single" w:color="000000" w:sz="2" w:space="0"/>
            </w:tcBorders>
            <w:vAlign w:val="top"/>
          </w:tcPr>
          <w:p w14:paraId="31BDA880">
            <w:pPr>
              <w:pStyle w:val="42"/>
              <w:spacing w:before="156" w:line="224" w:lineRule="auto"/>
              <w:ind w:left="151" w:right="151" w:firstLine="3"/>
              <w:rPr>
                <w:rFonts w:hint="eastAsia" w:asciiTheme="minorHAnsi" w:hAnsiTheme="minorHAnsi" w:eastAsiaTheme="minorEastAsia" w:cstheme="minorBidi"/>
                <w:color w:val="auto"/>
                <w:spacing w:val="0"/>
                <w:kern w:val="2"/>
                <w:sz w:val="24"/>
                <w:szCs w:val="24"/>
                <w:highlight w:val="none"/>
                <w:lang w:val="en-US" w:eastAsia="zh-CN" w:bidi="ar-SA"/>
              </w:rPr>
            </w:pPr>
          </w:p>
          <w:p w14:paraId="08453FA7">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体检 相关配套 服务</w:t>
            </w:r>
          </w:p>
        </w:tc>
        <w:tc>
          <w:tcPr>
            <w:tcW w:w="731" w:type="dxa"/>
            <w:tcBorders>
              <w:top w:val="single" w:color="000000" w:sz="2" w:space="0"/>
              <w:bottom w:val="single" w:color="000000" w:sz="2" w:space="0"/>
            </w:tcBorders>
            <w:vAlign w:val="center"/>
          </w:tcPr>
          <w:p w14:paraId="275739A9">
            <w:pPr>
              <w:pStyle w:val="42"/>
              <w:spacing w:before="85"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21</w:t>
            </w:r>
          </w:p>
        </w:tc>
        <w:tc>
          <w:tcPr>
            <w:tcW w:w="7549" w:type="dxa"/>
            <w:vAlign w:val="top"/>
          </w:tcPr>
          <w:p w14:paraId="7F408804">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根据供应商提供体检相关配套服务进行打分，体检相关配套服务包含但不限于一般的体检相关配套服务 、对体检结果的处理措施 、体检人员健康总体评价 、建立健康档案 、增值服务等， 不提供不得分。</w:t>
            </w:r>
          </w:p>
          <w:p w14:paraId="1D087B3E">
            <w:pPr>
              <w:pStyle w:val="42"/>
              <w:spacing w:before="151" w:line="257" w:lineRule="auto"/>
              <w:ind w:left="113" w:right="107" w:firstLine="4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一档 （15 分）： 有针对体检结果的处理、个人隐私资料的保密措施，体检相关配套服务简单， 无针对性。</w:t>
            </w:r>
          </w:p>
          <w:p w14:paraId="750A6C7D">
            <w:pPr>
              <w:pStyle w:val="42"/>
              <w:spacing w:before="21" w:line="258" w:lineRule="auto"/>
              <w:ind w:left="105" w:right="143" w:firstLine="5"/>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二档 （18分）： 体检相关配套服务较详细， 有针对体检结果的处理、个人隐私资料的保密措施，有针对体检结果的处理及增值服务承诺。</w:t>
            </w:r>
          </w:p>
          <w:p w14:paraId="45DF2F75">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三档（ 21分）： 体检相关配套服务详细，有针对体检结果的处理、个人隐私资料保密措施， 有体检人员健康总体评价， 能做到检后的健康监控跟踪等， 能建立精准健康档案及至少两项增值服务承诺。支持互联网线上个人查询化验结果。</w:t>
            </w:r>
          </w:p>
        </w:tc>
      </w:tr>
      <w:tr w14:paraId="5F264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6" w:hRule="atLeast"/>
          <w:jc w:val="center"/>
        </w:trPr>
        <w:tc>
          <w:tcPr>
            <w:tcW w:w="1623" w:type="dxa"/>
            <w:vMerge w:val="continue"/>
            <w:tcBorders>
              <w:bottom w:val="single" w:color="000000" w:sz="2" w:space="0"/>
            </w:tcBorders>
            <w:vAlign w:val="top"/>
          </w:tcPr>
          <w:p w14:paraId="55007462">
            <w:pPr>
              <w:rPr>
                <w:rFonts w:hint="eastAsia" w:asciiTheme="minorHAnsi" w:hAnsiTheme="minorHAnsi" w:eastAsiaTheme="minorEastAsia" w:cstheme="minorBidi"/>
                <w:color w:val="auto"/>
                <w:spacing w:val="0"/>
                <w:kern w:val="2"/>
                <w:sz w:val="24"/>
                <w:szCs w:val="24"/>
                <w:highlight w:val="none"/>
                <w:lang w:val="en-US" w:eastAsia="zh-CN" w:bidi="ar-SA"/>
              </w:rPr>
            </w:pPr>
          </w:p>
        </w:tc>
        <w:tc>
          <w:tcPr>
            <w:tcW w:w="890" w:type="dxa"/>
            <w:tcBorders>
              <w:top w:val="single" w:color="000000" w:sz="2" w:space="0"/>
              <w:bottom w:val="single" w:color="000000" w:sz="2" w:space="0"/>
            </w:tcBorders>
            <w:vAlign w:val="top"/>
          </w:tcPr>
          <w:p w14:paraId="31F7A729">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服务 方案</w:t>
            </w:r>
          </w:p>
        </w:tc>
        <w:tc>
          <w:tcPr>
            <w:tcW w:w="731" w:type="dxa"/>
            <w:tcBorders>
              <w:top w:val="single" w:color="000000" w:sz="2" w:space="0"/>
              <w:bottom w:val="single" w:color="000000" w:sz="2" w:space="0"/>
            </w:tcBorders>
            <w:vAlign w:val="center"/>
          </w:tcPr>
          <w:p w14:paraId="39DA7D5D">
            <w:pPr>
              <w:pStyle w:val="42"/>
              <w:spacing w:before="85"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24</w:t>
            </w:r>
          </w:p>
        </w:tc>
        <w:tc>
          <w:tcPr>
            <w:tcW w:w="7549" w:type="dxa"/>
            <w:vAlign w:val="top"/>
          </w:tcPr>
          <w:p w14:paraId="500A0F94">
            <w:pPr>
              <w:pStyle w:val="42"/>
              <w:spacing w:before="149" w:line="263" w:lineRule="auto"/>
              <w:ind w:left="107" w:right="107" w:firstLine="27"/>
              <w:jc w:val="both"/>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根据供应商提供的服务方案进行打分，服务方案包含但不限于体检服务方案， 医疗保障方案， 职业健康安全保障制度， 应急措施（预案）， 不提供不得分。</w:t>
            </w:r>
          </w:p>
          <w:p w14:paraId="5AD06999">
            <w:pPr>
              <w:pStyle w:val="42"/>
              <w:spacing w:before="72" w:line="213" w:lineRule="auto"/>
              <w:ind w:left="110"/>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一档 （18分）： 服务方案简单基本满足项目要求。</w:t>
            </w:r>
          </w:p>
          <w:p w14:paraId="0B293E31">
            <w:pPr>
              <w:pStyle w:val="42"/>
              <w:spacing w:before="93" w:line="256" w:lineRule="auto"/>
              <w:ind w:left="113" w:right="143" w:hanging="3"/>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二档 （21分）： 服务方案满足项目要求， 提供的方案较为健全， 措施得当并符合实际的。</w:t>
            </w:r>
          </w:p>
          <w:p w14:paraId="3539EAB6">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三档（24分）：提供的方案较为健全，措施得当并符合实际的，现场有医生讲解、 有体检服务后义诊 、提供健康讲座 、有单位汇总报告分析 ，能到学校为传染病（如肺结核）筛查提供协助服务的，或提出优于采购文件售后服务要求的其他有利于采购人的优化服务措施且被评审小组接受。</w:t>
            </w:r>
          </w:p>
        </w:tc>
      </w:tr>
      <w:tr w14:paraId="2FA3C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2513" w:type="dxa"/>
            <w:gridSpan w:val="2"/>
            <w:tcBorders>
              <w:top w:val="single" w:color="000000" w:sz="2" w:space="0"/>
              <w:bottom w:val="single" w:color="000000" w:sz="2" w:space="0"/>
            </w:tcBorders>
            <w:vAlign w:val="top"/>
          </w:tcPr>
          <w:p w14:paraId="74EE19CB">
            <w:pPr>
              <w:pStyle w:val="42"/>
              <w:spacing w:before="156" w:line="224" w:lineRule="auto"/>
              <w:ind w:left="151" w:right="151" w:firstLine="3"/>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合计</w:t>
            </w:r>
          </w:p>
        </w:tc>
        <w:tc>
          <w:tcPr>
            <w:tcW w:w="731" w:type="dxa"/>
            <w:tcBorders>
              <w:top w:val="single" w:color="000000" w:sz="2" w:space="0"/>
              <w:bottom w:val="single" w:color="000000" w:sz="2" w:space="0"/>
            </w:tcBorders>
            <w:vAlign w:val="center"/>
          </w:tcPr>
          <w:p w14:paraId="25980172">
            <w:pPr>
              <w:pStyle w:val="42"/>
              <w:spacing w:before="85" w:line="167"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100</w:t>
            </w:r>
          </w:p>
        </w:tc>
        <w:tc>
          <w:tcPr>
            <w:tcW w:w="7549" w:type="dxa"/>
            <w:vAlign w:val="top"/>
          </w:tcPr>
          <w:p w14:paraId="15525466">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综合得分=价格分+商务分+技术分</w:t>
            </w:r>
          </w:p>
        </w:tc>
      </w:tr>
      <w:tr w14:paraId="66570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10793" w:type="dxa"/>
            <w:gridSpan w:val="4"/>
            <w:tcBorders>
              <w:top w:val="single" w:color="000000" w:sz="2" w:space="0"/>
            </w:tcBorders>
            <w:vAlign w:val="top"/>
          </w:tcPr>
          <w:p w14:paraId="2FDD7326">
            <w:pPr>
              <w:pStyle w:val="42"/>
              <w:spacing w:before="153" w:line="225" w:lineRule="auto"/>
              <w:ind w:left="110" w:right="109" w:firstLine="24"/>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（注： 若报价人有违法违规行为而不说明的， 经查属实的， 直接取消成交资格）</w:t>
            </w:r>
          </w:p>
        </w:tc>
      </w:tr>
    </w:tbl>
    <w:p w14:paraId="0C7309C2">
      <w:pPr>
        <w:spacing w:before="38"/>
        <w:rPr>
          <w:rFonts w:hint="eastAsia" w:asciiTheme="minorHAnsi" w:hAnsiTheme="minorHAnsi" w:eastAsiaTheme="minorEastAsia" w:cstheme="minorBidi"/>
          <w:color w:val="auto"/>
          <w:spacing w:val="0"/>
          <w:kern w:val="2"/>
          <w:sz w:val="24"/>
          <w:szCs w:val="24"/>
          <w:highlight w:val="none"/>
          <w:lang w:val="en-US" w:eastAsia="zh-CN" w:bidi="ar-SA"/>
        </w:rPr>
      </w:pPr>
    </w:p>
    <w:p w14:paraId="367959FA">
      <w:pPr>
        <w:rPr>
          <w:rFonts w:hint="eastAsia"/>
          <w:color w:val="auto"/>
        </w:rPr>
        <w:sectPr>
          <w:footerReference r:id="rId3" w:type="default"/>
          <w:pgSz w:w="11906" w:h="16839"/>
          <w:pgMar w:top="718" w:right="875" w:bottom="801" w:left="874" w:header="859" w:footer="994" w:gutter="0"/>
          <w:pgBorders>
            <w:top w:val="none" w:sz="0" w:space="0"/>
            <w:left w:val="none" w:sz="0" w:space="0"/>
            <w:bottom w:val="none" w:sz="0" w:space="0"/>
            <w:right w:val="none" w:sz="0" w:space="0"/>
          </w:pgBorders>
          <w:pgNumType w:fmt="decimal"/>
          <w:cols w:space="720" w:num="1"/>
        </w:sectPr>
      </w:pPr>
    </w:p>
    <w:p w14:paraId="6ADE66EB">
      <w:pPr>
        <w:pStyle w:val="14"/>
        <w:widowControl/>
        <w:numPr>
          <w:ilvl w:val="0"/>
          <w:numId w:val="0"/>
        </w:numPr>
        <w:spacing w:line="240" w:lineRule="auto"/>
        <w:jc w:val="left"/>
        <w:rPr>
          <w:rFonts w:hint="eastAsia" w:asciiTheme="minorHAnsi" w:hAnsiTheme="minorHAnsi" w:eastAsiaTheme="minorEastAsia" w:cstheme="minorBidi"/>
          <w:color w:val="auto"/>
          <w:spacing w:val="0"/>
          <w:kern w:val="2"/>
          <w:sz w:val="32"/>
          <w:szCs w:val="32"/>
          <w:highlight w:val="none"/>
          <w:lang w:val="en-US" w:eastAsia="zh-CN" w:bidi="ar-SA"/>
        </w:rPr>
      </w:pPr>
      <w:r>
        <w:rPr>
          <w:rFonts w:hint="eastAsia" w:asciiTheme="minorHAnsi" w:hAnsiTheme="minorHAnsi" w:eastAsiaTheme="minorEastAsia" w:cstheme="minorBidi"/>
          <w:color w:val="auto"/>
          <w:spacing w:val="0"/>
          <w:kern w:val="2"/>
          <w:sz w:val="32"/>
          <w:szCs w:val="32"/>
          <w:highlight w:val="none"/>
          <w:lang w:val="en-US" w:eastAsia="zh-CN" w:bidi="ar-SA"/>
        </w:rPr>
        <w:t xml:space="preserve">附件二：         </w:t>
      </w:r>
    </w:p>
    <w:p w14:paraId="234DF87A">
      <w:pPr>
        <w:pStyle w:val="14"/>
        <w:widowControl/>
        <w:numPr>
          <w:ilvl w:val="0"/>
          <w:numId w:val="0"/>
        </w:numPr>
        <w:spacing w:line="240" w:lineRule="auto"/>
        <w:jc w:val="left"/>
        <w:rPr>
          <w:rFonts w:hint="eastAsia" w:asciiTheme="minorHAnsi" w:hAnsiTheme="minorHAnsi" w:eastAsiaTheme="minorEastAsia" w:cstheme="minorBidi"/>
          <w:color w:val="auto"/>
          <w:spacing w:val="0"/>
          <w:kern w:val="2"/>
          <w:sz w:val="32"/>
          <w:szCs w:val="32"/>
          <w:highlight w:val="none"/>
          <w:lang w:val="en-US" w:eastAsia="zh-CN" w:bidi="ar-SA"/>
        </w:rPr>
      </w:pPr>
    </w:p>
    <w:p w14:paraId="374FAEA9">
      <w:pPr>
        <w:pStyle w:val="14"/>
        <w:widowControl/>
        <w:numPr>
          <w:ilvl w:val="0"/>
          <w:numId w:val="0"/>
        </w:numPr>
        <w:spacing w:line="240" w:lineRule="auto"/>
        <w:jc w:val="left"/>
        <w:rPr>
          <w:rFonts w:hint="eastAsia" w:asciiTheme="minorHAnsi" w:hAnsiTheme="minorHAnsi" w:eastAsiaTheme="minorEastAsia" w:cstheme="minorBidi"/>
          <w:color w:val="auto"/>
          <w:spacing w:val="0"/>
          <w:kern w:val="2"/>
          <w:sz w:val="32"/>
          <w:szCs w:val="32"/>
          <w:highlight w:val="none"/>
          <w:lang w:val="en-US" w:eastAsia="zh-CN" w:bidi="ar-SA"/>
        </w:rPr>
      </w:pPr>
      <w:r>
        <w:rPr>
          <w:rFonts w:hint="eastAsia" w:asciiTheme="minorHAnsi" w:hAnsiTheme="minorHAnsi" w:cstheme="minorBidi"/>
          <w:color w:val="auto"/>
          <w:spacing w:val="0"/>
          <w:kern w:val="2"/>
          <w:sz w:val="32"/>
          <w:szCs w:val="32"/>
          <w:highlight w:val="none"/>
          <w:lang w:val="en-US" w:eastAsia="zh-CN" w:bidi="ar-SA"/>
        </w:rPr>
        <w:t>A部分</w:t>
      </w:r>
      <w:r>
        <w:rPr>
          <w:rFonts w:hint="eastAsia" w:asciiTheme="minorHAnsi" w:hAnsiTheme="minorHAnsi" w:eastAsiaTheme="minorEastAsia" w:cstheme="minorBidi"/>
          <w:color w:val="auto"/>
          <w:spacing w:val="0"/>
          <w:kern w:val="2"/>
          <w:sz w:val="32"/>
          <w:szCs w:val="32"/>
          <w:highlight w:val="none"/>
          <w:lang w:val="en-US" w:eastAsia="zh-CN" w:bidi="ar-SA"/>
        </w:rPr>
        <w:t xml:space="preserve"> 新生入学体检报价表</w:t>
      </w:r>
    </w:p>
    <w:p w14:paraId="22DF3A6B">
      <w:pPr>
        <w:pStyle w:val="14"/>
        <w:widowControl/>
        <w:numPr>
          <w:ilvl w:val="0"/>
          <w:numId w:val="0"/>
        </w:numPr>
        <w:spacing w:line="240" w:lineRule="auto"/>
        <w:ind w:firstLine="960" w:firstLineChars="400"/>
        <w:jc w:val="left"/>
        <w:rPr>
          <w:rFonts w:hint="eastAsia" w:asciiTheme="minorHAnsi" w:hAnsiTheme="minorHAnsi" w:eastAsiaTheme="minorEastAsia" w:cstheme="minorBidi"/>
          <w:color w:val="auto"/>
          <w:spacing w:val="0"/>
          <w:kern w:val="2"/>
          <w:sz w:val="24"/>
          <w:szCs w:val="24"/>
          <w:highlight w:val="none"/>
          <w:lang w:val="en-US" w:eastAsia="zh-CN" w:bidi="ar-SA"/>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2190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42BE3C86">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项目名称</w:t>
            </w:r>
          </w:p>
        </w:tc>
        <w:tc>
          <w:tcPr>
            <w:tcW w:w="4644" w:type="dxa"/>
          </w:tcPr>
          <w:p w14:paraId="28D03716">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含税单价（元）</w:t>
            </w:r>
          </w:p>
        </w:tc>
      </w:tr>
      <w:tr w14:paraId="6AFA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0842C7A0">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一般检查：（身高、体重、血压）</w:t>
            </w:r>
          </w:p>
        </w:tc>
        <w:tc>
          <w:tcPr>
            <w:tcW w:w="4644" w:type="dxa"/>
          </w:tcPr>
          <w:p w14:paraId="6B4719D9">
            <w:pPr>
              <w:pStyle w:val="14"/>
              <w:widowControl/>
              <w:numPr>
                <w:ilvl w:val="0"/>
                <w:numId w:val="0"/>
              </w:numPr>
              <w:spacing w:line="240" w:lineRule="auto"/>
              <w:jc w:val="both"/>
              <w:rPr>
                <w:rFonts w:hint="eastAsia" w:asciiTheme="minorHAnsi" w:hAnsiTheme="minorHAnsi" w:eastAsiaTheme="minorEastAsia" w:cstheme="minorBidi"/>
                <w:color w:val="auto"/>
                <w:spacing w:val="0"/>
                <w:kern w:val="2"/>
                <w:sz w:val="24"/>
                <w:szCs w:val="24"/>
                <w:highlight w:val="none"/>
                <w:lang w:val="en-US" w:eastAsia="zh-CN" w:bidi="ar-SA"/>
              </w:rPr>
            </w:pPr>
          </w:p>
        </w:tc>
      </w:tr>
      <w:tr w14:paraId="363A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2825081F">
            <w:pPr>
              <w:keepNext w:val="0"/>
              <w:keepLines w:val="0"/>
              <w:pageBreakBefore w:val="0"/>
              <w:widowControl w:val="0"/>
              <w:kinsoku/>
              <w:wordWrap/>
              <w:overflowPunct/>
              <w:topLinePunct w:val="0"/>
              <w:bidi w:val="0"/>
              <w:adjustRightInd/>
              <w:snapToGrid/>
              <w:spacing w:line="360" w:lineRule="auto"/>
              <w:ind w:firstLine="2160" w:firstLineChars="900"/>
              <w:jc w:val="both"/>
              <w:textAlignment w:val="auto"/>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内科检查</w:t>
            </w:r>
          </w:p>
        </w:tc>
        <w:tc>
          <w:tcPr>
            <w:tcW w:w="4644" w:type="dxa"/>
          </w:tcPr>
          <w:p w14:paraId="322F6E86">
            <w:pPr>
              <w:pStyle w:val="14"/>
              <w:widowControl/>
              <w:numPr>
                <w:ilvl w:val="0"/>
                <w:numId w:val="0"/>
              </w:numPr>
              <w:spacing w:line="240" w:lineRule="auto"/>
              <w:jc w:val="both"/>
              <w:rPr>
                <w:rFonts w:hint="eastAsia" w:asciiTheme="minorHAnsi" w:hAnsiTheme="minorHAnsi" w:eastAsiaTheme="minorEastAsia" w:cstheme="minorBidi"/>
                <w:color w:val="auto"/>
                <w:spacing w:val="0"/>
                <w:kern w:val="2"/>
                <w:sz w:val="24"/>
                <w:szCs w:val="24"/>
                <w:highlight w:val="none"/>
                <w:lang w:val="en-US" w:eastAsia="zh-CN" w:bidi="ar-SA"/>
              </w:rPr>
            </w:pPr>
          </w:p>
        </w:tc>
      </w:tr>
      <w:tr w14:paraId="4CB4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535A3781">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外科检查</w:t>
            </w:r>
          </w:p>
        </w:tc>
        <w:tc>
          <w:tcPr>
            <w:tcW w:w="4644" w:type="dxa"/>
          </w:tcPr>
          <w:p w14:paraId="32C09719">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3A36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60D419B1">
            <w:pPr>
              <w:pStyle w:val="14"/>
              <w:widowControl/>
              <w:numPr>
                <w:ilvl w:val="0"/>
                <w:numId w:val="0"/>
              </w:numPr>
              <w:spacing w:line="240" w:lineRule="auto"/>
              <w:jc w:val="left"/>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五官科一般检查（眼视力、辨色力 、耳听力 、鼻 、喉、 口腔）</w:t>
            </w:r>
          </w:p>
        </w:tc>
        <w:tc>
          <w:tcPr>
            <w:tcW w:w="4644" w:type="dxa"/>
          </w:tcPr>
          <w:p w14:paraId="4A675F10">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4E05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BC9F740">
            <w:pPr>
              <w:keepNext w:val="0"/>
              <w:keepLines w:val="0"/>
              <w:pageBreakBefore w:val="0"/>
              <w:widowControl w:val="0"/>
              <w:kinsoku/>
              <w:wordWrap/>
              <w:overflowPunct/>
              <w:topLinePunct w:val="0"/>
              <w:bidi w:val="0"/>
              <w:adjustRightInd/>
              <w:snapToGrid/>
              <w:spacing w:line="360" w:lineRule="auto"/>
              <w:ind w:firstLine="960" w:firstLineChars="400"/>
              <w:jc w:val="both"/>
              <w:textAlignment w:val="auto"/>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血常规（全血细胞计数3分类）</w:t>
            </w:r>
          </w:p>
        </w:tc>
        <w:tc>
          <w:tcPr>
            <w:tcW w:w="4644" w:type="dxa"/>
          </w:tcPr>
          <w:p w14:paraId="7A77FFDC">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0A65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69A49E4">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肝功能:血清丙氨酸氨基转移酶测定、总胆红素测定</w:t>
            </w:r>
          </w:p>
        </w:tc>
        <w:tc>
          <w:tcPr>
            <w:tcW w:w="4644" w:type="dxa"/>
          </w:tcPr>
          <w:p w14:paraId="5B56F9CE">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6A8D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4A5E2042">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胸部DR（不含胶片）</w:t>
            </w:r>
          </w:p>
        </w:tc>
        <w:tc>
          <w:tcPr>
            <w:tcW w:w="4644" w:type="dxa"/>
          </w:tcPr>
          <w:p w14:paraId="0575A0ED">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4112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188DE5F">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合计报价（元</w:t>
            </w:r>
            <w:r>
              <w:rPr>
                <w:rFonts w:hint="eastAsia" w:asciiTheme="minorHAnsi" w:hAnsiTheme="minorHAnsi" w:cstheme="minorBidi"/>
                <w:color w:val="auto"/>
                <w:spacing w:val="0"/>
                <w:kern w:val="2"/>
                <w:sz w:val="24"/>
                <w:szCs w:val="24"/>
                <w:highlight w:val="none"/>
                <w:lang w:val="en-US" w:eastAsia="zh-CN" w:bidi="ar-SA"/>
              </w:rPr>
              <w:t>/人</w:t>
            </w:r>
            <w:r>
              <w:rPr>
                <w:rFonts w:hint="eastAsia" w:asciiTheme="minorHAnsi" w:hAnsiTheme="minorHAnsi" w:eastAsiaTheme="minorEastAsia" w:cstheme="minorBidi"/>
                <w:color w:val="auto"/>
                <w:spacing w:val="0"/>
                <w:kern w:val="2"/>
                <w:sz w:val="24"/>
                <w:szCs w:val="24"/>
                <w:highlight w:val="none"/>
                <w:lang w:val="en-US" w:eastAsia="zh-CN" w:bidi="ar-SA"/>
              </w:rPr>
              <w:t>）</w:t>
            </w:r>
          </w:p>
        </w:tc>
        <w:tc>
          <w:tcPr>
            <w:tcW w:w="4644" w:type="dxa"/>
          </w:tcPr>
          <w:p w14:paraId="5F979EDD">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bl>
    <w:p w14:paraId="7611A1C4">
      <w:pPr>
        <w:snapToGrid w:val="0"/>
        <w:spacing w:line="360" w:lineRule="auto"/>
        <w:jc w:val="left"/>
        <w:rPr>
          <w:rFonts w:ascii="仿宋" w:hAnsi="仿宋" w:eastAsia="仿宋"/>
          <w:color w:val="auto"/>
          <w:sz w:val="24"/>
          <w:highlight w:val="none"/>
        </w:rPr>
      </w:pPr>
    </w:p>
    <w:p w14:paraId="1A4ACB9E">
      <w:pPr>
        <w:snapToGrid w:val="0"/>
        <w:spacing w:line="360" w:lineRule="auto"/>
        <w:jc w:val="left"/>
        <w:rPr>
          <w:rFonts w:ascii="仿宋" w:hAnsi="仿宋" w:eastAsia="仿宋"/>
          <w:color w:val="auto"/>
          <w:sz w:val="24"/>
          <w:highlight w:val="none"/>
        </w:rPr>
      </w:pPr>
    </w:p>
    <w:p w14:paraId="05E2F02B">
      <w:pPr>
        <w:pStyle w:val="2"/>
        <w:rPr>
          <w:rFonts w:ascii="仿宋" w:hAnsi="仿宋" w:eastAsia="仿宋"/>
          <w:color w:val="auto"/>
          <w:sz w:val="24"/>
          <w:highlight w:val="none"/>
        </w:rPr>
      </w:pPr>
    </w:p>
    <w:p w14:paraId="2D11091D">
      <w:pPr>
        <w:pStyle w:val="14"/>
        <w:widowControl/>
        <w:numPr>
          <w:ilvl w:val="0"/>
          <w:numId w:val="0"/>
        </w:numPr>
        <w:spacing w:line="240" w:lineRule="auto"/>
        <w:jc w:val="left"/>
        <w:rPr>
          <w:rFonts w:hint="eastAsia" w:asciiTheme="minorHAnsi" w:hAnsiTheme="minorHAnsi" w:eastAsiaTheme="minorEastAsia" w:cstheme="minorBidi"/>
          <w:color w:val="auto"/>
          <w:spacing w:val="0"/>
          <w:kern w:val="2"/>
          <w:sz w:val="32"/>
          <w:szCs w:val="32"/>
          <w:highlight w:val="none"/>
          <w:lang w:val="en-US" w:eastAsia="zh-CN" w:bidi="ar-SA"/>
        </w:rPr>
      </w:pPr>
      <w:r>
        <w:rPr>
          <w:rFonts w:hint="eastAsia" w:asciiTheme="minorHAnsi" w:hAnsiTheme="minorHAnsi" w:cstheme="minorBidi"/>
          <w:color w:val="auto"/>
          <w:spacing w:val="0"/>
          <w:kern w:val="2"/>
          <w:sz w:val="32"/>
          <w:szCs w:val="32"/>
          <w:highlight w:val="none"/>
          <w:lang w:val="en-US" w:eastAsia="zh-CN" w:bidi="ar-SA"/>
        </w:rPr>
        <w:t>B部分</w:t>
      </w:r>
      <w:r>
        <w:rPr>
          <w:rFonts w:hint="eastAsia" w:asciiTheme="minorHAnsi" w:hAnsiTheme="minorHAnsi" w:eastAsiaTheme="minorEastAsia" w:cstheme="minorBidi"/>
          <w:color w:val="auto"/>
          <w:spacing w:val="0"/>
          <w:kern w:val="2"/>
          <w:sz w:val="32"/>
          <w:szCs w:val="32"/>
          <w:highlight w:val="none"/>
          <w:lang w:val="en-US" w:eastAsia="zh-CN" w:bidi="ar-SA"/>
        </w:rPr>
        <w:t xml:space="preserve"> </w:t>
      </w:r>
      <w:r>
        <w:rPr>
          <w:rFonts w:hint="eastAsia" w:asciiTheme="minorHAnsi" w:hAnsiTheme="minorHAnsi" w:cstheme="minorBidi"/>
          <w:color w:val="auto"/>
          <w:spacing w:val="0"/>
          <w:kern w:val="2"/>
          <w:sz w:val="32"/>
          <w:szCs w:val="32"/>
          <w:highlight w:val="none"/>
          <w:lang w:val="en-US" w:eastAsia="zh-CN" w:bidi="ar-SA"/>
        </w:rPr>
        <w:t>学</w:t>
      </w:r>
      <w:r>
        <w:rPr>
          <w:rFonts w:hint="eastAsia" w:asciiTheme="minorHAnsi" w:hAnsiTheme="minorHAnsi" w:eastAsiaTheme="minorEastAsia" w:cstheme="minorBidi"/>
          <w:color w:val="auto"/>
          <w:spacing w:val="0"/>
          <w:kern w:val="2"/>
          <w:sz w:val="32"/>
          <w:szCs w:val="32"/>
          <w:highlight w:val="none"/>
          <w:lang w:val="en-US" w:eastAsia="zh-CN" w:bidi="ar-SA"/>
        </w:rPr>
        <w:t>生入学体检报价表</w:t>
      </w:r>
    </w:p>
    <w:p w14:paraId="3F79159D">
      <w:pPr>
        <w:pStyle w:val="14"/>
        <w:widowControl/>
        <w:numPr>
          <w:ilvl w:val="0"/>
          <w:numId w:val="0"/>
        </w:numPr>
        <w:spacing w:line="240" w:lineRule="auto"/>
        <w:ind w:firstLine="960" w:firstLineChars="400"/>
        <w:jc w:val="left"/>
        <w:rPr>
          <w:rFonts w:hint="eastAsia" w:asciiTheme="minorHAnsi" w:hAnsiTheme="minorHAnsi" w:eastAsiaTheme="minorEastAsia" w:cstheme="minorBidi"/>
          <w:color w:val="auto"/>
          <w:spacing w:val="0"/>
          <w:kern w:val="2"/>
          <w:sz w:val="24"/>
          <w:szCs w:val="24"/>
          <w:highlight w:val="none"/>
          <w:lang w:val="en-US" w:eastAsia="zh-CN" w:bidi="ar-SA"/>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0FA2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0C4B1115">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项目名称</w:t>
            </w:r>
          </w:p>
        </w:tc>
        <w:tc>
          <w:tcPr>
            <w:tcW w:w="4644" w:type="dxa"/>
          </w:tcPr>
          <w:p w14:paraId="335AE1AA">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含税单价（元）</w:t>
            </w:r>
          </w:p>
        </w:tc>
      </w:tr>
      <w:tr w14:paraId="29B8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6335AFB4">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一般检查：（身高、体重、血压）</w:t>
            </w:r>
          </w:p>
        </w:tc>
        <w:tc>
          <w:tcPr>
            <w:tcW w:w="4644" w:type="dxa"/>
          </w:tcPr>
          <w:p w14:paraId="30DA5B69">
            <w:pPr>
              <w:pStyle w:val="14"/>
              <w:widowControl/>
              <w:numPr>
                <w:ilvl w:val="0"/>
                <w:numId w:val="0"/>
              </w:numPr>
              <w:spacing w:line="240" w:lineRule="auto"/>
              <w:jc w:val="both"/>
              <w:rPr>
                <w:rFonts w:hint="eastAsia" w:asciiTheme="minorHAnsi" w:hAnsiTheme="minorHAnsi" w:eastAsiaTheme="minorEastAsia" w:cstheme="minorBidi"/>
                <w:color w:val="auto"/>
                <w:spacing w:val="0"/>
                <w:kern w:val="2"/>
                <w:sz w:val="24"/>
                <w:szCs w:val="24"/>
                <w:highlight w:val="none"/>
                <w:lang w:val="en-US" w:eastAsia="zh-CN" w:bidi="ar-SA"/>
              </w:rPr>
            </w:pPr>
          </w:p>
        </w:tc>
      </w:tr>
      <w:tr w14:paraId="743A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5F9A32C9">
            <w:pPr>
              <w:keepNext w:val="0"/>
              <w:keepLines w:val="0"/>
              <w:pageBreakBefore w:val="0"/>
              <w:widowControl w:val="0"/>
              <w:kinsoku/>
              <w:wordWrap/>
              <w:overflowPunct/>
              <w:topLinePunct w:val="0"/>
              <w:bidi w:val="0"/>
              <w:adjustRightInd/>
              <w:snapToGrid/>
              <w:spacing w:line="360" w:lineRule="auto"/>
              <w:ind w:firstLine="2160" w:firstLineChars="900"/>
              <w:jc w:val="both"/>
              <w:textAlignment w:val="auto"/>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内科检查</w:t>
            </w:r>
          </w:p>
        </w:tc>
        <w:tc>
          <w:tcPr>
            <w:tcW w:w="4644" w:type="dxa"/>
          </w:tcPr>
          <w:p w14:paraId="365F8EE7">
            <w:pPr>
              <w:pStyle w:val="14"/>
              <w:widowControl/>
              <w:numPr>
                <w:ilvl w:val="0"/>
                <w:numId w:val="0"/>
              </w:numPr>
              <w:spacing w:line="240" w:lineRule="auto"/>
              <w:jc w:val="both"/>
              <w:rPr>
                <w:rFonts w:hint="eastAsia" w:asciiTheme="minorHAnsi" w:hAnsiTheme="minorHAnsi" w:eastAsiaTheme="minorEastAsia" w:cstheme="minorBidi"/>
                <w:color w:val="auto"/>
                <w:spacing w:val="0"/>
                <w:kern w:val="2"/>
                <w:sz w:val="24"/>
                <w:szCs w:val="24"/>
                <w:highlight w:val="none"/>
                <w:lang w:val="en-US" w:eastAsia="zh-CN" w:bidi="ar-SA"/>
              </w:rPr>
            </w:pPr>
          </w:p>
        </w:tc>
      </w:tr>
      <w:tr w14:paraId="53E8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5D4D1E1">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外科检查</w:t>
            </w:r>
          </w:p>
        </w:tc>
        <w:tc>
          <w:tcPr>
            <w:tcW w:w="4644" w:type="dxa"/>
          </w:tcPr>
          <w:p w14:paraId="3D36AC31">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5B94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4F4BE649">
            <w:pPr>
              <w:pStyle w:val="14"/>
              <w:widowControl/>
              <w:numPr>
                <w:ilvl w:val="0"/>
                <w:numId w:val="0"/>
              </w:numPr>
              <w:spacing w:line="240" w:lineRule="auto"/>
              <w:jc w:val="left"/>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五官科一般检查（眼视力、辨色力 、耳听力 、鼻 、喉、 口腔）</w:t>
            </w:r>
          </w:p>
        </w:tc>
        <w:tc>
          <w:tcPr>
            <w:tcW w:w="4644" w:type="dxa"/>
          </w:tcPr>
          <w:p w14:paraId="4D6EC60F">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621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0570F013">
            <w:pPr>
              <w:keepNext w:val="0"/>
              <w:keepLines w:val="0"/>
              <w:pageBreakBefore w:val="0"/>
              <w:widowControl w:val="0"/>
              <w:kinsoku/>
              <w:wordWrap/>
              <w:overflowPunct/>
              <w:topLinePunct w:val="0"/>
              <w:bidi w:val="0"/>
              <w:adjustRightInd/>
              <w:snapToGrid/>
              <w:spacing w:line="360" w:lineRule="auto"/>
              <w:ind w:firstLine="960" w:firstLineChars="400"/>
              <w:jc w:val="both"/>
              <w:textAlignment w:val="auto"/>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血常规（全血细胞计数3分类）</w:t>
            </w:r>
          </w:p>
        </w:tc>
        <w:tc>
          <w:tcPr>
            <w:tcW w:w="4644" w:type="dxa"/>
          </w:tcPr>
          <w:p w14:paraId="7D57F0DA">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26BC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3D9E2820">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肝功能:血清丙氨酸氨基转移酶测定、总胆红素测定</w:t>
            </w:r>
          </w:p>
        </w:tc>
        <w:tc>
          <w:tcPr>
            <w:tcW w:w="4644" w:type="dxa"/>
          </w:tcPr>
          <w:p w14:paraId="3D280D77">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509B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13E1137A">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胸部DR（不含胶片）</w:t>
            </w:r>
          </w:p>
        </w:tc>
        <w:tc>
          <w:tcPr>
            <w:tcW w:w="4644" w:type="dxa"/>
          </w:tcPr>
          <w:p w14:paraId="68FEF822">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r w14:paraId="7F30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066A7C29">
            <w:pPr>
              <w:pStyle w:val="14"/>
              <w:widowControl/>
              <w:numPr>
                <w:ilvl w:val="0"/>
                <w:numId w:val="0"/>
              </w:numPr>
              <w:spacing w:line="240" w:lineRule="auto"/>
              <w:jc w:val="center"/>
              <w:rPr>
                <w:rFonts w:hint="default" w:asciiTheme="minorHAnsi" w:hAnsiTheme="minorHAnsi" w:eastAsiaTheme="minorEastAsia" w:cstheme="minorBidi"/>
                <w:color w:val="auto"/>
                <w:spacing w:val="0"/>
                <w:kern w:val="2"/>
                <w:sz w:val="24"/>
                <w:szCs w:val="24"/>
                <w:highlight w:val="none"/>
                <w:lang w:val="en-US" w:eastAsia="zh-CN" w:bidi="ar-SA"/>
              </w:rPr>
            </w:pPr>
            <w:r>
              <w:rPr>
                <w:rFonts w:hint="eastAsia" w:asciiTheme="minorHAnsi" w:hAnsiTheme="minorHAnsi" w:eastAsiaTheme="minorEastAsia" w:cstheme="minorBidi"/>
                <w:color w:val="auto"/>
                <w:spacing w:val="0"/>
                <w:kern w:val="2"/>
                <w:sz w:val="24"/>
                <w:szCs w:val="24"/>
                <w:highlight w:val="none"/>
                <w:lang w:val="en-US" w:eastAsia="zh-CN" w:bidi="ar-SA"/>
              </w:rPr>
              <w:t>合计报价（元</w:t>
            </w:r>
            <w:r>
              <w:rPr>
                <w:rFonts w:hint="eastAsia" w:asciiTheme="minorHAnsi" w:hAnsiTheme="minorHAnsi" w:cstheme="minorBidi"/>
                <w:color w:val="auto"/>
                <w:spacing w:val="0"/>
                <w:kern w:val="2"/>
                <w:sz w:val="24"/>
                <w:szCs w:val="24"/>
                <w:highlight w:val="none"/>
                <w:lang w:val="en-US" w:eastAsia="zh-CN" w:bidi="ar-SA"/>
              </w:rPr>
              <w:t>/人</w:t>
            </w:r>
            <w:r>
              <w:rPr>
                <w:rFonts w:hint="eastAsia" w:asciiTheme="minorHAnsi" w:hAnsiTheme="minorHAnsi" w:eastAsiaTheme="minorEastAsia" w:cstheme="minorBidi"/>
                <w:color w:val="auto"/>
                <w:spacing w:val="0"/>
                <w:kern w:val="2"/>
                <w:sz w:val="24"/>
                <w:szCs w:val="24"/>
                <w:highlight w:val="none"/>
                <w:lang w:val="en-US" w:eastAsia="zh-CN" w:bidi="ar-SA"/>
              </w:rPr>
              <w:t>）</w:t>
            </w:r>
          </w:p>
        </w:tc>
        <w:tc>
          <w:tcPr>
            <w:tcW w:w="4644" w:type="dxa"/>
          </w:tcPr>
          <w:p w14:paraId="0DC42FB7">
            <w:pPr>
              <w:pStyle w:val="14"/>
              <w:widowControl/>
              <w:numPr>
                <w:ilvl w:val="0"/>
                <w:numId w:val="0"/>
              </w:numPr>
              <w:spacing w:line="240" w:lineRule="auto"/>
              <w:jc w:val="center"/>
              <w:rPr>
                <w:rFonts w:hint="eastAsia" w:asciiTheme="minorHAnsi" w:hAnsiTheme="minorHAnsi" w:eastAsiaTheme="minorEastAsia" w:cstheme="minorBidi"/>
                <w:color w:val="auto"/>
                <w:spacing w:val="0"/>
                <w:kern w:val="2"/>
                <w:sz w:val="24"/>
                <w:szCs w:val="24"/>
                <w:highlight w:val="none"/>
                <w:lang w:val="en-US" w:eastAsia="zh-CN" w:bidi="ar-SA"/>
              </w:rPr>
            </w:pPr>
          </w:p>
        </w:tc>
      </w:tr>
    </w:tbl>
    <w:p w14:paraId="710A7BF2">
      <w:pPr>
        <w:pStyle w:val="3"/>
        <w:jc w:val="both"/>
        <w:rPr>
          <w:rFonts w:ascii="仿宋" w:hAnsi="仿宋" w:eastAsia="仿宋"/>
          <w:color w:val="auto"/>
          <w:sz w:val="24"/>
          <w:highlight w:val="none"/>
        </w:rPr>
      </w:pPr>
    </w:p>
    <w:p w14:paraId="3AE36700">
      <w:pPr>
        <w:rPr>
          <w:rFonts w:ascii="仿宋" w:hAnsi="仿宋" w:eastAsia="仿宋"/>
          <w:color w:val="auto"/>
          <w:sz w:val="24"/>
          <w:highlight w:val="none"/>
        </w:rPr>
      </w:pPr>
    </w:p>
    <w:p w14:paraId="6917ACA3">
      <w:pPr>
        <w:pStyle w:val="2"/>
        <w:rPr>
          <w:rFonts w:ascii="仿宋" w:hAnsi="仿宋" w:eastAsia="仿宋"/>
          <w:color w:val="auto"/>
          <w:sz w:val="24"/>
          <w:highlight w:val="none"/>
        </w:rPr>
      </w:pPr>
    </w:p>
    <w:p w14:paraId="41A1FA2B">
      <w:pPr>
        <w:pStyle w:val="3"/>
        <w:rPr>
          <w:rFonts w:ascii="仿宋" w:hAnsi="仿宋" w:eastAsia="仿宋"/>
          <w:color w:val="auto"/>
          <w:sz w:val="24"/>
          <w:highlight w:val="none"/>
        </w:rPr>
      </w:pPr>
    </w:p>
    <w:p w14:paraId="6863F6CA">
      <w:pPr>
        <w:rPr>
          <w:rFonts w:ascii="仿宋" w:hAnsi="仿宋" w:eastAsia="仿宋"/>
          <w:color w:val="auto"/>
          <w:sz w:val="24"/>
          <w:highlight w:val="none"/>
        </w:rPr>
      </w:pPr>
    </w:p>
    <w:p w14:paraId="099F6B53">
      <w:pPr>
        <w:pStyle w:val="2"/>
        <w:rPr>
          <w:rFonts w:ascii="仿宋" w:hAnsi="仿宋" w:eastAsia="仿宋"/>
          <w:color w:val="auto"/>
          <w:sz w:val="24"/>
          <w:highlight w:val="none"/>
        </w:rPr>
      </w:pPr>
    </w:p>
    <w:p w14:paraId="3021A89E">
      <w:pPr>
        <w:pStyle w:val="3"/>
        <w:rPr>
          <w:rFonts w:ascii="仿宋" w:hAnsi="仿宋" w:eastAsia="仿宋"/>
          <w:color w:val="auto"/>
          <w:sz w:val="24"/>
          <w:highlight w:val="none"/>
        </w:rPr>
      </w:pPr>
    </w:p>
    <w:p w14:paraId="481A6F90">
      <w:pPr>
        <w:snapToGrid w:val="0"/>
        <w:spacing w:before="50" w:after="156" w:afterLines="50" w:line="360" w:lineRule="auto"/>
        <w:jc w:val="center"/>
        <w:rPr>
          <w:rFonts w:ascii="仿宋" w:hAnsi="仿宋" w:eastAsia="仿宋"/>
          <w:b/>
          <w:bCs/>
          <w:color w:val="auto"/>
          <w:sz w:val="32"/>
          <w:szCs w:val="32"/>
          <w:highlight w:val="none"/>
        </w:rPr>
      </w:pPr>
      <w:r>
        <w:rPr>
          <w:rFonts w:hint="eastAsia" w:ascii="仿宋_GB2312" w:eastAsia="仿宋_GB2312"/>
          <w:b/>
          <w:bCs/>
          <w:color w:val="auto"/>
          <w:sz w:val="28"/>
          <w:szCs w:val="28"/>
          <w:highlight w:val="none"/>
        </w:rPr>
        <w:t>附件</w:t>
      </w:r>
      <w:r>
        <w:rPr>
          <w:rFonts w:hint="eastAsia" w:ascii="仿宋_GB2312" w:eastAsia="仿宋_GB2312"/>
          <w:b/>
          <w:bCs/>
          <w:color w:val="auto"/>
          <w:sz w:val="28"/>
          <w:szCs w:val="28"/>
          <w:highlight w:val="none"/>
          <w:lang w:val="en-US" w:eastAsia="zh-CN"/>
        </w:rPr>
        <w:t>三</w:t>
      </w:r>
      <w:r>
        <w:rPr>
          <w:rFonts w:hint="eastAsia" w:ascii="仿宋_GB2312" w:eastAsia="仿宋_GB2312"/>
          <w:b/>
          <w:bCs/>
          <w:color w:val="auto"/>
          <w:sz w:val="28"/>
          <w:szCs w:val="28"/>
          <w:highlight w:val="none"/>
        </w:rPr>
        <w:t>：</w:t>
      </w:r>
      <w:r>
        <w:rPr>
          <w:rFonts w:hint="eastAsia" w:ascii="仿宋" w:hAnsi="仿宋" w:eastAsia="仿宋"/>
          <w:b/>
          <w:bCs/>
          <w:color w:val="auto"/>
          <w:sz w:val="32"/>
          <w:szCs w:val="32"/>
          <w:highlight w:val="none"/>
        </w:rPr>
        <w:t>投标人直接控股、管理关系信息表</w:t>
      </w:r>
    </w:p>
    <w:tbl>
      <w:tblPr>
        <w:tblStyle w:val="18"/>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09"/>
        <w:gridCol w:w="1384"/>
        <w:gridCol w:w="2685"/>
        <w:gridCol w:w="3368"/>
      </w:tblGrid>
      <w:tr w14:paraId="4A10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195" w:type="dxa"/>
            <w:gridSpan w:val="4"/>
            <w:shd w:val="clear" w:color="auto" w:fill="F2DBDB"/>
            <w:vAlign w:val="center"/>
          </w:tcPr>
          <w:p w14:paraId="60CF0665">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投标人直接控股股东信息表</w:t>
            </w:r>
          </w:p>
        </w:tc>
        <w:tc>
          <w:tcPr>
            <w:tcW w:w="3368" w:type="dxa"/>
            <w:shd w:val="clear" w:color="auto" w:fill="F2DBDB"/>
            <w:vAlign w:val="center"/>
          </w:tcPr>
          <w:p w14:paraId="5729DAA9">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说明</w:t>
            </w:r>
          </w:p>
        </w:tc>
      </w:tr>
      <w:tr w14:paraId="34CC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6831999B">
            <w:pPr>
              <w:spacing w:line="360" w:lineRule="exact"/>
              <w:jc w:val="center"/>
              <w:rPr>
                <w:rFonts w:ascii="仿宋" w:hAnsi="仿宋" w:eastAsia="仿宋" w:cs="宋体"/>
                <w:b/>
                <w:bCs/>
                <w:color w:val="auto"/>
                <w:kern w:val="0"/>
                <w:szCs w:val="21"/>
                <w:highlight w:val="none"/>
              </w:rPr>
            </w:pPr>
            <w:r>
              <w:rPr>
                <w:rFonts w:ascii="仿宋" w:hAnsi="仿宋" w:eastAsia="仿宋" w:cs="宋体"/>
                <w:b/>
                <w:bCs/>
                <w:color w:val="auto"/>
                <w:kern w:val="0"/>
                <w:szCs w:val="21"/>
                <w:highlight w:val="none"/>
              </w:rPr>
              <w:t>序号</w:t>
            </w:r>
          </w:p>
        </w:tc>
        <w:tc>
          <w:tcPr>
            <w:tcW w:w="1309" w:type="dxa"/>
            <w:vAlign w:val="center"/>
          </w:tcPr>
          <w:p w14:paraId="4F68C352">
            <w:pPr>
              <w:spacing w:line="360" w:lineRule="exact"/>
              <w:jc w:val="center"/>
              <w:rPr>
                <w:rFonts w:ascii="仿宋" w:hAnsi="仿宋" w:eastAsia="仿宋" w:cs="宋体"/>
                <w:b/>
                <w:bCs/>
                <w:color w:val="auto"/>
                <w:kern w:val="0"/>
                <w:szCs w:val="21"/>
                <w:highlight w:val="none"/>
              </w:rPr>
            </w:pPr>
            <w:r>
              <w:rPr>
                <w:rFonts w:ascii="仿宋" w:hAnsi="仿宋" w:eastAsia="仿宋" w:cs="宋体"/>
                <w:b/>
                <w:bCs/>
                <w:color w:val="auto"/>
                <w:kern w:val="0"/>
                <w:szCs w:val="21"/>
                <w:highlight w:val="none"/>
              </w:rPr>
              <w:t>直接控股股东名称</w:t>
            </w:r>
          </w:p>
        </w:tc>
        <w:tc>
          <w:tcPr>
            <w:tcW w:w="1384" w:type="dxa"/>
            <w:vAlign w:val="center"/>
          </w:tcPr>
          <w:p w14:paraId="6D3F9CDD">
            <w:pPr>
              <w:spacing w:line="360" w:lineRule="exact"/>
              <w:jc w:val="center"/>
              <w:rPr>
                <w:rFonts w:ascii="仿宋" w:hAnsi="仿宋" w:eastAsia="仿宋" w:cs="宋体"/>
                <w:b/>
                <w:bCs/>
                <w:color w:val="auto"/>
                <w:kern w:val="0"/>
                <w:szCs w:val="21"/>
                <w:highlight w:val="none"/>
              </w:rPr>
            </w:pPr>
            <w:r>
              <w:rPr>
                <w:rFonts w:ascii="仿宋" w:hAnsi="仿宋" w:eastAsia="仿宋" w:cs="宋体"/>
                <w:b/>
                <w:bCs/>
                <w:color w:val="auto"/>
                <w:kern w:val="0"/>
                <w:szCs w:val="21"/>
                <w:highlight w:val="none"/>
              </w:rPr>
              <w:t>出资比例</w:t>
            </w:r>
          </w:p>
        </w:tc>
        <w:tc>
          <w:tcPr>
            <w:tcW w:w="2685" w:type="dxa"/>
            <w:vAlign w:val="center"/>
          </w:tcPr>
          <w:p w14:paraId="7C2942CC">
            <w:pPr>
              <w:spacing w:line="360" w:lineRule="exact"/>
              <w:jc w:val="center"/>
              <w:rPr>
                <w:rFonts w:ascii="仿宋" w:hAnsi="仿宋" w:eastAsia="仿宋" w:cs="宋体"/>
                <w:b/>
                <w:bCs/>
                <w:color w:val="auto"/>
                <w:kern w:val="0"/>
                <w:szCs w:val="21"/>
                <w:highlight w:val="none"/>
              </w:rPr>
            </w:pPr>
            <w:r>
              <w:rPr>
                <w:rFonts w:ascii="仿宋" w:hAnsi="仿宋" w:eastAsia="仿宋" w:cs="宋体"/>
                <w:b/>
                <w:bCs/>
                <w:color w:val="auto"/>
                <w:kern w:val="0"/>
                <w:szCs w:val="21"/>
                <w:highlight w:val="none"/>
              </w:rPr>
              <w:t>身份证号码或者统一社会信用代码</w:t>
            </w:r>
          </w:p>
        </w:tc>
        <w:tc>
          <w:tcPr>
            <w:tcW w:w="3368" w:type="dxa"/>
            <w:vMerge w:val="restart"/>
            <w:vAlign w:val="center"/>
          </w:tcPr>
          <w:p w14:paraId="06FD6415">
            <w:pPr>
              <w:snapToGrid w:val="0"/>
              <w:jc w:val="left"/>
              <w:rPr>
                <w:rFonts w:ascii="仿宋" w:hAnsi="仿宋" w:eastAsia="仿宋"/>
                <w:color w:val="auto"/>
                <w:szCs w:val="21"/>
                <w:highlight w:val="none"/>
              </w:rPr>
            </w:pPr>
            <w:r>
              <w:rPr>
                <w:rFonts w:ascii="仿宋" w:hAnsi="仿宋" w:eastAsia="仿宋"/>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D86BC42">
            <w:pPr>
              <w:snapToGrid w:val="0"/>
              <w:jc w:val="left"/>
              <w:rPr>
                <w:rFonts w:ascii="仿宋" w:hAnsi="仿宋" w:eastAsia="仿宋"/>
                <w:color w:val="auto"/>
                <w:szCs w:val="21"/>
                <w:highlight w:val="none"/>
              </w:rPr>
            </w:pPr>
            <w:r>
              <w:rPr>
                <w:rFonts w:ascii="仿宋" w:hAnsi="仿宋" w:eastAsia="仿宋"/>
                <w:color w:val="auto"/>
                <w:szCs w:val="21"/>
                <w:highlight w:val="none"/>
              </w:rPr>
              <w:t>2.本表所指的控股关系仅限于直接控股关系，不包括间接的控股关系。公司实际控制人与公司之间的关系不属于本表所指的直接控股关系。</w:t>
            </w:r>
          </w:p>
          <w:p w14:paraId="4BD5AF84">
            <w:pPr>
              <w:snapToGrid w:val="0"/>
              <w:jc w:val="left"/>
              <w:rPr>
                <w:rFonts w:ascii="仿宋" w:hAnsi="仿宋" w:eastAsia="仿宋" w:cs="宋体"/>
                <w:b/>
                <w:bCs/>
                <w:color w:val="auto"/>
                <w:kern w:val="0"/>
                <w:szCs w:val="21"/>
                <w:highlight w:val="none"/>
              </w:rPr>
            </w:pPr>
            <w:r>
              <w:rPr>
                <w:rFonts w:ascii="仿宋" w:hAnsi="仿宋" w:eastAsia="仿宋"/>
                <w:color w:val="auto"/>
                <w:szCs w:val="21"/>
                <w:highlight w:val="none"/>
              </w:rPr>
              <w:t>3.供应商不存在直接控股股东的，则填“无”。</w:t>
            </w:r>
          </w:p>
        </w:tc>
      </w:tr>
      <w:tr w14:paraId="5968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42F3B592">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1</w:t>
            </w:r>
          </w:p>
        </w:tc>
        <w:tc>
          <w:tcPr>
            <w:tcW w:w="1309" w:type="dxa"/>
          </w:tcPr>
          <w:p w14:paraId="6BA24C73">
            <w:pPr>
              <w:snapToGrid w:val="0"/>
              <w:spacing w:before="156" w:beforeLines="50" w:after="50"/>
              <w:jc w:val="left"/>
              <w:rPr>
                <w:rFonts w:ascii="仿宋" w:hAnsi="仿宋" w:eastAsia="仿宋"/>
                <w:b/>
                <w:color w:val="auto"/>
                <w:szCs w:val="21"/>
                <w:highlight w:val="none"/>
              </w:rPr>
            </w:pPr>
          </w:p>
        </w:tc>
        <w:tc>
          <w:tcPr>
            <w:tcW w:w="1384" w:type="dxa"/>
          </w:tcPr>
          <w:p w14:paraId="53B74799">
            <w:pPr>
              <w:snapToGrid w:val="0"/>
              <w:spacing w:before="156" w:beforeLines="50" w:after="50"/>
              <w:jc w:val="left"/>
              <w:rPr>
                <w:rFonts w:ascii="仿宋" w:hAnsi="仿宋" w:eastAsia="仿宋"/>
                <w:b/>
                <w:color w:val="auto"/>
                <w:szCs w:val="21"/>
                <w:highlight w:val="none"/>
              </w:rPr>
            </w:pPr>
          </w:p>
        </w:tc>
        <w:tc>
          <w:tcPr>
            <w:tcW w:w="2685" w:type="dxa"/>
          </w:tcPr>
          <w:p w14:paraId="4E3384C0">
            <w:pPr>
              <w:snapToGrid w:val="0"/>
              <w:spacing w:before="156" w:beforeLines="50" w:after="50"/>
              <w:jc w:val="left"/>
              <w:rPr>
                <w:rFonts w:ascii="仿宋" w:hAnsi="仿宋" w:eastAsia="仿宋"/>
                <w:b/>
                <w:color w:val="auto"/>
                <w:szCs w:val="21"/>
                <w:highlight w:val="none"/>
              </w:rPr>
            </w:pPr>
          </w:p>
        </w:tc>
        <w:tc>
          <w:tcPr>
            <w:tcW w:w="3368" w:type="dxa"/>
            <w:vMerge w:val="continue"/>
          </w:tcPr>
          <w:p w14:paraId="7821025A">
            <w:pPr>
              <w:snapToGrid w:val="0"/>
              <w:jc w:val="left"/>
              <w:rPr>
                <w:rFonts w:ascii="仿宋" w:hAnsi="仿宋" w:eastAsia="仿宋"/>
                <w:color w:val="auto"/>
                <w:szCs w:val="21"/>
                <w:highlight w:val="none"/>
              </w:rPr>
            </w:pPr>
          </w:p>
        </w:tc>
      </w:tr>
      <w:tr w14:paraId="44E7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0744CDA1">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2</w:t>
            </w:r>
          </w:p>
        </w:tc>
        <w:tc>
          <w:tcPr>
            <w:tcW w:w="1309" w:type="dxa"/>
          </w:tcPr>
          <w:p w14:paraId="67C0C416">
            <w:pPr>
              <w:snapToGrid w:val="0"/>
              <w:spacing w:before="156" w:beforeLines="50" w:after="50"/>
              <w:jc w:val="left"/>
              <w:rPr>
                <w:rFonts w:ascii="仿宋" w:hAnsi="仿宋" w:eastAsia="仿宋"/>
                <w:b/>
                <w:color w:val="auto"/>
                <w:szCs w:val="21"/>
                <w:highlight w:val="none"/>
              </w:rPr>
            </w:pPr>
          </w:p>
        </w:tc>
        <w:tc>
          <w:tcPr>
            <w:tcW w:w="1384" w:type="dxa"/>
          </w:tcPr>
          <w:p w14:paraId="490AD0CD">
            <w:pPr>
              <w:snapToGrid w:val="0"/>
              <w:spacing w:before="156" w:beforeLines="50" w:after="50"/>
              <w:jc w:val="left"/>
              <w:rPr>
                <w:rFonts w:ascii="仿宋" w:hAnsi="仿宋" w:eastAsia="仿宋"/>
                <w:b/>
                <w:color w:val="auto"/>
                <w:szCs w:val="21"/>
                <w:highlight w:val="none"/>
              </w:rPr>
            </w:pPr>
          </w:p>
        </w:tc>
        <w:tc>
          <w:tcPr>
            <w:tcW w:w="2685" w:type="dxa"/>
          </w:tcPr>
          <w:p w14:paraId="44C56875">
            <w:pPr>
              <w:snapToGrid w:val="0"/>
              <w:spacing w:before="156" w:beforeLines="50" w:after="50"/>
              <w:jc w:val="left"/>
              <w:rPr>
                <w:rFonts w:ascii="仿宋" w:hAnsi="仿宋" w:eastAsia="仿宋"/>
                <w:b/>
                <w:color w:val="auto"/>
                <w:szCs w:val="21"/>
                <w:highlight w:val="none"/>
              </w:rPr>
            </w:pPr>
          </w:p>
        </w:tc>
        <w:tc>
          <w:tcPr>
            <w:tcW w:w="3368" w:type="dxa"/>
            <w:vMerge w:val="continue"/>
          </w:tcPr>
          <w:p w14:paraId="39A831C6">
            <w:pPr>
              <w:snapToGrid w:val="0"/>
              <w:spacing w:before="156" w:beforeLines="50" w:after="50"/>
              <w:jc w:val="left"/>
              <w:rPr>
                <w:rFonts w:ascii="仿宋" w:hAnsi="仿宋" w:eastAsia="仿宋"/>
                <w:b/>
                <w:color w:val="auto"/>
                <w:szCs w:val="21"/>
                <w:highlight w:val="none"/>
              </w:rPr>
            </w:pPr>
          </w:p>
        </w:tc>
      </w:tr>
      <w:tr w14:paraId="7CF0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bottom w:val="single" w:color="auto" w:sz="4" w:space="0"/>
            </w:tcBorders>
          </w:tcPr>
          <w:p w14:paraId="2589ABE0">
            <w:pPr>
              <w:snapToGrid w:val="0"/>
              <w:spacing w:before="156" w:beforeLines="50" w:after="50"/>
              <w:jc w:val="center"/>
              <w:rPr>
                <w:rFonts w:ascii="仿宋" w:hAnsi="仿宋" w:eastAsia="仿宋"/>
                <w:b/>
                <w:color w:val="auto"/>
                <w:szCs w:val="21"/>
                <w:highlight w:val="none"/>
              </w:rPr>
            </w:pPr>
            <w:r>
              <w:rPr>
                <w:rFonts w:ascii="仿宋" w:hAnsi="仿宋" w:eastAsia="仿宋" w:cs="宋体"/>
                <w:color w:val="auto"/>
                <w:kern w:val="0"/>
                <w:szCs w:val="21"/>
                <w:highlight w:val="none"/>
              </w:rPr>
              <w:t>……</w:t>
            </w:r>
          </w:p>
        </w:tc>
        <w:tc>
          <w:tcPr>
            <w:tcW w:w="1309" w:type="dxa"/>
            <w:tcBorders>
              <w:bottom w:val="single" w:color="auto" w:sz="4" w:space="0"/>
            </w:tcBorders>
          </w:tcPr>
          <w:p w14:paraId="739A2729">
            <w:pPr>
              <w:snapToGrid w:val="0"/>
              <w:spacing w:before="156" w:beforeLines="50" w:after="50"/>
              <w:jc w:val="left"/>
              <w:rPr>
                <w:rFonts w:ascii="仿宋" w:hAnsi="仿宋" w:eastAsia="仿宋"/>
                <w:b/>
                <w:color w:val="auto"/>
                <w:szCs w:val="21"/>
                <w:highlight w:val="none"/>
              </w:rPr>
            </w:pPr>
          </w:p>
        </w:tc>
        <w:tc>
          <w:tcPr>
            <w:tcW w:w="1384" w:type="dxa"/>
            <w:tcBorders>
              <w:bottom w:val="single" w:color="auto" w:sz="4" w:space="0"/>
            </w:tcBorders>
          </w:tcPr>
          <w:p w14:paraId="5B691B51">
            <w:pPr>
              <w:snapToGrid w:val="0"/>
              <w:spacing w:before="156" w:beforeLines="50" w:after="50"/>
              <w:jc w:val="left"/>
              <w:rPr>
                <w:rFonts w:ascii="仿宋" w:hAnsi="仿宋" w:eastAsia="仿宋"/>
                <w:b/>
                <w:color w:val="auto"/>
                <w:szCs w:val="21"/>
                <w:highlight w:val="none"/>
              </w:rPr>
            </w:pPr>
          </w:p>
        </w:tc>
        <w:tc>
          <w:tcPr>
            <w:tcW w:w="2685" w:type="dxa"/>
            <w:tcBorders>
              <w:bottom w:val="single" w:color="auto" w:sz="4" w:space="0"/>
            </w:tcBorders>
          </w:tcPr>
          <w:p w14:paraId="2DA0DFDC">
            <w:pPr>
              <w:snapToGrid w:val="0"/>
              <w:spacing w:before="156" w:beforeLines="50" w:after="50"/>
              <w:jc w:val="left"/>
              <w:rPr>
                <w:rFonts w:ascii="仿宋" w:hAnsi="仿宋" w:eastAsia="仿宋"/>
                <w:b/>
                <w:color w:val="auto"/>
                <w:szCs w:val="21"/>
                <w:highlight w:val="none"/>
              </w:rPr>
            </w:pPr>
          </w:p>
        </w:tc>
        <w:tc>
          <w:tcPr>
            <w:tcW w:w="3368" w:type="dxa"/>
            <w:vMerge w:val="continue"/>
            <w:tcBorders>
              <w:bottom w:val="single" w:color="auto" w:sz="4" w:space="0"/>
            </w:tcBorders>
          </w:tcPr>
          <w:p w14:paraId="2339507D">
            <w:pPr>
              <w:snapToGrid w:val="0"/>
              <w:spacing w:before="156" w:beforeLines="50" w:after="50"/>
              <w:jc w:val="left"/>
              <w:rPr>
                <w:rFonts w:ascii="仿宋" w:hAnsi="仿宋" w:eastAsia="仿宋"/>
                <w:b/>
                <w:color w:val="auto"/>
                <w:szCs w:val="21"/>
                <w:highlight w:val="none"/>
              </w:rPr>
            </w:pPr>
          </w:p>
        </w:tc>
      </w:tr>
      <w:tr w14:paraId="630A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195" w:type="dxa"/>
            <w:gridSpan w:val="4"/>
            <w:shd w:val="clear" w:color="auto" w:fill="F2DBDB"/>
            <w:vAlign w:val="center"/>
          </w:tcPr>
          <w:p w14:paraId="0190808E">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投标人直接管理关系信息表</w:t>
            </w:r>
          </w:p>
        </w:tc>
        <w:tc>
          <w:tcPr>
            <w:tcW w:w="3368" w:type="dxa"/>
            <w:shd w:val="clear" w:color="auto" w:fill="F2DBDB"/>
            <w:vAlign w:val="center"/>
          </w:tcPr>
          <w:p w14:paraId="1F5A9A09">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说明</w:t>
            </w:r>
          </w:p>
        </w:tc>
      </w:tr>
      <w:tr w14:paraId="1686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4108AB46">
            <w:pPr>
              <w:snapToGrid w:val="0"/>
              <w:spacing w:before="156" w:beforeLines="50" w:after="50"/>
              <w:jc w:val="center"/>
              <w:rPr>
                <w:rFonts w:ascii="仿宋" w:hAnsi="仿宋" w:eastAsia="仿宋"/>
                <w:b/>
                <w:color w:val="auto"/>
                <w:szCs w:val="21"/>
                <w:highlight w:val="none"/>
              </w:rPr>
            </w:pPr>
            <w:r>
              <w:rPr>
                <w:rFonts w:ascii="仿宋" w:hAnsi="仿宋" w:eastAsia="仿宋" w:cs="宋体"/>
                <w:b/>
                <w:bCs/>
                <w:color w:val="auto"/>
                <w:kern w:val="0"/>
                <w:szCs w:val="21"/>
                <w:highlight w:val="none"/>
              </w:rPr>
              <w:t>序号</w:t>
            </w:r>
          </w:p>
        </w:tc>
        <w:tc>
          <w:tcPr>
            <w:tcW w:w="2693" w:type="dxa"/>
            <w:gridSpan w:val="2"/>
            <w:vAlign w:val="center"/>
          </w:tcPr>
          <w:p w14:paraId="3A7B7B99">
            <w:pPr>
              <w:snapToGrid w:val="0"/>
              <w:spacing w:before="156" w:beforeLines="50" w:after="50"/>
              <w:jc w:val="center"/>
              <w:rPr>
                <w:rFonts w:ascii="仿宋" w:hAnsi="仿宋" w:eastAsia="仿宋"/>
                <w:b/>
                <w:color w:val="auto"/>
                <w:szCs w:val="21"/>
                <w:highlight w:val="none"/>
              </w:rPr>
            </w:pPr>
            <w:r>
              <w:rPr>
                <w:rFonts w:ascii="仿宋" w:hAnsi="仿宋" w:eastAsia="仿宋" w:cs="宋体"/>
                <w:b/>
                <w:bCs/>
                <w:color w:val="auto"/>
                <w:kern w:val="0"/>
                <w:szCs w:val="21"/>
                <w:highlight w:val="none"/>
              </w:rPr>
              <w:t>直接管理关系单位名称</w:t>
            </w:r>
          </w:p>
        </w:tc>
        <w:tc>
          <w:tcPr>
            <w:tcW w:w="2685" w:type="dxa"/>
            <w:vAlign w:val="center"/>
          </w:tcPr>
          <w:p w14:paraId="33D1949F">
            <w:pPr>
              <w:snapToGrid w:val="0"/>
              <w:spacing w:before="156" w:beforeLines="50" w:after="50"/>
              <w:jc w:val="center"/>
              <w:rPr>
                <w:rFonts w:ascii="仿宋" w:hAnsi="仿宋" w:eastAsia="仿宋"/>
                <w:b/>
                <w:color w:val="auto"/>
                <w:szCs w:val="21"/>
                <w:highlight w:val="none"/>
              </w:rPr>
            </w:pPr>
            <w:r>
              <w:rPr>
                <w:rFonts w:ascii="仿宋" w:hAnsi="仿宋" w:eastAsia="仿宋" w:cs="宋体"/>
                <w:b/>
                <w:bCs/>
                <w:color w:val="auto"/>
                <w:kern w:val="0"/>
                <w:szCs w:val="21"/>
                <w:highlight w:val="none"/>
              </w:rPr>
              <w:t>统一社会信用代码</w:t>
            </w:r>
          </w:p>
        </w:tc>
        <w:tc>
          <w:tcPr>
            <w:tcW w:w="3368" w:type="dxa"/>
            <w:vMerge w:val="restart"/>
            <w:vAlign w:val="center"/>
          </w:tcPr>
          <w:p w14:paraId="7C664608">
            <w:pPr>
              <w:snapToGrid w:val="0"/>
              <w:jc w:val="left"/>
              <w:rPr>
                <w:rFonts w:ascii="仿宋" w:hAnsi="仿宋" w:eastAsia="仿宋"/>
                <w:color w:val="auto"/>
                <w:szCs w:val="21"/>
                <w:highlight w:val="none"/>
              </w:rPr>
            </w:pPr>
            <w:r>
              <w:rPr>
                <w:rFonts w:ascii="仿宋" w:hAnsi="仿宋" w:eastAsia="仿宋"/>
                <w:color w:val="auto"/>
                <w:szCs w:val="21"/>
                <w:highlight w:val="none"/>
              </w:rPr>
              <w:t>1.管理关系：是指不具有出资持股关系的其他单位之间存在的管理与被管理关系，如一些上下级关系的事业单位和团体组织。</w:t>
            </w:r>
          </w:p>
          <w:p w14:paraId="10C8CFDC">
            <w:pPr>
              <w:snapToGrid w:val="0"/>
              <w:jc w:val="left"/>
              <w:rPr>
                <w:rFonts w:ascii="仿宋" w:hAnsi="仿宋" w:eastAsia="仿宋"/>
                <w:color w:val="auto"/>
                <w:szCs w:val="21"/>
                <w:highlight w:val="none"/>
              </w:rPr>
            </w:pPr>
            <w:r>
              <w:rPr>
                <w:rFonts w:ascii="仿宋" w:hAnsi="仿宋" w:eastAsia="仿宋"/>
                <w:color w:val="auto"/>
                <w:szCs w:val="21"/>
                <w:highlight w:val="none"/>
              </w:rPr>
              <w:t>2.本表所指的管理关系仅限于直接管理关系，不包括间接的管理关系。</w:t>
            </w:r>
          </w:p>
          <w:p w14:paraId="5286BDF1">
            <w:pPr>
              <w:snapToGrid w:val="0"/>
              <w:jc w:val="left"/>
              <w:rPr>
                <w:rFonts w:ascii="仿宋" w:hAnsi="仿宋" w:eastAsia="仿宋"/>
                <w:color w:val="auto"/>
                <w:szCs w:val="21"/>
                <w:highlight w:val="none"/>
              </w:rPr>
            </w:pPr>
            <w:r>
              <w:rPr>
                <w:rFonts w:ascii="仿宋" w:hAnsi="仿宋" w:eastAsia="仿宋"/>
                <w:color w:val="auto"/>
                <w:szCs w:val="21"/>
                <w:highlight w:val="none"/>
              </w:rPr>
              <w:t>3.供应商不存在直接管理关系的，则填“无”。</w:t>
            </w:r>
          </w:p>
        </w:tc>
      </w:tr>
      <w:tr w14:paraId="6D68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48C6606C">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1</w:t>
            </w:r>
          </w:p>
        </w:tc>
        <w:tc>
          <w:tcPr>
            <w:tcW w:w="2693" w:type="dxa"/>
            <w:gridSpan w:val="2"/>
            <w:vAlign w:val="center"/>
          </w:tcPr>
          <w:p w14:paraId="5D43CA4D">
            <w:pPr>
              <w:snapToGrid w:val="0"/>
              <w:spacing w:before="156" w:beforeLines="50" w:after="50"/>
              <w:jc w:val="center"/>
              <w:rPr>
                <w:rFonts w:ascii="仿宋" w:hAnsi="仿宋" w:eastAsia="仿宋" w:cs="宋体"/>
                <w:b/>
                <w:bCs/>
                <w:color w:val="auto"/>
                <w:kern w:val="0"/>
                <w:szCs w:val="21"/>
                <w:highlight w:val="none"/>
              </w:rPr>
            </w:pPr>
          </w:p>
        </w:tc>
        <w:tc>
          <w:tcPr>
            <w:tcW w:w="2685" w:type="dxa"/>
            <w:vAlign w:val="center"/>
          </w:tcPr>
          <w:p w14:paraId="15CCE948">
            <w:pPr>
              <w:snapToGrid w:val="0"/>
              <w:spacing w:before="156" w:beforeLines="50" w:after="50"/>
              <w:jc w:val="center"/>
              <w:rPr>
                <w:rFonts w:ascii="仿宋" w:hAnsi="仿宋" w:eastAsia="仿宋" w:cs="宋体"/>
                <w:b/>
                <w:bCs/>
                <w:color w:val="auto"/>
                <w:kern w:val="0"/>
                <w:szCs w:val="21"/>
                <w:highlight w:val="none"/>
              </w:rPr>
            </w:pPr>
          </w:p>
        </w:tc>
        <w:tc>
          <w:tcPr>
            <w:tcW w:w="3368" w:type="dxa"/>
            <w:vMerge w:val="continue"/>
            <w:vAlign w:val="center"/>
          </w:tcPr>
          <w:p w14:paraId="3173E98E">
            <w:pPr>
              <w:snapToGrid w:val="0"/>
              <w:jc w:val="left"/>
              <w:rPr>
                <w:rFonts w:ascii="仿宋" w:hAnsi="仿宋" w:eastAsia="仿宋"/>
                <w:color w:val="auto"/>
                <w:szCs w:val="21"/>
                <w:highlight w:val="none"/>
              </w:rPr>
            </w:pPr>
          </w:p>
        </w:tc>
      </w:tr>
      <w:tr w14:paraId="7C74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5BCC7B43">
            <w:pPr>
              <w:snapToGrid w:val="0"/>
              <w:spacing w:before="156" w:beforeLines="50" w:after="50"/>
              <w:jc w:val="center"/>
              <w:rPr>
                <w:rFonts w:ascii="仿宋" w:hAnsi="仿宋" w:eastAsia="仿宋"/>
                <w:b/>
                <w:color w:val="auto"/>
                <w:szCs w:val="21"/>
                <w:highlight w:val="none"/>
              </w:rPr>
            </w:pPr>
            <w:r>
              <w:rPr>
                <w:rFonts w:ascii="仿宋" w:hAnsi="仿宋" w:eastAsia="仿宋"/>
                <w:b/>
                <w:color w:val="auto"/>
                <w:szCs w:val="21"/>
                <w:highlight w:val="none"/>
              </w:rPr>
              <w:t>2</w:t>
            </w:r>
          </w:p>
        </w:tc>
        <w:tc>
          <w:tcPr>
            <w:tcW w:w="2693" w:type="dxa"/>
            <w:gridSpan w:val="2"/>
            <w:vAlign w:val="center"/>
          </w:tcPr>
          <w:p w14:paraId="59D07F14">
            <w:pPr>
              <w:snapToGrid w:val="0"/>
              <w:spacing w:before="156" w:beforeLines="50" w:after="50"/>
              <w:jc w:val="center"/>
              <w:rPr>
                <w:rFonts w:ascii="仿宋" w:hAnsi="仿宋" w:eastAsia="仿宋" w:cs="宋体"/>
                <w:b/>
                <w:bCs/>
                <w:color w:val="auto"/>
                <w:kern w:val="0"/>
                <w:szCs w:val="21"/>
                <w:highlight w:val="none"/>
              </w:rPr>
            </w:pPr>
          </w:p>
        </w:tc>
        <w:tc>
          <w:tcPr>
            <w:tcW w:w="2685" w:type="dxa"/>
            <w:vAlign w:val="center"/>
          </w:tcPr>
          <w:p w14:paraId="02674504">
            <w:pPr>
              <w:snapToGrid w:val="0"/>
              <w:spacing w:before="156" w:beforeLines="50" w:after="50"/>
              <w:jc w:val="center"/>
              <w:rPr>
                <w:rFonts w:ascii="仿宋" w:hAnsi="仿宋" w:eastAsia="仿宋" w:cs="宋体"/>
                <w:b/>
                <w:bCs/>
                <w:color w:val="auto"/>
                <w:kern w:val="0"/>
                <w:szCs w:val="21"/>
                <w:highlight w:val="none"/>
              </w:rPr>
            </w:pPr>
          </w:p>
        </w:tc>
        <w:tc>
          <w:tcPr>
            <w:tcW w:w="3368" w:type="dxa"/>
            <w:vMerge w:val="continue"/>
            <w:vAlign w:val="center"/>
          </w:tcPr>
          <w:p w14:paraId="63CBDD48">
            <w:pPr>
              <w:snapToGrid w:val="0"/>
              <w:jc w:val="left"/>
              <w:rPr>
                <w:rFonts w:ascii="仿宋" w:hAnsi="仿宋" w:eastAsia="仿宋"/>
                <w:color w:val="auto"/>
                <w:szCs w:val="21"/>
                <w:highlight w:val="none"/>
              </w:rPr>
            </w:pPr>
          </w:p>
        </w:tc>
      </w:tr>
      <w:tr w14:paraId="311E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7E10E092">
            <w:pPr>
              <w:snapToGrid w:val="0"/>
              <w:spacing w:before="156" w:beforeLines="50" w:after="50"/>
              <w:jc w:val="center"/>
              <w:rPr>
                <w:rFonts w:ascii="仿宋" w:hAnsi="仿宋" w:eastAsia="仿宋"/>
                <w:b/>
                <w:color w:val="auto"/>
                <w:szCs w:val="21"/>
                <w:highlight w:val="none"/>
              </w:rPr>
            </w:pPr>
            <w:r>
              <w:rPr>
                <w:rFonts w:ascii="仿宋" w:hAnsi="仿宋" w:eastAsia="仿宋" w:cs="宋体"/>
                <w:color w:val="auto"/>
                <w:kern w:val="0"/>
                <w:szCs w:val="21"/>
                <w:highlight w:val="none"/>
              </w:rPr>
              <w:t>……</w:t>
            </w:r>
          </w:p>
        </w:tc>
        <w:tc>
          <w:tcPr>
            <w:tcW w:w="2693" w:type="dxa"/>
            <w:gridSpan w:val="2"/>
            <w:vAlign w:val="center"/>
          </w:tcPr>
          <w:p w14:paraId="50389B34">
            <w:pPr>
              <w:snapToGrid w:val="0"/>
              <w:spacing w:before="156" w:beforeLines="50" w:after="50"/>
              <w:jc w:val="center"/>
              <w:rPr>
                <w:rFonts w:ascii="仿宋" w:hAnsi="仿宋" w:eastAsia="仿宋" w:cs="宋体"/>
                <w:b/>
                <w:bCs/>
                <w:color w:val="auto"/>
                <w:kern w:val="0"/>
                <w:szCs w:val="21"/>
                <w:highlight w:val="none"/>
              </w:rPr>
            </w:pPr>
          </w:p>
        </w:tc>
        <w:tc>
          <w:tcPr>
            <w:tcW w:w="2685" w:type="dxa"/>
            <w:vAlign w:val="center"/>
          </w:tcPr>
          <w:p w14:paraId="03C11789">
            <w:pPr>
              <w:snapToGrid w:val="0"/>
              <w:spacing w:before="156" w:beforeLines="50" w:after="50"/>
              <w:jc w:val="center"/>
              <w:rPr>
                <w:rFonts w:ascii="仿宋" w:hAnsi="仿宋" w:eastAsia="仿宋" w:cs="宋体"/>
                <w:b/>
                <w:bCs/>
                <w:color w:val="auto"/>
                <w:kern w:val="0"/>
                <w:szCs w:val="21"/>
                <w:highlight w:val="none"/>
              </w:rPr>
            </w:pPr>
          </w:p>
        </w:tc>
        <w:tc>
          <w:tcPr>
            <w:tcW w:w="3368" w:type="dxa"/>
            <w:vMerge w:val="continue"/>
            <w:vAlign w:val="center"/>
          </w:tcPr>
          <w:p w14:paraId="0CB73414">
            <w:pPr>
              <w:snapToGrid w:val="0"/>
              <w:jc w:val="left"/>
              <w:rPr>
                <w:rFonts w:ascii="仿宋" w:hAnsi="仿宋" w:eastAsia="仿宋"/>
                <w:color w:val="auto"/>
                <w:szCs w:val="21"/>
                <w:highlight w:val="none"/>
              </w:rPr>
            </w:pPr>
          </w:p>
        </w:tc>
      </w:tr>
    </w:tbl>
    <w:p w14:paraId="40B7FC6F">
      <w:pPr>
        <w:snapToGrid w:val="0"/>
        <w:spacing w:line="360" w:lineRule="auto"/>
        <w:jc w:val="left"/>
        <w:rPr>
          <w:rFonts w:ascii="仿宋" w:hAnsi="仿宋" w:eastAsia="仿宋"/>
          <w:color w:val="auto"/>
          <w:sz w:val="24"/>
          <w:highlight w:val="none"/>
        </w:rPr>
      </w:pPr>
    </w:p>
    <w:p w14:paraId="141346B8">
      <w:pPr>
        <w:snapToGrid w:val="0"/>
        <w:spacing w:line="360" w:lineRule="auto"/>
        <w:ind w:firstLine="4840" w:firstLineChars="2200"/>
        <w:rPr>
          <w:rFonts w:ascii="仿宋" w:hAnsi="仿宋" w:eastAsia="仿宋" w:cs="仿宋_GB2312"/>
          <w:color w:val="auto"/>
          <w:kern w:val="0"/>
          <w:sz w:val="22"/>
          <w:highlight w:val="none"/>
          <w:u w:val="single"/>
        </w:rPr>
      </w:pPr>
      <w:r>
        <w:rPr>
          <w:rFonts w:hint="eastAsia" w:ascii="仿宋" w:hAnsi="仿宋" w:eastAsia="仿宋" w:cs="仿宋_GB2312"/>
          <w:color w:val="auto"/>
          <w:kern w:val="0"/>
          <w:sz w:val="22"/>
          <w:highlight w:val="none"/>
          <w:lang w:val="zh-CN"/>
        </w:rPr>
        <w:t>投标人名称(</w:t>
      </w:r>
      <w:r>
        <w:rPr>
          <w:rFonts w:hint="eastAsia" w:ascii="仿宋" w:hAnsi="仿宋" w:eastAsia="仿宋" w:cs="仿宋_GB2312"/>
          <w:color w:val="auto"/>
          <w:kern w:val="0"/>
          <w:sz w:val="22"/>
          <w:highlight w:val="none"/>
        </w:rPr>
        <w:t>公章</w:t>
      </w:r>
      <w:r>
        <w:rPr>
          <w:rFonts w:hint="eastAsia" w:ascii="仿宋" w:hAnsi="仿宋" w:eastAsia="仿宋" w:cs="仿宋_GB2312"/>
          <w:color w:val="auto"/>
          <w:kern w:val="0"/>
          <w:sz w:val="22"/>
          <w:highlight w:val="none"/>
          <w:lang w:val="zh-CN"/>
        </w:rPr>
        <w:t>)：</w:t>
      </w:r>
      <w:r>
        <w:rPr>
          <w:rFonts w:hint="eastAsia" w:ascii="仿宋" w:hAnsi="仿宋" w:eastAsia="仿宋" w:cs="仿宋_GB2312"/>
          <w:color w:val="auto"/>
          <w:kern w:val="0"/>
          <w:sz w:val="22"/>
          <w:highlight w:val="none"/>
          <w:u w:val="single"/>
          <w:lang w:val="zh-CN"/>
        </w:rPr>
        <w:t xml:space="preserve"> </w:t>
      </w:r>
      <w:r>
        <w:rPr>
          <w:rFonts w:ascii="仿宋" w:hAnsi="仿宋" w:eastAsia="仿宋" w:cs="仿宋_GB2312"/>
          <w:color w:val="auto"/>
          <w:kern w:val="0"/>
          <w:sz w:val="22"/>
          <w:highlight w:val="none"/>
          <w:u w:val="single"/>
          <w:lang w:val="zh-CN"/>
        </w:rPr>
        <w:t xml:space="preserve">         </w:t>
      </w:r>
    </w:p>
    <w:p w14:paraId="28AD62F2">
      <w:pPr>
        <w:snapToGrid w:val="0"/>
        <w:spacing w:line="360" w:lineRule="auto"/>
        <w:ind w:firstLine="4730" w:firstLineChars="2150"/>
        <w:rPr>
          <w:rFonts w:ascii="仿宋" w:hAnsi="仿宋" w:eastAsia="仿宋" w:cs="仿宋_GB2312"/>
          <w:color w:val="auto"/>
          <w:kern w:val="0"/>
          <w:sz w:val="22"/>
          <w:highlight w:val="none"/>
          <w:lang w:val="zh-CN"/>
        </w:rPr>
      </w:pPr>
      <w:r>
        <w:rPr>
          <w:rFonts w:hint="eastAsia" w:ascii="仿宋" w:hAnsi="仿宋" w:eastAsia="仿宋" w:cs="仿宋_GB2312"/>
          <w:color w:val="auto"/>
          <w:kern w:val="0"/>
          <w:sz w:val="22"/>
          <w:highlight w:val="none"/>
          <w:lang w:val="zh-CN"/>
        </w:rPr>
        <w:t>日期</w:t>
      </w:r>
      <w:r>
        <w:rPr>
          <w:rFonts w:hint="eastAsia" w:ascii="仿宋" w:hAnsi="仿宋" w:eastAsia="仿宋" w:cs="仿宋_GB2312"/>
          <w:color w:val="auto"/>
          <w:kern w:val="0"/>
          <w:sz w:val="22"/>
          <w:highlight w:val="none"/>
        </w:rPr>
        <w:t xml:space="preserve">：  年  </w:t>
      </w:r>
      <w:r>
        <w:rPr>
          <w:rFonts w:hint="eastAsia" w:ascii="仿宋" w:hAnsi="仿宋" w:eastAsia="仿宋" w:cs="仿宋_GB2312"/>
          <w:color w:val="auto"/>
          <w:kern w:val="0"/>
          <w:sz w:val="22"/>
          <w:highlight w:val="none"/>
          <w:lang w:val="zh-CN"/>
        </w:rPr>
        <w:t>月</w:t>
      </w:r>
      <w:r>
        <w:rPr>
          <w:rFonts w:hint="eastAsia" w:ascii="仿宋" w:hAnsi="仿宋" w:eastAsia="仿宋" w:cs="仿宋_GB2312"/>
          <w:color w:val="auto"/>
          <w:kern w:val="0"/>
          <w:sz w:val="22"/>
          <w:highlight w:val="none"/>
        </w:rPr>
        <w:t xml:space="preserve">   </w:t>
      </w:r>
      <w:r>
        <w:rPr>
          <w:rFonts w:hint="eastAsia" w:ascii="仿宋" w:hAnsi="仿宋" w:eastAsia="仿宋" w:cs="仿宋_GB2312"/>
          <w:color w:val="auto"/>
          <w:kern w:val="0"/>
          <w:sz w:val="22"/>
          <w:highlight w:val="none"/>
          <w:lang w:val="zh-CN"/>
        </w:rPr>
        <w:t>日</w:t>
      </w:r>
    </w:p>
    <w:p w14:paraId="71A23D6A">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4610719F">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31A6B114">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5B36F1E6">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7330C9C2">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5842D327">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065C70B1">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2E3A2ACD">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339077EE">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4B368CF9">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47250E1B">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p w14:paraId="256B48C8">
      <w:pPr>
        <w:spacing w:before="133" w:line="360" w:lineRule="auto"/>
        <w:ind w:left="2809"/>
        <w:outlineLvl w:val="0"/>
        <w:rPr>
          <w:rFonts w:hint="eastAsia" w:ascii="宋体" w:hAnsi="宋体" w:eastAsia="宋体" w:cs="宋体"/>
          <w:color w:val="auto"/>
          <w:sz w:val="31"/>
          <w:szCs w:val="31"/>
        </w:rPr>
      </w:pPr>
      <w:r>
        <w:rPr>
          <w:rFonts w:hint="eastAsia" w:ascii="宋体" w:hAnsi="宋体" w:eastAsia="宋体" w:cs="宋体"/>
          <w:color w:val="auto"/>
          <w:spacing w:val="7"/>
          <w:sz w:val="31"/>
          <w:szCs w:val="31"/>
          <w:lang w:val="en-US" w:eastAsia="zh-CN"/>
        </w:rPr>
        <w:t>A部分、B部分</w:t>
      </w:r>
      <w:r>
        <w:rPr>
          <w:rFonts w:hint="eastAsia" w:ascii="宋体" w:hAnsi="宋体" w:eastAsia="宋体" w:cs="宋体"/>
          <w:color w:val="auto"/>
          <w:spacing w:val="7"/>
          <w:sz w:val="31"/>
          <w:szCs w:val="31"/>
        </w:rPr>
        <w:t>合同主要条款格式</w:t>
      </w:r>
    </w:p>
    <w:p w14:paraId="3159CEDB">
      <w:pPr>
        <w:spacing w:before="162" w:line="360" w:lineRule="auto"/>
        <w:rPr>
          <w:rFonts w:hint="eastAsia" w:ascii="宋体" w:hAnsi="宋体" w:eastAsia="宋体" w:cs="宋体"/>
          <w:color w:val="auto"/>
        </w:rPr>
      </w:pPr>
    </w:p>
    <w:p w14:paraId="7F8F2AC5">
      <w:pPr>
        <w:spacing w:line="360" w:lineRule="auto"/>
        <w:rPr>
          <w:rFonts w:hint="eastAsia" w:ascii="宋体" w:hAnsi="宋体" w:eastAsia="宋体" w:cs="宋体"/>
          <w:color w:val="auto"/>
        </w:rPr>
        <w:sectPr>
          <w:headerReference r:id="rId4" w:type="default"/>
          <w:footerReference r:id="rId5" w:type="default"/>
          <w:pgSz w:w="11906" w:h="16839"/>
          <w:pgMar w:top="1138" w:right="1411" w:bottom="1156" w:left="1233" w:header="859" w:footer="994" w:gutter="0"/>
          <w:pgBorders>
            <w:top w:val="none" w:sz="0" w:space="0"/>
            <w:left w:val="none" w:sz="0" w:space="0"/>
            <w:bottom w:val="none" w:sz="0" w:space="0"/>
            <w:right w:val="none" w:sz="0" w:space="0"/>
          </w:pgBorders>
          <w:cols w:equalWidth="0" w:num="1">
            <w:col w:w="9262"/>
          </w:cols>
        </w:sectPr>
      </w:pPr>
    </w:p>
    <w:p w14:paraId="6DF4E04E">
      <w:pPr>
        <w:spacing w:before="49" w:line="360" w:lineRule="auto"/>
        <w:ind w:left="197" w:right="-126" w:rightChars="-60"/>
        <w:rPr>
          <w:rFonts w:hint="eastAsia" w:ascii="宋体" w:hAnsi="宋体" w:eastAsia="宋体" w:cs="宋体"/>
          <w:color w:val="auto"/>
          <w:sz w:val="20"/>
          <w:szCs w:val="20"/>
        </w:rPr>
      </w:pPr>
      <w:r>
        <w:rPr>
          <w:rFonts w:hint="eastAsia" w:ascii="宋体" w:hAnsi="宋体" w:eastAsia="宋体" w:cs="宋体"/>
          <w:color w:val="auto"/>
          <w:spacing w:val="5"/>
          <w:sz w:val="20"/>
          <w:szCs w:val="20"/>
        </w:rPr>
        <w:t>采购人（甲方）</w:t>
      </w:r>
      <w:r>
        <w:rPr>
          <w:rFonts w:hint="eastAsia" w:ascii="宋体" w:hAnsi="宋体" w:eastAsia="宋体" w:cs="宋体"/>
          <w:color w:val="auto"/>
          <w:spacing w:val="5"/>
          <w:sz w:val="20"/>
          <w:szCs w:val="20"/>
          <w:u w:val="single" w:color="auto"/>
        </w:rPr>
        <w:t xml:space="preserve">  </w:t>
      </w:r>
      <w:r>
        <w:rPr>
          <w:rFonts w:hint="eastAsia" w:ascii="宋体" w:hAnsi="宋体" w:eastAsia="宋体" w:cs="宋体"/>
          <w:color w:val="auto"/>
          <w:spacing w:val="2"/>
          <w:sz w:val="20"/>
          <w:szCs w:val="20"/>
          <w:u w:val="single" w:color="auto"/>
          <w:lang w:val="en-US" w:eastAsia="zh-CN"/>
        </w:rPr>
        <w:t>广西艺术学院/广西艺术学院附属中等艺术学校</w:t>
      </w:r>
      <w:r>
        <w:rPr>
          <w:rFonts w:hint="eastAsia" w:ascii="宋体" w:hAnsi="宋体" w:eastAsia="宋体" w:cs="宋体"/>
          <w:color w:val="auto"/>
          <w:spacing w:val="5"/>
          <w:sz w:val="20"/>
          <w:szCs w:val="20"/>
          <w:u w:val="single" w:color="auto"/>
        </w:rPr>
        <w:t xml:space="preserve"> </w:t>
      </w:r>
    </w:p>
    <w:p w14:paraId="218590B5">
      <w:pPr>
        <w:tabs>
          <w:tab w:val="left" w:pos="4410"/>
        </w:tabs>
        <w:spacing w:before="56" w:line="360" w:lineRule="auto"/>
        <w:ind w:left="190" w:right="117" w:hanging="3"/>
        <w:jc w:val="left"/>
        <w:rPr>
          <w:rFonts w:hint="eastAsia" w:ascii="宋体" w:hAnsi="宋体" w:eastAsia="宋体" w:cs="宋体"/>
          <w:color w:val="auto"/>
          <w:spacing w:val="7"/>
          <w:sz w:val="20"/>
          <w:szCs w:val="20"/>
        </w:rPr>
      </w:pPr>
      <w:r>
        <w:rPr>
          <w:rFonts w:hint="eastAsia" w:ascii="宋体" w:hAnsi="宋体" w:eastAsia="宋体" w:cs="宋体"/>
          <w:color w:val="auto"/>
          <w:spacing w:val="4"/>
          <w:sz w:val="20"/>
          <w:szCs w:val="20"/>
        </w:rPr>
        <w:t>供应商（乙方）</w:t>
      </w:r>
      <w:r>
        <w:rPr>
          <w:rFonts w:hint="eastAsia" w:ascii="宋体" w:hAnsi="宋体" w:eastAsia="宋体" w:cs="宋体"/>
          <w:color w:val="auto"/>
          <w:spacing w:val="-39"/>
          <w:sz w:val="20"/>
          <w:szCs w:val="20"/>
        </w:rPr>
        <w:t xml:space="preserve"> </w:t>
      </w:r>
      <w:r>
        <w:rPr>
          <w:rFonts w:hint="eastAsia" w:ascii="宋体" w:hAnsi="宋体" w:eastAsia="宋体" w:cs="宋体"/>
          <w:color w:val="auto"/>
          <w:sz w:val="20"/>
          <w:szCs w:val="20"/>
          <w:u w:val="single" w:color="auto"/>
        </w:rPr>
        <w:t xml:space="preserve">                                       </w:t>
      </w:r>
      <w:r>
        <w:rPr>
          <w:rFonts w:hint="eastAsia" w:ascii="宋体" w:hAnsi="宋体" w:eastAsia="宋体" w:cs="宋体"/>
          <w:color w:val="auto"/>
          <w:spacing w:val="7"/>
          <w:sz w:val="20"/>
          <w:szCs w:val="20"/>
        </w:rPr>
        <w:t xml:space="preserve"> </w:t>
      </w:r>
    </w:p>
    <w:p w14:paraId="7203A561">
      <w:pPr>
        <w:tabs>
          <w:tab w:val="left" w:pos="4410"/>
        </w:tabs>
        <w:spacing w:before="56" w:line="360" w:lineRule="auto"/>
        <w:ind w:left="190" w:right="117" w:hanging="3"/>
        <w:jc w:val="left"/>
        <w:rPr>
          <w:rFonts w:hint="eastAsia" w:ascii="宋体" w:hAnsi="宋体" w:eastAsia="宋体" w:cs="宋体"/>
          <w:color w:val="auto"/>
          <w:sz w:val="2"/>
          <w:szCs w:val="2"/>
        </w:rPr>
      </w:pP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1"/>
          <w:sz w:val="20"/>
          <w:szCs w:val="20"/>
        </w:rPr>
        <w:t>地</w:t>
      </w:r>
      <w:r>
        <w:rPr>
          <w:rFonts w:hint="eastAsia" w:ascii="宋体" w:hAnsi="宋体" w:eastAsia="宋体" w:cs="宋体"/>
          <w:color w:val="auto"/>
          <w:spacing w:val="15"/>
          <w:sz w:val="20"/>
          <w:szCs w:val="20"/>
        </w:rPr>
        <w:t xml:space="preserve"> </w:t>
      </w:r>
      <w:r>
        <w:rPr>
          <w:rFonts w:hint="eastAsia" w:ascii="宋体" w:hAnsi="宋体" w:eastAsia="宋体" w:cs="宋体"/>
          <w:color w:val="auto"/>
          <w:spacing w:val="1"/>
          <w:sz w:val="20"/>
          <w:szCs w:val="20"/>
        </w:rPr>
        <w:t>点</w:t>
      </w:r>
      <w:r>
        <w:rPr>
          <w:rFonts w:hint="eastAsia" w:ascii="宋体" w:hAnsi="宋体" w:eastAsia="宋体" w:cs="宋体"/>
          <w:color w:val="auto"/>
          <w:spacing w:val="11"/>
          <w:sz w:val="20"/>
          <w:szCs w:val="20"/>
        </w:rPr>
        <w:t xml:space="preserve">  </w:t>
      </w:r>
      <w:r>
        <w:rPr>
          <w:rFonts w:hint="eastAsia" w:ascii="宋体" w:hAnsi="宋体" w:eastAsia="宋体" w:cs="宋体"/>
          <w:color w:val="auto"/>
          <w:spacing w:val="56"/>
          <w:sz w:val="20"/>
          <w:szCs w:val="20"/>
          <w:u w:val="single" w:color="auto"/>
        </w:rPr>
        <w:t xml:space="preserve"> </w:t>
      </w:r>
      <w:r>
        <w:rPr>
          <w:rFonts w:hint="eastAsia" w:ascii="宋体" w:hAnsi="宋体" w:eastAsia="宋体" w:cs="宋体"/>
          <w:color w:val="auto"/>
          <w:spacing w:val="1"/>
          <w:sz w:val="20"/>
          <w:szCs w:val="20"/>
          <w:u w:val="single" w:color="auto"/>
        </w:rPr>
        <w:t>南宁市</w:t>
      </w:r>
      <w:r>
        <w:rPr>
          <w:rFonts w:hint="eastAsia" w:ascii="宋体" w:hAnsi="宋体" w:eastAsia="宋体" w:cs="宋体"/>
          <w:color w:val="auto"/>
          <w:spacing w:val="1"/>
          <w:sz w:val="20"/>
          <w:szCs w:val="20"/>
          <w:u w:val="single" w:color="auto"/>
          <w:lang w:val="en-US" w:eastAsia="zh-CN"/>
        </w:rPr>
        <w:t>教育路</w:t>
      </w:r>
      <w:r>
        <w:rPr>
          <w:rFonts w:hint="eastAsia" w:ascii="宋体" w:hAnsi="宋体" w:eastAsia="宋体" w:cs="宋体"/>
          <w:color w:val="auto"/>
          <w:spacing w:val="1"/>
          <w:sz w:val="20"/>
          <w:szCs w:val="20"/>
          <w:u w:val="single" w:color="auto"/>
        </w:rPr>
        <w:t xml:space="preserve"> </w:t>
      </w:r>
      <w:r>
        <w:rPr>
          <w:rFonts w:hint="eastAsia" w:ascii="宋体" w:hAnsi="宋体" w:eastAsia="宋体" w:cs="宋体"/>
          <w:color w:val="auto"/>
          <w:spacing w:val="1"/>
          <w:sz w:val="20"/>
          <w:szCs w:val="20"/>
          <w:u w:val="single" w:color="auto"/>
          <w:lang w:val="en-US" w:eastAsia="zh-CN"/>
        </w:rPr>
        <w:t>7</w:t>
      </w:r>
      <w:r>
        <w:rPr>
          <w:rFonts w:hint="eastAsia" w:ascii="宋体" w:hAnsi="宋体" w:eastAsia="宋体" w:cs="宋体"/>
          <w:color w:val="auto"/>
          <w:spacing w:val="1"/>
          <w:sz w:val="20"/>
          <w:szCs w:val="20"/>
          <w:u w:val="single" w:color="auto"/>
        </w:rPr>
        <w:t xml:space="preserve"> 号       </w:t>
      </w:r>
      <w:r>
        <w:rPr>
          <w:rFonts w:hint="eastAsia" w:ascii="宋体" w:hAnsi="宋体" w:eastAsia="宋体" w:cs="宋体"/>
          <w:color w:val="auto"/>
          <w:sz w:val="20"/>
          <w:szCs w:val="20"/>
          <w:u w:val="single" w:color="auto"/>
        </w:rPr>
        <w:t xml:space="preserve">  </w:t>
      </w:r>
      <w:r>
        <w:rPr>
          <w:rFonts w:hint="eastAsia" w:ascii="宋体" w:hAnsi="宋体" w:eastAsia="宋体" w:cs="宋体"/>
          <w:color w:val="auto"/>
          <w:sz w:val="20"/>
          <w:szCs w:val="20"/>
          <w:u w:val="single" w:color="auto"/>
          <w:lang w:val="en-US" w:eastAsia="zh-CN"/>
        </w:rPr>
        <w:t xml:space="preserve"> </w:t>
      </w:r>
      <w:r>
        <w:rPr>
          <w:rFonts w:hint="eastAsia" w:ascii="宋体" w:hAnsi="宋体" w:eastAsia="宋体" w:cs="宋体"/>
          <w:color w:val="auto"/>
          <w:sz w:val="2"/>
          <w:szCs w:val="2"/>
        </w:rPr>
        <w:br w:type="column"/>
      </w:r>
    </w:p>
    <w:p w14:paraId="542CEB12">
      <w:pPr>
        <w:spacing w:before="56" w:line="360" w:lineRule="auto"/>
        <w:ind w:left="190" w:right="117" w:hanging="3"/>
        <w:jc w:val="left"/>
        <w:rPr>
          <w:rFonts w:hint="eastAsia" w:ascii="宋体" w:hAnsi="宋体" w:eastAsia="宋体" w:cs="宋体"/>
          <w:color w:val="auto"/>
          <w:sz w:val="2"/>
          <w:szCs w:val="2"/>
        </w:rPr>
      </w:pPr>
    </w:p>
    <w:p w14:paraId="166C41BC">
      <w:pPr>
        <w:spacing w:before="56" w:line="360" w:lineRule="auto"/>
        <w:ind w:left="190" w:right="117" w:hanging="3"/>
        <w:jc w:val="left"/>
        <w:rPr>
          <w:rFonts w:hint="eastAsia" w:ascii="宋体" w:hAnsi="宋体" w:eastAsia="宋体" w:cs="宋体"/>
          <w:color w:val="auto"/>
          <w:sz w:val="2"/>
          <w:szCs w:val="2"/>
        </w:rPr>
      </w:pPr>
    </w:p>
    <w:p w14:paraId="3DEE893B">
      <w:pPr>
        <w:spacing w:before="56" w:line="360" w:lineRule="auto"/>
        <w:ind w:left="190" w:right="117" w:hanging="3"/>
        <w:jc w:val="left"/>
        <w:rPr>
          <w:rFonts w:hint="eastAsia" w:ascii="宋体" w:hAnsi="宋体" w:eastAsia="宋体" w:cs="宋体"/>
          <w:color w:val="auto"/>
          <w:sz w:val="2"/>
          <w:szCs w:val="2"/>
        </w:rPr>
      </w:pPr>
    </w:p>
    <w:p w14:paraId="7939D59E">
      <w:pPr>
        <w:spacing w:before="56" w:line="360" w:lineRule="auto"/>
        <w:ind w:left="190" w:right="117" w:hanging="3"/>
        <w:jc w:val="left"/>
        <w:rPr>
          <w:rFonts w:hint="eastAsia" w:ascii="宋体" w:hAnsi="宋体" w:eastAsia="宋体" w:cs="宋体"/>
          <w:color w:val="auto"/>
          <w:sz w:val="2"/>
          <w:szCs w:val="2"/>
        </w:rPr>
      </w:pPr>
    </w:p>
    <w:p w14:paraId="1E1D8DC9">
      <w:pPr>
        <w:spacing w:before="56" w:line="360" w:lineRule="auto"/>
        <w:ind w:left="190" w:right="117" w:hanging="3"/>
        <w:jc w:val="left"/>
        <w:rPr>
          <w:rFonts w:hint="eastAsia" w:ascii="宋体" w:hAnsi="宋体" w:eastAsia="宋体" w:cs="宋体"/>
          <w:color w:val="auto"/>
          <w:sz w:val="2"/>
          <w:szCs w:val="2"/>
        </w:rPr>
      </w:pPr>
    </w:p>
    <w:p w14:paraId="25677A95">
      <w:pPr>
        <w:spacing w:before="86" w:line="360" w:lineRule="auto"/>
        <w:ind w:right="861" w:firstLine="2"/>
        <w:jc w:val="left"/>
        <w:rPr>
          <w:rFonts w:hint="eastAsia" w:ascii="宋体" w:hAnsi="宋体" w:eastAsia="宋体" w:cs="宋体"/>
          <w:color w:val="auto"/>
          <w:sz w:val="20"/>
          <w:szCs w:val="20"/>
        </w:rPr>
        <w:sectPr>
          <w:type w:val="continuous"/>
          <w:pgSz w:w="11906" w:h="16839"/>
          <w:pgMar w:top="1138" w:right="1411" w:bottom="1156" w:left="1233" w:header="859" w:footer="994" w:gutter="0"/>
          <w:pgBorders>
            <w:top w:val="none" w:sz="0" w:space="0"/>
            <w:left w:val="none" w:sz="0" w:space="0"/>
            <w:bottom w:val="none" w:sz="0" w:space="0"/>
            <w:right w:val="none" w:sz="0" w:space="0"/>
          </w:pgBorders>
          <w:cols w:equalWidth="0" w:num="2">
            <w:col w:w="6204" w:space="192"/>
            <w:col w:w="2866"/>
          </w:cols>
        </w:sectPr>
      </w:pPr>
      <w:r>
        <w:rPr>
          <w:rFonts w:hint="eastAsia" w:ascii="宋体" w:hAnsi="宋体" w:eastAsia="宋体" w:cs="宋体"/>
          <w:color w:val="auto"/>
          <w:spacing w:val="1"/>
          <w:sz w:val="20"/>
          <w:szCs w:val="20"/>
        </w:rPr>
        <w:t>项目名称编号</w:t>
      </w:r>
      <w:r>
        <w:rPr>
          <w:rFonts w:hint="eastAsia" w:ascii="宋体" w:hAnsi="宋体" w:eastAsia="宋体" w:cs="宋体"/>
          <w:color w:val="auto"/>
          <w:sz w:val="20"/>
          <w:szCs w:val="20"/>
          <w:u w:val="single" w:color="auto"/>
        </w:rPr>
        <w:t xml:space="preserve">                                        </w:t>
      </w:r>
      <w:r>
        <w:rPr>
          <w:rFonts w:hint="eastAsia" w:ascii="宋体" w:hAnsi="宋体" w:eastAsia="宋体" w:cs="宋体"/>
          <w:color w:val="auto"/>
          <w:spacing w:val="11"/>
          <w:sz w:val="20"/>
          <w:szCs w:val="20"/>
        </w:rPr>
        <w:t xml:space="preserve"> </w:t>
      </w:r>
      <w:r>
        <w:rPr>
          <w:rFonts w:hint="eastAsia" w:ascii="宋体" w:hAnsi="宋体" w:eastAsia="宋体" w:cs="宋体"/>
          <w:color w:val="auto"/>
          <w:spacing w:val="-2"/>
          <w:sz w:val="20"/>
          <w:szCs w:val="20"/>
        </w:rPr>
        <w:t>签</w:t>
      </w:r>
      <w:r>
        <w:rPr>
          <w:rFonts w:hint="eastAsia" w:ascii="宋体" w:hAnsi="宋体" w:eastAsia="宋体" w:cs="宋体"/>
          <w:color w:val="auto"/>
          <w:spacing w:val="-2"/>
          <w:sz w:val="20"/>
          <w:szCs w:val="20"/>
          <w:lang w:val="en-US" w:eastAsia="zh-CN"/>
        </w:rPr>
        <w:t xml:space="preserve"> </w:t>
      </w:r>
      <w:r>
        <w:rPr>
          <w:rFonts w:hint="eastAsia" w:ascii="宋体" w:hAnsi="宋体" w:eastAsia="宋体" w:cs="宋体"/>
          <w:color w:val="auto"/>
          <w:spacing w:val="-2"/>
          <w:sz w:val="20"/>
          <w:szCs w:val="20"/>
        </w:rPr>
        <w:t>订 时</w:t>
      </w:r>
      <w:r>
        <w:rPr>
          <w:rFonts w:hint="eastAsia" w:ascii="宋体" w:hAnsi="宋体" w:eastAsia="宋体" w:cs="宋体"/>
          <w:color w:val="auto"/>
          <w:spacing w:val="5"/>
          <w:sz w:val="20"/>
          <w:szCs w:val="20"/>
        </w:rPr>
        <w:t xml:space="preserve"> </w:t>
      </w:r>
      <w:r>
        <w:rPr>
          <w:rFonts w:hint="eastAsia" w:ascii="宋体" w:hAnsi="宋体" w:eastAsia="宋体" w:cs="宋体"/>
          <w:color w:val="auto"/>
          <w:spacing w:val="-2"/>
          <w:sz w:val="20"/>
          <w:szCs w:val="20"/>
        </w:rPr>
        <w:t>间</w:t>
      </w:r>
      <w:r>
        <w:rPr>
          <w:rFonts w:hint="eastAsia" w:ascii="宋体" w:hAnsi="宋体" w:eastAsia="宋体" w:cs="宋体"/>
          <w:color w:val="auto"/>
          <w:spacing w:val="-2"/>
          <w:sz w:val="20"/>
          <w:szCs w:val="20"/>
          <w:u w:val="single" w:color="auto"/>
        </w:rPr>
        <w:t xml:space="preserve">                                          </w:t>
      </w:r>
    </w:p>
    <w:p w14:paraId="2EDAF7EA">
      <w:pPr>
        <w:spacing w:before="86" w:line="360" w:lineRule="auto"/>
        <w:ind w:left="191" w:right="7" w:firstLine="421"/>
        <w:rPr>
          <w:rFonts w:hint="eastAsia" w:ascii="宋体" w:hAnsi="宋体" w:eastAsia="宋体" w:cs="宋体"/>
          <w:color w:val="auto"/>
          <w:spacing w:val="9"/>
          <w:sz w:val="20"/>
          <w:szCs w:val="20"/>
        </w:rPr>
      </w:pPr>
      <w:r>
        <w:rPr>
          <w:rFonts w:hint="eastAsia" w:ascii="宋体" w:hAnsi="宋体" w:eastAsia="宋体" w:cs="宋体"/>
          <w:color w:val="auto"/>
          <w:spacing w:val="9"/>
          <w:sz w:val="20"/>
          <w:szCs w:val="20"/>
        </w:rPr>
        <w:t>根据《中华人民共和国民法典》等法律</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9"/>
          <w:sz w:val="20"/>
          <w:szCs w:val="20"/>
        </w:rPr>
        <w:t>、法规规定，</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9"/>
          <w:sz w:val="20"/>
          <w:szCs w:val="20"/>
        </w:rPr>
        <w:t>按照</w:t>
      </w:r>
      <w:r>
        <w:rPr>
          <w:rFonts w:hint="eastAsia" w:ascii="宋体" w:hAnsi="宋体" w:eastAsia="宋体" w:cs="宋体"/>
          <w:color w:val="auto"/>
          <w:spacing w:val="9"/>
          <w:sz w:val="20"/>
          <w:szCs w:val="20"/>
          <w:lang w:eastAsia="zh-CN"/>
        </w:rPr>
        <w:t>采购文件</w:t>
      </w:r>
      <w:r>
        <w:rPr>
          <w:rFonts w:hint="eastAsia" w:ascii="宋体" w:hAnsi="宋体" w:eastAsia="宋体" w:cs="宋体"/>
          <w:color w:val="auto"/>
          <w:spacing w:val="9"/>
          <w:sz w:val="20"/>
          <w:szCs w:val="20"/>
        </w:rPr>
        <w:t>规定条款和乙方</w:t>
      </w:r>
      <w:r>
        <w:rPr>
          <w:rFonts w:hint="eastAsia" w:ascii="宋体" w:hAnsi="宋体" w:eastAsia="宋体" w:cs="宋体"/>
          <w:color w:val="auto"/>
          <w:spacing w:val="9"/>
          <w:sz w:val="20"/>
          <w:szCs w:val="20"/>
          <w:lang w:val="en-US" w:eastAsia="zh-CN"/>
        </w:rPr>
        <w:t>投标（</w:t>
      </w:r>
      <w:r>
        <w:rPr>
          <w:rFonts w:hint="eastAsia" w:ascii="宋体" w:hAnsi="宋体" w:eastAsia="宋体" w:cs="宋体"/>
          <w:color w:val="auto"/>
          <w:spacing w:val="9"/>
          <w:sz w:val="20"/>
          <w:szCs w:val="20"/>
        </w:rPr>
        <w:t>响</w:t>
      </w:r>
    </w:p>
    <w:p w14:paraId="1C908A32">
      <w:pPr>
        <w:spacing w:before="86" w:line="360" w:lineRule="auto"/>
        <w:ind w:right="7"/>
        <w:rPr>
          <w:rFonts w:hint="eastAsia" w:ascii="宋体" w:hAnsi="宋体" w:eastAsia="宋体" w:cs="宋体"/>
          <w:color w:val="auto"/>
          <w:sz w:val="20"/>
          <w:szCs w:val="20"/>
        </w:rPr>
      </w:pPr>
      <w:r>
        <w:rPr>
          <w:rFonts w:hint="eastAsia" w:ascii="宋体" w:hAnsi="宋体" w:eastAsia="宋体" w:cs="宋体"/>
          <w:color w:val="auto"/>
          <w:spacing w:val="9"/>
          <w:sz w:val="20"/>
          <w:szCs w:val="20"/>
        </w:rPr>
        <w:t>应</w:t>
      </w:r>
      <w:r>
        <w:rPr>
          <w:rFonts w:hint="eastAsia" w:ascii="宋体" w:hAnsi="宋体" w:eastAsia="宋体" w:cs="宋体"/>
          <w:color w:val="auto"/>
          <w:spacing w:val="9"/>
          <w:sz w:val="20"/>
          <w:szCs w:val="20"/>
          <w:lang w:eastAsia="zh-CN"/>
        </w:rPr>
        <w:t>）</w:t>
      </w:r>
      <w:r>
        <w:rPr>
          <w:rFonts w:hint="eastAsia" w:ascii="宋体" w:hAnsi="宋体" w:eastAsia="宋体" w:cs="宋体"/>
          <w:color w:val="auto"/>
          <w:spacing w:val="9"/>
          <w:sz w:val="20"/>
          <w:szCs w:val="20"/>
        </w:rPr>
        <w:t>文件及</w:t>
      </w:r>
      <w:r>
        <w:rPr>
          <w:rFonts w:hint="eastAsia" w:ascii="宋体" w:hAnsi="宋体" w:eastAsia="宋体" w:cs="宋体"/>
          <w:color w:val="auto"/>
          <w:spacing w:val="4"/>
          <w:sz w:val="20"/>
          <w:szCs w:val="20"/>
        </w:rPr>
        <w:t>其承诺，甲乙双方签订本合同。</w:t>
      </w:r>
    </w:p>
    <w:p w14:paraId="208DD5D1">
      <w:pPr>
        <w:spacing w:before="1" w:line="360" w:lineRule="auto"/>
        <w:ind w:left="611"/>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第一条</w:t>
      </w:r>
      <w:r>
        <w:rPr>
          <w:rFonts w:hint="eastAsia" w:ascii="宋体" w:hAnsi="宋体" w:eastAsia="宋体" w:cs="宋体"/>
          <w:b/>
          <w:bCs/>
          <w:color w:val="auto"/>
          <w:spacing w:val="16"/>
          <w:sz w:val="20"/>
          <w:szCs w:val="20"/>
        </w:rPr>
        <w:t xml:space="preserve">   </w:t>
      </w:r>
      <w:r>
        <w:rPr>
          <w:rFonts w:hint="eastAsia" w:ascii="宋体" w:hAnsi="宋体" w:eastAsia="宋体" w:cs="宋体"/>
          <w:b/>
          <w:bCs/>
          <w:color w:val="auto"/>
          <w:spacing w:val="8"/>
          <w:sz w:val="20"/>
          <w:szCs w:val="20"/>
        </w:rPr>
        <w:t>项目概况及服务范围</w:t>
      </w:r>
    </w:p>
    <w:p w14:paraId="5A7CCC68">
      <w:pPr>
        <w:spacing w:before="94" w:line="360" w:lineRule="auto"/>
        <w:ind w:firstLine="408" w:firstLineChars="200"/>
        <w:rPr>
          <w:rFonts w:hint="eastAsia" w:ascii="宋体" w:hAnsi="宋体" w:eastAsia="宋体" w:cs="宋体"/>
          <w:color w:val="auto"/>
          <w:sz w:val="20"/>
          <w:szCs w:val="20"/>
        </w:rPr>
      </w:pPr>
      <w:r>
        <w:rPr>
          <w:rFonts w:hint="eastAsia" w:ascii="宋体" w:hAnsi="宋体" w:eastAsia="宋体" w:cs="宋体"/>
          <w:color w:val="auto"/>
          <w:spacing w:val="2"/>
          <w:sz w:val="20"/>
          <w:szCs w:val="20"/>
        </w:rPr>
        <w:t xml:space="preserve">1.项目名称： </w:t>
      </w:r>
      <w:r>
        <w:rPr>
          <w:rFonts w:hint="eastAsia" w:ascii="宋体" w:hAnsi="宋体" w:eastAsia="宋体" w:cs="宋体"/>
          <w:color w:val="auto"/>
          <w:spacing w:val="2"/>
          <w:sz w:val="20"/>
          <w:szCs w:val="20"/>
          <w:lang w:val="en-US" w:eastAsia="zh-CN"/>
        </w:rPr>
        <w:t>广西艺术学院/广西艺术学院附属中等艺术学校2026级、2027级新生入学体检服务项目</w:t>
      </w:r>
    </w:p>
    <w:p w14:paraId="08967611">
      <w:pPr>
        <w:spacing w:before="93" w:line="360" w:lineRule="auto"/>
        <w:ind w:firstLine="408" w:firstLineChars="200"/>
        <w:rPr>
          <w:rFonts w:hint="eastAsia" w:ascii="宋体" w:hAnsi="宋体" w:eastAsia="宋体" w:cs="宋体"/>
          <w:color w:val="auto"/>
          <w:sz w:val="20"/>
          <w:szCs w:val="20"/>
          <w:u w:val="none" w:color="auto"/>
        </w:rPr>
      </w:pPr>
      <w:r>
        <w:rPr>
          <w:rFonts w:hint="eastAsia" w:ascii="宋体" w:hAnsi="宋体" w:eastAsia="宋体" w:cs="宋体"/>
          <w:color w:val="auto"/>
          <w:spacing w:val="2"/>
          <w:sz w:val="20"/>
          <w:szCs w:val="20"/>
        </w:rPr>
        <w:t>2.服务内容及范围：</w:t>
      </w:r>
      <w:r>
        <w:rPr>
          <w:rFonts w:hint="eastAsia" w:ascii="宋体" w:hAnsi="宋体" w:eastAsia="宋体" w:cs="宋体"/>
          <w:color w:val="auto"/>
          <w:spacing w:val="-20"/>
          <w:sz w:val="20"/>
          <w:szCs w:val="20"/>
          <w:u w:val="single" w:color="auto"/>
        </w:rPr>
        <w:t xml:space="preserve"> </w:t>
      </w:r>
      <w:r>
        <w:rPr>
          <w:rFonts w:hint="eastAsia" w:ascii="宋体" w:hAnsi="宋体" w:eastAsia="宋体" w:cs="宋体"/>
          <w:color w:val="auto"/>
          <w:spacing w:val="-20"/>
          <w:sz w:val="20"/>
          <w:szCs w:val="20"/>
          <w:u w:val="single" w:color="auto"/>
          <w:lang w:val="en-US" w:eastAsia="zh-CN"/>
        </w:rPr>
        <w:t xml:space="preserve">  </w:t>
      </w:r>
      <w:r>
        <w:rPr>
          <w:rFonts w:hint="eastAsia" w:ascii="宋体" w:hAnsi="宋体" w:eastAsia="宋体" w:cs="宋体"/>
          <w:color w:val="auto"/>
          <w:spacing w:val="23"/>
          <w:kern w:val="13"/>
          <w:sz w:val="20"/>
          <w:szCs w:val="20"/>
          <w:u w:val="single" w:color="auto"/>
          <w:lang w:val="en-US" w:eastAsia="zh-CN"/>
        </w:rPr>
        <w:t xml:space="preserve">（成交后根据实际部分服务内容填写）    </w:t>
      </w:r>
      <w:r>
        <w:rPr>
          <w:rFonts w:hint="eastAsia" w:ascii="宋体" w:hAnsi="宋体" w:eastAsia="宋体" w:cs="宋体"/>
          <w:color w:val="auto"/>
          <w:spacing w:val="-20"/>
          <w:sz w:val="20"/>
          <w:szCs w:val="20"/>
          <w:u w:val="single" w:color="auto"/>
          <w:lang w:val="en-US" w:eastAsia="zh-CN"/>
        </w:rPr>
        <w:t xml:space="preserve">      </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z w:val="20"/>
          <w:szCs w:val="20"/>
          <w:u w:val="single" w:color="auto"/>
        </w:rPr>
        <w:t xml:space="preserve"> </w:t>
      </w:r>
    </w:p>
    <w:p w14:paraId="716EB599">
      <w:pPr>
        <w:spacing w:before="93" w:line="360" w:lineRule="auto"/>
        <w:ind w:firstLine="400" w:firstLineChars="200"/>
        <w:rPr>
          <w:rFonts w:hint="eastAsia" w:ascii="宋体" w:hAnsi="宋体" w:eastAsia="宋体" w:cs="宋体"/>
          <w:color w:val="auto"/>
          <w:sz w:val="20"/>
          <w:szCs w:val="20"/>
          <w:u w:val="none" w:color="auto"/>
        </w:rPr>
      </w:pPr>
      <w:r>
        <w:rPr>
          <w:rFonts w:hint="eastAsia" w:ascii="宋体" w:hAnsi="宋体" w:eastAsia="宋体" w:cs="宋体"/>
          <w:color w:val="auto"/>
          <w:sz w:val="20"/>
          <w:szCs w:val="20"/>
          <w:u w:val="none" w:color="auto"/>
          <w:lang w:val="en-US" w:eastAsia="zh-CN"/>
        </w:rPr>
        <w:t>⑴</w:t>
      </w:r>
      <w:r>
        <w:rPr>
          <w:rFonts w:hint="eastAsia" w:ascii="宋体" w:hAnsi="宋体" w:eastAsia="宋体" w:cs="宋体"/>
          <w:color w:val="auto"/>
          <w:sz w:val="20"/>
          <w:szCs w:val="20"/>
          <w:u w:val="none" w:color="auto"/>
        </w:rPr>
        <w:t>、一般检查：内科、外科、五官（眼、耳、鼻、喉、口腔）、眼科（视力、辨色力）、听力、身高、体重、血压。</w:t>
      </w:r>
    </w:p>
    <w:p w14:paraId="14B4D3A2">
      <w:pPr>
        <w:spacing w:before="93" w:line="360" w:lineRule="auto"/>
        <w:ind w:firstLine="400" w:firstLineChars="200"/>
        <w:rPr>
          <w:rFonts w:hint="eastAsia" w:ascii="宋体" w:hAnsi="宋体" w:eastAsia="宋体" w:cs="宋体"/>
          <w:color w:val="auto"/>
          <w:sz w:val="20"/>
          <w:szCs w:val="20"/>
          <w:u w:val="none" w:color="auto"/>
        </w:rPr>
      </w:pPr>
      <w:r>
        <w:rPr>
          <w:rFonts w:hint="eastAsia" w:ascii="宋体" w:hAnsi="宋体" w:eastAsia="宋体" w:cs="宋体"/>
          <w:color w:val="auto"/>
          <w:sz w:val="20"/>
          <w:szCs w:val="20"/>
          <w:u w:val="none" w:color="auto"/>
          <w:lang w:val="en-US" w:eastAsia="zh-CN"/>
        </w:rPr>
        <w:t>⑵</w:t>
      </w:r>
      <w:r>
        <w:rPr>
          <w:rFonts w:hint="eastAsia" w:ascii="宋体" w:hAnsi="宋体" w:eastAsia="宋体" w:cs="宋体"/>
          <w:color w:val="auto"/>
          <w:sz w:val="20"/>
          <w:szCs w:val="20"/>
          <w:u w:val="none" w:color="auto"/>
        </w:rPr>
        <w:t>、血常规（全血细胞计数3分类）</w:t>
      </w:r>
    </w:p>
    <w:p w14:paraId="71710961">
      <w:pPr>
        <w:spacing w:before="93" w:line="360" w:lineRule="auto"/>
        <w:ind w:firstLine="400" w:firstLineChars="200"/>
        <w:rPr>
          <w:rFonts w:hint="eastAsia" w:ascii="宋体" w:hAnsi="宋体" w:eastAsia="宋体" w:cs="宋体"/>
          <w:color w:val="auto"/>
          <w:sz w:val="20"/>
          <w:szCs w:val="20"/>
          <w:u w:val="none" w:color="auto"/>
        </w:rPr>
      </w:pPr>
      <w:r>
        <w:rPr>
          <w:rFonts w:hint="eastAsia" w:ascii="宋体" w:hAnsi="宋体" w:eastAsia="宋体" w:cs="宋体"/>
          <w:color w:val="auto"/>
          <w:sz w:val="20"/>
          <w:szCs w:val="20"/>
          <w:u w:val="none" w:color="auto"/>
          <w:lang w:val="en-US" w:eastAsia="zh-CN"/>
        </w:rPr>
        <w:t>⑶</w:t>
      </w:r>
      <w:r>
        <w:rPr>
          <w:rFonts w:hint="eastAsia" w:ascii="宋体" w:hAnsi="宋体" w:eastAsia="宋体" w:cs="宋体"/>
          <w:color w:val="auto"/>
          <w:sz w:val="20"/>
          <w:szCs w:val="20"/>
          <w:u w:val="none" w:color="auto"/>
        </w:rPr>
        <w:t>、肝功能：血清丙氨酸氨基转移酶测定、总胆红素测定</w:t>
      </w:r>
    </w:p>
    <w:p w14:paraId="7F3A46C5">
      <w:pPr>
        <w:spacing w:before="93" w:line="360" w:lineRule="auto"/>
        <w:ind w:firstLine="400" w:firstLineChars="200"/>
        <w:rPr>
          <w:rFonts w:hint="eastAsia" w:ascii="宋体" w:hAnsi="宋体" w:eastAsia="宋体" w:cs="宋体"/>
          <w:color w:val="auto"/>
          <w:sz w:val="20"/>
          <w:szCs w:val="20"/>
          <w:u w:val="none" w:color="auto"/>
        </w:rPr>
      </w:pPr>
      <w:r>
        <w:rPr>
          <w:rFonts w:hint="eastAsia" w:ascii="宋体" w:hAnsi="宋体" w:eastAsia="宋体" w:cs="宋体"/>
          <w:color w:val="auto"/>
          <w:sz w:val="20"/>
          <w:szCs w:val="20"/>
          <w:u w:val="none" w:color="auto"/>
          <w:lang w:val="en-US" w:eastAsia="zh-CN"/>
        </w:rPr>
        <w:t>⑷</w:t>
      </w:r>
      <w:r>
        <w:rPr>
          <w:rFonts w:hint="eastAsia" w:ascii="宋体" w:hAnsi="宋体" w:eastAsia="宋体" w:cs="宋体"/>
          <w:color w:val="auto"/>
          <w:sz w:val="20"/>
          <w:szCs w:val="20"/>
          <w:u w:val="none" w:color="auto"/>
        </w:rPr>
        <w:t>、胸部数字化摄影DR（不含胶片）</w:t>
      </w:r>
    </w:p>
    <w:p w14:paraId="7B282D09">
      <w:pPr>
        <w:numPr>
          <w:ilvl w:val="0"/>
          <w:numId w:val="0"/>
        </w:numPr>
        <w:spacing w:before="93" w:line="360" w:lineRule="auto"/>
        <w:ind w:firstLine="408" w:firstLineChars="200"/>
        <w:rPr>
          <w:rFonts w:hint="eastAsia" w:ascii="宋体" w:hAnsi="宋体" w:eastAsia="宋体" w:cs="宋体"/>
          <w:color w:val="auto"/>
          <w:spacing w:val="2"/>
          <w:sz w:val="20"/>
          <w:szCs w:val="20"/>
          <w:u w:val="single" w:color="auto"/>
        </w:rPr>
      </w:pPr>
      <w:r>
        <w:rPr>
          <w:rFonts w:hint="eastAsia" w:ascii="宋体" w:hAnsi="宋体" w:eastAsia="宋体" w:cs="宋体"/>
          <w:color w:val="auto"/>
          <w:spacing w:val="2"/>
          <w:sz w:val="20"/>
          <w:szCs w:val="20"/>
          <w:lang w:val="en-US" w:eastAsia="zh-CN"/>
        </w:rPr>
        <w:t>3.</w:t>
      </w:r>
      <w:r>
        <w:rPr>
          <w:rFonts w:hint="eastAsia" w:ascii="宋体" w:hAnsi="宋体" w:eastAsia="宋体" w:cs="宋体"/>
          <w:color w:val="auto"/>
          <w:spacing w:val="2"/>
          <w:sz w:val="20"/>
          <w:szCs w:val="20"/>
        </w:rPr>
        <w:t>服务期：</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18"/>
          <w:sz w:val="20"/>
          <w:szCs w:val="20"/>
          <w:u w:val="single" w:color="auto"/>
        </w:rPr>
        <w:t xml:space="preserve"> </w:t>
      </w:r>
      <w:r>
        <w:rPr>
          <w:rFonts w:hint="eastAsia" w:ascii="宋体" w:hAnsi="宋体" w:eastAsia="宋体" w:cs="宋体"/>
          <w:color w:val="auto"/>
          <w:spacing w:val="2"/>
          <w:sz w:val="20"/>
          <w:szCs w:val="20"/>
          <w:u w:val="single" w:color="auto"/>
        </w:rPr>
        <w:t>自签订合同之日起至 202</w:t>
      </w:r>
      <w:r>
        <w:rPr>
          <w:rFonts w:hint="eastAsia" w:ascii="宋体" w:hAnsi="宋体" w:eastAsia="宋体" w:cs="宋体"/>
          <w:color w:val="auto"/>
          <w:spacing w:val="2"/>
          <w:sz w:val="20"/>
          <w:szCs w:val="20"/>
          <w:u w:val="single" w:color="auto"/>
          <w:lang w:val="en-US" w:eastAsia="zh-CN"/>
        </w:rPr>
        <w:t>7</w:t>
      </w:r>
      <w:r>
        <w:rPr>
          <w:rFonts w:hint="eastAsia" w:ascii="宋体" w:hAnsi="宋体" w:eastAsia="宋体" w:cs="宋体"/>
          <w:color w:val="auto"/>
          <w:spacing w:val="2"/>
          <w:sz w:val="20"/>
          <w:szCs w:val="20"/>
          <w:u w:val="single" w:color="auto"/>
        </w:rPr>
        <w:t xml:space="preserve"> 年</w:t>
      </w:r>
      <w:r>
        <w:rPr>
          <w:rFonts w:hint="eastAsia" w:ascii="宋体" w:hAnsi="宋体" w:eastAsia="宋体" w:cs="宋体"/>
          <w:color w:val="auto"/>
          <w:spacing w:val="20"/>
          <w:sz w:val="20"/>
          <w:szCs w:val="20"/>
          <w:u w:val="single" w:color="auto"/>
        </w:rPr>
        <w:t xml:space="preserve"> </w:t>
      </w:r>
      <w:r>
        <w:rPr>
          <w:rFonts w:hint="eastAsia" w:ascii="宋体" w:hAnsi="宋体" w:eastAsia="宋体" w:cs="宋体"/>
          <w:color w:val="auto"/>
          <w:spacing w:val="2"/>
          <w:sz w:val="20"/>
          <w:szCs w:val="20"/>
          <w:u w:val="single" w:color="auto"/>
        </w:rPr>
        <w:t>1</w:t>
      </w:r>
      <w:r>
        <w:rPr>
          <w:rFonts w:hint="eastAsia" w:ascii="宋体" w:hAnsi="宋体" w:eastAsia="宋体" w:cs="宋体"/>
          <w:color w:val="auto"/>
          <w:spacing w:val="2"/>
          <w:sz w:val="20"/>
          <w:szCs w:val="20"/>
          <w:u w:val="single" w:color="auto"/>
          <w:lang w:val="en-US" w:eastAsia="zh-CN"/>
        </w:rPr>
        <w:t>2</w:t>
      </w:r>
      <w:r>
        <w:rPr>
          <w:rFonts w:hint="eastAsia" w:ascii="宋体" w:hAnsi="宋体" w:eastAsia="宋体" w:cs="宋体"/>
          <w:color w:val="auto"/>
          <w:spacing w:val="2"/>
          <w:sz w:val="20"/>
          <w:szCs w:val="20"/>
          <w:u w:val="single" w:color="auto"/>
        </w:rPr>
        <w:t xml:space="preserve"> 月 </w:t>
      </w:r>
      <w:r>
        <w:rPr>
          <w:rFonts w:hint="eastAsia" w:ascii="宋体" w:hAnsi="宋体" w:eastAsia="宋体" w:cs="宋体"/>
          <w:color w:val="auto"/>
          <w:spacing w:val="2"/>
          <w:sz w:val="20"/>
          <w:szCs w:val="20"/>
          <w:u w:val="single" w:color="auto"/>
          <w:lang w:val="en-US" w:eastAsia="zh-CN"/>
        </w:rPr>
        <w:t>31</w:t>
      </w:r>
      <w:r>
        <w:rPr>
          <w:rFonts w:hint="eastAsia" w:ascii="宋体" w:hAnsi="宋体" w:eastAsia="宋体" w:cs="宋体"/>
          <w:color w:val="auto"/>
          <w:spacing w:val="2"/>
          <w:sz w:val="20"/>
          <w:szCs w:val="20"/>
          <w:u w:val="single" w:color="auto"/>
        </w:rPr>
        <w:t xml:space="preserve"> 日</w:t>
      </w:r>
    </w:p>
    <w:p w14:paraId="4396BC67">
      <w:pPr>
        <w:numPr>
          <w:ilvl w:val="0"/>
          <w:numId w:val="0"/>
        </w:numPr>
        <w:spacing w:before="93" w:line="360" w:lineRule="auto"/>
        <w:ind w:firstLine="408" w:firstLineChars="200"/>
        <w:rPr>
          <w:rFonts w:hint="eastAsia" w:ascii="宋体" w:hAnsi="宋体" w:eastAsia="宋体" w:cs="宋体"/>
          <w:color w:val="auto"/>
          <w:spacing w:val="6"/>
          <w:sz w:val="20"/>
          <w:szCs w:val="20"/>
        </w:rPr>
      </w:pPr>
      <w:r>
        <w:rPr>
          <w:rFonts w:hint="eastAsia" w:ascii="宋体" w:hAnsi="宋体" w:eastAsia="宋体" w:cs="宋体"/>
          <w:color w:val="auto"/>
          <w:spacing w:val="2"/>
          <w:sz w:val="20"/>
          <w:szCs w:val="20"/>
          <w:u w:val="none" w:color="auto"/>
          <w:lang w:val="en-US" w:eastAsia="zh-CN"/>
        </w:rPr>
        <w:t>4.</w:t>
      </w:r>
      <w:r>
        <w:rPr>
          <w:rFonts w:hint="eastAsia" w:ascii="宋体" w:hAnsi="宋体" w:eastAsia="宋体" w:cs="宋体"/>
          <w:color w:val="auto"/>
          <w:spacing w:val="7"/>
          <w:sz w:val="20"/>
          <w:szCs w:val="20"/>
        </w:rPr>
        <w:t>服务地点：</w:t>
      </w:r>
      <w:r>
        <w:rPr>
          <w:rFonts w:hint="eastAsia" w:ascii="宋体" w:hAnsi="宋体" w:eastAsia="宋体" w:cs="宋体"/>
          <w:color w:val="auto"/>
          <w:spacing w:val="-28"/>
          <w:sz w:val="20"/>
          <w:szCs w:val="20"/>
          <w:u w:val="single" w:color="auto"/>
        </w:rPr>
        <w:t xml:space="preserve"> </w:t>
      </w:r>
      <w:r>
        <w:rPr>
          <w:rFonts w:hint="eastAsia" w:ascii="宋体" w:hAnsi="宋体" w:eastAsia="宋体" w:cs="宋体"/>
          <w:color w:val="auto"/>
          <w:spacing w:val="51"/>
          <w:sz w:val="20"/>
          <w:szCs w:val="20"/>
          <w:u w:val="single" w:color="auto"/>
        </w:rPr>
        <w:t xml:space="preserve"> </w:t>
      </w:r>
      <w:r>
        <w:rPr>
          <w:rFonts w:hint="eastAsia" w:ascii="宋体" w:hAnsi="宋体" w:eastAsia="宋体" w:cs="宋体"/>
          <w:color w:val="auto"/>
          <w:spacing w:val="23"/>
          <w:kern w:val="13"/>
          <w:sz w:val="20"/>
          <w:szCs w:val="20"/>
          <w:u w:val="single" w:color="auto"/>
          <w:lang w:val="en-US" w:eastAsia="zh-CN"/>
        </w:rPr>
        <w:t>（成交后根据实际部分内容填写）</w:t>
      </w:r>
      <w:r>
        <w:rPr>
          <w:rFonts w:hint="eastAsia" w:ascii="宋体" w:hAnsi="宋体" w:eastAsia="宋体" w:cs="宋体"/>
          <w:color w:val="auto"/>
          <w:sz w:val="20"/>
          <w:szCs w:val="20"/>
          <w:u w:val="single" w:color="auto"/>
        </w:rPr>
        <w:t>。</w:t>
      </w:r>
      <w:r>
        <w:rPr>
          <w:rFonts w:hint="eastAsia" w:ascii="宋体" w:hAnsi="宋体" w:eastAsia="宋体" w:cs="宋体"/>
          <w:color w:val="auto"/>
          <w:spacing w:val="39"/>
          <w:sz w:val="20"/>
          <w:szCs w:val="20"/>
          <w:u w:val="single" w:color="auto"/>
        </w:rPr>
        <w:t xml:space="preserve"> </w:t>
      </w:r>
    </w:p>
    <w:p w14:paraId="41BF9005">
      <w:pPr>
        <w:numPr>
          <w:ilvl w:val="0"/>
          <w:numId w:val="0"/>
        </w:numPr>
        <w:spacing w:before="93" w:line="360" w:lineRule="auto"/>
        <w:ind w:firstLine="400" w:firstLineChars="200"/>
        <w:rPr>
          <w:rFonts w:hint="eastAsia" w:ascii="宋体" w:hAnsi="宋体" w:eastAsia="宋体" w:cs="宋体"/>
          <w:color w:val="auto"/>
          <w:sz w:val="20"/>
          <w:szCs w:val="20"/>
          <w:u w:val="none" w:color="auto"/>
        </w:rPr>
      </w:pPr>
      <w:r>
        <w:rPr>
          <w:rFonts w:hint="eastAsia" w:ascii="宋体" w:hAnsi="宋体" w:eastAsia="宋体" w:cs="宋体"/>
          <w:color w:val="auto"/>
          <w:sz w:val="20"/>
          <w:szCs w:val="20"/>
          <w:u w:val="none" w:color="auto"/>
        </w:rPr>
        <w:t>乙方提前将体检设备送至甲方指定体检地点；采集好的血液标本，及时送回医院化验。</w:t>
      </w:r>
    </w:p>
    <w:p w14:paraId="7C7BA974">
      <w:pPr>
        <w:numPr>
          <w:ilvl w:val="0"/>
          <w:numId w:val="0"/>
        </w:numPr>
        <w:spacing w:before="93" w:line="360" w:lineRule="auto"/>
        <w:ind w:firstLine="400" w:firstLineChars="200"/>
        <w:rPr>
          <w:rFonts w:hint="eastAsia" w:ascii="宋体" w:hAnsi="宋体" w:eastAsia="宋体" w:cs="宋体"/>
          <w:color w:val="auto"/>
        </w:rPr>
      </w:pPr>
      <w:r>
        <w:rPr>
          <w:rFonts w:hint="eastAsia" w:ascii="宋体" w:hAnsi="宋体" w:eastAsia="宋体" w:cs="宋体"/>
          <w:color w:val="auto"/>
          <w:sz w:val="20"/>
          <w:szCs w:val="20"/>
          <w:u w:val="none" w:color="auto"/>
          <w:lang w:val="en-US" w:eastAsia="zh-CN"/>
        </w:rPr>
        <w:t>5.</w:t>
      </w:r>
      <w:r>
        <w:rPr>
          <w:rFonts w:hint="eastAsia" w:ascii="宋体" w:hAnsi="宋体" w:eastAsia="宋体" w:cs="宋体"/>
          <w:color w:val="auto"/>
          <w:spacing w:val="10"/>
          <w:sz w:val="20"/>
          <w:szCs w:val="20"/>
        </w:rPr>
        <w:t>报价要求：</w:t>
      </w:r>
      <w:r>
        <w:rPr>
          <w:rFonts w:hint="eastAsia" w:ascii="宋体" w:hAnsi="宋体" w:eastAsia="宋体" w:cs="宋体"/>
          <w:color w:val="auto"/>
          <w:spacing w:val="-8"/>
          <w:sz w:val="20"/>
          <w:szCs w:val="20"/>
        </w:rPr>
        <w:t xml:space="preserve"> </w:t>
      </w:r>
      <w:r>
        <w:rPr>
          <w:rFonts w:hint="eastAsia" w:ascii="宋体" w:hAnsi="宋体" w:eastAsia="宋体" w:cs="宋体"/>
          <w:color w:val="auto"/>
          <w:spacing w:val="-8"/>
          <w:sz w:val="20"/>
          <w:szCs w:val="20"/>
          <w:lang w:val="en-US" w:eastAsia="zh-CN"/>
        </w:rPr>
        <w:t>本次报价为按要求完成服务的全部价格，包含体检、化验、材料（如设备、体检表格 、</w:t>
      </w:r>
    </w:p>
    <w:p w14:paraId="19130265">
      <w:pPr>
        <w:numPr>
          <w:ilvl w:val="0"/>
          <w:numId w:val="0"/>
        </w:numPr>
        <w:spacing w:before="49" w:line="360" w:lineRule="auto"/>
        <w:ind w:right="9" w:rightChars="0"/>
        <w:rPr>
          <w:rFonts w:hint="eastAsia" w:ascii="宋体" w:hAnsi="宋体" w:eastAsia="宋体" w:cs="宋体"/>
          <w:color w:val="auto"/>
        </w:rPr>
      </w:pPr>
      <w:r>
        <w:rPr>
          <w:rFonts w:hint="eastAsia" w:ascii="宋体" w:hAnsi="宋体" w:eastAsia="宋体" w:cs="宋体"/>
          <w:color w:val="auto"/>
          <w:spacing w:val="-8"/>
          <w:sz w:val="20"/>
          <w:szCs w:val="20"/>
          <w:lang w:val="en-US" w:eastAsia="zh-CN"/>
        </w:rPr>
        <w:t>消耗性材料等）、医疗垃圾管理及处置、体检结果分析、与本项目服务业务有关一切费用和政策性文件规定及合同包含的所有风险、责任等全部费用，采购人不再支付其它费用。</w:t>
      </w:r>
    </w:p>
    <w:p w14:paraId="794C6894">
      <w:pPr>
        <w:spacing w:line="360" w:lineRule="auto"/>
        <w:ind w:left="0"/>
        <w:rPr>
          <w:rFonts w:hint="eastAsia" w:ascii="宋体" w:hAnsi="宋体" w:eastAsia="宋体" w:cs="宋体"/>
          <w:color w:val="auto"/>
        </w:rPr>
      </w:pPr>
    </w:p>
    <w:p w14:paraId="4A649CA8">
      <w:pPr>
        <w:spacing w:before="1" w:line="360" w:lineRule="auto"/>
        <w:ind w:left="611"/>
        <w:rPr>
          <w:rFonts w:hint="eastAsia" w:ascii="宋体" w:hAnsi="宋体" w:eastAsia="宋体" w:cs="宋体"/>
          <w:color w:val="auto"/>
          <w:spacing w:val="5"/>
          <w:sz w:val="20"/>
          <w:szCs w:val="20"/>
          <w:lang w:val="en-US" w:eastAsia="zh-CN"/>
        </w:rPr>
      </w:pPr>
      <w:r>
        <w:rPr>
          <w:rFonts w:hint="eastAsia" w:ascii="宋体" w:hAnsi="宋体" w:eastAsia="宋体" w:cs="宋体"/>
          <w:b/>
          <w:bCs/>
          <w:color w:val="auto"/>
          <w:spacing w:val="5"/>
          <w:sz w:val="20"/>
          <w:szCs w:val="20"/>
        </w:rPr>
        <w:t>第二条</w:t>
      </w:r>
      <w:r>
        <w:rPr>
          <w:rFonts w:hint="eastAsia" w:ascii="宋体" w:hAnsi="宋体" w:eastAsia="宋体" w:cs="宋体"/>
          <w:b/>
          <w:bCs/>
          <w:color w:val="auto"/>
          <w:spacing w:val="12"/>
          <w:sz w:val="20"/>
          <w:szCs w:val="20"/>
        </w:rPr>
        <w:t xml:space="preserve">  </w:t>
      </w:r>
      <w:r>
        <w:rPr>
          <w:rFonts w:hint="eastAsia" w:ascii="宋体" w:hAnsi="宋体" w:eastAsia="宋体" w:cs="宋体"/>
          <w:b w:val="0"/>
          <w:bCs w:val="0"/>
          <w:color w:val="auto"/>
          <w:spacing w:val="12"/>
          <w:sz w:val="20"/>
          <w:szCs w:val="20"/>
        </w:rPr>
        <w:t xml:space="preserve"> </w:t>
      </w:r>
      <w:r>
        <w:rPr>
          <w:rFonts w:hint="eastAsia" w:ascii="宋体" w:hAnsi="宋体" w:eastAsia="宋体" w:cs="宋体"/>
          <w:b/>
          <w:bCs/>
          <w:color w:val="auto"/>
          <w:spacing w:val="5"/>
          <w:sz w:val="20"/>
          <w:szCs w:val="20"/>
          <w:lang w:val="en-US" w:eastAsia="zh-CN"/>
        </w:rPr>
        <w:t>成交报价表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09C1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598EE5B7">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项目名称</w:t>
            </w:r>
          </w:p>
        </w:tc>
        <w:tc>
          <w:tcPr>
            <w:tcW w:w="4644" w:type="dxa"/>
          </w:tcPr>
          <w:p w14:paraId="407FC562">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含税单价（元）</w:t>
            </w:r>
          </w:p>
        </w:tc>
      </w:tr>
      <w:tr w14:paraId="40C2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5319BC2B">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kern w:val="2"/>
                <w:sz w:val="20"/>
                <w:szCs w:val="20"/>
                <w:highlight w:val="none"/>
                <w:vertAlign w:val="baseline"/>
                <w:lang w:val="en-US" w:eastAsia="zh-CN" w:bidi="ar-SA"/>
              </w:rPr>
              <w:t>一般检查：（身高、体重、血压）</w:t>
            </w:r>
          </w:p>
        </w:tc>
        <w:tc>
          <w:tcPr>
            <w:tcW w:w="4644" w:type="dxa"/>
          </w:tcPr>
          <w:p w14:paraId="7358ACBA">
            <w:pPr>
              <w:pStyle w:val="14"/>
              <w:widowControl/>
              <w:numPr>
                <w:ilvl w:val="0"/>
                <w:numId w:val="0"/>
              </w:numPr>
              <w:spacing w:line="360" w:lineRule="auto"/>
              <w:jc w:val="both"/>
              <w:rPr>
                <w:rFonts w:hint="eastAsia" w:ascii="宋体" w:hAnsi="宋体" w:eastAsia="宋体" w:cs="宋体"/>
                <w:color w:val="auto"/>
                <w:sz w:val="20"/>
                <w:szCs w:val="20"/>
                <w:highlight w:val="none"/>
                <w:vertAlign w:val="baseline"/>
                <w:lang w:val="en-US" w:eastAsia="zh-CN"/>
              </w:rPr>
            </w:pPr>
          </w:p>
        </w:tc>
      </w:tr>
      <w:tr w14:paraId="1AD8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1F2F857F">
            <w:pPr>
              <w:keepNext w:val="0"/>
              <w:keepLines w:val="0"/>
              <w:pageBreakBefore w:val="0"/>
              <w:widowControl w:val="0"/>
              <w:kinsoku/>
              <w:wordWrap/>
              <w:overflowPunct/>
              <w:topLinePunct w:val="0"/>
              <w:bidi w:val="0"/>
              <w:adjustRightInd/>
              <w:snapToGrid/>
              <w:spacing w:line="360" w:lineRule="auto"/>
              <w:ind w:firstLine="1800" w:firstLineChars="900"/>
              <w:jc w:val="both"/>
              <w:textAlignment w:val="auto"/>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内科检查</w:t>
            </w:r>
          </w:p>
        </w:tc>
        <w:tc>
          <w:tcPr>
            <w:tcW w:w="4644" w:type="dxa"/>
          </w:tcPr>
          <w:p w14:paraId="2813C9BC">
            <w:pPr>
              <w:pStyle w:val="14"/>
              <w:widowControl/>
              <w:numPr>
                <w:ilvl w:val="0"/>
                <w:numId w:val="0"/>
              </w:numPr>
              <w:spacing w:line="360" w:lineRule="auto"/>
              <w:jc w:val="both"/>
              <w:rPr>
                <w:rFonts w:hint="eastAsia" w:ascii="宋体" w:hAnsi="宋体" w:eastAsia="宋体" w:cs="宋体"/>
                <w:color w:val="auto"/>
                <w:sz w:val="20"/>
                <w:szCs w:val="20"/>
                <w:highlight w:val="none"/>
                <w:vertAlign w:val="baseline"/>
                <w:lang w:val="en-US" w:eastAsia="zh-CN"/>
              </w:rPr>
            </w:pPr>
          </w:p>
        </w:tc>
      </w:tr>
      <w:tr w14:paraId="06F3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4C8EB81B">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外科检查</w:t>
            </w:r>
          </w:p>
        </w:tc>
        <w:tc>
          <w:tcPr>
            <w:tcW w:w="4644" w:type="dxa"/>
          </w:tcPr>
          <w:p w14:paraId="1733AF6E">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r w14:paraId="6618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3558539F">
            <w:pPr>
              <w:pStyle w:val="14"/>
              <w:widowControl/>
              <w:numPr>
                <w:ilvl w:val="0"/>
                <w:numId w:val="0"/>
              </w:numPr>
              <w:spacing w:line="360" w:lineRule="auto"/>
              <w:jc w:val="left"/>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五官科一般检查（眼视力、辨色力 、耳听力 、鼻 、喉、 口腔）</w:t>
            </w:r>
          </w:p>
        </w:tc>
        <w:tc>
          <w:tcPr>
            <w:tcW w:w="4644" w:type="dxa"/>
          </w:tcPr>
          <w:p w14:paraId="0555C4E8">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r w14:paraId="168D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1FF901AB">
            <w:pPr>
              <w:keepNext w:val="0"/>
              <w:keepLines w:val="0"/>
              <w:pageBreakBefore w:val="0"/>
              <w:widowControl w:val="0"/>
              <w:kinsoku/>
              <w:wordWrap/>
              <w:overflowPunct/>
              <w:topLinePunct w:val="0"/>
              <w:bidi w:val="0"/>
              <w:adjustRightInd/>
              <w:snapToGrid/>
              <w:spacing w:line="360" w:lineRule="auto"/>
              <w:ind w:firstLine="800" w:firstLineChars="400"/>
              <w:jc w:val="both"/>
              <w:textAlignment w:val="auto"/>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血常规（全血细胞计数3分类）</w:t>
            </w:r>
          </w:p>
        </w:tc>
        <w:tc>
          <w:tcPr>
            <w:tcW w:w="4644" w:type="dxa"/>
          </w:tcPr>
          <w:p w14:paraId="1DCAC20E">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r w14:paraId="6B40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1E35B377">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kern w:val="2"/>
                <w:sz w:val="20"/>
                <w:szCs w:val="20"/>
                <w:highlight w:val="none"/>
                <w:vertAlign w:val="baseline"/>
                <w:lang w:val="en-US" w:eastAsia="zh-CN" w:bidi="ar-SA"/>
              </w:rPr>
              <w:t>肝功能:血清丙氨酸氨基转移酶测定、总胆红素测定</w:t>
            </w:r>
          </w:p>
        </w:tc>
        <w:tc>
          <w:tcPr>
            <w:tcW w:w="4644" w:type="dxa"/>
          </w:tcPr>
          <w:p w14:paraId="7878A589">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r w14:paraId="17F9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AF5F060">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胸部DR（不含胶片）</w:t>
            </w:r>
          </w:p>
        </w:tc>
        <w:tc>
          <w:tcPr>
            <w:tcW w:w="4644" w:type="dxa"/>
          </w:tcPr>
          <w:p w14:paraId="69965A7E">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r w14:paraId="447A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43298AE2">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r>
              <w:rPr>
                <w:rFonts w:hint="eastAsia" w:ascii="宋体" w:hAnsi="宋体" w:eastAsia="宋体" w:cs="宋体"/>
                <w:color w:val="auto"/>
                <w:sz w:val="20"/>
                <w:szCs w:val="20"/>
                <w:highlight w:val="none"/>
                <w:vertAlign w:val="baseline"/>
                <w:lang w:val="en-US" w:eastAsia="zh-CN"/>
              </w:rPr>
              <w:t>合计报价（元/人）</w:t>
            </w:r>
          </w:p>
        </w:tc>
        <w:tc>
          <w:tcPr>
            <w:tcW w:w="4644" w:type="dxa"/>
          </w:tcPr>
          <w:p w14:paraId="1A41F748">
            <w:pPr>
              <w:pStyle w:val="14"/>
              <w:widowControl/>
              <w:numPr>
                <w:ilvl w:val="0"/>
                <w:numId w:val="0"/>
              </w:numPr>
              <w:spacing w:line="360" w:lineRule="auto"/>
              <w:jc w:val="center"/>
              <w:rPr>
                <w:rFonts w:hint="eastAsia" w:ascii="宋体" w:hAnsi="宋体" w:eastAsia="宋体" w:cs="宋体"/>
                <w:color w:val="auto"/>
                <w:sz w:val="20"/>
                <w:szCs w:val="20"/>
                <w:highlight w:val="none"/>
                <w:vertAlign w:val="baseline"/>
                <w:lang w:val="en-US" w:eastAsia="zh-CN"/>
              </w:rPr>
            </w:pPr>
          </w:p>
        </w:tc>
      </w:tr>
    </w:tbl>
    <w:p w14:paraId="79115B61">
      <w:pPr>
        <w:pStyle w:val="2"/>
        <w:numPr>
          <w:ilvl w:val="-1"/>
          <w:numId w:val="0"/>
        </w:numPr>
        <w:spacing w:line="360" w:lineRule="auto"/>
        <w:ind w:left="0"/>
        <w:rPr>
          <w:rFonts w:hint="eastAsia" w:ascii="宋体" w:hAnsi="宋体" w:eastAsia="宋体" w:cs="宋体"/>
          <w:color w:val="auto"/>
          <w:lang w:val="en-US" w:eastAsia="zh-CN"/>
        </w:rPr>
      </w:pPr>
    </w:p>
    <w:p w14:paraId="4D1E63C3">
      <w:pPr>
        <w:spacing w:before="118" w:line="360" w:lineRule="auto"/>
        <w:ind w:left="0" w:firstLine="638" w:firstLineChars="300"/>
        <w:rPr>
          <w:rFonts w:hint="eastAsia" w:ascii="宋体" w:hAnsi="宋体" w:eastAsia="宋体" w:cs="宋体"/>
          <w:color w:val="auto"/>
          <w:sz w:val="20"/>
          <w:szCs w:val="20"/>
        </w:rPr>
      </w:pPr>
      <w:r>
        <w:rPr>
          <w:rFonts w:hint="eastAsia" w:ascii="宋体" w:hAnsi="宋体" w:eastAsia="宋体" w:cs="宋体"/>
          <w:b/>
          <w:bCs/>
          <w:color w:val="auto"/>
          <w:spacing w:val="6"/>
          <w:sz w:val="20"/>
          <w:szCs w:val="20"/>
        </w:rPr>
        <w:t>第三条</w:t>
      </w:r>
      <w:r>
        <w:rPr>
          <w:rFonts w:hint="eastAsia" w:ascii="宋体" w:hAnsi="宋体" w:eastAsia="宋体" w:cs="宋体"/>
          <w:b/>
          <w:bCs/>
          <w:color w:val="auto"/>
          <w:spacing w:val="1"/>
          <w:sz w:val="20"/>
          <w:szCs w:val="20"/>
        </w:rPr>
        <w:t xml:space="preserve">    </w:t>
      </w:r>
      <w:r>
        <w:rPr>
          <w:rFonts w:hint="eastAsia" w:ascii="宋体" w:hAnsi="宋体" w:eastAsia="宋体" w:cs="宋体"/>
          <w:b/>
          <w:bCs/>
          <w:color w:val="auto"/>
          <w:spacing w:val="6"/>
          <w:sz w:val="20"/>
          <w:szCs w:val="20"/>
        </w:rPr>
        <w:t>甲方权利和义务</w:t>
      </w:r>
    </w:p>
    <w:p w14:paraId="158A231F">
      <w:pPr>
        <w:spacing w:before="92" w:line="360" w:lineRule="auto"/>
        <w:ind w:right="9" w:firstLine="420" w:firstLineChars="200"/>
        <w:rPr>
          <w:rFonts w:hint="eastAsia" w:ascii="宋体" w:hAnsi="宋体" w:eastAsia="宋体" w:cs="宋体"/>
          <w:color w:val="auto"/>
          <w:spacing w:val="4"/>
          <w:sz w:val="20"/>
          <w:szCs w:val="20"/>
        </w:rPr>
      </w:pPr>
      <w:r>
        <w:rPr>
          <w:rFonts w:hint="eastAsia" w:ascii="宋体" w:hAnsi="宋体" w:eastAsia="宋体" w:cs="宋体"/>
          <w:color w:val="auto"/>
          <w:spacing w:val="5"/>
          <w:sz w:val="20"/>
          <w:szCs w:val="20"/>
        </w:rPr>
        <w:t>1.甲方有权要求乙方按时</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5"/>
          <w:sz w:val="20"/>
          <w:szCs w:val="20"/>
        </w:rPr>
        <w:t>、按质</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5"/>
          <w:sz w:val="20"/>
          <w:szCs w:val="20"/>
        </w:rPr>
        <w:t>、按量</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5"/>
          <w:sz w:val="20"/>
          <w:szCs w:val="20"/>
        </w:rPr>
        <w:t>、按计划与合同协议</w:t>
      </w:r>
      <w:r>
        <w:rPr>
          <w:rFonts w:hint="eastAsia" w:ascii="宋体" w:hAnsi="宋体" w:eastAsia="宋体" w:cs="宋体"/>
          <w:color w:val="auto"/>
          <w:spacing w:val="4"/>
          <w:sz w:val="20"/>
          <w:szCs w:val="20"/>
        </w:rPr>
        <w:t>约定完成本项目，</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4"/>
          <w:sz w:val="20"/>
          <w:szCs w:val="20"/>
        </w:rPr>
        <w:t>并有权对乙方</w:t>
      </w:r>
    </w:p>
    <w:p w14:paraId="69EFB405">
      <w:pPr>
        <w:spacing w:before="92" w:line="360" w:lineRule="auto"/>
        <w:ind w:right="9"/>
        <w:rPr>
          <w:rFonts w:hint="eastAsia" w:ascii="宋体" w:hAnsi="宋体" w:eastAsia="宋体" w:cs="宋体"/>
          <w:color w:val="auto"/>
          <w:sz w:val="20"/>
          <w:szCs w:val="20"/>
          <w:lang w:eastAsia="zh-CN"/>
        </w:rPr>
      </w:pPr>
      <w:r>
        <w:rPr>
          <w:rFonts w:hint="eastAsia" w:ascii="宋体" w:hAnsi="宋体" w:eastAsia="宋体" w:cs="宋体"/>
          <w:color w:val="auto"/>
          <w:spacing w:val="4"/>
          <w:sz w:val="20"/>
          <w:szCs w:val="20"/>
        </w:rPr>
        <w:t>工</w:t>
      </w:r>
      <w:r>
        <w:rPr>
          <w:rFonts w:hint="eastAsia" w:ascii="宋体" w:hAnsi="宋体" w:eastAsia="宋体" w:cs="宋体"/>
          <w:color w:val="auto"/>
          <w:spacing w:val="7"/>
          <w:sz w:val="20"/>
          <w:szCs w:val="20"/>
        </w:rPr>
        <w:t>作情况进行监督。甲方负责提供体检场地及相关诊桌、诊床、诊椅，秩序的维持；体检过程中若遇雷雨天气，甲方提供避雨场所及工具</w:t>
      </w:r>
      <w:r>
        <w:rPr>
          <w:rFonts w:hint="eastAsia" w:ascii="宋体" w:hAnsi="宋体" w:eastAsia="宋体" w:cs="宋体"/>
          <w:color w:val="auto"/>
          <w:spacing w:val="7"/>
          <w:sz w:val="20"/>
          <w:szCs w:val="20"/>
          <w:lang w:eastAsia="zh-CN"/>
        </w:rPr>
        <w:t>。</w:t>
      </w:r>
    </w:p>
    <w:p w14:paraId="5D8E3BC5">
      <w:pPr>
        <w:spacing w:before="91" w:line="360" w:lineRule="auto"/>
        <w:ind w:right="9" w:firstLine="424" w:firstLineChars="200"/>
        <w:rPr>
          <w:rFonts w:hint="eastAsia" w:ascii="宋体" w:hAnsi="宋体" w:eastAsia="宋体" w:cs="宋体"/>
          <w:color w:val="auto"/>
          <w:sz w:val="20"/>
          <w:szCs w:val="20"/>
        </w:rPr>
      </w:pPr>
      <w:r>
        <w:rPr>
          <w:rFonts w:hint="eastAsia" w:ascii="宋体" w:hAnsi="宋体" w:eastAsia="宋体" w:cs="宋体"/>
          <w:color w:val="auto"/>
          <w:spacing w:val="6"/>
          <w:sz w:val="20"/>
          <w:szCs w:val="20"/>
        </w:rPr>
        <w:t>2.根据项目进度，甲方有权及时对乙方的方案提出修改意见，</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6"/>
          <w:sz w:val="20"/>
          <w:szCs w:val="20"/>
        </w:rPr>
        <w:t>并要求乙方按修改意见完成服务工作。</w:t>
      </w:r>
    </w:p>
    <w:p w14:paraId="6837B5C2">
      <w:pPr>
        <w:spacing w:before="94" w:line="360" w:lineRule="auto"/>
        <w:ind w:right="9" w:firstLine="424" w:firstLineChars="200"/>
        <w:rPr>
          <w:rFonts w:hint="eastAsia" w:ascii="宋体" w:hAnsi="宋体" w:eastAsia="宋体" w:cs="宋体"/>
          <w:color w:val="auto"/>
          <w:sz w:val="20"/>
          <w:szCs w:val="20"/>
        </w:rPr>
      </w:pPr>
      <w:r>
        <w:rPr>
          <w:rFonts w:hint="eastAsia" w:ascii="宋体" w:hAnsi="宋体" w:eastAsia="宋体" w:cs="宋体"/>
          <w:color w:val="auto"/>
          <w:spacing w:val="6"/>
          <w:sz w:val="20"/>
          <w:szCs w:val="20"/>
        </w:rPr>
        <w:t>3.乙方配备的项目投入人员应得到甲方的认可；</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对派遣到甲方的服务人员进行管理</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5"/>
          <w:sz w:val="20"/>
          <w:szCs w:val="20"/>
        </w:rPr>
        <w:t>、考核</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5"/>
          <w:sz w:val="20"/>
          <w:szCs w:val="20"/>
        </w:rPr>
        <w:t>、检</w:t>
      </w:r>
      <w:r>
        <w:rPr>
          <w:rFonts w:hint="eastAsia" w:ascii="宋体" w:hAnsi="宋体" w:eastAsia="宋体" w:cs="宋体"/>
          <w:color w:val="auto"/>
          <w:spacing w:val="6"/>
          <w:sz w:val="20"/>
          <w:szCs w:val="20"/>
        </w:rPr>
        <w:t>查与奖惩。</w:t>
      </w:r>
    </w:p>
    <w:p w14:paraId="3C875FBE">
      <w:pPr>
        <w:spacing w:before="97" w:line="360" w:lineRule="auto"/>
        <w:ind w:firstLine="424" w:firstLineChars="200"/>
        <w:rPr>
          <w:rFonts w:hint="eastAsia" w:ascii="宋体" w:hAnsi="宋体" w:eastAsia="宋体" w:cs="宋体"/>
          <w:color w:val="auto"/>
          <w:sz w:val="20"/>
          <w:szCs w:val="20"/>
        </w:rPr>
      </w:pPr>
      <w:r>
        <w:rPr>
          <w:rFonts w:hint="eastAsia" w:ascii="宋体" w:hAnsi="宋体" w:eastAsia="宋体" w:cs="宋体"/>
          <w:color w:val="auto"/>
          <w:spacing w:val="6"/>
          <w:sz w:val="20"/>
          <w:szCs w:val="20"/>
        </w:rPr>
        <w:t>4.甲方有权要求乙方更换不合格的工作人员。</w:t>
      </w:r>
    </w:p>
    <w:p w14:paraId="7EDDA55A">
      <w:pPr>
        <w:spacing w:before="96" w:line="360" w:lineRule="auto"/>
        <w:ind w:firstLine="424" w:firstLineChars="200"/>
        <w:rPr>
          <w:rFonts w:hint="eastAsia" w:ascii="宋体" w:hAnsi="宋体" w:eastAsia="宋体" w:cs="宋体"/>
          <w:color w:val="auto"/>
          <w:sz w:val="20"/>
          <w:szCs w:val="20"/>
        </w:rPr>
      </w:pPr>
      <w:r>
        <w:rPr>
          <w:rFonts w:hint="eastAsia" w:ascii="宋体" w:hAnsi="宋体" w:eastAsia="宋体" w:cs="宋体"/>
          <w:color w:val="auto"/>
          <w:spacing w:val="6"/>
          <w:sz w:val="20"/>
          <w:szCs w:val="20"/>
        </w:rPr>
        <w:t>5.按合同要求及时向乙方支付服务费用。</w:t>
      </w:r>
    </w:p>
    <w:p w14:paraId="5CAE2E20">
      <w:pPr>
        <w:spacing w:before="95" w:line="360" w:lineRule="auto"/>
        <w:ind w:left="611"/>
        <w:rPr>
          <w:rFonts w:hint="eastAsia" w:ascii="宋体" w:hAnsi="宋体" w:eastAsia="宋体" w:cs="宋体"/>
          <w:color w:val="auto"/>
          <w:sz w:val="20"/>
          <w:szCs w:val="20"/>
        </w:rPr>
      </w:pPr>
      <w:r>
        <w:rPr>
          <w:rFonts w:hint="eastAsia" w:ascii="宋体" w:hAnsi="宋体" w:eastAsia="宋体" w:cs="宋体"/>
          <w:b/>
          <w:bCs/>
          <w:color w:val="auto"/>
          <w:spacing w:val="6"/>
          <w:sz w:val="20"/>
          <w:szCs w:val="20"/>
        </w:rPr>
        <w:t>第四条</w:t>
      </w:r>
      <w:r>
        <w:rPr>
          <w:rFonts w:hint="eastAsia" w:ascii="宋体" w:hAnsi="宋体" w:eastAsia="宋体" w:cs="宋体"/>
          <w:b/>
          <w:bCs/>
          <w:color w:val="auto"/>
          <w:spacing w:val="21"/>
          <w:w w:val="101"/>
          <w:sz w:val="20"/>
          <w:szCs w:val="20"/>
        </w:rPr>
        <w:t xml:space="preserve">   </w:t>
      </w:r>
      <w:r>
        <w:rPr>
          <w:rFonts w:hint="eastAsia" w:ascii="宋体" w:hAnsi="宋体" w:eastAsia="宋体" w:cs="宋体"/>
          <w:b/>
          <w:bCs/>
          <w:color w:val="auto"/>
          <w:spacing w:val="6"/>
          <w:sz w:val="20"/>
          <w:szCs w:val="20"/>
        </w:rPr>
        <w:t>乙方权利和义务</w:t>
      </w:r>
    </w:p>
    <w:p w14:paraId="6F09B7FD">
      <w:pPr>
        <w:spacing w:before="85" w:line="360" w:lineRule="auto"/>
        <w:ind w:firstLine="424" w:firstLineChars="200"/>
        <w:rPr>
          <w:rFonts w:hint="eastAsia" w:ascii="宋体" w:hAnsi="宋体" w:eastAsia="宋体" w:cs="宋体"/>
          <w:color w:val="auto"/>
          <w:spacing w:val="8"/>
          <w:sz w:val="20"/>
          <w:szCs w:val="20"/>
        </w:rPr>
      </w:pPr>
      <w:r>
        <w:rPr>
          <w:rFonts w:hint="eastAsia" w:ascii="宋体" w:hAnsi="宋体" w:eastAsia="宋体" w:cs="宋体"/>
          <w:color w:val="auto"/>
          <w:spacing w:val="6"/>
          <w:sz w:val="20"/>
          <w:szCs w:val="20"/>
          <w:lang w:val="en-US" w:eastAsia="zh-CN"/>
        </w:rPr>
        <w:t>1.乙方必须</w:t>
      </w:r>
      <w:r>
        <w:rPr>
          <w:rFonts w:hint="eastAsia" w:ascii="宋体" w:hAnsi="宋体" w:eastAsia="宋体" w:cs="宋体"/>
          <w:color w:val="auto"/>
          <w:spacing w:val="6"/>
          <w:sz w:val="20"/>
          <w:szCs w:val="20"/>
          <w:highlight w:val="none"/>
          <w:lang w:val="en-US" w:eastAsia="zh-CN"/>
        </w:rPr>
        <w:t>在《医疗机构管理条例》、《中华人民共和国执业医师法》</w:t>
      </w:r>
      <w:r>
        <w:rPr>
          <w:rFonts w:hint="eastAsia" w:ascii="宋体" w:hAnsi="宋体" w:eastAsia="宋体" w:cs="宋体"/>
          <w:color w:val="auto"/>
          <w:spacing w:val="6"/>
          <w:sz w:val="20"/>
          <w:szCs w:val="20"/>
          <w:lang w:val="en-US" w:eastAsia="zh-CN"/>
        </w:rPr>
        <w:t>等法规下进行体检活动。</w:t>
      </w:r>
      <w:r>
        <w:rPr>
          <w:rFonts w:hint="eastAsia" w:ascii="宋体" w:hAnsi="宋体" w:eastAsia="宋体" w:cs="宋体"/>
          <w:color w:val="auto"/>
          <w:spacing w:val="6"/>
          <w:sz w:val="20"/>
          <w:szCs w:val="20"/>
        </w:rPr>
        <w:t>严格履行合同文件（含</w:t>
      </w:r>
      <w:r>
        <w:rPr>
          <w:rFonts w:hint="eastAsia" w:ascii="宋体" w:hAnsi="宋体" w:eastAsia="宋体" w:cs="宋体"/>
          <w:color w:val="auto"/>
          <w:spacing w:val="6"/>
          <w:sz w:val="20"/>
          <w:szCs w:val="20"/>
          <w:lang w:eastAsia="zh-CN"/>
        </w:rPr>
        <w:t>采购文件</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6"/>
          <w:sz w:val="20"/>
          <w:szCs w:val="20"/>
        </w:rPr>
        <w:t>、</w:t>
      </w:r>
      <w:r>
        <w:rPr>
          <w:rFonts w:hint="eastAsia" w:ascii="宋体" w:hAnsi="宋体" w:eastAsia="宋体" w:cs="宋体"/>
          <w:color w:val="auto"/>
          <w:spacing w:val="6"/>
          <w:sz w:val="20"/>
          <w:szCs w:val="20"/>
          <w:lang w:val="en-US" w:eastAsia="zh-CN"/>
        </w:rPr>
        <w:t>投标（</w:t>
      </w:r>
      <w:r>
        <w:rPr>
          <w:rFonts w:hint="eastAsia" w:ascii="宋体" w:hAnsi="宋体" w:eastAsia="宋体" w:cs="宋体"/>
          <w:color w:val="auto"/>
          <w:spacing w:val="6"/>
          <w:sz w:val="20"/>
          <w:szCs w:val="20"/>
        </w:rPr>
        <w:t>响应</w:t>
      </w:r>
      <w:r>
        <w:rPr>
          <w:rFonts w:hint="eastAsia" w:ascii="宋体" w:hAnsi="宋体" w:eastAsia="宋体" w:cs="宋体"/>
          <w:color w:val="auto"/>
          <w:spacing w:val="6"/>
          <w:sz w:val="20"/>
          <w:szCs w:val="20"/>
          <w:lang w:eastAsia="zh-CN"/>
        </w:rPr>
        <w:t>）</w:t>
      </w:r>
      <w:r>
        <w:rPr>
          <w:rFonts w:hint="eastAsia" w:ascii="宋体" w:hAnsi="宋体" w:eastAsia="宋体" w:cs="宋体"/>
          <w:color w:val="auto"/>
          <w:spacing w:val="6"/>
          <w:sz w:val="20"/>
          <w:szCs w:val="20"/>
        </w:rPr>
        <w:t>文件等）</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6"/>
          <w:sz w:val="20"/>
          <w:szCs w:val="20"/>
        </w:rPr>
        <w:t>约定和承诺的服务内容和质量标准，</w:t>
      </w:r>
      <w:r>
        <w:rPr>
          <w:rFonts w:hint="eastAsia" w:ascii="宋体" w:hAnsi="宋体" w:eastAsia="宋体" w:cs="宋体"/>
          <w:color w:val="auto"/>
          <w:spacing w:val="6"/>
          <w:sz w:val="20"/>
          <w:szCs w:val="20"/>
          <w:lang w:val="en-US" w:eastAsia="zh-CN"/>
        </w:rPr>
        <w:t>乙方对体检结果真实性负责，</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保证甲</w:t>
      </w:r>
      <w:r>
        <w:rPr>
          <w:rFonts w:hint="eastAsia" w:ascii="宋体" w:hAnsi="宋体" w:eastAsia="宋体" w:cs="宋体"/>
          <w:color w:val="auto"/>
          <w:spacing w:val="8"/>
          <w:sz w:val="20"/>
          <w:szCs w:val="20"/>
        </w:rPr>
        <w:t>方项目的相关工作质量和进度。</w:t>
      </w:r>
    </w:p>
    <w:p w14:paraId="41094292">
      <w:pPr>
        <w:spacing w:before="85" w:line="360" w:lineRule="auto"/>
        <w:ind w:firstLine="432" w:firstLineChars="200"/>
        <w:rPr>
          <w:rFonts w:hint="eastAsia" w:ascii="宋体" w:hAnsi="宋体" w:eastAsia="宋体" w:cs="宋体"/>
          <w:color w:val="auto"/>
          <w:spacing w:val="8"/>
          <w:sz w:val="20"/>
          <w:szCs w:val="20"/>
        </w:rPr>
      </w:pPr>
      <w:r>
        <w:rPr>
          <w:rFonts w:hint="eastAsia" w:ascii="宋体" w:hAnsi="宋体" w:eastAsia="宋体" w:cs="宋体"/>
          <w:color w:val="auto"/>
          <w:spacing w:val="8"/>
          <w:sz w:val="20"/>
          <w:szCs w:val="20"/>
          <w:lang w:val="en-US" w:eastAsia="zh-CN"/>
        </w:rPr>
        <w:t>2.</w:t>
      </w:r>
      <w:r>
        <w:rPr>
          <w:rFonts w:hint="eastAsia" w:ascii="宋体" w:hAnsi="宋体" w:eastAsia="宋体" w:cs="宋体"/>
          <w:color w:val="auto"/>
          <w:spacing w:val="8"/>
          <w:sz w:val="20"/>
          <w:szCs w:val="20"/>
        </w:rPr>
        <w:t>体检前，乙方安排工作人员到甲方指定位置布置体检场地；并提前一周将体检表送予甲方，由甲方发放给体检学生。</w:t>
      </w:r>
    </w:p>
    <w:p w14:paraId="3A7C9825">
      <w:pPr>
        <w:spacing w:before="94" w:line="360" w:lineRule="auto"/>
        <w:ind w:right="40" w:firstLine="428" w:firstLineChars="200"/>
        <w:rPr>
          <w:rFonts w:hint="eastAsia" w:ascii="宋体" w:hAnsi="宋体" w:eastAsia="宋体" w:cs="宋体"/>
          <w:color w:val="auto"/>
          <w:spacing w:val="8"/>
          <w:sz w:val="20"/>
          <w:szCs w:val="20"/>
          <w:highlight w:val="none"/>
        </w:rPr>
      </w:pPr>
      <w:r>
        <w:rPr>
          <w:rFonts w:hint="eastAsia" w:ascii="宋体" w:hAnsi="宋体" w:eastAsia="宋体" w:cs="宋体"/>
          <w:color w:val="auto"/>
          <w:spacing w:val="7"/>
          <w:sz w:val="20"/>
          <w:szCs w:val="20"/>
          <w:highlight w:val="none"/>
          <w:lang w:val="en-US" w:eastAsia="zh-CN"/>
        </w:rPr>
        <w:t>3</w:t>
      </w:r>
      <w:r>
        <w:rPr>
          <w:rFonts w:hint="eastAsia" w:ascii="宋体" w:hAnsi="宋体" w:eastAsia="宋体" w:cs="宋体"/>
          <w:color w:val="auto"/>
          <w:spacing w:val="7"/>
          <w:sz w:val="20"/>
          <w:szCs w:val="20"/>
          <w:highlight w:val="none"/>
        </w:rPr>
        <w:t>.必须严格实施乙方响应文件中承诺的人力资源配置</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7"/>
          <w:sz w:val="20"/>
          <w:szCs w:val="20"/>
          <w:highlight w:val="none"/>
        </w:rPr>
        <w:t>。在必须补充或更换人员时，</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7"/>
          <w:sz w:val="20"/>
          <w:szCs w:val="20"/>
          <w:highlight w:val="none"/>
        </w:rPr>
        <w:t>必须</w:t>
      </w:r>
      <w:r>
        <w:rPr>
          <w:rFonts w:hint="eastAsia" w:ascii="宋体" w:hAnsi="宋体" w:eastAsia="宋体" w:cs="宋体"/>
          <w:color w:val="auto"/>
          <w:spacing w:val="7"/>
          <w:sz w:val="20"/>
          <w:szCs w:val="20"/>
          <w:highlight w:val="none"/>
          <w:lang w:val="en-US" w:eastAsia="zh-CN"/>
        </w:rPr>
        <w:t>3小时内</w:t>
      </w:r>
      <w:r>
        <w:rPr>
          <w:rFonts w:hint="eastAsia" w:ascii="宋体" w:hAnsi="宋体" w:eastAsia="宋体" w:cs="宋体"/>
          <w:color w:val="auto"/>
          <w:spacing w:val="7"/>
          <w:sz w:val="20"/>
          <w:szCs w:val="20"/>
          <w:highlight w:val="none"/>
        </w:rPr>
        <w:t>补充或</w:t>
      </w:r>
      <w:r>
        <w:rPr>
          <w:rFonts w:hint="eastAsia" w:ascii="宋体" w:hAnsi="宋体" w:eastAsia="宋体" w:cs="宋体"/>
          <w:color w:val="auto"/>
          <w:spacing w:val="8"/>
          <w:sz w:val="20"/>
          <w:szCs w:val="20"/>
          <w:highlight w:val="none"/>
        </w:rPr>
        <w:t>更换优于或等同于响应文件所承诺资质的服务人员</w:t>
      </w: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rPr>
        <w:t>并需取得甲方书面同意。</w:t>
      </w:r>
    </w:p>
    <w:p w14:paraId="2696C298">
      <w:pPr>
        <w:pStyle w:val="2"/>
        <w:spacing w:line="360" w:lineRule="auto"/>
        <w:ind w:firstLine="432" w:firstLineChars="200"/>
        <w:rPr>
          <w:rFonts w:hint="default" w:eastAsia="宋体"/>
          <w:highlight w:val="none"/>
          <w:lang w:val="en-US" w:eastAsia="zh-CN"/>
        </w:rPr>
      </w:pPr>
      <w:r>
        <w:rPr>
          <w:rFonts w:hint="eastAsia" w:cs="宋体"/>
          <w:color w:val="auto"/>
          <w:spacing w:val="8"/>
          <w:sz w:val="20"/>
          <w:szCs w:val="20"/>
          <w:highlight w:val="none"/>
          <w:lang w:val="en-US" w:eastAsia="zh-CN"/>
        </w:rPr>
        <w:t>4.必须严格实施乙方响应文件中承诺的体检设备配置。如出现设备故障或设备不足时，必须3小时内补充或更换优于</w:t>
      </w:r>
      <w:r>
        <w:rPr>
          <w:rFonts w:hint="eastAsia" w:ascii="宋体" w:hAnsi="宋体" w:eastAsia="宋体" w:cs="宋体"/>
          <w:color w:val="auto"/>
          <w:spacing w:val="8"/>
          <w:sz w:val="20"/>
          <w:szCs w:val="20"/>
          <w:highlight w:val="none"/>
        </w:rPr>
        <w:t>或等同于响应文件所承诺</w:t>
      </w:r>
      <w:r>
        <w:rPr>
          <w:rFonts w:hint="eastAsia" w:cs="宋体"/>
          <w:color w:val="auto"/>
          <w:spacing w:val="8"/>
          <w:sz w:val="20"/>
          <w:szCs w:val="20"/>
          <w:highlight w:val="none"/>
          <w:lang w:eastAsia="zh-CN"/>
        </w:rPr>
        <w:t>的</w:t>
      </w:r>
      <w:r>
        <w:rPr>
          <w:rFonts w:hint="eastAsia" w:cs="宋体"/>
          <w:color w:val="auto"/>
          <w:spacing w:val="8"/>
          <w:sz w:val="20"/>
          <w:szCs w:val="20"/>
          <w:highlight w:val="none"/>
          <w:lang w:val="en-US" w:eastAsia="zh-CN"/>
        </w:rPr>
        <w:t>设备配置，并需取得甲方书面同意。</w:t>
      </w:r>
    </w:p>
    <w:p w14:paraId="4AD016CF">
      <w:pPr>
        <w:spacing w:before="50" w:line="360" w:lineRule="auto"/>
        <w:ind w:left="10" w:firstLine="417"/>
        <w:rPr>
          <w:rFonts w:hint="eastAsia" w:ascii="宋体" w:hAnsi="宋体" w:eastAsia="宋体" w:cs="宋体"/>
          <w:color w:val="auto"/>
          <w:spacing w:val="5"/>
          <w:sz w:val="20"/>
          <w:szCs w:val="20"/>
        </w:rPr>
      </w:pPr>
      <w:r>
        <w:rPr>
          <w:rFonts w:hint="eastAsia" w:ascii="宋体" w:hAnsi="宋体" w:eastAsia="宋体" w:cs="宋体"/>
          <w:color w:val="auto"/>
          <w:spacing w:val="7"/>
          <w:sz w:val="20"/>
          <w:szCs w:val="20"/>
          <w:lang w:val="en-US" w:eastAsia="zh-CN"/>
        </w:rPr>
        <w:t>5</w:t>
      </w:r>
      <w:r>
        <w:rPr>
          <w:rFonts w:hint="eastAsia" w:ascii="宋体" w:hAnsi="宋体" w:eastAsia="宋体" w:cs="宋体"/>
          <w:color w:val="auto"/>
          <w:spacing w:val="7"/>
          <w:sz w:val="20"/>
          <w:szCs w:val="20"/>
        </w:rPr>
        <w:t>.乙方项目负责人及服务团队成员须与响应文件保持一致</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7"/>
          <w:sz w:val="20"/>
          <w:szCs w:val="20"/>
        </w:rPr>
        <w:t>。合同</w:t>
      </w:r>
      <w:r>
        <w:rPr>
          <w:rFonts w:hint="eastAsia" w:ascii="宋体" w:hAnsi="宋体" w:eastAsia="宋体" w:cs="宋体"/>
          <w:color w:val="auto"/>
          <w:spacing w:val="6"/>
          <w:sz w:val="20"/>
          <w:szCs w:val="20"/>
        </w:rPr>
        <w:t>存续期内，</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6"/>
          <w:sz w:val="20"/>
          <w:szCs w:val="20"/>
        </w:rPr>
        <w:t>未经甲方书面要求</w:t>
      </w:r>
      <w:r>
        <w:rPr>
          <w:rFonts w:hint="eastAsia" w:ascii="宋体" w:hAnsi="宋体" w:eastAsia="宋体" w:cs="宋体"/>
          <w:color w:val="auto"/>
          <w:spacing w:val="7"/>
          <w:sz w:val="20"/>
          <w:szCs w:val="20"/>
        </w:rPr>
        <w:t>或同意，项目负责人不应调整。项目负责人及服务团队成员必须保证在岗工</w:t>
      </w:r>
      <w:r>
        <w:rPr>
          <w:rFonts w:hint="eastAsia" w:ascii="宋体" w:hAnsi="宋体" w:eastAsia="宋体" w:cs="宋体"/>
          <w:color w:val="auto"/>
          <w:spacing w:val="6"/>
          <w:sz w:val="20"/>
          <w:szCs w:val="20"/>
        </w:rPr>
        <w:t>作时间和重要活动在岗，</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如有变化，</w:t>
      </w:r>
      <w:r>
        <w:rPr>
          <w:rFonts w:hint="eastAsia" w:ascii="宋体" w:hAnsi="宋体" w:eastAsia="宋体" w:cs="宋体"/>
          <w:color w:val="auto"/>
          <w:spacing w:val="-18"/>
          <w:sz w:val="20"/>
          <w:szCs w:val="20"/>
        </w:rPr>
        <w:t xml:space="preserve"> </w:t>
      </w:r>
      <w:r>
        <w:rPr>
          <w:rFonts w:hint="eastAsia" w:ascii="宋体" w:hAnsi="宋体" w:eastAsia="宋体" w:cs="宋体"/>
          <w:color w:val="auto"/>
          <w:spacing w:val="5"/>
          <w:sz w:val="20"/>
          <w:szCs w:val="20"/>
        </w:rPr>
        <w:t>须取得甲方同意。</w:t>
      </w:r>
    </w:p>
    <w:p w14:paraId="490D5D7D">
      <w:pPr>
        <w:pStyle w:val="2"/>
        <w:spacing w:line="360" w:lineRule="auto"/>
        <w:ind w:left="0" w:leftChars="0" w:firstLine="428" w:firstLineChars="200"/>
        <w:rPr>
          <w:rFonts w:hint="eastAsia" w:ascii="宋体" w:hAnsi="宋体" w:eastAsia="宋体" w:cs="宋体"/>
          <w:color w:val="auto"/>
          <w:spacing w:val="7"/>
          <w:kern w:val="2"/>
          <w:sz w:val="20"/>
          <w:szCs w:val="20"/>
          <w:lang w:val="en-US" w:bidi="ar-SA"/>
        </w:rPr>
      </w:pPr>
      <w:r>
        <w:rPr>
          <w:rFonts w:hint="eastAsia" w:cs="宋体"/>
          <w:color w:val="auto"/>
          <w:spacing w:val="7"/>
          <w:kern w:val="2"/>
          <w:sz w:val="20"/>
          <w:szCs w:val="20"/>
          <w:lang w:val="en-US" w:eastAsia="zh-CN" w:bidi="ar-SA"/>
        </w:rPr>
        <w:t>6</w:t>
      </w:r>
      <w:r>
        <w:rPr>
          <w:rFonts w:hint="eastAsia" w:ascii="宋体" w:hAnsi="宋体" w:eastAsia="宋体" w:cs="宋体"/>
          <w:color w:val="auto"/>
          <w:spacing w:val="7"/>
          <w:kern w:val="2"/>
          <w:sz w:val="20"/>
          <w:szCs w:val="20"/>
          <w:lang w:val="en-US" w:eastAsia="zh-CN" w:bidi="ar-SA"/>
        </w:rPr>
        <w:t>.乙方负责现场安排工作人员疏导分流学生。</w:t>
      </w:r>
      <w:r>
        <w:rPr>
          <w:rFonts w:hint="eastAsia" w:ascii="宋体" w:hAnsi="宋体" w:eastAsia="宋体" w:cs="宋体"/>
          <w:color w:val="auto"/>
          <w:spacing w:val="7"/>
          <w:kern w:val="2"/>
          <w:sz w:val="20"/>
          <w:szCs w:val="20"/>
          <w:lang w:val="en-US" w:bidi="ar-SA"/>
        </w:rPr>
        <w:t>体检当日如发现学生体检异常的特殊问题及时反馈给甲方校医务</w:t>
      </w:r>
      <w:r>
        <w:rPr>
          <w:rFonts w:hint="eastAsia" w:ascii="宋体" w:hAnsi="宋体" w:eastAsia="宋体" w:cs="宋体"/>
          <w:color w:val="auto"/>
          <w:spacing w:val="7"/>
          <w:kern w:val="2"/>
          <w:sz w:val="20"/>
          <w:szCs w:val="20"/>
          <w:lang w:val="en-US" w:eastAsia="zh-CN" w:bidi="ar-SA"/>
        </w:rPr>
        <w:t>所</w:t>
      </w:r>
      <w:r>
        <w:rPr>
          <w:rFonts w:hint="eastAsia" w:ascii="宋体" w:hAnsi="宋体" w:eastAsia="宋体" w:cs="宋体"/>
          <w:color w:val="auto"/>
          <w:spacing w:val="7"/>
          <w:kern w:val="2"/>
          <w:sz w:val="20"/>
          <w:szCs w:val="20"/>
          <w:lang w:val="en-US" w:bidi="ar-SA"/>
        </w:rPr>
        <w:t>（如心梗、怀孕等重大疾病或情况），体检结束后，针对检查中发现疾病问题的学生，</w:t>
      </w:r>
      <w:r>
        <w:rPr>
          <w:rFonts w:hint="eastAsia" w:ascii="宋体" w:hAnsi="宋体" w:eastAsia="宋体" w:cs="宋体"/>
          <w:color w:val="auto"/>
          <w:spacing w:val="7"/>
          <w:kern w:val="2"/>
          <w:sz w:val="20"/>
          <w:szCs w:val="20"/>
          <w:lang w:val="en-US" w:eastAsia="zh-CN" w:bidi="ar-SA"/>
        </w:rPr>
        <w:t>乙方要提出针对性对策建议，所有异常结果乙方提供免费复查1次，至</w:t>
      </w:r>
      <w:r>
        <w:rPr>
          <w:rFonts w:hint="eastAsia" w:ascii="宋体" w:hAnsi="宋体" w:eastAsia="宋体" w:cs="宋体"/>
          <w:color w:val="auto"/>
          <w:spacing w:val="7"/>
          <w:kern w:val="2"/>
          <w:sz w:val="20"/>
          <w:szCs w:val="20"/>
          <w:lang w:val="en-US" w:bidi="ar-SA"/>
        </w:rPr>
        <w:t>乙方医院复查、就诊，乙方予以协调。</w:t>
      </w:r>
    </w:p>
    <w:p w14:paraId="7076FCF0">
      <w:pPr>
        <w:spacing w:line="360" w:lineRule="auto"/>
        <w:ind w:firstLine="428" w:firstLineChars="200"/>
        <w:rPr>
          <w:rFonts w:hint="eastAsia" w:ascii="宋体" w:hAnsi="宋体" w:eastAsia="宋体" w:cs="宋体"/>
          <w:color w:val="auto"/>
          <w:lang w:val="en-US" w:eastAsia="zh-CN"/>
        </w:rPr>
      </w:pPr>
      <w:r>
        <w:rPr>
          <w:rFonts w:hint="eastAsia" w:ascii="宋体" w:hAnsi="宋体" w:eastAsia="宋体" w:cs="宋体"/>
          <w:color w:val="auto"/>
          <w:spacing w:val="7"/>
          <w:sz w:val="20"/>
          <w:szCs w:val="20"/>
          <w:lang w:val="en-US" w:eastAsia="zh-CN"/>
        </w:rPr>
        <w:t>7.乙方须为因特殊原因未能在集中体检日参加体检的学生提供补检服务，在甲方规定的时间内，可以自行前往乙方体检中心补检，流程和质量与集中体检一致，补检不额外收费。</w:t>
      </w:r>
      <w:r>
        <w:rPr>
          <w:rFonts w:hint="eastAsia" w:ascii="宋体" w:hAnsi="宋体" w:eastAsia="宋体" w:cs="宋体"/>
          <w:color w:val="auto"/>
          <w:spacing w:val="5"/>
          <w:sz w:val="20"/>
          <w:szCs w:val="20"/>
          <w:lang w:val="en-US" w:eastAsia="zh-CN"/>
        </w:rPr>
        <w:t xml:space="preserve">  </w:t>
      </w:r>
    </w:p>
    <w:p w14:paraId="20F4BF23">
      <w:pPr>
        <w:pStyle w:val="2"/>
        <w:spacing w:line="360" w:lineRule="auto"/>
        <w:ind w:firstLine="428" w:firstLineChars="200"/>
        <w:rPr>
          <w:rFonts w:hint="eastAsia" w:ascii="宋体" w:hAnsi="宋体" w:eastAsia="宋体" w:cs="宋体"/>
          <w:color w:val="auto"/>
          <w:spacing w:val="7"/>
          <w:kern w:val="2"/>
          <w:sz w:val="20"/>
          <w:szCs w:val="20"/>
          <w:lang w:val="en-US" w:bidi="ar-SA"/>
        </w:rPr>
      </w:pPr>
      <w:r>
        <w:rPr>
          <w:rFonts w:hint="eastAsia" w:cs="宋体"/>
          <w:color w:val="auto"/>
          <w:spacing w:val="7"/>
          <w:kern w:val="2"/>
          <w:sz w:val="20"/>
          <w:szCs w:val="20"/>
          <w:lang w:val="en-US" w:eastAsia="zh-CN" w:bidi="ar-SA"/>
        </w:rPr>
        <w:t>8.</w:t>
      </w:r>
      <w:r>
        <w:rPr>
          <w:rFonts w:hint="eastAsia" w:ascii="宋体" w:hAnsi="宋体" w:eastAsia="宋体" w:cs="宋体"/>
          <w:color w:val="auto"/>
          <w:spacing w:val="7"/>
          <w:kern w:val="2"/>
          <w:sz w:val="20"/>
          <w:szCs w:val="20"/>
          <w:lang w:val="en-US" w:bidi="ar-SA"/>
        </w:rPr>
        <w:t>体检结束后15个日历日内，完成体检数据的统计、分析和汇总工作，</w:t>
      </w:r>
      <w:r>
        <w:rPr>
          <w:rFonts w:hint="eastAsia" w:ascii="宋体" w:hAnsi="宋体" w:eastAsia="宋体" w:cs="宋体"/>
          <w:color w:val="auto"/>
          <w:spacing w:val="7"/>
          <w:kern w:val="2"/>
          <w:sz w:val="20"/>
          <w:szCs w:val="20"/>
          <w:lang w:val="en-US" w:eastAsia="zh-CN" w:bidi="ar-SA"/>
        </w:rPr>
        <w:t>乙方</w:t>
      </w:r>
      <w:r>
        <w:rPr>
          <w:rFonts w:hint="eastAsia" w:ascii="宋体" w:hAnsi="宋体" w:eastAsia="宋体" w:cs="宋体"/>
          <w:color w:val="auto"/>
          <w:spacing w:val="7"/>
          <w:kern w:val="2"/>
          <w:sz w:val="20"/>
          <w:szCs w:val="20"/>
          <w:lang w:val="en-US" w:bidi="ar-SA"/>
        </w:rPr>
        <w:t>为每个学生出具详细的体检报告及匹配的化验单，支持学生在手机互联网线上查询个人体检结果，并提供整体的加盖公章的体检总结报告及异常结果汇总表，</w:t>
      </w:r>
      <w:r>
        <w:rPr>
          <w:rFonts w:hint="eastAsia" w:ascii="宋体" w:hAnsi="宋体" w:eastAsia="宋体" w:cs="宋体"/>
          <w:color w:val="auto"/>
          <w:spacing w:val="7"/>
          <w:kern w:val="2"/>
          <w:sz w:val="20"/>
          <w:szCs w:val="20"/>
          <w:lang w:val="en-US" w:eastAsia="zh-CN" w:bidi="ar-SA"/>
        </w:rPr>
        <w:t>按班级排序的所有体检人员清单及体检</w:t>
      </w:r>
      <w:r>
        <w:rPr>
          <w:rFonts w:hint="eastAsia" w:ascii="宋体" w:hAnsi="宋体" w:eastAsia="宋体" w:cs="宋体"/>
          <w:color w:val="auto"/>
          <w:spacing w:val="7"/>
          <w:kern w:val="2"/>
          <w:sz w:val="20"/>
          <w:szCs w:val="20"/>
          <w:lang w:val="en-US" w:bidi="ar-SA"/>
        </w:rPr>
        <w:t>报告以纸质版和电子版两种形式提交送至</w:t>
      </w:r>
      <w:r>
        <w:rPr>
          <w:rFonts w:hint="eastAsia" w:ascii="宋体" w:hAnsi="宋体" w:eastAsia="宋体" w:cs="宋体"/>
          <w:color w:val="auto"/>
          <w:spacing w:val="7"/>
          <w:kern w:val="2"/>
          <w:sz w:val="20"/>
          <w:szCs w:val="20"/>
          <w:lang w:val="en-US" w:eastAsia="zh-CN" w:bidi="ar-SA"/>
        </w:rPr>
        <w:t>甲方</w:t>
      </w:r>
      <w:r>
        <w:rPr>
          <w:rFonts w:hint="eastAsia" w:ascii="宋体" w:hAnsi="宋体" w:eastAsia="宋体" w:cs="宋体"/>
          <w:color w:val="auto"/>
          <w:spacing w:val="7"/>
          <w:kern w:val="2"/>
          <w:sz w:val="20"/>
          <w:szCs w:val="20"/>
          <w:lang w:val="en-US" w:bidi="ar-SA"/>
        </w:rPr>
        <w:t>指定签收处。</w:t>
      </w:r>
    </w:p>
    <w:p w14:paraId="0EE144A4">
      <w:pPr>
        <w:pStyle w:val="2"/>
        <w:spacing w:line="360" w:lineRule="auto"/>
        <w:ind w:firstLine="428" w:firstLineChars="200"/>
        <w:rPr>
          <w:rFonts w:hint="eastAsia" w:ascii="宋体" w:hAnsi="宋体" w:eastAsia="宋体" w:cs="宋体"/>
          <w:color w:val="auto"/>
          <w:spacing w:val="7"/>
          <w:kern w:val="2"/>
          <w:sz w:val="20"/>
          <w:szCs w:val="20"/>
          <w:lang w:val="en-US" w:bidi="ar-SA"/>
        </w:rPr>
      </w:pPr>
      <w:r>
        <w:rPr>
          <w:rFonts w:hint="eastAsia" w:cs="宋体"/>
          <w:color w:val="auto"/>
          <w:spacing w:val="7"/>
          <w:kern w:val="2"/>
          <w:sz w:val="20"/>
          <w:szCs w:val="20"/>
          <w:lang w:val="en-US" w:eastAsia="zh-CN" w:bidi="ar-SA"/>
        </w:rPr>
        <w:t>9</w:t>
      </w:r>
      <w:r>
        <w:rPr>
          <w:rFonts w:hint="eastAsia" w:ascii="宋体" w:hAnsi="宋体" w:eastAsia="宋体" w:cs="宋体"/>
          <w:color w:val="auto"/>
          <w:spacing w:val="7"/>
          <w:kern w:val="2"/>
          <w:sz w:val="20"/>
          <w:szCs w:val="20"/>
          <w:lang w:val="en-US" w:eastAsia="zh-CN" w:bidi="ar-SA"/>
        </w:rPr>
        <w:t>.</w:t>
      </w:r>
      <w:r>
        <w:rPr>
          <w:rFonts w:hint="eastAsia" w:ascii="宋体" w:hAnsi="宋体" w:eastAsia="宋体" w:cs="宋体"/>
          <w:color w:val="auto"/>
          <w:spacing w:val="7"/>
          <w:kern w:val="2"/>
          <w:sz w:val="20"/>
          <w:szCs w:val="20"/>
          <w:lang w:val="en-US" w:bidi="ar-SA"/>
        </w:rPr>
        <w:t>现场医用垃圾由乙方安排专人专车运回医院作统一处理。</w:t>
      </w:r>
    </w:p>
    <w:p w14:paraId="04120F63">
      <w:pPr>
        <w:pStyle w:val="2"/>
        <w:spacing w:line="360" w:lineRule="auto"/>
        <w:ind w:firstLine="428" w:firstLineChars="200"/>
        <w:rPr>
          <w:rFonts w:hint="eastAsia" w:ascii="宋体" w:hAnsi="宋体" w:eastAsia="宋体" w:cs="宋体"/>
          <w:color w:val="auto"/>
          <w:spacing w:val="0"/>
          <w:kern w:val="2"/>
          <w:sz w:val="32"/>
          <w:szCs w:val="32"/>
          <w:lang w:val="en-US" w:bidi="ar-SA"/>
        </w:rPr>
      </w:pPr>
      <w:r>
        <w:rPr>
          <w:rFonts w:hint="eastAsia" w:cs="宋体"/>
          <w:color w:val="auto"/>
          <w:spacing w:val="7"/>
          <w:kern w:val="2"/>
          <w:sz w:val="20"/>
          <w:szCs w:val="20"/>
          <w:lang w:val="en-US" w:eastAsia="zh-CN" w:bidi="ar-SA"/>
        </w:rPr>
        <w:t>10</w:t>
      </w:r>
      <w:r>
        <w:rPr>
          <w:rFonts w:hint="eastAsia" w:ascii="宋体" w:hAnsi="宋体" w:eastAsia="宋体" w:cs="宋体"/>
          <w:color w:val="auto"/>
          <w:spacing w:val="7"/>
          <w:kern w:val="2"/>
          <w:sz w:val="20"/>
          <w:szCs w:val="20"/>
          <w:lang w:val="en-US" w:eastAsia="zh-CN" w:bidi="ar-SA"/>
        </w:rPr>
        <w:t>.</w:t>
      </w:r>
      <w:r>
        <w:rPr>
          <w:rFonts w:hint="eastAsia" w:ascii="宋体" w:hAnsi="宋体" w:eastAsia="宋体" w:cs="宋体"/>
          <w:color w:val="auto"/>
          <w:spacing w:val="7"/>
          <w:kern w:val="2"/>
          <w:sz w:val="20"/>
          <w:szCs w:val="20"/>
          <w:lang w:val="en-US" w:bidi="ar-SA"/>
        </w:rPr>
        <w:t>体检过程中乙方应在现场设立医疗保障点，并有专门医护人员进行医疗保障工作。负责抢救处置晕针、晕倒、出现意外情况的学生。</w:t>
      </w:r>
    </w:p>
    <w:p w14:paraId="28127539">
      <w:pPr>
        <w:pStyle w:val="2"/>
        <w:spacing w:line="360" w:lineRule="auto"/>
        <w:ind w:firstLine="428" w:firstLineChars="200"/>
        <w:rPr>
          <w:rFonts w:hint="eastAsia" w:ascii="宋体" w:hAnsi="宋体" w:eastAsia="宋体" w:cs="宋体"/>
          <w:color w:val="auto"/>
          <w:spacing w:val="7"/>
          <w:kern w:val="2"/>
          <w:sz w:val="20"/>
          <w:szCs w:val="20"/>
          <w:lang w:val="en-US" w:bidi="ar-SA"/>
        </w:rPr>
      </w:pPr>
      <w:r>
        <w:rPr>
          <w:rFonts w:hint="eastAsia" w:cs="宋体"/>
          <w:color w:val="auto"/>
          <w:spacing w:val="7"/>
          <w:kern w:val="2"/>
          <w:sz w:val="20"/>
          <w:szCs w:val="20"/>
          <w:lang w:val="en-US" w:eastAsia="zh-CN" w:bidi="ar-SA"/>
        </w:rPr>
        <w:t>11</w:t>
      </w:r>
      <w:r>
        <w:rPr>
          <w:rFonts w:hint="eastAsia" w:ascii="宋体" w:hAnsi="宋体" w:eastAsia="宋体" w:cs="宋体"/>
          <w:color w:val="auto"/>
          <w:spacing w:val="7"/>
          <w:kern w:val="2"/>
          <w:sz w:val="20"/>
          <w:szCs w:val="20"/>
          <w:lang w:val="en-US" w:eastAsia="zh-CN" w:bidi="ar-SA"/>
        </w:rPr>
        <w:t>.</w:t>
      </w:r>
      <w:r>
        <w:rPr>
          <w:rFonts w:hint="eastAsia" w:ascii="宋体" w:hAnsi="宋体" w:eastAsia="宋体" w:cs="宋体"/>
          <w:color w:val="auto"/>
          <w:spacing w:val="7"/>
          <w:kern w:val="2"/>
          <w:sz w:val="20"/>
          <w:szCs w:val="20"/>
          <w:lang w:val="en-US" w:bidi="ar-SA"/>
        </w:rPr>
        <w:t>合同期内，甲方学校内出现传染病疫情（如肺结核），乙方接到学校协助排查密接者的通知，须第一时间派出DR车到学校协助排查。</w:t>
      </w:r>
    </w:p>
    <w:p w14:paraId="26C9F573">
      <w:pPr>
        <w:spacing w:before="47" w:line="360" w:lineRule="auto"/>
        <w:ind w:left="4" w:right="38" w:firstLine="421"/>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lang w:val="en-US" w:eastAsia="zh-CN"/>
        </w:rPr>
        <w:t>12</w:t>
      </w:r>
      <w:r>
        <w:rPr>
          <w:rFonts w:hint="eastAsia" w:ascii="宋体" w:hAnsi="宋体" w:eastAsia="宋体" w:cs="宋体"/>
          <w:color w:val="auto"/>
          <w:spacing w:val="7"/>
          <w:sz w:val="20"/>
          <w:szCs w:val="20"/>
        </w:rPr>
        <w:t>.乙方依本合同约定向甲方提供的报告</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7"/>
          <w:sz w:val="20"/>
          <w:szCs w:val="20"/>
        </w:rPr>
        <w:t>、资料</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7"/>
          <w:sz w:val="20"/>
          <w:szCs w:val="20"/>
        </w:rPr>
        <w:t>、文件等内容及服务成果后</w:t>
      </w:r>
      <w:r>
        <w:rPr>
          <w:rFonts w:hint="eastAsia" w:ascii="宋体" w:hAnsi="宋体" w:eastAsia="宋体" w:cs="宋体"/>
          <w:color w:val="auto"/>
          <w:spacing w:val="7"/>
          <w:sz w:val="20"/>
          <w:szCs w:val="20"/>
          <w:lang w:eastAsia="zh-CN"/>
        </w:rPr>
        <w:t>，</w:t>
      </w:r>
      <w:r>
        <w:rPr>
          <w:rFonts w:hint="eastAsia" w:ascii="宋体" w:hAnsi="宋体" w:eastAsia="宋体" w:cs="宋体"/>
          <w:color w:val="auto"/>
          <w:spacing w:val="7"/>
          <w:sz w:val="20"/>
          <w:szCs w:val="20"/>
        </w:rPr>
        <w:t xml:space="preserve"> 甲方即对上述内容</w:t>
      </w:r>
      <w:r>
        <w:rPr>
          <w:rFonts w:hint="eastAsia" w:ascii="宋体" w:hAnsi="宋体" w:eastAsia="宋体" w:cs="宋体"/>
          <w:color w:val="auto"/>
          <w:spacing w:val="8"/>
          <w:sz w:val="20"/>
          <w:szCs w:val="20"/>
        </w:rPr>
        <w:t>享有充分</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8"/>
          <w:sz w:val="20"/>
          <w:szCs w:val="20"/>
        </w:rPr>
        <w:t>、完整和排他的著作权和知识产权</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8"/>
          <w:sz w:val="20"/>
          <w:szCs w:val="20"/>
        </w:rPr>
        <w:t>。未经甲方书面许可，乙</w:t>
      </w:r>
      <w:r>
        <w:rPr>
          <w:rFonts w:hint="eastAsia" w:ascii="宋体" w:hAnsi="宋体" w:eastAsia="宋体" w:cs="宋体"/>
          <w:color w:val="auto"/>
          <w:spacing w:val="7"/>
          <w:sz w:val="20"/>
          <w:szCs w:val="20"/>
        </w:rPr>
        <w:t>方不得向任何第三方提供上述</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报告</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、资料</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、文件等内容及服务成果</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7"/>
          <w:sz w:val="20"/>
          <w:szCs w:val="20"/>
        </w:rPr>
        <w:t>。</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7"/>
          <w:sz w:val="20"/>
          <w:szCs w:val="20"/>
        </w:rPr>
        <w:t>即使向履行本合同有关的人员提供，</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也应注意保密并限</w:t>
      </w:r>
      <w:r>
        <w:rPr>
          <w:rFonts w:hint="eastAsia" w:ascii="宋体" w:hAnsi="宋体" w:eastAsia="宋体" w:cs="宋体"/>
          <w:color w:val="auto"/>
          <w:spacing w:val="6"/>
          <w:sz w:val="20"/>
          <w:szCs w:val="20"/>
        </w:rPr>
        <w:t>于履</w:t>
      </w:r>
      <w:r>
        <w:rPr>
          <w:rFonts w:hint="eastAsia" w:ascii="宋体" w:hAnsi="宋体" w:eastAsia="宋体" w:cs="宋体"/>
          <w:color w:val="auto"/>
          <w:spacing w:val="8"/>
          <w:sz w:val="20"/>
          <w:szCs w:val="20"/>
        </w:rPr>
        <w:t>行合同的必需范围。</w:t>
      </w:r>
    </w:p>
    <w:p w14:paraId="36136999">
      <w:pPr>
        <w:spacing w:before="63" w:line="360" w:lineRule="auto"/>
        <w:ind w:left="9" w:right="40" w:firstLine="419"/>
        <w:rPr>
          <w:rFonts w:hint="eastAsia" w:ascii="宋体" w:hAnsi="宋体" w:eastAsia="宋体" w:cs="宋体"/>
          <w:color w:val="auto"/>
          <w:sz w:val="20"/>
          <w:szCs w:val="20"/>
        </w:rPr>
      </w:pPr>
      <w:r>
        <w:rPr>
          <w:rFonts w:hint="eastAsia" w:ascii="宋体" w:hAnsi="宋体" w:eastAsia="宋体" w:cs="宋体"/>
          <w:color w:val="auto"/>
          <w:spacing w:val="6"/>
          <w:sz w:val="20"/>
          <w:szCs w:val="20"/>
          <w:lang w:val="en-US" w:eastAsia="zh-CN"/>
        </w:rPr>
        <w:t>13.</w:t>
      </w:r>
      <w:r>
        <w:rPr>
          <w:rFonts w:hint="eastAsia" w:ascii="宋体" w:hAnsi="宋体" w:eastAsia="宋体" w:cs="宋体"/>
          <w:color w:val="auto"/>
          <w:spacing w:val="6"/>
          <w:sz w:val="20"/>
          <w:szCs w:val="20"/>
        </w:rPr>
        <w:t>乙方服务人员应履行保密义务</w:t>
      </w:r>
      <w:r>
        <w:rPr>
          <w:rFonts w:hint="eastAsia" w:ascii="宋体" w:hAnsi="宋体" w:eastAsia="宋体" w:cs="宋体"/>
          <w:color w:val="auto"/>
          <w:spacing w:val="-15"/>
          <w:sz w:val="20"/>
          <w:szCs w:val="20"/>
        </w:rPr>
        <w:t xml:space="preserve"> </w:t>
      </w:r>
      <w:r>
        <w:rPr>
          <w:rFonts w:hint="eastAsia" w:ascii="宋体" w:hAnsi="宋体" w:eastAsia="宋体" w:cs="宋体"/>
          <w:color w:val="auto"/>
          <w:spacing w:val="6"/>
          <w:sz w:val="20"/>
          <w:szCs w:val="20"/>
        </w:rPr>
        <w:t>。如乙方因违反本条约定给甲方造成损失的，</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6"/>
          <w:sz w:val="20"/>
          <w:szCs w:val="20"/>
        </w:rPr>
        <w:t>乙方应当承担相</w:t>
      </w:r>
      <w:r>
        <w:rPr>
          <w:rFonts w:hint="eastAsia" w:ascii="宋体" w:hAnsi="宋体" w:eastAsia="宋体" w:cs="宋体"/>
          <w:color w:val="auto"/>
          <w:spacing w:val="7"/>
          <w:sz w:val="20"/>
          <w:szCs w:val="20"/>
        </w:rPr>
        <w:t>应的法律责任，</w:t>
      </w:r>
      <w:r>
        <w:rPr>
          <w:rFonts w:hint="eastAsia" w:ascii="宋体" w:hAnsi="宋体" w:eastAsia="宋体" w:cs="宋体"/>
          <w:color w:val="auto"/>
          <w:spacing w:val="-13"/>
          <w:sz w:val="20"/>
          <w:szCs w:val="20"/>
        </w:rPr>
        <w:t xml:space="preserve"> </w:t>
      </w:r>
      <w:r>
        <w:rPr>
          <w:rFonts w:hint="eastAsia" w:ascii="宋体" w:hAnsi="宋体" w:eastAsia="宋体" w:cs="宋体"/>
          <w:color w:val="auto"/>
          <w:spacing w:val="7"/>
          <w:sz w:val="20"/>
          <w:szCs w:val="20"/>
        </w:rPr>
        <w:t>并赔偿由此给甲方造成的一切损失。</w:t>
      </w:r>
    </w:p>
    <w:p w14:paraId="1AACFBF2">
      <w:pPr>
        <w:spacing w:before="48" w:line="360" w:lineRule="auto"/>
        <w:ind w:left="5" w:right="93" w:firstLine="423"/>
        <w:rPr>
          <w:rFonts w:hint="eastAsia" w:ascii="宋体" w:hAnsi="宋体" w:eastAsia="宋体" w:cs="宋体"/>
          <w:color w:val="auto"/>
          <w:sz w:val="20"/>
          <w:szCs w:val="20"/>
        </w:rPr>
      </w:pPr>
      <w:r>
        <w:rPr>
          <w:rFonts w:hint="eastAsia" w:ascii="宋体" w:hAnsi="宋体" w:eastAsia="宋体" w:cs="宋体"/>
          <w:color w:val="auto"/>
          <w:spacing w:val="5"/>
          <w:sz w:val="20"/>
          <w:szCs w:val="20"/>
          <w:lang w:val="en-US" w:eastAsia="zh-CN"/>
        </w:rPr>
        <w:t>14</w:t>
      </w:r>
      <w:r>
        <w:rPr>
          <w:rFonts w:hint="eastAsia" w:ascii="宋体" w:hAnsi="宋体" w:eastAsia="宋体" w:cs="宋体"/>
          <w:color w:val="auto"/>
          <w:spacing w:val="5"/>
          <w:sz w:val="20"/>
          <w:szCs w:val="20"/>
        </w:rPr>
        <w:t>.按照合同约定收取服务费，</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5"/>
          <w:sz w:val="20"/>
          <w:szCs w:val="20"/>
        </w:rPr>
        <w:t>当甲方出现无故拖欠费用时，</w:t>
      </w:r>
      <w:r>
        <w:rPr>
          <w:rFonts w:hint="eastAsia" w:ascii="宋体" w:hAnsi="宋体" w:eastAsia="宋体" w:cs="宋体"/>
          <w:color w:val="auto"/>
          <w:spacing w:val="-9"/>
          <w:sz w:val="20"/>
          <w:szCs w:val="20"/>
        </w:rPr>
        <w:t xml:space="preserve"> </w:t>
      </w:r>
      <w:r>
        <w:rPr>
          <w:rFonts w:hint="eastAsia" w:ascii="宋体" w:hAnsi="宋体" w:eastAsia="宋体" w:cs="宋体"/>
          <w:color w:val="auto"/>
          <w:spacing w:val="5"/>
          <w:sz w:val="20"/>
          <w:szCs w:val="20"/>
        </w:rPr>
        <w:t>乙方有权采取适当方式进行催缴，</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若甲方仍未支付费用， 乙方有权停止工作。</w:t>
      </w:r>
    </w:p>
    <w:p w14:paraId="68CF9443">
      <w:pPr>
        <w:spacing w:before="50"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7"/>
          <w:sz w:val="20"/>
          <w:szCs w:val="20"/>
        </w:rPr>
        <w:t>第五条</w:t>
      </w:r>
      <w:r>
        <w:rPr>
          <w:rFonts w:hint="eastAsia" w:ascii="宋体" w:hAnsi="宋体" w:eastAsia="宋体" w:cs="宋体"/>
          <w:b/>
          <w:bCs/>
          <w:color w:val="auto"/>
          <w:spacing w:val="15"/>
          <w:sz w:val="20"/>
          <w:szCs w:val="20"/>
        </w:rPr>
        <w:t xml:space="preserve">   </w:t>
      </w:r>
      <w:r>
        <w:rPr>
          <w:rFonts w:hint="eastAsia" w:ascii="宋体" w:hAnsi="宋体" w:eastAsia="宋体" w:cs="宋体"/>
          <w:b/>
          <w:bCs/>
          <w:color w:val="auto"/>
          <w:spacing w:val="7"/>
          <w:sz w:val="20"/>
          <w:szCs w:val="20"/>
        </w:rPr>
        <w:t>成果的交付</w:t>
      </w:r>
    </w:p>
    <w:p w14:paraId="6BE77425">
      <w:pPr>
        <w:spacing w:before="92" w:line="360" w:lineRule="auto"/>
        <w:ind w:left="4" w:right="38" w:firstLine="440"/>
        <w:rPr>
          <w:rFonts w:hint="eastAsia" w:ascii="宋体" w:hAnsi="宋体" w:eastAsia="宋体" w:cs="宋体"/>
          <w:color w:val="auto"/>
        </w:rPr>
      </w:pPr>
      <w:r>
        <w:rPr>
          <w:rFonts w:hint="eastAsia" w:ascii="宋体" w:hAnsi="宋体" w:eastAsia="宋体" w:cs="宋体"/>
          <w:color w:val="auto"/>
          <w:spacing w:val="9"/>
          <w:sz w:val="20"/>
          <w:szCs w:val="20"/>
        </w:rPr>
        <w:t>乙方提供的服务交付成果均应按</w:t>
      </w:r>
      <w:r>
        <w:rPr>
          <w:rFonts w:hint="eastAsia" w:ascii="宋体" w:hAnsi="宋体" w:eastAsia="宋体" w:cs="宋体"/>
          <w:color w:val="auto"/>
          <w:spacing w:val="9"/>
          <w:sz w:val="20"/>
          <w:szCs w:val="20"/>
          <w:lang w:eastAsia="zh-CN"/>
        </w:rPr>
        <w:t>采购文件</w:t>
      </w:r>
      <w:r>
        <w:rPr>
          <w:rFonts w:hint="eastAsia" w:ascii="宋体" w:hAnsi="宋体" w:eastAsia="宋体" w:cs="宋体"/>
          <w:color w:val="auto"/>
          <w:spacing w:val="9"/>
          <w:sz w:val="20"/>
          <w:szCs w:val="20"/>
        </w:rPr>
        <w:t>要求的提交，</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9"/>
          <w:sz w:val="20"/>
          <w:szCs w:val="20"/>
        </w:rPr>
        <w:t>如有缺</w:t>
      </w:r>
      <w:r>
        <w:rPr>
          <w:rFonts w:hint="eastAsia" w:ascii="宋体" w:hAnsi="宋体" w:eastAsia="宋体" w:cs="宋体"/>
          <w:color w:val="auto"/>
          <w:spacing w:val="8"/>
          <w:sz w:val="20"/>
          <w:szCs w:val="20"/>
        </w:rPr>
        <w:t>漏应及时补齐，</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8"/>
          <w:sz w:val="20"/>
          <w:szCs w:val="20"/>
        </w:rPr>
        <w:t>否则视为逾期交</w:t>
      </w:r>
      <w:r>
        <w:rPr>
          <w:rFonts w:hint="eastAsia" w:ascii="宋体" w:hAnsi="宋体" w:eastAsia="宋体" w:cs="宋体"/>
          <w:color w:val="auto"/>
          <w:spacing w:val="2"/>
          <w:sz w:val="20"/>
          <w:szCs w:val="20"/>
        </w:rPr>
        <w:t>付。</w:t>
      </w:r>
    </w:p>
    <w:p w14:paraId="649B064D">
      <w:pPr>
        <w:spacing w:before="86"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第六条</w:t>
      </w:r>
      <w:r>
        <w:rPr>
          <w:rFonts w:hint="eastAsia" w:ascii="宋体" w:hAnsi="宋体" w:eastAsia="宋体" w:cs="宋体"/>
          <w:b/>
          <w:bCs/>
          <w:color w:val="auto"/>
          <w:spacing w:val="12"/>
          <w:sz w:val="20"/>
          <w:szCs w:val="20"/>
        </w:rPr>
        <w:t xml:space="preserve">   </w:t>
      </w:r>
      <w:r>
        <w:rPr>
          <w:rFonts w:hint="eastAsia" w:ascii="宋体" w:hAnsi="宋体" w:eastAsia="宋体" w:cs="宋体"/>
          <w:b/>
          <w:bCs/>
          <w:color w:val="auto"/>
          <w:spacing w:val="8"/>
          <w:sz w:val="20"/>
          <w:szCs w:val="20"/>
        </w:rPr>
        <w:t>服务和培训</w:t>
      </w:r>
    </w:p>
    <w:p w14:paraId="377F10EA">
      <w:pPr>
        <w:spacing w:before="55" w:line="360" w:lineRule="auto"/>
        <w:ind w:left="442"/>
        <w:rPr>
          <w:rFonts w:hint="eastAsia" w:ascii="宋体" w:hAnsi="宋体" w:eastAsia="宋体" w:cs="宋体"/>
          <w:color w:val="auto"/>
          <w:sz w:val="20"/>
          <w:szCs w:val="20"/>
        </w:rPr>
      </w:pPr>
      <w:r>
        <w:rPr>
          <w:rFonts w:hint="eastAsia" w:ascii="宋体" w:hAnsi="宋体" w:eastAsia="宋体" w:cs="宋体"/>
          <w:color w:val="auto"/>
          <w:spacing w:val="2"/>
          <w:sz w:val="20"/>
          <w:szCs w:val="20"/>
        </w:rPr>
        <w:t>1.</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2"/>
          <w:sz w:val="20"/>
          <w:szCs w:val="20"/>
        </w:rPr>
        <w:t>甲方应提供必要服务条件（如场地</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2"/>
          <w:sz w:val="20"/>
          <w:szCs w:val="20"/>
        </w:rPr>
        <w:t>、</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2"/>
          <w:sz w:val="20"/>
          <w:szCs w:val="20"/>
        </w:rPr>
        <w:t>电源</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2"/>
          <w:sz w:val="20"/>
          <w:szCs w:val="20"/>
        </w:rPr>
        <w:t>、水源等</w:t>
      </w:r>
      <w:r>
        <w:rPr>
          <w:rFonts w:hint="eastAsia" w:ascii="宋体" w:hAnsi="宋体" w:eastAsia="宋体" w:cs="宋体"/>
          <w:color w:val="auto"/>
          <w:spacing w:val="1"/>
          <w:sz w:val="20"/>
          <w:szCs w:val="20"/>
        </w:rPr>
        <w:t>）</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1"/>
          <w:sz w:val="20"/>
          <w:szCs w:val="20"/>
        </w:rPr>
        <w:t>。</w:t>
      </w:r>
    </w:p>
    <w:p w14:paraId="5C6FFF00">
      <w:pPr>
        <w:spacing w:before="15" w:line="360" w:lineRule="auto"/>
        <w:ind w:left="426"/>
        <w:rPr>
          <w:rFonts w:hint="eastAsia" w:ascii="宋体" w:hAnsi="宋体" w:eastAsia="宋体" w:cs="宋体"/>
          <w:color w:val="auto"/>
        </w:rPr>
      </w:pPr>
      <w:r>
        <w:rPr>
          <w:rFonts w:hint="eastAsia" w:ascii="宋体" w:hAnsi="宋体" w:eastAsia="宋体" w:cs="宋体"/>
          <w:color w:val="auto"/>
          <w:spacing w:val="4"/>
          <w:sz w:val="20"/>
          <w:szCs w:val="20"/>
        </w:rPr>
        <w:t>2.</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4"/>
          <w:sz w:val="20"/>
          <w:szCs w:val="20"/>
        </w:rPr>
        <w:t>乙方负责甲方有关人员的培训</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4"/>
          <w:sz w:val="20"/>
          <w:szCs w:val="20"/>
        </w:rPr>
        <w:t>。培训时间</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4"/>
          <w:sz w:val="20"/>
          <w:szCs w:val="20"/>
        </w:rPr>
        <w:t>、地点</w:t>
      </w:r>
      <w:r>
        <w:rPr>
          <w:rFonts w:hint="eastAsia" w:ascii="宋体" w:hAnsi="宋体" w:eastAsia="宋体" w:cs="宋体"/>
          <w:color w:val="auto"/>
          <w:spacing w:val="3"/>
          <w:sz w:val="20"/>
          <w:szCs w:val="20"/>
        </w:rPr>
        <w:t>：</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3"/>
          <w:sz w:val="20"/>
          <w:szCs w:val="20"/>
          <w:u w:val="single" w:color="auto"/>
        </w:rPr>
        <w:t xml:space="preserve">  由甲方决定</w:t>
      </w:r>
      <w:r>
        <w:rPr>
          <w:rFonts w:hint="eastAsia" w:ascii="宋体" w:hAnsi="宋体" w:eastAsia="宋体" w:cs="宋体"/>
          <w:color w:val="auto"/>
          <w:spacing w:val="-30"/>
          <w:sz w:val="20"/>
          <w:szCs w:val="20"/>
          <w:u w:val="single" w:color="auto"/>
        </w:rPr>
        <w:t xml:space="preserve"> </w:t>
      </w:r>
      <w:r>
        <w:rPr>
          <w:rFonts w:hint="eastAsia" w:ascii="宋体" w:hAnsi="宋体" w:eastAsia="宋体" w:cs="宋体"/>
          <w:color w:val="auto"/>
          <w:spacing w:val="3"/>
          <w:sz w:val="20"/>
          <w:szCs w:val="20"/>
          <w:u w:val="single" w:color="auto"/>
        </w:rPr>
        <w:t>。</w:t>
      </w:r>
    </w:p>
    <w:p w14:paraId="09E131B3">
      <w:pPr>
        <w:spacing w:before="87"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第七条</w:t>
      </w:r>
      <w:r>
        <w:rPr>
          <w:rFonts w:hint="eastAsia" w:ascii="宋体" w:hAnsi="宋体" w:eastAsia="宋体" w:cs="宋体"/>
          <w:b/>
          <w:bCs/>
          <w:color w:val="auto"/>
          <w:spacing w:val="12"/>
          <w:sz w:val="20"/>
          <w:szCs w:val="20"/>
        </w:rPr>
        <w:t xml:space="preserve">   </w:t>
      </w:r>
      <w:r>
        <w:rPr>
          <w:rFonts w:hint="eastAsia" w:ascii="宋体" w:hAnsi="宋体" w:eastAsia="宋体" w:cs="宋体"/>
          <w:b/>
          <w:bCs/>
          <w:color w:val="auto"/>
          <w:spacing w:val="8"/>
          <w:sz w:val="20"/>
          <w:szCs w:val="20"/>
        </w:rPr>
        <w:t>付款方式</w:t>
      </w:r>
    </w:p>
    <w:p w14:paraId="641140F1">
      <w:pPr>
        <w:spacing w:before="35" w:line="360" w:lineRule="auto"/>
        <w:ind w:right="40" w:firstLine="432" w:firstLineChars="200"/>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付款方式：本项目无预付款，按实际体检人数，在体检结束并将采购文件要求的全部资料提交</w:t>
      </w:r>
      <w:r>
        <w:rPr>
          <w:rFonts w:hint="eastAsia" w:ascii="宋体" w:hAnsi="宋体" w:eastAsia="宋体" w:cs="宋体"/>
          <w:color w:val="auto"/>
          <w:spacing w:val="7"/>
          <w:sz w:val="20"/>
          <w:szCs w:val="20"/>
        </w:rPr>
        <w:t>给甲方后以转账方式支付；</w:t>
      </w:r>
      <w:r>
        <w:rPr>
          <w:rFonts w:hint="eastAsia" w:ascii="宋体" w:hAnsi="宋体" w:eastAsia="宋体" w:cs="宋体"/>
          <w:color w:val="auto"/>
          <w:spacing w:val="-9"/>
          <w:sz w:val="20"/>
          <w:szCs w:val="20"/>
        </w:rPr>
        <w:t xml:space="preserve"> </w:t>
      </w:r>
      <w:r>
        <w:rPr>
          <w:rFonts w:hint="eastAsia" w:ascii="宋体" w:hAnsi="宋体" w:eastAsia="宋体" w:cs="宋体"/>
          <w:color w:val="auto"/>
          <w:spacing w:val="7"/>
          <w:sz w:val="20"/>
          <w:szCs w:val="20"/>
        </w:rPr>
        <w:t>付款前乙方必须按照合同要求提供</w:t>
      </w:r>
      <w:r>
        <w:rPr>
          <w:rFonts w:hint="eastAsia" w:ascii="宋体" w:hAnsi="宋体" w:eastAsia="宋体" w:cs="宋体"/>
          <w:color w:val="auto"/>
          <w:spacing w:val="7"/>
          <w:sz w:val="20"/>
          <w:szCs w:val="20"/>
          <w:lang w:val="en-US" w:eastAsia="zh-CN"/>
        </w:rPr>
        <w:t>请款申请函，提供</w:t>
      </w:r>
      <w:r>
        <w:rPr>
          <w:rFonts w:hint="eastAsia" w:ascii="宋体" w:hAnsi="宋体" w:eastAsia="宋体" w:cs="宋体"/>
          <w:color w:val="auto"/>
          <w:spacing w:val="7"/>
          <w:sz w:val="20"/>
          <w:szCs w:val="20"/>
        </w:rPr>
        <w:t>真实</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、有效</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、合法的正式发票</w:t>
      </w:r>
      <w:r>
        <w:rPr>
          <w:rFonts w:hint="eastAsia" w:ascii="宋体" w:hAnsi="宋体" w:eastAsia="宋体" w:cs="宋体"/>
          <w:color w:val="auto"/>
          <w:spacing w:val="7"/>
          <w:sz w:val="20"/>
          <w:szCs w:val="20"/>
          <w:lang w:val="en-US" w:eastAsia="zh-CN"/>
        </w:rPr>
        <w:t>（大学和附中发票需分别开具，以采购人要求为准）</w:t>
      </w:r>
      <w:r>
        <w:rPr>
          <w:rFonts w:hint="eastAsia" w:ascii="宋体" w:hAnsi="宋体" w:eastAsia="宋体" w:cs="宋体"/>
          <w:color w:val="auto"/>
          <w:spacing w:val="7"/>
          <w:sz w:val="20"/>
          <w:szCs w:val="20"/>
          <w:lang w:eastAsia="zh-CN"/>
        </w:rPr>
        <w:t>。</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6"/>
          <w:sz w:val="20"/>
          <w:szCs w:val="20"/>
        </w:rPr>
        <w:t>甲方</w:t>
      </w:r>
      <w:r>
        <w:rPr>
          <w:rFonts w:hint="eastAsia" w:ascii="宋体" w:hAnsi="宋体" w:eastAsia="宋体" w:cs="宋体"/>
          <w:color w:val="auto"/>
          <w:spacing w:val="6"/>
          <w:sz w:val="20"/>
          <w:szCs w:val="20"/>
          <w:lang w:val="en-US" w:eastAsia="zh-CN"/>
        </w:rPr>
        <w:t>收到请款材料之日起15个工作日内向乙方支付合同款（据实结算）</w:t>
      </w:r>
      <w:r>
        <w:rPr>
          <w:rFonts w:hint="eastAsia" w:ascii="宋体" w:hAnsi="宋体" w:eastAsia="宋体" w:cs="宋体"/>
          <w:color w:val="auto"/>
          <w:spacing w:val="6"/>
          <w:sz w:val="20"/>
          <w:szCs w:val="20"/>
          <w:lang w:eastAsia="zh-CN"/>
        </w:rPr>
        <w:t>。</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6"/>
          <w:sz w:val="20"/>
          <w:szCs w:val="20"/>
        </w:rPr>
        <w:t>乙方未提供发票的， 甲方的付款</w:t>
      </w:r>
      <w:r>
        <w:rPr>
          <w:rFonts w:hint="eastAsia" w:ascii="宋体" w:hAnsi="宋体" w:eastAsia="宋体" w:cs="宋体"/>
          <w:color w:val="auto"/>
          <w:spacing w:val="5"/>
          <w:sz w:val="20"/>
          <w:szCs w:val="20"/>
        </w:rPr>
        <w:t>义务顺延，</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5"/>
          <w:sz w:val="20"/>
          <w:szCs w:val="20"/>
        </w:rPr>
        <w:t>且不承担迟延履行的相关责任。</w:t>
      </w:r>
    </w:p>
    <w:p w14:paraId="5C93A111">
      <w:pPr>
        <w:spacing w:before="54"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7"/>
          <w:sz w:val="20"/>
          <w:szCs w:val="20"/>
        </w:rPr>
        <w:t>第</w:t>
      </w:r>
      <w:r>
        <w:rPr>
          <w:rFonts w:hint="eastAsia" w:ascii="宋体" w:hAnsi="宋体" w:eastAsia="宋体" w:cs="宋体"/>
          <w:b/>
          <w:bCs/>
          <w:color w:val="auto"/>
          <w:spacing w:val="7"/>
          <w:sz w:val="20"/>
          <w:szCs w:val="20"/>
          <w:lang w:val="en-US" w:eastAsia="zh-CN"/>
        </w:rPr>
        <w:t>八</w:t>
      </w:r>
      <w:r>
        <w:rPr>
          <w:rFonts w:hint="eastAsia" w:ascii="宋体" w:hAnsi="宋体" w:eastAsia="宋体" w:cs="宋体"/>
          <w:b/>
          <w:bCs/>
          <w:color w:val="auto"/>
          <w:spacing w:val="7"/>
          <w:sz w:val="20"/>
          <w:szCs w:val="20"/>
        </w:rPr>
        <w:t>条</w:t>
      </w:r>
      <w:r>
        <w:rPr>
          <w:rFonts w:hint="eastAsia" w:ascii="宋体" w:hAnsi="宋体" w:eastAsia="宋体" w:cs="宋体"/>
          <w:b/>
          <w:bCs/>
          <w:color w:val="auto"/>
          <w:spacing w:val="52"/>
          <w:sz w:val="20"/>
          <w:szCs w:val="20"/>
        </w:rPr>
        <w:t xml:space="preserve"> </w:t>
      </w:r>
      <w:r>
        <w:rPr>
          <w:rFonts w:hint="eastAsia" w:ascii="宋体" w:hAnsi="宋体" w:eastAsia="宋体" w:cs="宋体"/>
          <w:b/>
          <w:bCs/>
          <w:color w:val="auto"/>
          <w:spacing w:val="7"/>
          <w:sz w:val="20"/>
          <w:szCs w:val="20"/>
        </w:rPr>
        <w:t>税费</w:t>
      </w:r>
    </w:p>
    <w:p w14:paraId="6512F556">
      <w:pPr>
        <w:spacing w:before="56" w:line="360" w:lineRule="auto"/>
        <w:ind w:left="427"/>
        <w:rPr>
          <w:rFonts w:hint="eastAsia" w:ascii="宋体" w:hAnsi="宋体" w:eastAsia="宋体" w:cs="宋体"/>
          <w:color w:val="auto"/>
          <w:sz w:val="20"/>
          <w:szCs w:val="20"/>
        </w:rPr>
      </w:pPr>
      <w:r>
        <w:rPr>
          <w:rFonts w:hint="eastAsia" w:ascii="宋体" w:hAnsi="宋体" w:eastAsia="宋体" w:cs="宋体"/>
          <w:color w:val="auto"/>
          <w:spacing w:val="9"/>
          <w:sz w:val="20"/>
          <w:szCs w:val="20"/>
        </w:rPr>
        <w:t>本合同执行中相关的一切税费均由乙方负担。</w:t>
      </w:r>
    </w:p>
    <w:p w14:paraId="746F20CB">
      <w:pPr>
        <w:spacing w:before="50"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w:t>
      </w:r>
      <w:r>
        <w:rPr>
          <w:rFonts w:hint="eastAsia" w:ascii="宋体" w:hAnsi="宋体" w:eastAsia="宋体" w:cs="宋体"/>
          <w:b/>
          <w:bCs/>
          <w:color w:val="auto"/>
          <w:spacing w:val="8"/>
          <w:sz w:val="20"/>
          <w:szCs w:val="20"/>
          <w:lang w:val="en-US" w:eastAsia="zh-CN"/>
        </w:rPr>
        <w:t>九</w:t>
      </w:r>
      <w:r>
        <w:rPr>
          <w:rFonts w:hint="eastAsia" w:ascii="宋体" w:hAnsi="宋体" w:eastAsia="宋体" w:cs="宋体"/>
          <w:b/>
          <w:bCs/>
          <w:color w:val="auto"/>
          <w:spacing w:val="8"/>
          <w:sz w:val="20"/>
          <w:szCs w:val="20"/>
        </w:rPr>
        <w:t>条</w:t>
      </w:r>
      <w:r>
        <w:rPr>
          <w:rFonts w:hint="eastAsia" w:ascii="宋体" w:hAnsi="宋体" w:eastAsia="宋体" w:cs="宋体"/>
          <w:b/>
          <w:bCs/>
          <w:color w:val="auto"/>
          <w:spacing w:val="12"/>
          <w:sz w:val="20"/>
          <w:szCs w:val="20"/>
        </w:rPr>
        <w:t xml:space="preserve">   </w:t>
      </w:r>
      <w:r>
        <w:rPr>
          <w:rFonts w:hint="eastAsia" w:ascii="宋体" w:hAnsi="宋体" w:eastAsia="宋体" w:cs="宋体"/>
          <w:b/>
          <w:bCs/>
          <w:color w:val="auto"/>
          <w:spacing w:val="8"/>
          <w:sz w:val="20"/>
          <w:szCs w:val="20"/>
        </w:rPr>
        <w:t>违约责任</w:t>
      </w:r>
    </w:p>
    <w:p w14:paraId="01220FCB">
      <w:pPr>
        <w:spacing w:before="56" w:line="360" w:lineRule="auto"/>
        <w:ind w:left="6" w:firstLine="436"/>
        <w:rPr>
          <w:rFonts w:hint="eastAsia" w:ascii="宋体" w:hAnsi="宋体" w:eastAsia="宋体" w:cs="宋体"/>
          <w:color w:val="auto"/>
          <w:spacing w:val="8"/>
          <w:sz w:val="20"/>
          <w:szCs w:val="20"/>
          <w:lang w:eastAsia="zh-CN"/>
        </w:rPr>
      </w:pPr>
      <w:r>
        <w:rPr>
          <w:rFonts w:hint="eastAsia" w:ascii="宋体" w:hAnsi="宋体" w:eastAsia="宋体" w:cs="宋体"/>
          <w:color w:val="auto"/>
          <w:spacing w:val="7"/>
          <w:sz w:val="20"/>
          <w:szCs w:val="20"/>
        </w:rPr>
        <w:t>1.若因乙方原因而未能履行合同或未达到合同约定的要求， 甲方有权</w:t>
      </w:r>
      <w:r>
        <w:rPr>
          <w:rFonts w:hint="eastAsia" w:ascii="宋体" w:hAnsi="宋体" w:eastAsia="宋体" w:cs="宋体"/>
          <w:color w:val="auto"/>
          <w:spacing w:val="7"/>
          <w:sz w:val="20"/>
          <w:szCs w:val="20"/>
          <w:lang w:val="en-US" w:eastAsia="zh-CN"/>
        </w:rPr>
        <w:t>现场或书面</w:t>
      </w:r>
      <w:r>
        <w:rPr>
          <w:rFonts w:hint="eastAsia" w:ascii="宋体" w:hAnsi="宋体" w:eastAsia="宋体" w:cs="宋体"/>
          <w:color w:val="auto"/>
          <w:spacing w:val="6"/>
          <w:sz w:val="20"/>
          <w:szCs w:val="20"/>
        </w:rPr>
        <w:t>督促乙方履行合同，</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乙方应在收到甲方</w:t>
      </w:r>
      <w:r>
        <w:rPr>
          <w:rFonts w:hint="eastAsia" w:ascii="宋体" w:hAnsi="宋体" w:eastAsia="宋体" w:cs="宋体"/>
          <w:color w:val="auto"/>
          <w:spacing w:val="9"/>
          <w:sz w:val="20"/>
          <w:szCs w:val="20"/>
          <w:lang w:val="en-US" w:eastAsia="zh-CN"/>
        </w:rPr>
        <w:t>现场要求应即时做出整改，或甲方</w:t>
      </w:r>
      <w:r>
        <w:rPr>
          <w:rFonts w:hint="eastAsia" w:ascii="宋体" w:hAnsi="宋体" w:eastAsia="宋体" w:cs="宋体"/>
          <w:color w:val="auto"/>
          <w:spacing w:val="9"/>
          <w:sz w:val="20"/>
          <w:szCs w:val="20"/>
        </w:rPr>
        <w:t>书面通知之日起七日内给予书面答复并进行整改；</w:t>
      </w:r>
      <w:r>
        <w:rPr>
          <w:rFonts w:hint="eastAsia" w:ascii="宋体" w:hAnsi="宋体" w:eastAsia="宋体" w:cs="宋体"/>
          <w:color w:val="auto"/>
          <w:spacing w:val="-20"/>
          <w:sz w:val="20"/>
          <w:szCs w:val="20"/>
        </w:rPr>
        <w:t xml:space="preserve"> </w:t>
      </w:r>
      <w:r>
        <w:rPr>
          <w:rFonts w:hint="eastAsia" w:ascii="宋体" w:hAnsi="宋体" w:eastAsia="宋体" w:cs="宋体"/>
          <w:color w:val="auto"/>
          <w:spacing w:val="9"/>
          <w:sz w:val="20"/>
          <w:szCs w:val="20"/>
        </w:rPr>
        <w:t>如乙方在上述时间未答复</w:t>
      </w:r>
      <w:r>
        <w:rPr>
          <w:rFonts w:hint="eastAsia" w:ascii="宋体" w:hAnsi="宋体" w:eastAsia="宋体" w:cs="宋体"/>
          <w:color w:val="auto"/>
          <w:spacing w:val="8"/>
          <w:sz w:val="20"/>
          <w:szCs w:val="20"/>
        </w:rPr>
        <w:t>，</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8"/>
          <w:sz w:val="20"/>
          <w:szCs w:val="20"/>
        </w:rPr>
        <w:t>或</w:t>
      </w:r>
      <w:r>
        <w:rPr>
          <w:rFonts w:hint="eastAsia" w:ascii="宋体" w:hAnsi="宋体" w:eastAsia="宋体" w:cs="宋体"/>
          <w:color w:val="auto"/>
          <w:spacing w:val="5"/>
          <w:sz w:val="20"/>
          <w:szCs w:val="20"/>
        </w:rPr>
        <w:t>无故拖延履行合同超过</w:t>
      </w:r>
      <w:r>
        <w:rPr>
          <w:rFonts w:hint="eastAsia" w:ascii="宋体" w:hAnsi="宋体" w:eastAsia="宋体" w:cs="宋体"/>
          <w:color w:val="auto"/>
          <w:spacing w:val="56"/>
          <w:sz w:val="20"/>
          <w:szCs w:val="20"/>
          <w:u w:val="single" w:color="auto"/>
        </w:rPr>
        <w:t xml:space="preserve"> </w:t>
      </w:r>
      <w:r>
        <w:rPr>
          <w:rFonts w:hint="eastAsia" w:ascii="宋体" w:hAnsi="宋体" w:eastAsia="宋体" w:cs="宋体"/>
          <w:color w:val="auto"/>
          <w:spacing w:val="5"/>
          <w:sz w:val="20"/>
          <w:szCs w:val="20"/>
          <w:u w:val="single" w:color="auto"/>
        </w:rPr>
        <w:t>7</w:t>
      </w:r>
      <w:r>
        <w:rPr>
          <w:rFonts w:hint="eastAsia" w:ascii="宋体" w:hAnsi="宋体" w:eastAsia="宋体" w:cs="宋体"/>
          <w:color w:val="auto"/>
          <w:spacing w:val="47"/>
          <w:sz w:val="20"/>
          <w:szCs w:val="20"/>
          <w:u w:val="single" w:color="auto"/>
        </w:rPr>
        <w:t xml:space="preserve"> </w:t>
      </w:r>
      <w:r>
        <w:rPr>
          <w:rFonts w:hint="eastAsia" w:ascii="宋体" w:hAnsi="宋体" w:eastAsia="宋体" w:cs="宋体"/>
          <w:color w:val="auto"/>
          <w:spacing w:val="5"/>
          <w:sz w:val="20"/>
          <w:szCs w:val="20"/>
        </w:rPr>
        <w:t xml:space="preserve"> 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5"/>
          <w:sz w:val="20"/>
          <w:szCs w:val="20"/>
        </w:rPr>
        <w:t>或经</w:t>
      </w:r>
      <w:r>
        <w:rPr>
          <w:rFonts w:hint="eastAsia" w:ascii="宋体" w:hAnsi="宋体" w:eastAsia="宋体" w:cs="宋体"/>
          <w:color w:val="auto"/>
          <w:spacing w:val="53"/>
          <w:sz w:val="20"/>
          <w:szCs w:val="20"/>
          <w:u w:val="single" w:color="auto"/>
        </w:rPr>
        <w:t xml:space="preserve"> </w:t>
      </w:r>
      <w:r>
        <w:rPr>
          <w:rFonts w:hint="eastAsia" w:ascii="宋体" w:hAnsi="宋体" w:eastAsia="宋体" w:cs="宋体"/>
          <w:color w:val="auto"/>
          <w:spacing w:val="5"/>
          <w:sz w:val="20"/>
          <w:szCs w:val="20"/>
          <w:u w:val="single" w:color="auto"/>
        </w:rPr>
        <w:t>2</w:t>
      </w:r>
      <w:r>
        <w:rPr>
          <w:rFonts w:hint="eastAsia" w:ascii="宋体" w:hAnsi="宋体" w:eastAsia="宋体" w:cs="宋体"/>
          <w:color w:val="auto"/>
          <w:spacing w:val="57"/>
          <w:w w:val="101"/>
          <w:sz w:val="20"/>
          <w:szCs w:val="20"/>
          <w:u w:val="single" w:color="auto"/>
        </w:rPr>
        <w:t xml:space="preserve"> </w:t>
      </w:r>
      <w:r>
        <w:rPr>
          <w:rFonts w:hint="eastAsia" w:ascii="宋体" w:hAnsi="宋体" w:eastAsia="宋体" w:cs="宋体"/>
          <w:color w:val="auto"/>
          <w:spacing w:val="5"/>
          <w:sz w:val="20"/>
          <w:szCs w:val="20"/>
        </w:rPr>
        <w:t>次整改后仍未达到甲方要求， 甲方有权书面通知乙方解除服</w:t>
      </w:r>
      <w:r>
        <w:rPr>
          <w:rFonts w:hint="eastAsia" w:ascii="宋体" w:hAnsi="宋体" w:eastAsia="宋体" w:cs="宋体"/>
          <w:color w:val="auto"/>
          <w:spacing w:val="6"/>
          <w:sz w:val="20"/>
          <w:szCs w:val="20"/>
        </w:rPr>
        <w:t>务合同，且无需支付合同解除后的合同后续费</w:t>
      </w:r>
      <w:r>
        <w:rPr>
          <w:rFonts w:hint="eastAsia" w:ascii="宋体" w:hAnsi="宋体" w:eastAsia="宋体" w:cs="宋体"/>
          <w:color w:val="auto"/>
          <w:spacing w:val="5"/>
          <w:sz w:val="20"/>
          <w:szCs w:val="20"/>
        </w:rPr>
        <w:t>用</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5"/>
          <w:sz w:val="20"/>
          <w:szCs w:val="20"/>
        </w:rPr>
        <w:t>。同时，</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5"/>
          <w:sz w:val="20"/>
          <w:szCs w:val="20"/>
        </w:rPr>
        <w:t>乙方必须退还甲方已付出的所有服务费用，</w:t>
      </w:r>
      <w:r>
        <w:rPr>
          <w:rFonts w:hint="eastAsia" w:ascii="宋体" w:hAnsi="宋体" w:eastAsia="宋体" w:cs="宋体"/>
          <w:color w:val="auto"/>
          <w:spacing w:val="5"/>
          <w:sz w:val="20"/>
          <w:szCs w:val="20"/>
          <w:lang w:val="en-US" w:eastAsia="zh-CN"/>
        </w:rPr>
        <w:t>按服务费用的20%支付违约金</w:t>
      </w:r>
      <w:r>
        <w:rPr>
          <w:rFonts w:hint="eastAsia" w:ascii="宋体" w:hAnsi="宋体" w:eastAsia="宋体" w:cs="宋体"/>
          <w:color w:val="auto"/>
          <w:spacing w:val="8"/>
          <w:sz w:val="20"/>
          <w:szCs w:val="20"/>
        </w:rPr>
        <w:t>并赔偿由此给甲方造成的全部损失</w:t>
      </w:r>
      <w:r>
        <w:rPr>
          <w:rFonts w:hint="eastAsia" w:ascii="宋体" w:hAnsi="宋体" w:eastAsia="宋体" w:cs="宋体"/>
          <w:color w:val="auto"/>
          <w:spacing w:val="8"/>
          <w:sz w:val="20"/>
          <w:szCs w:val="20"/>
          <w:lang w:eastAsia="zh-CN"/>
        </w:rPr>
        <w:t>。</w:t>
      </w:r>
    </w:p>
    <w:p w14:paraId="65424FA7">
      <w:pPr>
        <w:spacing w:before="86" w:line="360" w:lineRule="auto"/>
        <w:ind w:left="0" w:right="58" w:firstLine="424" w:firstLineChars="200"/>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rPr>
        <w:t>2.乙方未得到甲方同意，</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擅自更换项目负责人及服务团队成员时，甲方有权书面通知乙方解除</w:t>
      </w:r>
      <w:r>
        <w:rPr>
          <w:rFonts w:hint="eastAsia" w:ascii="宋体" w:hAnsi="宋体" w:eastAsia="宋体" w:cs="宋体"/>
          <w:color w:val="auto"/>
          <w:spacing w:val="7"/>
          <w:sz w:val="20"/>
          <w:szCs w:val="20"/>
        </w:rPr>
        <w:t>服务合同，</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7"/>
          <w:sz w:val="20"/>
          <w:szCs w:val="20"/>
        </w:rPr>
        <w:t>且无需支付合同解除后的合同后续费用</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7"/>
          <w:sz w:val="20"/>
          <w:szCs w:val="20"/>
        </w:rPr>
        <w:t>。</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同时，乙方必须退还甲方已付出</w:t>
      </w:r>
      <w:r>
        <w:rPr>
          <w:rFonts w:hint="eastAsia" w:ascii="宋体" w:hAnsi="宋体" w:eastAsia="宋体" w:cs="宋体"/>
          <w:color w:val="auto"/>
          <w:spacing w:val="6"/>
          <w:sz w:val="20"/>
          <w:szCs w:val="20"/>
        </w:rPr>
        <w:t>的所有服务费用，</w:t>
      </w:r>
      <w:r>
        <w:rPr>
          <w:rFonts w:hint="eastAsia" w:ascii="宋体" w:hAnsi="宋体" w:eastAsia="宋体" w:cs="宋体"/>
          <w:color w:val="auto"/>
          <w:spacing w:val="-6"/>
          <w:sz w:val="20"/>
          <w:szCs w:val="20"/>
        </w:rPr>
        <w:t xml:space="preserve"> </w:t>
      </w:r>
      <w:r>
        <w:rPr>
          <w:rFonts w:hint="eastAsia" w:ascii="宋体" w:hAnsi="宋体" w:eastAsia="宋体" w:cs="宋体"/>
          <w:color w:val="auto"/>
          <w:spacing w:val="6"/>
          <w:sz w:val="20"/>
          <w:szCs w:val="20"/>
        </w:rPr>
        <w:t>并赔偿由此给甲方造成的全部损失。</w:t>
      </w:r>
    </w:p>
    <w:p w14:paraId="671B92D3">
      <w:pPr>
        <w:spacing w:before="9" w:line="360" w:lineRule="auto"/>
        <w:ind w:left="20" w:firstLine="406"/>
        <w:rPr>
          <w:rFonts w:hint="eastAsia" w:ascii="宋体" w:hAnsi="宋体" w:eastAsia="宋体" w:cs="宋体"/>
          <w:color w:val="auto"/>
          <w:sz w:val="20"/>
          <w:szCs w:val="20"/>
        </w:rPr>
      </w:pPr>
      <w:r>
        <w:rPr>
          <w:rFonts w:hint="eastAsia" w:ascii="宋体" w:hAnsi="宋体" w:eastAsia="宋体" w:cs="宋体"/>
          <w:color w:val="auto"/>
          <w:spacing w:val="8"/>
          <w:sz w:val="20"/>
          <w:szCs w:val="20"/>
        </w:rPr>
        <w:t>3.乙方或乙方人员违反保密义务时， 甲方有权书面通知乙方解除合同，</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8"/>
          <w:sz w:val="20"/>
          <w:szCs w:val="20"/>
        </w:rPr>
        <w:t>且无需支付合同解除后</w:t>
      </w:r>
      <w:r>
        <w:rPr>
          <w:rFonts w:hint="eastAsia" w:ascii="宋体" w:hAnsi="宋体" w:eastAsia="宋体" w:cs="宋体"/>
          <w:color w:val="auto"/>
          <w:spacing w:val="6"/>
          <w:sz w:val="20"/>
          <w:szCs w:val="20"/>
        </w:rPr>
        <w:t>的合同后续费用</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。同时，</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6"/>
          <w:sz w:val="20"/>
          <w:szCs w:val="20"/>
        </w:rPr>
        <w:t>乙方必须退还甲方已付出的所有费用，并</w:t>
      </w:r>
      <w:r>
        <w:rPr>
          <w:rFonts w:hint="eastAsia" w:ascii="宋体" w:hAnsi="宋体" w:eastAsia="宋体" w:cs="宋体"/>
          <w:color w:val="auto"/>
          <w:spacing w:val="5"/>
          <w:sz w:val="20"/>
          <w:szCs w:val="20"/>
        </w:rPr>
        <w:t>赔偿由此给甲方造成的全部损失。</w:t>
      </w:r>
    </w:p>
    <w:p w14:paraId="792A2973">
      <w:pPr>
        <w:spacing w:before="10" w:line="360" w:lineRule="auto"/>
        <w:ind w:left="7" w:right="154" w:firstLine="417"/>
        <w:rPr>
          <w:rFonts w:hint="eastAsia" w:ascii="宋体" w:hAnsi="宋体" w:eastAsia="宋体" w:cs="宋体"/>
          <w:color w:val="auto"/>
          <w:sz w:val="20"/>
          <w:szCs w:val="20"/>
        </w:rPr>
      </w:pPr>
      <w:r>
        <w:rPr>
          <w:rFonts w:hint="eastAsia" w:ascii="宋体" w:hAnsi="宋体" w:eastAsia="宋体" w:cs="宋体"/>
          <w:color w:val="auto"/>
          <w:spacing w:val="8"/>
          <w:sz w:val="20"/>
          <w:szCs w:val="20"/>
        </w:rPr>
        <w:t>4.乙方提供的交付成果或服务如侵犯了第三方合法权益而引发</w:t>
      </w:r>
      <w:r>
        <w:rPr>
          <w:rFonts w:hint="eastAsia" w:ascii="宋体" w:hAnsi="宋体" w:eastAsia="宋体" w:cs="宋体"/>
          <w:color w:val="auto"/>
          <w:spacing w:val="7"/>
          <w:sz w:val="20"/>
          <w:szCs w:val="20"/>
        </w:rPr>
        <w:t>的任何纠纷或诉讼，</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均由乙方负</w:t>
      </w:r>
      <w:r>
        <w:rPr>
          <w:rFonts w:hint="eastAsia" w:ascii="宋体" w:hAnsi="宋体" w:eastAsia="宋体" w:cs="宋体"/>
          <w:color w:val="auto"/>
          <w:spacing w:val="8"/>
          <w:sz w:val="20"/>
          <w:szCs w:val="20"/>
        </w:rPr>
        <w:t>责交涉并承担全部责任。</w:t>
      </w:r>
    </w:p>
    <w:p w14:paraId="505BB69A">
      <w:pPr>
        <w:spacing w:before="48" w:line="360" w:lineRule="auto"/>
        <w:ind w:left="4" w:right="60" w:firstLine="424"/>
        <w:rPr>
          <w:rFonts w:hint="eastAsia" w:ascii="宋体" w:hAnsi="宋体" w:eastAsia="宋体" w:cs="宋体"/>
          <w:color w:val="auto"/>
          <w:sz w:val="20"/>
          <w:szCs w:val="20"/>
        </w:rPr>
      </w:pPr>
      <w:r>
        <w:rPr>
          <w:rFonts w:hint="eastAsia" w:ascii="宋体" w:hAnsi="宋体" w:eastAsia="宋体" w:cs="宋体"/>
          <w:color w:val="auto"/>
          <w:spacing w:val="4"/>
          <w:sz w:val="20"/>
          <w:szCs w:val="20"/>
        </w:rPr>
        <w:t xml:space="preserve">5.乙方逾期交付服务成果的，每天向甲方偿付服务费用金额的 </w:t>
      </w:r>
      <w:r>
        <w:rPr>
          <w:rFonts w:hint="eastAsia" w:ascii="宋体" w:hAnsi="宋体" w:eastAsia="宋体" w:cs="宋体"/>
          <w:color w:val="auto"/>
          <w:spacing w:val="4"/>
          <w:sz w:val="20"/>
          <w:szCs w:val="20"/>
          <w:u w:val="single" w:color="auto"/>
        </w:rPr>
        <w:t>0.3‰</w:t>
      </w:r>
      <w:r>
        <w:rPr>
          <w:rFonts w:hint="eastAsia" w:ascii="宋体" w:hAnsi="宋体" w:eastAsia="宋体" w:cs="宋体"/>
          <w:color w:val="auto"/>
          <w:spacing w:val="4"/>
          <w:sz w:val="20"/>
          <w:szCs w:val="20"/>
        </w:rPr>
        <w:t>违约金，超过</w:t>
      </w:r>
      <w:r>
        <w:rPr>
          <w:rFonts w:hint="eastAsia" w:ascii="宋体" w:hAnsi="宋体" w:eastAsia="宋体" w:cs="宋体"/>
          <w:color w:val="auto"/>
          <w:spacing w:val="55"/>
          <w:w w:val="101"/>
          <w:sz w:val="20"/>
          <w:szCs w:val="20"/>
          <w:u w:val="single" w:color="auto"/>
        </w:rPr>
        <w:t xml:space="preserve"> </w:t>
      </w:r>
      <w:r>
        <w:rPr>
          <w:rFonts w:hint="eastAsia" w:ascii="宋体" w:hAnsi="宋体" w:eastAsia="宋体" w:cs="宋体"/>
          <w:color w:val="auto"/>
          <w:spacing w:val="4"/>
          <w:sz w:val="20"/>
          <w:szCs w:val="20"/>
          <w:u w:val="single" w:color="auto"/>
        </w:rPr>
        <w:t>3</w:t>
      </w:r>
      <w:r>
        <w:rPr>
          <w:rFonts w:hint="eastAsia" w:ascii="宋体" w:hAnsi="宋体" w:eastAsia="宋体" w:cs="宋体"/>
          <w:color w:val="auto"/>
          <w:spacing w:val="3"/>
          <w:sz w:val="20"/>
          <w:szCs w:val="20"/>
          <w:u w:val="single" w:color="auto"/>
        </w:rPr>
        <w:t>0</w:t>
      </w:r>
      <w:r>
        <w:rPr>
          <w:rFonts w:hint="eastAsia" w:ascii="宋体" w:hAnsi="宋体" w:eastAsia="宋体" w:cs="宋体"/>
          <w:color w:val="auto"/>
          <w:spacing w:val="59"/>
          <w:sz w:val="20"/>
          <w:szCs w:val="20"/>
          <w:u w:val="single" w:color="auto"/>
        </w:rPr>
        <w:t xml:space="preserve"> </w:t>
      </w:r>
      <w:r>
        <w:rPr>
          <w:rFonts w:hint="eastAsia" w:ascii="宋体" w:hAnsi="宋体" w:eastAsia="宋体" w:cs="宋体"/>
          <w:color w:val="auto"/>
          <w:spacing w:val="3"/>
          <w:sz w:val="20"/>
          <w:szCs w:val="20"/>
        </w:rPr>
        <w:t>天甲方有</w:t>
      </w:r>
      <w:r>
        <w:rPr>
          <w:rFonts w:hint="eastAsia" w:ascii="宋体" w:hAnsi="宋体" w:eastAsia="宋体" w:cs="宋体"/>
          <w:color w:val="auto"/>
          <w:spacing w:val="7"/>
          <w:sz w:val="20"/>
          <w:szCs w:val="20"/>
        </w:rPr>
        <w:t>权解除合同， 乙方应按服务费用的</w:t>
      </w:r>
      <w:r>
        <w:rPr>
          <w:rFonts w:hint="eastAsia" w:ascii="宋体" w:hAnsi="宋体" w:eastAsia="宋体" w:cs="宋体"/>
          <w:color w:val="auto"/>
          <w:spacing w:val="7"/>
          <w:sz w:val="20"/>
          <w:szCs w:val="20"/>
          <w:lang w:val="en-US" w:eastAsia="zh-CN"/>
        </w:rPr>
        <w:t>20</w:t>
      </w:r>
      <w:r>
        <w:rPr>
          <w:rFonts w:hint="eastAsia" w:ascii="宋体" w:hAnsi="宋体" w:eastAsia="宋体" w:cs="宋体"/>
          <w:color w:val="auto"/>
          <w:spacing w:val="7"/>
          <w:sz w:val="20"/>
          <w:szCs w:val="20"/>
        </w:rPr>
        <w:t>%向甲方支付违约金并承担因此给甲方造成经济损失。</w:t>
      </w:r>
    </w:p>
    <w:p w14:paraId="0AB520ED">
      <w:pPr>
        <w:spacing w:line="360" w:lineRule="auto"/>
        <w:ind w:left="7" w:right="61" w:firstLine="421"/>
        <w:rPr>
          <w:rFonts w:hint="eastAsia" w:ascii="宋体" w:hAnsi="宋体" w:eastAsia="宋体" w:cs="宋体"/>
          <w:color w:val="auto"/>
          <w:spacing w:val="2"/>
          <w:sz w:val="20"/>
          <w:szCs w:val="20"/>
        </w:rPr>
      </w:pPr>
      <w:r>
        <w:rPr>
          <w:rFonts w:hint="eastAsia" w:ascii="宋体" w:hAnsi="宋体" w:eastAsia="宋体" w:cs="宋体"/>
          <w:color w:val="auto"/>
          <w:spacing w:val="8"/>
          <w:sz w:val="20"/>
          <w:szCs w:val="20"/>
        </w:rPr>
        <w:t>6.因乙方违约，乙方应承担甲方为实现合法权益而支</w:t>
      </w:r>
      <w:r>
        <w:rPr>
          <w:rFonts w:hint="eastAsia" w:ascii="宋体" w:hAnsi="宋体" w:eastAsia="宋体" w:cs="宋体"/>
          <w:color w:val="auto"/>
          <w:spacing w:val="7"/>
          <w:sz w:val="20"/>
          <w:szCs w:val="20"/>
        </w:rPr>
        <w:t>付的所有费用</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（包括但不限于诉讼费</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、律</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师费</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2"/>
          <w:sz w:val="20"/>
          <w:szCs w:val="20"/>
        </w:rPr>
        <w:t>、保全费</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2"/>
          <w:sz w:val="20"/>
          <w:szCs w:val="20"/>
        </w:rPr>
        <w:t>、保全保险费等）。</w:t>
      </w:r>
    </w:p>
    <w:p w14:paraId="356C84EB">
      <w:pPr>
        <w:pStyle w:val="2"/>
        <w:spacing w:line="360" w:lineRule="auto"/>
        <w:rPr>
          <w:rFonts w:hint="default" w:eastAsia="宋体"/>
          <w:color w:val="auto"/>
          <w:lang w:val="en-US" w:eastAsia="zh-CN"/>
        </w:rPr>
      </w:pPr>
      <w:r>
        <w:rPr>
          <w:rFonts w:hint="eastAsia" w:cs="宋体"/>
          <w:color w:val="auto"/>
          <w:spacing w:val="2"/>
          <w:sz w:val="20"/>
          <w:szCs w:val="20"/>
          <w:u w:val="none"/>
          <w:lang w:val="en-US" w:eastAsia="zh-CN"/>
        </w:rPr>
        <w:t xml:space="preserve">    7.</w:t>
      </w:r>
      <w:r>
        <w:rPr>
          <w:rFonts w:hint="eastAsia" w:ascii="宋体" w:hAnsi="宋体" w:eastAsia="宋体" w:cs="宋体"/>
          <w:i w:val="0"/>
          <w:iCs w:val="0"/>
          <w:caps w:val="0"/>
          <w:color w:val="auto"/>
          <w:spacing w:val="0"/>
          <w:sz w:val="20"/>
          <w:szCs w:val="20"/>
          <w:shd w:val="clear" w:fill="FFFFFF"/>
        </w:rPr>
        <w:t>合同解除后，对已采集体</w:t>
      </w:r>
      <w:r>
        <w:rPr>
          <w:rFonts w:hint="eastAsia" w:ascii="宋体" w:hAnsi="宋体" w:eastAsia="宋体" w:cs="宋体"/>
          <w:i w:val="0"/>
          <w:iCs w:val="0"/>
          <w:caps w:val="0"/>
          <w:color w:val="auto"/>
          <w:spacing w:val="0"/>
          <w:sz w:val="20"/>
          <w:szCs w:val="20"/>
          <w:shd w:val="clear" w:fill="FFFFFF"/>
          <w:lang w:val="en-US" w:eastAsia="zh-CN"/>
        </w:rPr>
        <w:t>的体</w:t>
      </w:r>
      <w:r>
        <w:rPr>
          <w:rFonts w:hint="eastAsia" w:ascii="宋体" w:hAnsi="宋体" w:eastAsia="宋体" w:cs="宋体"/>
          <w:i w:val="0"/>
          <w:iCs w:val="0"/>
          <w:caps w:val="0"/>
          <w:color w:val="auto"/>
          <w:spacing w:val="0"/>
          <w:sz w:val="20"/>
          <w:szCs w:val="20"/>
          <w:shd w:val="clear" w:fill="FFFFFF"/>
        </w:rPr>
        <w:t>检数据</w:t>
      </w:r>
      <w:r>
        <w:rPr>
          <w:rFonts w:hint="eastAsia" w:ascii="宋体" w:hAnsi="宋体" w:eastAsia="宋体" w:cs="宋体"/>
          <w:i w:val="0"/>
          <w:iCs w:val="0"/>
          <w:caps w:val="0"/>
          <w:color w:val="auto"/>
          <w:spacing w:val="0"/>
          <w:sz w:val="20"/>
          <w:szCs w:val="20"/>
          <w:shd w:val="clear" w:fill="FFFFFF"/>
          <w:lang w:eastAsia="zh-CN"/>
        </w:rPr>
        <w:t>、</w:t>
      </w:r>
      <w:r>
        <w:rPr>
          <w:rFonts w:hint="eastAsia" w:ascii="宋体" w:hAnsi="宋体" w:eastAsia="宋体" w:cs="宋体"/>
          <w:i w:val="0"/>
          <w:iCs w:val="0"/>
          <w:caps w:val="0"/>
          <w:color w:val="auto"/>
          <w:spacing w:val="0"/>
          <w:sz w:val="20"/>
          <w:szCs w:val="20"/>
          <w:shd w:val="clear" w:fill="FFFFFF"/>
          <w:lang w:val="en-US" w:eastAsia="zh-CN"/>
        </w:rPr>
        <w:t>已形成的体检报告及医疗记录</w:t>
      </w:r>
      <w:r>
        <w:rPr>
          <w:rFonts w:hint="eastAsia" w:ascii="宋体" w:hAnsi="宋体" w:eastAsia="宋体" w:cs="宋体"/>
          <w:i w:val="0"/>
          <w:iCs w:val="0"/>
          <w:caps w:val="0"/>
          <w:color w:val="auto"/>
          <w:spacing w:val="0"/>
          <w:sz w:val="20"/>
          <w:szCs w:val="20"/>
          <w:shd w:val="clear" w:fill="FFFFFF"/>
          <w:lang w:eastAsia="zh-CN"/>
        </w:rPr>
        <w:t>，</w:t>
      </w:r>
      <w:r>
        <w:rPr>
          <w:rFonts w:hint="eastAsia" w:ascii="宋体" w:hAnsi="宋体" w:eastAsia="宋体" w:cs="宋体"/>
          <w:i w:val="0"/>
          <w:iCs w:val="0"/>
          <w:caps w:val="0"/>
          <w:color w:val="auto"/>
          <w:spacing w:val="0"/>
          <w:sz w:val="20"/>
          <w:szCs w:val="20"/>
          <w:shd w:val="clear" w:fill="FFFFFF"/>
          <w:lang w:val="en-US" w:eastAsia="zh-CN"/>
        </w:rPr>
        <w:t>乙方不得作任何利用，须依法处置，</w:t>
      </w:r>
      <w:r>
        <w:rPr>
          <w:rFonts w:hint="eastAsia" w:ascii="宋体" w:hAnsi="宋体" w:eastAsia="宋体" w:cs="宋体"/>
          <w:i w:val="0"/>
          <w:iCs w:val="0"/>
          <w:caps w:val="0"/>
          <w:color w:val="auto"/>
          <w:spacing w:val="0"/>
          <w:sz w:val="20"/>
          <w:szCs w:val="20"/>
          <w:shd w:val="clear" w:fill="FFFFFF"/>
        </w:rPr>
        <w:t>严格履行保密义务。</w:t>
      </w:r>
    </w:p>
    <w:p w14:paraId="7136F50F">
      <w:pPr>
        <w:spacing w:before="140" w:line="360" w:lineRule="auto"/>
        <w:ind w:left="635"/>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第十条</w:t>
      </w:r>
      <w:r>
        <w:rPr>
          <w:rFonts w:hint="eastAsia" w:ascii="宋体" w:hAnsi="宋体" w:eastAsia="宋体" w:cs="宋体"/>
          <w:b/>
          <w:bCs/>
          <w:color w:val="auto"/>
          <w:spacing w:val="62"/>
          <w:sz w:val="20"/>
          <w:szCs w:val="20"/>
        </w:rPr>
        <w:t xml:space="preserve"> </w:t>
      </w:r>
      <w:r>
        <w:rPr>
          <w:rFonts w:hint="eastAsia" w:ascii="宋体" w:hAnsi="宋体" w:eastAsia="宋体" w:cs="宋体"/>
          <w:b/>
          <w:bCs/>
          <w:color w:val="auto"/>
          <w:spacing w:val="8"/>
          <w:sz w:val="20"/>
          <w:szCs w:val="20"/>
        </w:rPr>
        <w:t>不可抗力事件处理</w:t>
      </w:r>
    </w:p>
    <w:p w14:paraId="2693DDFB">
      <w:pPr>
        <w:spacing w:before="53" w:line="360" w:lineRule="auto"/>
        <w:ind w:left="11" w:right="60" w:firstLine="430"/>
        <w:rPr>
          <w:rFonts w:hint="eastAsia" w:ascii="宋体" w:hAnsi="宋体" w:eastAsia="宋体" w:cs="宋体"/>
          <w:color w:val="auto"/>
          <w:sz w:val="20"/>
          <w:szCs w:val="20"/>
        </w:rPr>
      </w:pPr>
      <w:r>
        <w:rPr>
          <w:rFonts w:hint="eastAsia" w:ascii="宋体" w:hAnsi="宋体" w:eastAsia="宋体" w:cs="宋体"/>
          <w:color w:val="auto"/>
          <w:spacing w:val="6"/>
          <w:sz w:val="20"/>
          <w:szCs w:val="20"/>
        </w:rPr>
        <w:t>1.在合同有效期内，</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6"/>
          <w:sz w:val="20"/>
          <w:szCs w:val="20"/>
        </w:rPr>
        <w:t>任何一方因不可抗力事件导致不能履行合同，</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6"/>
          <w:sz w:val="20"/>
          <w:szCs w:val="20"/>
        </w:rPr>
        <w:t>则合同履行期可延长，</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其延</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长期与不可抗力影响期相同。</w:t>
      </w:r>
    </w:p>
    <w:p w14:paraId="1872B54D">
      <w:pPr>
        <w:spacing w:before="53" w:line="360" w:lineRule="auto"/>
        <w:ind w:left="426"/>
        <w:rPr>
          <w:rFonts w:hint="eastAsia" w:ascii="宋体" w:hAnsi="宋体" w:eastAsia="宋体" w:cs="宋体"/>
          <w:color w:val="auto"/>
          <w:sz w:val="20"/>
          <w:szCs w:val="20"/>
        </w:rPr>
      </w:pPr>
      <w:r>
        <w:rPr>
          <w:rFonts w:hint="eastAsia" w:ascii="宋体" w:hAnsi="宋体" w:eastAsia="宋体" w:cs="宋体"/>
          <w:color w:val="auto"/>
          <w:spacing w:val="6"/>
          <w:sz w:val="20"/>
          <w:szCs w:val="20"/>
        </w:rPr>
        <w:t>2.不可抗力事件发生后，</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6"/>
          <w:sz w:val="20"/>
          <w:szCs w:val="20"/>
        </w:rPr>
        <w:t>应立即通知对方，</w:t>
      </w:r>
      <w:r>
        <w:rPr>
          <w:rFonts w:hint="eastAsia" w:ascii="宋体" w:hAnsi="宋体" w:eastAsia="宋体" w:cs="宋体"/>
          <w:color w:val="auto"/>
          <w:spacing w:val="-20"/>
          <w:sz w:val="20"/>
          <w:szCs w:val="20"/>
        </w:rPr>
        <w:t xml:space="preserve"> </w:t>
      </w:r>
      <w:r>
        <w:rPr>
          <w:rFonts w:hint="eastAsia" w:ascii="宋体" w:hAnsi="宋体" w:eastAsia="宋体" w:cs="宋体"/>
          <w:color w:val="auto"/>
          <w:spacing w:val="6"/>
          <w:sz w:val="20"/>
          <w:szCs w:val="20"/>
        </w:rPr>
        <w:t>并寄送有关权威机构出具的证明。</w:t>
      </w:r>
    </w:p>
    <w:p w14:paraId="6413AA66">
      <w:pPr>
        <w:spacing w:before="9" w:line="360" w:lineRule="auto"/>
        <w:ind w:left="427"/>
        <w:rPr>
          <w:rFonts w:hint="eastAsia" w:ascii="宋体" w:hAnsi="宋体" w:eastAsia="宋体" w:cs="宋体"/>
          <w:color w:val="auto"/>
          <w:sz w:val="20"/>
          <w:szCs w:val="20"/>
        </w:rPr>
      </w:pPr>
      <w:r>
        <w:rPr>
          <w:rFonts w:hint="eastAsia" w:ascii="宋体" w:hAnsi="宋体" w:eastAsia="宋体" w:cs="宋体"/>
          <w:color w:val="auto"/>
          <w:spacing w:val="7"/>
          <w:sz w:val="20"/>
          <w:szCs w:val="20"/>
        </w:rPr>
        <w:t>3.不可抗力事件延续一百二十天以上，</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双方应通过友好协商，</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7"/>
          <w:sz w:val="20"/>
          <w:szCs w:val="20"/>
        </w:rPr>
        <w:t>确定是</w:t>
      </w:r>
      <w:r>
        <w:rPr>
          <w:rFonts w:hint="eastAsia" w:ascii="宋体" w:hAnsi="宋体" w:eastAsia="宋体" w:cs="宋体"/>
          <w:color w:val="auto"/>
          <w:spacing w:val="6"/>
          <w:sz w:val="20"/>
          <w:szCs w:val="20"/>
        </w:rPr>
        <w:t>否继续履行合同。</w:t>
      </w:r>
    </w:p>
    <w:p w14:paraId="1B491B3D">
      <w:pPr>
        <w:spacing w:before="9"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第十</w:t>
      </w:r>
      <w:r>
        <w:rPr>
          <w:rFonts w:hint="eastAsia" w:ascii="宋体" w:hAnsi="宋体" w:eastAsia="宋体" w:cs="宋体"/>
          <w:b/>
          <w:bCs/>
          <w:color w:val="auto"/>
          <w:spacing w:val="8"/>
          <w:sz w:val="20"/>
          <w:szCs w:val="20"/>
          <w:lang w:val="en-US" w:eastAsia="zh-CN"/>
        </w:rPr>
        <w:t>一</w:t>
      </w:r>
      <w:r>
        <w:rPr>
          <w:rFonts w:hint="eastAsia" w:ascii="宋体" w:hAnsi="宋体" w:eastAsia="宋体" w:cs="宋体"/>
          <w:b/>
          <w:bCs/>
          <w:color w:val="auto"/>
          <w:spacing w:val="8"/>
          <w:sz w:val="20"/>
          <w:szCs w:val="20"/>
        </w:rPr>
        <w:t>条</w:t>
      </w:r>
      <w:r>
        <w:rPr>
          <w:rFonts w:hint="eastAsia" w:ascii="宋体" w:hAnsi="宋体" w:eastAsia="宋体" w:cs="宋体"/>
          <w:b/>
          <w:bCs/>
          <w:color w:val="auto"/>
          <w:spacing w:val="14"/>
          <w:w w:val="101"/>
          <w:sz w:val="20"/>
          <w:szCs w:val="20"/>
        </w:rPr>
        <w:t xml:space="preserve">   </w:t>
      </w:r>
      <w:r>
        <w:rPr>
          <w:rFonts w:hint="eastAsia" w:ascii="宋体" w:hAnsi="宋体" w:eastAsia="宋体" w:cs="宋体"/>
          <w:b/>
          <w:bCs/>
          <w:color w:val="auto"/>
          <w:spacing w:val="8"/>
          <w:sz w:val="20"/>
          <w:szCs w:val="20"/>
        </w:rPr>
        <w:t>合同争议解决</w:t>
      </w:r>
    </w:p>
    <w:p w14:paraId="1F3CC9BB">
      <w:pPr>
        <w:spacing w:before="56" w:line="360" w:lineRule="auto"/>
        <w:ind w:left="4" w:right="58" w:firstLine="437"/>
        <w:rPr>
          <w:rFonts w:hint="eastAsia" w:ascii="宋体" w:hAnsi="宋体" w:eastAsia="宋体" w:cs="宋体"/>
          <w:color w:val="auto"/>
          <w:sz w:val="20"/>
          <w:szCs w:val="20"/>
        </w:rPr>
      </w:pPr>
      <w:r>
        <w:rPr>
          <w:rFonts w:hint="eastAsia" w:ascii="宋体" w:hAnsi="宋体" w:eastAsia="宋体" w:cs="宋体"/>
          <w:color w:val="auto"/>
          <w:spacing w:val="8"/>
          <w:sz w:val="20"/>
          <w:szCs w:val="20"/>
        </w:rPr>
        <w:t>1</w:t>
      </w:r>
      <w:r>
        <w:rPr>
          <w:rFonts w:hint="eastAsia" w:ascii="宋体" w:hAnsi="宋体" w:eastAsia="宋体" w:cs="宋体"/>
          <w:color w:val="auto"/>
          <w:spacing w:val="8"/>
          <w:sz w:val="20"/>
          <w:szCs w:val="20"/>
          <w:lang w:val="en-US" w:eastAsia="zh-CN"/>
        </w:rPr>
        <w:t>.</w:t>
      </w:r>
      <w:r>
        <w:rPr>
          <w:rFonts w:hint="eastAsia" w:ascii="宋体" w:hAnsi="宋体" w:eastAsia="宋体" w:cs="宋体"/>
          <w:color w:val="auto"/>
          <w:spacing w:val="8"/>
          <w:sz w:val="20"/>
          <w:szCs w:val="20"/>
        </w:rPr>
        <w:t>因交付成果或服务质量问题发生争议的，</w:t>
      </w:r>
      <w:r>
        <w:rPr>
          <w:rFonts w:hint="eastAsia" w:ascii="宋体" w:hAnsi="宋体" w:eastAsia="宋体" w:cs="宋体"/>
          <w:color w:val="auto"/>
          <w:spacing w:val="-13"/>
          <w:sz w:val="20"/>
          <w:szCs w:val="20"/>
        </w:rPr>
        <w:t xml:space="preserve"> </w:t>
      </w:r>
      <w:r>
        <w:rPr>
          <w:rFonts w:hint="eastAsia" w:ascii="宋体" w:hAnsi="宋体" w:eastAsia="宋体" w:cs="宋体"/>
          <w:color w:val="auto"/>
          <w:spacing w:val="8"/>
          <w:sz w:val="20"/>
          <w:szCs w:val="20"/>
        </w:rPr>
        <w:t>应邀请国家认定的质量检测机构按照国家标准对交付成果或服务质量进行验收</w:t>
      </w:r>
      <w:r>
        <w:rPr>
          <w:rFonts w:hint="eastAsia" w:ascii="宋体" w:hAnsi="宋体" w:eastAsia="宋体" w:cs="宋体"/>
          <w:color w:val="auto"/>
          <w:spacing w:val="-13"/>
          <w:sz w:val="20"/>
          <w:szCs w:val="20"/>
        </w:rPr>
        <w:t xml:space="preserve"> </w:t>
      </w:r>
      <w:r>
        <w:rPr>
          <w:rFonts w:hint="eastAsia" w:ascii="宋体" w:hAnsi="宋体" w:eastAsia="宋体" w:cs="宋体"/>
          <w:color w:val="auto"/>
          <w:spacing w:val="8"/>
          <w:sz w:val="20"/>
          <w:szCs w:val="20"/>
        </w:rPr>
        <w:t>。交付成果或服务符合国家标准的，</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8"/>
          <w:sz w:val="20"/>
          <w:szCs w:val="20"/>
        </w:rPr>
        <w:t>鉴定费由甲方承担；</w:t>
      </w:r>
      <w:r>
        <w:rPr>
          <w:rFonts w:hint="eastAsia" w:ascii="宋体" w:hAnsi="宋体" w:eastAsia="宋体" w:cs="宋体"/>
          <w:color w:val="auto"/>
          <w:spacing w:val="-19"/>
          <w:sz w:val="20"/>
          <w:szCs w:val="20"/>
        </w:rPr>
        <w:t xml:space="preserve"> </w:t>
      </w:r>
      <w:r>
        <w:rPr>
          <w:rFonts w:hint="eastAsia" w:ascii="宋体" w:hAnsi="宋体" w:eastAsia="宋体" w:cs="宋体"/>
          <w:color w:val="auto"/>
          <w:spacing w:val="8"/>
          <w:sz w:val="20"/>
          <w:szCs w:val="20"/>
        </w:rPr>
        <w:t>交付成果或服</w:t>
      </w:r>
      <w:r>
        <w:rPr>
          <w:rFonts w:hint="eastAsia" w:ascii="宋体" w:hAnsi="宋体" w:eastAsia="宋体" w:cs="宋体"/>
          <w:color w:val="auto"/>
          <w:spacing w:val="7"/>
          <w:sz w:val="20"/>
          <w:szCs w:val="20"/>
        </w:rPr>
        <w:t>务不符合国家标准的，</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鉴定费由乙方承担。</w:t>
      </w:r>
    </w:p>
    <w:p w14:paraId="3B44A174">
      <w:pPr>
        <w:spacing w:before="12" w:line="360" w:lineRule="auto"/>
        <w:ind w:left="8" w:right="58" w:firstLine="418"/>
        <w:rPr>
          <w:rFonts w:hint="eastAsia" w:ascii="宋体" w:hAnsi="宋体" w:eastAsia="宋体" w:cs="宋体"/>
          <w:color w:val="auto"/>
          <w:sz w:val="20"/>
          <w:szCs w:val="20"/>
        </w:rPr>
      </w:pPr>
      <w:r>
        <w:rPr>
          <w:rFonts w:hint="eastAsia" w:ascii="宋体" w:hAnsi="宋体" w:eastAsia="宋体" w:cs="宋体"/>
          <w:color w:val="auto"/>
          <w:spacing w:val="7"/>
          <w:sz w:val="20"/>
          <w:szCs w:val="20"/>
        </w:rPr>
        <w:t>2</w:t>
      </w:r>
      <w:r>
        <w:rPr>
          <w:rFonts w:hint="eastAsia" w:ascii="宋体" w:hAnsi="宋体" w:eastAsia="宋体" w:cs="宋体"/>
          <w:color w:val="auto"/>
          <w:spacing w:val="7"/>
          <w:sz w:val="20"/>
          <w:szCs w:val="20"/>
          <w:lang w:val="en-US" w:eastAsia="zh-CN"/>
        </w:rPr>
        <w:t>.</w:t>
      </w:r>
      <w:r>
        <w:rPr>
          <w:rFonts w:hint="eastAsia" w:ascii="宋体" w:hAnsi="宋体" w:eastAsia="宋体" w:cs="宋体"/>
          <w:color w:val="auto"/>
          <w:spacing w:val="7"/>
          <w:sz w:val="20"/>
          <w:szCs w:val="20"/>
        </w:rPr>
        <w:t>因履行本合同引起的或与本合同有关的争议， 甲乙双方应首先通过友好协商解决，</w:t>
      </w:r>
      <w:r>
        <w:rPr>
          <w:rFonts w:hint="eastAsia" w:ascii="宋体" w:hAnsi="宋体" w:eastAsia="宋体" w:cs="宋体"/>
          <w:color w:val="auto"/>
          <w:spacing w:val="-20"/>
          <w:sz w:val="20"/>
          <w:szCs w:val="20"/>
        </w:rPr>
        <w:t xml:space="preserve"> </w:t>
      </w:r>
      <w:r>
        <w:rPr>
          <w:rFonts w:hint="eastAsia" w:ascii="宋体" w:hAnsi="宋体" w:eastAsia="宋体" w:cs="宋体"/>
          <w:color w:val="auto"/>
          <w:spacing w:val="7"/>
          <w:sz w:val="20"/>
          <w:szCs w:val="20"/>
        </w:rPr>
        <w:t>如果协商不能解决，</w:t>
      </w:r>
      <w:r>
        <w:rPr>
          <w:rFonts w:hint="eastAsia" w:ascii="宋体" w:hAnsi="宋体" w:eastAsia="宋体" w:cs="宋体"/>
          <w:color w:val="auto"/>
          <w:spacing w:val="-18"/>
          <w:sz w:val="20"/>
          <w:szCs w:val="20"/>
        </w:rPr>
        <w:t xml:space="preserve"> </w:t>
      </w:r>
      <w:r>
        <w:rPr>
          <w:rFonts w:hint="eastAsia" w:ascii="宋体" w:hAnsi="宋体" w:eastAsia="宋体" w:cs="宋体"/>
          <w:color w:val="auto"/>
          <w:spacing w:val="7"/>
          <w:sz w:val="20"/>
          <w:szCs w:val="20"/>
        </w:rPr>
        <w:t>应向甲方所在地人民法院提起诉讼。</w:t>
      </w:r>
    </w:p>
    <w:p w14:paraId="72F0A053">
      <w:pPr>
        <w:spacing w:before="9" w:line="360" w:lineRule="auto"/>
        <w:ind w:left="427"/>
        <w:rPr>
          <w:rFonts w:hint="eastAsia" w:ascii="宋体" w:hAnsi="宋体" w:eastAsia="宋体" w:cs="宋体"/>
          <w:color w:val="auto"/>
          <w:sz w:val="20"/>
          <w:szCs w:val="20"/>
        </w:rPr>
      </w:pPr>
      <w:r>
        <w:rPr>
          <w:rFonts w:hint="eastAsia" w:ascii="宋体" w:hAnsi="宋体" w:eastAsia="宋体" w:cs="宋体"/>
          <w:color w:val="auto"/>
          <w:spacing w:val="4"/>
          <w:sz w:val="20"/>
          <w:szCs w:val="20"/>
        </w:rPr>
        <w:t>3</w:t>
      </w:r>
      <w:r>
        <w:rPr>
          <w:rFonts w:hint="eastAsia" w:ascii="宋体" w:hAnsi="宋体" w:eastAsia="宋体" w:cs="宋体"/>
          <w:color w:val="auto"/>
          <w:spacing w:val="4"/>
          <w:sz w:val="20"/>
          <w:szCs w:val="20"/>
          <w:lang w:val="en-US" w:eastAsia="zh-CN"/>
        </w:rPr>
        <w:t>.</w:t>
      </w:r>
      <w:r>
        <w:rPr>
          <w:rFonts w:hint="eastAsia" w:ascii="宋体" w:hAnsi="宋体" w:eastAsia="宋体" w:cs="宋体"/>
          <w:color w:val="auto"/>
          <w:spacing w:val="4"/>
          <w:sz w:val="20"/>
          <w:szCs w:val="20"/>
        </w:rPr>
        <w:t>诉讼期间，</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4"/>
          <w:sz w:val="20"/>
          <w:szCs w:val="20"/>
        </w:rPr>
        <w:t>本合同继续履行。</w:t>
      </w:r>
    </w:p>
    <w:p w14:paraId="0C6515C5">
      <w:pPr>
        <w:spacing w:before="131"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第十</w:t>
      </w:r>
      <w:r>
        <w:rPr>
          <w:rFonts w:hint="eastAsia" w:ascii="宋体" w:hAnsi="宋体" w:eastAsia="宋体" w:cs="宋体"/>
          <w:b/>
          <w:bCs/>
          <w:color w:val="auto"/>
          <w:spacing w:val="8"/>
          <w:sz w:val="20"/>
          <w:szCs w:val="20"/>
          <w:lang w:val="en-US" w:eastAsia="zh-CN"/>
        </w:rPr>
        <w:t>二</w:t>
      </w:r>
      <w:r>
        <w:rPr>
          <w:rFonts w:hint="eastAsia" w:ascii="宋体" w:hAnsi="宋体" w:eastAsia="宋体" w:cs="宋体"/>
          <w:b/>
          <w:bCs/>
          <w:color w:val="auto"/>
          <w:spacing w:val="8"/>
          <w:sz w:val="20"/>
          <w:szCs w:val="20"/>
        </w:rPr>
        <w:t>条</w:t>
      </w:r>
      <w:r>
        <w:rPr>
          <w:rFonts w:hint="eastAsia" w:ascii="宋体" w:hAnsi="宋体" w:eastAsia="宋体" w:cs="宋体"/>
          <w:b/>
          <w:bCs/>
          <w:color w:val="auto"/>
          <w:spacing w:val="61"/>
          <w:w w:val="101"/>
          <w:sz w:val="20"/>
          <w:szCs w:val="20"/>
        </w:rPr>
        <w:t xml:space="preserve"> </w:t>
      </w:r>
      <w:r>
        <w:rPr>
          <w:rFonts w:hint="eastAsia" w:ascii="宋体" w:hAnsi="宋体" w:eastAsia="宋体" w:cs="宋体"/>
          <w:b/>
          <w:bCs/>
          <w:color w:val="auto"/>
          <w:spacing w:val="8"/>
          <w:sz w:val="20"/>
          <w:szCs w:val="20"/>
        </w:rPr>
        <w:t>合同生效及其它</w:t>
      </w:r>
    </w:p>
    <w:p w14:paraId="54CBCD41">
      <w:pPr>
        <w:spacing w:before="169" w:line="360" w:lineRule="auto"/>
        <w:ind w:left="6" w:right="60" w:firstLine="436"/>
        <w:rPr>
          <w:rFonts w:hint="eastAsia" w:ascii="宋体" w:hAnsi="宋体" w:eastAsia="宋体" w:cs="宋体"/>
          <w:color w:val="auto"/>
          <w:sz w:val="20"/>
          <w:szCs w:val="20"/>
        </w:rPr>
      </w:pP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本合同履行期限为：</w:t>
      </w:r>
      <w:r>
        <w:rPr>
          <w:rFonts w:hint="eastAsia" w:ascii="宋体" w:hAnsi="宋体" w:eastAsia="宋体" w:cs="宋体"/>
          <w:color w:val="auto"/>
          <w:spacing w:val="17"/>
          <w:sz w:val="20"/>
          <w:szCs w:val="20"/>
          <w:u w:val="single" w:color="auto"/>
        </w:rPr>
        <w:t xml:space="preserve">  </w:t>
      </w:r>
      <w:r>
        <w:rPr>
          <w:rFonts w:hint="eastAsia" w:ascii="宋体" w:hAnsi="宋体" w:eastAsia="宋体" w:cs="宋体"/>
          <w:color w:val="auto"/>
          <w:sz w:val="20"/>
          <w:szCs w:val="20"/>
          <w:u w:val="single" w:color="auto"/>
        </w:rPr>
        <w:t xml:space="preserve">自签订合同之日起至 </w:t>
      </w:r>
      <w:r>
        <w:rPr>
          <w:rFonts w:hint="eastAsia" w:ascii="宋体" w:hAnsi="宋体" w:eastAsia="宋体" w:cs="宋体"/>
          <w:color w:val="auto"/>
          <w:sz w:val="20"/>
          <w:szCs w:val="20"/>
          <w:u w:val="single" w:color="auto"/>
          <w:lang w:val="en-US" w:eastAsia="zh-CN"/>
        </w:rPr>
        <w:t>2027</w:t>
      </w:r>
      <w:r>
        <w:rPr>
          <w:rFonts w:hint="eastAsia" w:ascii="宋体" w:hAnsi="宋体" w:eastAsia="宋体" w:cs="宋体"/>
          <w:color w:val="auto"/>
          <w:sz w:val="20"/>
          <w:szCs w:val="20"/>
          <w:u w:val="single" w:color="auto"/>
        </w:rPr>
        <w:t>年</w:t>
      </w:r>
      <w:r>
        <w:rPr>
          <w:rFonts w:hint="eastAsia" w:ascii="宋体" w:hAnsi="宋体" w:eastAsia="宋体" w:cs="宋体"/>
          <w:color w:val="auto"/>
          <w:spacing w:val="17"/>
          <w:w w:val="101"/>
          <w:sz w:val="20"/>
          <w:szCs w:val="20"/>
          <w:u w:val="single" w:color="auto"/>
        </w:rPr>
        <w:t xml:space="preserve"> </w:t>
      </w:r>
      <w:r>
        <w:rPr>
          <w:rFonts w:hint="eastAsia" w:ascii="宋体" w:hAnsi="宋体" w:eastAsia="宋体" w:cs="宋体"/>
          <w:color w:val="auto"/>
          <w:sz w:val="20"/>
          <w:szCs w:val="20"/>
          <w:u w:val="single" w:color="auto"/>
        </w:rPr>
        <w:t>1</w:t>
      </w:r>
      <w:r>
        <w:rPr>
          <w:rFonts w:hint="eastAsia" w:ascii="宋体" w:hAnsi="宋体" w:eastAsia="宋体" w:cs="宋体"/>
          <w:color w:val="auto"/>
          <w:sz w:val="20"/>
          <w:szCs w:val="20"/>
          <w:u w:val="single" w:color="auto"/>
          <w:lang w:val="en-US" w:eastAsia="zh-CN"/>
        </w:rPr>
        <w:t>2</w:t>
      </w:r>
      <w:r>
        <w:rPr>
          <w:rFonts w:hint="eastAsia" w:ascii="宋体" w:hAnsi="宋体" w:eastAsia="宋体" w:cs="宋体"/>
          <w:color w:val="auto"/>
          <w:sz w:val="20"/>
          <w:szCs w:val="20"/>
          <w:u w:val="single" w:color="auto"/>
        </w:rPr>
        <w:t xml:space="preserve">月 </w:t>
      </w:r>
      <w:r>
        <w:rPr>
          <w:rFonts w:hint="eastAsia" w:ascii="宋体" w:hAnsi="宋体" w:eastAsia="宋体" w:cs="宋体"/>
          <w:color w:val="auto"/>
          <w:sz w:val="20"/>
          <w:szCs w:val="20"/>
          <w:u w:val="single" w:color="auto"/>
          <w:lang w:val="en-US" w:eastAsia="zh-CN"/>
        </w:rPr>
        <w:t>31</w:t>
      </w:r>
      <w:r>
        <w:rPr>
          <w:rFonts w:hint="eastAsia" w:ascii="宋体" w:hAnsi="宋体" w:eastAsia="宋体" w:cs="宋体"/>
          <w:color w:val="auto"/>
          <w:spacing w:val="47"/>
          <w:w w:val="101"/>
          <w:sz w:val="20"/>
          <w:szCs w:val="20"/>
          <w:u w:val="single" w:color="auto"/>
        </w:rPr>
        <w:t xml:space="preserve"> </w:t>
      </w:r>
      <w:r>
        <w:rPr>
          <w:rFonts w:hint="eastAsia" w:ascii="宋体" w:hAnsi="宋体" w:eastAsia="宋体" w:cs="宋体"/>
          <w:color w:val="auto"/>
          <w:sz w:val="20"/>
          <w:szCs w:val="20"/>
          <w:u w:val="single" w:color="auto"/>
        </w:rPr>
        <w:t>日</w:t>
      </w:r>
      <w:r>
        <w:rPr>
          <w:rFonts w:hint="eastAsia" w:ascii="宋体" w:hAnsi="宋体" w:eastAsia="宋体" w:cs="宋体"/>
          <w:color w:val="auto"/>
          <w:spacing w:val="7"/>
          <w:sz w:val="20"/>
          <w:szCs w:val="20"/>
        </w:rPr>
        <w:t>；合同履行地点为：</w:t>
      </w:r>
      <w:r>
        <w:rPr>
          <w:rFonts w:hint="eastAsia" w:ascii="宋体" w:hAnsi="宋体" w:eastAsia="宋体" w:cs="宋体"/>
          <w:color w:val="auto"/>
          <w:spacing w:val="51"/>
          <w:w w:val="101"/>
          <w:sz w:val="20"/>
          <w:szCs w:val="20"/>
          <w:u w:val="single" w:color="auto"/>
        </w:rPr>
        <w:t xml:space="preserve"> </w:t>
      </w:r>
      <w:r>
        <w:rPr>
          <w:rFonts w:hint="eastAsia" w:ascii="宋体" w:hAnsi="宋体" w:eastAsia="宋体" w:cs="宋体"/>
          <w:color w:val="auto"/>
          <w:spacing w:val="7"/>
          <w:sz w:val="20"/>
          <w:szCs w:val="20"/>
          <w:u w:val="single" w:color="auto"/>
        </w:rPr>
        <w:t>广西</w:t>
      </w:r>
      <w:r>
        <w:rPr>
          <w:rFonts w:hint="eastAsia" w:ascii="宋体" w:hAnsi="宋体" w:eastAsia="宋体" w:cs="宋体"/>
          <w:color w:val="auto"/>
          <w:spacing w:val="7"/>
          <w:sz w:val="20"/>
          <w:szCs w:val="20"/>
          <w:u w:val="single" w:color="auto"/>
          <w:lang w:val="en-US" w:eastAsia="zh-CN"/>
        </w:rPr>
        <w:t>艺术</w:t>
      </w:r>
      <w:r>
        <w:rPr>
          <w:rFonts w:hint="eastAsia" w:ascii="宋体" w:hAnsi="宋体" w:eastAsia="宋体" w:cs="宋体"/>
          <w:color w:val="auto"/>
          <w:spacing w:val="7"/>
          <w:sz w:val="20"/>
          <w:szCs w:val="20"/>
          <w:u w:val="single" w:color="auto"/>
        </w:rPr>
        <w:t>学院</w:t>
      </w:r>
      <w:r>
        <w:rPr>
          <w:rFonts w:hint="eastAsia" w:ascii="宋体" w:hAnsi="宋体" w:eastAsia="宋体" w:cs="宋体"/>
          <w:color w:val="auto"/>
          <w:spacing w:val="7"/>
          <w:sz w:val="20"/>
          <w:szCs w:val="20"/>
          <w:u w:val="single" w:color="auto"/>
          <w:lang w:val="en-US" w:eastAsia="zh-CN"/>
        </w:rPr>
        <w:t>南湖</w:t>
      </w:r>
      <w:r>
        <w:rPr>
          <w:rFonts w:hint="eastAsia" w:ascii="宋体" w:hAnsi="宋体" w:eastAsia="宋体" w:cs="宋体"/>
          <w:color w:val="auto"/>
          <w:spacing w:val="7"/>
          <w:sz w:val="20"/>
          <w:szCs w:val="20"/>
          <w:u w:val="single" w:color="auto"/>
        </w:rPr>
        <w:t>校区和</w:t>
      </w:r>
      <w:r>
        <w:rPr>
          <w:rFonts w:hint="eastAsia" w:ascii="宋体" w:hAnsi="宋体" w:eastAsia="宋体" w:cs="宋体"/>
          <w:color w:val="auto"/>
          <w:spacing w:val="7"/>
          <w:sz w:val="20"/>
          <w:szCs w:val="20"/>
          <w:u w:val="single" w:color="auto"/>
          <w:lang w:val="en-US" w:eastAsia="zh-CN"/>
        </w:rPr>
        <w:t>相思湖</w:t>
      </w:r>
      <w:r>
        <w:rPr>
          <w:rFonts w:hint="eastAsia" w:ascii="宋体" w:hAnsi="宋体" w:eastAsia="宋体" w:cs="宋体"/>
          <w:color w:val="auto"/>
          <w:spacing w:val="6"/>
          <w:sz w:val="20"/>
          <w:szCs w:val="20"/>
          <w:u w:val="single" w:color="auto"/>
        </w:rPr>
        <w:t xml:space="preserve">校区  </w:t>
      </w:r>
      <w:r>
        <w:rPr>
          <w:rFonts w:hint="eastAsia" w:ascii="宋体" w:hAnsi="宋体" w:eastAsia="宋体" w:cs="宋体"/>
          <w:color w:val="auto"/>
          <w:spacing w:val="6"/>
          <w:sz w:val="20"/>
          <w:szCs w:val="20"/>
        </w:rPr>
        <w:t>；合同履行的</w:t>
      </w:r>
      <w:r>
        <w:rPr>
          <w:rFonts w:hint="eastAsia" w:ascii="宋体" w:hAnsi="宋体" w:eastAsia="宋体" w:cs="宋体"/>
          <w:color w:val="auto"/>
          <w:spacing w:val="5"/>
          <w:sz w:val="20"/>
          <w:szCs w:val="20"/>
        </w:rPr>
        <w:t>方式：</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54"/>
          <w:sz w:val="20"/>
          <w:szCs w:val="20"/>
          <w:u w:val="single" w:color="auto"/>
        </w:rPr>
        <w:t xml:space="preserve"> </w:t>
      </w:r>
      <w:r>
        <w:rPr>
          <w:rFonts w:hint="eastAsia" w:ascii="宋体" w:hAnsi="宋体" w:eastAsia="宋体" w:cs="宋体"/>
          <w:color w:val="auto"/>
          <w:spacing w:val="5"/>
          <w:sz w:val="20"/>
          <w:szCs w:val="20"/>
          <w:u w:val="single" w:color="auto"/>
        </w:rPr>
        <w:t>按照本合同约定</w:t>
      </w:r>
      <w:r>
        <w:rPr>
          <w:rFonts w:hint="eastAsia" w:ascii="宋体" w:hAnsi="宋体" w:eastAsia="宋体" w:cs="宋体"/>
          <w:color w:val="auto"/>
          <w:spacing w:val="11"/>
          <w:sz w:val="20"/>
          <w:szCs w:val="20"/>
          <w:u w:val="single" w:color="auto"/>
        </w:rPr>
        <w:t xml:space="preserve">   </w:t>
      </w:r>
      <w:r>
        <w:rPr>
          <w:rFonts w:hint="eastAsia" w:ascii="宋体" w:hAnsi="宋体" w:eastAsia="宋体" w:cs="宋体"/>
          <w:color w:val="auto"/>
          <w:spacing w:val="5"/>
          <w:sz w:val="20"/>
          <w:szCs w:val="20"/>
        </w:rPr>
        <w:t>。</w:t>
      </w:r>
    </w:p>
    <w:p w14:paraId="41F60BCD">
      <w:pPr>
        <w:spacing w:before="52" w:line="360" w:lineRule="auto"/>
        <w:ind w:left="426"/>
        <w:rPr>
          <w:rFonts w:hint="eastAsia" w:ascii="宋体" w:hAnsi="宋体" w:eastAsia="宋体" w:cs="宋体"/>
          <w:color w:val="auto"/>
          <w:sz w:val="20"/>
          <w:szCs w:val="20"/>
        </w:rPr>
      </w:pPr>
      <w:r>
        <w:rPr>
          <w:rFonts w:hint="eastAsia" w:ascii="宋体" w:hAnsi="宋体" w:eastAsia="宋体" w:cs="宋体"/>
          <w:color w:val="auto"/>
          <w:spacing w:val="7"/>
          <w:sz w:val="20"/>
          <w:szCs w:val="20"/>
        </w:rPr>
        <w:t>2</w:t>
      </w:r>
      <w:r>
        <w:rPr>
          <w:rFonts w:hint="eastAsia" w:ascii="宋体" w:hAnsi="宋体" w:eastAsia="宋体" w:cs="宋体"/>
          <w:color w:val="auto"/>
          <w:spacing w:val="7"/>
          <w:sz w:val="20"/>
          <w:szCs w:val="20"/>
          <w:lang w:val="en-US" w:eastAsia="zh-CN"/>
        </w:rPr>
        <w:t>.</w:t>
      </w:r>
      <w:r>
        <w:rPr>
          <w:rFonts w:hint="eastAsia" w:ascii="宋体" w:hAnsi="宋体" w:eastAsia="宋体" w:cs="宋体"/>
          <w:color w:val="auto"/>
          <w:spacing w:val="7"/>
          <w:sz w:val="20"/>
          <w:szCs w:val="20"/>
        </w:rPr>
        <w:t>合同经双方法定代表人或授权代表签字并加盖单位公章后生效。</w:t>
      </w:r>
    </w:p>
    <w:p w14:paraId="0F12F39C">
      <w:pPr>
        <w:spacing w:before="48" w:line="360" w:lineRule="auto"/>
        <w:ind w:left="427"/>
        <w:rPr>
          <w:rFonts w:hint="eastAsia" w:ascii="宋体" w:hAnsi="宋体" w:eastAsia="宋体" w:cs="宋体"/>
          <w:color w:val="auto"/>
          <w:spacing w:val="5"/>
          <w:sz w:val="20"/>
          <w:szCs w:val="20"/>
          <w:lang w:val="en-US" w:eastAsia="zh-CN"/>
        </w:rPr>
      </w:pPr>
      <w:r>
        <w:rPr>
          <w:rFonts w:hint="eastAsia" w:ascii="宋体" w:hAnsi="宋体" w:eastAsia="宋体" w:cs="宋体"/>
          <w:color w:val="auto"/>
          <w:spacing w:val="5"/>
          <w:sz w:val="20"/>
          <w:szCs w:val="20"/>
        </w:rPr>
        <w:t>3</w:t>
      </w:r>
      <w:r>
        <w:rPr>
          <w:rFonts w:hint="eastAsia" w:ascii="宋体" w:hAnsi="宋体" w:eastAsia="宋体" w:cs="宋体"/>
          <w:color w:val="auto"/>
          <w:spacing w:val="5"/>
          <w:sz w:val="20"/>
          <w:szCs w:val="20"/>
          <w:lang w:val="en-US" w:eastAsia="zh-CN"/>
        </w:rPr>
        <w:t>.</w:t>
      </w:r>
      <w:r>
        <w:rPr>
          <w:rFonts w:hint="eastAsia" w:ascii="宋体" w:hAnsi="宋体" w:eastAsia="宋体" w:cs="宋体"/>
          <w:color w:val="auto"/>
          <w:spacing w:val="5"/>
          <w:sz w:val="20"/>
          <w:szCs w:val="20"/>
        </w:rPr>
        <w:t>本合同未尽事宜</w:t>
      </w:r>
      <w:r>
        <w:rPr>
          <w:rFonts w:hint="eastAsia" w:ascii="宋体" w:hAnsi="宋体" w:eastAsia="宋体" w:cs="宋体"/>
          <w:color w:val="auto"/>
          <w:spacing w:val="5"/>
          <w:sz w:val="20"/>
          <w:szCs w:val="20"/>
          <w:lang w:eastAsia="zh-CN"/>
        </w:rPr>
        <w:t>，</w:t>
      </w:r>
      <w:r>
        <w:rPr>
          <w:rFonts w:hint="eastAsia" w:ascii="宋体" w:hAnsi="宋体" w:eastAsia="宋体" w:cs="宋体"/>
          <w:color w:val="auto"/>
          <w:spacing w:val="5"/>
          <w:sz w:val="20"/>
          <w:szCs w:val="20"/>
          <w:lang w:val="en-US" w:eastAsia="zh-CN"/>
        </w:rPr>
        <w:t>按采购文件的要求和报价文件的承诺执行，采购文件和报价文件均不涉及</w:t>
      </w:r>
    </w:p>
    <w:p w14:paraId="0A17CF3F">
      <w:pPr>
        <w:spacing w:before="48" w:line="360" w:lineRule="auto"/>
        <w:rPr>
          <w:rFonts w:hint="eastAsia" w:ascii="宋体" w:hAnsi="宋体" w:eastAsia="宋体" w:cs="宋体"/>
          <w:color w:val="auto"/>
          <w:sz w:val="20"/>
          <w:szCs w:val="20"/>
        </w:rPr>
      </w:pPr>
      <w:r>
        <w:rPr>
          <w:rFonts w:hint="eastAsia" w:ascii="宋体" w:hAnsi="宋体" w:eastAsia="宋体" w:cs="宋体"/>
          <w:color w:val="auto"/>
          <w:spacing w:val="5"/>
          <w:sz w:val="20"/>
          <w:szCs w:val="20"/>
          <w:lang w:val="en-US" w:eastAsia="zh-CN"/>
        </w:rPr>
        <w:t>的</w:t>
      </w:r>
      <w:r>
        <w:rPr>
          <w:rFonts w:hint="eastAsia" w:ascii="宋体" w:hAnsi="宋体" w:eastAsia="宋体" w:cs="宋体"/>
          <w:color w:val="auto"/>
          <w:spacing w:val="5"/>
          <w:sz w:val="20"/>
          <w:szCs w:val="20"/>
        </w:rPr>
        <w:t>，</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5"/>
          <w:sz w:val="20"/>
          <w:szCs w:val="20"/>
        </w:rPr>
        <w:t>遵照《民法典》有关条文执行。</w:t>
      </w:r>
    </w:p>
    <w:p w14:paraId="55ED8227">
      <w:pPr>
        <w:spacing w:before="13"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5"/>
          <w:sz w:val="20"/>
          <w:szCs w:val="20"/>
        </w:rPr>
        <w:t>第十</w:t>
      </w:r>
      <w:r>
        <w:rPr>
          <w:rFonts w:hint="eastAsia" w:ascii="宋体" w:hAnsi="宋体" w:eastAsia="宋体" w:cs="宋体"/>
          <w:b/>
          <w:bCs/>
          <w:color w:val="auto"/>
          <w:spacing w:val="5"/>
          <w:sz w:val="20"/>
          <w:szCs w:val="20"/>
          <w:lang w:val="en-US" w:eastAsia="zh-CN"/>
        </w:rPr>
        <w:t>三</w:t>
      </w:r>
      <w:r>
        <w:rPr>
          <w:rFonts w:hint="eastAsia" w:ascii="宋体" w:hAnsi="宋体" w:eastAsia="宋体" w:cs="宋体"/>
          <w:b/>
          <w:bCs/>
          <w:color w:val="auto"/>
          <w:spacing w:val="5"/>
          <w:sz w:val="20"/>
          <w:szCs w:val="20"/>
        </w:rPr>
        <w:t>条</w:t>
      </w:r>
      <w:r>
        <w:rPr>
          <w:rFonts w:hint="eastAsia" w:ascii="宋体" w:hAnsi="宋体" w:eastAsia="宋体" w:cs="宋体"/>
          <w:b/>
          <w:bCs/>
          <w:color w:val="auto"/>
          <w:spacing w:val="15"/>
          <w:sz w:val="20"/>
          <w:szCs w:val="20"/>
        </w:rPr>
        <w:t xml:space="preserve">   </w:t>
      </w:r>
      <w:r>
        <w:rPr>
          <w:rFonts w:hint="eastAsia" w:ascii="宋体" w:hAnsi="宋体" w:eastAsia="宋体" w:cs="宋体"/>
          <w:b/>
          <w:bCs/>
          <w:color w:val="auto"/>
          <w:spacing w:val="5"/>
          <w:sz w:val="20"/>
          <w:szCs w:val="20"/>
        </w:rPr>
        <w:t>合同的变更</w:t>
      </w:r>
      <w:r>
        <w:rPr>
          <w:rFonts w:hint="eastAsia" w:ascii="宋体" w:hAnsi="宋体" w:eastAsia="宋体" w:cs="宋体"/>
          <w:b/>
          <w:bCs/>
          <w:color w:val="auto"/>
          <w:spacing w:val="-25"/>
          <w:sz w:val="20"/>
          <w:szCs w:val="20"/>
        </w:rPr>
        <w:t xml:space="preserve"> </w:t>
      </w:r>
      <w:r>
        <w:rPr>
          <w:rFonts w:hint="eastAsia" w:ascii="宋体" w:hAnsi="宋体" w:eastAsia="宋体" w:cs="宋体"/>
          <w:b/>
          <w:bCs/>
          <w:color w:val="auto"/>
          <w:spacing w:val="5"/>
          <w:sz w:val="20"/>
          <w:szCs w:val="20"/>
        </w:rPr>
        <w:t>、</w:t>
      </w:r>
      <w:r>
        <w:rPr>
          <w:rFonts w:hint="eastAsia" w:ascii="宋体" w:hAnsi="宋体" w:eastAsia="宋体" w:cs="宋体"/>
          <w:b/>
          <w:bCs/>
          <w:color w:val="auto"/>
          <w:spacing w:val="-39"/>
          <w:sz w:val="20"/>
          <w:szCs w:val="20"/>
        </w:rPr>
        <w:t xml:space="preserve"> </w:t>
      </w:r>
      <w:r>
        <w:rPr>
          <w:rFonts w:hint="eastAsia" w:ascii="宋体" w:hAnsi="宋体" w:eastAsia="宋体" w:cs="宋体"/>
          <w:b/>
          <w:bCs/>
          <w:color w:val="auto"/>
          <w:spacing w:val="5"/>
          <w:sz w:val="20"/>
          <w:szCs w:val="20"/>
        </w:rPr>
        <w:t>终止与转让</w:t>
      </w:r>
    </w:p>
    <w:p w14:paraId="5E926DFB">
      <w:pPr>
        <w:spacing w:before="80" w:line="360" w:lineRule="auto"/>
        <w:ind w:left="442"/>
        <w:rPr>
          <w:rFonts w:hint="eastAsia" w:ascii="宋体" w:hAnsi="宋体" w:eastAsia="宋体" w:cs="宋体"/>
          <w:color w:val="auto"/>
          <w:sz w:val="20"/>
          <w:szCs w:val="20"/>
        </w:rPr>
      </w:pPr>
      <w:r>
        <w:rPr>
          <w:rFonts w:hint="eastAsia" w:ascii="宋体" w:hAnsi="宋体" w:eastAsia="宋体" w:cs="宋体"/>
          <w:color w:val="auto"/>
          <w:spacing w:val="3"/>
          <w:sz w:val="20"/>
          <w:szCs w:val="20"/>
        </w:rPr>
        <w:t>1.本合同一经签订， 甲乙双方不得擅自变更</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3"/>
          <w:sz w:val="20"/>
          <w:szCs w:val="20"/>
        </w:rPr>
        <w:t>、</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3"/>
          <w:sz w:val="20"/>
          <w:szCs w:val="20"/>
        </w:rPr>
        <w:t>中止或终</w:t>
      </w:r>
      <w:r>
        <w:rPr>
          <w:rFonts w:hint="eastAsia" w:ascii="宋体" w:hAnsi="宋体" w:eastAsia="宋体" w:cs="宋体"/>
          <w:color w:val="auto"/>
          <w:spacing w:val="2"/>
          <w:sz w:val="20"/>
          <w:szCs w:val="20"/>
        </w:rPr>
        <w:t>止。</w:t>
      </w:r>
    </w:p>
    <w:p w14:paraId="49111B27">
      <w:pPr>
        <w:spacing w:line="360" w:lineRule="auto"/>
        <w:ind w:firstLine="436" w:firstLineChars="200"/>
        <w:rPr>
          <w:rFonts w:hint="eastAsia" w:ascii="宋体" w:hAnsi="宋体" w:eastAsia="宋体" w:cs="宋体"/>
          <w:color w:val="auto"/>
        </w:rPr>
      </w:pPr>
      <w:r>
        <w:rPr>
          <w:rFonts w:hint="eastAsia" w:ascii="宋体" w:hAnsi="宋体" w:eastAsia="宋体" w:cs="宋体"/>
          <w:color w:val="auto"/>
          <w:spacing w:val="9"/>
          <w:sz w:val="20"/>
          <w:szCs w:val="20"/>
        </w:rPr>
        <w:t>2.未经甲方书面同意， 乙方不得擅自转让</w:t>
      </w:r>
      <w:r>
        <w:rPr>
          <w:rFonts w:hint="eastAsia" w:ascii="宋体" w:hAnsi="宋体" w:eastAsia="宋体" w:cs="宋体"/>
          <w:color w:val="auto"/>
          <w:spacing w:val="8"/>
          <w:sz w:val="20"/>
          <w:szCs w:val="20"/>
        </w:rPr>
        <w:t>其应履行的</w:t>
      </w:r>
      <w:r>
        <w:rPr>
          <w:rFonts w:hint="eastAsia" w:ascii="宋体" w:hAnsi="宋体" w:eastAsia="宋体" w:cs="宋体"/>
          <w:color w:val="auto"/>
          <w:spacing w:val="6"/>
          <w:sz w:val="20"/>
          <w:szCs w:val="20"/>
        </w:rPr>
        <w:t>合同义务。</w:t>
      </w:r>
    </w:p>
    <w:p w14:paraId="6B12120B">
      <w:pPr>
        <w:spacing w:before="32" w:line="360" w:lineRule="auto"/>
        <w:ind w:left="427"/>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第十</w:t>
      </w:r>
      <w:r>
        <w:rPr>
          <w:rFonts w:hint="eastAsia" w:ascii="宋体" w:hAnsi="宋体" w:eastAsia="宋体" w:cs="宋体"/>
          <w:b/>
          <w:bCs/>
          <w:color w:val="auto"/>
          <w:spacing w:val="8"/>
          <w:sz w:val="20"/>
          <w:szCs w:val="20"/>
          <w:lang w:val="en-US" w:eastAsia="zh-CN"/>
        </w:rPr>
        <w:t>四</w:t>
      </w:r>
      <w:r>
        <w:rPr>
          <w:rFonts w:hint="eastAsia" w:ascii="宋体" w:hAnsi="宋体" w:eastAsia="宋体" w:cs="宋体"/>
          <w:b/>
          <w:bCs/>
          <w:color w:val="auto"/>
          <w:spacing w:val="8"/>
          <w:sz w:val="20"/>
          <w:szCs w:val="20"/>
        </w:rPr>
        <w:t>条</w:t>
      </w:r>
      <w:r>
        <w:rPr>
          <w:rFonts w:hint="eastAsia" w:ascii="宋体" w:hAnsi="宋体" w:eastAsia="宋体" w:cs="宋体"/>
          <w:b/>
          <w:bCs/>
          <w:color w:val="auto"/>
          <w:spacing w:val="16"/>
          <w:sz w:val="20"/>
          <w:szCs w:val="20"/>
        </w:rPr>
        <w:t xml:space="preserve">   </w:t>
      </w:r>
      <w:r>
        <w:rPr>
          <w:rFonts w:hint="eastAsia" w:ascii="宋体" w:hAnsi="宋体" w:eastAsia="宋体" w:cs="宋体"/>
          <w:b/>
          <w:bCs/>
          <w:color w:val="auto"/>
          <w:spacing w:val="8"/>
          <w:sz w:val="20"/>
          <w:szCs w:val="20"/>
        </w:rPr>
        <w:t>签订本合同依据</w:t>
      </w:r>
    </w:p>
    <w:p w14:paraId="544B4AE6">
      <w:pPr>
        <w:spacing w:before="52" w:line="360" w:lineRule="auto"/>
        <w:ind w:left="442"/>
        <w:rPr>
          <w:rFonts w:hint="eastAsia" w:ascii="宋体" w:hAnsi="宋体" w:eastAsia="宋体" w:cs="宋体"/>
          <w:color w:val="auto"/>
          <w:sz w:val="20"/>
          <w:szCs w:val="20"/>
        </w:rPr>
      </w:pPr>
      <w:r>
        <w:rPr>
          <w:rFonts w:hint="eastAsia" w:ascii="宋体" w:hAnsi="宋体" w:eastAsia="宋体" w:cs="宋体"/>
          <w:color w:val="auto"/>
          <w:sz w:val="20"/>
          <w:szCs w:val="20"/>
        </w:rPr>
        <w:t>1.</w:t>
      </w:r>
      <w:r>
        <w:rPr>
          <w:rFonts w:hint="eastAsia" w:ascii="宋体" w:hAnsi="宋体" w:eastAsia="宋体" w:cs="宋体"/>
          <w:color w:val="auto"/>
          <w:sz w:val="20"/>
          <w:szCs w:val="20"/>
          <w:lang w:eastAsia="zh-CN"/>
        </w:rPr>
        <w:t>采购文件</w:t>
      </w:r>
      <w:r>
        <w:rPr>
          <w:rFonts w:hint="eastAsia" w:ascii="宋体" w:hAnsi="宋体" w:eastAsia="宋体" w:cs="宋体"/>
          <w:color w:val="auto"/>
          <w:sz w:val="20"/>
          <w:szCs w:val="20"/>
        </w:rPr>
        <w:t>；</w:t>
      </w:r>
    </w:p>
    <w:p w14:paraId="20D322AB">
      <w:pPr>
        <w:spacing w:before="10" w:line="360" w:lineRule="auto"/>
        <w:ind w:left="426"/>
        <w:rPr>
          <w:rFonts w:hint="eastAsia" w:ascii="宋体" w:hAnsi="宋体" w:eastAsia="宋体" w:cs="宋体"/>
          <w:color w:val="auto"/>
          <w:sz w:val="20"/>
          <w:szCs w:val="20"/>
        </w:rPr>
      </w:pPr>
      <w:r>
        <w:rPr>
          <w:rFonts w:hint="eastAsia" w:ascii="宋体" w:hAnsi="宋体" w:eastAsia="宋体" w:cs="宋体"/>
          <w:color w:val="auto"/>
          <w:spacing w:val="4"/>
          <w:sz w:val="20"/>
          <w:szCs w:val="20"/>
        </w:rPr>
        <w:t>2.乙方提供的响应文件；</w:t>
      </w:r>
    </w:p>
    <w:p w14:paraId="5539D6CD">
      <w:pPr>
        <w:spacing w:before="7" w:line="360" w:lineRule="auto"/>
        <w:ind w:left="425" w:right="7339" w:firstLine="1"/>
        <w:rPr>
          <w:rFonts w:hint="eastAsia" w:ascii="宋体" w:hAnsi="宋体" w:eastAsia="宋体" w:cs="宋体"/>
          <w:color w:val="auto"/>
          <w:sz w:val="20"/>
          <w:szCs w:val="20"/>
        </w:rPr>
      </w:pPr>
      <w:r>
        <w:rPr>
          <w:rFonts w:hint="eastAsia" w:ascii="宋体" w:hAnsi="宋体" w:eastAsia="宋体" w:cs="宋体"/>
          <w:color w:val="auto"/>
          <w:spacing w:val="-1"/>
          <w:sz w:val="20"/>
          <w:szCs w:val="20"/>
        </w:rPr>
        <w:t>3.响应承诺书；</w:t>
      </w:r>
      <w:r>
        <w:rPr>
          <w:rFonts w:hint="eastAsia" w:ascii="宋体" w:hAnsi="宋体" w:eastAsia="宋体" w:cs="宋体"/>
          <w:color w:val="auto"/>
          <w:spacing w:val="3"/>
          <w:sz w:val="20"/>
          <w:szCs w:val="20"/>
        </w:rPr>
        <w:t xml:space="preserve"> </w:t>
      </w:r>
      <w:r>
        <w:rPr>
          <w:rFonts w:hint="eastAsia" w:ascii="宋体" w:hAnsi="宋体" w:eastAsia="宋体" w:cs="宋体"/>
          <w:color w:val="auto"/>
          <w:spacing w:val="-1"/>
          <w:sz w:val="20"/>
          <w:szCs w:val="20"/>
        </w:rPr>
        <w:t>4.成交</w:t>
      </w:r>
      <w:r>
        <w:rPr>
          <w:rFonts w:hint="eastAsia" w:ascii="宋体" w:hAnsi="宋体" w:eastAsia="宋体" w:cs="宋体"/>
          <w:color w:val="auto"/>
          <w:spacing w:val="-1"/>
          <w:sz w:val="20"/>
          <w:szCs w:val="20"/>
          <w:lang w:val="en-US" w:eastAsia="zh-CN"/>
        </w:rPr>
        <w:t>公告</w:t>
      </w:r>
      <w:r>
        <w:rPr>
          <w:rFonts w:hint="eastAsia" w:ascii="宋体" w:hAnsi="宋体" w:eastAsia="宋体" w:cs="宋体"/>
          <w:color w:val="auto"/>
          <w:spacing w:val="-1"/>
          <w:sz w:val="20"/>
          <w:szCs w:val="20"/>
        </w:rPr>
        <w:t>。</w:t>
      </w:r>
    </w:p>
    <w:p w14:paraId="76C6010F">
      <w:pPr>
        <w:spacing w:before="85" w:line="360" w:lineRule="auto"/>
        <w:ind w:left="427"/>
        <w:rPr>
          <w:rFonts w:hint="eastAsia" w:ascii="宋体" w:hAnsi="宋体" w:eastAsia="宋体" w:cs="宋体"/>
          <w:color w:val="auto"/>
          <w:spacing w:val="9"/>
          <w:sz w:val="20"/>
          <w:szCs w:val="20"/>
        </w:rPr>
      </w:pPr>
      <w:r>
        <w:rPr>
          <w:rFonts w:hint="eastAsia" w:ascii="宋体" w:hAnsi="宋体" w:eastAsia="宋体" w:cs="宋体"/>
          <w:b/>
          <w:bCs/>
          <w:color w:val="auto"/>
          <w:spacing w:val="6"/>
          <w:sz w:val="20"/>
          <w:szCs w:val="20"/>
        </w:rPr>
        <w:t>第十</w:t>
      </w:r>
      <w:r>
        <w:rPr>
          <w:rFonts w:hint="eastAsia" w:ascii="宋体" w:hAnsi="宋体" w:eastAsia="宋体" w:cs="宋体"/>
          <w:b/>
          <w:bCs/>
          <w:color w:val="auto"/>
          <w:spacing w:val="6"/>
          <w:sz w:val="20"/>
          <w:szCs w:val="20"/>
          <w:lang w:val="en-US" w:eastAsia="zh-CN"/>
        </w:rPr>
        <w:t>五</w:t>
      </w:r>
      <w:r>
        <w:rPr>
          <w:rFonts w:hint="eastAsia" w:ascii="宋体" w:hAnsi="宋体" w:eastAsia="宋体" w:cs="宋体"/>
          <w:b/>
          <w:bCs/>
          <w:color w:val="auto"/>
          <w:spacing w:val="6"/>
          <w:sz w:val="20"/>
          <w:szCs w:val="20"/>
        </w:rPr>
        <w:t xml:space="preserve">条   </w:t>
      </w:r>
      <w:r>
        <w:rPr>
          <w:rFonts w:hint="eastAsia" w:ascii="宋体" w:hAnsi="宋体" w:eastAsia="宋体" w:cs="宋体"/>
          <w:color w:val="auto"/>
          <w:spacing w:val="6"/>
          <w:sz w:val="20"/>
          <w:szCs w:val="20"/>
        </w:rPr>
        <w:t>本合同一式伍份，具有同等法律效力。</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6"/>
          <w:sz w:val="20"/>
          <w:szCs w:val="20"/>
        </w:rPr>
        <w:t>甲方叁份，</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乙方</w:t>
      </w:r>
      <w:r>
        <w:rPr>
          <w:rFonts w:hint="eastAsia" w:ascii="宋体" w:hAnsi="宋体" w:eastAsia="宋体" w:cs="宋体"/>
          <w:color w:val="auto"/>
          <w:spacing w:val="6"/>
          <w:sz w:val="20"/>
          <w:szCs w:val="20"/>
          <w:lang w:val="en-US" w:eastAsia="zh-CN"/>
        </w:rPr>
        <w:t>贰</w:t>
      </w:r>
      <w:r>
        <w:rPr>
          <w:rFonts w:hint="eastAsia" w:ascii="宋体" w:hAnsi="宋体" w:eastAsia="宋体" w:cs="宋体"/>
          <w:color w:val="auto"/>
          <w:spacing w:val="6"/>
          <w:sz w:val="20"/>
          <w:szCs w:val="20"/>
        </w:rPr>
        <w:t>份。</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本合同经甲乙双</w:t>
      </w:r>
    </w:p>
    <w:tbl>
      <w:tblPr>
        <w:tblStyle w:val="35"/>
        <w:tblpPr w:leftFromText="180" w:rightFromText="180" w:vertAnchor="page" w:horzAnchor="page" w:tblpX="1865" w:tblpY="4885"/>
        <w:tblOverlap w:val="never"/>
        <w:tblW w:w="91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9"/>
        <w:gridCol w:w="4690"/>
      </w:tblGrid>
      <w:tr w14:paraId="324E1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4439" w:type="dxa"/>
            <w:vAlign w:val="top"/>
          </w:tcPr>
          <w:p w14:paraId="41813BF5">
            <w:pPr>
              <w:pStyle w:val="42"/>
              <w:spacing w:before="121" w:line="360" w:lineRule="auto"/>
              <w:ind w:left="141"/>
              <w:rPr>
                <w:rFonts w:hint="eastAsia" w:ascii="宋体" w:hAnsi="宋体" w:eastAsia="宋体" w:cs="宋体"/>
                <w:color w:val="auto"/>
              </w:rPr>
            </w:pPr>
            <w:r>
              <w:rPr>
                <w:rFonts w:hint="eastAsia" w:ascii="宋体" w:hAnsi="宋体" w:eastAsia="宋体" w:cs="宋体"/>
                <w:color w:val="auto"/>
                <w:spacing w:val="-4"/>
              </w:rPr>
              <w:t>甲方</w:t>
            </w:r>
            <w:r>
              <w:rPr>
                <w:rFonts w:hint="eastAsia" w:ascii="宋体" w:hAnsi="宋体" w:eastAsia="宋体" w:cs="宋体"/>
                <w:color w:val="auto"/>
                <w:spacing w:val="-36"/>
              </w:rPr>
              <w:t xml:space="preserve"> </w:t>
            </w:r>
            <w:r>
              <w:rPr>
                <w:rFonts w:hint="eastAsia" w:ascii="宋体" w:hAnsi="宋体" w:eastAsia="宋体" w:cs="宋体"/>
                <w:color w:val="auto"/>
                <w:spacing w:val="-4"/>
              </w:rPr>
              <w:t>（章）</w:t>
            </w:r>
          </w:p>
          <w:p w14:paraId="34FF9B4E">
            <w:pPr>
              <w:pStyle w:val="42"/>
              <w:spacing w:before="56" w:line="360" w:lineRule="auto"/>
              <w:ind w:left="114"/>
              <w:rPr>
                <w:rFonts w:hint="eastAsia" w:ascii="宋体" w:hAnsi="宋体" w:eastAsia="宋体" w:cs="宋体"/>
                <w:color w:val="auto"/>
              </w:rPr>
            </w:pPr>
          </w:p>
        </w:tc>
        <w:tc>
          <w:tcPr>
            <w:tcW w:w="4690" w:type="dxa"/>
            <w:vAlign w:val="top"/>
          </w:tcPr>
          <w:p w14:paraId="6141A318">
            <w:pPr>
              <w:pStyle w:val="42"/>
              <w:spacing w:before="121" w:line="360" w:lineRule="auto"/>
              <w:ind w:left="131"/>
              <w:rPr>
                <w:rFonts w:hint="eastAsia" w:ascii="宋体" w:hAnsi="宋体" w:eastAsia="宋体" w:cs="宋体"/>
                <w:color w:val="auto"/>
              </w:rPr>
            </w:pPr>
            <w:r>
              <w:rPr>
                <w:rFonts w:hint="eastAsia" w:ascii="宋体" w:hAnsi="宋体" w:eastAsia="宋体" w:cs="宋体"/>
                <w:color w:val="auto"/>
                <w:spacing w:val="-2"/>
              </w:rPr>
              <w:t>乙方</w:t>
            </w:r>
            <w:r>
              <w:rPr>
                <w:rFonts w:hint="eastAsia" w:ascii="宋体" w:hAnsi="宋体" w:eastAsia="宋体" w:cs="宋体"/>
                <w:color w:val="auto"/>
                <w:spacing w:val="-38"/>
              </w:rPr>
              <w:t xml:space="preserve"> </w:t>
            </w:r>
            <w:r>
              <w:rPr>
                <w:rFonts w:hint="eastAsia" w:ascii="宋体" w:hAnsi="宋体" w:eastAsia="宋体" w:cs="宋体"/>
                <w:color w:val="auto"/>
                <w:spacing w:val="-2"/>
              </w:rPr>
              <w:t>（章）</w:t>
            </w:r>
          </w:p>
        </w:tc>
      </w:tr>
      <w:tr w14:paraId="168D6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4439" w:type="dxa"/>
            <w:vAlign w:val="top"/>
          </w:tcPr>
          <w:p w14:paraId="331B44EE">
            <w:pPr>
              <w:pStyle w:val="42"/>
              <w:spacing w:before="288" w:line="360" w:lineRule="auto"/>
              <w:ind w:left="120"/>
              <w:rPr>
                <w:rFonts w:hint="eastAsia" w:ascii="宋体" w:hAnsi="宋体" w:eastAsia="宋体" w:cs="宋体"/>
                <w:color w:val="auto"/>
              </w:rPr>
            </w:pPr>
            <w:r>
              <w:rPr>
                <w:rFonts w:hint="eastAsia" w:ascii="宋体" w:hAnsi="宋体" w:eastAsia="宋体" w:cs="宋体"/>
                <w:color w:val="auto"/>
                <w:spacing w:val="1"/>
              </w:rPr>
              <w:t>单位地址：</w:t>
            </w:r>
            <w:r>
              <w:rPr>
                <w:rFonts w:hint="eastAsia" w:ascii="宋体" w:hAnsi="宋体" w:eastAsia="宋体" w:cs="宋体"/>
                <w:color w:val="auto"/>
                <w:spacing w:val="-7"/>
              </w:rPr>
              <w:t xml:space="preserve"> </w:t>
            </w:r>
            <w:r>
              <w:rPr>
                <w:rFonts w:hint="eastAsia" w:ascii="宋体" w:hAnsi="宋体" w:eastAsia="宋体" w:cs="宋体"/>
                <w:color w:val="auto"/>
                <w:spacing w:val="1"/>
              </w:rPr>
              <w:t>南宁市</w:t>
            </w:r>
            <w:r>
              <w:rPr>
                <w:rFonts w:hint="eastAsia" w:ascii="宋体" w:hAnsi="宋体" w:eastAsia="宋体" w:cs="宋体"/>
                <w:color w:val="auto"/>
                <w:spacing w:val="1"/>
                <w:lang w:val="en-US" w:eastAsia="zh-CN"/>
              </w:rPr>
              <w:t>教育路7</w:t>
            </w:r>
            <w:r>
              <w:rPr>
                <w:rFonts w:hint="eastAsia" w:ascii="宋体" w:hAnsi="宋体" w:eastAsia="宋体" w:cs="宋体"/>
                <w:color w:val="auto"/>
                <w:spacing w:val="1"/>
              </w:rPr>
              <w:t>号</w:t>
            </w:r>
          </w:p>
        </w:tc>
        <w:tc>
          <w:tcPr>
            <w:tcW w:w="4690" w:type="dxa"/>
            <w:vAlign w:val="top"/>
          </w:tcPr>
          <w:p w14:paraId="4211E4DA">
            <w:pPr>
              <w:pStyle w:val="42"/>
              <w:spacing w:before="288" w:line="360" w:lineRule="auto"/>
              <w:ind w:left="118"/>
              <w:rPr>
                <w:rFonts w:hint="eastAsia" w:ascii="宋体" w:hAnsi="宋体" w:eastAsia="宋体" w:cs="宋体"/>
                <w:color w:val="auto"/>
              </w:rPr>
            </w:pPr>
            <w:r>
              <w:rPr>
                <w:rFonts w:hint="eastAsia" w:ascii="宋体" w:hAnsi="宋体" w:eastAsia="宋体" w:cs="宋体"/>
                <w:color w:val="auto"/>
                <w:spacing w:val="5"/>
              </w:rPr>
              <w:t>单位地址：</w:t>
            </w:r>
          </w:p>
        </w:tc>
      </w:tr>
      <w:tr w14:paraId="465A0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4439" w:type="dxa"/>
            <w:vAlign w:val="top"/>
          </w:tcPr>
          <w:p w14:paraId="2A5ACF95">
            <w:pPr>
              <w:pStyle w:val="42"/>
              <w:spacing w:before="306" w:line="360" w:lineRule="auto"/>
              <w:ind w:left="113"/>
              <w:rPr>
                <w:rFonts w:hint="eastAsia" w:ascii="宋体" w:hAnsi="宋体" w:eastAsia="宋体" w:cs="宋体"/>
                <w:color w:val="auto"/>
              </w:rPr>
            </w:pPr>
            <w:r>
              <w:rPr>
                <w:rFonts w:hint="eastAsia" w:ascii="宋体" w:hAnsi="宋体" w:eastAsia="宋体" w:cs="宋体"/>
                <w:color w:val="auto"/>
                <w:spacing w:val="7"/>
              </w:rPr>
              <w:t>法定代表人：</w:t>
            </w:r>
          </w:p>
        </w:tc>
        <w:tc>
          <w:tcPr>
            <w:tcW w:w="4690" w:type="dxa"/>
            <w:vAlign w:val="top"/>
          </w:tcPr>
          <w:p w14:paraId="3AFDBA6F">
            <w:pPr>
              <w:pStyle w:val="42"/>
              <w:spacing w:before="306" w:line="360" w:lineRule="auto"/>
              <w:ind w:left="111"/>
              <w:rPr>
                <w:rFonts w:hint="eastAsia" w:ascii="宋体" w:hAnsi="宋体" w:eastAsia="宋体" w:cs="宋体"/>
                <w:color w:val="auto"/>
              </w:rPr>
            </w:pPr>
            <w:r>
              <w:rPr>
                <w:rFonts w:hint="eastAsia" w:ascii="宋体" w:hAnsi="宋体" w:eastAsia="宋体" w:cs="宋体"/>
                <w:color w:val="auto"/>
                <w:spacing w:val="7"/>
              </w:rPr>
              <w:t>法定代表人：</w:t>
            </w:r>
          </w:p>
        </w:tc>
      </w:tr>
      <w:tr w14:paraId="0092C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4439" w:type="dxa"/>
            <w:vAlign w:val="top"/>
          </w:tcPr>
          <w:p w14:paraId="4237D0E3">
            <w:pPr>
              <w:pStyle w:val="42"/>
              <w:spacing w:before="306" w:line="360" w:lineRule="auto"/>
              <w:ind w:left="120"/>
              <w:rPr>
                <w:rFonts w:hint="eastAsia" w:ascii="宋体" w:hAnsi="宋体" w:eastAsia="宋体" w:cs="宋体"/>
                <w:color w:val="auto"/>
              </w:rPr>
            </w:pPr>
            <w:r>
              <w:rPr>
                <w:rFonts w:hint="eastAsia" w:ascii="宋体" w:hAnsi="宋体" w:eastAsia="宋体" w:cs="宋体"/>
                <w:color w:val="auto"/>
                <w:spacing w:val="6"/>
              </w:rPr>
              <w:t>委托代理人：</w:t>
            </w:r>
          </w:p>
        </w:tc>
        <w:tc>
          <w:tcPr>
            <w:tcW w:w="4690" w:type="dxa"/>
            <w:vAlign w:val="top"/>
          </w:tcPr>
          <w:p w14:paraId="68F77DE8">
            <w:pPr>
              <w:pStyle w:val="42"/>
              <w:spacing w:before="306" w:line="360" w:lineRule="auto"/>
              <w:ind w:left="119"/>
              <w:rPr>
                <w:rFonts w:hint="eastAsia" w:ascii="宋体" w:hAnsi="宋体" w:eastAsia="宋体" w:cs="宋体"/>
                <w:color w:val="auto"/>
              </w:rPr>
            </w:pPr>
            <w:r>
              <w:rPr>
                <w:rFonts w:hint="eastAsia" w:ascii="宋体" w:hAnsi="宋体" w:eastAsia="宋体" w:cs="宋体"/>
                <w:color w:val="auto"/>
                <w:spacing w:val="7"/>
              </w:rPr>
              <w:t>委托代理人</w:t>
            </w:r>
          </w:p>
        </w:tc>
      </w:tr>
      <w:tr w14:paraId="69571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4439" w:type="dxa"/>
            <w:vAlign w:val="top"/>
          </w:tcPr>
          <w:p w14:paraId="0135A660">
            <w:pPr>
              <w:pStyle w:val="42"/>
              <w:spacing w:before="244" w:line="360" w:lineRule="auto"/>
              <w:ind w:left="134"/>
              <w:rPr>
                <w:rFonts w:hint="eastAsia" w:ascii="宋体" w:hAnsi="宋体" w:eastAsia="宋体" w:cs="宋体"/>
                <w:color w:val="auto"/>
                <w:lang w:val="en-US" w:eastAsia="zh-CN"/>
              </w:rPr>
            </w:pPr>
            <w:r>
              <w:rPr>
                <w:rFonts w:hint="eastAsia" w:ascii="宋体" w:hAnsi="宋体" w:eastAsia="宋体" w:cs="宋体"/>
                <w:color w:val="auto"/>
                <w:spacing w:val="-9"/>
              </w:rPr>
              <w:t>电话：</w:t>
            </w:r>
            <w:r>
              <w:rPr>
                <w:rFonts w:hint="eastAsia" w:ascii="宋体" w:hAnsi="宋体" w:eastAsia="宋体" w:cs="宋体"/>
                <w:color w:val="auto"/>
                <w:spacing w:val="-20"/>
              </w:rPr>
              <w:t xml:space="preserve"> </w:t>
            </w:r>
          </w:p>
        </w:tc>
        <w:tc>
          <w:tcPr>
            <w:tcW w:w="4690" w:type="dxa"/>
            <w:vAlign w:val="top"/>
          </w:tcPr>
          <w:p w14:paraId="2BCA61BE">
            <w:pPr>
              <w:pStyle w:val="42"/>
              <w:spacing w:before="244" w:line="360" w:lineRule="auto"/>
              <w:ind w:left="132"/>
              <w:rPr>
                <w:rFonts w:hint="eastAsia" w:ascii="宋体" w:hAnsi="宋体" w:eastAsia="宋体" w:cs="宋体"/>
                <w:color w:val="auto"/>
              </w:rPr>
            </w:pPr>
            <w:r>
              <w:rPr>
                <w:rFonts w:hint="eastAsia" w:ascii="宋体" w:hAnsi="宋体" w:eastAsia="宋体" w:cs="宋体"/>
                <w:color w:val="auto"/>
                <w:spacing w:val="-3"/>
              </w:rPr>
              <w:t>电话：</w:t>
            </w:r>
          </w:p>
        </w:tc>
      </w:tr>
      <w:tr w14:paraId="6E73E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4439" w:type="dxa"/>
            <w:vAlign w:val="top"/>
          </w:tcPr>
          <w:p w14:paraId="6B8F3B08">
            <w:pPr>
              <w:pStyle w:val="42"/>
              <w:spacing w:before="229" w:line="360" w:lineRule="auto"/>
              <w:ind w:left="134"/>
              <w:rPr>
                <w:rFonts w:hint="eastAsia" w:ascii="宋体" w:hAnsi="宋体" w:eastAsia="宋体" w:cs="宋体"/>
                <w:color w:val="auto"/>
              </w:rPr>
            </w:pPr>
            <w:r>
              <w:rPr>
                <w:rFonts w:hint="eastAsia" w:ascii="宋体" w:hAnsi="宋体" w:eastAsia="宋体" w:cs="宋体"/>
                <w:color w:val="auto"/>
                <w:spacing w:val="2"/>
              </w:rPr>
              <w:t>电子邮箱：</w:t>
            </w:r>
          </w:p>
        </w:tc>
        <w:tc>
          <w:tcPr>
            <w:tcW w:w="4690" w:type="dxa"/>
            <w:vAlign w:val="top"/>
          </w:tcPr>
          <w:p w14:paraId="12460C7A">
            <w:pPr>
              <w:pStyle w:val="42"/>
              <w:spacing w:before="229" w:line="360" w:lineRule="auto"/>
              <w:ind w:left="132"/>
              <w:rPr>
                <w:rFonts w:hint="eastAsia" w:ascii="宋体" w:hAnsi="宋体" w:eastAsia="宋体" w:cs="宋体"/>
                <w:color w:val="auto"/>
              </w:rPr>
            </w:pPr>
            <w:r>
              <w:rPr>
                <w:rFonts w:hint="eastAsia" w:ascii="宋体" w:hAnsi="宋体" w:eastAsia="宋体" w:cs="宋体"/>
                <w:color w:val="auto"/>
                <w:spacing w:val="2"/>
              </w:rPr>
              <w:t>电子邮箱：</w:t>
            </w:r>
          </w:p>
        </w:tc>
      </w:tr>
      <w:tr w14:paraId="05BD0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4439" w:type="dxa"/>
            <w:vAlign w:val="top"/>
          </w:tcPr>
          <w:p w14:paraId="17916056">
            <w:pPr>
              <w:pStyle w:val="42"/>
              <w:spacing w:before="308" w:line="360" w:lineRule="auto"/>
              <w:ind w:left="121"/>
              <w:rPr>
                <w:rFonts w:hint="eastAsia" w:ascii="宋体" w:hAnsi="宋体" w:eastAsia="宋体" w:cs="宋体"/>
                <w:color w:val="auto"/>
              </w:rPr>
            </w:pPr>
            <w:r>
              <w:rPr>
                <w:rFonts w:hint="eastAsia" w:ascii="宋体" w:hAnsi="宋体" w:eastAsia="宋体" w:cs="宋体"/>
                <w:color w:val="auto"/>
                <w:spacing w:val="4"/>
              </w:rPr>
              <w:t>开户银行：</w:t>
            </w:r>
          </w:p>
        </w:tc>
        <w:tc>
          <w:tcPr>
            <w:tcW w:w="4690" w:type="dxa"/>
            <w:vAlign w:val="top"/>
          </w:tcPr>
          <w:p w14:paraId="1AED0B76">
            <w:pPr>
              <w:pStyle w:val="42"/>
              <w:spacing w:before="308" w:line="360" w:lineRule="auto"/>
              <w:ind w:left="119"/>
              <w:rPr>
                <w:rFonts w:hint="eastAsia" w:ascii="宋体" w:hAnsi="宋体" w:eastAsia="宋体" w:cs="宋体"/>
                <w:color w:val="auto"/>
              </w:rPr>
            </w:pPr>
            <w:r>
              <w:rPr>
                <w:rFonts w:hint="eastAsia" w:ascii="宋体" w:hAnsi="宋体" w:eastAsia="宋体" w:cs="宋体"/>
                <w:color w:val="auto"/>
                <w:spacing w:val="4"/>
              </w:rPr>
              <w:t>开户银行：</w:t>
            </w:r>
          </w:p>
        </w:tc>
      </w:tr>
      <w:tr w14:paraId="27BAA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439" w:type="dxa"/>
            <w:vAlign w:val="top"/>
          </w:tcPr>
          <w:p w14:paraId="4CFA4A9D">
            <w:pPr>
              <w:pStyle w:val="42"/>
              <w:spacing w:before="254" w:line="360" w:lineRule="auto"/>
              <w:ind w:left="113"/>
              <w:rPr>
                <w:rFonts w:hint="eastAsia" w:ascii="宋体" w:hAnsi="宋体" w:eastAsia="宋体" w:cs="宋体"/>
                <w:color w:val="auto"/>
              </w:rPr>
            </w:pPr>
            <w:r>
              <w:rPr>
                <w:rFonts w:hint="eastAsia" w:ascii="宋体" w:hAnsi="宋体" w:eastAsia="宋体" w:cs="宋体"/>
                <w:color w:val="auto"/>
                <w:spacing w:val="4"/>
              </w:rPr>
              <w:t>账号：</w:t>
            </w:r>
          </w:p>
        </w:tc>
        <w:tc>
          <w:tcPr>
            <w:tcW w:w="4690" w:type="dxa"/>
            <w:vAlign w:val="top"/>
          </w:tcPr>
          <w:p w14:paraId="76D5A842">
            <w:pPr>
              <w:pStyle w:val="42"/>
              <w:spacing w:before="254" w:line="360" w:lineRule="auto"/>
              <w:ind w:left="111"/>
              <w:rPr>
                <w:rFonts w:hint="eastAsia" w:ascii="宋体" w:hAnsi="宋体" w:eastAsia="宋体" w:cs="宋体"/>
                <w:color w:val="auto"/>
              </w:rPr>
            </w:pPr>
            <w:r>
              <w:rPr>
                <w:rFonts w:hint="eastAsia" w:ascii="宋体" w:hAnsi="宋体" w:eastAsia="宋体" w:cs="宋体"/>
                <w:color w:val="auto"/>
                <w:spacing w:val="4"/>
              </w:rPr>
              <w:t>账号：</w:t>
            </w:r>
          </w:p>
        </w:tc>
      </w:tr>
      <w:tr w14:paraId="2C26E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4439" w:type="dxa"/>
            <w:vAlign w:val="top"/>
          </w:tcPr>
          <w:p w14:paraId="48412AB6">
            <w:pPr>
              <w:pStyle w:val="42"/>
              <w:spacing w:before="309" w:line="360" w:lineRule="auto"/>
              <w:ind w:left="128"/>
              <w:rPr>
                <w:rFonts w:hint="eastAsia" w:ascii="宋体" w:hAnsi="宋体" w:eastAsia="宋体" w:cs="宋体"/>
                <w:color w:val="auto"/>
                <w:lang w:val="en-US" w:eastAsia="zh-CN"/>
              </w:rPr>
            </w:pPr>
            <w:r>
              <w:rPr>
                <w:rFonts w:hint="eastAsia" w:ascii="宋体" w:hAnsi="宋体" w:eastAsia="宋体" w:cs="宋体"/>
                <w:color w:val="auto"/>
                <w:spacing w:val="-7"/>
              </w:rPr>
              <w:t>邮政编码：</w:t>
            </w:r>
            <w:r>
              <w:rPr>
                <w:rFonts w:hint="eastAsia" w:ascii="宋体" w:hAnsi="宋体" w:eastAsia="宋体" w:cs="宋体"/>
                <w:color w:val="auto"/>
                <w:spacing w:val="-20"/>
              </w:rPr>
              <w:t xml:space="preserve"> </w:t>
            </w:r>
            <w:r>
              <w:rPr>
                <w:rFonts w:hint="eastAsia" w:ascii="宋体" w:hAnsi="宋体" w:eastAsia="宋体" w:cs="宋体"/>
                <w:color w:val="auto"/>
                <w:spacing w:val="-7"/>
              </w:rPr>
              <w:t>53002</w:t>
            </w:r>
            <w:r>
              <w:rPr>
                <w:rFonts w:hint="eastAsia" w:ascii="宋体" w:hAnsi="宋体" w:eastAsia="宋体" w:cs="宋体"/>
                <w:color w:val="auto"/>
                <w:spacing w:val="-7"/>
                <w:lang w:val="en-US" w:eastAsia="zh-CN"/>
              </w:rPr>
              <w:t>2</w:t>
            </w:r>
          </w:p>
        </w:tc>
        <w:tc>
          <w:tcPr>
            <w:tcW w:w="4690" w:type="dxa"/>
            <w:vAlign w:val="top"/>
          </w:tcPr>
          <w:p w14:paraId="10719074">
            <w:pPr>
              <w:pStyle w:val="42"/>
              <w:spacing w:before="309" w:line="360" w:lineRule="auto"/>
              <w:ind w:left="127"/>
              <w:rPr>
                <w:rFonts w:hint="eastAsia" w:ascii="宋体" w:hAnsi="宋体" w:eastAsia="宋体" w:cs="宋体"/>
                <w:color w:val="auto"/>
              </w:rPr>
            </w:pPr>
            <w:r>
              <w:rPr>
                <w:rFonts w:hint="eastAsia" w:ascii="宋体" w:hAnsi="宋体" w:eastAsia="宋体" w:cs="宋体"/>
                <w:color w:val="auto"/>
                <w:spacing w:val="3"/>
              </w:rPr>
              <w:t>邮政编码：</w:t>
            </w:r>
          </w:p>
        </w:tc>
      </w:tr>
      <w:tr w14:paraId="49DC8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29" w:type="dxa"/>
            <w:gridSpan w:val="2"/>
            <w:vAlign w:val="top"/>
          </w:tcPr>
          <w:p w14:paraId="7B518828">
            <w:pPr>
              <w:spacing w:line="360" w:lineRule="auto"/>
              <w:rPr>
                <w:rFonts w:hint="eastAsia" w:ascii="宋体" w:hAnsi="宋体" w:eastAsia="宋体" w:cs="宋体"/>
                <w:color w:val="auto"/>
              </w:rPr>
            </w:pPr>
          </w:p>
          <w:p w14:paraId="3D62CF9B">
            <w:pPr>
              <w:pStyle w:val="42"/>
              <w:spacing w:before="86" w:line="360" w:lineRule="auto"/>
              <w:ind w:left="0" w:firstLine="6800" w:firstLineChars="3400"/>
              <w:rPr>
                <w:rFonts w:hint="eastAsia" w:ascii="宋体" w:hAnsi="宋体" w:eastAsia="宋体" w:cs="宋体"/>
                <w:color w:val="auto"/>
              </w:rPr>
            </w:pPr>
            <w:r>
              <w:rPr>
                <w:rFonts w:hint="eastAsia" w:ascii="宋体" w:hAnsi="宋体" w:eastAsia="宋体" w:cs="宋体"/>
                <w:color w:val="auto"/>
              </w:rPr>
              <w:t>年</w:t>
            </w:r>
            <w:r>
              <w:rPr>
                <w:rFonts w:hint="eastAsia" w:ascii="宋体" w:hAnsi="宋体" w:eastAsia="宋体" w:cs="宋体"/>
                <w:color w:val="auto"/>
                <w:spacing w:val="2"/>
              </w:rPr>
              <w:t xml:space="preserve">       </w:t>
            </w:r>
            <w:r>
              <w:rPr>
                <w:rFonts w:hint="eastAsia" w:ascii="宋体" w:hAnsi="宋体" w:eastAsia="宋体" w:cs="宋体"/>
                <w:color w:val="auto"/>
              </w:rPr>
              <w:t>月</w:t>
            </w:r>
            <w:r>
              <w:rPr>
                <w:rFonts w:hint="eastAsia" w:ascii="宋体" w:hAnsi="宋体" w:eastAsia="宋体" w:cs="宋体"/>
                <w:color w:val="auto"/>
                <w:spacing w:val="8"/>
              </w:rPr>
              <w:t xml:space="preserve">       </w:t>
            </w:r>
            <w:r>
              <w:rPr>
                <w:rFonts w:hint="eastAsia" w:ascii="宋体" w:hAnsi="宋体" w:eastAsia="宋体" w:cs="宋体"/>
                <w:color w:val="auto"/>
              </w:rPr>
              <w:t>日</w:t>
            </w:r>
          </w:p>
        </w:tc>
      </w:tr>
    </w:tbl>
    <w:p w14:paraId="6CAE3494">
      <w:pPr>
        <w:spacing w:before="85" w:line="360" w:lineRule="auto"/>
        <w:rPr>
          <w:rFonts w:hint="eastAsia" w:ascii="宋体" w:hAnsi="宋体" w:eastAsia="宋体" w:cs="宋体"/>
          <w:color w:val="auto"/>
          <w:sz w:val="20"/>
          <w:szCs w:val="20"/>
          <w:lang w:eastAsia="zh-CN"/>
        </w:rPr>
        <w:sectPr>
          <w:headerReference r:id="rId6" w:type="default"/>
          <w:footerReference r:id="rId7" w:type="default"/>
          <w:type w:val="continuous"/>
          <w:pgSz w:w="11906" w:h="16839"/>
          <w:pgMar w:top="938" w:right="1359" w:bottom="1156" w:left="1418" w:header="859" w:footer="994"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9"/>
          <w:sz w:val="20"/>
          <w:szCs w:val="20"/>
        </w:rPr>
        <w:t>方法定代表人或被授权代表签字并加盖单位公章后生效</w:t>
      </w:r>
      <w:r>
        <w:rPr>
          <w:rFonts w:hint="eastAsia" w:ascii="宋体" w:hAnsi="宋体" w:eastAsia="宋体" w:cs="宋体"/>
          <w:color w:val="auto"/>
          <w:spacing w:val="9"/>
          <w:sz w:val="20"/>
          <w:szCs w:val="20"/>
          <w:lang w:eastAsia="zh-CN"/>
        </w:rPr>
        <w:t>。</w:t>
      </w:r>
    </w:p>
    <w:p w14:paraId="6DDB9A2A">
      <w:pPr>
        <w:pStyle w:val="2"/>
        <w:spacing w:line="360" w:lineRule="auto"/>
        <w:rPr>
          <w:rFonts w:hint="eastAsia" w:ascii="宋体" w:hAnsi="宋体" w:eastAsia="宋体" w:cs="宋体"/>
          <w:color w:val="auto"/>
        </w:rPr>
      </w:pPr>
    </w:p>
    <w:p w14:paraId="70D7D920">
      <w:pPr>
        <w:rPr>
          <w:color w:val="auto"/>
        </w:rPr>
        <w:sectPr>
          <w:headerReference r:id="rId8" w:type="default"/>
          <w:footerReference r:id="rId9" w:type="default"/>
          <w:pgSz w:w="11906" w:h="16839"/>
          <w:pgMar w:top="1138" w:right="1417" w:bottom="1156" w:left="1305" w:header="859" w:footer="994" w:gutter="0"/>
          <w:pgBorders>
            <w:top w:val="none" w:sz="0" w:space="0"/>
            <w:left w:val="none" w:sz="0" w:space="0"/>
            <w:bottom w:val="none" w:sz="0" w:space="0"/>
            <w:right w:val="none" w:sz="0" w:space="0"/>
          </w:pgBorders>
          <w:cols w:space="720" w:num="1"/>
        </w:sectPr>
      </w:pPr>
      <w:bookmarkStart w:id="0" w:name="bookmark11"/>
      <w:bookmarkEnd w:id="0"/>
    </w:p>
    <w:p w14:paraId="77D80B11">
      <w:pPr>
        <w:pStyle w:val="14"/>
        <w:widowControl/>
        <w:numPr>
          <w:ilvl w:val="0"/>
          <w:numId w:val="0"/>
        </w:numPr>
        <w:spacing w:line="240" w:lineRule="auto"/>
        <w:jc w:val="both"/>
        <w:rPr>
          <w:rFonts w:hint="eastAsia" w:ascii="微软雅黑" w:hAnsi="微软雅黑" w:eastAsia="微软雅黑" w:cs="微软雅黑"/>
          <w:color w:val="auto"/>
          <w:sz w:val="20"/>
          <w:szCs w:val="20"/>
          <w:highlight w:val="none"/>
          <w:lang w:val="en-US" w:eastAsia="zh-CN"/>
        </w:rPr>
      </w:pPr>
    </w:p>
    <w:sectPr>
      <w:headerReference r:id="rId10" w:type="default"/>
      <w:footerReference r:id="rId11" w:type="default"/>
      <w:pgSz w:w="11906" w:h="16838"/>
      <w:pgMar w:top="808" w:right="1417" w:bottom="910" w:left="1417" w:header="851" w:footer="992" w:gutter="0"/>
      <w:pgBorders>
        <w:top w:val="none" w:sz="0" w:space="0"/>
        <w:left w:val="none" w:sz="0" w:space="0"/>
        <w:bottom w:val="none" w:sz="0" w:space="0"/>
        <w:right w:val="none" w:sz="0" w:space="0"/>
      </w:pgBorders>
      <w:pgNumType w:fmt="decimal"/>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13F3A76-D305-44F0-9DE6-B69D0B0ECB3D}"/>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2E35790F-6C0D-4422-90D1-A8484D855455}"/>
  </w:font>
  <w:font w:name="方正大黑体_GBK">
    <w:altName w:val="黑体"/>
    <w:panose1 w:val="02010600010101010101"/>
    <w:charset w:val="86"/>
    <w:family w:val="auto"/>
    <w:pitch w:val="default"/>
    <w:sig w:usb0="00000000" w:usb1="00000000" w:usb2="00000000" w:usb3="00000000" w:csb0="40040001" w:csb1="C0D60000"/>
  </w:font>
  <w:font w:name="微软雅黑">
    <w:panose1 w:val="020B0503020204020204"/>
    <w:charset w:val="86"/>
    <w:family w:val="auto"/>
    <w:pitch w:val="default"/>
    <w:sig w:usb0="80000287" w:usb1="2ACF3C50" w:usb2="00000016" w:usb3="00000000" w:csb0="0004001F" w:csb1="00000000"/>
    <w:embedRegular r:id="rId3" w:fontKey="{691A8D49-6125-45B8-95ED-E5D1B7FEDE57}"/>
  </w:font>
  <w:font w:name="仿宋">
    <w:panose1 w:val="02010609060101010101"/>
    <w:charset w:val="86"/>
    <w:family w:val="auto"/>
    <w:pitch w:val="default"/>
    <w:sig w:usb0="800002BF" w:usb1="38CF7CFA" w:usb2="00000016" w:usb3="00000000" w:csb0="00040001" w:csb1="00000000"/>
    <w:embedRegular r:id="rId4" w:fontKey="{C2514243-E893-492C-9F85-114CF5928F7D}"/>
  </w:font>
  <w:font w:name="Tahoma">
    <w:panose1 w:val="020B0604030504040204"/>
    <w:charset w:val="00"/>
    <w:family w:val="swiss"/>
    <w:pitch w:val="default"/>
    <w:sig w:usb0="E1002EFF" w:usb1="C000605B" w:usb2="00000029" w:usb3="00000000" w:csb0="200101FF" w:csb1="20280000"/>
    <w:embedRegular r:id="rId5" w:fontKey="{9DA67BBF-AFA3-45E6-B71A-37D8157FF4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7AF77">
    <w:pPr>
      <w:spacing w:line="176" w:lineRule="auto"/>
      <w:ind w:left="4992"/>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A055C">
    <w:pPr>
      <w:spacing w:line="176" w:lineRule="auto"/>
      <w:ind w:left="463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60C23">
    <w:pPr>
      <w:spacing w:line="176" w:lineRule="auto"/>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266C0">
    <w:pPr>
      <w:spacing w:line="176" w:lineRule="auto"/>
      <w:ind w:left="4561"/>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57D05">
    <w:pPr>
      <w:pStyle w:val="12"/>
      <w:rPr>
        <w:rFonts w:hint="default" w:ascii="Tahoma" w:hAnsi="Tahoma" w:cs="Tahoma"/>
        <w:sz w:val="28"/>
        <w:szCs w:val="28"/>
      </w:rPr>
    </w:pPr>
  </w:p>
  <w:p w14:paraId="7FA6FAF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3A65A">
    <w:pPr>
      <w:spacing w:before="19" w:line="181" w:lineRule="auto"/>
      <w:ind w:left="190"/>
      <w:rPr>
        <w:rFonts w:ascii="微软雅黑" w:hAnsi="微软雅黑" w:eastAsia="微软雅黑" w:cs="微软雅黑"/>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1D6B8">
    <w:pPr>
      <w:spacing w:before="19" w:line="181" w:lineRule="auto"/>
      <w:ind w:left="5"/>
      <w:rPr>
        <w:rFonts w:ascii="微软雅黑" w:hAnsi="微软雅黑" w:eastAsia="微软雅黑" w:cs="微软雅黑"/>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D237E">
    <w:pPr>
      <w:spacing w:before="19" w:line="181" w:lineRule="auto"/>
      <w:ind w:left="118"/>
      <w:rPr>
        <w:rFonts w:ascii="微软雅黑" w:hAnsi="微软雅黑" w:eastAsia="微软雅黑" w:cs="微软雅黑"/>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20BE8">
    <w:pPr>
      <w:spacing w:before="19" w:line="181" w:lineRule="auto"/>
      <w:ind w:left="549"/>
      <w:rPr>
        <w:rFonts w:ascii="微软雅黑" w:hAnsi="微软雅黑" w:eastAsia="微软雅黑" w:cs="微软雅黑"/>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hMDBlYjg2ZDRhNDRlNjM4Zjg5YzFjNTgyMjM1YzcifQ=="/>
  </w:docVars>
  <w:rsids>
    <w:rsidRoot w:val="00E31698"/>
    <w:rsid w:val="00083441"/>
    <w:rsid w:val="00095C4F"/>
    <w:rsid w:val="00097BBA"/>
    <w:rsid w:val="000C7171"/>
    <w:rsid w:val="00151C3E"/>
    <w:rsid w:val="001A1ED3"/>
    <w:rsid w:val="001D47CD"/>
    <w:rsid w:val="001D5E4F"/>
    <w:rsid w:val="001F2BAB"/>
    <w:rsid w:val="00224EC3"/>
    <w:rsid w:val="00240E94"/>
    <w:rsid w:val="00265746"/>
    <w:rsid w:val="002A3793"/>
    <w:rsid w:val="002A62D7"/>
    <w:rsid w:val="003572F8"/>
    <w:rsid w:val="003A6F34"/>
    <w:rsid w:val="003E19AC"/>
    <w:rsid w:val="0041349B"/>
    <w:rsid w:val="00443D60"/>
    <w:rsid w:val="00467900"/>
    <w:rsid w:val="004B0FE4"/>
    <w:rsid w:val="004F18F8"/>
    <w:rsid w:val="004F6A6C"/>
    <w:rsid w:val="0050680B"/>
    <w:rsid w:val="00514877"/>
    <w:rsid w:val="00522594"/>
    <w:rsid w:val="0053780A"/>
    <w:rsid w:val="00544DD2"/>
    <w:rsid w:val="005A5330"/>
    <w:rsid w:val="005B38AB"/>
    <w:rsid w:val="005B43E3"/>
    <w:rsid w:val="005E4F9E"/>
    <w:rsid w:val="00626FB1"/>
    <w:rsid w:val="00666484"/>
    <w:rsid w:val="006D6852"/>
    <w:rsid w:val="006E2BD4"/>
    <w:rsid w:val="006E4AB8"/>
    <w:rsid w:val="00725A7B"/>
    <w:rsid w:val="007468B7"/>
    <w:rsid w:val="00761531"/>
    <w:rsid w:val="007A7BFD"/>
    <w:rsid w:val="007B44FD"/>
    <w:rsid w:val="008048EF"/>
    <w:rsid w:val="008167DB"/>
    <w:rsid w:val="00827CBD"/>
    <w:rsid w:val="008733A6"/>
    <w:rsid w:val="00874BFF"/>
    <w:rsid w:val="00891F65"/>
    <w:rsid w:val="008D1BBE"/>
    <w:rsid w:val="008D5B6D"/>
    <w:rsid w:val="009009F1"/>
    <w:rsid w:val="00937271"/>
    <w:rsid w:val="0096078D"/>
    <w:rsid w:val="009608E4"/>
    <w:rsid w:val="009B7DB7"/>
    <w:rsid w:val="00A1519B"/>
    <w:rsid w:val="00A2594C"/>
    <w:rsid w:val="00A33EDC"/>
    <w:rsid w:val="00A628F3"/>
    <w:rsid w:val="00A9116E"/>
    <w:rsid w:val="00AD22A2"/>
    <w:rsid w:val="00AE7AB4"/>
    <w:rsid w:val="00AF6CF2"/>
    <w:rsid w:val="00B11750"/>
    <w:rsid w:val="00B6325B"/>
    <w:rsid w:val="00B82296"/>
    <w:rsid w:val="00B9717A"/>
    <w:rsid w:val="00BB21ED"/>
    <w:rsid w:val="00C513E1"/>
    <w:rsid w:val="00C57CFD"/>
    <w:rsid w:val="00C83463"/>
    <w:rsid w:val="00CA169B"/>
    <w:rsid w:val="00CB7FDD"/>
    <w:rsid w:val="00D548E2"/>
    <w:rsid w:val="00D6024C"/>
    <w:rsid w:val="00D73418"/>
    <w:rsid w:val="00D74675"/>
    <w:rsid w:val="00DC7CE2"/>
    <w:rsid w:val="00DD35FE"/>
    <w:rsid w:val="00DE53CC"/>
    <w:rsid w:val="00E26B08"/>
    <w:rsid w:val="00E30004"/>
    <w:rsid w:val="00E31698"/>
    <w:rsid w:val="00E711CA"/>
    <w:rsid w:val="00EB36B2"/>
    <w:rsid w:val="00ED2975"/>
    <w:rsid w:val="00EE76ED"/>
    <w:rsid w:val="00F2120A"/>
    <w:rsid w:val="00F53844"/>
    <w:rsid w:val="00F53A92"/>
    <w:rsid w:val="00F73532"/>
    <w:rsid w:val="00FA25D6"/>
    <w:rsid w:val="00FA4EA4"/>
    <w:rsid w:val="00FA7C8C"/>
    <w:rsid w:val="00FC702A"/>
    <w:rsid w:val="00FF77FB"/>
    <w:rsid w:val="01422C5C"/>
    <w:rsid w:val="01446F89"/>
    <w:rsid w:val="01673758"/>
    <w:rsid w:val="01730582"/>
    <w:rsid w:val="018646FA"/>
    <w:rsid w:val="018F01B2"/>
    <w:rsid w:val="01944054"/>
    <w:rsid w:val="01A53115"/>
    <w:rsid w:val="02186320"/>
    <w:rsid w:val="0288005D"/>
    <w:rsid w:val="029A7D90"/>
    <w:rsid w:val="02C5044A"/>
    <w:rsid w:val="02CF108D"/>
    <w:rsid w:val="03105704"/>
    <w:rsid w:val="032A1BD7"/>
    <w:rsid w:val="03305C8C"/>
    <w:rsid w:val="033A7A3F"/>
    <w:rsid w:val="033B28FE"/>
    <w:rsid w:val="03681C3C"/>
    <w:rsid w:val="036A11F0"/>
    <w:rsid w:val="037433B0"/>
    <w:rsid w:val="039D75DA"/>
    <w:rsid w:val="04071455"/>
    <w:rsid w:val="041A2F36"/>
    <w:rsid w:val="04662851"/>
    <w:rsid w:val="04B61493"/>
    <w:rsid w:val="04BE2F02"/>
    <w:rsid w:val="04D619B9"/>
    <w:rsid w:val="053162DA"/>
    <w:rsid w:val="05522BE1"/>
    <w:rsid w:val="0580167F"/>
    <w:rsid w:val="05BF370A"/>
    <w:rsid w:val="05C47AAD"/>
    <w:rsid w:val="06471FDD"/>
    <w:rsid w:val="0653788D"/>
    <w:rsid w:val="06693D01"/>
    <w:rsid w:val="069F5975"/>
    <w:rsid w:val="06D41F76"/>
    <w:rsid w:val="07057571"/>
    <w:rsid w:val="070E6657"/>
    <w:rsid w:val="071049A3"/>
    <w:rsid w:val="074A33AB"/>
    <w:rsid w:val="07834D51"/>
    <w:rsid w:val="0794105F"/>
    <w:rsid w:val="079E54CA"/>
    <w:rsid w:val="07B96F31"/>
    <w:rsid w:val="07E21FBD"/>
    <w:rsid w:val="07F669D7"/>
    <w:rsid w:val="08613153"/>
    <w:rsid w:val="08C14F4B"/>
    <w:rsid w:val="08FD1DB4"/>
    <w:rsid w:val="0942047A"/>
    <w:rsid w:val="09902E28"/>
    <w:rsid w:val="0A0C21E3"/>
    <w:rsid w:val="0A66469A"/>
    <w:rsid w:val="0A79472F"/>
    <w:rsid w:val="0A892BF3"/>
    <w:rsid w:val="0ABA0B82"/>
    <w:rsid w:val="0ACE4444"/>
    <w:rsid w:val="0B1F032B"/>
    <w:rsid w:val="0B224DC6"/>
    <w:rsid w:val="0B261F6D"/>
    <w:rsid w:val="0B5D1CFF"/>
    <w:rsid w:val="0B8D3DD3"/>
    <w:rsid w:val="0C0A70E8"/>
    <w:rsid w:val="0C873133"/>
    <w:rsid w:val="0CB21FBA"/>
    <w:rsid w:val="0CC76538"/>
    <w:rsid w:val="0CF72514"/>
    <w:rsid w:val="0D054CBB"/>
    <w:rsid w:val="0D5053F0"/>
    <w:rsid w:val="0D566513"/>
    <w:rsid w:val="0D6C31B2"/>
    <w:rsid w:val="0D861696"/>
    <w:rsid w:val="0E2C6F64"/>
    <w:rsid w:val="0EC46833"/>
    <w:rsid w:val="0EE54141"/>
    <w:rsid w:val="0EE77EB2"/>
    <w:rsid w:val="0EFB1BB6"/>
    <w:rsid w:val="0F272DFF"/>
    <w:rsid w:val="0F4F6FB5"/>
    <w:rsid w:val="0F512953"/>
    <w:rsid w:val="0FD20DA7"/>
    <w:rsid w:val="0FE41AF5"/>
    <w:rsid w:val="102B0279"/>
    <w:rsid w:val="102D5D9F"/>
    <w:rsid w:val="105827E4"/>
    <w:rsid w:val="10B61448"/>
    <w:rsid w:val="113308DE"/>
    <w:rsid w:val="11686ADC"/>
    <w:rsid w:val="116903BD"/>
    <w:rsid w:val="11B74185"/>
    <w:rsid w:val="11BA7B07"/>
    <w:rsid w:val="11BD72A3"/>
    <w:rsid w:val="124521A1"/>
    <w:rsid w:val="12555A81"/>
    <w:rsid w:val="12AF720F"/>
    <w:rsid w:val="12E44355"/>
    <w:rsid w:val="13D146EF"/>
    <w:rsid w:val="141D612B"/>
    <w:rsid w:val="142B201C"/>
    <w:rsid w:val="143567A2"/>
    <w:rsid w:val="14650F36"/>
    <w:rsid w:val="14AB1989"/>
    <w:rsid w:val="14AC592C"/>
    <w:rsid w:val="14B425D4"/>
    <w:rsid w:val="14D709D0"/>
    <w:rsid w:val="14E42289"/>
    <w:rsid w:val="14E90E7C"/>
    <w:rsid w:val="14F055ED"/>
    <w:rsid w:val="14FF1AD6"/>
    <w:rsid w:val="1505422E"/>
    <w:rsid w:val="15063063"/>
    <w:rsid w:val="1531724E"/>
    <w:rsid w:val="15624F32"/>
    <w:rsid w:val="15657D89"/>
    <w:rsid w:val="159D5775"/>
    <w:rsid w:val="163C6A26"/>
    <w:rsid w:val="16985F3D"/>
    <w:rsid w:val="16C66BE6"/>
    <w:rsid w:val="16F5372F"/>
    <w:rsid w:val="17245C94"/>
    <w:rsid w:val="175E39F3"/>
    <w:rsid w:val="1776002C"/>
    <w:rsid w:val="17B40F6E"/>
    <w:rsid w:val="17BB4A77"/>
    <w:rsid w:val="17CD1C16"/>
    <w:rsid w:val="17D520F8"/>
    <w:rsid w:val="17F50486"/>
    <w:rsid w:val="1800157C"/>
    <w:rsid w:val="183930F9"/>
    <w:rsid w:val="18461A78"/>
    <w:rsid w:val="18567339"/>
    <w:rsid w:val="187529D9"/>
    <w:rsid w:val="187D318C"/>
    <w:rsid w:val="188E06F3"/>
    <w:rsid w:val="189270E7"/>
    <w:rsid w:val="18F424D5"/>
    <w:rsid w:val="19394188"/>
    <w:rsid w:val="194653FF"/>
    <w:rsid w:val="19483C4A"/>
    <w:rsid w:val="19642F38"/>
    <w:rsid w:val="19A46172"/>
    <w:rsid w:val="19A90DF7"/>
    <w:rsid w:val="19BF4D4C"/>
    <w:rsid w:val="19CA42E5"/>
    <w:rsid w:val="19CE05F3"/>
    <w:rsid w:val="19DA17BE"/>
    <w:rsid w:val="19FB6F0F"/>
    <w:rsid w:val="1A3B221D"/>
    <w:rsid w:val="1A3B524D"/>
    <w:rsid w:val="1A402B73"/>
    <w:rsid w:val="1AEA183A"/>
    <w:rsid w:val="1BC44511"/>
    <w:rsid w:val="1BEF2B65"/>
    <w:rsid w:val="1C1036BB"/>
    <w:rsid w:val="1C1564FF"/>
    <w:rsid w:val="1C7E7A7E"/>
    <w:rsid w:val="1C844F99"/>
    <w:rsid w:val="1CDD02E8"/>
    <w:rsid w:val="1D1449A8"/>
    <w:rsid w:val="1D1C1676"/>
    <w:rsid w:val="1D372D62"/>
    <w:rsid w:val="1D3D4638"/>
    <w:rsid w:val="1D453804"/>
    <w:rsid w:val="1D9B68C4"/>
    <w:rsid w:val="1D9E19C0"/>
    <w:rsid w:val="1DC75A85"/>
    <w:rsid w:val="1DCA105F"/>
    <w:rsid w:val="1DD16CA9"/>
    <w:rsid w:val="1DDB529D"/>
    <w:rsid w:val="1E184330"/>
    <w:rsid w:val="1E2C67C9"/>
    <w:rsid w:val="1E841173"/>
    <w:rsid w:val="1EA36CAE"/>
    <w:rsid w:val="1EAD71B5"/>
    <w:rsid w:val="1EE03EF9"/>
    <w:rsid w:val="1F5F42D0"/>
    <w:rsid w:val="1FD0002A"/>
    <w:rsid w:val="1FF7480F"/>
    <w:rsid w:val="200C2A88"/>
    <w:rsid w:val="205F0A49"/>
    <w:rsid w:val="20633AEA"/>
    <w:rsid w:val="20767820"/>
    <w:rsid w:val="20BA367F"/>
    <w:rsid w:val="20D90B9C"/>
    <w:rsid w:val="20FF72E4"/>
    <w:rsid w:val="211803A6"/>
    <w:rsid w:val="21375482"/>
    <w:rsid w:val="21532E1D"/>
    <w:rsid w:val="21642DD9"/>
    <w:rsid w:val="218B6DCA"/>
    <w:rsid w:val="21B11DC6"/>
    <w:rsid w:val="21B25AB0"/>
    <w:rsid w:val="21DB0CB5"/>
    <w:rsid w:val="220A2E72"/>
    <w:rsid w:val="22467439"/>
    <w:rsid w:val="22540413"/>
    <w:rsid w:val="22684354"/>
    <w:rsid w:val="22C10E6C"/>
    <w:rsid w:val="22E85076"/>
    <w:rsid w:val="22F0282B"/>
    <w:rsid w:val="234C07DB"/>
    <w:rsid w:val="23F41DBF"/>
    <w:rsid w:val="2409047A"/>
    <w:rsid w:val="250C393D"/>
    <w:rsid w:val="255C47C4"/>
    <w:rsid w:val="256E29AF"/>
    <w:rsid w:val="260A2D7B"/>
    <w:rsid w:val="26213421"/>
    <w:rsid w:val="263E440B"/>
    <w:rsid w:val="266D744B"/>
    <w:rsid w:val="26774F67"/>
    <w:rsid w:val="268C3CC4"/>
    <w:rsid w:val="26E56F7C"/>
    <w:rsid w:val="272E0923"/>
    <w:rsid w:val="273701DE"/>
    <w:rsid w:val="276E3A21"/>
    <w:rsid w:val="278A3680"/>
    <w:rsid w:val="27A8519A"/>
    <w:rsid w:val="27B31A45"/>
    <w:rsid w:val="27C713CD"/>
    <w:rsid w:val="288C10C3"/>
    <w:rsid w:val="28D611AE"/>
    <w:rsid w:val="28E8779B"/>
    <w:rsid w:val="291E5651"/>
    <w:rsid w:val="292E4C0A"/>
    <w:rsid w:val="29BF5862"/>
    <w:rsid w:val="29CB762A"/>
    <w:rsid w:val="29D15596"/>
    <w:rsid w:val="29FF3FDF"/>
    <w:rsid w:val="2A395345"/>
    <w:rsid w:val="2A3E5BB5"/>
    <w:rsid w:val="2AE23E5C"/>
    <w:rsid w:val="2AE337D3"/>
    <w:rsid w:val="2B41674B"/>
    <w:rsid w:val="2B433D52"/>
    <w:rsid w:val="2B736E91"/>
    <w:rsid w:val="2C0C3C63"/>
    <w:rsid w:val="2C370497"/>
    <w:rsid w:val="2C4E49EC"/>
    <w:rsid w:val="2C7E38F2"/>
    <w:rsid w:val="2C7F577D"/>
    <w:rsid w:val="2C8A79A6"/>
    <w:rsid w:val="2C9D5D44"/>
    <w:rsid w:val="2CA70BCA"/>
    <w:rsid w:val="2CB53162"/>
    <w:rsid w:val="2CD517F9"/>
    <w:rsid w:val="2CF96FE2"/>
    <w:rsid w:val="2D0363AE"/>
    <w:rsid w:val="2D216D06"/>
    <w:rsid w:val="2D446173"/>
    <w:rsid w:val="2D7B0827"/>
    <w:rsid w:val="2E0E7FCC"/>
    <w:rsid w:val="2E206AEC"/>
    <w:rsid w:val="2E87592D"/>
    <w:rsid w:val="2E9D4B8E"/>
    <w:rsid w:val="2EA71F97"/>
    <w:rsid w:val="2ECC6A32"/>
    <w:rsid w:val="2EDC2A13"/>
    <w:rsid w:val="2EEE26BB"/>
    <w:rsid w:val="2F5913E3"/>
    <w:rsid w:val="2F650FAE"/>
    <w:rsid w:val="2F8215C3"/>
    <w:rsid w:val="2F93685A"/>
    <w:rsid w:val="2F9961C8"/>
    <w:rsid w:val="2F9B3BFE"/>
    <w:rsid w:val="30121744"/>
    <w:rsid w:val="304D51F1"/>
    <w:rsid w:val="3052543F"/>
    <w:rsid w:val="30760465"/>
    <w:rsid w:val="30A11411"/>
    <w:rsid w:val="31140B8A"/>
    <w:rsid w:val="312958BE"/>
    <w:rsid w:val="31B2397C"/>
    <w:rsid w:val="32047AE4"/>
    <w:rsid w:val="322D3528"/>
    <w:rsid w:val="322D3583"/>
    <w:rsid w:val="32917FB8"/>
    <w:rsid w:val="32AE563A"/>
    <w:rsid w:val="32D37FEB"/>
    <w:rsid w:val="33046F06"/>
    <w:rsid w:val="333917F0"/>
    <w:rsid w:val="33D3238D"/>
    <w:rsid w:val="340824FC"/>
    <w:rsid w:val="344D7F0F"/>
    <w:rsid w:val="34700847"/>
    <w:rsid w:val="34801EB5"/>
    <w:rsid w:val="34FE6F39"/>
    <w:rsid w:val="35132F06"/>
    <w:rsid w:val="35260FC4"/>
    <w:rsid w:val="35747E49"/>
    <w:rsid w:val="35754FD4"/>
    <w:rsid w:val="35A94D5C"/>
    <w:rsid w:val="35D844B2"/>
    <w:rsid w:val="367438E7"/>
    <w:rsid w:val="36750A67"/>
    <w:rsid w:val="368776BD"/>
    <w:rsid w:val="36E251F9"/>
    <w:rsid w:val="36F910B0"/>
    <w:rsid w:val="37076A9B"/>
    <w:rsid w:val="3724764D"/>
    <w:rsid w:val="37294C63"/>
    <w:rsid w:val="37384E4F"/>
    <w:rsid w:val="373E3EE9"/>
    <w:rsid w:val="377D0E9A"/>
    <w:rsid w:val="3782380B"/>
    <w:rsid w:val="37A9436D"/>
    <w:rsid w:val="38040634"/>
    <w:rsid w:val="381F0604"/>
    <w:rsid w:val="38242918"/>
    <w:rsid w:val="38710670"/>
    <w:rsid w:val="38951730"/>
    <w:rsid w:val="39000C4C"/>
    <w:rsid w:val="391A75EF"/>
    <w:rsid w:val="395C39F4"/>
    <w:rsid w:val="397E6243"/>
    <w:rsid w:val="39861387"/>
    <w:rsid w:val="399B17D0"/>
    <w:rsid w:val="39C57BBE"/>
    <w:rsid w:val="39E11A28"/>
    <w:rsid w:val="39E470D2"/>
    <w:rsid w:val="39F55D61"/>
    <w:rsid w:val="3A024838"/>
    <w:rsid w:val="3A0B4861"/>
    <w:rsid w:val="3A0E04D6"/>
    <w:rsid w:val="3A22702F"/>
    <w:rsid w:val="3A2D66A0"/>
    <w:rsid w:val="3A335271"/>
    <w:rsid w:val="3A877E20"/>
    <w:rsid w:val="3A916DA7"/>
    <w:rsid w:val="3A97579C"/>
    <w:rsid w:val="3AAD5BAB"/>
    <w:rsid w:val="3AD82C28"/>
    <w:rsid w:val="3B0A4335"/>
    <w:rsid w:val="3B0A7C71"/>
    <w:rsid w:val="3B2260B4"/>
    <w:rsid w:val="3B5F22E4"/>
    <w:rsid w:val="3B6E0E96"/>
    <w:rsid w:val="3B6E4EE3"/>
    <w:rsid w:val="3BC13A98"/>
    <w:rsid w:val="3BD01B51"/>
    <w:rsid w:val="3BEE647B"/>
    <w:rsid w:val="3C1A644D"/>
    <w:rsid w:val="3C1E0E80"/>
    <w:rsid w:val="3C544530"/>
    <w:rsid w:val="3C6F1279"/>
    <w:rsid w:val="3C793F4B"/>
    <w:rsid w:val="3C8B7990"/>
    <w:rsid w:val="3D1A157C"/>
    <w:rsid w:val="3D2342E5"/>
    <w:rsid w:val="3D4C16AB"/>
    <w:rsid w:val="3D8C5F4C"/>
    <w:rsid w:val="3DB8289D"/>
    <w:rsid w:val="3DCC52CA"/>
    <w:rsid w:val="3DD81240"/>
    <w:rsid w:val="3E117E09"/>
    <w:rsid w:val="3E1F3AA8"/>
    <w:rsid w:val="3E5A7DF8"/>
    <w:rsid w:val="3E931F32"/>
    <w:rsid w:val="3ED5122D"/>
    <w:rsid w:val="3F7A0C2B"/>
    <w:rsid w:val="400524B6"/>
    <w:rsid w:val="405B35B3"/>
    <w:rsid w:val="40833567"/>
    <w:rsid w:val="409D0F1A"/>
    <w:rsid w:val="409F12B2"/>
    <w:rsid w:val="40AC09C5"/>
    <w:rsid w:val="40F63E08"/>
    <w:rsid w:val="412E1016"/>
    <w:rsid w:val="417B0FDF"/>
    <w:rsid w:val="41967399"/>
    <w:rsid w:val="421F0B45"/>
    <w:rsid w:val="42460CC9"/>
    <w:rsid w:val="42E5365A"/>
    <w:rsid w:val="43086633"/>
    <w:rsid w:val="430C07FC"/>
    <w:rsid w:val="4328219C"/>
    <w:rsid w:val="439D4A0F"/>
    <w:rsid w:val="43D01F9B"/>
    <w:rsid w:val="43ED2D38"/>
    <w:rsid w:val="4447497A"/>
    <w:rsid w:val="444950CD"/>
    <w:rsid w:val="449A7EB1"/>
    <w:rsid w:val="44C10289"/>
    <w:rsid w:val="44CB55AC"/>
    <w:rsid w:val="44D025C7"/>
    <w:rsid w:val="44E07221"/>
    <w:rsid w:val="450124F9"/>
    <w:rsid w:val="451E4F47"/>
    <w:rsid w:val="454378DC"/>
    <w:rsid w:val="45703652"/>
    <w:rsid w:val="459C6C79"/>
    <w:rsid w:val="45E221D5"/>
    <w:rsid w:val="46A0188F"/>
    <w:rsid w:val="46B504FD"/>
    <w:rsid w:val="47234594"/>
    <w:rsid w:val="477610AF"/>
    <w:rsid w:val="47775577"/>
    <w:rsid w:val="479B239F"/>
    <w:rsid w:val="479C29CC"/>
    <w:rsid w:val="47F97EA9"/>
    <w:rsid w:val="48111527"/>
    <w:rsid w:val="481267EE"/>
    <w:rsid w:val="482254E2"/>
    <w:rsid w:val="483F6570"/>
    <w:rsid w:val="48431E3E"/>
    <w:rsid w:val="48502FA7"/>
    <w:rsid w:val="48545746"/>
    <w:rsid w:val="485A6197"/>
    <w:rsid w:val="4868127A"/>
    <w:rsid w:val="486B50AA"/>
    <w:rsid w:val="487F112C"/>
    <w:rsid w:val="48BD345D"/>
    <w:rsid w:val="48CC74E4"/>
    <w:rsid w:val="48DD5EEF"/>
    <w:rsid w:val="48F16926"/>
    <w:rsid w:val="48FA73DE"/>
    <w:rsid w:val="49147934"/>
    <w:rsid w:val="495E6611"/>
    <w:rsid w:val="49751C4E"/>
    <w:rsid w:val="49A50722"/>
    <w:rsid w:val="4A4D05DD"/>
    <w:rsid w:val="4A5D7178"/>
    <w:rsid w:val="4A6F158D"/>
    <w:rsid w:val="4A8134AC"/>
    <w:rsid w:val="4AAC15CF"/>
    <w:rsid w:val="4ABF2B74"/>
    <w:rsid w:val="4ACC0A1E"/>
    <w:rsid w:val="4AE60665"/>
    <w:rsid w:val="4B4A1724"/>
    <w:rsid w:val="4B50680B"/>
    <w:rsid w:val="4B6B0339"/>
    <w:rsid w:val="4B6D2F19"/>
    <w:rsid w:val="4B92297F"/>
    <w:rsid w:val="4BAF79DD"/>
    <w:rsid w:val="4BEF0422"/>
    <w:rsid w:val="4C2A7CF2"/>
    <w:rsid w:val="4C691B84"/>
    <w:rsid w:val="4CA126E6"/>
    <w:rsid w:val="4CDA49A2"/>
    <w:rsid w:val="4CDD1900"/>
    <w:rsid w:val="4CE81D0E"/>
    <w:rsid w:val="4D2B308B"/>
    <w:rsid w:val="4D3A1520"/>
    <w:rsid w:val="4D4130F4"/>
    <w:rsid w:val="4D5F4317"/>
    <w:rsid w:val="4D70255A"/>
    <w:rsid w:val="4D7D31BB"/>
    <w:rsid w:val="4DA4187B"/>
    <w:rsid w:val="4DC76717"/>
    <w:rsid w:val="4DFF6D77"/>
    <w:rsid w:val="4E4D747A"/>
    <w:rsid w:val="4E5148AA"/>
    <w:rsid w:val="4E5A114C"/>
    <w:rsid w:val="4EF31987"/>
    <w:rsid w:val="4EF764A1"/>
    <w:rsid w:val="4F0510ED"/>
    <w:rsid w:val="4F1A33B7"/>
    <w:rsid w:val="4F4E7B44"/>
    <w:rsid w:val="4F50502B"/>
    <w:rsid w:val="4FA42C81"/>
    <w:rsid w:val="507A207D"/>
    <w:rsid w:val="5088751F"/>
    <w:rsid w:val="508F56F4"/>
    <w:rsid w:val="50AD2009"/>
    <w:rsid w:val="50B6056A"/>
    <w:rsid w:val="50C307C2"/>
    <w:rsid w:val="50DA10F4"/>
    <w:rsid w:val="50F11EF6"/>
    <w:rsid w:val="5118384E"/>
    <w:rsid w:val="513D15DF"/>
    <w:rsid w:val="51890874"/>
    <w:rsid w:val="51AA04BD"/>
    <w:rsid w:val="51C65943"/>
    <w:rsid w:val="51CB0999"/>
    <w:rsid w:val="5244717C"/>
    <w:rsid w:val="526D37FE"/>
    <w:rsid w:val="52766C01"/>
    <w:rsid w:val="527F2466"/>
    <w:rsid w:val="52A04FA9"/>
    <w:rsid w:val="52A336C4"/>
    <w:rsid w:val="52A80D08"/>
    <w:rsid w:val="52BC7724"/>
    <w:rsid w:val="52E25155"/>
    <w:rsid w:val="52EE750C"/>
    <w:rsid w:val="534A3B3F"/>
    <w:rsid w:val="53585E62"/>
    <w:rsid w:val="53806989"/>
    <w:rsid w:val="53C633CD"/>
    <w:rsid w:val="53E915AA"/>
    <w:rsid w:val="53FF708A"/>
    <w:rsid w:val="5450579E"/>
    <w:rsid w:val="548613FB"/>
    <w:rsid w:val="54BC7D1F"/>
    <w:rsid w:val="54D9581B"/>
    <w:rsid w:val="55115430"/>
    <w:rsid w:val="5516017D"/>
    <w:rsid w:val="552E7FF6"/>
    <w:rsid w:val="55385D47"/>
    <w:rsid w:val="555B289D"/>
    <w:rsid w:val="556E34A7"/>
    <w:rsid w:val="558A11FC"/>
    <w:rsid w:val="55C027DF"/>
    <w:rsid w:val="56751C39"/>
    <w:rsid w:val="56B03028"/>
    <w:rsid w:val="56D82740"/>
    <w:rsid w:val="56DB78D0"/>
    <w:rsid w:val="56FE05B4"/>
    <w:rsid w:val="57445842"/>
    <w:rsid w:val="57511940"/>
    <w:rsid w:val="57607DD5"/>
    <w:rsid w:val="57833B5E"/>
    <w:rsid w:val="57A41913"/>
    <w:rsid w:val="57AC6E68"/>
    <w:rsid w:val="57BA470D"/>
    <w:rsid w:val="58115A9C"/>
    <w:rsid w:val="5815647A"/>
    <w:rsid w:val="589D2551"/>
    <w:rsid w:val="58D20246"/>
    <w:rsid w:val="590F461E"/>
    <w:rsid w:val="591946E0"/>
    <w:rsid w:val="59396B30"/>
    <w:rsid w:val="595B44E5"/>
    <w:rsid w:val="59652546"/>
    <w:rsid w:val="597964B7"/>
    <w:rsid w:val="59AB6683"/>
    <w:rsid w:val="59B416EC"/>
    <w:rsid w:val="59B9557B"/>
    <w:rsid w:val="59BC3F56"/>
    <w:rsid w:val="59EF77A4"/>
    <w:rsid w:val="5A517EA9"/>
    <w:rsid w:val="5A9439DC"/>
    <w:rsid w:val="5A9B5741"/>
    <w:rsid w:val="5AAF70D9"/>
    <w:rsid w:val="5AB250DD"/>
    <w:rsid w:val="5B707B45"/>
    <w:rsid w:val="5B9E688A"/>
    <w:rsid w:val="5BA541F5"/>
    <w:rsid w:val="5BC71707"/>
    <w:rsid w:val="5BC87CF7"/>
    <w:rsid w:val="5BD13050"/>
    <w:rsid w:val="5BDC16C9"/>
    <w:rsid w:val="5C330FDC"/>
    <w:rsid w:val="5C3F3891"/>
    <w:rsid w:val="5C702D94"/>
    <w:rsid w:val="5C881AF1"/>
    <w:rsid w:val="5C9E059F"/>
    <w:rsid w:val="5CA923DE"/>
    <w:rsid w:val="5CC86C1B"/>
    <w:rsid w:val="5D1E38ED"/>
    <w:rsid w:val="5D4210D8"/>
    <w:rsid w:val="5D49605C"/>
    <w:rsid w:val="5D887E95"/>
    <w:rsid w:val="5DA072A6"/>
    <w:rsid w:val="5DC72EA5"/>
    <w:rsid w:val="5DF7337D"/>
    <w:rsid w:val="5DF85090"/>
    <w:rsid w:val="5E242FDB"/>
    <w:rsid w:val="5E2A543A"/>
    <w:rsid w:val="5E87381B"/>
    <w:rsid w:val="5E895966"/>
    <w:rsid w:val="5E8D73D4"/>
    <w:rsid w:val="5E9622EF"/>
    <w:rsid w:val="5F182114"/>
    <w:rsid w:val="5F1F563F"/>
    <w:rsid w:val="5F2D4A41"/>
    <w:rsid w:val="5F2E18E1"/>
    <w:rsid w:val="5F842979"/>
    <w:rsid w:val="60536729"/>
    <w:rsid w:val="60665985"/>
    <w:rsid w:val="60D65412"/>
    <w:rsid w:val="60EF5D26"/>
    <w:rsid w:val="611D2893"/>
    <w:rsid w:val="61607DA6"/>
    <w:rsid w:val="616C24C2"/>
    <w:rsid w:val="61F01D9D"/>
    <w:rsid w:val="61F7505B"/>
    <w:rsid w:val="62223638"/>
    <w:rsid w:val="623B56C7"/>
    <w:rsid w:val="623E5D28"/>
    <w:rsid w:val="624F18D2"/>
    <w:rsid w:val="62536E5E"/>
    <w:rsid w:val="627A005B"/>
    <w:rsid w:val="62BC59A6"/>
    <w:rsid w:val="632F0827"/>
    <w:rsid w:val="63465468"/>
    <w:rsid w:val="63BE035D"/>
    <w:rsid w:val="63EB36B2"/>
    <w:rsid w:val="63F91396"/>
    <w:rsid w:val="63FC058B"/>
    <w:rsid w:val="640B1448"/>
    <w:rsid w:val="641849C6"/>
    <w:rsid w:val="645A5DA2"/>
    <w:rsid w:val="6470392E"/>
    <w:rsid w:val="648D173D"/>
    <w:rsid w:val="648F7BCB"/>
    <w:rsid w:val="64B66B24"/>
    <w:rsid w:val="65311352"/>
    <w:rsid w:val="654D5439"/>
    <w:rsid w:val="65EF7158"/>
    <w:rsid w:val="65F355A7"/>
    <w:rsid w:val="6639552D"/>
    <w:rsid w:val="66602562"/>
    <w:rsid w:val="66A21491"/>
    <w:rsid w:val="66EC0361"/>
    <w:rsid w:val="66EF060B"/>
    <w:rsid w:val="67226DA1"/>
    <w:rsid w:val="676F2E77"/>
    <w:rsid w:val="67D47775"/>
    <w:rsid w:val="67E9054B"/>
    <w:rsid w:val="682D5D03"/>
    <w:rsid w:val="6869400D"/>
    <w:rsid w:val="687E00BB"/>
    <w:rsid w:val="688616AA"/>
    <w:rsid w:val="69030A67"/>
    <w:rsid w:val="69130213"/>
    <w:rsid w:val="69194288"/>
    <w:rsid w:val="6934718B"/>
    <w:rsid w:val="694125ED"/>
    <w:rsid w:val="699E6C28"/>
    <w:rsid w:val="69CA4BCD"/>
    <w:rsid w:val="69E225E1"/>
    <w:rsid w:val="6A321B46"/>
    <w:rsid w:val="6A5135AE"/>
    <w:rsid w:val="6A5F215C"/>
    <w:rsid w:val="6A954EF9"/>
    <w:rsid w:val="6AF919F0"/>
    <w:rsid w:val="6B115D52"/>
    <w:rsid w:val="6B2C5F2F"/>
    <w:rsid w:val="6B7F71F8"/>
    <w:rsid w:val="6BA73DCD"/>
    <w:rsid w:val="6BA8423D"/>
    <w:rsid w:val="6BB57148"/>
    <w:rsid w:val="6BD12BF8"/>
    <w:rsid w:val="6BDF2F63"/>
    <w:rsid w:val="6BE734D8"/>
    <w:rsid w:val="6BFE3C8E"/>
    <w:rsid w:val="6C1A50DD"/>
    <w:rsid w:val="6C5E604F"/>
    <w:rsid w:val="6C655E11"/>
    <w:rsid w:val="6C8034E5"/>
    <w:rsid w:val="6D0E1772"/>
    <w:rsid w:val="6D0E7DBD"/>
    <w:rsid w:val="6DA74FCD"/>
    <w:rsid w:val="6DCC7B1B"/>
    <w:rsid w:val="6DD0418A"/>
    <w:rsid w:val="6DE870EA"/>
    <w:rsid w:val="6E0A5995"/>
    <w:rsid w:val="6E3F1F8A"/>
    <w:rsid w:val="6E44539C"/>
    <w:rsid w:val="6E7E73CA"/>
    <w:rsid w:val="6E9F28DE"/>
    <w:rsid w:val="6EEB2223"/>
    <w:rsid w:val="6EFC4430"/>
    <w:rsid w:val="6F004D45"/>
    <w:rsid w:val="6F1169D3"/>
    <w:rsid w:val="6F3B0904"/>
    <w:rsid w:val="6F8C7934"/>
    <w:rsid w:val="6F9D7FAA"/>
    <w:rsid w:val="6F9F252E"/>
    <w:rsid w:val="6FD76303"/>
    <w:rsid w:val="6FDE3B35"/>
    <w:rsid w:val="700D1289"/>
    <w:rsid w:val="702B2DC7"/>
    <w:rsid w:val="704A2F79"/>
    <w:rsid w:val="704E4817"/>
    <w:rsid w:val="70881FEA"/>
    <w:rsid w:val="70D70CB1"/>
    <w:rsid w:val="70F1020D"/>
    <w:rsid w:val="71850675"/>
    <w:rsid w:val="71C16911"/>
    <w:rsid w:val="71D7083C"/>
    <w:rsid w:val="71F70D37"/>
    <w:rsid w:val="72065474"/>
    <w:rsid w:val="725C38FE"/>
    <w:rsid w:val="72B86ACD"/>
    <w:rsid w:val="72B94FED"/>
    <w:rsid w:val="72E859FC"/>
    <w:rsid w:val="72F37E87"/>
    <w:rsid w:val="72F86CBC"/>
    <w:rsid w:val="73012080"/>
    <w:rsid w:val="732A5D0E"/>
    <w:rsid w:val="735623D1"/>
    <w:rsid w:val="73625E1E"/>
    <w:rsid w:val="736C2CF9"/>
    <w:rsid w:val="73833F56"/>
    <w:rsid w:val="7384594D"/>
    <w:rsid w:val="73942E89"/>
    <w:rsid w:val="73AF1A71"/>
    <w:rsid w:val="73F370D4"/>
    <w:rsid w:val="745A2E85"/>
    <w:rsid w:val="74C22986"/>
    <w:rsid w:val="74DA2B1D"/>
    <w:rsid w:val="74E67A0E"/>
    <w:rsid w:val="74F9603A"/>
    <w:rsid w:val="75087342"/>
    <w:rsid w:val="751A23BE"/>
    <w:rsid w:val="752124FA"/>
    <w:rsid w:val="75284066"/>
    <w:rsid w:val="753E0AC3"/>
    <w:rsid w:val="754C5EA7"/>
    <w:rsid w:val="7573688E"/>
    <w:rsid w:val="75AF26A1"/>
    <w:rsid w:val="75FE280E"/>
    <w:rsid w:val="76034F1C"/>
    <w:rsid w:val="762F22EA"/>
    <w:rsid w:val="76360E6E"/>
    <w:rsid w:val="763A05EE"/>
    <w:rsid w:val="764B2FE7"/>
    <w:rsid w:val="76936D72"/>
    <w:rsid w:val="77100A78"/>
    <w:rsid w:val="77207C41"/>
    <w:rsid w:val="772738EA"/>
    <w:rsid w:val="775250D6"/>
    <w:rsid w:val="77A56E45"/>
    <w:rsid w:val="77AF7A7C"/>
    <w:rsid w:val="77BA5131"/>
    <w:rsid w:val="77C248B0"/>
    <w:rsid w:val="78167264"/>
    <w:rsid w:val="78222CD3"/>
    <w:rsid w:val="787943FB"/>
    <w:rsid w:val="787E5EB6"/>
    <w:rsid w:val="78880717"/>
    <w:rsid w:val="78B34AF4"/>
    <w:rsid w:val="78D9133E"/>
    <w:rsid w:val="78F52F0A"/>
    <w:rsid w:val="795046FC"/>
    <w:rsid w:val="79537AC4"/>
    <w:rsid w:val="79581023"/>
    <w:rsid w:val="798B6ADC"/>
    <w:rsid w:val="79C972E5"/>
    <w:rsid w:val="7A2B3485"/>
    <w:rsid w:val="7A3525A4"/>
    <w:rsid w:val="7A4949EF"/>
    <w:rsid w:val="7A752EA5"/>
    <w:rsid w:val="7A7676C5"/>
    <w:rsid w:val="7A7F58CD"/>
    <w:rsid w:val="7B1623D5"/>
    <w:rsid w:val="7B666D37"/>
    <w:rsid w:val="7B8A5355"/>
    <w:rsid w:val="7BDD4A8F"/>
    <w:rsid w:val="7BE40725"/>
    <w:rsid w:val="7BED7392"/>
    <w:rsid w:val="7C1C5EC7"/>
    <w:rsid w:val="7C375DAA"/>
    <w:rsid w:val="7C3D3992"/>
    <w:rsid w:val="7C656CDF"/>
    <w:rsid w:val="7C7E0232"/>
    <w:rsid w:val="7C8F68E3"/>
    <w:rsid w:val="7CA0023C"/>
    <w:rsid w:val="7CA1121C"/>
    <w:rsid w:val="7CBC47AF"/>
    <w:rsid w:val="7D133BCC"/>
    <w:rsid w:val="7DEB269C"/>
    <w:rsid w:val="7E444A4B"/>
    <w:rsid w:val="7E857F9E"/>
    <w:rsid w:val="7EBC4E80"/>
    <w:rsid w:val="7EFE1AFE"/>
    <w:rsid w:val="7F721BA4"/>
    <w:rsid w:val="7FB87B50"/>
    <w:rsid w:val="7FEA5BDF"/>
    <w:rsid w:val="7FF8479F"/>
    <w:rsid w:val="F6F709AA"/>
    <w:rsid w:val="FFDF8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0"/>
    <w:pPr>
      <w:keepNext/>
      <w:keepLines/>
      <w:spacing w:before="100" w:after="90" w:line="240" w:lineRule="auto"/>
      <w:jc w:val="center"/>
      <w:outlineLvl w:val="0"/>
    </w:pPr>
    <w:rPr>
      <w:b/>
      <w:bCs/>
      <w:kern w:val="44"/>
      <w:sz w:val="32"/>
      <w:szCs w:val="44"/>
    </w:rPr>
  </w:style>
  <w:style w:type="paragraph" w:styleId="5">
    <w:name w:val="heading 2"/>
    <w:basedOn w:val="1"/>
    <w:next w:val="1"/>
    <w:link w:val="41"/>
    <w:autoRedefine/>
    <w:qFormat/>
    <w:uiPriority w:val="1"/>
    <w:pPr>
      <w:autoSpaceDE w:val="0"/>
      <w:autoSpaceDN w:val="0"/>
      <w:spacing w:line="483" w:lineRule="exact"/>
      <w:ind w:left="863"/>
      <w:jc w:val="left"/>
      <w:outlineLvl w:val="1"/>
    </w:pPr>
    <w:rPr>
      <w:rFonts w:ascii="Microsoft JhengHei" w:hAnsi="Microsoft JhengHei" w:eastAsia="Microsoft JhengHei" w:cs="Microsoft JhengHei"/>
      <w:b/>
      <w:bCs/>
      <w:kern w:val="0"/>
      <w:sz w:val="32"/>
      <w:szCs w:val="32"/>
      <w:lang w:val="zh-CN" w:bidi="zh-CN"/>
    </w:rPr>
  </w:style>
  <w:style w:type="paragraph" w:styleId="6">
    <w:name w:val="heading 3"/>
    <w:basedOn w:val="1"/>
    <w:next w:val="1"/>
    <w:autoRedefine/>
    <w:unhideWhenUsed/>
    <w:qFormat/>
    <w:uiPriority w:val="0"/>
    <w:pPr>
      <w:keepNext/>
      <w:keepLines/>
      <w:spacing w:before="20" w:after="20" w:line="413" w:lineRule="auto"/>
      <w:outlineLvl w:val="2"/>
    </w:pPr>
    <w:rPr>
      <w:b/>
      <w:sz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27"/>
    <w:autoRedefine/>
    <w:qFormat/>
    <w:uiPriority w:val="1"/>
    <w:pPr>
      <w:autoSpaceDE w:val="0"/>
      <w:autoSpaceDN w:val="0"/>
      <w:jc w:val="left"/>
    </w:pPr>
    <w:rPr>
      <w:rFonts w:ascii="宋体" w:hAnsi="宋体" w:eastAsia="宋体" w:cs="宋体"/>
      <w:kern w:val="0"/>
      <w:sz w:val="32"/>
      <w:szCs w:val="32"/>
      <w:lang w:val="zh-CN" w:bidi="zh-CN"/>
    </w:rPr>
  </w:style>
  <w:style w:type="paragraph" w:styleId="3">
    <w:name w:val="Title"/>
    <w:basedOn w:val="1"/>
    <w:next w:val="1"/>
    <w:qFormat/>
    <w:uiPriority w:val="0"/>
    <w:pPr>
      <w:spacing w:before="240" w:after="60"/>
      <w:jc w:val="center"/>
      <w:outlineLvl w:val="0"/>
    </w:pPr>
    <w:rPr>
      <w:rFonts w:ascii="Arial" w:hAnsi="Arial" w:cs="Arial"/>
      <w:b/>
      <w:bCs/>
      <w:sz w:val="32"/>
      <w:szCs w:val="32"/>
    </w:rPr>
  </w:style>
  <w:style w:type="paragraph" w:styleId="7">
    <w:name w:val="Normal Indent"/>
    <w:basedOn w:val="1"/>
    <w:autoRedefine/>
    <w:qFormat/>
    <w:uiPriority w:val="0"/>
    <w:pPr>
      <w:ind w:firstLine="420"/>
    </w:pPr>
    <w:rPr>
      <w:szCs w:val="20"/>
    </w:rPr>
  </w:style>
  <w:style w:type="paragraph" w:styleId="8">
    <w:name w:val="annotation text"/>
    <w:basedOn w:val="1"/>
    <w:semiHidden/>
    <w:unhideWhenUsed/>
    <w:qFormat/>
    <w:uiPriority w:val="99"/>
    <w:pPr>
      <w:jc w:val="left"/>
    </w:pPr>
  </w:style>
  <w:style w:type="paragraph" w:styleId="9">
    <w:name w:val="Body Text Indent"/>
    <w:basedOn w:val="1"/>
    <w:next w:val="10"/>
    <w:autoRedefine/>
    <w:qFormat/>
    <w:uiPriority w:val="0"/>
    <w:pPr>
      <w:spacing w:after="120"/>
      <w:ind w:left="420" w:leftChars="200"/>
    </w:pPr>
  </w:style>
  <w:style w:type="paragraph" w:styleId="10">
    <w:name w:val="envelope return"/>
    <w:basedOn w:val="1"/>
    <w:qFormat/>
    <w:uiPriority w:val="0"/>
    <w:pPr>
      <w:snapToGrid w:val="0"/>
    </w:pPr>
    <w:rPr>
      <w:rFonts w:ascii="Arial" w:hAnsi="Arial" w:cs="Arial"/>
      <w:sz w:val="24"/>
      <w:szCs w:val="20"/>
    </w:rPr>
  </w:style>
  <w:style w:type="paragraph" w:styleId="11">
    <w:name w:val="Plain Text"/>
    <w:basedOn w:val="1"/>
    <w:next w:val="1"/>
    <w:qFormat/>
    <w:uiPriority w:val="0"/>
    <w:rPr>
      <w:rFonts w:ascii="宋体" w:hAnsi="Courier New"/>
      <w:kern w:val="0"/>
      <w:sz w:val="20"/>
      <w:szCs w:val="21"/>
    </w:rPr>
  </w:style>
  <w:style w:type="paragraph" w:styleId="12">
    <w:name w:val="footer"/>
    <w:basedOn w:val="1"/>
    <w:link w:val="26"/>
    <w:autoRedefine/>
    <w:unhideWhenUsed/>
    <w:qFormat/>
    <w:uiPriority w:val="0"/>
    <w:pPr>
      <w:tabs>
        <w:tab w:val="center" w:pos="4153"/>
        <w:tab w:val="right" w:pos="8306"/>
      </w:tabs>
      <w:snapToGrid w:val="0"/>
      <w:jc w:val="left"/>
    </w:pPr>
    <w:rPr>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2"/>
    <w:qFormat/>
    <w:uiPriority w:val="99"/>
    <w:pPr>
      <w:widowControl w:val="0"/>
      <w:spacing w:after="120" w:line="276" w:lineRule="auto"/>
      <w:ind w:firstLine="420" w:firstLineChars="100"/>
      <w:jc w:val="both"/>
    </w:pPr>
    <w:rPr>
      <w:rFonts w:ascii="Times New Roman" w:hAnsi="Times New Roman" w:eastAsia="宋体" w:cs="Times New Roman"/>
      <w:kern w:val="2"/>
      <w:sz w:val="21"/>
      <w:szCs w:val="21"/>
      <w:lang w:val="en-US" w:eastAsia="zh-CN" w:bidi="ar-SA"/>
    </w:rPr>
  </w:style>
  <w:style w:type="paragraph" w:styleId="17">
    <w:name w:val="Body Text First Indent 2"/>
    <w:basedOn w:val="9"/>
    <w:autoRedefine/>
    <w:unhideWhenUsed/>
    <w:qFormat/>
    <w:uiPriority w:val="99"/>
    <w:pPr>
      <w:ind w:firstLine="420" w:firstLineChars="200"/>
    </w:pPr>
  </w:style>
  <w:style w:type="table" w:styleId="19">
    <w:name w:val="Table Grid"/>
    <w:basedOn w:val="18"/>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page number"/>
    <w:basedOn w:val="20"/>
    <w:autoRedefine/>
    <w:qFormat/>
    <w:uiPriority w:val="0"/>
  </w:style>
  <w:style w:type="character" w:styleId="23">
    <w:name w:val="Hyperlink"/>
    <w:basedOn w:val="20"/>
    <w:autoRedefine/>
    <w:qFormat/>
    <w:uiPriority w:val="0"/>
    <w:rPr>
      <w:color w:val="0000FF"/>
      <w:u w:val="single"/>
    </w:rPr>
  </w:style>
  <w:style w:type="character" w:customStyle="1" w:styleId="24">
    <w:name w:val="标题 2 Char"/>
    <w:basedOn w:val="20"/>
    <w:link w:val="5"/>
    <w:autoRedefine/>
    <w:qFormat/>
    <w:uiPriority w:val="1"/>
    <w:rPr>
      <w:rFonts w:ascii="Microsoft JhengHei" w:hAnsi="Microsoft JhengHei" w:eastAsia="Microsoft JhengHei" w:cs="Microsoft JhengHei"/>
      <w:b/>
      <w:bCs/>
      <w:kern w:val="0"/>
      <w:sz w:val="32"/>
      <w:szCs w:val="32"/>
      <w:lang w:val="zh-CN" w:bidi="zh-CN"/>
    </w:rPr>
  </w:style>
  <w:style w:type="character" w:customStyle="1" w:styleId="25">
    <w:name w:val="页眉 Char"/>
    <w:basedOn w:val="20"/>
    <w:link w:val="13"/>
    <w:autoRedefine/>
    <w:qFormat/>
    <w:uiPriority w:val="99"/>
    <w:rPr>
      <w:sz w:val="18"/>
      <w:szCs w:val="18"/>
    </w:rPr>
  </w:style>
  <w:style w:type="character" w:customStyle="1" w:styleId="26">
    <w:name w:val="页脚 Char"/>
    <w:basedOn w:val="20"/>
    <w:link w:val="12"/>
    <w:autoRedefine/>
    <w:qFormat/>
    <w:uiPriority w:val="0"/>
    <w:rPr>
      <w:sz w:val="18"/>
      <w:szCs w:val="18"/>
    </w:rPr>
  </w:style>
  <w:style w:type="character" w:customStyle="1" w:styleId="27">
    <w:name w:val="正文文本 Char"/>
    <w:basedOn w:val="20"/>
    <w:link w:val="2"/>
    <w:autoRedefine/>
    <w:qFormat/>
    <w:uiPriority w:val="1"/>
    <w:rPr>
      <w:rFonts w:ascii="宋体" w:hAnsi="宋体" w:eastAsia="宋体" w:cs="宋体"/>
      <w:kern w:val="0"/>
      <w:sz w:val="32"/>
      <w:szCs w:val="32"/>
      <w:lang w:val="zh-CN" w:bidi="zh-CN"/>
    </w:rPr>
  </w:style>
  <w:style w:type="paragraph" w:styleId="28">
    <w:name w:val="List Paragraph"/>
    <w:basedOn w:val="1"/>
    <w:autoRedefine/>
    <w:qFormat/>
    <w:uiPriority w:val="34"/>
    <w:pPr>
      <w:ind w:firstLine="420" w:firstLineChars="200"/>
    </w:pPr>
  </w:style>
  <w:style w:type="paragraph" w:customStyle="1" w:styleId="29">
    <w:name w:val="正文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Other|1"/>
    <w:basedOn w:val="1"/>
    <w:autoRedefine/>
    <w:qFormat/>
    <w:uiPriority w:val="0"/>
    <w:rPr>
      <w:rFonts w:ascii="宋体" w:hAnsi="宋体" w:cs="宋体"/>
      <w:sz w:val="20"/>
      <w:szCs w:val="20"/>
      <w:lang w:val="zh-TW" w:eastAsia="zh-TW" w:bidi="zh-TW"/>
    </w:rPr>
  </w:style>
  <w:style w:type="paragraph" w:customStyle="1" w:styleId="31">
    <w:name w:val="p0"/>
    <w:basedOn w:val="1"/>
    <w:autoRedefine/>
    <w:qFormat/>
    <w:uiPriority w:val="0"/>
    <w:pPr>
      <w:widowControl/>
    </w:pPr>
    <w:rPr>
      <w:kern w:val="0"/>
      <w:szCs w:val="21"/>
    </w:rPr>
  </w:style>
  <w:style w:type="paragraph" w:customStyle="1" w:styleId="32">
    <w:name w:val="Table Paragraph"/>
    <w:basedOn w:val="1"/>
    <w:autoRedefine/>
    <w:qFormat/>
    <w:uiPriority w:val="1"/>
    <w:rPr>
      <w:rFonts w:ascii="宋体" w:hAnsi="宋体" w:eastAsia="宋体" w:cs="宋体"/>
      <w:lang w:val="zh-CN" w:eastAsia="zh-CN" w:bidi="zh-CN"/>
    </w:rPr>
  </w:style>
  <w:style w:type="character" w:customStyle="1" w:styleId="33">
    <w:name w:val="bjh-p"/>
    <w:autoRedefine/>
    <w:qFormat/>
    <w:uiPriority w:val="0"/>
  </w:style>
  <w:style w:type="character" w:customStyle="1" w:styleId="34">
    <w:name w:val="richtext"/>
    <w:basedOn w:val="20"/>
    <w:autoRedefine/>
    <w:qFormat/>
    <w:uiPriority w:val="0"/>
  </w:style>
  <w:style w:type="table" w:customStyle="1" w:styleId="35">
    <w:name w:val="Table Normal"/>
    <w:autoRedefine/>
    <w:semiHidden/>
    <w:unhideWhenUsed/>
    <w:qFormat/>
    <w:uiPriority w:val="0"/>
    <w:tblPr>
      <w:tblCellMar>
        <w:top w:w="0" w:type="dxa"/>
        <w:left w:w="0" w:type="dxa"/>
        <w:bottom w:w="0" w:type="dxa"/>
        <w:right w:w="0" w:type="dxa"/>
      </w:tblCellMar>
    </w:tblPr>
  </w:style>
  <w:style w:type="character" w:customStyle="1" w:styleId="36">
    <w:name w:val="NormalCharacter"/>
    <w:autoRedefine/>
    <w:semiHidden/>
    <w:qFormat/>
    <w:uiPriority w:val="0"/>
    <w:rPr>
      <w:rFonts w:ascii="Times New Roman" w:hAnsi="Times New Roman" w:eastAsia="宋体" w:cs="Times New Roman"/>
      <w:kern w:val="2"/>
      <w:sz w:val="21"/>
      <w:szCs w:val="24"/>
      <w:lang w:val="en-US" w:eastAsia="zh-CN" w:bidi="ar-SA"/>
    </w:rPr>
  </w:style>
  <w:style w:type="character" w:customStyle="1" w:styleId="37">
    <w:name w:val="font11"/>
    <w:basedOn w:val="20"/>
    <w:autoRedefine/>
    <w:qFormat/>
    <w:uiPriority w:val="0"/>
    <w:rPr>
      <w:rFonts w:hint="eastAsia" w:ascii="仿宋_GB2312" w:eastAsia="仿宋_GB2312" w:cs="仿宋_GB2312"/>
      <w:color w:val="000000"/>
      <w:sz w:val="24"/>
      <w:szCs w:val="24"/>
      <w:u w:val="none"/>
    </w:rPr>
  </w:style>
  <w:style w:type="character" w:customStyle="1" w:styleId="38">
    <w:name w:val="font21"/>
    <w:basedOn w:val="20"/>
    <w:autoRedefine/>
    <w:qFormat/>
    <w:uiPriority w:val="0"/>
    <w:rPr>
      <w:rFonts w:hint="eastAsia" w:ascii="方正大黑体_GBK" w:hAnsi="方正大黑体_GBK" w:eastAsia="方正大黑体_GBK" w:cs="方正大黑体_GBK"/>
      <w:color w:val="000000"/>
      <w:sz w:val="36"/>
      <w:szCs w:val="36"/>
      <w:u w:val="none"/>
    </w:rPr>
  </w:style>
  <w:style w:type="character" w:customStyle="1" w:styleId="39">
    <w:name w:val="font51"/>
    <w:basedOn w:val="20"/>
    <w:autoRedefine/>
    <w:qFormat/>
    <w:uiPriority w:val="0"/>
    <w:rPr>
      <w:rFonts w:hint="eastAsia" w:ascii="方正大黑体_GBK" w:hAnsi="方正大黑体_GBK" w:eastAsia="方正大黑体_GBK" w:cs="方正大黑体_GBK"/>
      <w:b/>
      <w:bCs/>
      <w:color w:val="000000"/>
      <w:sz w:val="36"/>
      <w:szCs w:val="36"/>
      <w:u w:val="none"/>
    </w:rPr>
  </w:style>
  <w:style w:type="character" w:customStyle="1" w:styleId="40">
    <w:name w:val="font01"/>
    <w:basedOn w:val="20"/>
    <w:autoRedefine/>
    <w:qFormat/>
    <w:uiPriority w:val="0"/>
    <w:rPr>
      <w:rFonts w:hint="eastAsia" w:ascii="方正大黑体_GBK" w:hAnsi="方正大黑体_GBK" w:eastAsia="方正大黑体_GBK" w:cs="方正大黑体_GBK"/>
      <w:b/>
      <w:bCs/>
      <w:color w:val="000000"/>
      <w:sz w:val="36"/>
      <w:szCs w:val="36"/>
      <w:u w:val="none"/>
    </w:rPr>
  </w:style>
  <w:style w:type="character" w:customStyle="1" w:styleId="41">
    <w:name w:val="标题 2 字符"/>
    <w:link w:val="5"/>
    <w:autoRedefine/>
    <w:qFormat/>
    <w:uiPriority w:val="0"/>
    <w:rPr>
      <w:rFonts w:ascii="宋体" w:hAnsi="宋体" w:cs="宋体"/>
      <w:b/>
      <w:kern w:val="0"/>
      <w:sz w:val="24"/>
    </w:rPr>
  </w:style>
  <w:style w:type="paragraph" w:customStyle="1" w:styleId="42">
    <w:name w:val="Table Text"/>
    <w:basedOn w:val="1"/>
    <w:semiHidden/>
    <w:qFormat/>
    <w:uiPriority w:val="0"/>
    <w:rPr>
      <w:rFonts w:ascii="微软雅黑" w:hAnsi="微软雅黑" w:eastAsia="微软雅黑" w:cs="微软雅黑"/>
      <w:sz w:val="20"/>
      <w:szCs w:val="20"/>
      <w:lang w:val="en-US" w:eastAsia="en-US" w:bidi="ar-SA"/>
    </w:rPr>
  </w:style>
  <w:style w:type="character" w:customStyle="1" w:styleId="43">
    <w:name w:val="ca-3"/>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19</Pages>
  <Words>6607</Words>
  <Characters>6742</Characters>
  <Lines>65</Lines>
  <Paragraphs>18</Paragraphs>
  <TotalTime>1</TotalTime>
  <ScaleCrop>false</ScaleCrop>
  <LinksUpToDate>false</LinksUpToDate>
  <CharactersWithSpaces>6784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2021-01-18T19:16:00Z</dcterms:created>
  <dc:creator>李华伟</dc:creator>
  <cp:lastModifiedBy>Jianbo_Lee</cp:lastModifiedBy>
  <cp:lastPrinted>2025-05-07T08:48:00Z</cp:lastPrinted>
  <dcterms:modified xsi:type="dcterms:W3CDTF">2026-07-03T12:02:38Z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281570273_cloud</vt:lpwstr>
  </property>
  <property fmtid="{D5CDD505-2E9C-101B-9397-08002B2CF9AE}" pid="4" name="ICV">
    <vt:lpwstr>0FA4CC51052748768440D81603875873_13</vt:lpwstr>
  </property>
  <property fmtid="{D5CDD505-2E9C-101B-9397-08002B2CF9AE}" pid="5" name="KSOTemplateDocerSaveRecord">
    <vt:lpwstr>eyJoZGlkIjoiN2U1ZDM2ZmU5ZDNhNjBhNTFjZjQxNTAwYTg4NjAzODgiLCJ1c2VySWQiOiI3MTkzODkwMDUifQ==</vt:lpwstr>
  </property>
</Properties>
</file>