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8142">
      <w:pPr>
        <w:jc w:val="center"/>
        <w:rPr>
          <w:rFonts w:hint="default" w:ascii="仿宋" w:hAnsi="仿宋" w:eastAsia="仿宋" w:cs="仿宋"/>
          <w:b/>
          <w:bCs/>
          <w:color w:val="auto"/>
          <w:sz w:val="44"/>
          <w:szCs w:val="44"/>
          <w:highlight w:val="none"/>
          <w:lang w:val="en-US" w:eastAsia="zh-CN"/>
        </w:rPr>
      </w:pPr>
      <w:bookmarkStart w:id="0" w:name="_Toc508051125"/>
      <w:bookmarkEnd w:id="0"/>
      <w:r>
        <w:rPr>
          <w:rFonts w:hint="eastAsia" w:ascii="仿宋" w:hAnsi="仿宋" w:eastAsia="仿宋" w:cs="仿宋"/>
          <w:b/>
          <w:bCs/>
          <w:color w:val="auto"/>
          <w:sz w:val="36"/>
          <w:szCs w:val="36"/>
          <w:highlight w:val="none"/>
          <w:lang w:val="en-US" w:eastAsia="zh-CN"/>
        </w:rPr>
        <w:t>广西艺术学院桂林校区2026年租车服务项目采购文件</w:t>
      </w:r>
    </w:p>
    <w:p w14:paraId="2E8A8F1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highlight w:val="none"/>
          <w:lang w:val="en-US" w:eastAsia="zh-CN"/>
        </w:rPr>
      </w:pPr>
    </w:p>
    <w:p w14:paraId="4010F6FB">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一、项目基本情况</w:t>
      </w:r>
    </w:p>
    <w:p w14:paraId="5A4096C4">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1.项目名称：广西艺术学院桂林校区2026年租车服务项目</w:t>
      </w:r>
    </w:p>
    <w:p w14:paraId="55D359A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color w:val="auto"/>
          <w:sz w:val="32"/>
          <w:szCs w:val="32"/>
          <w:highlight w:val="none"/>
          <w:lang w:eastAsia="zh-CN"/>
        </w:rPr>
      </w:pPr>
      <w:r>
        <w:rPr>
          <w:rFonts w:hint="eastAsia" w:ascii="仿宋" w:hAnsi="仿宋" w:eastAsia="仿宋" w:cs="Calibri"/>
          <w:color w:val="auto"/>
          <w:sz w:val="32"/>
          <w:szCs w:val="32"/>
          <w:highlight w:val="none"/>
          <w:lang w:val="en-US" w:eastAsia="zh-CN"/>
        </w:rPr>
        <w:t>2.项目服务周期为1年（</w:t>
      </w:r>
      <w:r>
        <w:rPr>
          <w:rFonts w:hint="eastAsia" w:ascii="仿宋" w:hAnsi="仿宋" w:eastAsia="仿宋" w:cs="Calibri"/>
          <w:color w:val="auto"/>
          <w:sz w:val="32"/>
          <w:szCs w:val="32"/>
          <w:highlight w:val="none"/>
        </w:rPr>
        <w:t>自合同签订之日起算</w:t>
      </w:r>
      <w:r>
        <w:rPr>
          <w:rFonts w:hint="eastAsia" w:ascii="仿宋" w:hAnsi="仿宋" w:eastAsia="仿宋" w:cs="Calibri"/>
          <w:color w:val="auto"/>
          <w:sz w:val="32"/>
          <w:szCs w:val="32"/>
          <w:highlight w:val="none"/>
          <w:lang w:eastAsia="zh-CN"/>
        </w:rPr>
        <w:t>）。</w:t>
      </w:r>
    </w:p>
    <w:p w14:paraId="13354C65">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b w:val="0"/>
          <w:bCs w:val="0"/>
          <w:i w:val="0"/>
          <w:iCs w:val="0"/>
          <w:caps w:val="0"/>
          <w:color w:val="auto"/>
          <w:spacing w:val="0"/>
          <w:sz w:val="32"/>
          <w:szCs w:val="32"/>
          <w:highlight w:val="none"/>
          <w:shd w:val="clear"/>
          <w:lang w:val="en-US" w:eastAsia="zh-CN"/>
        </w:rPr>
      </w:pPr>
      <w:r>
        <w:rPr>
          <w:rFonts w:hint="eastAsia" w:ascii="仿宋" w:hAnsi="仿宋" w:eastAsia="仿宋" w:cs="Calibri"/>
          <w:color w:val="auto"/>
          <w:sz w:val="32"/>
          <w:szCs w:val="32"/>
          <w:highlight w:val="none"/>
          <w:lang w:val="en-US" w:eastAsia="zh-CN"/>
        </w:rPr>
        <w:t>3.</w:t>
      </w:r>
      <w:r>
        <w:rPr>
          <w:rFonts w:hint="eastAsia" w:ascii="仿宋" w:hAnsi="仿宋" w:eastAsia="仿宋" w:cs="Calibri"/>
          <w:i w:val="0"/>
          <w:iCs w:val="0"/>
          <w:caps w:val="0"/>
          <w:color w:val="auto"/>
          <w:spacing w:val="0"/>
          <w:sz w:val="32"/>
          <w:szCs w:val="32"/>
          <w:highlight w:val="none"/>
          <w:shd w:val="clear"/>
        </w:rPr>
        <w:t>采购预算金额：</w:t>
      </w:r>
      <w:r>
        <w:rPr>
          <w:rFonts w:hint="eastAsia" w:ascii="仿宋" w:hAnsi="仿宋" w:eastAsia="仿宋" w:cs="Calibri"/>
          <w:b w:val="0"/>
          <w:bCs w:val="0"/>
          <w:i w:val="0"/>
          <w:iCs w:val="0"/>
          <w:caps w:val="0"/>
          <w:color w:val="auto"/>
          <w:spacing w:val="0"/>
          <w:sz w:val="32"/>
          <w:szCs w:val="32"/>
          <w:highlight w:val="none"/>
          <w:shd w:val="clear"/>
          <w:lang w:val="en-US" w:eastAsia="zh-CN"/>
        </w:rPr>
        <w:t>10万元/年，以每次实际结算为准。主要服务地点为桂林市区及桂林市周边区域，以采购人实际需求为准。</w:t>
      </w:r>
    </w:p>
    <w:p w14:paraId="6A56697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i w:val="0"/>
          <w:iCs w:val="0"/>
          <w:caps w:val="0"/>
          <w:color w:val="auto"/>
          <w:spacing w:val="0"/>
          <w:sz w:val="32"/>
          <w:szCs w:val="32"/>
          <w:highlight w:val="none"/>
          <w:shd w:val="clear"/>
          <w:lang w:val="en-US" w:eastAsia="zh-CN"/>
        </w:rPr>
        <w:t>4.详见附件一：采购需求</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本项目要求所有需求不能负偏离。</w:t>
      </w:r>
    </w:p>
    <w:p w14:paraId="17183384">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二、投标供应商资格要求</w:t>
      </w:r>
    </w:p>
    <w:p w14:paraId="044B8C73">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（一）必须是在中华人民共和国境内注册，具有独立法人，并持有市场监督管理部门核发的法人营业执照。</w:t>
      </w:r>
    </w:p>
    <w:p w14:paraId="2FA4B84F">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（二）</w:t>
      </w:r>
      <w:r>
        <w:rPr>
          <w:rFonts w:hint="default" w:ascii="仿宋" w:hAnsi="仿宋" w:eastAsia="仿宋" w:cs="Calibri"/>
          <w:b/>
          <w:bCs/>
          <w:color w:val="auto"/>
          <w:sz w:val="32"/>
          <w:szCs w:val="32"/>
          <w:highlight w:val="none"/>
          <w:lang w:val="en-US" w:eastAsia="zh-CN"/>
        </w:rPr>
        <w:t>投标人必须具备有效的道路运输经营许可证</w:t>
      </w:r>
      <w:r>
        <w:rPr>
          <w:rFonts w:hint="eastAsia" w:ascii="仿宋" w:hAnsi="仿宋" w:eastAsia="仿宋" w:cs="Calibri"/>
          <w:b/>
          <w:bCs/>
          <w:color w:val="auto"/>
          <w:sz w:val="32"/>
          <w:szCs w:val="32"/>
          <w:highlight w:val="none"/>
          <w:lang w:val="en-US" w:eastAsia="zh-CN"/>
        </w:rPr>
        <w:t>，且经营范围必须包含客运</w:t>
      </w:r>
      <w:r>
        <w:rPr>
          <w:rFonts w:hint="default" w:ascii="仿宋" w:hAnsi="仿宋" w:eastAsia="仿宋" w:cs="Calibri"/>
          <w:b/>
          <w:bCs/>
          <w:color w:val="auto"/>
          <w:sz w:val="32"/>
          <w:szCs w:val="32"/>
          <w:highlight w:val="none"/>
          <w:lang w:val="en-US" w:eastAsia="zh-CN"/>
        </w:rPr>
        <w:t>。</w:t>
      </w:r>
    </w:p>
    <w:p w14:paraId="767BB942">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三）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E2624BF">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“信用中国”网站查询方法：投标人在本项目投标截止时间前10日内,进入投标人基本信息页面，点击“下载信用报告”后点击“下载”。</w:t>
      </w:r>
    </w:p>
    <w:p w14:paraId="59267B25">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“中国政府采购网”的查询方法：点击“政府采购严重违法失信行为记录名单”进行查询。截止时间为本项目投标截止时间前10日至投标截止时间中任意一天。</w:t>
      </w:r>
    </w:p>
    <w:p w14:paraId="77758F17">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28"/>
          <w:szCs w:val="28"/>
          <w:highlight w:val="none"/>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BDD23CF">
      <w:pPr>
        <w:spacing w:line="360" w:lineRule="auto"/>
        <w:ind w:firstLine="320" w:firstLineChars="100"/>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default" w:ascii="仿宋" w:hAnsi="仿宋" w:eastAsia="仿宋" w:cs="Calibri"/>
          <w:b w:val="0"/>
          <w:bCs w:val="0"/>
          <w:color w:val="auto"/>
          <w:sz w:val="32"/>
          <w:szCs w:val="32"/>
          <w:highlight w:val="none"/>
          <w:lang w:val="en-US" w:eastAsia="zh-CN"/>
        </w:rPr>
        <w:t>单位负责人为同一人或者存在直接控股、管理关系的不同供应商，不得参加同一合同项下的采购活动。（投标时</w:t>
      </w:r>
      <w:r>
        <w:rPr>
          <w:rFonts w:hint="eastAsia" w:ascii="仿宋" w:hAnsi="仿宋" w:eastAsia="仿宋" w:cs="Calibri"/>
          <w:b w:val="0"/>
          <w:bCs w:val="0"/>
          <w:color w:val="auto"/>
          <w:sz w:val="32"/>
          <w:szCs w:val="32"/>
          <w:highlight w:val="none"/>
          <w:lang w:val="en-US" w:eastAsia="zh-CN"/>
        </w:rPr>
        <w:t>按附件格式提供</w:t>
      </w:r>
      <w:r>
        <w:rPr>
          <w:rFonts w:hint="default" w:ascii="仿宋" w:hAnsi="仿宋" w:eastAsia="仿宋" w:cs="Calibri"/>
          <w:b w:val="0"/>
          <w:bCs w:val="0"/>
          <w:color w:val="auto"/>
          <w:sz w:val="32"/>
          <w:szCs w:val="32"/>
          <w:highlight w:val="none"/>
          <w:lang w:val="en-US" w:eastAsia="zh-CN"/>
        </w:rPr>
        <w:t>）</w:t>
      </w:r>
      <w:r>
        <w:rPr>
          <w:rFonts w:hint="eastAsia" w:ascii="仿宋" w:hAnsi="仿宋" w:eastAsia="仿宋" w:cs="Calibri"/>
          <w:b w:val="0"/>
          <w:bCs w:val="0"/>
          <w:color w:val="auto"/>
          <w:sz w:val="32"/>
          <w:szCs w:val="32"/>
          <w:highlight w:val="none"/>
          <w:lang w:val="en-US" w:eastAsia="zh-CN"/>
        </w:rPr>
        <w:t>。</w:t>
      </w:r>
    </w:p>
    <w:p w14:paraId="01E05ED5">
      <w:pPr>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w:t>
      </w:r>
      <w:r>
        <w:rPr>
          <w:rFonts w:hint="default" w:ascii="仿宋" w:hAnsi="仿宋" w:eastAsia="仿宋" w:cs="Calibri"/>
          <w:b w:val="0"/>
          <w:bCs w:val="0"/>
          <w:color w:val="auto"/>
          <w:sz w:val="32"/>
          <w:szCs w:val="32"/>
          <w:highlight w:val="none"/>
          <w:lang w:val="en-US" w:eastAsia="zh-CN"/>
        </w:rPr>
        <w:t>本项目不接受联合体。</w:t>
      </w:r>
    </w:p>
    <w:p w14:paraId="59337F7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bookmarkStart w:id="1" w:name="_Toc508051126"/>
      <w:bookmarkEnd w:id="1"/>
      <w:r>
        <w:rPr>
          <w:rFonts w:hint="eastAsia" w:ascii="仿宋" w:hAnsi="仿宋" w:eastAsia="仿宋" w:cs="Calibri"/>
          <w:b/>
          <w:bCs/>
          <w:color w:val="auto"/>
          <w:sz w:val="32"/>
          <w:szCs w:val="32"/>
          <w:highlight w:val="none"/>
          <w:lang w:val="en-US" w:eastAsia="zh-CN"/>
        </w:rPr>
        <w:t>三、投标提供资料</w:t>
      </w:r>
      <w:r>
        <w:rPr>
          <w:rStyle w:val="10"/>
          <w:rFonts w:ascii="仿宋" w:hAnsi="仿宋" w:eastAsia="仿宋" w:cs="仿宋"/>
          <w:b/>
          <w:bCs/>
          <w:i w:val="0"/>
          <w:iCs w:val="0"/>
          <w:caps w:val="0"/>
          <w:color w:val="333333"/>
          <w:spacing w:val="0"/>
          <w:sz w:val="31"/>
          <w:szCs w:val="31"/>
        </w:rPr>
        <w:t>（所有材料需一正一副，并密封后加盖公章提供）</w:t>
      </w:r>
      <w:bookmarkStart w:id="10" w:name="_GoBack"/>
      <w:bookmarkEnd w:id="10"/>
    </w:p>
    <w:p w14:paraId="24421C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（一）</w:t>
      </w:r>
      <w:r>
        <w:rPr>
          <w:rFonts w:hint="eastAsia" w:ascii="仿宋" w:hAnsi="仿宋" w:eastAsia="仿宋" w:cs="Calibri"/>
          <w:color w:val="auto"/>
          <w:sz w:val="32"/>
          <w:szCs w:val="32"/>
          <w:highlight w:val="none"/>
        </w:rPr>
        <w:t>提供</w:t>
      </w:r>
      <w:r>
        <w:rPr>
          <w:rFonts w:hint="eastAsia" w:ascii="仿宋" w:hAnsi="仿宋" w:eastAsia="仿宋" w:cs="Calibri"/>
          <w:color w:val="auto"/>
          <w:sz w:val="32"/>
          <w:szCs w:val="32"/>
          <w:highlight w:val="none"/>
          <w:lang w:val="en-US" w:eastAsia="zh-CN"/>
        </w:rPr>
        <w:t>第二大点里要求的资格证明相关证明材料。</w:t>
      </w:r>
    </w:p>
    <w:p w14:paraId="325311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二</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法人授权委托书（原件）、有效的营业执照复印件（加盖单位公章）、被授权人身份证</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复印件）</w:t>
      </w:r>
      <w:r>
        <w:rPr>
          <w:rFonts w:hint="eastAsia" w:ascii="仿宋" w:hAnsi="仿宋" w:eastAsia="仿宋" w:cs="Calibri"/>
          <w:b w:val="0"/>
          <w:bCs w:val="0"/>
          <w:color w:val="auto"/>
          <w:sz w:val="32"/>
          <w:szCs w:val="32"/>
          <w:highlight w:val="none"/>
          <w:lang w:val="en-US" w:eastAsia="zh-CN"/>
        </w:rPr>
        <w:t>。</w:t>
      </w:r>
    </w:p>
    <w:p w14:paraId="5A0B51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（三）报价函（格式自拟），本项目以</w:t>
      </w:r>
      <w:r>
        <w:rPr>
          <w:rFonts w:hint="eastAsia" w:ascii="仿宋" w:hAnsi="仿宋" w:eastAsia="仿宋" w:cs="Calibri"/>
          <w:b/>
          <w:bCs/>
          <w:color w:val="auto"/>
          <w:sz w:val="32"/>
          <w:szCs w:val="32"/>
          <w:highlight w:val="none"/>
          <w:lang w:val="en-US" w:eastAsia="zh-CN"/>
        </w:rPr>
        <w:t>折扣</w:t>
      </w:r>
      <w:r>
        <w:rPr>
          <w:rFonts w:hint="eastAsia" w:ascii="仿宋" w:hAnsi="仿宋" w:eastAsia="仿宋" w:cs="Calibri"/>
          <w:b w:val="0"/>
          <w:bCs w:val="0"/>
          <w:color w:val="auto"/>
          <w:sz w:val="32"/>
          <w:szCs w:val="32"/>
          <w:highlight w:val="none"/>
          <w:lang w:val="en-US" w:eastAsia="zh-CN"/>
        </w:rPr>
        <w:t>统一报价，示例：如报价95%或95折，则实际结算价为上限价*95%.请投标人务必以上述参考格式的折扣进行报价，未按格式要求进行报价的，视为无效投标。</w:t>
      </w:r>
    </w:p>
    <w:p w14:paraId="5BA94F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eastAsia" w:ascii="仿宋" w:hAnsi="仿宋" w:eastAsia="仿宋" w:cs="Calibri"/>
          <w:color w:val="auto"/>
          <w:sz w:val="32"/>
          <w:szCs w:val="32"/>
          <w:highlight w:val="none"/>
        </w:rPr>
        <w:t>提供本次采购相关服务内容的组织实施方案</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应急方案</w:t>
      </w:r>
      <w:r>
        <w:rPr>
          <w:rFonts w:hint="eastAsia" w:ascii="仿宋" w:hAnsi="仿宋" w:eastAsia="仿宋" w:cs="Calibri"/>
          <w:color w:val="auto"/>
          <w:sz w:val="32"/>
          <w:szCs w:val="32"/>
          <w:highlight w:val="none"/>
        </w:rPr>
        <w:t>及服务承诺</w:t>
      </w:r>
      <w:r>
        <w:rPr>
          <w:rFonts w:hint="eastAsia" w:ascii="仿宋" w:hAnsi="仿宋" w:eastAsia="仿宋" w:cs="Calibri"/>
          <w:b w:val="0"/>
          <w:bCs w:val="0"/>
          <w:color w:val="auto"/>
          <w:sz w:val="32"/>
          <w:szCs w:val="32"/>
          <w:highlight w:val="none"/>
          <w:lang w:val="en-US" w:eastAsia="zh-CN"/>
        </w:rPr>
        <w:t>（格式自拟）。</w:t>
      </w:r>
    </w:p>
    <w:p w14:paraId="5853AD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（五）提供针对本项目采购需求逐项提供偏离情况表（格式自拟），</w:t>
      </w:r>
      <w:r>
        <w:rPr>
          <w:rFonts w:hint="eastAsia" w:ascii="仿宋" w:hAnsi="仿宋" w:eastAsia="仿宋" w:cs="Calibri"/>
          <w:b/>
          <w:bCs/>
          <w:color w:val="auto"/>
          <w:sz w:val="32"/>
          <w:szCs w:val="32"/>
          <w:highlight w:val="none"/>
          <w:lang w:val="en-US" w:eastAsia="zh-CN"/>
        </w:rPr>
        <w:t>并务必逐项比对，并写清楚每项要求的偏离情况</w:t>
      </w:r>
      <w:r>
        <w:rPr>
          <w:rFonts w:hint="eastAsia" w:ascii="仿宋" w:hAnsi="仿宋" w:eastAsia="仿宋" w:cs="Calibri"/>
          <w:b w:val="0"/>
          <w:bCs w:val="0"/>
          <w:color w:val="auto"/>
          <w:sz w:val="32"/>
          <w:szCs w:val="32"/>
          <w:highlight w:val="none"/>
          <w:lang w:val="en-US" w:eastAsia="zh-CN"/>
        </w:rPr>
        <w:t>，</w:t>
      </w:r>
      <w:r>
        <w:rPr>
          <w:rFonts w:hint="eastAsia" w:ascii="仿宋" w:hAnsi="仿宋" w:eastAsia="仿宋" w:cs="Calibri"/>
          <w:b/>
          <w:bCs/>
          <w:color w:val="auto"/>
          <w:sz w:val="32"/>
          <w:szCs w:val="32"/>
          <w:highlight w:val="none"/>
          <w:lang w:val="en-US" w:eastAsia="zh-CN"/>
        </w:rPr>
        <w:t>如不要求进行提供的，视为无效投标。</w:t>
      </w:r>
    </w:p>
    <w:p w14:paraId="1B14EE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（六）</w:t>
      </w:r>
      <w:r>
        <w:rPr>
          <w:rFonts w:hint="eastAsia" w:ascii="仿宋" w:hAnsi="仿宋" w:eastAsia="仿宋" w:cs="Calibri"/>
          <w:color w:val="auto"/>
          <w:sz w:val="32"/>
          <w:szCs w:val="32"/>
          <w:highlight w:val="none"/>
          <w:shd w:val="clear"/>
        </w:rPr>
        <w:t>根据评分办法准备的相关材料</w:t>
      </w:r>
      <w:r>
        <w:rPr>
          <w:rFonts w:hint="eastAsia" w:ascii="仿宋" w:hAnsi="仿宋" w:eastAsia="仿宋" w:cs="Calibri"/>
          <w:color w:val="auto"/>
          <w:sz w:val="32"/>
          <w:szCs w:val="32"/>
          <w:highlight w:val="none"/>
          <w:shd w:val="clear"/>
          <w:lang w:eastAsia="zh-CN"/>
        </w:rPr>
        <w:t>。</w:t>
      </w:r>
    </w:p>
    <w:p w14:paraId="48083F6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color w:val="auto"/>
          <w:sz w:val="32"/>
          <w:szCs w:val="32"/>
          <w:highlight w:val="none"/>
        </w:rPr>
      </w:pPr>
      <w:r>
        <w:rPr>
          <w:rFonts w:hint="eastAsia" w:ascii="仿宋" w:hAnsi="仿宋" w:eastAsia="仿宋" w:cs="Calibri"/>
          <w:b/>
          <w:bCs/>
          <w:color w:val="auto"/>
          <w:sz w:val="32"/>
          <w:szCs w:val="32"/>
          <w:highlight w:val="none"/>
          <w:lang w:val="en-US" w:eastAsia="zh-CN"/>
        </w:rPr>
        <w:t>四、成交方式：综合评分</w:t>
      </w:r>
      <w:r>
        <w:rPr>
          <w:rFonts w:hint="eastAsia" w:ascii="仿宋" w:hAnsi="仿宋" w:eastAsia="仿宋" w:cs="Calibri"/>
          <w:color w:val="auto"/>
          <w:sz w:val="32"/>
          <w:szCs w:val="32"/>
          <w:highlight w:val="none"/>
        </w:rPr>
        <w:t xml:space="preserve"> </w:t>
      </w:r>
    </w:p>
    <w:p w14:paraId="3C58FA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根据投标人的投标材料，在满足采购需求的基础上，</w:t>
      </w:r>
      <w:r>
        <w:rPr>
          <w:rFonts w:hint="default" w:ascii="仿宋" w:hAnsi="仿宋" w:eastAsia="仿宋" w:cs="Calibri"/>
          <w:color w:val="auto"/>
          <w:sz w:val="32"/>
          <w:szCs w:val="32"/>
          <w:highlight w:val="none"/>
          <w:lang w:val="en-US" w:eastAsia="zh-CN"/>
        </w:rPr>
        <w:t xml:space="preserve">采用百分制综合评分法，总得分 = </w:t>
      </w:r>
      <w:r>
        <w:rPr>
          <w:rFonts w:hint="eastAsia" w:ascii="仿宋" w:hAnsi="仿宋" w:eastAsia="仿宋" w:cs="Calibri"/>
          <w:color w:val="auto"/>
          <w:sz w:val="32"/>
          <w:szCs w:val="32"/>
          <w:highlight w:val="none"/>
          <w:lang w:val="en-US" w:eastAsia="zh-CN"/>
        </w:rPr>
        <w:t>报价</w:t>
      </w:r>
      <w:r>
        <w:rPr>
          <w:rFonts w:hint="default" w:ascii="仿宋" w:hAnsi="仿宋" w:eastAsia="仿宋" w:cs="Calibri"/>
          <w:color w:val="auto"/>
          <w:sz w:val="32"/>
          <w:szCs w:val="32"/>
          <w:highlight w:val="none"/>
          <w:lang w:val="en-US" w:eastAsia="zh-CN"/>
        </w:rPr>
        <w:t>分 + 技术分 + 商务分，计分按四舍五入取至百分位。</w:t>
      </w:r>
      <w:r>
        <w:rPr>
          <w:rFonts w:hint="eastAsia" w:ascii="仿宋" w:hAnsi="仿宋" w:eastAsia="仿宋" w:cs="Calibri"/>
          <w:color w:val="auto"/>
          <w:sz w:val="32"/>
          <w:szCs w:val="32"/>
          <w:highlight w:val="none"/>
          <w:lang w:val="en-US" w:eastAsia="zh-CN"/>
        </w:rPr>
        <w:t>详见附件：评分办法。</w:t>
      </w:r>
    </w:p>
    <w:p w14:paraId="1C66B4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b/>
          <w:bCs/>
          <w:color w:val="auto"/>
          <w:kern w:val="2"/>
          <w:sz w:val="32"/>
          <w:szCs w:val="32"/>
          <w:highlight w:val="none"/>
          <w:lang w:val="en-US" w:eastAsia="zh-CN" w:bidi="ar-SA"/>
        </w:rPr>
      </w:pPr>
      <w:r>
        <w:rPr>
          <w:rFonts w:hint="eastAsia" w:ascii="仿宋" w:hAnsi="仿宋" w:eastAsia="仿宋" w:cs="Calibri"/>
          <w:b/>
          <w:bCs/>
          <w:color w:val="auto"/>
          <w:kern w:val="2"/>
          <w:sz w:val="32"/>
          <w:szCs w:val="32"/>
          <w:highlight w:val="none"/>
          <w:lang w:val="en-US" w:eastAsia="zh-CN" w:bidi="ar-SA"/>
        </w:rPr>
        <w:t>五、投标截止时间和地点</w:t>
      </w:r>
    </w:p>
    <w:p w14:paraId="64FD15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（一）投标时间</w:t>
      </w:r>
    </w:p>
    <w:p w14:paraId="2FB50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凡愿意且符合条件投标人，请于2026年5月6日上午9：00至11：00，将投标文件密封送达广西艺术学院财务资产处，其他时间不接收报名材料。</w:t>
      </w:r>
    </w:p>
    <w:p w14:paraId="00E733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（二）投标地点</w:t>
      </w:r>
    </w:p>
    <w:p w14:paraId="56630C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南宁市青秀区教育路7号广西艺术学院南湖校区雕塑办公楼107室财务资产处采购管理科。</w:t>
      </w:r>
    </w:p>
    <w:p w14:paraId="3E9006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联系人：李老师，朱老师，高老师，联系电话：0771-5327987。</w:t>
      </w:r>
    </w:p>
    <w:p w14:paraId="2D8E6B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报价人。报价人据此参与本次采购活动，即视为对本次采购的相关信息、内容及规则没有异议。</w:t>
      </w:r>
    </w:p>
    <w:p w14:paraId="2F56BA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p>
    <w:p w14:paraId="4104ED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C6F83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3E3BB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FDB1F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7F06E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968D0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128C4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0ADD56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B21B5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492E1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 w:hAnsi="仿宋" w:eastAsia="仿宋" w:cs="Calibri"/>
          <w:color w:val="auto"/>
          <w:kern w:val="2"/>
          <w:sz w:val="32"/>
          <w:szCs w:val="32"/>
          <w:highlight w:val="none"/>
          <w:lang w:val="en-US" w:eastAsia="zh-CN" w:bidi="ar-SA"/>
        </w:rPr>
      </w:pPr>
    </w:p>
    <w:p w14:paraId="6CF5C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002B22A">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2" w:name="_Toc185348280"/>
      <w:bookmarkStart w:id="3" w:name="_Toc217446030"/>
      <w:bookmarkStart w:id="4" w:name="_Toc183682338"/>
      <w:r>
        <w:rPr>
          <w:rFonts w:hint="eastAsia" w:ascii="方正仿宋_GB2312" w:hAnsi="方正仿宋_GB2312" w:eastAsia="方正仿宋_GB2312" w:cs="方正仿宋_GB2312"/>
          <w:color w:val="auto"/>
          <w:sz w:val="32"/>
          <w:szCs w:val="32"/>
          <w:highlight w:val="none"/>
          <w:lang w:val="en-US" w:eastAsia="zh-CN"/>
        </w:rPr>
        <w:t>附件一：</w:t>
      </w:r>
      <w:r>
        <w:rPr>
          <w:rFonts w:hint="eastAsia" w:ascii="方正仿宋_GB2312" w:hAnsi="方正仿宋_GB2312" w:eastAsia="方正仿宋_GB2312" w:cs="方正仿宋_GB2312"/>
          <w:color w:val="auto"/>
          <w:sz w:val="32"/>
          <w:szCs w:val="32"/>
          <w:highlight w:val="none"/>
        </w:rPr>
        <w:t>广西艺术学院</w:t>
      </w:r>
      <w:r>
        <w:rPr>
          <w:rFonts w:hint="eastAsia" w:ascii="方正仿宋_GB2312" w:hAnsi="方正仿宋_GB2312" w:eastAsia="方正仿宋_GB2312" w:cs="方正仿宋_GB2312"/>
          <w:color w:val="auto"/>
          <w:sz w:val="32"/>
          <w:szCs w:val="32"/>
          <w:highlight w:val="none"/>
          <w:lang w:val="en-US" w:eastAsia="zh-CN"/>
        </w:rPr>
        <w:t>桂林校区</w:t>
      </w:r>
      <w:r>
        <w:rPr>
          <w:rFonts w:hint="eastAsia" w:ascii="方正仿宋_GB2312" w:hAnsi="方正仿宋_GB2312" w:eastAsia="方正仿宋_GB2312" w:cs="方正仿宋_GB2312"/>
          <w:color w:val="auto"/>
          <w:sz w:val="32"/>
          <w:szCs w:val="32"/>
          <w:highlight w:val="none"/>
        </w:rPr>
        <w:t>公务及教学租车服务项目采购需求</w:t>
      </w:r>
      <w:bookmarkEnd w:id="2"/>
    </w:p>
    <w:p w14:paraId="5279B013">
      <w:pPr>
        <w:pStyle w:val="3"/>
        <w:snapToGrid w:val="0"/>
        <w:jc w:val="center"/>
        <w:rPr>
          <w:rFonts w:hint="eastAsia" w:ascii="方正仿宋_GB2312" w:hAnsi="方正仿宋_GB2312" w:eastAsia="方正仿宋_GB2312" w:cs="方正仿宋_GB2312"/>
          <w:b/>
          <w:color w:val="auto"/>
          <w:highlight w:val="none"/>
        </w:rPr>
      </w:pPr>
      <w:bookmarkStart w:id="5" w:name="_Toc254970631"/>
      <w:bookmarkStart w:id="6" w:name="_Toc254970490"/>
    </w:p>
    <w:tbl>
      <w:tblPr>
        <w:tblStyle w:val="7"/>
        <w:tblW w:w="99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456"/>
        <w:gridCol w:w="709"/>
        <w:gridCol w:w="7122"/>
      </w:tblGrid>
      <w:tr w14:paraId="6DD79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995" w:type="dxa"/>
            <w:gridSpan w:val="4"/>
            <w:tcBorders>
              <w:top w:val="single" w:color="auto" w:sz="4" w:space="0"/>
              <w:left w:val="single" w:color="auto" w:sz="4" w:space="0"/>
              <w:bottom w:val="single" w:color="auto" w:sz="4" w:space="0"/>
              <w:right w:val="single" w:color="auto" w:sz="4" w:space="0"/>
            </w:tcBorders>
          </w:tcPr>
          <w:p w14:paraId="43E6D503">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一、项目需求及技术要求</w:t>
            </w:r>
          </w:p>
        </w:tc>
      </w:tr>
      <w:tr w14:paraId="07B9A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vAlign w:val="center"/>
          </w:tcPr>
          <w:p w14:paraId="5CF8DCC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1456" w:type="dxa"/>
            <w:tcBorders>
              <w:top w:val="single" w:color="auto" w:sz="4" w:space="0"/>
              <w:left w:val="single" w:color="auto" w:sz="4" w:space="0"/>
              <w:bottom w:val="single" w:color="auto" w:sz="4" w:space="0"/>
              <w:right w:val="single" w:color="auto" w:sz="4" w:space="0"/>
            </w:tcBorders>
            <w:vAlign w:val="center"/>
          </w:tcPr>
          <w:p w14:paraId="518CD9FA">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14:paraId="42B668DD">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数量</w:t>
            </w:r>
          </w:p>
        </w:tc>
        <w:tc>
          <w:tcPr>
            <w:tcW w:w="7122" w:type="dxa"/>
            <w:tcBorders>
              <w:top w:val="single" w:color="auto" w:sz="4" w:space="0"/>
              <w:left w:val="single" w:color="auto" w:sz="4" w:space="0"/>
              <w:bottom w:val="single" w:color="auto" w:sz="4" w:space="0"/>
              <w:right w:val="single" w:color="auto" w:sz="4" w:space="0"/>
            </w:tcBorders>
            <w:vAlign w:val="center"/>
          </w:tcPr>
          <w:p w14:paraId="420CD50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项目需求及服务(技术)要求</w:t>
            </w:r>
          </w:p>
        </w:tc>
      </w:tr>
      <w:tr w14:paraId="31F38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4" w:hRule="atLeast"/>
          <w:jc w:val="center"/>
        </w:trPr>
        <w:tc>
          <w:tcPr>
            <w:tcW w:w="708" w:type="dxa"/>
            <w:tcBorders>
              <w:left w:val="single" w:color="auto" w:sz="4" w:space="0"/>
              <w:bottom w:val="single" w:color="auto" w:sz="4" w:space="0"/>
              <w:right w:val="single" w:color="auto" w:sz="4" w:space="0"/>
            </w:tcBorders>
            <w:vAlign w:val="center"/>
          </w:tcPr>
          <w:p w14:paraId="31B9F3F3">
            <w:pPr>
              <w:pStyle w:val="15"/>
              <w:keepNext w:val="0"/>
              <w:keepLines w:val="0"/>
              <w:suppressLineNumbers w:val="0"/>
              <w:spacing w:before="0" w:beforeAutospacing="0" w:after="0" w:afterAutospacing="0"/>
              <w:ind w:left="0" w:right="0" w:firstLine="0" w:firstLineChars="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w:t>
            </w:r>
          </w:p>
        </w:tc>
        <w:tc>
          <w:tcPr>
            <w:tcW w:w="1456" w:type="dxa"/>
            <w:tcBorders>
              <w:left w:val="single" w:color="auto" w:sz="4" w:space="0"/>
              <w:bottom w:val="single" w:color="auto" w:sz="4" w:space="0"/>
              <w:right w:val="single" w:color="auto" w:sz="4" w:space="0"/>
            </w:tcBorders>
            <w:vAlign w:val="center"/>
          </w:tcPr>
          <w:p w14:paraId="16E119F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租车服务</w:t>
            </w:r>
          </w:p>
        </w:tc>
        <w:tc>
          <w:tcPr>
            <w:tcW w:w="709" w:type="dxa"/>
            <w:tcBorders>
              <w:left w:val="single" w:color="auto" w:sz="4" w:space="0"/>
              <w:bottom w:val="single" w:color="auto" w:sz="4" w:space="0"/>
              <w:right w:val="single" w:color="auto" w:sz="4" w:space="0"/>
            </w:tcBorders>
            <w:vAlign w:val="center"/>
          </w:tcPr>
          <w:p w14:paraId="5990DA52">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1项</w:t>
            </w:r>
          </w:p>
        </w:tc>
        <w:tc>
          <w:tcPr>
            <w:tcW w:w="7122" w:type="dxa"/>
            <w:tcBorders>
              <w:top w:val="single" w:color="auto" w:sz="4" w:space="0"/>
              <w:left w:val="single" w:color="auto" w:sz="4" w:space="0"/>
              <w:bottom w:val="single" w:color="auto" w:sz="4" w:space="0"/>
              <w:right w:val="single" w:color="auto" w:sz="4" w:space="0"/>
            </w:tcBorders>
            <w:vAlign w:val="center"/>
          </w:tcPr>
          <w:p w14:paraId="6EF617D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一、服务对象：主要为广西艺术学院</w:t>
            </w:r>
            <w:r>
              <w:rPr>
                <w:rFonts w:hint="eastAsia" w:ascii="方正仿宋_GB2312" w:hAnsi="方正仿宋_GB2312" w:eastAsia="方正仿宋_GB2312" w:cs="方正仿宋_GB2312"/>
                <w:bCs/>
                <w:color w:val="auto"/>
                <w:szCs w:val="21"/>
                <w:highlight w:val="none"/>
                <w:lang w:val="en-US" w:eastAsia="zh-CN"/>
              </w:rPr>
              <w:t>桂林校区</w:t>
            </w:r>
            <w:r>
              <w:rPr>
                <w:rFonts w:hint="eastAsia" w:ascii="方正仿宋_GB2312" w:hAnsi="方正仿宋_GB2312" w:eastAsia="方正仿宋_GB2312" w:cs="方正仿宋_GB2312"/>
                <w:bCs/>
                <w:color w:val="auto"/>
                <w:szCs w:val="21"/>
                <w:highlight w:val="none"/>
              </w:rPr>
              <w:t>提供大巴车、中巴车及小车等运输服务。</w:t>
            </w:r>
          </w:p>
          <w:p w14:paraId="1ACF8E9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二、服务地点：</w:t>
            </w:r>
            <w:r>
              <w:rPr>
                <w:rFonts w:hint="eastAsia" w:ascii="方正仿宋_GB2312" w:hAnsi="方正仿宋_GB2312" w:eastAsia="方正仿宋_GB2312" w:cs="方正仿宋_GB2312"/>
                <w:bCs/>
                <w:color w:val="auto"/>
                <w:szCs w:val="21"/>
                <w:highlight w:val="none"/>
                <w:lang w:val="en-US" w:eastAsia="zh-CN"/>
              </w:rPr>
              <w:t>主要为桂林市区及桂林市周边区域，</w:t>
            </w:r>
            <w:r>
              <w:rPr>
                <w:rFonts w:hint="eastAsia" w:ascii="方正仿宋_GB2312" w:hAnsi="方正仿宋_GB2312" w:eastAsia="方正仿宋_GB2312" w:cs="方正仿宋_GB2312"/>
                <w:bCs/>
                <w:color w:val="auto"/>
                <w:szCs w:val="21"/>
                <w:highlight w:val="none"/>
              </w:rPr>
              <w:t>以采购人实际要求为准。</w:t>
            </w:r>
          </w:p>
          <w:p w14:paraId="4044F00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三、服务时间：自合同签订后</w:t>
            </w:r>
            <w:r>
              <w:rPr>
                <w:rFonts w:hint="eastAsia" w:ascii="方正仿宋_GB2312" w:hAnsi="方正仿宋_GB2312" w:eastAsia="方正仿宋_GB2312" w:cs="方正仿宋_GB2312"/>
                <w:bCs/>
                <w:color w:val="auto"/>
                <w:szCs w:val="21"/>
                <w:highlight w:val="none"/>
                <w:lang w:val="en-US" w:eastAsia="zh-CN"/>
              </w:rPr>
              <w:t>一</w:t>
            </w:r>
            <w:r>
              <w:rPr>
                <w:rFonts w:hint="eastAsia" w:ascii="方正仿宋_GB2312" w:hAnsi="方正仿宋_GB2312" w:eastAsia="方正仿宋_GB2312" w:cs="方正仿宋_GB2312"/>
                <w:bCs/>
                <w:color w:val="auto"/>
                <w:szCs w:val="21"/>
                <w:highlight w:val="none"/>
              </w:rPr>
              <w:t>年。</w:t>
            </w:r>
          </w:p>
          <w:p w14:paraId="1C6174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四、车型及数量要求：</w:t>
            </w:r>
            <w:r>
              <w:rPr>
                <w:rFonts w:hint="eastAsia" w:ascii="方正仿宋_GB2312" w:hAnsi="方正仿宋_GB2312" w:eastAsia="方正仿宋_GB2312" w:cs="方正仿宋_GB2312"/>
                <w:b/>
                <w:color w:val="auto"/>
                <w:szCs w:val="21"/>
                <w:highlight w:val="none"/>
              </w:rPr>
              <w:t>35座以上大巴至少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提供3辆，7座以上、22座以下（含22座）的中巴至少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提供2辆，7座以下（含7座）小汽车至少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w:t>
            </w:r>
            <w:r>
              <w:rPr>
                <w:rFonts w:hint="eastAsia" w:ascii="方正仿宋_GB2312" w:hAnsi="方正仿宋_GB2312" w:eastAsia="方正仿宋_GB2312" w:cs="方正仿宋_GB2312"/>
                <w:b/>
                <w:color w:val="auto"/>
                <w:szCs w:val="21"/>
                <w:highlight w:val="none"/>
                <w:lang w:eastAsia="zh-CN"/>
              </w:rPr>
              <w:t>，</w:t>
            </w:r>
            <w:r>
              <w:rPr>
                <w:rFonts w:hint="eastAsia" w:ascii="方正仿宋_GB2312" w:hAnsi="方正仿宋_GB2312" w:eastAsia="方正仿宋_GB2312" w:cs="方正仿宋_GB2312"/>
                <w:b/>
                <w:color w:val="auto"/>
                <w:szCs w:val="21"/>
                <w:highlight w:val="none"/>
              </w:rPr>
              <w:t>每次用车车型由采购人根据实际业务情况选定。</w:t>
            </w:r>
          </w:p>
          <w:p w14:paraId="5FA6AA2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根据《关于进一步明确新能源汽车政府采购比例要求的通知》（财办库〔2024〕269号）及《广西壮族自治区财政厅关于加强政府绿色采购工作的通知》（桂财采〔2025〕155号）的相关规定：采购车辆租赁服务的，应当优先租赁使用新能源汽车。对于新能源汽车可以满足实际使用需要的，供应商应优先提供新能源汽车。</w:t>
            </w:r>
          </w:p>
          <w:p w14:paraId="12DB38D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五、其他要求</w:t>
            </w:r>
          </w:p>
          <w:p w14:paraId="587806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1、车辆保证清洁卫生、车况技术良好、非事故车辆，设备齐全、无安全隐患，保险、证件手续齐全有效。</w:t>
            </w:r>
          </w:p>
          <w:p w14:paraId="71842D6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2、除国家规定的必保险种，供应商须额外为</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提供租赁服务的车辆投保，投保应包括机动车损失险、第三者责任险、座位险，每个座位不低于50万元人民币。</w:t>
            </w:r>
          </w:p>
          <w:p w14:paraId="5BFAA57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供应商根据采购人的工作用车需求，提供安全、舒适车辆以及服务态度好的司机，对车辆所有人及派出驾驶员权责完全负责，与采购人无关。驾驶员过错驾驶产生的交通违章、安全事故由租车公司和驾驶员本人承担，与采购人无关。</w:t>
            </w:r>
          </w:p>
          <w:p w14:paraId="04BF90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4、车辆租赁期间发生的</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、路桥通行费、停车费、清洗车费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维修保养费、年检费用、驾驶员费用、违章违法处罚等</w:t>
            </w:r>
            <w:r>
              <w:rPr>
                <w:rFonts w:hint="eastAsia" w:ascii="方正仿宋_GB2312" w:hAnsi="方正仿宋_GB2312" w:eastAsia="方正仿宋_GB2312" w:cs="方正仿宋_GB2312"/>
                <w:bCs/>
                <w:color w:val="auto"/>
                <w:szCs w:val="21"/>
                <w:highlight w:val="none"/>
              </w:rPr>
              <w:t>由供应商自行支付，所有费用与采购人无关</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用车结束后凭结算单上的里程数按中标的服务报价（按每百公里计费）向采购人结算费用。</w:t>
            </w:r>
          </w:p>
          <w:p w14:paraId="342F662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5、租赁期间的驾驶员伙食由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承担，如租赁期间需要住宿，驾驶员的住宿费用由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w:t>
            </w:r>
          </w:p>
          <w:p w14:paraId="65F3794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6、供应商对配备驾驶员的言行完全负责，驾驶员应具备的条件：</w:t>
            </w:r>
          </w:p>
          <w:p w14:paraId="272DD4F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（1）身体健康，年龄在22周岁以上，55周岁以下。</w:t>
            </w:r>
          </w:p>
          <w:p w14:paraId="07D2101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（2）配备服务态度端正，且无犯罪记录品德良好，并具备5年及以上安全驾驶经历，驾驶技术娴熟及具有相应准驾车型的驾驶员，且</w:t>
            </w:r>
            <w:r>
              <w:rPr>
                <w:rFonts w:hint="eastAsia" w:ascii="方正仿宋_GB2312" w:hAnsi="方正仿宋_GB2312" w:eastAsia="方正仿宋_GB2312" w:cs="方正仿宋_GB2312"/>
                <w:bCs/>
                <w:color w:val="auto"/>
                <w:szCs w:val="21"/>
                <w:highlight w:val="none"/>
                <w:lang w:val="en-US" w:eastAsia="zh-CN"/>
              </w:rPr>
              <w:t>可</w:t>
            </w:r>
            <w:r>
              <w:rPr>
                <w:rFonts w:hint="eastAsia" w:ascii="方正仿宋_GB2312" w:hAnsi="方正仿宋_GB2312" w:eastAsia="方正仿宋_GB2312" w:cs="方正仿宋_GB2312"/>
                <w:bCs/>
                <w:color w:val="auto"/>
                <w:szCs w:val="21"/>
                <w:highlight w:val="none"/>
              </w:rPr>
              <w:t>配备的驾驶员数量不少于5人。</w:t>
            </w:r>
          </w:p>
          <w:p w14:paraId="40D2EED3">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（3）能够严格遵守交通法规，没有重大以上交通责任事故记录，无犯罪记录，具有良好的职业道德，无违法乱纪行为，文明上岗，诚信守时，作风正派，有较强的服务意识和保密意识等；能服从</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管理，严格遵守公司制度和操作规范，驾驶员须提供《驾驶证》（大客车驾驶员还须提供《道路运输从业资格证》），以及供应商与驾驶服务人员签订的劳务协议和</w:t>
            </w:r>
            <w:r>
              <w:rPr>
                <w:rFonts w:hint="eastAsia" w:ascii="方正仿宋_GB2312" w:hAnsi="方正仿宋_GB2312" w:eastAsia="方正仿宋_GB2312" w:cs="方正仿宋_GB2312"/>
                <w:bCs/>
                <w:color w:val="auto"/>
                <w:szCs w:val="21"/>
                <w:highlight w:val="none"/>
                <w:lang w:val="en-US" w:eastAsia="zh-CN"/>
              </w:rPr>
              <w:t>截止投标前半年内</w:t>
            </w:r>
            <w:r>
              <w:rPr>
                <w:rFonts w:hint="eastAsia" w:ascii="方正仿宋_GB2312" w:hAnsi="方正仿宋_GB2312" w:eastAsia="方正仿宋_GB2312" w:cs="方正仿宋_GB2312"/>
                <w:bCs/>
                <w:color w:val="auto"/>
                <w:szCs w:val="21"/>
                <w:highlight w:val="none"/>
              </w:rPr>
              <w:t>供应商为其缴纳的</w:t>
            </w:r>
            <w:r>
              <w:rPr>
                <w:rFonts w:hint="eastAsia" w:ascii="方正仿宋_GB2312" w:hAnsi="方正仿宋_GB2312" w:eastAsia="方正仿宋_GB2312" w:cs="方正仿宋_GB2312"/>
                <w:bCs/>
                <w:color w:val="auto"/>
                <w:szCs w:val="21"/>
                <w:highlight w:val="none"/>
                <w:lang w:val="en-US" w:eastAsia="zh-CN"/>
              </w:rPr>
              <w:t>任意一个月</w:t>
            </w:r>
            <w:r>
              <w:rPr>
                <w:rFonts w:hint="eastAsia" w:ascii="方正仿宋_GB2312" w:hAnsi="方正仿宋_GB2312" w:eastAsia="方正仿宋_GB2312" w:cs="方正仿宋_GB2312"/>
                <w:bCs/>
                <w:color w:val="auto"/>
                <w:szCs w:val="21"/>
                <w:highlight w:val="none"/>
              </w:rPr>
              <w:t>社保证明复印件材料。</w:t>
            </w:r>
          </w:p>
          <w:p w14:paraId="1431CB5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7、具备安全生产经营制度和管理措施健全、完善。</w:t>
            </w:r>
          </w:p>
          <w:p w14:paraId="106ADE3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8、履约要求：若供应商未按响应文件或合同的要求和规定提供车辆服务的，采购人有权终止合同，所造成的损失由供应商负责。</w:t>
            </w:r>
          </w:p>
          <w:p w14:paraId="762F9440">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9、供应商</w:t>
            </w:r>
            <w:r>
              <w:rPr>
                <w:rFonts w:hint="eastAsia" w:ascii="方正仿宋_GB2312" w:hAnsi="方正仿宋_GB2312" w:eastAsia="方正仿宋_GB2312" w:cs="方正仿宋_GB2312"/>
                <w:color w:val="auto"/>
                <w:szCs w:val="21"/>
                <w:highlight w:val="none"/>
              </w:rPr>
              <w:t>负责组织和提供运力，满足</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的租赁需求。具体租赁车辆数量、时间以</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通知为准。</w:t>
            </w:r>
            <w:r>
              <w:rPr>
                <w:rFonts w:hint="eastAsia" w:ascii="方正仿宋_GB2312" w:hAnsi="方正仿宋_GB2312" w:eastAsia="方正仿宋_GB2312" w:cs="方正仿宋_GB2312"/>
                <w:color w:val="auto"/>
                <w:szCs w:val="21"/>
                <w:highlight w:val="none"/>
                <w:lang w:val="en-US" w:eastAsia="zh-CN"/>
              </w:rPr>
              <w:t>供应商提供的</w:t>
            </w:r>
            <w:r>
              <w:rPr>
                <w:rFonts w:hint="eastAsia" w:ascii="方正仿宋_GB2312" w:hAnsi="方正仿宋_GB2312" w:eastAsia="方正仿宋_GB2312" w:cs="方正仿宋_GB2312"/>
                <w:color w:val="auto"/>
                <w:szCs w:val="21"/>
                <w:highlight w:val="none"/>
              </w:rPr>
              <w:t>车辆必须提前15分钟到达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指定发车地点，</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车辆租赁任务完成后，</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应指定专人在用车凭证单上签字确认，作为结算凭据。</w:t>
            </w:r>
          </w:p>
          <w:p w14:paraId="32AFF072">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10、供应商应</w:t>
            </w:r>
            <w:r>
              <w:rPr>
                <w:rFonts w:hint="eastAsia" w:ascii="方正仿宋_GB2312" w:hAnsi="方正仿宋_GB2312" w:eastAsia="方正仿宋_GB2312" w:cs="方正仿宋_GB2312"/>
                <w:color w:val="auto"/>
                <w:szCs w:val="21"/>
                <w:highlight w:val="none"/>
              </w:rPr>
              <w:t>保证提供拥有全部合法手续且各项技术性能完好的车辆为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服务，车辆安排应按承诺车型或以上来提供。</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在发车前应做好安全合格检验，搞好车辆卫生，</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驾驶人员做好文明服务和安全驾驶工作，保证安全正点按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要求运送至抵达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指定的目地的。</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根据国家道路交通安全法以及广西道路运输管理部门的有关规定，为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提供的车辆每个客座购买不低于50万元的承运人责任险。</w:t>
            </w:r>
          </w:p>
          <w:p w14:paraId="372AEB2C">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11、供应商</w:t>
            </w:r>
            <w:r>
              <w:rPr>
                <w:rFonts w:hint="eastAsia" w:ascii="方正仿宋_GB2312" w:hAnsi="方正仿宋_GB2312" w:eastAsia="方正仿宋_GB2312" w:cs="方正仿宋_GB2312"/>
                <w:color w:val="auto"/>
                <w:szCs w:val="21"/>
                <w:highlight w:val="none"/>
              </w:rPr>
              <w:t>承诺提供的车辆和驾驶员相对固定，除按时进行必要的检修或保养外，不随意更换车辆，并提供车辆的行驶证、19座以上车型还须提供营运证等一切营运合法手续以及有效保险单证的复印件、驾驶员的驾驶证和道路客运从业资格证等复印件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备案。</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对所组织和提供的车辆在承担</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包车任务的过程中发生的安全和服务质量负责，并全权负责处理一切在运行过程中发生的安全和服务质量事故。</w:t>
            </w:r>
          </w:p>
          <w:p w14:paraId="3589BF2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保留向第三方追索赔付的权利。</w:t>
            </w:r>
          </w:p>
          <w:p w14:paraId="17402047">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13、供应商</w:t>
            </w:r>
            <w:r>
              <w:rPr>
                <w:rFonts w:hint="eastAsia" w:ascii="方正仿宋_GB2312" w:hAnsi="方正仿宋_GB2312" w:eastAsia="方正仿宋_GB2312" w:cs="方正仿宋_GB2312"/>
                <w:color w:val="auto"/>
                <w:szCs w:val="21"/>
                <w:highlight w:val="none"/>
              </w:rPr>
              <w:t>应保证按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指定的地点和时间准点发车，车辆车容干净整洁并符合安全运输标准。如</w:t>
            </w:r>
            <w:r>
              <w:rPr>
                <w:rFonts w:hint="eastAsia" w:ascii="方正仿宋_GB2312" w:hAnsi="方正仿宋_GB2312" w:eastAsia="方正仿宋_GB2312" w:cs="方正仿宋_GB2312"/>
                <w:color w:val="auto"/>
                <w:szCs w:val="21"/>
                <w:highlight w:val="none"/>
                <w:lang w:val="en-US" w:eastAsia="zh-CN"/>
              </w:rPr>
              <w:t>因供应商</w:t>
            </w:r>
            <w:r>
              <w:rPr>
                <w:rFonts w:hint="eastAsia" w:ascii="方正仿宋_GB2312" w:hAnsi="方正仿宋_GB2312" w:eastAsia="方正仿宋_GB2312" w:cs="方正仿宋_GB2312"/>
                <w:color w:val="auto"/>
                <w:szCs w:val="21"/>
                <w:highlight w:val="none"/>
              </w:rPr>
              <w:t>原因，造成晚点发车10分钟或开违章车，疲劳驾驶，超载行驶，不按路线行驶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停车，超速行驶，驾车过程中吸烟，接听手机，与乘客攀谈，粗俗待客等等</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每发现一项</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同意方可变更，否则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情节恶劣的，采购人有权扣除当次全部租车费用</w:t>
            </w:r>
            <w:r>
              <w:rPr>
                <w:rFonts w:hint="eastAsia" w:ascii="方正仿宋_GB2312" w:hAnsi="方正仿宋_GB2312" w:eastAsia="方正仿宋_GB2312" w:cs="方正仿宋_GB2312"/>
                <w:color w:val="auto"/>
                <w:szCs w:val="21"/>
                <w:highlight w:val="none"/>
              </w:rPr>
              <w:t>。如果</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晚点且给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造成损失的，视情况酌情扣除100~1000元。如在运行途中由于</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车辆发生故障或其他意外，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应及时作出调度同等档次的车辆进行替换运行并及时报告</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未及时采取调车等替换运行措施，造成晚点到达的，参照晚点发车的条款进行赔偿。如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原因造成脱班一次，</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本次包车全部费用，</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另行赔偿</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u w:val="single"/>
              </w:rPr>
              <w:t xml:space="preserve">2000 </w:t>
            </w:r>
            <w:r>
              <w:rPr>
                <w:rFonts w:hint="eastAsia" w:ascii="方正仿宋_GB2312" w:hAnsi="方正仿宋_GB2312" w:eastAsia="方正仿宋_GB2312" w:cs="方正仿宋_GB2312"/>
                <w:color w:val="auto"/>
                <w:szCs w:val="21"/>
                <w:highlight w:val="none"/>
              </w:rPr>
              <w:t>元。</w:t>
            </w:r>
          </w:p>
          <w:p w14:paraId="4D5A678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14、供应商</w:t>
            </w:r>
            <w:r>
              <w:rPr>
                <w:rFonts w:hint="eastAsia" w:ascii="方正仿宋_GB2312" w:hAnsi="方正仿宋_GB2312" w:eastAsia="方正仿宋_GB2312" w:cs="方正仿宋_GB2312"/>
                <w:color w:val="auto"/>
                <w:szCs w:val="21"/>
                <w:highlight w:val="none"/>
              </w:rPr>
              <w:t>将租赁业务转租给别的公司或个人，车辆档次达不到原合同约定的，</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除有权不支付本次包车全部费用外，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还需承担违约金1000元。</w:t>
            </w:r>
          </w:p>
          <w:p w14:paraId="35E0E97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15</w:t>
            </w:r>
            <w:r>
              <w:rPr>
                <w:rFonts w:hint="eastAsia" w:ascii="方正仿宋_GB2312" w:hAnsi="方正仿宋_GB2312" w:eastAsia="方正仿宋_GB2312" w:cs="方正仿宋_GB2312"/>
                <w:bCs/>
                <w:color w:val="auto"/>
                <w:szCs w:val="21"/>
                <w:highlight w:val="none"/>
              </w:rPr>
              <w:t>、故障处理</w:t>
            </w:r>
          </w:p>
          <w:p w14:paraId="23CEFAE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(1)因租车公司原因或途中不当驾驶导致车辆晚点的，影响采购人开展正常工作，扣减相关租车费用，由于车辆故障和服务态度引起的投诉，经核查属实扣减当次全部租车费用。</w:t>
            </w:r>
          </w:p>
          <w:p w14:paraId="5B0FC31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(2)途中抛锚、事故处理,车辆在租赁期间发生故障，无法正常行驶，能在</w:t>
            </w:r>
            <w:r>
              <w:rPr>
                <w:rFonts w:hint="eastAsia" w:ascii="方正仿宋_GB2312" w:hAnsi="方正仿宋_GB2312" w:eastAsia="方正仿宋_GB2312" w:cs="方正仿宋_GB2312"/>
                <w:bCs/>
                <w:color w:val="auto"/>
                <w:szCs w:val="21"/>
                <w:highlight w:val="none"/>
                <w:lang w:val="en-US" w:eastAsia="zh-CN"/>
              </w:rPr>
              <w:t>30分钟</w:t>
            </w:r>
            <w:r>
              <w:rPr>
                <w:rFonts w:hint="eastAsia" w:ascii="方正仿宋_GB2312" w:hAnsi="方正仿宋_GB2312" w:eastAsia="方正仿宋_GB2312" w:cs="方正仿宋_GB2312"/>
                <w:bCs/>
                <w:color w:val="auto"/>
                <w:szCs w:val="21"/>
                <w:highlight w:val="none"/>
              </w:rPr>
              <w:t>内调换其同型车辆，以确保出行正常运行。</w:t>
            </w:r>
          </w:p>
          <w:p w14:paraId="788E5DD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10、投标要求</w:t>
            </w:r>
          </w:p>
          <w:p w14:paraId="59E6033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（1）公务活动租车服务方案，包括可供使用汽车的车型品牌、数量、配置</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是否新能源汽车</w:t>
            </w:r>
            <w:r>
              <w:rPr>
                <w:rFonts w:hint="eastAsia" w:ascii="方正仿宋_GB2312" w:hAnsi="方正仿宋_GB2312" w:eastAsia="方正仿宋_GB2312" w:cs="方正仿宋_GB2312"/>
                <w:bCs/>
                <w:color w:val="auto"/>
                <w:szCs w:val="21"/>
                <w:highlight w:val="none"/>
              </w:rPr>
              <w:t>等信息；</w:t>
            </w:r>
          </w:p>
          <w:p w14:paraId="46A4008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（2）可供使用的司机的人数及介绍；</w:t>
            </w:r>
          </w:p>
          <w:p w14:paraId="3CA4571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（3）详细的服务措施及流程、应急方案等。</w:t>
            </w:r>
          </w:p>
          <w:p w14:paraId="1EFA47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（4）供应商须在响应文件中承诺在服务过程中，如果发生交通事故，</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须先行赔付。</w:t>
            </w:r>
          </w:p>
          <w:p w14:paraId="57CB755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六、租车服务路程</w:t>
            </w:r>
            <w:r>
              <w:rPr>
                <w:rFonts w:hint="eastAsia" w:ascii="方正仿宋_GB2312" w:hAnsi="方正仿宋_GB2312" w:eastAsia="方正仿宋_GB2312" w:cs="方正仿宋_GB2312"/>
                <w:b/>
                <w:color w:val="auto"/>
                <w:szCs w:val="21"/>
                <w:highlight w:val="none"/>
              </w:rPr>
              <w:t>限价表</w:t>
            </w:r>
          </w:p>
          <w:p w14:paraId="2694FBC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燃油车租车服务价格限价表：</w:t>
            </w:r>
          </w:p>
          <w:tbl>
            <w:tblPr>
              <w:tblStyle w:val="7"/>
              <w:tblW w:w="6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43"/>
              <w:gridCol w:w="1275"/>
              <w:gridCol w:w="1276"/>
              <w:gridCol w:w="1276"/>
              <w:gridCol w:w="1276"/>
            </w:tblGrid>
            <w:tr w14:paraId="018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6494F2B">
                  <w:pPr>
                    <w:keepNext w:val="0"/>
                    <w:keepLines w:val="0"/>
                    <w:widowControl/>
                    <w:suppressLineNumbers w:val="0"/>
                    <w:spacing w:before="0" w:beforeAutospacing="0" w:after="0" w:afterAutospacing="0" w:line="360" w:lineRule="exact"/>
                    <w:ind w:left="0" w:leftChars="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 xml:space="preserve"> 序号</w:t>
                  </w:r>
                </w:p>
              </w:tc>
              <w:tc>
                <w:tcPr>
                  <w:tcW w:w="1143" w:type="dxa"/>
                  <w:vAlign w:val="center"/>
                </w:tcPr>
                <w:p w14:paraId="57D3C32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服务内容</w:t>
                  </w:r>
                </w:p>
              </w:tc>
              <w:tc>
                <w:tcPr>
                  <w:tcW w:w="1275" w:type="dxa"/>
                  <w:vAlign w:val="center"/>
                </w:tcPr>
                <w:p w14:paraId="0B4C548C">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单辆日租价（100公里以内，含100公里）（单位：元/天）</w:t>
                  </w:r>
                </w:p>
              </w:tc>
              <w:tc>
                <w:tcPr>
                  <w:tcW w:w="1276" w:type="dxa"/>
                  <w:vAlign w:val="center"/>
                </w:tcPr>
                <w:p w14:paraId="607338E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kern w:val="0"/>
                      <w:szCs w:val="21"/>
                      <w:highlight w:val="none"/>
                    </w:rPr>
                    <w:t>超出公里数（日租使用超过100公里部分）（单位：元/公里）</w:t>
                  </w:r>
                </w:p>
              </w:tc>
              <w:tc>
                <w:tcPr>
                  <w:tcW w:w="1276" w:type="dxa"/>
                  <w:vAlign w:val="center"/>
                </w:tcPr>
                <w:p w14:paraId="32BE667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机场接（送）【单位：元/辆、趟(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c>
                <w:tcPr>
                  <w:tcW w:w="1276" w:type="dxa"/>
                  <w:vAlign w:val="center"/>
                </w:tcPr>
                <w:p w14:paraId="60B2B7C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火车接（送）【单位：元/辆、趟(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r>
            <w:tr w14:paraId="444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CFF8A1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w:t>
                  </w:r>
                </w:p>
              </w:tc>
              <w:tc>
                <w:tcPr>
                  <w:tcW w:w="1143" w:type="dxa"/>
                  <w:vAlign w:val="center"/>
                </w:tcPr>
                <w:p w14:paraId="0376F699">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35-39座大巴（参照金龙、宇通、大宇同级或以上）</w:t>
                  </w:r>
                </w:p>
              </w:tc>
              <w:tc>
                <w:tcPr>
                  <w:tcW w:w="1275" w:type="dxa"/>
                  <w:vAlign w:val="center"/>
                </w:tcPr>
                <w:p w14:paraId="5437AEB3">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800</w:t>
                  </w:r>
                </w:p>
              </w:tc>
              <w:tc>
                <w:tcPr>
                  <w:tcW w:w="1276" w:type="dxa"/>
                  <w:vAlign w:val="center"/>
                </w:tcPr>
                <w:p w14:paraId="2FB28347">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5.22</w:t>
                  </w:r>
                </w:p>
              </w:tc>
              <w:tc>
                <w:tcPr>
                  <w:tcW w:w="1276" w:type="dxa"/>
                  <w:vAlign w:val="center"/>
                </w:tcPr>
                <w:p w14:paraId="1402A12F">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475</w:t>
                  </w:r>
                </w:p>
              </w:tc>
              <w:tc>
                <w:tcPr>
                  <w:tcW w:w="1276" w:type="dxa"/>
                  <w:vAlign w:val="center"/>
                </w:tcPr>
                <w:p w14:paraId="3F6D6D2A">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380</w:t>
                  </w:r>
                </w:p>
              </w:tc>
            </w:tr>
            <w:tr w14:paraId="52A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87DBE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2</w:t>
                  </w:r>
                </w:p>
              </w:tc>
              <w:tc>
                <w:tcPr>
                  <w:tcW w:w="1143" w:type="dxa"/>
                  <w:vAlign w:val="center"/>
                </w:tcPr>
                <w:p w14:paraId="6210D89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40座</w:t>
                  </w:r>
                  <w:r>
                    <w:rPr>
                      <w:rFonts w:hint="eastAsia" w:ascii="方正仿宋_GB2312" w:hAnsi="方正仿宋_GB2312" w:eastAsia="方正仿宋_GB2312" w:cs="方正仿宋_GB2312"/>
                      <w:color w:val="auto"/>
                      <w:kern w:val="0"/>
                      <w:szCs w:val="21"/>
                      <w:highlight w:val="none"/>
                      <w:lang w:val="en-US" w:eastAsia="zh-CN"/>
                    </w:rPr>
                    <w:t>以上</w:t>
                  </w:r>
                  <w:r>
                    <w:rPr>
                      <w:rFonts w:hint="eastAsia" w:ascii="方正仿宋_GB2312" w:hAnsi="方正仿宋_GB2312" w:eastAsia="方正仿宋_GB2312" w:cs="方正仿宋_GB2312"/>
                      <w:color w:val="auto"/>
                      <w:kern w:val="0"/>
                      <w:szCs w:val="21"/>
                      <w:highlight w:val="none"/>
                    </w:rPr>
                    <w:t>大巴（参照金龙、宇通、大宇同级或以上）</w:t>
                  </w:r>
                </w:p>
              </w:tc>
              <w:tc>
                <w:tcPr>
                  <w:tcW w:w="1275" w:type="dxa"/>
                  <w:vAlign w:val="center"/>
                </w:tcPr>
                <w:p w14:paraId="2933972F">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855</w:t>
                  </w:r>
                </w:p>
              </w:tc>
              <w:tc>
                <w:tcPr>
                  <w:tcW w:w="1276" w:type="dxa"/>
                  <w:vAlign w:val="center"/>
                </w:tcPr>
                <w:p w14:paraId="7A58BCEF">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5.7</w:t>
                  </w:r>
                </w:p>
              </w:tc>
              <w:tc>
                <w:tcPr>
                  <w:tcW w:w="1276" w:type="dxa"/>
                  <w:vAlign w:val="center"/>
                </w:tcPr>
                <w:p w14:paraId="5DB7EAF7">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617</w:t>
                  </w:r>
                </w:p>
              </w:tc>
              <w:tc>
                <w:tcPr>
                  <w:tcW w:w="1276" w:type="dxa"/>
                  <w:vAlign w:val="center"/>
                </w:tcPr>
                <w:p w14:paraId="106D7BB0">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522</w:t>
                  </w:r>
                </w:p>
              </w:tc>
            </w:tr>
            <w:tr w14:paraId="2C4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47740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3</w:t>
                  </w:r>
                </w:p>
              </w:tc>
              <w:tc>
                <w:tcPr>
                  <w:tcW w:w="1143" w:type="dxa"/>
                  <w:vAlign w:val="center"/>
                </w:tcPr>
                <w:p w14:paraId="1423AC8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小轿车（参照凯美瑞、君威、帕萨特同级或以上）</w:t>
                  </w:r>
                </w:p>
              </w:tc>
              <w:tc>
                <w:tcPr>
                  <w:tcW w:w="1275" w:type="dxa"/>
                  <w:vAlign w:val="center"/>
                </w:tcPr>
                <w:p w14:paraId="747B94A0">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380</w:t>
                  </w:r>
                </w:p>
              </w:tc>
              <w:tc>
                <w:tcPr>
                  <w:tcW w:w="1276" w:type="dxa"/>
                  <w:vAlign w:val="center"/>
                </w:tcPr>
                <w:p w14:paraId="5A46897C">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3.8</w:t>
                  </w:r>
                </w:p>
              </w:tc>
              <w:tc>
                <w:tcPr>
                  <w:tcW w:w="1276" w:type="dxa"/>
                  <w:vAlign w:val="center"/>
                </w:tcPr>
                <w:p w14:paraId="032ADEEF">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332</w:t>
                  </w:r>
                </w:p>
              </w:tc>
              <w:tc>
                <w:tcPr>
                  <w:tcW w:w="1276" w:type="dxa"/>
                  <w:vAlign w:val="center"/>
                </w:tcPr>
                <w:p w14:paraId="18E80891">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190</w:t>
                  </w:r>
                </w:p>
              </w:tc>
            </w:tr>
            <w:tr w14:paraId="1533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DB98BF5">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4</w:t>
                  </w:r>
                </w:p>
              </w:tc>
              <w:tc>
                <w:tcPr>
                  <w:tcW w:w="1143" w:type="dxa"/>
                  <w:vAlign w:val="center"/>
                </w:tcPr>
                <w:p w14:paraId="66E0D39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7座商务（参照别克GL8、大众夏朗、本田艾力绅同级或以上）</w:t>
                  </w:r>
                </w:p>
              </w:tc>
              <w:tc>
                <w:tcPr>
                  <w:tcW w:w="1275" w:type="dxa"/>
                  <w:vAlign w:val="center"/>
                </w:tcPr>
                <w:p w14:paraId="6B9A7452">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475</w:t>
                  </w:r>
                </w:p>
              </w:tc>
              <w:tc>
                <w:tcPr>
                  <w:tcW w:w="1276" w:type="dxa"/>
                  <w:vAlign w:val="center"/>
                </w:tcPr>
                <w:p w14:paraId="2C6F9BCC">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3.8</w:t>
                  </w:r>
                </w:p>
              </w:tc>
              <w:tc>
                <w:tcPr>
                  <w:tcW w:w="1276" w:type="dxa"/>
                  <w:vAlign w:val="center"/>
                </w:tcPr>
                <w:p w14:paraId="2998005C">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332</w:t>
                  </w:r>
                </w:p>
              </w:tc>
              <w:tc>
                <w:tcPr>
                  <w:tcW w:w="1276" w:type="dxa"/>
                  <w:vAlign w:val="center"/>
                </w:tcPr>
                <w:p w14:paraId="5CF3B166">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190</w:t>
                  </w:r>
                </w:p>
              </w:tc>
            </w:tr>
            <w:tr w14:paraId="73ED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EF4707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5</w:t>
                  </w:r>
                </w:p>
              </w:tc>
              <w:tc>
                <w:tcPr>
                  <w:tcW w:w="1143" w:type="dxa"/>
                  <w:vAlign w:val="center"/>
                </w:tcPr>
                <w:p w14:paraId="2E65FFE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9-15座中巴（参照丰田海狮、宝斯通、大通同级或以上）</w:t>
                  </w:r>
                </w:p>
              </w:tc>
              <w:tc>
                <w:tcPr>
                  <w:tcW w:w="1275" w:type="dxa"/>
                  <w:vAlign w:val="center"/>
                </w:tcPr>
                <w:p w14:paraId="3FA9C846">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570</w:t>
                  </w:r>
                </w:p>
              </w:tc>
              <w:tc>
                <w:tcPr>
                  <w:tcW w:w="1276" w:type="dxa"/>
                  <w:vAlign w:val="center"/>
                </w:tcPr>
                <w:p w14:paraId="5D04E7C7">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lang w:val="en-US" w:eastAsia="zh-CN"/>
                    </w:rPr>
                    <w:t>3.8</w:t>
                  </w:r>
                </w:p>
              </w:tc>
              <w:tc>
                <w:tcPr>
                  <w:tcW w:w="1276" w:type="dxa"/>
                  <w:vAlign w:val="center"/>
                </w:tcPr>
                <w:p w14:paraId="201AE72D">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475</w:t>
                  </w:r>
                </w:p>
              </w:tc>
              <w:tc>
                <w:tcPr>
                  <w:tcW w:w="1276" w:type="dxa"/>
                  <w:vAlign w:val="center"/>
                </w:tcPr>
                <w:p w14:paraId="6746CF89">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332</w:t>
                  </w:r>
                </w:p>
              </w:tc>
            </w:tr>
            <w:tr w14:paraId="5610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AC4F783">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6</w:t>
                  </w:r>
                </w:p>
              </w:tc>
              <w:tc>
                <w:tcPr>
                  <w:tcW w:w="1143" w:type="dxa"/>
                  <w:vAlign w:val="center"/>
                </w:tcPr>
                <w:p w14:paraId="75BCAAE9">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19-23座普通中巴（参照青年、宇通、大宇同级或以上）</w:t>
                  </w:r>
                </w:p>
              </w:tc>
              <w:tc>
                <w:tcPr>
                  <w:tcW w:w="1275" w:type="dxa"/>
                  <w:vAlign w:val="center"/>
                </w:tcPr>
                <w:p w14:paraId="3C491A07">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700</w:t>
                  </w:r>
                </w:p>
              </w:tc>
              <w:tc>
                <w:tcPr>
                  <w:tcW w:w="1276" w:type="dxa"/>
                  <w:vAlign w:val="center"/>
                </w:tcPr>
                <w:p w14:paraId="68D4D40C">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4.27</w:t>
                  </w:r>
                </w:p>
              </w:tc>
              <w:tc>
                <w:tcPr>
                  <w:tcW w:w="1276" w:type="dxa"/>
                  <w:vAlign w:val="center"/>
                </w:tcPr>
                <w:p w14:paraId="4008D511">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475</w:t>
                  </w:r>
                </w:p>
              </w:tc>
              <w:tc>
                <w:tcPr>
                  <w:tcW w:w="1276" w:type="dxa"/>
                  <w:vAlign w:val="center"/>
                </w:tcPr>
                <w:p w14:paraId="3E3D9674">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332</w:t>
                  </w:r>
                </w:p>
              </w:tc>
            </w:tr>
          </w:tbl>
          <w:p w14:paraId="5087AD8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注：1.租车费用含车辆租赁费、保险费、</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等车辆在运行中产生的一切费用及管理费和税金费用。</w:t>
            </w:r>
          </w:p>
          <w:p w14:paraId="3FAB740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2.超出100公里的每趟每辆租车费计算公式=每趟的价格+（实际行驶公里数-100公里）×超公里数价格。</w:t>
            </w:r>
          </w:p>
          <w:p w14:paraId="0D0A3F9B">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p>
          <w:p w14:paraId="6F0133B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bCs w:val="0"/>
                <w:color w:val="auto"/>
                <w:szCs w:val="21"/>
                <w:highlight w:val="none"/>
                <w:lang w:val="en-US" w:eastAsia="zh-CN"/>
              </w:rPr>
              <w:t>新能源车</w:t>
            </w:r>
            <w:r>
              <w:rPr>
                <w:rFonts w:hint="eastAsia" w:ascii="方正仿宋_GB2312" w:hAnsi="方正仿宋_GB2312" w:eastAsia="方正仿宋_GB2312" w:cs="方正仿宋_GB2312"/>
                <w:b/>
                <w:color w:val="auto"/>
                <w:szCs w:val="21"/>
                <w:highlight w:val="none"/>
                <w:lang w:val="en-US" w:eastAsia="zh-CN"/>
              </w:rPr>
              <w:t>租车服务价格限价表：</w:t>
            </w:r>
          </w:p>
          <w:tbl>
            <w:tblPr>
              <w:tblStyle w:val="8"/>
              <w:tblW w:w="6790"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66"/>
              <w:gridCol w:w="1115"/>
              <w:gridCol w:w="1115"/>
              <w:gridCol w:w="1115"/>
              <w:gridCol w:w="1115"/>
            </w:tblGrid>
            <w:tr w14:paraId="12B1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44FFEC7F">
                  <w:pPr>
                    <w:keepNext w:val="0"/>
                    <w:keepLines w:val="0"/>
                    <w:widowControl/>
                    <w:suppressLineNumbers w:val="0"/>
                    <w:spacing w:before="0" w:beforeAutospacing="0" w:after="0" w:afterAutospacing="0" w:line="360" w:lineRule="exact"/>
                    <w:ind w:left="0" w:leftChars="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序号</w:t>
                  </w:r>
                </w:p>
              </w:tc>
              <w:tc>
                <w:tcPr>
                  <w:tcW w:w="1666" w:type="dxa"/>
                  <w:vAlign w:val="center"/>
                </w:tcPr>
                <w:p w14:paraId="4D1FDAC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服务内容</w:t>
                  </w:r>
                </w:p>
              </w:tc>
              <w:tc>
                <w:tcPr>
                  <w:tcW w:w="1115" w:type="dxa"/>
                  <w:vAlign w:val="center"/>
                </w:tcPr>
                <w:p w14:paraId="211C25A2">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单辆日租价（100公里以内，含100公里）（单位：元/天）</w:t>
                  </w:r>
                </w:p>
              </w:tc>
              <w:tc>
                <w:tcPr>
                  <w:tcW w:w="1115" w:type="dxa"/>
                  <w:vAlign w:val="center"/>
                </w:tcPr>
                <w:p w14:paraId="7E3473CD">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超出公里数（日租使用超过100公里部分）（单位：元/公里）</w:t>
                  </w:r>
                </w:p>
              </w:tc>
              <w:tc>
                <w:tcPr>
                  <w:tcW w:w="1115" w:type="dxa"/>
                  <w:vAlign w:val="center"/>
                </w:tcPr>
                <w:p w14:paraId="666C7565">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机场接（送）【单位：元/辆、趟(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c>
                <w:tcPr>
                  <w:tcW w:w="1115" w:type="dxa"/>
                  <w:vAlign w:val="center"/>
                </w:tcPr>
                <w:p w14:paraId="6061FE80">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火车接（送）【单位：元/辆、趟(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r>
            <w:tr w14:paraId="633A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08CC5916">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1</w:t>
                  </w:r>
                </w:p>
              </w:tc>
              <w:tc>
                <w:tcPr>
                  <w:tcW w:w="1666" w:type="dxa"/>
                  <w:vAlign w:val="center"/>
                </w:tcPr>
                <w:p w14:paraId="40F7F3BD">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35-39座大巴</w:t>
                  </w:r>
                </w:p>
              </w:tc>
              <w:tc>
                <w:tcPr>
                  <w:tcW w:w="1115" w:type="dxa"/>
                  <w:vAlign w:val="center"/>
                </w:tcPr>
                <w:p w14:paraId="7DCD2146">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800</w:t>
                  </w:r>
                </w:p>
              </w:tc>
              <w:tc>
                <w:tcPr>
                  <w:tcW w:w="1115" w:type="dxa"/>
                  <w:vAlign w:val="center"/>
                </w:tcPr>
                <w:p w14:paraId="0BE2511E">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3.5</w:t>
                  </w:r>
                </w:p>
              </w:tc>
              <w:tc>
                <w:tcPr>
                  <w:tcW w:w="1115" w:type="dxa"/>
                  <w:vAlign w:val="center"/>
                </w:tcPr>
                <w:p w14:paraId="792B7467">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350</w:t>
                  </w:r>
                </w:p>
              </w:tc>
              <w:tc>
                <w:tcPr>
                  <w:tcW w:w="1115" w:type="dxa"/>
                  <w:vAlign w:val="center"/>
                </w:tcPr>
                <w:p w14:paraId="5CC1DA06">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300</w:t>
                  </w:r>
                </w:p>
              </w:tc>
            </w:tr>
            <w:tr w14:paraId="6008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0A4FE15D">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2</w:t>
                  </w:r>
                </w:p>
              </w:tc>
              <w:tc>
                <w:tcPr>
                  <w:tcW w:w="1666" w:type="dxa"/>
                  <w:vAlign w:val="center"/>
                </w:tcPr>
                <w:p w14:paraId="3F72138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40座</w:t>
                  </w:r>
                  <w:r>
                    <w:rPr>
                      <w:rFonts w:hint="eastAsia" w:ascii="方正仿宋_GB2312" w:hAnsi="方正仿宋_GB2312" w:eastAsia="方正仿宋_GB2312" w:cs="方正仿宋_GB2312"/>
                      <w:color w:val="auto"/>
                      <w:kern w:val="0"/>
                      <w:szCs w:val="21"/>
                      <w:highlight w:val="none"/>
                      <w:lang w:val="en-US" w:eastAsia="zh-CN"/>
                    </w:rPr>
                    <w:t>以上</w:t>
                  </w:r>
                  <w:r>
                    <w:rPr>
                      <w:rFonts w:hint="eastAsia" w:ascii="方正仿宋_GB2312" w:hAnsi="方正仿宋_GB2312" w:eastAsia="方正仿宋_GB2312" w:cs="方正仿宋_GB2312"/>
                      <w:color w:val="auto"/>
                      <w:kern w:val="0"/>
                      <w:szCs w:val="21"/>
                      <w:highlight w:val="none"/>
                    </w:rPr>
                    <w:t>大巴</w:t>
                  </w:r>
                </w:p>
              </w:tc>
              <w:tc>
                <w:tcPr>
                  <w:tcW w:w="1115" w:type="dxa"/>
                  <w:vAlign w:val="center"/>
                </w:tcPr>
                <w:p w14:paraId="275CE521">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855</w:t>
                  </w:r>
                </w:p>
              </w:tc>
              <w:tc>
                <w:tcPr>
                  <w:tcW w:w="1115" w:type="dxa"/>
                  <w:vAlign w:val="center"/>
                </w:tcPr>
                <w:p w14:paraId="160FB066">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4</w:t>
                  </w:r>
                </w:p>
              </w:tc>
              <w:tc>
                <w:tcPr>
                  <w:tcW w:w="1115" w:type="dxa"/>
                  <w:vAlign w:val="center"/>
                </w:tcPr>
                <w:p w14:paraId="7572CB41">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400</w:t>
                  </w:r>
                </w:p>
              </w:tc>
              <w:tc>
                <w:tcPr>
                  <w:tcW w:w="1115" w:type="dxa"/>
                  <w:vAlign w:val="center"/>
                </w:tcPr>
                <w:p w14:paraId="36EFD871">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350</w:t>
                  </w:r>
                </w:p>
              </w:tc>
            </w:tr>
            <w:tr w14:paraId="1F5D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3F6FAA21">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3</w:t>
                  </w:r>
                </w:p>
              </w:tc>
              <w:tc>
                <w:tcPr>
                  <w:tcW w:w="1666" w:type="dxa"/>
                  <w:vAlign w:val="center"/>
                </w:tcPr>
                <w:p w14:paraId="7EAFAAF0">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小轿车</w:t>
                  </w:r>
                </w:p>
              </w:tc>
              <w:tc>
                <w:tcPr>
                  <w:tcW w:w="1115" w:type="dxa"/>
                  <w:vAlign w:val="center"/>
                </w:tcPr>
                <w:p w14:paraId="2655DA65">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380</w:t>
                  </w:r>
                </w:p>
              </w:tc>
              <w:tc>
                <w:tcPr>
                  <w:tcW w:w="1115" w:type="dxa"/>
                  <w:vAlign w:val="center"/>
                </w:tcPr>
                <w:p w14:paraId="556A0BD3">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2</w:t>
                  </w:r>
                </w:p>
              </w:tc>
              <w:tc>
                <w:tcPr>
                  <w:tcW w:w="1115" w:type="dxa"/>
                  <w:vAlign w:val="center"/>
                </w:tcPr>
                <w:p w14:paraId="2966B6DB">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100</w:t>
                  </w:r>
                </w:p>
              </w:tc>
              <w:tc>
                <w:tcPr>
                  <w:tcW w:w="1115" w:type="dxa"/>
                  <w:vAlign w:val="center"/>
                </w:tcPr>
                <w:p w14:paraId="0EDB0E31">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80</w:t>
                  </w:r>
                </w:p>
              </w:tc>
            </w:tr>
            <w:tr w14:paraId="01F9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7CBF2752">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4</w:t>
                  </w:r>
                </w:p>
              </w:tc>
              <w:tc>
                <w:tcPr>
                  <w:tcW w:w="1666" w:type="dxa"/>
                  <w:vAlign w:val="center"/>
                </w:tcPr>
                <w:p w14:paraId="6261C1F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7座商务</w:t>
                  </w:r>
                </w:p>
              </w:tc>
              <w:tc>
                <w:tcPr>
                  <w:tcW w:w="1115" w:type="dxa"/>
                  <w:vAlign w:val="center"/>
                </w:tcPr>
                <w:p w14:paraId="38200A54">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475</w:t>
                  </w:r>
                </w:p>
              </w:tc>
              <w:tc>
                <w:tcPr>
                  <w:tcW w:w="1115" w:type="dxa"/>
                  <w:vAlign w:val="center"/>
                </w:tcPr>
                <w:p w14:paraId="6968C3C6">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w:t>
                  </w:r>
                </w:p>
              </w:tc>
              <w:tc>
                <w:tcPr>
                  <w:tcW w:w="1115" w:type="dxa"/>
                  <w:vAlign w:val="center"/>
                </w:tcPr>
                <w:p w14:paraId="48AFE560">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200</w:t>
                  </w:r>
                </w:p>
              </w:tc>
              <w:tc>
                <w:tcPr>
                  <w:tcW w:w="1115" w:type="dxa"/>
                  <w:vAlign w:val="center"/>
                </w:tcPr>
                <w:p w14:paraId="326A62F5">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100</w:t>
                  </w:r>
                </w:p>
              </w:tc>
            </w:tr>
            <w:tr w14:paraId="6F06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4CC0F576">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5</w:t>
                  </w:r>
                </w:p>
              </w:tc>
              <w:tc>
                <w:tcPr>
                  <w:tcW w:w="1666" w:type="dxa"/>
                  <w:vAlign w:val="center"/>
                </w:tcPr>
                <w:p w14:paraId="1B9F8E2D">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9-15座中巴</w:t>
                  </w:r>
                </w:p>
              </w:tc>
              <w:tc>
                <w:tcPr>
                  <w:tcW w:w="1115" w:type="dxa"/>
                  <w:vAlign w:val="center"/>
                </w:tcPr>
                <w:p w14:paraId="5B245C55">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570</w:t>
                  </w:r>
                </w:p>
              </w:tc>
              <w:tc>
                <w:tcPr>
                  <w:tcW w:w="1115" w:type="dxa"/>
                  <w:vAlign w:val="center"/>
                </w:tcPr>
                <w:p w14:paraId="4A4335C3">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w:t>
                  </w:r>
                </w:p>
              </w:tc>
              <w:tc>
                <w:tcPr>
                  <w:tcW w:w="1115" w:type="dxa"/>
                  <w:vAlign w:val="center"/>
                </w:tcPr>
                <w:p w14:paraId="7C0F6139">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300</w:t>
                  </w:r>
                </w:p>
              </w:tc>
              <w:tc>
                <w:tcPr>
                  <w:tcW w:w="1115" w:type="dxa"/>
                  <w:vAlign w:val="center"/>
                </w:tcPr>
                <w:p w14:paraId="41EC15E2">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250</w:t>
                  </w:r>
                </w:p>
              </w:tc>
            </w:tr>
            <w:tr w14:paraId="124E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3E1D563C">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6</w:t>
                  </w:r>
                </w:p>
              </w:tc>
              <w:tc>
                <w:tcPr>
                  <w:tcW w:w="1666" w:type="dxa"/>
                  <w:vAlign w:val="center"/>
                </w:tcPr>
                <w:p w14:paraId="5A2A973B">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19-23座普通中巴</w:t>
                  </w:r>
                </w:p>
              </w:tc>
              <w:tc>
                <w:tcPr>
                  <w:tcW w:w="1115" w:type="dxa"/>
                  <w:vAlign w:val="center"/>
                </w:tcPr>
                <w:p w14:paraId="39A1C3C0">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700</w:t>
                  </w:r>
                </w:p>
              </w:tc>
              <w:tc>
                <w:tcPr>
                  <w:tcW w:w="1115" w:type="dxa"/>
                  <w:vAlign w:val="center"/>
                </w:tcPr>
                <w:p w14:paraId="0D8E4C68">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3.5</w:t>
                  </w:r>
                </w:p>
              </w:tc>
              <w:tc>
                <w:tcPr>
                  <w:tcW w:w="1115" w:type="dxa"/>
                  <w:vAlign w:val="center"/>
                </w:tcPr>
                <w:p w14:paraId="6E755507">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300</w:t>
                  </w:r>
                </w:p>
              </w:tc>
              <w:tc>
                <w:tcPr>
                  <w:tcW w:w="1115" w:type="dxa"/>
                  <w:vAlign w:val="center"/>
                </w:tcPr>
                <w:p w14:paraId="400F0B91">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方正仿宋_GB2312" w:hAnsi="方正仿宋_GB2312" w:eastAsia="方正仿宋_GB2312" w:cs="方正仿宋_GB2312"/>
                      <w:b w:val="0"/>
                      <w:bCs/>
                      <w:color w:val="auto"/>
                      <w:szCs w:val="21"/>
                      <w:highlight w:val="none"/>
                      <w:vertAlign w:val="baseline"/>
                      <w:lang w:val="en-US" w:eastAsia="zh-CN"/>
                    </w:rPr>
                    <w:t>250</w:t>
                  </w:r>
                </w:p>
              </w:tc>
            </w:tr>
          </w:tbl>
          <w:p w14:paraId="4D697FB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注：1.租车费用含车辆租赁费、保险费、</w:t>
            </w:r>
            <w:r>
              <w:rPr>
                <w:rFonts w:hint="eastAsia" w:ascii="方正仿宋_GB2312" w:hAnsi="方正仿宋_GB2312" w:eastAsia="方正仿宋_GB2312" w:cs="方正仿宋_GB2312"/>
                <w:bCs/>
                <w:color w:val="auto"/>
                <w:szCs w:val="21"/>
                <w:highlight w:val="none"/>
                <w:lang w:val="en-US" w:eastAsia="zh-CN"/>
              </w:rPr>
              <w:t>燃油费、</w:t>
            </w:r>
            <w:r>
              <w:rPr>
                <w:rFonts w:hint="eastAsia" w:ascii="方正仿宋_GB2312" w:hAnsi="方正仿宋_GB2312" w:eastAsia="方正仿宋_GB2312" w:cs="方正仿宋_GB2312"/>
                <w:bCs/>
                <w:color w:val="auto"/>
                <w:szCs w:val="21"/>
                <w:highlight w:val="none"/>
                <w:lang w:eastAsia="zh-CN"/>
              </w:rPr>
              <w:t>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等车辆在运行中产生的一切费用及管理费和税金费用。</w:t>
            </w:r>
          </w:p>
          <w:p w14:paraId="6FB05CB1">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Cs/>
                <w:color w:val="auto"/>
                <w:szCs w:val="21"/>
                <w:highlight w:val="none"/>
              </w:rPr>
              <w:t>2.超出100公里的每趟每辆租车费计算公式=每趟的价格+（实际行驶公里数-100公里）×超公里数价格。</w:t>
            </w:r>
          </w:p>
        </w:tc>
      </w:tr>
      <w:tr w14:paraId="1D7ED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95" w:type="dxa"/>
            <w:gridSpan w:val="4"/>
            <w:tcBorders>
              <w:left w:val="single" w:color="auto" w:sz="4" w:space="0"/>
              <w:bottom w:val="single" w:color="auto" w:sz="4" w:space="0"/>
              <w:right w:val="single" w:color="auto" w:sz="4" w:space="0"/>
            </w:tcBorders>
            <w:vAlign w:val="center"/>
          </w:tcPr>
          <w:p w14:paraId="36BF663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szCs w:val="21"/>
                <w:highlight w:val="none"/>
              </w:rPr>
              <w:t>二、涉及项目的其他要求</w:t>
            </w:r>
          </w:p>
        </w:tc>
      </w:tr>
      <w:tr w14:paraId="3A5AC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36E28658">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采购预算价</w:t>
            </w:r>
          </w:p>
        </w:tc>
        <w:tc>
          <w:tcPr>
            <w:tcW w:w="7831" w:type="dxa"/>
            <w:gridSpan w:val="2"/>
            <w:tcBorders>
              <w:left w:val="single" w:color="auto" w:sz="4" w:space="0"/>
              <w:bottom w:val="single" w:color="auto" w:sz="4" w:space="0"/>
              <w:right w:val="single" w:color="auto" w:sz="4" w:space="0"/>
            </w:tcBorders>
            <w:vAlign w:val="center"/>
          </w:tcPr>
          <w:p w14:paraId="71636EA2">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lang w:val="en-US" w:eastAsia="zh-CN"/>
              </w:rPr>
              <w:t>10</w:t>
            </w:r>
            <w:r>
              <w:rPr>
                <w:rFonts w:hint="eastAsia" w:ascii="方正仿宋_GB2312" w:hAnsi="方正仿宋_GB2312" w:eastAsia="方正仿宋_GB2312" w:cs="方正仿宋_GB2312"/>
                <w:b/>
                <w:color w:val="auto"/>
                <w:szCs w:val="21"/>
                <w:highlight w:val="none"/>
              </w:rPr>
              <w:t>万元/</w:t>
            </w:r>
            <w:r>
              <w:rPr>
                <w:rFonts w:hint="eastAsia" w:ascii="方正仿宋_GB2312" w:hAnsi="方正仿宋_GB2312" w:eastAsia="方正仿宋_GB2312" w:cs="方正仿宋_GB2312"/>
                <w:b/>
                <w:color w:val="auto"/>
                <w:szCs w:val="21"/>
                <w:highlight w:val="none"/>
                <w:lang w:val="en-US" w:eastAsia="zh-CN"/>
              </w:rPr>
              <w:t>1</w:t>
            </w:r>
            <w:r>
              <w:rPr>
                <w:rFonts w:hint="eastAsia" w:ascii="方正仿宋_GB2312" w:hAnsi="方正仿宋_GB2312" w:eastAsia="方正仿宋_GB2312" w:cs="方正仿宋_GB2312"/>
                <w:b/>
                <w:color w:val="auto"/>
                <w:szCs w:val="21"/>
                <w:highlight w:val="none"/>
              </w:rPr>
              <w:t>年</w:t>
            </w:r>
            <w:r>
              <w:rPr>
                <w:rFonts w:hint="eastAsia" w:ascii="方正仿宋_GB2312" w:hAnsi="方正仿宋_GB2312" w:eastAsia="方正仿宋_GB2312" w:cs="方正仿宋_GB2312"/>
                <w:bCs/>
                <w:color w:val="auto"/>
                <w:szCs w:val="21"/>
                <w:highlight w:val="none"/>
              </w:rPr>
              <w:t>。以实际支出费用结算。</w:t>
            </w:r>
          </w:p>
        </w:tc>
      </w:tr>
      <w:tr w14:paraId="789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1B0AA782">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报价方式</w:t>
            </w:r>
          </w:p>
        </w:tc>
        <w:tc>
          <w:tcPr>
            <w:tcW w:w="7831" w:type="dxa"/>
            <w:gridSpan w:val="2"/>
            <w:tcBorders>
              <w:left w:val="single" w:color="auto" w:sz="4" w:space="0"/>
              <w:bottom w:val="single" w:color="auto" w:sz="4" w:space="0"/>
              <w:right w:val="single" w:color="auto" w:sz="4" w:space="0"/>
            </w:tcBorders>
            <w:vAlign w:val="center"/>
          </w:tcPr>
          <w:p w14:paraId="352EE94A">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以租车服务路程限价表作为基础，表内的价格均包含了配备的驾驶员费用（如工资、社会保障和食宿费等）、</w:t>
            </w:r>
            <w:r>
              <w:rPr>
                <w:rFonts w:hint="eastAsia" w:ascii="方正仿宋_GB2312" w:hAnsi="方正仿宋_GB2312" w:eastAsia="方正仿宋_GB2312" w:cs="方正仿宋_GB2312"/>
                <w:bCs/>
                <w:color w:val="auto"/>
                <w:szCs w:val="21"/>
                <w:highlight w:val="none"/>
                <w:lang w:val="en-US" w:eastAsia="zh-CN"/>
              </w:rPr>
              <w:t>燃油费、</w:t>
            </w:r>
            <w:r>
              <w:rPr>
                <w:rFonts w:hint="eastAsia" w:ascii="方正仿宋_GB2312" w:hAnsi="方正仿宋_GB2312" w:eastAsia="方正仿宋_GB2312" w:cs="方正仿宋_GB2312"/>
                <w:bCs/>
                <w:color w:val="auto"/>
                <w:szCs w:val="21"/>
                <w:highlight w:val="none"/>
                <w:lang w:eastAsia="zh-CN"/>
              </w:rPr>
              <w:t>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w:t>
            </w:r>
            <w:r>
              <w:rPr>
                <w:rFonts w:hint="eastAsia" w:ascii="方正仿宋_GB2312" w:hAnsi="方正仿宋_GB2312" w:eastAsia="方正仿宋_GB2312" w:cs="方正仿宋_GB2312"/>
                <w:b/>
                <w:color w:val="auto"/>
                <w:szCs w:val="21"/>
                <w:highlight w:val="none"/>
              </w:rPr>
              <w:t>供应商针对本项目作折扣报价</w:t>
            </w:r>
            <w:r>
              <w:rPr>
                <w:rFonts w:hint="eastAsia" w:ascii="方正仿宋_GB2312" w:hAnsi="方正仿宋_GB2312" w:eastAsia="方正仿宋_GB2312" w:cs="方正仿宋_GB2312"/>
                <w:bCs/>
                <w:color w:val="auto"/>
                <w:szCs w:val="21"/>
                <w:highlight w:val="none"/>
              </w:rPr>
              <w:t>。合同单价=各单项服务采购限价×成交折扣。</w:t>
            </w:r>
          </w:p>
        </w:tc>
      </w:tr>
      <w:tr w14:paraId="08764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995" w:type="dxa"/>
            <w:gridSpan w:val="4"/>
            <w:tcBorders>
              <w:top w:val="single" w:color="auto" w:sz="4" w:space="0"/>
              <w:left w:val="single" w:color="auto" w:sz="4" w:space="0"/>
              <w:bottom w:val="single" w:color="auto" w:sz="4" w:space="0"/>
              <w:right w:val="single" w:color="auto" w:sz="4" w:space="0"/>
            </w:tcBorders>
            <w:vAlign w:val="center"/>
          </w:tcPr>
          <w:p w14:paraId="288A8190">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三、商务要求</w:t>
            </w:r>
          </w:p>
        </w:tc>
      </w:tr>
      <w:tr w14:paraId="5E58E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3C6013">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项目</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75B14550">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要求</w:t>
            </w:r>
          </w:p>
        </w:tc>
      </w:tr>
      <w:tr w14:paraId="430D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3CADB36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服务期限</w:t>
            </w:r>
          </w:p>
        </w:tc>
        <w:tc>
          <w:tcPr>
            <w:tcW w:w="7831" w:type="dxa"/>
            <w:gridSpan w:val="2"/>
            <w:tcBorders>
              <w:top w:val="single" w:color="auto" w:sz="4" w:space="0"/>
              <w:left w:val="single" w:color="auto" w:sz="4" w:space="0"/>
              <w:bottom w:val="single" w:color="auto" w:sz="4" w:space="0"/>
              <w:right w:val="single" w:color="auto" w:sz="4" w:space="0"/>
            </w:tcBorders>
          </w:tcPr>
          <w:p w14:paraId="62A5945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自签订合同之日起</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tc>
      </w:tr>
      <w:tr w14:paraId="79BEA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461B55D">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服务地点</w:t>
            </w:r>
          </w:p>
        </w:tc>
        <w:tc>
          <w:tcPr>
            <w:tcW w:w="7831" w:type="dxa"/>
            <w:gridSpan w:val="2"/>
            <w:tcBorders>
              <w:top w:val="single" w:color="auto" w:sz="4" w:space="0"/>
              <w:left w:val="single" w:color="auto" w:sz="4" w:space="0"/>
              <w:bottom w:val="single" w:color="auto" w:sz="4" w:space="0"/>
              <w:right w:val="single" w:color="auto" w:sz="4" w:space="0"/>
            </w:tcBorders>
          </w:tcPr>
          <w:p w14:paraId="1680DEA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见服务需求表第二点</w:t>
            </w:r>
            <w:r>
              <w:rPr>
                <w:rFonts w:hint="eastAsia" w:ascii="方正仿宋_GB2312" w:hAnsi="方正仿宋_GB2312" w:eastAsia="方正仿宋_GB2312" w:cs="方正仿宋_GB2312"/>
                <w:bCs/>
                <w:color w:val="auto"/>
                <w:szCs w:val="21"/>
                <w:highlight w:val="none"/>
              </w:rPr>
              <w:t>。</w:t>
            </w:r>
          </w:p>
        </w:tc>
      </w:tr>
      <w:tr w14:paraId="0E0AE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151363D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付款方式</w:t>
            </w:r>
          </w:p>
        </w:tc>
        <w:tc>
          <w:tcPr>
            <w:tcW w:w="7831" w:type="dxa"/>
            <w:gridSpan w:val="2"/>
            <w:tcBorders>
              <w:top w:val="single" w:color="auto" w:sz="4" w:space="0"/>
              <w:left w:val="single" w:color="auto" w:sz="4" w:space="0"/>
              <w:bottom w:val="single" w:color="auto" w:sz="4" w:space="0"/>
              <w:right w:val="single" w:color="auto" w:sz="4" w:space="0"/>
            </w:tcBorders>
          </w:tcPr>
          <w:p w14:paraId="7959ED6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实际用车为准，费用按照成交折扣及租车服务采购限价表为基准进行结算；总结算金额不超过本项目采购预算金额。费用按月结算（每月15日前支付上月实际发生款项），由成交人提供正规发票及采购人的《公务租车审批单》、《公务租车结算单》等有效单据给采购人相关人员签字确认后转账。若成交人未按时提供发票的，采购人有权暂缓支付费用，成交人仍须按合同约定履行义务，且由此产生的后果由成交人承担。</w:t>
            </w:r>
          </w:p>
        </w:tc>
      </w:tr>
      <w:tr w14:paraId="76FDD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A2C5D7F">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履约保证金</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CDAFED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1、履约保证金金额：</w:t>
            </w:r>
            <w:r>
              <w:rPr>
                <w:rFonts w:hint="eastAsia" w:ascii="方正仿宋_GB2312" w:hAnsi="方正仿宋_GB2312" w:eastAsia="方正仿宋_GB2312" w:cs="方正仿宋_GB2312"/>
                <w:b/>
                <w:color w:val="auto"/>
                <w:szCs w:val="21"/>
                <w:highlight w:val="none"/>
              </w:rPr>
              <w:t>按预算金额的5%缴纳</w:t>
            </w:r>
            <w:r>
              <w:rPr>
                <w:rFonts w:hint="eastAsia" w:ascii="方正仿宋_GB2312" w:hAnsi="方正仿宋_GB2312" w:eastAsia="方正仿宋_GB2312" w:cs="方正仿宋_GB2312"/>
                <w:bCs/>
                <w:color w:val="auto"/>
                <w:szCs w:val="21"/>
                <w:highlight w:val="none"/>
              </w:rPr>
              <w:t>。</w:t>
            </w:r>
          </w:p>
          <w:p w14:paraId="52EA3D7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2、履约保证金递交方式：以电汇、转账、汇票等非现金形式提交。由成交人在签订合同前按规定的金额直接缴入采购人指定的账户。否则，不予办理签订合同。</w:t>
            </w:r>
          </w:p>
          <w:p w14:paraId="35810FA0">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3、成交人按合同约定服务质量验收合格后，提交政府采购项目合同验收报告，经采购人确认后，采购人申请全额返还履约保证金（无息）。</w:t>
            </w:r>
          </w:p>
        </w:tc>
      </w:tr>
      <w:tr w14:paraId="35C14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E2CD71">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服务及违约要求</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502F3D9">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成交人在接到用车通知后，至少在用车前一个工作日提供拟派车辆（采购人指定的车型）的真实图片、车号等相关材料给采购人审核。得到确认后，按采购人指定的车型和数量、发车时间、发车地点，提前半小时到达。</w:t>
            </w:r>
          </w:p>
          <w:p w14:paraId="3181241B">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2、成交人不按承诺履约，每违约1次或考核成绩不合格，采购人按考核成绩对违约进行处罚。服务期内连续发生3次违约或累计发生5次违约或发生重大交通事故或人员伤亡的，采购人有权单方面解除合同。</w:t>
            </w:r>
          </w:p>
          <w:p w14:paraId="51E3827C">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采购人租车</w:t>
            </w:r>
            <w:r>
              <w:rPr>
                <w:rFonts w:hint="eastAsia" w:ascii="方正仿宋_GB2312" w:hAnsi="方正仿宋_GB2312" w:eastAsia="方正仿宋_GB2312" w:cs="方正仿宋_GB2312"/>
                <w:color w:val="auto"/>
                <w:szCs w:val="21"/>
                <w:highlight w:val="none"/>
              </w:rPr>
              <w:t>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保留向第三方追索赔付的权利。</w:t>
            </w:r>
          </w:p>
          <w:p w14:paraId="7DDDC871">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4、其余服务要求及违约条款请见第五章合同主要条款格式。</w:t>
            </w:r>
          </w:p>
        </w:tc>
      </w:tr>
    </w:tbl>
    <w:p w14:paraId="3DFEB024">
      <w:pPr>
        <w:rPr>
          <w:rFonts w:hint="eastAsia" w:ascii="方正仿宋_GB2312" w:hAnsi="方正仿宋_GB2312" w:eastAsia="方正仿宋_GB2312" w:cs="方正仿宋_GB2312"/>
          <w:color w:val="auto"/>
          <w:szCs w:val="21"/>
          <w:highlight w:val="none"/>
        </w:rPr>
      </w:pPr>
    </w:p>
    <w:p w14:paraId="7C600404">
      <w:pPr>
        <w:rPr>
          <w:rFonts w:hint="eastAsia" w:ascii="方正仿宋_GB2312" w:hAnsi="方正仿宋_GB2312" w:eastAsia="方正仿宋_GB2312" w:cs="方正仿宋_GB2312"/>
          <w:color w:val="auto"/>
          <w:szCs w:val="21"/>
          <w:highlight w:val="none"/>
        </w:rPr>
        <w:sectPr>
          <w:footerReference r:id="rId5" w:type="first"/>
          <w:headerReference r:id="rId3" w:type="default"/>
          <w:footerReference r:id="rId4" w:type="default"/>
          <w:type w:val="continuous"/>
          <w:pgSz w:w="11906" w:h="16838"/>
          <w:pgMar w:top="851" w:right="1133" w:bottom="1246" w:left="1418" w:header="851" w:footer="797" w:gutter="0"/>
          <w:cols w:space="720" w:num="1"/>
          <w:docGrid w:linePitch="312" w:charSpace="0"/>
        </w:sectPr>
      </w:pPr>
    </w:p>
    <w:bookmarkEnd w:id="5"/>
    <w:bookmarkEnd w:id="6"/>
    <w:p w14:paraId="0D43E04B">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7" w:name="_Toc185348282"/>
      <w:bookmarkStart w:id="8" w:name="_Toc254970690"/>
      <w:bookmarkStart w:id="9" w:name="_Toc254970549"/>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lang w:val="en-US" w:eastAsia="zh-CN"/>
        </w:rPr>
        <w:t>附件二：</w:t>
      </w:r>
      <w:r>
        <w:rPr>
          <w:rFonts w:hint="eastAsia" w:ascii="方正仿宋_GB2312" w:hAnsi="方正仿宋_GB2312" w:eastAsia="方正仿宋_GB2312" w:cs="方正仿宋_GB2312"/>
          <w:color w:val="auto"/>
          <w:sz w:val="32"/>
          <w:szCs w:val="32"/>
          <w:highlight w:val="none"/>
        </w:rPr>
        <w:t>评审方法及评审标准</w:t>
      </w:r>
      <w:bookmarkEnd w:id="7"/>
    </w:p>
    <w:tbl>
      <w:tblPr>
        <w:tblStyle w:val="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84"/>
        <w:gridCol w:w="1389"/>
        <w:gridCol w:w="6811"/>
      </w:tblGrid>
      <w:tr w14:paraId="178C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B6791A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序号</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249B01F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评分因素</w:t>
            </w:r>
          </w:p>
        </w:tc>
        <w:tc>
          <w:tcPr>
            <w:tcW w:w="6811" w:type="dxa"/>
            <w:tcBorders>
              <w:top w:val="single" w:color="auto" w:sz="4" w:space="0"/>
              <w:left w:val="single" w:color="auto" w:sz="4" w:space="0"/>
              <w:bottom w:val="single" w:color="auto" w:sz="4" w:space="0"/>
              <w:right w:val="single" w:color="auto" w:sz="4" w:space="0"/>
            </w:tcBorders>
            <w:vAlign w:val="center"/>
          </w:tcPr>
          <w:p w14:paraId="58FE2B2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评分标准</w:t>
            </w:r>
          </w:p>
        </w:tc>
      </w:tr>
      <w:tr w14:paraId="6375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A1C2B8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1</w:t>
            </w:r>
          </w:p>
        </w:tc>
        <w:tc>
          <w:tcPr>
            <w:tcW w:w="884" w:type="dxa"/>
            <w:tcBorders>
              <w:top w:val="single" w:color="auto" w:sz="4" w:space="0"/>
              <w:left w:val="single" w:color="auto" w:sz="4" w:space="0"/>
              <w:bottom w:val="single" w:color="auto" w:sz="4" w:space="0"/>
              <w:right w:val="single" w:color="auto" w:sz="4" w:space="0"/>
            </w:tcBorders>
            <w:vAlign w:val="center"/>
          </w:tcPr>
          <w:p w14:paraId="7A35063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价格分</w:t>
            </w:r>
          </w:p>
          <w:p w14:paraId="454BD79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w:t>
            </w:r>
            <w:r>
              <w:rPr>
                <w:rFonts w:hint="eastAsia" w:ascii="方正仿宋_GB2312" w:hAnsi="方正仿宋_GB2312" w:eastAsia="方正仿宋_GB2312" w:cs="方正仿宋_GB2312"/>
                <w:b/>
                <w:color w:val="auto"/>
                <w:szCs w:val="21"/>
                <w:highlight w:val="none"/>
                <w:lang w:val="en-US" w:eastAsia="zh-CN"/>
              </w:rPr>
              <w:t>30</w:t>
            </w:r>
            <w:r>
              <w:rPr>
                <w:rFonts w:hint="eastAsia" w:ascii="方正仿宋_GB2312" w:hAnsi="方正仿宋_GB2312" w:eastAsia="方正仿宋_GB2312" w:cs="方正仿宋_GB2312"/>
                <w:b/>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14:paraId="63A0C48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响应报价</w:t>
            </w:r>
          </w:p>
          <w:p w14:paraId="5A6CAD1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（满分</w:t>
            </w:r>
            <w:r>
              <w:rPr>
                <w:rFonts w:hint="eastAsia" w:ascii="方正仿宋_GB2312" w:hAnsi="方正仿宋_GB2312" w:eastAsia="方正仿宋_GB2312" w:cs="方正仿宋_GB2312"/>
                <w:color w:val="auto"/>
                <w:szCs w:val="21"/>
                <w:highlight w:val="none"/>
                <w:lang w:val="en-US" w:eastAsia="zh-CN"/>
              </w:rPr>
              <w:t>30</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8A64614">
            <w:pPr>
              <w:keepNext w:val="0"/>
              <w:keepLines w:val="0"/>
              <w:suppressLineNumbers w:val="0"/>
              <w:snapToGrid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以进入综合评分环节的最低的评标折扣为基准价，基准价报价得分为30分。</w:t>
            </w:r>
          </w:p>
          <w:p w14:paraId="79104C06">
            <w:pPr>
              <w:keepNext w:val="0"/>
              <w:keepLines w:val="0"/>
              <w:suppressLineNumbers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价格分计算公式：某供应商价格分=基准价/某供应商评标折扣×</w:t>
            </w:r>
            <w:r>
              <w:rPr>
                <w:rFonts w:hint="eastAsia" w:ascii="方正仿宋_GB2312" w:hAnsi="方正仿宋_GB2312" w:eastAsia="方正仿宋_GB2312" w:cs="方正仿宋_GB2312"/>
                <w:bCs/>
                <w:color w:val="auto"/>
                <w:szCs w:val="21"/>
                <w:highlight w:val="none"/>
                <w:lang w:val="en-US" w:eastAsia="zh-CN"/>
              </w:rPr>
              <w:t>30</w:t>
            </w:r>
            <w:r>
              <w:rPr>
                <w:rFonts w:hint="eastAsia" w:ascii="方正仿宋_GB2312" w:hAnsi="方正仿宋_GB2312" w:eastAsia="方正仿宋_GB2312" w:cs="方正仿宋_GB2312"/>
                <w:bCs/>
                <w:color w:val="auto"/>
                <w:szCs w:val="21"/>
                <w:highlight w:val="none"/>
              </w:rPr>
              <w:t xml:space="preserve">分 </w:t>
            </w:r>
            <w:r>
              <w:rPr>
                <w:rFonts w:hint="eastAsia" w:ascii="方正仿宋_GB2312" w:hAnsi="方正仿宋_GB2312" w:eastAsia="方正仿宋_GB2312" w:cs="方正仿宋_GB2312"/>
                <w:color w:val="auto"/>
                <w:szCs w:val="21"/>
                <w:highlight w:val="none"/>
              </w:rPr>
              <w:t xml:space="preserve">   </w:t>
            </w:r>
          </w:p>
          <w:p w14:paraId="45F856C4">
            <w:pPr>
              <w:keepNext w:val="0"/>
              <w:keepLines w:val="0"/>
              <w:suppressLineNumbers w:val="0"/>
              <w:spacing w:before="0" w:beforeAutospacing="0" w:after="0" w:afterAutospacing="0" w:line="340" w:lineRule="exact"/>
              <w:ind w:left="0" w:right="0" w:firstLine="422"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认为供应商的报价明显低于其他通过符合性审查供应商的报价，有可能影响产品质量或者不能诚信履约的，应当</w:t>
            </w:r>
            <w:r>
              <w:rPr>
                <w:rFonts w:hint="eastAsia" w:ascii="方正仿宋_GB2312" w:hAnsi="方正仿宋_GB2312" w:eastAsia="方正仿宋_GB2312" w:cs="方正仿宋_GB2312"/>
                <w:b/>
                <w:color w:val="auto"/>
                <w:szCs w:val="21"/>
                <w:highlight w:val="none"/>
                <w:u w:val="single"/>
                <w:lang w:val="en-US" w:eastAsia="zh-CN"/>
              </w:rPr>
              <w:t>按照《关于推动解决政府采购异常低价问题的通知》（财库〔2026〕2 号）的相关</w:t>
            </w:r>
            <w:r>
              <w:rPr>
                <w:rFonts w:hint="eastAsia" w:ascii="方正仿宋_GB2312" w:hAnsi="方正仿宋_GB2312" w:eastAsia="方正仿宋_GB2312" w:cs="方正仿宋_GB2312"/>
                <w:b/>
                <w:color w:val="auto"/>
                <w:szCs w:val="21"/>
                <w:highlight w:val="none"/>
                <w:u w:val="single"/>
              </w:rPr>
              <w:t>要求</w:t>
            </w:r>
            <w:r>
              <w:rPr>
                <w:rFonts w:hint="eastAsia" w:ascii="方正仿宋_GB2312" w:hAnsi="方正仿宋_GB2312" w:eastAsia="方正仿宋_GB2312" w:cs="方正仿宋_GB2312"/>
                <w:b/>
                <w:color w:val="auto"/>
                <w:szCs w:val="21"/>
                <w:highlight w:val="none"/>
                <w:u w:val="single"/>
                <w:lang w:val="en-US" w:eastAsia="zh-CN"/>
              </w:rPr>
              <w:t>进行处理，并可</w:t>
            </w:r>
            <w:r>
              <w:rPr>
                <w:rFonts w:hint="eastAsia" w:ascii="方正仿宋_GB2312" w:hAnsi="方正仿宋_GB2312" w:eastAsia="方正仿宋_GB2312" w:cs="方正仿宋_GB2312"/>
                <w:b/>
                <w:color w:val="auto"/>
                <w:szCs w:val="21"/>
                <w:highlight w:val="none"/>
                <w:u w:val="single"/>
              </w:rPr>
              <w:t>在评标现场合理的时间内</w:t>
            </w:r>
            <w:r>
              <w:rPr>
                <w:rFonts w:hint="eastAsia" w:ascii="方正仿宋_GB2312" w:hAnsi="方正仿宋_GB2312" w:eastAsia="方正仿宋_GB2312" w:cs="方正仿宋_GB2312"/>
                <w:b/>
                <w:color w:val="auto"/>
                <w:szCs w:val="21"/>
                <w:highlight w:val="none"/>
                <w:u w:val="single"/>
                <w:lang w:val="en-US" w:eastAsia="zh-CN"/>
              </w:rPr>
              <w:t>要求供应商</w:t>
            </w:r>
            <w:r>
              <w:rPr>
                <w:rFonts w:hint="eastAsia" w:ascii="方正仿宋_GB2312" w:hAnsi="方正仿宋_GB2312" w:eastAsia="方正仿宋_GB2312" w:cs="方正仿宋_GB2312"/>
                <w:b/>
                <w:color w:val="auto"/>
                <w:szCs w:val="21"/>
                <w:highlight w:val="none"/>
                <w:u w:val="single"/>
              </w:rPr>
              <w:t>提供书面说明【提交详细的报价明细说明文件及测算表，包括项目的服务车辆等、人工成本包括项目人员的数量、工作时间及其工资和福利支出成本，以及服务项目实施过程中可能涉及的其他费用】，必要时提交相关证明材料；供应商不能证明其报价合理性的，</w:t>
            </w: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应当将其作为无效投标处理。</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 xml:space="preserve">              </w:t>
            </w:r>
          </w:p>
        </w:tc>
      </w:tr>
      <w:tr w14:paraId="2A79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4" w:space="0"/>
              <w:right w:val="single" w:color="auto" w:sz="4" w:space="0"/>
            </w:tcBorders>
            <w:vAlign w:val="center"/>
          </w:tcPr>
          <w:p w14:paraId="2913FDD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restart"/>
            <w:tcBorders>
              <w:left w:val="single" w:color="auto" w:sz="4" w:space="0"/>
              <w:right w:val="single" w:color="auto" w:sz="4" w:space="0"/>
            </w:tcBorders>
            <w:vAlign w:val="center"/>
          </w:tcPr>
          <w:p w14:paraId="4F5DD57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60D48D92">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（2）拟增加投入车辆分（满分12分）</w:t>
            </w:r>
          </w:p>
        </w:tc>
        <w:tc>
          <w:tcPr>
            <w:tcW w:w="6811" w:type="dxa"/>
            <w:tcBorders>
              <w:top w:val="single" w:color="auto" w:sz="4" w:space="0"/>
              <w:left w:val="single" w:color="auto" w:sz="4" w:space="0"/>
              <w:bottom w:val="single" w:color="auto" w:sz="4" w:space="0"/>
              <w:right w:val="single" w:color="auto" w:sz="4" w:space="0"/>
            </w:tcBorders>
            <w:vAlign w:val="center"/>
          </w:tcPr>
          <w:p w14:paraId="06212CE7">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highlight w:val="none"/>
              </w:rPr>
            </w:pPr>
            <w:r>
              <w:rPr>
                <w:rFonts w:hint="eastAsia" w:ascii="方正仿宋_GB2312" w:hAnsi="方正仿宋_GB2312" w:eastAsia="方正仿宋_GB2312" w:cs="方正仿宋_GB2312"/>
                <w:b w:val="0"/>
                <w:bCs w:val="0"/>
                <w:color w:val="auto"/>
                <w:kern w:val="48"/>
                <w:highlight w:val="none"/>
                <w:lang w:val="en-US" w:eastAsia="zh-CN"/>
              </w:rPr>
              <w:t>1.</w:t>
            </w:r>
            <w:r>
              <w:rPr>
                <w:rFonts w:hint="eastAsia" w:ascii="方正仿宋_GB2312" w:hAnsi="方正仿宋_GB2312" w:eastAsia="方正仿宋_GB2312" w:cs="方正仿宋_GB2312"/>
                <w:b w:val="0"/>
                <w:bCs w:val="0"/>
                <w:color w:val="auto"/>
                <w:kern w:val="48"/>
                <w:highlight w:val="none"/>
              </w:rPr>
              <w:t>在满足基本要求基础上，拟增加投入35-40座以上大巴车，每增加一辆得1分（满分6分）。</w:t>
            </w:r>
          </w:p>
          <w:p w14:paraId="4F68A02C">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kern w:val="48"/>
                <w:highlight w:val="none"/>
              </w:rPr>
            </w:pPr>
            <w:r>
              <w:rPr>
                <w:rFonts w:hint="eastAsia" w:ascii="方正仿宋_GB2312" w:hAnsi="方正仿宋_GB2312" w:eastAsia="方正仿宋_GB2312" w:cs="方正仿宋_GB2312"/>
                <w:b w:val="0"/>
                <w:bCs w:val="0"/>
                <w:color w:val="auto"/>
                <w:kern w:val="48"/>
                <w:highlight w:val="none"/>
                <w:lang w:val="en-US" w:eastAsia="zh-CN"/>
              </w:rPr>
              <w:t>2</w:t>
            </w:r>
            <w:r>
              <w:rPr>
                <w:rFonts w:hint="eastAsia" w:ascii="方正仿宋_GB2312" w:hAnsi="方正仿宋_GB2312" w:eastAsia="方正仿宋_GB2312" w:cs="方正仿宋_GB2312"/>
                <w:b w:val="0"/>
                <w:bCs w:val="0"/>
                <w:color w:val="auto"/>
                <w:kern w:val="48"/>
                <w:highlight w:val="none"/>
              </w:rPr>
              <w:t>在满足基本要求基础上，拟增加投入7座以下（含7座）小汽车每增加一辆得1分，7座以上、22座以下（含22座）的中巴每增加一辆得1分（满分6分）。</w:t>
            </w:r>
          </w:p>
          <w:p w14:paraId="4442C2F1">
            <w:pPr>
              <w:keepNext w:val="0"/>
              <w:keepLines w:val="0"/>
              <w:suppressLineNumbers w:val="0"/>
              <w:snapToGrid w:val="0"/>
              <w:spacing w:before="50" w:beforeAutospacing="0" w:after="120" w:afterLines="50" w:afterAutospacing="0" w:line="340" w:lineRule="exact"/>
              <w:ind w:left="0" w:right="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val="0"/>
                <w:bCs w:val="0"/>
                <w:color w:val="auto"/>
                <w:szCs w:val="21"/>
                <w:highlight w:val="none"/>
              </w:rPr>
              <w:t>（注：拟增加投入车辆须提供《机动车登记证书》及机动车行驶证正反双面清晰复印件等，车辆所有人必须为供应商，否则</w:t>
            </w:r>
            <w:r>
              <w:rPr>
                <w:rFonts w:hint="eastAsia" w:ascii="方正仿宋_GB2312" w:hAnsi="方正仿宋_GB2312" w:eastAsia="方正仿宋_GB2312" w:cs="方正仿宋_GB2312"/>
                <w:b w:val="0"/>
                <w:bCs w:val="0"/>
                <w:color w:val="auto"/>
                <w:szCs w:val="21"/>
                <w:highlight w:val="none"/>
                <w:lang w:eastAsia="zh-CN"/>
              </w:rPr>
              <w:t>评审小组</w:t>
            </w:r>
            <w:r>
              <w:rPr>
                <w:rFonts w:hint="eastAsia" w:ascii="方正仿宋_GB2312" w:hAnsi="方正仿宋_GB2312" w:eastAsia="方正仿宋_GB2312" w:cs="方正仿宋_GB2312"/>
                <w:b w:val="0"/>
                <w:bCs w:val="0"/>
                <w:color w:val="auto"/>
                <w:szCs w:val="21"/>
                <w:highlight w:val="none"/>
              </w:rPr>
              <w:t>有权不接受）</w:t>
            </w:r>
          </w:p>
        </w:tc>
      </w:tr>
      <w:tr w14:paraId="4B0E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4EA29940">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1E54846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760A5B36">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w:t>
            </w:r>
            <w:r>
              <w:rPr>
                <w:rFonts w:hint="eastAsia" w:ascii="方正仿宋_GB2312" w:hAnsi="方正仿宋_GB2312" w:eastAsia="方正仿宋_GB2312" w:cs="方正仿宋_GB2312"/>
                <w:color w:val="auto"/>
                <w:szCs w:val="21"/>
                <w:highlight w:val="none"/>
              </w:rPr>
              <w:t>拟投入车辆使用年限分（满分10分）</w:t>
            </w:r>
          </w:p>
        </w:tc>
        <w:tc>
          <w:tcPr>
            <w:tcW w:w="6811" w:type="dxa"/>
            <w:tcBorders>
              <w:top w:val="single" w:color="auto" w:sz="4" w:space="0"/>
              <w:left w:val="single" w:color="auto" w:sz="4" w:space="0"/>
              <w:bottom w:val="single" w:color="auto" w:sz="4" w:space="0"/>
              <w:right w:val="single" w:color="auto" w:sz="4" w:space="0"/>
            </w:tcBorders>
            <w:vAlign w:val="center"/>
          </w:tcPr>
          <w:p w14:paraId="4ED1B9AE">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在拟投入本分标的车辆中，计算已使用年限在4年以内（含4年）的汽车数量占全部拟投入车辆数量的百分比，按百分比的不同档次计算得分，占比在20%以下（不含20%）不得分。</w:t>
            </w:r>
          </w:p>
          <w:p w14:paraId="32BF8458">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一档（3分）：占比为20%-50%以下（含20%、不含50%，下同）；</w:t>
            </w:r>
          </w:p>
          <w:p w14:paraId="5F532109">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二档（5分）：占比为50%-60%；</w:t>
            </w:r>
          </w:p>
          <w:p w14:paraId="3ACF9A5E">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三档（7分）：占比为60%-</w:t>
            </w:r>
            <w:r>
              <w:rPr>
                <w:rFonts w:hint="eastAsia" w:ascii="方正仿宋_GB2312" w:hAnsi="方正仿宋_GB2312" w:eastAsia="方正仿宋_GB2312" w:cs="方正仿宋_GB2312"/>
                <w:bCs/>
                <w:color w:val="auto"/>
                <w:szCs w:val="21"/>
                <w:highlight w:val="none"/>
                <w:lang w:val="en-US" w:eastAsia="zh-CN"/>
              </w:rPr>
              <w:t>8</w:t>
            </w:r>
            <w:r>
              <w:rPr>
                <w:rFonts w:hint="eastAsia" w:ascii="方正仿宋_GB2312" w:hAnsi="方正仿宋_GB2312" w:eastAsia="方正仿宋_GB2312" w:cs="方正仿宋_GB2312"/>
                <w:bCs/>
                <w:color w:val="auto"/>
                <w:szCs w:val="21"/>
                <w:highlight w:val="none"/>
              </w:rPr>
              <w:t>0%;</w:t>
            </w:r>
          </w:p>
          <w:p w14:paraId="5E6C87E1">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四档（10分）：占比为80%以上（含80%）;</w:t>
            </w:r>
          </w:p>
          <w:p w14:paraId="509FDDC9">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bCs/>
                <w:color w:val="auto"/>
                <w:szCs w:val="21"/>
                <w:highlight w:val="none"/>
              </w:rPr>
              <w:t>（注：车辆年限须提供《机动车登记证书》及机动车行驶证正反双面清晰复印件等，车辆所有人必须为供应商，否则</w:t>
            </w:r>
            <w:r>
              <w:rPr>
                <w:rFonts w:hint="eastAsia" w:ascii="方正仿宋_GB2312" w:hAnsi="方正仿宋_GB2312" w:eastAsia="方正仿宋_GB2312" w:cs="方正仿宋_GB2312"/>
                <w:b/>
                <w:bCs/>
                <w:color w:val="auto"/>
                <w:szCs w:val="21"/>
                <w:highlight w:val="none"/>
                <w:lang w:eastAsia="zh-CN"/>
              </w:rPr>
              <w:t>评审小组</w:t>
            </w:r>
            <w:r>
              <w:rPr>
                <w:rFonts w:hint="eastAsia" w:ascii="方正仿宋_GB2312" w:hAnsi="方正仿宋_GB2312" w:eastAsia="方正仿宋_GB2312" w:cs="方正仿宋_GB2312"/>
                <w:b/>
                <w:bCs/>
                <w:color w:val="auto"/>
                <w:szCs w:val="21"/>
                <w:highlight w:val="none"/>
              </w:rPr>
              <w:t>有权不接受）</w:t>
            </w:r>
          </w:p>
        </w:tc>
      </w:tr>
      <w:tr w14:paraId="5F6C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26D2141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5764337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046DA9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（4）拟投入驾驶员分（满分10分）</w:t>
            </w:r>
          </w:p>
        </w:tc>
        <w:tc>
          <w:tcPr>
            <w:tcW w:w="6811" w:type="dxa"/>
            <w:tcBorders>
              <w:top w:val="single" w:color="auto" w:sz="4" w:space="0"/>
              <w:left w:val="single" w:color="auto" w:sz="4" w:space="0"/>
              <w:bottom w:val="single" w:color="auto" w:sz="4" w:space="0"/>
              <w:right w:val="single" w:color="auto" w:sz="4" w:space="0"/>
            </w:tcBorders>
            <w:vAlign w:val="center"/>
          </w:tcPr>
          <w:p w14:paraId="2FF0C212">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一档（3分）：拟投入可供使用的驾驶员基本满足采购需求，人数在6-8人（含6人、不含8人）且驾龄5年以上（含5年）的驾驶员至少达到5人；</w:t>
            </w:r>
          </w:p>
          <w:p w14:paraId="54D4AAD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二档（6分）：拟投入可供使用驾驶员人数在8-10人（含8人、不含10人）且驾龄5年以上（含5年）的驾驶员至少达到6人；</w:t>
            </w:r>
          </w:p>
          <w:p w14:paraId="11A0380F">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三档（10分）：拟投入可供使用的驾驶员人数在10人以上（含10人），且驾龄5年以上（含5年） 的驾驶员至少达到7人；</w:t>
            </w:r>
          </w:p>
          <w:p w14:paraId="3DB7F5F7">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(注：以上拟投入人员须提供清晰的驾驶员有效驾驶证和供应商在截止投标截止日近半年内任意一个月为其缴纳的社保缴费证明复印件或有效的劳动合同（协议）复印件并加盖供应商单位公章)</w:t>
            </w:r>
          </w:p>
        </w:tc>
      </w:tr>
      <w:tr w14:paraId="75E5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3F4B529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1EA2DF8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98F6CC8">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（5）服务方案分（满分1</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23E8E38A">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分）：有项目执行组织措施、执行保障措施；服务实施组织方案（如拟采取的管理方式、租车工作计划、出行线路安排、租车安排、车辆保管维护等）总体描述不具体、不详细；</w:t>
            </w:r>
          </w:p>
          <w:p w14:paraId="65E0575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9</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分）：有项目执行组织措施、执行保障措施；服务实施组织方案（如拟采取的管理方式、租车工作计划、出行线路安排、租车安排、车辆保管维护等）总体相对一般、基本可行；</w:t>
            </w:r>
          </w:p>
          <w:p w14:paraId="0B311ACD">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项目执行组织措施、执行保障措施详细可行且有针对性，服务实施组织方案（如拟采取的管理方式、租车工作计划、出行线路安排、租车安排、车辆保管维护等）描述全面、可行；实施组织方案总体相对完善。</w:t>
            </w:r>
          </w:p>
        </w:tc>
      </w:tr>
      <w:tr w14:paraId="691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5BC9001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4D2AED86">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18C63AA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新能源车占比得分（满分3分）</w:t>
            </w:r>
          </w:p>
        </w:tc>
        <w:tc>
          <w:tcPr>
            <w:tcW w:w="6811" w:type="dxa"/>
            <w:tcBorders>
              <w:top w:val="single" w:color="auto" w:sz="4" w:space="0"/>
              <w:left w:val="single" w:color="auto" w:sz="4" w:space="0"/>
              <w:bottom w:val="single" w:color="auto" w:sz="4" w:space="0"/>
              <w:right w:val="single" w:color="auto" w:sz="4" w:space="0"/>
            </w:tcBorders>
            <w:vAlign w:val="center"/>
          </w:tcPr>
          <w:p w14:paraId="7A2465A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拟投入的所有车辆中，新能源车占比达到30%（含）以上的，得1分；新能源车占比达到50%（含）以上的，得3分。</w:t>
            </w:r>
          </w:p>
        </w:tc>
      </w:tr>
      <w:tr w14:paraId="595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26968617">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08454C1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7AA828E">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7</w:t>
            </w:r>
            <w:r>
              <w:rPr>
                <w:rFonts w:hint="eastAsia" w:ascii="方正仿宋_GB2312" w:hAnsi="方正仿宋_GB2312" w:eastAsia="方正仿宋_GB2312" w:cs="方正仿宋_GB2312"/>
                <w:color w:val="auto"/>
                <w:szCs w:val="21"/>
                <w:highlight w:val="none"/>
              </w:rPr>
              <w:t>）突发应急情况处理方案分（满分1</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78D201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分）：突发应急情况处理，安全保障能力方案简单，执行操作性一般；</w:t>
            </w:r>
          </w:p>
          <w:p w14:paraId="30F1ADF3">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9</w:t>
            </w:r>
            <w:r>
              <w:rPr>
                <w:rFonts w:hint="eastAsia" w:ascii="方正仿宋_GB2312" w:hAnsi="方正仿宋_GB2312" w:eastAsia="方正仿宋_GB2312" w:cs="方正仿宋_GB2312"/>
                <w:color w:val="auto"/>
                <w:szCs w:val="21"/>
                <w:highlight w:val="none"/>
              </w:rPr>
              <w:t>分）：突发应急情况处理，安全保障能力方案制度较完备，具有一定科学的操作性；</w:t>
            </w:r>
          </w:p>
          <w:p w14:paraId="1920816E">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w:t>
            </w: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分）：突发应急情况处理，安全保障能力方案制度优秀，规章严谨管理规范，有系统的处置办法，执行力和操作性强。</w:t>
            </w:r>
          </w:p>
        </w:tc>
      </w:tr>
      <w:tr w14:paraId="6CD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172F84D">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3</w:t>
            </w:r>
          </w:p>
        </w:tc>
        <w:tc>
          <w:tcPr>
            <w:tcW w:w="884" w:type="dxa"/>
            <w:tcBorders>
              <w:top w:val="single" w:color="auto" w:sz="4" w:space="0"/>
              <w:left w:val="single" w:color="auto" w:sz="4" w:space="0"/>
              <w:bottom w:val="single" w:color="auto" w:sz="4" w:space="0"/>
              <w:right w:val="single" w:color="auto" w:sz="4" w:space="0"/>
            </w:tcBorders>
            <w:vAlign w:val="center"/>
          </w:tcPr>
          <w:p w14:paraId="1A07EBD6">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bCs/>
                <w:color w:val="auto"/>
                <w:szCs w:val="21"/>
                <w:highlight w:val="none"/>
              </w:rPr>
              <w:t>商务分（11分）</w:t>
            </w:r>
          </w:p>
        </w:tc>
        <w:tc>
          <w:tcPr>
            <w:tcW w:w="13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F42287">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商务分（满分11分）</w:t>
            </w:r>
          </w:p>
        </w:tc>
        <w:tc>
          <w:tcPr>
            <w:tcW w:w="6811" w:type="dxa"/>
            <w:tcBorders>
              <w:top w:val="single" w:color="auto" w:sz="4" w:space="0"/>
              <w:left w:val="single" w:color="auto" w:sz="4" w:space="0"/>
              <w:bottom w:val="single" w:color="auto" w:sz="4" w:space="0"/>
              <w:right w:val="single" w:color="auto" w:sz="4" w:space="0"/>
            </w:tcBorders>
            <w:vAlign w:val="center"/>
          </w:tcPr>
          <w:p w14:paraId="24DF85A8">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（1）供应商通过有效的质量管理系列体系认证得1分（满分1分）(投标文件提供有效的证书复印件并加盖投标单位公章）；</w:t>
            </w:r>
          </w:p>
          <w:p w14:paraId="3677C002">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（2）供应商20</w:t>
            </w:r>
            <w:r>
              <w:rPr>
                <w:rFonts w:hint="eastAsia" w:ascii="方正仿宋_GB2312" w:hAnsi="方正仿宋_GB2312" w:eastAsia="方正仿宋_GB2312" w:cs="方正仿宋_GB2312"/>
                <w:bCs/>
                <w:color w:val="auto"/>
                <w:kern w:val="0"/>
                <w:szCs w:val="21"/>
                <w:highlight w:val="none"/>
                <w:lang w:val="en-US" w:eastAsia="zh-CN"/>
              </w:rPr>
              <w:t>23</w:t>
            </w:r>
            <w:r>
              <w:rPr>
                <w:rFonts w:hint="eastAsia" w:ascii="方正仿宋_GB2312" w:hAnsi="方正仿宋_GB2312" w:eastAsia="方正仿宋_GB2312" w:cs="方正仿宋_GB2312"/>
                <w:bCs/>
                <w:color w:val="auto"/>
                <w:kern w:val="0"/>
                <w:szCs w:val="21"/>
                <w:highlight w:val="none"/>
              </w:rPr>
              <w:t>年以来获得政府部门颁发的与企业经营相关的各种荣（信）誉奖项（提供证书复印件），每项得1分，满分5分；</w:t>
            </w:r>
          </w:p>
          <w:p w14:paraId="52EC7BFE">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（3）供应商自</w:t>
            </w:r>
            <w:r>
              <w:rPr>
                <w:rFonts w:hint="eastAsia" w:ascii="方正仿宋_GB2312" w:hAnsi="方正仿宋_GB2312" w:eastAsia="方正仿宋_GB2312" w:cs="方正仿宋_GB2312"/>
                <w:bCs/>
                <w:color w:val="auto"/>
                <w:kern w:val="0"/>
                <w:szCs w:val="21"/>
                <w:highlight w:val="none"/>
                <w:lang w:val="en-US" w:eastAsia="zh-CN"/>
              </w:rPr>
              <w:t>2023</w:t>
            </w:r>
            <w:r>
              <w:rPr>
                <w:rFonts w:hint="eastAsia" w:ascii="方正仿宋_GB2312" w:hAnsi="方正仿宋_GB2312" w:eastAsia="方正仿宋_GB2312" w:cs="方正仿宋_GB2312"/>
                <w:bCs/>
                <w:color w:val="auto"/>
                <w:kern w:val="0"/>
                <w:szCs w:val="21"/>
                <w:highlight w:val="none"/>
              </w:rPr>
              <w:t>来同类项目业绩分（同类指汽车租赁项目服务，提供中标（或成交）通知书或合同复印件并加盖供应商公章），每提供一个有效业绩得1分，满分5分。</w:t>
            </w:r>
          </w:p>
        </w:tc>
      </w:tr>
      <w:tr w14:paraId="40B6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4"/>
            <w:tcBorders>
              <w:top w:val="single" w:color="auto" w:sz="4" w:space="0"/>
              <w:left w:val="single" w:color="auto" w:sz="4" w:space="0"/>
              <w:bottom w:val="single" w:color="auto" w:sz="4" w:space="0"/>
              <w:right w:val="single" w:color="auto" w:sz="4" w:space="0"/>
            </w:tcBorders>
            <w:vAlign w:val="center"/>
          </w:tcPr>
          <w:p w14:paraId="48D16941">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
                <w:bCs/>
                <w:color w:val="auto"/>
                <w:sz w:val="24"/>
                <w:highlight w:val="none"/>
              </w:rPr>
              <w:t>总得分=1+2+3。</w:t>
            </w:r>
          </w:p>
        </w:tc>
      </w:tr>
    </w:tbl>
    <w:p w14:paraId="49A42F7E">
      <w:pPr>
        <w:pStyle w:val="3"/>
        <w:spacing w:line="360" w:lineRule="exact"/>
        <w:ind w:firstLine="643" w:firstLineChars="200"/>
        <w:rPr>
          <w:rFonts w:hint="eastAsia" w:ascii="方正仿宋_GB2312" w:hAnsi="方正仿宋_GB2312" w:eastAsia="方正仿宋_GB2312" w:cs="方正仿宋_GB2312"/>
          <w:b/>
          <w:color w:val="auto"/>
          <w:sz w:val="32"/>
          <w:szCs w:val="32"/>
          <w:highlight w:val="none"/>
        </w:rPr>
      </w:pPr>
    </w:p>
    <w:p w14:paraId="4DB05AEB">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p>
    <w:p w14:paraId="156D56A8">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三、成交候选人推荐原则</w:t>
      </w:r>
    </w:p>
    <w:p w14:paraId="2DFDE602">
      <w:pPr>
        <w:pStyle w:val="3"/>
        <w:spacing w:line="360" w:lineRule="exact"/>
        <w:ind w:firstLine="360" w:firstLineChars="150"/>
        <w:outlineLvl w:val="0"/>
        <w:rPr>
          <w:rFonts w:hint="eastAsia" w:ascii="方正仿宋_GB2312" w:hAnsi="方正仿宋_GB2312" w:eastAsia="方正仿宋_GB2312" w:cs="方正仿宋_GB2312"/>
          <w:b/>
          <w:color w:val="auto"/>
          <w:sz w:val="40"/>
          <w:szCs w:val="40"/>
          <w:highlight w:val="none"/>
        </w:rPr>
      </w:pPr>
      <w:r>
        <w:rPr>
          <w:rFonts w:hint="eastAsia" w:ascii="方正仿宋_GB2312" w:hAnsi="方正仿宋_GB2312" w:eastAsia="方正仿宋_GB2312" w:cs="方正仿宋_GB2312"/>
          <w:bCs/>
          <w:color w:val="auto"/>
          <w:sz w:val="24"/>
          <w:szCs w:val="24"/>
          <w:highlight w:val="none"/>
          <w:lang w:eastAsia="zh-CN"/>
        </w:rPr>
        <w:t>评审小组</w:t>
      </w:r>
      <w:r>
        <w:rPr>
          <w:rFonts w:hint="eastAsia" w:ascii="方正仿宋_GB2312" w:hAnsi="方正仿宋_GB2312" w:eastAsia="方正仿宋_GB2312" w:cs="方正仿宋_GB2312"/>
          <w:bCs/>
          <w:color w:val="auto"/>
          <w:sz w:val="24"/>
          <w:szCs w:val="24"/>
          <w:highlight w:val="none"/>
        </w:rPr>
        <w:t>将根据总得分由高到低排列次序并推荐成交候选人。得分相同的，以响应报价由低到高顺序排列。得分相同且响应报价相同的并列，投标文件满足</w:t>
      </w:r>
      <w:r>
        <w:rPr>
          <w:rFonts w:hint="eastAsia" w:ascii="方正仿宋_GB2312" w:hAnsi="方正仿宋_GB2312" w:eastAsia="方正仿宋_GB2312" w:cs="方正仿宋_GB2312"/>
          <w:bCs/>
          <w:color w:val="auto"/>
          <w:sz w:val="24"/>
          <w:szCs w:val="24"/>
          <w:highlight w:val="none"/>
          <w:lang w:val="en-US" w:eastAsia="zh-CN"/>
        </w:rPr>
        <w:t>采购</w:t>
      </w:r>
      <w:r>
        <w:rPr>
          <w:rFonts w:hint="eastAsia" w:ascii="方正仿宋_GB2312" w:hAnsi="方正仿宋_GB2312" w:eastAsia="方正仿宋_GB2312" w:cs="方正仿宋_GB2312"/>
          <w:bCs/>
          <w:color w:val="auto"/>
          <w:sz w:val="24"/>
          <w:szCs w:val="24"/>
          <w:highlight w:val="none"/>
        </w:rPr>
        <w:t>文件全部实质性要求，</w:t>
      </w:r>
      <w:r>
        <w:rPr>
          <w:rFonts w:hint="eastAsia" w:ascii="方正仿宋_GB2312" w:hAnsi="方正仿宋_GB2312" w:eastAsia="方正仿宋_GB2312" w:cs="方正仿宋_GB2312"/>
          <w:color w:val="auto"/>
          <w:sz w:val="24"/>
          <w:szCs w:val="24"/>
          <w:highlight w:val="none"/>
        </w:rPr>
        <w:t>按照评标办法评审得分最高的供应商为成交候选人的评标方法</w:t>
      </w:r>
      <w:r>
        <w:rPr>
          <w:rFonts w:hint="eastAsia" w:ascii="方正仿宋_GB2312" w:hAnsi="方正仿宋_GB2312" w:eastAsia="方正仿宋_GB2312" w:cs="方正仿宋_GB2312"/>
          <w:bCs/>
          <w:color w:val="auto"/>
          <w:sz w:val="24"/>
          <w:szCs w:val="24"/>
          <w:highlight w:val="none"/>
        </w:rPr>
        <w:t>。</w:t>
      </w:r>
    </w:p>
    <w:p w14:paraId="2AD67532">
      <w:pPr>
        <w:pStyle w:val="3"/>
        <w:snapToGrid w:val="0"/>
        <w:spacing w:before="120" w:after="120" w:line="320" w:lineRule="exact"/>
        <w:jc w:val="center"/>
        <w:rPr>
          <w:rFonts w:hint="eastAsia" w:ascii="方正仿宋_GB2312" w:hAnsi="方正仿宋_GB2312" w:eastAsia="方正仿宋_GB2312" w:cs="方正仿宋_GB2312"/>
          <w:b/>
          <w:bCs/>
          <w:color w:val="auto"/>
          <w:kern w:val="0"/>
          <w:highlight w:val="none"/>
        </w:rPr>
      </w:pPr>
    </w:p>
    <w:p w14:paraId="29330284">
      <w:pPr>
        <w:pStyle w:val="3"/>
        <w:snapToGrid w:val="0"/>
        <w:spacing w:before="120" w:after="120" w:line="320" w:lineRule="exact"/>
        <w:jc w:val="center"/>
        <w:outlineLvl w:val="0"/>
        <w:rPr>
          <w:rFonts w:hint="eastAsia" w:ascii="方正仿宋_GB2312" w:hAnsi="方正仿宋_GB2312" w:eastAsia="方正仿宋_GB2312" w:cs="方正仿宋_GB2312"/>
          <w:b/>
          <w:bCs/>
          <w:color w:val="auto"/>
          <w:kern w:val="0"/>
          <w:highlight w:val="none"/>
        </w:rPr>
        <w:sectPr>
          <w:headerReference r:id="rId6" w:type="default"/>
          <w:footerReference r:id="rId7" w:type="default"/>
          <w:pgSz w:w="11906" w:h="16838"/>
          <w:pgMar w:top="1418" w:right="1274" w:bottom="1418" w:left="1418" w:header="851" w:footer="992" w:gutter="0"/>
          <w:cols w:space="720" w:num="1"/>
          <w:docGrid w:linePitch="312" w:charSpace="0"/>
        </w:sectPr>
      </w:pPr>
      <w:r>
        <w:rPr>
          <w:rFonts w:hint="eastAsia" w:ascii="方正仿宋_GB2312" w:hAnsi="方正仿宋_GB2312" w:eastAsia="方正仿宋_GB2312" w:cs="方正仿宋_GB2312"/>
          <w:b/>
          <w:bCs/>
          <w:color w:val="auto"/>
          <w:kern w:val="0"/>
          <w:highlight w:val="none"/>
        </w:rPr>
        <w:br w:type="page"/>
      </w:r>
      <w:bookmarkEnd w:id="8"/>
      <w:bookmarkEnd w:id="9"/>
    </w:p>
    <w:bookmarkEnd w:id="3"/>
    <w:bookmarkEnd w:id="4"/>
    <w:p w14:paraId="5D647EE4">
      <w:pPr>
        <w:pStyle w:val="3"/>
        <w:spacing w:line="360" w:lineRule="exact"/>
        <w:jc w:val="center"/>
        <w:outlineLvl w:val="0"/>
        <w:rPr>
          <w:rFonts w:hint="eastAsia" w:ascii="方正仿宋_GB2312" w:hAnsi="方正仿宋_GB2312" w:eastAsia="方正仿宋_GB2312" w:cs="方正仿宋_GB2312"/>
          <w:b/>
          <w:color w:val="auto"/>
          <w:sz w:val="32"/>
          <w:szCs w:val="40"/>
          <w:highlight w:val="none"/>
          <w:lang w:eastAsia="zh-CN"/>
        </w:rPr>
      </w:pPr>
      <w:r>
        <w:rPr>
          <w:rFonts w:hint="eastAsia" w:ascii="方正仿宋_GB2312" w:hAnsi="方正仿宋_GB2312" w:eastAsia="方正仿宋_GB2312" w:cs="方正仿宋_GB2312"/>
          <w:b/>
          <w:color w:val="auto"/>
          <w:sz w:val="32"/>
          <w:szCs w:val="40"/>
          <w:highlight w:val="none"/>
          <w:lang w:val="en-US" w:eastAsia="zh-CN"/>
        </w:rPr>
        <w:t>附件三：</w:t>
      </w:r>
      <w:r>
        <w:rPr>
          <w:rFonts w:hint="eastAsia" w:ascii="方正仿宋_GB2312" w:hAnsi="方正仿宋_GB2312" w:eastAsia="方正仿宋_GB2312" w:cs="方正仿宋_GB2312"/>
          <w:b/>
          <w:color w:val="auto"/>
          <w:sz w:val="32"/>
          <w:szCs w:val="40"/>
          <w:highlight w:val="none"/>
        </w:rPr>
        <w:t>采购合同书</w:t>
      </w:r>
      <w:r>
        <w:rPr>
          <w:rFonts w:hint="eastAsia" w:ascii="方正仿宋_GB2312" w:hAnsi="方正仿宋_GB2312" w:eastAsia="方正仿宋_GB2312" w:cs="方正仿宋_GB2312"/>
          <w:b/>
          <w:color w:val="auto"/>
          <w:sz w:val="32"/>
          <w:szCs w:val="40"/>
          <w:highlight w:val="none"/>
          <w:lang w:val="en-US" w:eastAsia="zh-CN"/>
        </w:rPr>
        <w:t>参考</w:t>
      </w:r>
      <w:r>
        <w:rPr>
          <w:rFonts w:hint="eastAsia" w:ascii="方正仿宋_GB2312" w:hAnsi="方正仿宋_GB2312" w:eastAsia="方正仿宋_GB2312" w:cs="方正仿宋_GB2312"/>
          <w:b/>
          <w:color w:val="auto"/>
          <w:sz w:val="32"/>
          <w:szCs w:val="40"/>
          <w:highlight w:val="none"/>
        </w:rPr>
        <w:t>格式</w:t>
      </w:r>
      <w:r>
        <w:rPr>
          <w:rFonts w:hint="eastAsia" w:ascii="方正仿宋_GB2312" w:hAnsi="方正仿宋_GB2312" w:eastAsia="方正仿宋_GB2312" w:cs="方正仿宋_GB2312"/>
          <w:b/>
          <w:color w:val="auto"/>
          <w:sz w:val="21"/>
          <w:szCs w:val="21"/>
          <w:highlight w:val="none"/>
          <w:lang w:eastAsia="zh-CN"/>
        </w:rPr>
        <w:t>（</w:t>
      </w:r>
      <w:r>
        <w:rPr>
          <w:rFonts w:hint="eastAsia" w:ascii="方正仿宋_GB2312" w:hAnsi="方正仿宋_GB2312" w:eastAsia="方正仿宋_GB2312" w:cs="方正仿宋_GB2312"/>
          <w:b/>
          <w:color w:val="auto"/>
          <w:sz w:val="21"/>
          <w:szCs w:val="21"/>
          <w:highlight w:val="none"/>
          <w:lang w:val="en-US" w:eastAsia="zh-CN"/>
        </w:rPr>
        <w:t>仅供参考，以最终成交后学校审核通过的版本为准</w:t>
      </w:r>
      <w:r>
        <w:rPr>
          <w:rFonts w:hint="eastAsia" w:ascii="方正仿宋_GB2312" w:hAnsi="方正仿宋_GB2312" w:eastAsia="方正仿宋_GB2312" w:cs="方正仿宋_GB2312"/>
          <w:b/>
          <w:color w:val="auto"/>
          <w:sz w:val="21"/>
          <w:szCs w:val="21"/>
          <w:highlight w:val="none"/>
          <w:lang w:eastAsia="zh-CN"/>
        </w:rPr>
        <w:t>）</w:t>
      </w:r>
    </w:p>
    <w:p w14:paraId="499F54D1">
      <w:pPr>
        <w:snapToGrid w:val="0"/>
        <w:spacing w:line="360" w:lineRule="auto"/>
        <w:rPr>
          <w:rFonts w:hint="eastAsia" w:ascii="方正仿宋_GB2312" w:hAnsi="方正仿宋_GB2312" w:eastAsia="方正仿宋_GB2312" w:cs="方正仿宋_GB2312"/>
          <w:color w:val="auto"/>
          <w:sz w:val="32"/>
          <w:szCs w:val="32"/>
          <w:highlight w:val="none"/>
        </w:rPr>
      </w:pPr>
    </w:p>
    <w:p w14:paraId="30EFB588">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采购单位（甲方）：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合同编号：</w:t>
      </w:r>
      <w:r>
        <w:rPr>
          <w:rFonts w:hint="eastAsia" w:ascii="方正仿宋_GB2312" w:hAnsi="方正仿宋_GB2312" w:eastAsia="方正仿宋_GB2312" w:cs="方正仿宋_GB2312"/>
          <w:color w:val="auto"/>
          <w:szCs w:val="21"/>
          <w:highlight w:val="none"/>
          <w:u w:val="single"/>
        </w:rPr>
        <w:t xml:space="preserve">                    </w:t>
      </w:r>
    </w:p>
    <w:p w14:paraId="738BE980">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供 应 商（乙方）：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项目编号：</w:t>
      </w:r>
      <w:r>
        <w:rPr>
          <w:rFonts w:hint="eastAsia" w:ascii="方正仿宋_GB2312" w:hAnsi="方正仿宋_GB2312" w:eastAsia="方正仿宋_GB2312" w:cs="方正仿宋_GB2312"/>
          <w:color w:val="auto"/>
          <w:szCs w:val="21"/>
          <w:highlight w:val="none"/>
          <w:u w:val="single"/>
        </w:rPr>
        <w:t xml:space="preserve">                    </w:t>
      </w:r>
    </w:p>
    <w:p w14:paraId="3540B7AB">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签  订   地  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签订时间：</w:t>
      </w:r>
      <w:r>
        <w:rPr>
          <w:rFonts w:hint="eastAsia" w:ascii="方正仿宋_GB2312" w:hAnsi="方正仿宋_GB2312" w:eastAsia="方正仿宋_GB2312" w:cs="方正仿宋_GB2312"/>
          <w:color w:val="auto"/>
          <w:szCs w:val="21"/>
          <w:highlight w:val="none"/>
          <w:u w:val="single"/>
        </w:rPr>
        <w:t xml:space="preserve">                    </w:t>
      </w:r>
    </w:p>
    <w:p w14:paraId="007774E2">
      <w:pPr>
        <w:snapToGrid w:val="0"/>
        <w:spacing w:line="480" w:lineRule="exact"/>
        <w:rPr>
          <w:rFonts w:hint="eastAsia" w:ascii="方正仿宋_GB2312" w:hAnsi="方正仿宋_GB2312" w:eastAsia="方正仿宋_GB2312" w:cs="方正仿宋_GB2312"/>
          <w:color w:val="auto"/>
          <w:szCs w:val="21"/>
          <w:highlight w:val="none"/>
          <w:u w:val="single"/>
        </w:rPr>
      </w:pPr>
    </w:p>
    <w:p w14:paraId="7A3805C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根据《中华人民共和国政府采购法》、《中华人民共和国民法典》等法律、法规规定，按照招投标文件</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招标文件包括采购文件、投标文件包括响应文件，下同</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规定条款和中标供应商承诺，甲乙双方签订本合同。</w:t>
      </w:r>
    </w:p>
    <w:p w14:paraId="4996400E">
      <w:pPr>
        <w:snapToGrid w:val="0"/>
        <w:spacing w:line="360" w:lineRule="exact"/>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一、合同范围和条件：本合同的范围和条件应与上述合同文件的规定相一致</w:t>
      </w:r>
      <w:r>
        <w:rPr>
          <w:rFonts w:hint="eastAsia" w:ascii="方正仿宋_GB2312" w:hAnsi="方正仿宋_GB2312" w:eastAsia="方正仿宋_GB2312" w:cs="方正仿宋_GB2312"/>
          <w:color w:val="auto"/>
          <w:szCs w:val="21"/>
          <w:highlight w:val="none"/>
        </w:rPr>
        <w:t>。</w:t>
      </w:r>
    </w:p>
    <w:p w14:paraId="54B3A759">
      <w:pPr>
        <w:snapToGrid w:val="0"/>
        <w:spacing w:line="360" w:lineRule="exact"/>
        <w:ind w:firstLine="422" w:firstLineChars="20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二、项目内容及要求</w:t>
      </w:r>
    </w:p>
    <w:p w14:paraId="28677F3E">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1.甲、乙双方应将招标文件、投标文件项目内容等作为本条款的基础。</w:t>
      </w:r>
    </w:p>
    <w:p w14:paraId="50E59746">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2.乙方作为承担本项目的服务商，应按投标文件承诺的内容开展本项目相关业务。</w:t>
      </w:r>
    </w:p>
    <w:p w14:paraId="2F71CEB5">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负责组织和提供运力，满足甲方的租赁需求。具体租赁车辆数量、时间以甲方通知为准。乙方车辆必须提前15分钟到达甲方指定发车地点，乙方车辆租赁任务完成后，甲方应指定专人在用车凭证单上签字确认，作为结算凭据。如甲方因工作需要临时变更发车时间和行程的，需及时通知乙方。</w:t>
      </w:r>
    </w:p>
    <w:p w14:paraId="56A87093">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乙方保证提供拥有全部合法手续且各项技术性能完好的车辆为甲方服务，车辆安排应按承诺车型或以上来提供。乙方在发车前应做好安全合格检验，搞好车辆卫生，乙方驾驶人员做好文明服务和安全驾驶工作，保证安全正点按甲方要求运送至抵达甲方指定的目地的。乙方根据国家道路交通安全法以及广西道路运输管理部门的有关规定，为甲方提供的车辆每个客座购买不低于50万元的承运人责任险。</w:t>
      </w:r>
    </w:p>
    <w:p w14:paraId="02AFBEB0">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乙方承诺提供的车辆和驾驶员相对固定，除按时进行必要的检修或保养外，不随意更换车辆，并提供车辆的行驶证、19座以上车型还须提供营运证等一切营运合法手续以及有效保险单证的复印件、驾驶员的驾驶证和道路客运从业资格证等复印件给甲方备案。乙方对所组织和提供的车辆在承担甲方包车任务的过程中发生的安全和服务质量负责，并全权负责处理一切在运行过程中发生的安全和服务质量事故。</w:t>
      </w:r>
    </w:p>
    <w:p w14:paraId="3EF307E1">
      <w:pPr>
        <w:snapToGrid w:val="0"/>
        <w:spacing w:line="360" w:lineRule="exact"/>
        <w:ind w:firstLine="420" w:firstLineChars="20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rPr>
        <w:t>6. 如因乙方原因，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车过程中发生交通事故或安全事故，造成甲方人员财产损失的，由乙方承担全部责任。如因第三方原因造成交通事故或安全事故的，由乙方先行向甲方赔付，乙方保留向第三方追索赔付的权利。</w:t>
      </w:r>
    </w:p>
    <w:p w14:paraId="486961B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三、公务及教学用车租车服务内容采购价格清单</w:t>
      </w:r>
    </w:p>
    <w:p w14:paraId="2782900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w:t>
      </w:r>
      <w:r>
        <w:rPr>
          <w:rFonts w:hint="eastAsia" w:ascii="方正仿宋_GB2312" w:hAnsi="方正仿宋_GB2312" w:eastAsia="方正仿宋_GB2312" w:cs="方正仿宋_GB2312"/>
          <w:color w:val="auto"/>
          <w:szCs w:val="21"/>
          <w:highlight w:val="none"/>
          <w:lang w:val="en-US" w:eastAsia="zh-CN"/>
        </w:rPr>
        <w:t>项目</w:t>
      </w:r>
      <w:r>
        <w:rPr>
          <w:rFonts w:hint="eastAsia" w:ascii="方正仿宋_GB2312" w:hAnsi="方正仿宋_GB2312" w:eastAsia="方正仿宋_GB2312" w:cs="方正仿宋_GB2312"/>
          <w:color w:val="auto"/>
          <w:szCs w:val="21"/>
          <w:highlight w:val="none"/>
        </w:rPr>
        <w:t>采购需求》</w:t>
      </w:r>
    </w:p>
    <w:p w14:paraId="06F1D16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四、服务期：服务期</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p w14:paraId="10F5A71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五、合同价款</w:t>
      </w:r>
    </w:p>
    <w:p w14:paraId="0830E2BC">
      <w:pPr>
        <w:snapToGrid w:val="0"/>
        <w:spacing w:line="360" w:lineRule="exact"/>
        <w:ind w:firstLine="422" w:firstLineChars="200"/>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成交折扣系数报价：</w:t>
      </w:r>
      <w:r>
        <w:rPr>
          <w:rFonts w:hint="eastAsia" w:ascii="方正仿宋_GB2312" w:hAnsi="方正仿宋_GB2312" w:eastAsia="方正仿宋_GB2312" w:cs="方正仿宋_GB2312"/>
          <w:b/>
          <w:bCs/>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rPr>
        <w:t>%，按折扣系数计算后的价格</w:t>
      </w:r>
      <w:r>
        <w:rPr>
          <w:rFonts w:hint="eastAsia" w:ascii="方正仿宋_GB2312" w:hAnsi="方正仿宋_GB2312" w:eastAsia="方正仿宋_GB2312" w:cs="方正仿宋_GB2312"/>
          <w:b/>
          <w:bCs/>
          <w:color w:val="auto"/>
          <w:szCs w:val="21"/>
          <w:highlight w:val="none"/>
          <w:lang w:val="en-US" w:eastAsia="zh-CN"/>
        </w:rPr>
        <w:t>以成交人最终的响应文件为准。</w:t>
      </w:r>
    </w:p>
    <w:p w14:paraId="0C1F50F7">
      <w:pPr>
        <w:spacing w:line="360" w:lineRule="exact"/>
        <w:ind w:right="97" w:rightChars="46"/>
        <w:jc w:val="center"/>
        <w:rPr>
          <w:rFonts w:hint="eastAsia" w:ascii="方正仿宋_GB2312" w:hAnsi="方正仿宋_GB2312" w:eastAsia="方正仿宋_GB2312" w:cs="方正仿宋_GB2312"/>
          <w:bCs/>
          <w:color w:val="auto"/>
          <w:szCs w:val="21"/>
          <w:highlight w:val="none"/>
        </w:rPr>
      </w:pPr>
    </w:p>
    <w:p w14:paraId="009FC86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六</w:t>
      </w:r>
      <w:r>
        <w:rPr>
          <w:rFonts w:hint="eastAsia" w:ascii="方正仿宋_GB2312" w:hAnsi="方正仿宋_GB2312" w:eastAsia="方正仿宋_GB2312" w:cs="方正仿宋_GB2312"/>
          <w:color w:val="auto"/>
          <w:szCs w:val="21"/>
          <w:highlight w:val="none"/>
        </w:rPr>
        <w:t>、付款方式</w:t>
      </w:r>
    </w:p>
    <w:p w14:paraId="45845B2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1.资金性质：</w:t>
      </w:r>
      <w:r>
        <w:rPr>
          <w:rFonts w:hint="eastAsia" w:ascii="方正仿宋_GB2312" w:hAnsi="方正仿宋_GB2312" w:eastAsia="方正仿宋_GB2312" w:cs="方正仿宋_GB2312"/>
          <w:color w:val="auto"/>
          <w:szCs w:val="21"/>
          <w:highlight w:val="none"/>
          <w:u w:val="single"/>
        </w:rPr>
        <w:t>财政性资金。</w:t>
      </w:r>
    </w:p>
    <w:p w14:paraId="1FA187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2.付款方式：</w:t>
      </w:r>
      <w:r>
        <w:rPr>
          <w:rFonts w:hint="eastAsia" w:ascii="方正仿宋_GB2312" w:hAnsi="方正仿宋_GB2312" w:eastAsia="方正仿宋_GB2312" w:cs="方正仿宋_GB2312"/>
          <w:color w:val="auto"/>
          <w:szCs w:val="21"/>
          <w:highlight w:val="none"/>
          <w:u w:val="single"/>
        </w:rPr>
        <w:t xml:space="preserve">                          </w:t>
      </w:r>
    </w:p>
    <w:p w14:paraId="61E78C1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七、履约保证金：</w:t>
      </w:r>
      <w:r>
        <w:rPr>
          <w:rFonts w:hint="eastAsia" w:ascii="方正仿宋_GB2312" w:hAnsi="方正仿宋_GB2312" w:eastAsia="方正仿宋_GB2312" w:cs="方正仿宋_GB2312"/>
          <w:color w:val="auto"/>
          <w:szCs w:val="21"/>
          <w:highlight w:val="none"/>
          <w:u w:val="single"/>
        </w:rPr>
        <w:t>具体详见项目采购需求</w:t>
      </w:r>
      <w:r>
        <w:rPr>
          <w:rFonts w:hint="eastAsia" w:ascii="方正仿宋_GB2312" w:hAnsi="方正仿宋_GB2312" w:eastAsia="方正仿宋_GB2312" w:cs="方正仿宋_GB2312"/>
          <w:color w:val="auto"/>
          <w:szCs w:val="21"/>
          <w:highlight w:val="none"/>
        </w:rPr>
        <w:t>。</w:t>
      </w:r>
    </w:p>
    <w:p w14:paraId="6C9519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八、税费本合同执行中相关的一切税费均由乙方负担。</w:t>
      </w:r>
    </w:p>
    <w:p w14:paraId="4CA80200">
      <w:pPr>
        <w:snapToGrid w:val="0"/>
        <w:spacing w:line="360" w:lineRule="exact"/>
        <w:ind w:firstLine="420"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九、违约责任</w:t>
      </w:r>
    </w:p>
    <w:p w14:paraId="0674182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1.乙方未按投标文件或合同的要求和规定提供车辆服务的，甲方有权终止本合同，所造成的损失由乙方负责。</w:t>
      </w:r>
    </w:p>
    <w:p w14:paraId="5C604E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2.乙方应保证按甲方指定的地点和时间准点发车，车辆车容干净整洁并符合安全运输标准。如乙方原因，造成晚点发车10分钟或开违章车，疲劳驾驶，不按路线行驶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超载行驶，超速行驶，驾车过程中吸烟，接听手机，与乘客攀谈，粗俗待客等等。每发现一项甲方扣除乙方当次包车款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如因实际路况运行途中需要改变原路线的必须并取得甲方同意方可变更，否则甲方扣除乙方当次包车款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情节恶劣的，甲方有权扣除当次全部包车费用</w:t>
      </w:r>
      <w:r>
        <w:rPr>
          <w:rFonts w:hint="eastAsia" w:ascii="方正仿宋_GB2312" w:hAnsi="方正仿宋_GB2312" w:eastAsia="方正仿宋_GB2312" w:cs="方正仿宋_GB2312"/>
          <w:color w:val="auto"/>
          <w:szCs w:val="21"/>
          <w:highlight w:val="none"/>
        </w:rPr>
        <w:t>。如果乙方晚点且给甲方造成损失的，视情况酌情扣除100~1000元。如在运行途中由于乙方车辆发生故障或其他意外，乙方应及时作出调度同等档次的车辆进行替换运行并及时报告甲方，如乙方未及时采取调车等替换运行措施，造成晚点到达的，参照晚点发车的条款进行赔偿。如乙方原因造成脱班一次，甲方扣除乙方本次包车全部费用，乙方另行赔偿甲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u w:val="single"/>
        </w:rPr>
        <w:t xml:space="preserve">2000 </w:t>
      </w:r>
      <w:r>
        <w:rPr>
          <w:rFonts w:hint="eastAsia" w:ascii="方正仿宋_GB2312" w:hAnsi="方正仿宋_GB2312" w:eastAsia="方正仿宋_GB2312" w:cs="方正仿宋_GB2312"/>
          <w:color w:val="auto"/>
          <w:szCs w:val="21"/>
          <w:highlight w:val="none"/>
        </w:rPr>
        <w:t>元。</w:t>
      </w:r>
    </w:p>
    <w:p w14:paraId="253E1B8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3.乙方将租赁业务转租给别的公司或个人，车辆档次达不到原合同约定的，甲方除有权不支付本次包车全部费用外，乙方还需承担违约金1000元。</w:t>
      </w:r>
    </w:p>
    <w:p w14:paraId="1CDF14D1">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甲方应保证本方人员准点按时上车，不得携带违反国家规定禁止乘车的物品上车，不得超员，登车、下车、乘车及取放行李时服从乙方驾驶员的指挥。如甲方原因造成乙方车辆损坏或是其他经济损失，甲方将按乙方损失的数额全额赔偿给乙方。甲方还应及时与乙方进行结算，按时将包车费转入乙方指定帐户，每逾期1天，甲方将赔偿乙方0.1%的违约金。</w:t>
      </w:r>
    </w:p>
    <w:p w14:paraId="5CB2F0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十、不可抗力事件处理</w:t>
      </w:r>
    </w:p>
    <w:p w14:paraId="3AD5D96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1.在合同有效期内，任何一方因不可抗力事件导致不能履行合同，则合同履行期可延长，其延长期与不可抗力影响期相同。</w:t>
      </w:r>
    </w:p>
    <w:p w14:paraId="76B511C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2.不可抗力事件发生后，应立即通知对方，并寄送有关权威机构出具的证明。</w:t>
      </w:r>
    </w:p>
    <w:p w14:paraId="07A4ECC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3.不可抗力事件延续120天以上，双方应通过友好协商，确定是否继续履行合同。</w:t>
      </w:r>
    </w:p>
    <w:p w14:paraId="5720D93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十一、合同争议解决</w:t>
      </w:r>
    </w:p>
    <w:p w14:paraId="68B7734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1.因服务问题发生争议的，应邀请国家认可的机构对服务质量进行鉴定。服务符合标准的，鉴定费由甲方承担；服务不符合标准的，鉴定费由乙方承担。</w:t>
      </w:r>
    </w:p>
    <w:p w14:paraId="77F704C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2.因履行本合同引起的或与本合同有关的争议，甲乙双方应首先通过友好协商解决，如果协商不能解决，可向甲方所在地人民法院提起诉讼。</w:t>
      </w:r>
    </w:p>
    <w:p w14:paraId="3B47624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3.诉讼期间，本合同继续履行。</w:t>
      </w:r>
    </w:p>
    <w:p w14:paraId="3005A1F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十二、诉讼</w:t>
      </w:r>
    </w:p>
    <w:p w14:paraId="71325F3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双方在执行合同中所发生的一切争议，应通过协商解决。如果协商不能解决，可向甲方所在地人民法院提起诉讼。</w:t>
      </w:r>
    </w:p>
    <w:p w14:paraId="6E0635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十三、合同生效及其它</w:t>
      </w:r>
    </w:p>
    <w:p w14:paraId="7C34F6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1.合同经双方法定代表人或授权代表签字并加盖单位公章后生效。</w:t>
      </w:r>
    </w:p>
    <w:p w14:paraId="46EC3C6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2.合同执行中涉及采购资金和采购内容修改或补充的，须经财政部门审</w:t>
      </w:r>
    </w:p>
    <w:p w14:paraId="3E8E594D">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批，并签书面补充协议报财政部门备案，方可作为主合同不可分割的一部分。</w:t>
      </w:r>
    </w:p>
    <w:p w14:paraId="4585340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3.本合同未尽事宜，遵照招标文件</w:t>
      </w:r>
      <w:r>
        <w:rPr>
          <w:rFonts w:hint="eastAsia" w:ascii="方正仿宋_GB2312" w:hAnsi="方正仿宋_GB2312" w:eastAsia="方正仿宋_GB2312" w:cs="方正仿宋_GB2312"/>
          <w:color w:val="auto"/>
          <w:szCs w:val="21"/>
          <w:highlight w:val="none"/>
          <w:lang w:val="en-US" w:eastAsia="zh-CN"/>
        </w:rPr>
        <w:t>和投标文件</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相应文件</w:t>
      </w:r>
      <w:r>
        <w:rPr>
          <w:rFonts w:hint="eastAsia" w:ascii="方正仿宋_GB2312" w:hAnsi="方正仿宋_GB2312" w:eastAsia="方正仿宋_GB2312" w:cs="方正仿宋_GB2312"/>
          <w:color w:val="auto"/>
          <w:szCs w:val="21"/>
          <w:highlight w:val="none"/>
        </w:rPr>
        <w:t>未涉及的遵照《民法典》有关条文执行。</w:t>
      </w:r>
    </w:p>
    <w:p w14:paraId="7B0A0D5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十四、合同的变更、终止与转让</w:t>
      </w:r>
    </w:p>
    <w:p w14:paraId="11C537F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1.除《中华人民共和国政府采购法》第50条规定的情形外，本合同一经签订，甲乙双方不得擅自变更、中止或终止。</w:t>
      </w:r>
    </w:p>
    <w:p w14:paraId="24B787E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2.乙方不得擅自转让其应履行的合同义务。</w:t>
      </w:r>
    </w:p>
    <w:p w14:paraId="45308B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3.合同经双方法定代表人或授权代表签字并加盖单位公章后生效。</w:t>
      </w:r>
    </w:p>
    <w:p w14:paraId="44D2C3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4.合同执行中涉及采购资金和采购内容修改或补充的，须经财政部门审批，并签书面补充协议报财政部门备案，方可作为主合同不可分割的一部分。</w:t>
      </w:r>
    </w:p>
    <w:p w14:paraId="696E2DA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十五、签订本合同依据</w:t>
      </w:r>
    </w:p>
    <w:p w14:paraId="1D09FC47">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1、招标文件；2、乙方提供的投标文件；3、投标承诺书；4、中标或成交通知书。</w:t>
      </w:r>
    </w:p>
    <w:p w14:paraId="25568DD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十六、本合同一式六份，具有同等法律效力，财政部门（政府采购监管部门）、采购代理机构各一份，甲乙双方各两份（可根据需要另增加）。</w:t>
      </w:r>
    </w:p>
    <w:p w14:paraId="6A6F1E3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本合同甲乙双方签字盖章后生效，自签订之日起2个工作日内，采购人或采购代理机构应当将合同文本在财政部门指定媒体进行合同公示。</w:t>
      </w:r>
    </w:p>
    <w:p w14:paraId="324F04F4">
      <w:pPr>
        <w:snapToGrid w:val="0"/>
        <w:spacing w:line="360" w:lineRule="exact"/>
        <w:ind w:firstLine="480" w:firstLineChars="200"/>
        <w:rPr>
          <w:rFonts w:hint="eastAsia" w:ascii="方正仿宋_GB2312" w:hAnsi="方正仿宋_GB2312" w:eastAsia="方正仿宋_GB2312" w:cs="方正仿宋_GB2312"/>
          <w:color w:val="auto"/>
          <w:sz w:val="2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0F3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253E15F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甲方（章）           </w:t>
            </w:r>
          </w:p>
          <w:p w14:paraId="6478E4E5">
            <w:pPr>
              <w:keepNext w:val="0"/>
              <w:keepLines w:val="0"/>
              <w:suppressLineNumbers w:val="0"/>
              <w:snapToGrid w:val="0"/>
              <w:spacing w:before="0" w:beforeAutospacing="0" w:after="0" w:afterAutospacing="0" w:line="400" w:lineRule="exact"/>
              <w:ind w:left="0" w:right="0" w:firstLine="945" w:firstLineChars="45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年   月   日</w:t>
            </w:r>
          </w:p>
        </w:tc>
        <w:tc>
          <w:tcPr>
            <w:tcW w:w="4517" w:type="dxa"/>
            <w:vAlign w:val="center"/>
          </w:tcPr>
          <w:p w14:paraId="4478F65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乙方（章）              </w:t>
            </w:r>
          </w:p>
          <w:p w14:paraId="4FBE5A79">
            <w:pPr>
              <w:keepNext w:val="0"/>
              <w:keepLines w:val="0"/>
              <w:suppressLineNumbers w:val="0"/>
              <w:snapToGrid w:val="0"/>
              <w:spacing w:before="0" w:beforeAutospacing="0" w:after="0" w:afterAutospacing="0" w:line="400" w:lineRule="exact"/>
              <w:ind w:left="0" w:right="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年   月   日</w:t>
            </w:r>
          </w:p>
        </w:tc>
      </w:tr>
      <w:tr w14:paraId="4268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1BC71BD9">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c>
          <w:tcPr>
            <w:tcW w:w="4517" w:type="dxa"/>
            <w:vAlign w:val="center"/>
          </w:tcPr>
          <w:p w14:paraId="4FE3863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r>
      <w:tr w14:paraId="5907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3DCEE32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c>
          <w:tcPr>
            <w:tcW w:w="4517" w:type="dxa"/>
            <w:vAlign w:val="center"/>
          </w:tcPr>
          <w:p w14:paraId="451955E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r>
      <w:tr w14:paraId="11E8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7681983D">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c>
          <w:tcPr>
            <w:tcW w:w="4517" w:type="dxa"/>
            <w:vAlign w:val="center"/>
          </w:tcPr>
          <w:p w14:paraId="1C01EC3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r>
      <w:tr w14:paraId="7A90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516" w:type="dxa"/>
            <w:vAlign w:val="center"/>
          </w:tcPr>
          <w:p w14:paraId="4FF3D2A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c>
          <w:tcPr>
            <w:tcW w:w="4517" w:type="dxa"/>
            <w:vAlign w:val="center"/>
          </w:tcPr>
          <w:p w14:paraId="330B5F9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r>
      <w:tr w14:paraId="653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011C855F">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c>
          <w:tcPr>
            <w:tcW w:w="4517" w:type="dxa"/>
            <w:vAlign w:val="center"/>
          </w:tcPr>
          <w:p w14:paraId="1594E08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r>
      <w:tr w14:paraId="607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FCA120">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c>
          <w:tcPr>
            <w:tcW w:w="4517" w:type="dxa"/>
            <w:vAlign w:val="center"/>
          </w:tcPr>
          <w:p w14:paraId="4F1411FA">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r>
      <w:tr w14:paraId="0E8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09A71A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c>
          <w:tcPr>
            <w:tcW w:w="4517" w:type="dxa"/>
            <w:vAlign w:val="center"/>
          </w:tcPr>
          <w:p w14:paraId="632BCE63">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r>
      <w:tr w14:paraId="03B1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E280055">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c>
          <w:tcPr>
            <w:tcW w:w="4517" w:type="dxa"/>
            <w:vAlign w:val="center"/>
          </w:tcPr>
          <w:p w14:paraId="2168F78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r>
      <w:tr w14:paraId="29E1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5CD16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c>
          <w:tcPr>
            <w:tcW w:w="4517" w:type="dxa"/>
            <w:vAlign w:val="center"/>
          </w:tcPr>
          <w:p w14:paraId="6105C8A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r>
      <w:tr w14:paraId="6C43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33" w:type="dxa"/>
            <w:gridSpan w:val="2"/>
          </w:tcPr>
          <w:p w14:paraId="2E40593F">
            <w:pPr>
              <w:keepNext w:val="0"/>
              <w:keepLines w:val="0"/>
              <w:suppressLineNumbers w:val="0"/>
              <w:snapToGrid w:val="0"/>
              <w:spacing w:before="0" w:beforeAutospacing="0" w:after="0" w:afterAutospacing="0" w:line="400" w:lineRule="exact"/>
              <w:ind w:left="0" w:right="66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经办人：                                                 年    月    日</w:t>
            </w:r>
          </w:p>
        </w:tc>
      </w:tr>
    </w:tbl>
    <w:p w14:paraId="38AD6418">
      <w:pPr>
        <w:rPr>
          <w:rFonts w:hint="eastAsia" w:ascii="方正仿宋_GB2312" w:hAnsi="方正仿宋_GB2312" w:eastAsia="方正仿宋_GB2312" w:cs="方正仿宋_GB2312"/>
          <w:color w:val="auto"/>
          <w:sz w:val="24"/>
          <w:highlight w:val="none"/>
        </w:rPr>
      </w:pPr>
    </w:p>
    <w:p w14:paraId="60A0F445">
      <w:pPr>
        <w:pStyle w:val="3"/>
        <w:snapToGrid w:val="0"/>
        <w:spacing w:before="120" w:after="120"/>
        <w:jc w:val="center"/>
        <w:outlineLvl w:val="0"/>
        <w:rPr>
          <w:rFonts w:hint="eastAsia" w:ascii="方正仿宋_GB2312" w:hAnsi="方正仿宋_GB2312" w:eastAsia="方正仿宋_GB2312" w:cs="方正仿宋_GB2312"/>
          <w:b/>
          <w:color w:val="auto"/>
          <w:sz w:val="40"/>
          <w:szCs w:val="40"/>
          <w:highlight w:val="none"/>
        </w:rPr>
      </w:pPr>
    </w:p>
    <w:p w14:paraId="3B98B142">
      <w:pPr>
        <w:pStyle w:val="3"/>
        <w:snapToGrid w:val="0"/>
        <w:spacing w:before="120" w:after="120"/>
        <w:jc w:val="center"/>
        <w:outlineLvl w:val="0"/>
        <w:rPr>
          <w:rFonts w:hint="eastAsia" w:ascii="方正仿宋_GB2312" w:hAnsi="方正仿宋_GB2312" w:eastAsia="方正仿宋_GB2312" w:cs="方正仿宋_GB2312"/>
          <w:b w:val="0"/>
          <w:bCs/>
          <w:color w:val="auto"/>
          <w:sz w:val="40"/>
          <w:szCs w:val="40"/>
          <w:highlight w:val="none"/>
        </w:rPr>
      </w:pPr>
    </w:p>
    <w:p w14:paraId="4A4AA39C">
      <w:pPr>
        <w:widowControl/>
        <w:spacing w:line="480" w:lineRule="exact"/>
        <w:jc w:val="center"/>
        <w:rPr>
          <w:rFonts w:hint="eastAsia" w:ascii="方正仿宋_GB2312" w:hAnsi="方正仿宋_GB2312" w:eastAsia="方正仿宋_GB2312" w:cs="方正仿宋_GB2312"/>
          <w:b/>
          <w:bCs w:val="0"/>
          <w:color w:val="auto"/>
          <w:sz w:val="40"/>
          <w:szCs w:val="40"/>
          <w:highlight w:val="none"/>
        </w:rPr>
      </w:pPr>
      <w:r>
        <w:rPr>
          <w:rFonts w:hint="eastAsia" w:ascii="方正仿宋_GB2312" w:hAnsi="方正仿宋_GB2312" w:eastAsia="方正仿宋_GB2312" w:cs="方正仿宋_GB2312"/>
          <w:b/>
          <w:bCs w:val="0"/>
          <w:color w:val="auto"/>
          <w:kern w:val="0"/>
          <w:sz w:val="32"/>
          <w:szCs w:val="40"/>
          <w:highlight w:val="none"/>
        </w:rPr>
        <w:t>附件</w:t>
      </w:r>
      <w:r>
        <w:rPr>
          <w:rFonts w:hint="eastAsia" w:ascii="方正仿宋_GB2312" w:hAnsi="方正仿宋_GB2312" w:eastAsia="方正仿宋_GB2312" w:cs="方正仿宋_GB2312"/>
          <w:b/>
          <w:bCs w:val="0"/>
          <w:color w:val="auto"/>
          <w:kern w:val="0"/>
          <w:sz w:val="32"/>
          <w:szCs w:val="40"/>
          <w:highlight w:val="none"/>
          <w:lang w:val="en-US" w:eastAsia="zh-CN"/>
        </w:rPr>
        <w:t>四</w:t>
      </w:r>
      <w:r>
        <w:rPr>
          <w:rFonts w:hint="eastAsia" w:ascii="方正仿宋_GB2312" w:hAnsi="方正仿宋_GB2312" w:eastAsia="方正仿宋_GB2312" w:cs="方正仿宋_GB2312"/>
          <w:b/>
          <w:bCs w:val="0"/>
          <w:color w:val="auto"/>
          <w:kern w:val="0"/>
          <w:sz w:val="32"/>
          <w:szCs w:val="40"/>
          <w:highlight w:val="none"/>
        </w:rPr>
        <w:t>：服务</w:t>
      </w:r>
      <w:r>
        <w:rPr>
          <w:rFonts w:hint="eastAsia" w:ascii="方正仿宋_GB2312" w:hAnsi="方正仿宋_GB2312" w:eastAsia="方正仿宋_GB2312" w:cs="方正仿宋_GB2312"/>
          <w:b/>
          <w:bCs w:val="0"/>
          <w:color w:val="auto"/>
          <w:sz w:val="32"/>
          <w:szCs w:val="40"/>
          <w:highlight w:val="none"/>
        </w:rPr>
        <w:t>质量考评办法</w:t>
      </w:r>
      <w:r>
        <w:rPr>
          <w:rFonts w:hint="eastAsia" w:ascii="方正仿宋_GB2312" w:hAnsi="方正仿宋_GB2312" w:eastAsia="方正仿宋_GB2312" w:cs="方正仿宋_GB2312"/>
          <w:b/>
          <w:bCs w:val="0"/>
          <w:color w:val="auto"/>
          <w:sz w:val="40"/>
          <w:szCs w:val="40"/>
          <w:highlight w:val="none"/>
        </w:rPr>
        <w:t xml:space="preserve"> </w:t>
      </w:r>
    </w:p>
    <w:p w14:paraId="462BDA3C">
      <w:pPr>
        <w:spacing w:line="480" w:lineRule="exact"/>
        <w:rPr>
          <w:rFonts w:hint="eastAsia" w:ascii="方正仿宋_GB2312" w:hAnsi="方正仿宋_GB2312" w:eastAsia="方正仿宋_GB2312" w:cs="方正仿宋_GB2312"/>
          <w:color w:val="auto"/>
          <w:sz w:val="24"/>
          <w:highlight w:val="none"/>
        </w:rPr>
      </w:pPr>
    </w:p>
    <w:p w14:paraId="177CFCCD">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为规范广西艺术学院</w:t>
      </w:r>
      <w:r>
        <w:rPr>
          <w:rFonts w:hint="eastAsia" w:ascii="方正仿宋_GB2312" w:hAnsi="方正仿宋_GB2312" w:eastAsia="方正仿宋_GB2312" w:cs="方正仿宋_GB2312"/>
          <w:color w:val="auto"/>
          <w:highlight w:val="none"/>
          <w:lang w:eastAsia="zh-CN"/>
        </w:rPr>
        <w:t>桂林校区</w:t>
      </w:r>
      <w:r>
        <w:rPr>
          <w:rFonts w:hint="eastAsia" w:ascii="方正仿宋_GB2312" w:hAnsi="方正仿宋_GB2312" w:eastAsia="方正仿宋_GB2312" w:cs="方正仿宋_GB2312"/>
          <w:color w:val="auto"/>
          <w:highlight w:val="none"/>
        </w:rPr>
        <w:t>公务及教学租车服务工作，客观评价中标人的服务质量，保障车辆行驶及驾驶员服务过程中的安全稳定性，做好各项租车服务工作，特制定本办法。</w:t>
      </w:r>
    </w:p>
    <w:p w14:paraId="4A753AF5">
      <w:pPr>
        <w:spacing w:line="400" w:lineRule="exact"/>
        <w:ind w:firstLine="422"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highlight w:val="none"/>
        </w:rPr>
        <w:t>一、考评小组</w:t>
      </w:r>
      <w:r>
        <w:rPr>
          <w:rFonts w:hint="eastAsia" w:ascii="方正仿宋_GB2312" w:hAnsi="方正仿宋_GB2312" w:eastAsia="方正仿宋_GB2312" w:cs="方正仿宋_GB2312"/>
          <w:color w:val="auto"/>
          <w:highlight w:val="none"/>
        </w:rPr>
        <w:t xml:space="preserve">                              </w:t>
      </w:r>
    </w:p>
    <w:p w14:paraId="28C8BF9B">
      <w:pPr>
        <w:spacing w:line="400" w:lineRule="exact"/>
        <w:ind w:firstLine="42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rPr>
        <w:t>组  长：</w:t>
      </w:r>
      <w:r>
        <w:rPr>
          <w:rFonts w:hint="eastAsia" w:ascii="方正仿宋_GB2312" w:hAnsi="方正仿宋_GB2312" w:eastAsia="方正仿宋_GB2312" w:cs="方正仿宋_GB2312"/>
          <w:color w:val="auto"/>
          <w:highlight w:val="none"/>
          <w:lang w:val="en-US" w:eastAsia="zh-CN"/>
        </w:rPr>
        <w:t>桂林校区项目负责人</w:t>
      </w:r>
    </w:p>
    <w:p w14:paraId="4757CCDF">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成  员：所有乘客（师生）人员</w:t>
      </w:r>
    </w:p>
    <w:p w14:paraId="61227236">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二、考核时间</w:t>
      </w:r>
    </w:p>
    <w:p w14:paraId="2F4DA04A">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每次租车服务结束前，具体时间根据工作情况安排。</w:t>
      </w:r>
    </w:p>
    <w:p w14:paraId="0515D2B2">
      <w:pPr>
        <w:numPr>
          <w:ilvl w:val="0"/>
          <w:numId w:val="1"/>
        </w:num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考核对象</w:t>
      </w:r>
    </w:p>
    <w:p w14:paraId="79530F74">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车辆和驾驶员的服务情况等</w:t>
      </w:r>
    </w:p>
    <w:p w14:paraId="46DBEBA0">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四、考核结果的使用</w:t>
      </w:r>
    </w:p>
    <w:p w14:paraId="746ABB24">
      <w:pPr>
        <w:spacing w:line="400" w:lineRule="exact"/>
        <w:ind w:firstLine="422" w:firstLineChars="200"/>
        <w:rPr>
          <w:rFonts w:hint="eastAsia" w:ascii="方正仿宋_GB2312" w:hAnsi="方正仿宋_GB2312" w:eastAsia="方正仿宋_GB2312" w:cs="方正仿宋_GB2312"/>
          <w:b/>
          <w:bCs/>
          <w:color w:val="auto"/>
          <w:sz w:val="32"/>
          <w:szCs w:val="40"/>
          <w:highlight w:val="none"/>
        </w:rPr>
      </w:pPr>
      <w:r>
        <w:rPr>
          <w:rFonts w:hint="eastAsia" w:ascii="方正仿宋_GB2312" w:hAnsi="方正仿宋_GB2312" w:eastAsia="方正仿宋_GB2312" w:cs="方正仿宋_GB2312"/>
          <w:b/>
          <w:bCs/>
          <w:color w:val="auto"/>
          <w:highlight w:val="none"/>
        </w:rPr>
        <w:t>如一个月内采购人累计接到3次及以上的投诉，将视情况酌情扣减投标人100～1000元</w:t>
      </w:r>
      <w:r>
        <w:rPr>
          <w:rFonts w:hint="eastAsia" w:ascii="方正仿宋_GB2312" w:hAnsi="方正仿宋_GB2312" w:eastAsia="方正仿宋_GB2312" w:cs="方正仿宋_GB2312"/>
          <w:b/>
          <w:bCs/>
          <w:color w:val="auto"/>
          <w:highlight w:val="none"/>
          <w:lang w:val="en-US" w:eastAsia="zh-CN"/>
        </w:rPr>
        <w:t>/月</w:t>
      </w:r>
      <w:r>
        <w:rPr>
          <w:rFonts w:hint="eastAsia" w:ascii="方正仿宋_GB2312" w:hAnsi="方正仿宋_GB2312" w:eastAsia="方正仿宋_GB2312" w:cs="方正仿宋_GB2312"/>
          <w:b/>
          <w:bCs/>
          <w:color w:val="auto"/>
          <w:highlight w:val="none"/>
        </w:rPr>
        <w:t>的费用。</w:t>
      </w:r>
    </w:p>
    <w:p w14:paraId="571C12A7">
      <w:pPr>
        <w:snapToGrid w:val="0"/>
        <w:spacing w:before="50" w:after="156" w:afterLines="50" w:line="360" w:lineRule="auto"/>
        <w:jc w:val="both"/>
        <w:rPr>
          <w:rFonts w:hint="eastAsia" w:ascii="仿宋" w:hAnsi="仿宋" w:eastAsia="仿宋"/>
          <w:b/>
          <w:color w:val="auto"/>
          <w:sz w:val="32"/>
          <w:szCs w:val="32"/>
          <w:highlight w:val="none"/>
        </w:rPr>
      </w:pPr>
    </w:p>
    <w:p w14:paraId="68873863">
      <w:pPr>
        <w:snapToGrid w:val="0"/>
        <w:spacing w:before="50" w:after="156" w:afterLines="50" w:line="360" w:lineRule="auto"/>
        <w:jc w:val="both"/>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附件五：</w:t>
      </w:r>
      <w:r>
        <w:rPr>
          <w:rFonts w:hint="eastAsia" w:ascii="仿宋" w:hAnsi="仿宋" w:eastAsia="仿宋"/>
          <w:b/>
          <w:color w:val="auto"/>
          <w:sz w:val="32"/>
          <w:szCs w:val="32"/>
          <w:highlight w:val="none"/>
        </w:rPr>
        <w:t>投标人直接控股、管理关系信息表</w:t>
      </w:r>
    </w:p>
    <w:tbl>
      <w:tblPr>
        <w:tblStyle w:val="7"/>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045"/>
        <w:gridCol w:w="3462"/>
      </w:tblGrid>
      <w:tr w14:paraId="1DCF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55" w:type="dxa"/>
            <w:gridSpan w:val="4"/>
            <w:shd w:val="clear" w:color="auto" w:fill="F2DBDB"/>
            <w:vAlign w:val="center"/>
          </w:tcPr>
          <w:p w14:paraId="36BCFD9D">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投标人直接控股股东信息表</w:t>
            </w:r>
          </w:p>
        </w:tc>
        <w:tc>
          <w:tcPr>
            <w:tcW w:w="3462" w:type="dxa"/>
            <w:shd w:val="clear" w:color="auto" w:fill="F2DBDB"/>
            <w:vAlign w:val="center"/>
          </w:tcPr>
          <w:p w14:paraId="360DA54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1A94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C6550E">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序号</w:t>
            </w:r>
          </w:p>
        </w:tc>
        <w:tc>
          <w:tcPr>
            <w:tcW w:w="1309" w:type="dxa"/>
            <w:vAlign w:val="center"/>
          </w:tcPr>
          <w:p w14:paraId="10D4BD18">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直接控股股东名称</w:t>
            </w:r>
          </w:p>
        </w:tc>
        <w:tc>
          <w:tcPr>
            <w:tcW w:w="1384" w:type="dxa"/>
            <w:vAlign w:val="center"/>
          </w:tcPr>
          <w:p w14:paraId="0587275D">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出资比例</w:t>
            </w:r>
          </w:p>
        </w:tc>
        <w:tc>
          <w:tcPr>
            <w:tcW w:w="2045" w:type="dxa"/>
            <w:vAlign w:val="center"/>
          </w:tcPr>
          <w:p w14:paraId="68B22D3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身份证号码或者统一社会信用代码</w:t>
            </w:r>
          </w:p>
        </w:tc>
        <w:tc>
          <w:tcPr>
            <w:tcW w:w="3462" w:type="dxa"/>
            <w:vMerge w:val="restart"/>
            <w:vAlign w:val="center"/>
          </w:tcPr>
          <w:p w14:paraId="719FEBB2">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F024E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72D6955B">
            <w:pPr>
              <w:keepNext w:val="0"/>
              <w:keepLines w:val="0"/>
              <w:suppressLineNumbers w:val="0"/>
              <w:snapToGrid w:val="0"/>
              <w:spacing w:before="0" w:beforeAutospacing="0" w:after="0" w:afterAutospacing="0"/>
              <w:ind w:left="0" w:right="0"/>
              <w:jc w:val="left"/>
              <w:rPr>
                <w:rFonts w:hint="eastAsia" w:ascii="仿宋" w:hAnsi="仿宋" w:eastAsia="仿宋" w:cs="宋体"/>
                <w:b/>
                <w:bCs/>
                <w:color w:val="auto"/>
                <w:kern w:val="0"/>
                <w:szCs w:val="21"/>
                <w:highlight w:val="none"/>
              </w:rPr>
            </w:pPr>
            <w:r>
              <w:rPr>
                <w:rFonts w:hint="eastAsia" w:ascii="仿宋" w:hAnsi="仿宋" w:eastAsia="仿宋"/>
                <w:color w:val="auto"/>
                <w:szCs w:val="21"/>
                <w:highlight w:val="none"/>
              </w:rPr>
              <w:t>3.供应商不存在直接控股股东的，则填“无”。</w:t>
            </w:r>
          </w:p>
        </w:tc>
      </w:tr>
      <w:tr w14:paraId="3949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2AFFDD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1309" w:type="dxa"/>
          </w:tcPr>
          <w:p w14:paraId="233131D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2008FE4">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762AAAA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66DDC8FB">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378E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429CD00">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1309" w:type="dxa"/>
          </w:tcPr>
          <w:p w14:paraId="1955F2EB">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98AB5B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3D0405F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14936320">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61E2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81F0CBE">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1309" w:type="dxa"/>
            <w:tcBorders>
              <w:bottom w:val="single" w:color="auto" w:sz="4" w:space="0"/>
            </w:tcBorders>
          </w:tcPr>
          <w:p w14:paraId="56897D0C">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Borders>
              <w:bottom w:val="single" w:color="auto" w:sz="4" w:space="0"/>
            </w:tcBorders>
          </w:tcPr>
          <w:p w14:paraId="1E1EF44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Borders>
              <w:bottom w:val="single" w:color="auto" w:sz="4" w:space="0"/>
            </w:tcBorders>
          </w:tcPr>
          <w:p w14:paraId="1EEFA5F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Borders>
              <w:bottom w:val="single" w:color="auto" w:sz="4" w:space="0"/>
            </w:tcBorders>
          </w:tcPr>
          <w:p w14:paraId="666AFB19">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562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55" w:type="dxa"/>
            <w:gridSpan w:val="4"/>
            <w:shd w:val="clear" w:color="auto" w:fill="F2DBDB"/>
            <w:vAlign w:val="center"/>
          </w:tcPr>
          <w:p w14:paraId="76BEEC13">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投标人直接管理关系信息表</w:t>
            </w:r>
          </w:p>
        </w:tc>
        <w:tc>
          <w:tcPr>
            <w:tcW w:w="3462" w:type="dxa"/>
            <w:shd w:val="clear" w:color="auto" w:fill="F2DBDB"/>
            <w:vAlign w:val="center"/>
          </w:tcPr>
          <w:p w14:paraId="135C405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217C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C2E53E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序号</w:t>
            </w:r>
          </w:p>
        </w:tc>
        <w:tc>
          <w:tcPr>
            <w:tcW w:w="2693" w:type="dxa"/>
            <w:gridSpan w:val="2"/>
            <w:vAlign w:val="center"/>
          </w:tcPr>
          <w:p w14:paraId="176B513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直接管理关系单位名称</w:t>
            </w:r>
          </w:p>
        </w:tc>
        <w:tc>
          <w:tcPr>
            <w:tcW w:w="2045" w:type="dxa"/>
            <w:vAlign w:val="center"/>
          </w:tcPr>
          <w:p w14:paraId="25218E8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统一社会信用代码</w:t>
            </w:r>
          </w:p>
        </w:tc>
        <w:tc>
          <w:tcPr>
            <w:tcW w:w="3462" w:type="dxa"/>
            <w:vMerge w:val="restart"/>
            <w:vAlign w:val="center"/>
          </w:tcPr>
          <w:p w14:paraId="49B4B4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1.管理关系：是指不具有出资持股关系的其他单位之间存在的管理与被管理关系，如一些上下级关系的事业单位和团体组织。</w:t>
            </w:r>
          </w:p>
          <w:p w14:paraId="05D7BCE5">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2.本表所指的管理关系仅限于直接管理关系，不包括间接的管理关系。</w:t>
            </w:r>
          </w:p>
          <w:p w14:paraId="44977A6F">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3.供应商不存在直接管理关系的，则填“无”。</w:t>
            </w:r>
          </w:p>
        </w:tc>
      </w:tr>
      <w:tr w14:paraId="435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5DF336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2693" w:type="dxa"/>
            <w:gridSpan w:val="2"/>
            <w:vAlign w:val="center"/>
          </w:tcPr>
          <w:p w14:paraId="6D12624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000F0E0C">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73B920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608D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74E653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2693" w:type="dxa"/>
            <w:gridSpan w:val="2"/>
            <w:vAlign w:val="center"/>
          </w:tcPr>
          <w:p w14:paraId="225EB7FF">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7C487C0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367A8BC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1BD3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818841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2693" w:type="dxa"/>
            <w:gridSpan w:val="2"/>
            <w:vAlign w:val="center"/>
          </w:tcPr>
          <w:p w14:paraId="78AA74FD">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105F4F90">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53C6BC0A">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bl>
    <w:p w14:paraId="3A573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方正仿宋_GB2312" w:hAnsi="方正仿宋_GB2312" w:eastAsia="方正仿宋_GB2312" w:cs="方正仿宋_GB2312"/>
          <w:color w:val="auto"/>
          <w:kern w:val="2"/>
          <w:sz w:val="32"/>
          <w:szCs w:val="32"/>
          <w:highlight w:val="none"/>
          <w:lang w:val="en-US" w:eastAsia="zh-CN" w:bidi="ar-SA"/>
        </w:rPr>
      </w:pPr>
    </w:p>
    <w:p w14:paraId="133D2645">
      <w:pPr>
        <w:bidi w:val="0"/>
        <w:rPr>
          <w:rFonts w:hint="eastAsia"/>
          <w:color w:val="auto"/>
          <w:lang w:val="en-US" w:eastAsia="zh-CN"/>
        </w:rPr>
      </w:pPr>
    </w:p>
    <w:p w14:paraId="5F756460">
      <w:pPr>
        <w:snapToGrid w:val="0"/>
        <w:spacing w:line="360" w:lineRule="auto"/>
        <w:rPr>
          <w:rFonts w:ascii="仿宋" w:hAnsi="仿宋" w:eastAsia="仿宋" w:cs="仿宋_GB2312"/>
          <w:color w:val="auto"/>
          <w:kern w:val="0"/>
          <w:sz w:val="22"/>
          <w:highlight w:val="none"/>
          <w:u w:val="single"/>
        </w:rPr>
      </w:pPr>
      <w:r>
        <w:rPr>
          <w:rFonts w:hint="eastAsia"/>
          <w:color w:val="auto"/>
          <w:lang w:val="en-US" w:eastAsia="zh-CN"/>
        </w:rPr>
        <w:tab/>
      </w:r>
      <w:r>
        <w:rPr>
          <w:rFonts w:hint="eastAsia"/>
          <w:color w:val="auto"/>
          <w:lang w:val="en-US" w:eastAsia="zh-CN"/>
        </w:rPr>
        <w:t xml:space="preserve">                                                       </w:t>
      </w:r>
      <w:r>
        <w:rPr>
          <w:rFonts w:hint="eastAsia" w:ascii="仿宋" w:hAnsi="仿宋" w:eastAsia="仿宋" w:cs="仿宋_GB2312"/>
          <w:color w:val="auto"/>
          <w:kern w:val="0"/>
          <w:sz w:val="22"/>
          <w:highlight w:val="none"/>
          <w:lang w:val="zh-CN"/>
        </w:rPr>
        <w:t>投标人名称(</w:t>
      </w:r>
      <w:r>
        <w:rPr>
          <w:rFonts w:hint="eastAsia" w:ascii="仿宋" w:hAnsi="仿宋" w:eastAsia="仿宋" w:cs="仿宋_GB2312"/>
          <w:color w:val="auto"/>
          <w:kern w:val="0"/>
          <w:sz w:val="22"/>
          <w:highlight w:val="none"/>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626605B0">
      <w:pPr>
        <w:tabs>
          <w:tab w:val="center" w:pos="5233"/>
        </w:tabs>
        <w:bidi w:val="0"/>
        <w:jc w:val="left"/>
        <w:rPr>
          <w:rFonts w:hint="eastAsia"/>
          <w:color w:val="auto"/>
          <w:lang w:val="en-US" w:eastAsia="zh-CN"/>
        </w:rPr>
      </w:pPr>
    </w:p>
    <w:p w14:paraId="1208FD65">
      <w:pPr>
        <w:tabs>
          <w:tab w:val="center" w:pos="5233"/>
        </w:tabs>
        <w:bidi w:val="0"/>
        <w:jc w:val="left"/>
        <w:rPr>
          <w:rFonts w:hint="eastAsia"/>
          <w:color w:val="auto"/>
          <w:lang w:val="en-US" w:eastAsia="zh-CN"/>
        </w:rPr>
        <w:sectPr>
          <w:footerReference r:id="rId8" w:type="default"/>
          <w:type w:val="continuous"/>
          <w:pgSz w:w="11906" w:h="16838"/>
          <w:pgMar w:top="720" w:right="720" w:bottom="720" w:left="720" w:header="851" w:footer="992" w:gutter="0"/>
          <w:cols w:space="425" w:num="1"/>
          <w:docGrid w:type="lines" w:linePitch="312" w:charSpace="0"/>
        </w:sectPr>
      </w:pPr>
    </w:p>
    <w:p w14:paraId="79394ACB">
      <w:pPr>
        <w:snapToGrid w:val="0"/>
        <w:spacing w:line="360" w:lineRule="auto"/>
        <w:ind w:firstLine="5060" w:firstLineChars="2300"/>
        <w:rPr>
          <w:rFonts w:hint="eastAsia" w:ascii="宋体" w:hAnsi="宋体" w:cs="宋体"/>
          <w:color w:val="auto"/>
          <w:sz w:val="24"/>
          <w:szCs w:val="24"/>
          <w:highlight w:val="none"/>
          <w:lang w:val="en-US" w:eastAsia="zh-CN"/>
        </w:r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3406">
    <w:pPr>
      <w:pStyle w:val="4"/>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5F71">
    <w:pPr>
      <w:pStyle w:val="4"/>
      <w:jc w:val="center"/>
    </w:pPr>
    <w:r>
      <w:fldChar w:fldCharType="begin"/>
    </w:r>
    <w:r>
      <w:instrText xml:space="preserve">PAGE   \* MERGEFORMAT</w:instrText>
    </w:r>
    <w:r>
      <w:fldChar w:fldCharType="separate"/>
    </w:r>
    <w:r>
      <w:rPr>
        <w:lang w:val="zh-CN"/>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6CFF">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22</w:t>
    </w:r>
    <w:r>
      <w:fldChar w:fldCharType="end"/>
    </w:r>
  </w:p>
  <w:p w14:paraId="2A151FE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AB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D1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44D1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0DA0">
    <w:pPr>
      <w:pStyle w:val="5"/>
      <w:pBdr>
        <w:bottom w:val="single" w:color="auto" w:sz="6" w:space="0"/>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D473">
    <w:pPr>
      <w:pStyle w:val="5"/>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AE478"/>
    <w:multiLevelType w:val="singleLevel"/>
    <w:tmpl w:val="A5EAE4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64"/>
    <w:rsid w:val="001113BD"/>
    <w:rsid w:val="00487D6A"/>
    <w:rsid w:val="00582006"/>
    <w:rsid w:val="005F267D"/>
    <w:rsid w:val="006C0760"/>
    <w:rsid w:val="00A84DCB"/>
    <w:rsid w:val="00EE3F64"/>
    <w:rsid w:val="01104DA5"/>
    <w:rsid w:val="03457CFC"/>
    <w:rsid w:val="048C49B3"/>
    <w:rsid w:val="049D7A39"/>
    <w:rsid w:val="04E84DE3"/>
    <w:rsid w:val="05592701"/>
    <w:rsid w:val="06531DE3"/>
    <w:rsid w:val="06AC0092"/>
    <w:rsid w:val="06B41E17"/>
    <w:rsid w:val="06B425D4"/>
    <w:rsid w:val="07120BEA"/>
    <w:rsid w:val="077926BE"/>
    <w:rsid w:val="07BD6329"/>
    <w:rsid w:val="08E27D9B"/>
    <w:rsid w:val="09AB2883"/>
    <w:rsid w:val="0B8377A8"/>
    <w:rsid w:val="0B93678B"/>
    <w:rsid w:val="0C48260B"/>
    <w:rsid w:val="0CD12600"/>
    <w:rsid w:val="0CD1420C"/>
    <w:rsid w:val="0FED59A3"/>
    <w:rsid w:val="103B773C"/>
    <w:rsid w:val="103C4234"/>
    <w:rsid w:val="105C4D64"/>
    <w:rsid w:val="108F6780"/>
    <w:rsid w:val="10D25C79"/>
    <w:rsid w:val="110076A5"/>
    <w:rsid w:val="116F5EA4"/>
    <w:rsid w:val="124135A0"/>
    <w:rsid w:val="129F5E0F"/>
    <w:rsid w:val="138B13AC"/>
    <w:rsid w:val="14976BDB"/>
    <w:rsid w:val="155E69FB"/>
    <w:rsid w:val="168075DB"/>
    <w:rsid w:val="16A63581"/>
    <w:rsid w:val="18A1732B"/>
    <w:rsid w:val="19467ED2"/>
    <w:rsid w:val="1985504D"/>
    <w:rsid w:val="1A1E3EA4"/>
    <w:rsid w:val="1AE9320B"/>
    <w:rsid w:val="1AF57E02"/>
    <w:rsid w:val="1CC61A56"/>
    <w:rsid w:val="1CFA583F"/>
    <w:rsid w:val="1D0D1432"/>
    <w:rsid w:val="1DAF5235"/>
    <w:rsid w:val="1DC90BD8"/>
    <w:rsid w:val="1FE77D5C"/>
    <w:rsid w:val="220B3A67"/>
    <w:rsid w:val="22BC3FAD"/>
    <w:rsid w:val="234B593C"/>
    <w:rsid w:val="235100FF"/>
    <w:rsid w:val="2412156B"/>
    <w:rsid w:val="251A0B90"/>
    <w:rsid w:val="254E4311"/>
    <w:rsid w:val="2572277A"/>
    <w:rsid w:val="26867B60"/>
    <w:rsid w:val="278E5449"/>
    <w:rsid w:val="288E4120"/>
    <w:rsid w:val="28EF0C9A"/>
    <w:rsid w:val="290E49F3"/>
    <w:rsid w:val="292D0766"/>
    <w:rsid w:val="295F35C8"/>
    <w:rsid w:val="2A005E7B"/>
    <w:rsid w:val="2B446C68"/>
    <w:rsid w:val="2BCE6063"/>
    <w:rsid w:val="2C646B95"/>
    <w:rsid w:val="2C884632"/>
    <w:rsid w:val="2D0D0FDB"/>
    <w:rsid w:val="2E1E0778"/>
    <w:rsid w:val="2E1F57A6"/>
    <w:rsid w:val="2E996F2D"/>
    <w:rsid w:val="2EE36F7B"/>
    <w:rsid w:val="2F2D326E"/>
    <w:rsid w:val="30D616E4"/>
    <w:rsid w:val="31183228"/>
    <w:rsid w:val="31BE4982"/>
    <w:rsid w:val="31D12B73"/>
    <w:rsid w:val="33775400"/>
    <w:rsid w:val="35D64995"/>
    <w:rsid w:val="35F22D8B"/>
    <w:rsid w:val="35F738E0"/>
    <w:rsid w:val="369E2DBA"/>
    <w:rsid w:val="37012AE8"/>
    <w:rsid w:val="398753AF"/>
    <w:rsid w:val="3A2E33A9"/>
    <w:rsid w:val="3AAF5F69"/>
    <w:rsid w:val="3AC24128"/>
    <w:rsid w:val="3BBA063F"/>
    <w:rsid w:val="3CCD54F2"/>
    <w:rsid w:val="3D14298E"/>
    <w:rsid w:val="3D362651"/>
    <w:rsid w:val="3D9F7408"/>
    <w:rsid w:val="3F9133A5"/>
    <w:rsid w:val="3F9F3D14"/>
    <w:rsid w:val="3FCC6AD3"/>
    <w:rsid w:val="3FE75932"/>
    <w:rsid w:val="41824A2C"/>
    <w:rsid w:val="42330A76"/>
    <w:rsid w:val="436112E1"/>
    <w:rsid w:val="44283723"/>
    <w:rsid w:val="45462E84"/>
    <w:rsid w:val="4685315F"/>
    <w:rsid w:val="47066401"/>
    <w:rsid w:val="47743CD8"/>
    <w:rsid w:val="48D34A2F"/>
    <w:rsid w:val="49784602"/>
    <w:rsid w:val="49C10D2B"/>
    <w:rsid w:val="4AD52CE0"/>
    <w:rsid w:val="4C856040"/>
    <w:rsid w:val="4DD92AE7"/>
    <w:rsid w:val="4E067654"/>
    <w:rsid w:val="4E5B79A0"/>
    <w:rsid w:val="4E6525CD"/>
    <w:rsid w:val="514520DA"/>
    <w:rsid w:val="52B97739"/>
    <w:rsid w:val="541128AF"/>
    <w:rsid w:val="54ED4A77"/>
    <w:rsid w:val="557274D1"/>
    <w:rsid w:val="55CF096F"/>
    <w:rsid w:val="57F14ED1"/>
    <w:rsid w:val="586803F7"/>
    <w:rsid w:val="59FE24DE"/>
    <w:rsid w:val="5B6A28D9"/>
    <w:rsid w:val="5B7A24BB"/>
    <w:rsid w:val="5BB73D3C"/>
    <w:rsid w:val="5C001B87"/>
    <w:rsid w:val="5DBE5856"/>
    <w:rsid w:val="5E242E7E"/>
    <w:rsid w:val="5E322CBE"/>
    <w:rsid w:val="5F7734DB"/>
    <w:rsid w:val="611A7247"/>
    <w:rsid w:val="651B0262"/>
    <w:rsid w:val="673D69D3"/>
    <w:rsid w:val="67E97973"/>
    <w:rsid w:val="6812235D"/>
    <w:rsid w:val="69C74BDD"/>
    <w:rsid w:val="6A922E6D"/>
    <w:rsid w:val="6B54596E"/>
    <w:rsid w:val="6B991B55"/>
    <w:rsid w:val="6C145FD7"/>
    <w:rsid w:val="6CE75E45"/>
    <w:rsid w:val="6D046F24"/>
    <w:rsid w:val="6D66518D"/>
    <w:rsid w:val="6DA17632"/>
    <w:rsid w:val="6DDF784E"/>
    <w:rsid w:val="6FE3248F"/>
    <w:rsid w:val="70096E04"/>
    <w:rsid w:val="702C48A1"/>
    <w:rsid w:val="706861DE"/>
    <w:rsid w:val="70923B29"/>
    <w:rsid w:val="71F633B8"/>
    <w:rsid w:val="722241AD"/>
    <w:rsid w:val="732C3097"/>
    <w:rsid w:val="73C44DF0"/>
    <w:rsid w:val="75347A43"/>
    <w:rsid w:val="76BA6508"/>
    <w:rsid w:val="770E7A76"/>
    <w:rsid w:val="77597837"/>
    <w:rsid w:val="778A56BF"/>
    <w:rsid w:val="783267CC"/>
    <w:rsid w:val="78496C6A"/>
    <w:rsid w:val="78E768C2"/>
    <w:rsid w:val="790068CB"/>
    <w:rsid w:val="7C2E032A"/>
    <w:rsid w:val="7CBE4AD3"/>
    <w:rsid w:val="7CDF4A43"/>
    <w:rsid w:val="7D4B495C"/>
    <w:rsid w:val="7EAE4C9C"/>
    <w:rsid w:val="7F9703BE"/>
    <w:rsid w:val="7FA20752"/>
    <w:rsid w:val="7FC8321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qFormat/>
    <w:uiPriority w:val="0"/>
  </w:style>
  <w:style w:type="character" w:styleId="12">
    <w:name w:val="Hyperlink"/>
    <w:basedOn w:val="9"/>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列出段落2"/>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10546</Words>
  <Characters>10949</Characters>
  <Lines>22</Lines>
  <Paragraphs>6</Paragraphs>
  <TotalTime>40</TotalTime>
  <ScaleCrop>false</ScaleCrop>
  <LinksUpToDate>false</LinksUpToDate>
  <CharactersWithSpaces>11421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2025-12-03T23:51:00Z</dcterms:created>
  <dc:creator>nnaji</dc:creator>
  <cp:lastModifiedBy>李建波</cp:lastModifiedBy>
  <dcterms:modified xsi:type="dcterms:W3CDTF">2026-04-22T03:43:09Z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eyJoZGlkIjoiYWU0ZTY2MzNiOGEyZGQ2MzllNTA0Nzk4MmU4MWVkZTQiLCJ1c2VySWQiOiIxNzIxNjA5MjIwIn0=</vt:lpwstr>
  </property>
  <property fmtid="{D5CDD505-2E9C-101B-9397-08002B2CF9AE}" pid="3" name="KSOProductBuildVer">
    <vt:lpwstr>2052-12.1.0.24034</vt:lpwstr>
  </property>
  <property fmtid="{D5CDD505-2E9C-101B-9397-08002B2CF9AE}" pid="4" name="ICV">
    <vt:lpwstr>26E25621BC0E4D1AB1CA172B047835F3_12</vt:lpwstr>
  </property>
</Properties>
</file>