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AF3CE">
      <w:pPr>
        <w:adjustRightInd/>
        <w:snapToGrid/>
        <w:spacing w:before="240" w:beforeLines="100" w:after="240" w:afterLines="100"/>
        <w:jc w:val="center"/>
        <w:rPr>
          <w:rFonts w:ascii="微软雅黑" w:hAnsi="微软雅黑" w:cs="宋体"/>
          <w:b/>
          <w:bCs/>
          <w:kern w:val="36"/>
          <w:sz w:val="32"/>
          <w:szCs w:val="32"/>
        </w:rPr>
      </w:pPr>
      <w:bookmarkStart w:id="0" w:name="_Hlk212736641"/>
      <w:r>
        <w:rPr>
          <w:rFonts w:hint="eastAsia" w:ascii="微软雅黑" w:hAnsi="微软雅黑" w:cs="宋体"/>
          <w:b/>
          <w:bCs/>
          <w:kern w:val="36"/>
          <w:sz w:val="32"/>
          <w:szCs w:val="32"/>
        </w:rPr>
        <w:t>广西艺术学院OA系统升级服务</w:t>
      </w:r>
      <w:r>
        <w:rPr>
          <w:rFonts w:hint="eastAsia" w:ascii="微软雅黑" w:hAnsi="微软雅黑" w:cs="宋体"/>
          <w:b/>
          <w:bCs/>
          <w:kern w:val="36"/>
          <w:sz w:val="32"/>
          <w:szCs w:val="32"/>
          <w:lang w:eastAsia="zh-CN"/>
        </w:rPr>
        <w:t>（</w:t>
      </w:r>
      <w:r>
        <w:rPr>
          <w:rFonts w:hint="eastAsia" w:ascii="微软雅黑" w:hAnsi="微软雅黑" w:cs="宋体"/>
          <w:b/>
          <w:bCs/>
          <w:kern w:val="36"/>
          <w:sz w:val="32"/>
          <w:szCs w:val="32"/>
          <w:lang w:val="en-US" w:eastAsia="zh-CN"/>
        </w:rPr>
        <w:t>重）</w:t>
      </w:r>
      <w:r>
        <w:rPr>
          <w:rFonts w:hint="eastAsia" w:ascii="微软雅黑" w:hAnsi="微软雅黑" w:cs="宋体"/>
          <w:b/>
          <w:bCs/>
          <w:kern w:val="36"/>
          <w:sz w:val="32"/>
          <w:szCs w:val="32"/>
        </w:rPr>
        <w:t>采购</w:t>
      </w:r>
      <w:bookmarkEnd w:id="0"/>
      <w:r>
        <w:rPr>
          <w:rFonts w:hint="eastAsia" w:ascii="微软雅黑" w:hAnsi="微软雅黑" w:cs="宋体"/>
          <w:b/>
          <w:bCs/>
          <w:kern w:val="36"/>
          <w:sz w:val="32"/>
          <w:szCs w:val="32"/>
        </w:rPr>
        <w:t>公告</w:t>
      </w:r>
    </w:p>
    <w:p w14:paraId="25A7F8B5">
      <w:pPr>
        <w:adjustRightInd/>
        <w:snapToGrid/>
        <w:spacing w:after="0" w:line="360" w:lineRule="auto"/>
        <w:ind w:firstLine="480"/>
        <w:jc w:val="both"/>
        <w:rPr>
          <w:rFonts w:ascii="宋体" w:hAnsi="宋体" w:eastAsia="宋体" w:cs="宋体"/>
          <w:sz w:val="24"/>
          <w:szCs w:val="24"/>
        </w:rPr>
      </w:pPr>
    </w:p>
    <w:p w14:paraId="37FD0D8C">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我校开展广西艺术学院OA系统升级服务采购，现将本次采购有关事项公告如下：</w:t>
      </w:r>
    </w:p>
    <w:p w14:paraId="01FD8CE1">
      <w:pPr>
        <w:numPr>
          <w:ilvl w:val="0"/>
          <w:numId w:val="1"/>
        </w:num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：广西艺术学院OA系统升级服务采购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重）</w:t>
      </w:r>
    </w:p>
    <w:p w14:paraId="77123F1E">
      <w:pPr>
        <w:numPr>
          <w:ilvl w:val="0"/>
          <w:numId w:val="1"/>
        </w:num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采购内容及数量</w:t>
      </w:r>
    </w:p>
    <w:tbl>
      <w:tblPr>
        <w:tblStyle w:val="13"/>
        <w:tblW w:w="5000" w:type="pct"/>
        <w:jc w:val="center"/>
        <w:tblLayout w:type="autofit"/>
        <w:tblCellMar>
          <w:top w:w="0" w:type="dxa"/>
          <w:left w:w="0" w:type="dxa"/>
          <w:bottom w:w="0" w:type="dxa"/>
          <w:right w:w="0" w:type="dxa"/>
        </w:tblCellMar>
      </w:tblPr>
      <w:tblGrid>
        <w:gridCol w:w="998"/>
        <w:gridCol w:w="6189"/>
        <w:gridCol w:w="1657"/>
      </w:tblGrid>
      <w:tr w14:paraId="3C241E13">
        <w:tblPrEx>
          <w:tblCellMar>
            <w:top w:w="0" w:type="dxa"/>
            <w:left w:w="0" w:type="dxa"/>
            <w:bottom w:w="0" w:type="dxa"/>
            <w:right w:w="0" w:type="dxa"/>
          </w:tblCellMar>
        </w:tblPrEx>
        <w:trPr>
          <w:trHeight w:val="540" w:hRule="atLeast"/>
          <w:jc w:val="center"/>
        </w:trPr>
        <w:tc>
          <w:tcPr>
            <w:tcW w:w="564" w:type="pct"/>
            <w:tcBorders>
              <w:top w:val="single" w:color="auto" w:sz="8" w:space="0"/>
              <w:left w:val="single" w:color="auto" w:sz="8" w:space="0"/>
              <w:bottom w:val="single" w:color="auto" w:sz="8" w:space="0"/>
              <w:right w:val="single" w:color="auto" w:sz="8" w:space="0"/>
            </w:tcBorders>
            <w:tcMar>
              <w:top w:w="13" w:type="dxa"/>
              <w:left w:w="57" w:type="dxa"/>
              <w:bottom w:w="0" w:type="dxa"/>
              <w:right w:w="57" w:type="dxa"/>
            </w:tcMar>
            <w:vAlign w:val="center"/>
          </w:tcPr>
          <w:p w14:paraId="120C68A0">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项号</w:t>
            </w:r>
          </w:p>
        </w:tc>
        <w:tc>
          <w:tcPr>
            <w:tcW w:w="3499" w:type="pct"/>
            <w:tcBorders>
              <w:top w:val="single" w:color="auto" w:sz="8" w:space="0"/>
              <w:left w:val="nil"/>
              <w:bottom w:val="single" w:color="auto" w:sz="8" w:space="0"/>
              <w:right w:val="single" w:color="auto" w:sz="8" w:space="0"/>
            </w:tcBorders>
            <w:vAlign w:val="center"/>
          </w:tcPr>
          <w:p w14:paraId="01167CF3">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采购内容</w:t>
            </w:r>
          </w:p>
        </w:tc>
        <w:tc>
          <w:tcPr>
            <w:tcW w:w="937" w:type="pct"/>
            <w:tcBorders>
              <w:top w:val="single" w:color="auto" w:sz="8" w:space="0"/>
              <w:left w:val="nil"/>
              <w:bottom w:val="single" w:color="auto" w:sz="8" w:space="0"/>
              <w:right w:val="single" w:color="auto" w:sz="8" w:space="0"/>
            </w:tcBorders>
            <w:tcMar>
              <w:top w:w="13" w:type="dxa"/>
              <w:left w:w="57" w:type="dxa"/>
              <w:bottom w:w="0" w:type="dxa"/>
              <w:right w:w="57" w:type="dxa"/>
            </w:tcMar>
            <w:vAlign w:val="center"/>
          </w:tcPr>
          <w:p w14:paraId="56C419F1">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数量及单位</w:t>
            </w:r>
          </w:p>
        </w:tc>
      </w:tr>
      <w:tr w14:paraId="6E212271">
        <w:tblPrEx>
          <w:tblCellMar>
            <w:top w:w="0" w:type="dxa"/>
            <w:left w:w="0" w:type="dxa"/>
            <w:bottom w:w="0" w:type="dxa"/>
            <w:right w:w="0" w:type="dxa"/>
          </w:tblCellMar>
        </w:tblPrEx>
        <w:trPr>
          <w:trHeight w:val="360" w:hRule="atLeast"/>
          <w:jc w:val="center"/>
        </w:trPr>
        <w:tc>
          <w:tcPr>
            <w:tcW w:w="564" w:type="pct"/>
            <w:tcBorders>
              <w:top w:val="nil"/>
              <w:left w:val="single" w:color="auto" w:sz="8" w:space="0"/>
              <w:bottom w:val="single" w:color="auto" w:sz="4" w:space="0"/>
              <w:right w:val="single" w:color="auto" w:sz="8" w:space="0"/>
            </w:tcBorders>
            <w:tcMar>
              <w:top w:w="13" w:type="dxa"/>
              <w:left w:w="57" w:type="dxa"/>
              <w:bottom w:w="0" w:type="dxa"/>
              <w:right w:w="57" w:type="dxa"/>
            </w:tcMar>
            <w:vAlign w:val="center"/>
          </w:tcPr>
          <w:p w14:paraId="50A296F1">
            <w:pPr>
              <w:adjustRightInd/>
              <w:snapToGrid/>
              <w:spacing w:after="0"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3499" w:type="pct"/>
            <w:tcBorders>
              <w:top w:val="nil"/>
              <w:left w:val="nil"/>
              <w:bottom w:val="single" w:color="auto" w:sz="4" w:space="0"/>
              <w:right w:val="single" w:color="auto" w:sz="8" w:space="0"/>
            </w:tcBorders>
            <w:vAlign w:val="center"/>
          </w:tcPr>
          <w:p w14:paraId="088585CE">
            <w:pPr>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广西艺术学院OA系统升级服务（详见附件1：采购需求）</w:t>
            </w:r>
          </w:p>
        </w:tc>
        <w:tc>
          <w:tcPr>
            <w:tcW w:w="937" w:type="pct"/>
            <w:tcBorders>
              <w:top w:val="nil"/>
              <w:left w:val="nil"/>
              <w:bottom w:val="single" w:color="auto" w:sz="4" w:space="0"/>
              <w:right w:val="single" w:color="auto" w:sz="8" w:space="0"/>
            </w:tcBorders>
            <w:tcMar>
              <w:top w:w="13" w:type="dxa"/>
              <w:left w:w="57" w:type="dxa"/>
              <w:bottom w:w="0" w:type="dxa"/>
              <w:right w:w="57" w:type="dxa"/>
            </w:tcMar>
            <w:vAlign w:val="center"/>
          </w:tcPr>
          <w:p w14:paraId="056AD2AE">
            <w:pPr>
              <w:adjustRightInd/>
              <w:snapToGrid/>
              <w:spacing w:after="0" w:line="360" w:lineRule="auto"/>
              <w:jc w:val="center"/>
              <w:rPr>
                <w:rFonts w:ascii="宋体" w:hAnsi="宋体" w:eastAsia="宋体" w:cs="宋体"/>
                <w:sz w:val="24"/>
                <w:szCs w:val="24"/>
              </w:rPr>
            </w:pPr>
            <w:r>
              <w:rPr>
                <w:rFonts w:hint="eastAsia" w:ascii="宋体" w:hAnsi="宋体" w:eastAsia="宋体" w:cs="宋体"/>
                <w:sz w:val="24"/>
                <w:szCs w:val="24"/>
              </w:rPr>
              <w:t>1项</w:t>
            </w:r>
          </w:p>
        </w:tc>
      </w:tr>
      <w:tr w14:paraId="60952EF6">
        <w:tblPrEx>
          <w:tblCellMar>
            <w:top w:w="0" w:type="dxa"/>
            <w:left w:w="0" w:type="dxa"/>
            <w:bottom w:w="0" w:type="dxa"/>
            <w:right w:w="0" w:type="dxa"/>
          </w:tblCellMar>
        </w:tblPrEx>
        <w:trPr>
          <w:trHeight w:val="360" w:hRule="atLeast"/>
          <w:jc w:val="center"/>
        </w:trPr>
        <w:tc>
          <w:tcPr>
            <w:tcW w:w="5000" w:type="pct"/>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3342F6">
            <w:pPr>
              <w:adjustRightInd/>
              <w:snapToGrid/>
              <w:spacing w:after="0" w:line="360" w:lineRule="auto"/>
              <w:rPr>
                <w:rFonts w:ascii="宋体" w:hAnsi="宋体" w:eastAsia="宋体" w:cs="宋体"/>
                <w:sz w:val="24"/>
                <w:szCs w:val="24"/>
              </w:rPr>
            </w:pPr>
            <w:r>
              <w:rPr>
                <w:rFonts w:hint="eastAsia" w:ascii="宋体" w:hAnsi="宋体" w:eastAsia="宋体" w:cs="宋体"/>
                <w:sz w:val="24"/>
                <w:szCs w:val="24"/>
              </w:rPr>
              <w:t>要求：（1）采购需求须全部满足。</w:t>
            </w:r>
          </w:p>
          <w:p w14:paraId="319C9F3A">
            <w:pPr>
              <w:adjustRightInd/>
              <w:snapToGrid/>
              <w:spacing w:after="0" w:line="360" w:lineRule="auto"/>
              <w:ind w:firstLine="720" w:firstLineChars="300"/>
              <w:rPr>
                <w:rFonts w:ascii="宋体" w:hAnsi="宋体" w:cs="宋体"/>
                <w:sz w:val="24"/>
                <w:szCs w:val="24"/>
              </w:rPr>
            </w:pPr>
            <w:r>
              <w:rPr>
                <w:rFonts w:hint="eastAsia" w:ascii="宋体" w:hAnsi="宋体" w:eastAsia="宋体" w:cs="宋体"/>
                <w:sz w:val="24"/>
                <w:szCs w:val="24"/>
              </w:rPr>
              <w:t>（2）合同履约期限：从合同签订之日起至项目通过验收合格止。</w:t>
            </w:r>
          </w:p>
        </w:tc>
      </w:tr>
    </w:tbl>
    <w:p w14:paraId="56378ABA">
      <w:pPr>
        <w:adjustRightInd/>
        <w:snapToGrid/>
        <w:spacing w:after="0" w:line="360" w:lineRule="auto"/>
        <w:ind w:firstLine="480"/>
        <w:jc w:val="both"/>
        <w:rPr>
          <w:rFonts w:ascii="宋体" w:hAnsi="宋体" w:eastAsia="宋体" w:cs="宋体"/>
          <w:b/>
          <w:bCs/>
          <w:sz w:val="24"/>
          <w:szCs w:val="24"/>
        </w:rPr>
      </w:pPr>
      <w:r>
        <w:rPr>
          <w:rFonts w:hint="eastAsia" w:ascii="宋体" w:hAnsi="宋体" w:eastAsia="宋体" w:cs="宋体"/>
          <w:b/>
          <w:bCs/>
          <w:sz w:val="24"/>
          <w:szCs w:val="24"/>
        </w:rPr>
        <w:t>三、预算控制价金额（人民币）：</w:t>
      </w:r>
      <w:r>
        <w:rPr>
          <w:rFonts w:hint="eastAsia" w:ascii="宋体" w:hAnsi="宋体" w:eastAsia="宋体" w:cs="宋体"/>
          <w:b/>
          <w:bCs/>
          <w:sz w:val="24"/>
          <w:szCs w:val="24"/>
          <w:u w:val="single"/>
        </w:rPr>
        <w:t>7.40</w:t>
      </w:r>
      <w:r>
        <w:rPr>
          <w:rFonts w:hint="eastAsia" w:ascii="宋体" w:hAnsi="宋体" w:eastAsia="宋体" w:cs="宋体"/>
          <w:sz w:val="24"/>
          <w:szCs w:val="24"/>
          <w:u w:val="single"/>
        </w:rPr>
        <w:t> </w:t>
      </w:r>
      <w:r>
        <w:rPr>
          <w:rFonts w:hint="eastAsia" w:ascii="宋体" w:hAnsi="宋体" w:eastAsia="宋体" w:cs="宋体"/>
          <w:b/>
          <w:bCs/>
          <w:sz w:val="24"/>
          <w:szCs w:val="24"/>
        </w:rPr>
        <w:t>万元（大写：柒万肆仟元整）。投标单位的投标报价必须在项目预算控制价内（含预算控制价），若超过预算控制价作废标处理。</w:t>
      </w:r>
    </w:p>
    <w:p w14:paraId="2BD1E8F9">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四、投标人资格要求</w:t>
      </w:r>
    </w:p>
    <w:p w14:paraId="2EE36569">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（一）必须是在中华人民共和国境内注册，具有独立法人，并持有工商行政管理部门核发的法人营业执照；</w:t>
      </w:r>
    </w:p>
    <w:p w14:paraId="64B63586">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（二）未被列入失信被执行人名单、重大税收违法案件当事人名单、 政府采购严重违法失信行为记录名单，信息以信用中国网站、中国政府采购网公布为准；</w:t>
      </w:r>
    </w:p>
    <w:p w14:paraId="3D30415A">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（三）单位负责人为同一人或者存在直接控股、管理关系的不同供应商，不得参加同一合同项下的采购活动；</w:t>
      </w:r>
    </w:p>
    <w:p w14:paraId="7F47F435">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（四）本项目不接受联合体。</w:t>
      </w:r>
    </w:p>
    <w:p w14:paraId="06707F48">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五、投标要求</w:t>
      </w:r>
    </w:p>
    <w:p w14:paraId="24CFA188">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（一）提供法人授权委托书（原件）、有效的营业执照复印件（加盖单位公章）、被授权人身份证（</w:t>
      </w:r>
      <w:r>
        <w:rPr>
          <w:rFonts w:ascii="宋体" w:hAnsi="宋体" w:eastAsia="宋体" w:cs="宋体"/>
          <w:color w:val="000000" w:themeColor="text1"/>
          <w:sz w:val="24"/>
          <w:szCs w:val="24"/>
          <w14:textFill>
            <w14:solidFill>
              <w14:schemeClr w14:val="tx1"/>
            </w14:solidFill>
          </w14:textFill>
        </w:rPr>
        <w:t>原件和复印件）</w:t>
      </w:r>
      <w:r>
        <w:rPr>
          <w:rFonts w:hint="eastAsia" w:ascii="宋体" w:hAnsi="宋体" w:eastAsia="宋体" w:cs="宋体"/>
          <w:color w:val="000000" w:themeColor="text1"/>
          <w:sz w:val="24"/>
          <w:szCs w:val="24"/>
          <w14:textFill>
            <w14:solidFill>
              <w14:schemeClr w14:val="tx1"/>
            </w14:solidFill>
          </w14:textFill>
        </w:rPr>
        <w:t>；</w:t>
      </w:r>
    </w:p>
    <w:p w14:paraId="4C74B6F9">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（二）提供最新的信用中国网站和中国政府采购网无违法失信查询结果截图（加盖单位公章）；</w:t>
      </w:r>
    </w:p>
    <w:p w14:paraId="349C3CC2">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（三）报价函（加盖公章）；</w:t>
      </w:r>
    </w:p>
    <w:p w14:paraId="68D3B132">
      <w:pPr>
        <w:adjustRightInd/>
        <w:snapToGrid/>
        <w:spacing w:after="0" w:line="360" w:lineRule="auto"/>
        <w:ind w:firstLine="480"/>
        <w:jc w:val="both"/>
        <w:rPr>
          <w:rFonts w:ascii="宋体" w:hAnsi="宋体" w:eastAsia="宋体" w:cs="宋体"/>
          <w:color w:val="0000FF"/>
          <w:sz w:val="24"/>
          <w:szCs w:val="24"/>
        </w:rPr>
      </w:pPr>
      <w:r>
        <w:rPr>
          <w:rFonts w:hint="eastAsia" w:ascii="宋体" w:hAnsi="宋体" w:eastAsia="宋体" w:cs="宋体"/>
          <w:color w:val="000000" w:themeColor="text1"/>
          <w:sz w:val="24"/>
          <w:szCs w:val="24"/>
          <w14:textFill>
            <w14:solidFill>
              <w14:schemeClr w14:val="tx1"/>
            </w14:solidFill>
          </w14:textFill>
        </w:rPr>
        <w:t>（四）投标材料必须一正一副，且须加盖公章后密封提供。</w:t>
      </w:r>
    </w:p>
    <w:p w14:paraId="1C41B963">
      <w:pPr>
        <w:adjustRightInd/>
        <w:snapToGrid/>
        <w:spacing w:after="0" w:line="360" w:lineRule="auto"/>
        <w:ind w:firstLine="480"/>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如以上资料提供不全或不按要求提供，将被视为不符合投标资格。</w:t>
      </w:r>
    </w:p>
    <w:p w14:paraId="2071C5DC">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六、中标方式</w:t>
      </w:r>
    </w:p>
    <w:p w14:paraId="47C059EB">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根据投标人的投标材料，在满足采购需求的基础上，采取</w:t>
      </w:r>
      <w:r>
        <w:rPr>
          <w:rFonts w:hint="eastAsia" w:ascii="宋体" w:hAnsi="宋体" w:eastAsia="宋体" w:cs="宋体"/>
          <w:b/>
          <w:bCs/>
          <w:color w:val="000000" w:themeColor="text1"/>
          <w:sz w:val="24"/>
          <w:szCs w:val="24"/>
          <w14:textFill>
            <w14:solidFill>
              <w14:schemeClr w14:val="tx1"/>
            </w14:solidFill>
          </w14:textFill>
        </w:rPr>
        <w:t>低价中标</w:t>
      </w: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确</w:t>
      </w:r>
      <w:r>
        <w:rPr>
          <w:rFonts w:hint="eastAsia" w:ascii="宋体" w:hAnsi="宋体" w:eastAsia="宋体" w:cs="宋体"/>
          <w:color w:val="000000" w:themeColor="text1"/>
          <w:sz w:val="24"/>
          <w:szCs w:val="24"/>
          <w14:textFill>
            <w14:solidFill>
              <w14:schemeClr w14:val="tx1"/>
            </w14:solidFill>
          </w14:textFill>
        </w:rPr>
        <w:t>定该项目中标单位，若价格相同，则采取抽签方式确定中标单位。</w:t>
      </w:r>
    </w:p>
    <w:p w14:paraId="394673C6">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七、投标截止时间和地点</w:t>
      </w:r>
    </w:p>
    <w:p w14:paraId="5ED43FE1">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（一）投标时间</w:t>
      </w:r>
    </w:p>
    <w:p w14:paraId="0FA3897C">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凡愿意且符合条件投标人，</w:t>
      </w:r>
      <w:r>
        <w:rPr>
          <w:rFonts w:hint="eastAsia" w:ascii="宋体" w:hAnsi="宋体" w:eastAsia="宋体" w:cs="宋体"/>
          <w:bCs/>
          <w:color w:val="000000" w:themeColor="text1"/>
          <w:sz w:val="24"/>
          <w:szCs w:val="24"/>
          <w14:textFill>
            <w14:solidFill>
              <w14:schemeClr w14:val="tx1"/>
            </w14:solidFill>
          </w14:textFill>
        </w:rPr>
        <w:t>请于</w:t>
      </w:r>
      <w:r>
        <w:rPr>
          <w:rFonts w:hint="eastAsia" w:ascii="宋体" w:hAnsi="宋体" w:eastAsia="宋体" w:cs="宋体"/>
          <w:b/>
          <w:color w:val="000000" w:themeColor="text1"/>
          <w:sz w:val="24"/>
          <w:szCs w:val="24"/>
          <w14:textFill>
            <w14:solidFill>
              <w14:schemeClr w14:val="tx1"/>
            </w14:solidFill>
          </w14:textFill>
        </w:rPr>
        <w:t>2025年1</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月</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 xml:space="preserve"> 日上午9：00至11：00，</w:t>
      </w:r>
      <w:r>
        <w:rPr>
          <w:rFonts w:hint="eastAsia" w:ascii="宋体" w:hAnsi="宋体" w:eastAsia="宋体" w:cs="宋体"/>
          <w:color w:val="000000" w:themeColor="text1"/>
          <w:sz w:val="24"/>
          <w:szCs w:val="24"/>
          <w14:textFill>
            <w14:solidFill>
              <w14:schemeClr w14:val="tx1"/>
            </w14:solidFill>
          </w14:textFill>
        </w:rPr>
        <w:t>将投标文件密封送达广西艺术学院财务资产处，其</w:t>
      </w:r>
      <w:r>
        <w:rPr>
          <w:rFonts w:hint="eastAsia" w:ascii="宋体" w:hAnsi="宋体" w:eastAsia="宋体" w:cs="宋体"/>
          <w:bCs/>
          <w:color w:val="000000" w:themeColor="text1"/>
          <w:sz w:val="24"/>
          <w:szCs w:val="24"/>
          <w14:textFill>
            <w14:solidFill>
              <w14:schemeClr w14:val="tx1"/>
            </w14:solidFill>
          </w14:textFill>
        </w:rPr>
        <w:t>他时间不接收报名材料。</w:t>
      </w:r>
    </w:p>
    <w:p w14:paraId="0FDE1F5C">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（二）投标地点</w:t>
      </w:r>
    </w:p>
    <w:p w14:paraId="5765C092">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南宁市教育路7号广西艺术学院雕塑办公楼107室财务资产处采购管理科。</w:t>
      </w:r>
    </w:p>
    <w:p w14:paraId="75998B0F">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sz w:val="24"/>
          <w:szCs w:val="24"/>
        </w:rPr>
        <w:t>朱老师，联系电话：0771-5327987</w:t>
      </w:r>
    </w:p>
    <w:p w14:paraId="1E78BF7A">
      <w:pPr>
        <w:adjustRightInd/>
        <w:snapToGrid/>
        <w:spacing w:after="0" w:line="360" w:lineRule="auto"/>
        <w:ind w:firstLine="480"/>
        <w:rPr>
          <w:rFonts w:ascii="宋体" w:hAnsi="宋体" w:eastAsia="宋体" w:cs="宋体"/>
          <w:sz w:val="24"/>
          <w:szCs w:val="24"/>
        </w:rPr>
      </w:pPr>
    </w:p>
    <w:p w14:paraId="19567D12">
      <w:pPr>
        <w:adjustRightInd/>
        <w:snapToGrid/>
        <w:spacing w:after="0" w:line="360" w:lineRule="auto"/>
        <w:jc w:val="right"/>
        <w:rPr>
          <w:rFonts w:ascii="宋体" w:hAnsi="宋体" w:eastAsia="宋体" w:cs="宋体"/>
          <w:sz w:val="24"/>
          <w:szCs w:val="24"/>
        </w:rPr>
      </w:pPr>
      <w:r>
        <w:rPr>
          <w:rFonts w:hint="eastAsia" w:ascii="宋体" w:hAnsi="宋体" w:eastAsia="宋体" w:cs="宋体"/>
          <w:sz w:val="24"/>
          <w:szCs w:val="24"/>
        </w:rPr>
        <w:t xml:space="preserve">广西艺术学院  </w:t>
      </w:r>
    </w:p>
    <w:p w14:paraId="2608D589">
      <w:pPr>
        <w:pStyle w:val="11"/>
        <w:ind w:firstLine="240"/>
        <w:rPr>
          <w:rFonts w:ascii="宋体" w:hAnsi="宋体" w:eastAsia="宋体" w:cs="宋体"/>
          <w:sz w:val="24"/>
          <w:lang w:eastAsia="zh-CN"/>
        </w:rPr>
        <w:sectPr>
          <w:pgSz w:w="11906" w:h="16838"/>
          <w:pgMar w:top="1021" w:right="1588" w:bottom="1021" w:left="1588" w:header="709" w:footer="709" w:gutter="0"/>
          <w:cols w:space="720" w:num="1"/>
          <w:docGrid w:linePitch="360" w:charSpace="0"/>
        </w:sectPr>
      </w:pPr>
    </w:p>
    <w:p w14:paraId="3BF4B2E0">
      <w:pPr>
        <w:spacing w:before="320" w:after="120" w:line="288" w:lineRule="auto"/>
        <w:ind w:firstLine="600" w:firstLineChars="200"/>
        <w:outlineLvl w:val="1"/>
        <w:rPr>
          <w:rFonts w:ascii="仿宋" w:hAnsi="仿宋" w:eastAsia="仿宋" w:cs="仿宋"/>
          <w:sz w:val="30"/>
          <w:szCs w:val="30"/>
        </w:rPr>
      </w:pPr>
      <w:bookmarkStart w:id="1" w:name="heading_0"/>
      <w:r>
        <w:rPr>
          <w:rFonts w:hint="eastAsia" w:ascii="仿宋" w:hAnsi="仿宋" w:eastAsia="仿宋" w:cs="仿宋"/>
          <w:sz w:val="30"/>
          <w:szCs w:val="30"/>
        </w:rPr>
        <w:t>附件1：</w:t>
      </w:r>
    </w:p>
    <w:p w14:paraId="357F0781">
      <w:pPr>
        <w:spacing w:before="380" w:after="140" w:line="288" w:lineRule="auto"/>
        <w:jc w:val="center"/>
        <w:outlineLvl w:val="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广西艺术学院OA系统升级服务采购需求</w:t>
      </w:r>
      <w:bookmarkEnd w:id="1"/>
    </w:p>
    <w:p w14:paraId="654FA851">
      <w:pPr>
        <w:spacing w:before="320" w:after="120" w:line="288" w:lineRule="auto"/>
        <w:outlineLvl w:val="1"/>
        <w:rPr>
          <w:rFonts w:ascii="黑体" w:hAnsi="黑体" w:eastAsia="黑体" w:cs="黑体"/>
          <w:bCs/>
          <w:sz w:val="30"/>
          <w:szCs w:val="30"/>
        </w:rPr>
      </w:pPr>
      <w:bookmarkStart w:id="2" w:name="heading_1"/>
      <w:r>
        <w:rPr>
          <w:rFonts w:hint="eastAsia" w:ascii="黑体" w:hAnsi="黑体" w:eastAsia="黑体" w:cs="黑体"/>
          <w:bCs/>
          <w:sz w:val="30"/>
          <w:szCs w:val="30"/>
        </w:rPr>
        <w:t>一、项目服务总体要求</w:t>
      </w:r>
      <w:bookmarkEnd w:id="2"/>
    </w:p>
    <w:p w14:paraId="3BF91E11">
      <w:pPr>
        <w:spacing w:before="320" w:after="120" w:line="288"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对目前在用的通达OA系统（v12版）进行升级改造，增加移动端、电脑端OA文件在线预览功能，支持附件自动生成水印，增加OA系统与学校现有电子签章平台</w:t>
      </w:r>
      <w:r>
        <w:rPr>
          <w:rFonts w:hint="eastAsia" w:ascii="仿宋" w:hAnsi="仿宋" w:eastAsia="仿宋" w:cs="仿宋"/>
          <w:color w:val="auto"/>
          <w:sz w:val="28"/>
          <w:szCs w:val="28"/>
        </w:rPr>
        <w:t>（契约锁</w:t>
      </w:r>
      <w:r>
        <w:rPr>
          <w:rFonts w:ascii="仿宋" w:hAnsi="仿宋" w:eastAsia="仿宋" w:cs="仿宋"/>
          <w:color w:val="auto"/>
          <w:sz w:val="28"/>
          <w:szCs w:val="28"/>
        </w:rPr>
        <w:t>V5.1(5.1.1.20241122)</w:t>
      </w:r>
      <w:r>
        <w:rPr>
          <w:rFonts w:hint="eastAsia" w:ascii="仿宋" w:hAnsi="仿宋" w:eastAsia="仿宋" w:cs="仿宋"/>
          <w:color w:val="auto"/>
          <w:sz w:val="28"/>
          <w:szCs w:val="28"/>
        </w:rPr>
        <w:t>）</w:t>
      </w:r>
      <w:r>
        <w:rPr>
          <w:rFonts w:hint="eastAsia" w:ascii="仿宋" w:hAnsi="仿宋" w:eastAsia="仿宋" w:cs="仿宋"/>
          <w:sz w:val="28"/>
          <w:szCs w:val="28"/>
        </w:rPr>
        <w:t>深度集成，实现 OA 业务流程与电子签章无缝衔接；对流程中心、公告通知等模块功能进行优化。</w:t>
      </w:r>
    </w:p>
    <w:p w14:paraId="5F034891">
      <w:pPr>
        <w:spacing w:before="320" w:after="120" w:line="288" w:lineRule="auto"/>
        <w:outlineLvl w:val="1"/>
        <w:rPr>
          <w:rFonts w:ascii="黑体" w:hAnsi="黑体" w:eastAsia="黑体" w:cs="黑体"/>
          <w:bCs/>
          <w:sz w:val="30"/>
          <w:szCs w:val="30"/>
        </w:rPr>
      </w:pPr>
      <w:bookmarkStart w:id="3" w:name="heading_2"/>
      <w:r>
        <w:rPr>
          <w:rFonts w:hint="eastAsia" w:ascii="黑体" w:hAnsi="黑体" w:eastAsia="黑体" w:cs="黑体"/>
          <w:bCs/>
          <w:sz w:val="30"/>
          <w:szCs w:val="30"/>
        </w:rPr>
        <w:t>二、采购内容及技术需求</w:t>
      </w:r>
      <w:bookmarkEnd w:id="3"/>
    </w:p>
    <w:tbl>
      <w:tblPr>
        <w:tblStyle w:val="13"/>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6"/>
        <w:gridCol w:w="1701"/>
        <w:gridCol w:w="1417"/>
        <w:gridCol w:w="4980"/>
      </w:tblGrid>
      <w:tr w14:paraId="3142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3" w:hRule="atLeast"/>
          <w:jc w:val="center"/>
        </w:trPr>
        <w:tc>
          <w:tcPr>
            <w:tcW w:w="846" w:type="dxa"/>
            <w:tcMar>
              <w:top w:w="60" w:type="dxa"/>
              <w:left w:w="120" w:type="dxa"/>
              <w:bottom w:w="30" w:type="dxa"/>
              <w:right w:w="120" w:type="dxa"/>
            </w:tcMar>
            <w:vAlign w:val="center"/>
          </w:tcPr>
          <w:p w14:paraId="1C03CD14">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1701" w:type="dxa"/>
            <w:tcMar>
              <w:top w:w="60" w:type="dxa"/>
              <w:left w:w="120" w:type="dxa"/>
              <w:bottom w:w="30" w:type="dxa"/>
              <w:right w:w="120" w:type="dxa"/>
            </w:tcMar>
            <w:vAlign w:val="center"/>
          </w:tcPr>
          <w:p w14:paraId="58DF290B">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采购标的</w:t>
            </w:r>
          </w:p>
          <w:p w14:paraId="04366E5B">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（服务名称）</w:t>
            </w:r>
          </w:p>
        </w:tc>
        <w:tc>
          <w:tcPr>
            <w:tcW w:w="1417" w:type="dxa"/>
            <w:tcMar>
              <w:top w:w="60" w:type="dxa"/>
              <w:left w:w="120" w:type="dxa"/>
              <w:bottom w:w="30" w:type="dxa"/>
              <w:right w:w="120" w:type="dxa"/>
            </w:tcMar>
            <w:vAlign w:val="center"/>
          </w:tcPr>
          <w:p w14:paraId="373446FE">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数量/单位</w:t>
            </w:r>
          </w:p>
        </w:tc>
        <w:tc>
          <w:tcPr>
            <w:tcW w:w="4980" w:type="dxa"/>
            <w:tcMar>
              <w:top w:w="60" w:type="dxa"/>
              <w:left w:w="120" w:type="dxa"/>
              <w:bottom w:w="30" w:type="dxa"/>
              <w:right w:w="120" w:type="dxa"/>
            </w:tcMar>
            <w:vAlign w:val="center"/>
          </w:tcPr>
          <w:p w14:paraId="6B943F02">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服务内容及要求</w:t>
            </w:r>
          </w:p>
        </w:tc>
      </w:tr>
      <w:tr w14:paraId="02ED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29" w:hRule="atLeast"/>
          <w:jc w:val="center"/>
        </w:trPr>
        <w:tc>
          <w:tcPr>
            <w:tcW w:w="846" w:type="dxa"/>
            <w:tcMar>
              <w:top w:w="60" w:type="dxa"/>
              <w:left w:w="120" w:type="dxa"/>
              <w:bottom w:w="30" w:type="dxa"/>
              <w:right w:w="120" w:type="dxa"/>
            </w:tcMar>
            <w:vAlign w:val="center"/>
          </w:tcPr>
          <w:p w14:paraId="52D99358">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1701" w:type="dxa"/>
            <w:tcMar>
              <w:top w:w="60" w:type="dxa"/>
              <w:left w:w="120" w:type="dxa"/>
              <w:bottom w:w="30" w:type="dxa"/>
              <w:right w:w="120" w:type="dxa"/>
            </w:tcMar>
            <w:vAlign w:val="center"/>
          </w:tcPr>
          <w:p w14:paraId="7FF6881B">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V12.0升级至V13.0版本</w:t>
            </w:r>
          </w:p>
        </w:tc>
        <w:tc>
          <w:tcPr>
            <w:tcW w:w="1417" w:type="dxa"/>
            <w:tcMar>
              <w:top w:w="60" w:type="dxa"/>
              <w:left w:w="120" w:type="dxa"/>
              <w:bottom w:w="30" w:type="dxa"/>
              <w:right w:w="120" w:type="dxa"/>
            </w:tcMar>
            <w:vAlign w:val="center"/>
          </w:tcPr>
          <w:p w14:paraId="2FD07EA7">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1次</w:t>
            </w:r>
          </w:p>
        </w:tc>
        <w:tc>
          <w:tcPr>
            <w:tcW w:w="4980" w:type="dxa"/>
            <w:tcMar>
              <w:top w:w="60" w:type="dxa"/>
              <w:left w:w="120" w:type="dxa"/>
              <w:bottom w:w="30" w:type="dxa"/>
              <w:right w:w="120" w:type="dxa"/>
            </w:tcMar>
            <w:vAlign w:val="center"/>
          </w:tcPr>
          <w:p w14:paraId="6C979678">
            <w:pPr>
              <w:rPr>
                <w:rFonts w:ascii="仿宋" w:hAnsi="仿宋" w:eastAsia="仿宋" w:cs="仿宋"/>
                <w:sz w:val="24"/>
                <w:szCs w:val="24"/>
              </w:rPr>
            </w:pPr>
            <w:r>
              <w:rPr>
                <w:rFonts w:hint="eastAsia" w:ascii="仿宋" w:hAnsi="仿宋" w:eastAsia="仿宋" w:cs="仿宋"/>
                <w:sz w:val="24"/>
                <w:szCs w:val="24"/>
              </w:rPr>
              <w:t>1.实现通达OA系统从V12版升级至通达V13最新版；</w:t>
            </w:r>
          </w:p>
          <w:p w14:paraId="0E747694">
            <w:pPr>
              <w:rPr>
                <w:rFonts w:ascii="仿宋" w:hAnsi="仿宋" w:eastAsia="仿宋" w:cs="仿宋"/>
                <w:sz w:val="24"/>
                <w:szCs w:val="24"/>
              </w:rPr>
            </w:pPr>
            <w:r>
              <w:rPr>
                <w:rFonts w:hint="eastAsia" w:ascii="仿宋" w:hAnsi="仿宋" w:eastAsia="仿宋" w:cs="仿宋"/>
                <w:sz w:val="24"/>
                <w:szCs w:val="24"/>
              </w:rPr>
              <w:t xml:space="preserve">2.测试升级后工作流等功能完整性与稳定性； </w:t>
            </w:r>
          </w:p>
          <w:p w14:paraId="24F5BE58">
            <w:pPr>
              <w:rPr>
                <w:rFonts w:ascii="仿宋" w:hAnsi="仿宋" w:eastAsia="仿宋" w:cs="仿宋"/>
                <w:sz w:val="24"/>
                <w:szCs w:val="24"/>
              </w:rPr>
            </w:pPr>
            <w:r>
              <w:rPr>
                <w:rFonts w:hint="eastAsia" w:ascii="仿宋" w:hAnsi="仿宋" w:eastAsia="仿宋" w:cs="仿宋"/>
                <w:sz w:val="24"/>
                <w:szCs w:val="24"/>
              </w:rPr>
              <w:t>3.分离式数据升级；</w:t>
            </w:r>
          </w:p>
          <w:p w14:paraId="029400C0">
            <w:pPr>
              <w:spacing w:line="360" w:lineRule="exact"/>
              <w:rPr>
                <w:rFonts w:ascii="仿宋" w:hAnsi="仿宋" w:eastAsia="仿宋" w:cs="仿宋"/>
                <w:sz w:val="24"/>
                <w:szCs w:val="24"/>
              </w:rPr>
            </w:pPr>
            <w:r>
              <w:rPr>
                <w:rFonts w:hint="eastAsia" w:ascii="仿宋" w:hAnsi="仿宋" w:eastAsia="仿宋" w:cs="仿宋"/>
                <w:sz w:val="24"/>
                <w:szCs w:val="24"/>
              </w:rPr>
              <w:t>4.实现升级后性能调优。</w:t>
            </w:r>
          </w:p>
        </w:tc>
      </w:tr>
      <w:tr w14:paraId="5D3C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99" w:hRule="atLeast"/>
          <w:jc w:val="center"/>
        </w:trPr>
        <w:tc>
          <w:tcPr>
            <w:tcW w:w="846" w:type="dxa"/>
            <w:tcMar>
              <w:top w:w="60" w:type="dxa"/>
              <w:left w:w="120" w:type="dxa"/>
              <w:bottom w:w="30" w:type="dxa"/>
              <w:right w:w="120" w:type="dxa"/>
            </w:tcMar>
            <w:vAlign w:val="center"/>
          </w:tcPr>
          <w:p w14:paraId="6CE8A561">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1701" w:type="dxa"/>
            <w:tcMar>
              <w:top w:w="60" w:type="dxa"/>
              <w:left w:w="120" w:type="dxa"/>
              <w:bottom w:w="30" w:type="dxa"/>
              <w:right w:w="120" w:type="dxa"/>
            </w:tcMar>
            <w:vAlign w:val="center"/>
          </w:tcPr>
          <w:p w14:paraId="341D60E3">
            <w:pPr>
              <w:pStyle w:val="34"/>
              <w:jc w:val="center"/>
              <w:rPr>
                <w:rFonts w:ascii="仿宋" w:hAnsi="仿宋" w:eastAsia="仿宋" w:cs="仿宋"/>
                <w:kern w:val="2"/>
                <w:sz w:val="24"/>
                <w:szCs w:val="24"/>
              </w:rPr>
            </w:pPr>
            <w:r>
              <w:rPr>
                <w:rFonts w:hint="eastAsia" w:ascii="仿宋" w:hAnsi="仿宋" w:eastAsia="仿宋" w:cs="仿宋"/>
                <w:kern w:val="2"/>
                <w:sz w:val="24"/>
                <w:szCs w:val="24"/>
              </w:rPr>
              <w:t>开发功能</w:t>
            </w:r>
          </w:p>
          <w:p w14:paraId="661AB0F7">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升级</w:t>
            </w:r>
          </w:p>
        </w:tc>
        <w:tc>
          <w:tcPr>
            <w:tcW w:w="1417" w:type="dxa"/>
            <w:tcMar>
              <w:top w:w="60" w:type="dxa"/>
              <w:left w:w="120" w:type="dxa"/>
              <w:bottom w:w="30" w:type="dxa"/>
              <w:right w:w="120" w:type="dxa"/>
            </w:tcMar>
            <w:vAlign w:val="center"/>
          </w:tcPr>
          <w:p w14:paraId="2903DF08">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1次</w:t>
            </w:r>
          </w:p>
        </w:tc>
        <w:tc>
          <w:tcPr>
            <w:tcW w:w="4980" w:type="dxa"/>
            <w:tcMar>
              <w:top w:w="60" w:type="dxa"/>
              <w:left w:w="120" w:type="dxa"/>
              <w:bottom w:w="30" w:type="dxa"/>
              <w:right w:w="120" w:type="dxa"/>
            </w:tcMar>
            <w:vAlign w:val="center"/>
          </w:tcPr>
          <w:p w14:paraId="148FED95">
            <w:pPr>
              <w:rPr>
                <w:rFonts w:ascii="仿宋" w:hAnsi="仿宋" w:eastAsia="仿宋" w:cs="仿宋"/>
                <w:sz w:val="24"/>
                <w:szCs w:val="24"/>
              </w:rPr>
            </w:pPr>
            <w:r>
              <w:rPr>
                <w:rFonts w:hint="eastAsia" w:ascii="仿宋" w:hAnsi="仿宋" w:eastAsia="仿宋" w:cs="仿宋"/>
                <w:sz w:val="24"/>
                <w:szCs w:val="24"/>
              </w:rPr>
              <w:t>1.Cas与OA系统单点升级</w:t>
            </w:r>
          </w:p>
          <w:p w14:paraId="709A1F07">
            <w:pPr>
              <w:rPr>
                <w:rFonts w:ascii="仿宋" w:hAnsi="仿宋" w:eastAsia="仿宋" w:cs="仿宋"/>
                <w:sz w:val="24"/>
                <w:szCs w:val="24"/>
              </w:rPr>
            </w:pPr>
            <w:r>
              <w:rPr>
                <w:rFonts w:hint="eastAsia" w:ascii="仿宋" w:hAnsi="仿宋" w:eastAsia="仿宋" w:cs="仿宋"/>
                <w:sz w:val="24"/>
                <w:szCs w:val="24"/>
              </w:rPr>
              <w:t>2.企业微信单点升级</w:t>
            </w:r>
          </w:p>
          <w:p w14:paraId="63A54EB2">
            <w:pPr>
              <w:rPr>
                <w:rFonts w:ascii="仿宋" w:hAnsi="仿宋" w:eastAsia="仿宋" w:cs="仿宋"/>
                <w:sz w:val="24"/>
                <w:szCs w:val="24"/>
              </w:rPr>
            </w:pPr>
            <w:r>
              <w:rPr>
                <w:rFonts w:hint="eastAsia" w:ascii="仿宋" w:hAnsi="仿宋" w:eastAsia="仿宋" w:cs="仿宋"/>
                <w:sz w:val="24"/>
                <w:szCs w:val="24"/>
              </w:rPr>
              <w:t>3.企业微信原开发功能升级</w:t>
            </w:r>
          </w:p>
          <w:p w14:paraId="57C8E5F1">
            <w:pPr>
              <w:spacing w:line="360" w:lineRule="exact"/>
              <w:rPr>
                <w:rFonts w:ascii="仿宋" w:hAnsi="仿宋" w:eastAsia="仿宋" w:cs="仿宋"/>
                <w:sz w:val="24"/>
                <w:szCs w:val="24"/>
              </w:rPr>
            </w:pPr>
            <w:r>
              <w:rPr>
                <w:rFonts w:hint="eastAsia" w:ascii="仿宋" w:hAnsi="仿宋" w:eastAsia="仿宋" w:cs="仿宋"/>
                <w:sz w:val="24"/>
                <w:szCs w:val="24"/>
              </w:rPr>
              <w:t>4.支持并行节点，无需针对多个并行节点设置多个步骤</w:t>
            </w:r>
          </w:p>
          <w:p w14:paraId="512A423D">
            <w:pPr>
              <w:spacing w:line="360" w:lineRule="exact"/>
              <w:rPr>
                <w:rFonts w:ascii="仿宋" w:hAnsi="仿宋" w:eastAsia="仿宋" w:cs="仿宋"/>
                <w:sz w:val="24"/>
                <w:szCs w:val="24"/>
              </w:rPr>
            </w:pPr>
            <w:r>
              <w:rPr>
                <w:rFonts w:hint="eastAsia" w:ascii="仿宋" w:hAnsi="仿宋" w:eastAsia="仿宋" w:cs="仿宋"/>
                <w:sz w:val="24"/>
                <w:szCs w:val="24"/>
              </w:rPr>
              <w:t>5.原公告开发功能升级</w:t>
            </w:r>
          </w:p>
        </w:tc>
      </w:tr>
      <w:tr w14:paraId="76D7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6" w:hRule="atLeast"/>
          <w:jc w:val="center"/>
        </w:trPr>
        <w:tc>
          <w:tcPr>
            <w:tcW w:w="846" w:type="dxa"/>
            <w:tcMar>
              <w:top w:w="60" w:type="dxa"/>
              <w:left w:w="120" w:type="dxa"/>
              <w:bottom w:w="30" w:type="dxa"/>
              <w:right w:w="120" w:type="dxa"/>
            </w:tcMar>
            <w:vAlign w:val="center"/>
          </w:tcPr>
          <w:p w14:paraId="6340CBAB">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3</w:t>
            </w:r>
          </w:p>
        </w:tc>
        <w:tc>
          <w:tcPr>
            <w:tcW w:w="1701" w:type="dxa"/>
            <w:tcMar>
              <w:top w:w="60" w:type="dxa"/>
              <w:left w:w="120" w:type="dxa"/>
              <w:bottom w:w="30" w:type="dxa"/>
              <w:right w:w="120" w:type="dxa"/>
            </w:tcMar>
            <w:vAlign w:val="center"/>
          </w:tcPr>
          <w:p w14:paraId="47D23B82">
            <w:pPr>
              <w:pStyle w:val="34"/>
              <w:jc w:val="center"/>
              <w:rPr>
                <w:rFonts w:ascii="仿宋" w:hAnsi="仿宋" w:eastAsia="仿宋" w:cs="仿宋"/>
                <w:kern w:val="2"/>
                <w:sz w:val="24"/>
                <w:szCs w:val="24"/>
              </w:rPr>
            </w:pPr>
            <w:r>
              <w:rPr>
                <w:rFonts w:hint="eastAsia" w:ascii="仿宋" w:hAnsi="仿宋" w:eastAsia="仿宋" w:cs="仿宋"/>
                <w:kern w:val="2"/>
                <w:sz w:val="24"/>
                <w:szCs w:val="24"/>
              </w:rPr>
              <w:t>公文管理</w:t>
            </w:r>
          </w:p>
        </w:tc>
        <w:tc>
          <w:tcPr>
            <w:tcW w:w="1417" w:type="dxa"/>
            <w:tcMar>
              <w:top w:w="60" w:type="dxa"/>
              <w:left w:w="120" w:type="dxa"/>
              <w:bottom w:w="30" w:type="dxa"/>
              <w:right w:w="120" w:type="dxa"/>
            </w:tcMar>
            <w:vAlign w:val="center"/>
          </w:tcPr>
          <w:p w14:paraId="6741C2A4">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60D4F44E">
            <w:pPr>
              <w:rPr>
                <w:rFonts w:ascii="仿宋" w:hAnsi="仿宋" w:eastAsia="仿宋" w:cs="仿宋"/>
                <w:sz w:val="24"/>
                <w:szCs w:val="24"/>
              </w:rPr>
            </w:pPr>
            <w:r>
              <w:rPr>
                <w:rFonts w:hint="eastAsia" w:ascii="仿宋" w:hAnsi="仿宋" w:eastAsia="仿宋" w:cs="仿宋"/>
                <w:sz w:val="24"/>
                <w:szCs w:val="24"/>
              </w:rPr>
              <w:t>1.增加移动端（企业微信H5）公告通知模块查询检索功能，能够按照标题、发文日期、发布人、发布部门、关键词等进行检索；</w:t>
            </w:r>
          </w:p>
          <w:p w14:paraId="64AD2F4C">
            <w:pPr>
              <w:rPr>
                <w:rFonts w:ascii="仿宋" w:hAnsi="仿宋" w:eastAsia="仿宋" w:cs="仿宋"/>
                <w:sz w:val="24"/>
                <w:szCs w:val="24"/>
              </w:rPr>
            </w:pPr>
            <w:r>
              <w:rPr>
                <w:rFonts w:hint="eastAsia" w:ascii="仿宋" w:hAnsi="仿宋" w:eastAsia="仿宋" w:cs="仿宋"/>
                <w:sz w:val="24"/>
                <w:szCs w:val="24"/>
              </w:rPr>
              <w:t>2.检索查阅公告通知时不受部门调整的限制；</w:t>
            </w:r>
          </w:p>
          <w:p w14:paraId="62FC6414">
            <w:pPr>
              <w:rPr>
                <w:rFonts w:ascii="仿宋" w:hAnsi="仿宋" w:eastAsia="仿宋" w:cs="仿宋"/>
                <w:sz w:val="24"/>
                <w:szCs w:val="24"/>
              </w:rPr>
            </w:pPr>
            <w:r>
              <w:rPr>
                <w:rFonts w:hint="eastAsia" w:ascii="仿宋" w:hAnsi="仿宋" w:eastAsia="仿宋" w:cs="仿宋"/>
                <w:sz w:val="24"/>
                <w:szCs w:val="24"/>
              </w:rPr>
              <w:t>3.实现移动端（企业微信H5）公告通知列表标题完整显示；</w:t>
            </w:r>
          </w:p>
          <w:p w14:paraId="07983B92">
            <w:pPr>
              <w:rPr>
                <w:rFonts w:ascii="仿宋" w:hAnsi="仿宋" w:eastAsia="仿宋" w:cs="仿宋"/>
                <w:sz w:val="24"/>
                <w:szCs w:val="24"/>
              </w:rPr>
            </w:pPr>
            <w:r>
              <w:rPr>
                <w:rFonts w:hint="eastAsia" w:ascii="仿宋" w:hAnsi="仿宋" w:eastAsia="仿宋" w:cs="仿宋"/>
                <w:sz w:val="24"/>
                <w:szCs w:val="24"/>
              </w:rPr>
              <w:t>4.实现移动端（企业微信H5）流程中心工作流查询、办结工作、待办工作的标题完整显示；</w:t>
            </w:r>
          </w:p>
          <w:p w14:paraId="7631FD84">
            <w:pPr>
              <w:rPr>
                <w:rFonts w:ascii="仿宋" w:hAnsi="仿宋" w:eastAsia="仿宋" w:cs="仿宋"/>
                <w:sz w:val="24"/>
                <w:szCs w:val="24"/>
              </w:rPr>
            </w:pPr>
            <w:r>
              <w:rPr>
                <w:rFonts w:hint="eastAsia" w:ascii="仿宋" w:hAnsi="仿宋" w:eastAsia="仿宋" w:cs="仿宋"/>
                <w:sz w:val="24"/>
                <w:szCs w:val="24"/>
              </w:rPr>
              <w:t>5.传阅功能改进：流程中心中传阅接收人在收到传阅并办结后，可在传阅工作列表中查看所收到的传阅工作。</w:t>
            </w:r>
          </w:p>
        </w:tc>
      </w:tr>
      <w:tr w14:paraId="03A7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846" w:type="dxa"/>
            <w:tcMar>
              <w:top w:w="60" w:type="dxa"/>
              <w:left w:w="120" w:type="dxa"/>
              <w:bottom w:w="30" w:type="dxa"/>
              <w:right w:w="120" w:type="dxa"/>
            </w:tcMar>
            <w:vAlign w:val="center"/>
          </w:tcPr>
          <w:p w14:paraId="4D2CAC69">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4</w:t>
            </w:r>
          </w:p>
        </w:tc>
        <w:tc>
          <w:tcPr>
            <w:tcW w:w="1701" w:type="dxa"/>
            <w:tcMar>
              <w:top w:w="60" w:type="dxa"/>
              <w:left w:w="120" w:type="dxa"/>
              <w:bottom w:w="30" w:type="dxa"/>
              <w:right w:w="120" w:type="dxa"/>
            </w:tcMar>
            <w:vAlign w:val="center"/>
          </w:tcPr>
          <w:p w14:paraId="45DF1CC6">
            <w:pPr>
              <w:pStyle w:val="34"/>
              <w:jc w:val="center"/>
              <w:rPr>
                <w:rFonts w:ascii="仿宋" w:hAnsi="仿宋" w:eastAsia="仿宋" w:cs="仿宋"/>
                <w:kern w:val="2"/>
                <w:sz w:val="24"/>
                <w:szCs w:val="24"/>
              </w:rPr>
            </w:pPr>
            <w:r>
              <w:rPr>
                <w:rFonts w:hint="eastAsia" w:ascii="仿宋" w:hAnsi="仿宋" w:eastAsia="仿宋" w:cs="仿宋"/>
                <w:kern w:val="2"/>
                <w:sz w:val="24"/>
                <w:szCs w:val="24"/>
              </w:rPr>
              <w:t>授权在线编辑</w:t>
            </w:r>
          </w:p>
          <w:p w14:paraId="1B5FAF99">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组件</w:t>
            </w:r>
          </w:p>
        </w:tc>
        <w:tc>
          <w:tcPr>
            <w:tcW w:w="1417" w:type="dxa"/>
            <w:tcMar>
              <w:top w:w="60" w:type="dxa"/>
              <w:left w:w="120" w:type="dxa"/>
              <w:bottom w:w="30" w:type="dxa"/>
              <w:right w:w="120" w:type="dxa"/>
            </w:tcMar>
            <w:vAlign w:val="center"/>
          </w:tcPr>
          <w:p w14:paraId="40E047FD">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2年</w:t>
            </w:r>
          </w:p>
        </w:tc>
        <w:tc>
          <w:tcPr>
            <w:tcW w:w="4980" w:type="dxa"/>
            <w:tcMar>
              <w:top w:w="60" w:type="dxa"/>
              <w:left w:w="120" w:type="dxa"/>
              <w:bottom w:w="30" w:type="dxa"/>
              <w:right w:w="120" w:type="dxa"/>
            </w:tcMar>
            <w:vAlign w:val="center"/>
          </w:tcPr>
          <w:p w14:paraId="773692B8">
            <w:pPr>
              <w:rPr>
                <w:rFonts w:ascii="仿宋" w:hAnsi="仿宋" w:eastAsia="仿宋" w:cs="仿宋"/>
                <w:sz w:val="24"/>
                <w:szCs w:val="24"/>
              </w:rPr>
            </w:pPr>
            <w:r>
              <w:rPr>
                <w:rFonts w:hint="eastAsia" w:ascii="仿宋" w:hAnsi="仿宋" w:eastAsia="仿宋" w:cs="仿宋"/>
                <w:sz w:val="24"/>
                <w:szCs w:val="24"/>
              </w:rPr>
              <w:t>实现OA系统附件在线阅读，支持PC版WEB端、企业微信H5、企业微信电脑版WEB、OA精灵客户端的Office、WPS和PDF格式在线浏览、编辑、多人协同编辑功能，不限用户数。</w:t>
            </w:r>
          </w:p>
        </w:tc>
      </w:tr>
      <w:tr w14:paraId="4FCF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846" w:type="dxa"/>
            <w:tcMar>
              <w:top w:w="60" w:type="dxa"/>
              <w:left w:w="120" w:type="dxa"/>
              <w:bottom w:w="30" w:type="dxa"/>
              <w:right w:w="120" w:type="dxa"/>
            </w:tcMar>
            <w:vAlign w:val="center"/>
          </w:tcPr>
          <w:p w14:paraId="4CE24DE7">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5</w:t>
            </w:r>
          </w:p>
        </w:tc>
        <w:tc>
          <w:tcPr>
            <w:tcW w:w="1701" w:type="dxa"/>
            <w:tcMar>
              <w:top w:w="60" w:type="dxa"/>
              <w:left w:w="120" w:type="dxa"/>
              <w:bottom w:w="30" w:type="dxa"/>
              <w:right w:w="120" w:type="dxa"/>
            </w:tcMar>
            <w:vAlign w:val="center"/>
          </w:tcPr>
          <w:p w14:paraId="20D37FF8">
            <w:pPr>
              <w:pStyle w:val="34"/>
              <w:jc w:val="center"/>
              <w:rPr>
                <w:rFonts w:ascii="仿宋" w:hAnsi="仿宋" w:eastAsia="仿宋" w:cs="仿宋"/>
                <w:kern w:val="2"/>
                <w:sz w:val="24"/>
                <w:szCs w:val="24"/>
              </w:rPr>
            </w:pPr>
            <w:r>
              <w:rPr>
                <w:rFonts w:hint="eastAsia" w:ascii="仿宋" w:hAnsi="仿宋" w:eastAsia="仿宋" w:cs="仿宋"/>
                <w:kern w:val="2"/>
                <w:sz w:val="24"/>
                <w:szCs w:val="24"/>
              </w:rPr>
              <w:t>开发自动水印</w:t>
            </w:r>
          </w:p>
        </w:tc>
        <w:tc>
          <w:tcPr>
            <w:tcW w:w="1417" w:type="dxa"/>
            <w:tcMar>
              <w:top w:w="60" w:type="dxa"/>
              <w:left w:w="120" w:type="dxa"/>
              <w:bottom w:w="30" w:type="dxa"/>
              <w:right w:w="120" w:type="dxa"/>
            </w:tcMar>
            <w:vAlign w:val="center"/>
          </w:tcPr>
          <w:p w14:paraId="6CE119E5">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12AB4700">
            <w:pPr>
              <w:rPr>
                <w:rFonts w:ascii="仿宋" w:hAnsi="仿宋" w:eastAsia="仿宋" w:cs="仿宋"/>
                <w:sz w:val="24"/>
                <w:szCs w:val="24"/>
              </w:rPr>
            </w:pPr>
            <w:r>
              <w:rPr>
                <w:rFonts w:hint="eastAsia" w:ascii="仿宋" w:hAnsi="仿宋" w:eastAsia="仿宋" w:cs="仿宋"/>
                <w:sz w:val="24"/>
                <w:szCs w:val="24"/>
              </w:rPr>
              <w:t>根据需求在个人账号点开附件阅读时，附件中自动生成水印（含账号姓名/当前时间/学校名称）。文件格式包括Office、WPS、PDF，支持PC版WEB端、企业微信H5、企业微信电脑版WEB、OA精灵客户端。</w:t>
            </w:r>
          </w:p>
        </w:tc>
      </w:tr>
      <w:tr w14:paraId="703D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846" w:type="dxa"/>
            <w:vMerge w:val="restart"/>
            <w:tcMar>
              <w:top w:w="60" w:type="dxa"/>
              <w:left w:w="120" w:type="dxa"/>
              <w:bottom w:w="30" w:type="dxa"/>
              <w:right w:w="120" w:type="dxa"/>
            </w:tcMar>
            <w:vAlign w:val="center"/>
          </w:tcPr>
          <w:p w14:paraId="6A1C32FC">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6</w:t>
            </w:r>
          </w:p>
        </w:tc>
        <w:tc>
          <w:tcPr>
            <w:tcW w:w="1701" w:type="dxa"/>
            <w:vMerge w:val="restart"/>
            <w:tcMar>
              <w:top w:w="60" w:type="dxa"/>
              <w:left w:w="120" w:type="dxa"/>
              <w:bottom w:w="30" w:type="dxa"/>
              <w:right w:w="120" w:type="dxa"/>
            </w:tcMar>
            <w:vAlign w:val="center"/>
          </w:tcPr>
          <w:p w14:paraId="56DCDE9D">
            <w:pPr>
              <w:pStyle w:val="34"/>
              <w:jc w:val="center"/>
              <w:rPr>
                <w:rFonts w:ascii="仿宋" w:hAnsi="仿宋" w:eastAsia="仿宋" w:cs="仿宋"/>
                <w:kern w:val="2"/>
                <w:sz w:val="24"/>
                <w:szCs w:val="24"/>
              </w:rPr>
            </w:pPr>
            <w:r>
              <w:rPr>
                <w:rFonts w:hint="eastAsia" w:ascii="仿宋" w:hAnsi="仿宋" w:eastAsia="仿宋" w:cs="仿宋"/>
                <w:kern w:val="2"/>
                <w:sz w:val="24"/>
                <w:szCs w:val="24"/>
              </w:rPr>
              <w:t>系统集成</w:t>
            </w:r>
          </w:p>
        </w:tc>
        <w:tc>
          <w:tcPr>
            <w:tcW w:w="1417" w:type="dxa"/>
            <w:tcMar>
              <w:top w:w="60" w:type="dxa"/>
              <w:left w:w="120" w:type="dxa"/>
              <w:bottom w:w="30" w:type="dxa"/>
              <w:right w:w="120" w:type="dxa"/>
            </w:tcMar>
            <w:vAlign w:val="center"/>
          </w:tcPr>
          <w:p w14:paraId="72550A8B">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43826AB6">
            <w:pPr>
              <w:rPr>
                <w:rFonts w:ascii="仿宋" w:hAnsi="仿宋" w:eastAsia="仿宋" w:cs="仿宋"/>
                <w:sz w:val="24"/>
                <w:szCs w:val="24"/>
              </w:rPr>
            </w:pPr>
            <w:r>
              <w:rPr>
                <w:rFonts w:hint="eastAsia" w:ascii="仿宋" w:hAnsi="仿宋" w:eastAsia="仿宋" w:cs="仿宋"/>
                <w:sz w:val="24"/>
                <w:szCs w:val="24"/>
              </w:rPr>
              <w:t>1.接口集成</w:t>
            </w:r>
          </w:p>
          <w:p w14:paraId="7D449776">
            <w:pPr>
              <w:rPr>
                <w:rFonts w:ascii="仿宋" w:hAnsi="仿宋" w:eastAsia="仿宋" w:cs="仿宋"/>
                <w:sz w:val="24"/>
                <w:szCs w:val="24"/>
              </w:rPr>
            </w:pPr>
            <w:r>
              <w:rPr>
                <w:rFonts w:hint="eastAsia" w:ascii="仿宋" w:hAnsi="仿宋" w:eastAsia="仿宋" w:cs="仿宋"/>
                <w:sz w:val="24"/>
                <w:szCs w:val="24"/>
              </w:rPr>
              <w:t>（1）与学校电子签章平台对接，开发通达 OA 与电子签章平台的接口适配层，实现用户身份同步（OA 账号与电子签章平台账号映射）、权限同步（OA 角色对应电子签章平台权限）；</w:t>
            </w:r>
          </w:p>
          <w:p w14:paraId="4B7397C8">
            <w:pPr>
              <w:rPr>
                <w:rFonts w:ascii="仿宋" w:hAnsi="仿宋" w:eastAsia="仿宋" w:cs="仿宋"/>
                <w:sz w:val="24"/>
                <w:szCs w:val="24"/>
              </w:rPr>
            </w:pPr>
            <w:r>
              <w:rPr>
                <w:rFonts w:hint="eastAsia" w:ascii="仿宋" w:hAnsi="仿宋" w:eastAsia="仿宋" w:cs="仿宋"/>
                <w:sz w:val="24"/>
                <w:szCs w:val="24"/>
              </w:rPr>
              <w:t>（2）封装契约锁电子签章 API、文件上传 API、签章记录查询 API，供 OA 系统调用；</w:t>
            </w:r>
          </w:p>
          <w:p w14:paraId="2C92AEB2">
            <w:pPr>
              <w:rPr>
                <w:rFonts w:ascii="仿宋" w:hAnsi="仿宋" w:eastAsia="仿宋" w:cs="仿宋"/>
                <w:sz w:val="24"/>
                <w:szCs w:val="24"/>
              </w:rPr>
            </w:pPr>
            <w:r>
              <w:rPr>
                <w:rFonts w:hint="eastAsia" w:ascii="仿宋" w:hAnsi="仿宋" w:eastAsia="仿宋" w:cs="仿宋"/>
                <w:sz w:val="24"/>
                <w:szCs w:val="24"/>
              </w:rPr>
              <w:t>（3）开发数据回调接口，确保签章结果（成功 / 失败）、签章日志实时同步至 OA 系统。</w:t>
            </w:r>
          </w:p>
          <w:p w14:paraId="1244B0BE">
            <w:pPr>
              <w:rPr>
                <w:rFonts w:ascii="仿宋" w:hAnsi="仿宋" w:eastAsia="仿宋" w:cs="仿宋"/>
                <w:sz w:val="24"/>
                <w:szCs w:val="24"/>
              </w:rPr>
            </w:pPr>
            <w:r>
              <w:rPr>
                <w:rFonts w:hint="eastAsia" w:ascii="仿宋" w:hAnsi="仿宋" w:eastAsia="仿宋" w:cs="仿宋"/>
                <w:color w:val="auto"/>
                <w:sz w:val="24"/>
                <w:szCs w:val="24"/>
              </w:rPr>
              <w:t>（电子签章平台版本：契约锁</w:t>
            </w:r>
            <w:r>
              <w:rPr>
                <w:rFonts w:ascii="仿宋" w:hAnsi="仿宋" w:eastAsia="仿宋" w:cs="仿宋"/>
                <w:color w:val="auto"/>
                <w:sz w:val="24"/>
                <w:szCs w:val="24"/>
              </w:rPr>
              <w:t>V5.1(5.1.1.20241122)</w:t>
            </w:r>
            <w:r>
              <w:rPr>
                <w:rFonts w:hint="eastAsia" w:ascii="仿宋" w:hAnsi="仿宋" w:eastAsia="仿宋" w:cs="仿宋"/>
                <w:color w:val="auto"/>
                <w:sz w:val="24"/>
                <w:szCs w:val="24"/>
              </w:rPr>
              <w:t>）</w:t>
            </w:r>
          </w:p>
        </w:tc>
      </w:tr>
      <w:tr w14:paraId="677F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846" w:type="dxa"/>
            <w:vMerge w:val="continue"/>
            <w:tcMar>
              <w:top w:w="60" w:type="dxa"/>
              <w:left w:w="120" w:type="dxa"/>
              <w:bottom w:w="30" w:type="dxa"/>
              <w:right w:w="120" w:type="dxa"/>
            </w:tcMar>
            <w:vAlign w:val="center"/>
          </w:tcPr>
          <w:p w14:paraId="7507DA52">
            <w:pPr>
              <w:spacing w:before="120" w:after="120" w:line="360" w:lineRule="exact"/>
              <w:jc w:val="center"/>
              <w:rPr>
                <w:rFonts w:ascii="仿宋" w:hAnsi="仿宋" w:eastAsia="仿宋" w:cs="仿宋"/>
                <w:sz w:val="24"/>
                <w:szCs w:val="24"/>
              </w:rPr>
            </w:pPr>
          </w:p>
        </w:tc>
        <w:tc>
          <w:tcPr>
            <w:tcW w:w="1701" w:type="dxa"/>
            <w:vMerge w:val="continue"/>
            <w:tcMar>
              <w:top w:w="60" w:type="dxa"/>
              <w:left w:w="120" w:type="dxa"/>
              <w:bottom w:w="30" w:type="dxa"/>
              <w:right w:w="120" w:type="dxa"/>
            </w:tcMar>
            <w:vAlign w:val="center"/>
          </w:tcPr>
          <w:p w14:paraId="494F8249">
            <w:pPr>
              <w:spacing w:before="120" w:after="120" w:line="360" w:lineRule="exact"/>
              <w:jc w:val="center"/>
              <w:rPr>
                <w:rFonts w:ascii="仿宋" w:hAnsi="仿宋" w:eastAsia="仿宋" w:cs="仿宋"/>
                <w:sz w:val="24"/>
                <w:szCs w:val="24"/>
              </w:rPr>
            </w:pPr>
          </w:p>
        </w:tc>
        <w:tc>
          <w:tcPr>
            <w:tcW w:w="1417" w:type="dxa"/>
            <w:tcMar>
              <w:top w:w="60" w:type="dxa"/>
              <w:left w:w="120" w:type="dxa"/>
              <w:bottom w:w="30" w:type="dxa"/>
              <w:right w:w="120" w:type="dxa"/>
            </w:tcMar>
            <w:vAlign w:val="center"/>
          </w:tcPr>
          <w:p w14:paraId="0A460629">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3B670BFE">
            <w:pPr>
              <w:rPr>
                <w:rFonts w:ascii="仿宋" w:hAnsi="仿宋" w:eastAsia="仿宋" w:cs="仿宋"/>
                <w:sz w:val="24"/>
                <w:szCs w:val="24"/>
              </w:rPr>
            </w:pPr>
            <w:r>
              <w:rPr>
                <w:rFonts w:hint="eastAsia" w:ascii="仿宋" w:hAnsi="仿宋" w:eastAsia="仿宋" w:cs="仿宋"/>
                <w:sz w:val="24"/>
                <w:szCs w:val="24"/>
              </w:rPr>
              <w:t>2. OA 表单签章模块</w:t>
            </w:r>
          </w:p>
          <w:p w14:paraId="7B43D27B">
            <w:pPr>
              <w:rPr>
                <w:rFonts w:ascii="仿宋" w:hAnsi="仿宋" w:eastAsia="仿宋" w:cs="仿宋"/>
                <w:sz w:val="24"/>
                <w:szCs w:val="24"/>
              </w:rPr>
            </w:pPr>
            <w:r>
              <w:rPr>
                <w:rFonts w:hint="eastAsia" w:ascii="仿宋" w:hAnsi="仿宋" w:eastAsia="仿宋" w:cs="仿宋"/>
                <w:sz w:val="24"/>
                <w:szCs w:val="24"/>
              </w:rPr>
              <w:t>（1）在 PC 端 OA 流程表单编辑器中，增加 “电子签章字段” 配置功能，支持管理员指定表单中需签章的位置/签章人拖动盖章；</w:t>
            </w:r>
          </w:p>
          <w:p w14:paraId="73EEB643">
            <w:pPr>
              <w:rPr>
                <w:rFonts w:ascii="仿宋" w:hAnsi="仿宋" w:eastAsia="仿宋" w:cs="仿宋"/>
                <w:sz w:val="24"/>
                <w:szCs w:val="24"/>
              </w:rPr>
            </w:pPr>
            <w:r>
              <w:rPr>
                <w:rFonts w:hint="eastAsia" w:ascii="仿宋" w:hAnsi="仿宋" w:eastAsia="仿宋" w:cs="仿宋"/>
                <w:sz w:val="24"/>
                <w:szCs w:val="24"/>
              </w:rPr>
              <w:t>（2）开发移动端 OA 表单签章组件，适配触屏操作，支持签章位置拖动调整、签章大小缩放；</w:t>
            </w:r>
          </w:p>
          <w:p w14:paraId="27D312AA">
            <w:pPr>
              <w:rPr>
                <w:rFonts w:ascii="仿宋" w:hAnsi="仿宋" w:eastAsia="仿宋" w:cs="仿宋"/>
                <w:sz w:val="24"/>
                <w:szCs w:val="24"/>
              </w:rPr>
            </w:pPr>
            <w:r>
              <w:rPr>
                <w:rFonts w:hint="eastAsia" w:ascii="仿宋" w:hAnsi="仿宋" w:eastAsia="仿宋" w:cs="仿宋"/>
                <w:sz w:val="24"/>
                <w:szCs w:val="24"/>
              </w:rPr>
              <w:t>（3）实现签章触发逻辑：当 OA 流程流转至指定节点时，自动触发签章权限，用户确认后完成签章，签章结果关联至 OA 流程记录。</w:t>
            </w:r>
          </w:p>
        </w:tc>
      </w:tr>
      <w:tr w14:paraId="00BF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846" w:type="dxa"/>
            <w:vMerge w:val="continue"/>
            <w:tcMar>
              <w:top w:w="60" w:type="dxa"/>
              <w:left w:w="120" w:type="dxa"/>
              <w:bottom w:w="30" w:type="dxa"/>
              <w:right w:w="120" w:type="dxa"/>
            </w:tcMar>
            <w:vAlign w:val="center"/>
          </w:tcPr>
          <w:p w14:paraId="2DF518CF">
            <w:pPr>
              <w:spacing w:before="120" w:after="120" w:line="360" w:lineRule="exact"/>
              <w:jc w:val="center"/>
              <w:rPr>
                <w:rFonts w:ascii="仿宋" w:hAnsi="仿宋" w:eastAsia="仿宋" w:cs="仿宋"/>
                <w:sz w:val="24"/>
                <w:szCs w:val="24"/>
              </w:rPr>
            </w:pPr>
          </w:p>
        </w:tc>
        <w:tc>
          <w:tcPr>
            <w:tcW w:w="1701" w:type="dxa"/>
            <w:vMerge w:val="continue"/>
            <w:tcMar>
              <w:top w:w="60" w:type="dxa"/>
              <w:left w:w="120" w:type="dxa"/>
              <w:bottom w:w="30" w:type="dxa"/>
              <w:right w:w="120" w:type="dxa"/>
            </w:tcMar>
            <w:vAlign w:val="center"/>
          </w:tcPr>
          <w:p w14:paraId="2EC58D00">
            <w:pPr>
              <w:spacing w:before="120" w:after="120" w:line="360" w:lineRule="exact"/>
              <w:jc w:val="center"/>
              <w:rPr>
                <w:rFonts w:ascii="仿宋" w:hAnsi="仿宋" w:eastAsia="仿宋" w:cs="仿宋"/>
                <w:sz w:val="28"/>
                <w:szCs w:val="28"/>
              </w:rPr>
            </w:pPr>
          </w:p>
        </w:tc>
        <w:tc>
          <w:tcPr>
            <w:tcW w:w="1417" w:type="dxa"/>
            <w:tcMar>
              <w:top w:w="60" w:type="dxa"/>
              <w:left w:w="120" w:type="dxa"/>
              <w:bottom w:w="30" w:type="dxa"/>
              <w:right w:w="120" w:type="dxa"/>
            </w:tcMar>
            <w:vAlign w:val="center"/>
          </w:tcPr>
          <w:p w14:paraId="6BBEFDA2">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19151861">
            <w:pPr>
              <w:rPr>
                <w:rFonts w:ascii="仿宋" w:hAnsi="仿宋" w:eastAsia="仿宋" w:cs="仿宋"/>
                <w:sz w:val="24"/>
                <w:szCs w:val="24"/>
              </w:rPr>
            </w:pPr>
            <w:r>
              <w:rPr>
                <w:rFonts w:hint="eastAsia" w:ascii="仿宋" w:hAnsi="仿宋" w:eastAsia="仿宋" w:cs="仿宋"/>
                <w:sz w:val="24"/>
                <w:szCs w:val="24"/>
              </w:rPr>
              <w:t>3. OA 附件盖章模块</w:t>
            </w:r>
          </w:p>
          <w:p w14:paraId="595503B3">
            <w:pPr>
              <w:rPr>
                <w:rFonts w:ascii="仿宋" w:hAnsi="仿宋" w:eastAsia="仿宋" w:cs="仿宋"/>
                <w:sz w:val="24"/>
                <w:szCs w:val="24"/>
              </w:rPr>
            </w:pPr>
            <w:r>
              <w:rPr>
                <w:rFonts w:hint="eastAsia" w:ascii="仿宋" w:hAnsi="仿宋" w:eastAsia="仿宋" w:cs="仿宋"/>
                <w:sz w:val="24"/>
                <w:szCs w:val="24"/>
              </w:rPr>
              <w:t>（1）在 OA 附件预览 / 下载功能中，增加 “在线盖章” 按钮，点击后通过单点登录（SSO）跳转至学校电子签章平台文件盖章页面，无需重复登录；</w:t>
            </w:r>
          </w:p>
          <w:p w14:paraId="2D7BC84A">
            <w:pPr>
              <w:rPr>
                <w:rFonts w:ascii="仿宋" w:hAnsi="仿宋" w:eastAsia="仿宋" w:cs="仿宋"/>
                <w:sz w:val="24"/>
                <w:szCs w:val="24"/>
              </w:rPr>
            </w:pPr>
            <w:r>
              <w:rPr>
                <w:rFonts w:hint="eastAsia" w:ascii="仿宋" w:hAnsi="仿宋" w:eastAsia="仿宋" w:cs="仿宋"/>
                <w:sz w:val="24"/>
                <w:szCs w:val="24"/>
              </w:rPr>
              <w:t>（2）开发电子签章盖章页面与 OA 的联动逻辑：自动同步 OA 附件至电子签章平台，支持用户选择签章类型（个人章 / 部门章）、调整签章位置，盖章完成后自动将带章文件回传至 OA 附件列表，覆盖原文件或生成新的带章版本（可配置）。</w:t>
            </w:r>
          </w:p>
        </w:tc>
      </w:tr>
      <w:tr w14:paraId="03DB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846" w:type="dxa"/>
            <w:vMerge w:val="continue"/>
            <w:tcMar>
              <w:top w:w="60" w:type="dxa"/>
              <w:left w:w="120" w:type="dxa"/>
              <w:bottom w:w="30" w:type="dxa"/>
              <w:right w:w="120" w:type="dxa"/>
            </w:tcMar>
            <w:vAlign w:val="center"/>
          </w:tcPr>
          <w:p w14:paraId="4E78A3BA">
            <w:pPr>
              <w:spacing w:before="120" w:after="120" w:line="360" w:lineRule="exact"/>
              <w:jc w:val="center"/>
              <w:rPr>
                <w:rFonts w:ascii="仿宋" w:hAnsi="仿宋" w:eastAsia="仿宋" w:cs="仿宋"/>
                <w:sz w:val="24"/>
                <w:szCs w:val="24"/>
              </w:rPr>
            </w:pPr>
          </w:p>
        </w:tc>
        <w:tc>
          <w:tcPr>
            <w:tcW w:w="1701" w:type="dxa"/>
            <w:vMerge w:val="continue"/>
            <w:tcMar>
              <w:top w:w="60" w:type="dxa"/>
              <w:left w:w="120" w:type="dxa"/>
              <w:bottom w:w="30" w:type="dxa"/>
              <w:right w:w="120" w:type="dxa"/>
            </w:tcMar>
            <w:vAlign w:val="center"/>
          </w:tcPr>
          <w:p w14:paraId="052DFAE8">
            <w:pPr>
              <w:spacing w:before="120" w:after="120" w:line="360" w:lineRule="exact"/>
              <w:jc w:val="center"/>
              <w:rPr>
                <w:rFonts w:ascii="仿宋" w:hAnsi="仿宋" w:eastAsia="仿宋" w:cs="仿宋"/>
                <w:sz w:val="28"/>
                <w:szCs w:val="28"/>
              </w:rPr>
            </w:pPr>
          </w:p>
        </w:tc>
        <w:tc>
          <w:tcPr>
            <w:tcW w:w="1417" w:type="dxa"/>
            <w:tcMar>
              <w:top w:w="60" w:type="dxa"/>
              <w:left w:w="120" w:type="dxa"/>
              <w:bottom w:w="30" w:type="dxa"/>
              <w:right w:w="120" w:type="dxa"/>
            </w:tcMar>
            <w:vAlign w:val="center"/>
          </w:tcPr>
          <w:p w14:paraId="4FFF372D">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0CF4893A">
            <w:pPr>
              <w:rPr>
                <w:rFonts w:ascii="仿宋" w:hAnsi="仿宋" w:eastAsia="仿宋" w:cs="仿宋"/>
                <w:sz w:val="24"/>
                <w:szCs w:val="24"/>
              </w:rPr>
            </w:pPr>
            <w:r>
              <w:rPr>
                <w:rFonts w:hint="eastAsia" w:ascii="仿宋" w:hAnsi="仿宋" w:eastAsia="仿宋" w:cs="仿宋"/>
                <w:sz w:val="24"/>
                <w:szCs w:val="24"/>
              </w:rPr>
              <w:t>4. 兼容性与安全模块</w:t>
            </w:r>
          </w:p>
          <w:p w14:paraId="1C411B50">
            <w:pPr>
              <w:rPr>
                <w:rFonts w:ascii="仿宋" w:hAnsi="仿宋" w:eastAsia="仿宋" w:cs="仿宋"/>
                <w:sz w:val="24"/>
                <w:szCs w:val="24"/>
              </w:rPr>
            </w:pPr>
            <w:r>
              <w:rPr>
                <w:rFonts w:hint="eastAsia" w:ascii="仿宋" w:hAnsi="仿宋" w:eastAsia="仿宋" w:cs="仿宋"/>
                <w:sz w:val="24"/>
                <w:szCs w:val="24"/>
              </w:rPr>
              <w:t>（1）适配通达 OA 现有流程引擎，确保集成后不影响原有 OA 流程的正常运行；</w:t>
            </w:r>
          </w:p>
          <w:p w14:paraId="08C18A1B">
            <w:pPr>
              <w:rPr>
                <w:rFonts w:ascii="仿宋" w:hAnsi="仿宋" w:eastAsia="仿宋" w:cs="仿宋"/>
                <w:kern w:val="2"/>
                <w:sz w:val="24"/>
                <w:szCs w:val="24"/>
              </w:rPr>
            </w:pPr>
            <w:r>
              <w:rPr>
                <w:rFonts w:hint="eastAsia" w:ascii="仿宋" w:hAnsi="仿宋" w:eastAsia="仿宋" w:cs="仿宋"/>
                <w:sz w:val="24"/>
                <w:szCs w:val="24"/>
              </w:rPr>
              <w:t>（2）实现签章文件防篡改：通过电子签章平台数字证书对签章文件生成唯一哈希值，存储至区块链存证平台，用户可在 OA 中验证文件完整性。</w:t>
            </w:r>
          </w:p>
        </w:tc>
      </w:tr>
      <w:tr w14:paraId="155E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2" w:hRule="atLeast"/>
          <w:jc w:val="center"/>
        </w:trPr>
        <w:tc>
          <w:tcPr>
            <w:tcW w:w="8944" w:type="dxa"/>
            <w:gridSpan w:val="4"/>
            <w:tcMar>
              <w:top w:w="60" w:type="dxa"/>
              <w:left w:w="120" w:type="dxa"/>
              <w:bottom w:w="30" w:type="dxa"/>
              <w:right w:w="120" w:type="dxa"/>
            </w:tcMar>
            <w:vAlign w:val="center"/>
          </w:tcPr>
          <w:p w14:paraId="27A8E4D0">
            <w:pPr>
              <w:spacing w:before="120" w:after="120" w:line="360" w:lineRule="exact"/>
              <w:rPr>
                <w:rFonts w:ascii="仿宋" w:hAnsi="仿宋" w:eastAsia="仿宋" w:cs="仿宋"/>
                <w:sz w:val="24"/>
                <w:szCs w:val="24"/>
              </w:rPr>
            </w:pPr>
            <w:r>
              <w:rPr>
                <w:rFonts w:hint="eastAsia" w:ascii="仿宋" w:hAnsi="仿宋" w:eastAsia="仿宋" w:cs="仿宋"/>
                <w:sz w:val="24"/>
                <w:szCs w:val="24"/>
              </w:rPr>
              <w:t>▲商务条款</w:t>
            </w:r>
          </w:p>
        </w:tc>
      </w:tr>
      <w:tr w14:paraId="4378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5" w:hRule="atLeast"/>
          <w:jc w:val="center"/>
        </w:trPr>
        <w:tc>
          <w:tcPr>
            <w:tcW w:w="846" w:type="dxa"/>
            <w:tcMar>
              <w:top w:w="60" w:type="dxa"/>
              <w:left w:w="120" w:type="dxa"/>
              <w:bottom w:w="30" w:type="dxa"/>
              <w:right w:w="120" w:type="dxa"/>
            </w:tcMar>
            <w:vAlign w:val="center"/>
          </w:tcPr>
          <w:p w14:paraId="6D749363">
            <w:pPr>
              <w:spacing w:line="360" w:lineRule="exact"/>
              <w:rPr>
                <w:rFonts w:ascii="仿宋" w:hAnsi="仿宋" w:eastAsia="仿宋" w:cs="仿宋"/>
                <w:sz w:val="24"/>
                <w:szCs w:val="24"/>
              </w:rPr>
            </w:pPr>
            <w:bookmarkStart w:id="4" w:name="_Hlk114761486"/>
            <w:r>
              <w:rPr>
                <w:rFonts w:hint="eastAsia" w:ascii="仿宋" w:hAnsi="仿宋" w:eastAsia="仿宋" w:cs="仿宋"/>
                <w:sz w:val="24"/>
                <w:szCs w:val="24"/>
              </w:rPr>
              <w:t>服务(交付)期限</w:t>
            </w:r>
            <w:bookmarkEnd w:id="4"/>
          </w:p>
        </w:tc>
        <w:tc>
          <w:tcPr>
            <w:tcW w:w="8098" w:type="dxa"/>
            <w:gridSpan w:val="3"/>
            <w:vAlign w:val="center"/>
          </w:tcPr>
          <w:p w14:paraId="2C473992">
            <w:pPr>
              <w:pStyle w:val="35"/>
              <w:rPr>
                <w:rFonts w:ascii="仿宋" w:hAnsi="仿宋" w:eastAsia="仿宋" w:cs="仿宋"/>
                <w:color w:val="auto"/>
              </w:rPr>
            </w:pPr>
            <w:r>
              <w:rPr>
                <w:rFonts w:hint="eastAsia" w:ascii="仿宋" w:hAnsi="仿宋" w:eastAsia="仿宋" w:cs="仿宋"/>
                <w:color w:val="auto"/>
              </w:rPr>
              <w:t>自合同签订之日起20天（日历日）内按要求完成系统升级、部署和调试。</w:t>
            </w:r>
          </w:p>
        </w:tc>
      </w:tr>
      <w:tr w14:paraId="781D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1" w:hRule="atLeast"/>
          <w:jc w:val="center"/>
        </w:trPr>
        <w:tc>
          <w:tcPr>
            <w:tcW w:w="846" w:type="dxa"/>
            <w:tcMar>
              <w:top w:w="60" w:type="dxa"/>
              <w:left w:w="120" w:type="dxa"/>
              <w:bottom w:w="30" w:type="dxa"/>
              <w:right w:w="120" w:type="dxa"/>
            </w:tcMar>
            <w:vAlign w:val="center"/>
          </w:tcPr>
          <w:p w14:paraId="7ED057C0">
            <w:pPr>
              <w:spacing w:line="360" w:lineRule="exact"/>
              <w:rPr>
                <w:rFonts w:ascii="仿宋" w:hAnsi="仿宋" w:eastAsia="仿宋" w:cs="仿宋"/>
                <w:sz w:val="24"/>
                <w:szCs w:val="24"/>
              </w:rPr>
            </w:pPr>
            <w:r>
              <w:rPr>
                <w:rFonts w:hint="eastAsia" w:ascii="仿宋" w:hAnsi="仿宋" w:eastAsia="仿宋" w:cs="仿宋"/>
                <w:sz w:val="24"/>
                <w:szCs w:val="24"/>
              </w:rPr>
              <w:t>服务(交付)地点</w:t>
            </w:r>
          </w:p>
        </w:tc>
        <w:tc>
          <w:tcPr>
            <w:tcW w:w="8098" w:type="dxa"/>
            <w:gridSpan w:val="3"/>
            <w:vAlign w:val="center"/>
          </w:tcPr>
          <w:p w14:paraId="19C3659A">
            <w:pPr>
              <w:pStyle w:val="35"/>
              <w:rPr>
                <w:rFonts w:ascii="仿宋" w:hAnsi="仿宋" w:eastAsia="仿宋" w:cs="仿宋"/>
                <w:color w:val="auto"/>
              </w:rPr>
            </w:pPr>
            <w:r>
              <w:rPr>
                <w:rFonts w:hint="eastAsia" w:ascii="仿宋" w:hAnsi="仿宋" w:eastAsia="仿宋" w:cs="仿宋"/>
                <w:color w:val="auto"/>
              </w:rPr>
              <w:t>广西艺术学院指定地点</w:t>
            </w:r>
          </w:p>
        </w:tc>
      </w:tr>
      <w:tr w14:paraId="54DE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1" w:hRule="atLeast"/>
          <w:jc w:val="center"/>
        </w:trPr>
        <w:tc>
          <w:tcPr>
            <w:tcW w:w="846" w:type="dxa"/>
            <w:tcMar>
              <w:top w:w="60" w:type="dxa"/>
              <w:left w:w="120" w:type="dxa"/>
              <w:bottom w:w="30" w:type="dxa"/>
              <w:right w:w="120" w:type="dxa"/>
            </w:tcMar>
            <w:vAlign w:val="center"/>
          </w:tcPr>
          <w:p w14:paraId="1DEC558C">
            <w:pPr>
              <w:spacing w:line="360" w:lineRule="exact"/>
              <w:rPr>
                <w:rFonts w:ascii="仿宋" w:hAnsi="仿宋" w:eastAsia="仿宋" w:cs="仿宋"/>
                <w:sz w:val="24"/>
                <w:szCs w:val="24"/>
              </w:rPr>
            </w:pPr>
            <w:r>
              <w:rPr>
                <w:rFonts w:hint="eastAsia" w:ascii="仿宋" w:hAnsi="仿宋" w:eastAsia="仿宋" w:cs="仿宋"/>
                <w:sz w:val="24"/>
                <w:szCs w:val="24"/>
              </w:rPr>
              <w:t>付款条件</w:t>
            </w:r>
          </w:p>
        </w:tc>
        <w:tc>
          <w:tcPr>
            <w:tcW w:w="8098" w:type="dxa"/>
            <w:gridSpan w:val="3"/>
            <w:vAlign w:val="center"/>
          </w:tcPr>
          <w:p w14:paraId="2DFD01A0">
            <w:pPr>
              <w:numPr>
                <w:ilvl w:val="0"/>
                <w:numId w:val="0"/>
              </w:num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成交供应商在签订合同前以银行转账</w:t>
            </w:r>
            <w:r>
              <w:rPr>
                <w:rFonts w:hint="eastAsia" w:ascii="仿宋" w:hAnsi="仿宋" w:eastAsia="仿宋" w:cs="仿宋"/>
                <w:color w:val="auto"/>
                <w:sz w:val="24"/>
                <w:szCs w:val="24"/>
                <w:lang w:val="en-US" w:eastAsia="zh-CN"/>
              </w:rPr>
              <w:t>的方式</w:t>
            </w:r>
            <w:r>
              <w:rPr>
                <w:rFonts w:hint="eastAsia" w:ascii="仿宋" w:hAnsi="仿宋" w:eastAsia="仿宋" w:cs="仿宋"/>
                <w:color w:val="auto"/>
                <w:sz w:val="24"/>
                <w:szCs w:val="24"/>
              </w:rPr>
              <w:t>向甲方支付合同金额5%的履约保证金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如成交供应商为中小企业的，则按成交总金额的2 %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5B991AFB">
            <w:pPr>
              <w:numPr>
                <w:ilvl w:val="0"/>
                <w:numId w:val="0"/>
              </w:numPr>
              <w:spacing w:line="360" w:lineRule="exact"/>
              <w:rPr>
                <w:rFonts w:ascii="仿宋" w:hAnsi="仿宋" w:eastAsia="仿宋" w:cs="仿宋"/>
                <w:color w:val="auto"/>
                <w:sz w:val="24"/>
                <w:szCs w:val="24"/>
              </w:rPr>
            </w:pPr>
            <w:r>
              <w:rPr>
                <w:rFonts w:hint="eastAsia" w:ascii="仿宋" w:hAnsi="仿宋" w:eastAsia="仿宋" w:cs="仿宋"/>
                <w:color w:val="auto"/>
                <w:sz w:val="24"/>
                <w:szCs w:val="24"/>
              </w:rPr>
              <w:t>2.系统升级完成并验收通过后，在甲方收到乙方开具合同金额的发票之日起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个工作日内，甲方支付合同金额100%款项；</w:t>
            </w:r>
          </w:p>
          <w:p w14:paraId="1BACF277">
            <w:pPr>
              <w:tabs>
                <w:tab w:val="left" w:pos="312"/>
              </w:tabs>
              <w:spacing w:line="360" w:lineRule="auto"/>
              <w:rPr>
                <w:rFonts w:ascii="仿宋" w:hAnsi="仿宋" w:eastAsia="仿宋" w:cs="仿宋"/>
                <w:szCs w:val="21"/>
              </w:rPr>
            </w:pPr>
            <w:r>
              <w:rPr>
                <w:rFonts w:hint="eastAsia" w:ascii="仿宋" w:hAnsi="仿宋" w:eastAsia="仿宋" w:cs="仿宋"/>
                <w:sz w:val="24"/>
                <w:szCs w:val="24"/>
              </w:rPr>
              <w:t>3.质保期为一年，质保期满后无质量问题，乙方可申请退还履约保证金</w:t>
            </w:r>
            <w:r>
              <w:rPr>
                <w:rFonts w:hint="eastAsia" w:ascii="仿宋" w:hAnsi="仿宋" w:eastAsia="仿宋" w:cs="仿宋"/>
                <w:sz w:val="24"/>
                <w:szCs w:val="24"/>
                <w:lang w:eastAsia="zh-CN"/>
              </w:rPr>
              <w:t>（</w:t>
            </w:r>
            <w:r>
              <w:rPr>
                <w:rFonts w:hint="eastAsia" w:ascii="仿宋" w:hAnsi="仿宋" w:eastAsia="仿宋" w:cs="仿宋"/>
                <w:sz w:val="24"/>
                <w:szCs w:val="24"/>
              </w:rPr>
              <w:t>无息</w:t>
            </w:r>
            <w:r>
              <w:rPr>
                <w:rFonts w:hint="eastAsia" w:ascii="仿宋" w:hAnsi="仿宋" w:eastAsia="仿宋" w:cs="仿宋"/>
                <w:sz w:val="24"/>
                <w:szCs w:val="24"/>
                <w:lang w:eastAsia="zh-CN"/>
              </w:rPr>
              <w:t>）</w:t>
            </w:r>
            <w:r>
              <w:rPr>
                <w:rFonts w:hint="eastAsia" w:ascii="仿宋" w:hAnsi="仿宋" w:eastAsia="仿宋" w:cs="仿宋"/>
                <w:sz w:val="24"/>
                <w:szCs w:val="24"/>
              </w:rPr>
              <w:t>。</w:t>
            </w:r>
          </w:p>
        </w:tc>
      </w:tr>
      <w:tr w14:paraId="05C3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jc w:val="center"/>
        </w:trPr>
        <w:tc>
          <w:tcPr>
            <w:tcW w:w="846" w:type="dxa"/>
            <w:tcMar>
              <w:top w:w="60" w:type="dxa"/>
              <w:left w:w="120" w:type="dxa"/>
              <w:bottom w:w="30" w:type="dxa"/>
              <w:right w:w="120" w:type="dxa"/>
            </w:tcMar>
            <w:vAlign w:val="center"/>
          </w:tcPr>
          <w:p w14:paraId="78C30ECE">
            <w:pPr>
              <w:spacing w:before="120" w:after="120" w:line="360" w:lineRule="exact"/>
              <w:rPr>
                <w:rFonts w:ascii="仿宋" w:hAnsi="仿宋" w:eastAsia="仿宋" w:cs="仿宋"/>
                <w:sz w:val="24"/>
                <w:szCs w:val="24"/>
              </w:rPr>
            </w:pPr>
            <w:r>
              <w:rPr>
                <w:rFonts w:hint="eastAsia" w:ascii="仿宋" w:hAnsi="仿宋" w:eastAsia="仿宋" w:cs="仿宋"/>
                <w:sz w:val="24"/>
                <w:szCs w:val="24"/>
              </w:rPr>
              <w:t>售后服务要求</w:t>
            </w:r>
          </w:p>
        </w:tc>
        <w:tc>
          <w:tcPr>
            <w:tcW w:w="8098" w:type="dxa"/>
            <w:gridSpan w:val="3"/>
            <w:vAlign w:val="center"/>
          </w:tcPr>
          <w:p w14:paraId="6E1BF243">
            <w:pPr>
              <w:pStyle w:val="35"/>
              <w:rPr>
                <w:rFonts w:ascii="仿宋" w:hAnsi="仿宋" w:eastAsia="仿宋" w:cs="仿宋"/>
                <w:color w:val="auto"/>
              </w:rPr>
            </w:pPr>
            <w:r>
              <w:rPr>
                <w:rFonts w:hint="eastAsia" w:ascii="仿宋" w:hAnsi="仿宋" w:eastAsia="仿宋" w:cs="仿宋"/>
                <w:color w:val="auto"/>
              </w:rPr>
              <w:t>1.响应机制：提供7×24小时服务，接到故障通知后3小时内响应，8小时内解决问题。对于通过电话、远程等方式无法解决的故障，派工程师在采购人提出现场处置的申请起3小时内到达现场进行处置。</w:t>
            </w:r>
          </w:p>
          <w:p w14:paraId="4129F73D">
            <w:pPr>
              <w:pStyle w:val="35"/>
              <w:rPr>
                <w:rFonts w:ascii="仿宋" w:hAnsi="仿宋" w:eastAsia="仿宋" w:cs="仿宋"/>
                <w:color w:val="auto"/>
              </w:rPr>
            </w:pPr>
            <w:r>
              <w:rPr>
                <w:rFonts w:hint="eastAsia" w:ascii="仿宋" w:hAnsi="仿宋" w:eastAsia="仿宋" w:cs="仿宋"/>
                <w:color w:val="auto"/>
              </w:rPr>
              <w:t>2.定期维护：每季度进行 1 次系统巡检，检查OA系统及电子签章接口连通性、签章日志完整性。</w:t>
            </w:r>
          </w:p>
          <w:p w14:paraId="01FEC597">
            <w:pPr>
              <w:pStyle w:val="35"/>
              <w:rPr>
                <w:rFonts w:ascii="仿宋" w:hAnsi="仿宋" w:eastAsia="仿宋" w:cs="仿宋"/>
                <w:color w:val="auto"/>
              </w:rPr>
            </w:pPr>
            <w:r>
              <w:rPr>
                <w:rFonts w:hint="eastAsia" w:ascii="仿宋" w:hAnsi="仿宋" w:eastAsia="仿宋" w:cs="仿宋"/>
                <w:color w:val="auto"/>
              </w:rPr>
              <w:t>3.服务反馈：建立服务台账记录故障处理及维护情况，每月提交台账汇总，售后服务期满前提交含服务统计及优化建议的总结报告。</w:t>
            </w:r>
          </w:p>
          <w:p w14:paraId="25EEF0F2">
            <w:pPr>
              <w:pStyle w:val="35"/>
              <w:rPr>
                <w:rFonts w:ascii="仿宋" w:hAnsi="仿宋" w:eastAsia="仿宋" w:cs="仿宋"/>
                <w:color w:val="auto"/>
              </w:rPr>
            </w:pPr>
            <w:r>
              <w:rPr>
                <w:rFonts w:hint="eastAsia" w:ascii="仿宋" w:hAnsi="仿宋" w:eastAsia="仿宋" w:cs="仿宋"/>
                <w:color w:val="auto"/>
              </w:rPr>
              <w:t>4.项目验收半年内，视通达 OA 版本更新、契约锁电子签章平台 API 升级情况，提供 1 次免费系统适配升级。</w:t>
            </w:r>
          </w:p>
          <w:p w14:paraId="5A9E4B82">
            <w:pPr>
              <w:pStyle w:val="35"/>
              <w:rPr>
                <w:rFonts w:ascii="仿宋" w:hAnsi="仿宋" w:eastAsia="仿宋" w:cs="仿宋"/>
                <w:color w:val="auto"/>
              </w:rPr>
            </w:pPr>
            <w:r>
              <w:rPr>
                <w:rFonts w:hint="eastAsia" w:ascii="仿宋" w:hAnsi="仿宋" w:eastAsia="仿宋" w:cs="仿宋"/>
                <w:color w:val="auto"/>
              </w:rPr>
              <w:t>5.培训支持：提供管理员培训、用户操作培训，确保其掌握系统使用及基础问题排查方法。</w:t>
            </w:r>
            <w:r>
              <w:rPr>
                <w:rFonts w:hint="eastAsia" w:ascii="仿宋" w:hAnsi="仿宋" w:eastAsia="仿宋" w:cs="仿宋"/>
                <w:color w:val="auto"/>
                <w:kern w:val="0"/>
                <w:szCs w:val="21"/>
                <w:lang w:bidi="ar"/>
              </w:rPr>
              <w:t>培训方式包括但不限于课堂讲解、实际操作、专题交流、现场实施指导等。</w:t>
            </w:r>
          </w:p>
        </w:tc>
      </w:tr>
      <w:tr w14:paraId="0D36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jc w:val="center"/>
        </w:trPr>
        <w:tc>
          <w:tcPr>
            <w:tcW w:w="846" w:type="dxa"/>
            <w:tcMar>
              <w:top w:w="60" w:type="dxa"/>
              <w:left w:w="120" w:type="dxa"/>
              <w:bottom w:w="30" w:type="dxa"/>
              <w:right w:w="120" w:type="dxa"/>
            </w:tcMar>
            <w:vAlign w:val="center"/>
          </w:tcPr>
          <w:p w14:paraId="3AB825FD">
            <w:pPr>
              <w:spacing w:before="120" w:after="120" w:line="360" w:lineRule="exact"/>
              <w:rPr>
                <w:rFonts w:ascii="仿宋" w:hAnsi="仿宋" w:eastAsia="仿宋" w:cs="仿宋"/>
                <w:sz w:val="24"/>
                <w:szCs w:val="24"/>
              </w:rPr>
            </w:pPr>
            <w:r>
              <w:rPr>
                <w:rFonts w:hint="eastAsia" w:ascii="仿宋" w:hAnsi="仿宋" w:eastAsia="仿宋" w:cs="仿宋"/>
                <w:sz w:val="24"/>
                <w:szCs w:val="24"/>
              </w:rPr>
              <w:t>验收要求</w:t>
            </w:r>
          </w:p>
        </w:tc>
        <w:tc>
          <w:tcPr>
            <w:tcW w:w="8098" w:type="dxa"/>
            <w:gridSpan w:val="3"/>
            <w:vAlign w:val="center"/>
          </w:tcPr>
          <w:p w14:paraId="45961EB8">
            <w:pPr>
              <w:spacing w:line="360" w:lineRule="exact"/>
              <w:rPr>
                <w:rFonts w:ascii="仿宋" w:hAnsi="仿宋" w:eastAsia="仿宋" w:cs="仿宋"/>
                <w:sz w:val="24"/>
                <w:szCs w:val="24"/>
              </w:rPr>
            </w:pPr>
            <w:r>
              <w:rPr>
                <w:rFonts w:hint="eastAsia" w:ascii="仿宋" w:hAnsi="仿宋" w:eastAsia="仿宋" w:cs="仿宋"/>
                <w:sz w:val="24"/>
                <w:szCs w:val="24"/>
                <w:lang w:bidi="ar"/>
              </w:rPr>
              <w:t>1.中标人按照采购文件的要求以及投标（或响应）文件的承诺，完成采购项目的全部内容并正式上线运行</w:t>
            </w:r>
            <w:r>
              <w:rPr>
                <w:rFonts w:hint="eastAsia" w:ascii="仿宋" w:hAnsi="仿宋" w:eastAsia="仿宋" w:cs="仿宋"/>
                <w:b/>
                <w:bCs/>
                <w:sz w:val="24"/>
                <w:szCs w:val="24"/>
                <w:u w:val="single"/>
                <w:lang w:bidi="ar"/>
              </w:rPr>
              <w:t xml:space="preserve"> 3 </w:t>
            </w:r>
            <w:r>
              <w:rPr>
                <w:rFonts w:hint="eastAsia" w:ascii="仿宋" w:hAnsi="仿宋" w:eastAsia="仿宋" w:cs="仿宋"/>
                <w:sz w:val="24"/>
                <w:szCs w:val="24"/>
                <w:lang w:bidi="ar"/>
              </w:rPr>
              <w:t>个日历日内向采购人提出验收申请，采购人应在接到中标人提交的验收申请7个日历日内组织对本项目进行验收。</w:t>
            </w:r>
          </w:p>
          <w:p w14:paraId="2B256172">
            <w:pPr>
              <w:spacing w:line="360" w:lineRule="exact"/>
              <w:rPr>
                <w:rFonts w:ascii="仿宋" w:hAnsi="仿宋" w:eastAsia="仿宋" w:cs="仿宋"/>
                <w:sz w:val="24"/>
                <w:szCs w:val="24"/>
              </w:rPr>
            </w:pPr>
            <w:r>
              <w:rPr>
                <w:rFonts w:hint="eastAsia" w:ascii="仿宋" w:hAnsi="仿宋" w:eastAsia="仿宋" w:cs="仿宋"/>
                <w:sz w:val="24"/>
                <w:szCs w:val="24"/>
                <w:lang w:bidi="ar"/>
              </w:rPr>
              <w:t>2.由采购人、中标人组成验收小组对项目建设完成情况进行评审，评审通过后共同签署《项目验收报告》，对验收结果作出认定。</w:t>
            </w:r>
          </w:p>
          <w:p w14:paraId="54181BC5">
            <w:pPr>
              <w:spacing w:line="360" w:lineRule="exact"/>
              <w:rPr>
                <w:rFonts w:ascii="仿宋" w:hAnsi="仿宋" w:eastAsia="仿宋" w:cs="仿宋"/>
                <w:sz w:val="24"/>
                <w:szCs w:val="24"/>
              </w:rPr>
            </w:pPr>
            <w:r>
              <w:rPr>
                <w:rFonts w:hint="eastAsia" w:ascii="仿宋" w:hAnsi="仿宋" w:eastAsia="仿宋" w:cs="仿宋"/>
                <w:sz w:val="24"/>
                <w:szCs w:val="24"/>
                <w:lang w:bidi="ar"/>
              </w:rPr>
              <w:t>3.中标人如无法按期完成，采购人有权部分或全部解除合同并要求中标人赔偿由此造成的损失及采购人因此产生的对第三方的责任。此时采购人可采取必要的补救措施，相关费用由中标人承担。</w:t>
            </w:r>
          </w:p>
          <w:p w14:paraId="3BEE27BD">
            <w:pPr>
              <w:spacing w:line="360" w:lineRule="exact"/>
              <w:rPr>
                <w:rFonts w:ascii="仿宋" w:hAnsi="仿宋" w:eastAsia="仿宋" w:cs="仿宋"/>
                <w:sz w:val="24"/>
                <w:szCs w:val="24"/>
              </w:rPr>
            </w:pPr>
            <w:r>
              <w:rPr>
                <w:rFonts w:hint="eastAsia" w:ascii="仿宋" w:hAnsi="仿宋" w:eastAsia="仿宋" w:cs="仿宋"/>
                <w:sz w:val="24"/>
                <w:szCs w:val="24"/>
                <w:lang w:bidi="ar"/>
              </w:rPr>
              <w:t>4.中标人须按需求完成与学校信息系统的集成或对接，提供完备的API接口体系和相关说明文档。</w:t>
            </w:r>
          </w:p>
          <w:p w14:paraId="3A7748F7">
            <w:pPr>
              <w:spacing w:line="360" w:lineRule="exact"/>
              <w:rPr>
                <w:rFonts w:ascii="仿宋" w:hAnsi="仿宋" w:eastAsia="仿宋" w:cs="仿宋"/>
                <w:sz w:val="24"/>
                <w:szCs w:val="24"/>
              </w:rPr>
            </w:pPr>
            <w:r>
              <w:rPr>
                <w:rFonts w:hint="eastAsia" w:ascii="仿宋" w:hAnsi="仿宋" w:eastAsia="仿宋" w:cs="仿宋"/>
                <w:sz w:val="24"/>
                <w:szCs w:val="24"/>
                <w:lang w:bidi="ar"/>
              </w:rPr>
              <w:t>5.中标人须按要求提交本项目相关资料（包括但不限于系统设计文档、需求说明书、技术方案、系统部署文档、测试报告、运行报告、系统用户手册、管理员操作手册、运维手册、培训资料以及项目管理过程文档等）。</w:t>
            </w:r>
          </w:p>
        </w:tc>
      </w:tr>
      <w:tr w14:paraId="0A14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3" w:hRule="atLeast"/>
          <w:jc w:val="center"/>
        </w:trPr>
        <w:tc>
          <w:tcPr>
            <w:tcW w:w="846" w:type="dxa"/>
            <w:tcMar>
              <w:top w:w="60" w:type="dxa"/>
              <w:left w:w="120" w:type="dxa"/>
              <w:bottom w:w="30" w:type="dxa"/>
              <w:right w:w="120" w:type="dxa"/>
            </w:tcMar>
            <w:vAlign w:val="center"/>
          </w:tcPr>
          <w:p w14:paraId="10458197">
            <w:pPr>
              <w:spacing w:line="360" w:lineRule="exact"/>
              <w:rPr>
                <w:rFonts w:ascii="仿宋" w:hAnsi="仿宋" w:eastAsia="仿宋" w:cs="仿宋"/>
                <w:sz w:val="24"/>
                <w:szCs w:val="24"/>
              </w:rPr>
            </w:pPr>
            <w:r>
              <w:rPr>
                <w:rFonts w:hint="eastAsia" w:ascii="仿宋" w:hAnsi="仿宋" w:eastAsia="仿宋" w:cs="仿宋"/>
                <w:sz w:val="24"/>
                <w:szCs w:val="24"/>
              </w:rPr>
              <w:t>保密要求</w:t>
            </w:r>
          </w:p>
        </w:tc>
        <w:tc>
          <w:tcPr>
            <w:tcW w:w="8098" w:type="dxa"/>
            <w:gridSpan w:val="3"/>
            <w:vAlign w:val="center"/>
          </w:tcPr>
          <w:p w14:paraId="558929C3">
            <w:pPr>
              <w:spacing w:line="360" w:lineRule="exact"/>
              <w:rPr>
                <w:rFonts w:ascii="仿宋" w:hAnsi="仿宋" w:eastAsia="仿宋" w:cs="仿宋"/>
                <w:sz w:val="24"/>
                <w:szCs w:val="24"/>
              </w:rPr>
            </w:pPr>
            <w:r>
              <w:rPr>
                <w:rFonts w:hint="eastAsia" w:ascii="仿宋" w:hAnsi="仿宋" w:eastAsia="仿宋" w:cs="仿宋"/>
                <w:sz w:val="24"/>
                <w:szCs w:val="24"/>
              </w:rPr>
              <w:t>成交供应商必须对项目技术文件以及采购人学校机密或商业秘密保密，保密范围包括项目信息、技术情况、数据资料。未经采购人书面许可，成交供应商不得以任何形式向第三方透露本项目标书以及本项目的任何内容，不得私自保存有关内容。</w:t>
            </w:r>
          </w:p>
        </w:tc>
      </w:tr>
      <w:tr w14:paraId="57D9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85" w:hRule="atLeast"/>
          <w:jc w:val="center"/>
        </w:trPr>
        <w:tc>
          <w:tcPr>
            <w:tcW w:w="846" w:type="dxa"/>
            <w:tcMar>
              <w:top w:w="60" w:type="dxa"/>
              <w:left w:w="120" w:type="dxa"/>
              <w:bottom w:w="30" w:type="dxa"/>
              <w:right w:w="120" w:type="dxa"/>
            </w:tcMar>
            <w:vAlign w:val="center"/>
          </w:tcPr>
          <w:p w14:paraId="3D9B42A8">
            <w:pPr>
              <w:spacing w:line="360" w:lineRule="exact"/>
              <w:rPr>
                <w:rFonts w:ascii="仿宋" w:hAnsi="仿宋" w:eastAsia="仿宋" w:cs="仿宋"/>
                <w:sz w:val="24"/>
                <w:szCs w:val="24"/>
              </w:rPr>
            </w:pPr>
            <w:r>
              <w:rPr>
                <w:rFonts w:hint="eastAsia" w:ascii="仿宋" w:hAnsi="仿宋" w:eastAsia="仿宋" w:cs="仿宋"/>
                <w:sz w:val="24"/>
                <w:szCs w:val="24"/>
              </w:rPr>
              <w:t>知识产权要求</w:t>
            </w:r>
          </w:p>
        </w:tc>
        <w:tc>
          <w:tcPr>
            <w:tcW w:w="8098" w:type="dxa"/>
            <w:gridSpan w:val="3"/>
            <w:vAlign w:val="center"/>
          </w:tcPr>
          <w:p w14:paraId="0858F5C9">
            <w:pPr>
              <w:spacing w:line="360" w:lineRule="exact"/>
              <w:rPr>
                <w:rFonts w:ascii="仿宋" w:hAnsi="仿宋" w:eastAsia="仿宋" w:cs="仿宋"/>
                <w:sz w:val="24"/>
                <w:szCs w:val="24"/>
              </w:rPr>
            </w:pPr>
            <w:r>
              <w:rPr>
                <w:rFonts w:hint="eastAsia" w:ascii="仿宋" w:hAnsi="仿宋" w:eastAsia="仿宋" w:cs="仿宋"/>
                <w:sz w:val="24"/>
                <w:szCs w:val="24"/>
              </w:rPr>
              <w:t>成交供应商有不可争议的义务确保采购人依据本次采购所获得的知识产权不存在任何瑕疵并且可以不受限制地行使相关权利，包括各项延伸权利。若因此发生任何争议均应当由成交供应商承担全部及任何责任，包括但不限于应当承担其自身及采购人为排除任何争议或瑕疵所应当或所需支附的一切相关或由此引起的费用。</w:t>
            </w:r>
          </w:p>
        </w:tc>
      </w:tr>
      <w:tr w14:paraId="5EBB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1" w:hRule="atLeast"/>
          <w:jc w:val="center"/>
        </w:trPr>
        <w:tc>
          <w:tcPr>
            <w:tcW w:w="846" w:type="dxa"/>
            <w:tcMar>
              <w:top w:w="60" w:type="dxa"/>
              <w:left w:w="120" w:type="dxa"/>
              <w:bottom w:w="30" w:type="dxa"/>
              <w:right w:w="120" w:type="dxa"/>
            </w:tcMar>
            <w:vAlign w:val="center"/>
          </w:tcPr>
          <w:p w14:paraId="5A06A725">
            <w:pPr>
              <w:spacing w:line="360" w:lineRule="exact"/>
              <w:rPr>
                <w:rFonts w:ascii="仿宋" w:hAnsi="仿宋" w:eastAsia="仿宋" w:cs="仿宋"/>
                <w:sz w:val="24"/>
                <w:szCs w:val="24"/>
              </w:rPr>
            </w:pPr>
            <w:r>
              <w:rPr>
                <w:rFonts w:hint="eastAsia" w:ascii="仿宋" w:hAnsi="仿宋" w:eastAsia="仿宋" w:cs="仿宋"/>
                <w:sz w:val="24"/>
                <w:szCs w:val="24"/>
              </w:rPr>
              <w:t>其他要求</w:t>
            </w:r>
          </w:p>
        </w:tc>
        <w:tc>
          <w:tcPr>
            <w:tcW w:w="8098" w:type="dxa"/>
            <w:gridSpan w:val="3"/>
            <w:vAlign w:val="center"/>
          </w:tcPr>
          <w:p w14:paraId="4C4719F2">
            <w:pPr>
              <w:spacing w:line="360" w:lineRule="exact"/>
              <w:rPr>
                <w:rFonts w:ascii="仿宋" w:hAnsi="仿宋" w:eastAsia="仿宋" w:cs="仿宋"/>
                <w:sz w:val="24"/>
                <w:szCs w:val="24"/>
              </w:rPr>
            </w:pPr>
            <w:r>
              <w:rPr>
                <w:rFonts w:hint="eastAsia" w:ascii="仿宋" w:hAnsi="仿宋" w:eastAsia="仿宋" w:cs="仿宋"/>
                <w:sz w:val="24"/>
                <w:szCs w:val="24"/>
              </w:rPr>
              <w:t>本项目不接受联合体投标，不得转包分包。</w:t>
            </w:r>
          </w:p>
        </w:tc>
      </w:tr>
    </w:tbl>
    <w:p w14:paraId="4FD8D94D">
      <w:pPr>
        <w:spacing w:before="120" w:after="120" w:line="288" w:lineRule="auto"/>
        <w:rPr>
          <w:rFonts w:ascii="宋体" w:hAnsi="宋体" w:eastAsia="宋体"/>
        </w:rPr>
      </w:pPr>
    </w:p>
    <w:p w14:paraId="4D15372A">
      <w:pPr>
        <w:rPr>
          <w:rFonts w:ascii="宋体" w:hAnsi="宋体" w:eastAsia="宋体"/>
        </w:rPr>
      </w:pPr>
      <w:r>
        <w:rPr>
          <w:rFonts w:ascii="宋体" w:hAnsi="宋体" w:eastAsia="宋体"/>
        </w:rPr>
        <w:br w:type="page"/>
      </w:r>
    </w:p>
    <w:p w14:paraId="460E49E9">
      <w:pPr>
        <w:pStyle w:val="6"/>
        <w:spacing w:line="340" w:lineRule="exact"/>
        <w:rPr>
          <w:rFonts w:hint="default" w:eastAsia="宋体"/>
          <w:b/>
          <w:color w:val="auto"/>
          <w:lang w:val="en-US" w:eastAsia="zh-CN"/>
        </w:rPr>
      </w:pPr>
      <w:r>
        <w:rPr>
          <w:rFonts w:hint="eastAsia"/>
          <w:b/>
          <w:color w:val="auto"/>
          <w:lang w:val="en-US" w:eastAsia="zh-CN"/>
        </w:rPr>
        <w:t>附件2：</w:t>
      </w:r>
    </w:p>
    <w:p w14:paraId="5C1919D3">
      <w:pPr>
        <w:snapToGrid w:val="0"/>
        <w:spacing w:before="50" w:after="156" w:afterLines="50" w:line="360" w:lineRule="auto"/>
        <w:jc w:val="center"/>
        <w:rPr>
          <w:rFonts w:ascii="仿宋" w:hAnsi="仿宋" w:eastAsia="仿宋"/>
          <w:b/>
          <w:sz w:val="32"/>
          <w:szCs w:val="32"/>
        </w:rPr>
      </w:pPr>
      <w:r>
        <w:rPr>
          <w:rFonts w:hint="eastAsia" w:ascii="仿宋" w:hAnsi="仿宋" w:eastAsia="仿宋"/>
          <w:b/>
          <w:sz w:val="32"/>
          <w:szCs w:val="32"/>
        </w:rPr>
        <w:t>投标人直接控股、管理关系信息表</w:t>
      </w:r>
    </w:p>
    <w:tbl>
      <w:tblPr>
        <w:tblStyle w:val="13"/>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597"/>
        <w:gridCol w:w="3624"/>
      </w:tblGrid>
      <w:tr w14:paraId="103A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107" w:type="dxa"/>
            <w:gridSpan w:val="4"/>
            <w:shd w:val="clear" w:color="auto" w:fill="F2DBDB"/>
            <w:vAlign w:val="center"/>
          </w:tcPr>
          <w:p w14:paraId="5FBB0007">
            <w:pPr>
              <w:snapToGrid w:val="0"/>
              <w:spacing w:before="156" w:beforeLines="50" w:after="50"/>
              <w:jc w:val="center"/>
              <w:rPr>
                <w:rFonts w:ascii="仿宋" w:hAnsi="仿宋" w:eastAsia="仿宋"/>
                <w:b/>
                <w:szCs w:val="21"/>
              </w:rPr>
            </w:pPr>
            <w:r>
              <w:rPr>
                <w:rFonts w:ascii="仿宋" w:hAnsi="仿宋" w:eastAsia="仿宋"/>
                <w:b/>
                <w:szCs w:val="21"/>
              </w:rPr>
              <w:t>投标人直接控股股东信息表</w:t>
            </w:r>
          </w:p>
        </w:tc>
        <w:tc>
          <w:tcPr>
            <w:tcW w:w="3624" w:type="dxa"/>
            <w:shd w:val="clear" w:color="auto" w:fill="F2DBDB"/>
            <w:vAlign w:val="center"/>
          </w:tcPr>
          <w:p w14:paraId="418C2191">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64B5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81DA540">
            <w:pPr>
              <w:spacing w:line="360" w:lineRule="exact"/>
              <w:jc w:val="center"/>
              <w:rPr>
                <w:rFonts w:ascii="仿宋" w:hAnsi="仿宋" w:eastAsia="仿宋" w:cs="宋体"/>
                <w:b/>
                <w:bCs/>
                <w:kern w:val="0"/>
                <w:szCs w:val="21"/>
              </w:rPr>
            </w:pPr>
            <w:r>
              <w:rPr>
                <w:rFonts w:ascii="仿宋" w:hAnsi="仿宋" w:eastAsia="仿宋" w:cs="宋体"/>
                <w:b/>
                <w:bCs/>
                <w:kern w:val="0"/>
                <w:szCs w:val="21"/>
              </w:rPr>
              <w:t>序号</w:t>
            </w:r>
          </w:p>
        </w:tc>
        <w:tc>
          <w:tcPr>
            <w:tcW w:w="1309" w:type="dxa"/>
            <w:vAlign w:val="center"/>
          </w:tcPr>
          <w:p w14:paraId="59B72293">
            <w:pPr>
              <w:spacing w:line="360" w:lineRule="exact"/>
              <w:jc w:val="center"/>
              <w:rPr>
                <w:rFonts w:ascii="仿宋" w:hAnsi="仿宋" w:eastAsia="仿宋" w:cs="宋体"/>
                <w:b/>
                <w:bCs/>
                <w:kern w:val="0"/>
                <w:szCs w:val="21"/>
              </w:rPr>
            </w:pPr>
            <w:r>
              <w:rPr>
                <w:rFonts w:ascii="仿宋" w:hAnsi="仿宋" w:eastAsia="仿宋" w:cs="宋体"/>
                <w:b/>
                <w:bCs/>
                <w:kern w:val="0"/>
                <w:szCs w:val="21"/>
              </w:rPr>
              <w:t>直接控股股东名称</w:t>
            </w:r>
          </w:p>
        </w:tc>
        <w:tc>
          <w:tcPr>
            <w:tcW w:w="1384" w:type="dxa"/>
            <w:vAlign w:val="center"/>
          </w:tcPr>
          <w:p w14:paraId="25CF3F02">
            <w:pPr>
              <w:spacing w:line="360" w:lineRule="exact"/>
              <w:jc w:val="center"/>
              <w:rPr>
                <w:rFonts w:ascii="仿宋" w:hAnsi="仿宋" w:eastAsia="仿宋" w:cs="宋体"/>
                <w:b/>
                <w:bCs/>
                <w:kern w:val="0"/>
                <w:szCs w:val="21"/>
              </w:rPr>
            </w:pPr>
            <w:r>
              <w:rPr>
                <w:rFonts w:ascii="仿宋" w:hAnsi="仿宋" w:eastAsia="仿宋" w:cs="宋体"/>
                <w:b/>
                <w:bCs/>
                <w:kern w:val="0"/>
                <w:szCs w:val="21"/>
              </w:rPr>
              <w:t>出资比例</w:t>
            </w:r>
          </w:p>
        </w:tc>
        <w:tc>
          <w:tcPr>
            <w:tcW w:w="2597" w:type="dxa"/>
            <w:vAlign w:val="center"/>
          </w:tcPr>
          <w:p w14:paraId="238CA188">
            <w:pPr>
              <w:spacing w:line="360" w:lineRule="exact"/>
              <w:jc w:val="center"/>
              <w:rPr>
                <w:rFonts w:ascii="仿宋" w:hAnsi="仿宋" w:eastAsia="仿宋" w:cs="宋体"/>
                <w:b/>
                <w:bCs/>
                <w:kern w:val="0"/>
                <w:szCs w:val="21"/>
              </w:rPr>
            </w:pPr>
            <w:r>
              <w:rPr>
                <w:rFonts w:ascii="仿宋" w:hAnsi="仿宋" w:eastAsia="仿宋" w:cs="宋体"/>
                <w:b/>
                <w:bCs/>
                <w:kern w:val="0"/>
                <w:szCs w:val="21"/>
              </w:rPr>
              <w:t>身份证号码或者统一社会信用代码</w:t>
            </w:r>
          </w:p>
        </w:tc>
        <w:tc>
          <w:tcPr>
            <w:tcW w:w="3624" w:type="dxa"/>
            <w:vMerge w:val="restart"/>
            <w:vAlign w:val="center"/>
          </w:tcPr>
          <w:p w14:paraId="2CF0D2FE">
            <w:pPr>
              <w:snapToGrid w:val="0"/>
              <w:jc w:val="left"/>
              <w:rPr>
                <w:rFonts w:ascii="仿宋" w:hAnsi="仿宋" w:eastAsia="仿宋"/>
                <w:szCs w:val="21"/>
              </w:rPr>
            </w:pPr>
            <w:r>
              <w:rPr>
                <w:rFonts w:ascii="仿宋" w:hAnsi="仿宋" w:eastAsia="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072CD1">
            <w:pPr>
              <w:snapToGrid w:val="0"/>
              <w:jc w:val="left"/>
              <w:rPr>
                <w:rFonts w:ascii="仿宋" w:hAnsi="仿宋" w:eastAsia="仿宋"/>
                <w:szCs w:val="21"/>
              </w:rPr>
            </w:pPr>
            <w:r>
              <w:rPr>
                <w:rFonts w:ascii="仿宋" w:hAnsi="仿宋" w:eastAsia="仿宋"/>
                <w:szCs w:val="21"/>
              </w:rPr>
              <w:t>2.本表所指的控股关系仅限于直接控股关系，不包括间接的控股关系。公司实际控制人与公司之间的关系不属于本表所指的直接控股关系。</w:t>
            </w:r>
          </w:p>
          <w:p w14:paraId="0CA33AF0">
            <w:pPr>
              <w:snapToGrid w:val="0"/>
              <w:jc w:val="left"/>
              <w:rPr>
                <w:rFonts w:ascii="仿宋" w:hAnsi="仿宋" w:eastAsia="仿宋" w:cs="宋体"/>
                <w:b/>
                <w:bCs/>
                <w:kern w:val="0"/>
                <w:szCs w:val="21"/>
              </w:rPr>
            </w:pPr>
            <w:r>
              <w:rPr>
                <w:rFonts w:ascii="仿宋" w:hAnsi="仿宋" w:eastAsia="仿宋"/>
                <w:szCs w:val="21"/>
              </w:rPr>
              <w:t>3.供应商不存在直接控股股东的，则填“无”。</w:t>
            </w:r>
          </w:p>
        </w:tc>
      </w:tr>
      <w:tr w14:paraId="1F00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02BE2DE6">
            <w:pPr>
              <w:snapToGrid w:val="0"/>
              <w:spacing w:before="156" w:beforeLines="50" w:after="50"/>
              <w:jc w:val="center"/>
              <w:rPr>
                <w:rFonts w:ascii="仿宋" w:hAnsi="仿宋" w:eastAsia="仿宋"/>
                <w:b/>
                <w:szCs w:val="21"/>
              </w:rPr>
            </w:pPr>
            <w:r>
              <w:rPr>
                <w:rFonts w:ascii="仿宋" w:hAnsi="仿宋" w:eastAsia="仿宋"/>
                <w:b/>
                <w:szCs w:val="21"/>
              </w:rPr>
              <w:t>1</w:t>
            </w:r>
          </w:p>
        </w:tc>
        <w:tc>
          <w:tcPr>
            <w:tcW w:w="1309" w:type="dxa"/>
          </w:tcPr>
          <w:p w14:paraId="2E944179">
            <w:pPr>
              <w:snapToGrid w:val="0"/>
              <w:spacing w:before="156" w:beforeLines="50" w:after="50"/>
              <w:jc w:val="left"/>
              <w:rPr>
                <w:rFonts w:ascii="仿宋" w:hAnsi="仿宋" w:eastAsia="仿宋"/>
                <w:b/>
                <w:szCs w:val="21"/>
              </w:rPr>
            </w:pPr>
          </w:p>
        </w:tc>
        <w:tc>
          <w:tcPr>
            <w:tcW w:w="1384" w:type="dxa"/>
          </w:tcPr>
          <w:p w14:paraId="065F273E">
            <w:pPr>
              <w:snapToGrid w:val="0"/>
              <w:spacing w:before="156" w:beforeLines="50" w:after="50"/>
              <w:jc w:val="left"/>
              <w:rPr>
                <w:rFonts w:ascii="仿宋" w:hAnsi="仿宋" w:eastAsia="仿宋"/>
                <w:b/>
                <w:szCs w:val="21"/>
              </w:rPr>
            </w:pPr>
          </w:p>
        </w:tc>
        <w:tc>
          <w:tcPr>
            <w:tcW w:w="2597" w:type="dxa"/>
          </w:tcPr>
          <w:p w14:paraId="2D9AEC26">
            <w:pPr>
              <w:snapToGrid w:val="0"/>
              <w:spacing w:before="156" w:beforeLines="50" w:after="50"/>
              <w:jc w:val="left"/>
              <w:rPr>
                <w:rFonts w:ascii="仿宋" w:hAnsi="仿宋" w:eastAsia="仿宋"/>
                <w:b/>
                <w:szCs w:val="21"/>
              </w:rPr>
            </w:pPr>
          </w:p>
        </w:tc>
        <w:tc>
          <w:tcPr>
            <w:tcW w:w="3624" w:type="dxa"/>
            <w:vMerge w:val="continue"/>
          </w:tcPr>
          <w:p w14:paraId="55D0A18C">
            <w:pPr>
              <w:snapToGrid w:val="0"/>
              <w:jc w:val="left"/>
              <w:rPr>
                <w:rFonts w:ascii="仿宋" w:hAnsi="仿宋" w:eastAsia="仿宋"/>
                <w:szCs w:val="21"/>
              </w:rPr>
            </w:pPr>
          </w:p>
        </w:tc>
      </w:tr>
      <w:tr w14:paraId="27E3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4ADF53E">
            <w:pPr>
              <w:snapToGrid w:val="0"/>
              <w:spacing w:before="156" w:beforeLines="50" w:after="50"/>
              <w:jc w:val="center"/>
              <w:rPr>
                <w:rFonts w:ascii="仿宋" w:hAnsi="仿宋" w:eastAsia="仿宋"/>
                <w:b/>
                <w:szCs w:val="21"/>
              </w:rPr>
            </w:pPr>
            <w:r>
              <w:rPr>
                <w:rFonts w:ascii="仿宋" w:hAnsi="仿宋" w:eastAsia="仿宋"/>
                <w:b/>
                <w:szCs w:val="21"/>
              </w:rPr>
              <w:t>2</w:t>
            </w:r>
          </w:p>
        </w:tc>
        <w:tc>
          <w:tcPr>
            <w:tcW w:w="1309" w:type="dxa"/>
          </w:tcPr>
          <w:p w14:paraId="60A12CF5">
            <w:pPr>
              <w:snapToGrid w:val="0"/>
              <w:spacing w:before="156" w:beforeLines="50" w:after="50"/>
              <w:jc w:val="left"/>
              <w:rPr>
                <w:rFonts w:ascii="仿宋" w:hAnsi="仿宋" w:eastAsia="仿宋"/>
                <w:b/>
                <w:szCs w:val="21"/>
              </w:rPr>
            </w:pPr>
          </w:p>
        </w:tc>
        <w:tc>
          <w:tcPr>
            <w:tcW w:w="1384" w:type="dxa"/>
          </w:tcPr>
          <w:p w14:paraId="0E4E77CF">
            <w:pPr>
              <w:snapToGrid w:val="0"/>
              <w:spacing w:before="156" w:beforeLines="50" w:after="50"/>
              <w:jc w:val="left"/>
              <w:rPr>
                <w:rFonts w:ascii="仿宋" w:hAnsi="仿宋" w:eastAsia="仿宋"/>
                <w:b/>
                <w:szCs w:val="21"/>
              </w:rPr>
            </w:pPr>
          </w:p>
        </w:tc>
        <w:tc>
          <w:tcPr>
            <w:tcW w:w="2597" w:type="dxa"/>
          </w:tcPr>
          <w:p w14:paraId="2AF36D35">
            <w:pPr>
              <w:snapToGrid w:val="0"/>
              <w:spacing w:before="156" w:beforeLines="50" w:after="50"/>
              <w:jc w:val="left"/>
              <w:rPr>
                <w:rFonts w:ascii="仿宋" w:hAnsi="仿宋" w:eastAsia="仿宋"/>
                <w:b/>
                <w:szCs w:val="21"/>
              </w:rPr>
            </w:pPr>
          </w:p>
        </w:tc>
        <w:tc>
          <w:tcPr>
            <w:tcW w:w="3624" w:type="dxa"/>
            <w:vMerge w:val="continue"/>
          </w:tcPr>
          <w:p w14:paraId="430CFB53">
            <w:pPr>
              <w:snapToGrid w:val="0"/>
              <w:spacing w:before="156" w:beforeLines="50" w:after="50"/>
              <w:jc w:val="left"/>
              <w:rPr>
                <w:rFonts w:ascii="仿宋" w:hAnsi="仿宋" w:eastAsia="仿宋"/>
                <w:b/>
                <w:szCs w:val="21"/>
              </w:rPr>
            </w:pPr>
          </w:p>
        </w:tc>
      </w:tr>
      <w:tr w14:paraId="1E42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3BE642C1">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1309" w:type="dxa"/>
            <w:tcBorders>
              <w:bottom w:val="single" w:color="auto" w:sz="4" w:space="0"/>
            </w:tcBorders>
          </w:tcPr>
          <w:p w14:paraId="6429B957">
            <w:pPr>
              <w:snapToGrid w:val="0"/>
              <w:spacing w:before="156" w:beforeLines="50" w:after="50"/>
              <w:jc w:val="left"/>
              <w:rPr>
                <w:rFonts w:ascii="仿宋" w:hAnsi="仿宋" w:eastAsia="仿宋"/>
                <w:b/>
                <w:szCs w:val="21"/>
              </w:rPr>
            </w:pPr>
          </w:p>
        </w:tc>
        <w:tc>
          <w:tcPr>
            <w:tcW w:w="1384" w:type="dxa"/>
            <w:tcBorders>
              <w:bottom w:val="single" w:color="auto" w:sz="4" w:space="0"/>
            </w:tcBorders>
          </w:tcPr>
          <w:p w14:paraId="378EA61C">
            <w:pPr>
              <w:snapToGrid w:val="0"/>
              <w:spacing w:before="156" w:beforeLines="50" w:after="50"/>
              <w:jc w:val="left"/>
              <w:rPr>
                <w:rFonts w:ascii="仿宋" w:hAnsi="仿宋" w:eastAsia="仿宋"/>
                <w:b/>
                <w:szCs w:val="21"/>
              </w:rPr>
            </w:pPr>
          </w:p>
        </w:tc>
        <w:tc>
          <w:tcPr>
            <w:tcW w:w="2597" w:type="dxa"/>
            <w:tcBorders>
              <w:bottom w:val="single" w:color="auto" w:sz="4" w:space="0"/>
            </w:tcBorders>
          </w:tcPr>
          <w:p w14:paraId="051C7E8C">
            <w:pPr>
              <w:snapToGrid w:val="0"/>
              <w:spacing w:before="156" w:beforeLines="50" w:after="50"/>
              <w:jc w:val="left"/>
              <w:rPr>
                <w:rFonts w:ascii="仿宋" w:hAnsi="仿宋" w:eastAsia="仿宋"/>
                <w:b/>
                <w:szCs w:val="21"/>
              </w:rPr>
            </w:pPr>
          </w:p>
        </w:tc>
        <w:tc>
          <w:tcPr>
            <w:tcW w:w="3624" w:type="dxa"/>
            <w:vMerge w:val="continue"/>
            <w:tcBorders>
              <w:bottom w:val="single" w:color="auto" w:sz="4" w:space="0"/>
            </w:tcBorders>
          </w:tcPr>
          <w:p w14:paraId="6FAE36B4">
            <w:pPr>
              <w:snapToGrid w:val="0"/>
              <w:spacing w:before="156" w:beforeLines="50" w:after="50"/>
              <w:jc w:val="left"/>
              <w:rPr>
                <w:rFonts w:ascii="仿宋" w:hAnsi="仿宋" w:eastAsia="仿宋"/>
                <w:b/>
                <w:szCs w:val="21"/>
              </w:rPr>
            </w:pPr>
          </w:p>
        </w:tc>
      </w:tr>
      <w:tr w14:paraId="3887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107" w:type="dxa"/>
            <w:gridSpan w:val="4"/>
            <w:shd w:val="clear" w:color="auto" w:fill="F2DBDB"/>
            <w:vAlign w:val="center"/>
          </w:tcPr>
          <w:p w14:paraId="1A408530">
            <w:pPr>
              <w:snapToGrid w:val="0"/>
              <w:spacing w:before="156" w:beforeLines="50" w:after="50"/>
              <w:jc w:val="center"/>
              <w:rPr>
                <w:rFonts w:ascii="仿宋" w:hAnsi="仿宋" w:eastAsia="仿宋"/>
                <w:b/>
                <w:szCs w:val="21"/>
              </w:rPr>
            </w:pPr>
            <w:r>
              <w:rPr>
                <w:rFonts w:ascii="仿宋" w:hAnsi="仿宋" w:eastAsia="仿宋"/>
                <w:b/>
                <w:szCs w:val="21"/>
              </w:rPr>
              <w:t>投标人直接管理关系信息表</w:t>
            </w:r>
          </w:p>
        </w:tc>
        <w:tc>
          <w:tcPr>
            <w:tcW w:w="3624" w:type="dxa"/>
            <w:shd w:val="clear" w:color="auto" w:fill="F2DBDB"/>
            <w:vAlign w:val="center"/>
          </w:tcPr>
          <w:p w14:paraId="308635EF">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16CE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396346B">
            <w:pPr>
              <w:snapToGrid w:val="0"/>
              <w:spacing w:before="156" w:beforeLines="50" w:after="50"/>
              <w:jc w:val="center"/>
              <w:rPr>
                <w:rFonts w:ascii="仿宋" w:hAnsi="仿宋" w:eastAsia="仿宋"/>
                <w:b/>
                <w:szCs w:val="21"/>
              </w:rPr>
            </w:pPr>
            <w:r>
              <w:rPr>
                <w:rFonts w:ascii="仿宋" w:hAnsi="仿宋" w:eastAsia="仿宋" w:cs="宋体"/>
                <w:b/>
                <w:bCs/>
                <w:kern w:val="0"/>
                <w:szCs w:val="21"/>
              </w:rPr>
              <w:t>序号</w:t>
            </w:r>
          </w:p>
        </w:tc>
        <w:tc>
          <w:tcPr>
            <w:tcW w:w="2693" w:type="dxa"/>
            <w:gridSpan w:val="2"/>
            <w:vAlign w:val="center"/>
          </w:tcPr>
          <w:p w14:paraId="769C2842">
            <w:pPr>
              <w:snapToGrid w:val="0"/>
              <w:spacing w:before="156" w:beforeLines="50" w:after="50"/>
              <w:jc w:val="center"/>
              <w:rPr>
                <w:rFonts w:ascii="仿宋" w:hAnsi="仿宋" w:eastAsia="仿宋"/>
                <w:b/>
                <w:szCs w:val="21"/>
              </w:rPr>
            </w:pPr>
            <w:r>
              <w:rPr>
                <w:rFonts w:ascii="仿宋" w:hAnsi="仿宋" w:eastAsia="仿宋" w:cs="宋体"/>
                <w:b/>
                <w:bCs/>
                <w:kern w:val="0"/>
                <w:szCs w:val="21"/>
              </w:rPr>
              <w:t>直接管理关系单位名称</w:t>
            </w:r>
          </w:p>
        </w:tc>
        <w:tc>
          <w:tcPr>
            <w:tcW w:w="2597" w:type="dxa"/>
            <w:vAlign w:val="center"/>
          </w:tcPr>
          <w:p w14:paraId="1DE80268">
            <w:pPr>
              <w:snapToGrid w:val="0"/>
              <w:spacing w:before="156" w:beforeLines="50" w:after="50"/>
              <w:jc w:val="center"/>
              <w:rPr>
                <w:rFonts w:ascii="仿宋" w:hAnsi="仿宋" w:eastAsia="仿宋"/>
                <w:b/>
                <w:szCs w:val="21"/>
              </w:rPr>
            </w:pPr>
            <w:r>
              <w:rPr>
                <w:rFonts w:ascii="仿宋" w:hAnsi="仿宋" w:eastAsia="仿宋" w:cs="宋体"/>
                <w:b/>
                <w:bCs/>
                <w:kern w:val="0"/>
                <w:szCs w:val="21"/>
              </w:rPr>
              <w:t>统一社会信用代码</w:t>
            </w:r>
          </w:p>
        </w:tc>
        <w:tc>
          <w:tcPr>
            <w:tcW w:w="3624" w:type="dxa"/>
            <w:vMerge w:val="restart"/>
            <w:vAlign w:val="center"/>
          </w:tcPr>
          <w:p w14:paraId="4293A710">
            <w:pPr>
              <w:snapToGrid w:val="0"/>
              <w:jc w:val="left"/>
              <w:rPr>
                <w:rFonts w:ascii="仿宋" w:hAnsi="仿宋" w:eastAsia="仿宋"/>
                <w:szCs w:val="21"/>
              </w:rPr>
            </w:pPr>
            <w:r>
              <w:rPr>
                <w:rFonts w:ascii="仿宋" w:hAnsi="仿宋" w:eastAsia="仿宋"/>
                <w:szCs w:val="21"/>
              </w:rPr>
              <w:t>1.管理关系：是指不具有出资持股关系的其他单位之间存在的管理与被管理关系，如一些上下级关系的事业单位和团体组织。</w:t>
            </w:r>
          </w:p>
          <w:p w14:paraId="62209A89">
            <w:pPr>
              <w:snapToGrid w:val="0"/>
              <w:jc w:val="left"/>
              <w:rPr>
                <w:rFonts w:ascii="仿宋" w:hAnsi="仿宋" w:eastAsia="仿宋"/>
                <w:szCs w:val="21"/>
              </w:rPr>
            </w:pPr>
            <w:r>
              <w:rPr>
                <w:rFonts w:ascii="仿宋" w:hAnsi="仿宋" w:eastAsia="仿宋"/>
                <w:szCs w:val="21"/>
              </w:rPr>
              <w:t>2.本表所指的管理关系仅限于直接管理关系，不包括间接的管理关系。</w:t>
            </w:r>
          </w:p>
          <w:p w14:paraId="5A24ADA2">
            <w:pPr>
              <w:snapToGrid w:val="0"/>
              <w:jc w:val="left"/>
              <w:rPr>
                <w:rFonts w:ascii="仿宋" w:hAnsi="仿宋" w:eastAsia="仿宋"/>
                <w:szCs w:val="21"/>
              </w:rPr>
            </w:pPr>
            <w:r>
              <w:rPr>
                <w:rFonts w:ascii="仿宋" w:hAnsi="仿宋" w:eastAsia="仿宋"/>
                <w:szCs w:val="21"/>
              </w:rPr>
              <w:t>3.供应商不存在直接管理关系的，则填“无”。</w:t>
            </w:r>
          </w:p>
        </w:tc>
      </w:tr>
      <w:tr w14:paraId="0F7E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C40C7A4">
            <w:pPr>
              <w:snapToGrid w:val="0"/>
              <w:spacing w:before="156" w:beforeLines="50" w:after="50"/>
              <w:jc w:val="center"/>
              <w:rPr>
                <w:rFonts w:ascii="仿宋" w:hAnsi="仿宋" w:eastAsia="仿宋"/>
                <w:b/>
                <w:szCs w:val="21"/>
              </w:rPr>
            </w:pPr>
            <w:r>
              <w:rPr>
                <w:rFonts w:ascii="仿宋" w:hAnsi="仿宋" w:eastAsia="仿宋"/>
                <w:b/>
                <w:szCs w:val="21"/>
              </w:rPr>
              <w:t>1</w:t>
            </w:r>
          </w:p>
        </w:tc>
        <w:tc>
          <w:tcPr>
            <w:tcW w:w="2693" w:type="dxa"/>
            <w:gridSpan w:val="2"/>
            <w:vAlign w:val="center"/>
          </w:tcPr>
          <w:p w14:paraId="590EB9E0">
            <w:pPr>
              <w:snapToGrid w:val="0"/>
              <w:spacing w:before="156" w:beforeLines="50" w:after="50"/>
              <w:jc w:val="center"/>
              <w:rPr>
                <w:rFonts w:ascii="仿宋" w:hAnsi="仿宋" w:eastAsia="仿宋" w:cs="宋体"/>
                <w:b/>
                <w:bCs/>
                <w:kern w:val="0"/>
                <w:szCs w:val="21"/>
              </w:rPr>
            </w:pPr>
          </w:p>
        </w:tc>
        <w:tc>
          <w:tcPr>
            <w:tcW w:w="2597" w:type="dxa"/>
            <w:vAlign w:val="center"/>
          </w:tcPr>
          <w:p w14:paraId="32724357">
            <w:pPr>
              <w:snapToGrid w:val="0"/>
              <w:spacing w:before="156" w:beforeLines="50" w:after="50"/>
              <w:jc w:val="center"/>
              <w:rPr>
                <w:rFonts w:ascii="仿宋" w:hAnsi="仿宋" w:eastAsia="仿宋" w:cs="宋体"/>
                <w:b/>
                <w:bCs/>
                <w:kern w:val="0"/>
                <w:szCs w:val="21"/>
              </w:rPr>
            </w:pPr>
          </w:p>
        </w:tc>
        <w:tc>
          <w:tcPr>
            <w:tcW w:w="3624" w:type="dxa"/>
            <w:vMerge w:val="continue"/>
            <w:vAlign w:val="center"/>
          </w:tcPr>
          <w:p w14:paraId="5EF3E924">
            <w:pPr>
              <w:snapToGrid w:val="0"/>
              <w:jc w:val="left"/>
              <w:rPr>
                <w:rFonts w:ascii="仿宋" w:hAnsi="仿宋" w:eastAsia="仿宋"/>
                <w:szCs w:val="21"/>
              </w:rPr>
            </w:pPr>
          </w:p>
        </w:tc>
      </w:tr>
      <w:tr w14:paraId="2A3A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2A10D198">
            <w:pPr>
              <w:snapToGrid w:val="0"/>
              <w:spacing w:before="156" w:beforeLines="50" w:after="50"/>
              <w:jc w:val="center"/>
              <w:rPr>
                <w:rFonts w:ascii="仿宋" w:hAnsi="仿宋" w:eastAsia="仿宋"/>
                <w:b/>
                <w:szCs w:val="21"/>
              </w:rPr>
            </w:pPr>
            <w:r>
              <w:rPr>
                <w:rFonts w:ascii="仿宋" w:hAnsi="仿宋" w:eastAsia="仿宋"/>
                <w:b/>
                <w:szCs w:val="21"/>
              </w:rPr>
              <w:t>2</w:t>
            </w:r>
          </w:p>
        </w:tc>
        <w:tc>
          <w:tcPr>
            <w:tcW w:w="2693" w:type="dxa"/>
            <w:gridSpan w:val="2"/>
            <w:vAlign w:val="center"/>
          </w:tcPr>
          <w:p w14:paraId="289AA5B8">
            <w:pPr>
              <w:snapToGrid w:val="0"/>
              <w:spacing w:before="156" w:beforeLines="50" w:after="50"/>
              <w:jc w:val="center"/>
              <w:rPr>
                <w:rFonts w:ascii="仿宋" w:hAnsi="仿宋" w:eastAsia="仿宋" w:cs="宋体"/>
                <w:b/>
                <w:bCs/>
                <w:kern w:val="0"/>
                <w:szCs w:val="21"/>
              </w:rPr>
            </w:pPr>
          </w:p>
        </w:tc>
        <w:tc>
          <w:tcPr>
            <w:tcW w:w="2597" w:type="dxa"/>
            <w:vAlign w:val="center"/>
          </w:tcPr>
          <w:p w14:paraId="7851B944">
            <w:pPr>
              <w:snapToGrid w:val="0"/>
              <w:spacing w:before="156" w:beforeLines="50" w:after="50"/>
              <w:jc w:val="center"/>
              <w:rPr>
                <w:rFonts w:ascii="仿宋" w:hAnsi="仿宋" w:eastAsia="仿宋" w:cs="宋体"/>
                <w:b/>
                <w:bCs/>
                <w:kern w:val="0"/>
                <w:szCs w:val="21"/>
              </w:rPr>
            </w:pPr>
          </w:p>
        </w:tc>
        <w:tc>
          <w:tcPr>
            <w:tcW w:w="3624" w:type="dxa"/>
            <w:vMerge w:val="continue"/>
            <w:vAlign w:val="center"/>
          </w:tcPr>
          <w:p w14:paraId="3D9B2DB3">
            <w:pPr>
              <w:snapToGrid w:val="0"/>
              <w:jc w:val="left"/>
              <w:rPr>
                <w:rFonts w:ascii="仿宋" w:hAnsi="仿宋" w:eastAsia="仿宋"/>
                <w:szCs w:val="21"/>
              </w:rPr>
            </w:pPr>
          </w:p>
        </w:tc>
      </w:tr>
      <w:tr w14:paraId="2D08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F7410B5">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2693" w:type="dxa"/>
            <w:gridSpan w:val="2"/>
            <w:vAlign w:val="center"/>
          </w:tcPr>
          <w:p w14:paraId="128169B8">
            <w:pPr>
              <w:snapToGrid w:val="0"/>
              <w:spacing w:before="156" w:beforeLines="50" w:after="50"/>
              <w:jc w:val="center"/>
              <w:rPr>
                <w:rFonts w:ascii="仿宋" w:hAnsi="仿宋" w:eastAsia="仿宋" w:cs="宋体"/>
                <w:b/>
                <w:bCs/>
                <w:kern w:val="0"/>
                <w:szCs w:val="21"/>
              </w:rPr>
            </w:pPr>
          </w:p>
        </w:tc>
        <w:tc>
          <w:tcPr>
            <w:tcW w:w="2597" w:type="dxa"/>
            <w:vAlign w:val="center"/>
          </w:tcPr>
          <w:p w14:paraId="3FAFC8AD">
            <w:pPr>
              <w:snapToGrid w:val="0"/>
              <w:spacing w:before="156" w:beforeLines="50" w:after="50"/>
              <w:jc w:val="center"/>
              <w:rPr>
                <w:rFonts w:ascii="仿宋" w:hAnsi="仿宋" w:eastAsia="仿宋" w:cs="宋体"/>
                <w:b/>
                <w:bCs/>
                <w:kern w:val="0"/>
                <w:szCs w:val="21"/>
              </w:rPr>
            </w:pPr>
          </w:p>
        </w:tc>
        <w:tc>
          <w:tcPr>
            <w:tcW w:w="3624" w:type="dxa"/>
            <w:vMerge w:val="continue"/>
            <w:vAlign w:val="center"/>
          </w:tcPr>
          <w:p w14:paraId="2263E11C">
            <w:pPr>
              <w:snapToGrid w:val="0"/>
              <w:jc w:val="left"/>
              <w:rPr>
                <w:rFonts w:ascii="仿宋" w:hAnsi="仿宋" w:eastAsia="仿宋"/>
                <w:szCs w:val="21"/>
              </w:rPr>
            </w:pPr>
          </w:p>
        </w:tc>
      </w:tr>
    </w:tbl>
    <w:p w14:paraId="2CE343D7">
      <w:pPr>
        <w:snapToGrid w:val="0"/>
        <w:spacing w:line="360" w:lineRule="auto"/>
        <w:jc w:val="left"/>
        <w:rPr>
          <w:rFonts w:ascii="仿宋" w:hAnsi="仿宋" w:eastAsia="仿宋"/>
          <w:sz w:val="24"/>
        </w:rPr>
      </w:pPr>
    </w:p>
    <w:p w14:paraId="15DFDE34">
      <w:pPr>
        <w:snapToGrid w:val="0"/>
        <w:spacing w:line="360" w:lineRule="auto"/>
        <w:ind w:firstLine="4840" w:firstLineChars="2200"/>
        <w:rPr>
          <w:rFonts w:ascii="仿宋" w:hAnsi="仿宋" w:eastAsia="仿宋" w:cs="仿宋_GB2312"/>
          <w:kern w:val="0"/>
          <w:sz w:val="22"/>
          <w:u w:val="single"/>
        </w:rPr>
      </w:pPr>
      <w:r>
        <w:rPr>
          <w:rFonts w:hint="eastAsia" w:ascii="仿宋" w:hAnsi="仿宋" w:eastAsia="仿宋" w:cs="仿宋_GB2312"/>
          <w:kern w:val="0"/>
          <w:sz w:val="22"/>
          <w:lang w:val="zh-CN"/>
        </w:rPr>
        <w:t>投标人名称(</w:t>
      </w:r>
      <w:r>
        <w:rPr>
          <w:rFonts w:hint="eastAsia" w:ascii="仿宋" w:hAnsi="仿宋" w:eastAsia="仿宋" w:cs="仿宋_GB2312"/>
          <w:kern w:val="0"/>
          <w:sz w:val="22"/>
        </w:rPr>
        <w:t>公章</w:t>
      </w:r>
      <w:r>
        <w:rPr>
          <w:rFonts w:hint="eastAsia" w:ascii="仿宋" w:hAnsi="仿宋" w:eastAsia="仿宋" w:cs="仿宋_GB2312"/>
          <w:kern w:val="0"/>
          <w:sz w:val="22"/>
          <w:lang w:val="zh-CN"/>
        </w:rPr>
        <w:t>)：</w:t>
      </w:r>
      <w:r>
        <w:rPr>
          <w:rFonts w:hint="eastAsia" w:ascii="仿宋" w:hAnsi="仿宋" w:eastAsia="仿宋" w:cs="仿宋_GB2312"/>
          <w:kern w:val="0"/>
          <w:sz w:val="22"/>
          <w:u w:val="single"/>
          <w:lang w:val="zh-CN"/>
        </w:rPr>
        <w:t xml:space="preserve"> </w:t>
      </w:r>
      <w:r>
        <w:rPr>
          <w:rFonts w:ascii="仿宋" w:hAnsi="仿宋" w:eastAsia="仿宋" w:cs="仿宋_GB2312"/>
          <w:kern w:val="0"/>
          <w:sz w:val="22"/>
          <w:u w:val="single"/>
          <w:lang w:val="zh-CN"/>
        </w:rPr>
        <w:t xml:space="preserve">         </w:t>
      </w:r>
    </w:p>
    <w:p w14:paraId="059EDB2F">
      <w:pPr>
        <w:snapToGrid w:val="0"/>
        <w:spacing w:line="360" w:lineRule="auto"/>
        <w:ind w:firstLine="4730" w:firstLineChars="2150"/>
        <w:rPr>
          <w:rFonts w:ascii="仿宋" w:hAnsi="仿宋" w:eastAsia="仿宋" w:cs="仿宋_GB2312"/>
          <w:kern w:val="0"/>
          <w:sz w:val="22"/>
          <w:lang w:val="zh-CN"/>
        </w:rPr>
      </w:pPr>
      <w:r>
        <w:rPr>
          <w:rFonts w:hint="eastAsia" w:ascii="仿宋" w:hAnsi="仿宋" w:eastAsia="仿宋" w:cs="仿宋_GB2312"/>
          <w:kern w:val="0"/>
          <w:sz w:val="22"/>
          <w:lang w:val="zh-CN"/>
        </w:rPr>
        <w:t>日期</w:t>
      </w:r>
      <w:r>
        <w:rPr>
          <w:rFonts w:hint="eastAsia" w:ascii="仿宋" w:hAnsi="仿宋" w:eastAsia="仿宋" w:cs="仿宋_GB2312"/>
          <w:kern w:val="0"/>
          <w:sz w:val="22"/>
        </w:rPr>
        <w:t xml:space="preserve">：  年  </w:t>
      </w:r>
      <w:r>
        <w:rPr>
          <w:rFonts w:hint="eastAsia" w:ascii="仿宋" w:hAnsi="仿宋" w:eastAsia="仿宋" w:cs="仿宋_GB2312"/>
          <w:kern w:val="0"/>
          <w:sz w:val="22"/>
          <w:lang w:val="zh-CN"/>
        </w:rPr>
        <w:t>月</w:t>
      </w:r>
      <w:r>
        <w:rPr>
          <w:rFonts w:hint="eastAsia" w:ascii="仿宋" w:hAnsi="仿宋" w:eastAsia="仿宋" w:cs="仿宋_GB2312"/>
          <w:kern w:val="0"/>
          <w:sz w:val="22"/>
        </w:rPr>
        <w:t xml:space="preserve">   </w:t>
      </w:r>
      <w:r>
        <w:rPr>
          <w:rFonts w:hint="eastAsia" w:ascii="仿宋" w:hAnsi="仿宋" w:eastAsia="仿宋" w:cs="仿宋_GB2312"/>
          <w:kern w:val="0"/>
          <w:sz w:val="22"/>
          <w:lang w:val="zh-CN"/>
        </w:rPr>
        <w:t>日</w:t>
      </w:r>
    </w:p>
    <w:p w14:paraId="6D1234EA"/>
    <w:p w14:paraId="1AA649C5">
      <w:pPr>
        <w:pStyle w:val="6"/>
        <w:spacing w:line="340" w:lineRule="exact"/>
        <w:rPr>
          <w:rFonts w:hint="eastAsia"/>
          <w:b/>
          <w:color w:val="auto"/>
        </w:rPr>
      </w:pPr>
    </w:p>
    <w:p w14:paraId="41F21814">
      <w:pPr>
        <w:pStyle w:val="6"/>
        <w:spacing w:line="340" w:lineRule="exact"/>
        <w:rPr>
          <w:b/>
          <w:color w:val="auto"/>
        </w:rPr>
      </w:pPr>
      <w:r>
        <w:rPr>
          <w:rFonts w:hint="eastAsia"/>
          <w:b/>
          <w:color w:val="auto"/>
        </w:rPr>
        <w:t>附件</w:t>
      </w:r>
      <w:r>
        <w:rPr>
          <w:rFonts w:hint="eastAsia"/>
          <w:b/>
          <w:color w:val="auto"/>
          <w:lang w:val="en-US" w:eastAsia="zh-CN"/>
        </w:rPr>
        <w:t>3</w:t>
      </w:r>
      <w:r>
        <w:rPr>
          <w:rFonts w:hint="eastAsia"/>
          <w:b/>
          <w:color w:val="auto"/>
        </w:rPr>
        <w:t>：</w:t>
      </w:r>
    </w:p>
    <w:p w14:paraId="7F929E97">
      <w:pPr>
        <w:pStyle w:val="6"/>
        <w:spacing w:line="340" w:lineRule="exact"/>
        <w:rPr>
          <w:color w:val="auto"/>
        </w:rPr>
      </w:pPr>
      <w:r>
        <w:rPr>
          <w:rFonts w:hint="eastAsia"/>
          <w:b/>
          <w:color w:val="auto"/>
        </w:rPr>
        <w:t>拟签订的合同文本(参考格式，本合同内容条款在正式签署前可具体补充细化，仅作参考，最终合同以采购人审查通过的版本为准)</w:t>
      </w:r>
    </w:p>
    <w:p w14:paraId="36DAF334">
      <w:pPr>
        <w:spacing w:line="360" w:lineRule="auto"/>
        <w:jc w:val="center"/>
        <w:rPr>
          <w:rFonts w:ascii="仿宋" w:hAnsi="仿宋" w:eastAsia="仿宋" w:cs="仿宋"/>
          <w:b/>
          <w:w w:val="101"/>
          <w:sz w:val="48"/>
          <w:szCs w:val="18"/>
        </w:rPr>
      </w:pPr>
      <w:bookmarkStart w:id="5" w:name="_GoBack"/>
      <w:bookmarkEnd w:id="5"/>
    </w:p>
    <w:p w14:paraId="08B0DE8C">
      <w:pPr>
        <w:spacing w:line="360" w:lineRule="auto"/>
        <w:jc w:val="center"/>
        <w:rPr>
          <w:rFonts w:ascii="仿宋" w:hAnsi="仿宋" w:eastAsia="仿宋" w:cs="仿宋"/>
          <w:b/>
          <w:sz w:val="52"/>
          <w:szCs w:val="52"/>
        </w:rPr>
      </w:pPr>
      <w:r>
        <w:rPr>
          <w:rFonts w:hint="eastAsia" w:ascii="仿宋" w:hAnsi="仿宋" w:eastAsia="仿宋" w:cs="仿宋"/>
          <w:b/>
          <w:sz w:val="52"/>
          <w:szCs w:val="52"/>
        </w:rPr>
        <w:t>广西艺术学院通达OA系统升级服务采购项目合同</w:t>
      </w:r>
    </w:p>
    <w:p w14:paraId="04564D5F">
      <w:pPr>
        <w:spacing w:line="600" w:lineRule="atLeast"/>
        <w:ind w:left="660" w:leftChars="300"/>
        <w:rPr>
          <w:rFonts w:ascii="仿宋" w:hAnsi="仿宋" w:eastAsia="仿宋" w:cs="仿宋"/>
          <w:b/>
          <w:w w:val="101"/>
          <w:sz w:val="56"/>
          <w:szCs w:val="21"/>
        </w:rPr>
      </w:pPr>
    </w:p>
    <w:p w14:paraId="7DE2E4F0">
      <w:pPr>
        <w:spacing w:line="600" w:lineRule="atLeast"/>
        <w:ind w:left="660" w:leftChars="300"/>
        <w:rPr>
          <w:rFonts w:ascii="仿宋" w:hAnsi="仿宋" w:eastAsia="仿宋" w:cs="仿宋"/>
          <w:b/>
          <w:sz w:val="36"/>
        </w:rPr>
      </w:pPr>
    </w:p>
    <w:p w14:paraId="0475CA92">
      <w:pPr>
        <w:ind w:firstLine="640" w:firstLineChars="200"/>
        <w:rPr>
          <w:rFonts w:ascii="仿宋" w:hAnsi="仿宋" w:eastAsia="仿宋" w:cs="仿宋"/>
          <w:bCs/>
          <w:sz w:val="30"/>
          <w:szCs w:val="30"/>
          <w:u w:val="single"/>
        </w:rPr>
      </w:pPr>
      <w:r>
        <w:rPr>
          <w:rFonts w:hint="eastAsia" w:ascii="仿宋" w:hAnsi="仿宋" w:eastAsia="仿宋" w:cs="仿宋"/>
          <w:sz w:val="32"/>
          <w:szCs w:val="32"/>
        </w:rPr>
        <w:t>委托方（甲方）：</w:t>
      </w:r>
      <w:r>
        <w:rPr>
          <w:rFonts w:hint="eastAsia" w:ascii="仿宋" w:hAnsi="仿宋" w:eastAsia="仿宋" w:cs="仿宋"/>
          <w:sz w:val="32"/>
          <w:szCs w:val="32"/>
          <w:u w:val="single"/>
        </w:rPr>
        <w:t xml:space="preserve">      广西艺术学院</w:t>
      </w:r>
      <w:r>
        <w:rPr>
          <w:rFonts w:hint="eastAsia" w:ascii="仿宋" w:hAnsi="仿宋" w:eastAsia="仿宋" w:cs="仿宋"/>
          <w:bCs/>
          <w:sz w:val="30"/>
          <w:szCs w:val="30"/>
          <w:u w:val="single"/>
        </w:rPr>
        <w:t xml:space="preserve">                       </w:t>
      </w:r>
    </w:p>
    <w:p w14:paraId="35E8EE6C">
      <w:pPr>
        <w:ind w:firstLine="600" w:firstLineChars="200"/>
        <w:rPr>
          <w:rFonts w:ascii="仿宋" w:hAnsi="仿宋" w:eastAsia="仿宋" w:cs="仿宋"/>
          <w:bCs/>
          <w:sz w:val="30"/>
          <w:szCs w:val="30"/>
          <w:u w:val="single"/>
        </w:rPr>
      </w:pPr>
    </w:p>
    <w:p w14:paraId="440F8598">
      <w:pPr>
        <w:spacing w:line="600" w:lineRule="atLeast"/>
        <w:ind w:left="660" w:leftChars="300"/>
        <w:rPr>
          <w:rFonts w:ascii="仿宋" w:hAnsi="仿宋" w:eastAsia="仿宋" w:cs="仿宋"/>
          <w:bCs/>
          <w:sz w:val="36"/>
          <w:u w:val="single"/>
        </w:rPr>
      </w:pPr>
      <w:r>
        <w:rPr>
          <w:rFonts w:hint="eastAsia" w:ascii="仿宋" w:hAnsi="仿宋" w:eastAsia="仿宋" w:cs="仿宋"/>
          <w:sz w:val="32"/>
          <w:szCs w:val="32"/>
        </w:rPr>
        <w:t>受托方（乙方）：</w:t>
      </w:r>
      <w:r>
        <w:rPr>
          <w:rFonts w:hint="eastAsia" w:ascii="仿宋" w:hAnsi="仿宋" w:eastAsia="仿宋" w:cs="仿宋"/>
          <w:sz w:val="32"/>
          <w:szCs w:val="32"/>
          <w:u w:val="single"/>
        </w:rPr>
        <w:t xml:space="preserve">                                 </w:t>
      </w:r>
    </w:p>
    <w:p w14:paraId="2284E253">
      <w:pPr>
        <w:spacing w:line="600" w:lineRule="atLeast"/>
        <w:ind w:left="660" w:leftChars="300"/>
        <w:rPr>
          <w:rFonts w:ascii="仿宋" w:hAnsi="仿宋" w:eastAsia="仿宋" w:cs="仿宋"/>
          <w:bCs/>
          <w:sz w:val="36"/>
        </w:rPr>
      </w:pPr>
    </w:p>
    <w:p w14:paraId="5EEB5647">
      <w:pPr>
        <w:spacing w:line="600" w:lineRule="atLeast"/>
        <w:ind w:left="660" w:leftChars="300"/>
        <w:rPr>
          <w:rFonts w:ascii="仿宋" w:hAnsi="仿宋" w:eastAsia="仿宋" w:cs="仿宋"/>
          <w:bCs/>
          <w:sz w:val="36"/>
          <w:u w:val="single"/>
        </w:rPr>
      </w:pPr>
      <w:r>
        <w:rPr>
          <w:rFonts w:hint="eastAsia" w:ascii="仿宋" w:hAnsi="仿宋" w:eastAsia="仿宋" w:cs="仿宋"/>
          <w:sz w:val="32"/>
          <w:szCs w:val="32"/>
        </w:rPr>
        <w:t>签订时间：</w:t>
      </w:r>
      <w:r>
        <w:rPr>
          <w:rFonts w:hint="eastAsia" w:ascii="仿宋" w:hAnsi="仿宋" w:eastAsia="仿宋" w:cs="仿宋"/>
          <w:sz w:val="32"/>
          <w:szCs w:val="32"/>
          <w:u w:val="single"/>
        </w:rPr>
        <w:softHyphen/>
      </w:r>
      <w:r>
        <w:rPr>
          <w:rFonts w:hint="eastAsia" w:ascii="仿宋" w:hAnsi="仿宋" w:eastAsia="仿宋" w:cs="仿宋"/>
          <w:sz w:val="32"/>
          <w:szCs w:val="32"/>
          <w:u w:val="single"/>
        </w:rPr>
        <w:t xml:space="preserve">     </w:t>
      </w:r>
      <w:r>
        <w:rPr>
          <w:rFonts w:hint="eastAsia" w:ascii="仿宋" w:hAnsi="仿宋" w:eastAsia="仿宋" w:cs="仿宋"/>
          <w:bCs/>
          <w:sz w:val="30"/>
          <w:szCs w:val="30"/>
          <w:u w:val="single"/>
        </w:rPr>
        <w:t xml:space="preserve">      2025年  月  日                       </w:t>
      </w:r>
      <w:r>
        <w:rPr>
          <w:rFonts w:hint="eastAsia" w:ascii="仿宋" w:hAnsi="仿宋" w:eastAsia="仿宋" w:cs="仿宋"/>
          <w:bCs/>
          <w:sz w:val="32"/>
          <w:szCs w:val="32"/>
          <w:u w:val="single"/>
        </w:rPr>
        <w:t xml:space="preserve">            </w:t>
      </w:r>
    </w:p>
    <w:p w14:paraId="0559D09E">
      <w:pPr>
        <w:spacing w:line="600" w:lineRule="atLeast"/>
        <w:ind w:left="660" w:leftChars="300"/>
        <w:rPr>
          <w:rFonts w:ascii="仿宋" w:hAnsi="仿宋" w:eastAsia="仿宋" w:cs="仿宋"/>
          <w:sz w:val="32"/>
          <w:szCs w:val="32"/>
        </w:rPr>
      </w:pPr>
    </w:p>
    <w:p w14:paraId="61A4E34F">
      <w:pPr>
        <w:spacing w:line="600" w:lineRule="atLeast"/>
        <w:ind w:left="660" w:leftChars="300"/>
        <w:rPr>
          <w:rFonts w:ascii="仿宋" w:hAnsi="仿宋" w:eastAsia="仿宋" w:cs="仿宋"/>
          <w:bCs/>
          <w:sz w:val="36"/>
        </w:rPr>
      </w:pPr>
      <w:r>
        <w:rPr>
          <w:rFonts w:hint="eastAsia" w:ascii="仿宋" w:hAnsi="仿宋" w:eastAsia="仿宋" w:cs="仿宋"/>
          <w:sz w:val="32"/>
          <w:szCs w:val="32"/>
        </w:rPr>
        <w:t>签订地点：</w:t>
      </w:r>
      <w:r>
        <w:rPr>
          <w:rFonts w:hint="eastAsia" w:ascii="仿宋" w:hAnsi="仿宋" w:eastAsia="仿宋" w:cs="仿宋"/>
          <w:b/>
          <w:sz w:val="36"/>
        </w:rPr>
        <w:t xml:space="preserve"> </w:t>
      </w:r>
      <w:r>
        <w:rPr>
          <w:rFonts w:hint="eastAsia" w:ascii="仿宋" w:hAnsi="仿宋" w:eastAsia="仿宋" w:cs="仿宋"/>
          <w:sz w:val="32"/>
          <w:szCs w:val="32"/>
        </w:rPr>
        <w:t xml:space="preserve">                                       </w:t>
      </w:r>
    </w:p>
    <w:p w14:paraId="0DB14A75">
      <w:pPr>
        <w:spacing w:line="500" w:lineRule="atLeast"/>
        <w:ind w:left="660" w:leftChars="300"/>
        <w:rPr>
          <w:rFonts w:ascii="仿宋" w:hAnsi="仿宋" w:eastAsia="仿宋" w:cs="仿宋"/>
          <w:sz w:val="32"/>
          <w:szCs w:val="32"/>
        </w:rPr>
      </w:pPr>
    </w:p>
    <w:p w14:paraId="65822E89">
      <w:pPr>
        <w:spacing w:line="500" w:lineRule="atLeast"/>
        <w:ind w:left="660" w:leftChars="300"/>
        <w:rPr>
          <w:rFonts w:ascii="仿宋" w:hAnsi="仿宋" w:eastAsia="仿宋" w:cs="仿宋"/>
          <w:b/>
          <w:sz w:val="32"/>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4E403B46">
      <w:pPr>
        <w:spacing w:line="500" w:lineRule="atLeast"/>
        <w:ind w:left="660" w:leftChars="300"/>
        <w:rPr>
          <w:rFonts w:ascii="仿宋" w:hAnsi="仿宋" w:eastAsia="仿宋" w:cs="仿宋"/>
          <w:b/>
          <w:sz w:val="32"/>
        </w:rPr>
      </w:pPr>
    </w:p>
    <w:p w14:paraId="112ECFCA">
      <w:pPr>
        <w:spacing w:line="500" w:lineRule="exact"/>
        <w:ind w:firstLine="560" w:firstLineChars="200"/>
        <w:rPr>
          <w:rFonts w:ascii="仿宋" w:hAnsi="仿宋" w:eastAsia="仿宋"/>
          <w:sz w:val="28"/>
          <w:szCs w:val="28"/>
        </w:rPr>
      </w:pPr>
      <w:r>
        <w:rPr>
          <w:rFonts w:ascii="仿宋" w:hAnsi="仿宋" w:eastAsia="仿宋"/>
          <w:sz w:val="28"/>
          <w:szCs w:val="28"/>
        </w:rPr>
        <w:t>根据《中华人民共和国政府采购法》《中华人民共和国民法典》等法律、法规规定，</w:t>
      </w:r>
      <w:r>
        <w:rPr>
          <w:rFonts w:hint="eastAsia" w:ascii="仿宋" w:hAnsi="仿宋" w:eastAsia="仿宋"/>
          <w:sz w:val="28"/>
          <w:szCs w:val="28"/>
        </w:rPr>
        <w:t>按照平等、自愿、公平和诚实信用的原则，经</w:t>
      </w:r>
      <w:r>
        <w:rPr>
          <w:rFonts w:ascii="仿宋" w:hAnsi="仿宋" w:eastAsia="仿宋"/>
          <w:sz w:val="28"/>
          <w:szCs w:val="28"/>
          <w:u w:val="single"/>
        </w:rPr>
        <w:t xml:space="preserve">       </w:t>
      </w:r>
      <w:r>
        <w:rPr>
          <w:rFonts w:hint="eastAsia" w:ascii="仿宋" w:hAnsi="仿宋" w:eastAsia="仿宋"/>
          <w:sz w:val="28"/>
          <w:szCs w:val="28"/>
          <w:u w:val="single"/>
        </w:rPr>
        <w:t xml:space="preserve">（采购人名称）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(以下简称：甲方)和</w:t>
      </w:r>
      <w:r>
        <w:rPr>
          <w:rFonts w:hint="eastAsia" w:ascii="仿宋" w:hAnsi="仿宋" w:eastAsia="仿宋"/>
          <w:sz w:val="28"/>
          <w:szCs w:val="28"/>
          <w:u w:val="single"/>
        </w:rPr>
        <w:t xml:space="preserve">   （中标供应商名称）   </w:t>
      </w:r>
      <w:r>
        <w:rPr>
          <w:rFonts w:hint="eastAsia" w:ascii="仿宋" w:hAnsi="仿宋" w:eastAsia="仿宋"/>
          <w:sz w:val="28"/>
          <w:szCs w:val="28"/>
        </w:rPr>
        <w:t>(以下简称：乙方)协商一致，</w:t>
      </w:r>
      <w:r>
        <w:rPr>
          <w:rFonts w:ascii="仿宋" w:hAnsi="仿宋" w:eastAsia="仿宋"/>
          <w:sz w:val="28"/>
          <w:szCs w:val="28"/>
        </w:rPr>
        <w:t>甲乙双方签订本合同。</w:t>
      </w:r>
    </w:p>
    <w:p w14:paraId="4BE62650">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第一条 项目要求</w:t>
      </w:r>
    </w:p>
    <w:p w14:paraId="5758B22A">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rPr>
        <w:t>1.项目目标：</w:t>
      </w:r>
    </w:p>
    <w:p w14:paraId="00B7CCB4">
      <w:pPr>
        <w:spacing w:before="320" w:after="120" w:line="288" w:lineRule="auto"/>
        <w:ind w:firstLine="560" w:firstLineChars="200"/>
        <w:outlineLvl w:val="1"/>
        <w:rPr>
          <w:rFonts w:ascii="仿宋" w:hAnsi="仿宋" w:eastAsia="仿宋" w:cs="仿宋"/>
          <w:sz w:val="28"/>
        </w:rPr>
      </w:pPr>
      <w:r>
        <w:rPr>
          <w:rFonts w:hint="eastAsia" w:ascii="仿宋" w:hAnsi="仿宋" w:eastAsia="仿宋" w:cs="仿宋"/>
          <w:sz w:val="28"/>
        </w:rPr>
        <w:t>本项目围绕广西艺术学院在用的通达OA系统（v12版）进行升级改造，增加移动端、电脑端OA文件在线预览功能，支持附件自动生成水印，增加OA系统</w:t>
      </w:r>
      <w:r>
        <w:rPr>
          <w:rFonts w:ascii="仿宋" w:hAnsi="仿宋" w:eastAsia="仿宋" w:cs="仿宋"/>
          <w:sz w:val="28"/>
        </w:rPr>
        <w:t>与</w:t>
      </w:r>
      <w:r>
        <w:rPr>
          <w:rFonts w:hint="eastAsia" w:ascii="仿宋" w:hAnsi="仿宋" w:eastAsia="仿宋" w:cs="仿宋"/>
          <w:sz w:val="28"/>
        </w:rPr>
        <w:t>学校现有电子签章</w:t>
      </w:r>
      <w:r>
        <w:rPr>
          <w:rFonts w:ascii="仿宋" w:hAnsi="仿宋" w:eastAsia="仿宋" w:cs="仿宋"/>
          <w:sz w:val="28"/>
        </w:rPr>
        <w:t>平台深度集成，实现 OA 业务流程与电子签章无缝衔接</w:t>
      </w:r>
      <w:r>
        <w:rPr>
          <w:rFonts w:hint="eastAsia" w:ascii="仿宋" w:hAnsi="仿宋" w:eastAsia="仿宋" w:cs="仿宋"/>
          <w:sz w:val="28"/>
        </w:rPr>
        <w:t>；对流程中心、公告通知等模块功能进行优化。</w:t>
      </w:r>
    </w:p>
    <w:p w14:paraId="2634C7E5">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2.服务内容：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1"/>
        <w:gridCol w:w="1276"/>
        <w:gridCol w:w="992"/>
        <w:gridCol w:w="5041"/>
      </w:tblGrid>
      <w:tr w14:paraId="3A8E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51E56000">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276" w:type="dxa"/>
            <w:tcMar>
              <w:top w:w="60" w:type="dxa"/>
              <w:left w:w="120" w:type="dxa"/>
              <w:bottom w:w="30" w:type="dxa"/>
              <w:right w:w="120" w:type="dxa"/>
            </w:tcMar>
            <w:vAlign w:val="center"/>
          </w:tcPr>
          <w:p w14:paraId="67A0D419">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服务名称</w:t>
            </w:r>
          </w:p>
        </w:tc>
        <w:tc>
          <w:tcPr>
            <w:tcW w:w="992" w:type="dxa"/>
            <w:tcMar>
              <w:top w:w="60" w:type="dxa"/>
              <w:left w:w="120" w:type="dxa"/>
              <w:bottom w:w="30" w:type="dxa"/>
              <w:right w:w="120" w:type="dxa"/>
            </w:tcMar>
            <w:vAlign w:val="center"/>
          </w:tcPr>
          <w:p w14:paraId="1FF5C16A">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数量/单位</w:t>
            </w:r>
          </w:p>
        </w:tc>
        <w:tc>
          <w:tcPr>
            <w:tcW w:w="5041" w:type="dxa"/>
            <w:tcMar>
              <w:top w:w="60" w:type="dxa"/>
              <w:left w:w="120" w:type="dxa"/>
              <w:bottom w:w="30" w:type="dxa"/>
              <w:right w:w="120" w:type="dxa"/>
            </w:tcMar>
            <w:vAlign w:val="center"/>
          </w:tcPr>
          <w:p w14:paraId="3209BC6D">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服务内容及要求</w:t>
            </w:r>
          </w:p>
        </w:tc>
      </w:tr>
      <w:tr w14:paraId="0F22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05423EF6">
            <w:pPr>
              <w:spacing w:before="120" w:after="120" w:line="360" w:lineRule="exact"/>
              <w:jc w:val="center"/>
              <w:rPr>
                <w:rFonts w:ascii="仿宋" w:hAnsi="仿宋" w:eastAsia="仿宋" w:cs="仿宋"/>
                <w:sz w:val="24"/>
                <w:szCs w:val="24"/>
              </w:rPr>
            </w:pPr>
            <w:r>
              <w:rPr>
                <w:rFonts w:ascii="仿宋" w:hAnsi="仿宋" w:eastAsia="仿宋"/>
                <w:sz w:val="24"/>
                <w:szCs w:val="24"/>
              </w:rPr>
              <w:t>1</w:t>
            </w:r>
          </w:p>
        </w:tc>
        <w:tc>
          <w:tcPr>
            <w:tcW w:w="1276" w:type="dxa"/>
            <w:tcMar>
              <w:top w:w="60" w:type="dxa"/>
              <w:left w:w="120" w:type="dxa"/>
              <w:bottom w:w="30" w:type="dxa"/>
              <w:right w:w="120" w:type="dxa"/>
            </w:tcMar>
            <w:vAlign w:val="center"/>
          </w:tcPr>
          <w:p w14:paraId="59761412">
            <w:pPr>
              <w:spacing w:before="120" w:after="120" w:line="360" w:lineRule="exact"/>
              <w:jc w:val="center"/>
              <w:rPr>
                <w:rFonts w:ascii="仿宋" w:hAnsi="仿宋" w:eastAsia="仿宋" w:cs="仿宋"/>
                <w:sz w:val="24"/>
                <w:szCs w:val="24"/>
              </w:rPr>
            </w:pPr>
            <w:r>
              <w:rPr>
                <w:rFonts w:ascii="仿宋" w:hAnsi="仿宋" w:eastAsia="仿宋"/>
                <w:sz w:val="24"/>
                <w:szCs w:val="24"/>
              </w:rPr>
              <w:t>V12.0</w:t>
            </w:r>
            <w:r>
              <w:rPr>
                <w:rFonts w:hint="eastAsia" w:ascii="仿宋" w:hAnsi="仿宋" w:eastAsia="仿宋"/>
                <w:sz w:val="24"/>
                <w:szCs w:val="24"/>
              </w:rPr>
              <w:t>升级至</w:t>
            </w:r>
            <w:r>
              <w:rPr>
                <w:rFonts w:ascii="仿宋" w:hAnsi="仿宋" w:eastAsia="仿宋"/>
                <w:sz w:val="24"/>
                <w:szCs w:val="24"/>
              </w:rPr>
              <w:t>V13.0</w:t>
            </w:r>
            <w:r>
              <w:rPr>
                <w:rFonts w:hint="eastAsia" w:ascii="仿宋" w:hAnsi="仿宋" w:eastAsia="仿宋"/>
                <w:sz w:val="24"/>
                <w:szCs w:val="24"/>
              </w:rPr>
              <w:t>版本</w:t>
            </w:r>
          </w:p>
        </w:tc>
        <w:tc>
          <w:tcPr>
            <w:tcW w:w="992" w:type="dxa"/>
            <w:tcMar>
              <w:top w:w="60" w:type="dxa"/>
              <w:left w:w="120" w:type="dxa"/>
              <w:bottom w:w="30" w:type="dxa"/>
              <w:right w:w="120" w:type="dxa"/>
            </w:tcMar>
            <w:vAlign w:val="center"/>
          </w:tcPr>
          <w:p w14:paraId="21ECD2EE">
            <w:pPr>
              <w:spacing w:before="120" w:after="120" w:line="360" w:lineRule="exact"/>
              <w:jc w:val="center"/>
              <w:rPr>
                <w:rFonts w:ascii="仿宋" w:hAnsi="仿宋" w:eastAsia="仿宋" w:cs="仿宋"/>
                <w:sz w:val="24"/>
                <w:szCs w:val="24"/>
              </w:rPr>
            </w:pPr>
            <w:r>
              <w:rPr>
                <w:rFonts w:hint="eastAsia" w:ascii="仿宋" w:hAnsi="仿宋" w:eastAsia="仿宋"/>
                <w:sz w:val="24"/>
                <w:szCs w:val="24"/>
              </w:rPr>
              <w:t>1次</w:t>
            </w:r>
          </w:p>
        </w:tc>
        <w:tc>
          <w:tcPr>
            <w:tcW w:w="5041" w:type="dxa"/>
            <w:tcMar>
              <w:top w:w="60" w:type="dxa"/>
              <w:left w:w="120" w:type="dxa"/>
              <w:bottom w:w="30" w:type="dxa"/>
              <w:right w:w="120" w:type="dxa"/>
            </w:tcMar>
            <w:vAlign w:val="center"/>
          </w:tcPr>
          <w:p w14:paraId="1564A684">
            <w:pPr>
              <w:rPr>
                <w:rFonts w:ascii="仿宋" w:hAnsi="仿宋" w:eastAsia="仿宋"/>
                <w:sz w:val="24"/>
                <w:szCs w:val="24"/>
              </w:rPr>
            </w:pPr>
            <w:r>
              <w:rPr>
                <w:rFonts w:hint="eastAsia" w:ascii="仿宋" w:hAnsi="仿宋" w:eastAsia="仿宋"/>
                <w:sz w:val="24"/>
                <w:szCs w:val="24"/>
              </w:rPr>
              <w:t>1.实现通达OA系统从V1</w:t>
            </w:r>
            <w:r>
              <w:rPr>
                <w:rFonts w:ascii="仿宋" w:hAnsi="仿宋" w:eastAsia="仿宋"/>
                <w:sz w:val="24"/>
                <w:szCs w:val="24"/>
              </w:rPr>
              <w:t>2</w:t>
            </w:r>
            <w:r>
              <w:rPr>
                <w:rFonts w:hint="eastAsia" w:ascii="仿宋" w:hAnsi="仿宋" w:eastAsia="仿宋"/>
                <w:sz w:val="24"/>
                <w:szCs w:val="24"/>
              </w:rPr>
              <w:t>版升级至通达V1</w:t>
            </w:r>
            <w:r>
              <w:rPr>
                <w:rFonts w:ascii="仿宋" w:hAnsi="仿宋" w:eastAsia="仿宋"/>
                <w:sz w:val="24"/>
                <w:szCs w:val="24"/>
              </w:rPr>
              <w:t>3</w:t>
            </w:r>
            <w:r>
              <w:rPr>
                <w:rFonts w:hint="eastAsia" w:ascii="仿宋" w:hAnsi="仿宋" w:eastAsia="仿宋"/>
                <w:sz w:val="24"/>
                <w:szCs w:val="24"/>
              </w:rPr>
              <w:t>最新版；</w:t>
            </w:r>
          </w:p>
          <w:p w14:paraId="5154D651">
            <w:pPr>
              <w:rPr>
                <w:rFonts w:ascii="仿宋" w:hAnsi="仿宋" w:eastAsia="仿宋"/>
                <w:sz w:val="24"/>
                <w:szCs w:val="24"/>
              </w:rPr>
            </w:pPr>
            <w:r>
              <w:rPr>
                <w:rFonts w:hint="eastAsia" w:ascii="仿宋" w:hAnsi="仿宋" w:eastAsia="仿宋"/>
                <w:sz w:val="24"/>
                <w:szCs w:val="24"/>
              </w:rPr>
              <w:t>2.测试升级后工作流等功能完整性与稳定性；</w:t>
            </w:r>
            <w:r>
              <w:rPr>
                <w:rFonts w:ascii="仿宋" w:hAnsi="仿宋" w:eastAsia="仿宋"/>
                <w:sz w:val="24"/>
                <w:szCs w:val="24"/>
              </w:rPr>
              <w:t xml:space="preserve"> </w:t>
            </w:r>
          </w:p>
          <w:p w14:paraId="3EAEBC64">
            <w:pPr>
              <w:rPr>
                <w:rFonts w:ascii="仿宋" w:hAnsi="仿宋" w:eastAsia="仿宋"/>
                <w:sz w:val="24"/>
                <w:szCs w:val="24"/>
              </w:rPr>
            </w:pPr>
            <w:r>
              <w:rPr>
                <w:rFonts w:hint="eastAsia" w:ascii="仿宋" w:hAnsi="仿宋" w:eastAsia="仿宋"/>
                <w:sz w:val="24"/>
                <w:szCs w:val="24"/>
              </w:rPr>
              <w:t>3.分离式数据升级；</w:t>
            </w:r>
          </w:p>
          <w:p w14:paraId="507E0F6F">
            <w:pPr>
              <w:spacing w:line="360" w:lineRule="exact"/>
              <w:rPr>
                <w:rFonts w:ascii="仿宋" w:hAnsi="仿宋" w:eastAsia="仿宋" w:cs="仿宋"/>
                <w:sz w:val="24"/>
                <w:szCs w:val="24"/>
              </w:rPr>
            </w:pPr>
            <w:r>
              <w:rPr>
                <w:rFonts w:ascii="仿宋" w:hAnsi="仿宋" w:eastAsia="仿宋"/>
                <w:sz w:val="24"/>
                <w:szCs w:val="24"/>
              </w:rPr>
              <w:t>4</w:t>
            </w:r>
            <w:r>
              <w:rPr>
                <w:rFonts w:hint="eastAsia" w:ascii="仿宋" w:hAnsi="仿宋" w:eastAsia="仿宋"/>
                <w:sz w:val="24"/>
                <w:szCs w:val="24"/>
              </w:rPr>
              <w:t>.实现升级后性能调优。</w:t>
            </w:r>
          </w:p>
        </w:tc>
      </w:tr>
      <w:tr w14:paraId="5304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4C68B6F8">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1276" w:type="dxa"/>
            <w:tcMar>
              <w:top w:w="60" w:type="dxa"/>
              <w:left w:w="120" w:type="dxa"/>
              <w:bottom w:w="30" w:type="dxa"/>
              <w:right w:w="120" w:type="dxa"/>
            </w:tcMar>
            <w:vAlign w:val="center"/>
          </w:tcPr>
          <w:p w14:paraId="68402BBF">
            <w:pPr>
              <w:pStyle w:val="34"/>
              <w:jc w:val="center"/>
              <w:rPr>
                <w:rFonts w:ascii="仿宋" w:hAnsi="仿宋" w:eastAsia="仿宋"/>
                <w:kern w:val="2"/>
                <w:sz w:val="24"/>
                <w:szCs w:val="24"/>
              </w:rPr>
            </w:pPr>
            <w:r>
              <w:rPr>
                <w:rFonts w:hint="eastAsia" w:ascii="仿宋" w:hAnsi="仿宋" w:eastAsia="仿宋"/>
                <w:kern w:val="2"/>
                <w:sz w:val="24"/>
                <w:szCs w:val="24"/>
              </w:rPr>
              <w:t>开发功能</w:t>
            </w:r>
          </w:p>
          <w:p w14:paraId="00DB2E8F">
            <w:pPr>
              <w:spacing w:before="120" w:after="120" w:line="360" w:lineRule="exact"/>
              <w:jc w:val="center"/>
              <w:rPr>
                <w:rFonts w:ascii="仿宋" w:hAnsi="仿宋" w:eastAsia="仿宋" w:cs="仿宋"/>
                <w:sz w:val="24"/>
                <w:szCs w:val="24"/>
              </w:rPr>
            </w:pPr>
            <w:r>
              <w:rPr>
                <w:rFonts w:hint="eastAsia" w:ascii="仿宋" w:hAnsi="仿宋" w:eastAsia="仿宋"/>
                <w:sz w:val="24"/>
                <w:szCs w:val="24"/>
              </w:rPr>
              <w:t>升级</w:t>
            </w:r>
          </w:p>
        </w:tc>
        <w:tc>
          <w:tcPr>
            <w:tcW w:w="992" w:type="dxa"/>
            <w:tcMar>
              <w:top w:w="60" w:type="dxa"/>
              <w:left w:w="120" w:type="dxa"/>
              <w:bottom w:w="30" w:type="dxa"/>
              <w:right w:w="120" w:type="dxa"/>
            </w:tcMar>
            <w:vAlign w:val="center"/>
          </w:tcPr>
          <w:p w14:paraId="7395D433">
            <w:pPr>
              <w:spacing w:before="120" w:after="120" w:line="360" w:lineRule="exact"/>
              <w:jc w:val="center"/>
              <w:rPr>
                <w:rFonts w:ascii="仿宋" w:hAnsi="仿宋" w:eastAsia="仿宋" w:cs="仿宋"/>
                <w:sz w:val="24"/>
                <w:szCs w:val="24"/>
              </w:rPr>
            </w:pPr>
            <w:r>
              <w:rPr>
                <w:rFonts w:hint="eastAsia" w:ascii="仿宋" w:hAnsi="仿宋" w:eastAsia="仿宋"/>
                <w:sz w:val="24"/>
                <w:szCs w:val="24"/>
              </w:rPr>
              <w:t>1次</w:t>
            </w:r>
          </w:p>
        </w:tc>
        <w:tc>
          <w:tcPr>
            <w:tcW w:w="5041" w:type="dxa"/>
            <w:tcMar>
              <w:top w:w="60" w:type="dxa"/>
              <w:left w:w="120" w:type="dxa"/>
              <w:bottom w:w="30" w:type="dxa"/>
              <w:right w:w="120" w:type="dxa"/>
            </w:tcMar>
            <w:vAlign w:val="center"/>
          </w:tcPr>
          <w:p w14:paraId="55FAA7D5">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.Cas与OA系统单点升级</w:t>
            </w:r>
          </w:p>
          <w:p w14:paraId="0C056CC6">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.企业微信单点升级</w:t>
            </w:r>
          </w:p>
          <w:p w14:paraId="472AABF7">
            <w:pPr>
              <w:rPr>
                <w:rFonts w:ascii="仿宋" w:hAnsi="仿宋" w:eastAsia="仿宋"/>
                <w:sz w:val="24"/>
                <w:szCs w:val="24"/>
              </w:rPr>
            </w:pPr>
            <w:r>
              <w:rPr>
                <w:rFonts w:hint="eastAsia" w:ascii="仿宋" w:hAnsi="仿宋" w:eastAsia="仿宋"/>
                <w:sz w:val="24"/>
                <w:szCs w:val="24"/>
              </w:rPr>
              <w:t>3.企业微信原开发功能升级</w:t>
            </w:r>
          </w:p>
          <w:p w14:paraId="4B13F9DF">
            <w:pPr>
              <w:spacing w:line="360" w:lineRule="exac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.支持并行节点，无需针对多个并行节点设置多个步骤</w:t>
            </w:r>
          </w:p>
          <w:p w14:paraId="5865C35E">
            <w:pPr>
              <w:spacing w:line="360" w:lineRule="exact"/>
              <w:rPr>
                <w:rFonts w:ascii="仿宋" w:hAnsi="仿宋" w:eastAsia="仿宋" w:cs="仿宋"/>
                <w:sz w:val="24"/>
                <w:szCs w:val="24"/>
              </w:rPr>
            </w:pPr>
            <w:r>
              <w:rPr>
                <w:rFonts w:hint="eastAsia" w:ascii="仿宋" w:hAnsi="仿宋" w:eastAsia="仿宋"/>
                <w:sz w:val="24"/>
                <w:szCs w:val="24"/>
              </w:rPr>
              <w:t>5.原公告开发功能升级</w:t>
            </w:r>
          </w:p>
        </w:tc>
      </w:tr>
      <w:tr w14:paraId="4E10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787DF326">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3</w:t>
            </w:r>
          </w:p>
        </w:tc>
        <w:tc>
          <w:tcPr>
            <w:tcW w:w="1276" w:type="dxa"/>
            <w:tcMar>
              <w:top w:w="60" w:type="dxa"/>
              <w:left w:w="120" w:type="dxa"/>
              <w:bottom w:w="30" w:type="dxa"/>
              <w:right w:w="120" w:type="dxa"/>
            </w:tcMar>
            <w:vAlign w:val="center"/>
          </w:tcPr>
          <w:p w14:paraId="12E5F69D">
            <w:pPr>
              <w:spacing w:before="120" w:after="120" w:line="360" w:lineRule="exact"/>
              <w:jc w:val="center"/>
              <w:rPr>
                <w:rFonts w:ascii="仿宋" w:hAnsi="仿宋" w:eastAsia="仿宋" w:cs="仿宋"/>
                <w:sz w:val="24"/>
                <w:szCs w:val="24"/>
              </w:rPr>
            </w:pPr>
            <w:r>
              <w:rPr>
                <w:rFonts w:hint="eastAsia" w:ascii="仿宋" w:hAnsi="仿宋" w:eastAsia="仿宋"/>
                <w:sz w:val="24"/>
                <w:szCs w:val="24"/>
              </w:rPr>
              <w:t>公文管理</w:t>
            </w:r>
          </w:p>
        </w:tc>
        <w:tc>
          <w:tcPr>
            <w:tcW w:w="992" w:type="dxa"/>
            <w:tcMar>
              <w:top w:w="60" w:type="dxa"/>
              <w:left w:w="120" w:type="dxa"/>
              <w:bottom w:w="30" w:type="dxa"/>
              <w:right w:w="120" w:type="dxa"/>
            </w:tcMar>
            <w:vAlign w:val="center"/>
          </w:tcPr>
          <w:p w14:paraId="1B32979D">
            <w:pPr>
              <w:spacing w:before="120" w:after="120" w:line="360" w:lineRule="exact"/>
              <w:jc w:val="center"/>
              <w:rPr>
                <w:rFonts w:ascii="仿宋" w:hAnsi="仿宋" w:eastAsia="仿宋" w:cs="仿宋"/>
                <w:sz w:val="24"/>
                <w:szCs w:val="24"/>
              </w:rPr>
            </w:pPr>
            <w:r>
              <w:rPr>
                <w:rFonts w:hint="eastAsia" w:ascii="仿宋" w:hAnsi="仿宋" w:eastAsia="仿宋"/>
                <w:sz w:val="24"/>
                <w:szCs w:val="24"/>
              </w:rPr>
              <w:t>1项</w:t>
            </w:r>
          </w:p>
        </w:tc>
        <w:tc>
          <w:tcPr>
            <w:tcW w:w="5041" w:type="dxa"/>
            <w:tcMar>
              <w:top w:w="60" w:type="dxa"/>
              <w:left w:w="120" w:type="dxa"/>
              <w:bottom w:w="30" w:type="dxa"/>
              <w:right w:w="120" w:type="dxa"/>
            </w:tcMar>
            <w:vAlign w:val="center"/>
          </w:tcPr>
          <w:p w14:paraId="7EEF2CCF">
            <w:pP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增加移动端（企业微信H</w:t>
            </w:r>
            <w:r>
              <w:rPr>
                <w:rFonts w:ascii="仿宋" w:hAnsi="仿宋" w:eastAsia="仿宋"/>
                <w:sz w:val="24"/>
                <w:szCs w:val="24"/>
              </w:rPr>
              <w:t>5</w:t>
            </w:r>
            <w:r>
              <w:rPr>
                <w:rFonts w:hint="eastAsia" w:ascii="仿宋" w:hAnsi="仿宋" w:eastAsia="仿宋"/>
                <w:sz w:val="24"/>
                <w:szCs w:val="24"/>
              </w:rPr>
              <w:t>）公告通知模块查询检索功能，能够按照标题、发文日期、发布人、发布部门、关键词等进行检索；</w:t>
            </w:r>
          </w:p>
          <w:p w14:paraId="38970C0B">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检索查阅公告通知时不受部门调整的限制；</w:t>
            </w:r>
          </w:p>
          <w:p w14:paraId="15B5CBCE">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实现移动端（企业微信H5）公告通知列表标题完整显示；</w:t>
            </w:r>
          </w:p>
          <w:p w14:paraId="7A584E16">
            <w:pP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实现移动端（企业微信H5）流程中心工作流查询、办结工作、待办工作的标题完整显示；</w:t>
            </w:r>
          </w:p>
          <w:p w14:paraId="28B8A14C">
            <w:pPr>
              <w:spacing w:line="360" w:lineRule="exact"/>
              <w:rPr>
                <w:rFonts w:ascii="仿宋" w:hAnsi="仿宋" w:eastAsia="仿宋" w:cs="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传阅功能改进：流程中心中传阅接收人在收到传阅并办结后，可在传阅工作列表中查看所收到的传阅工作。</w:t>
            </w:r>
          </w:p>
        </w:tc>
      </w:tr>
      <w:tr w14:paraId="3751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708EB950">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4</w:t>
            </w:r>
          </w:p>
        </w:tc>
        <w:tc>
          <w:tcPr>
            <w:tcW w:w="1276" w:type="dxa"/>
            <w:tcMar>
              <w:top w:w="60" w:type="dxa"/>
              <w:left w:w="120" w:type="dxa"/>
              <w:bottom w:w="30" w:type="dxa"/>
              <w:right w:w="120" w:type="dxa"/>
            </w:tcMar>
            <w:vAlign w:val="center"/>
          </w:tcPr>
          <w:p w14:paraId="2E681E09">
            <w:pPr>
              <w:pStyle w:val="34"/>
              <w:jc w:val="center"/>
              <w:rPr>
                <w:rFonts w:ascii="仿宋" w:hAnsi="仿宋" w:eastAsia="仿宋" w:cs="仿宋"/>
                <w:sz w:val="24"/>
                <w:szCs w:val="24"/>
              </w:rPr>
            </w:pPr>
            <w:r>
              <w:rPr>
                <w:rFonts w:hint="eastAsia" w:ascii="仿宋" w:hAnsi="仿宋" w:eastAsia="仿宋"/>
                <w:kern w:val="2"/>
                <w:sz w:val="24"/>
                <w:szCs w:val="24"/>
              </w:rPr>
              <w:t>授权在线编辑</w:t>
            </w:r>
            <w:r>
              <w:rPr>
                <w:rFonts w:hint="eastAsia" w:ascii="仿宋" w:hAnsi="仿宋" w:eastAsia="仿宋"/>
                <w:sz w:val="24"/>
                <w:szCs w:val="24"/>
              </w:rPr>
              <w:t>组件</w:t>
            </w:r>
          </w:p>
        </w:tc>
        <w:tc>
          <w:tcPr>
            <w:tcW w:w="992" w:type="dxa"/>
            <w:tcMar>
              <w:top w:w="60" w:type="dxa"/>
              <w:left w:w="120" w:type="dxa"/>
              <w:bottom w:w="30" w:type="dxa"/>
              <w:right w:w="120" w:type="dxa"/>
            </w:tcMar>
            <w:vAlign w:val="center"/>
          </w:tcPr>
          <w:p w14:paraId="6B550F5E">
            <w:pPr>
              <w:spacing w:before="120" w:after="120" w:line="360" w:lineRule="exact"/>
              <w:jc w:val="center"/>
              <w:rPr>
                <w:rFonts w:ascii="仿宋" w:hAnsi="仿宋" w:eastAsia="仿宋" w:cs="仿宋"/>
                <w:sz w:val="24"/>
                <w:szCs w:val="24"/>
              </w:rPr>
            </w:pPr>
            <w:r>
              <w:rPr>
                <w:rFonts w:hint="eastAsia" w:ascii="仿宋" w:hAnsi="仿宋" w:eastAsia="仿宋"/>
                <w:sz w:val="24"/>
                <w:szCs w:val="24"/>
              </w:rPr>
              <w:t>2年</w:t>
            </w:r>
          </w:p>
        </w:tc>
        <w:tc>
          <w:tcPr>
            <w:tcW w:w="5041" w:type="dxa"/>
            <w:tcMar>
              <w:top w:w="60" w:type="dxa"/>
              <w:left w:w="120" w:type="dxa"/>
              <w:bottom w:w="30" w:type="dxa"/>
              <w:right w:w="120" w:type="dxa"/>
            </w:tcMar>
            <w:vAlign w:val="center"/>
          </w:tcPr>
          <w:p w14:paraId="393B69A8">
            <w:pPr>
              <w:spacing w:line="360" w:lineRule="exact"/>
              <w:rPr>
                <w:rFonts w:ascii="仿宋" w:hAnsi="仿宋" w:eastAsia="仿宋" w:cs="仿宋"/>
                <w:sz w:val="24"/>
                <w:szCs w:val="24"/>
              </w:rPr>
            </w:pPr>
            <w:r>
              <w:rPr>
                <w:rFonts w:hint="eastAsia" w:ascii="仿宋" w:hAnsi="仿宋" w:eastAsia="仿宋"/>
                <w:sz w:val="24"/>
                <w:szCs w:val="24"/>
              </w:rPr>
              <w:t>实现</w:t>
            </w:r>
            <w:r>
              <w:rPr>
                <w:rFonts w:ascii="仿宋" w:hAnsi="仿宋" w:eastAsia="仿宋"/>
                <w:sz w:val="24"/>
                <w:szCs w:val="24"/>
              </w:rPr>
              <w:t>OA系统附件在线阅读，支持</w:t>
            </w:r>
            <w:r>
              <w:rPr>
                <w:rFonts w:hint="eastAsia" w:ascii="仿宋" w:hAnsi="仿宋" w:eastAsia="仿宋"/>
                <w:sz w:val="24"/>
                <w:szCs w:val="24"/>
              </w:rPr>
              <w:t>PC版WEB端、企业微信H5、企业微信电脑版WEB、OA精灵客户端的Office、WPS和PDF格式</w:t>
            </w:r>
            <w:r>
              <w:rPr>
                <w:rFonts w:ascii="仿宋" w:hAnsi="仿宋" w:eastAsia="仿宋"/>
                <w:sz w:val="24"/>
                <w:szCs w:val="24"/>
              </w:rPr>
              <w:t>在线</w:t>
            </w:r>
            <w:r>
              <w:rPr>
                <w:rFonts w:hint="eastAsia" w:ascii="仿宋" w:hAnsi="仿宋" w:eastAsia="仿宋"/>
                <w:sz w:val="24"/>
                <w:szCs w:val="24"/>
              </w:rPr>
              <w:t>浏览、</w:t>
            </w:r>
            <w:r>
              <w:rPr>
                <w:rFonts w:ascii="仿宋" w:hAnsi="仿宋" w:eastAsia="仿宋"/>
                <w:sz w:val="24"/>
                <w:szCs w:val="24"/>
              </w:rPr>
              <w:t>编辑、</w:t>
            </w:r>
            <w:r>
              <w:rPr>
                <w:rFonts w:hint="eastAsia" w:ascii="仿宋" w:hAnsi="仿宋" w:eastAsia="仿宋"/>
                <w:sz w:val="24"/>
                <w:szCs w:val="24"/>
              </w:rPr>
              <w:t>多人协同编辑功能，不限用户数。</w:t>
            </w:r>
          </w:p>
        </w:tc>
      </w:tr>
      <w:tr w14:paraId="56B5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3FC7DECA">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5</w:t>
            </w:r>
          </w:p>
        </w:tc>
        <w:tc>
          <w:tcPr>
            <w:tcW w:w="1276" w:type="dxa"/>
            <w:tcMar>
              <w:top w:w="60" w:type="dxa"/>
              <w:left w:w="120" w:type="dxa"/>
              <w:bottom w:w="30" w:type="dxa"/>
              <w:right w:w="120" w:type="dxa"/>
            </w:tcMar>
            <w:vAlign w:val="center"/>
          </w:tcPr>
          <w:p w14:paraId="71BAB496">
            <w:pPr>
              <w:spacing w:before="120" w:after="120" w:line="360" w:lineRule="exact"/>
              <w:jc w:val="center"/>
              <w:rPr>
                <w:rFonts w:ascii="仿宋" w:hAnsi="仿宋" w:eastAsia="仿宋" w:cs="仿宋"/>
                <w:sz w:val="24"/>
                <w:szCs w:val="24"/>
              </w:rPr>
            </w:pPr>
            <w:r>
              <w:rPr>
                <w:rFonts w:hint="eastAsia" w:ascii="仿宋" w:hAnsi="仿宋" w:eastAsia="仿宋"/>
                <w:sz w:val="24"/>
                <w:szCs w:val="24"/>
              </w:rPr>
              <w:t>开发自动水印</w:t>
            </w:r>
          </w:p>
        </w:tc>
        <w:tc>
          <w:tcPr>
            <w:tcW w:w="992" w:type="dxa"/>
            <w:tcMar>
              <w:top w:w="60" w:type="dxa"/>
              <w:left w:w="120" w:type="dxa"/>
              <w:bottom w:w="30" w:type="dxa"/>
              <w:right w:w="120" w:type="dxa"/>
            </w:tcMar>
            <w:vAlign w:val="center"/>
          </w:tcPr>
          <w:p w14:paraId="22AECA17">
            <w:pPr>
              <w:spacing w:before="120" w:after="120" w:line="360" w:lineRule="exact"/>
              <w:jc w:val="center"/>
              <w:rPr>
                <w:rFonts w:ascii="仿宋" w:hAnsi="仿宋" w:eastAsia="仿宋" w:cs="仿宋"/>
                <w:sz w:val="24"/>
                <w:szCs w:val="24"/>
              </w:rPr>
            </w:pPr>
            <w:r>
              <w:rPr>
                <w:rFonts w:hint="eastAsia" w:ascii="仿宋" w:hAnsi="仿宋" w:eastAsia="仿宋"/>
                <w:sz w:val="24"/>
                <w:szCs w:val="24"/>
              </w:rPr>
              <w:t>1项</w:t>
            </w:r>
          </w:p>
        </w:tc>
        <w:tc>
          <w:tcPr>
            <w:tcW w:w="5041" w:type="dxa"/>
            <w:tcMar>
              <w:top w:w="60" w:type="dxa"/>
              <w:left w:w="120" w:type="dxa"/>
              <w:bottom w:w="30" w:type="dxa"/>
              <w:right w:w="120" w:type="dxa"/>
            </w:tcMar>
            <w:vAlign w:val="center"/>
          </w:tcPr>
          <w:p w14:paraId="268BA7E7">
            <w:pPr>
              <w:spacing w:before="120" w:after="120" w:line="360" w:lineRule="exact"/>
              <w:rPr>
                <w:rFonts w:ascii="仿宋" w:hAnsi="仿宋" w:eastAsia="仿宋" w:cs="仿宋"/>
                <w:sz w:val="24"/>
                <w:szCs w:val="24"/>
              </w:rPr>
            </w:pPr>
            <w:r>
              <w:rPr>
                <w:rFonts w:hint="eastAsia" w:ascii="仿宋" w:hAnsi="仿宋" w:eastAsia="仿宋"/>
                <w:sz w:val="24"/>
                <w:szCs w:val="24"/>
              </w:rPr>
              <w:t>根据需求在个人账号点开附件阅读时，附件中自动生成水印（含账号姓名/当前时间/学校名称）。文件格式包括Office、WPS、PDF，支持PC版WEB端、企业微信H5、企业微信电脑版WEB、OA精灵客户端。</w:t>
            </w:r>
          </w:p>
        </w:tc>
      </w:tr>
      <w:tr w14:paraId="3286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7B4E7D50">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6</w:t>
            </w:r>
          </w:p>
        </w:tc>
        <w:tc>
          <w:tcPr>
            <w:tcW w:w="1276" w:type="dxa"/>
            <w:tcMar>
              <w:top w:w="60" w:type="dxa"/>
              <w:left w:w="120" w:type="dxa"/>
              <w:bottom w:w="30" w:type="dxa"/>
              <w:right w:w="120" w:type="dxa"/>
            </w:tcMar>
            <w:vAlign w:val="center"/>
          </w:tcPr>
          <w:p w14:paraId="0D2A618C">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系统集成</w:t>
            </w:r>
          </w:p>
        </w:tc>
        <w:tc>
          <w:tcPr>
            <w:tcW w:w="992" w:type="dxa"/>
            <w:tcMar>
              <w:top w:w="60" w:type="dxa"/>
              <w:left w:w="120" w:type="dxa"/>
              <w:bottom w:w="30" w:type="dxa"/>
              <w:right w:w="120" w:type="dxa"/>
            </w:tcMar>
            <w:vAlign w:val="center"/>
          </w:tcPr>
          <w:p w14:paraId="2DECF886">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5041" w:type="dxa"/>
            <w:tcMar>
              <w:top w:w="60" w:type="dxa"/>
              <w:left w:w="120" w:type="dxa"/>
              <w:bottom w:w="30" w:type="dxa"/>
              <w:right w:w="120" w:type="dxa"/>
            </w:tcMar>
            <w:vAlign w:val="center"/>
          </w:tcPr>
          <w:p w14:paraId="7706FD26">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接口集成</w:t>
            </w:r>
          </w:p>
          <w:p w14:paraId="622A9E27">
            <w:pPr>
              <w:rPr>
                <w:rFonts w:ascii="仿宋" w:hAnsi="仿宋" w:eastAsia="仿宋"/>
                <w:sz w:val="24"/>
                <w:szCs w:val="24"/>
              </w:rPr>
            </w:pPr>
            <w:r>
              <w:rPr>
                <w:rFonts w:hint="eastAsia" w:ascii="仿宋" w:hAnsi="仿宋" w:eastAsia="仿宋"/>
                <w:sz w:val="24"/>
                <w:szCs w:val="24"/>
              </w:rPr>
              <w:t>（1）与学校电子签章平台对接，</w:t>
            </w:r>
            <w:r>
              <w:rPr>
                <w:rFonts w:ascii="仿宋" w:hAnsi="仿宋" w:eastAsia="仿宋"/>
                <w:sz w:val="24"/>
                <w:szCs w:val="24"/>
              </w:rPr>
              <w:t>开发通达 OA 与</w:t>
            </w:r>
            <w:r>
              <w:rPr>
                <w:rFonts w:hint="eastAsia" w:ascii="仿宋" w:hAnsi="仿宋" w:eastAsia="仿宋"/>
                <w:sz w:val="24"/>
                <w:szCs w:val="24"/>
              </w:rPr>
              <w:t>电子签章平台</w:t>
            </w:r>
            <w:r>
              <w:rPr>
                <w:rFonts w:ascii="仿宋" w:hAnsi="仿宋" w:eastAsia="仿宋"/>
                <w:sz w:val="24"/>
                <w:szCs w:val="24"/>
              </w:rPr>
              <w:t>的接口适配层，实现用户身份同步（OA 账号与</w:t>
            </w:r>
            <w:r>
              <w:rPr>
                <w:rFonts w:hint="eastAsia" w:ascii="仿宋" w:hAnsi="仿宋" w:eastAsia="仿宋"/>
                <w:sz w:val="24"/>
                <w:szCs w:val="24"/>
              </w:rPr>
              <w:t>电子签章平台</w:t>
            </w:r>
            <w:r>
              <w:rPr>
                <w:rFonts w:ascii="仿宋" w:hAnsi="仿宋" w:eastAsia="仿宋"/>
                <w:sz w:val="24"/>
                <w:szCs w:val="24"/>
              </w:rPr>
              <w:t>账号映射）、权限同步（OA 角色对应</w:t>
            </w:r>
            <w:r>
              <w:rPr>
                <w:rFonts w:hint="eastAsia" w:ascii="仿宋" w:hAnsi="仿宋" w:eastAsia="仿宋"/>
                <w:sz w:val="24"/>
                <w:szCs w:val="24"/>
              </w:rPr>
              <w:t>电子签章平台</w:t>
            </w:r>
            <w:r>
              <w:rPr>
                <w:rFonts w:ascii="仿宋" w:hAnsi="仿宋" w:eastAsia="仿宋"/>
                <w:sz w:val="24"/>
                <w:szCs w:val="24"/>
              </w:rPr>
              <w:t>权限）；</w:t>
            </w:r>
          </w:p>
          <w:p w14:paraId="1802280B">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封装契约锁电子签章 API、文件上传 API、签章记录查询 API，供 OA 系统调用；</w:t>
            </w:r>
          </w:p>
          <w:p w14:paraId="25C6FAB9">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开发数据回调接口，确保签章结果（成功 / 失败）、签章日志实时同步至 OA 系统。</w:t>
            </w:r>
          </w:p>
          <w:p w14:paraId="5D8D650B">
            <w:pPr>
              <w:spacing w:before="120" w:after="120" w:line="360" w:lineRule="exact"/>
              <w:rPr>
                <w:rFonts w:ascii="仿宋" w:hAnsi="仿宋" w:eastAsia="仿宋"/>
                <w:sz w:val="24"/>
                <w:szCs w:val="24"/>
              </w:rPr>
            </w:pPr>
            <w:r>
              <w:rPr>
                <w:rFonts w:hint="eastAsia" w:ascii="仿宋" w:hAnsi="仿宋" w:eastAsia="仿宋"/>
                <w:sz w:val="24"/>
                <w:szCs w:val="24"/>
              </w:rPr>
              <w:t>（电子签章平台：契约锁5</w:t>
            </w:r>
            <w:r>
              <w:rPr>
                <w:rFonts w:ascii="仿宋" w:hAnsi="仿宋" w:eastAsia="仿宋"/>
                <w:sz w:val="24"/>
                <w:szCs w:val="24"/>
              </w:rPr>
              <w:t>.0</w:t>
            </w:r>
            <w:r>
              <w:rPr>
                <w:rFonts w:hint="eastAsia" w:ascii="仿宋" w:hAnsi="仿宋" w:eastAsia="仿宋"/>
                <w:sz w:val="24"/>
                <w:szCs w:val="24"/>
              </w:rPr>
              <w:t>）</w:t>
            </w:r>
          </w:p>
          <w:p w14:paraId="146A4F09">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 OA 表单签章模块</w:t>
            </w:r>
          </w:p>
          <w:p w14:paraId="4D66BF4C">
            <w:pP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在 PC 端 OA 流程表单编辑器中，增加 “电子签章字段” 配置功能，支持管理员指定表单中需签章的位置</w:t>
            </w:r>
            <w:r>
              <w:rPr>
                <w:rFonts w:hint="eastAsia" w:ascii="仿宋" w:hAnsi="仿宋" w:eastAsia="仿宋"/>
                <w:sz w:val="24"/>
                <w:szCs w:val="24"/>
              </w:rPr>
              <w:t>/签章人拖动盖章</w:t>
            </w:r>
            <w:r>
              <w:rPr>
                <w:rFonts w:ascii="仿宋" w:hAnsi="仿宋" w:eastAsia="仿宋"/>
                <w:sz w:val="24"/>
                <w:szCs w:val="24"/>
              </w:rPr>
              <w:t>；</w:t>
            </w:r>
          </w:p>
          <w:p w14:paraId="79C594D5">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开发移动端 OA 表单签章组件，适配触屏操作，支持签章位置拖动调整、签章大小缩放；</w:t>
            </w:r>
          </w:p>
          <w:p w14:paraId="2BEBA17F">
            <w:pPr>
              <w:spacing w:before="120" w:after="120" w:line="36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实现签章触发逻辑：当 OA 流程流转至指定节点时，自动触发签章权限，用户确认后完成签章，签章结果关联至 OA 流程记录。</w:t>
            </w:r>
          </w:p>
          <w:p w14:paraId="099F5131">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OA 附件盖章模块</w:t>
            </w:r>
          </w:p>
          <w:p w14:paraId="3FFA864A">
            <w:pP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在 OA 附件预览 / 下载功能中，增加 “在线盖章” 按钮，点击后通过单点登录（SSO）跳转至</w:t>
            </w:r>
            <w:r>
              <w:rPr>
                <w:rFonts w:hint="eastAsia" w:ascii="仿宋" w:hAnsi="仿宋" w:eastAsia="仿宋"/>
                <w:sz w:val="24"/>
                <w:szCs w:val="24"/>
              </w:rPr>
              <w:t>学校电子签章平台</w:t>
            </w:r>
            <w:r>
              <w:rPr>
                <w:rFonts w:ascii="仿宋" w:hAnsi="仿宋" w:eastAsia="仿宋"/>
                <w:sz w:val="24"/>
                <w:szCs w:val="24"/>
              </w:rPr>
              <w:t>文件盖章页面，无需重复登录；</w:t>
            </w:r>
          </w:p>
          <w:p w14:paraId="08FE9549">
            <w:pPr>
              <w:spacing w:before="120" w:after="120" w:line="36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开发</w:t>
            </w:r>
            <w:r>
              <w:rPr>
                <w:rFonts w:hint="eastAsia" w:ascii="仿宋" w:hAnsi="仿宋" w:eastAsia="仿宋"/>
                <w:sz w:val="24"/>
                <w:szCs w:val="24"/>
              </w:rPr>
              <w:t>电子签章</w:t>
            </w:r>
            <w:r>
              <w:rPr>
                <w:rFonts w:ascii="仿宋" w:hAnsi="仿宋" w:eastAsia="仿宋"/>
                <w:sz w:val="24"/>
                <w:szCs w:val="24"/>
              </w:rPr>
              <w:t>盖章页面与 OA 的联动逻辑：自动同步 OA 附件至</w:t>
            </w:r>
            <w:r>
              <w:rPr>
                <w:rFonts w:hint="eastAsia" w:ascii="仿宋" w:hAnsi="仿宋" w:eastAsia="仿宋"/>
                <w:sz w:val="24"/>
                <w:szCs w:val="24"/>
              </w:rPr>
              <w:t>电子签章平台</w:t>
            </w:r>
            <w:r>
              <w:rPr>
                <w:rFonts w:ascii="仿宋" w:hAnsi="仿宋" w:eastAsia="仿宋"/>
                <w:sz w:val="24"/>
                <w:szCs w:val="24"/>
              </w:rPr>
              <w:t xml:space="preserve">，支持用户选择签章类型（个人章 / </w:t>
            </w:r>
            <w:r>
              <w:rPr>
                <w:rFonts w:hint="eastAsia" w:ascii="仿宋" w:hAnsi="仿宋" w:eastAsia="仿宋"/>
                <w:sz w:val="24"/>
                <w:szCs w:val="24"/>
              </w:rPr>
              <w:t>部门</w:t>
            </w:r>
            <w:r>
              <w:rPr>
                <w:rFonts w:ascii="仿宋" w:hAnsi="仿宋" w:eastAsia="仿宋"/>
                <w:sz w:val="24"/>
                <w:szCs w:val="24"/>
              </w:rPr>
              <w:t>章）、调整签章位置，盖章完成后自动将带章文件回传至 OA 附件列表，覆盖原文件或生成新的带章版本（可配置）</w:t>
            </w:r>
            <w:r>
              <w:rPr>
                <w:rFonts w:hint="eastAsia" w:ascii="仿宋" w:hAnsi="仿宋" w:eastAsia="仿宋"/>
                <w:sz w:val="24"/>
                <w:szCs w:val="24"/>
              </w:rPr>
              <w:t>。</w:t>
            </w:r>
          </w:p>
          <w:p w14:paraId="29B1C12D">
            <w:pPr>
              <w:pStyle w:val="34"/>
              <w:rPr>
                <w:rFonts w:ascii="仿宋" w:hAnsi="仿宋" w:eastAsia="仿宋"/>
                <w:kern w:val="2"/>
                <w:sz w:val="24"/>
                <w:szCs w:val="24"/>
              </w:rPr>
            </w:pPr>
            <w:r>
              <w:rPr>
                <w:rFonts w:ascii="仿宋" w:hAnsi="仿宋" w:eastAsia="仿宋"/>
                <w:kern w:val="2"/>
                <w:sz w:val="24"/>
                <w:szCs w:val="24"/>
              </w:rPr>
              <w:t>4. 兼容性与安全模块</w:t>
            </w:r>
          </w:p>
          <w:p w14:paraId="234CA2E8">
            <w:pPr>
              <w:pStyle w:val="34"/>
              <w:rPr>
                <w:rFonts w:ascii="仿宋" w:hAnsi="仿宋" w:eastAsia="仿宋"/>
                <w:kern w:val="2"/>
                <w:sz w:val="24"/>
                <w:szCs w:val="24"/>
              </w:rPr>
            </w:pPr>
            <w:r>
              <w:rPr>
                <w:rFonts w:hint="eastAsia" w:ascii="仿宋" w:hAnsi="仿宋" w:eastAsia="仿宋"/>
                <w:kern w:val="2"/>
                <w:sz w:val="24"/>
                <w:szCs w:val="24"/>
              </w:rPr>
              <w:t>（1）</w:t>
            </w:r>
            <w:r>
              <w:rPr>
                <w:rFonts w:ascii="仿宋" w:hAnsi="仿宋" w:eastAsia="仿宋"/>
                <w:kern w:val="2"/>
                <w:sz w:val="24"/>
                <w:szCs w:val="24"/>
              </w:rPr>
              <w:t>适配通达 OA 现有流程引擎，确保集成后不影响原有 OA 流程的正常运行；</w:t>
            </w:r>
          </w:p>
          <w:p w14:paraId="4E1263AA">
            <w:pPr>
              <w:spacing w:before="120" w:after="120" w:line="360" w:lineRule="exact"/>
              <w:rPr>
                <w:rFonts w:ascii="仿宋" w:hAnsi="仿宋" w:eastAsia="仿宋" w:cs="仿宋"/>
                <w:sz w:val="24"/>
                <w:szCs w:val="24"/>
              </w:rPr>
            </w:pPr>
            <w:r>
              <w:rPr>
                <w:rFonts w:hint="eastAsia" w:ascii="仿宋" w:hAnsi="仿宋" w:eastAsia="仿宋"/>
                <w:sz w:val="24"/>
                <w:szCs w:val="24"/>
              </w:rPr>
              <w:t>（2）</w:t>
            </w:r>
            <w:r>
              <w:rPr>
                <w:rFonts w:ascii="仿宋" w:hAnsi="仿宋" w:eastAsia="仿宋"/>
                <w:sz w:val="24"/>
                <w:szCs w:val="24"/>
              </w:rPr>
              <w:t>实现签章文件防篡改：通过</w:t>
            </w:r>
            <w:r>
              <w:rPr>
                <w:rFonts w:hint="eastAsia" w:ascii="仿宋" w:hAnsi="仿宋" w:eastAsia="仿宋"/>
                <w:sz w:val="24"/>
                <w:szCs w:val="24"/>
              </w:rPr>
              <w:t>电子签章平台</w:t>
            </w:r>
            <w:r>
              <w:rPr>
                <w:rFonts w:ascii="仿宋" w:hAnsi="仿宋" w:eastAsia="仿宋"/>
                <w:sz w:val="24"/>
                <w:szCs w:val="24"/>
              </w:rPr>
              <w:t>数字证书对签章文件生成唯一哈希值，存储至区块链存证平台，用户可在 OA 中验证文件完整性。</w:t>
            </w:r>
          </w:p>
        </w:tc>
      </w:tr>
    </w:tbl>
    <w:p w14:paraId="660DD410">
      <w:pPr>
        <w:rPr>
          <w:rFonts w:ascii="仿宋" w:hAnsi="仿宋" w:eastAsia="仿宋" w:cs="仿宋"/>
          <w:b/>
          <w:bCs/>
          <w:sz w:val="28"/>
          <w:szCs w:val="28"/>
        </w:rPr>
      </w:pPr>
    </w:p>
    <w:p w14:paraId="3B8D44DA">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第二条 交付时间及地点 </w:t>
      </w:r>
    </w:p>
    <w:p w14:paraId="35972D46">
      <w:pPr>
        <w:spacing w:line="360" w:lineRule="auto"/>
        <w:ind w:left="420" w:firstLine="140" w:firstLineChars="50"/>
        <w:rPr>
          <w:rFonts w:ascii="仿宋" w:hAnsi="仿宋" w:eastAsia="仿宋" w:cs="仿宋"/>
          <w:sz w:val="28"/>
          <w:szCs w:val="28"/>
        </w:rPr>
      </w:pPr>
      <w:r>
        <w:rPr>
          <w:rFonts w:hint="eastAsia" w:ascii="仿宋" w:hAnsi="仿宋" w:eastAsia="仿宋" w:cs="仿宋"/>
          <w:sz w:val="28"/>
          <w:szCs w:val="28"/>
        </w:rPr>
        <w:t>乙方应按下列进度完成研究开发工作：</w:t>
      </w:r>
    </w:p>
    <w:p w14:paraId="03B0944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1.合同签订后5天（日历日）内，提交整体技术方案及详细的工作进度表；</w:t>
      </w:r>
    </w:p>
    <w:p w14:paraId="2834091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2.合同签订后</w:t>
      </w:r>
      <w:r>
        <w:rPr>
          <w:rFonts w:ascii="仿宋" w:hAnsi="仿宋" w:eastAsia="仿宋" w:cs="仿宋"/>
          <w:sz w:val="28"/>
          <w:szCs w:val="28"/>
        </w:rPr>
        <w:t>20</w:t>
      </w:r>
      <w:r>
        <w:rPr>
          <w:rFonts w:hint="eastAsia" w:ascii="仿宋" w:hAnsi="仿宋" w:eastAsia="仿宋" w:cs="仿宋"/>
          <w:sz w:val="28"/>
          <w:szCs w:val="28"/>
        </w:rPr>
        <w:t>天（日历日）内完成本合同要求内容，邀请甲方相关管理员进行使用测试上线；所有功能运行正常，验收合格并交付使用；</w:t>
      </w:r>
    </w:p>
    <w:p w14:paraId="6F4E30F0">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乙方须按投标文件承诺的服务响应条款向甲方提供服务。</w:t>
      </w:r>
    </w:p>
    <w:p w14:paraId="25B8691D">
      <w:pPr>
        <w:spacing w:line="360" w:lineRule="auto"/>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交付地点：广西艺术学院指定地点；</w:t>
      </w:r>
    </w:p>
    <w:p w14:paraId="2EA5562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第三条 付款方式</w:t>
      </w:r>
    </w:p>
    <w:p w14:paraId="17E7D19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1.项目合同总费用（含税，增值税税率</w:t>
      </w:r>
      <w:r>
        <w:rPr>
          <w:rFonts w:hint="eastAsia" w:ascii="仿宋" w:hAnsi="仿宋" w:eastAsia="仿宋" w:cs="仿宋"/>
          <w:sz w:val="28"/>
          <w:szCs w:val="28"/>
          <w:u w:val="single"/>
        </w:rPr>
        <w:t>6</w:t>
      </w:r>
      <w:r>
        <w:rPr>
          <w:rFonts w:hint="eastAsia" w:ascii="仿宋" w:hAnsi="仿宋" w:eastAsia="仿宋" w:cs="仿宋"/>
          <w:sz w:val="28"/>
          <w:szCs w:val="28"/>
        </w:rPr>
        <w:t>%）为：</w:t>
      </w:r>
      <w:r>
        <w:rPr>
          <w:rFonts w:hint="eastAsia" w:ascii="仿宋" w:hAnsi="仿宋" w:eastAsia="仿宋" w:cs="仿宋"/>
          <w:bCs/>
          <w:sz w:val="28"/>
          <w:szCs w:val="28"/>
        </w:rPr>
        <w:t>人民币（大写）：</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元，</w:t>
      </w:r>
      <w:r>
        <w:rPr>
          <w:rFonts w:hint="eastAsia" w:ascii="仿宋" w:hAnsi="仿宋" w:eastAsia="仿宋" w:cs="仿宋"/>
          <w:sz w:val="28"/>
          <w:szCs w:val="28"/>
        </w:rPr>
        <w:t>前述合同价款是乙方履行本合同义务所需的全部费用，除双方另有明确书面约定外，甲方无需向乙方支付其他任何费用。</w:t>
      </w:r>
    </w:p>
    <w:p w14:paraId="336169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2.甲方按开发进度分以下阶段向乙方支付：</w:t>
      </w:r>
    </w:p>
    <w:p w14:paraId="3B05ED3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（1）双方签订合同之后，乙方需向甲方支付合同金额</w:t>
      </w:r>
      <w:r>
        <w:rPr>
          <w:rFonts w:ascii="仿宋" w:hAnsi="仿宋" w:eastAsia="仿宋" w:cs="仿宋"/>
          <w:sz w:val="28"/>
          <w:szCs w:val="28"/>
        </w:rPr>
        <w:t>5</w:t>
      </w:r>
      <w:r>
        <w:rPr>
          <w:rFonts w:hint="eastAsia" w:ascii="仿宋" w:hAnsi="仿宋" w:eastAsia="仿宋" w:cs="仿宋"/>
          <w:sz w:val="28"/>
          <w:szCs w:val="28"/>
        </w:rPr>
        <w:t>%的履约保证金，合计为：人民币（大写）：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6D6ACE2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（2）应用升级工作完成后，经甲方确认验收合格，甲方向乙方支付合同金额100%款项，合计为：人民币（大写）：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35742A61">
      <w:pPr>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（3）质保期为一年，一年质保期满后无质量问题，乙方可申请退还履约保证金。</w:t>
      </w:r>
    </w:p>
    <w:p w14:paraId="448A8E4D">
      <w:pPr>
        <w:pStyle w:val="36"/>
        <w:ind w:firstLine="560" w:firstLineChars="200"/>
        <w:rPr>
          <w:rFonts w:ascii="仿宋" w:hAnsi="仿宋" w:eastAsia="仿宋" w:cs="仿宋"/>
          <w:bCs/>
          <w:sz w:val="28"/>
          <w:szCs w:val="28"/>
        </w:rPr>
      </w:pPr>
      <w:r>
        <w:rPr>
          <w:rFonts w:hint="eastAsia" w:ascii="仿宋" w:hAnsi="仿宋" w:eastAsia="仿宋" w:cs="仿宋"/>
          <w:bCs/>
          <w:sz w:val="28"/>
          <w:szCs w:val="28"/>
        </w:rPr>
        <w:t>3.甲方付款前，乙方应向甲方开具合同总价的增值税</w:t>
      </w:r>
      <w:r>
        <w:rPr>
          <w:rFonts w:hint="eastAsia" w:ascii="仿宋" w:hAnsi="仿宋" w:eastAsia="仿宋" w:cs="仿宋"/>
          <w:sz w:val="28"/>
          <w:szCs w:val="28"/>
        </w:rPr>
        <w:t>发票</w:t>
      </w:r>
      <w:r>
        <w:rPr>
          <w:rFonts w:hint="eastAsia" w:ascii="仿宋" w:hAnsi="仿宋" w:eastAsia="仿宋" w:cs="仿宋"/>
          <w:bCs/>
          <w:sz w:val="28"/>
          <w:szCs w:val="28"/>
        </w:rPr>
        <w:t>，否则甲方付款时间顺延且不承担由此产生的延迟付款责任。</w:t>
      </w:r>
    </w:p>
    <w:p w14:paraId="1281E941">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第四条  知识产权</w:t>
      </w:r>
    </w:p>
    <w:p w14:paraId="1CDE2E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有不可争议的义务确保甲方依据本次采购所获得的知识产权不存在任何瑕疵并且可以不受限制地行使相关权利，包括各项延伸权利。若因此发生任何争议均应当由乙方承担全部及任何责任，包括但不限于应当承担其自身及甲方为排除任何争议或瑕疵所应当或所需支附的一切相关或由此引起的费用。</w:t>
      </w:r>
    </w:p>
    <w:p w14:paraId="12B6D75A">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第五条　开发方式</w:t>
      </w:r>
    </w:p>
    <w:p w14:paraId="0B705FD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开发工作由乙方完成，甲方予以配合，系统开发中，所需相关信息、设备和场地由甲方提供。</w:t>
      </w:r>
    </w:p>
    <w:p w14:paraId="711A04F6">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第六条　验收</w:t>
      </w:r>
    </w:p>
    <w:p w14:paraId="0E3D383F">
      <w:pPr>
        <w:spacing w:line="360" w:lineRule="auto"/>
        <w:ind w:left="420" w:firstLine="140" w:firstLineChars="50"/>
        <w:rPr>
          <w:rFonts w:ascii="仿宋" w:hAnsi="仿宋" w:eastAsia="仿宋" w:cs="仿宋"/>
          <w:sz w:val="28"/>
          <w:szCs w:val="28"/>
        </w:rPr>
      </w:pPr>
      <w:r>
        <w:rPr>
          <w:rFonts w:hint="eastAsia" w:ascii="仿宋" w:hAnsi="仿宋" w:eastAsia="仿宋" w:cs="仿宋"/>
          <w:sz w:val="28"/>
          <w:szCs w:val="28"/>
        </w:rPr>
        <w:t>甲方应按工作进度表中约定的时间进行验收。</w:t>
      </w:r>
    </w:p>
    <w:p w14:paraId="5DA38B7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1．验收方法：系统调试运行正常，系统配置和测试报告完成，乙方向甲方提交验收申请及验收项目清单；验收标准以第一条第二款约定工作内容所述功能要求为准。</w:t>
      </w:r>
    </w:p>
    <w:p w14:paraId="662B735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2．验收前提：系统中不得含有侵犯他人知识产权的内容；不得含有计算机病毒及不良代码；不得危害计算机系统的安全；不得含有国家规定禁止传播的内容，符合我国软件标准规范。</w:t>
      </w:r>
    </w:p>
    <w:p w14:paraId="2BF468C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3．验收资料：</w:t>
      </w:r>
    </w:p>
    <w:p w14:paraId="5A659A60">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系统设计方案技术文档；</w:t>
      </w:r>
    </w:p>
    <w:p w14:paraId="06E0322A">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系统数据库设计说明；</w:t>
      </w:r>
    </w:p>
    <w:p w14:paraId="61F12E34">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xml:space="preserve">■ 带注释的软件源代码； </w:t>
      </w:r>
    </w:p>
    <w:p w14:paraId="7C865C86">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用户操作手册；</w:t>
      </w:r>
    </w:p>
    <w:p w14:paraId="49988680">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其他必要的相关技术文档资料。</w:t>
      </w:r>
    </w:p>
    <w:p w14:paraId="7B6CC638">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第七条  人员培训</w:t>
      </w:r>
    </w:p>
    <w:p w14:paraId="16FD5DD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双方确定，乙方应在开发过程中及系统完成后，根据甲方的请求为甲方指定的人员提供免费技术指导和培训，或提供与使用该研究开发成果相关的技术服务。</w:t>
      </w:r>
    </w:p>
    <w:p w14:paraId="1106A328">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第八条  售后服务</w:t>
      </w:r>
    </w:p>
    <w:p w14:paraId="46ADEE0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1.本项目验收半年内，视</w:t>
      </w:r>
      <w:r>
        <w:rPr>
          <w:rFonts w:ascii="仿宋" w:hAnsi="仿宋" w:eastAsia="仿宋" w:cs="仿宋"/>
          <w:sz w:val="28"/>
          <w:szCs w:val="28"/>
        </w:rPr>
        <w:t>通达 OA 版本更新、契约锁</w:t>
      </w:r>
      <w:r>
        <w:rPr>
          <w:rFonts w:hint="eastAsia" w:ascii="仿宋" w:hAnsi="仿宋" w:eastAsia="仿宋" w:cs="仿宋"/>
          <w:sz w:val="28"/>
          <w:szCs w:val="28"/>
        </w:rPr>
        <w:t>电子签章平台</w:t>
      </w:r>
      <w:r>
        <w:rPr>
          <w:rFonts w:ascii="仿宋" w:hAnsi="仿宋" w:eastAsia="仿宋" w:cs="仿宋"/>
          <w:sz w:val="28"/>
          <w:szCs w:val="28"/>
        </w:rPr>
        <w:t xml:space="preserve"> API 升级</w:t>
      </w:r>
      <w:r>
        <w:rPr>
          <w:rFonts w:hint="eastAsia" w:ascii="仿宋" w:hAnsi="仿宋" w:eastAsia="仿宋" w:cs="仿宋"/>
          <w:sz w:val="28"/>
          <w:szCs w:val="28"/>
        </w:rPr>
        <w:t>情况</w:t>
      </w:r>
      <w:r>
        <w:rPr>
          <w:rFonts w:ascii="仿宋" w:hAnsi="仿宋" w:eastAsia="仿宋" w:cs="仿宋"/>
          <w:sz w:val="28"/>
          <w:szCs w:val="28"/>
        </w:rPr>
        <w:t>，提供 1 次免费系统适配升级</w:t>
      </w:r>
      <w:r>
        <w:rPr>
          <w:rFonts w:hint="eastAsia" w:ascii="仿宋" w:hAnsi="仿宋" w:eastAsia="仿宋" w:cs="仿宋"/>
          <w:sz w:val="28"/>
          <w:szCs w:val="28"/>
        </w:rPr>
        <w:t>。自验收合格之日起算。</w:t>
      </w:r>
    </w:p>
    <w:p w14:paraId="19915AB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2.响应机制：提供7×24小时服务，接到故障通知后3小时内响应，8小时内解决问题。对于通过电话、远程等方式无法解决的故障，派工程师在采购人提出现场处置的申请起3小时内到达现场进行处置。</w:t>
      </w:r>
    </w:p>
    <w:p w14:paraId="7852B01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3.定期维护：</w:t>
      </w:r>
      <w:r>
        <w:rPr>
          <w:rFonts w:ascii="仿宋" w:hAnsi="仿宋" w:eastAsia="仿宋" w:cs="仿宋"/>
          <w:sz w:val="28"/>
          <w:szCs w:val="28"/>
        </w:rPr>
        <w:t>每季度进行 1 次系统巡检，检查</w:t>
      </w:r>
      <w:r>
        <w:rPr>
          <w:rFonts w:hint="eastAsia" w:ascii="仿宋" w:hAnsi="仿宋" w:eastAsia="仿宋" w:cs="仿宋"/>
          <w:sz w:val="28"/>
          <w:szCs w:val="28"/>
        </w:rPr>
        <w:t>OA系统及电子签章</w:t>
      </w:r>
      <w:r>
        <w:rPr>
          <w:rFonts w:ascii="仿宋" w:hAnsi="仿宋" w:eastAsia="仿宋" w:cs="仿宋"/>
          <w:sz w:val="28"/>
          <w:szCs w:val="28"/>
        </w:rPr>
        <w:t>接口连通性、签章日志完整性</w:t>
      </w:r>
      <w:r>
        <w:rPr>
          <w:rFonts w:hint="eastAsia" w:ascii="仿宋" w:hAnsi="仿宋" w:eastAsia="仿宋" w:cs="仿宋"/>
          <w:sz w:val="28"/>
          <w:szCs w:val="28"/>
        </w:rPr>
        <w:t>。</w:t>
      </w:r>
    </w:p>
    <w:p w14:paraId="173B563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4.服务反馈：建立服务台账记录故障处理及维护情况，每月提交台账汇总，售后服务期满前提交含服务统计及优化建议的总结报告；</w:t>
      </w:r>
    </w:p>
    <w:p w14:paraId="5A67B52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5.培训支持：提供管理员操作培训，确保其掌握系统使用及基础问题排查方法。</w:t>
      </w:r>
    </w:p>
    <w:p w14:paraId="579C8675">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第九条　转让</w:t>
      </w:r>
    </w:p>
    <w:p w14:paraId="2ADF1DA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本合同的变更和修改必须由双方协商一致，并以书面形式确定。在没有另一方事先书面同意的情况下，任何一方不得将本合同项下的权利、义务部分或全部地转让给第三方。</w:t>
      </w:r>
    </w:p>
    <w:p w14:paraId="4C827A9F">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第十条　技术资料和保密义务</w:t>
      </w:r>
    </w:p>
    <w:p w14:paraId="44A6FA81">
      <w:pPr>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乙方有权依据合同约定和项目需要，向甲方了解有关情况，调阅有关资料等，甲方应予积极配合；</w:t>
      </w:r>
    </w:p>
    <w:p w14:paraId="54E51169">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乙方有义务妥善保管和保护由甲方提供的信息和资料等；</w:t>
      </w:r>
    </w:p>
    <w:p w14:paraId="72D9CE38">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sz w:val="28"/>
          <w:szCs w:val="28"/>
        </w:rPr>
        <w:t>技术情报</w:t>
      </w:r>
      <w:r>
        <w:rPr>
          <w:rFonts w:hint="eastAsia" w:ascii="仿宋" w:hAnsi="仿宋" w:eastAsia="仿宋"/>
          <w:sz w:val="28"/>
          <w:szCs w:val="28"/>
        </w:rPr>
        <w:t>、</w:t>
      </w:r>
      <w:r>
        <w:rPr>
          <w:rFonts w:ascii="仿宋" w:hAnsi="仿宋" w:eastAsia="仿宋"/>
          <w:sz w:val="28"/>
          <w:szCs w:val="28"/>
        </w:rPr>
        <w:t>技术资料</w:t>
      </w:r>
      <w:r>
        <w:rPr>
          <w:rFonts w:hint="eastAsia" w:ascii="仿宋" w:hAnsi="仿宋" w:eastAsia="仿宋"/>
          <w:sz w:val="28"/>
          <w:szCs w:val="28"/>
        </w:rPr>
        <w:t>、商业秘密和商业信息等，并采取一切合理和必要措施和方式防止任何第三方接触到对方当事人的上述保密信息和资料。</w:t>
      </w:r>
    </w:p>
    <w:p w14:paraId="28C93BD2">
      <w:pPr>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 xml:space="preserve"> 本合同履行完毕或终止后，上述保密条款继续有效。</w:t>
      </w:r>
    </w:p>
    <w:p w14:paraId="4B08BC55">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第十一条　违约责任</w:t>
      </w:r>
    </w:p>
    <w:p w14:paraId="292DE8F0">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1.如乙方在规定期限内不能按时完成约定义务，每逾一日，应向甲方支付该期金额万分之五的违约金。逾期交付超过1个月，甲方可解除合同，乙方需要支付甲方逾期交付违约金以及合同金额的</w:t>
      </w:r>
      <w:r>
        <w:rPr>
          <w:rFonts w:ascii="仿宋" w:hAnsi="仿宋" w:eastAsia="仿宋" w:cs="仿宋"/>
          <w:sz w:val="28"/>
          <w:szCs w:val="28"/>
        </w:rPr>
        <w:t>5</w:t>
      </w:r>
      <w:r>
        <w:rPr>
          <w:rFonts w:hint="eastAsia" w:ascii="仿宋" w:hAnsi="仿宋" w:eastAsia="仿宋" w:cs="仿宋"/>
          <w:sz w:val="28"/>
          <w:szCs w:val="28"/>
        </w:rPr>
        <w:t>%的违约金。</w:t>
      </w:r>
    </w:p>
    <w:p w14:paraId="614E13C8">
      <w:pPr>
        <w:pStyle w:val="19"/>
        <w:spacing w:line="360" w:lineRule="auto"/>
        <w:ind w:firstLine="560"/>
        <w:rPr>
          <w:rFonts w:ascii="仿宋" w:hAnsi="仿宋" w:eastAsia="仿宋" w:cs="仿宋"/>
        </w:rPr>
      </w:pPr>
      <w:r>
        <w:rPr>
          <w:rFonts w:ascii="仿宋" w:hAnsi="仿宋" w:eastAsia="仿宋" w:cs="仿宋"/>
          <w:sz w:val="28"/>
          <w:szCs w:val="28"/>
        </w:rPr>
        <w:t xml:space="preserve">  </w:t>
      </w:r>
      <w:r>
        <w:rPr>
          <w:rFonts w:hint="eastAsia" w:ascii="仿宋" w:hAnsi="仿宋" w:eastAsia="仿宋" w:cs="仿宋"/>
          <w:sz w:val="28"/>
          <w:szCs w:val="28"/>
        </w:rPr>
        <w:t>2.本项目经甲方验收不合格的，甲方有权解除合同，乙方应退还甲方已经支付的全部款项，如有未付合同款项的，也无需支付。</w:t>
      </w:r>
    </w:p>
    <w:p w14:paraId="0B59BC45">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第十二条  项目联系</w:t>
      </w:r>
    </w:p>
    <w:p w14:paraId="0C986A0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双方确定，在本合同有效期内，甲方指定</w:t>
      </w:r>
      <w:r>
        <w:rPr>
          <w:rFonts w:hint="eastAsia" w:ascii="仿宋" w:hAnsi="仿宋" w:eastAsia="仿宋" w:cs="仿宋"/>
          <w:sz w:val="28"/>
          <w:szCs w:val="28"/>
          <w:u w:val="single"/>
        </w:rPr>
        <w:t xml:space="preserve">      </w:t>
      </w:r>
      <w:r>
        <w:rPr>
          <w:rFonts w:hint="eastAsia" w:ascii="仿宋" w:hAnsi="仿宋" w:eastAsia="仿宋" w:cs="仿宋"/>
          <w:sz w:val="28"/>
          <w:szCs w:val="28"/>
        </w:rPr>
        <w:t>为甲方项目联系人，乙方指定</w:t>
      </w:r>
      <w:r>
        <w:rPr>
          <w:rFonts w:hint="eastAsia" w:ascii="仿宋" w:hAnsi="仿宋" w:eastAsia="仿宋" w:cs="仿宋"/>
          <w:sz w:val="28"/>
          <w:szCs w:val="28"/>
          <w:u w:val="single"/>
        </w:rPr>
        <w:t xml:space="preserve">      </w:t>
      </w:r>
      <w:r>
        <w:rPr>
          <w:rFonts w:hint="eastAsia" w:ascii="仿宋" w:hAnsi="仿宋" w:eastAsia="仿宋" w:cs="仿宋"/>
          <w:sz w:val="28"/>
          <w:szCs w:val="28"/>
        </w:rPr>
        <w:t>为乙方项目联系人，项目联系人承担以下责任：</w:t>
      </w:r>
    </w:p>
    <w:p w14:paraId="4E2842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1．项目进度的跟踪；</w:t>
      </w:r>
    </w:p>
    <w:p w14:paraId="798DAA9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2．项目实施过程中的协调。</w:t>
      </w:r>
    </w:p>
    <w:p w14:paraId="4AD5F90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一方变更项目联系人的，应当及时以书面形式通知另一方，未及时通知并影响本合同履行或造成损失的，应承担相应的责任。</w:t>
      </w:r>
    </w:p>
    <w:p w14:paraId="0DBF9F1F">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第十三条  不可抗力</w:t>
      </w:r>
    </w:p>
    <w:p w14:paraId="0B481B5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合同生效后，一方由于火灾、水灾、台风、地震、战争等不可抗力事故而影响到本合同履行时，则延长履行合同的期限，这一期限应相当于事故所影响的时间，并可根据情况部分或全部免予承担违约责任。但应在15日内书面通知对方。</w:t>
      </w:r>
    </w:p>
    <w:p w14:paraId="684E93FA">
      <w:pPr>
        <w:spacing w:line="36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若一方违约在先，不得以此后发生不可抗力为由免除其违约的责任。</w:t>
      </w:r>
    </w:p>
    <w:p w14:paraId="298FCB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受不可抗力影响的一方应在事件发生后，尽快以传真或电报方式书面通报对方。</w:t>
      </w:r>
    </w:p>
    <w:p w14:paraId="0C8ADD4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当不可抗力事故停止或消除后，受事故影响的一方应尽快以电报或传真等形式通知对方，并以挂号信证实。并加以确认。</w:t>
      </w:r>
    </w:p>
    <w:p w14:paraId="4657CA27">
      <w:pPr>
        <w:spacing w:line="50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.如不可抗力事故的影响连续 7 日以上时，甲、乙双方应通过友好协商解决本合同履行问题，并尽快达成协议。</w:t>
      </w:r>
    </w:p>
    <w:p w14:paraId="30F32072">
      <w:pPr>
        <w:spacing w:line="360" w:lineRule="auto"/>
        <w:rPr>
          <w:rFonts w:ascii="仿宋" w:hAnsi="仿宋" w:eastAsia="仿宋" w:cs="仿宋"/>
          <w:sz w:val="28"/>
          <w:szCs w:val="28"/>
        </w:rPr>
      </w:pPr>
    </w:p>
    <w:p w14:paraId="7A308CE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第十四条  争议解决</w:t>
      </w:r>
    </w:p>
    <w:p w14:paraId="339B664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双方因履行本合同而发生争议，应协商解决。</w:t>
      </w:r>
      <w:r>
        <w:rPr>
          <w:rFonts w:hint="eastAsia" w:ascii="仿宋" w:hAnsi="仿宋" w:eastAsia="仿宋"/>
          <w:sz w:val="28"/>
          <w:szCs w:val="28"/>
        </w:rPr>
        <w:t>如果协商不能解决，应向甲方所在地有管辖权的人民法院起诉解决。诉讼期间，本合同继续履行。</w:t>
      </w:r>
    </w:p>
    <w:p w14:paraId="6BB0315F">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第十五条　其它规定</w:t>
      </w:r>
    </w:p>
    <w:p w14:paraId="6162F97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1．本合同自双方法人代表（或授权代表）签字并加盖公章或合同专用章之日起生效。</w:t>
      </w:r>
    </w:p>
    <w:p w14:paraId="2D08BF5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2．本合同未尽事宜由双方共同协商，另行补充协议，补充协议与本协议具有同样的法律效力。</w:t>
      </w:r>
    </w:p>
    <w:p w14:paraId="43A2460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3．本合同一式陆份，具有同等法律效力，甲方执肆份，乙方执贰份，具有同样的法律效力。</w:t>
      </w:r>
    </w:p>
    <w:p w14:paraId="43653BF5">
      <w:pPr>
        <w:spacing w:line="360" w:lineRule="auto"/>
        <w:rPr>
          <w:rFonts w:ascii="仿宋" w:hAnsi="仿宋" w:eastAsia="仿宋" w:cs="仿宋"/>
        </w:rPr>
      </w:pPr>
    </w:p>
    <w:tbl>
      <w:tblPr>
        <w:tblStyle w:val="13"/>
        <w:tblpPr w:leftFromText="180" w:rightFromText="180" w:vertAnchor="text" w:horzAnchor="margin" w:tblpXSpec="center"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283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1DB9EF70">
            <w:pPr>
              <w:spacing w:line="360" w:lineRule="auto"/>
              <w:rPr>
                <w:rFonts w:ascii="仿宋" w:hAnsi="仿宋" w:eastAsia="仿宋" w:cs="宋体"/>
                <w:sz w:val="24"/>
                <w:szCs w:val="24"/>
              </w:rPr>
            </w:pPr>
            <w:r>
              <w:rPr>
                <w:rFonts w:hint="eastAsia" w:ascii="仿宋" w:hAnsi="仿宋" w:eastAsia="仿宋" w:cs="宋体"/>
                <w:sz w:val="24"/>
                <w:szCs w:val="24"/>
              </w:rPr>
              <w:t>甲方：（章）</w:t>
            </w:r>
          </w:p>
          <w:p w14:paraId="01234F78">
            <w:pPr>
              <w:spacing w:line="360" w:lineRule="auto"/>
              <w:rPr>
                <w:rFonts w:ascii="仿宋" w:hAnsi="仿宋" w:eastAsia="仿宋" w:cs="宋体"/>
                <w:sz w:val="24"/>
                <w:szCs w:val="24"/>
              </w:rPr>
            </w:pPr>
          </w:p>
          <w:p w14:paraId="42AC4F6A">
            <w:pPr>
              <w:spacing w:line="360" w:lineRule="auto"/>
              <w:rPr>
                <w:rFonts w:ascii="仿宋" w:hAnsi="仿宋" w:eastAsia="仿宋" w:cs="宋体"/>
                <w:sz w:val="24"/>
                <w:szCs w:val="24"/>
              </w:rPr>
            </w:pPr>
          </w:p>
          <w:p w14:paraId="676F5E6A">
            <w:pPr>
              <w:spacing w:line="360" w:lineRule="auto"/>
              <w:ind w:firstLine="1080" w:firstLineChars="450"/>
              <w:jc w:val="right"/>
              <w:rPr>
                <w:rFonts w:ascii="仿宋" w:hAnsi="仿宋" w:eastAsia="仿宋" w:cs="宋体"/>
                <w:sz w:val="24"/>
                <w:szCs w:val="24"/>
              </w:rPr>
            </w:pPr>
          </w:p>
          <w:p w14:paraId="3685E3B2">
            <w:pPr>
              <w:spacing w:line="360" w:lineRule="auto"/>
              <w:ind w:firstLine="1080" w:firstLineChars="450"/>
              <w:jc w:val="right"/>
              <w:rPr>
                <w:rFonts w:ascii="仿宋" w:hAnsi="仿宋" w:eastAsia="仿宋" w:cs="宋体"/>
                <w:sz w:val="24"/>
                <w:szCs w:val="24"/>
              </w:rPr>
            </w:pPr>
            <w:r>
              <w:rPr>
                <w:rFonts w:hint="eastAsia" w:ascii="仿宋" w:hAnsi="仿宋" w:eastAsia="仿宋" w:cs="宋体"/>
                <w:sz w:val="24"/>
                <w:szCs w:val="24"/>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497CFFAD">
            <w:pPr>
              <w:spacing w:line="360" w:lineRule="auto"/>
              <w:rPr>
                <w:rFonts w:ascii="仿宋" w:hAnsi="仿宋" w:eastAsia="仿宋" w:cs="宋体"/>
                <w:sz w:val="24"/>
                <w:szCs w:val="24"/>
              </w:rPr>
            </w:pPr>
            <w:r>
              <w:rPr>
                <w:rFonts w:hint="eastAsia" w:ascii="仿宋" w:hAnsi="仿宋" w:eastAsia="仿宋" w:cs="宋体"/>
                <w:sz w:val="24"/>
                <w:szCs w:val="24"/>
              </w:rPr>
              <w:t xml:space="preserve">乙方：（章）       </w:t>
            </w:r>
          </w:p>
          <w:p w14:paraId="5B696BC9">
            <w:pPr>
              <w:spacing w:line="360" w:lineRule="auto"/>
              <w:rPr>
                <w:rFonts w:ascii="仿宋" w:hAnsi="仿宋" w:eastAsia="仿宋" w:cs="宋体"/>
                <w:sz w:val="24"/>
                <w:szCs w:val="24"/>
              </w:rPr>
            </w:pPr>
          </w:p>
          <w:p w14:paraId="7658D2FC">
            <w:pPr>
              <w:spacing w:line="360" w:lineRule="auto"/>
              <w:rPr>
                <w:rFonts w:ascii="仿宋" w:hAnsi="仿宋" w:eastAsia="仿宋" w:cs="宋体"/>
                <w:sz w:val="24"/>
                <w:szCs w:val="24"/>
              </w:rPr>
            </w:pPr>
            <w:r>
              <w:rPr>
                <w:rFonts w:hint="eastAsia" w:ascii="仿宋" w:hAnsi="仿宋" w:eastAsia="仿宋" w:cs="宋体"/>
                <w:sz w:val="24"/>
                <w:szCs w:val="24"/>
              </w:rPr>
              <w:t xml:space="preserve">       </w:t>
            </w:r>
          </w:p>
          <w:p w14:paraId="48A30D00">
            <w:pPr>
              <w:spacing w:line="360" w:lineRule="auto"/>
              <w:jc w:val="right"/>
              <w:rPr>
                <w:rFonts w:ascii="仿宋" w:hAnsi="仿宋" w:eastAsia="仿宋" w:cs="宋体"/>
                <w:sz w:val="24"/>
                <w:szCs w:val="24"/>
              </w:rPr>
            </w:pPr>
          </w:p>
          <w:p w14:paraId="323691CB">
            <w:pPr>
              <w:spacing w:line="360" w:lineRule="auto"/>
              <w:jc w:val="right"/>
              <w:rPr>
                <w:rFonts w:ascii="仿宋" w:hAnsi="仿宋" w:eastAsia="仿宋" w:cs="宋体"/>
                <w:sz w:val="24"/>
                <w:szCs w:val="24"/>
              </w:rPr>
            </w:pPr>
            <w:r>
              <w:rPr>
                <w:rFonts w:hint="eastAsia" w:ascii="仿宋" w:hAnsi="仿宋" w:eastAsia="仿宋" w:cs="宋体"/>
                <w:sz w:val="24"/>
                <w:szCs w:val="24"/>
              </w:rPr>
              <w:t xml:space="preserve"> 年   月   日</w:t>
            </w:r>
          </w:p>
        </w:tc>
      </w:tr>
      <w:tr w14:paraId="258D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6A5C837">
            <w:pPr>
              <w:spacing w:line="360" w:lineRule="auto"/>
              <w:rPr>
                <w:rFonts w:ascii="仿宋" w:hAnsi="仿宋" w:eastAsia="仿宋" w:cs="宋体"/>
                <w:sz w:val="24"/>
                <w:szCs w:val="24"/>
              </w:rPr>
            </w:pPr>
            <w:r>
              <w:rPr>
                <w:rFonts w:hint="eastAsia" w:ascii="仿宋" w:hAnsi="仿宋" w:eastAsia="仿宋" w:cs="宋体"/>
                <w:sz w:val="24"/>
                <w:szCs w:val="24"/>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60FEAF09">
            <w:pPr>
              <w:spacing w:line="360" w:lineRule="auto"/>
              <w:rPr>
                <w:rFonts w:ascii="仿宋" w:hAnsi="仿宋" w:eastAsia="仿宋" w:cs="宋体"/>
                <w:sz w:val="24"/>
                <w:szCs w:val="24"/>
              </w:rPr>
            </w:pPr>
            <w:r>
              <w:rPr>
                <w:rFonts w:hint="eastAsia" w:ascii="仿宋" w:hAnsi="仿宋" w:eastAsia="仿宋" w:cs="宋体"/>
                <w:sz w:val="24"/>
                <w:szCs w:val="24"/>
              </w:rPr>
              <w:t xml:space="preserve">单位地址： </w:t>
            </w:r>
          </w:p>
        </w:tc>
      </w:tr>
      <w:tr w14:paraId="15FF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B888B3F">
            <w:pPr>
              <w:spacing w:line="360" w:lineRule="auto"/>
              <w:rPr>
                <w:rFonts w:ascii="仿宋" w:hAnsi="仿宋" w:eastAsia="仿宋" w:cs="宋体"/>
                <w:sz w:val="24"/>
                <w:szCs w:val="24"/>
              </w:rPr>
            </w:pPr>
            <w:r>
              <w:rPr>
                <w:rFonts w:hint="eastAsia" w:ascii="仿宋" w:hAnsi="仿宋" w:eastAsia="仿宋" w:cs="宋体"/>
                <w:sz w:val="24"/>
                <w:szCs w:val="24"/>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052DD48">
            <w:pPr>
              <w:spacing w:line="360" w:lineRule="auto"/>
              <w:rPr>
                <w:rFonts w:ascii="仿宋" w:hAnsi="仿宋" w:eastAsia="仿宋" w:cs="宋体"/>
                <w:sz w:val="24"/>
                <w:szCs w:val="24"/>
              </w:rPr>
            </w:pPr>
            <w:r>
              <w:rPr>
                <w:rFonts w:hint="eastAsia" w:ascii="仿宋" w:hAnsi="仿宋" w:eastAsia="仿宋" w:cs="宋体"/>
                <w:sz w:val="24"/>
                <w:szCs w:val="24"/>
              </w:rPr>
              <w:t>法定代表人：</w:t>
            </w:r>
          </w:p>
        </w:tc>
      </w:tr>
      <w:tr w14:paraId="4950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7533761">
            <w:pPr>
              <w:spacing w:line="360" w:lineRule="auto"/>
              <w:rPr>
                <w:rFonts w:ascii="仿宋" w:hAnsi="仿宋" w:eastAsia="仿宋" w:cs="宋体"/>
                <w:sz w:val="24"/>
                <w:szCs w:val="24"/>
              </w:rPr>
            </w:pPr>
            <w:r>
              <w:rPr>
                <w:rFonts w:hint="eastAsia" w:ascii="仿宋" w:hAnsi="仿宋" w:eastAsia="仿宋" w:cs="宋体"/>
                <w:sz w:val="24"/>
                <w:szCs w:val="24"/>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6E804127">
            <w:pPr>
              <w:spacing w:line="360" w:lineRule="auto"/>
              <w:rPr>
                <w:rFonts w:ascii="仿宋" w:hAnsi="仿宋" w:eastAsia="仿宋" w:cs="宋体"/>
                <w:sz w:val="24"/>
                <w:szCs w:val="24"/>
              </w:rPr>
            </w:pPr>
            <w:r>
              <w:rPr>
                <w:rFonts w:hint="eastAsia" w:ascii="仿宋" w:hAnsi="仿宋" w:eastAsia="仿宋" w:cs="宋体"/>
                <w:sz w:val="24"/>
                <w:szCs w:val="24"/>
              </w:rPr>
              <w:t>委托代理人：</w:t>
            </w:r>
          </w:p>
        </w:tc>
      </w:tr>
      <w:tr w14:paraId="2AF6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CD384C8">
            <w:pPr>
              <w:spacing w:line="360" w:lineRule="auto"/>
              <w:rPr>
                <w:rFonts w:ascii="仿宋" w:hAnsi="仿宋" w:eastAsia="仿宋" w:cs="宋体"/>
                <w:sz w:val="24"/>
                <w:szCs w:val="24"/>
              </w:rPr>
            </w:pPr>
            <w:r>
              <w:rPr>
                <w:rFonts w:hint="eastAsia" w:ascii="仿宋" w:hAnsi="仿宋" w:eastAsia="仿宋" w:cs="宋体"/>
                <w:sz w:val="24"/>
                <w:szCs w:val="24"/>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999C3B9">
            <w:pPr>
              <w:spacing w:line="360" w:lineRule="auto"/>
              <w:rPr>
                <w:rFonts w:ascii="仿宋" w:hAnsi="仿宋" w:eastAsia="仿宋" w:cs="宋体"/>
                <w:sz w:val="24"/>
                <w:szCs w:val="24"/>
              </w:rPr>
            </w:pPr>
            <w:r>
              <w:rPr>
                <w:rFonts w:hint="eastAsia" w:ascii="仿宋" w:hAnsi="仿宋" w:eastAsia="仿宋" w:cs="宋体"/>
                <w:sz w:val="24"/>
                <w:szCs w:val="24"/>
              </w:rPr>
              <w:t>电话：</w:t>
            </w:r>
          </w:p>
        </w:tc>
      </w:tr>
      <w:tr w14:paraId="17DD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AB0DBA2">
            <w:pPr>
              <w:spacing w:line="360" w:lineRule="auto"/>
              <w:rPr>
                <w:rFonts w:ascii="仿宋" w:hAnsi="仿宋" w:eastAsia="仿宋" w:cs="宋体"/>
                <w:sz w:val="24"/>
                <w:szCs w:val="24"/>
              </w:rPr>
            </w:pPr>
            <w:r>
              <w:rPr>
                <w:rFonts w:hint="eastAsia" w:ascii="仿宋" w:hAnsi="仿宋" w:eastAsia="仿宋" w:cs="宋体"/>
                <w:sz w:val="24"/>
                <w:szCs w:val="24"/>
              </w:rPr>
              <w:t>银行账号：</w:t>
            </w:r>
          </w:p>
        </w:tc>
        <w:tc>
          <w:tcPr>
            <w:tcW w:w="4583" w:type="dxa"/>
            <w:tcBorders>
              <w:top w:val="single" w:color="auto" w:sz="4" w:space="0"/>
              <w:left w:val="single" w:color="auto" w:sz="4" w:space="0"/>
              <w:bottom w:val="single" w:color="auto" w:sz="4" w:space="0"/>
              <w:right w:val="single" w:color="auto" w:sz="4" w:space="0"/>
            </w:tcBorders>
            <w:vAlign w:val="center"/>
          </w:tcPr>
          <w:p w14:paraId="7DE6BC93">
            <w:pPr>
              <w:spacing w:line="360" w:lineRule="auto"/>
              <w:rPr>
                <w:rFonts w:ascii="仿宋" w:hAnsi="仿宋" w:eastAsia="仿宋" w:cs="宋体"/>
                <w:sz w:val="24"/>
                <w:szCs w:val="24"/>
              </w:rPr>
            </w:pPr>
            <w:r>
              <w:rPr>
                <w:rFonts w:hint="eastAsia" w:ascii="仿宋" w:hAnsi="仿宋" w:eastAsia="仿宋" w:cs="宋体"/>
                <w:sz w:val="24"/>
                <w:szCs w:val="24"/>
              </w:rPr>
              <w:t>银行账号：</w:t>
            </w:r>
          </w:p>
        </w:tc>
      </w:tr>
      <w:tr w14:paraId="7197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1085131">
            <w:pPr>
              <w:spacing w:line="360" w:lineRule="auto"/>
              <w:rPr>
                <w:rFonts w:ascii="仿宋" w:hAnsi="仿宋" w:eastAsia="仿宋" w:cs="宋体"/>
                <w:sz w:val="24"/>
                <w:szCs w:val="24"/>
              </w:rPr>
            </w:pPr>
            <w:r>
              <w:rPr>
                <w:rFonts w:hint="eastAsia" w:ascii="仿宋" w:hAnsi="仿宋" w:eastAsia="仿宋" w:cs="宋体"/>
                <w:sz w:val="24"/>
                <w:szCs w:val="24"/>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571F94AC">
            <w:pPr>
              <w:spacing w:line="360" w:lineRule="auto"/>
              <w:rPr>
                <w:rFonts w:ascii="仿宋" w:hAnsi="仿宋" w:eastAsia="仿宋" w:cs="宋体"/>
                <w:sz w:val="24"/>
                <w:szCs w:val="24"/>
              </w:rPr>
            </w:pPr>
            <w:r>
              <w:rPr>
                <w:rFonts w:hint="eastAsia" w:ascii="仿宋" w:hAnsi="仿宋" w:eastAsia="仿宋" w:cs="宋体"/>
                <w:sz w:val="24"/>
                <w:szCs w:val="24"/>
              </w:rPr>
              <w:t xml:space="preserve">开户银行： </w:t>
            </w:r>
          </w:p>
        </w:tc>
      </w:tr>
      <w:tr w14:paraId="0EE8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B8E2C2E">
            <w:pPr>
              <w:spacing w:line="360" w:lineRule="auto"/>
              <w:rPr>
                <w:rFonts w:ascii="仿宋" w:hAnsi="仿宋" w:eastAsia="仿宋" w:cs="宋体"/>
                <w:sz w:val="24"/>
                <w:szCs w:val="24"/>
              </w:rPr>
            </w:pPr>
            <w:r>
              <w:rPr>
                <w:rFonts w:hint="eastAsia" w:ascii="仿宋" w:hAnsi="仿宋" w:eastAsia="仿宋" w:cs="宋体"/>
                <w:sz w:val="24"/>
                <w:szCs w:val="24"/>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7841C9D5">
            <w:pPr>
              <w:spacing w:line="360" w:lineRule="auto"/>
              <w:rPr>
                <w:rFonts w:ascii="仿宋" w:hAnsi="仿宋" w:eastAsia="仿宋" w:cs="宋体"/>
                <w:sz w:val="24"/>
                <w:szCs w:val="24"/>
              </w:rPr>
            </w:pPr>
            <w:r>
              <w:rPr>
                <w:rFonts w:hint="eastAsia" w:ascii="仿宋" w:hAnsi="仿宋" w:eastAsia="仿宋" w:cs="宋体"/>
                <w:sz w:val="24"/>
                <w:szCs w:val="24"/>
              </w:rPr>
              <w:t>账号：</w:t>
            </w:r>
          </w:p>
        </w:tc>
      </w:tr>
      <w:tr w14:paraId="34E4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879806E">
            <w:pPr>
              <w:spacing w:line="360" w:lineRule="auto"/>
              <w:rPr>
                <w:rFonts w:ascii="仿宋" w:hAnsi="仿宋" w:eastAsia="仿宋" w:cs="宋体"/>
                <w:sz w:val="24"/>
                <w:szCs w:val="24"/>
              </w:rPr>
            </w:pPr>
            <w:r>
              <w:rPr>
                <w:rFonts w:hint="eastAsia" w:ascii="仿宋" w:hAnsi="仿宋" w:eastAsia="仿宋" w:cs="宋体"/>
                <w:sz w:val="24"/>
                <w:szCs w:val="24"/>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840B177">
            <w:pPr>
              <w:spacing w:line="360" w:lineRule="auto"/>
              <w:rPr>
                <w:rFonts w:ascii="仿宋" w:hAnsi="仿宋" w:eastAsia="仿宋" w:cs="宋体"/>
                <w:sz w:val="24"/>
                <w:szCs w:val="24"/>
              </w:rPr>
            </w:pPr>
            <w:r>
              <w:rPr>
                <w:rFonts w:hint="eastAsia" w:ascii="仿宋" w:hAnsi="仿宋" w:eastAsia="仿宋" w:cs="宋体"/>
                <w:sz w:val="24"/>
                <w:szCs w:val="24"/>
              </w:rPr>
              <w:t>邮政编码：</w:t>
            </w:r>
          </w:p>
        </w:tc>
      </w:tr>
    </w:tbl>
    <w:p w14:paraId="482126DC">
      <w:pPr>
        <w:spacing w:line="360" w:lineRule="auto"/>
        <w:rPr>
          <w:rFonts w:ascii="仿宋" w:hAnsi="仿宋" w:eastAsia="仿宋" w:cs="仿宋"/>
        </w:rPr>
      </w:pPr>
    </w:p>
    <w:p w14:paraId="3ADC9E43">
      <w:pPr>
        <w:spacing w:before="120" w:beforeLines="50" w:after="120" w:afterLines="50" w:line="360" w:lineRule="auto"/>
        <w:jc w:val="both"/>
        <w:rPr>
          <w:rFonts w:ascii="宋体" w:hAnsi="宋体" w:eastAsia="宋体" w:cs="宋体"/>
          <w:color w:val="000000" w:themeColor="text1"/>
          <w:sz w:val="28"/>
          <w:szCs w:val="28"/>
          <w14:textFill>
            <w14:solidFill>
              <w14:schemeClr w14:val="tx1"/>
            </w14:solidFill>
          </w14:textFill>
        </w:rPr>
      </w:pPr>
    </w:p>
    <w:p w14:paraId="3CB05019">
      <w:pPr>
        <w:adjustRightInd/>
        <w:snapToGrid/>
        <w:spacing w:after="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br w:type="page"/>
      </w:r>
    </w:p>
    <w:p w14:paraId="52FDAE2A">
      <w:pPr>
        <w:pStyle w:val="25"/>
        <w:jc w:val="both"/>
        <w:rPr>
          <w:rFonts w:ascii="宋体" w:hAnsi="宋体" w:eastAsia="宋体" w:cs="宋体"/>
          <w:sz w:val="28"/>
          <w:szCs w:val="28"/>
          <w:highlight w:val="yellow"/>
        </w:rPr>
      </w:pPr>
    </w:p>
    <w:sectPr>
      <w:footerReference r:id="rId4" w:type="default"/>
      <w:pgSz w:w="11906" w:h="16838"/>
      <w:pgMar w:top="1021" w:right="1588" w:bottom="1021" w:left="158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517D">
    <w:pPr>
      <w:pStyle w:val="8"/>
      <w:spacing w:after="0"/>
      <w:jc w:val="center"/>
      <w:rPr>
        <w:rFonts w:ascii="Times New Roman" w:hAnsi="Times New Roman"/>
        <w:sz w:val="21"/>
        <w:szCs w:val="22"/>
      </w:rPr>
    </w:pPr>
    <w:r>
      <w:rPr>
        <w:rFonts w:ascii="Times New Roman" w:hAnsi="Times New Roman"/>
        <w:sz w:val="21"/>
        <w:szCs w:val="22"/>
      </w:rPr>
      <w:fldChar w:fldCharType="begin"/>
    </w:r>
    <w:r>
      <w:rPr>
        <w:rFonts w:ascii="Times New Roman" w:hAnsi="Times New Roman"/>
        <w:sz w:val="21"/>
        <w:szCs w:val="22"/>
      </w:rPr>
      <w:instrText xml:space="preserve">PAGE   \* MERGEFORMAT</w:instrText>
    </w:r>
    <w:r>
      <w:rPr>
        <w:rFonts w:ascii="Times New Roman" w:hAnsi="Times New Roman"/>
        <w:sz w:val="21"/>
        <w:szCs w:val="22"/>
      </w:rPr>
      <w:fldChar w:fldCharType="separate"/>
    </w:r>
    <w:r>
      <w:rPr>
        <w:rFonts w:ascii="Times New Roman" w:hAnsi="Times New Roman"/>
        <w:sz w:val="21"/>
        <w:szCs w:val="22"/>
      </w:rPr>
      <w:t>11</w:t>
    </w:r>
    <w:r>
      <w:rPr>
        <w:rFonts w:ascii="Times New Roman" w:hAnsi="Times New Roman"/>
        <w:sz w:val="21"/>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F1057"/>
    <w:multiLevelType w:val="singleLevel"/>
    <w:tmpl w:val="DB0F10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zZDFmOGU2OTE4YzBkZDc5MzRjODI0NWI5ZjZkOGYifQ=="/>
  </w:docVars>
  <w:rsids>
    <w:rsidRoot w:val="007226F2"/>
    <w:rsid w:val="000039E2"/>
    <w:rsid w:val="000277C1"/>
    <w:rsid w:val="000667D5"/>
    <w:rsid w:val="000B56BA"/>
    <w:rsid w:val="000C3691"/>
    <w:rsid w:val="000D1A53"/>
    <w:rsid w:val="001262F6"/>
    <w:rsid w:val="001271C9"/>
    <w:rsid w:val="00152F92"/>
    <w:rsid w:val="00167658"/>
    <w:rsid w:val="00183C2F"/>
    <w:rsid w:val="00187EAB"/>
    <w:rsid w:val="00190570"/>
    <w:rsid w:val="001A3E96"/>
    <w:rsid w:val="001B2030"/>
    <w:rsid w:val="001C56AD"/>
    <w:rsid w:val="001E1E0D"/>
    <w:rsid w:val="001E3FCE"/>
    <w:rsid w:val="001E7421"/>
    <w:rsid w:val="002063E8"/>
    <w:rsid w:val="002139F2"/>
    <w:rsid w:val="00224B21"/>
    <w:rsid w:val="002511EA"/>
    <w:rsid w:val="002538E3"/>
    <w:rsid w:val="002649F5"/>
    <w:rsid w:val="00267227"/>
    <w:rsid w:val="002841C2"/>
    <w:rsid w:val="002A4312"/>
    <w:rsid w:val="002B3CA4"/>
    <w:rsid w:val="002C288B"/>
    <w:rsid w:val="002D0A87"/>
    <w:rsid w:val="002D0EEC"/>
    <w:rsid w:val="002D3EFE"/>
    <w:rsid w:val="002E0672"/>
    <w:rsid w:val="002E25B9"/>
    <w:rsid w:val="002F2E3C"/>
    <w:rsid w:val="002F34E0"/>
    <w:rsid w:val="00311A0C"/>
    <w:rsid w:val="003329A1"/>
    <w:rsid w:val="003408F6"/>
    <w:rsid w:val="00367495"/>
    <w:rsid w:val="003A1701"/>
    <w:rsid w:val="003A63F5"/>
    <w:rsid w:val="004046EB"/>
    <w:rsid w:val="004067C0"/>
    <w:rsid w:val="0041309E"/>
    <w:rsid w:val="00413474"/>
    <w:rsid w:val="0042352B"/>
    <w:rsid w:val="004466C5"/>
    <w:rsid w:val="00456F80"/>
    <w:rsid w:val="004600A5"/>
    <w:rsid w:val="004603DE"/>
    <w:rsid w:val="0046651B"/>
    <w:rsid w:val="00470E40"/>
    <w:rsid w:val="00477BB8"/>
    <w:rsid w:val="00477C8C"/>
    <w:rsid w:val="004818AD"/>
    <w:rsid w:val="00481C66"/>
    <w:rsid w:val="00481E66"/>
    <w:rsid w:val="00485D8E"/>
    <w:rsid w:val="004C39D4"/>
    <w:rsid w:val="004D511D"/>
    <w:rsid w:val="004E6B49"/>
    <w:rsid w:val="00511275"/>
    <w:rsid w:val="0051643E"/>
    <w:rsid w:val="00542207"/>
    <w:rsid w:val="00551F12"/>
    <w:rsid w:val="0056195B"/>
    <w:rsid w:val="00564C71"/>
    <w:rsid w:val="00570912"/>
    <w:rsid w:val="00570C50"/>
    <w:rsid w:val="00595443"/>
    <w:rsid w:val="005A37E1"/>
    <w:rsid w:val="005B2ACB"/>
    <w:rsid w:val="005B2EC0"/>
    <w:rsid w:val="005B31D6"/>
    <w:rsid w:val="005B3B8E"/>
    <w:rsid w:val="005C7661"/>
    <w:rsid w:val="005E3A8A"/>
    <w:rsid w:val="005E58CD"/>
    <w:rsid w:val="00600840"/>
    <w:rsid w:val="006045E7"/>
    <w:rsid w:val="00644336"/>
    <w:rsid w:val="006666FE"/>
    <w:rsid w:val="006808D0"/>
    <w:rsid w:val="006B76A3"/>
    <w:rsid w:val="006C4307"/>
    <w:rsid w:val="006D132A"/>
    <w:rsid w:val="00710EE2"/>
    <w:rsid w:val="007217D2"/>
    <w:rsid w:val="007226F2"/>
    <w:rsid w:val="00732302"/>
    <w:rsid w:val="0078722A"/>
    <w:rsid w:val="007C188B"/>
    <w:rsid w:val="007C58E9"/>
    <w:rsid w:val="007D4BC5"/>
    <w:rsid w:val="007F3002"/>
    <w:rsid w:val="00810E58"/>
    <w:rsid w:val="00854EFF"/>
    <w:rsid w:val="00877005"/>
    <w:rsid w:val="00877F37"/>
    <w:rsid w:val="0089130E"/>
    <w:rsid w:val="008E11A4"/>
    <w:rsid w:val="008E2FDF"/>
    <w:rsid w:val="00911BD3"/>
    <w:rsid w:val="0092702C"/>
    <w:rsid w:val="009377F1"/>
    <w:rsid w:val="00943C89"/>
    <w:rsid w:val="00966E2E"/>
    <w:rsid w:val="00971194"/>
    <w:rsid w:val="0099299A"/>
    <w:rsid w:val="009B269A"/>
    <w:rsid w:val="009C1838"/>
    <w:rsid w:val="009D0DB2"/>
    <w:rsid w:val="009D6981"/>
    <w:rsid w:val="009E6301"/>
    <w:rsid w:val="009F6ED5"/>
    <w:rsid w:val="00A00F60"/>
    <w:rsid w:val="00A01E16"/>
    <w:rsid w:val="00A068D6"/>
    <w:rsid w:val="00A26343"/>
    <w:rsid w:val="00A4028B"/>
    <w:rsid w:val="00A5087A"/>
    <w:rsid w:val="00A542AE"/>
    <w:rsid w:val="00A84E79"/>
    <w:rsid w:val="00A90DF2"/>
    <w:rsid w:val="00A95C35"/>
    <w:rsid w:val="00AA4A23"/>
    <w:rsid w:val="00AC3F9D"/>
    <w:rsid w:val="00AD1961"/>
    <w:rsid w:val="00AD2F81"/>
    <w:rsid w:val="00AE567C"/>
    <w:rsid w:val="00B14334"/>
    <w:rsid w:val="00B1591D"/>
    <w:rsid w:val="00B17A9A"/>
    <w:rsid w:val="00B2589B"/>
    <w:rsid w:val="00B338AA"/>
    <w:rsid w:val="00B4084B"/>
    <w:rsid w:val="00B4185A"/>
    <w:rsid w:val="00B43698"/>
    <w:rsid w:val="00B548F8"/>
    <w:rsid w:val="00B71234"/>
    <w:rsid w:val="00B842A5"/>
    <w:rsid w:val="00B904F4"/>
    <w:rsid w:val="00B9257B"/>
    <w:rsid w:val="00B9286C"/>
    <w:rsid w:val="00BA65ED"/>
    <w:rsid w:val="00BC772E"/>
    <w:rsid w:val="00BD2699"/>
    <w:rsid w:val="00BE022C"/>
    <w:rsid w:val="00BE27F9"/>
    <w:rsid w:val="00BE56F1"/>
    <w:rsid w:val="00BF1B52"/>
    <w:rsid w:val="00BF30DD"/>
    <w:rsid w:val="00C47020"/>
    <w:rsid w:val="00C52972"/>
    <w:rsid w:val="00C56B81"/>
    <w:rsid w:val="00C7401A"/>
    <w:rsid w:val="00C866AD"/>
    <w:rsid w:val="00C87B0F"/>
    <w:rsid w:val="00D059B6"/>
    <w:rsid w:val="00D16911"/>
    <w:rsid w:val="00D30B82"/>
    <w:rsid w:val="00D439F1"/>
    <w:rsid w:val="00D55C23"/>
    <w:rsid w:val="00D61734"/>
    <w:rsid w:val="00D677AD"/>
    <w:rsid w:val="00D76456"/>
    <w:rsid w:val="00D8039C"/>
    <w:rsid w:val="00D86579"/>
    <w:rsid w:val="00D921B6"/>
    <w:rsid w:val="00DA1E41"/>
    <w:rsid w:val="00DD6CBE"/>
    <w:rsid w:val="00DE6F17"/>
    <w:rsid w:val="00DE7E7F"/>
    <w:rsid w:val="00E215AE"/>
    <w:rsid w:val="00E22213"/>
    <w:rsid w:val="00E24257"/>
    <w:rsid w:val="00E71247"/>
    <w:rsid w:val="00EA7FBB"/>
    <w:rsid w:val="00EC1AFF"/>
    <w:rsid w:val="00EC1D2E"/>
    <w:rsid w:val="00ED2B3A"/>
    <w:rsid w:val="00ED3972"/>
    <w:rsid w:val="00F037F4"/>
    <w:rsid w:val="00F14463"/>
    <w:rsid w:val="00F2167F"/>
    <w:rsid w:val="00F60BEE"/>
    <w:rsid w:val="00F8536C"/>
    <w:rsid w:val="00FA3A04"/>
    <w:rsid w:val="00FB2B28"/>
    <w:rsid w:val="00FB3383"/>
    <w:rsid w:val="00FB50E4"/>
    <w:rsid w:val="00FC405E"/>
    <w:rsid w:val="00FE5AE5"/>
    <w:rsid w:val="01FF1E15"/>
    <w:rsid w:val="050D4568"/>
    <w:rsid w:val="05A6245C"/>
    <w:rsid w:val="0830084B"/>
    <w:rsid w:val="0A6B1808"/>
    <w:rsid w:val="0B7E024F"/>
    <w:rsid w:val="10BB0DF8"/>
    <w:rsid w:val="11C20BFB"/>
    <w:rsid w:val="15D21282"/>
    <w:rsid w:val="1B1A5525"/>
    <w:rsid w:val="1CD40E5E"/>
    <w:rsid w:val="1E98662C"/>
    <w:rsid w:val="23B066F1"/>
    <w:rsid w:val="27D6522C"/>
    <w:rsid w:val="2D62399F"/>
    <w:rsid w:val="2FA41DDE"/>
    <w:rsid w:val="31E65F8C"/>
    <w:rsid w:val="32D360E1"/>
    <w:rsid w:val="373A29CC"/>
    <w:rsid w:val="38293343"/>
    <w:rsid w:val="38683C12"/>
    <w:rsid w:val="3ACA7BCC"/>
    <w:rsid w:val="3BAF672D"/>
    <w:rsid w:val="3C022D1A"/>
    <w:rsid w:val="3CCE1507"/>
    <w:rsid w:val="3F870779"/>
    <w:rsid w:val="3FF91E9E"/>
    <w:rsid w:val="41723821"/>
    <w:rsid w:val="43C86F72"/>
    <w:rsid w:val="452D3B5F"/>
    <w:rsid w:val="478C11D2"/>
    <w:rsid w:val="4A7E43FB"/>
    <w:rsid w:val="4B1A6945"/>
    <w:rsid w:val="4B3B7AAC"/>
    <w:rsid w:val="4BA60A5C"/>
    <w:rsid w:val="4DA710B5"/>
    <w:rsid w:val="4E265601"/>
    <w:rsid w:val="4E413101"/>
    <w:rsid w:val="4F437856"/>
    <w:rsid w:val="544E5ABD"/>
    <w:rsid w:val="5983695C"/>
    <w:rsid w:val="5D576AC3"/>
    <w:rsid w:val="61F931A2"/>
    <w:rsid w:val="65C46736"/>
    <w:rsid w:val="67BF158C"/>
    <w:rsid w:val="69B90925"/>
    <w:rsid w:val="700E7EBD"/>
    <w:rsid w:val="71C224FB"/>
    <w:rsid w:val="71F52F6F"/>
    <w:rsid w:val="72311205"/>
    <w:rsid w:val="76AA4B2B"/>
    <w:rsid w:val="77D63117"/>
    <w:rsid w:val="791D4F12"/>
    <w:rsid w:val="7AAE3787"/>
    <w:rsid w:val="7B441A8C"/>
    <w:rsid w:val="7B6B34F9"/>
    <w:rsid w:val="7D96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2"/>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style>
  <w:style w:type="paragraph" w:styleId="4">
    <w:name w:val="Body Text"/>
    <w:basedOn w:val="1"/>
    <w:qFormat/>
    <w:uiPriority w:val="0"/>
    <w:rPr>
      <w:sz w:val="20"/>
      <w:lang w:eastAsia="en-US"/>
    </w:rPr>
  </w:style>
  <w:style w:type="paragraph" w:styleId="5">
    <w:name w:val="Body Text Indent"/>
    <w:basedOn w:val="1"/>
    <w:qFormat/>
    <w:uiPriority w:val="0"/>
    <w:pPr>
      <w:spacing w:after="120"/>
      <w:ind w:left="420" w:leftChars="200"/>
    </w:pPr>
  </w:style>
  <w:style w:type="paragraph" w:styleId="6">
    <w:name w:val="Plain Text"/>
    <w:basedOn w:val="1"/>
    <w:next w:val="1"/>
    <w:qFormat/>
    <w:uiPriority w:val="0"/>
    <w:pPr>
      <w:kinsoku w:val="0"/>
      <w:autoSpaceDE w:val="0"/>
      <w:autoSpaceDN w:val="0"/>
      <w:textAlignment w:val="baseline"/>
    </w:pPr>
    <w:rPr>
      <w:rFonts w:ascii="宋体" w:hAnsi="Courier New" w:eastAsia="宋体" w:cs="Arial"/>
      <w:snapToGrid w:val="0"/>
      <w:color w:val="000000"/>
      <w:sz w:val="24"/>
      <w:szCs w:val="20"/>
    </w:rPr>
  </w:style>
  <w:style w:type="paragraph" w:styleId="7">
    <w:name w:val="Balloon Text"/>
    <w:basedOn w:val="1"/>
    <w:link w:val="23"/>
    <w:semiHidden/>
    <w:unhideWhenUsed/>
    <w:qFormat/>
    <w:uiPriority w:val="0"/>
    <w:pPr>
      <w:spacing w:after="0"/>
    </w:pPr>
    <w:rPr>
      <w:sz w:val="18"/>
      <w:szCs w:val="18"/>
    </w:rPr>
  </w:style>
  <w:style w:type="paragraph" w:styleId="8">
    <w:name w:val="footer"/>
    <w:basedOn w:val="1"/>
    <w:link w:val="21"/>
    <w:unhideWhenUsed/>
    <w:qFormat/>
    <w:uiPriority w:val="99"/>
    <w:pPr>
      <w:tabs>
        <w:tab w:val="center" w:pos="4153"/>
        <w:tab w:val="right" w:pos="8306"/>
      </w:tabs>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1">
    <w:name w:val="Body Text First Indent"/>
    <w:basedOn w:val="4"/>
    <w:qFormat/>
    <w:uiPriority w:val="0"/>
    <w:pPr>
      <w:widowControl w:val="0"/>
      <w:spacing w:after="120"/>
      <w:ind w:firstLine="420" w:firstLineChars="100"/>
    </w:pPr>
    <w:rPr>
      <w:kern w:val="2"/>
      <w:sz w:val="21"/>
      <w:szCs w:val="24"/>
    </w:rPr>
  </w:style>
  <w:style w:type="paragraph" w:styleId="12">
    <w:name w:val="Body Text First Indent 2"/>
    <w:basedOn w:val="5"/>
    <w:next w:val="11"/>
    <w:link w:val="30"/>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style>
  <w:style w:type="character" w:styleId="18">
    <w:name w:val="Hyperlink"/>
    <w:unhideWhenUsed/>
    <w:qFormat/>
    <w:uiPriority w:val="99"/>
    <w:rPr>
      <w:color w:val="0000FF"/>
      <w:u w:val="single"/>
    </w:rPr>
  </w:style>
  <w:style w:type="paragraph" w:customStyle="1" w:styleId="19">
    <w:name w:val="列出段落1"/>
    <w:basedOn w:val="1"/>
    <w:qFormat/>
    <w:uiPriority w:val="34"/>
    <w:pPr>
      <w:ind w:firstLine="420" w:firstLineChars="200"/>
    </w:pPr>
  </w:style>
  <w:style w:type="character" w:customStyle="1" w:styleId="20">
    <w:name w:val="页眉 字符"/>
    <w:link w:val="9"/>
    <w:qFormat/>
    <w:uiPriority w:val="99"/>
    <w:rPr>
      <w:rFonts w:ascii="Tahoma" w:hAnsi="Tahoma"/>
      <w:sz w:val="18"/>
      <w:szCs w:val="18"/>
    </w:rPr>
  </w:style>
  <w:style w:type="character" w:customStyle="1" w:styleId="21">
    <w:name w:val="页脚 字符"/>
    <w:link w:val="8"/>
    <w:qFormat/>
    <w:uiPriority w:val="99"/>
    <w:rPr>
      <w:rFonts w:ascii="Tahoma" w:hAnsi="Tahoma"/>
      <w:sz w:val="18"/>
      <w:szCs w:val="18"/>
    </w:rPr>
  </w:style>
  <w:style w:type="character" w:customStyle="1" w:styleId="22">
    <w:name w:val="标题 1 字符"/>
    <w:link w:val="2"/>
    <w:qFormat/>
    <w:uiPriority w:val="9"/>
    <w:rPr>
      <w:rFonts w:ascii="宋体" w:hAnsi="宋体" w:eastAsia="宋体" w:cs="宋体"/>
      <w:b/>
      <w:bCs/>
      <w:kern w:val="36"/>
      <w:sz w:val="48"/>
      <w:szCs w:val="48"/>
    </w:rPr>
  </w:style>
  <w:style w:type="character" w:customStyle="1" w:styleId="23">
    <w:name w:val="批注框文本 字符"/>
    <w:link w:val="7"/>
    <w:semiHidden/>
    <w:qFormat/>
    <w:uiPriority w:val="0"/>
    <w:rPr>
      <w:rFonts w:ascii="Tahoma" w:hAnsi="Tahoma"/>
      <w:sz w:val="18"/>
      <w:szCs w:val="18"/>
    </w:rPr>
  </w:style>
  <w:style w:type="paragraph" w:customStyle="1" w:styleId="24">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5">
    <w:name w:val="自定义正文"/>
    <w:basedOn w:val="1"/>
    <w:qFormat/>
    <w:uiPriority w:val="0"/>
    <w:pPr>
      <w:snapToGrid/>
      <w:contextualSpacing/>
    </w:pPr>
  </w:style>
  <w:style w:type="paragraph" w:customStyle="1" w:styleId="26">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 w:type="paragraph" w:customStyle="1" w:styleId="27">
    <w:name w:val="自定义标题3"/>
    <w:qFormat/>
    <w:uiPriority w:val="0"/>
    <w:pPr>
      <w:spacing w:line="360" w:lineRule="auto"/>
      <w:ind w:firstLine="200" w:firstLineChars="200"/>
      <w:jc w:val="both"/>
      <w:outlineLvl w:val="2"/>
    </w:pPr>
    <w:rPr>
      <w:rFonts w:ascii="Times New Roman" w:hAnsi="Times New Roman" w:eastAsia="宋体" w:cs="Times New Roman"/>
      <w:b/>
      <w:snapToGrid w:val="0"/>
      <w:sz w:val="24"/>
      <w:lang w:val="en-US" w:eastAsia="zh-CN" w:bidi="ar-SA"/>
    </w:rPr>
  </w:style>
  <w:style w:type="paragraph" w:customStyle="1" w:styleId="28">
    <w:name w:val="修订1"/>
    <w:hidden/>
    <w:semiHidden/>
    <w:qFormat/>
    <w:uiPriority w:val="99"/>
    <w:rPr>
      <w:rFonts w:ascii="Tahoma" w:hAnsi="Tahoma" w:eastAsia="微软雅黑" w:cs="Times New Roman"/>
      <w:sz w:val="22"/>
      <w:szCs w:val="22"/>
      <w:lang w:val="en-US" w:eastAsia="zh-CN" w:bidi="ar-SA"/>
    </w:rPr>
  </w:style>
  <w:style w:type="paragraph" w:customStyle="1" w:styleId="29">
    <w:name w:val="修订2"/>
    <w:hidden/>
    <w:unhideWhenUsed/>
    <w:qFormat/>
    <w:uiPriority w:val="99"/>
    <w:rPr>
      <w:rFonts w:ascii="Tahoma" w:hAnsi="Tahoma" w:eastAsia="微软雅黑" w:cs="Times New Roman"/>
      <w:sz w:val="22"/>
      <w:szCs w:val="22"/>
      <w:lang w:val="en-US" w:eastAsia="zh-CN" w:bidi="ar-SA"/>
    </w:rPr>
  </w:style>
  <w:style w:type="character" w:customStyle="1" w:styleId="30">
    <w:name w:val="正文文本首行缩进 2 字符"/>
    <w:basedOn w:val="15"/>
    <w:link w:val="12"/>
    <w:qFormat/>
    <w:uiPriority w:val="0"/>
    <w:rPr>
      <w:rFonts w:ascii="Tahoma" w:hAnsi="Tahoma" w:eastAsia="微软雅黑"/>
      <w:sz w:val="22"/>
      <w:szCs w:val="22"/>
    </w:rPr>
  </w:style>
  <w:style w:type="paragraph" w:styleId="31">
    <w:name w:val="List Paragraph"/>
    <w:basedOn w:val="1"/>
    <w:unhideWhenUsed/>
    <w:qFormat/>
    <w:uiPriority w:val="99"/>
    <w:pPr>
      <w:ind w:firstLine="420" w:firstLineChars="200"/>
    </w:pPr>
  </w:style>
  <w:style w:type="paragraph" w:customStyle="1" w:styleId="32">
    <w:name w:val="修订3"/>
    <w:hidden/>
    <w:unhideWhenUsed/>
    <w:qFormat/>
    <w:uiPriority w:val="99"/>
    <w:rPr>
      <w:rFonts w:ascii="Tahoma" w:hAnsi="Tahoma" w:eastAsia="微软雅黑" w:cs="Times New Roman"/>
      <w:sz w:val="22"/>
      <w:szCs w:val="22"/>
      <w:lang w:val="en-US" w:eastAsia="zh-CN" w:bidi="ar-SA"/>
    </w:rPr>
  </w:style>
  <w:style w:type="paragraph" w:customStyle="1" w:styleId="33">
    <w:name w:val="修订4"/>
    <w:hidden/>
    <w:unhideWhenUsed/>
    <w:qFormat/>
    <w:uiPriority w:val="99"/>
    <w:rPr>
      <w:rFonts w:ascii="Tahoma" w:hAnsi="Tahoma" w:eastAsia="微软雅黑" w:cs="Times New Roman"/>
      <w:sz w:val="22"/>
      <w:szCs w:val="22"/>
      <w:lang w:val="en-US" w:eastAsia="zh-CN" w:bidi="ar-SA"/>
    </w:rPr>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5">
    <w:name w:val="正文格式"/>
    <w:autoRedefine/>
    <w:qFormat/>
    <w:uiPriority w:val="0"/>
    <w:pPr>
      <w:spacing w:line="360" w:lineRule="auto"/>
    </w:pPr>
    <w:rPr>
      <w:rFonts w:ascii="宋体" w:hAnsi="宋体" w:eastAsia="宋体" w:cs="宋体"/>
      <w:color w:val="FF0000"/>
      <w:kern w:val="2"/>
      <w:sz w:val="24"/>
      <w:szCs w:val="24"/>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792E-51DF-48C4-826F-7D3774D991AC}">
  <ds:schemaRefs/>
</ds:datastoreItem>
</file>

<file path=docProps/app.xml><?xml version="1.0" encoding="utf-8"?>
<Properties xmlns="http://schemas.openxmlformats.org/officeDocument/2006/extended-properties" xmlns:vt="http://schemas.openxmlformats.org/officeDocument/2006/docPropsVTypes">
  <Template>Normal</Template>
  <Pages>19</Pages>
  <Words>7316</Words>
  <Characters>7660</Characters>
  <Lines>59</Lines>
  <Paragraphs>16</Paragraphs>
  <TotalTime>1</TotalTime>
  <ScaleCrop>false</ScaleCrop>
  <LinksUpToDate>false</LinksUpToDate>
  <CharactersWithSpaces>8110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2023-11-27T10:16:00Z</dcterms:created>
  <dc:creator>DELL</dc:creator>
  <cp:lastModifiedBy>朱桂英</cp:lastModifiedBy>
  <cp:lastPrinted>2018-01-04T08:52:00Z</cp:lastPrinted>
  <dcterms:modified xsi:type="dcterms:W3CDTF">2025-11-27T10:06:17Z</dcterms:modified>
  <dc:title>广西艺术学院2020年艺术类专业招生考试</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E4D6AC52730E4747AF82CE25F4363D68_13</vt:lpwstr>
  </property>
  <property fmtid="{D5CDD505-2E9C-101B-9397-08002B2CF9AE}" pid="4" name="KSOTemplateDocerSaveRecord">
    <vt:lpwstr>eyJoZGlkIjoiYzc2ZWM2YjcxOWRlMWVhODE0YzM2ZDBhMDYzNTNhYmUiLCJ1c2VySWQiOiI0NDcyODgwOTUifQ==</vt:lpwstr>
  </property>
</Properties>
</file>