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D442A">
      <w:pPr>
        <w:pStyle w:val="7"/>
        <w:widowControl/>
        <w:shd w:val="clear" w:color="auto" w:fill="FFFFFF"/>
        <w:spacing w:before="0" w:beforeAutospacing="0" w:after="0" w:afterAutospacing="0"/>
        <w:jc w:val="center"/>
        <w:rPr>
          <w:rFonts w:ascii="宋体" w:hAnsi="宋体" w:cs="宋体"/>
          <w:color w:val="auto"/>
          <w:sz w:val="32"/>
          <w:szCs w:val="32"/>
          <w:highlight w:val="none"/>
          <w:shd w:val="clear" w:color="auto" w:fill="FFFFFF"/>
        </w:rPr>
      </w:pPr>
      <w:r>
        <w:rPr>
          <w:rFonts w:hint="eastAsia" w:ascii="宋体" w:hAnsi="宋体" w:cs="宋体"/>
          <w:b/>
          <w:bCs/>
          <w:color w:val="auto"/>
          <w:sz w:val="32"/>
          <w:szCs w:val="32"/>
          <w:highlight w:val="none"/>
          <w:shd w:val="clear" w:color="auto" w:fill="FFFFFF"/>
        </w:rPr>
        <w:t>广西艺术学院附属中等艺术学校校园监控设备采购文件</w:t>
      </w:r>
    </w:p>
    <w:p w14:paraId="22151B21">
      <w:pPr>
        <w:pStyle w:val="7"/>
        <w:widowControl/>
        <w:shd w:val="clear" w:color="auto" w:fill="FFFFFF"/>
        <w:spacing w:before="0" w:beforeAutospacing="0" w:after="0" w:afterAutospacing="0"/>
        <w:ind w:firstLine="560" w:firstLineChars="200"/>
        <w:rPr>
          <w:color w:val="auto"/>
          <w:sz w:val="28"/>
          <w:szCs w:val="28"/>
          <w:highlight w:val="none"/>
        </w:rPr>
      </w:pPr>
      <w:r>
        <w:rPr>
          <w:rFonts w:hint="eastAsia" w:ascii="宋体" w:hAnsi="宋体" w:cs="宋体"/>
          <w:color w:val="auto"/>
          <w:sz w:val="28"/>
          <w:szCs w:val="28"/>
          <w:highlight w:val="none"/>
          <w:shd w:val="clear" w:color="auto" w:fill="FFFFFF"/>
        </w:rPr>
        <w:t>根据有关规定，我校开展广西艺术学院附属中等艺术学校校园监控设备采购，现将本次采购有关事项公告如下：</w:t>
      </w:r>
    </w:p>
    <w:p w14:paraId="5B300D19">
      <w:pPr>
        <w:pStyle w:val="7"/>
        <w:widowControl/>
        <w:numPr>
          <w:ilvl w:val="0"/>
          <w:numId w:val="1"/>
        </w:numPr>
        <w:shd w:val="clear" w:color="auto" w:fill="FFFFFF"/>
        <w:spacing w:before="0" w:beforeAutospacing="0" w:after="0" w:afterAutospacing="0"/>
        <w:ind w:firstLine="480"/>
        <w:rPr>
          <w:rStyle w:val="10"/>
          <w:rFonts w:ascii="宋体" w:hAnsi="宋体" w:cs="宋体"/>
          <w:color w:val="auto"/>
          <w:sz w:val="28"/>
          <w:szCs w:val="28"/>
          <w:highlight w:val="none"/>
          <w:shd w:val="clear" w:color="auto" w:fill="FFFFFF"/>
        </w:rPr>
      </w:pPr>
      <w:r>
        <w:rPr>
          <w:rStyle w:val="10"/>
          <w:rFonts w:hint="eastAsia" w:ascii="宋体" w:hAnsi="宋体" w:cs="宋体"/>
          <w:color w:val="auto"/>
          <w:sz w:val="28"/>
          <w:szCs w:val="28"/>
          <w:highlight w:val="none"/>
          <w:shd w:val="clear" w:color="auto" w:fill="FFFFFF"/>
        </w:rPr>
        <w:t>项目名称</w:t>
      </w:r>
      <w:r>
        <w:rPr>
          <w:rStyle w:val="10"/>
          <w:rFonts w:hint="eastAsia" w:ascii="宋体" w:hAnsi="宋体" w:cs="宋体"/>
          <w:b w:val="0"/>
          <w:bCs/>
          <w:color w:val="auto"/>
          <w:sz w:val="28"/>
          <w:szCs w:val="28"/>
          <w:highlight w:val="none"/>
          <w:shd w:val="clear" w:color="auto" w:fill="FFFFFF"/>
        </w:rPr>
        <w:t>：</w:t>
      </w:r>
      <w:r>
        <w:rPr>
          <w:rFonts w:hint="eastAsia" w:ascii="宋体" w:hAnsi="宋体" w:cs="宋体"/>
          <w:color w:val="auto"/>
          <w:sz w:val="28"/>
          <w:szCs w:val="28"/>
          <w:highlight w:val="none"/>
          <w:shd w:val="clear" w:color="auto" w:fill="FFFFFF"/>
        </w:rPr>
        <w:t>广西艺术学院附属中等艺术学校校园监控设备采购</w:t>
      </w:r>
    </w:p>
    <w:p w14:paraId="11815164">
      <w:pPr>
        <w:pStyle w:val="7"/>
        <w:widowControl/>
        <w:numPr>
          <w:ilvl w:val="0"/>
          <w:numId w:val="1"/>
        </w:numPr>
        <w:shd w:val="clear" w:color="auto" w:fill="FFFFFF"/>
        <w:spacing w:before="0" w:beforeAutospacing="0" w:after="0" w:afterAutospacing="0"/>
        <w:ind w:firstLine="480"/>
        <w:rPr>
          <w:rStyle w:val="10"/>
          <w:rFonts w:ascii="宋体" w:hAnsi="宋体" w:cs="宋体"/>
          <w:color w:val="auto"/>
          <w:sz w:val="28"/>
          <w:szCs w:val="28"/>
          <w:highlight w:val="none"/>
          <w:shd w:val="clear" w:color="auto" w:fill="FFFFFF"/>
        </w:rPr>
      </w:pPr>
      <w:r>
        <w:rPr>
          <w:rStyle w:val="10"/>
          <w:rFonts w:hint="eastAsia" w:ascii="宋体" w:hAnsi="宋体" w:cs="宋体"/>
          <w:color w:val="auto"/>
          <w:sz w:val="28"/>
          <w:szCs w:val="28"/>
          <w:highlight w:val="none"/>
          <w:shd w:val="clear" w:color="auto" w:fill="FFFFFF"/>
        </w:rPr>
        <w:t xml:space="preserve">采购需求内容         </w:t>
      </w:r>
    </w:p>
    <w:p w14:paraId="7C6CE083">
      <w:pPr>
        <w:pStyle w:val="7"/>
        <w:widowControl/>
        <w:shd w:val="clear" w:color="auto" w:fill="FFFFFF"/>
        <w:spacing w:before="0" w:beforeAutospacing="0" w:after="0" w:afterAutospacing="0"/>
        <w:ind w:left="480"/>
        <w:rPr>
          <w:rStyle w:val="10"/>
          <w:rFonts w:ascii="宋体" w:hAnsi="宋体" w:cs="宋体"/>
          <w:color w:val="auto"/>
          <w:sz w:val="28"/>
          <w:szCs w:val="28"/>
          <w:highlight w:val="none"/>
          <w:shd w:val="clear" w:color="auto" w:fill="FFFFFF"/>
        </w:rPr>
      </w:pPr>
      <w:r>
        <w:rPr>
          <w:rStyle w:val="10"/>
          <w:rFonts w:hint="eastAsia" w:ascii="宋体" w:hAnsi="宋体" w:cs="宋体"/>
          <w:color w:val="auto"/>
          <w:sz w:val="28"/>
          <w:szCs w:val="28"/>
          <w:highlight w:val="none"/>
          <w:shd w:val="clear" w:color="auto" w:fill="FFFFFF"/>
        </w:rPr>
        <w:t>总采购预算为：9.3805万元。</w:t>
      </w:r>
    </w:p>
    <w:p w14:paraId="51839623">
      <w:pPr>
        <w:pStyle w:val="7"/>
        <w:widowControl/>
        <w:shd w:val="clear" w:color="auto" w:fill="FFFFFF"/>
        <w:spacing w:before="0" w:beforeAutospacing="0" w:after="0" w:afterAutospacing="0"/>
        <w:ind w:firstLine="560"/>
        <w:rPr>
          <w:rStyle w:val="10"/>
          <w:rFonts w:ascii="宋体" w:hAnsi="宋体" w:cs="宋体"/>
          <w:b w:val="0"/>
          <w:bCs/>
          <w:color w:val="auto"/>
          <w:sz w:val="28"/>
          <w:szCs w:val="28"/>
          <w:highlight w:val="none"/>
          <w:shd w:val="clear" w:color="auto" w:fill="FFFFFF"/>
        </w:rPr>
      </w:pPr>
      <w:r>
        <w:rPr>
          <w:rStyle w:val="10"/>
          <w:rFonts w:hint="eastAsia" w:ascii="宋体" w:hAnsi="宋体" w:cs="宋体"/>
          <w:b w:val="0"/>
          <w:bCs/>
          <w:color w:val="auto"/>
          <w:sz w:val="28"/>
          <w:szCs w:val="28"/>
          <w:highlight w:val="none"/>
          <w:shd w:val="clear" w:color="auto" w:fill="FFFFFF"/>
        </w:rPr>
        <w:t>具体需求详见附件1。本项目不允许负偏离。</w:t>
      </w:r>
    </w:p>
    <w:p w14:paraId="659528B3">
      <w:pPr>
        <w:pStyle w:val="7"/>
        <w:widowControl/>
        <w:numPr>
          <w:ilvl w:val="0"/>
          <w:numId w:val="1"/>
        </w:numPr>
        <w:shd w:val="clear" w:color="auto" w:fill="FFFFFF"/>
        <w:spacing w:before="0" w:beforeAutospacing="0" w:after="0" w:afterAutospacing="0"/>
        <w:ind w:firstLine="480"/>
        <w:rPr>
          <w:rStyle w:val="10"/>
          <w:rFonts w:ascii="宋体" w:hAnsi="宋体" w:cs="宋体"/>
          <w:color w:val="auto"/>
          <w:sz w:val="28"/>
          <w:szCs w:val="28"/>
          <w:highlight w:val="none"/>
          <w:shd w:val="clear" w:color="auto" w:fill="FFFFFF"/>
        </w:rPr>
      </w:pPr>
      <w:r>
        <w:rPr>
          <w:rStyle w:val="10"/>
          <w:rFonts w:hint="eastAsia" w:ascii="宋体" w:hAnsi="宋体" w:cs="宋体"/>
          <w:color w:val="auto"/>
          <w:sz w:val="28"/>
          <w:szCs w:val="28"/>
          <w:highlight w:val="none"/>
          <w:shd w:val="clear" w:color="auto" w:fill="FFFFFF"/>
          <w:lang w:eastAsia="zh-CN"/>
        </w:rPr>
        <w:t>报价</w:t>
      </w:r>
      <w:r>
        <w:rPr>
          <w:rStyle w:val="10"/>
          <w:rFonts w:hint="eastAsia" w:ascii="宋体" w:hAnsi="宋体" w:cs="宋体"/>
          <w:color w:val="auto"/>
          <w:sz w:val="28"/>
          <w:szCs w:val="28"/>
          <w:highlight w:val="none"/>
          <w:shd w:val="clear" w:color="auto" w:fill="FFFFFF"/>
        </w:rPr>
        <w:t>人资格要求</w:t>
      </w:r>
    </w:p>
    <w:p w14:paraId="7C7B438A">
      <w:pPr>
        <w:pStyle w:val="7"/>
        <w:widowControl/>
        <w:shd w:val="clear" w:color="auto" w:fill="FFFFFF"/>
        <w:spacing w:before="0" w:beforeAutospacing="0" w:after="0" w:afterAutospacing="0"/>
        <w:ind w:firstLine="480"/>
        <w:rPr>
          <w:color w:val="auto"/>
          <w:sz w:val="28"/>
          <w:szCs w:val="28"/>
          <w:highlight w:val="none"/>
        </w:rPr>
      </w:pPr>
      <w:r>
        <w:rPr>
          <w:rFonts w:hint="eastAsia" w:ascii="宋体" w:hAnsi="宋体" w:cs="宋体"/>
          <w:color w:val="auto"/>
          <w:sz w:val="28"/>
          <w:szCs w:val="28"/>
          <w:highlight w:val="none"/>
          <w:shd w:val="clear" w:color="auto" w:fill="FFFFFF"/>
        </w:rPr>
        <w:t>（一）必须是在中华人民共和国境内注册，具有独立法人，并持有行政</w:t>
      </w:r>
      <w:r>
        <w:rPr>
          <w:rFonts w:hint="eastAsia" w:ascii="宋体" w:hAnsi="宋体" w:cs="宋体"/>
          <w:color w:val="auto"/>
          <w:sz w:val="28"/>
          <w:szCs w:val="28"/>
          <w:highlight w:val="none"/>
          <w:shd w:val="clear" w:color="auto" w:fill="FFFFFF"/>
          <w:lang w:val="en-US" w:eastAsia="zh-CN"/>
        </w:rPr>
        <w:t>主管</w:t>
      </w:r>
      <w:r>
        <w:rPr>
          <w:rFonts w:hint="eastAsia" w:ascii="宋体" w:hAnsi="宋体" w:cs="宋体"/>
          <w:color w:val="auto"/>
          <w:sz w:val="28"/>
          <w:szCs w:val="28"/>
          <w:highlight w:val="none"/>
          <w:shd w:val="clear" w:color="auto" w:fill="FFFFFF"/>
        </w:rPr>
        <w:t>部门核发的法人营业执照。</w:t>
      </w:r>
    </w:p>
    <w:p w14:paraId="2C62E342">
      <w:pPr>
        <w:pStyle w:val="7"/>
        <w:widowControl/>
        <w:shd w:val="clear" w:color="auto" w:fill="FFFFFF"/>
        <w:spacing w:before="0" w:beforeAutospacing="0" w:after="0" w:afterAutospacing="0"/>
        <w:ind w:firstLine="480"/>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（二）未被列入失信被执行人名单、重大税收违法案件当事人名单、政府采购严重违法失信行为记录名单，信用信息以最新的信用中国网站和中国政府采购网公布为准，</w:t>
      </w:r>
      <w:r>
        <w:rPr>
          <w:rFonts w:hint="eastAsia" w:ascii="宋体" w:hAnsi="宋体" w:cs="宋体"/>
          <w:b/>
          <w:bCs/>
          <w:color w:val="auto"/>
          <w:sz w:val="28"/>
          <w:szCs w:val="28"/>
          <w:highlight w:val="none"/>
          <w:shd w:val="clear" w:color="auto" w:fill="FFFFFF"/>
        </w:rPr>
        <w:t>请提供最新的信用中国网站和中国政府采购网的截图证明信息</w:t>
      </w:r>
      <w:r>
        <w:rPr>
          <w:rFonts w:hint="eastAsia" w:ascii="宋体" w:hAnsi="宋体" w:cs="宋体"/>
          <w:color w:val="auto"/>
          <w:sz w:val="28"/>
          <w:szCs w:val="28"/>
          <w:highlight w:val="none"/>
          <w:shd w:val="clear" w:color="auto" w:fill="FFFFFF"/>
        </w:rPr>
        <w:t>。</w:t>
      </w:r>
    </w:p>
    <w:p w14:paraId="5B6860B1">
      <w:pPr>
        <w:pStyle w:val="7"/>
        <w:widowControl/>
        <w:shd w:val="clear" w:color="auto" w:fill="FFFFFF"/>
        <w:spacing w:before="0" w:beforeAutospacing="0" w:after="0" w:afterAutospacing="0"/>
        <w:ind w:firstLine="480"/>
        <w:rPr>
          <w:color w:val="auto"/>
          <w:sz w:val="28"/>
          <w:szCs w:val="28"/>
          <w:highlight w:val="none"/>
        </w:rPr>
      </w:pPr>
      <w:r>
        <w:rPr>
          <w:rFonts w:hint="eastAsia" w:ascii="宋体" w:hAnsi="宋体" w:cs="宋体"/>
          <w:b/>
          <w:bCs/>
          <w:color w:val="auto"/>
          <w:sz w:val="28"/>
          <w:szCs w:val="28"/>
          <w:highlight w:val="none"/>
          <w:shd w:val="clear" w:color="auto" w:fill="FFFFFF"/>
        </w:rPr>
        <w:t>“信用中国”</w:t>
      </w:r>
      <w:r>
        <w:rPr>
          <w:rFonts w:hint="eastAsia" w:ascii="宋体" w:hAnsi="宋体" w:cs="宋体"/>
          <w:color w:val="auto"/>
          <w:sz w:val="28"/>
          <w:szCs w:val="28"/>
          <w:highlight w:val="none"/>
          <w:shd w:val="clear" w:color="auto" w:fill="FFFFFF"/>
        </w:rPr>
        <w:t>网站查询方法：</w:t>
      </w:r>
      <w:r>
        <w:rPr>
          <w:rFonts w:hint="eastAsia" w:ascii="宋体" w:hAnsi="宋体" w:cs="宋体"/>
          <w:color w:val="auto"/>
          <w:sz w:val="28"/>
          <w:szCs w:val="28"/>
          <w:highlight w:val="none"/>
          <w:shd w:val="clear" w:color="auto" w:fill="FFFFFF"/>
          <w:lang w:eastAsia="zh-CN"/>
        </w:rPr>
        <w:t>报价</w:t>
      </w:r>
      <w:r>
        <w:rPr>
          <w:rFonts w:hint="eastAsia" w:ascii="宋体" w:hAnsi="宋体" w:cs="宋体"/>
          <w:color w:val="auto"/>
          <w:sz w:val="28"/>
          <w:szCs w:val="28"/>
          <w:highlight w:val="none"/>
          <w:shd w:val="clear" w:color="auto" w:fill="FFFFFF"/>
        </w:rPr>
        <w:t>人在本项目</w:t>
      </w:r>
      <w:r>
        <w:rPr>
          <w:rFonts w:hint="eastAsia" w:ascii="宋体" w:hAnsi="宋体" w:cs="宋体"/>
          <w:color w:val="auto"/>
          <w:sz w:val="28"/>
          <w:szCs w:val="28"/>
          <w:highlight w:val="none"/>
          <w:shd w:val="clear" w:color="auto" w:fill="FFFFFF"/>
          <w:lang w:eastAsia="zh-CN"/>
        </w:rPr>
        <w:t>报价</w:t>
      </w:r>
      <w:r>
        <w:rPr>
          <w:rFonts w:hint="eastAsia" w:ascii="宋体" w:hAnsi="宋体" w:cs="宋体"/>
          <w:color w:val="auto"/>
          <w:sz w:val="28"/>
          <w:szCs w:val="28"/>
          <w:highlight w:val="none"/>
          <w:shd w:val="clear" w:color="auto" w:fill="FFFFFF"/>
        </w:rPr>
        <w:t>截止时间前10日内,进入</w:t>
      </w:r>
      <w:r>
        <w:rPr>
          <w:rFonts w:hint="eastAsia" w:ascii="宋体" w:hAnsi="宋体" w:cs="宋体"/>
          <w:color w:val="auto"/>
          <w:sz w:val="28"/>
          <w:szCs w:val="28"/>
          <w:highlight w:val="none"/>
          <w:shd w:val="clear" w:color="auto" w:fill="FFFFFF"/>
          <w:lang w:eastAsia="zh-CN"/>
        </w:rPr>
        <w:t>报价</w:t>
      </w:r>
      <w:r>
        <w:rPr>
          <w:rFonts w:hint="eastAsia" w:ascii="宋体" w:hAnsi="宋体" w:cs="宋体"/>
          <w:color w:val="auto"/>
          <w:sz w:val="28"/>
          <w:szCs w:val="28"/>
          <w:highlight w:val="none"/>
          <w:shd w:val="clear" w:color="auto" w:fill="FFFFFF"/>
        </w:rPr>
        <w:t>人基本信息页面，点击“下载信用报告”后点击“下载”。</w:t>
      </w:r>
      <w:r>
        <w:rPr>
          <w:rFonts w:hint="eastAsia" w:ascii="宋体" w:hAnsi="宋体" w:cs="宋体"/>
          <w:b/>
          <w:bCs/>
          <w:color w:val="auto"/>
          <w:sz w:val="28"/>
          <w:szCs w:val="28"/>
          <w:highlight w:val="none"/>
          <w:shd w:val="clear" w:color="auto" w:fill="FFFFFF"/>
        </w:rPr>
        <w:t>“中国政府采购网”</w:t>
      </w:r>
      <w:r>
        <w:rPr>
          <w:rFonts w:hint="eastAsia" w:ascii="宋体" w:hAnsi="宋体" w:cs="宋体"/>
          <w:color w:val="auto"/>
          <w:sz w:val="28"/>
          <w:szCs w:val="28"/>
          <w:highlight w:val="none"/>
          <w:shd w:val="clear" w:color="auto" w:fill="FFFFFF"/>
        </w:rPr>
        <w:t>的查询方法：点击“政府采购严重违法失信行为记录名单”进行查询。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749BC069">
      <w:pPr>
        <w:pStyle w:val="7"/>
        <w:widowControl/>
        <w:shd w:val="clear" w:color="auto" w:fill="FFFFFF"/>
        <w:spacing w:before="0" w:beforeAutospacing="0" w:after="0" w:afterAutospacing="0"/>
        <w:ind w:firstLine="480"/>
        <w:rPr>
          <w:color w:val="auto"/>
          <w:sz w:val="28"/>
          <w:szCs w:val="28"/>
          <w:highlight w:val="none"/>
        </w:rPr>
      </w:pPr>
      <w:r>
        <w:rPr>
          <w:rFonts w:hint="eastAsia" w:ascii="宋体" w:hAnsi="宋体" w:cs="宋体"/>
          <w:color w:val="auto"/>
          <w:sz w:val="28"/>
          <w:szCs w:val="28"/>
          <w:highlight w:val="none"/>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时提供附件2）</w:t>
      </w:r>
    </w:p>
    <w:p w14:paraId="6784F47E">
      <w:pPr>
        <w:pStyle w:val="7"/>
        <w:widowControl/>
        <w:numPr>
          <w:ilvl w:val="0"/>
          <w:numId w:val="1"/>
        </w:numPr>
        <w:shd w:val="clear" w:color="auto" w:fill="FFFFFF"/>
        <w:spacing w:before="0" w:beforeAutospacing="0" w:after="0" w:afterAutospacing="0"/>
        <w:ind w:firstLine="480"/>
        <w:rPr>
          <w:rStyle w:val="10"/>
          <w:rFonts w:ascii="宋体" w:hAnsi="宋体" w:cs="宋体"/>
          <w:color w:val="auto"/>
          <w:sz w:val="28"/>
          <w:szCs w:val="28"/>
          <w:highlight w:val="none"/>
          <w:shd w:val="clear" w:color="auto" w:fill="FFFFFF"/>
        </w:rPr>
      </w:pPr>
      <w:r>
        <w:rPr>
          <w:rStyle w:val="10"/>
          <w:rFonts w:hint="eastAsia" w:ascii="宋体" w:hAnsi="宋体" w:cs="宋体"/>
          <w:color w:val="auto"/>
          <w:sz w:val="28"/>
          <w:szCs w:val="28"/>
          <w:highlight w:val="none"/>
          <w:shd w:val="clear" w:color="auto" w:fill="FFFFFF"/>
          <w:lang w:eastAsia="zh-CN"/>
        </w:rPr>
        <w:t>报价</w:t>
      </w:r>
      <w:r>
        <w:rPr>
          <w:rStyle w:val="10"/>
          <w:rFonts w:hint="eastAsia" w:ascii="宋体" w:hAnsi="宋体" w:cs="宋体"/>
          <w:color w:val="auto"/>
          <w:sz w:val="28"/>
          <w:szCs w:val="28"/>
          <w:highlight w:val="none"/>
          <w:shd w:val="clear" w:color="auto" w:fill="FFFFFF"/>
        </w:rPr>
        <w:t>要求</w:t>
      </w:r>
    </w:p>
    <w:p w14:paraId="05D5D180">
      <w:pPr>
        <w:pStyle w:val="7"/>
        <w:widowControl/>
        <w:shd w:val="clear" w:color="auto" w:fill="FFFFFF"/>
        <w:spacing w:before="0" w:beforeAutospacing="0" w:after="0" w:afterAutospacing="0"/>
        <w:ind w:firstLine="480"/>
        <w:rPr>
          <w:color w:val="auto"/>
          <w:sz w:val="28"/>
          <w:szCs w:val="28"/>
          <w:highlight w:val="none"/>
        </w:rPr>
      </w:pPr>
      <w:r>
        <w:rPr>
          <w:rFonts w:hint="eastAsia" w:ascii="宋体" w:hAnsi="宋体" w:cs="宋体"/>
          <w:color w:val="auto"/>
          <w:sz w:val="28"/>
          <w:szCs w:val="28"/>
          <w:highlight w:val="none"/>
          <w:shd w:val="clear" w:color="auto" w:fill="FFFFFF"/>
        </w:rPr>
        <w:t>（一）提供法人授权委托书（格式自拟）、有效的营业执照复印件（加盖单位公章）、被授权人身份证（复印件）及按第三大点资格要求列明的证明材料。</w:t>
      </w:r>
    </w:p>
    <w:p w14:paraId="049E7286">
      <w:pPr>
        <w:pStyle w:val="7"/>
        <w:widowControl/>
        <w:shd w:val="clear" w:color="auto" w:fill="FFFFFF"/>
        <w:spacing w:before="0" w:beforeAutospacing="0" w:after="0" w:afterAutospacing="0"/>
        <w:ind w:firstLine="480"/>
        <w:rPr>
          <w:color w:val="auto"/>
          <w:sz w:val="28"/>
          <w:szCs w:val="28"/>
          <w:highlight w:val="none"/>
        </w:rPr>
      </w:pPr>
      <w:r>
        <w:rPr>
          <w:rFonts w:hint="eastAsia" w:ascii="宋体" w:hAnsi="宋体" w:cs="宋体"/>
          <w:color w:val="auto"/>
          <w:sz w:val="28"/>
          <w:szCs w:val="28"/>
          <w:highlight w:val="none"/>
          <w:shd w:val="clear" w:color="auto" w:fill="FFFFFF"/>
        </w:rPr>
        <w:t>（二）报价函（格式自拟，写清楚所投产品品牌、型号、技术参数等，报价必须包含但不限于运输、调试、安装、税金等本项目所有费用）、技术与商务参数偏离表（格式自拟，必须与采购需求表里的技术参数逐项比对</w:t>
      </w:r>
      <w:r>
        <w:rPr>
          <w:rFonts w:hint="eastAsia" w:ascii="宋体" w:hAnsi="宋体" w:cs="宋体"/>
          <w:color w:val="auto"/>
          <w:sz w:val="28"/>
          <w:szCs w:val="28"/>
          <w:highlight w:val="none"/>
          <w:shd w:val="clear" w:color="auto" w:fill="FFFFFF"/>
          <w:lang w:eastAsia="zh-CN"/>
        </w:rPr>
        <w:t>，</w:t>
      </w:r>
      <w:r>
        <w:rPr>
          <w:rFonts w:hint="eastAsia" w:ascii="宋体" w:hAnsi="宋体" w:cs="宋体"/>
          <w:color w:val="auto"/>
          <w:sz w:val="28"/>
          <w:szCs w:val="28"/>
          <w:highlight w:val="none"/>
          <w:shd w:val="clear" w:color="auto" w:fill="FFFFFF"/>
          <w:lang w:val="en-US" w:eastAsia="zh-CN"/>
        </w:rPr>
        <w:t>并写明偏离情况</w:t>
      </w:r>
      <w:r>
        <w:rPr>
          <w:rFonts w:hint="eastAsia" w:ascii="宋体" w:hAnsi="宋体" w:cs="宋体"/>
          <w:color w:val="auto"/>
          <w:sz w:val="28"/>
          <w:szCs w:val="28"/>
          <w:highlight w:val="none"/>
          <w:shd w:val="clear" w:color="auto" w:fill="FFFFFF"/>
        </w:rPr>
        <w:t>）。</w:t>
      </w:r>
    </w:p>
    <w:p w14:paraId="66958B7B">
      <w:pPr>
        <w:pStyle w:val="7"/>
        <w:widowControl/>
        <w:shd w:val="clear" w:color="auto" w:fill="FFFFFF"/>
        <w:spacing w:before="0" w:beforeAutospacing="0" w:after="0" w:afterAutospacing="0"/>
        <w:ind w:firstLine="480"/>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（三）关于本项目的服务承诺（格式自拟，包含但不限于售后、培训、免费质保期等）。</w:t>
      </w:r>
    </w:p>
    <w:p w14:paraId="3F4A33E2">
      <w:pPr>
        <w:pStyle w:val="7"/>
        <w:widowControl/>
        <w:shd w:val="clear" w:color="auto" w:fill="FFFFFF"/>
        <w:spacing w:before="0" w:beforeAutospacing="0" w:after="0" w:afterAutospacing="0"/>
        <w:ind w:firstLine="480"/>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（四）采购需求里要求提供的其他证明材料。</w:t>
      </w:r>
    </w:p>
    <w:p w14:paraId="1FAA1D26">
      <w:pPr>
        <w:pStyle w:val="7"/>
        <w:widowControl/>
        <w:shd w:val="clear" w:color="auto" w:fill="FFFFFF"/>
        <w:spacing w:before="0" w:beforeAutospacing="0" w:after="0" w:afterAutospacing="0"/>
        <w:ind w:firstLine="480"/>
        <w:rPr>
          <w:color w:val="auto"/>
          <w:sz w:val="28"/>
          <w:szCs w:val="28"/>
          <w:highlight w:val="none"/>
        </w:rPr>
      </w:pPr>
      <w:r>
        <w:rPr>
          <w:rStyle w:val="10"/>
          <w:rFonts w:hint="eastAsia" w:ascii="宋体" w:hAnsi="宋体" w:cs="宋体"/>
          <w:color w:val="auto"/>
          <w:sz w:val="28"/>
          <w:szCs w:val="28"/>
          <w:highlight w:val="none"/>
          <w:shd w:val="clear" w:color="auto" w:fill="FFFFFF"/>
        </w:rPr>
        <w:t>注：所有</w:t>
      </w:r>
      <w:r>
        <w:rPr>
          <w:rStyle w:val="10"/>
          <w:rFonts w:hint="eastAsia" w:ascii="宋体" w:hAnsi="宋体" w:cs="宋体"/>
          <w:color w:val="auto"/>
          <w:sz w:val="28"/>
          <w:szCs w:val="28"/>
          <w:highlight w:val="none"/>
          <w:shd w:val="clear" w:color="auto" w:fill="FFFFFF"/>
          <w:lang w:eastAsia="zh-CN"/>
        </w:rPr>
        <w:t>报价</w:t>
      </w:r>
      <w:r>
        <w:rPr>
          <w:rStyle w:val="10"/>
          <w:rFonts w:hint="eastAsia" w:ascii="宋体" w:hAnsi="宋体" w:cs="宋体"/>
          <w:color w:val="auto"/>
          <w:sz w:val="28"/>
          <w:szCs w:val="28"/>
          <w:highlight w:val="none"/>
          <w:shd w:val="clear" w:color="auto" w:fill="FFFFFF"/>
        </w:rPr>
        <w:t>材料务必严格按要求提供，不按要求提供的，采购人有权视为无效</w:t>
      </w:r>
      <w:r>
        <w:rPr>
          <w:rStyle w:val="10"/>
          <w:rFonts w:hint="eastAsia" w:ascii="宋体" w:hAnsi="宋体" w:cs="宋体"/>
          <w:color w:val="auto"/>
          <w:sz w:val="28"/>
          <w:szCs w:val="28"/>
          <w:highlight w:val="none"/>
          <w:shd w:val="clear" w:color="auto" w:fill="FFFFFF"/>
          <w:lang w:eastAsia="zh-CN"/>
        </w:rPr>
        <w:t>报价</w:t>
      </w:r>
      <w:r>
        <w:rPr>
          <w:rStyle w:val="10"/>
          <w:rFonts w:hint="eastAsia" w:ascii="宋体" w:hAnsi="宋体" w:cs="宋体"/>
          <w:color w:val="auto"/>
          <w:sz w:val="28"/>
          <w:szCs w:val="28"/>
          <w:highlight w:val="none"/>
          <w:shd w:val="clear" w:color="auto" w:fill="FFFFFF"/>
        </w:rPr>
        <w:t>。</w:t>
      </w:r>
      <w:r>
        <w:rPr>
          <w:rStyle w:val="10"/>
          <w:rFonts w:hint="eastAsia" w:ascii="宋体" w:hAnsi="宋体" w:cs="宋体"/>
          <w:color w:val="auto"/>
          <w:sz w:val="28"/>
          <w:szCs w:val="28"/>
          <w:highlight w:val="none"/>
          <w:shd w:val="clear" w:color="auto" w:fill="FFFFFF"/>
          <w:lang w:eastAsia="zh-CN"/>
        </w:rPr>
        <w:t>报价</w:t>
      </w:r>
      <w:r>
        <w:rPr>
          <w:rStyle w:val="10"/>
          <w:rFonts w:hint="eastAsia" w:ascii="宋体" w:hAnsi="宋体" w:cs="宋体"/>
          <w:color w:val="auto"/>
          <w:sz w:val="28"/>
          <w:szCs w:val="28"/>
          <w:highlight w:val="none"/>
          <w:shd w:val="clear" w:color="auto" w:fill="FFFFFF"/>
        </w:rPr>
        <w:t>材料必须一正一副，且须加盖公章后密封提供。</w:t>
      </w:r>
    </w:p>
    <w:p w14:paraId="5320A3C4">
      <w:pPr>
        <w:pStyle w:val="7"/>
        <w:widowControl/>
        <w:shd w:val="clear" w:color="auto" w:fill="FFFFFF"/>
        <w:spacing w:before="0" w:beforeAutospacing="0" w:after="0" w:afterAutospacing="0"/>
        <w:ind w:firstLine="480"/>
        <w:rPr>
          <w:color w:val="auto"/>
          <w:sz w:val="28"/>
          <w:szCs w:val="28"/>
          <w:highlight w:val="none"/>
        </w:rPr>
      </w:pPr>
      <w:r>
        <w:rPr>
          <w:rStyle w:val="10"/>
          <w:rFonts w:hint="eastAsia" w:ascii="宋体" w:hAnsi="宋体" w:cs="宋体"/>
          <w:color w:val="auto"/>
          <w:sz w:val="28"/>
          <w:szCs w:val="28"/>
          <w:highlight w:val="none"/>
          <w:shd w:val="clear" w:color="auto" w:fill="FFFFFF"/>
        </w:rPr>
        <w:t>五、</w:t>
      </w:r>
      <w:r>
        <w:rPr>
          <w:rStyle w:val="10"/>
          <w:rFonts w:hint="eastAsia" w:ascii="宋体" w:hAnsi="宋体" w:cs="宋体"/>
          <w:color w:val="auto"/>
          <w:sz w:val="28"/>
          <w:szCs w:val="28"/>
          <w:highlight w:val="none"/>
          <w:shd w:val="clear" w:color="auto" w:fill="FFFFFF"/>
          <w:lang w:val="en-US" w:eastAsia="zh-CN"/>
        </w:rPr>
        <w:t>评比</w:t>
      </w:r>
      <w:r>
        <w:rPr>
          <w:rStyle w:val="10"/>
          <w:rFonts w:hint="eastAsia" w:ascii="宋体" w:hAnsi="宋体" w:cs="宋体"/>
          <w:color w:val="auto"/>
          <w:sz w:val="28"/>
          <w:szCs w:val="28"/>
          <w:highlight w:val="none"/>
          <w:shd w:val="clear" w:color="auto" w:fill="FFFFFF"/>
        </w:rPr>
        <w:t>方式</w:t>
      </w:r>
      <w:r>
        <w:rPr>
          <w:rFonts w:hint="eastAsia"/>
          <w:color w:val="auto"/>
          <w:sz w:val="28"/>
          <w:szCs w:val="28"/>
          <w:highlight w:val="none"/>
        </w:rPr>
        <w:t>：</w:t>
      </w:r>
      <w:r>
        <w:rPr>
          <w:rFonts w:hint="eastAsia" w:ascii="宋体" w:hAnsi="宋体" w:cs="宋体"/>
          <w:color w:val="auto"/>
          <w:sz w:val="28"/>
          <w:szCs w:val="28"/>
          <w:highlight w:val="none"/>
          <w:shd w:val="clear" w:color="auto" w:fill="FFFFFF"/>
        </w:rPr>
        <w:t>根据</w:t>
      </w:r>
      <w:r>
        <w:rPr>
          <w:rFonts w:hint="eastAsia" w:ascii="宋体" w:hAnsi="宋体" w:cs="宋体"/>
          <w:color w:val="auto"/>
          <w:sz w:val="28"/>
          <w:szCs w:val="28"/>
          <w:highlight w:val="none"/>
          <w:shd w:val="clear" w:color="auto" w:fill="FFFFFF"/>
          <w:lang w:eastAsia="zh-CN"/>
        </w:rPr>
        <w:t>报价</w:t>
      </w:r>
      <w:r>
        <w:rPr>
          <w:rFonts w:hint="eastAsia" w:ascii="宋体" w:hAnsi="宋体" w:cs="宋体"/>
          <w:color w:val="auto"/>
          <w:sz w:val="28"/>
          <w:szCs w:val="28"/>
          <w:highlight w:val="none"/>
          <w:shd w:val="clear" w:color="auto" w:fill="FFFFFF"/>
        </w:rPr>
        <w:t>人的</w:t>
      </w:r>
      <w:r>
        <w:rPr>
          <w:rFonts w:hint="eastAsia" w:ascii="宋体" w:hAnsi="宋体" w:cs="宋体"/>
          <w:color w:val="auto"/>
          <w:sz w:val="28"/>
          <w:szCs w:val="28"/>
          <w:highlight w:val="none"/>
          <w:shd w:val="clear" w:color="auto" w:fill="FFFFFF"/>
          <w:lang w:eastAsia="zh-CN"/>
        </w:rPr>
        <w:t>报价</w:t>
      </w:r>
      <w:r>
        <w:rPr>
          <w:rFonts w:hint="eastAsia" w:ascii="宋体" w:hAnsi="宋体" w:cs="宋体"/>
          <w:color w:val="auto"/>
          <w:sz w:val="28"/>
          <w:szCs w:val="28"/>
          <w:highlight w:val="none"/>
          <w:shd w:val="clear" w:color="auto" w:fill="FFFFFF"/>
        </w:rPr>
        <w:t>材料，在满足采购需求的基础上，采取低价</w:t>
      </w:r>
      <w:r>
        <w:rPr>
          <w:rFonts w:hint="eastAsia" w:ascii="宋体" w:hAnsi="宋体" w:cs="宋体"/>
          <w:color w:val="auto"/>
          <w:sz w:val="28"/>
          <w:szCs w:val="28"/>
          <w:highlight w:val="none"/>
          <w:shd w:val="clear" w:color="auto" w:fill="FFFFFF"/>
          <w:lang w:val="en-US" w:eastAsia="zh-CN"/>
        </w:rPr>
        <w:t>成交</w:t>
      </w:r>
      <w:r>
        <w:rPr>
          <w:rFonts w:hint="eastAsia" w:ascii="宋体" w:hAnsi="宋体" w:cs="宋体"/>
          <w:color w:val="auto"/>
          <w:sz w:val="28"/>
          <w:szCs w:val="28"/>
          <w:highlight w:val="none"/>
          <w:shd w:val="clear" w:color="auto" w:fill="FFFFFF"/>
        </w:rPr>
        <w:t>方式选定该项目中标单位，若价格相同，则采取抽签方式确定</w:t>
      </w:r>
      <w:r>
        <w:rPr>
          <w:rFonts w:hint="eastAsia" w:ascii="宋体" w:hAnsi="宋体" w:cs="宋体"/>
          <w:color w:val="auto"/>
          <w:sz w:val="28"/>
          <w:szCs w:val="28"/>
          <w:highlight w:val="none"/>
          <w:shd w:val="clear" w:color="auto" w:fill="FFFFFF"/>
          <w:lang w:val="en-US" w:eastAsia="zh-CN"/>
        </w:rPr>
        <w:t>成交</w:t>
      </w:r>
      <w:r>
        <w:rPr>
          <w:rFonts w:hint="eastAsia" w:ascii="宋体" w:hAnsi="宋体" w:cs="宋体"/>
          <w:color w:val="auto"/>
          <w:sz w:val="28"/>
          <w:szCs w:val="28"/>
          <w:highlight w:val="none"/>
          <w:shd w:val="clear" w:color="auto" w:fill="FFFFFF"/>
        </w:rPr>
        <w:t>单位。</w:t>
      </w:r>
    </w:p>
    <w:p w14:paraId="07E9FF79">
      <w:pPr>
        <w:pStyle w:val="7"/>
        <w:widowControl/>
        <w:shd w:val="clear" w:color="auto" w:fill="FFFFFF"/>
        <w:spacing w:before="0" w:beforeAutospacing="0" w:after="0" w:afterAutospacing="0"/>
        <w:ind w:firstLine="480"/>
        <w:rPr>
          <w:color w:val="auto"/>
          <w:sz w:val="28"/>
          <w:szCs w:val="28"/>
          <w:highlight w:val="none"/>
        </w:rPr>
      </w:pPr>
      <w:r>
        <w:rPr>
          <w:rStyle w:val="10"/>
          <w:rFonts w:hint="eastAsia" w:ascii="宋体" w:hAnsi="宋体" w:cs="宋体"/>
          <w:color w:val="auto"/>
          <w:sz w:val="28"/>
          <w:szCs w:val="28"/>
          <w:highlight w:val="none"/>
          <w:shd w:val="clear" w:color="auto" w:fill="FFFFFF"/>
        </w:rPr>
        <w:t>六、</w:t>
      </w:r>
      <w:r>
        <w:rPr>
          <w:rStyle w:val="10"/>
          <w:rFonts w:hint="eastAsia" w:ascii="宋体" w:hAnsi="宋体" w:cs="宋体"/>
          <w:color w:val="auto"/>
          <w:sz w:val="28"/>
          <w:szCs w:val="28"/>
          <w:highlight w:val="none"/>
          <w:shd w:val="clear" w:color="auto" w:fill="FFFFFF"/>
          <w:lang w:eastAsia="zh-CN"/>
        </w:rPr>
        <w:t>报价</w:t>
      </w:r>
      <w:r>
        <w:rPr>
          <w:rStyle w:val="10"/>
          <w:rFonts w:hint="eastAsia" w:ascii="宋体" w:hAnsi="宋体" w:cs="宋体"/>
          <w:color w:val="auto"/>
          <w:sz w:val="28"/>
          <w:szCs w:val="28"/>
          <w:highlight w:val="none"/>
          <w:shd w:val="clear" w:color="auto" w:fill="FFFFFF"/>
        </w:rPr>
        <w:t>截止时间和地点</w:t>
      </w:r>
    </w:p>
    <w:p w14:paraId="046A5C00">
      <w:pPr>
        <w:pStyle w:val="7"/>
        <w:widowControl/>
        <w:shd w:val="clear" w:color="auto" w:fill="FFFFFF"/>
        <w:spacing w:before="0" w:beforeAutospacing="0" w:after="0" w:afterAutospacing="0"/>
        <w:ind w:firstLine="480"/>
        <w:rPr>
          <w:color w:val="auto"/>
          <w:sz w:val="28"/>
          <w:szCs w:val="28"/>
          <w:highlight w:val="none"/>
        </w:rPr>
      </w:pPr>
      <w:r>
        <w:rPr>
          <w:rFonts w:hint="eastAsia" w:ascii="宋体" w:hAnsi="宋体" w:cs="宋体"/>
          <w:color w:val="auto"/>
          <w:sz w:val="28"/>
          <w:szCs w:val="28"/>
          <w:highlight w:val="none"/>
          <w:shd w:val="clear" w:color="auto" w:fill="FFFFFF"/>
          <w:lang w:eastAsia="zh-CN"/>
        </w:rPr>
        <w:t>报价</w:t>
      </w:r>
      <w:r>
        <w:rPr>
          <w:rFonts w:hint="eastAsia" w:ascii="宋体" w:hAnsi="宋体" w:cs="宋体"/>
          <w:color w:val="auto"/>
          <w:sz w:val="28"/>
          <w:szCs w:val="28"/>
          <w:highlight w:val="none"/>
          <w:shd w:val="clear" w:color="auto" w:fill="FFFFFF"/>
        </w:rPr>
        <w:t>时间：凡愿意且符合条件</w:t>
      </w:r>
      <w:r>
        <w:rPr>
          <w:rFonts w:hint="eastAsia" w:ascii="宋体" w:hAnsi="宋体" w:cs="宋体"/>
          <w:color w:val="auto"/>
          <w:sz w:val="28"/>
          <w:szCs w:val="28"/>
          <w:highlight w:val="none"/>
          <w:shd w:val="clear" w:color="auto" w:fill="FFFFFF"/>
          <w:lang w:eastAsia="zh-CN"/>
        </w:rPr>
        <w:t>报价</w:t>
      </w:r>
      <w:r>
        <w:rPr>
          <w:rFonts w:hint="eastAsia" w:ascii="宋体" w:hAnsi="宋体" w:cs="宋体"/>
          <w:color w:val="auto"/>
          <w:sz w:val="28"/>
          <w:szCs w:val="28"/>
          <w:highlight w:val="none"/>
          <w:shd w:val="clear" w:color="auto" w:fill="FFFFFF"/>
        </w:rPr>
        <w:t>人，请于2025年1</w:t>
      </w:r>
      <w:r>
        <w:rPr>
          <w:rFonts w:hint="eastAsia" w:ascii="宋体" w:hAnsi="宋体" w:cs="宋体"/>
          <w:color w:val="auto"/>
          <w:sz w:val="28"/>
          <w:szCs w:val="28"/>
          <w:highlight w:val="none"/>
          <w:shd w:val="clear" w:color="auto" w:fill="FFFFFF"/>
          <w:lang w:val="en-US" w:eastAsia="zh-CN"/>
        </w:rPr>
        <w:t>2</w:t>
      </w:r>
      <w:r>
        <w:rPr>
          <w:rFonts w:hint="eastAsia" w:ascii="宋体" w:hAnsi="宋体" w:cs="宋体"/>
          <w:color w:val="auto"/>
          <w:sz w:val="28"/>
          <w:szCs w:val="28"/>
          <w:highlight w:val="none"/>
          <w:shd w:val="clear" w:color="auto" w:fill="FFFFFF"/>
        </w:rPr>
        <w:t>月</w:t>
      </w:r>
      <w:r>
        <w:rPr>
          <w:rFonts w:hint="eastAsia" w:ascii="宋体" w:hAnsi="宋体" w:cs="宋体"/>
          <w:color w:val="auto"/>
          <w:sz w:val="28"/>
          <w:szCs w:val="28"/>
          <w:highlight w:val="none"/>
          <w:shd w:val="clear" w:color="auto" w:fill="FFFFFF"/>
          <w:lang w:val="en-US" w:eastAsia="zh-CN"/>
        </w:rPr>
        <w:t>3</w:t>
      </w:r>
      <w:r>
        <w:rPr>
          <w:rFonts w:hint="eastAsia" w:ascii="宋体" w:hAnsi="宋体" w:cs="宋体"/>
          <w:color w:val="auto"/>
          <w:sz w:val="28"/>
          <w:szCs w:val="28"/>
          <w:highlight w:val="none"/>
          <w:shd w:val="clear" w:color="auto" w:fill="FFFFFF"/>
        </w:rPr>
        <w:t>日上午9点至11点之间，将</w:t>
      </w:r>
      <w:r>
        <w:rPr>
          <w:rFonts w:hint="eastAsia" w:ascii="宋体" w:hAnsi="宋体" w:cs="宋体"/>
          <w:color w:val="auto"/>
          <w:sz w:val="28"/>
          <w:szCs w:val="28"/>
          <w:highlight w:val="none"/>
          <w:shd w:val="clear" w:color="auto" w:fill="FFFFFF"/>
          <w:lang w:eastAsia="zh-CN"/>
        </w:rPr>
        <w:t>报价</w:t>
      </w:r>
      <w:r>
        <w:rPr>
          <w:rFonts w:hint="eastAsia" w:ascii="宋体" w:hAnsi="宋体" w:cs="宋体"/>
          <w:color w:val="auto"/>
          <w:sz w:val="28"/>
          <w:szCs w:val="28"/>
          <w:highlight w:val="none"/>
          <w:shd w:val="clear" w:color="auto" w:fill="FFFFFF"/>
        </w:rPr>
        <w:t>文件送达广西艺术学院财务资产处，其他时间不接收报名材料。</w:t>
      </w:r>
      <w:r>
        <w:rPr>
          <w:rFonts w:hint="eastAsia" w:ascii="宋体" w:hAnsi="宋体" w:cs="宋体"/>
          <w:color w:val="auto"/>
          <w:sz w:val="28"/>
          <w:szCs w:val="28"/>
          <w:highlight w:val="none"/>
          <w:shd w:val="clear" w:color="auto" w:fill="FFFFFF"/>
          <w:lang w:eastAsia="zh-CN"/>
        </w:rPr>
        <w:t>报价</w:t>
      </w:r>
      <w:r>
        <w:rPr>
          <w:rFonts w:hint="eastAsia" w:ascii="宋体" w:hAnsi="宋体" w:cs="宋体"/>
          <w:color w:val="auto"/>
          <w:sz w:val="28"/>
          <w:szCs w:val="28"/>
          <w:highlight w:val="none"/>
          <w:shd w:val="clear" w:color="auto" w:fill="FFFFFF"/>
        </w:rPr>
        <w:t>地点：南宁市教育路7号广西艺术学院雕塑办公楼107室财务资产处采购管理科。联系人：李老师，朱老师，高老师。联系电话：07715327987.</w:t>
      </w:r>
    </w:p>
    <w:p w14:paraId="36753DC5">
      <w:pPr>
        <w:pStyle w:val="7"/>
        <w:widowControl/>
        <w:shd w:val="clear" w:color="auto" w:fill="FFFFFF"/>
        <w:spacing w:before="0" w:beforeAutospacing="0" w:after="0" w:afterAutospacing="0"/>
        <w:ind w:firstLine="480"/>
        <w:rPr>
          <w:rFonts w:ascii="宋体" w:hAnsi="宋体" w:cs="宋体"/>
          <w:color w:val="auto"/>
          <w:sz w:val="28"/>
          <w:szCs w:val="28"/>
          <w:highlight w:val="none"/>
          <w:shd w:val="clear" w:color="auto" w:fill="FFFFFF"/>
        </w:rPr>
        <w:sectPr>
          <w:pgSz w:w="11906" w:h="16838"/>
          <w:pgMar w:top="720" w:right="720" w:bottom="720" w:left="720" w:header="851" w:footer="992" w:gutter="0"/>
          <w:cols w:space="425" w:num="1"/>
          <w:docGrid w:type="lines" w:linePitch="312" w:charSpace="0"/>
        </w:sectPr>
      </w:pPr>
      <w:r>
        <w:rPr>
          <w:rFonts w:hint="eastAsia" w:ascii="宋体" w:hAnsi="宋体" w:cs="宋体"/>
          <w:color w:val="auto"/>
          <w:sz w:val="28"/>
          <w:szCs w:val="28"/>
          <w:highlight w:val="none"/>
          <w:shd w:val="clear" w:color="auto" w:fill="FFFFFF"/>
        </w:rPr>
        <w:t>七、</w:t>
      </w:r>
      <w:r>
        <w:rPr>
          <w:rFonts w:hint="eastAsia" w:ascii="宋体" w:hAnsi="宋体" w:eastAsia="宋体" w:cs="宋体"/>
          <w:color w:val="auto"/>
          <w:sz w:val="28"/>
          <w:szCs w:val="28"/>
          <w:highlight w:val="none"/>
          <w:shd w:val="clear" w:color="auto"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w:t>
      </w:r>
      <w:r>
        <w:rPr>
          <w:rFonts w:hint="eastAsia" w:ascii="宋体" w:hAnsi="宋体" w:eastAsia="宋体" w:cs="宋体"/>
          <w:color w:val="auto"/>
          <w:sz w:val="28"/>
          <w:szCs w:val="28"/>
          <w:highlight w:val="none"/>
          <w:shd w:val="clear" w:color="auto" w:fill="FFFFFF"/>
          <w:lang w:eastAsia="zh-CN"/>
        </w:rPr>
        <w:t>报价</w:t>
      </w:r>
      <w:r>
        <w:rPr>
          <w:rFonts w:hint="eastAsia" w:ascii="宋体" w:hAnsi="宋体" w:eastAsia="宋体" w:cs="宋体"/>
          <w:color w:val="auto"/>
          <w:sz w:val="28"/>
          <w:szCs w:val="28"/>
          <w:highlight w:val="none"/>
          <w:shd w:val="clear" w:color="auto" w:fill="FFFFFF"/>
        </w:rPr>
        <w:t>人。</w:t>
      </w:r>
      <w:r>
        <w:rPr>
          <w:rFonts w:hint="eastAsia" w:ascii="宋体" w:hAnsi="宋体" w:eastAsia="宋体" w:cs="宋体"/>
          <w:color w:val="auto"/>
          <w:sz w:val="28"/>
          <w:szCs w:val="28"/>
          <w:highlight w:val="none"/>
          <w:shd w:val="clear" w:color="auto" w:fill="FFFFFF"/>
          <w:lang w:eastAsia="zh-CN"/>
        </w:rPr>
        <w:t>报价</w:t>
      </w:r>
      <w:r>
        <w:rPr>
          <w:rFonts w:hint="eastAsia" w:ascii="宋体" w:hAnsi="宋体" w:eastAsia="宋体" w:cs="宋体"/>
          <w:color w:val="auto"/>
          <w:sz w:val="28"/>
          <w:szCs w:val="28"/>
          <w:highlight w:val="none"/>
          <w:shd w:val="clear" w:color="auto" w:fill="FFFFFF"/>
        </w:rPr>
        <w:t>人据此参与本次采购活动，即视为对本次采购的相关信息、内容及规则没有异议。</w:t>
      </w:r>
    </w:p>
    <w:p w14:paraId="27818C6D">
      <w:pPr>
        <w:rPr>
          <w:color w:val="auto"/>
          <w:highlight w:val="none"/>
        </w:rPr>
      </w:pPr>
    </w:p>
    <w:p w14:paraId="028968D4">
      <w:pPr>
        <w:rPr>
          <w:color w:val="auto"/>
          <w:highlight w:val="none"/>
        </w:rPr>
      </w:pPr>
    </w:p>
    <w:p w14:paraId="5B434033">
      <w:pPr>
        <w:rPr>
          <w:rFonts w:hint="default" w:eastAsiaTheme="minorEastAsia"/>
          <w:color w:val="auto"/>
          <w:highlight w:val="none"/>
          <w:lang w:val="en-US" w:eastAsia="zh-CN"/>
        </w:rPr>
      </w:pPr>
      <w:r>
        <w:rPr>
          <w:rFonts w:hint="eastAsia"/>
          <w:color w:val="auto"/>
          <w:highlight w:val="none"/>
        </w:rPr>
        <w:t>附件1：</w:t>
      </w:r>
      <w:r>
        <w:rPr>
          <w:rFonts w:hint="eastAsia"/>
          <w:color w:val="auto"/>
          <w:highlight w:val="none"/>
          <w:lang w:val="en-US" w:eastAsia="zh-CN"/>
        </w:rPr>
        <w:t>标黑色三角号的为实质性响应参数，必须满足。</w:t>
      </w:r>
      <w:bookmarkStart w:id="0" w:name="_GoBack"/>
      <w:bookmarkEnd w:id="0"/>
    </w:p>
    <w:tbl>
      <w:tblPr>
        <w:tblStyle w:val="8"/>
        <w:tblW w:w="12608" w:type="dxa"/>
        <w:jc w:val="center"/>
        <w:tblLayout w:type="fixed"/>
        <w:tblCellMar>
          <w:top w:w="0" w:type="dxa"/>
          <w:left w:w="108" w:type="dxa"/>
          <w:bottom w:w="0" w:type="dxa"/>
          <w:right w:w="108" w:type="dxa"/>
        </w:tblCellMar>
      </w:tblPr>
      <w:tblGrid>
        <w:gridCol w:w="1905"/>
        <w:gridCol w:w="7678"/>
        <w:gridCol w:w="1787"/>
        <w:gridCol w:w="1238"/>
      </w:tblGrid>
      <w:tr w14:paraId="7A70A34A">
        <w:tblPrEx>
          <w:tblCellMar>
            <w:top w:w="0" w:type="dxa"/>
            <w:left w:w="108" w:type="dxa"/>
            <w:bottom w:w="0" w:type="dxa"/>
            <w:right w:w="108" w:type="dxa"/>
          </w:tblCellMar>
        </w:tblPrEx>
        <w:trPr>
          <w:trHeight w:val="540" w:hRule="atLeast"/>
          <w:jc w:val="center"/>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F75E">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名称</w:t>
            </w:r>
          </w:p>
        </w:tc>
        <w:tc>
          <w:tcPr>
            <w:tcW w:w="7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9A2F">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技术参数</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F6E8">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计量单位</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4906">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数量</w:t>
            </w:r>
          </w:p>
        </w:tc>
      </w:tr>
      <w:tr w14:paraId="6F991BB4">
        <w:tblPrEx>
          <w:tblCellMar>
            <w:top w:w="0" w:type="dxa"/>
            <w:left w:w="108" w:type="dxa"/>
            <w:bottom w:w="0" w:type="dxa"/>
            <w:right w:w="108" w:type="dxa"/>
          </w:tblCellMar>
        </w:tblPrEx>
        <w:trPr>
          <w:trHeight w:val="4080" w:hRule="atLeast"/>
          <w:jc w:val="center"/>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0A17">
            <w:pPr>
              <w:widowControl/>
              <w:jc w:val="left"/>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NVR存储设备</w:t>
            </w:r>
          </w:p>
        </w:tc>
        <w:tc>
          <w:tcPr>
            <w:tcW w:w="7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A1AE">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NVR存储设备（128路24盘位）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1.基础配置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接入能力:128 路网络视频接入。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存储盘位:24个 SATA接口硬盘位，支持热插拔。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硬盘容量:单盘最大支持 20TB(同系列参考)。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2.网络性能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输入/输出带宽:768Mbps;开启 RAID 功能后可能降至 512Mbps。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网络接口:4个千兆网口。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3.视频处理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编码格式:支持 H.265/H.264 混合接入与解码。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分辨率支持:最高 3200 万像素视频的存储与回放。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输出接口:4个HDMI接口+2个VGA接口，支持 8K+4K+1080P 异源输出(同系列参考)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4.其他特性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设计结构:模块化无线缆设计，便于维护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扩展功能:支持 RAID 存储配置及智能分析功能。 </w:t>
            </w:r>
          </w:p>
          <w:p w14:paraId="1A3799A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r>
              <w:rPr>
                <w:rStyle w:val="13"/>
                <w:rFonts w:hint="default"/>
                <w:color w:val="auto"/>
                <w:highlight w:val="none"/>
              </w:rPr>
              <w:t>5.供应商需将现已有所有智能语音摄像头接入NVR存储设备，实现与NVR存储无缝数字对接，可实现平台一体化管理，可实时查看预览各监控点画面。如需现场勘察，由</w:t>
            </w:r>
            <w:r>
              <w:rPr>
                <w:rStyle w:val="13"/>
                <w:rFonts w:hint="eastAsia" w:eastAsia="宋体"/>
                <w:color w:val="auto"/>
                <w:highlight w:val="none"/>
                <w:lang w:eastAsia="zh-CN"/>
              </w:rPr>
              <w:t>报价</w:t>
            </w:r>
            <w:r>
              <w:rPr>
                <w:rStyle w:val="13"/>
                <w:rFonts w:hint="default"/>
                <w:color w:val="auto"/>
                <w:highlight w:val="none"/>
              </w:rPr>
              <w:t>人提前与采购人预约，现场勘察费用及风险由</w:t>
            </w:r>
            <w:r>
              <w:rPr>
                <w:rStyle w:val="13"/>
                <w:rFonts w:hint="eastAsia" w:eastAsia="宋体"/>
                <w:color w:val="auto"/>
                <w:highlight w:val="none"/>
                <w:lang w:eastAsia="zh-CN"/>
              </w:rPr>
              <w:t>报价</w:t>
            </w:r>
            <w:r>
              <w:rPr>
                <w:rStyle w:val="13"/>
                <w:rFonts w:hint="default"/>
                <w:color w:val="auto"/>
                <w:highlight w:val="none"/>
              </w:rPr>
              <w:t>人自行解决，与采购人无关。</w:t>
            </w:r>
            <w:r>
              <w:rPr>
                <w:rStyle w:val="13"/>
                <w:rFonts w:hint="default"/>
                <w:color w:val="auto"/>
                <w:highlight w:val="none"/>
              </w:rPr>
              <w:br w:type="textWrapping"/>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CF0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B87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14:paraId="5A880055">
        <w:tblPrEx>
          <w:tblCellMar>
            <w:top w:w="0" w:type="dxa"/>
            <w:left w:w="108" w:type="dxa"/>
            <w:bottom w:w="0" w:type="dxa"/>
            <w:right w:w="108" w:type="dxa"/>
          </w:tblCellMar>
        </w:tblPrEx>
        <w:trPr>
          <w:trHeight w:val="255" w:hRule="atLeast"/>
          <w:jc w:val="center"/>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1992">
            <w:pPr>
              <w:widowControl/>
              <w:jc w:val="left"/>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专用监控硬盘</w:t>
            </w:r>
          </w:p>
        </w:tc>
        <w:tc>
          <w:tcPr>
            <w:tcW w:w="7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3D2">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10T监控专用硬盘</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0DA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642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10</w:t>
            </w:r>
          </w:p>
        </w:tc>
      </w:tr>
      <w:tr w14:paraId="67925E66">
        <w:tblPrEx>
          <w:tblCellMar>
            <w:top w:w="0" w:type="dxa"/>
            <w:left w:w="108" w:type="dxa"/>
            <w:bottom w:w="0" w:type="dxa"/>
            <w:right w:w="108" w:type="dxa"/>
          </w:tblCellMar>
        </w:tblPrEx>
        <w:trPr>
          <w:trHeight w:val="1920" w:hRule="atLeast"/>
          <w:jc w:val="center"/>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9033">
            <w:pPr>
              <w:widowControl/>
              <w:jc w:val="left"/>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监控器</w:t>
            </w:r>
          </w:p>
        </w:tc>
        <w:tc>
          <w:tcPr>
            <w:tcW w:w="7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812C">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▲1.屏幕尺寸:100英寸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▲2.分辨率:4K 超高清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3.刷新率:240HZ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4.运行内存:≥4CB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5.存储空间:≥64GB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6.操作系统:Android 同等或以上7.主控芯片:四核 A73 接口与扩展L8.HDMI 接口数量:&gt;2个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9.USB 接口类型:&gt;USB2.0、USB3.0是否支持HDMI2.1:是</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C0B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E19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14:paraId="3D335DCE">
        <w:tblPrEx>
          <w:tblCellMar>
            <w:top w:w="0" w:type="dxa"/>
            <w:left w:w="108" w:type="dxa"/>
            <w:bottom w:w="0" w:type="dxa"/>
            <w:right w:w="108" w:type="dxa"/>
          </w:tblCellMar>
        </w:tblPrEx>
        <w:trPr>
          <w:trHeight w:val="960" w:hRule="atLeast"/>
          <w:jc w:val="center"/>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79E0">
            <w:pPr>
              <w:widowControl/>
              <w:jc w:val="left"/>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核心环网交换机</w:t>
            </w:r>
          </w:p>
        </w:tc>
        <w:tc>
          <w:tcPr>
            <w:tcW w:w="7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6D6B">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二层网管交换机，交换容量336Gbps，包转发率78Mpps，8个10/100/1000Mbps自适应电口+16个1000Mbps SFP光口，金属外壳，6kV防雷，机架式交换机。支持VLAN划分、ACL、端口聚合、QoS等功能，支持EWEB/APP/MACC远程管理。</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CD8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BC7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14:paraId="6B247D8C">
        <w:tblPrEx>
          <w:tblCellMar>
            <w:top w:w="0" w:type="dxa"/>
            <w:left w:w="108" w:type="dxa"/>
            <w:bottom w:w="0" w:type="dxa"/>
            <w:right w:w="108" w:type="dxa"/>
          </w:tblCellMar>
        </w:tblPrEx>
        <w:trPr>
          <w:trHeight w:val="960" w:hRule="atLeast"/>
          <w:jc w:val="center"/>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718F">
            <w:pPr>
              <w:widowControl/>
              <w:jc w:val="left"/>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16口POE交换机</w:t>
            </w:r>
          </w:p>
        </w:tc>
        <w:tc>
          <w:tcPr>
            <w:tcW w:w="7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34B4">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二层非网管交换机，交换容量36Gbps，包转发率27Mpps，16口10/100/1000Mbps自适应电口交换机（支持PoE/PoE+，PoE功率247W），固化2个SFP千兆光口，支持云端发现，云端查看设备状态。</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B0A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8E1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14:paraId="7AD32DFB">
        <w:tblPrEx>
          <w:tblCellMar>
            <w:top w:w="0" w:type="dxa"/>
            <w:left w:w="108" w:type="dxa"/>
            <w:bottom w:w="0" w:type="dxa"/>
            <w:right w:w="108" w:type="dxa"/>
          </w:tblCellMar>
        </w:tblPrEx>
        <w:trPr>
          <w:trHeight w:val="1200" w:hRule="atLeast"/>
          <w:jc w:val="center"/>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6C54">
            <w:pPr>
              <w:widowControl/>
              <w:jc w:val="left"/>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4口POE交换机</w:t>
            </w:r>
          </w:p>
        </w:tc>
        <w:tc>
          <w:tcPr>
            <w:tcW w:w="7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312">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2.5G云管PoE交换机，4个PoE 2.5G接入口+1个2.5G接入口+1个万兆上联光口，整机PoE输出功率70W，支持端口聚合，支持端口状态/流量查询，POE功率使用情况查询，端口远程重启，交换机远程重启，VLAN隔离，端口隔离，环路保护，DHCP Snooping等，支持EWEB/APP/MACC远程管理。</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BFD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195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r>
      <w:tr w14:paraId="0C60E401">
        <w:tblPrEx>
          <w:tblCellMar>
            <w:top w:w="0" w:type="dxa"/>
            <w:left w:w="108" w:type="dxa"/>
            <w:bottom w:w="0" w:type="dxa"/>
            <w:right w:w="108" w:type="dxa"/>
          </w:tblCellMar>
        </w:tblPrEx>
        <w:trPr>
          <w:trHeight w:val="495" w:hRule="atLeast"/>
          <w:jc w:val="center"/>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09F2">
            <w:pPr>
              <w:widowControl/>
              <w:jc w:val="left"/>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光模块</w:t>
            </w:r>
          </w:p>
        </w:tc>
        <w:tc>
          <w:tcPr>
            <w:tcW w:w="7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FCD">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支持10km传输距离</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F0E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E4D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8</w:t>
            </w:r>
          </w:p>
        </w:tc>
      </w:tr>
      <w:tr w14:paraId="27FB8CDF">
        <w:tblPrEx>
          <w:tblCellMar>
            <w:top w:w="0" w:type="dxa"/>
            <w:left w:w="108" w:type="dxa"/>
            <w:bottom w:w="0" w:type="dxa"/>
            <w:right w:w="108" w:type="dxa"/>
          </w:tblCellMar>
        </w:tblPrEx>
        <w:trPr>
          <w:trHeight w:val="1005" w:hRule="atLeast"/>
          <w:jc w:val="center"/>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10A9">
            <w:pPr>
              <w:widowControl/>
              <w:jc w:val="left"/>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POE分离器</w:t>
            </w:r>
          </w:p>
        </w:tc>
        <w:tc>
          <w:tcPr>
            <w:tcW w:w="7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87EB">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需支持IEEE 802.3af/at标准，与POE交换机匹配</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552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188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25</w:t>
            </w:r>
          </w:p>
        </w:tc>
      </w:tr>
      <w:tr w14:paraId="063ADF8B">
        <w:tblPrEx>
          <w:tblCellMar>
            <w:top w:w="0" w:type="dxa"/>
            <w:left w:w="108" w:type="dxa"/>
            <w:bottom w:w="0" w:type="dxa"/>
            <w:right w:w="108" w:type="dxa"/>
          </w:tblCellMar>
        </w:tblPrEx>
        <w:trPr>
          <w:trHeight w:val="480" w:hRule="atLeast"/>
          <w:jc w:val="center"/>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34A1">
            <w:pPr>
              <w:widowControl/>
              <w:jc w:val="left"/>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安装调试费</w:t>
            </w:r>
          </w:p>
        </w:tc>
        <w:tc>
          <w:tcPr>
            <w:tcW w:w="7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E47A">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摄像头调试接入新录像机</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009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项</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546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15</w:t>
            </w:r>
          </w:p>
        </w:tc>
      </w:tr>
    </w:tbl>
    <w:p w14:paraId="5647D228">
      <w:pPr>
        <w:rPr>
          <w:color w:val="auto"/>
          <w:highlight w:val="none"/>
        </w:rPr>
      </w:pPr>
    </w:p>
    <w:p w14:paraId="7E93D855">
      <w:pPr>
        <w:rPr>
          <w:color w:val="auto"/>
          <w:highlight w:val="none"/>
        </w:rPr>
      </w:pPr>
    </w:p>
    <w:p w14:paraId="4430FD93">
      <w:pPr>
        <w:rPr>
          <w:color w:val="auto"/>
          <w:highlight w:val="none"/>
        </w:rPr>
      </w:pPr>
    </w:p>
    <w:p w14:paraId="051B7212">
      <w:pPr>
        <w:rPr>
          <w:color w:val="auto"/>
          <w:highlight w:val="none"/>
        </w:rPr>
      </w:pPr>
      <w:r>
        <w:rPr>
          <w:rFonts w:hint="eastAsia"/>
          <w:color w:val="auto"/>
          <w:highlight w:val="none"/>
        </w:rPr>
        <w:t>附件2：</w:t>
      </w:r>
    </w:p>
    <w:p w14:paraId="5A635F98">
      <w:pPr>
        <w:snapToGrid w:val="0"/>
        <w:spacing w:before="50" w:afterLines="50"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lang w:eastAsia="zh-CN"/>
        </w:rPr>
        <w:t>报价</w:t>
      </w:r>
      <w:r>
        <w:rPr>
          <w:rFonts w:hint="eastAsia" w:ascii="仿宋" w:hAnsi="仿宋" w:eastAsia="仿宋"/>
          <w:b/>
          <w:color w:val="auto"/>
          <w:sz w:val="32"/>
          <w:szCs w:val="32"/>
          <w:highlight w:val="none"/>
        </w:rPr>
        <w:t>人直接控股、管理关系信息表</w:t>
      </w:r>
    </w:p>
    <w:tbl>
      <w:tblPr>
        <w:tblStyle w:val="8"/>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0ABC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0EC36DD7">
            <w:pPr>
              <w:snapToGrid w:val="0"/>
              <w:spacing w:beforeLines="50" w:after="50"/>
              <w:jc w:val="center"/>
              <w:rPr>
                <w:rFonts w:ascii="仿宋" w:hAnsi="仿宋" w:eastAsia="仿宋"/>
                <w:b/>
                <w:color w:val="auto"/>
                <w:szCs w:val="21"/>
                <w:highlight w:val="none"/>
              </w:rPr>
            </w:pPr>
            <w:r>
              <w:rPr>
                <w:rFonts w:hint="eastAsia" w:ascii="仿宋" w:hAnsi="仿宋" w:eastAsia="仿宋"/>
                <w:b/>
                <w:color w:val="auto"/>
                <w:szCs w:val="21"/>
                <w:highlight w:val="none"/>
                <w:lang w:eastAsia="zh-CN"/>
              </w:rPr>
              <w:t>报价</w:t>
            </w:r>
            <w:r>
              <w:rPr>
                <w:rFonts w:ascii="仿宋" w:hAnsi="仿宋" w:eastAsia="仿宋"/>
                <w:b/>
                <w:color w:val="auto"/>
                <w:szCs w:val="21"/>
                <w:highlight w:val="none"/>
              </w:rPr>
              <w:t>人直接控股股东信息表</w:t>
            </w:r>
          </w:p>
        </w:tc>
        <w:tc>
          <w:tcPr>
            <w:tcW w:w="4536" w:type="dxa"/>
            <w:shd w:val="clear" w:color="auto" w:fill="F2DBDB"/>
            <w:vAlign w:val="center"/>
          </w:tcPr>
          <w:p w14:paraId="2D0C3C9F">
            <w:pPr>
              <w:snapToGrid w:val="0"/>
              <w:spacing w:beforeLines="50" w:after="50"/>
              <w:jc w:val="center"/>
              <w:rPr>
                <w:rFonts w:ascii="仿宋" w:hAnsi="仿宋" w:eastAsia="仿宋"/>
                <w:b/>
                <w:color w:val="auto"/>
                <w:szCs w:val="21"/>
                <w:highlight w:val="none"/>
              </w:rPr>
            </w:pPr>
            <w:r>
              <w:rPr>
                <w:rFonts w:ascii="仿宋" w:hAnsi="仿宋" w:eastAsia="仿宋"/>
                <w:b/>
                <w:color w:val="auto"/>
                <w:szCs w:val="21"/>
                <w:highlight w:val="none"/>
              </w:rPr>
              <w:t>说明</w:t>
            </w:r>
          </w:p>
        </w:tc>
      </w:tr>
      <w:tr w14:paraId="217D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669E6AD">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序号</w:t>
            </w:r>
          </w:p>
        </w:tc>
        <w:tc>
          <w:tcPr>
            <w:tcW w:w="1309" w:type="dxa"/>
            <w:vAlign w:val="center"/>
          </w:tcPr>
          <w:p w14:paraId="03B052C0">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直接控股股东名称</w:t>
            </w:r>
          </w:p>
        </w:tc>
        <w:tc>
          <w:tcPr>
            <w:tcW w:w="1384" w:type="dxa"/>
            <w:vAlign w:val="center"/>
          </w:tcPr>
          <w:p w14:paraId="2C4FFC7B">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出资比例</w:t>
            </w:r>
          </w:p>
        </w:tc>
        <w:tc>
          <w:tcPr>
            <w:tcW w:w="4163" w:type="dxa"/>
            <w:vAlign w:val="center"/>
          </w:tcPr>
          <w:p w14:paraId="123BC285">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身份证号码或者统一社会信用代码</w:t>
            </w:r>
          </w:p>
        </w:tc>
        <w:tc>
          <w:tcPr>
            <w:tcW w:w="4536" w:type="dxa"/>
            <w:vMerge w:val="restart"/>
            <w:vAlign w:val="center"/>
          </w:tcPr>
          <w:p w14:paraId="6404D0B2">
            <w:pPr>
              <w:snapToGrid w:val="0"/>
              <w:jc w:val="left"/>
              <w:rPr>
                <w:rFonts w:ascii="仿宋" w:hAnsi="仿宋" w:eastAsia="仿宋"/>
                <w:color w:val="auto"/>
                <w:szCs w:val="21"/>
                <w:highlight w:val="none"/>
              </w:rPr>
            </w:pPr>
            <w:r>
              <w:rPr>
                <w:rFonts w:ascii="仿宋" w:hAnsi="仿宋" w:eastAsia="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49F496D">
            <w:pPr>
              <w:snapToGrid w:val="0"/>
              <w:jc w:val="left"/>
              <w:rPr>
                <w:rFonts w:ascii="仿宋" w:hAnsi="仿宋" w:eastAsia="仿宋"/>
                <w:color w:val="auto"/>
                <w:szCs w:val="21"/>
                <w:highlight w:val="none"/>
              </w:rPr>
            </w:pPr>
            <w:r>
              <w:rPr>
                <w:rFonts w:ascii="仿宋" w:hAnsi="仿宋" w:eastAsia="仿宋"/>
                <w:color w:val="auto"/>
                <w:szCs w:val="21"/>
                <w:highlight w:val="none"/>
              </w:rPr>
              <w:t>2.本表所指的控股关系仅限于直接控股关系，不包括间接的控股关系。公司实际控制人与公司之间的关系不属于本表所指的直接控股关系。</w:t>
            </w:r>
          </w:p>
          <w:p w14:paraId="344F9C48">
            <w:pPr>
              <w:snapToGrid w:val="0"/>
              <w:jc w:val="left"/>
              <w:rPr>
                <w:rFonts w:ascii="仿宋" w:hAnsi="仿宋" w:eastAsia="仿宋" w:cs="宋体"/>
                <w:b/>
                <w:bCs/>
                <w:color w:val="auto"/>
                <w:kern w:val="0"/>
                <w:szCs w:val="21"/>
                <w:highlight w:val="none"/>
              </w:rPr>
            </w:pPr>
            <w:r>
              <w:rPr>
                <w:rFonts w:ascii="仿宋" w:hAnsi="仿宋" w:eastAsia="仿宋"/>
                <w:color w:val="auto"/>
                <w:szCs w:val="21"/>
                <w:highlight w:val="none"/>
              </w:rPr>
              <w:t>3.供应商不存在直接控股股东的，则填“无”。</w:t>
            </w:r>
          </w:p>
        </w:tc>
      </w:tr>
      <w:tr w14:paraId="23C9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EC33630">
            <w:pPr>
              <w:snapToGrid w:val="0"/>
              <w:spacing w:beforeLines="50" w:after="50"/>
              <w:jc w:val="center"/>
              <w:rPr>
                <w:rFonts w:ascii="仿宋" w:hAnsi="仿宋" w:eastAsia="仿宋"/>
                <w:b/>
                <w:color w:val="auto"/>
                <w:szCs w:val="21"/>
                <w:highlight w:val="none"/>
              </w:rPr>
            </w:pPr>
            <w:r>
              <w:rPr>
                <w:rFonts w:ascii="仿宋" w:hAnsi="仿宋" w:eastAsia="仿宋"/>
                <w:b/>
                <w:color w:val="auto"/>
                <w:szCs w:val="21"/>
                <w:highlight w:val="none"/>
              </w:rPr>
              <w:t>1</w:t>
            </w:r>
          </w:p>
        </w:tc>
        <w:tc>
          <w:tcPr>
            <w:tcW w:w="1309" w:type="dxa"/>
          </w:tcPr>
          <w:p w14:paraId="480B7623">
            <w:pPr>
              <w:snapToGrid w:val="0"/>
              <w:spacing w:beforeLines="50" w:after="50"/>
              <w:jc w:val="left"/>
              <w:rPr>
                <w:rFonts w:ascii="仿宋" w:hAnsi="仿宋" w:eastAsia="仿宋"/>
                <w:b/>
                <w:color w:val="auto"/>
                <w:szCs w:val="21"/>
                <w:highlight w:val="none"/>
              </w:rPr>
            </w:pPr>
          </w:p>
        </w:tc>
        <w:tc>
          <w:tcPr>
            <w:tcW w:w="1384" w:type="dxa"/>
          </w:tcPr>
          <w:p w14:paraId="3295714B">
            <w:pPr>
              <w:snapToGrid w:val="0"/>
              <w:spacing w:beforeLines="50" w:after="50"/>
              <w:jc w:val="left"/>
              <w:rPr>
                <w:rFonts w:ascii="仿宋" w:hAnsi="仿宋" w:eastAsia="仿宋"/>
                <w:b/>
                <w:color w:val="auto"/>
                <w:szCs w:val="21"/>
                <w:highlight w:val="none"/>
              </w:rPr>
            </w:pPr>
          </w:p>
        </w:tc>
        <w:tc>
          <w:tcPr>
            <w:tcW w:w="4163" w:type="dxa"/>
          </w:tcPr>
          <w:p w14:paraId="523D68B7">
            <w:pPr>
              <w:snapToGrid w:val="0"/>
              <w:spacing w:beforeLines="50" w:after="50"/>
              <w:jc w:val="left"/>
              <w:rPr>
                <w:rFonts w:ascii="仿宋" w:hAnsi="仿宋" w:eastAsia="仿宋"/>
                <w:b/>
                <w:color w:val="auto"/>
                <w:szCs w:val="21"/>
                <w:highlight w:val="none"/>
              </w:rPr>
            </w:pPr>
          </w:p>
        </w:tc>
        <w:tc>
          <w:tcPr>
            <w:tcW w:w="4536" w:type="dxa"/>
            <w:vMerge w:val="continue"/>
          </w:tcPr>
          <w:p w14:paraId="1B2DB9E4">
            <w:pPr>
              <w:snapToGrid w:val="0"/>
              <w:jc w:val="left"/>
              <w:rPr>
                <w:rFonts w:ascii="仿宋" w:hAnsi="仿宋" w:eastAsia="仿宋"/>
                <w:color w:val="auto"/>
                <w:szCs w:val="21"/>
                <w:highlight w:val="none"/>
              </w:rPr>
            </w:pPr>
          </w:p>
        </w:tc>
      </w:tr>
      <w:tr w14:paraId="0CF9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06D03F25">
            <w:pPr>
              <w:snapToGrid w:val="0"/>
              <w:spacing w:beforeLines="50" w:after="50"/>
              <w:jc w:val="center"/>
              <w:rPr>
                <w:rFonts w:ascii="仿宋" w:hAnsi="仿宋" w:eastAsia="仿宋"/>
                <w:b/>
                <w:color w:val="auto"/>
                <w:szCs w:val="21"/>
                <w:highlight w:val="none"/>
              </w:rPr>
            </w:pPr>
            <w:r>
              <w:rPr>
                <w:rFonts w:ascii="仿宋" w:hAnsi="仿宋" w:eastAsia="仿宋"/>
                <w:b/>
                <w:color w:val="auto"/>
                <w:szCs w:val="21"/>
                <w:highlight w:val="none"/>
              </w:rPr>
              <w:t>2</w:t>
            </w:r>
          </w:p>
        </w:tc>
        <w:tc>
          <w:tcPr>
            <w:tcW w:w="1309" w:type="dxa"/>
          </w:tcPr>
          <w:p w14:paraId="62A233ED">
            <w:pPr>
              <w:snapToGrid w:val="0"/>
              <w:spacing w:beforeLines="50" w:after="50"/>
              <w:jc w:val="left"/>
              <w:rPr>
                <w:rFonts w:ascii="仿宋" w:hAnsi="仿宋" w:eastAsia="仿宋"/>
                <w:b/>
                <w:color w:val="auto"/>
                <w:szCs w:val="21"/>
                <w:highlight w:val="none"/>
              </w:rPr>
            </w:pPr>
          </w:p>
        </w:tc>
        <w:tc>
          <w:tcPr>
            <w:tcW w:w="1384" w:type="dxa"/>
          </w:tcPr>
          <w:p w14:paraId="40BE677D">
            <w:pPr>
              <w:snapToGrid w:val="0"/>
              <w:spacing w:beforeLines="50" w:after="50"/>
              <w:jc w:val="left"/>
              <w:rPr>
                <w:rFonts w:ascii="仿宋" w:hAnsi="仿宋" w:eastAsia="仿宋"/>
                <w:b/>
                <w:color w:val="auto"/>
                <w:szCs w:val="21"/>
                <w:highlight w:val="none"/>
              </w:rPr>
            </w:pPr>
          </w:p>
        </w:tc>
        <w:tc>
          <w:tcPr>
            <w:tcW w:w="4163" w:type="dxa"/>
          </w:tcPr>
          <w:p w14:paraId="7600D948">
            <w:pPr>
              <w:snapToGrid w:val="0"/>
              <w:spacing w:beforeLines="50" w:after="50"/>
              <w:jc w:val="left"/>
              <w:rPr>
                <w:rFonts w:ascii="仿宋" w:hAnsi="仿宋" w:eastAsia="仿宋"/>
                <w:b/>
                <w:color w:val="auto"/>
                <w:szCs w:val="21"/>
                <w:highlight w:val="none"/>
              </w:rPr>
            </w:pPr>
          </w:p>
        </w:tc>
        <w:tc>
          <w:tcPr>
            <w:tcW w:w="4536" w:type="dxa"/>
            <w:vMerge w:val="continue"/>
          </w:tcPr>
          <w:p w14:paraId="00CA7C68">
            <w:pPr>
              <w:snapToGrid w:val="0"/>
              <w:spacing w:beforeLines="50" w:after="50"/>
              <w:jc w:val="left"/>
              <w:rPr>
                <w:rFonts w:ascii="仿宋" w:hAnsi="仿宋" w:eastAsia="仿宋"/>
                <w:b/>
                <w:color w:val="auto"/>
                <w:szCs w:val="21"/>
                <w:highlight w:val="none"/>
              </w:rPr>
            </w:pPr>
          </w:p>
        </w:tc>
      </w:tr>
      <w:tr w14:paraId="28B5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1981F40C">
            <w:pPr>
              <w:snapToGrid w:val="0"/>
              <w:spacing w:beforeLines="50" w:after="50"/>
              <w:jc w:val="center"/>
              <w:rPr>
                <w:rFonts w:ascii="仿宋" w:hAnsi="仿宋" w:eastAsia="仿宋"/>
                <w:b/>
                <w:color w:val="auto"/>
                <w:szCs w:val="21"/>
                <w:highlight w:val="none"/>
              </w:rPr>
            </w:pPr>
            <w:r>
              <w:rPr>
                <w:rFonts w:ascii="仿宋" w:hAnsi="仿宋" w:eastAsia="仿宋" w:cs="宋体"/>
                <w:color w:val="auto"/>
                <w:kern w:val="0"/>
                <w:szCs w:val="21"/>
                <w:highlight w:val="none"/>
              </w:rPr>
              <w:t>……</w:t>
            </w:r>
          </w:p>
        </w:tc>
        <w:tc>
          <w:tcPr>
            <w:tcW w:w="1309" w:type="dxa"/>
            <w:tcBorders>
              <w:bottom w:val="single" w:color="auto" w:sz="4" w:space="0"/>
            </w:tcBorders>
          </w:tcPr>
          <w:p w14:paraId="17491AF9">
            <w:pPr>
              <w:snapToGrid w:val="0"/>
              <w:spacing w:beforeLines="50" w:after="50"/>
              <w:jc w:val="left"/>
              <w:rPr>
                <w:rFonts w:ascii="仿宋" w:hAnsi="仿宋" w:eastAsia="仿宋"/>
                <w:b/>
                <w:color w:val="auto"/>
                <w:szCs w:val="21"/>
                <w:highlight w:val="none"/>
              </w:rPr>
            </w:pPr>
          </w:p>
        </w:tc>
        <w:tc>
          <w:tcPr>
            <w:tcW w:w="1384" w:type="dxa"/>
            <w:tcBorders>
              <w:bottom w:val="single" w:color="auto" w:sz="4" w:space="0"/>
            </w:tcBorders>
          </w:tcPr>
          <w:p w14:paraId="4B866AA6">
            <w:pPr>
              <w:snapToGrid w:val="0"/>
              <w:spacing w:beforeLines="50" w:after="50"/>
              <w:jc w:val="left"/>
              <w:rPr>
                <w:rFonts w:ascii="仿宋" w:hAnsi="仿宋" w:eastAsia="仿宋"/>
                <w:b/>
                <w:color w:val="auto"/>
                <w:szCs w:val="21"/>
                <w:highlight w:val="none"/>
              </w:rPr>
            </w:pPr>
          </w:p>
        </w:tc>
        <w:tc>
          <w:tcPr>
            <w:tcW w:w="4163" w:type="dxa"/>
            <w:tcBorders>
              <w:bottom w:val="single" w:color="auto" w:sz="4" w:space="0"/>
            </w:tcBorders>
          </w:tcPr>
          <w:p w14:paraId="4995A238">
            <w:pPr>
              <w:snapToGrid w:val="0"/>
              <w:spacing w:beforeLines="50" w:after="50"/>
              <w:jc w:val="left"/>
              <w:rPr>
                <w:rFonts w:ascii="仿宋" w:hAnsi="仿宋" w:eastAsia="仿宋"/>
                <w:b/>
                <w:color w:val="auto"/>
                <w:szCs w:val="21"/>
                <w:highlight w:val="none"/>
              </w:rPr>
            </w:pPr>
          </w:p>
        </w:tc>
        <w:tc>
          <w:tcPr>
            <w:tcW w:w="4536" w:type="dxa"/>
            <w:vMerge w:val="continue"/>
            <w:tcBorders>
              <w:bottom w:val="single" w:color="auto" w:sz="4" w:space="0"/>
            </w:tcBorders>
          </w:tcPr>
          <w:p w14:paraId="4269D948">
            <w:pPr>
              <w:snapToGrid w:val="0"/>
              <w:spacing w:beforeLines="50" w:after="50"/>
              <w:jc w:val="left"/>
              <w:rPr>
                <w:rFonts w:ascii="仿宋" w:hAnsi="仿宋" w:eastAsia="仿宋"/>
                <w:b/>
                <w:color w:val="auto"/>
                <w:szCs w:val="21"/>
                <w:highlight w:val="none"/>
              </w:rPr>
            </w:pPr>
          </w:p>
        </w:tc>
      </w:tr>
      <w:tr w14:paraId="13DA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1E5AFC4C">
            <w:pPr>
              <w:snapToGrid w:val="0"/>
              <w:spacing w:beforeLines="50" w:after="50"/>
              <w:jc w:val="center"/>
              <w:rPr>
                <w:rFonts w:ascii="仿宋" w:hAnsi="仿宋" w:eastAsia="仿宋"/>
                <w:b/>
                <w:color w:val="auto"/>
                <w:szCs w:val="21"/>
                <w:highlight w:val="none"/>
              </w:rPr>
            </w:pPr>
            <w:r>
              <w:rPr>
                <w:rFonts w:hint="eastAsia" w:ascii="仿宋" w:hAnsi="仿宋" w:eastAsia="仿宋"/>
                <w:b/>
                <w:color w:val="auto"/>
                <w:szCs w:val="21"/>
                <w:highlight w:val="none"/>
                <w:lang w:eastAsia="zh-CN"/>
              </w:rPr>
              <w:t>报价</w:t>
            </w:r>
            <w:r>
              <w:rPr>
                <w:rFonts w:ascii="仿宋" w:hAnsi="仿宋" w:eastAsia="仿宋"/>
                <w:b/>
                <w:color w:val="auto"/>
                <w:szCs w:val="21"/>
                <w:highlight w:val="none"/>
              </w:rPr>
              <w:t>人直接管理关系信息表</w:t>
            </w:r>
          </w:p>
        </w:tc>
        <w:tc>
          <w:tcPr>
            <w:tcW w:w="4536" w:type="dxa"/>
            <w:shd w:val="clear" w:color="auto" w:fill="F2DBDB"/>
            <w:vAlign w:val="center"/>
          </w:tcPr>
          <w:p w14:paraId="4ED7F0F0">
            <w:pPr>
              <w:snapToGrid w:val="0"/>
              <w:spacing w:beforeLines="50" w:after="50"/>
              <w:jc w:val="center"/>
              <w:rPr>
                <w:rFonts w:ascii="仿宋" w:hAnsi="仿宋" w:eastAsia="仿宋"/>
                <w:b/>
                <w:color w:val="auto"/>
                <w:szCs w:val="21"/>
                <w:highlight w:val="none"/>
              </w:rPr>
            </w:pPr>
            <w:r>
              <w:rPr>
                <w:rFonts w:ascii="仿宋" w:hAnsi="仿宋" w:eastAsia="仿宋"/>
                <w:b/>
                <w:color w:val="auto"/>
                <w:szCs w:val="21"/>
                <w:highlight w:val="none"/>
              </w:rPr>
              <w:t>说明</w:t>
            </w:r>
          </w:p>
        </w:tc>
      </w:tr>
      <w:tr w14:paraId="1890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EB62536">
            <w:pPr>
              <w:snapToGrid w:val="0"/>
              <w:spacing w:beforeLines="50" w:after="50"/>
              <w:jc w:val="center"/>
              <w:rPr>
                <w:rFonts w:ascii="仿宋" w:hAnsi="仿宋" w:eastAsia="仿宋"/>
                <w:b/>
                <w:color w:val="auto"/>
                <w:szCs w:val="21"/>
                <w:highlight w:val="none"/>
              </w:rPr>
            </w:pPr>
            <w:r>
              <w:rPr>
                <w:rFonts w:ascii="仿宋" w:hAnsi="仿宋" w:eastAsia="仿宋" w:cs="宋体"/>
                <w:b/>
                <w:bCs/>
                <w:color w:val="auto"/>
                <w:kern w:val="0"/>
                <w:szCs w:val="21"/>
                <w:highlight w:val="none"/>
              </w:rPr>
              <w:t>序号</w:t>
            </w:r>
          </w:p>
        </w:tc>
        <w:tc>
          <w:tcPr>
            <w:tcW w:w="2693" w:type="dxa"/>
            <w:gridSpan w:val="2"/>
            <w:vAlign w:val="center"/>
          </w:tcPr>
          <w:p w14:paraId="21717174">
            <w:pPr>
              <w:snapToGrid w:val="0"/>
              <w:spacing w:beforeLines="50" w:after="50"/>
              <w:jc w:val="center"/>
              <w:rPr>
                <w:rFonts w:ascii="仿宋" w:hAnsi="仿宋" w:eastAsia="仿宋"/>
                <w:b/>
                <w:color w:val="auto"/>
                <w:szCs w:val="21"/>
                <w:highlight w:val="none"/>
              </w:rPr>
            </w:pPr>
            <w:r>
              <w:rPr>
                <w:rFonts w:ascii="仿宋" w:hAnsi="仿宋" w:eastAsia="仿宋" w:cs="宋体"/>
                <w:b/>
                <w:bCs/>
                <w:color w:val="auto"/>
                <w:kern w:val="0"/>
                <w:szCs w:val="21"/>
                <w:highlight w:val="none"/>
              </w:rPr>
              <w:t>直接管理关系单位名称</w:t>
            </w:r>
          </w:p>
        </w:tc>
        <w:tc>
          <w:tcPr>
            <w:tcW w:w="4163" w:type="dxa"/>
            <w:vAlign w:val="center"/>
          </w:tcPr>
          <w:p w14:paraId="3A941D62">
            <w:pPr>
              <w:snapToGrid w:val="0"/>
              <w:spacing w:beforeLines="50" w:after="50"/>
              <w:jc w:val="center"/>
              <w:rPr>
                <w:rFonts w:ascii="仿宋" w:hAnsi="仿宋" w:eastAsia="仿宋"/>
                <w:b/>
                <w:color w:val="auto"/>
                <w:szCs w:val="21"/>
                <w:highlight w:val="none"/>
              </w:rPr>
            </w:pPr>
            <w:r>
              <w:rPr>
                <w:rFonts w:ascii="仿宋" w:hAnsi="仿宋" w:eastAsia="仿宋" w:cs="宋体"/>
                <w:b/>
                <w:bCs/>
                <w:color w:val="auto"/>
                <w:kern w:val="0"/>
                <w:szCs w:val="21"/>
                <w:highlight w:val="none"/>
              </w:rPr>
              <w:t>统一社会信用代码</w:t>
            </w:r>
          </w:p>
        </w:tc>
        <w:tc>
          <w:tcPr>
            <w:tcW w:w="4536" w:type="dxa"/>
            <w:vMerge w:val="restart"/>
            <w:vAlign w:val="center"/>
          </w:tcPr>
          <w:p w14:paraId="5D9CAB6B">
            <w:pPr>
              <w:snapToGrid w:val="0"/>
              <w:jc w:val="left"/>
              <w:rPr>
                <w:rFonts w:ascii="仿宋" w:hAnsi="仿宋" w:eastAsia="仿宋"/>
                <w:color w:val="auto"/>
                <w:szCs w:val="21"/>
                <w:highlight w:val="none"/>
              </w:rPr>
            </w:pPr>
            <w:r>
              <w:rPr>
                <w:rFonts w:ascii="仿宋" w:hAnsi="仿宋" w:eastAsia="仿宋"/>
                <w:color w:val="auto"/>
                <w:szCs w:val="21"/>
                <w:highlight w:val="none"/>
              </w:rPr>
              <w:t>1.管理关系：是指不具有出资持股关系的其他单位之间存在的管理与被管理关系，如一些上下级关系的事业单位和团体组织。</w:t>
            </w:r>
          </w:p>
          <w:p w14:paraId="3F7D2680">
            <w:pPr>
              <w:snapToGrid w:val="0"/>
              <w:jc w:val="left"/>
              <w:rPr>
                <w:rFonts w:ascii="仿宋" w:hAnsi="仿宋" w:eastAsia="仿宋"/>
                <w:color w:val="auto"/>
                <w:szCs w:val="21"/>
                <w:highlight w:val="none"/>
              </w:rPr>
            </w:pPr>
            <w:r>
              <w:rPr>
                <w:rFonts w:ascii="仿宋" w:hAnsi="仿宋" w:eastAsia="仿宋"/>
                <w:color w:val="auto"/>
                <w:szCs w:val="21"/>
                <w:highlight w:val="none"/>
              </w:rPr>
              <w:t>2.本表所指的管理关系仅限于直接管理关系，不包括间接的管理关系。</w:t>
            </w:r>
          </w:p>
          <w:p w14:paraId="696610CC">
            <w:pPr>
              <w:snapToGrid w:val="0"/>
              <w:jc w:val="left"/>
              <w:rPr>
                <w:rFonts w:ascii="仿宋" w:hAnsi="仿宋" w:eastAsia="仿宋"/>
                <w:color w:val="auto"/>
                <w:szCs w:val="21"/>
                <w:highlight w:val="none"/>
              </w:rPr>
            </w:pPr>
            <w:r>
              <w:rPr>
                <w:rFonts w:ascii="仿宋" w:hAnsi="仿宋" w:eastAsia="仿宋"/>
                <w:color w:val="auto"/>
                <w:szCs w:val="21"/>
                <w:highlight w:val="none"/>
              </w:rPr>
              <w:t>3.供应商不存在直接管理关系的，则填“无”。</w:t>
            </w:r>
          </w:p>
        </w:tc>
      </w:tr>
      <w:tr w14:paraId="7AED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07F7EC2C">
            <w:pPr>
              <w:snapToGrid w:val="0"/>
              <w:spacing w:beforeLines="50" w:after="50"/>
              <w:jc w:val="center"/>
              <w:rPr>
                <w:rFonts w:ascii="仿宋" w:hAnsi="仿宋" w:eastAsia="仿宋"/>
                <w:b/>
                <w:color w:val="auto"/>
                <w:szCs w:val="21"/>
                <w:highlight w:val="none"/>
              </w:rPr>
            </w:pPr>
            <w:r>
              <w:rPr>
                <w:rFonts w:ascii="仿宋" w:hAnsi="仿宋" w:eastAsia="仿宋"/>
                <w:b/>
                <w:color w:val="auto"/>
                <w:szCs w:val="21"/>
                <w:highlight w:val="none"/>
              </w:rPr>
              <w:t>1</w:t>
            </w:r>
          </w:p>
        </w:tc>
        <w:tc>
          <w:tcPr>
            <w:tcW w:w="2693" w:type="dxa"/>
            <w:gridSpan w:val="2"/>
            <w:vAlign w:val="center"/>
          </w:tcPr>
          <w:p w14:paraId="61A969D7">
            <w:pPr>
              <w:snapToGrid w:val="0"/>
              <w:spacing w:beforeLines="50" w:after="50"/>
              <w:jc w:val="center"/>
              <w:rPr>
                <w:rFonts w:ascii="仿宋" w:hAnsi="仿宋" w:eastAsia="仿宋" w:cs="宋体"/>
                <w:b/>
                <w:bCs/>
                <w:color w:val="auto"/>
                <w:kern w:val="0"/>
                <w:szCs w:val="21"/>
                <w:highlight w:val="none"/>
              </w:rPr>
            </w:pPr>
          </w:p>
        </w:tc>
        <w:tc>
          <w:tcPr>
            <w:tcW w:w="4163" w:type="dxa"/>
            <w:vAlign w:val="center"/>
          </w:tcPr>
          <w:p w14:paraId="21191708">
            <w:pPr>
              <w:snapToGrid w:val="0"/>
              <w:spacing w:beforeLines="50" w:after="50"/>
              <w:jc w:val="center"/>
              <w:rPr>
                <w:rFonts w:ascii="仿宋" w:hAnsi="仿宋" w:eastAsia="仿宋" w:cs="宋体"/>
                <w:b/>
                <w:bCs/>
                <w:color w:val="auto"/>
                <w:kern w:val="0"/>
                <w:szCs w:val="21"/>
                <w:highlight w:val="none"/>
              </w:rPr>
            </w:pPr>
          </w:p>
        </w:tc>
        <w:tc>
          <w:tcPr>
            <w:tcW w:w="4536" w:type="dxa"/>
            <w:vMerge w:val="continue"/>
            <w:vAlign w:val="center"/>
          </w:tcPr>
          <w:p w14:paraId="4202AF22">
            <w:pPr>
              <w:snapToGrid w:val="0"/>
              <w:jc w:val="left"/>
              <w:rPr>
                <w:rFonts w:ascii="仿宋" w:hAnsi="仿宋" w:eastAsia="仿宋"/>
                <w:color w:val="auto"/>
                <w:szCs w:val="21"/>
                <w:highlight w:val="none"/>
              </w:rPr>
            </w:pPr>
          </w:p>
        </w:tc>
      </w:tr>
      <w:tr w14:paraId="7278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1D3F81F">
            <w:pPr>
              <w:snapToGrid w:val="0"/>
              <w:spacing w:beforeLines="50" w:after="50"/>
              <w:jc w:val="center"/>
              <w:rPr>
                <w:rFonts w:ascii="仿宋" w:hAnsi="仿宋" w:eastAsia="仿宋"/>
                <w:b/>
                <w:color w:val="auto"/>
                <w:szCs w:val="21"/>
                <w:highlight w:val="none"/>
              </w:rPr>
            </w:pPr>
            <w:r>
              <w:rPr>
                <w:rFonts w:ascii="仿宋" w:hAnsi="仿宋" w:eastAsia="仿宋"/>
                <w:b/>
                <w:color w:val="auto"/>
                <w:szCs w:val="21"/>
                <w:highlight w:val="none"/>
              </w:rPr>
              <w:t>2</w:t>
            </w:r>
          </w:p>
        </w:tc>
        <w:tc>
          <w:tcPr>
            <w:tcW w:w="2693" w:type="dxa"/>
            <w:gridSpan w:val="2"/>
            <w:vAlign w:val="center"/>
          </w:tcPr>
          <w:p w14:paraId="18F1A2F2">
            <w:pPr>
              <w:snapToGrid w:val="0"/>
              <w:spacing w:beforeLines="50" w:after="50"/>
              <w:jc w:val="center"/>
              <w:rPr>
                <w:rFonts w:ascii="仿宋" w:hAnsi="仿宋" w:eastAsia="仿宋" w:cs="宋体"/>
                <w:b/>
                <w:bCs/>
                <w:color w:val="auto"/>
                <w:kern w:val="0"/>
                <w:szCs w:val="21"/>
                <w:highlight w:val="none"/>
              </w:rPr>
            </w:pPr>
          </w:p>
        </w:tc>
        <w:tc>
          <w:tcPr>
            <w:tcW w:w="4163" w:type="dxa"/>
            <w:vAlign w:val="center"/>
          </w:tcPr>
          <w:p w14:paraId="16F91F34">
            <w:pPr>
              <w:snapToGrid w:val="0"/>
              <w:spacing w:beforeLines="50" w:after="50"/>
              <w:jc w:val="center"/>
              <w:rPr>
                <w:rFonts w:ascii="仿宋" w:hAnsi="仿宋" w:eastAsia="仿宋" w:cs="宋体"/>
                <w:b/>
                <w:bCs/>
                <w:color w:val="auto"/>
                <w:kern w:val="0"/>
                <w:szCs w:val="21"/>
                <w:highlight w:val="none"/>
              </w:rPr>
            </w:pPr>
          </w:p>
        </w:tc>
        <w:tc>
          <w:tcPr>
            <w:tcW w:w="4536" w:type="dxa"/>
            <w:vMerge w:val="continue"/>
            <w:vAlign w:val="center"/>
          </w:tcPr>
          <w:p w14:paraId="0ADB4A2B">
            <w:pPr>
              <w:snapToGrid w:val="0"/>
              <w:jc w:val="left"/>
              <w:rPr>
                <w:rFonts w:ascii="仿宋" w:hAnsi="仿宋" w:eastAsia="仿宋"/>
                <w:color w:val="auto"/>
                <w:szCs w:val="21"/>
                <w:highlight w:val="none"/>
              </w:rPr>
            </w:pPr>
          </w:p>
        </w:tc>
      </w:tr>
      <w:tr w14:paraId="256F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0C4BEDC">
            <w:pPr>
              <w:snapToGrid w:val="0"/>
              <w:spacing w:beforeLines="50" w:after="50"/>
              <w:jc w:val="center"/>
              <w:rPr>
                <w:rFonts w:ascii="仿宋" w:hAnsi="仿宋" w:eastAsia="仿宋"/>
                <w:b/>
                <w:color w:val="auto"/>
                <w:szCs w:val="21"/>
                <w:highlight w:val="none"/>
              </w:rPr>
            </w:pPr>
            <w:r>
              <w:rPr>
                <w:rFonts w:ascii="仿宋" w:hAnsi="仿宋" w:eastAsia="仿宋" w:cs="宋体"/>
                <w:color w:val="auto"/>
                <w:kern w:val="0"/>
                <w:szCs w:val="21"/>
                <w:highlight w:val="none"/>
              </w:rPr>
              <w:t>……</w:t>
            </w:r>
          </w:p>
        </w:tc>
        <w:tc>
          <w:tcPr>
            <w:tcW w:w="2693" w:type="dxa"/>
            <w:gridSpan w:val="2"/>
            <w:vAlign w:val="center"/>
          </w:tcPr>
          <w:p w14:paraId="143E6FAB">
            <w:pPr>
              <w:snapToGrid w:val="0"/>
              <w:spacing w:beforeLines="50" w:after="50"/>
              <w:jc w:val="center"/>
              <w:rPr>
                <w:rFonts w:ascii="仿宋" w:hAnsi="仿宋" w:eastAsia="仿宋" w:cs="宋体"/>
                <w:b/>
                <w:bCs/>
                <w:color w:val="auto"/>
                <w:kern w:val="0"/>
                <w:szCs w:val="21"/>
                <w:highlight w:val="none"/>
              </w:rPr>
            </w:pPr>
          </w:p>
        </w:tc>
        <w:tc>
          <w:tcPr>
            <w:tcW w:w="4163" w:type="dxa"/>
            <w:vAlign w:val="center"/>
          </w:tcPr>
          <w:p w14:paraId="606EC9A4">
            <w:pPr>
              <w:snapToGrid w:val="0"/>
              <w:spacing w:beforeLines="50" w:after="50"/>
              <w:jc w:val="center"/>
              <w:rPr>
                <w:rFonts w:ascii="仿宋" w:hAnsi="仿宋" w:eastAsia="仿宋" w:cs="宋体"/>
                <w:b/>
                <w:bCs/>
                <w:color w:val="auto"/>
                <w:kern w:val="0"/>
                <w:szCs w:val="21"/>
                <w:highlight w:val="none"/>
              </w:rPr>
            </w:pPr>
          </w:p>
        </w:tc>
        <w:tc>
          <w:tcPr>
            <w:tcW w:w="4536" w:type="dxa"/>
            <w:vMerge w:val="continue"/>
            <w:vAlign w:val="center"/>
          </w:tcPr>
          <w:p w14:paraId="043FF6B7">
            <w:pPr>
              <w:snapToGrid w:val="0"/>
              <w:jc w:val="left"/>
              <w:rPr>
                <w:rFonts w:ascii="仿宋" w:hAnsi="仿宋" w:eastAsia="仿宋"/>
                <w:color w:val="auto"/>
                <w:szCs w:val="21"/>
                <w:highlight w:val="none"/>
              </w:rPr>
            </w:pPr>
          </w:p>
        </w:tc>
      </w:tr>
    </w:tbl>
    <w:p w14:paraId="21CFA5A8">
      <w:pPr>
        <w:snapToGrid w:val="0"/>
        <w:spacing w:line="360" w:lineRule="auto"/>
        <w:jc w:val="left"/>
        <w:rPr>
          <w:rFonts w:ascii="仿宋" w:hAnsi="仿宋" w:eastAsia="仿宋"/>
          <w:color w:val="auto"/>
          <w:sz w:val="24"/>
          <w:highlight w:val="none"/>
        </w:rPr>
      </w:pPr>
    </w:p>
    <w:p w14:paraId="4A292C37">
      <w:pPr>
        <w:snapToGrid w:val="0"/>
        <w:spacing w:line="360" w:lineRule="auto"/>
        <w:ind w:firstLine="4840" w:firstLineChars="2200"/>
        <w:rPr>
          <w:rFonts w:ascii="仿宋" w:hAnsi="仿宋" w:eastAsia="仿宋" w:cs="仿宋_GB2312"/>
          <w:color w:val="auto"/>
          <w:kern w:val="0"/>
          <w:sz w:val="22"/>
          <w:highlight w:val="none"/>
          <w:u w:val="single"/>
        </w:rPr>
      </w:pPr>
      <w:r>
        <w:rPr>
          <w:rFonts w:hint="eastAsia" w:ascii="仿宋" w:hAnsi="仿宋" w:eastAsia="仿宋" w:cs="仿宋_GB2312"/>
          <w:color w:val="auto"/>
          <w:kern w:val="0"/>
          <w:sz w:val="22"/>
          <w:highlight w:val="none"/>
          <w:lang w:val="zh-CN"/>
        </w:rPr>
        <w:t>报价人名称(</w:t>
      </w:r>
      <w:r>
        <w:rPr>
          <w:rFonts w:hint="eastAsia" w:ascii="仿宋" w:hAnsi="仿宋" w:eastAsia="仿宋" w:cs="仿宋_GB2312"/>
          <w:color w:val="auto"/>
          <w:kern w:val="0"/>
          <w:sz w:val="22"/>
          <w:highlight w:val="none"/>
        </w:rPr>
        <w:t>公章</w:t>
      </w:r>
      <w:r>
        <w:rPr>
          <w:rFonts w:hint="eastAsia" w:ascii="仿宋" w:hAnsi="仿宋" w:eastAsia="仿宋" w:cs="仿宋_GB2312"/>
          <w:color w:val="auto"/>
          <w:kern w:val="0"/>
          <w:sz w:val="22"/>
          <w:highlight w:val="none"/>
          <w:lang w:val="zh-CN"/>
        </w:rPr>
        <w:t>)：</w:t>
      </w:r>
      <w:r>
        <w:rPr>
          <w:rFonts w:hint="eastAsia" w:ascii="仿宋" w:hAnsi="仿宋" w:eastAsia="仿宋" w:cs="仿宋_GB2312"/>
          <w:color w:val="auto"/>
          <w:kern w:val="0"/>
          <w:sz w:val="22"/>
          <w:highlight w:val="none"/>
          <w:u w:val="single"/>
          <w:lang w:val="zh-CN"/>
        </w:rPr>
        <w:t xml:space="preserve"> </w:t>
      </w:r>
      <w:r>
        <w:rPr>
          <w:rFonts w:ascii="仿宋" w:hAnsi="仿宋" w:eastAsia="仿宋" w:cs="仿宋_GB2312"/>
          <w:color w:val="auto"/>
          <w:kern w:val="0"/>
          <w:sz w:val="22"/>
          <w:highlight w:val="none"/>
          <w:u w:val="single"/>
          <w:lang w:val="zh-CN"/>
        </w:rPr>
        <w:t xml:space="preserve">         </w:t>
      </w:r>
    </w:p>
    <w:p w14:paraId="07A87DEB">
      <w:pPr>
        <w:snapToGrid w:val="0"/>
        <w:spacing w:line="360" w:lineRule="auto"/>
        <w:ind w:firstLine="4730" w:firstLineChars="2150"/>
        <w:rPr>
          <w:rFonts w:ascii="仿宋" w:hAnsi="仿宋" w:eastAsia="仿宋" w:cs="仿宋_GB2312"/>
          <w:color w:val="auto"/>
          <w:kern w:val="0"/>
          <w:sz w:val="22"/>
          <w:highlight w:val="none"/>
          <w:lang w:val="zh-CN"/>
        </w:rPr>
      </w:pPr>
      <w:r>
        <w:rPr>
          <w:rFonts w:hint="eastAsia" w:ascii="仿宋" w:hAnsi="仿宋" w:eastAsia="仿宋" w:cs="仿宋_GB2312"/>
          <w:color w:val="auto"/>
          <w:kern w:val="0"/>
          <w:sz w:val="22"/>
          <w:highlight w:val="none"/>
          <w:lang w:val="zh-CN"/>
        </w:rPr>
        <w:t>日期</w:t>
      </w:r>
      <w:r>
        <w:rPr>
          <w:rFonts w:hint="eastAsia" w:ascii="仿宋" w:hAnsi="仿宋" w:eastAsia="仿宋" w:cs="仿宋_GB2312"/>
          <w:color w:val="auto"/>
          <w:kern w:val="0"/>
          <w:sz w:val="22"/>
          <w:highlight w:val="none"/>
        </w:rPr>
        <w:t xml:space="preserve">：  年  </w:t>
      </w:r>
      <w:r>
        <w:rPr>
          <w:rFonts w:hint="eastAsia" w:ascii="仿宋" w:hAnsi="仿宋" w:eastAsia="仿宋" w:cs="仿宋_GB2312"/>
          <w:color w:val="auto"/>
          <w:kern w:val="0"/>
          <w:sz w:val="22"/>
          <w:highlight w:val="none"/>
          <w:lang w:val="zh-CN"/>
        </w:rPr>
        <w:t>月</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zh-CN"/>
        </w:rPr>
        <w:t>日</w:t>
      </w:r>
    </w:p>
    <w:p w14:paraId="12B90184">
      <w:pPr>
        <w:spacing w:line="360" w:lineRule="auto"/>
        <w:jc w:val="center"/>
        <w:rPr>
          <w:rFonts w:ascii="仿宋" w:hAnsi="仿宋" w:eastAsia="仿宋"/>
          <w:b/>
          <w:color w:val="auto"/>
          <w:sz w:val="36"/>
          <w:szCs w:val="36"/>
          <w:highlight w:val="none"/>
        </w:rPr>
      </w:pPr>
    </w:p>
    <w:p w14:paraId="38E5A28F">
      <w:pPr>
        <w:pStyle w:val="3"/>
        <w:spacing w:line="340" w:lineRule="exact"/>
        <w:rPr>
          <w:color w:val="auto"/>
          <w:highlight w:val="none"/>
        </w:rPr>
      </w:pPr>
      <w:r>
        <w:rPr>
          <w:rFonts w:hint="eastAsia"/>
          <w:b/>
          <w:color w:val="auto"/>
          <w:highlight w:val="none"/>
        </w:rPr>
        <w:t>拟签订的合同文本</w:t>
      </w:r>
      <w:r>
        <w:rPr>
          <w:rFonts w:hint="eastAsia"/>
          <w:b/>
          <w:color w:val="auto"/>
          <w:highlight w:val="none"/>
        </w:rPr>
        <w:cr/>
      </w:r>
      <w:r>
        <w:rPr>
          <w:rFonts w:hint="eastAsia"/>
          <w:b/>
          <w:color w:val="auto"/>
          <w:highlight w:val="none"/>
        </w:rPr>
        <w:t>(参考格式，本合同内容条款在正式签署前可具体补充细化，仅作参考，最终合同以采购人审查通过的版本为准)</w:t>
      </w:r>
    </w:p>
    <w:p w14:paraId="4960EF06">
      <w:pPr>
        <w:spacing w:line="360" w:lineRule="auto"/>
        <w:jc w:val="center"/>
        <w:rPr>
          <w:rFonts w:ascii="仿宋" w:hAnsi="仿宋" w:eastAsia="仿宋"/>
          <w:b/>
          <w:color w:val="auto"/>
          <w:sz w:val="36"/>
          <w:szCs w:val="36"/>
          <w:highlight w:val="none"/>
        </w:rPr>
      </w:pPr>
    </w:p>
    <w:p w14:paraId="0A0AB92C">
      <w:pPr>
        <w:spacing w:line="360" w:lineRule="auto"/>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采购合同</w:t>
      </w:r>
    </w:p>
    <w:p w14:paraId="2967B0DB">
      <w:pPr>
        <w:spacing w:line="360" w:lineRule="auto"/>
        <w:jc w:val="center"/>
        <w:rPr>
          <w:rFonts w:ascii="仿宋" w:hAnsi="仿宋" w:eastAsia="仿宋"/>
          <w:b/>
          <w:bCs/>
          <w:color w:val="auto"/>
          <w:sz w:val="36"/>
          <w:szCs w:val="36"/>
          <w:highlight w:val="none"/>
        </w:rPr>
      </w:pPr>
    </w:p>
    <w:p w14:paraId="6D2AD4DF">
      <w:pPr>
        <w:pStyle w:val="3"/>
        <w:spacing w:line="360" w:lineRule="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 xml:space="preserve">采购人（甲方）： </w:t>
      </w:r>
      <w:r>
        <w:rPr>
          <w:rFonts w:hint="eastAsia" w:ascii="仿宋" w:hAnsi="仿宋" w:eastAsia="仿宋"/>
          <w:color w:val="auto"/>
          <w:sz w:val="24"/>
          <w:szCs w:val="24"/>
          <w:highlight w:val="none"/>
          <w:u w:val="single"/>
        </w:rPr>
        <w:t xml:space="preserve">  </w:t>
      </w:r>
      <w:r>
        <w:rPr>
          <w:rFonts w:hint="eastAsia" w:ascii="仿宋" w:hAnsi="仿宋" w:eastAsia="仿宋"/>
          <w:b/>
          <w:bCs/>
          <w:color w:val="auto"/>
          <w:sz w:val="24"/>
          <w:szCs w:val="24"/>
          <w:highlight w:val="none"/>
          <w:u w:val="single"/>
        </w:rPr>
        <w:t>广西艺术学院附属中等艺术学校</w:t>
      </w:r>
      <w:r>
        <w:rPr>
          <w:rFonts w:hint="eastAsia" w:ascii="仿宋" w:hAnsi="仿宋" w:eastAsia="仿宋"/>
          <w:color w:val="auto"/>
          <w:sz w:val="24"/>
          <w:szCs w:val="24"/>
          <w:highlight w:val="none"/>
          <w:u w:val="single"/>
        </w:rPr>
        <w:t xml:space="preserve">    </w:t>
      </w:r>
    </w:p>
    <w:p w14:paraId="3B49BB73">
      <w:pPr>
        <w:pStyle w:val="3"/>
        <w:spacing w:line="360" w:lineRule="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供应商（乙方）：</w:t>
      </w:r>
      <w:r>
        <w:rPr>
          <w:rFonts w:hint="eastAsia" w:ascii="仿宋" w:hAnsi="仿宋" w:eastAsia="仿宋"/>
          <w:b/>
          <w:color w:val="auto"/>
          <w:sz w:val="24"/>
          <w:szCs w:val="24"/>
          <w:highlight w:val="none"/>
        </w:rPr>
        <w:t xml:space="preserve"> </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rPr>
        <w:t xml:space="preserve"> </w:t>
      </w:r>
    </w:p>
    <w:p w14:paraId="1A510C65">
      <w:pPr>
        <w:pStyle w:val="3"/>
        <w:spacing w:line="360" w:lineRule="auto"/>
        <w:rPr>
          <w:rFonts w:ascii="仿宋" w:hAnsi="仿宋" w:eastAsia="仿宋"/>
          <w:b/>
          <w:color w:val="auto"/>
          <w:sz w:val="24"/>
          <w:szCs w:val="24"/>
          <w:highlight w:val="none"/>
        </w:rPr>
      </w:pPr>
      <w:r>
        <w:rPr>
          <w:rFonts w:hint="eastAsia" w:ascii="仿宋" w:hAnsi="仿宋" w:eastAsia="仿宋"/>
          <w:color w:val="auto"/>
          <w:sz w:val="24"/>
          <w:szCs w:val="24"/>
          <w:highlight w:val="none"/>
        </w:rPr>
        <w:t xml:space="preserve">    经甲、乙双方协商一致，现就甲方向乙方采购监控设备设备采购事宜签订此合同。</w:t>
      </w:r>
    </w:p>
    <w:p w14:paraId="5C95D65F">
      <w:pPr>
        <w:pStyle w:val="3"/>
        <w:spacing w:line="360" w:lineRule="auto"/>
        <w:outlineLvl w:val="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一.  采购内容及合同金额</w:t>
      </w:r>
    </w:p>
    <w:tbl>
      <w:tblPr>
        <w:tblStyle w:val="8"/>
        <w:tblW w:w="4828" w:type="pct"/>
        <w:jc w:val="center"/>
        <w:tblLayout w:type="fixed"/>
        <w:tblCellMar>
          <w:top w:w="0" w:type="dxa"/>
          <w:left w:w="108" w:type="dxa"/>
          <w:bottom w:w="0" w:type="dxa"/>
          <w:right w:w="108" w:type="dxa"/>
        </w:tblCellMar>
      </w:tblPr>
      <w:tblGrid>
        <w:gridCol w:w="735"/>
        <w:gridCol w:w="1833"/>
        <w:gridCol w:w="1336"/>
        <w:gridCol w:w="6215"/>
        <w:gridCol w:w="1113"/>
        <w:gridCol w:w="1113"/>
        <w:gridCol w:w="1333"/>
        <w:gridCol w:w="1399"/>
      </w:tblGrid>
      <w:tr w14:paraId="29A7565C">
        <w:tblPrEx>
          <w:tblCellMar>
            <w:top w:w="0" w:type="dxa"/>
            <w:left w:w="108" w:type="dxa"/>
            <w:bottom w:w="0" w:type="dxa"/>
            <w:right w:w="108" w:type="dxa"/>
          </w:tblCellMar>
        </w:tblPrEx>
        <w:trPr>
          <w:trHeight w:val="300" w:hRule="atLeast"/>
          <w:jc w:val="center"/>
        </w:trPr>
        <w:tc>
          <w:tcPr>
            <w:tcW w:w="244" w:type="pct"/>
            <w:tcBorders>
              <w:top w:val="single" w:color="auto" w:sz="4" w:space="0"/>
              <w:left w:val="single" w:color="auto" w:sz="4" w:space="0"/>
              <w:bottom w:val="single" w:color="auto" w:sz="4" w:space="0"/>
              <w:right w:val="single" w:color="auto" w:sz="4" w:space="0"/>
            </w:tcBorders>
            <w:vAlign w:val="center"/>
          </w:tcPr>
          <w:p w14:paraId="115A65F8">
            <w:pPr>
              <w:widowControl/>
              <w:snapToGrid w:val="0"/>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序号</w:t>
            </w:r>
          </w:p>
        </w:tc>
        <w:tc>
          <w:tcPr>
            <w:tcW w:w="608" w:type="pct"/>
            <w:tcBorders>
              <w:top w:val="single" w:color="auto" w:sz="4" w:space="0"/>
              <w:left w:val="nil"/>
              <w:bottom w:val="single" w:color="auto" w:sz="4" w:space="0"/>
              <w:right w:val="single" w:color="auto" w:sz="4" w:space="0"/>
            </w:tcBorders>
            <w:vAlign w:val="center"/>
          </w:tcPr>
          <w:p w14:paraId="7D660FD6">
            <w:pPr>
              <w:widowControl/>
              <w:snapToGrid w:val="0"/>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货物名称</w:t>
            </w:r>
          </w:p>
        </w:tc>
        <w:tc>
          <w:tcPr>
            <w:tcW w:w="443" w:type="pct"/>
            <w:tcBorders>
              <w:top w:val="single" w:color="auto" w:sz="4" w:space="0"/>
              <w:left w:val="nil"/>
              <w:bottom w:val="single" w:color="auto" w:sz="4" w:space="0"/>
              <w:right w:val="single" w:color="auto" w:sz="4" w:space="0"/>
            </w:tcBorders>
            <w:vAlign w:val="center"/>
          </w:tcPr>
          <w:p w14:paraId="4406EAB5">
            <w:pPr>
              <w:widowControl/>
              <w:snapToGrid w:val="0"/>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品牌</w:t>
            </w:r>
          </w:p>
        </w:tc>
        <w:tc>
          <w:tcPr>
            <w:tcW w:w="2061" w:type="pct"/>
            <w:tcBorders>
              <w:top w:val="single" w:color="auto" w:sz="4" w:space="0"/>
              <w:left w:val="nil"/>
              <w:bottom w:val="single" w:color="auto" w:sz="4" w:space="0"/>
              <w:right w:val="single" w:color="auto" w:sz="4" w:space="0"/>
            </w:tcBorders>
            <w:vAlign w:val="center"/>
          </w:tcPr>
          <w:p w14:paraId="1854D8B8">
            <w:pPr>
              <w:widowControl/>
              <w:snapToGrid w:val="0"/>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技术参数</w:t>
            </w:r>
          </w:p>
        </w:tc>
        <w:tc>
          <w:tcPr>
            <w:tcW w:w="369" w:type="pct"/>
            <w:tcBorders>
              <w:top w:val="single" w:color="auto" w:sz="4" w:space="0"/>
              <w:left w:val="nil"/>
              <w:bottom w:val="single" w:color="auto" w:sz="4" w:space="0"/>
              <w:right w:val="single" w:color="auto" w:sz="4" w:space="0"/>
            </w:tcBorders>
            <w:vAlign w:val="center"/>
          </w:tcPr>
          <w:p w14:paraId="27C6C0AA">
            <w:pPr>
              <w:widowControl/>
              <w:snapToGrid w:val="0"/>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数量</w:t>
            </w:r>
          </w:p>
        </w:tc>
        <w:tc>
          <w:tcPr>
            <w:tcW w:w="369" w:type="pct"/>
            <w:tcBorders>
              <w:top w:val="single" w:color="auto" w:sz="4" w:space="0"/>
              <w:left w:val="nil"/>
              <w:bottom w:val="single" w:color="auto" w:sz="4" w:space="0"/>
              <w:right w:val="single" w:color="auto" w:sz="4" w:space="0"/>
            </w:tcBorders>
            <w:vAlign w:val="center"/>
          </w:tcPr>
          <w:p w14:paraId="55D6507F">
            <w:pPr>
              <w:widowControl/>
              <w:snapToGrid w:val="0"/>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单位</w:t>
            </w:r>
          </w:p>
        </w:tc>
        <w:tc>
          <w:tcPr>
            <w:tcW w:w="442" w:type="pct"/>
            <w:tcBorders>
              <w:top w:val="single" w:color="auto" w:sz="4" w:space="0"/>
              <w:left w:val="nil"/>
              <w:bottom w:val="single" w:color="auto" w:sz="4" w:space="0"/>
              <w:right w:val="single" w:color="auto" w:sz="4" w:space="0"/>
            </w:tcBorders>
            <w:vAlign w:val="center"/>
          </w:tcPr>
          <w:p w14:paraId="38558EB1">
            <w:pPr>
              <w:widowControl/>
              <w:snapToGrid w:val="0"/>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单价</w:t>
            </w:r>
          </w:p>
        </w:tc>
        <w:tc>
          <w:tcPr>
            <w:tcW w:w="464" w:type="pct"/>
            <w:tcBorders>
              <w:top w:val="single" w:color="auto" w:sz="4" w:space="0"/>
              <w:left w:val="nil"/>
              <w:bottom w:val="single" w:color="auto" w:sz="4" w:space="0"/>
              <w:right w:val="single" w:color="auto" w:sz="4" w:space="0"/>
            </w:tcBorders>
            <w:vAlign w:val="center"/>
          </w:tcPr>
          <w:p w14:paraId="0155FBCD">
            <w:pPr>
              <w:widowControl/>
              <w:snapToGrid w:val="0"/>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金额</w:t>
            </w:r>
          </w:p>
        </w:tc>
      </w:tr>
      <w:tr w14:paraId="64EE9F5A">
        <w:tblPrEx>
          <w:tblCellMar>
            <w:top w:w="0" w:type="dxa"/>
            <w:left w:w="108" w:type="dxa"/>
            <w:bottom w:w="0" w:type="dxa"/>
            <w:right w:w="108" w:type="dxa"/>
          </w:tblCellMar>
        </w:tblPrEx>
        <w:trPr>
          <w:trHeight w:val="300" w:hRule="atLeast"/>
          <w:jc w:val="center"/>
        </w:trPr>
        <w:tc>
          <w:tcPr>
            <w:tcW w:w="244" w:type="pct"/>
            <w:tcBorders>
              <w:top w:val="nil"/>
              <w:left w:val="single" w:color="auto" w:sz="4" w:space="0"/>
              <w:bottom w:val="single" w:color="auto" w:sz="4" w:space="0"/>
              <w:right w:val="single" w:color="auto" w:sz="4" w:space="0"/>
            </w:tcBorders>
            <w:vAlign w:val="center"/>
          </w:tcPr>
          <w:p w14:paraId="17D6B1C4">
            <w:pPr>
              <w:widowControl/>
              <w:snapToGrid w:val="0"/>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c>
          <w:tcPr>
            <w:tcW w:w="608" w:type="pct"/>
            <w:tcBorders>
              <w:top w:val="single" w:color="auto" w:sz="4" w:space="0"/>
              <w:left w:val="nil"/>
              <w:bottom w:val="single" w:color="auto" w:sz="4" w:space="0"/>
              <w:right w:val="single" w:color="auto" w:sz="4" w:space="0"/>
            </w:tcBorders>
            <w:vAlign w:val="center"/>
          </w:tcPr>
          <w:p w14:paraId="37F8EF0D">
            <w:pPr>
              <w:widowControl/>
              <w:snapToGrid w:val="0"/>
              <w:jc w:val="left"/>
              <w:rPr>
                <w:rFonts w:ascii="仿宋" w:hAnsi="仿宋" w:eastAsia="仿宋" w:cs="宋体"/>
                <w:color w:val="auto"/>
                <w:kern w:val="0"/>
                <w:sz w:val="18"/>
                <w:szCs w:val="18"/>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14:paraId="03975BA1">
            <w:pPr>
              <w:jc w:val="left"/>
              <w:rPr>
                <w:rFonts w:ascii="仿宋" w:hAnsi="仿宋" w:eastAsia="仿宋" w:cs="宋体"/>
                <w:color w:val="auto"/>
                <w:sz w:val="18"/>
                <w:szCs w:val="18"/>
                <w:highlight w:val="none"/>
              </w:rPr>
            </w:pPr>
          </w:p>
        </w:tc>
        <w:tc>
          <w:tcPr>
            <w:tcW w:w="2061" w:type="pct"/>
            <w:tcBorders>
              <w:top w:val="single" w:color="auto" w:sz="4" w:space="0"/>
              <w:left w:val="single" w:color="auto" w:sz="4" w:space="0"/>
              <w:bottom w:val="single" w:color="auto" w:sz="4" w:space="0"/>
              <w:right w:val="single" w:color="auto" w:sz="4" w:space="0"/>
            </w:tcBorders>
            <w:vAlign w:val="center"/>
          </w:tcPr>
          <w:p w14:paraId="3F7A6A66">
            <w:pPr>
              <w:widowControl/>
              <w:snapToGrid w:val="0"/>
              <w:jc w:val="left"/>
              <w:rPr>
                <w:rFonts w:ascii="仿宋" w:hAnsi="仿宋" w:eastAsia="仿宋" w:cs="宋体"/>
                <w:color w:val="auto"/>
                <w:kern w:val="0"/>
                <w:szCs w:val="21"/>
                <w:highlight w:val="none"/>
              </w:rPr>
            </w:pPr>
          </w:p>
        </w:tc>
        <w:tc>
          <w:tcPr>
            <w:tcW w:w="369" w:type="pct"/>
            <w:tcBorders>
              <w:top w:val="nil"/>
              <w:left w:val="single" w:color="auto" w:sz="4" w:space="0"/>
              <w:bottom w:val="single" w:color="auto" w:sz="4" w:space="0"/>
              <w:right w:val="single" w:color="auto" w:sz="4" w:space="0"/>
            </w:tcBorders>
            <w:vAlign w:val="center"/>
          </w:tcPr>
          <w:p w14:paraId="1647FB94">
            <w:pPr>
              <w:widowControl/>
              <w:snapToGrid w:val="0"/>
              <w:jc w:val="center"/>
              <w:rPr>
                <w:rFonts w:ascii="仿宋" w:hAnsi="仿宋" w:eastAsia="仿宋" w:cs="宋体"/>
                <w:color w:val="auto"/>
                <w:kern w:val="0"/>
                <w:sz w:val="18"/>
                <w:szCs w:val="18"/>
                <w:highlight w:val="none"/>
              </w:rPr>
            </w:pPr>
          </w:p>
        </w:tc>
        <w:tc>
          <w:tcPr>
            <w:tcW w:w="369" w:type="pct"/>
            <w:tcBorders>
              <w:top w:val="nil"/>
              <w:left w:val="nil"/>
              <w:bottom w:val="single" w:color="auto" w:sz="4" w:space="0"/>
              <w:right w:val="single" w:color="auto" w:sz="4" w:space="0"/>
            </w:tcBorders>
            <w:vAlign w:val="center"/>
          </w:tcPr>
          <w:p w14:paraId="5A4E11DD">
            <w:pPr>
              <w:widowControl/>
              <w:snapToGrid w:val="0"/>
              <w:jc w:val="center"/>
              <w:rPr>
                <w:rFonts w:ascii="仿宋" w:hAnsi="仿宋" w:eastAsia="仿宋" w:cs="宋体"/>
                <w:color w:val="auto"/>
                <w:kern w:val="0"/>
                <w:sz w:val="18"/>
                <w:szCs w:val="18"/>
                <w:highlight w:val="none"/>
              </w:rPr>
            </w:pPr>
          </w:p>
        </w:tc>
        <w:tc>
          <w:tcPr>
            <w:tcW w:w="442" w:type="pct"/>
            <w:tcBorders>
              <w:top w:val="nil"/>
              <w:left w:val="nil"/>
              <w:bottom w:val="single" w:color="auto" w:sz="4" w:space="0"/>
              <w:right w:val="single" w:color="auto" w:sz="4" w:space="0"/>
            </w:tcBorders>
            <w:vAlign w:val="center"/>
          </w:tcPr>
          <w:p w14:paraId="4D24AF6C">
            <w:pPr>
              <w:widowControl/>
              <w:snapToGrid w:val="0"/>
              <w:jc w:val="center"/>
              <w:rPr>
                <w:rFonts w:ascii="仿宋" w:hAnsi="仿宋" w:eastAsia="仿宋" w:cs="宋体"/>
                <w:color w:val="auto"/>
                <w:kern w:val="0"/>
                <w:sz w:val="18"/>
                <w:szCs w:val="18"/>
                <w:highlight w:val="none"/>
              </w:rPr>
            </w:pPr>
          </w:p>
        </w:tc>
        <w:tc>
          <w:tcPr>
            <w:tcW w:w="464" w:type="pct"/>
            <w:tcBorders>
              <w:top w:val="nil"/>
              <w:left w:val="nil"/>
              <w:bottom w:val="single" w:color="auto" w:sz="4" w:space="0"/>
              <w:right w:val="single" w:color="auto" w:sz="4" w:space="0"/>
            </w:tcBorders>
            <w:vAlign w:val="center"/>
          </w:tcPr>
          <w:p w14:paraId="5B8CB473">
            <w:pPr>
              <w:widowControl/>
              <w:snapToGrid w:val="0"/>
              <w:jc w:val="center"/>
              <w:rPr>
                <w:rFonts w:ascii="仿宋" w:hAnsi="仿宋" w:eastAsia="仿宋" w:cs="宋体"/>
                <w:color w:val="auto"/>
                <w:kern w:val="0"/>
                <w:sz w:val="18"/>
                <w:szCs w:val="18"/>
                <w:highlight w:val="none"/>
              </w:rPr>
            </w:pPr>
          </w:p>
        </w:tc>
      </w:tr>
      <w:tr w14:paraId="39CB720B">
        <w:tblPrEx>
          <w:tblCellMar>
            <w:top w:w="0" w:type="dxa"/>
            <w:left w:w="108" w:type="dxa"/>
            <w:bottom w:w="0" w:type="dxa"/>
            <w:right w:w="108" w:type="dxa"/>
          </w:tblCellMar>
        </w:tblPrEx>
        <w:trPr>
          <w:trHeight w:val="300" w:hRule="atLeast"/>
          <w:jc w:val="center"/>
        </w:trPr>
        <w:tc>
          <w:tcPr>
            <w:tcW w:w="244" w:type="pct"/>
            <w:tcBorders>
              <w:top w:val="nil"/>
              <w:left w:val="single" w:color="auto" w:sz="4" w:space="0"/>
              <w:bottom w:val="single" w:color="auto" w:sz="4" w:space="0"/>
              <w:right w:val="single" w:color="auto" w:sz="4" w:space="0"/>
            </w:tcBorders>
            <w:vAlign w:val="center"/>
          </w:tcPr>
          <w:p w14:paraId="06C48850">
            <w:pPr>
              <w:widowControl/>
              <w:snapToGrid w:val="0"/>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2</w:t>
            </w:r>
          </w:p>
        </w:tc>
        <w:tc>
          <w:tcPr>
            <w:tcW w:w="608" w:type="pct"/>
            <w:tcBorders>
              <w:top w:val="nil"/>
              <w:left w:val="single" w:color="auto" w:sz="4" w:space="0"/>
              <w:bottom w:val="single" w:color="auto" w:sz="4" w:space="0"/>
              <w:right w:val="single" w:color="auto" w:sz="4" w:space="0"/>
            </w:tcBorders>
            <w:vAlign w:val="center"/>
          </w:tcPr>
          <w:p w14:paraId="3B004C6A">
            <w:pPr>
              <w:widowControl/>
              <w:snapToGrid w:val="0"/>
              <w:jc w:val="center"/>
              <w:rPr>
                <w:rFonts w:ascii="仿宋" w:hAnsi="仿宋" w:eastAsia="仿宋" w:cs="Tahoma"/>
                <w:b/>
                <w:bCs/>
                <w:color w:val="auto"/>
                <w:szCs w:val="21"/>
                <w:highlight w:val="none"/>
              </w:rPr>
            </w:pPr>
          </w:p>
        </w:tc>
        <w:tc>
          <w:tcPr>
            <w:tcW w:w="443" w:type="pct"/>
            <w:tcBorders>
              <w:top w:val="nil"/>
              <w:left w:val="nil"/>
              <w:bottom w:val="single" w:color="auto" w:sz="4" w:space="0"/>
              <w:right w:val="single" w:color="auto" w:sz="4" w:space="0"/>
            </w:tcBorders>
            <w:vAlign w:val="center"/>
          </w:tcPr>
          <w:p w14:paraId="3C76087D">
            <w:pPr>
              <w:widowControl/>
              <w:snapToGrid w:val="0"/>
              <w:jc w:val="left"/>
              <w:rPr>
                <w:rFonts w:ascii="仿宋" w:hAnsi="仿宋" w:eastAsia="仿宋" w:cs="宋体"/>
                <w:b/>
                <w:bCs/>
                <w:color w:val="auto"/>
                <w:kern w:val="0"/>
                <w:szCs w:val="21"/>
                <w:highlight w:val="none"/>
              </w:rPr>
            </w:pPr>
          </w:p>
        </w:tc>
        <w:tc>
          <w:tcPr>
            <w:tcW w:w="2061" w:type="pct"/>
            <w:tcBorders>
              <w:top w:val="nil"/>
              <w:left w:val="nil"/>
              <w:bottom w:val="single" w:color="auto" w:sz="4" w:space="0"/>
              <w:right w:val="single" w:color="auto" w:sz="4" w:space="0"/>
            </w:tcBorders>
            <w:vAlign w:val="center"/>
          </w:tcPr>
          <w:p w14:paraId="338D046C">
            <w:pPr>
              <w:widowControl/>
              <w:snapToGrid w:val="0"/>
              <w:jc w:val="left"/>
              <w:rPr>
                <w:rFonts w:ascii="仿宋" w:hAnsi="仿宋" w:eastAsia="仿宋" w:cs="宋体"/>
                <w:b/>
                <w:bCs/>
                <w:color w:val="auto"/>
                <w:kern w:val="0"/>
                <w:szCs w:val="21"/>
                <w:highlight w:val="none"/>
              </w:rPr>
            </w:pPr>
          </w:p>
        </w:tc>
        <w:tc>
          <w:tcPr>
            <w:tcW w:w="369" w:type="pct"/>
            <w:tcBorders>
              <w:top w:val="nil"/>
              <w:left w:val="single" w:color="auto" w:sz="4" w:space="0"/>
              <w:bottom w:val="single" w:color="auto" w:sz="4" w:space="0"/>
              <w:right w:val="single" w:color="auto" w:sz="4" w:space="0"/>
            </w:tcBorders>
            <w:vAlign w:val="center"/>
          </w:tcPr>
          <w:p w14:paraId="2E8BEA79">
            <w:pPr>
              <w:widowControl/>
              <w:snapToGrid w:val="0"/>
              <w:jc w:val="center"/>
              <w:rPr>
                <w:rFonts w:ascii="仿宋" w:hAnsi="仿宋" w:eastAsia="仿宋" w:cs="宋体"/>
                <w:b/>
                <w:bCs/>
                <w:color w:val="auto"/>
                <w:kern w:val="0"/>
                <w:szCs w:val="21"/>
                <w:highlight w:val="none"/>
              </w:rPr>
            </w:pPr>
          </w:p>
        </w:tc>
        <w:tc>
          <w:tcPr>
            <w:tcW w:w="369" w:type="pct"/>
            <w:tcBorders>
              <w:top w:val="nil"/>
              <w:left w:val="nil"/>
              <w:bottom w:val="single" w:color="auto" w:sz="4" w:space="0"/>
              <w:right w:val="single" w:color="auto" w:sz="4" w:space="0"/>
            </w:tcBorders>
            <w:vAlign w:val="center"/>
          </w:tcPr>
          <w:p w14:paraId="72223198">
            <w:pPr>
              <w:widowControl/>
              <w:snapToGrid w:val="0"/>
              <w:jc w:val="center"/>
              <w:rPr>
                <w:rFonts w:ascii="仿宋" w:hAnsi="仿宋" w:eastAsia="仿宋" w:cs="宋体"/>
                <w:b/>
                <w:bCs/>
                <w:color w:val="auto"/>
                <w:kern w:val="0"/>
                <w:szCs w:val="21"/>
                <w:highlight w:val="none"/>
              </w:rPr>
            </w:pPr>
          </w:p>
        </w:tc>
        <w:tc>
          <w:tcPr>
            <w:tcW w:w="442" w:type="pct"/>
            <w:tcBorders>
              <w:top w:val="nil"/>
              <w:left w:val="nil"/>
              <w:bottom w:val="single" w:color="auto" w:sz="4" w:space="0"/>
              <w:right w:val="single" w:color="auto" w:sz="4" w:space="0"/>
            </w:tcBorders>
            <w:vAlign w:val="center"/>
          </w:tcPr>
          <w:p w14:paraId="5473228F">
            <w:pPr>
              <w:widowControl/>
              <w:snapToGrid w:val="0"/>
              <w:jc w:val="center"/>
              <w:rPr>
                <w:rFonts w:ascii="仿宋" w:hAnsi="仿宋" w:eastAsia="仿宋" w:cs="宋体"/>
                <w:b/>
                <w:bCs/>
                <w:color w:val="auto"/>
                <w:kern w:val="0"/>
                <w:szCs w:val="21"/>
                <w:highlight w:val="none"/>
              </w:rPr>
            </w:pPr>
          </w:p>
        </w:tc>
        <w:tc>
          <w:tcPr>
            <w:tcW w:w="464" w:type="pct"/>
            <w:tcBorders>
              <w:top w:val="nil"/>
              <w:left w:val="nil"/>
              <w:bottom w:val="single" w:color="auto" w:sz="4" w:space="0"/>
              <w:right w:val="single" w:color="auto" w:sz="4" w:space="0"/>
            </w:tcBorders>
            <w:vAlign w:val="center"/>
          </w:tcPr>
          <w:p w14:paraId="420DD49E">
            <w:pPr>
              <w:widowControl/>
              <w:snapToGrid w:val="0"/>
              <w:jc w:val="center"/>
              <w:rPr>
                <w:rFonts w:ascii="仿宋" w:hAnsi="仿宋" w:eastAsia="仿宋" w:cs="宋体"/>
                <w:b/>
                <w:bCs/>
                <w:color w:val="auto"/>
                <w:kern w:val="0"/>
                <w:szCs w:val="21"/>
                <w:highlight w:val="none"/>
              </w:rPr>
            </w:pPr>
          </w:p>
        </w:tc>
      </w:tr>
      <w:tr w14:paraId="0EDF71E9">
        <w:tblPrEx>
          <w:tblCellMar>
            <w:top w:w="0" w:type="dxa"/>
            <w:left w:w="108" w:type="dxa"/>
            <w:bottom w:w="0" w:type="dxa"/>
            <w:right w:w="108" w:type="dxa"/>
          </w:tblCellMar>
        </w:tblPrEx>
        <w:trPr>
          <w:trHeight w:val="300" w:hRule="atLeast"/>
          <w:jc w:val="center"/>
        </w:trPr>
        <w:tc>
          <w:tcPr>
            <w:tcW w:w="244" w:type="pct"/>
            <w:tcBorders>
              <w:top w:val="nil"/>
              <w:left w:val="single" w:color="auto" w:sz="4" w:space="0"/>
              <w:bottom w:val="single" w:color="auto" w:sz="4" w:space="0"/>
              <w:right w:val="single" w:color="auto" w:sz="4" w:space="0"/>
            </w:tcBorders>
            <w:vAlign w:val="center"/>
          </w:tcPr>
          <w:p w14:paraId="07E36162">
            <w:pPr>
              <w:widowControl/>
              <w:snapToGrid w:val="0"/>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3</w:t>
            </w:r>
          </w:p>
        </w:tc>
        <w:tc>
          <w:tcPr>
            <w:tcW w:w="608" w:type="pct"/>
            <w:tcBorders>
              <w:top w:val="nil"/>
              <w:left w:val="single" w:color="auto" w:sz="4" w:space="0"/>
              <w:bottom w:val="single" w:color="auto" w:sz="4" w:space="0"/>
              <w:right w:val="single" w:color="auto" w:sz="4" w:space="0"/>
            </w:tcBorders>
            <w:vAlign w:val="center"/>
          </w:tcPr>
          <w:p w14:paraId="4ACC85B1">
            <w:pPr>
              <w:widowControl/>
              <w:snapToGrid w:val="0"/>
              <w:jc w:val="center"/>
              <w:rPr>
                <w:rFonts w:ascii="仿宋" w:hAnsi="仿宋" w:eastAsia="仿宋" w:cs="Tahoma"/>
                <w:b/>
                <w:bCs/>
                <w:color w:val="auto"/>
                <w:szCs w:val="21"/>
                <w:highlight w:val="none"/>
              </w:rPr>
            </w:pPr>
          </w:p>
        </w:tc>
        <w:tc>
          <w:tcPr>
            <w:tcW w:w="443" w:type="pct"/>
            <w:tcBorders>
              <w:top w:val="nil"/>
              <w:left w:val="nil"/>
              <w:bottom w:val="single" w:color="auto" w:sz="4" w:space="0"/>
              <w:right w:val="single" w:color="auto" w:sz="4" w:space="0"/>
            </w:tcBorders>
            <w:vAlign w:val="center"/>
          </w:tcPr>
          <w:p w14:paraId="7D6BC7C3">
            <w:pPr>
              <w:widowControl/>
              <w:snapToGrid w:val="0"/>
              <w:jc w:val="left"/>
              <w:rPr>
                <w:rFonts w:ascii="仿宋" w:hAnsi="仿宋" w:eastAsia="仿宋" w:cs="宋体"/>
                <w:b/>
                <w:bCs/>
                <w:color w:val="auto"/>
                <w:kern w:val="0"/>
                <w:szCs w:val="21"/>
                <w:highlight w:val="none"/>
              </w:rPr>
            </w:pPr>
          </w:p>
        </w:tc>
        <w:tc>
          <w:tcPr>
            <w:tcW w:w="2061" w:type="pct"/>
            <w:tcBorders>
              <w:top w:val="nil"/>
              <w:left w:val="nil"/>
              <w:bottom w:val="single" w:color="auto" w:sz="4" w:space="0"/>
              <w:right w:val="single" w:color="auto" w:sz="4" w:space="0"/>
            </w:tcBorders>
            <w:vAlign w:val="center"/>
          </w:tcPr>
          <w:p w14:paraId="71B9C281">
            <w:pPr>
              <w:widowControl/>
              <w:snapToGrid w:val="0"/>
              <w:jc w:val="left"/>
              <w:rPr>
                <w:rFonts w:ascii="仿宋" w:hAnsi="仿宋" w:eastAsia="仿宋" w:cs="宋体"/>
                <w:b/>
                <w:bCs/>
                <w:color w:val="auto"/>
                <w:kern w:val="0"/>
                <w:szCs w:val="21"/>
                <w:highlight w:val="none"/>
              </w:rPr>
            </w:pPr>
          </w:p>
        </w:tc>
        <w:tc>
          <w:tcPr>
            <w:tcW w:w="369" w:type="pct"/>
            <w:tcBorders>
              <w:top w:val="nil"/>
              <w:left w:val="single" w:color="auto" w:sz="4" w:space="0"/>
              <w:bottom w:val="single" w:color="auto" w:sz="4" w:space="0"/>
              <w:right w:val="single" w:color="auto" w:sz="4" w:space="0"/>
            </w:tcBorders>
            <w:vAlign w:val="center"/>
          </w:tcPr>
          <w:p w14:paraId="2D875200">
            <w:pPr>
              <w:widowControl/>
              <w:snapToGrid w:val="0"/>
              <w:jc w:val="center"/>
              <w:rPr>
                <w:rFonts w:ascii="仿宋" w:hAnsi="仿宋" w:eastAsia="仿宋" w:cs="宋体"/>
                <w:b/>
                <w:bCs/>
                <w:color w:val="auto"/>
                <w:kern w:val="0"/>
                <w:szCs w:val="21"/>
                <w:highlight w:val="none"/>
              </w:rPr>
            </w:pPr>
          </w:p>
        </w:tc>
        <w:tc>
          <w:tcPr>
            <w:tcW w:w="369" w:type="pct"/>
            <w:tcBorders>
              <w:top w:val="nil"/>
              <w:left w:val="nil"/>
              <w:bottom w:val="single" w:color="auto" w:sz="4" w:space="0"/>
              <w:right w:val="single" w:color="auto" w:sz="4" w:space="0"/>
            </w:tcBorders>
            <w:vAlign w:val="center"/>
          </w:tcPr>
          <w:p w14:paraId="485BB76D">
            <w:pPr>
              <w:widowControl/>
              <w:snapToGrid w:val="0"/>
              <w:jc w:val="center"/>
              <w:rPr>
                <w:rFonts w:ascii="仿宋" w:hAnsi="仿宋" w:eastAsia="仿宋" w:cs="宋体"/>
                <w:b/>
                <w:bCs/>
                <w:color w:val="auto"/>
                <w:kern w:val="0"/>
                <w:szCs w:val="21"/>
                <w:highlight w:val="none"/>
              </w:rPr>
            </w:pPr>
          </w:p>
        </w:tc>
        <w:tc>
          <w:tcPr>
            <w:tcW w:w="442" w:type="pct"/>
            <w:tcBorders>
              <w:top w:val="nil"/>
              <w:left w:val="nil"/>
              <w:bottom w:val="single" w:color="auto" w:sz="4" w:space="0"/>
              <w:right w:val="single" w:color="auto" w:sz="4" w:space="0"/>
            </w:tcBorders>
            <w:vAlign w:val="center"/>
          </w:tcPr>
          <w:p w14:paraId="58E5D8D7">
            <w:pPr>
              <w:widowControl/>
              <w:snapToGrid w:val="0"/>
              <w:jc w:val="center"/>
              <w:rPr>
                <w:rFonts w:ascii="仿宋" w:hAnsi="仿宋" w:eastAsia="仿宋" w:cs="宋体"/>
                <w:b/>
                <w:bCs/>
                <w:color w:val="auto"/>
                <w:kern w:val="0"/>
                <w:szCs w:val="21"/>
                <w:highlight w:val="none"/>
              </w:rPr>
            </w:pPr>
          </w:p>
        </w:tc>
        <w:tc>
          <w:tcPr>
            <w:tcW w:w="464" w:type="pct"/>
            <w:tcBorders>
              <w:top w:val="nil"/>
              <w:left w:val="nil"/>
              <w:bottom w:val="single" w:color="auto" w:sz="4" w:space="0"/>
              <w:right w:val="single" w:color="auto" w:sz="4" w:space="0"/>
            </w:tcBorders>
            <w:vAlign w:val="center"/>
          </w:tcPr>
          <w:p w14:paraId="7083C6CA">
            <w:pPr>
              <w:widowControl/>
              <w:snapToGrid w:val="0"/>
              <w:jc w:val="center"/>
              <w:rPr>
                <w:rFonts w:ascii="仿宋" w:hAnsi="仿宋" w:eastAsia="仿宋" w:cs="宋体"/>
                <w:b/>
                <w:bCs/>
                <w:color w:val="auto"/>
                <w:kern w:val="0"/>
                <w:szCs w:val="21"/>
                <w:highlight w:val="none"/>
              </w:rPr>
            </w:pPr>
          </w:p>
        </w:tc>
      </w:tr>
      <w:tr w14:paraId="28A93B73">
        <w:tblPrEx>
          <w:tblCellMar>
            <w:top w:w="0" w:type="dxa"/>
            <w:left w:w="108" w:type="dxa"/>
            <w:bottom w:w="0" w:type="dxa"/>
            <w:right w:w="108" w:type="dxa"/>
          </w:tblCellMar>
        </w:tblPrEx>
        <w:trPr>
          <w:trHeight w:val="300" w:hRule="atLeast"/>
          <w:jc w:val="center"/>
        </w:trPr>
        <w:tc>
          <w:tcPr>
            <w:tcW w:w="244" w:type="pct"/>
            <w:tcBorders>
              <w:top w:val="nil"/>
              <w:left w:val="single" w:color="auto" w:sz="4" w:space="0"/>
              <w:bottom w:val="single" w:color="auto" w:sz="4" w:space="0"/>
              <w:right w:val="single" w:color="auto" w:sz="4" w:space="0"/>
            </w:tcBorders>
            <w:vAlign w:val="center"/>
          </w:tcPr>
          <w:p w14:paraId="77CB7EC8">
            <w:pPr>
              <w:widowControl/>
              <w:snapToGrid w:val="0"/>
              <w:jc w:val="left"/>
              <w:rPr>
                <w:rFonts w:ascii="仿宋" w:hAnsi="仿宋" w:eastAsia="仿宋" w:cs="宋体"/>
                <w:color w:val="auto"/>
                <w:kern w:val="0"/>
                <w:sz w:val="18"/>
                <w:szCs w:val="18"/>
                <w:highlight w:val="none"/>
              </w:rPr>
            </w:pPr>
          </w:p>
        </w:tc>
        <w:tc>
          <w:tcPr>
            <w:tcW w:w="608" w:type="pct"/>
            <w:tcBorders>
              <w:top w:val="nil"/>
              <w:left w:val="single" w:color="auto" w:sz="4" w:space="0"/>
              <w:bottom w:val="single" w:color="auto" w:sz="4" w:space="0"/>
              <w:right w:val="single" w:color="auto" w:sz="4" w:space="0"/>
            </w:tcBorders>
            <w:vAlign w:val="center"/>
          </w:tcPr>
          <w:p w14:paraId="3C3982F7">
            <w:pPr>
              <w:widowControl/>
              <w:snapToGrid w:val="0"/>
              <w:jc w:val="center"/>
              <w:rPr>
                <w:rFonts w:ascii="仿宋" w:hAnsi="仿宋" w:eastAsia="仿宋" w:cs="宋体"/>
                <w:b/>
                <w:bCs/>
                <w:color w:val="auto"/>
                <w:kern w:val="0"/>
                <w:szCs w:val="21"/>
                <w:highlight w:val="none"/>
              </w:rPr>
            </w:pPr>
            <w:r>
              <w:rPr>
                <w:rFonts w:hint="eastAsia" w:ascii="仿宋" w:hAnsi="仿宋" w:eastAsia="仿宋" w:cs="Tahoma"/>
                <w:b/>
                <w:bCs/>
                <w:color w:val="auto"/>
                <w:szCs w:val="21"/>
                <w:highlight w:val="none"/>
              </w:rPr>
              <w:t>合计</w:t>
            </w:r>
          </w:p>
        </w:tc>
        <w:tc>
          <w:tcPr>
            <w:tcW w:w="443" w:type="pct"/>
            <w:tcBorders>
              <w:top w:val="nil"/>
              <w:left w:val="nil"/>
              <w:bottom w:val="single" w:color="auto" w:sz="4" w:space="0"/>
              <w:right w:val="single" w:color="auto" w:sz="4" w:space="0"/>
            </w:tcBorders>
            <w:vAlign w:val="center"/>
          </w:tcPr>
          <w:p w14:paraId="487FCD56">
            <w:pPr>
              <w:widowControl/>
              <w:snapToGrid w:val="0"/>
              <w:jc w:val="left"/>
              <w:rPr>
                <w:rFonts w:ascii="仿宋" w:hAnsi="仿宋" w:eastAsia="仿宋" w:cs="宋体"/>
                <w:b/>
                <w:bCs/>
                <w:color w:val="auto"/>
                <w:kern w:val="0"/>
                <w:szCs w:val="21"/>
                <w:highlight w:val="none"/>
              </w:rPr>
            </w:pPr>
          </w:p>
        </w:tc>
        <w:tc>
          <w:tcPr>
            <w:tcW w:w="2061" w:type="pct"/>
            <w:tcBorders>
              <w:top w:val="nil"/>
              <w:left w:val="nil"/>
              <w:bottom w:val="single" w:color="auto" w:sz="4" w:space="0"/>
              <w:right w:val="single" w:color="auto" w:sz="4" w:space="0"/>
            </w:tcBorders>
            <w:vAlign w:val="center"/>
          </w:tcPr>
          <w:p w14:paraId="54B3713C">
            <w:pPr>
              <w:widowControl/>
              <w:snapToGrid w:val="0"/>
              <w:jc w:val="left"/>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本报价包含但不限于运输、调试、安装、售后服务、税金等本项目所有费用。产品须为全新、合格的原装产品。</w:t>
            </w:r>
          </w:p>
        </w:tc>
        <w:tc>
          <w:tcPr>
            <w:tcW w:w="369" w:type="pct"/>
            <w:tcBorders>
              <w:top w:val="nil"/>
              <w:left w:val="single" w:color="auto" w:sz="4" w:space="0"/>
              <w:bottom w:val="single" w:color="auto" w:sz="4" w:space="0"/>
              <w:right w:val="single" w:color="auto" w:sz="4" w:space="0"/>
            </w:tcBorders>
            <w:vAlign w:val="center"/>
          </w:tcPr>
          <w:p w14:paraId="10303611">
            <w:pPr>
              <w:widowControl/>
              <w:snapToGrid w:val="0"/>
              <w:jc w:val="center"/>
              <w:rPr>
                <w:rFonts w:ascii="仿宋" w:hAnsi="仿宋" w:eastAsia="仿宋" w:cs="宋体"/>
                <w:b/>
                <w:bCs/>
                <w:color w:val="auto"/>
                <w:kern w:val="0"/>
                <w:szCs w:val="21"/>
                <w:highlight w:val="none"/>
              </w:rPr>
            </w:pPr>
          </w:p>
        </w:tc>
        <w:tc>
          <w:tcPr>
            <w:tcW w:w="369" w:type="pct"/>
            <w:tcBorders>
              <w:top w:val="nil"/>
              <w:left w:val="nil"/>
              <w:bottom w:val="single" w:color="auto" w:sz="4" w:space="0"/>
              <w:right w:val="single" w:color="auto" w:sz="4" w:space="0"/>
            </w:tcBorders>
            <w:vAlign w:val="center"/>
          </w:tcPr>
          <w:p w14:paraId="692352A1">
            <w:pPr>
              <w:widowControl/>
              <w:snapToGrid w:val="0"/>
              <w:jc w:val="center"/>
              <w:rPr>
                <w:rFonts w:ascii="仿宋" w:hAnsi="仿宋" w:eastAsia="仿宋" w:cs="宋体"/>
                <w:b/>
                <w:bCs/>
                <w:color w:val="auto"/>
                <w:kern w:val="0"/>
                <w:szCs w:val="21"/>
                <w:highlight w:val="none"/>
              </w:rPr>
            </w:pPr>
          </w:p>
        </w:tc>
        <w:tc>
          <w:tcPr>
            <w:tcW w:w="442" w:type="pct"/>
            <w:tcBorders>
              <w:top w:val="nil"/>
              <w:left w:val="nil"/>
              <w:bottom w:val="single" w:color="auto" w:sz="4" w:space="0"/>
              <w:right w:val="single" w:color="auto" w:sz="4" w:space="0"/>
            </w:tcBorders>
            <w:vAlign w:val="center"/>
          </w:tcPr>
          <w:p w14:paraId="7900988F">
            <w:pPr>
              <w:widowControl/>
              <w:snapToGrid w:val="0"/>
              <w:jc w:val="center"/>
              <w:rPr>
                <w:rFonts w:ascii="仿宋" w:hAnsi="仿宋" w:eastAsia="仿宋" w:cs="宋体"/>
                <w:b/>
                <w:bCs/>
                <w:color w:val="auto"/>
                <w:kern w:val="0"/>
                <w:szCs w:val="21"/>
                <w:highlight w:val="none"/>
              </w:rPr>
            </w:pPr>
          </w:p>
        </w:tc>
        <w:tc>
          <w:tcPr>
            <w:tcW w:w="464" w:type="pct"/>
            <w:tcBorders>
              <w:top w:val="nil"/>
              <w:left w:val="nil"/>
              <w:bottom w:val="single" w:color="auto" w:sz="4" w:space="0"/>
              <w:right w:val="single" w:color="auto" w:sz="4" w:space="0"/>
            </w:tcBorders>
            <w:vAlign w:val="center"/>
          </w:tcPr>
          <w:p w14:paraId="7EC55FEC">
            <w:pPr>
              <w:widowControl/>
              <w:snapToGrid w:val="0"/>
              <w:jc w:val="center"/>
              <w:rPr>
                <w:rFonts w:ascii="仿宋" w:hAnsi="仿宋" w:eastAsia="仿宋" w:cs="宋体"/>
                <w:b/>
                <w:bCs/>
                <w:color w:val="auto"/>
                <w:kern w:val="0"/>
                <w:szCs w:val="21"/>
                <w:highlight w:val="none"/>
              </w:rPr>
            </w:pPr>
          </w:p>
        </w:tc>
      </w:tr>
    </w:tbl>
    <w:p w14:paraId="5F643E93">
      <w:pPr>
        <w:pStyle w:val="3"/>
        <w:spacing w:line="440" w:lineRule="exact"/>
        <w:rPr>
          <w:rFonts w:ascii="仿宋" w:hAnsi="仿宋" w:eastAsia="仿宋"/>
          <w:b/>
          <w:bCs/>
          <w:color w:val="auto"/>
          <w:sz w:val="24"/>
          <w:szCs w:val="24"/>
          <w:highlight w:val="none"/>
        </w:rPr>
      </w:pPr>
    </w:p>
    <w:p w14:paraId="7BABF52A">
      <w:pPr>
        <w:pStyle w:val="3"/>
        <w:tabs>
          <w:tab w:val="left" w:pos="5940"/>
        </w:tabs>
        <w:spacing w:line="440" w:lineRule="exact"/>
        <w:outlineLvl w:val="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二.  服务要求</w:t>
      </w:r>
    </w:p>
    <w:p w14:paraId="6E071EFF">
      <w:pPr>
        <w:pStyle w:val="3"/>
        <w:tabs>
          <w:tab w:val="left" w:pos="5940"/>
        </w:tabs>
        <w:spacing w:line="440" w:lineRule="exact"/>
        <w:outlineLvl w:val="0"/>
        <w:rPr>
          <w:rFonts w:ascii="仿宋" w:hAnsi="仿宋" w:eastAsia="仿宋"/>
          <w:bCs/>
          <w:color w:val="auto"/>
          <w:sz w:val="24"/>
          <w:szCs w:val="24"/>
          <w:highlight w:val="none"/>
        </w:rPr>
      </w:pPr>
      <w:r>
        <w:rPr>
          <w:rFonts w:hint="eastAsia" w:ascii="仿宋" w:hAnsi="仿宋" w:eastAsia="仿宋"/>
          <w:bCs/>
          <w:color w:val="auto"/>
          <w:sz w:val="24"/>
          <w:szCs w:val="24"/>
          <w:highlight w:val="none"/>
        </w:rPr>
        <w:t>1、交货期（包含生产运输安装调试等时间）：</w:t>
      </w:r>
      <w:r>
        <w:rPr>
          <w:rFonts w:hint="eastAsia" w:ascii="仿宋" w:hAnsi="仿宋" w:eastAsia="仿宋"/>
          <w:b/>
          <w:color w:val="auto"/>
          <w:sz w:val="24"/>
          <w:szCs w:val="24"/>
          <w:highlight w:val="none"/>
        </w:rPr>
        <w:t>自签订合同之日起</w:t>
      </w:r>
      <w:r>
        <w:rPr>
          <w:rFonts w:ascii="仿宋" w:hAnsi="仿宋" w:eastAsia="仿宋"/>
          <w:b/>
          <w:color w:val="auto"/>
          <w:sz w:val="24"/>
          <w:szCs w:val="24"/>
          <w:highlight w:val="none"/>
          <w:u w:val="single"/>
        </w:rPr>
        <w:t xml:space="preserve">  </w:t>
      </w:r>
      <w:r>
        <w:rPr>
          <w:rFonts w:hint="eastAsia" w:ascii="仿宋" w:hAnsi="仿宋" w:eastAsia="仿宋"/>
          <w:b/>
          <w:color w:val="auto"/>
          <w:sz w:val="24"/>
          <w:szCs w:val="24"/>
          <w:highlight w:val="none"/>
          <w:u w:val="single"/>
          <w:lang w:val="en-US" w:eastAsia="zh-CN"/>
        </w:rPr>
        <w:t>5</w:t>
      </w:r>
      <w:r>
        <w:rPr>
          <w:rFonts w:ascii="仿宋" w:hAnsi="仿宋" w:eastAsia="仿宋"/>
          <w:b/>
          <w:color w:val="auto"/>
          <w:sz w:val="24"/>
          <w:szCs w:val="24"/>
          <w:highlight w:val="none"/>
          <w:u w:val="single"/>
        </w:rPr>
        <w:t xml:space="preserve"> </w:t>
      </w:r>
      <w:r>
        <w:rPr>
          <w:rFonts w:hint="eastAsia" w:ascii="仿宋" w:hAnsi="仿宋" w:eastAsia="仿宋"/>
          <w:b/>
          <w:color w:val="auto"/>
          <w:sz w:val="24"/>
          <w:szCs w:val="24"/>
          <w:highlight w:val="none"/>
        </w:rPr>
        <w:t>个工作日内</w:t>
      </w:r>
      <w:r>
        <w:rPr>
          <w:rFonts w:hint="eastAsia" w:ascii="仿宋" w:hAnsi="仿宋" w:eastAsia="仿宋"/>
          <w:bCs/>
          <w:color w:val="auto"/>
          <w:sz w:val="24"/>
          <w:szCs w:val="24"/>
          <w:highlight w:val="none"/>
        </w:rPr>
        <w:t>。</w:t>
      </w:r>
    </w:p>
    <w:p w14:paraId="66A56020">
      <w:pPr>
        <w:pStyle w:val="3"/>
        <w:tabs>
          <w:tab w:val="left" w:pos="5940"/>
        </w:tabs>
        <w:spacing w:line="440" w:lineRule="exact"/>
        <w:outlineLvl w:val="0"/>
        <w:rPr>
          <w:rFonts w:ascii="仿宋" w:hAnsi="仿宋" w:eastAsia="仿宋"/>
          <w:bCs/>
          <w:color w:val="auto"/>
          <w:sz w:val="24"/>
          <w:szCs w:val="24"/>
          <w:highlight w:val="none"/>
        </w:rPr>
      </w:pPr>
      <w:r>
        <w:rPr>
          <w:rFonts w:hint="eastAsia" w:ascii="仿宋" w:hAnsi="仿宋" w:eastAsia="仿宋"/>
          <w:bCs/>
          <w:color w:val="auto"/>
          <w:sz w:val="24"/>
          <w:szCs w:val="24"/>
          <w:highlight w:val="none"/>
        </w:rPr>
        <w:t>2、售后服务承诺：</w:t>
      </w:r>
    </w:p>
    <w:p w14:paraId="4E012F4F">
      <w:pPr>
        <w:pStyle w:val="3"/>
        <w:tabs>
          <w:tab w:val="left" w:pos="5940"/>
        </w:tabs>
        <w:spacing w:line="440" w:lineRule="exact"/>
        <w:outlineLvl w:val="0"/>
        <w:rPr>
          <w:rFonts w:ascii="仿宋" w:hAnsi="仿宋" w:eastAsia="仿宋"/>
          <w:bCs/>
          <w:color w:val="auto"/>
          <w:sz w:val="24"/>
          <w:szCs w:val="24"/>
          <w:highlight w:val="none"/>
        </w:rPr>
      </w:pPr>
      <w:r>
        <w:rPr>
          <w:rFonts w:hint="eastAsia" w:ascii="仿宋" w:hAnsi="仿宋" w:eastAsia="仿宋"/>
          <w:bCs/>
          <w:color w:val="auto"/>
          <w:sz w:val="24"/>
          <w:szCs w:val="24"/>
          <w:highlight w:val="none"/>
        </w:rPr>
        <w:t>（1）.质量保证期1年（自交货并验收合格之日起计）。</w:t>
      </w:r>
    </w:p>
    <w:p w14:paraId="6D45653F">
      <w:pPr>
        <w:pStyle w:val="3"/>
        <w:tabs>
          <w:tab w:val="left" w:pos="5940"/>
        </w:tabs>
        <w:spacing w:line="440" w:lineRule="exact"/>
        <w:outlineLvl w:val="0"/>
        <w:rPr>
          <w:rFonts w:ascii="仿宋" w:hAnsi="仿宋" w:eastAsia="仿宋"/>
          <w:bCs/>
          <w:color w:val="auto"/>
          <w:sz w:val="24"/>
          <w:szCs w:val="24"/>
          <w:highlight w:val="none"/>
        </w:rPr>
      </w:pPr>
      <w:r>
        <w:rPr>
          <w:rFonts w:hint="eastAsia" w:ascii="仿宋" w:hAnsi="仿宋" w:eastAsia="仿宋"/>
          <w:bCs/>
          <w:color w:val="auto"/>
          <w:sz w:val="24"/>
          <w:szCs w:val="24"/>
          <w:highlight w:val="none"/>
        </w:rPr>
        <w:t>（2）.售后响应：我公司在接到采购人维修电话后1小时内响应，2小时内到达现场处理，一般情况下24小时内恢复正常使用，按国家及行业标准对故障进行及时处理。</w:t>
      </w:r>
    </w:p>
    <w:p w14:paraId="2049550A">
      <w:pPr>
        <w:pStyle w:val="3"/>
        <w:spacing w:line="440" w:lineRule="exact"/>
        <w:outlineLvl w:val="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三.  相关约定</w:t>
      </w:r>
    </w:p>
    <w:p w14:paraId="43E5D85C">
      <w:pPr>
        <w:pStyle w:val="3"/>
        <w:spacing w:line="440" w:lineRule="exact"/>
        <w:outlineLvl w:val="0"/>
        <w:rPr>
          <w:rFonts w:ascii="仿宋" w:hAnsi="仿宋" w:eastAsia="仿宋"/>
          <w:color w:val="auto"/>
          <w:sz w:val="24"/>
          <w:szCs w:val="24"/>
          <w:highlight w:val="none"/>
        </w:rPr>
      </w:pPr>
      <w:r>
        <w:rPr>
          <w:rFonts w:hint="eastAsia" w:ascii="仿宋" w:hAnsi="仿宋" w:eastAsia="仿宋"/>
          <w:color w:val="auto"/>
          <w:sz w:val="24"/>
          <w:szCs w:val="24"/>
          <w:highlight w:val="none"/>
        </w:rPr>
        <w:t>1.本次合同价格包括：（1）货物及标准附件、备品备件、专用工具的价格；（2）运输、装卸、安装、调试、培训、技术支持、售后服务等费用；（3）必要的保险费用和各项税费。（4）安装费用。</w:t>
      </w:r>
    </w:p>
    <w:p w14:paraId="5B1B7086">
      <w:pPr>
        <w:pStyle w:val="3"/>
        <w:spacing w:line="440" w:lineRule="exact"/>
        <w:outlineLvl w:val="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2.付款方式：</w:t>
      </w:r>
      <w:r>
        <w:rPr>
          <w:rFonts w:hint="eastAsia" w:ascii="仿宋" w:hAnsi="仿宋" w:eastAsia="仿宋"/>
          <w:b/>
          <w:bCs/>
          <w:color w:val="auto"/>
          <w:sz w:val="24"/>
          <w:szCs w:val="24"/>
          <w:highlight w:val="none"/>
          <w:u w:val="single"/>
        </w:rPr>
        <w:t>无预付款，供应商交货、安装调试完毕并验收合格后，一次性支付合同款。</w:t>
      </w:r>
    </w:p>
    <w:p w14:paraId="1805C2C2">
      <w:pPr>
        <w:pStyle w:val="3"/>
        <w:spacing w:line="440" w:lineRule="exact"/>
        <w:outlineLvl w:val="0"/>
        <w:rPr>
          <w:rFonts w:ascii="仿宋" w:hAnsi="仿宋" w:eastAsia="仿宋"/>
          <w:color w:val="auto"/>
          <w:sz w:val="24"/>
          <w:szCs w:val="24"/>
          <w:highlight w:val="none"/>
        </w:rPr>
      </w:pPr>
      <w:r>
        <w:rPr>
          <w:rFonts w:hint="eastAsia" w:ascii="仿宋" w:hAnsi="仿宋" w:eastAsia="仿宋"/>
          <w:color w:val="auto"/>
          <w:sz w:val="24"/>
          <w:szCs w:val="24"/>
          <w:highlight w:val="none"/>
        </w:rPr>
        <w:t>3.实施承诺：安装实施工作全部由</w:t>
      </w:r>
      <w:r>
        <w:rPr>
          <w:rFonts w:hint="eastAsia" w:ascii="仿宋" w:hAnsi="仿宋" w:eastAsia="仿宋"/>
          <w:color w:val="auto"/>
          <w:sz w:val="24"/>
          <w:szCs w:val="24"/>
          <w:highlight w:val="none"/>
          <w:lang w:val="en-US" w:eastAsia="zh-CN"/>
        </w:rPr>
        <w:t>乙方</w:t>
      </w:r>
      <w:r>
        <w:rPr>
          <w:rFonts w:hint="eastAsia" w:ascii="仿宋" w:hAnsi="仿宋" w:eastAsia="仿宋"/>
          <w:color w:val="auto"/>
          <w:sz w:val="24"/>
          <w:szCs w:val="24"/>
          <w:highlight w:val="none"/>
        </w:rPr>
        <w:t>负责，实行“三包”：包质量、包工期、包安装安全。由</w:t>
      </w:r>
      <w:r>
        <w:rPr>
          <w:rFonts w:hint="eastAsia" w:ascii="仿宋" w:hAnsi="仿宋" w:eastAsia="仿宋"/>
          <w:color w:val="auto"/>
          <w:sz w:val="24"/>
          <w:szCs w:val="24"/>
          <w:highlight w:val="none"/>
          <w:lang w:val="en-US" w:eastAsia="zh-CN"/>
        </w:rPr>
        <w:t>乙方</w:t>
      </w:r>
      <w:r>
        <w:rPr>
          <w:rFonts w:hint="eastAsia" w:ascii="仿宋" w:hAnsi="仿宋" w:eastAsia="仿宋"/>
          <w:color w:val="auto"/>
          <w:sz w:val="24"/>
          <w:szCs w:val="24"/>
          <w:highlight w:val="none"/>
        </w:rPr>
        <w:t>专业安装队伍承担实施安装，承担安装实施全过程的相关人员</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财产</w:t>
      </w:r>
      <w:r>
        <w:rPr>
          <w:rFonts w:hint="eastAsia" w:ascii="仿宋" w:hAnsi="仿宋" w:eastAsia="仿宋"/>
          <w:color w:val="auto"/>
          <w:sz w:val="24"/>
          <w:szCs w:val="24"/>
          <w:highlight w:val="none"/>
        </w:rPr>
        <w:t>和安装安全责任。</w:t>
      </w:r>
    </w:p>
    <w:p w14:paraId="7AFD01DE">
      <w:pPr>
        <w:pStyle w:val="3"/>
        <w:spacing w:line="440" w:lineRule="exact"/>
        <w:outlineLvl w:val="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四、违约责任</w:t>
      </w:r>
    </w:p>
    <w:p w14:paraId="363C29B0">
      <w:pPr>
        <w:pStyle w:val="3"/>
        <w:spacing w:line="440" w:lineRule="exact"/>
        <w:outlineLvl w:val="0"/>
        <w:rPr>
          <w:rFonts w:ascii="仿宋" w:hAnsi="仿宋" w:eastAsia="仿宋"/>
          <w:color w:val="auto"/>
          <w:sz w:val="24"/>
          <w:szCs w:val="24"/>
          <w:highlight w:val="none"/>
        </w:rPr>
      </w:pPr>
      <w:r>
        <w:rPr>
          <w:rFonts w:hint="eastAsia" w:ascii="仿宋" w:hAnsi="仿宋" w:eastAsia="仿宋"/>
          <w:color w:val="auto"/>
          <w:sz w:val="24"/>
          <w:szCs w:val="24"/>
          <w:highlight w:val="none"/>
        </w:rPr>
        <w:t>1. 乙方逾期交货、交货不符合约定的，每天按合同价款的千分之一承担违约金，违约状态持续超过15天，甲方有权解除合同，乙方退回所收款项（如有）并按合同价款的10%支付违约金。乙方售后服务不符约定的，每次按合同价款的千分之三承担违约金。</w:t>
      </w:r>
    </w:p>
    <w:p w14:paraId="34042ED6">
      <w:pPr>
        <w:pStyle w:val="3"/>
        <w:spacing w:line="440" w:lineRule="exact"/>
        <w:outlineLvl w:val="0"/>
        <w:rPr>
          <w:rFonts w:ascii="仿宋" w:hAnsi="仿宋" w:eastAsia="仿宋"/>
          <w:color w:val="auto"/>
          <w:sz w:val="24"/>
          <w:szCs w:val="24"/>
          <w:highlight w:val="none"/>
        </w:rPr>
      </w:pPr>
      <w:r>
        <w:rPr>
          <w:rFonts w:hint="eastAsia" w:ascii="仿宋" w:hAnsi="仿宋" w:eastAsia="仿宋"/>
          <w:color w:val="auto"/>
          <w:sz w:val="24"/>
          <w:szCs w:val="24"/>
          <w:highlight w:val="none"/>
        </w:rPr>
        <w:t>2. 甲方逾期付款的，每天按逾期款项的千分之一承担违约金。</w:t>
      </w:r>
    </w:p>
    <w:p w14:paraId="7FBFD0DB">
      <w:pPr>
        <w:pStyle w:val="3"/>
        <w:spacing w:line="440" w:lineRule="exact"/>
        <w:outlineLvl w:val="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五、争议解决</w:t>
      </w:r>
    </w:p>
    <w:p w14:paraId="1E27235A">
      <w:pPr>
        <w:pStyle w:val="3"/>
        <w:tabs>
          <w:tab w:val="left" w:pos="0"/>
        </w:tabs>
        <w:spacing w:line="440" w:lineRule="exact"/>
        <w:ind w:firstLine="410" w:firstLineChars="171"/>
        <w:rPr>
          <w:rFonts w:ascii="仿宋" w:hAnsi="仿宋" w:eastAsia="仿宋"/>
          <w:color w:val="auto"/>
          <w:sz w:val="24"/>
          <w:szCs w:val="24"/>
          <w:highlight w:val="none"/>
        </w:rPr>
      </w:pPr>
      <w:r>
        <w:rPr>
          <w:rFonts w:hint="eastAsia" w:ascii="仿宋" w:hAnsi="仿宋" w:eastAsia="仿宋"/>
          <w:color w:val="auto"/>
          <w:sz w:val="24"/>
          <w:szCs w:val="24"/>
          <w:highlight w:val="none"/>
        </w:rPr>
        <w:t>双方在执行合同中所发生的一切争议，应通过协商解决。如协商不成，可向甲方住所地人民法院提起诉讼。</w:t>
      </w:r>
    </w:p>
    <w:p w14:paraId="05B4D576">
      <w:pPr>
        <w:pStyle w:val="3"/>
        <w:spacing w:line="440" w:lineRule="exact"/>
        <w:outlineLvl w:val="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六、合同生效及其它</w:t>
      </w:r>
    </w:p>
    <w:p w14:paraId="3A8EB00D">
      <w:pPr>
        <w:pStyle w:val="3"/>
        <w:spacing w:line="440" w:lineRule="exact"/>
        <w:ind w:firstLine="360"/>
        <w:rPr>
          <w:rFonts w:ascii="仿宋" w:hAnsi="仿宋" w:eastAsia="仿宋"/>
          <w:color w:val="auto"/>
          <w:sz w:val="24"/>
          <w:szCs w:val="24"/>
          <w:highlight w:val="none"/>
        </w:rPr>
      </w:pPr>
      <w:r>
        <w:rPr>
          <w:rFonts w:hint="eastAsia" w:ascii="仿宋" w:hAnsi="仿宋" w:eastAsia="仿宋"/>
          <w:color w:val="auto"/>
          <w:sz w:val="24"/>
          <w:szCs w:val="24"/>
          <w:highlight w:val="none"/>
        </w:rPr>
        <w:t>合同经双方法定代表人或授权委托代理人签字并加盖单位公章后生效；本合同未尽事宜，遵照《中华人民共和国民法典》有关条文执行；本合同正本一式肆份，甲乙双方各执两份。</w:t>
      </w:r>
    </w:p>
    <w:p w14:paraId="2D681E10">
      <w:pPr>
        <w:pStyle w:val="3"/>
        <w:spacing w:line="360" w:lineRule="auto"/>
        <w:rPr>
          <w:rFonts w:ascii="仿宋" w:hAnsi="仿宋" w:eastAsia="仿宋"/>
          <w:color w:val="auto"/>
          <w:sz w:val="24"/>
          <w:szCs w:val="24"/>
          <w:highlight w:val="none"/>
        </w:rPr>
      </w:pPr>
    </w:p>
    <w:p w14:paraId="4A4188FC">
      <w:pPr>
        <w:pStyle w:val="3"/>
        <w:spacing w:line="360" w:lineRule="auto"/>
        <w:rPr>
          <w:rFonts w:ascii="仿宋" w:hAnsi="仿宋" w:eastAsia="仿宋"/>
          <w:color w:val="auto"/>
          <w:sz w:val="24"/>
          <w:szCs w:val="24"/>
          <w:highlight w:val="none"/>
        </w:rPr>
      </w:pPr>
    </w:p>
    <w:tbl>
      <w:tblPr>
        <w:tblStyle w:val="8"/>
        <w:tblW w:w="0" w:type="auto"/>
        <w:tblInd w:w="0" w:type="dxa"/>
        <w:tblLayout w:type="autofit"/>
        <w:tblCellMar>
          <w:top w:w="0" w:type="dxa"/>
          <w:left w:w="108" w:type="dxa"/>
          <w:bottom w:w="0" w:type="dxa"/>
          <w:right w:w="108" w:type="dxa"/>
        </w:tblCellMar>
      </w:tblPr>
      <w:tblGrid>
        <w:gridCol w:w="4984"/>
        <w:gridCol w:w="6156"/>
      </w:tblGrid>
      <w:tr w14:paraId="277B9A16">
        <w:tblPrEx>
          <w:tblCellMar>
            <w:top w:w="0" w:type="dxa"/>
            <w:left w:w="108" w:type="dxa"/>
            <w:bottom w:w="0" w:type="dxa"/>
            <w:right w:w="108" w:type="dxa"/>
          </w:tblCellMar>
        </w:tblPrEx>
        <w:tc>
          <w:tcPr>
            <w:tcW w:w="4984" w:type="dxa"/>
          </w:tcPr>
          <w:p w14:paraId="4AC655B0">
            <w:pPr>
              <w:pStyle w:val="3"/>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甲方：</w:t>
            </w:r>
            <w:r>
              <w:rPr>
                <w:rFonts w:hint="eastAsia" w:ascii="仿宋" w:hAnsi="仿宋" w:eastAsia="仿宋"/>
                <w:b/>
                <w:bCs/>
                <w:color w:val="auto"/>
                <w:sz w:val="24"/>
                <w:szCs w:val="24"/>
                <w:highlight w:val="none"/>
                <w:u w:val="single"/>
              </w:rPr>
              <w:t>广西艺术学院附属中等艺术学校</w:t>
            </w:r>
          </w:p>
        </w:tc>
        <w:tc>
          <w:tcPr>
            <w:tcW w:w="4984" w:type="dxa"/>
          </w:tcPr>
          <w:p w14:paraId="2D4AE044">
            <w:pPr>
              <w:pStyle w:val="3"/>
              <w:snapToGrid w:val="0"/>
              <w:spacing w:line="360" w:lineRule="auto"/>
              <w:ind w:left="6240" w:hanging="6240" w:hangingChars="26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乙方：</w:t>
            </w:r>
            <w:r>
              <w:rPr>
                <w:rFonts w:ascii="仿宋" w:hAnsi="仿宋" w:eastAsia="仿宋"/>
                <w:color w:val="auto"/>
                <w:sz w:val="24"/>
                <w:szCs w:val="24"/>
                <w:highlight w:val="none"/>
                <w:u w:val="single"/>
              </w:rPr>
              <w:t xml:space="preserve">                             </w:t>
            </w:r>
          </w:p>
        </w:tc>
      </w:tr>
      <w:tr w14:paraId="0A5D164B">
        <w:tblPrEx>
          <w:tblCellMar>
            <w:top w:w="0" w:type="dxa"/>
            <w:left w:w="108" w:type="dxa"/>
            <w:bottom w:w="0" w:type="dxa"/>
            <w:right w:w="108" w:type="dxa"/>
          </w:tblCellMar>
        </w:tblPrEx>
        <w:tc>
          <w:tcPr>
            <w:tcW w:w="4984" w:type="dxa"/>
          </w:tcPr>
          <w:p w14:paraId="7FC8BFD0">
            <w:pPr>
              <w:pStyle w:val="3"/>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仿宋" w:hAnsi="仿宋" w:eastAsia="仿宋"/>
                <w:color w:val="auto"/>
                <w:sz w:val="24"/>
                <w:szCs w:val="24"/>
                <w:highlight w:val="none"/>
                <w:u w:val="single"/>
              </w:rPr>
              <w:t xml:space="preserve"> 南宁市教育路7号 </w:t>
            </w:r>
            <w:r>
              <w:rPr>
                <w:rFonts w:hint="eastAsia" w:ascii="仿宋" w:hAnsi="仿宋" w:eastAsia="仿宋"/>
                <w:color w:val="auto"/>
                <w:sz w:val="24"/>
                <w:szCs w:val="24"/>
                <w:highlight w:val="none"/>
              </w:rPr>
              <w:t xml:space="preserve">   </w:t>
            </w:r>
          </w:p>
        </w:tc>
        <w:tc>
          <w:tcPr>
            <w:tcW w:w="4984" w:type="dxa"/>
          </w:tcPr>
          <w:p w14:paraId="6CD0A9FB">
            <w:pPr>
              <w:pStyle w:val="3"/>
              <w:snapToGrid w:val="0"/>
              <w:spacing w:line="360" w:lineRule="auto"/>
              <w:ind w:left="720" w:hanging="720" w:hangingChars="300"/>
              <w:rPr>
                <w:rFonts w:ascii="仿宋" w:hAnsi="仿宋" w:eastAsia="仿宋"/>
                <w:color w:val="auto"/>
                <w:sz w:val="24"/>
                <w:szCs w:val="24"/>
                <w:highlight w:val="none"/>
              </w:rPr>
            </w:pPr>
            <w:r>
              <w:rPr>
                <w:rFonts w:hint="eastAsia" w:ascii="仿宋" w:hAnsi="仿宋" w:eastAsia="仿宋"/>
                <w:color w:val="auto"/>
                <w:sz w:val="24"/>
                <w:szCs w:val="24"/>
                <w:highlight w:val="none"/>
              </w:rPr>
              <w:t>地址：</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rPr>
              <w:t xml:space="preserve"> </w:t>
            </w:r>
          </w:p>
        </w:tc>
      </w:tr>
      <w:tr w14:paraId="4A59F7A9">
        <w:tblPrEx>
          <w:tblCellMar>
            <w:top w:w="0" w:type="dxa"/>
            <w:left w:w="108" w:type="dxa"/>
            <w:bottom w:w="0" w:type="dxa"/>
            <w:right w:w="108" w:type="dxa"/>
          </w:tblCellMar>
        </w:tblPrEx>
        <w:tc>
          <w:tcPr>
            <w:tcW w:w="4984" w:type="dxa"/>
          </w:tcPr>
          <w:p w14:paraId="45FE0383">
            <w:pPr>
              <w:pStyle w:val="3"/>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委托代表人：</w:t>
            </w:r>
          </w:p>
        </w:tc>
        <w:tc>
          <w:tcPr>
            <w:tcW w:w="4984" w:type="dxa"/>
          </w:tcPr>
          <w:p w14:paraId="0F143302">
            <w:pPr>
              <w:pStyle w:val="3"/>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委托代表人：</w:t>
            </w:r>
          </w:p>
        </w:tc>
      </w:tr>
      <w:tr w14:paraId="67DA5E5B">
        <w:tblPrEx>
          <w:tblCellMar>
            <w:top w:w="0" w:type="dxa"/>
            <w:left w:w="108" w:type="dxa"/>
            <w:bottom w:w="0" w:type="dxa"/>
            <w:right w:w="108" w:type="dxa"/>
          </w:tblCellMar>
        </w:tblPrEx>
        <w:tc>
          <w:tcPr>
            <w:tcW w:w="4984" w:type="dxa"/>
          </w:tcPr>
          <w:p w14:paraId="314C1775">
            <w:pPr>
              <w:pStyle w:val="3"/>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电话：</w:t>
            </w:r>
            <w:r>
              <w:rPr>
                <w:rFonts w:hint="eastAsia" w:ascii="仿宋" w:hAnsi="仿宋" w:eastAsia="仿宋"/>
                <w:color w:val="auto"/>
                <w:sz w:val="24"/>
                <w:szCs w:val="24"/>
                <w:highlight w:val="none"/>
                <w:u w:val="single"/>
              </w:rPr>
              <w:t xml:space="preserve">  0771-5308900              </w:t>
            </w:r>
            <w:r>
              <w:rPr>
                <w:rFonts w:hint="eastAsia" w:ascii="仿宋" w:hAnsi="仿宋" w:eastAsia="仿宋"/>
                <w:color w:val="auto"/>
                <w:sz w:val="24"/>
                <w:szCs w:val="24"/>
                <w:highlight w:val="none"/>
              </w:rPr>
              <w:t xml:space="preserve"> </w:t>
            </w:r>
          </w:p>
        </w:tc>
        <w:tc>
          <w:tcPr>
            <w:tcW w:w="4984" w:type="dxa"/>
          </w:tcPr>
          <w:p w14:paraId="617378CC">
            <w:pPr>
              <w:pStyle w:val="3"/>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电话：</w:t>
            </w:r>
            <w:r>
              <w:rPr>
                <w:rFonts w:ascii="仿宋" w:hAnsi="仿宋" w:eastAsia="仿宋" w:cs="宋体"/>
                <w:color w:val="auto"/>
                <w:kern w:val="0"/>
                <w:sz w:val="24"/>
                <w:szCs w:val="24"/>
                <w:highlight w:val="none"/>
                <w:u w:val="single"/>
              </w:rPr>
              <w:t xml:space="preserve">                                </w:t>
            </w:r>
            <w:r>
              <w:rPr>
                <w:rFonts w:hint="eastAsia" w:ascii="仿宋" w:hAnsi="仿宋" w:eastAsia="仿宋"/>
                <w:color w:val="auto"/>
                <w:sz w:val="24"/>
                <w:szCs w:val="24"/>
                <w:highlight w:val="none"/>
              </w:rPr>
              <w:t xml:space="preserve"> </w:t>
            </w:r>
          </w:p>
        </w:tc>
      </w:tr>
      <w:tr w14:paraId="7F1251B9">
        <w:tblPrEx>
          <w:tblCellMar>
            <w:top w:w="0" w:type="dxa"/>
            <w:left w:w="108" w:type="dxa"/>
            <w:bottom w:w="0" w:type="dxa"/>
            <w:right w:w="108" w:type="dxa"/>
          </w:tblCellMar>
        </w:tblPrEx>
        <w:tc>
          <w:tcPr>
            <w:tcW w:w="4984" w:type="dxa"/>
          </w:tcPr>
          <w:p w14:paraId="36820941">
            <w:pPr>
              <w:pStyle w:val="3"/>
              <w:snapToGrid w:val="0"/>
              <w:spacing w:line="360" w:lineRule="auto"/>
              <w:rPr>
                <w:rFonts w:ascii="仿宋" w:hAnsi="仿宋" w:eastAsia="仿宋"/>
                <w:color w:val="auto"/>
                <w:sz w:val="24"/>
                <w:szCs w:val="24"/>
                <w:highlight w:val="none"/>
              </w:rPr>
            </w:pPr>
          </w:p>
        </w:tc>
        <w:tc>
          <w:tcPr>
            <w:tcW w:w="4984" w:type="dxa"/>
          </w:tcPr>
          <w:p w14:paraId="004991BD">
            <w:pPr>
              <w:pStyle w:val="3"/>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开户银行：</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rPr>
              <w:t xml:space="preserve"> </w:t>
            </w:r>
          </w:p>
        </w:tc>
      </w:tr>
      <w:tr w14:paraId="03C332FC">
        <w:tblPrEx>
          <w:tblCellMar>
            <w:top w:w="0" w:type="dxa"/>
            <w:left w:w="108" w:type="dxa"/>
            <w:bottom w:w="0" w:type="dxa"/>
            <w:right w:w="108" w:type="dxa"/>
          </w:tblCellMar>
        </w:tblPrEx>
        <w:tc>
          <w:tcPr>
            <w:tcW w:w="4984" w:type="dxa"/>
          </w:tcPr>
          <w:p w14:paraId="50B9B791">
            <w:pPr>
              <w:pStyle w:val="3"/>
              <w:snapToGrid w:val="0"/>
              <w:spacing w:line="360" w:lineRule="auto"/>
              <w:rPr>
                <w:rFonts w:ascii="仿宋" w:hAnsi="仿宋" w:eastAsia="仿宋"/>
                <w:color w:val="auto"/>
                <w:sz w:val="24"/>
                <w:szCs w:val="24"/>
                <w:highlight w:val="none"/>
              </w:rPr>
            </w:pPr>
          </w:p>
        </w:tc>
        <w:tc>
          <w:tcPr>
            <w:tcW w:w="4984" w:type="dxa"/>
          </w:tcPr>
          <w:p w14:paraId="5CA9D1BF">
            <w:pPr>
              <w:pStyle w:val="3"/>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账户：</w:t>
            </w:r>
          </w:p>
        </w:tc>
      </w:tr>
      <w:tr w14:paraId="205DA39D">
        <w:tblPrEx>
          <w:tblCellMar>
            <w:top w:w="0" w:type="dxa"/>
            <w:left w:w="108" w:type="dxa"/>
            <w:bottom w:w="0" w:type="dxa"/>
            <w:right w:w="108" w:type="dxa"/>
          </w:tblCellMar>
        </w:tblPrEx>
        <w:tc>
          <w:tcPr>
            <w:tcW w:w="9968" w:type="dxa"/>
            <w:gridSpan w:val="2"/>
          </w:tcPr>
          <w:p w14:paraId="5F5B7E80">
            <w:pPr>
              <w:pStyle w:val="3"/>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合同签订日期：</w:t>
            </w:r>
            <w:r>
              <w:rPr>
                <w:rFonts w:hint="eastAsia" w:ascii="仿宋" w:hAnsi="仿宋" w:eastAsia="仿宋"/>
                <w:color w:val="auto"/>
                <w:sz w:val="24"/>
                <w:szCs w:val="24"/>
                <w:highlight w:val="none"/>
                <w:u w:val="single"/>
              </w:rPr>
              <w:t xml:space="preserve"> 2025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     合同签订地点：广西南宁市</w:t>
            </w:r>
          </w:p>
        </w:tc>
      </w:tr>
    </w:tbl>
    <w:p w14:paraId="2AA2A6B5">
      <w:pPr>
        <w:rPr>
          <w:color w:val="auto"/>
          <w:highlight w:val="none"/>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ZGMyZDViNjA3MmU2NDJlOGMzZjY0ZWJmYzNjYzcifQ=="/>
  </w:docVars>
  <w:rsids>
    <w:rsidRoot w:val="05393C70"/>
    <w:rsid w:val="00094FB9"/>
    <w:rsid w:val="00211AF2"/>
    <w:rsid w:val="0023493C"/>
    <w:rsid w:val="002564EF"/>
    <w:rsid w:val="00257960"/>
    <w:rsid w:val="002708EE"/>
    <w:rsid w:val="002E2A40"/>
    <w:rsid w:val="00465944"/>
    <w:rsid w:val="00672783"/>
    <w:rsid w:val="0072234A"/>
    <w:rsid w:val="00774F02"/>
    <w:rsid w:val="00781913"/>
    <w:rsid w:val="00833E7E"/>
    <w:rsid w:val="00861DAB"/>
    <w:rsid w:val="0090531E"/>
    <w:rsid w:val="009707EA"/>
    <w:rsid w:val="009828F2"/>
    <w:rsid w:val="00A209A2"/>
    <w:rsid w:val="00A50F7D"/>
    <w:rsid w:val="00A8660E"/>
    <w:rsid w:val="00A97765"/>
    <w:rsid w:val="00AF792D"/>
    <w:rsid w:val="00BF2C1E"/>
    <w:rsid w:val="00CB313D"/>
    <w:rsid w:val="00E14424"/>
    <w:rsid w:val="00E3300D"/>
    <w:rsid w:val="00EC594D"/>
    <w:rsid w:val="00EC5BFB"/>
    <w:rsid w:val="00FB5EB9"/>
    <w:rsid w:val="00FC195B"/>
    <w:rsid w:val="05393C70"/>
    <w:rsid w:val="0BA94FA7"/>
    <w:rsid w:val="0C6F55EB"/>
    <w:rsid w:val="0C9969E2"/>
    <w:rsid w:val="0E26793E"/>
    <w:rsid w:val="124B4370"/>
    <w:rsid w:val="14432439"/>
    <w:rsid w:val="14A66120"/>
    <w:rsid w:val="15267B68"/>
    <w:rsid w:val="17CD02BE"/>
    <w:rsid w:val="19874772"/>
    <w:rsid w:val="1E672592"/>
    <w:rsid w:val="20A951E7"/>
    <w:rsid w:val="20C4005A"/>
    <w:rsid w:val="217F0425"/>
    <w:rsid w:val="22251BDB"/>
    <w:rsid w:val="23845BBE"/>
    <w:rsid w:val="23D35B50"/>
    <w:rsid w:val="241148CA"/>
    <w:rsid w:val="277D26EF"/>
    <w:rsid w:val="2D483DC1"/>
    <w:rsid w:val="2DE3752E"/>
    <w:rsid w:val="33303667"/>
    <w:rsid w:val="34C75711"/>
    <w:rsid w:val="37886D52"/>
    <w:rsid w:val="39A11799"/>
    <w:rsid w:val="39CC150B"/>
    <w:rsid w:val="4249093C"/>
    <w:rsid w:val="45C014AB"/>
    <w:rsid w:val="4B8B74BE"/>
    <w:rsid w:val="4BA803F5"/>
    <w:rsid w:val="4C562CFB"/>
    <w:rsid w:val="4C9635CE"/>
    <w:rsid w:val="4EC060A1"/>
    <w:rsid w:val="4F31425D"/>
    <w:rsid w:val="4FD65C39"/>
    <w:rsid w:val="51A85ED4"/>
    <w:rsid w:val="5318323D"/>
    <w:rsid w:val="54BA6AA3"/>
    <w:rsid w:val="55074FB0"/>
    <w:rsid w:val="587255D7"/>
    <w:rsid w:val="59D206C1"/>
    <w:rsid w:val="5B092532"/>
    <w:rsid w:val="5B1F3848"/>
    <w:rsid w:val="613876CD"/>
    <w:rsid w:val="664824DD"/>
    <w:rsid w:val="67C175CE"/>
    <w:rsid w:val="67F72090"/>
    <w:rsid w:val="6BEB1F0C"/>
    <w:rsid w:val="6C846289"/>
    <w:rsid w:val="6CB467A2"/>
    <w:rsid w:val="6E746365"/>
    <w:rsid w:val="6EDA5CB4"/>
    <w:rsid w:val="6F8E3370"/>
    <w:rsid w:val="6FCF1767"/>
    <w:rsid w:val="71566079"/>
    <w:rsid w:val="72C15774"/>
    <w:rsid w:val="733B3DA2"/>
    <w:rsid w:val="7A76065F"/>
    <w:rsid w:val="7CE37753"/>
    <w:rsid w:val="7E4F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next w:val="1"/>
    <w:link w:val="24"/>
    <w:qFormat/>
    <w:uiPriority w:val="0"/>
    <w:rPr>
      <w:rFonts w:ascii="宋体" w:hAnsi="Courier New"/>
      <w:szCs w:val="20"/>
    </w:rPr>
  </w:style>
  <w:style w:type="paragraph" w:styleId="4">
    <w:name w:val="Balloon Text"/>
    <w:basedOn w:val="1"/>
    <w:link w:val="23"/>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Strong"/>
    <w:qFormat/>
    <w:uiPriority w:val="0"/>
    <w:rPr>
      <w:b/>
    </w:rPr>
  </w:style>
  <w:style w:type="character" w:styleId="11">
    <w:name w:val="Hyperlink"/>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font31"/>
    <w:basedOn w:val="9"/>
    <w:qFormat/>
    <w:uiPriority w:val="0"/>
    <w:rPr>
      <w:rFonts w:hint="eastAsia" w:ascii="宋体" w:hAnsi="宋体" w:eastAsia="宋体" w:cs="宋体"/>
      <w:color w:val="000000"/>
      <w:sz w:val="21"/>
      <w:szCs w:val="21"/>
      <w:u w:val="none"/>
    </w:rPr>
  </w:style>
  <w:style w:type="character" w:customStyle="1" w:styleId="14">
    <w:name w:val="font51"/>
    <w:basedOn w:val="9"/>
    <w:qFormat/>
    <w:uiPriority w:val="0"/>
    <w:rPr>
      <w:rFonts w:hint="eastAsia" w:ascii="宋体" w:hAnsi="宋体" w:eastAsia="宋体" w:cs="宋体"/>
      <w:b/>
      <w:bCs/>
      <w:color w:val="FF0000"/>
      <w:sz w:val="21"/>
      <w:szCs w:val="21"/>
      <w:u w:val="none"/>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61"/>
    <w:basedOn w:val="9"/>
    <w:qFormat/>
    <w:uiPriority w:val="0"/>
    <w:rPr>
      <w:rFonts w:hint="eastAsia" w:ascii="宋体" w:hAnsi="宋体" w:eastAsia="宋体" w:cs="宋体"/>
      <w:b/>
      <w:bCs/>
      <w:color w:val="FF0000"/>
      <w:sz w:val="22"/>
      <w:szCs w:val="22"/>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character" w:customStyle="1" w:styleId="18">
    <w:name w:val="font81"/>
    <w:basedOn w:val="9"/>
    <w:qFormat/>
    <w:uiPriority w:val="0"/>
    <w:rPr>
      <w:rFonts w:ascii="BatangChe" w:hAnsi="BatangChe" w:eastAsia="BatangChe" w:cs="BatangChe"/>
      <w:color w:val="000000"/>
      <w:sz w:val="24"/>
      <w:szCs w:val="24"/>
      <w:u w:val="none"/>
    </w:rPr>
  </w:style>
  <w:style w:type="character" w:customStyle="1" w:styleId="19">
    <w:name w:val="font21"/>
    <w:basedOn w:val="9"/>
    <w:qFormat/>
    <w:uiPriority w:val="0"/>
    <w:rPr>
      <w:rFonts w:hint="eastAsia" w:ascii="宋体" w:hAnsi="宋体" w:eastAsia="宋体" w:cs="宋体"/>
      <w:b/>
      <w:bCs/>
      <w:color w:val="000000"/>
      <w:sz w:val="24"/>
      <w:szCs w:val="24"/>
      <w:u w:val="none"/>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页眉 Char"/>
    <w:basedOn w:val="9"/>
    <w:link w:val="6"/>
    <w:qFormat/>
    <w:uiPriority w:val="0"/>
    <w:rPr>
      <w:rFonts w:asciiTheme="minorHAnsi" w:hAnsiTheme="minorHAnsi" w:eastAsiaTheme="minorEastAsia" w:cstheme="minorBidi"/>
      <w:kern w:val="2"/>
      <w:sz w:val="18"/>
      <w:szCs w:val="18"/>
    </w:rPr>
  </w:style>
  <w:style w:type="character" w:customStyle="1" w:styleId="22">
    <w:name w:val="页脚 Char"/>
    <w:basedOn w:val="9"/>
    <w:link w:val="5"/>
    <w:qFormat/>
    <w:uiPriority w:val="0"/>
    <w:rPr>
      <w:rFonts w:asciiTheme="minorHAnsi" w:hAnsiTheme="minorHAnsi" w:eastAsiaTheme="minorEastAsia" w:cstheme="minorBidi"/>
      <w:kern w:val="2"/>
      <w:sz w:val="18"/>
      <w:szCs w:val="18"/>
    </w:rPr>
  </w:style>
  <w:style w:type="character" w:customStyle="1" w:styleId="23">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24">
    <w:name w:val="纯文本 Char"/>
    <w:link w:val="3"/>
    <w:qFormat/>
    <w:locked/>
    <w:uiPriority w:val="0"/>
    <w:rPr>
      <w:rFonts w:ascii="宋体" w:hAnsi="Courier New" w:eastAsiaTheme="minorEastAsia" w:cstheme="minorBidi"/>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1213</Words>
  <Characters>1265</Characters>
  <Lines>30</Lines>
  <Paragraphs>8</Paragraphs>
  <TotalTime>26</TotalTime>
  <ScaleCrop>false</ScaleCrop>
  <LinksUpToDate>false</LinksUpToDate>
  <CharactersWithSpaces>1275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2025-06-20T07:50:00Z</dcterms:created>
  <dc:creator>黄冲</dc:creator>
  <cp:lastModifiedBy>Jianbo_Lee</cp:lastModifiedBy>
  <cp:lastPrinted>2025-05-16T07:28:00Z</cp:lastPrinted>
  <dcterms:modified xsi:type="dcterms:W3CDTF">2025-11-27T13:25:04Z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7F88A684AD2A4221988475A507522BE0_13</vt:lpwstr>
  </property>
  <property fmtid="{D5CDD505-2E9C-101B-9397-08002B2CF9AE}" pid="4" name="KSOTemplateDocerSaveRecord">
    <vt:lpwstr>eyJoZGlkIjoiN2U1ZDM2ZmU5ZDNhNjBhNTFjZjQxNTAwYTg4NjAzODgiLCJ1c2VySWQiOiI3MTkzODkwMDUifQ==</vt:lpwstr>
  </property>
</Properties>
</file>