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88EB9">
      <w:pPr>
        <w:spacing w:line="520" w:lineRule="exact"/>
        <w:jc w:val="both"/>
        <w:rPr>
          <w:rFonts w:hint="eastAsia" w:ascii="宋体" w:hAnsi="宋体" w:cs="宋体"/>
          <w:color w:val="auto"/>
          <w:sz w:val="36"/>
          <w:szCs w:val="36"/>
        </w:rPr>
      </w:pPr>
      <w:r>
        <w:rPr>
          <w:rFonts w:hint="eastAsia" w:ascii="宋体" w:hAnsi="宋体" w:cs="宋体"/>
          <w:color w:val="auto"/>
          <w:sz w:val="36"/>
          <w:szCs w:val="36"/>
        </w:rPr>
        <w:t>广西艺术学院学校官方门户网站升级改版服务采购文件</w:t>
      </w:r>
    </w:p>
    <w:p w14:paraId="25BF08EC">
      <w:pPr>
        <w:pStyle w:val="11"/>
        <w:rPr>
          <w:rFonts w:hint="eastAsia"/>
          <w:color w:val="auto"/>
          <w:lang w:eastAsia="zh-CN"/>
        </w:rPr>
      </w:pPr>
    </w:p>
    <w:p w14:paraId="6EC5ACF0">
      <w:pPr>
        <w:pStyle w:val="15"/>
        <w:numPr>
          <w:ilvl w:val="0"/>
          <w:numId w:val="2"/>
        </w:numPr>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采购单位：广西艺术学院 </w:t>
      </w:r>
    </w:p>
    <w:p w14:paraId="26266BF3">
      <w:pPr>
        <w:pStyle w:val="15"/>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二、控制价：</w:t>
      </w:r>
      <w:r>
        <w:rPr>
          <w:rFonts w:hint="eastAsia" w:ascii="宋体" w:hAnsi="宋体" w:cs="宋体"/>
          <w:color w:val="auto"/>
          <w:szCs w:val="24"/>
          <w:shd w:val="clear" w:color="auto" w:fill="FFFFFF"/>
          <w:lang w:val="en-US" w:eastAsia="zh-CN"/>
        </w:rPr>
        <w:t>180000</w:t>
      </w:r>
      <w:r>
        <w:rPr>
          <w:rFonts w:hint="eastAsia" w:ascii="宋体" w:hAnsi="宋体" w:cs="宋体"/>
          <w:color w:val="auto"/>
          <w:szCs w:val="24"/>
          <w:shd w:val="clear" w:color="auto" w:fill="FFFFFF"/>
        </w:rPr>
        <w:t>元，总价超过控制价的</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文件视为无效文件。</w:t>
      </w:r>
    </w:p>
    <w:p w14:paraId="02E6E254">
      <w:pPr>
        <w:pStyle w:val="15"/>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三、服务采购需求</w:t>
      </w:r>
    </w:p>
    <w:p w14:paraId="5D25857C">
      <w:pPr>
        <w:pStyle w:val="15"/>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见附件1。</w:t>
      </w:r>
    </w:p>
    <w:p w14:paraId="7A8F8547">
      <w:pPr>
        <w:pStyle w:val="15"/>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四、</w:t>
      </w:r>
      <w:r>
        <w:rPr>
          <w:rFonts w:hint="eastAsia" w:ascii="宋体" w:hAnsi="宋体" w:cs="宋体"/>
          <w:color w:val="auto"/>
          <w:szCs w:val="24"/>
          <w:shd w:val="clear" w:color="auto" w:fill="FFFFFF"/>
          <w:lang w:val="en-US" w:eastAsia="zh-CN"/>
        </w:rPr>
        <w:t>报价</w:t>
      </w:r>
      <w:r>
        <w:rPr>
          <w:rFonts w:hint="eastAsia" w:ascii="宋体" w:hAnsi="宋体" w:cs="宋体"/>
          <w:color w:val="auto"/>
          <w:szCs w:val="24"/>
          <w:shd w:val="clear" w:color="auto" w:fill="FFFFFF"/>
        </w:rPr>
        <w:t>供应商资格要求</w:t>
      </w:r>
    </w:p>
    <w:p w14:paraId="1BAF01B0">
      <w:pPr>
        <w:pStyle w:val="15"/>
        <w:spacing w:beforeAutospacing="0" w:afterAutospacing="0" w:line="520" w:lineRule="exact"/>
        <w:ind w:firstLine="480" w:firstLineChars="200"/>
        <w:jc w:val="both"/>
        <w:rPr>
          <w:rFonts w:ascii="仿宋" w:hAnsi="仿宋" w:eastAsia="仿宋" w:cs="仿宋"/>
          <w:color w:val="auto"/>
          <w:sz w:val="30"/>
          <w:szCs w:val="30"/>
          <w:shd w:val="clear" w:color="auto" w:fill="FFFFFF"/>
        </w:rPr>
      </w:pPr>
      <w:r>
        <w:rPr>
          <w:rFonts w:hint="eastAsia" w:ascii="宋体" w:hAnsi="宋体" w:cs="宋体"/>
          <w:color w:val="auto"/>
          <w:szCs w:val="24"/>
          <w:shd w:val="clear" w:color="auto" w:fill="FFFFFF"/>
        </w:rPr>
        <w:t>（一）必须是在中华人民共和国境内注册，具有独立法人，并持有</w:t>
      </w:r>
      <w:r>
        <w:rPr>
          <w:rFonts w:hint="eastAsia" w:ascii="宋体" w:hAnsi="宋体" w:cs="宋体"/>
          <w:color w:val="auto"/>
          <w:szCs w:val="24"/>
          <w:shd w:val="clear" w:color="auto" w:fill="FFFFFF"/>
          <w:lang w:val="en-US" w:eastAsia="zh-CN"/>
        </w:rPr>
        <w:t>行政主管</w:t>
      </w:r>
      <w:r>
        <w:rPr>
          <w:rFonts w:hint="eastAsia" w:ascii="宋体" w:hAnsi="宋体" w:cs="宋体"/>
          <w:color w:val="auto"/>
          <w:szCs w:val="24"/>
          <w:shd w:val="clear" w:color="auto" w:fill="FFFFFF"/>
        </w:rPr>
        <w:t>部门核发的法人营业执照。</w:t>
      </w:r>
    </w:p>
    <w:p w14:paraId="402F55FC">
      <w:pPr>
        <w:pStyle w:val="15"/>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190E63C1">
      <w:pPr>
        <w:pStyle w:val="15"/>
        <w:kinsoku/>
        <w:autoSpaceDE/>
        <w:autoSpaceDN/>
        <w:adjustRightInd/>
        <w:snapToGrid/>
        <w:spacing w:beforeAutospacing="0" w:afterAutospacing="0" w:line="360" w:lineRule="auto"/>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“信用中国”网站查询方法：</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人在本项目</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截止时间前10日内,进入</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人基本信息页面，点击“下载信用报告”后点击“下载”。“中国政府采购网”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A937E17">
      <w:pPr>
        <w:pStyle w:val="15"/>
        <w:numPr>
          <w:ilvl w:val="0"/>
          <w:numId w:val="3"/>
        </w:numPr>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单位负责人为同一人或者存在直接控股、管理关系的不同供应商，不得参加同一合同项下的采购活动。本项目不接受联合体。提供附件：</w:t>
      </w:r>
      <w:r>
        <w:rPr>
          <w:rFonts w:hint="eastAsia" w:ascii="宋体" w:hAnsi="宋体" w:cs="宋体"/>
          <w:color w:val="auto"/>
          <w:szCs w:val="24"/>
          <w:shd w:val="clear" w:color="auto" w:fill="FFFFFF"/>
          <w:lang w:val="en-US" w:eastAsia="zh-CN"/>
        </w:rPr>
        <w:t>报价</w:t>
      </w:r>
      <w:r>
        <w:rPr>
          <w:rFonts w:hint="eastAsia" w:ascii="宋体" w:hAnsi="宋体" w:cs="宋体"/>
          <w:color w:val="auto"/>
          <w:szCs w:val="24"/>
          <w:shd w:val="clear" w:color="auto" w:fill="FFFFFF"/>
        </w:rPr>
        <w:t>人直接控股、管理关系信息表。</w:t>
      </w:r>
    </w:p>
    <w:p w14:paraId="4F93B13D">
      <w:pPr>
        <w:pStyle w:val="15"/>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lang w:val="en-US" w:eastAsia="zh-CN"/>
        </w:rPr>
        <w:t>五</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报价</w:t>
      </w:r>
      <w:r>
        <w:rPr>
          <w:rFonts w:hint="eastAsia" w:ascii="宋体" w:hAnsi="宋体" w:cs="宋体"/>
          <w:color w:val="auto"/>
          <w:szCs w:val="24"/>
          <w:shd w:val="clear" w:color="auto" w:fill="FFFFFF"/>
        </w:rPr>
        <w:t>提供资料</w:t>
      </w:r>
    </w:p>
    <w:p w14:paraId="6B7BE252">
      <w:pPr>
        <w:pStyle w:val="15"/>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请提供以下有效证件并加盖公章的复印件，所有材料一正</w:t>
      </w:r>
      <w:r>
        <w:rPr>
          <w:rFonts w:hint="eastAsia" w:ascii="宋体" w:hAnsi="宋体" w:cs="宋体"/>
          <w:color w:val="auto"/>
          <w:szCs w:val="24"/>
          <w:shd w:val="clear" w:color="auto" w:fill="FFFFFF"/>
          <w:lang w:val="en-US" w:eastAsia="zh-CN"/>
        </w:rPr>
        <w:t>一</w:t>
      </w:r>
      <w:r>
        <w:rPr>
          <w:rFonts w:hint="eastAsia" w:ascii="宋体" w:hAnsi="宋体" w:cs="宋体"/>
          <w:color w:val="auto"/>
          <w:szCs w:val="24"/>
          <w:shd w:val="clear" w:color="auto" w:fill="FFFFFF"/>
        </w:rPr>
        <w:t>副。</w:t>
      </w:r>
    </w:p>
    <w:p w14:paraId="0BFAD6A5">
      <w:pPr>
        <w:pStyle w:val="15"/>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1、根据第四大点资格要求里列明的相关证明材料。</w:t>
      </w:r>
    </w:p>
    <w:p w14:paraId="5B4579A8">
      <w:pPr>
        <w:pStyle w:val="15"/>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2、营业执照（三证合一）复印件。</w:t>
      </w:r>
    </w:p>
    <w:p w14:paraId="10107CEA">
      <w:pPr>
        <w:pStyle w:val="15"/>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3、法人代表授权书、法人代表身份证复印件，被授权人身份证。</w:t>
      </w:r>
    </w:p>
    <w:p w14:paraId="2388EFFC">
      <w:pPr>
        <w:pStyle w:val="15"/>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4、根据评分办法准备的相关材料（密封，加盖公章）。</w:t>
      </w:r>
    </w:p>
    <w:p w14:paraId="41A92E58">
      <w:pPr>
        <w:pStyle w:val="15"/>
        <w:spacing w:beforeAutospacing="0" w:afterAutospacing="0" w:line="520" w:lineRule="exact"/>
        <w:ind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5、报价单（密封，并加盖公章）及技术、商务需求表（格式自拟，需逐项与需求条款比对，并写明偏离情况）。</w:t>
      </w:r>
    </w:p>
    <w:p w14:paraId="1DFB9A77">
      <w:pPr>
        <w:pStyle w:val="15"/>
        <w:spacing w:beforeAutospacing="0" w:afterAutospacing="0" w:line="520" w:lineRule="exact"/>
        <w:ind w:firstLine="480" w:firstLineChars="200"/>
        <w:jc w:val="both"/>
        <w:rPr>
          <w:rFonts w:ascii="宋体" w:hAnsi="宋体" w:cs="宋体"/>
          <w:color w:val="auto"/>
          <w:szCs w:val="24"/>
        </w:rPr>
      </w:pPr>
      <w:r>
        <w:rPr>
          <w:rStyle w:val="21"/>
          <w:rFonts w:hint="eastAsia" w:ascii="宋体" w:hAnsi="宋体" w:cs="宋体"/>
          <w:b w:val="0"/>
          <w:color w:val="auto"/>
          <w:szCs w:val="24"/>
          <w:shd w:val="clear" w:color="auto" w:fill="FFFFFF"/>
        </w:rPr>
        <w:t>注：所有</w:t>
      </w:r>
      <w:r>
        <w:rPr>
          <w:rStyle w:val="21"/>
          <w:rFonts w:hint="eastAsia" w:ascii="宋体" w:hAnsi="宋体" w:cs="宋体"/>
          <w:b w:val="0"/>
          <w:color w:val="auto"/>
          <w:szCs w:val="24"/>
          <w:shd w:val="clear" w:color="auto" w:fill="FFFFFF"/>
          <w:lang w:val="en-US" w:eastAsia="zh-CN"/>
        </w:rPr>
        <w:t>报价</w:t>
      </w:r>
      <w:r>
        <w:rPr>
          <w:rStyle w:val="21"/>
          <w:rFonts w:hint="eastAsia" w:ascii="宋体" w:hAnsi="宋体" w:cs="宋体"/>
          <w:b w:val="0"/>
          <w:color w:val="auto"/>
          <w:szCs w:val="24"/>
          <w:shd w:val="clear" w:color="auto" w:fill="FFFFFF"/>
        </w:rPr>
        <w:t>材料均需要密封并加盖公章。</w:t>
      </w:r>
      <w:r>
        <w:rPr>
          <w:rStyle w:val="21"/>
          <w:rFonts w:hint="eastAsia" w:ascii="宋体" w:hAnsi="宋体" w:cs="宋体"/>
          <w:b w:val="0"/>
          <w:color w:val="auto"/>
          <w:szCs w:val="24"/>
          <w:shd w:val="clear" w:color="auto" w:fill="FFFFFF"/>
          <w:lang w:val="en-US" w:eastAsia="zh-CN"/>
        </w:rPr>
        <w:t>报价</w:t>
      </w:r>
      <w:r>
        <w:rPr>
          <w:rStyle w:val="21"/>
          <w:rFonts w:hint="eastAsia" w:ascii="宋体" w:hAnsi="宋体" w:cs="宋体"/>
          <w:b w:val="0"/>
          <w:color w:val="auto"/>
          <w:szCs w:val="24"/>
          <w:shd w:val="clear" w:color="auto" w:fill="FFFFFF"/>
        </w:rPr>
        <w:t>文件里</w:t>
      </w:r>
      <w:r>
        <w:rPr>
          <w:rStyle w:val="21"/>
          <w:rFonts w:hint="eastAsia" w:ascii="宋体" w:hAnsi="宋体" w:cs="宋体"/>
          <w:b w:val="0"/>
          <w:color w:val="auto"/>
          <w:szCs w:val="24"/>
          <w:shd w:val="clear" w:color="auto" w:fill="FFFFFF"/>
          <w:lang w:val="en-US" w:eastAsia="zh-CN"/>
        </w:rPr>
        <w:t>报价</w:t>
      </w:r>
      <w:r>
        <w:rPr>
          <w:rStyle w:val="21"/>
          <w:rFonts w:hint="eastAsia" w:ascii="宋体" w:hAnsi="宋体" w:cs="宋体"/>
          <w:b w:val="0"/>
          <w:color w:val="auto"/>
          <w:szCs w:val="24"/>
          <w:shd w:val="clear" w:color="auto" w:fill="FFFFFF"/>
        </w:rPr>
        <w:t>资格要求审查部分与评分办法材料请分开装订并列明对应的目录与页码。</w:t>
      </w:r>
    </w:p>
    <w:p w14:paraId="6755BAAB">
      <w:pPr>
        <w:pStyle w:val="15"/>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六、评</w:t>
      </w:r>
      <w:r>
        <w:rPr>
          <w:rFonts w:hint="eastAsia" w:ascii="宋体" w:hAnsi="宋体" w:cs="宋体"/>
          <w:color w:val="auto"/>
          <w:szCs w:val="24"/>
          <w:shd w:val="clear" w:color="auto" w:fill="FFFFFF"/>
          <w:lang w:val="en-US" w:eastAsia="zh-CN"/>
        </w:rPr>
        <w:t>比</w:t>
      </w:r>
      <w:r>
        <w:rPr>
          <w:rFonts w:hint="eastAsia" w:ascii="宋体" w:hAnsi="宋体" w:cs="宋体"/>
          <w:color w:val="auto"/>
          <w:szCs w:val="24"/>
          <w:shd w:val="clear" w:color="auto" w:fill="FFFFFF"/>
        </w:rPr>
        <w:t>办法</w:t>
      </w:r>
    </w:p>
    <w:p w14:paraId="12B94A2F">
      <w:pPr>
        <w:pStyle w:val="15"/>
        <w:spacing w:beforeAutospacing="0" w:afterAutospacing="0" w:line="520" w:lineRule="exact"/>
        <w:ind w:firstLine="480" w:firstLineChars="200"/>
        <w:jc w:val="both"/>
        <w:rPr>
          <w:rStyle w:val="21"/>
          <w:rFonts w:hint="eastAsia" w:ascii="宋体" w:hAnsi="宋体" w:cs="宋体"/>
          <w:b w:val="0"/>
          <w:color w:val="auto"/>
          <w:szCs w:val="24"/>
          <w:highlight w:val="none"/>
          <w:shd w:val="clear" w:color="auto" w:fill="FFFFFF"/>
        </w:rPr>
      </w:pPr>
      <w:r>
        <w:rPr>
          <w:rStyle w:val="21"/>
          <w:rFonts w:hint="eastAsia" w:ascii="宋体" w:hAnsi="宋体" w:cs="宋体"/>
          <w:b w:val="0"/>
          <w:color w:val="auto"/>
          <w:szCs w:val="24"/>
          <w:highlight w:val="none"/>
          <w:shd w:val="clear" w:color="auto" w:fill="FFFFFF"/>
        </w:rPr>
        <w:t>根据</w:t>
      </w:r>
      <w:r>
        <w:rPr>
          <w:rStyle w:val="21"/>
          <w:rFonts w:hint="eastAsia" w:ascii="宋体" w:hAnsi="宋体" w:cs="宋体"/>
          <w:b w:val="0"/>
          <w:color w:val="auto"/>
          <w:szCs w:val="24"/>
          <w:shd w:val="clear" w:color="auto" w:fill="FFFFFF"/>
          <w:lang w:val="en-US" w:eastAsia="zh-CN"/>
        </w:rPr>
        <w:t>报价</w:t>
      </w:r>
      <w:r>
        <w:rPr>
          <w:rStyle w:val="21"/>
          <w:rFonts w:hint="eastAsia" w:ascii="宋体" w:hAnsi="宋体" w:cs="宋体"/>
          <w:b w:val="0"/>
          <w:color w:val="auto"/>
          <w:szCs w:val="24"/>
          <w:highlight w:val="none"/>
          <w:shd w:val="clear" w:color="auto" w:fill="FFFFFF"/>
        </w:rPr>
        <w:t>人的</w:t>
      </w:r>
      <w:r>
        <w:rPr>
          <w:rStyle w:val="21"/>
          <w:rFonts w:hint="eastAsia" w:ascii="宋体" w:hAnsi="宋体" w:cs="宋体"/>
          <w:b w:val="0"/>
          <w:color w:val="auto"/>
          <w:szCs w:val="24"/>
          <w:shd w:val="clear" w:color="auto" w:fill="FFFFFF"/>
          <w:lang w:val="en-US" w:eastAsia="zh-CN"/>
        </w:rPr>
        <w:t>报价</w:t>
      </w:r>
      <w:r>
        <w:rPr>
          <w:rStyle w:val="21"/>
          <w:rFonts w:hint="eastAsia" w:ascii="宋体" w:hAnsi="宋体" w:cs="宋体"/>
          <w:b w:val="0"/>
          <w:color w:val="auto"/>
          <w:szCs w:val="24"/>
          <w:highlight w:val="none"/>
          <w:shd w:val="clear" w:color="auto" w:fill="FFFFFF"/>
        </w:rPr>
        <w:t>材料，在满足采购需求的基础上，采取综合评</w:t>
      </w:r>
      <w:r>
        <w:rPr>
          <w:rStyle w:val="21"/>
          <w:rFonts w:hint="eastAsia" w:ascii="宋体" w:hAnsi="宋体" w:cs="宋体"/>
          <w:b w:val="0"/>
          <w:color w:val="auto"/>
          <w:szCs w:val="24"/>
          <w:highlight w:val="none"/>
          <w:shd w:val="clear" w:color="auto" w:fill="FFFFFF"/>
          <w:lang w:val="en-US" w:eastAsia="zh-CN"/>
        </w:rPr>
        <w:t>分</w:t>
      </w:r>
      <w:r>
        <w:rPr>
          <w:rStyle w:val="21"/>
          <w:rFonts w:hint="eastAsia" w:ascii="宋体" w:hAnsi="宋体" w:cs="宋体"/>
          <w:b w:val="0"/>
          <w:color w:val="auto"/>
          <w:szCs w:val="24"/>
          <w:highlight w:val="none"/>
          <w:shd w:val="clear" w:color="auto" w:fill="FFFFFF"/>
        </w:rPr>
        <w:t>法的方式选定该项目</w:t>
      </w:r>
      <w:r>
        <w:rPr>
          <w:rStyle w:val="21"/>
          <w:rFonts w:hint="eastAsia" w:ascii="宋体" w:hAnsi="宋体" w:cs="宋体"/>
          <w:b w:val="0"/>
          <w:color w:val="auto"/>
          <w:szCs w:val="24"/>
          <w:highlight w:val="none"/>
          <w:shd w:val="clear" w:color="auto" w:fill="FFFFFF"/>
          <w:lang w:val="en-US" w:eastAsia="zh-CN"/>
        </w:rPr>
        <w:t>成交</w:t>
      </w:r>
      <w:r>
        <w:rPr>
          <w:rStyle w:val="21"/>
          <w:rFonts w:hint="eastAsia" w:ascii="宋体" w:hAnsi="宋体" w:cs="宋体"/>
          <w:b w:val="0"/>
          <w:color w:val="auto"/>
          <w:szCs w:val="24"/>
          <w:highlight w:val="none"/>
          <w:shd w:val="clear" w:color="auto" w:fill="FFFFFF"/>
        </w:rPr>
        <w:t>单位。</w:t>
      </w:r>
    </w:p>
    <w:p w14:paraId="57CFB0D2">
      <w:pPr>
        <w:pStyle w:val="15"/>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七、</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时间与地点</w:t>
      </w:r>
    </w:p>
    <w:p w14:paraId="18B6739C">
      <w:pPr>
        <w:pStyle w:val="15"/>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时间：</w:t>
      </w:r>
      <w:r>
        <w:rPr>
          <w:rStyle w:val="21"/>
          <w:rFonts w:hint="eastAsia" w:ascii="宋体" w:hAnsi="宋体" w:cs="宋体"/>
          <w:b w:val="0"/>
          <w:color w:val="auto"/>
          <w:szCs w:val="24"/>
          <w:shd w:val="clear" w:color="auto" w:fill="FFFFFF"/>
        </w:rPr>
        <w:t>2025年11 月</w:t>
      </w:r>
      <w:r>
        <w:rPr>
          <w:rStyle w:val="21"/>
          <w:rFonts w:hint="eastAsia" w:ascii="宋体" w:hAnsi="宋体" w:cs="宋体"/>
          <w:b w:val="0"/>
          <w:color w:val="auto"/>
          <w:szCs w:val="24"/>
          <w:shd w:val="clear" w:color="auto" w:fill="FFFFFF"/>
          <w:lang w:val="en-US" w:eastAsia="zh-CN"/>
        </w:rPr>
        <w:t>27</w:t>
      </w:r>
      <w:bookmarkStart w:id="35" w:name="_GoBack"/>
      <w:bookmarkEnd w:id="35"/>
      <w:r>
        <w:rPr>
          <w:rStyle w:val="21"/>
          <w:rFonts w:hint="eastAsia" w:ascii="宋体" w:hAnsi="宋体" w:cs="宋体"/>
          <w:b w:val="0"/>
          <w:color w:val="auto"/>
          <w:szCs w:val="24"/>
          <w:shd w:val="clear" w:color="auto" w:fill="FFFFFF"/>
        </w:rPr>
        <w:t>日上午9:00至11:00之间</w:t>
      </w:r>
      <w:r>
        <w:rPr>
          <w:rFonts w:hint="eastAsia" w:ascii="宋体" w:hAnsi="宋体" w:cs="宋体"/>
          <w:color w:val="auto"/>
          <w:szCs w:val="24"/>
          <w:shd w:val="clear" w:color="auto" w:fill="FFFFFF"/>
        </w:rPr>
        <w:t>，其他时间不接收</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材料，在规定时间内未</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者视为自动弃权。</w:t>
      </w:r>
    </w:p>
    <w:p w14:paraId="230E7A80">
      <w:pPr>
        <w:pStyle w:val="15"/>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2、</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地点：南宁市青秀区教育路7号广西艺术学院雕塑楼107室，联系人：李老师，朱老师，高老师，联系电话：0771-5327987. </w:t>
      </w:r>
    </w:p>
    <w:p w14:paraId="2B4EF0B9">
      <w:pPr>
        <w:pStyle w:val="15"/>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九、本次采购的相关信息（包括但不限于采购公告与附件及其修改、补充、澄清等，下同）在广西艺术学院主页的“机构设置-财务资产处-招标公告”栏（网址：</w:t>
      </w:r>
      <w:r>
        <w:rPr>
          <w:color w:val="auto"/>
        </w:rPr>
        <w:fldChar w:fldCharType="begin"/>
      </w:r>
      <w:r>
        <w:rPr>
          <w:color w:val="auto"/>
        </w:rP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rPr>
          <w:color w:val="auto"/>
        </w:rPr>
        <w:fldChar w:fldCharType="separate"/>
      </w:r>
      <w:r>
        <w:rPr>
          <w:rFonts w:hint="eastAsia" w:ascii="宋体" w:hAnsi="宋体" w:cs="宋体"/>
          <w:color w:val="auto"/>
          <w:szCs w:val="24"/>
          <w:shd w:val="clear" w:color="auto" w:fill="FFFFFF"/>
        </w:rPr>
        <w:t>https://cwc.gxau.edu.cn/zbgg2）上发布，本次采购的相关信息一经在上述网站发布，即视为已发送给</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人。</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Cs w:val="24"/>
          <w:shd w:val="clear" w:color="auto" w:fill="FFFFFF"/>
        </w:rPr>
        <w:t>人据此参与本次采购活动，即视为对本次采购的相关信息、内容及规则没有异议。</w:t>
      </w:r>
      <w:r>
        <w:rPr>
          <w:rFonts w:hint="eastAsia" w:ascii="宋体" w:hAnsi="宋体" w:cs="宋体"/>
          <w:color w:val="auto"/>
          <w:szCs w:val="24"/>
          <w:shd w:val="clear" w:color="auto" w:fill="FFFFFF"/>
        </w:rPr>
        <w:fldChar w:fldCharType="end"/>
      </w:r>
    </w:p>
    <w:p w14:paraId="6E68DD74">
      <w:pPr>
        <w:spacing w:line="520" w:lineRule="exact"/>
        <w:ind w:firstLine="480" w:firstLineChars="200"/>
        <w:jc w:val="both"/>
        <w:rPr>
          <w:color w:val="auto"/>
        </w:rPr>
      </w:pPr>
    </w:p>
    <w:p w14:paraId="1F3E5C5D">
      <w:pPr>
        <w:spacing w:line="520" w:lineRule="exact"/>
        <w:ind w:firstLine="480" w:firstLineChars="200"/>
        <w:jc w:val="both"/>
        <w:rPr>
          <w:rFonts w:ascii="宋体" w:hAnsi="宋体" w:cs="宋体"/>
          <w:b/>
          <w:bCs/>
          <w:color w:val="auto"/>
          <w:szCs w:val="24"/>
        </w:rPr>
      </w:pPr>
    </w:p>
    <w:p w14:paraId="36B0E16B">
      <w:pPr>
        <w:spacing w:line="520" w:lineRule="exact"/>
        <w:ind w:firstLine="480" w:firstLineChars="200"/>
        <w:jc w:val="both"/>
        <w:rPr>
          <w:rFonts w:ascii="宋体" w:hAnsi="宋体" w:cs="宋体"/>
          <w:b/>
          <w:bCs/>
          <w:color w:val="auto"/>
          <w:szCs w:val="24"/>
        </w:rPr>
      </w:pPr>
    </w:p>
    <w:p w14:paraId="38A6F047">
      <w:pPr>
        <w:spacing w:line="520" w:lineRule="exact"/>
        <w:ind w:firstLine="480" w:firstLineChars="200"/>
        <w:jc w:val="both"/>
        <w:rPr>
          <w:rFonts w:ascii="宋体" w:hAnsi="宋体" w:cs="宋体"/>
          <w:b/>
          <w:bCs/>
          <w:color w:val="auto"/>
          <w:szCs w:val="24"/>
        </w:rPr>
      </w:pPr>
    </w:p>
    <w:p w14:paraId="3050BC1E">
      <w:pPr>
        <w:spacing w:line="520" w:lineRule="exact"/>
        <w:jc w:val="both"/>
        <w:rPr>
          <w:rFonts w:ascii="宋体" w:hAnsi="宋体" w:cs="宋体"/>
          <w:b/>
          <w:bCs/>
          <w:color w:val="auto"/>
          <w:szCs w:val="24"/>
        </w:rPr>
      </w:pPr>
    </w:p>
    <w:p w14:paraId="7DDC8DE5">
      <w:pPr>
        <w:spacing w:line="520" w:lineRule="exact"/>
        <w:jc w:val="both"/>
        <w:rPr>
          <w:rFonts w:ascii="宋体" w:hAnsi="宋体" w:cs="宋体"/>
          <w:b/>
          <w:bCs/>
          <w:color w:val="auto"/>
          <w:szCs w:val="24"/>
        </w:rPr>
        <w:sectPr>
          <w:headerReference r:id="rId3" w:type="default"/>
          <w:footerReference r:id="rId4" w:type="default"/>
          <w:footerReference r:id="rId5" w:type="even"/>
          <w:pgSz w:w="11906" w:h="16838"/>
          <w:pgMar w:top="1418" w:right="1418" w:bottom="1418" w:left="1418" w:header="851" w:footer="850" w:gutter="0"/>
          <w:pgNumType w:fmt="upperRoman" w:start="1"/>
          <w:cols w:space="425" w:num="1"/>
          <w:docGrid w:type="linesAndChars" w:linePitch="326" w:charSpace="0"/>
        </w:sectPr>
      </w:pPr>
      <w:bookmarkStart w:id="0" w:name="_Toc20532"/>
    </w:p>
    <w:p w14:paraId="1BDD2545">
      <w:pPr>
        <w:pStyle w:val="3"/>
        <w:rPr>
          <w:color w:val="auto"/>
        </w:rPr>
      </w:pPr>
      <w:bookmarkStart w:id="1" w:name="_Toc8158"/>
      <w:r>
        <w:rPr>
          <w:rFonts w:hint="eastAsia"/>
          <w:color w:val="auto"/>
        </w:rPr>
        <w:t>附件1：</w:t>
      </w:r>
      <w:bookmarkEnd w:id="0"/>
      <w:bookmarkEnd w:id="1"/>
      <w:bookmarkStart w:id="2" w:name="_Toc940146"/>
      <w:r>
        <w:rPr>
          <w:rFonts w:hint="eastAsia"/>
          <w:color w:val="auto"/>
        </w:rPr>
        <w:t>项目需求</w:t>
      </w:r>
      <w:bookmarkEnd w:id="2"/>
    </w:p>
    <w:p w14:paraId="2F415011">
      <w:pPr>
        <w:spacing w:line="360" w:lineRule="exact"/>
        <w:rPr>
          <w:rFonts w:ascii="宋体" w:hAnsi="宋体"/>
          <w:color w:val="auto"/>
        </w:rPr>
      </w:pPr>
      <w:r>
        <w:rPr>
          <w:rFonts w:hint="eastAsia" w:ascii="宋体" w:hAnsi="宋体"/>
          <w:color w:val="auto"/>
        </w:rPr>
        <w:t>说明：</w:t>
      </w:r>
    </w:p>
    <w:p w14:paraId="62D55E44">
      <w:pPr>
        <w:spacing w:line="360" w:lineRule="exact"/>
        <w:ind w:firstLine="484" w:firstLineChars="202"/>
        <w:rPr>
          <w:rFonts w:hint="eastAsia" w:ascii="宋体" w:hAnsi="宋体"/>
          <w:color w:val="auto"/>
        </w:rPr>
      </w:pPr>
      <w:r>
        <w:rPr>
          <w:rFonts w:hint="eastAsia" w:ascii="宋体" w:hAnsi="宋体"/>
          <w:color w:val="auto"/>
        </w:rPr>
        <w:t>1、本章中标注“</w:t>
      </w:r>
      <w:r>
        <w:rPr>
          <w:rFonts w:hint="eastAsia" w:ascii="宋体" w:hAnsi="宋体" w:eastAsia="宋体" w:cs="宋体"/>
          <w:color w:val="auto"/>
        </w:rPr>
        <w:t>▲</w:t>
      </w:r>
      <w:r>
        <w:rPr>
          <w:rFonts w:hint="eastAsia" w:ascii="宋体" w:hAnsi="宋体"/>
          <w:color w:val="auto"/>
        </w:rPr>
        <w:t>”号的条款为实质性条款，必须满足或者优于，否则响应无效。</w:t>
      </w:r>
    </w:p>
    <w:p w14:paraId="6664980B">
      <w:pPr>
        <w:spacing w:line="360" w:lineRule="exact"/>
        <w:ind w:firstLine="484" w:firstLineChars="202"/>
        <w:rPr>
          <w:rFonts w:hint="eastAsia" w:ascii="宋体" w:hAnsi="宋体"/>
          <w:color w:val="auto"/>
        </w:rPr>
      </w:pPr>
      <w:r>
        <w:rPr>
          <w:rFonts w:hint="eastAsia" w:ascii="宋体" w:hAnsi="宋体"/>
          <w:color w:val="auto"/>
        </w:rPr>
        <w:t>2、带“</w:t>
      </w:r>
      <w:r>
        <w:rPr>
          <w:rFonts w:hint="eastAsia" w:ascii="微软雅黑" w:hAnsi="微软雅黑" w:eastAsia="微软雅黑" w:cs="微软雅黑"/>
          <w:color w:val="auto"/>
        </w:rPr>
        <w:t>★</w:t>
      </w:r>
      <w:r>
        <w:rPr>
          <w:rFonts w:hint="eastAsia" w:ascii="宋体" w:hAnsi="宋体"/>
          <w:color w:val="auto"/>
        </w:rPr>
        <w:t>”标识的部分为重要的技术指标要求，如有负偏离将导致扣分。</w:t>
      </w:r>
    </w:p>
    <w:p w14:paraId="7D771910">
      <w:pPr>
        <w:spacing w:line="360" w:lineRule="exact"/>
        <w:ind w:firstLine="484" w:firstLineChars="202"/>
        <w:rPr>
          <w:rFonts w:hAnsi="宋体" w:cs="Courier New"/>
          <w:color w:val="auto"/>
        </w:rPr>
      </w:pPr>
      <w:r>
        <w:rPr>
          <w:rFonts w:hint="eastAsia" w:ascii="宋体" w:hAnsi="宋体"/>
          <w:color w:val="auto"/>
        </w:rPr>
        <w:t>3、文件中所要求提供的证明材料必须要提供，否则响应无效。</w:t>
      </w:r>
    </w:p>
    <w:p w14:paraId="17FE858E">
      <w:pPr>
        <w:pStyle w:val="11"/>
        <w:rPr>
          <w:color w:val="auto"/>
        </w:rPr>
      </w:pPr>
    </w:p>
    <w:p w14:paraId="61DC7B44">
      <w:pPr>
        <w:pStyle w:val="4"/>
        <w:numPr>
          <w:ilvl w:val="0"/>
          <w:numId w:val="4"/>
        </w:numPr>
        <w:bidi w:val="0"/>
        <w:ind w:left="720" w:leftChars="0" w:hanging="720" w:firstLineChars="0"/>
        <w:rPr>
          <w:color w:val="auto"/>
        </w:rPr>
      </w:pPr>
      <w:bookmarkStart w:id="3" w:name="_Toc456951962"/>
      <w:bookmarkStart w:id="4" w:name="_Toc204261701"/>
      <w:r>
        <w:rPr>
          <w:rFonts w:hint="eastAsia"/>
          <w:color w:val="auto"/>
          <w:lang w:val="en-US" w:eastAsia="zh-CN"/>
        </w:rPr>
        <w:t>项目背景</w:t>
      </w:r>
    </w:p>
    <w:p w14:paraId="1D37628A">
      <w:pPr>
        <w:spacing w:line="360" w:lineRule="auto"/>
        <w:ind w:firstLine="480" w:firstLineChars="200"/>
        <w:rPr>
          <w:rFonts w:eastAsia="宋体"/>
          <w:color w:val="auto"/>
        </w:rPr>
      </w:pPr>
      <w:r>
        <w:rPr>
          <w:rFonts w:hint="eastAsia" w:eastAsia="宋体"/>
          <w:color w:val="auto"/>
          <w:lang w:val="en-US" w:eastAsia="zh-CN"/>
        </w:rPr>
        <w:t>为适配我校业务发展与品牌建设需求，对我校网站群平台进行模板优化升级已成为必要举措。改造完成后，新版页面不仅需精准传递学校的教育理念、充分彰显艺术学科特色，同时需实现平台功能的全面完善与效能提升，并构建更为坚实的安全防护体系，确保网站群运行的稳定性与安全性。</w:t>
      </w:r>
    </w:p>
    <w:bookmarkEnd w:id="3"/>
    <w:bookmarkEnd w:id="4"/>
    <w:p w14:paraId="3C970AC7">
      <w:pPr>
        <w:pStyle w:val="4"/>
        <w:numPr>
          <w:ilvl w:val="0"/>
          <w:numId w:val="4"/>
        </w:numPr>
        <w:bidi w:val="0"/>
        <w:ind w:left="720" w:leftChars="0" w:hanging="720" w:firstLineChars="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整体要求</w:t>
      </w:r>
    </w:p>
    <w:p w14:paraId="150E7E51">
      <w:pPr>
        <w:numPr>
          <w:ilvl w:val="0"/>
          <w:numId w:val="5"/>
        </w:numPr>
        <w:snapToGrid w:val="0"/>
        <w:spacing w:line="360" w:lineRule="auto"/>
        <w:ind w:firstLine="480" w:firstLineChars="200"/>
        <w:rPr>
          <w:rFonts w:hint="eastAsia" w:asciiTheme="minorEastAsia" w:hAnsiTheme="minorEastAsia" w:eastAsiaTheme="minorEastAsia" w:cstheme="minorEastAsia"/>
          <w:iCs/>
          <w:color w:val="auto"/>
          <w:szCs w:val="21"/>
          <w:lang w:eastAsia="zh-CN"/>
        </w:rPr>
      </w:pPr>
      <w:r>
        <w:rPr>
          <w:rFonts w:hint="eastAsia" w:asciiTheme="minorEastAsia" w:hAnsiTheme="minorEastAsia" w:eastAsiaTheme="minorEastAsia" w:cstheme="minorEastAsia"/>
          <w:iCs/>
          <w:color w:val="auto"/>
          <w:szCs w:val="21"/>
          <w:lang w:eastAsia="zh-CN"/>
        </w:rPr>
        <w:t>本次项目建设，并非是推倒现有系统的重新建设，而是充分利用我校现有运转多年的网站群建设成果，对平台进行内容功能增加完善服务、</w:t>
      </w:r>
      <w:r>
        <w:rPr>
          <w:rFonts w:hint="eastAsia" w:asciiTheme="minorEastAsia" w:hAnsiTheme="minorEastAsia" w:eastAsiaTheme="minorEastAsia" w:cstheme="minorEastAsia"/>
          <w:iCs/>
          <w:color w:val="auto"/>
          <w:szCs w:val="21"/>
          <w:lang w:val="en-US" w:eastAsia="zh-CN"/>
        </w:rPr>
        <w:t>模板建设和部分业务模块拓展</w:t>
      </w:r>
      <w:r>
        <w:rPr>
          <w:rFonts w:hint="eastAsia" w:asciiTheme="minorEastAsia" w:hAnsiTheme="minorEastAsia" w:eastAsiaTheme="minorEastAsia" w:cstheme="minorEastAsia"/>
          <w:iCs/>
          <w:color w:val="auto"/>
          <w:szCs w:val="21"/>
          <w:lang w:eastAsia="zh-CN"/>
        </w:rPr>
        <w:t>，整体项目建设，须确保不中断我校现有网站</w:t>
      </w:r>
      <w:r>
        <w:rPr>
          <w:rFonts w:hint="eastAsia" w:asciiTheme="minorEastAsia" w:hAnsiTheme="minorEastAsia" w:eastAsiaTheme="minorEastAsia" w:cstheme="minorEastAsia"/>
          <w:iCs/>
          <w:color w:val="auto"/>
          <w:szCs w:val="21"/>
          <w:lang w:val="en-US" w:eastAsia="zh-CN"/>
        </w:rPr>
        <w:t>群</w:t>
      </w:r>
      <w:r>
        <w:rPr>
          <w:rFonts w:hint="eastAsia" w:asciiTheme="minorEastAsia" w:hAnsiTheme="minorEastAsia" w:eastAsiaTheme="minorEastAsia" w:cstheme="minorEastAsia"/>
          <w:iCs/>
          <w:color w:val="auto"/>
          <w:szCs w:val="21"/>
          <w:lang w:eastAsia="zh-CN"/>
        </w:rPr>
        <w:t>运行体系、确保我校站群架构整体不发生变化、确保我校信息中心及二级单位人员对系统的运维安全管控和日常内容生产管理模式及操作习惯不发生改变。整体项目须保质保量按期完成交付。</w:t>
      </w:r>
      <w:r>
        <w:rPr>
          <w:rFonts w:hint="eastAsia" w:asciiTheme="minorEastAsia" w:hAnsiTheme="minorEastAsia" w:eastAsiaTheme="minorEastAsia" w:cstheme="minorEastAsia"/>
          <w:b/>
          <w:bCs/>
          <w:iCs/>
          <w:color w:val="auto"/>
          <w:szCs w:val="21"/>
          <w:lang w:eastAsia="zh-CN"/>
        </w:rPr>
        <w:t>(</w:t>
      </w:r>
      <w:r>
        <w:rPr>
          <w:rStyle w:val="21"/>
          <w:rFonts w:hint="eastAsia" w:ascii="宋体" w:hAnsi="宋体" w:cs="宋体"/>
          <w:b/>
          <w:bCs/>
          <w:color w:val="auto"/>
          <w:szCs w:val="24"/>
          <w:shd w:val="clear" w:color="auto" w:fill="FFFFFF"/>
          <w:lang w:val="en-US" w:eastAsia="zh-CN"/>
        </w:rPr>
        <w:t>报价</w:t>
      </w:r>
      <w:r>
        <w:rPr>
          <w:rFonts w:hint="eastAsia" w:asciiTheme="minorEastAsia" w:hAnsiTheme="minorEastAsia" w:eastAsiaTheme="minorEastAsia" w:cstheme="minorEastAsia"/>
          <w:b/>
          <w:bCs/>
          <w:iCs/>
          <w:color w:val="auto"/>
          <w:szCs w:val="21"/>
          <w:lang w:eastAsia="zh-CN"/>
        </w:rPr>
        <w:t>人需提供针对本条款出具完全响应的承诺函）</w:t>
      </w:r>
    </w:p>
    <w:p w14:paraId="4F99A671">
      <w:pPr>
        <w:numPr>
          <w:ilvl w:val="0"/>
          <w:numId w:val="5"/>
        </w:numPr>
        <w:snapToGrid w:val="0"/>
        <w:spacing w:line="360" w:lineRule="auto"/>
        <w:ind w:firstLine="480" w:firstLineChars="200"/>
        <w:rPr>
          <w:rFonts w:hint="eastAsia" w:asciiTheme="minorEastAsia" w:hAnsiTheme="minorEastAsia" w:eastAsiaTheme="minorEastAsia" w:cstheme="minorEastAsia"/>
          <w:iCs/>
          <w:color w:val="auto"/>
          <w:szCs w:val="21"/>
          <w:lang w:val="en-US" w:eastAsia="zh-CN"/>
        </w:rPr>
      </w:pPr>
      <w:r>
        <w:rPr>
          <w:rFonts w:hint="eastAsia" w:asciiTheme="minorEastAsia" w:hAnsiTheme="minorEastAsia" w:eastAsiaTheme="minorEastAsia" w:cstheme="minorEastAsia"/>
          <w:iCs/>
          <w:color w:val="auto"/>
          <w:szCs w:val="21"/>
          <w:lang w:val="en-US" w:eastAsia="zh-CN"/>
        </w:rPr>
        <w:t>前台模板页面要求：根据艺术院校的特色，结合用户意见对网站群前台页面提供模板定制服务。严格按照《项目需求及服务要求》。</w:t>
      </w:r>
    </w:p>
    <w:p w14:paraId="632BD498">
      <w:pPr>
        <w:numPr>
          <w:ilvl w:val="0"/>
          <w:numId w:val="5"/>
        </w:numPr>
        <w:snapToGrid w:val="0"/>
        <w:spacing w:line="360" w:lineRule="auto"/>
        <w:ind w:firstLine="480" w:firstLineChars="200"/>
        <w:rPr>
          <w:rFonts w:hint="eastAsia" w:asciiTheme="minorEastAsia" w:hAnsiTheme="minorEastAsia" w:eastAsiaTheme="minorEastAsia" w:cstheme="minorEastAsia"/>
          <w:iCs/>
          <w:color w:val="auto"/>
          <w:szCs w:val="21"/>
          <w:lang w:val="en-US" w:eastAsia="zh-CN"/>
        </w:rPr>
      </w:pPr>
      <w:r>
        <w:rPr>
          <w:rFonts w:hint="eastAsia" w:asciiTheme="minorEastAsia" w:hAnsiTheme="minorEastAsia" w:eastAsiaTheme="minorEastAsia" w:cstheme="minorEastAsia"/>
          <w:iCs/>
          <w:color w:val="auto"/>
          <w:szCs w:val="21"/>
          <w:lang w:val="en-US" w:eastAsia="zh-CN"/>
        </w:rPr>
        <w:t>模板部署安装由中标单位负责。</w:t>
      </w:r>
    </w:p>
    <w:p w14:paraId="4AFB1B38">
      <w:pPr>
        <w:pStyle w:val="4"/>
        <w:numPr>
          <w:ilvl w:val="0"/>
          <w:numId w:val="4"/>
        </w:numPr>
        <w:bidi w:val="0"/>
        <w:ind w:left="720" w:leftChars="0" w:hanging="720" w:firstLineChars="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项目需求及服务要求</w:t>
      </w:r>
    </w:p>
    <w:tbl>
      <w:tblPr>
        <w:tblStyle w:val="18"/>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93"/>
        <w:gridCol w:w="6437"/>
      </w:tblGrid>
      <w:tr w14:paraId="551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6FA030F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093" w:type="dxa"/>
            <w:vAlign w:val="center"/>
          </w:tcPr>
          <w:p w14:paraId="79248AF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指标项</w:t>
            </w:r>
          </w:p>
        </w:tc>
        <w:tc>
          <w:tcPr>
            <w:tcW w:w="6437" w:type="dxa"/>
            <w:vAlign w:val="center"/>
          </w:tcPr>
          <w:p w14:paraId="79D00C6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指标要求</w:t>
            </w:r>
          </w:p>
        </w:tc>
      </w:tr>
      <w:tr w14:paraId="0340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59A8D3CD">
            <w:pPr>
              <w:keepNext w:val="0"/>
              <w:keepLines w:val="0"/>
              <w:numPr>
                <w:ilvl w:val="0"/>
                <w:numId w:val="6"/>
              </w:numPr>
              <w:suppressLineNumbers w:val="0"/>
              <w:wordWrap w:val="0"/>
              <w:spacing w:before="0" w:beforeAutospacing="0" w:after="0" w:afterAutospacing="0" w:line="360" w:lineRule="auto"/>
              <w:ind w:right="0"/>
              <w:jc w:val="center"/>
              <w:rPr>
                <w:rFonts w:hint="eastAsia" w:ascii="宋体" w:hAnsi="宋体" w:eastAsia="宋体" w:cs="宋体"/>
                <w:bCs/>
                <w:color w:val="auto"/>
                <w:kern w:val="0"/>
                <w:sz w:val="21"/>
                <w:szCs w:val="21"/>
                <w:highlight w:val="none"/>
              </w:rPr>
            </w:pPr>
          </w:p>
        </w:tc>
        <w:tc>
          <w:tcPr>
            <w:tcW w:w="1093" w:type="dxa"/>
            <w:vAlign w:val="center"/>
          </w:tcPr>
          <w:p w14:paraId="7491309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主站模板定制设计要求</w:t>
            </w:r>
          </w:p>
        </w:tc>
        <w:tc>
          <w:tcPr>
            <w:tcW w:w="6437" w:type="dxa"/>
            <w:vAlign w:val="center"/>
          </w:tcPr>
          <w:p w14:paraId="0A518FB8">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一、设计理念</w:t>
            </w:r>
          </w:p>
          <w:p w14:paraId="047D71EB">
            <w:pPr>
              <w:keepNext w:val="0"/>
              <w:keepLines w:val="0"/>
              <w:widowControl/>
              <w:numPr>
                <w:ilvl w:val="0"/>
                <w:numId w:val="7"/>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根据用户的重点关注内容及体验度，采用最新的网站模板页面设计技术与标准，对网站前台页面进行改版设计。</w:t>
            </w:r>
          </w:p>
          <w:p w14:paraId="78C806B5">
            <w:pPr>
              <w:keepNext w:val="0"/>
              <w:keepLines w:val="0"/>
              <w:widowControl/>
              <w:numPr>
                <w:ilvl w:val="0"/>
                <w:numId w:val="7"/>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结合</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定位和特点，</w:t>
            </w:r>
            <w:r>
              <w:rPr>
                <w:rFonts w:hint="eastAsia" w:ascii="宋体" w:hAnsi="宋体" w:eastAsia="宋体" w:cs="宋体"/>
                <w:color w:val="auto"/>
                <w:kern w:val="0"/>
                <w:sz w:val="21"/>
                <w:szCs w:val="21"/>
                <w:highlight w:val="none"/>
                <w:lang w:val="en-US" w:eastAsia="zh-CN"/>
              </w:rPr>
              <w:t>确定规划方案，提出规划建议，</w:t>
            </w:r>
            <w:r>
              <w:rPr>
                <w:rFonts w:hint="eastAsia" w:ascii="宋体" w:hAnsi="宋体" w:eastAsia="宋体" w:cs="宋体"/>
                <w:color w:val="auto"/>
                <w:kern w:val="0"/>
                <w:sz w:val="21"/>
                <w:szCs w:val="21"/>
                <w:highlight w:val="none"/>
              </w:rPr>
              <w:t>包含栏目设置、首页内容规划、功能规划、布局及整体形象设计等。</w:t>
            </w:r>
          </w:p>
          <w:p w14:paraId="670B0782">
            <w:pPr>
              <w:keepNext w:val="0"/>
              <w:keepLines w:val="0"/>
              <w:widowControl/>
              <w:numPr>
                <w:ilvl w:val="0"/>
                <w:numId w:val="7"/>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需要通过专业设计形式，解决信息过载的影响，用尽可能少的文字信息来区别于其他设计，提高用户获取信息的效率，从而提供更顺畅的用户体验，同时让信息更有吸引力和传播力。</w:t>
            </w:r>
          </w:p>
          <w:p w14:paraId="30E66AF8">
            <w:pPr>
              <w:keepNext w:val="0"/>
              <w:keepLines w:val="0"/>
              <w:widowControl/>
              <w:numPr>
                <w:ilvl w:val="0"/>
                <w:numId w:val="7"/>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配色原则上要符合</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VI体系的要求，可适当增加对比度较强的主辅色来强化</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品牌识别度，带给用户更丰富的视觉体验。</w:t>
            </w:r>
          </w:p>
          <w:p w14:paraId="7A7EB733">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二、设计元素</w:t>
            </w:r>
          </w:p>
          <w:p w14:paraId="261890B7">
            <w:pPr>
              <w:keepNext w:val="0"/>
              <w:keepLines w:val="0"/>
              <w:widowControl/>
              <w:numPr>
                <w:ilvl w:val="0"/>
                <w:numId w:val="8"/>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设计元素要与</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自身特色相关，避免与</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无关的设计元素出现，以强化门户网站的品牌识别度。</w:t>
            </w:r>
          </w:p>
          <w:p w14:paraId="5DE32D13">
            <w:pPr>
              <w:keepNext w:val="0"/>
              <w:keepLines w:val="0"/>
              <w:widowControl/>
              <w:numPr>
                <w:ilvl w:val="0"/>
                <w:numId w:val="8"/>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需要摄入</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特色视频和图片，来增强</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文化软实力信息的输出，并提高网站可读性，提升用户访问网站的愉悦性。</w:t>
            </w:r>
          </w:p>
          <w:p w14:paraId="6C35E53F">
            <w:pPr>
              <w:keepNext w:val="0"/>
              <w:keepLines w:val="0"/>
              <w:widowControl/>
              <w:numPr>
                <w:ilvl w:val="0"/>
                <w:numId w:val="8"/>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网站所有设计元素，包括图像、视频、字体需要保证版权合法。</w:t>
            </w:r>
            <w:r>
              <w:rPr>
                <w:rFonts w:hint="eastAsia" w:ascii="宋体" w:hAnsi="宋体" w:eastAsia="宋体" w:cs="宋体"/>
                <w:color w:val="auto"/>
                <w:kern w:val="0"/>
                <w:sz w:val="21"/>
                <w:szCs w:val="21"/>
                <w:highlight w:val="none"/>
                <w:lang w:val="en-US" w:eastAsia="zh-CN"/>
              </w:rPr>
              <w:t>设计所需素材由厂家安排人员进行拍摄。</w:t>
            </w:r>
          </w:p>
          <w:p w14:paraId="59C6F911">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三、页面布局与导航设计</w:t>
            </w:r>
          </w:p>
          <w:p w14:paraId="204CDF26">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olor w:val="auto"/>
                <w:sz w:val="21"/>
                <w:szCs w:val="21"/>
                <w:highlight w:val="none"/>
                <w:lang w:val="en-US" w:eastAsia="zh-CN"/>
              </w:rPr>
              <w:t>整个网站在设计过程中，包含首页和常见的页面模板、大图设计、栏目及内容页等，确保所有页面设计风格统一。</w:t>
            </w:r>
          </w:p>
          <w:p w14:paraId="47EE722C">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页面布局：采用清晰、简洁的布局方式，确保用户能够快速找到所需信息。头部应包含学校logo、导航栏、搜索框等元素；主体部分可根据内容类型进行分块展示，如学校新闻、学术活动、招生信息等；底部应包含版权信息、联系方式等基本信息。</w:t>
            </w:r>
          </w:p>
          <w:p w14:paraId="4BC8FF0A">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导航设计：导航栏应简洁明了，包含学校的主要功能模块，如首页、学校概况、机构设置、新闻网、教育教学、科研创作、招生就业、人才招聘、信息公开、人民网广艺视窗等。同时，可提供下拉菜单或侧边栏等辅助导航方式，方便用户快速定位所需内容。</w:t>
            </w:r>
          </w:p>
          <w:p w14:paraId="7130E9F5">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网站建设需做到以用户人性化访问为前提，以用户需求为组织信息架构，以简单、直观、人性化的导航为脉络，组建</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门户网站。</w:t>
            </w:r>
            <w:r>
              <w:rPr>
                <w:rFonts w:hint="eastAsia" w:ascii="宋体" w:hAnsi="宋体" w:eastAsia="宋体" w:cs="宋体"/>
                <w:color w:val="auto"/>
                <w:kern w:val="0"/>
                <w:sz w:val="21"/>
                <w:szCs w:val="21"/>
                <w:highlight w:val="none"/>
                <w:lang w:val="en-US" w:eastAsia="zh-CN"/>
              </w:rPr>
              <w:t>网页具备导航功能，且用户可自主增删导航名录</w:t>
            </w:r>
          </w:p>
          <w:p w14:paraId="2314FED4">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栏目规划要本着“合理、严谨、精简且完整”的设置原则，让用户可快速识别内容范围并获取到目标信息，同时在栏目设置及设计形式上需要考虑到未来栏目扩充的可能性，提前做好设计规划。</w:t>
            </w:r>
          </w:p>
          <w:p w14:paraId="5B288436">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内容布局要主次突出，图文比例均衡，符合线上用户的阅读习惯，要求支持多语言。</w:t>
            </w:r>
          </w:p>
          <w:p w14:paraId="73EFD09F">
            <w:pPr>
              <w:keepNext w:val="0"/>
              <w:keepLines w:val="0"/>
              <w:widowControl/>
              <w:numPr>
                <w:ilvl w:val="0"/>
                <w:numId w:val="9"/>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功能入口要醒目而不突兀，增强门户网站的实用性和服务属性。</w:t>
            </w:r>
          </w:p>
          <w:p w14:paraId="7E79F50B">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四、交互设计</w:t>
            </w:r>
          </w:p>
          <w:p w14:paraId="6B0B08A4">
            <w:pPr>
              <w:keepNext w:val="0"/>
              <w:keepLines w:val="0"/>
              <w:widowControl/>
              <w:numPr>
                <w:ilvl w:val="0"/>
                <w:numId w:val="10"/>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需要通过对用户阅读习惯进行研究，在整体页面上增加微互动，使静态页面富有动感，增加用户的沉浸感和体验感，避免用户阅读疲劳，带给用户更丰富的视觉体验。</w:t>
            </w:r>
          </w:p>
          <w:p w14:paraId="12E52DBB">
            <w:pPr>
              <w:keepNext w:val="0"/>
              <w:keepLines w:val="0"/>
              <w:widowControl/>
              <w:numPr>
                <w:ilvl w:val="0"/>
                <w:numId w:val="10"/>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需要做到交互流畅、不延迟，当页面或应用下载数据较慢时，载入过程需要有所提示。</w:t>
            </w:r>
          </w:p>
          <w:p w14:paraId="471C72DB">
            <w:pPr>
              <w:keepNext w:val="0"/>
              <w:keepLines w:val="0"/>
              <w:widowControl/>
              <w:numPr>
                <w:ilvl w:val="0"/>
                <w:numId w:val="10"/>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交互性按钮要做到清晰突出，并且点击前后要有所区别。</w:t>
            </w:r>
          </w:p>
          <w:p w14:paraId="4D90CBEB">
            <w:pPr>
              <w:keepNext w:val="0"/>
              <w:keepLines w:val="0"/>
              <w:widowControl/>
              <w:numPr>
                <w:ilvl w:val="0"/>
                <w:numId w:val="10"/>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搜索框位置要清晰显眼，并且对搜索结果中的相关字符用不同颜色表示，搜索结果页一定要与用户搜索意图相符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根据需求方定制增加网页搜索引擎。</w:t>
            </w:r>
          </w:p>
          <w:p w14:paraId="570B5108">
            <w:pPr>
              <w:keepNext w:val="0"/>
              <w:keepLines w:val="0"/>
              <w:widowControl/>
              <w:numPr>
                <w:ilvl w:val="0"/>
                <w:numId w:val="10"/>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支持</w:t>
            </w:r>
            <w:r>
              <w:rPr>
                <w:rFonts w:hint="eastAsia" w:ascii="宋体" w:hAnsi="宋体" w:eastAsia="宋体" w:cs="宋体"/>
                <w:color w:val="auto"/>
                <w:kern w:val="0"/>
                <w:sz w:val="21"/>
                <w:szCs w:val="21"/>
                <w:highlight w:val="none"/>
                <w:lang w:val="en-US" w:eastAsia="zh-CN"/>
              </w:rPr>
              <w:t>前台</w:t>
            </w:r>
            <w:r>
              <w:rPr>
                <w:rFonts w:hint="eastAsia" w:ascii="宋体" w:hAnsi="宋体" w:eastAsia="宋体" w:cs="宋体"/>
                <w:color w:val="auto"/>
                <w:kern w:val="0"/>
                <w:sz w:val="21"/>
                <w:szCs w:val="21"/>
                <w:highlight w:val="none"/>
              </w:rPr>
              <w:t>采用自适应的方式实现访问终端自动适配，采用html5技术，做到访问设备在不同浏览器端进行结构的重新排列和CSS的重新渲染，给用户带来更好的浏览体验。</w:t>
            </w:r>
            <w:r>
              <w:rPr>
                <w:rFonts w:hint="eastAsia" w:ascii="宋体" w:hAnsi="宋体" w:eastAsia="宋体" w:cs="宋体"/>
                <w:color w:val="auto"/>
                <w:kern w:val="0"/>
                <w:sz w:val="21"/>
                <w:szCs w:val="21"/>
                <w:highlight w:val="none"/>
                <w:lang w:val="en-US" w:eastAsia="zh-CN"/>
              </w:rPr>
              <w:t>网站群管理平台的后台支持手机等移动设备访问并为移动设备优化的用户界面和功能设计，以方便用手机等移动设备对网站群进行管理。后台手机版的功能为PC版功能的子集，提供内容管理的文章/视频/图片/公开信息等内容模型的添加、修改、审核/取消审核、删除、发布/取消发布等功能，相关列表页的手机版提供节点切换、内容模型切换、筛选和批量操作等功能。</w:t>
            </w:r>
          </w:p>
          <w:p w14:paraId="2895AD16">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五、网站实施要求</w:t>
            </w:r>
          </w:p>
          <w:p w14:paraId="4A276188">
            <w:pPr>
              <w:keepNext w:val="0"/>
              <w:keepLines w:val="0"/>
              <w:widowControl/>
              <w:numPr>
                <w:ilvl w:val="0"/>
                <w:numId w:val="11"/>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按照我校要求个性化设计1套主站中文门户网站模板和1套英文门户网站模板，采用响应式布局形式，以电脑版风格为主调整页面宽度、图片素材等提供4个尺寸设计效果图，适应不同终端设备的分辨率（手机版[360~768]、平板版[768、1024]、电脑版[1280、1366、1440]、大屏电脑版[1600、1680、1920]等），兼容Chrome、FireFox、Safari、Edge和360极速浏览器、360安全浏览器（极速模式）等主流浏览器最新正式版。</w:t>
            </w:r>
          </w:p>
          <w:p w14:paraId="353DEF46">
            <w:pPr>
              <w:keepNext w:val="0"/>
              <w:keepLines w:val="0"/>
              <w:widowControl/>
              <w:numPr>
                <w:ilvl w:val="0"/>
                <w:numId w:val="11"/>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在网站建设过程中，需每周定期对网站建设进度进行汇报，保证网站建设项目按期保质完成。</w:t>
            </w:r>
          </w:p>
          <w:p w14:paraId="14F0A364">
            <w:pPr>
              <w:keepNext w:val="0"/>
              <w:keepLines w:val="0"/>
              <w:widowControl/>
              <w:numPr>
                <w:ilvl w:val="0"/>
                <w:numId w:val="11"/>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根据不同栏目的属性，设计与之相匹配的界面。</w:t>
            </w:r>
          </w:p>
          <w:p w14:paraId="26C69522">
            <w:pPr>
              <w:keepNext w:val="0"/>
              <w:keepLines w:val="0"/>
              <w:widowControl/>
              <w:numPr>
                <w:ilvl w:val="0"/>
                <w:numId w:val="11"/>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须</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en-US" w:eastAsia="zh-CN"/>
              </w:rPr>
              <w:t>学校</w:t>
            </w:r>
            <w:r>
              <w:rPr>
                <w:rFonts w:hint="eastAsia" w:ascii="宋体" w:hAnsi="宋体" w:eastAsia="宋体" w:cs="宋体"/>
                <w:color w:val="auto"/>
                <w:kern w:val="0"/>
                <w:sz w:val="21"/>
                <w:szCs w:val="21"/>
                <w:highlight w:val="none"/>
              </w:rPr>
              <w:t>现有站群上实现网站建设，项目团队须具备在</w:t>
            </w:r>
            <w:r>
              <w:rPr>
                <w:rFonts w:hint="eastAsia" w:ascii="宋体" w:hAnsi="宋体" w:eastAsia="宋体" w:cs="宋体"/>
                <w:color w:val="auto"/>
                <w:kern w:val="0"/>
                <w:sz w:val="21"/>
                <w:szCs w:val="21"/>
                <w:highlight w:val="none"/>
                <w:lang w:val="en-US" w:eastAsia="zh-CN"/>
              </w:rPr>
              <w:t>现有网站群</w:t>
            </w:r>
            <w:r>
              <w:rPr>
                <w:rFonts w:hint="eastAsia" w:ascii="宋体" w:hAnsi="宋体" w:eastAsia="宋体" w:cs="宋体"/>
                <w:color w:val="auto"/>
                <w:kern w:val="0"/>
                <w:sz w:val="21"/>
                <w:szCs w:val="21"/>
                <w:highlight w:val="none"/>
              </w:rPr>
              <w:t>平台实现网站可视化建站的能力，能够通过所见即所得的方式，快速实现页面构建。</w:t>
            </w:r>
            <w:r>
              <w:rPr>
                <w:rFonts w:hint="eastAsia" w:ascii="宋体" w:hAnsi="宋体" w:eastAsia="宋体" w:cs="宋体"/>
                <w:color w:val="auto"/>
                <w:kern w:val="0"/>
                <w:sz w:val="21"/>
                <w:szCs w:val="21"/>
                <w:highlight w:val="none"/>
                <w:lang w:val="en-US" w:eastAsia="zh-CN"/>
              </w:rPr>
              <w:t>当前项目需满足集约化管理需求，</w:t>
            </w:r>
            <w:r>
              <w:rPr>
                <w:rFonts w:hint="eastAsia" w:ascii="宋体" w:hAnsi="宋体" w:eastAsia="宋体" w:cs="宋体"/>
                <w:color w:val="auto"/>
                <w:kern w:val="0"/>
                <w:sz w:val="21"/>
                <w:szCs w:val="21"/>
                <w:highlight w:val="none"/>
              </w:rPr>
              <w:t>不再单独采购额外的网站管理后台，要求全面兼容现有站群平台且对接集成费用包含在供应商的整体报价里面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不再额外支付费用。</w:t>
            </w:r>
            <w:r>
              <w:rPr>
                <w:rFonts w:hint="eastAsia" w:ascii="宋体" w:hAnsi="宋体" w:eastAsia="宋体" w:cs="宋体"/>
                <w:b/>
                <w:bCs/>
                <w:color w:val="auto"/>
                <w:kern w:val="0"/>
                <w:sz w:val="21"/>
                <w:szCs w:val="21"/>
                <w:highlight w:val="none"/>
              </w:rPr>
              <w:t>（需提供承诺函并加盖供应商公章）</w:t>
            </w:r>
          </w:p>
          <w:p w14:paraId="0C58A56F">
            <w:pPr>
              <w:keepNext w:val="0"/>
              <w:keepLines w:val="0"/>
              <w:widowControl/>
              <w:numPr>
                <w:ilvl w:val="0"/>
                <w:numId w:val="11"/>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设计页面前端的HTML代码采用“DIV+CSS”的代码结构，代码尽量简短、干净，DIV嵌套层级少，代码符合Web标准。</w:t>
            </w:r>
          </w:p>
          <w:p w14:paraId="3404A6DB">
            <w:pPr>
              <w:keepNext w:val="0"/>
              <w:keepLines w:val="0"/>
              <w:widowControl/>
              <w:numPr>
                <w:ilvl w:val="0"/>
                <w:numId w:val="11"/>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针对前端网站功能的定制化开发，由专业的开发团队负责代码调用和功能实现，整体开发过程确保兼容性和代码规范性，要求与前端UI统一。</w:t>
            </w:r>
          </w:p>
          <w:p w14:paraId="4AEDCD3D">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六、网站兼容性要求</w:t>
            </w:r>
          </w:p>
          <w:p w14:paraId="19D67459">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网站需要</w:t>
            </w:r>
            <w:r>
              <w:rPr>
                <w:rFonts w:hint="eastAsia" w:ascii="宋体" w:hAnsi="宋体" w:eastAsia="宋体" w:cs="宋体"/>
                <w:color w:val="auto"/>
                <w:kern w:val="0"/>
                <w:sz w:val="21"/>
                <w:szCs w:val="21"/>
                <w:highlight w:val="none"/>
              </w:rPr>
              <w:t>纳入</w:t>
            </w:r>
            <w:r>
              <w:rPr>
                <w:rFonts w:hint="eastAsia" w:ascii="宋体" w:hAnsi="宋体" w:eastAsia="宋体" w:cs="宋体"/>
                <w:color w:val="auto"/>
                <w:kern w:val="0"/>
                <w:sz w:val="21"/>
                <w:szCs w:val="21"/>
                <w:highlight w:val="none"/>
                <w:lang w:val="en-US" w:eastAsia="zh-CN"/>
              </w:rPr>
              <w:t>学校现有</w:t>
            </w:r>
            <w:r>
              <w:rPr>
                <w:rFonts w:hint="eastAsia" w:ascii="宋体" w:hAnsi="宋体" w:eastAsia="宋体" w:cs="宋体"/>
                <w:color w:val="auto"/>
                <w:kern w:val="0"/>
                <w:sz w:val="21"/>
                <w:szCs w:val="21"/>
                <w:highlight w:val="none"/>
              </w:rPr>
              <w:t>网站群平台</w:t>
            </w:r>
            <w:r>
              <w:rPr>
                <w:rFonts w:hint="eastAsia" w:ascii="宋体" w:hAnsi="宋体" w:eastAsia="宋体" w:cs="宋体"/>
                <w:color w:val="auto"/>
                <w:kern w:val="0"/>
                <w:sz w:val="21"/>
                <w:szCs w:val="21"/>
                <w:highlight w:val="none"/>
                <w:lang w:val="zh-CN"/>
              </w:rPr>
              <w:t>防火墙之下进行统一安全防护。</w:t>
            </w:r>
          </w:p>
          <w:p w14:paraId="27EE669D">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网站需要实现面向</w:t>
            </w:r>
            <w:r>
              <w:rPr>
                <w:rFonts w:hint="eastAsia" w:ascii="宋体" w:hAnsi="宋体" w:eastAsia="宋体" w:cs="宋体"/>
                <w:color w:val="auto"/>
                <w:kern w:val="0"/>
                <w:sz w:val="21"/>
                <w:szCs w:val="21"/>
                <w:highlight w:val="none"/>
              </w:rPr>
              <w:t>站群内各</w:t>
            </w:r>
            <w:r>
              <w:rPr>
                <w:rFonts w:hint="eastAsia" w:ascii="宋体" w:hAnsi="宋体" w:eastAsia="宋体" w:cs="宋体"/>
                <w:color w:val="auto"/>
                <w:kern w:val="0"/>
                <w:sz w:val="21"/>
                <w:szCs w:val="21"/>
                <w:highlight w:val="none"/>
                <w:lang w:val="zh-CN"/>
              </w:rPr>
              <w:t>站的跨站点跨栏目的信息便捷投递，无需调用任何接口，实现站群的信息互通共享。</w:t>
            </w:r>
          </w:p>
          <w:p w14:paraId="62D1655B">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网站</w:t>
            </w:r>
            <w:r>
              <w:rPr>
                <w:rFonts w:hint="eastAsia" w:ascii="宋体" w:hAnsi="宋体" w:eastAsia="宋体" w:cs="宋体"/>
                <w:color w:val="auto"/>
                <w:kern w:val="0"/>
                <w:sz w:val="21"/>
                <w:szCs w:val="21"/>
                <w:highlight w:val="none"/>
              </w:rPr>
              <w:t>纳入</w:t>
            </w:r>
            <w:r>
              <w:rPr>
                <w:rFonts w:hint="eastAsia" w:ascii="宋体" w:hAnsi="宋体" w:eastAsia="宋体" w:cs="宋体"/>
                <w:color w:val="auto"/>
                <w:kern w:val="0"/>
                <w:sz w:val="21"/>
                <w:szCs w:val="21"/>
                <w:highlight w:val="none"/>
                <w:lang w:val="en-US" w:eastAsia="zh-CN"/>
              </w:rPr>
              <w:t>现有</w:t>
            </w:r>
            <w:r>
              <w:rPr>
                <w:rFonts w:hint="eastAsia" w:ascii="宋体" w:hAnsi="宋体" w:eastAsia="宋体" w:cs="宋体"/>
                <w:color w:val="auto"/>
                <w:kern w:val="0"/>
                <w:sz w:val="21"/>
                <w:szCs w:val="21"/>
                <w:highlight w:val="none"/>
              </w:rPr>
              <w:t>站群体系后，支持在特殊时期对网站进行一键置灰；支持在站群平台实现</w:t>
            </w:r>
            <w:r>
              <w:rPr>
                <w:rFonts w:hint="eastAsia" w:ascii="宋体" w:hAnsi="宋体" w:eastAsia="宋体" w:cs="宋体"/>
                <w:color w:val="auto"/>
                <w:kern w:val="0"/>
                <w:sz w:val="21"/>
                <w:szCs w:val="21"/>
                <w:highlight w:val="none"/>
                <w:lang w:val="zh-CN"/>
              </w:rPr>
              <w:t>对网站的停止、</w:t>
            </w:r>
            <w:r>
              <w:rPr>
                <w:rFonts w:hint="eastAsia" w:ascii="宋体" w:hAnsi="宋体" w:eastAsia="宋体" w:cs="宋体"/>
                <w:color w:val="auto"/>
                <w:kern w:val="0"/>
                <w:sz w:val="21"/>
                <w:szCs w:val="21"/>
                <w:highlight w:val="none"/>
              </w:rPr>
              <w:t>启用、</w:t>
            </w:r>
            <w:r>
              <w:rPr>
                <w:rFonts w:hint="eastAsia" w:ascii="宋体" w:hAnsi="宋体" w:eastAsia="宋体" w:cs="宋体"/>
                <w:color w:val="auto"/>
                <w:kern w:val="0"/>
                <w:sz w:val="21"/>
                <w:szCs w:val="21"/>
                <w:highlight w:val="none"/>
                <w:lang w:val="zh-CN"/>
              </w:rPr>
              <w:t>发布等方面的功能，提供网站检索、网站排序。</w:t>
            </w:r>
          </w:p>
          <w:p w14:paraId="666B5868">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网站</w:t>
            </w:r>
            <w:r>
              <w:rPr>
                <w:rFonts w:hint="eastAsia" w:ascii="宋体" w:hAnsi="宋体" w:eastAsia="宋体" w:cs="宋体"/>
                <w:color w:val="auto"/>
                <w:kern w:val="0"/>
                <w:sz w:val="21"/>
                <w:szCs w:val="21"/>
                <w:highlight w:val="none"/>
              </w:rPr>
              <w:t>纳入</w:t>
            </w:r>
            <w:r>
              <w:rPr>
                <w:rFonts w:hint="eastAsia" w:ascii="宋体" w:hAnsi="宋体" w:eastAsia="宋体" w:cs="宋体"/>
                <w:color w:val="auto"/>
                <w:kern w:val="0"/>
                <w:sz w:val="21"/>
                <w:szCs w:val="21"/>
                <w:highlight w:val="none"/>
                <w:lang w:val="en-US" w:eastAsia="zh-CN"/>
              </w:rPr>
              <w:t>现有</w:t>
            </w:r>
            <w:r>
              <w:rPr>
                <w:rFonts w:hint="eastAsia" w:ascii="宋体" w:hAnsi="宋体" w:eastAsia="宋体" w:cs="宋体"/>
                <w:color w:val="auto"/>
                <w:kern w:val="0"/>
                <w:sz w:val="21"/>
                <w:szCs w:val="21"/>
                <w:highlight w:val="none"/>
              </w:rPr>
              <w:t>站群体系后需</w:t>
            </w:r>
            <w:r>
              <w:rPr>
                <w:rFonts w:hint="eastAsia" w:ascii="宋体" w:hAnsi="宋体" w:eastAsia="宋体" w:cs="宋体"/>
                <w:color w:val="auto"/>
                <w:kern w:val="0"/>
                <w:sz w:val="21"/>
                <w:szCs w:val="21"/>
                <w:highlight w:val="none"/>
                <w:lang w:val="zh-CN"/>
              </w:rPr>
              <w:t>严格遵循安全性原则，包含：网站备份、网站体检、应用防火墙、运维监控、</w:t>
            </w:r>
            <w:r>
              <w:rPr>
                <w:rFonts w:hint="eastAsia" w:ascii="宋体" w:hAnsi="宋体" w:eastAsia="宋体" w:cs="宋体"/>
                <w:color w:val="auto"/>
                <w:kern w:val="0"/>
                <w:sz w:val="21"/>
                <w:szCs w:val="21"/>
                <w:highlight w:val="none"/>
                <w:lang w:val="en-US" w:eastAsia="zh-CN"/>
              </w:rPr>
              <w:t>恶意</w:t>
            </w:r>
            <w:r>
              <w:rPr>
                <w:rFonts w:hint="eastAsia" w:ascii="宋体" w:hAnsi="宋体" w:eastAsia="宋体" w:cs="宋体"/>
                <w:color w:val="auto"/>
                <w:kern w:val="0"/>
                <w:sz w:val="21"/>
                <w:szCs w:val="21"/>
                <w:highlight w:val="none"/>
                <w:lang w:val="zh-CN"/>
              </w:rPr>
              <w:t>文件扫描等信息的推送和提醒。</w:t>
            </w:r>
          </w:p>
          <w:p w14:paraId="30B934BD">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ascii="宋体" w:hAnsi="宋体" w:eastAsia="宋体" w:cs="宋体"/>
                <w:color w:val="auto"/>
                <w:sz w:val="21"/>
                <w:szCs w:val="21"/>
                <w:highlight w:val="none"/>
                <w:lang w:val="en-US" w:eastAsia="zh-CN"/>
              </w:rPr>
            </w:pPr>
            <w:r>
              <w:rPr>
                <w:rFonts w:hint="eastAsia" w:ascii="宋体" w:hAnsi="宋体" w:cs="宋体"/>
                <w:color w:val="auto"/>
                <w:sz w:val="21"/>
                <w:highlight w:val="none"/>
              </w:rPr>
              <w:t>▲</w:t>
            </w:r>
            <w:r>
              <w:rPr>
                <w:rFonts w:hint="eastAsia" w:ascii="宋体" w:hAnsi="宋体" w:eastAsia="宋体" w:cs="宋体"/>
                <w:color w:val="auto"/>
                <w:kern w:val="0"/>
                <w:sz w:val="21"/>
                <w:szCs w:val="21"/>
                <w:highlight w:val="none"/>
              </w:rPr>
              <w:t>需要保证与</w:t>
            </w:r>
            <w:r>
              <w:rPr>
                <w:rFonts w:hint="eastAsia" w:ascii="宋体" w:hAnsi="宋体" w:eastAsia="宋体" w:cs="宋体"/>
                <w:color w:val="auto"/>
                <w:kern w:val="0"/>
                <w:sz w:val="21"/>
                <w:szCs w:val="21"/>
                <w:highlight w:val="none"/>
                <w:lang w:val="en-US" w:eastAsia="zh-CN"/>
              </w:rPr>
              <w:t>现有</w:t>
            </w:r>
            <w:r>
              <w:rPr>
                <w:rFonts w:hint="eastAsia" w:ascii="宋体" w:hAnsi="宋体" w:eastAsia="宋体" w:cs="宋体"/>
                <w:color w:val="auto"/>
                <w:kern w:val="0"/>
                <w:sz w:val="21"/>
                <w:szCs w:val="21"/>
                <w:highlight w:val="none"/>
              </w:rPr>
              <w:t>站群系统进行技术对接，</w:t>
            </w:r>
            <w:r>
              <w:rPr>
                <w:rFonts w:hint="eastAsia" w:ascii="宋体" w:hAnsi="宋体" w:eastAsia="宋体" w:cs="宋体"/>
                <w:color w:val="auto"/>
                <w:kern w:val="0"/>
                <w:sz w:val="21"/>
                <w:szCs w:val="21"/>
                <w:highlight w:val="none"/>
                <w:lang w:val="en-US" w:eastAsia="zh-CN"/>
              </w:rPr>
              <w:t>按照新的建设规划</w:t>
            </w:r>
            <w:r>
              <w:rPr>
                <w:rFonts w:hint="eastAsia" w:ascii="宋体" w:hAnsi="宋体" w:eastAsia="宋体" w:cs="宋体"/>
                <w:color w:val="auto"/>
                <w:kern w:val="0"/>
                <w:sz w:val="21"/>
                <w:szCs w:val="21"/>
                <w:highlight w:val="none"/>
              </w:rPr>
              <w:t>迁移原有</w:t>
            </w:r>
            <w:r>
              <w:rPr>
                <w:rFonts w:hint="eastAsia" w:ascii="宋体" w:hAnsi="宋体" w:eastAsia="宋体" w:cs="宋体"/>
                <w:color w:val="auto"/>
                <w:kern w:val="0"/>
                <w:sz w:val="21"/>
                <w:szCs w:val="21"/>
                <w:highlight w:val="none"/>
                <w:lang w:val="en-US" w:eastAsia="zh-CN"/>
              </w:rPr>
              <w:t>新闻网网站</w:t>
            </w:r>
            <w:r>
              <w:rPr>
                <w:rFonts w:hint="eastAsia" w:ascii="宋体" w:hAnsi="宋体" w:eastAsia="宋体" w:cs="宋体"/>
                <w:color w:val="auto"/>
                <w:kern w:val="0"/>
                <w:sz w:val="21"/>
                <w:szCs w:val="21"/>
                <w:highlight w:val="none"/>
              </w:rPr>
              <w:t>的全部数据，做到数据与内容的无损，确保数据的延续性。</w:t>
            </w:r>
          </w:p>
          <w:p w14:paraId="42340629">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eastAsia="宋体"/>
                <w:color w:val="auto"/>
                <w:sz w:val="21"/>
                <w:szCs w:val="21"/>
                <w:lang w:val="en-US" w:eastAsia="zh-CN"/>
              </w:rPr>
            </w:pPr>
            <w:r>
              <w:rPr>
                <w:rFonts w:hint="eastAsia" w:ascii="宋体" w:hAnsi="宋体" w:eastAsia="宋体" w:cs="宋体"/>
                <w:color w:val="auto"/>
                <w:kern w:val="0"/>
                <w:sz w:val="21"/>
                <w:szCs w:val="21"/>
                <w:highlight w:val="none"/>
                <w:lang w:val="en-US" w:eastAsia="zh-CN"/>
              </w:rPr>
              <w:t>网站内容数据、网站模板和网站样式相分离，调整模板不影响内容数据。</w:t>
            </w:r>
          </w:p>
          <w:p w14:paraId="01FD6781">
            <w:pPr>
              <w:keepNext w:val="0"/>
              <w:keepLines w:val="0"/>
              <w:widowControl/>
              <w:numPr>
                <w:ilvl w:val="0"/>
                <w:numId w:val="12"/>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highlight w:val="none"/>
              </w:rPr>
              <w:t>▲</w:t>
            </w:r>
            <w:r>
              <w:rPr>
                <w:rFonts w:hint="eastAsia" w:ascii="宋体" w:hAnsi="宋体" w:eastAsia="宋体" w:cs="宋体"/>
                <w:color w:val="auto"/>
                <w:kern w:val="0"/>
                <w:sz w:val="21"/>
                <w:szCs w:val="21"/>
                <w:highlight w:val="none"/>
                <w:lang w:val="en-US" w:eastAsia="zh-CN"/>
              </w:rPr>
              <w:t>为确保本单位正在运行的网站群数据完整性和使用习惯延续性，本次项目必须在原有系统基础上进行制作，原系统架构保持不变，系统功能包含：“安全防护与审计子系统、统一用户认证子系统、组织架构管理子系统、模板引擎与模板管理子系统、用户与权限管理子系统、消息服务子系统、接口服务子系统、智能搜索子系统、广告管理子系统、数据采集子系统、HTML在线编辑器子系统、文件上传与管理子系统、简繁体转换子系统、站点管理子系统、数据缓存子系统、页面输出缓存子系统、静态HTML生成和发布子系统、内容检查子系统、个人工作台子系统、个人素材库子系统、用户中心子系统、用户投稿子系统、日志管理子系统、网站群运维中心、网站群运营中心”等二十五个子系统的网站技术支撑平台和“内容管理子系统、信息报送子系统、绩效统计报表子系统、便民咨询子系统、领导信箱子系统、问卷调查子系统、投票管理子系统、在线表单子系统、微信发布子系统、智能监测中心”等十个网站应用管理子系统。</w:t>
            </w:r>
          </w:p>
          <w:p w14:paraId="66642066">
            <w:pPr>
              <w:keepNext w:val="0"/>
              <w:keepLines w:val="0"/>
              <w:widowControl/>
              <w:numPr>
                <w:ilvl w:val="0"/>
                <w:numId w:val="0"/>
              </w:numPr>
              <w:suppressLineNumbers w:val="0"/>
              <w:wordWrap w:val="0"/>
              <w:spacing w:before="0" w:beforeAutospacing="0" w:after="0" w:afterAutospacing="0" w:line="360" w:lineRule="auto"/>
              <w:ind w:left="0" w:leftChars="0" w:right="0"/>
              <w:rPr>
                <w:rFonts w:hint="eastAsia" w:ascii="宋体" w:hAnsi="宋体" w:eastAsia="宋体" w:cs="宋体"/>
                <w:b/>
                <w:bCs/>
                <w:color w:val="auto"/>
                <w:kern w:val="0"/>
                <w:sz w:val="21"/>
                <w:szCs w:val="21"/>
                <w:highlight w:val="none"/>
                <w:lang w:val="en-US" w:eastAsia="zh-CN"/>
              </w:rPr>
            </w:pPr>
            <w:bookmarkStart w:id="5" w:name="_Toc1626"/>
            <w:r>
              <w:rPr>
                <w:rFonts w:hint="eastAsia" w:ascii="宋体" w:hAnsi="宋体" w:eastAsia="宋体" w:cs="宋体"/>
                <w:b/>
                <w:bCs/>
                <w:color w:val="auto"/>
                <w:kern w:val="0"/>
                <w:sz w:val="21"/>
                <w:szCs w:val="21"/>
                <w:highlight w:val="none"/>
                <w:lang w:val="en-US" w:eastAsia="zh-CN"/>
              </w:rPr>
              <w:t>七、网站UI/UE设计要求</w:t>
            </w:r>
            <w:bookmarkEnd w:id="5"/>
          </w:p>
          <w:p w14:paraId="727C90B9">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浏览器兼容性</w:t>
            </w:r>
          </w:p>
          <w:p w14:paraId="7CD2DE46">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kern w:val="2"/>
                <w:sz w:val="21"/>
                <w:szCs w:val="21"/>
                <w:lang w:val="zh-CN" w:eastAsia="zh-CN" w:bidi="ar"/>
              </w:rPr>
              <w:t>前端代码遵循和使用W3C标准规范，使用各种技术使页面兼容浏览器的解析。</w:t>
            </w:r>
          </w:p>
          <w:p w14:paraId="0585CF0D">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kern w:val="2"/>
                <w:sz w:val="21"/>
                <w:szCs w:val="21"/>
                <w:lang w:val="zh-CN" w:eastAsia="zh-CN" w:bidi="ar"/>
              </w:rPr>
              <w:t>PC端网站在</w:t>
            </w:r>
            <w:r>
              <w:rPr>
                <w:rFonts w:hint="eastAsia" w:ascii="宋体" w:hAnsi="宋体" w:eastAsia="宋体" w:cs="宋体"/>
                <w:color w:val="auto"/>
                <w:kern w:val="2"/>
                <w:sz w:val="21"/>
                <w:szCs w:val="21"/>
                <w:lang w:val="en-US" w:eastAsia="zh-CN" w:bidi="ar"/>
              </w:rPr>
              <w:t>使用Edge</w:t>
            </w:r>
            <w:r>
              <w:rPr>
                <w:rFonts w:hint="eastAsia" w:ascii="宋体" w:hAnsi="宋体" w:eastAsia="宋体" w:cs="宋体"/>
                <w:color w:val="auto"/>
                <w:kern w:val="2"/>
                <w:sz w:val="21"/>
                <w:szCs w:val="21"/>
                <w:lang w:val="zh-CN" w:eastAsia="zh-CN" w:bidi="ar"/>
              </w:rPr>
              <w:t>、Chrome、Firefox、Opera、Safari、360、搜狗、</w:t>
            </w:r>
            <w:r>
              <w:rPr>
                <w:rFonts w:hint="eastAsia" w:ascii="宋体" w:hAnsi="宋体" w:eastAsia="宋体" w:cs="宋体"/>
                <w:color w:val="auto"/>
                <w:kern w:val="2"/>
                <w:sz w:val="21"/>
                <w:szCs w:val="21"/>
                <w:lang w:val="en-US" w:eastAsia="zh-CN" w:bidi="ar"/>
              </w:rPr>
              <w:t>腾讯等</w:t>
            </w:r>
            <w:r>
              <w:rPr>
                <w:rFonts w:hint="eastAsia" w:ascii="宋体" w:hAnsi="宋体" w:eastAsia="宋体" w:cs="宋体"/>
                <w:color w:val="auto"/>
                <w:kern w:val="2"/>
                <w:sz w:val="21"/>
                <w:szCs w:val="21"/>
                <w:lang w:val="zh-CN" w:eastAsia="zh-CN" w:bidi="ar"/>
              </w:rPr>
              <w:t>主流浏览器</w:t>
            </w:r>
            <w:r>
              <w:rPr>
                <w:rFonts w:hint="eastAsia" w:ascii="宋体" w:hAnsi="宋体" w:eastAsia="宋体" w:cs="宋体"/>
                <w:color w:val="auto"/>
                <w:kern w:val="2"/>
                <w:sz w:val="21"/>
                <w:szCs w:val="21"/>
                <w:lang w:val="en-US" w:eastAsia="zh-CN" w:bidi="ar"/>
              </w:rPr>
              <w:t>的最新版本</w:t>
            </w:r>
            <w:r>
              <w:rPr>
                <w:rFonts w:hint="eastAsia" w:ascii="宋体" w:hAnsi="宋体" w:eastAsia="宋体" w:cs="宋体"/>
                <w:color w:val="auto"/>
                <w:kern w:val="2"/>
                <w:sz w:val="21"/>
                <w:szCs w:val="21"/>
                <w:lang w:val="zh-CN" w:eastAsia="zh-CN" w:bidi="ar"/>
              </w:rPr>
              <w:t>访问</w:t>
            </w:r>
            <w:r>
              <w:rPr>
                <w:rFonts w:hint="eastAsia" w:ascii="宋体" w:hAnsi="宋体" w:eastAsia="宋体" w:cs="宋体"/>
                <w:color w:val="auto"/>
                <w:kern w:val="2"/>
                <w:sz w:val="21"/>
                <w:szCs w:val="21"/>
                <w:lang w:val="en-US" w:eastAsia="zh-CN" w:bidi="ar"/>
              </w:rPr>
              <w:t>时</w:t>
            </w:r>
            <w:r>
              <w:rPr>
                <w:rFonts w:hint="eastAsia" w:ascii="宋体" w:hAnsi="宋体" w:eastAsia="宋体" w:cs="宋体"/>
                <w:color w:val="auto"/>
                <w:kern w:val="2"/>
                <w:sz w:val="21"/>
                <w:szCs w:val="21"/>
                <w:lang w:val="zh-CN" w:eastAsia="zh-CN" w:bidi="ar"/>
              </w:rPr>
              <w:t>，网页显示效果一致，</w:t>
            </w:r>
            <w:r>
              <w:rPr>
                <w:rFonts w:hint="eastAsia" w:ascii="宋体" w:hAnsi="宋体" w:eastAsia="宋体" w:cs="宋体"/>
                <w:color w:val="auto"/>
                <w:kern w:val="2"/>
                <w:sz w:val="21"/>
                <w:szCs w:val="21"/>
                <w:lang w:val="en-US" w:eastAsia="zh-CN" w:bidi="ar"/>
              </w:rPr>
              <w:t>不会出现错位等不兼容的情况</w:t>
            </w:r>
            <w:r>
              <w:rPr>
                <w:rFonts w:hint="eastAsia" w:ascii="宋体" w:hAnsi="宋体" w:eastAsia="宋体" w:cs="宋体"/>
                <w:color w:val="auto"/>
                <w:kern w:val="2"/>
                <w:sz w:val="21"/>
                <w:szCs w:val="21"/>
                <w:lang w:val="zh-CN" w:eastAsia="zh-CN" w:bidi="ar"/>
              </w:rPr>
              <w:t>。</w:t>
            </w:r>
          </w:p>
          <w:p w14:paraId="400ED241">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模板易用性</w:t>
            </w:r>
          </w:p>
          <w:p w14:paraId="56938F9F">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模板中的操作流程符合用户的认知特点，操作简单、明了，有合适的提示信息。</w:t>
            </w:r>
          </w:p>
          <w:p w14:paraId="6C3B9FA7">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按照W3C标准的要求来设计样式和页面布局，模板中的代码清爽规范标准，在各种浏览器中保持显示的一致性，统一用户的辨识度。</w:t>
            </w:r>
          </w:p>
          <w:p w14:paraId="588DBB71">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模板具有良好的分层结构，可以在后台中随意快速切换，模板和标签可以无限的重复调用，方便网站后期维护。</w:t>
            </w:r>
          </w:p>
          <w:p w14:paraId="100CAE78">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在模板的日常管理和维护中绝大多数的操作都可以通过后台调整参数的方式完成，如添加节点、节点指定模板、显示排序方式、列表显示方式等操作，不需要懂代码就可轻松完成模板应用。</w:t>
            </w:r>
          </w:p>
          <w:p w14:paraId="42CF88CC">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模板的制作要避免后台重复点击鼠标操作修改的过程，要提供直接修改模板文件的方式和网站后台模板相结合的功能，以提高工作效率。</w:t>
            </w:r>
          </w:p>
          <w:p w14:paraId="5B33E951">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bookmarkStart w:id="6" w:name="_Toc325207563"/>
            <w:r>
              <w:rPr>
                <w:rFonts w:hint="eastAsia" w:ascii="宋体" w:hAnsi="宋体" w:eastAsia="宋体" w:cs="宋体"/>
                <w:color w:val="auto"/>
                <w:kern w:val="0"/>
                <w:sz w:val="21"/>
                <w:szCs w:val="21"/>
                <w:highlight w:val="none"/>
                <w:lang w:val="zh-CN" w:eastAsia="zh-CN"/>
              </w:rPr>
              <w:t>模板灵活性</w:t>
            </w:r>
            <w:bookmarkEnd w:id="6"/>
          </w:p>
          <w:p w14:paraId="6ECC77B9">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网站内容数据、网站模板和网站样式相分离，调整模板不影响内容数据。</w:t>
            </w:r>
          </w:p>
          <w:p w14:paraId="216669C6">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模板可通过多途径协同制作和管理。可在服务器上新建、修改、维护模板文件，也可以在管理后台中新建、修改、维护模板，管理实现同步。</w:t>
            </w:r>
          </w:p>
          <w:p w14:paraId="79839858">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模板具有较高的复用性以减少模板数量，可快速建设相似站点（如专题、子站）。</w:t>
            </w:r>
          </w:p>
          <w:p w14:paraId="05616F80">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模板中要显示网站功能的设置和设定，如网站数据、导航菜单、栏目数据可自适应后台栏目的增减、排序和是否在前台显示等特性，以满足网站的应用需求。</w:t>
            </w:r>
          </w:p>
          <w:p w14:paraId="2AB1E5C3">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模板美观性</w:t>
            </w:r>
          </w:p>
          <w:p w14:paraId="19AC82FF">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整体的布局要合理规划，符合美的基本原理，包括：平衡性、对称性、对比性、疏密度、比例等要素。体现</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单位的价值观和特有信息，使网页成为</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单位的互联网名片，向访问对象传递健康、积极的形象。</w:t>
            </w:r>
          </w:p>
          <w:p w14:paraId="16434082">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页面设计要吸收先进设计理念、前卫页面特效与交互体验，设计新颖、布局合理，统一中求变化，具有鲜明的时代特征、流行的审美风格，符合</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单位的应用需求，从同类网站中脱颖而出，让访问对象留下较好的第一印象，提高网站的视觉冲击力。</w:t>
            </w:r>
          </w:p>
          <w:p w14:paraId="6A861CED">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页面设计要根据客户需求进行原创设计，符合标准页面设计规范要求，既体现出设计者的专业素质，也体现</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单位的实力和公信力、权威信。</w:t>
            </w:r>
          </w:p>
          <w:p w14:paraId="59A8DC3F">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颜色要形成色系，视觉搭配要符合网站的风格和定位，色调和谐，色彩有主次，在统一中求变化。</w:t>
            </w:r>
          </w:p>
          <w:p w14:paraId="3A30E628">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布局排版合理，考虑访问对象的感受，符合艺术表现形式和情感的表达。字体选择合适，减少使用特殊字符。</w:t>
            </w:r>
          </w:p>
          <w:p w14:paraId="3208A6CC">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页面设计要符合访问对象的层次和审美需求，区分不同地域与文化的受众群体，考虑中文、英文、繁体、无障碍、自动回复等多版本的设计特征。</w:t>
            </w:r>
          </w:p>
          <w:p w14:paraId="1066D938">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页面设计注重体现服务为核心，提供服务与应支持、问题与解答、错误与反馈等规范的服务页面。</w:t>
            </w:r>
          </w:p>
          <w:p w14:paraId="282B341B">
            <w:pPr>
              <w:keepNext w:val="0"/>
              <w:keepLines w:val="0"/>
              <w:pageBreakBefore w:val="0"/>
              <w:widowControl w:val="0"/>
              <w:numPr>
                <w:ilvl w:val="0"/>
                <w:numId w:val="1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提供网站帮助信息和便捷指引内容，提供</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单位的必要联系信息、资料和服务流程，提升访问对象的用户友好度。</w:t>
            </w:r>
          </w:p>
          <w:p w14:paraId="03A5497A">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定制个性化</w:t>
            </w:r>
          </w:p>
          <w:p w14:paraId="007476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对于要求个性化定制的模板，</w:t>
            </w:r>
            <w:r>
              <w:rPr>
                <w:rFonts w:hint="eastAsia" w:ascii="宋体" w:hAnsi="宋体" w:eastAsia="宋体" w:cs="宋体"/>
                <w:color w:val="auto"/>
                <w:kern w:val="2"/>
                <w:sz w:val="21"/>
                <w:szCs w:val="21"/>
                <w:lang w:val="en-US" w:eastAsia="zh-CN" w:bidi="ar"/>
              </w:rPr>
              <w:t>须</w:t>
            </w:r>
            <w:r>
              <w:rPr>
                <w:rFonts w:hint="eastAsia" w:ascii="宋体" w:hAnsi="宋体" w:eastAsia="宋体" w:cs="宋体"/>
                <w:color w:val="auto"/>
                <w:kern w:val="2"/>
                <w:sz w:val="21"/>
                <w:szCs w:val="21"/>
                <w:lang w:val="zh-CN" w:eastAsia="zh-CN" w:bidi="ar"/>
              </w:rPr>
              <w:t>遵循以下实施要求，以符合个性化模板定制的需求：</w:t>
            </w:r>
          </w:p>
          <w:p w14:paraId="5D32AD58">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严格遵循沟通、设计、确认的实施流程，对于网站的首页、频道页、子栏目页、内容页等重点页面，必须根据实际需求进行页面平面效果图的设计，并得到业主方的书面确认后方可输出。不得未经沟通就设计，效果图需经过书面确认才能输出模板，以避免方向偏差延误工期。</w:t>
            </w:r>
          </w:p>
          <w:p w14:paraId="668955B3">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效果图要根据项目需求进行原创和独立设计，设计师使用专业语言和设计元素，确定网站的布局样式和设计风格，使设计符合业主方的文化内涵和个性需求，体现专业设计水平和设计价值。不得在项目中使用其他项目的源文件或对源文件进行简单修改就实施在项目中，以免引起版权纠纷。</w:t>
            </w:r>
          </w:p>
          <w:p w14:paraId="0B2A371C">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实施方要提供分层合理、逻辑清楚的PSD源文件以保护设计版权，方便业主方在项目后期维护和使用。</w:t>
            </w:r>
          </w:p>
          <w:p w14:paraId="2033105C">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页面设计若要使用特殊字体和图片，要征求业主方同意并购买版权，不得侵犯第三方的合法权益而引起版权纠纷。</w:t>
            </w:r>
          </w:p>
          <w:p w14:paraId="6AB7FFA3">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设计规范性</w:t>
            </w:r>
          </w:p>
          <w:p w14:paraId="090145A0">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页面设计要符合设计的美学原理和审美标准，整个网站统一规范，使用统一的页面宽度和一致的导航高度，网站LOGO、版权等信息使用等</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单位信息应用规范。</w:t>
            </w:r>
          </w:p>
          <w:p w14:paraId="77DC5F78">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页面设计的各区块布局合理，内外间距合理、统一，全站缩略图比例统一，方便用户和管理人员上传和修改图片。</w:t>
            </w:r>
          </w:p>
          <w:p w14:paraId="119DF548">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注重字体规范、文字大小、图片比例、图标设计等细节规范，使用统一的字号大小、统一规范鼠标的事件样式等。</w:t>
            </w:r>
          </w:p>
          <w:p w14:paraId="308B8DE5">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制定风格主要色系，严格遵循拟定色彩的色值，使页面风格统一。</w:t>
            </w:r>
          </w:p>
          <w:p w14:paraId="48ACBF06">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设计的效果图psd源文件要分层规范、合理、命名规范、无冗余，可快速选择图层，方便快速隐藏和移动相关内容，方便前端快速分层输出。</w:t>
            </w:r>
          </w:p>
          <w:p w14:paraId="0725E548">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栅格化设计规范，以规则的网格阵列来指导和规范网页中的版面布局以及信息分布。</w:t>
            </w:r>
          </w:p>
          <w:p w14:paraId="5E911457">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交互式页面设计与用户互动功能，以提高用户的体验，提升网站的形象。</w:t>
            </w:r>
          </w:p>
          <w:p w14:paraId="20A12465">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页面设计要针对访问对象在电脑、平板、手机等不同终端的需求与显示效果，有较好的体验度。</w:t>
            </w:r>
          </w:p>
          <w:p w14:paraId="47E393CF">
            <w:pPr>
              <w:keepNext w:val="0"/>
              <w:keepLines w:val="0"/>
              <w:pageBreakBefore w:val="0"/>
              <w:widowControl w:val="0"/>
              <w:numPr>
                <w:ilvl w:val="0"/>
                <w:numId w:val="1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zh-CN" w:eastAsia="zh-CN" w:bidi="ar"/>
              </w:rPr>
              <w:t>页面中合理设计弹出效果、悬浮效果、滑动门效果等特殊功能，并有相应的效果展示。</w:t>
            </w:r>
          </w:p>
          <w:p w14:paraId="4E745C27">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布局合理性</w:t>
            </w:r>
          </w:p>
          <w:p w14:paraId="41505FC8">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根据</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需求合理规划，明确目的、用途、定位、设计要素、功能点等进行合理规划。确定页面中的版块、顺序、尺寸、表现形式、主次等。</w:t>
            </w:r>
          </w:p>
          <w:p w14:paraId="6582D7C4">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 xml:space="preserve">突出版块中的重点，让访问者一目了然以实现宣传目的。 </w:t>
            </w:r>
          </w:p>
          <w:p w14:paraId="591A5F76">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页面中重要位置、重点版块要合理使用特殊表现形式和效果，避免影响页面打开时间。</w:t>
            </w:r>
          </w:p>
          <w:p w14:paraId="55E69C7A">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布局要符合用户从上至下、从左至右的浏览习惯，区分信息内容和操作区域。</w:t>
            </w:r>
          </w:p>
          <w:p w14:paraId="6DC39B0A">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布局要符合目标客户的审美习惯，并具有一定的引导性；页面布局方面重点突出，主次分明、图文并茂；确保logo的保护空间，确保品牌的清晰展示而又不占据过分空间；页面导航清晰明了、突出，层级分明；图标使用简洁、明了、易懂、准确，与页面整体风格统一；图片清晰、比例协调、不变形，排列疏密得。</w:t>
            </w:r>
          </w:p>
          <w:p w14:paraId="7053D8C8">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界面设计创意性</w:t>
            </w:r>
          </w:p>
          <w:p w14:paraId="3DBC1AFF">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以富于创造性的思想和理念、新颖创新的设计传达</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单位特有的文化内涵。</w:t>
            </w:r>
          </w:p>
          <w:p w14:paraId="0D09D673">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设计风格独特、美观，网站的布局、色彩、技术或交互方式等展现网站的个性，能引起浏览者的注意力。</w:t>
            </w:r>
          </w:p>
          <w:p w14:paraId="5887D56A">
            <w:pPr>
              <w:keepNext w:val="0"/>
              <w:keepLines w:val="0"/>
              <w:pageBreakBefore w:val="0"/>
              <w:widowControl w:val="0"/>
              <w:numPr>
                <w:ilvl w:val="0"/>
                <w:numId w:val="2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使用新技术设计和表达页面创意，表现出网站中要传达的本意，呈现与诠释出设计思想和理念，并容易被浏览者所感知和理解。</w:t>
            </w:r>
          </w:p>
          <w:p w14:paraId="24D167D6">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bookmarkStart w:id="7" w:name="_Toc325207568"/>
            <w:r>
              <w:rPr>
                <w:rFonts w:hint="eastAsia" w:ascii="宋体" w:hAnsi="宋体" w:eastAsia="宋体" w:cs="宋体"/>
                <w:color w:val="auto"/>
                <w:kern w:val="0"/>
                <w:sz w:val="21"/>
                <w:szCs w:val="21"/>
                <w:highlight w:val="none"/>
                <w:lang w:val="zh-CN" w:eastAsia="zh-CN"/>
              </w:rPr>
              <w:t>界面设计时代性</w:t>
            </w:r>
            <w:bookmarkEnd w:id="7"/>
          </w:p>
          <w:p w14:paraId="1E4531DB">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bookmarkStart w:id="8" w:name="OLE_LINK1"/>
            <w:bookmarkStart w:id="9" w:name="OLE_LINK2"/>
            <w:r>
              <w:rPr>
                <w:rFonts w:hint="eastAsia" w:ascii="宋体" w:hAnsi="宋体" w:eastAsia="宋体" w:cs="宋体"/>
                <w:color w:val="auto"/>
                <w:kern w:val="2"/>
                <w:sz w:val="21"/>
                <w:szCs w:val="21"/>
                <w:lang w:val="zh-CN" w:eastAsia="zh-CN" w:bidi="ar"/>
              </w:rPr>
              <w:t>网页界面设计</w:t>
            </w:r>
            <w:bookmarkEnd w:id="8"/>
            <w:r>
              <w:rPr>
                <w:rFonts w:hint="eastAsia" w:ascii="宋体" w:hAnsi="宋体" w:eastAsia="宋体" w:cs="宋体"/>
                <w:color w:val="auto"/>
                <w:kern w:val="2"/>
                <w:sz w:val="21"/>
                <w:szCs w:val="21"/>
                <w:lang w:val="zh-CN" w:eastAsia="zh-CN" w:bidi="ar"/>
              </w:rPr>
              <w:t>要符合时代流行特征与审美标准，设计具有时代感觉。</w:t>
            </w:r>
          </w:p>
          <w:p w14:paraId="3933D8B0">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网页界面设计要符合行业特征、客户审美价值标准和用户应用需求，界面设计在同行业中有引领、借鉴意义。</w:t>
            </w:r>
          </w:p>
          <w:p w14:paraId="0C1D19C4">
            <w:pPr>
              <w:keepNext w:val="0"/>
              <w:keepLines w:val="0"/>
              <w:pageBreakBefore w:val="0"/>
              <w:widowControl w:val="0"/>
              <w:numPr>
                <w:ilvl w:val="0"/>
                <w:numId w:val="2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网页界面设计中所使用的元素和技术应用符合时代性，应用新技术满足个性化设计需求。</w:t>
            </w:r>
          </w:p>
          <w:bookmarkEnd w:id="9"/>
          <w:p w14:paraId="0F67D29D">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UI体系识别一致性</w:t>
            </w:r>
          </w:p>
          <w:p w14:paraId="667A1542">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网站所用的主色和其它辅助色保持一致，遵循客户行业和单位的CI视觉体系。</w:t>
            </w:r>
          </w:p>
          <w:p w14:paraId="24373BDE">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页面结构如侧栏宽度是否保持一致，页面能识别出两栏、三栏或通栏设计，上下区块保持像素级对齐原则。</w:t>
            </w:r>
          </w:p>
          <w:p w14:paraId="5DCD4107">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导航可以全站统一，导航中不出现风格不统一、死链接等现象。</w:t>
            </w:r>
          </w:p>
          <w:p w14:paraId="5404D087">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网站所有图片或每个模型页面中保持统一尺寸。</w:t>
            </w:r>
          </w:p>
          <w:p w14:paraId="4D0DE097">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页面所有图标或按扭风格保持一致（拟物、扁平等），网站首页和频道页采用相同的图标，边角和图标之间统一采用圆润设计或直角设计。</w:t>
            </w:r>
          </w:p>
          <w:p w14:paraId="25C7409F">
            <w:pPr>
              <w:keepNext w:val="0"/>
              <w:keepLines w:val="0"/>
              <w:pageBreakBefore w:val="0"/>
              <w:widowControl w:val="0"/>
              <w:numPr>
                <w:ilvl w:val="0"/>
                <w:numId w:val="2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菜单、地址栏、图标、状态栏等风格和位置保持一致性。</w:t>
            </w:r>
          </w:p>
          <w:p w14:paraId="3CC96E5F">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用户体验优越性</w:t>
            </w:r>
          </w:p>
          <w:p w14:paraId="7710B4D4">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页面中以减少http请求次数和DNS查询次数、缓存Ajax、延迟/提前加载、减少DOM元素数量、精简Javascript和CSS、去除重复脚本、使用智能事件处理和优化图像优化CSS Sprite等多种技术手段，提高网站页面打开速度。</w:t>
            </w:r>
          </w:p>
          <w:p w14:paraId="70DA8D3E">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网站设计符合网站定位，风格设计符合目标用户喜好能吸引用户。</w:t>
            </w:r>
          </w:p>
          <w:p w14:paraId="719A4EFF">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从首页、栏目页到终极页面能指导用户如何找到所需的内容。</w:t>
            </w:r>
          </w:p>
          <w:p w14:paraId="5203D391">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 xml:space="preserve">导航分类分理，网站搜索功能要包含栏目搜索和全文检索系统，便于用户在网站上对各类信息和文档进行方便而快速的查找和检索，内容编辑器直观、易用。   </w:t>
            </w:r>
          </w:p>
          <w:p w14:paraId="49604DA9">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用户以不同设备（PC/手机/PAD）来访问网站前台时，网站提供符合设备显示特点和用户操作习惯的界面，提供最佳的用户体验。</w:t>
            </w:r>
          </w:p>
          <w:p w14:paraId="51C95DB3">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咨询、回复和评论等互动功能和过程使用便捷，用户注册过程简洁明了，只需填写必要的内容。</w:t>
            </w:r>
          </w:p>
          <w:p w14:paraId="72DEE161">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网页性能高效性</w:t>
            </w:r>
          </w:p>
          <w:p w14:paraId="07A87EC5">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对于制作的模板，本地使用Chrome＋FeHelper插件测试模板页面打开的时间，一屏页面应该控制在在3000毫秒以内，两屏及以上屏页面应该控制在在5000毫秒以内。</w:t>
            </w:r>
          </w:p>
          <w:p w14:paraId="4510DB9F">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HTML代码简洁，符合浏览器解析规范，无过多冗余代码影响性能。</w:t>
            </w:r>
          </w:p>
          <w:p w14:paraId="78EE22B5">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图片要经过优化处理，若非特殊需求，页面中的图片文件大小应该控制在500K以内。</w:t>
            </w:r>
          </w:p>
          <w:p w14:paraId="686161BF">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用户使用多种终端浏览网站效果符合终端特征，视频播放无压力。</w:t>
            </w:r>
          </w:p>
          <w:p w14:paraId="364F2D7E">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页面中使用的标签必须经过优化设计以提升页面性能。</w:t>
            </w:r>
          </w:p>
          <w:p w14:paraId="216885A2">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使用成熟优化的 Web 页面渲染技术以提高页面渲染和执行效率。</w:t>
            </w:r>
          </w:p>
          <w:p w14:paraId="5A879983">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使用 XHTML + CSS +JS 降低 http 请求尺寸，从而改善页面的性能。</w:t>
            </w:r>
          </w:p>
          <w:p w14:paraId="77556B17">
            <w:pPr>
              <w:keepNext w:val="0"/>
              <w:keepLines w:val="0"/>
              <w:pageBreakBefore w:val="0"/>
              <w:widowControl w:val="0"/>
              <w:numPr>
                <w:ilvl w:val="0"/>
                <w:numId w:val="25"/>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zh-CN" w:eastAsia="zh-CN" w:bidi="ar"/>
              </w:rPr>
              <w:t>使用符合 W3C 标准代码降低浏览器容错分析的负担，提高页面的执行效率。</w:t>
            </w:r>
          </w:p>
          <w:p w14:paraId="218D6620">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搜索引擎友好性</w:t>
            </w:r>
          </w:p>
          <w:p w14:paraId="49906895">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bookmarkStart w:id="10" w:name="OLE_LINK3"/>
            <w:r>
              <w:rPr>
                <w:rFonts w:hint="eastAsia" w:ascii="宋体" w:hAnsi="宋体" w:eastAsia="宋体" w:cs="宋体"/>
                <w:color w:val="auto"/>
                <w:kern w:val="2"/>
                <w:sz w:val="21"/>
                <w:szCs w:val="21"/>
                <w:lang w:val="zh-CN" w:eastAsia="zh-CN" w:bidi="ar"/>
              </w:rPr>
              <w:t>HTML代码应用符合语义要求，嵌套合理，有利于搜索引擎优化。图片使用描述属性，关键词要使用H等元素修饰，结合语义合理布局页面元素。</w:t>
            </w:r>
          </w:p>
          <w:p w14:paraId="28BA1183">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网站模板具有良好和结构和逻辑，模板之间可以通过普通HTML相互链接到。</w:t>
            </w:r>
          </w:p>
          <w:bookmarkEnd w:id="10"/>
          <w:p w14:paraId="7FBC6D7E">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使用HTML+CSS+JS制作导航，合理使用js链接和flash链接，避免以flash制作网站的导航。</w:t>
            </w:r>
          </w:p>
          <w:p w14:paraId="32F74D89">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网站采用树形扁平状结构，页面层级保持在三次点击以内，最深不超过五次点击。制作搜索引擎认可格式的站点地图，帮助搜索引擎机器人更有效地抓取站点。</w:t>
            </w:r>
          </w:p>
          <w:p w14:paraId="110E1E02">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模板前台的HTML代码采用“DIV+CSS”的代码结构，代码尽量简短、干净，DIV嵌套层级少，代码符合Web标准。</w:t>
            </w:r>
          </w:p>
          <w:p w14:paraId="04BA8C95">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模板中调用的关键词在页面重要位置中分布合理。</w:t>
            </w:r>
          </w:p>
          <w:p w14:paraId="7FB62E57">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网站页面具有完善的meta标签，以解析与页面相匹配的标题、描述、关键词。</w:t>
            </w:r>
          </w:p>
          <w:p w14:paraId="19A538D9">
            <w:pPr>
              <w:keepNext w:val="0"/>
              <w:keepLines w:val="0"/>
              <w:pageBreakBefore w:val="0"/>
              <w:widowControl w:val="0"/>
              <w:numPr>
                <w:ilvl w:val="0"/>
                <w:numId w:val="26"/>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zh-CN" w:eastAsia="zh-CN" w:bidi="ar"/>
              </w:rPr>
              <w:t>使用真实的链接指引访问者访问正确链接地址，不使用页面自动跳转技术。页面不存在死链接的内容，无冗余图片，友情链接放置必要的网站外链。</w:t>
            </w:r>
          </w:p>
          <w:p w14:paraId="20D2FEDC">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bookmarkStart w:id="11" w:name="_Toc325207577"/>
            <w:r>
              <w:rPr>
                <w:rFonts w:hint="eastAsia" w:ascii="宋体" w:hAnsi="宋体" w:eastAsia="宋体" w:cs="宋体"/>
                <w:color w:val="auto"/>
                <w:kern w:val="0"/>
                <w:sz w:val="21"/>
                <w:szCs w:val="21"/>
                <w:highlight w:val="none"/>
                <w:lang w:val="zh-CN" w:eastAsia="zh-CN"/>
              </w:rPr>
              <w:t>信息可读性</w:t>
            </w:r>
            <w:bookmarkEnd w:id="11"/>
          </w:p>
          <w:p w14:paraId="7D51CBD9">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信息内容主题字体设计为12px或以上，或有更改字号功能方便不同用户浏览。</w:t>
            </w:r>
          </w:p>
          <w:p w14:paraId="6F4A38DE">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字体不超过3种，使用浏览器兼容性好的宋体或微软雅黑等字体。</w:t>
            </w:r>
          </w:p>
          <w:p w14:paraId="4A8F918A">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页面的边界要留有空地，模块之间左右间距、上下间距要统一，不使用晃眼的背景图案。</w:t>
            </w:r>
          </w:p>
          <w:p w14:paraId="64F58118">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文字颜色使用合理，大段的内容保持保白底黑字效果。</w:t>
            </w:r>
          </w:p>
          <w:p w14:paraId="3E177F29">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信息中有链接的文字一般给链接添加下划线，以方便浏览者阅读。</w:t>
            </w:r>
          </w:p>
          <w:p w14:paraId="3A5C1791">
            <w:pPr>
              <w:keepNext w:val="0"/>
              <w:keepLines w:val="0"/>
              <w:pageBreakBefore w:val="0"/>
              <w:widowControl w:val="0"/>
              <w:numPr>
                <w:ilvl w:val="0"/>
                <w:numId w:val="27"/>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zh-CN" w:eastAsia="zh-CN" w:bidi="ar"/>
              </w:rPr>
              <w:t>局部的标题和简介显示长度要统一，不能造成错位或上下对不齐。</w:t>
            </w:r>
          </w:p>
          <w:p w14:paraId="05E5793E">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代码规范性</w:t>
            </w:r>
          </w:p>
          <w:p w14:paraId="6B67C046">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使用成熟、简单、兼容的技术，确保各主要浏览器都能应支持与正常解析。合理使用网页特效，页面特殊交互效果要针对访问者具有较好的引导性。</w:t>
            </w:r>
          </w:p>
          <w:p w14:paraId="79DCFAA3">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页面输出要制定技术标准，遵守内容与表现的分离的原则和现行的技术规则，使用成熟、兼容的Web技术。文件结构规范，很容易找到需要修改的页面与代码，减少网站维护成本。</w:t>
            </w:r>
          </w:p>
          <w:p w14:paraId="54EF7948">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制定模板代码规范，包括模板、标签、CSS等，均遵循W3C标准规范。标签使用跨平台的标准XML，可兼容各种平台。使用元素、标签、图片等命名合理，符合浏览器语义规范。</w:t>
            </w:r>
          </w:p>
          <w:p w14:paraId="71ADD099">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页面输出要符合页面源文件的设计效果，还原动态效果。要符合访问者不同的终端需求的标准规范尺寸。对网站LOGO、页面标题、包屑导航、版权信息及相关链接有统一的标准，并在页面中使用标签等技术简化维护时间。</w:t>
            </w:r>
          </w:p>
          <w:p w14:paraId="50E24E67">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对模板命名、代码结构、代码格式、注释格式等进行统一规定。模板文件命名规范合理，方便查找与应用。HTML代码结构清晰合理、整洁规范、嵌套合理，无冗余代码且有合理的注释，易于维护。CSS的定义简洁、明了，命名规范合理，有较好的复用性。规范合理使用JS，页面无过多加载从而提升页面性能。</w:t>
            </w:r>
          </w:p>
          <w:p w14:paraId="5E6986B2">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制定比较完备的流程来保证规范的执行，确保前后台数据的交互正常，注册、登录、提交、修改等表单功能正确，确保</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单位合同内所需求的交互功能使用正常。</w:t>
            </w:r>
          </w:p>
          <w:p w14:paraId="1EA3684B">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网页安全性</w:t>
            </w:r>
          </w:p>
          <w:p w14:paraId="1AB6EFD0">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前后台数据的交互正常，注册、登录、提交、修改等表单功能正确，</w:t>
            </w:r>
            <w:r>
              <w:rPr>
                <w:rFonts w:hint="eastAsia" w:ascii="宋体" w:hAnsi="宋体" w:cs="宋体"/>
                <w:color w:val="auto"/>
                <w:kern w:val="2"/>
                <w:sz w:val="21"/>
                <w:szCs w:val="21"/>
                <w:lang w:val="en-US" w:eastAsia="zh-CN" w:bidi="ar"/>
              </w:rPr>
              <w:t>采购</w:t>
            </w:r>
            <w:r>
              <w:rPr>
                <w:rFonts w:hint="eastAsia" w:ascii="宋体" w:hAnsi="宋体" w:eastAsia="宋体" w:cs="宋体"/>
                <w:color w:val="auto"/>
                <w:kern w:val="2"/>
                <w:sz w:val="21"/>
                <w:szCs w:val="21"/>
                <w:lang w:val="zh-CN" w:eastAsia="zh-CN" w:bidi="ar"/>
              </w:rPr>
              <w:t>单位合同内需求的功能使用正常。</w:t>
            </w:r>
          </w:p>
          <w:p w14:paraId="198FE030">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模板文件有存放和备份机制，在紧急情况下可以及时修复或恢复。</w:t>
            </w:r>
          </w:p>
          <w:p w14:paraId="509163D6">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模板与数据库相分离，标签编写规范、技术成熟，提升查询效率，使用多种技术手段防止注入攻击，确保查询数据库、前台数据呈现的安全性。</w:t>
            </w:r>
          </w:p>
          <w:p w14:paraId="23A388A0">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对于访问者通过前台页面提交的任何数据，都要进行恶意代码检查。</w:t>
            </w:r>
          </w:p>
          <w:p w14:paraId="3707D2DB">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网站模板和数据必须有安全备份和恢复机制，确保灾难时能在很短的时间内及时恢复，确保网站的正常运行。</w:t>
            </w:r>
          </w:p>
          <w:p w14:paraId="71FF56DD">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网站底层程序的错误信息必须经过处理后再输出，防止将技术细节暴露给普通访问者。</w:t>
            </w:r>
          </w:p>
          <w:p w14:paraId="6F2C6494">
            <w:pPr>
              <w:keepNext w:val="0"/>
              <w:keepLines w:val="0"/>
              <w:pageBreakBefore w:val="0"/>
              <w:widowControl w:val="0"/>
              <w:numPr>
                <w:ilvl w:val="0"/>
                <w:numId w:val="29"/>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zh-CN" w:eastAsia="zh-CN" w:bidi="ar"/>
              </w:rPr>
              <w:t>通过前台页面注册、登录的密码或其它机密数据必须用成熟加密技术加密后才能写入Cookie，密码或其它机密数据必须用成熟加密技术加密后才能通过页面的表单进行传递。</w:t>
            </w:r>
          </w:p>
          <w:p w14:paraId="7DBAF608">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标签安全性</w:t>
            </w:r>
          </w:p>
          <w:p w14:paraId="23B1A63E">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标签中的HTML代码必须遵循和使用W3C标准规范，使用各种技术使页面兼容浏览器解析，使用跨平台的标准XML，可兼容各种平台。</w:t>
            </w:r>
          </w:p>
          <w:p w14:paraId="694E08E8">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标签技术规范、易用，以合理的参数控制减少标签的数量，一种标签可以适用多种前台页面应用效果，用参数控制表达所需效果便于扩展维护。</w:t>
            </w:r>
          </w:p>
          <w:p w14:paraId="34FBE150">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合理地运用技术手段，使标签数据查询、结构生成、样式呈现等各个环节紧密结合，提高标签整体的执行速度，高效实现特定的页面展示效果。</w:t>
            </w:r>
          </w:p>
          <w:p w14:paraId="133DD881">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bookmarkStart w:id="12" w:name="OLE_LINK7"/>
            <w:r>
              <w:rPr>
                <w:rFonts w:hint="eastAsia" w:ascii="宋体" w:hAnsi="宋体" w:eastAsia="宋体" w:cs="宋体"/>
                <w:color w:val="auto"/>
                <w:kern w:val="2"/>
                <w:sz w:val="21"/>
                <w:szCs w:val="21"/>
                <w:lang w:val="zh-CN" w:eastAsia="zh-CN" w:bidi="ar"/>
              </w:rPr>
              <w:t>在标签中使用防止SQL注入、过滤非法字符、连接字符串加密、防止远程访问和下载等多种技术手段，提高标签的安全</w:t>
            </w:r>
            <w:bookmarkEnd w:id="12"/>
            <w:r>
              <w:rPr>
                <w:rFonts w:hint="eastAsia" w:ascii="宋体" w:hAnsi="宋体" w:eastAsia="宋体" w:cs="宋体"/>
                <w:color w:val="auto"/>
                <w:kern w:val="2"/>
                <w:sz w:val="21"/>
                <w:szCs w:val="21"/>
                <w:lang w:val="zh-CN" w:eastAsia="zh-CN" w:bidi="ar"/>
              </w:rPr>
              <w:t>。</w:t>
            </w:r>
          </w:p>
          <w:p w14:paraId="43A0CBA6">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移动设备</w:t>
            </w:r>
          </w:p>
          <w:p w14:paraId="17CEC473">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移动终端操作系统多是安卓和ISO，对于视频、音乐播放等功能者有独特的终端性，移动终端因为屏幕明显要比电脑小，大量界面元素会极大影响用户的操作和体验，多动态、多图的网站将影响访问速度并消耗用户很多流量。因此在保留以上PC端网页设计基本特性外，移动终端前台页面设计和模板输出还应该满足如下要求：</w:t>
            </w:r>
          </w:p>
          <w:p w14:paraId="1EB54CEE">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zh-CN" w:eastAsia="zh-CN" w:bidi="ar"/>
              </w:rPr>
              <w:t>适配性</w:t>
            </w:r>
          </w:p>
          <w:p w14:paraId="19D27E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通过统一域名访问PC与移动设备网站，能适配各种终端的特点，界面设计和操作区域符合各种手机、平板等移动设备的屏幕特点，呈现出符合各种终端的显示效果。</w:t>
            </w:r>
          </w:p>
          <w:p w14:paraId="3210CD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各种移动终端中保持显示的一致性，有较好的用户视觉体验和较强的移动终端操作体验。</w:t>
            </w:r>
          </w:p>
          <w:p w14:paraId="68C0AC3B">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兼容性</w:t>
            </w:r>
          </w:p>
          <w:p w14:paraId="50F047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兼容各设备（IOS、安卓系统）各平台入口（浏览器、微信、支付宝等），兼容安卓、ios等不同系统的平台和不同屏幕分辨率的设备。移动设备网站符合用户浏览体验，并能在相关评比中提高网站分数。</w:t>
            </w:r>
          </w:p>
          <w:p w14:paraId="0C7A5D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前端代码遵循和使用W3C标准规范，使用HTML5等各种技术使页面兼容浏览器的解析：</w:t>
            </w:r>
          </w:p>
          <w:p w14:paraId="6EA593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操作系统：兼容主流智能手机（包括苹果IOS、安卓Android）。</w:t>
            </w:r>
          </w:p>
          <w:p w14:paraId="63E3FC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分辨率：兼容各种不同分辨率屏幕（屏幕大小从3寸至6寸，分辨率从320P至1080P）。</w:t>
            </w:r>
          </w:p>
          <w:p w14:paraId="0139A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10" w:firstLineChars="10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浏览器：兼容微软</w:t>
            </w:r>
            <w:r>
              <w:rPr>
                <w:rFonts w:hint="eastAsia" w:ascii="宋体" w:hAnsi="宋体" w:eastAsia="宋体" w:cs="宋体"/>
                <w:color w:val="auto"/>
                <w:kern w:val="2"/>
                <w:sz w:val="21"/>
                <w:szCs w:val="21"/>
                <w:lang w:val="en-US" w:eastAsia="zh-CN" w:bidi="ar"/>
              </w:rPr>
              <w:t>Edge</w:t>
            </w:r>
            <w:r>
              <w:rPr>
                <w:rFonts w:hint="eastAsia" w:ascii="宋体" w:hAnsi="宋体" w:eastAsia="宋体" w:cs="宋体"/>
                <w:color w:val="auto"/>
                <w:kern w:val="2"/>
                <w:sz w:val="21"/>
                <w:szCs w:val="21"/>
                <w:lang w:val="zh-CN" w:eastAsia="zh-CN" w:bidi="ar"/>
              </w:rPr>
              <w:t>、谷歌Chrome、360浏览器、搜狗浏览器、苹果Safari、UC浏览器、QQ浏览器、火狐Firefox、欧朋Opera等移动设备的浏览器。</w:t>
            </w:r>
          </w:p>
          <w:p w14:paraId="76EB19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1"/>
                <w:szCs w:val="21"/>
                <w:lang w:val="zh-CN" w:eastAsia="zh-CN" w:bidi="ar"/>
              </w:rPr>
            </w:pPr>
            <w:r>
              <w:rPr>
                <w:rFonts w:hint="eastAsia" w:ascii="宋体" w:hAnsi="宋体" w:eastAsia="宋体" w:cs="宋体"/>
                <w:color w:val="auto"/>
                <w:kern w:val="2"/>
                <w:sz w:val="21"/>
                <w:szCs w:val="21"/>
                <w:lang w:val="zh-CN" w:eastAsia="zh-CN" w:bidi="ar"/>
              </w:rPr>
              <w:t>APP内置浏览器：适配APP内浏览网站（包括微信、微博、手机QQ等）。</w:t>
            </w:r>
          </w:p>
          <w:p w14:paraId="40661C5E">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模板简约性</w:t>
            </w:r>
          </w:p>
          <w:p w14:paraId="1F365C46">
            <w:pPr>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有较强的针对性和目的性强，是PC网站的简约版，具备设计美观、布局清晰、板块简约、排版整齐、风格统一、视觉冲击力强等特点，呈现整体一致的视觉体验，传达客户的品牌形象。</w:t>
            </w:r>
          </w:p>
          <w:p w14:paraId="0F23B171">
            <w:pPr>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界面设计突出重点，简约明了，确保移动端访问速度快，传输数据量小，节省流量。</w:t>
            </w:r>
          </w:p>
          <w:p w14:paraId="3D3201C6">
            <w:pPr>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符合扁平化设计的主流设计风格，设计元素上强调抽象、极简、符号化，去除冗余的装饰效果，符合移动终端的显示特点。</w:t>
            </w:r>
          </w:p>
          <w:p w14:paraId="098691A7">
            <w:pPr>
              <w:keepNext w:val="0"/>
              <w:keepLines w:val="0"/>
              <w:pageBreakBefore w:val="0"/>
              <w:widowControl w:val="0"/>
              <w:numPr>
                <w:ilvl w:val="0"/>
                <w:numId w:val="32"/>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以内容优先合理设计界面，对界面布局、背景色、字体颜色大小、界面元素间距、弹层、loading、图标、按钮常态点击态等进行统一的设计规范。</w:t>
            </w:r>
          </w:p>
          <w:p w14:paraId="160A7F5C">
            <w:pPr>
              <w:keepNext w:val="0"/>
              <w:keepLines w:val="0"/>
              <w:widowControl/>
              <w:numPr>
                <w:ilvl w:val="0"/>
                <w:numId w:val="13"/>
              </w:numPr>
              <w:suppressLineNumbers w:val="0"/>
              <w:wordWrap w:val="0"/>
              <w:spacing w:before="0" w:beforeAutospacing="0" w:after="0" w:afterAutospacing="0" w:line="360" w:lineRule="auto"/>
              <w:ind w:left="425" w:right="0" w:hanging="425"/>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内容优先性</w:t>
            </w:r>
          </w:p>
          <w:p w14:paraId="0C933602">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提升移动终端屏幕空间的利用率，界面布局应以内容为核心，提供符合用户期望的内容。</w:t>
            </w:r>
          </w:p>
          <w:p w14:paraId="7588244C">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合理设计和组织内容，使内容符合移动的特征，让用户能快速理解移动应用所提供的内容。</w:t>
            </w:r>
          </w:p>
          <w:p w14:paraId="4AF36D28">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优先突出用户需要的信息，而简化页面的导航。适时提升屏幕空间的利用率。</w:t>
            </w:r>
          </w:p>
          <w:p w14:paraId="10A6AE3F">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界面设计要主次分明，将主流用户最常用的20%功能进行显现，适度隐藏功能。越不常用的功能，隐藏的层级越深（如微信的扫本机二维码），要尽量避免堆积式设计。</w:t>
            </w:r>
          </w:p>
          <w:p w14:paraId="2C80155E">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eastAsia="宋体"/>
                <w:color w:val="auto"/>
                <w:sz w:val="21"/>
                <w:szCs w:val="21"/>
                <w:lang w:val="en-US" w:eastAsia="zh-CN"/>
              </w:rPr>
            </w:pPr>
            <w:r>
              <w:rPr>
                <w:rFonts w:hint="eastAsia" w:ascii="宋体" w:hAnsi="宋体" w:eastAsia="宋体" w:cs="宋体"/>
                <w:color w:val="auto"/>
                <w:kern w:val="2"/>
                <w:sz w:val="21"/>
                <w:szCs w:val="21"/>
                <w:lang w:val="en-US" w:eastAsia="zh-CN" w:bidi="ar"/>
              </w:rPr>
              <w:t>减少设计层级以及深度。如果产品层级确实过深要扁平化网站层级结构：使用选项卡（tabs）结合分类和内容的展示；允许穿越层级操作（比如允许用户在第一层级对第二层级的内容进行直接操作）。</w:t>
            </w:r>
          </w:p>
        </w:tc>
      </w:tr>
      <w:tr w14:paraId="35CE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6E51819F">
            <w:pPr>
              <w:keepNext w:val="0"/>
              <w:keepLines w:val="0"/>
              <w:numPr>
                <w:ilvl w:val="0"/>
                <w:numId w:val="6"/>
              </w:numPr>
              <w:suppressLineNumbers w:val="0"/>
              <w:wordWrap w:val="0"/>
              <w:spacing w:before="0" w:beforeAutospacing="0" w:after="0" w:afterAutospacing="0" w:line="360" w:lineRule="auto"/>
              <w:ind w:left="425" w:leftChars="0" w:right="0" w:hanging="425" w:firstLineChars="0"/>
              <w:jc w:val="center"/>
              <w:rPr>
                <w:rFonts w:hint="eastAsia" w:ascii="宋体" w:hAnsi="宋体" w:eastAsia="宋体" w:cs="宋体"/>
                <w:bCs/>
                <w:color w:val="auto"/>
                <w:kern w:val="0"/>
                <w:sz w:val="21"/>
                <w:szCs w:val="21"/>
                <w:highlight w:val="none"/>
              </w:rPr>
            </w:pPr>
          </w:p>
        </w:tc>
        <w:tc>
          <w:tcPr>
            <w:tcW w:w="1093" w:type="dxa"/>
            <w:vAlign w:val="center"/>
          </w:tcPr>
          <w:p w14:paraId="555D992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标准模板要求</w:t>
            </w:r>
          </w:p>
        </w:tc>
        <w:tc>
          <w:tcPr>
            <w:tcW w:w="6437" w:type="dxa"/>
            <w:vAlign w:val="center"/>
          </w:tcPr>
          <w:p w14:paraId="63405800">
            <w:pPr>
              <w:pStyle w:val="34"/>
              <w:keepNext w:val="0"/>
              <w:keepLines w:val="0"/>
              <w:numPr>
                <w:ilvl w:val="0"/>
                <w:numId w:val="34"/>
              </w:numPr>
              <w:suppressLineNumbers w:val="0"/>
              <w:spacing w:before="0" w:beforeAutospacing="0" w:after="0" w:afterAutospacing="0" w:line="360" w:lineRule="auto"/>
              <w:ind w:right="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提供10套专题标准模板，用于专题制作，不含手机版。</w:t>
            </w:r>
          </w:p>
          <w:p w14:paraId="03915E43">
            <w:pPr>
              <w:pStyle w:val="34"/>
              <w:keepNext w:val="0"/>
              <w:keepLines w:val="0"/>
              <w:numPr>
                <w:ilvl w:val="0"/>
                <w:numId w:val="34"/>
              </w:numPr>
              <w:suppressLineNumbers w:val="0"/>
              <w:spacing w:before="0" w:beforeAutospacing="0" w:after="0" w:afterAutospacing="0" w:line="360" w:lineRule="auto"/>
              <w:ind w:right="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提供10套子站标准模板，用于子站模板制作，由学校从模板库中选择。每套模板包含pc版和手机版。</w:t>
            </w:r>
          </w:p>
          <w:p w14:paraId="27752C2A">
            <w:pPr>
              <w:pStyle w:val="34"/>
              <w:keepNext w:val="0"/>
              <w:keepLines w:val="0"/>
              <w:numPr>
                <w:ilvl w:val="0"/>
                <w:numId w:val="34"/>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模板库中至少提供100套模板供选择。</w:t>
            </w:r>
          </w:p>
        </w:tc>
      </w:tr>
      <w:tr w14:paraId="28A4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3917C2E1">
            <w:pPr>
              <w:keepNext w:val="0"/>
              <w:keepLines w:val="0"/>
              <w:numPr>
                <w:ilvl w:val="0"/>
                <w:numId w:val="6"/>
              </w:numPr>
              <w:suppressLineNumbers w:val="0"/>
              <w:wordWrap w:val="0"/>
              <w:spacing w:before="0" w:beforeAutospacing="0" w:after="0" w:afterAutospacing="0" w:line="360" w:lineRule="auto"/>
              <w:ind w:left="425" w:leftChars="0" w:right="0" w:hanging="425" w:firstLineChars="0"/>
              <w:jc w:val="center"/>
              <w:rPr>
                <w:rFonts w:hint="eastAsia" w:ascii="宋体" w:hAnsi="宋体" w:eastAsia="宋体" w:cs="宋体"/>
                <w:bCs/>
                <w:color w:val="auto"/>
                <w:kern w:val="0"/>
                <w:sz w:val="21"/>
                <w:szCs w:val="21"/>
                <w:highlight w:val="none"/>
              </w:rPr>
            </w:pPr>
          </w:p>
        </w:tc>
        <w:tc>
          <w:tcPr>
            <w:tcW w:w="1093" w:type="dxa"/>
            <w:vAlign w:val="center"/>
          </w:tcPr>
          <w:p w14:paraId="4EB8D7B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子站模板建设要求</w:t>
            </w:r>
          </w:p>
        </w:tc>
        <w:tc>
          <w:tcPr>
            <w:tcW w:w="6437" w:type="dxa"/>
            <w:vAlign w:val="center"/>
          </w:tcPr>
          <w:p w14:paraId="643F2900">
            <w:pPr>
              <w:pStyle w:val="34"/>
              <w:keepNext w:val="0"/>
              <w:keepLines w:val="0"/>
              <w:numPr>
                <w:ilvl w:val="0"/>
                <w:numId w:val="35"/>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子站标准模板建站服务（1项）：模板建站，选择子站标准模板对站群的10个子站进行配置：配置内容含：创建节点，配置模板，修改替换logo、banner、节点读取等信息，含手机版。</w:t>
            </w:r>
          </w:p>
          <w:p w14:paraId="635D70F2">
            <w:pPr>
              <w:pStyle w:val="34"/>
              <w:keepNext w:val="0"/>
              <w:keepLines w:val="0"/>
              <w:numPr>
                <w:ilvl w:val="0"/>
                <w:numId w:val="35"/>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子站模板修改服务（1项）：基于现有模板的基础上，按照新的栏目框架，重新调整首页各模块，包括模块删减或新增，网站整体风格保持不变，</w:t>
            </w:r>
            <w:r>
              <w:rPr>
                <w:rFonts w:hint="eastAsia" w:ascii="宋体" w:hAnsi="宋体"/>
                <w:color w:val="auto"/>
                <w:sz w:val="21"/>
                <w:szCs w:val="21"/>
                <w:highlight w:val="none"/>
                <w:lang w:val="en-US" w:eastAsia="zh-CN"/>
              </w:rPr>
              <w:t>含手机版修改</w:t>
            </w:r>
            <w:r>
              <w:rPr>
                <w:rFonts w:hint="eastAsia" w:ascii="宋体" w:hAnsi="宋体" w:eastAsia="宋体" w:cs="宋体"/>
                <w:color w:val="auto"/>
                <w:sz w:val="21"/>
                <w:szCs w:val="21"/>
                <w:highlight w:val="none"/>
                <w:lang w:val="en-US" w:eastAsia="zh-CN"/>
              </w:rPr>
              <w:t>。</w:t>
            </w:r>
          </w:p>
          <w:p w14:paraId="5D1094B2">
            <w:pPr>
              <w:pStyle w:val="34"/>
              <w:keepNext w:val="0"/>
              <w:keepLines w:val="0"/>
              <w:numPr>
                <w:ilvl w:val="0"/>
                <w:numId w:val="35"/>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前端代码遵循和使用W3C标准规范，使用各种技术使页面兼容浏览器的解析。PC端网站在Internet Explorer（IE9以上IE浏览器）、Firefox、Chrome 主流浏览器，同时可以兼顾测试Opera、Safari等浏览器，360、搜狗等第三方浏览器。使用浏览器访问并测试网页前台效果，网页显示效果一致。</w:t>
            </w:r>
          </w:p>
        </w:tc>
      </w:tr>
      <w:tr w14:paraId="3CB7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015B7A18">
            <w:pPr>
              <w:keepNext w:val="0"/>
              <w:keepLines w:val="0"/>
              <w:numPr>
                <w:ilvl w:val="0"/>
                <w:numId w:val="6"/>
              </w:numPr>
              <w:suppressLineNumbers w:val="0"/>
              <w:wordWrap w:val="0"/>
              <w:spacing w:before="0" w:beforeAutospacing="0" w:after="0" w:afterAutospacing="0" w:line="360" w:lineRule="auto"/>
              <w:ind w:left="425" w:leftChars="0" w:right="0" w:hanging="425" w:firstLineChars="0"/>
              <w:jc w:val="center"/>
              <w:rPr>
                <w:rFonts w:hint="eastAsia" w:ascii="宋体" w:hAnsi="宋体" w:eastAsia="宋体" w:cs="宋体"/>
                <w:bCs/>
                <w:color w:val="auto"/>
                <w:kern w:val="0"/>
                <w:sz w:val="21"/>
                <w:szCs w:val="21"/>
                <w:highlight w:val="none"/>
              </w:rPr>
            </w:pPr>
          </w:p>
        </w:tc>
        <w:tc>
          <w:tcPr>
            <w:tcW w:w="1093" w:type="dxa"/>
            <w:shd w:val="clear" w:color="auto" w:fill="auto"/>
            <w:vAlign w:val="center"/>
          </w:tcPr>
          <w:p w14:paraId="174A02C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网站数据迁移要求</w:t>
            </w:r>
          </w:p>
        </w:tc>
        <w:tc>
          <w:tcPr>
            <w:tcW w:w="6437" w:type="dxa"/>
            <w:shd w:val="clear" w:color="auto" w:fill="auto"/>
            <w:vAlign w:val="center"/>
          </w:tcPr>
          <w:p w14:paraId="719D1771">
            <w:pPr>
              <w:keepNext w:val="0"/>
              <w:keepLines w:val="0"/>
              <w:widowControl/>
              <w:numPr>
                <w:ilvl w:val="0"/>
                <w:numId w:val="0"/>
              </w:numPr>
              <w:suppressLineNumbers w:val="0"/>
              <w:wordWrap w:val="0"/>
              <w:spacing w:before="0" w:beforeAutospacing="0" w:after="0" w:afterAutospacing="0" w:line="360" w:lineRule="auto"/>
              <w:ind w:left="0" w:leftChars="0" w:right="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结合我校门户主页和各子站改版需求，对各站点数据进行迁移和调整，确保数据安全性和完整性。</w:t>
            </w:r>
          </w:p>
        </w:tc>
      </w:tr>
      <w:tr w14:paraId="2DE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0D89ED88">
            <w:pPr>
              <w:keepNext w:val="0"/>
              <w:keepLines w:val="0"/>
              <w:numPr>
                <w:ilvl w:val="0"/>
                <w:numId w:val="6"/>
              </w:numPr>
              <w:suppressLineNumbers w:val="0"/>
              <w:wordWrap w:val="0"/>
              <w:spacing w:before="0" w:beforeAutospacing="0" w:after="0" w:afterAutospacing="0" w:line="360" w:lineRule="auto"/>
              <w:ind w:left="425" w:leftChars="0" w:right="0" w:hanging="425" w:firstLineChars="0"/>
              <w:jc w:val="center"/>
              <w:rPr>
                <w:rFonts w:hint="eastAsia" w:ascii="宋体" w:hAnsi="宋体" w:eastAsia="宋体" w:cs="宋体"/>
                <w:bCs/>
                <w:color w:val="auto"/>
                <w:kern w:val="0"/>
                <w:sz w:val="21"/>
                <w:szCs w:val="21"/>
                <w:highlight w:val="none"/>
              </w:rPr>
            </w:pPr>
          </w:p>
        </w:tc>
        <w:tc>
          <w:tcPr>
            <w:tcW w:w="1093" w:type="dxa"/>
            <w:vAlign w:val="center"/>
          </w:tcPr>
          <w:p w14:paraId="2C5AD4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接口服务要求</w:t>
            </w:r>
          </w:p>
        </w:tc>
        <w:tc>
          <w:tcPr>
            <w:tcW w:w="6437" w:type="dxa"/>
            <w:vAlign w:val="center"/>
          </w:tcPr>
          <w:p w14:paraId="2DEB5312">
            <w:pPr>
              <w:pStyle w:val="34"/>
              <w:keepNext w:val="0"/>
              <w:keepLines w:val="0"/>
              <w:numPr>
                <w:ilvl w:val="0"/>
                <w:numId w:val="36"/>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网站群平台增加支持接入我校目前已用内容预审平台接口服务。配置接口时支持接口测试功能。</w:t>
            </w:r>
          </w:p>
          <w:p w14:paraId="1D227A59">
            <w:pPr>
              <w:pStyle w:val="34"/>
              <w:keepNext w:val="0"/>
              <w:keepLines w:val="0"/>
              <w:numPr>
                <w:ilvl w:val="0"/>
                <w:numId w:val="36"/>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内容审核通知提醒方式手机短信通知、邮件通知、站内信通知外，增加微信公众号消息通知接口、企业微信消息通知接口等第三方接口给管理员和网站用户发送消息通知。</w:t>
            </w:r>
          </w:p>
        </w:tc>
      </w:tr>
      <w:tr w14:paraId="4F01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49AF15E4">
            <w:pPr>
              <w:keepNext w:val="0"/>
              <w:keepLines w:val="0"/>
              <w:numPr>
                <w:ilvl w:val="0"/>
                <w:numId w:val="6"/>
              </w:numPr>
              <w:suppressLineNumbers w:val="0"/>
              <w:wordWrap w:val="0"/>
              <w:spacing w:before="0" w:beforeAutospacing="0" w:after="0" w:afterAutospacing="0" w:line="360" w:lineRule="auto"/>
              <w:ind w:left="425" w:leftChars="0" w:right="0" w:hanging="425" w:firstLineChars="0"/>
              <w:jc w:val="center"/>
              <w:rPr>
                <w:rFonts w:hint="eastAsia" w:ascii="宋体" w:hAnsi="宋体" w:eastAsia="宋体" w:cs="宋体"/>
                <w:bCs/>
                <w:color w:val="auto"/>
                <w:kern w:val="0"/>
                <w:sz w:val="21"/>
                <w:szCs w:val="21"/>
                <w:highlight w:val="none"/>
              </w:rPr>
            </w:pPr>
          </w:p>
        </w:tc>
        <w:tc>
          <w:tcPr>
            <w:tcW w:w="1093" w:type="dxa"/>
            <w:vAlign w:val="center"/>
          </w:tcPr>
          <w:p w14:paraId="42F1283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内容功能增加和完善服务要求</w:t>
            </w:r>
          </w:p>
        </w:tc>
        <w:tc>
          <w:tcPr>
            <w:tcW w:w="6437" w:type="dxa"/>
            <w:vAlign w:val="center"/>
          </w:tcPr>
          <w:p w14:paraId="1A38F417">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优化现有网站群系统响应速度，网站群访问速度符合7.《性能和负载能力指标要求》。</w:t>
            </w:r>
          </w:p>
          <w:p w14:paraId="39276B6D">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优化站群全文检索功能，对网站检索进行分类引导，按照类别对用户检索内容进行归类整理，清晰引导用户进行查阅。新增搜索热词自动排序和显示、敏感词拦截、防暴力搜索等功能。新增针对网站内上传附件（包括文本文件、Word 文档及 PDF 格式文件）的内容搜索功能。</w:t>
            </w:r>
          </w:p>
          <w:p w14:paraId="7597034C">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增加大屏数据展示功能，实时呈现网站运行和扫描网站绩效考核要点的监测实况，主要含网站PU、PV、连通率、连通排行、栏目更新排行，栏目更新、内容发布、报送量、互动发布等统计数据。</w:t>
            </w:r>
          </w:p>
          <w:p w14:paraId="6A633309">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增加无障碍访问功能，包括辅助浏览功能，语音指读/连读功能；读屏专用功能。网站智能语音朗读功能在客户端浏览器不需要安装任何插件。手机版页面也要支持无障碍访问。</w:t>
            </w:r>
          </w:p>
          <w:p w14:paraId="5E80D1A3">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增加当节点下有待审核内容时，在节点及其父节点的节点名称后显示红点提醒功能，以提醒管理员及时审核。节点配置模板时增加持预览模板效果，模板预览时增加切换PC、手机、PAD设备。</w:t>
            </w:r>
          </w:p>
          <w:p w14:paraId="5AAD0C6F">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导入和导出节点功能。导出节点时可以设置导出的字段、导出的数据范围（全部数据/符合筛选条件的数据/列表中选中的数据）、导出的文件格式（Excel/CSV/XML/Json/压缩包Zip），确认后再按照指定的条件来导出数据。导出的文件格式为“压缩包Zip”时，可将节点描述中附带的图片、视频和其他附件一并打包。</w:t>
            </w:r>
          </w:p>
          <w:p w14:paraId="57ACB0D5">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升级内容编辑文章时支持Word/PDF/Markdown文档一键导入的功能，可以使用导入的Word/PDF/Markdown文件名作为标题，文档内容直接导入到编辑器且保留源格式和表格，Word、PDF中的图片自动上传到服务器上。导入的Word文档格式应支持.docx、.doc、.wps（金山WPS的文档格式），导入时应支持设置“将文件名/内容第一行设置为标题、将标题从内容中去除、自动获取内容中的第一张图片为封面图片、格式清理（清除格式、首行缩进、清除字号、清除字体、清除链接、清除图片）”等选项。</w:t>
            </w:r>
          </w:p>
          <w:p w14:paraId="38FCFB9C">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支持批量导入/导出Markdown文档功能。</w:t>
            </w:r>
          </w:p>
          <w:p w14:paraId="2DE3FD01">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网站内容的定时发布和定时取消发布功能，增加“可以直接在前台内容页点击链接进入后台编辑内容”功能。内容审核增加文章批量终审通过、批量终审通过且发布等操作。增加对转向链接的文章/图片/视频也可以统计和查看点击数功能。清理外链增加先扫描后清理、直接扫描并清理两种模式。</w:t>
            </w:r>
          </w:p>
          <w:p w14:paraId="2DFC4D42">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★新增支持复制Markdown格式文本到编辑器时自动转换为HTML格式。支持在编辑器中插入代码块。代码块应支持各种常见编程语言（如C/C++、C#、JAVA、Jscript、PHP、Python等）和Markdown。</w:t>
            </w:r>
          </w:p>
          <w:p w14:paraId="2C025559">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内容管理模块增加内容大纲（目录）功能。内容编辑时可以开启/关闭“目录”。当打开“目录”以后，在编辑器的左侧会显示内容的目录结构（自动根据内容中设置的“标题1~6”来自动生成文档的目录结构），并在内容目录结构发生变化时同步更新。增加插入的视频在编辑器中也可以直接播放的功能。</w:t>
            </w:r>
          </w:p>
          <w:p w14:paraId="0E1066E1">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网站数据导出功能。导出数据时可以设置导出的字段、导出的数据范围（全部数据/符合筛选条件的数据/列表中选中的数据）、导出的文件格式（Excel/CSV/XML/Json/压缩包Zip）导出的文件格式为“压缩包Zip”时，在导出时除了导出文章记录以外，还将内容中附带的图片、视频和其他附件一并打包，以用于在两个平台之间快速迁移数据。增加导出文章到Word/PDF功能，在将文章导出到Word文档时，除了文章标题和内容以外，还将内容中的图片也一并打包进Word文档中，以方便再导入到其他平台中。批量导出文章到Word时，增加打包成压缩包下载。</w:t>
            </w:r>
          </w:p>
          <w:p w14:paraId="76D0BAB0">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批量导入文章功能。支持从Excel、CSV、XML、Json、压缩包zip等文件中导入文章，以用于在两个平台之间快速迁移数据。导入时支持覆盖标题相同的文章，设置文章的审核状态。导入的字段支持扩展字段。导入时遇到出错的记录可以跳过错误继续导入，同时将出错的记录添加到另外的Excel文件中（字段与原文件保持一致，增加错误信息字段用于显示具体的错误原因），导入结果页面显示出错记录的行号与错误原因。</w:t>
            </w:r>
          </w:p>
          <w:p w14:paraId="1B120273">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新增支持批量清理内容格式功能。对于清理过内容格式的内容，有相关的历史记录。支持批量清理内容格式日志功能，详细记录清理内容格式的时间、被清理的内容的ID、标题，字段。清理时支持设置清理的数据范围（按内容模型、节点勾选），支持设置“清除格式、清除字号、清除字体、清除空行、清除图片、首行缩进、图片居中、上传文件的地址转为小写、Base64图片转换为本地图片、使用AI从文章内容中提取摘要并替换掉原简介、使用AI从文章内容中提取关键词并替换掉原关键词”等清理选项。</w:t>
            </w:r>
          </w:p>
          <w:p w14:paraId="3D8B8EC9">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支持批量综合处理功能。可以一次性将指定的内容模型中的文本型字段含有指定关键词的记录全部查询出来，并将结果缓存起来，然后以站内短消息和邮件方式通知执行操作的管理员进行处理。对于找到的记录，支持“修改、从清单中移除”操作，以及相应的批量操作。修改页只显示匹配关键字的具体字段，只提供“保存修改结果并从清单排除”操作。支持日志功能，详细记录批量处理的内容的ID、标题、相应字段。</w:t>
            </w:r>
          </w:p>
          <w:p w14:paraId="13D94F1F">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增加页面区块管理功能，实现增加、修改、删除页面区块，对页面区块进行可视化的内容编辑。增加自动保存页面区块历史记录功能，页面区块历史记录可查阅和恢复。增加页面区块内容历史记录的对比，对比时支持可视化对比、HTML对比、CSS对比三种模式。支持页面区块权限控制。页面区块可以设置责任编辑（从所属角色权限含有“区块内容编辑”的管理员中选择）。</w:t>
            </w:r>
          </w:p>
          <w:p w14:paraId="2D881A9F">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升级内容模型，各内容模型增加根据需要设计模型特有字段，比如文章类模型支持内容字段，图集模型支持图片集字段，视频模型支持视频地址、待播放时画面等字段。</w:t>
            </w:r>
          </w:p>
          <w:p w14:paraId="1021CCCB">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升级扩展字段功能，扩展字段增加支持以下数据类型和控件样式：布尔型(复选框、按钮组、下拉列表框、单选框、开关)、日期时间（日期、日期时间、生日）、整数型（整数输入框、单选框、下拉列表、单选列表框、双向列表框）、浮点型（浮点型输入框、金额输入框）、短文本（标准单行文本输入框、复选框、下拉列表框、列表框、双向列表框、组合输入框）、长文本（标准多行文本输入框（不支持HTML）、HTML编辑器）、文件上传（单图片上传、多图片上传、单视频上传、多视频上传、单音频上传、多音频上传、单文件上传、多文件上传）、常用信息（姓名、身份证、电子邮件、手机号码、电话号码、QQ号码、邮政编码、网页地址、行政区划）、生活场景（IP地址、车牌号码、地理位置、颜色、航班、火车车次）、特殊字段（联动字段）。</w:t>
            </w:r>
          </w:p>
          <w:p w14:paraId="513B78C4">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信息报送系统新增支持配置子站报送到主站且已采用的内容允许撤回和修改。新增支持手机等移动设备访问和信息报送，并为移动设备优化的用户界面和功能设计，以方便用手机等移动设备进行信息报送和对报送的稿件进行管理。手机版的功能为PC版功能的子集，但至少应该提供内容管理的文章/视频/图片/公开信息等内容模型的报送及报送稿件管理，相关列表页的手机版应提供内容模型切换、筛选和批量操作等功能。</w:t>
            </w:r>
          </w:p>
          <w:p w14:paraId="61C502F4">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调查问卷模块增加编辑时切换PC、手机、PAD设备下的编辑和预览效果功能，可以添加、修改、删除题目，支持题目排序，支持查看调查问卷大纲。题目类型支持选择题（包括单选、多选、下拉列表、日期、量表、图片选择等）、填空题（包括单行文本、多行文本、多项填空、横向填空等）、打分排序题（包括评价题、打分题、NPS题、排序题、比重题等）、个人信息题（包括姓名、性别、身份证、年龄、电子邮件、手机号码、电话号码、QQ、邮政编码、行政区划等）、生活场景题（包括IP地址、车牌号码、地理位置、颜色、航班、火车车次等）、文件上传题（包括图片上传、音频上传、视频上传、文件上传等）等题目类型。</w:t>
            </w:r>
          </w:p>
          <w:p w14:paraId="6A622BBE">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完善在线表单模块，功能调整为单管理、表单分类管理、表单设计、填写表单、表单数据管理、表单配置等功能子模块。通过在后台导入EXCEL数据，可以设定表单项在前台查询。支持所见即所得的表单设计界面，编辑表单时支持切换PC、手机、PAD设备下的编辑和预览效果，可添加、修改、删除表单项，可以对表单项排序，可查看表单大纲。表单项包括输入类控件（包括单行文本、多行文本、编辑器、日期时间、时间、日期、生日、浮点值、整数、金额等）、选择类控件（包括单选、多选、列表框、下拉列表框、双向列表框、组合输入框、按扭组、开关等）、文件上传控件（包括图片上传、音频上传、视频上传、文件上传等）、个人信息类控件（包括姓名、性别、身份证、年龄、电子邮件、手机号码、电话号码、QQ、邮政编码、行政区划、网页地址等）、生活场景控件（包括IP地址、车牌号码、地理位置、颜色、航班、火车车次等）等表单项类型。</w:t>
            </w:r>
          </w:p>
          <w:p w14:paraId="2FDAA272">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在创建站点增加“克隆现有站点模板、从平台模板方案库中导入、从云模板库中下载并导入、上传本地模板方案并导入”等多种模板导入方式，可以快速的创建站点并导入模板和数据。</w:t>
            </w:r>
          </w:p>
          <w:p w14:paraId="450D01E9">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集中展现和配置所有和安全相关的安全中心功能。安全中心包括“安全审计、攻击防御、系统体检、内容检查管理、IP访问限定配置、安全配置”等几大模块。安全中心首页应显示当前系统体检的分数和状态，以及“昨天/今天/3天/7天/30天/自定义范围”的CC攻击、SQL注入攻击、XSS攻击、爬虫和漏洞扫描等统计数据和攻击趋势折线图。系统体检扫描检查项目包括但不限于：运行环境检查、安全配置检查、目录权限检查、文件对比、恶意文件扫描、模板文件规范性检测、模板文件错误配置检测。体检扫描完成后，会根据各种预设规则对各个检查项目的结果进行评价和打分，并生成相应的体检报告。</w:t>
            </w:r>
          </w:p>
          <w:p w14:paraId="3122CA95">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增加恶意文件扫描功能，可以手动或每天定时自动扫描网站中存在的恶意文件（包括但不限于一句话木马、WebShell、扩展名与实际文件类型不符的文件），对于找到的恶意文件，提供查看文件内容、快速清理与设为误报功能。</w:t>
            </w:r>
          </w:p>
          <w:p w14:paraId="259B0FCB">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增加文件对比功能，用来比较网站的每个文件与官方发布的产品包文件之间的差异情况。文件对比界面应与Beyond Compare相似，用不同颜色来显示网站本地独有的文件、官方独有的文件以及网站本地与官方不同的文件。</w:t>
            </w:r>
          </w:p>
          <w:p w14:paraId="33DA712D">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升级后的网站群系统增加主动拦截爬虫和漏洞扫描的功能。支持查看和清理爬虫和漏洞扫描日志。查看日志时可以直接在列表中显示攻击者IP及IP归属地。支持爬虫和漏洞扫描IP统计、爬虫和漏洞扫描趋势统计。</w:t>
            </w:r>
          </w:p>
          <w:p w14:paraId="521E0348">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网站内容搜索增加在“文件内容中搜索”功能。对于.doc、.docx、.wps、.pdf、.pptx、.txt、和.xlsx格式文档，可以搜索文件内容中存在搜索关键字的文件，搜索时支持区分大小写、全字匹配、使用正则表达式限定搜索范围。搜索任务按队列执行，以支持多人同时搜索且不过高占用服务器资源。可以在文件内容搜索结果页直接预览文件内容并定位搜索结果。</w:t>
            </w:r>
          </w:p>
          <w:p w14:paraId="591B165E">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广告管理增加支持视频类型。</w:t>
            </w:r>
          </w:p>
          <w:p w14:paraId="2683801D">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绩效统计报表子系统新增信访信件办理统计，支持自定义时间段统计信访办理部门的受理数、办理数、办结数、办结率等统计项，支持统计项的数据导入和打印。新增支持节点录用量统计、节点录用量排行，新增全站用户浏览记录，支持按照节点、文章、用户组、用户来筛选和搜索用户浏览记录。</w:t>
            </w:r>
          </w:p>
          <w:p w14:paraId="041D4861">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增加手动清理垃圾上传文件功能。清理时将文件移到“回收站”文件夹中，按原来的文件路径进行保存，需要时可进行文件恢复。支持“快速清理”和“深度清理”，可查看垃圾文件清理日志。</w:t>
            </w:r>
          </w:p>
          <w:p w14:paraId="5F89AA50">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增加网站前台页面和后台页面支持手机访问时强制切换到PC版。后台页面在手机访问并强制切换为PC版时，保证功能基本可用，且无需放大缩小页面。</w:t>
            </w:r>
          </w:p>
          <w:p w14:paraId="486498C3">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增加全站群开启/关闭“生成和发布静态HTML”功能。可按站点开启/关闭生成HTML功能，允许部分或全部站点开启生成HTML功能。增加对同一个页面同时生成PC版、手机版、PAD版等多种移动设备的HTML页面，在生成HTML模式下当PC、手机、PAD等不同设备访问同一URL时仍能显示与之最适配的页面。</w:t>
            </w:r>
          </w:p>
          <w:p w14:paraId="3E597DB8">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内容检查模块增加错别字、敏感词、非法链接的云端共享中心。网站平台在接入共享中心以后，即可每天定时上传网站平台中的新增错别字、敏感词和非法链接给共享中心，并从共享中心接收其他网站共享出来的错别字、敏感词和非法链接，从而让网站维护工作量降低。增加错别字和敏感词审核，对于站点上报的错别字或敏感词，或者从共享中心接收的错别字或敏感词，审核通过后才加入词库。增加敏感词例外管理，增加错别字 “例外情况”的设置。</w:t>
            </w:r>
          </w:p>
          <w:p w14:paraId="27DFA372">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增加网站的前台页面定时开启和关闭变色（变灰）功能。可以设置网页变色效果的开始时间和结束时间，到时间系统自动将网页变色或恢复正常。可以设置关闭网站前台的开始时间和结束时间，到时系统自动关闭网站前台或恢复正常。管理员可在后台设置关闭前台时显示的信息，可设置每天定时关闭或者长时间关闭。可设置白名单内的ip访问时不关闭，或者内网访问时不关闭。支持网站前台互动交流功能的定时开启和关闭。管理员可在后台设置关闭的起止时间、关闭时显示的信息，以及关闭哪些互动交流功能模块。到时系统自动关闭指定的网站前台互动交流功能或恢复正常。</w:t>
            </w:r>
          </w:p>
          <w:p w14:paraId="47403AF3">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color w:val="auto"/>
                <w:sz w:val="21"/>
                <w:szCs w:val="21"/>
                <w:highlight w:val="none"/>
                <w:lang w:val="en-US" w:eastAsia="zh-CN"/>
              </w:rPr>
              <w:t>完善模板管理功能，新增模板备份/还原。支持平台级和站点级两级备份/还原。支持定时自动备份和对过期备份包文件的自动清理。新增模板调用关系检测，以快速查阅所有模板文件的调用信息（哪些节点/内容绑定了此模板），快速筛选出还没有被调用的模板文件。新增模板错误配置检测，以快速高效的检查出模板方案中遗漏缺失的模板文件。新增模板文件规范性检查，以快速排查所有模板文件是否存在未按照规范制作的问题。新增自动保存模板历史记录功能。支持手动保存模板历史记录功能。支持模板历史记录的查阅和恢复。支持模板历史记录的对比。支持全自动维护模板文件历史记录。支持查阅已删除模板文件的历史记录。增加从本地上传模板和从云端模板库下载模板到平台两种方案。增加将模板方案应用到站点，对于已经有模板的站点则是替换掉站点现有模板方案。增加模板方案一键打包工具，可以将平台中的某个站点的模板文件、风格文件、栏目和内容数据、与数据相关的上传文件等一起打包成模板方案。</w:t>
            </w:r>
          </w:p>
          <w:p w14:paraId="76943583">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新增AI创作助手功能</w:t>
            </w:r>
          </w:p>
          <w:p w14:paraId="3BEE1F68">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提供一个AI创作助手，供后台文章编辑和创作中心投稿时使用，AI创作助手至少提供这些功能：内容编辑时调用AI进行润色、扩写、缩写、提取摘要、提取关键词、生成全新的文章、根据简介生成封面图片、生成图片并插入到文章内容中。可以配置功能开启开关、接入的生成文本、生成图片的大模型API接口以及相关参数，以灵活切换不同的大模型。大模型至少支持DeepSeek、腾讯混元、OpenAI、豆包等。支持配置和管理“AI续写、润色、扩写、缩写、总结、提取简介、提取关键词、生成封面图片、翻译”等各种AI功能的提示词模板，以及生成各种类型图片的提示词模板。</w:t>
            </w:r>
          </w:p>
          <w:p w14:paraId="22FEC6D3">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新增SEO（搜索引擎优化）支撑功能</w:t>
            </w:r>
          </w:p>
          <w:p w14:paraId="51E68408">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一个SEO友好的门户网站管理系统应该是将SEO的最佳实践内化到系统的每一个环节，在技术架构上无硬伤，且提供了全面、自动化、可视化的SEO功能。这样，基于这套系统构建的门户网站才能在激烈的搜索引擎排名竞争中占据绝对优势。具体有以下要求：</w:t>
            </w:r>
          </w:p>
          <w:p w14:paraId="5529A087">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全站的URL应支持无扩展名，URL层级不宜过深，尽量短小精悍，以提高搜索引擎的收录权重。</w:t>
            </w:r>
          </w:p>
          <w:p w14:paraId="4FF72758">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栏目页、内容页的地址的默认规则（路径和文件名）应合理，并支持自定义。</w:t>
            </w:r>
          </w:p>
          <w:p w14:paraId="6BA2633F">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应支持生成静态HTML页面，或者支持伪静态URL，并尽量杜绝带有参数的动态URL（如 article?id=123），而是使用伪静态URL（如article_123）。</w:t>
            </w:r>
          </w:p>
          <w:p w14:paraId="33B33B3F">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应支持移动设备适配，不为移动网站启用专门的二级域名，而是在保持同一域名、同一URL的前提下，针对不同设备可以提供为之专门优化的页面。</w:t>
            </w:r>
          </w:p>
          <w:p w14:paraId="69BD6495">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站点、节点（栏目）应该都可以设置SEO所必需的Meta标题、Meta描述、Meta关键词等相关信息；所有页面模板中应提供全面的SEO所需要的各种Meta数据标签，并自动调用网站群平台的相关数据。</w:t>
            </w:r>
          </w:p>
          <w:p w14:paraId="433A8900">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应支持根据关键词自动或手动推荐站内相关文章，以方便构建内部链接结构。</w:t>
            </w:r>
          </w:p>
          <w:p w14:paraId="285D34F6">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每个页面顶部应该提供清晰的面包屑导航，明确告知用户和搜索引擎当前所在位置，并方便回溯。</w:t>
            </w:r>
          </w:p>
          <w:p w14:paraId="3B898000">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应支持标记（Tag）管理，并可通过标记来分类筛选，从而在“栏目”以外提供另一种分类方式。</w:t>
            </w:r>
          </w:p>
          <w:p w14:paraId="60144792">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系统应能自动生成并更新 sitemap.xml 站点地图文件，以方便搜索引擎发现所有重要页面。站点地图文件的内容应该是可以配置和自定义的。</w:t>
            </w:r>
          </w:p>
          <w:p w14:paraId="0201E64A">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应提供</w:t>
            </w:r>
            <w:r>
              <w:rPr>
                <w:rFonts w:hint="default" w:ascii="宋体" w:hAnsi="宋体"/>
                <w:color w:val="auto"/>
                <w:sz w:val="21"/>
                <w:szCs w:val="21"/>
                <w:highlight w:val="none"/>
                <w:lang w:val="en-US" w:eastAsia="zh-CN"/>
              </w:rPr>
              <w:t>Robots.txt 文件</w:t>
            </w:r>
            <w:r>
              <w:rPr>
                <w:rFonts w:hint="eastAsia" w:ascii="宋体" w:hAnsi="宋体"/>
                <w:color w:val="auto"/>
                <w:sz w:val="21"/>
                <w:szCs w:val="21"/>
                <w:highlight w:val="none"/>
                <w:lang w:val="en-US" w:eastAsia="zh-CN"/>
              </w:rPr>
              <w:t>，</w:t>
            </w:r>
            <w:r>
              <w:rPr>
                <w:rFonts w:hint="default" w:ascii="宋体" w:hAnsi="宋体"/>
                <w:color w:val="auto"/>
                <w:sz w:val="21"/>
                <w:szCs w:val="21"/>
                <w:highlight w:val="none"/>
                <w:lang w:val="en-US" w:eastAsia="zh-CN"/>
              </w:rPr>
              <w:t>允许管理员灵活配置，指导搜索引擎哪些目录可以或不可以抓取。</w:t>
            </w:r>
          </w:p>
          <w:p w14:paraId="518DCE2C">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模板代码中应该使用</w:t>
            </w:r>
            <w:r>
              <w:rPr>
                <w:rFonts w:hint="default" w:ascii="宋体" w:hAnsi="宋体"/>
                <w:color w:val="auto"/>
                <w:sz w:val="21"/>
                <w:szCs w:val="21"/>
                <w:highlight w:val="none"/>
                <w:lang w:val="en-US" w:eastAsia="zh-CN"/>
              </w:rPr>
              <w:t>规范的HTML标签</w:t>
            </w:r>
            <w:r>
              <w:rPr>
                <w:rFonts w:hint="eastAsia" w:ascii="宋体" w:hAnsi="宋体"/>
                <w:color w:val="auto"/>
                <w:sz w:val="21"/>
                <w:szCs w:val="21"/>
                <w:highlight w:val="none"/>
                <w:lang w:val="en-US" w:eastAsia="zh-CN"/>
              </w:rPr>
              <w:t>，</w:t>
            </w:r>
            <w:r>
              <w:rPr>
                <w:rFonts w:hint="default" w:ascii="宋体" w:hAnsi="宋体"/>
                <w:color w:val="auto"/>
                <w:sz w:val="21"/>
                <w:szCs w:val="21"/>
                <w:highlight w:val="none"/>
                <w:lang w:val="en-US" w:eastAsia="zh-CN"/>
              </w:rPr>
              <w:t>使用语义化标签（如 &lt;header&gt;, &lt;nav&gt;, &lt;article&gt;, &lt;section&gt;, &lt;footer&gt;）。</w:t>
            </w:r>
          </w:p>
          <w:p w14:paraId="615A75BC">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w:t>
            </w:r>
            <w:r>
              <w:rPr>
                <w:rFonts w:hint="default" w:ascii="宋体" w:hAnsi="宋体"/>
                <w:color w:val="auto"/>
                <w:sz w:val="21"/>
                <w:szCs w:val="21"/>
                <w:highlight w:val="none"/>
                <w:lang w:val="en-US" w:eastAsia="zh-CN"/>
              </w:rPr>
              <w:t>提供友好的404错误页面，并引导用户返回有效内容。</w:t>
            </w:r>
            <w:r>
              <w:rPr>
                <w:rFonts w:hint="eastAsia" w:ascii="宋体" w:hAnsi="宋体"/>
                <w:color w:val="auto"/>
                <w:sz w:val="21"/>
                <w:szCs w:val="21"/>
                <w:highlight w:val="none"/>
                <w:lang w:val="en-US" w:eastAsia="zh-CN"/>
              </w:rPr>
              <w:t>404错误页面的内容可以自定义。</w:t>
            </w:r>
          </w:p>
          <w:p w14:paraId="14F5F12E">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编辑文章时，应支持自动提取关键词和摘要，应支持重复标题检查，应支持</w:t>
            </w:r>
            <w:r>
              <w:rPr>
                <w:rFonts w:hint="default" w:ascii="宋体" w:hAnsi="宋体"/>
                <w:color w:val="auto"/>
                <w:sz w:val="21"/>
                <w:szCs w:val="21"/>
                <w:highlight w:val="none"/>
                <w:lang w:val="en-US" w:eastAsia="zh-CN"/>
              </w:rPr>
              <w:t>在编辑器中方便地设置H1, H2, H3等</w:t>
            </w:r>
            <w:r>
              <w:rPr>
                <w:rFonts w:hint="eastAsia" w:ascii="宋体" w:hAnsi="宋体"/>
                <w:color w:val="auto"/>
                <w:sz w:val="21"/>
                <w:szCs w:val="21"/>
                <w:highlight w:val="none"/>
                <w:lang w:val="en-US" w:eastAsia="zh-CN"/>
              </w:rPr>
              <w:t>内容章节</w:t>
            </w:r>
            <w:r>
              <w:rPr>
                <w:rFonts w:hint="default" w:ascii="宋体" w:hAnsi="宋体"/>
                <w:color w:val="auto"/>
                <w:sz w:val="21"/>
                <w:szCs w:val="21"/>
                <w:highlight w:val="none"/>
                <w:lang w:val="en-US" w:eastAsia="zh-CN"/>
              </w:rPr>
              <w:t>标题标签</w:t>
            </w:r>
            <w:r>
              <w:rPr>
                <w:rFonts w:hint="eastAsia" w:ascii="宋体" w:hAnsi="宋体"/>
                <w:color w:val="auto"/>
                <w:sz w:val="21"/>
                <w:szCs w:val="21"/>
                <w:highlight w:val="none"/>
                <w:lang w:val="en-US" w:eastAsia="zh-CN"/>
              </w:rPr>
              <w:t>；</w:t>
            </w:r>
            <w:r>
              <w:rPr>
                <w:rFonts w:hint="default" w:ascii="宋体" w:hAnsi="宋体"/>
                <w:color w:val="auto"/>
                <w:sz w:val="21"/>
                <w:szCs w:val="21"/>
                <w:highlight w:val="none"/>
                <w:lang w:val="en-US" w:eastAsia="zh-CN"/>
              </w:rPr>
              <w:t>上传图片时，</w:t>
            </w:r>
            <w:r>
              <w:rPr>
                <w:rFonts w:hint="eastAsia" w:ascii="宋体" w:hAnsi="宋体"/>
                <w:color w:val="auto"/>
                <w:sz w:val="21"/>
                <w:szCs w:val="21"/>
                <w:highlight w:val="none"/>
                <w:lang w:val="en-US" w:eastAsia="zh-CN"/>
              </w:rPr>
              <w:t>应支持</w:t>
            </w:r>
            <w:r>
              <w:rPr>
                <w:rFonts w:hint="default" w:ascii="宋体" w:hAnsi="宋体"/>
                <w:color w:val="auto"/>
                <w:sz w:val="21"/>
                <w:szCs w:val="21"/>
                <w:highlight w:val="none"/>
                <w:lang w:val="en-US" w:eastAsia="zh-CN"/>
              </w:rPr>
              <w:t>填写ALT文本，描述图片内容</w:t>
            </w:r>
            <w:r>
              <w:rPr>
                <w:rFonts w:hint="eastAsia" w:ascii="宋体" w:hAnsi="宋体"/>
                <w:color w:val="auto"/>
                <w:sz w:val="21"/>
                <w:szCs w:val="21"/>
                <w:highlight w:val="none"/>
                <w:lang w:val="en-US" w:eastAsia="zh-CN"/>
              </w:rPr>
              <w:t>；</w:t>
            </w:r>
            <w:r>
              <w:rPr>
                <w:rFonts w:hint="default" w:ascii="宋体" w:hAnsi="宋体"/>
                <w:color w:val="auto"/>
                <w:sz w:val="21"/>
                <w:szCs w:val="21"/>
                <w:highlight w:val="none"/>
                <w:lang w:val="en-US" w:eastAsia="zh-CN"/>
              </w:rPr>
              <w:t>在添加链接时</w:t>
            </w:r>
            <w:r>
              <w:rPr>
                <w:rFonts w:hint="eastAsia" w:ascii="宋体" w:hAnsi="宋体"/>
                <w:color w:val="auto"/>
                <w:sz w:val="21"/>
                <w:szCs w:val="21"/>
                <w:highlight w:val="none"/>
                <w:lang w:val="en-US" w:eastAsia="zh-CN"/>
              </w:rPr>
              <w:t>应支持</w:t>
            </w:r>
            <w:r>
              <w:rPr>
                <w:rFonts w:hint="default" w:ascii="宋体" w:hAnsi="宋体"/>
                <w:color w:val="auto"/>
                <w:sz w:val="21"/>
                <w:szCs w:val="21"/>
                <w:highlight w:val="none"/>
                <w:lang w:val="en-US" w:eastAsia="zh-CN"/>
              </w:rPr>
              <w:t>自定义锚文本。</w:t>
            </w:r>
          </w:p>
          <w:p w14:paraId="3DF955D6">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w:t>
            </w:r>
            <w:r>
              <w:rPr>
                <w:rFonts w:hint="default" w:ascii="宋体" w:hAnsi="宋体"/>
                <w:color w:val="auto"/>
                <w:sz w:val="21"/>
                <w:szCs w:val="21"/>
                <w:highlight w:val="none"/>
                <w:lang w:val="en-US" w:eastAsia="zh-CN"/>
              </w:rPr>
              <w:t>提供强大的专题制作功能，允许创建高质量、结构化的内容集合，并将其作为重要的排名页面进行优化。</w:t>
            </w:r>
          </w:p>
          <w:p w14:paraId="7D66169B">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应支持在母版页中</w:t>
            </w:r>
            <w:r>
              <w:rPr>
                <w:rFonts w:hint="default" w:ascii="宋体" w:hAnsi="宋体"/>
                <w:color w:val="auto"/>
                <w:sz w:val="21"/>
                <w:szCs w:val="21"/>
                <w:highlight w:val="none"/>
                <w:lang w:val="en-US" w:eastAsia="zh-CN"/>
              </w:rPr>
              <w:t>插入Google Analytics</w:t>
            </w:r>
            <w:r>
              <w:rPr>
                <w:rFonts w:hint="eastAsia" w:ascii="宋体" w:hAnsi="宋体"/>
                <w:color w:val="auto"/>
                <w:sz w:val="21"/>
                <w:szCs w:val="21"/>
                <w:highlight w:val="none"/>
                <w:lang w:val="en-US" w:eastAsia="zh-CN"/>
              </w:rPr>
              <w:t>、</w:t>
            </w:r>
            <w:r>
              <w:rPr>
                <w:rFonts w:hint="default" w:ascii="宋体" w:hAnsi="宋体"/>
                <w:color w:val="auto"/>
                <w:sz w:val="21"/>
                <w:szCs w:val="21"/>
                <w:highlight w:val="none"/>
                <w:lang w:val="en-US" w:eastAsia="zh-CN"/>
              </w:rPr>
              <w:t>Google Search Console</w:t>
            </w:r>
            <w:r>
              <w:rPr>
                <w:rFonts w:hint="eastAsia" w:ascii="宋体" w:hAnsi="宋体"/>
                <w:color w:val="auto"/>
                <w:sz w:val="21"/>
                <w:szCs w:val="21"/>
                <w:highlight w:val="none"/>
                <w:lang w:val="en-US" w:eastAsia="zh-CN"/>
              </w:rPr>
              <w:t>、</w:t>
            </w:r>
            <w:r>
              <w:rPr>
                <w:rFonts w:hint="default" w:ascii="宋体" w:hAnsi="宋体"/>
                <w:color w:val="auto"/>
                <w:sz w:val="21"/>
                <w:szCs w:val="21"/>
                <w:highlight w:val="none"/>
                <w:lang w:val="en-US" w:eastAsia="zh-CN"/>
              </w:rPr>
              <w:t>百度统计</w:t>
            </w:r>
            <w:r>
              <w:rPr>
                <w:rFonts w:hint="eastAsia" w:ascii="宋体" w:hAnsi="宋体"/>
                <w:color w:val="auto"/>
                <w:sz w:val="21"/>
                <w:szCs w:val="21"/>
                <w:highlight w:val="none"/>
                <w:lang w:val="en-US" w:eastAsia="zh-CN"/>
              </w:rPr>
              <w:t>、友盟统计</w:t>
            </w:r>
            <w:r>
              <w:rPr>
                <w:rFonts w:hint="default" w:ascii="宋体" w:hAnsi="宋体"/>
                <w:color w:val="auto"/>
                <w:sz w:val="21"/>
                <w:szCs w:val="21"/>
                <w:highlight w:val="none"/>
                <w:lang w:val="en-US" w:eastAsia="zh-CN"/>
              </w:rPr>
              <w:t>等</w:t>
            </w:r>
            <w:r>
              <w:rPr>
                <w:rFonts w:hint="eastAsia" w:ascii="宋体" w:hAnsi="宋体"/>
                <w:color w:val="auto"/>
                <w:sz w:val="21"/>
                <w:szCs w:val="21"/>
                <w:highlight w:val="none"/>
                <w:lang w:val="en-US" w:eastAsia="zh-CN"/>
              </w:rPr>
              <w:t>统计</w:t>
            </w:r>
            <w:r>
              <w:rPr>
                <w:rFonts w:hint="default" w:ascii="宋体" w:hAnsi="宋体"/>
                <w:color w:val="auto"/>
                <w:sz w:val="21"/>
                <w:szCs w:val="21"/>
                <w:highlight w:val="none"/>
                <w:lang w:val="en-US" w:eastAsia="zh-CN"/>
              </w:rPr>
              <w:t>代码</w:t>
            </w:r>
            <w:r>
              <w:rPr>
                <w:rFonts w:hint="eastAsia" w:ascii="宋体" w:hAnsi="宋体"/>
                <w:color w:val="auto"/>
                <w:sz w:val="21"/>
                <w:szCs w:val="21"/>
                <w:highlight w:val="none"/>
                <w:lang w:val="en-US" w:eastAsia="zh-CN"/>
              </w:rPr>
              <w:t>，即可全站生效</w:t>
            </w:r>
            <w:r>
              <w:rPr>
                <w:rFonts w:hint="default" w:ascii="宋体" w:hAnsi="宋体"/>
                <w:color w:val="auto"/>
                <w:sz w:val="21"/>
                <w:szCs w:val="21"/>
                <w:highlight w:val="none"/>
                <w:lang w:val="en-US" w:eastAsia="zh-CN"/>
              </w:rPr>
              <w:t>。</w:t>
            </w:r>
          </w:p>
          <w:p w14:paraId="4F983A87">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系统可集成或提供基础的健康度报告</w:t>
            </w:r>
            <w:r>
              <w:rPr>
                <w:rFonts w:hint="eastAsia" w:ascii="宋体" w:hAnsi="宋体"/>
                <w:color w:val="auto"/>
                <w:sz w:val="21"/>
                <w:szCs w:val="21"/>
                <w:highlight w:val="none"/>
                <w:lang w:val="en-US" w:eastAsia="zh-CN"/>
              </w:rPr>
              <w:t>相关功能</w:t>
            </w:r>
            <w:r>
              <w:rPr>
                <w:rFonts w:hint="default" w:ascii="宋体" w:hAnsi="宋体"/>
                <w:color w:val="auto"/>
                <w:sz w:val="21"/>
                <w:szCs w:val="21"/>
                <w:highlight w:val="none"/>
                <w:lang w:val="en-US" w:eastAsia="zh-CN"/>
              </w:rPr>
              <w:t>，如检查死链、重复标题、缺失Alt文本等。</w:t>
            </w:r>
          </w:p>
          <w:p w14:paraId="014E0A95">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应支持通过</w:t>
            </w:r>
            <w:r>
              <w:rPr>
                <w:rFonts w:hint="default" w:ascii="宋体" w:hAnsi="宋体"/>
                <w:color w:val="auto"/>
                <w:sz w:val="21"/>
                <w:szCs w:val="21"/>
                <w:highlight w:val="none"/>
                <w:lang w:val="en-US" w:eastAsia="zh-CN"/>
              </w:rPr>
              <w:t xml:space="preserve"> IndexNow 协议，在网站内容发布或更新后，主动、即时地向 Bing </w:t>
            </w:r>
            <w:r>
              <w:rPr>
                <w:rFonts w:hint="eastAsia" w:ascii="宋体" w:hAnsi="宋体"/>
                <w:color w:val="auto"/>
                <w:sz w:val="21"/>
                <w:szCs w:val="21"/>
                <w:highlight w:val="none"/>
                <w:lang w:val="en-US" w:eastAsia="zh-CN"/>
              </w:rPr>
              <w:t>等搜索引擎</w:t>
            </w:r>
            <w:r>
              <w:rPr>
                <w:rFonts w:hint="default" w:ascii="宋体" w:hAnsi="宋体"/>
                <w:color w:val="auto"/>
                <w:sz w:val="21"/>
                <w:szCs w:val="21"/>
                <w:highlight w:val="none"/>
                <w:lang w:val="en-US" w:eastAsia="zh-CN"/>
              </w:rPr>
              <w:t>提交页面信息，</w:t>
            </w:r>
            <w:r>
              <w:rPr>
                <w:rFonts w:hint="eastAsia" w:ascii="宋体" w:hAnsi="宋体"/>
                <w:color w:val="auto"/>
                <w:sz w:val="21"/>
                <w:szCs w:val="21"/>
                <w:highlight w:val="none"/>
                <w:lang w:val="en-US" w:eastAsia="zh-CN"/>
              </w:rPr>
              <w:t>以</w:t>
            </w:r>
            <w:r>
              <w:rPr>
                <w:rFonts w:hint="default" w:ascii="宋体" w:hAnsi="宋体"/>
                <w:color w:val="auto"/>
                <w:sz w:val="21"/>
                <w:szCs w:val="21"/>
                <w:highlight w:val="none"/>
                <w:lang w:val="en-US" w:eastAsia="zh-CN"/>
              </w:rPr>
              <w:t xml:space="preserve">实现“秒级收录”。 </w:t>
            </w:r>
          </w:p>
          <w:p w14:paraId="3BE6798D">
            <w:pPr>
              <w:pStyle w:val="34"/>
              <w:keepNext w:val="0"/>
              <w:keepLines w:val="0"/>
              <w:numPr>
                <w:ilvl w:val="0"/>
                <w:numId w:val="37"/>
              </w:numPr>
              <w:suppressLineNumbers w:val="0"/>
              <w:spacing w:before="0" w:beforeAutospacing="0" w:after="0" w:afterAutospacing="0" w:line="360" w:lineRule="auto"/>
              <w:ind w:right="0"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新增GEO（生成式引擎优化）支撑系统</w:t>
            </w:r>
          </w:p>
          <w:p w14:paraId="14B6181B">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GEO是针对生成式AI引擎（如DeepSeek、豆包、ChatGPT、Gemini、Claude等）的优化策略。与传统的SEO主要服务于搜索引擎不同，GEO的核心目标是让网站的内容成为AI模型的高质量、可信赖的信息源，从而在AI的回答中被优先引用和呈现。</w:t>
            </w:r>
          </w:p>
          <w:p w14:paraId="396D49FD">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门户网站管理系统需要在以下技术和功能层面进行深刻变革，以响应GEO的需求：</w:t>
            </w:r>
          </w:p>
          <w:p w14:paraId="5FCBC277">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生成式AI的爬虫在解析复杂JavaScript方面可能不如成熟的搜索引擎，所以应确保核心文章内容、数据、列表直接在HTML源代码中可见，而非通过JS动态加载。</w:t>
            </w:r>
          </w:p>
          <w:p w14:paraId="22E8C530">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SEO是GEO的基础，所以网站群平台应支持SEO所需要的相关技术与功能，比如扁平化结构和良好的内部链接。</w:t>
            </w:r>
          </w:p>
          <w:p w14:paraId="6981874E">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应支持在页面中嵌入Schema标记。Schema 标记是一种结构化数据标准，通过在网页 HTML 中嵌入语义化标签，帮助搜索引擎和 AI 模型更准确地理解页面内容。</w:t>
            </w:r>
          </w:p>
          <w:p w14:paraId="636E13EC">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应支持JSON-LD。这是AI最易理解的数据格式，网站群平台应在后台自动或半自动地为内容生成丰富的结构化数据。</w:t>
            </w:r>
          </w:p>
          <w:p w14:paraId="023E2586">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生成的HTML应大量使用 &lt;article&gt;, &lt;section&gt;, &lt;aside&gt;, &lt;time&gt; 等语义化标签，帮助AI理解内容的结构和关系。</w:t>
            </w:r>
          </w:p>
          <w:p w14:paraId="7238DB83">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系统应能自动生成并更新llms.txt。llms.txt类似于传统网站中的 robots.txt，是面向大语言模型（LLMs）的声明文件。将其放置于网站根目录，即可明确告知 AI哪些页面允许抓取，哪些内容建议优先参考，页面元信息（如作者、更新时间等）提示。这既是对内容使用的规范，也是对自身版权的一种保护。</w:t>
            </w:r>
          </w:p>
          <w:p w14:paraId="72671692">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应支持建立强大的作者档案，关联其专业背景、社会认证（如维基百科链接、ORCID ID）、过往作品等。</w:t>
            </w:r>
          </w:p>
          <w:p w14:paraId="6E3D282D">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应支持在内容中方便地添加和标记引用来源（如超链接、参考文献列表），并通过结构化数据明确 citation 关系。</w:t>
            </w:r>
          </w:p>
          <w:p w14:paraId="159B6761">
            <w:pPr>
              <w:pStyle w:val="34"/>
              <w:keepNext w:val="0"/>
              <w:keepLines w:val="0"/>
              <w:numPr>
                <w:ilvl w:val="0"/>
                <w:numId w:val="0"/>
              </w:numPr>
              <w:suppressLineNumbers w:val="0"/>
              <w:spacing w:before="0" w:beforeAutospacing="0" w:after="0" w:afterAutospacing="0" w:line="360" w:lineRule="auto"/>
              <w:ind w:left="0" w:leftChars="0" w:right="0" w:rightChars="0" w:firstLine="210" w:firstLineChars="10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应支持集成AI接口，自动为长文生成一段精准的“核心摘要”或“关键要点”。</w:t>
            </w:r>
          </w:p>
        </w:tc>
      </w:tr>
      <w:tr w14:paraId="3D2A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58C5B1C1">
            <w:pPr>
              <w:keepNext w:val="0"/>
              <w:keepLines w:val="0"/>
              <w:numPr>
                <w:ilvl w:val="0"/>
                <w:numId w:val="6"/>
              </w:numPr>
              <w:suppressLineNumbers w:val="0"/>
              <w:wordWrap w:val="0"/>
              <w:spacing w:before="0" w:beforeAutospacing="0" w:after="0" w:afterAutospacing="0" w:line="360" w:lineRule="auto"/>
              <w:ind w:left="425" w:leftChars="0" w:right="0" w:hanging="425" w:firstLineChars="0"/>
              <w:jc w:val="center"/>
              <w:rPr>
                <w:rFonts w:hint="eastAsia" w:ascii="宋体" w:hAnsi="宋体" w:eastAsia="宋体" w:cs="宋体"/>
                <w:bCs/>
                <w:color w:val="auto"/>
                <w:kern w:val="0"/>
                <w:sz w:val="21"/>
                <w:szCs w:val="21"/>
                <w:highlight w:val="none"/>
              </w:rPr>
            </w:pPr>
          </w:p>
        </w:tc>
        <w:tc>
          <w:tcPr>
            <w:tcW w:w="1093" w:type="dxa"/>
            <w:vAlign w:val="center"/>
          </w:tcPr>
          <w:p w14:paraId="7EFC01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性能和负载能力指标要求 </w:t>
            </w:r>
          </w:p>
        </w:tc>
        <w:tc>
          <w:tcPr>
            <w:tcW w:w="6437" w:type="dxa"/>
            <w:vAlign w:val="center"/>
          </w:tcPr>
          <w:p w14:paraId="50E4DEFD">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项目完成后，网站要满足以下性能和负载能力指标要求： </w:t>
            </w:r>
          </w:p>
          <w:p w14:paraId="12DA42A9">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（1）测试环境说明及相关要求：</w:t>
            </w:r>
          </w:p>
          <w:p w14:paraId="5A931B5C">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测试服务器（可以为虚拟机）关键硬件配置为：CPU不得多于8个核心，内存不得高于8GB。网站程序、网站静态资源文件和网站数据库文件都放在同一台服务器上，没有分开部署在不同服务器；一台普通的笔记本做测试工作站；服务器与压力测试工作站之间为千兆网络连接。只测试单机环境下的性能和负载能力，不做负载均衡、数据库读写分离等无法测试出单机环境下网站群平台性能的性能优化部署手段。</w:t>
            </w:r>
          </w:p>
          <w:p w14:paraId="4E8DE07F">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测试数据量要求：整个平台的站点数量应不少于50个，所有站点的栏目总数应不少于1万个，所有站点的文章的数量应不少于10万篇。测试数据应该基于原门户网站的数据（利用采集或数据迁移方式导入原门户网站数据），若原门户网站的总文章量不足10万篇时要将原数据复制几份以达到10万篇。</w:t>
            </w:r>
          </w:p>
          <w:p w14:paraId="78088433">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进行压力测试的页面在设计和功能上要满足网站的正式使用要求，不能为了做压力测试而将页面元素最少化，而是应该使用标准的页面模板。其中主站首页页面复杂度要求及参考页面效果见原门户网站首页，子站首页的页面复杂度要求及参考页面效果网站，栏目和内容页面的页面复杂度要求及参考页面效果见原门户网站的相关页面。</w:t>
            </w:r>
          </w:p>
          <w:p w14:paraId="095971FA">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所有压力测试都是直接访问动态页，不访问网站群平台生成的静态HTML页面。网站群管理平台不能启用“生成静态HTML”等会导致无法测试出网站群平台实际负载能力的功能，但可以启用页面输出缓存功能。因为如果访问的是已经生成好的静态HTML的话，负载能力的测试结果就变得与网站群管理平台没有关系，而是与整台服务器的硬件配置、操作系统及WEB应用服务器（IIS、Apache、Tomcat、JBoss、WebLogic、WebSphere等）的负载能力密切相关。</w:t>
            </w:r>
          </w:p>
          <w:p w14:paraId="4F4D3C16">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不得在服务器前端再部署Nginx、Redis、Memcache等缓存系统，这些缓存系统在实际部署时可以显著提高网站整体性能和负载能力，但在测试时部署会严重影响真实测试结果，因为本次性能和负载能力测试的测试对象是网站群平台而不是最终上线运行的网站整体。</w:t>
            </w:r>
          </w:p>
          <w:p w14:paraId="3F059C67">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压力测试工具软件采用JMeter或LoadRunner。</w:t>
            </w:r>
          </w:p>
          <w:p w14:paraId="3D2A8C9F">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（2）测试性能和负载能力指标要求：</w:t>
            </w:r>
          </w:p>
          <w:p w14:paraId="77B831E6">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前台各页面性能要求：在对单个页面进行1秒500个并发请求，持续100秒的情况下，要求网站首页、栏目页、内容页等主要页面的平均每个请求的完成时间小于100毫秒，平均每个请求的页面处理时间小于50毫秒。</w:t>
            </w:r>
          </w:p>
          <w:p w14:paraId="5E280C27">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即使站点、栏目、内容设置了IP访问限定，当使用白名单中的IP来访问时，相关页面的性能和负载能力也必须达到上述要求。即使栏目设置了用户访问权限，当使用允许访问的用户来访问此栏目及下属内容时，相关页面的性能和负载能力也必须达到上述要求。即使文章设置成了文章签收专属文档，当指定的签收用户来访问时，相关页面的性能和负载能力也必须达到上述要求。如果所投产品没有IP访问限定、用户访问权限、专属签收文档等功能，则视为相应测试项目的性能不合格。</w:t>
            </w:r>
          </w:p>
          <w:p w14:paraId="5445F4A5">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后台各页面性能要求：各模块的管理列表页的处理时间不得超过3秒，查看页面的处理时间不得超过１秒，除批量操作外，单个操作的处理时间不得超过2秒。在栏目数量超过1万个的站点中进行内容采编发操作时，相关页面的处理时间也不得超过3秒。</w:t>
            </w:r>
          </w:p>
          <w:p w14:paraId="59495D37">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（3）指标说明：</w:t>
            </w:r>
          </w:p>
          <w:p w14:paraId="694415D9">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请求完成时间是指从发出请求到得到HTML文档的总耗时，并且只计算页面的请求完成时间，不计算请求页面附带的相关静态资源文件（如CSS、JS和图片等），所以与用浏览器实际打开页面时间不同。请求完成时间=等待时间+页面处理时间+页面文档下载时间。</w:t>
            </w:r>
          </w:p>
          <w:p w14:paraId="331362B5">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页面处理时间是指服务器处理每个页面请求的耗时。</w:t>
            </w:r>
          </w:p>
          <w:p w14:paraId="70DCA0A7">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页面文档下载时间是指服务器处理完成页面输出后，从服务器下载到测试工作站的网络耗时。</w:t>
            </w:r>
          </w:p>
          <w:p w14:paraId="74C89C5D">
            <w:pPr>
              <w:pStyle w:val="34"/>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页面处理时间会小于请求完成时间，因为服务器会对请求进行排队，当并发量大时，后面的请求可能会先在队列中等待一段时间后才会被处理。</w:t>
            </w:r>
          </w:p>
        </w:tc>
      </w:tr>
      <w:tr w14:paraId="225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8" w:type="dxa"/>
            <w:vAlign w:val="center"/>
          </w:tcPr>
          <w:p w14:paraId="6BF2BDE4">
            <w:pPr>
              <w:keepNext w:val="0"/>
              <w:keepLines w:val="0"/>
              <w:numPr>
                <w:ilvl w:val="0"/>
                <w:numId w:val="6"/>
              </w:numPr>
              <w:suppressLineNumbers w:val="0"/>
              <w:wordWrap w:val="0"/>
              <w:spacing w:before="0" w:beforeAutospacing="0" w:after="0" w:afterAutospacing="0" w:line="360" w:lineRule="auto"/>
              <w:ind w:right="0"/>
              <w:jc w:val="center"/>
              <w:rPr>
                <w:rFonts w:hint="eastAsia" w:ascii="宋体" w:hAnsi="宋体" w:eastAsia="宋体" w:cs="宋体"/>
                <w:color w:val="auto"/>
                <w:kern w:val="0"/>
                <w:sz w:val="21"/>
                <w:szCs w:val="21"/>
                <w:highlight w:val="none"/>
              </w:rPr>
            </w:pPr>
          </w:p>
        </w:tc>
        <w:tc>
          <w:tcPr>
            <w:tcW w:w="1093" w:type="dxa"/>
            <w:vAlign w:val="center"/>
          </w:tcPr>
          <w:p w14:paraId="6F2B284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工期及付款</w:t>
            </w:r>
          </w:p>
        </w:tc>
        <w:tc>
          <w:tcPr>
            <w:tcW w:w="6437" w:type="dxa"/>
            <w:vAlign w:val="center"/>
          </w:tcPr>
          <w:p w14:paraId="48D0EA7F">
            <w:pPr>
              <w:pStyle w:val="34"/>
              <w:keepNext w:val="0"/>
              <w:keepLines w:val="0"/>
              <w:numPr>
                <w:ilvl w:val="0"/>
                <w:numId w:val="38"/>
              </w:numPr>
              <w:suppressLineNumbers w:val="0"/>
              <w:spacing w:before="0" w:beforeAutospacing="0" w:after="0" w:afterAutospacing="0" w:line="360" w:lineRule="auto"/>
              <w:ind w:left="0" w:leftChars="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工期：本项目签订合同后，40个工作日内完成；</w:t>
            </w:r>
          </w:p>
          <w:p w14:paraId="4FF72A62">
            <w:pPr>
              <w:pStyle w:val="34"/>
              <w:keepNext w:val="0"/>
              <w:keepLines w:val="0"/>
              <w:numPr>
                <w:ilvl w:val="0"/>
                <w:numId w:val="38"/>
              </w:numPr>
              <w:suppressLineNumbers w:val="0"/>
              <w:spacing w:before="0" w:beforeAutospacing="0" w:after="0" w:afterAutospacing="0" w:line="360" w:lineRule="auto"/>
              <w:ind w:left="0" w:leftChars="0" w:right="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付款方式：货到现场安装调试后10个工作日内采购单位支付合同总额的100%。</w:t>
            </w:r>
          </w:p>
        </w:tc>
      </w:tr>
    </w:tbl>
    <w:p w14:paraId="4788D185">
      <w:pPr>
        <w:rPr>
          <w:rFonts w:hint="eastAsia" w:eastAsia="宋体"/>
          <w:color w:val="auto"/>
          <w:lang w:val="en-US" w:eastAsia="zh-CN"/>
        </w:rPr>
      </w:pPr>
    </w:p>
    <w:p w14:paraId="257C02BA">
      <w:pPr>
        <w:spacing w:line="520" w:lineRule="exact"/>
        <w:ind w:firstLine="482" w:firstLineChars="200"/>
        <w:jc w:val="both"/>
        <w:rPr>
          <w:rFonts w:ascii="宋体" w:hAnsi="宋体" w:cs="宋体"/>
          <w:b/>
          <w:bCs/>
          <w:color w:val="auto"/>
          <w:szCs w:val="24"/>
        </w:rPr>
      </w:pPr>
    </w:p>
    <w:p w14:paraId="3E6D1C27">
      <w:pPr>
        <w:spacing w:line="520" w:lineRule="exact"/>
        <w:ind w:firstLine="482" w:firstLineChars="200"/>
        <w:jc w:val="both"/>
        <w:rPr>
          <w:rFonts w:ascii="宋体" w:hAnsi="宋体" w:cs="宋体"/>
          <w:b/>
          <w:bCs/>
          <w:color w:val="auto"/>
          <w:szCs w:val="24"/>
        </w:rPr>
      </w:pPr>
    </w:p>
    <w:p w14:paraId="5E896148">
      <w:pPr>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附件</w:t>
      </w:r>
      <w:r>
        <w:rPr>
          <w:rFonts w:hint="eastAsia" w:ascii="仿宋" w:hAnsi="仿宋" w:eastAsia="仿宋"/>
          <w:b/>
          <w:color w:val="auto"/>
          <w:sz w:val="32"/>
          <w:szCs w:val="32"/>
          <w:lang w:val="en-US" w:eastAsia="zh-CN"/>
        </w:rPr>
        <w:t>2</w:t>
      </w:r>
      <w:r>
        <w:rPr>
          <w:rFonts w:hint="eastAsia" w:ascii="仿宋" w:hAnsi="仿宋" w:eastAsia="仿宋"/>
          <w:b/>
          <w:color w:val="auto"/>
          <w:sz w:val="32"/>
          <w:szCs w:val="32"/>
        </w:rPr>
        <w:t>：</w:t>
      </w:r>
      <w:r>
        <w:rPr>
          <w:rFonts w:hint="eastAsia" w:ascii="仿宋" w:hAnsi="仿宋" w:eastAsia="仿宋"/>
          <w:b/>
          <w:color w:val="auto"/>
          <w:sz w:val="32"/>
          <w:szCs w:val="32"/>
          <w:lang w:val="en-US" w:eastAsia="zh-CN"/>
        </w:rPr>
        <w:t>报价</w:t>
      </w:r>
      <w:r>
        <w:rPr>
          <w:rFonts w:hint="eastAsia" w:ascii="仿宋" w:hAnsi="仿宋" w:eastAsia="仿宋"/>
          <w:b/>
          <w:color w:val="auto"/>
          <w:sz w:val="32"/>
          <w:szCs w:val="32"/>
        </w:rPr>
        <w:t>人直接控股、管理关系信息表</w:t>
      </w: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410"/>
        <w:gridCol w:w="3100"/>
      </w:tblGrid>
      <w:tr w14:paraId="3E5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3DAFDAC8">
            <w:pPr>
              <w:spacing w:before="156" w:beforeLines="50" w:after="50"/>
              <w:jc w:val="center"/>
              <w:rPr>
                <w:rFonts w:ascii="仿宋" w:hAnsi="仿宋" w:eastAsia="仿宋"/>
                <w:b/>
                <w:color w:val="auto"/>
              </w:rPr>
            </w:pPr>
            <w:r>
              <w:rPr>
                <w:rFonts w:hint="eastAsia" w:ascii="仿宋" w:hAnsi="仿宋" w:eastAsia="仿宋"/>
                <w:b/>
                <w:color w:val="auto"/>
                <w:lang w:val="en-US" w:eastAsia="zh-CN"/>
              </w:rPr>
              <w:t>报价</w:t>
            </w:r>
            <w:r>
              <w:rPr>
                <w:rFonts w:ascii="仿宋" w:hAnsi="仿宋" w:eastAsia="仿宋"/>
                <w:b/>
                <w:color w:val="auto"/>
              </w:rPr>
              <w:t>人直接控股股东信息表</w:t>
            </w:r>
          </w:p>
        </w:tc>
        <w:tc>
          <w:tcPr>
            <w:tcW w:w="3100" w:type="dxa"/>
            <w:shd w:val="clear" w:color="auto" w:fill="F2DBDB"/>
            <w:vAlign w:val="center"/>
          </w:tcPr>
          <w:p w14:paraId="7B21E993">
            <w:pPr>
              <w:spacing w:before="156" w:beforeLines="50" w:after="50"/>
              <w:jc w:val="center"/>
              <w:rPr>
                <w:rFonts w:ascii="仿宋" w:hAnsi="仿宋" w:eastAsia="仿宋"/>
                <w:b/>
                <w:color w:val="auto"/>
              </w:rPr>
            </w:pPr>
            <w:r>
              <w:rPr>
                <w:rFonts w:ascii="仿宋" w:hAnsi="仿宋" w:eastAsia="仿宋"/>
                <w:b/>
                <w:color w:val="auto"/>
              </w:rPr>
              <w:t>说明</w:t>
            </w:r>
          </w:p>
        </w:tc>
      </w:tr>
      <w:tr w14:paraId="5D5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7394944">
            <w:pPr>
              <w:spacing w:line="360" w:lineRule="exact"/>
              <w:jc w:val="center"/>
              <w:rPr>
                <w:rFonts w:ascii="仿宋" w:hAnsi="仿宋" w:eastAsia="仿宋" w:cs="宋体"/>
                <w:b/>
                <w:bCs/>
                <w:color w:val="auto"/>
              </w:rPr>
            </w:pPr>
            <w:r>
              <w:rPr>
                <w:rFonts w:ascii="仿宋" w:hAnsi="仿宋" w:eastAsia="仿宋" w:cs="宋体"/>
                <w:b/>
                <w:bCs/>
                <w:color w:val="auto"/>
              </w:rPr>
              <w:t>序号</w:t>
            </w:r>
          </w:p>
        </w:tc>
        <w:tc>
          <w:tcPr>
            <w:tcW w:w="1309" w:type="dxa"/>
            <w:vAlign w:val="center"/>
          </w:tcPr>
          <w:p w14:paraId="51DC7EBA">
            <w:pPr>
              <w:spacing w:line="360" w:lineRule="exact"/>
              <w:jc w:val="center"/>
              <w:rPr>
                <w:rFonts w:ascii="仿宋" w:hAnsi="仿宋" w:eastAsia="仿宋" w:cs="宋体"/>
                <w:b/>
                <w:bCs/>
                <w:color w:val="auto"/>
              </w:rPr>
            </w:pPr>
            <w:r>
              <w:rPr>
                <w:rFonts w:ascii="仿宋" w:hAnsi="仿宋" w:eastAsia="仿宋" w:cs="宋体"/>
                <w:b/>
                <w:bCs/>
                <w:color w:val="auto"/>
              </w:rPr>
              <w:t>直接控股股东名称</w:t>
            </w:r>
          </w:p>
        </w:tc>
        <w:tc>
          <w:tcPr>
            <w:tcW w:w="1384" w:type="dxa"/>
            <w:vAlign w:val="center"/>
          </w:tcPr>
          <w:p w14:paraId="54AC52DC">
            <w:pPr>
              <w:spacing w:line="360" w:lineRule="exact"/>
              <w:jc w:val="center"/>
              <w:rPr>
                <w:rFonts w:ascii="仿宋" w:hAnsi="仿宋" w:eastAsia="仿宋" w:cs="宋体"/>
                <w:b/>
                <w:bCs/>
                <w:color w:val="auto"/>
              </w:rPr>
            </w:pPr>
            <w:r>
              <w:rPr>
                <w:rFonts w:ascii="仿宋" w:hAnsi="仿宋" w:eastAsia="仿宋" w:cs="宋体"/>
                <w:b/>
                <w:bCs/>
                <w:color w:val="auto"/>
              </w:rPr>
              <w:t>出资比例</w:t>
            </w:r>
          </w:p>
        </w:tc>
        <w:tc>
          <w:tcPr>
            <w:tcW w:w="2410" w:type="dxa"/>
            <w:vAlign w:val="center"/>
          </w:tcPr>
          <w:p w14:paraId="522A71F8">
            <w:pPr>
              <w:spacing w:line="360" w:lineRule="exact"/>
              <w:jc w:val="center"/>
              <w:rPr>
                <w:rFonts w:ascii="仿宋" w:hAnsi="仿宋" w:eastAsia="仿宋" w:cs="宋体"/>
                <w:b/>
                <w:bCs/>
                <w:color w:val="auto"/>
              </w:rPr>
            </w:pPr>
            <w:r>
              <w:rPr>
                <w:rFonts w:ascii="仿宋" w:hAnsi="仿宋" w:eastAsia="仿宋" w:cs="宋体"/>
                <w:b/>
                <w:bCs/>
                <w:color w:val="auto"/>
              </w:rPr>
              <w:t>身份证号码或者统一社会信用代码</w:t>
            </w:r>
          </w:p>
        </w:tc>
        <w:tc>
          <w:tcPr>
            <w:tcW w:w="3100" w:type="dxa"/>
            <w:vMerge w:val="restart"/>
            <w:vAlign w:val="center"/>
          </w:tcPr>
          <w:p w14:paraId="7DB9C13D">
            <w:pPr>
              <w:rPr>
                <w:rFonts w:ascii="仿宋" w:hAnsi="仿宋" w:eastAsia="仿宋"/>
                <w:color w:val="auto"/>
              </w:rPr>
            </w:pPr>
            <w:r>
              <w:rPr>
                <w:rFonts w:ascii="仿宋" w:hAnsi="仿宋" w:eastAsia="仿宋"/>
                <w:color w:val="auto"/>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BB9957">
            <w:pPr>
              <w:rPr>
                <w:rFonts w:ascii="仿宋" w:hAnsi="仿宋" w:eastAsia="仿宋"/>
                <w:color w:val="auto"/>
              </w:rPr>
            </w:pPr>
            <w:r>
              <w:rPr>
                <w:rFonts w:ascii="仿宋" w:hAnsi="仿宋" w:eastAsia="仿宋"/>
                <w:color w:val="auto"/>
              </w:rPr>
              <w:t>2.本表所指的控股关系仅限于直接控股关系，不包括间接的控股关系。公司实际控制人与公司之间的关系不属于本表所指的直接控股关系。</w:t>
            </w:r>
          </w:p>
          <w:p w14:paraId="0790D3F9">
            <w:pPr>
              <w:rPr>
                <w:rFonts w:ascii="仿宋" w:hAnsi="仿宋" w:eastAsia="仿宋" w:cs="宋体"/>
                <w:b/>
                <w:bCs/>
                <w:color w:val="auto"/>
              </w:rPr>
            </w:pPr>
            <w:r>
              <w:rPr>
                <w:rFonts w:ascii="仿宋" w:hAnsi="仿宋" w:eastAsia="仿宋"/>
                <w:color w:val="auto"/>
              </w:rPr>
              <w:t>3.供应商不存在直接控股股东的，则填“无”。</w:t>
            </w:r>
          </w:p>
        </w:tc>
      </w:tr>
      <w:tr w14:paraId="2F6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F126F45">
            <w:pPr>
              <w:spacing w:before="156" w:beforeLines="50" w:after="50"/>
              <w:jc w:val="center"/>
              <w:rPr>
                <w:rFonts w:ascii="仿宋" w:hAnsi="仿宋" w:eastAsia="仿宋"/>
                <w:b/>
                <w:color w:val="auto"/>
              </w:rPr>
            </w:pPr>
            <w:r>
              <w:rPr>
                <w:rFonts w:ascii="仿宋" w:hAnsi="仿宋" w:eastAsia="仿宋"/>
                <w:b/>
                <w:color w:val="auto"/>
              </w:rPr>
              <w:t>1</w:t>
            </w:r>
          </w:p>
        </w:tc>
        <w:tc>
          <w:tcPr>
            <w:tcW w:w="1309" w:type="dxa"/>
          </w:tcPr>
          <w:p w14:paraId="43BFAE44">
            <w:pPr>
              <w:spacing w:before="156" w:beforeLines="50" w:after="50"/>
              <w:rPr>
                <w:rFonts w:ascii="仿宋" w:hAnsi="仿宋" w:eastAsia="仿宋"/>
                <w:b/>
                <w:color w:val="auto"/>
              </w:rPr>
            </w:pPr>
          </w:p>
        </w:tc>
        <w:tc>
          <w:tcPr>
            <w:tcW w:w="1384" w:type="dxa"/>
          </w:tcPr>
          <w:p w14:paraId="7E752495">
            <w:pPr>
              <w:spacing w:before="156" w:beforeLines="50" w:after="50"/>
              <w:rPr>
                <w:rFonts w:ascii="仿宋" w:hAnsi="仿宋" w:eastAsia="仿宋"/>
                <w:b/>
                <w:color w:val="auto"/>
              </w:rPr>
            </w:pPr>
          </w:p>
        </w:tc>
        <w:tc>
          <w:tcPr>
            <w:tcW w:w="2410" w:type="dxa"/>
          </w:tcPr>
          <w:p w14:paraId="43C44F73">
            <w:pPr>
              <w:spacing w:before="156" w:beforeLines="50" w:after="50"/>
              <w:rPr>
                <w:rFonts w:ascii="仿宋" w:hAnsi="仿宋" w:eastAsia="仿宋"/>
                <w:b/>
                <w:color w:val="auto"/>
              </w:rPr>
            </w:pPr>
          </w:p>
        </w:tc>
        <w:tc>
          <w:tcPr>
            <w:tcW w:w="3100" w:type="dxa"/>
            <w:vMerge w:val="continue"/>
          </w:tcPr>
          <w:p w14:paraId="0F4A9C26">
            <w:pPr>
              <w:rPr>
                <w:rFonts w:ascii="仿宋" w:hAnsi="仿宋" w:eastAsia="仿宋"/>
                <w:color w:val="auto"/>
              </w:rPr>
            </w:pPr>
          </w:p>
        </w:tc>
      </w:tr>
      <w:tr w14:paraId="086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997057A">
            <w:pPr>
              <w:spacing w:before="156" w:beforeLines="50" w:after="50"/>
              <w:jc w:val="center"/>
              <w:rPr>
                <w:rFonts w:ascii="仿宋" w:hAnsi="仿宋" w:eastAsia="仿宋"/>
                <w:b/>
                <w:color w:val="auto"/>
              </w:rPr>
            </w:pPr>
            <w:r>
              <w:rPr>
                <w:rFonts w:ascii="仿宋" w:hAnsi="仿宋" w:eastAsia="仿宋"/>
                <w:b/>
                <w:color w:val="auto"/>
              </w:rPr>
              <w:t>2</w:t>
            </w:r>
          </w:p>
        </w:tc>
        <w:tc>
          <w:tcPr>
            <w:tcW w:w="1309" w:type="dxa"/>
          </w:tcPr>
          <w:p w14:paraId="7C2FA1F4">
            <w:pPr>
              <w:spacing w:before="156" w:beforeLines="50" w:after="50"/>
              <w:rPr>
                <w:rFonts w:ascii="仿宋" w:hAnsi="仿宋" w:eastAsia="仿宋"/>
                <w:b/>
                <w:color w:val="auto"/>
              </w:rPr>
            </w:pPr>
          </w:p>
        </w:tc>
        <w:tc>
          <w:tcPr>
            <w:tcW w:w="1384" w:type="dxa"/>
          </w:tcPr>
          <w:p w14:paraId="275BC5A8">
            <w:pPr>
              <w:spacing w:before="156" w:beforeLines="50" w:after="50"/>
              <w:rPr>
                <w:rFonts w:ascii="仿宋" w:hAnsi="仿宋" w:eastAsia="仿宋"/>
                <w:b/>
                <w:color w:val="auto"/>
              </w:rPr>
            </w:pPr>
          </w:p>
        </w:tc>
        <w:tc>
          <w:tcPr>
            <w:tcW w:w="2410" w:type="dxa"/>
          </w:tcPr>
          <w:p w14:paraId="2A9EF353">
            <w:pPr>
              <w:spacing w:before="156" w:beforeLines="50" w:after="50"/>
              <w:rPr>
                <w:rFonts w:ascii="仿宋" w:hAnsi="仿宋" w:eastAsia="仿宋"/>
                <w:b/>
                <w:color w:val="auto"/>
              </w:rPr>
            </w:pPr>
          </w:p>
        </w:tc>
        <w:tc>
          <w:tcPr>
            <w:tcW w:w="3100" w:type="dxa"/>
            <w:vMerge w:val="continue"/>
          </w:tcPr>
          <w:p w14:paraId="6EDA149F">
            <w:pPr>
              <w:spacing w:before="156" w:beforeLines="50" w:after="50"/>
              <w:rPr>
                <w:rFonts w:ascii="仿宋" w:hAnsi="仿宋" w:eastAsia="仿宋"/>
                <w:b/>
                <w:color w:val="auto"/>
              </w:rPr>
            </w:pPr>
          </w:p>
        </w:tc>
      </w:tr>
      <w:tr w14:paraId="0819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ACBED4A">
            <w:pPr>
              <w:spacing w:before="156" w:beforeLines="50" w:after="50"/>
              <w:jc w:val="center"/>
              <w:rPr>
                <w:rFonts w:ascii="仿宋" w:hAnsi="仿宋" w:eastAsia="仿宋"/>
                <w:b/>
                <w:color w:val="auto"/>
              </w:rPr>
            </w:pPr>
            <w:r>
              <w:rPr>
                <w:rFonts w:ascii="仿宋" w:hAnsi="仿宋" w:eastAsia="仿宋" w:cs="宋体"/>
                <w:color w:val="auto"/>
              </w:rPr>
              <w:t>……</w:t>
            </w:r>
          </w:p>
        </w:tc>
        <w:tc>
          <w:tcPr>
            <w:tcW w:w="1309" w:type="dxa"/>
            <w:tcBorders>
              <w:bottom w:val="single" w:color="auto" w:sz="4" w:space="0"/>
            </w:tcBorders>
          </w:tcPr>
          <w:p w14:paraId="563B118D">
            <w:pPr>
              <w:spacing w:before="156" w:beforeLines="50" w:after="50"/>
              <w:rPr>
                <w:rFonts w:ascii="仿宋" w:hAnsi="仿宋" w:eastAsia="仿宋"/>
                <w:b/>
                <w:color w:val="auto"/>
              </w:rPr>
            </w:pPr>
          </w:p>
        </w:tc>
        <w:tc>
          <w:tcPr>
            <w:tcW w:w="1384" w:type="dxa"/>
            <w:tcBorders>
              <w:bottom w:val="single" w:color="auto" w:sz="4" w:space="0"/>
            </w:tcBorders>
          </w:tcPr>
          <w:p w14:paraId="54597BBD">
            <w:pPr>
              <w:spacing w:before="156" w:beforeLines="50" w:after="50"/>
              <w:rPr>
                <w:rFonts w:ascii="仿宋" w:hAnsi="仿宋" w:eastAsia="仿宋"/>
                <w:b/>
                <w:color w:val="auto"/>
              </w:rPr>
            </w:pPr>
          </w:p>
        </w:tc>
        <w:tc>
          <w:tcPr>
            <w:tcW w:w="2410" w:type="dxa"/>
            <w:tcBorders>
              <w:bottom w:val="single" w:color="auto" w:sz="4" w:space="0"/>
            </w:tcBorders>
          </w:tcPr>
          <w:p w14:paraId="773423EC">
            <w:pPr>
              <w:spacing w:before="156" w:beforeLines="50" w:after="50"/>
              <w:rPr>
                <w:rFonts w:ascii="仿宋" w:hAnsi="仿宋" w:eastAsia="仿宋"/>
                <w:b/>
                <w:color w:val="auto"/>
              </w:rPr>
            </w:pPr>
          </w:p>
        </w:tc>
        <w:tc>
          <w:tcPr>
            <w:tcW w:w="3100" w:type="dxa"/>
            <w:vMerge w:val="continue"/>
            <w:tcBorders>
              <w:bottom w:val="single" w:color="auto" w:sz="4" w:space="0"/>
            </w:tcBorders>
          </w:tcPr>
          <w:p w14:paraId="42BCF473">
            <w:pPr>
              <w:spacing w:before="156" w:beforeLines="50" w:after="50"/>
              <w:rPr>
                <w:rFonts w:ascii="仿宋" w:hAnsi="仿宋" w:eastAsia="仿宋"/>
                <w:b/>
                <w:color w:val="auto"/>
              </w:rPr>
            </w:pPr>
          </w:p>
        </w:tc>
      </w:tr>
      <w:tr w14:paraId="7E75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06BF3CAA">
            <w:pPr>
              <w:spacing w:before="156" w:beforeLines="50" w:after="50"/>
              <w:jc w:val="center"/>
              <w:rPr>
                <w:rFonts w:ascii="仿宋" w:hAnsi="仿宋" w:eastAsia="仿宋"/>
                <w:b/>
                <w:color w:val="auto"/>
              </w:rPr>
            </w:pPr>
            <w:r>
              <w:rPr>
                <w:rStyle w:val="21"/>
                <w:rFonts w:hint="eastAsia" w:ascii="仿宋" w:hAnsi="仿宋" w:eastAsia="仿宋" w:cs="仿宋"/>
                <w:b/>
                <w:bCs/>
                <w:color w:val="auto"/>
                <w:szCs w:val="24"/>
                <w:shd w:val="clear" w:color="auto" w:fill="FFFFFF"/>
                <w:lang w:val="en-US" w:eastAsia="zh-CN"/>
              </w:rPr>
              <w:t>报价</w:t>
            </w:r>
            <w:r>
              <w:rPr>
                <w:rFonts w:ascii="仿宋" w:hAnsi="仿宋" w:eastAsia="仿宋"/>
                <w:b/>
                <w:color w:val="auto"/>
              </w:rPr>
              <w:t>人直接管理关系信息表</w:t>
            </w:r>
          </w:p>
        </w:tc>
        <w:tc>
          <w:tcPr>
            <w:tcW w:w="3100" w:type="dxa"/>
            <w:shd w:val="clear" w:color="auto" w:fill="F2DBDB"/>
            <w:vAlign w:val="center"/>
          </w:tcPr>
          <w:p w14:paraId="6AB61DA7">
            <w:pPr>
              <w:spacing w:before="156" w:beforeLines="50" w:after="50"/>
              <w:jc w:val="center"/>
              <w:rPr>
                <w:rFonts w:ascii="仿宋" w:hAnsi="仿宋" w:eastAsia="仿宋"/>
                <w:b/>
                <w:color w:val="auto"/>
              </w:rPr>
            </w:pPr>
            <w:r>
              <w:rPr>
                <w:rFonts w:ascii="仿宋" w:hAnsi="仿宋" w:eastAsia="仿宋"/>
                <w:b/>
                <w:color w:val="auto"/>
              </w:rPr>
              <w:t>说明</w:t>
            </w:r>
          </w:p>
        </w:tc>
      </w:tr>
      <w:tr w14:paraId="6E7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0F7C0C6">
            <w:pPr>
              <w:spacing w:before="156" w:beforeLines="50" w:after="50"/>
              <w:jc w:val="center"/>
              <w:rPr>
                <w:rFonts w:ascii="仿宋" w:hAnsi="仿宋" w:eastAsia="仿宋"/>
                <w:b/>
                <w:color w:val="auto"/>
              </w:rPr>
            </w:pPr>
            <w:r>
              <w:rPr>
                <w:rFonts w:ascii="仿宋" w:hAnsi="仿宋" w:eastAsia="仿宋" w:cs="宋体"/>
                <w:b/>
                <w:bCs/>
                <w:color w:val="auto"/>
              </w:rPr>
              <w:t>序号</w:t>
            </w:r>
          </w:p>
        </w:tc>
        <w:tc>
          <w:tcPr>
            <w:tcW w:w="2693" w:type="dxa"/>
            <w:gridSpan w:val="2"/>
            <w:vAlign w:val="center"/>
          </w:tcPr>
          <w:p w14:paraId="63A0E0F1">
            <w:pPr>
              <w:spacing w:before="156" w:beforeLines="50" w:after="50"/>
              <w:jc w:val="center"/>
              <w:rPr>
                <w:rFonts w:ascii="仿宋" w:hAnsi="仿宋" w:eastAsia="仿宋"/>
                <w:b/>
                <w:color w:val="auto"/>
              </w:rPr>
            </w:pPr>
            <w:r>
              <w:rPr>
                <w:rFonts w:ascii="仿宋" w:hAnsi="仿宋" w:eastAsia="仿宋" w:cs="宋体"/>
                <w:b/>
                <w:bCs/>
                <w:color w:val="auto"/>
              </w:rPr>
              <w:t>直接管理关系单位名称</w:t>
            </w:r>
          </w:p>
        </w:tc>
        <w:tc>
          <w:tcPr>
            <w:tcW w:w="2410" w:type="dxa"/>
            <w:vAlign w:val="center"/>
          </w:tcPr>
          <w:p w14:paraId="096ED627">
            <w:pPr>
              <w:spacing w:before="156" w:beforeLines="50" w:after="50"/>
              <w:jc w:val="center"/>
              <w:rPr>
                <w:rFonts w:ascii="仿宋" w:hAnsi="仿宋" w:eastAsia="仿宋"/>
                <w:b/>
                <w:color w:val="auto"/>
              </w:rPr>
            </w:pPr>
            <w:r>
              <w:rPr>
                <w:rFonts w:ascii="仿宋" w:hAnsi="仿宋" w:eastAsia="仿宋" w:cs="宋体"/>
                <w:b/>
                <w:bCs/>
                <w:color w:val="auto"/>
              </w:rPr>
              <w:t>统一社会信用代码</w:t>
            </w:r>
          </w:p>
        </w:tc>
        <w:tc>
          <w:tcPr>
            <w:tcW w:w="3100" w:type="dxa"/>
            <w:vMerge w:val="restart"/>
            <w:vAlign w:val="center"/>
          </w:tcPr>
          <w:p w14:paraId="1BEBDE32">
            <w:pPr>
              <w:rPr>
                <w:rFonts w:ascii="仿宋" w:hAnsi="仿宋" w:eastAsia="仿宋"/>
                <w:color w:val="auto"/>
              </w:rPr>
            </w:pPr>
            <w:r>
              <w:rPr>
                <w:rFonts w:ascii="仿宋" w:hAnsi="仿宋" w:eastAsia="仿宋"/>
                <w:color w:val="auto"/>
              </w:rPr>
              <w:t>1.管理关系：是指不具有出资持股关系的其他单位之间存在的管理与被管理关系，如一些上下级关系的事业单位和团体组织。</w:t>
            </w:r>
          </w:p>
          <w:p w14:paraId="53CAC809">
            <w:pPr>
              <w:rPr>
                <w:rFonts w:ascii="仿宋" w:hAnsi="仿宋" w:eastAsia="仿宋"/>
                <w:color w:val="auto"/>
              </w:rPr>
            </w:pPr>
            <w:r>
              <w:rPr>
                <w:rFonts w:ascii="仿宋" w:hAnsi="仿宋" w:eastAsia="仿宋"/>
                <w:color w:val="auto"/>
              </w:rPr>
              <w:t>2.本表所指的管理关系仅限于直接管理关系，不包括间接的管理关系。</w:t>
            </w:r>
          </w:p>
          <w:p w14:paraId="3005D464">
            <w:pPr>
              <w:rPr>
                <w:rFonts w:ascii="仿宋" w:hAnsi="仿宋" w:eastAsia="仿宋"/>
                <w:color w:val="auto"/>
              </w:rPr>
            </w:pPr>
            <w:r>
              <w:rPr>
                <w:rFonts w:ascii="仿宋" w:hAnsi="仿宋" w:eastAsia="仿宋"/>
                <w:color w:val="auto"/>
              </w:rPr>
              <w:t>3.供应商不存在直接管理关系的，则填“无”。</w:t>
            </w:r>
          </w:p>
        </w:tc>
      </w:tr>
      <w:tr w14:paraId="526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B4A1D8D">
            <w:pPr>
              <w:spacing w:before="156" w:beforeLines="50" w:after="50"/>
              <w:jc w:val="center"/>
              <w:rPr>
                <w:rFonts w:ascii="仿宋" w:hAnsi="仿宋" w:eastAsia="仿宋"/>
                <w:b/>
                <w:color w:val="auto"/>
              </w:rPr>
            </w:pPr>
            <w:r>
              <w:rPr>
                <w:rFonts w:ascii="仿宋" w:hAnsi="仿宋" w:eastAsia="仿宋"/>
                <w:b/>
                <w:color w:val="auto"/>
              </w:rPr>
              <w:t>1</w:t>
            </w:r>
          </w:p>
        </w:tc>
        <w:tc>
          <w:tcPr>
            <w:tcW w:w="2693" w:type="dxa"/>
            <w:gridSpan w:val="2"/>
            <w:vAlign w:val="center"/>
          </w:tcPr>
          <w:p w14:paraId="38C2FB42">
            <w:pPr>
              <w:spacing w:before="156" w:beforeLines="50" w:after="50"/>
              <w:jc w:val="center"/>
              <w:rPr>
                <w:rFonts w:ascii="仿宋" w:hAnsi="仿宋" w:eastAsia="仿宋" w:cs="宋体"/>
                <w:b/>
                <w:bCs/>
                <w:color w:val="auto"/>
              </w:rPr>
            </w:pPr>
          </w:p>
        </w:tc>
        <w:tc>
          <w:tcPr>
            <w:tcW w:w="2410" w:type="dxa"/>
            <w:vAlign w:val="center"/>
          </w:tcPr>
          <w:p w14:paraId="48461E70">
            <w:pPr>
              <w:spacing w:before="156" w:beforeLines="50" w:after="50"/>
              <w:jc w:val="center"/>
              <w:rPr>
                <w:rFonts w:ascii="仿宋" w:hAnsi="仿宋" w:eastAsia="仿宋" w:cs="宋体"/>
                <w:b/>
                <w:bCs/>
                <w:color w:val="auto"/>
              </w:rPr>
            </w:pPr>
          </w:p>
        </w:tc>
        <w:tc>
          <w:tcPr>
            <w:tcW w:w="3100" w:type="dxa"/>
            <w:vMerge w:val="continue"/>
            <w:vAlign w:val="center"/>
          </w:tcPr>
          <w:p w14:paraId="1EF90F77">
            <w:pPr>
              <w:rPr>
                <w:rFonts w:ascii="仿宋" w:hAnsi="仿宋" w:eastAsia="仿宋"/>
                <w:color w:val="auto"/>
              </w:rPr>
            </w:pPr>
          </w:p>
        </w:tc>
      </w:tr>
      <w:tr w14:paraId="4B6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8E04627">
            <w:pPr>
              <w:spacing w:before="156" w:beforeLines="50" w:after="50"/>
              <w:jc w:val="center"/>
              <w:rPr>
                <w:rFonts w:ascii="仿宋" w:hAnsi="仿宋" w:eastAsia="仿宋"/>
                <w:b/>
                <w:color w:val="auto"/>
              </w:rPr>
            </w:pPr>
            <w:r>
              <w:rPr>
                <w:rFonts w:ascii="仿宋" w:hAnsi="仿宋" w:eastAsia="仿宋"/>
                <w:b/>
                <w:color w:val="auto"/>
              </w:rPr>
              <w:t>2</w:t>
            </w:r>
          </w:p>
        </w:tc>
        <w:tc>
          <w:tcPr>
            <w:tcW w:w="2693" w:type="dxa"/>
            <w:gridSpan w:val="2"/>
            <w:vAlign w:val="center"/>
          </w:tcPr>
          <w:p w14:paraId="69AC4FB0">
            <w:pPr>
              <w:spacing w:before="156" w:beforeLines="50" w:after="50"/>
              <w:jc w:val="center"/>
              <w:rPr>
                <w:rFonts w:ascii="仿宋" w:hAnsi="仿宋" w:eastAsia="仿宋" w:cs="宋体"/>
                <w:b/>
                <w:bCs/>
                <w:color w:val="auto"/>
              </w:rPr>
            </w:pPr>
          </w:p>
        </w:tc>
        <w:tc>
          <w:tcPr>
            <w:tcW w:w="2410" w:type="dxa"/>
            <w:vAlign w:val="center"/>
          </w:tcPr>
          <w:p w14:paraId="3BD64881">
            <w:pPr>
              <w:spacing w:before="156" w:beforeLines="50" w:after="50"/>
              <w:jc w:val="center"/>
              <w:rPr>
                <w:rFonts w:ascii="仿宋" w:hAnsi="仿宋" w:eastAsia="仿宋" w:cs="宋体"/>
                <w:b/>
                <w:bCs/>
                <w:color w:val="auto"/>
              </w:rPr>
            </w:pPr>
          </w:p>
        </w:tc>
        <w:tc>
          <w:tcPr>
            <w:tcW w:w="3100" w:type="dxa"/>
            <w:vMerge w:val="continue"/>
            <w:vAlign w:val="center"/>
          </w:tcPr>
          <w:p w14:paraId="52762155">
            <w:pPr>
              <w:rPr>
                <w:rFonts w:ascii="仿宋" w:hAnsi="仿宋" w:eastAsia="仿宋"/>
                <w:color w:val="auto"/>
              </w:rPr>
            </w:pPr>
          </w:p>
        </w:tc>
      </w:tr>
      <w:tr w14:paraId="467C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ABAD357">
            <w:pPr>
              <w:spacing w:before="156" w:beforeLines="50" w:after="50"/>
              <w:jc w:val="center"/>
              <w:rPr>
                <w:rFonts w:ascii="仿宋" w:hAnsi="仿宋" w:eastAsia="仿宋"/>
                <w:b/>
                <w:color w:val="auto"/>
              </w:rPr>
            </w:pPr>
            <w:r>
              <w:rPr>
                <w:rFonts w:ascii="仿宋" w:hAnsi="仿宋" w:eastAsia="仿宋" w:cs="宋体"/>
                <w:color w:val="auto"/>
              </w:rPr>
              <w:t>……</w:t>
            </w:r>
          </w:p>
        </w:tc>
        <w:tc>
          <w:tcPr>
            <w:tcW w:w="2693" w:type="dxa"/>
            <w:gridSpan w:val="2"/>
            <w:vAlign w:val="center"/>
          </w:tcPr>
          <w:p w14:paraId="3B09AA14">
            <w:pPr>
              <w:spacing w:before="156" w:beforeLines="50" w:after="50"/>
              <w:jc w:val="center"/>
              <w:rPr>
                <w:rFonts w:ascii="仿宋" w:hAnsi="仿宋" w:eastAsia="仿宋" w:cs="宋体"/>
                <w:b/>
                <w:bCs/>
                <w:color w:val="auto"/>
              </w:rPr>
            </w:pPr>
          </w:p>
        </w:tc>
        <w:tc>
          <w:tcPr>
            <w:tcW w:w="2410" w:type="dxa"/>
            <w:vAlign w:val="center"/>
          </w:tcPr>
          <w:p w14:paraId="1D4D6644">
            <w:pPr>
              <w:spacing w:before="156" w:beforeLines="50" w:after="50"/>
              <w:jc w:val="center"/>
              <w:rPr>
                <w:rFonts w:ascii="仿宋" w:hAnsi="仿宋" w:eastAsia="仿宋" w:cs="宋体"/>
                <w:b/>
                <w:bCs/>
                <w:color w:val="auto"/>
              </w:rPr>
            </w:pPr>
          </w:p>
        </w:tc>
        <w:tc>
          <w:tcPr>
            <w:tcW w:w="3100" w:type="dxa"/>
            <w:vMerge w:val="continue"/>
            <w:vAlign w:val="center"/>
          </w:tcPr>
          <w:p w14:paraId="5E192F9E">
            <w:pPr>
              <w:rPr>
                <w:rFonts w:ascii="仿宋" w:hAnsi="仿宋" w:eastAsia="仿宋"/>
                <w:color w:val="auto"/>
              </w:rPr>
            </w:pPr>
          </w:p>
        </w:tc>
      </w:tr>
    </w:tbl>
    <w:p w14:paraId="79064DFE">
      <w:pPr>
        <w:spacing w:line="360" w:lineRule="auto"/>
        <w:rPr>
          <w:rFonts w:ascii="仿宋" w:hAnsi="仿宋" w:eastAsia="仿宋"/>
          <w:color w:val="auto"/>
        </w:rPr>
      </w:pPr>
    </w:p>
    <w:p w14:paraId="37DBE126">
      <w:pPr>
        <w:spacing w:line="360" w:lineRule="auto"/>
        <w:rPr>
          <w:rFonts w:ascii="仿宋" w:hAnsi="仿宋" w:eastAsia="仿宋"/>
          <w:color w:val="auto"/>
        </w:rPr>
      </w:pPr>
    </w:p>
    <w:p w14:paraId="7BBD3650">
      <w:pPr>
        <w:spacing w:line="360" w:lineRule="auto"/>
        <w:rPr>
          <w:rFonts w:ascii="仿宋" w:hAnsi="仿宋" w:eastAsia="仿宋"/>
          <w:color w:val="auto"/>
        </w:rPr>
      </w:pPr>
    </w:p>
    <w:p w14:paraId="51ED8CF6">
      <w:pPr>
        <w:spacing w:line="360" w:lineRule="auto"/>
        <w:ind w:firstLine="4410" w:firstLineChars="2100"/>
        <w:rPr>
          <w:rFonts w:ascii="仿宋" w:hAnsi="仿宋" w:eastAsia="仿宋" w:cs="仿宋_GB2312"/>
          <w:color w:val="auto"/>
          <w:sz w:val="22"/>
          <w:u w:val="single"/>
        </w:rPr>
      </w:pPr>
      <w:r>
        <w:rPr>
          <w:rStyle w:val="21"/>
          <w:rFonts w:hint="eastAsia" w:ascii="仿宋" w:hAnsi="仿宋" w:eastAsia="仿宋" w:cs="仿宋"/>
          <w:b w:val="0"/>
          <w:color w:val="auto"/>
          <w:sz w:val="21"/>
          <w:szCs w:val="21"/>
          <w:shd w:val="clear" w:color="auto" w:fill="FFFFFF"/>
          <w:lang w:val="en-US" w:eastAsia="zh-CN"/>
        </w:rPr>
        <w:t>报价</w:t>
      </w:r>
      <w:r>
        <w:rPr>
          <w:rFonts w:hint="eastAsia" w:ascii="仿宋" w:hAnsi="仿宋" w:eastAsia="仿宋" w:cs="仿宋_GB2312"/>
          <w:color w:val="auto"/>
          <w:sz w:val="22"/>
          <w:lang w:val="zh-CN"/>
        </w:rPr>
        <w:t>人名称(</w:t>
      </w:r>
      <w:r>
        <w:rPr>
          <w:rFonts w:hint="eastAsia" w:ascii="仿宋" w:hAnsi="仿宋" w:eastAsia="仿宋" w:cs="仿宋_GB2312"/>
          <w:color w:val="auto"/>
          <w:sz w:val="22"/>
        </w:rPr>
        <w:t>公章</w:t>
      </w:r>
      <w:r>
        <w:rPr>
          <w:rFonts w:hint="eastAsia" w:ascii="仿宋" w:hAnsi="仿宋" w:eastAsia="仿宋" w:cs="仿宋_GB2312"/>
          <w:color w:val="auto"/>
          <w:sz w:val="22"/>
          <w:lang w:val="zh-CN"/>
        </w:rPr>
        <w:t>)：</w:t>
      </w:r>
      <w:r>
        <w:rPr>
          <w:rFonts w:hint="eastAsia" w:ascii="仿宋" w:hAnsi="仿宋" w:eastAsia="仿宋" w:cs="仿宋_GB2312"/>
          <w:color w:val="auto"/>
          <w:sz w:val="22"/>
          <w:u w:val="single"/>
          <w:lang w:val="zh-CN"/>
        </w:rPr>
        <w:t xml:space="preserve"> </w:t>
      </w:r>
      <w:r>
        <w:rPr>
          <w:rFonts w:ascii="仿宋" w:hAnsi="仿宋" w:eastAsia="仿宋" w:cs="仿宋_GB2312"/>
          <w:color w:val="auto"/>
          <w:sz w:val="22"/>
          <w:u w:val="single"/>
          <w:lang w:val="zh-CN"/>
        </w:rPr>
        <w:t xml:space="preserve">         </w:t>
      </w:r>
    </w:p>
    <w:p w14:paraId="05366937">
      <w:pPr>
        <w:spacing w:line="360" w:lineRule="auto"/>
        <w:ind w:firstLine="4730" w:firstLineChars="2150"/>
        <w:rPr>
          <w:rFonts w:ascii="宋体" w:hAnsi="宋体" w:cs="宋体"/>
          <w:b/>
          <w:bCs/>
          <w:color w:val="auto"/>
          <w:szCs w:val="24"/>
        </w:rPr>
      </w:pPr>
      <w:r>
        <w:rPr>
          <w:rFonts w:hint="eastAsia" w:ascii="仿宋" w:hAnsi="仿宋" w:eastAsia="仿宋" w:cs="仿宋_GB2312"/>
          <w:color w:val="auto"/>
          <w:sz w:val="22"/>
          <w:lang w:val="zh-CN"/>
        </w:rPr>
        <w:t>日期</w:t>
      </w:r>
      <w:r>
        <w:rPr>
          <w:rFonts w:hint="eastAsia" w:ascii="仿宋" w:hAnsi="仿宋" w:eastAsia="仿宋" w:cs="仿宋_GB2312"/>
          <w:color w:val="auto"/>
          <w:sz w:val="22"/>
        </w:rPr>
        <w:t xml:space="preserve">：  年  </w:t>
      </w:r>
      <w:r>
        <w:rPr>
          <w:rFonts w:hint="eastAsia" w:ascii="仿宋" w:hAnsi="仿宋" w:eastAsia="仿宋" w:cs="仿宋_GB2312"/>
          <w:color w:val="auto"/>
          <w:sz w:val="22"/>
          <w:lang w:val="zh-CN"/>
        </w:rPr>
        <w:t>月</w:t>
      </w:r>
      <w:r>
        <w:rPr>
          <w:rFonts w:hint="eastAsia" w:ascii="仿宋" w:hAnsi="仿宋" w:eastAsia="仿宋" w:cs="仿宋_GB2312"/>
          <w:color w:val="auto"/>
          <w:sz w:val="22"/>
        </w:rPr>
        <w:t xml:space="preserve">   </w:t>
      </w:r>
      <w:r>
        <w:rPr>
          <w:rFonts w:hint="eastAsia" w:ascii="仿宋" w:hAnsi="仿宋" w:eastAsia="仿宋" w:cs="仿宋_GB2312"/>
          <w:color w:val="auto"/>
          <w:sz w:val="22"/>
          <w:lang w:val="zh-CN"/>
        </w:rPr>
        <w:t>日</w:t>
      </w:r>
    </w:p>
    <w:p w14:paraId="738EC33C">
      <w:pPr>
        <w:pStyle w:val="3"/>
        <w:spacing w:beforeLines="0" w:afterLines="0"/>
        <w:rPr>
          <w:rFonts w:hint="eastAsia" w:eastAsia="宋体"/>
          <w:color w:val="auto"/>
          <w:sz w:val="30"/>
          <w:szCs w:val="32"/>
        </w:rPr>
      </w:pPr>
      <w:r>
        <w:rPr>
          <w:rFonts w:hint="eastAsia" w:eastAsia="宋体"/>
          <w:color w:val="auto"/>
          <w:sz w:val="30"/>
          <w:szCs w:val="32"/>
        </w:rPr>
        <w:t>附件3：评审方法与标准</w:t>
      </w:r>
    </w:p>
    <w:p w14:paraId="74D9B9CE">
      <w:pPr>
        <w:spacing w:beforeLines="0" w:afterLines="0" w:line="360" w:lineRule="auto"/>
        <w:rPr>
          <w:rFonts w:hint="default"/>
          <w:b/>
          <w:color w:val="auto"/>
          <w:sz w:val="24"/>
          <w:szCs w:val="21"/>
        </w:rPr>
      </w:pPr>
      <w:r>
        <w:rPr>
          <w:rFonts w:hint="eastAsia"/>
          <w:b/>
          <w:color w:val="auto"/>
          <w:sz w:val="24"/>
          <w:szCs w:val="21"/>
        </w:rPr>
        <w:t>采用综合评分法。</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1"/>
        <w:gridCol w:w="1348"/>
        <w:gridCol w:w="4827"/>
        <w:gridCol w:w="765"/>
        <w:gridCol w:w="646"/>
      </w:tblGrid>
      <w:tr w14:paraId="10D768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8"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0535C3D6">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序号</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68B96762">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评审因素</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480D5B86">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评分细则</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23E9DAF0">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分值（分）</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6ACCE19B">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权重（%）</w:t>
            </w:r>
          </w:p>
        </w:tc>
      </w:tr>
      <w:tr w14:paraId="05B59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8"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3783517F">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一</w:t>
            </w:r>
          </w:p>
        </w:tc>
        <w:tc>
          <w:tcPr>
            <w:tcW w:w="4073" w:type="pct"/>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2EAFAD22">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技术部分 （70分）</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5AE9ADC7">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70</w:t>
            </w:r>
          </w:p>
        </w:tc>
      </w:tr>
      <w:tr w14:paraId="269698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95"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60F9EEE2">
            <w:pPr>
              <w:pStyle w:val="34"/>
              <w:numPr>
                <w:ilvl w:val="0"/>
                <w:numId w:val="0"/>
              </w:numPr>
              <w:autoSpaceDE/>
              <w:autoSpaceDN/>
              <w:adjustRightInd/>
              <w:spacing w:beforeLines="0" w:afterLines="0" w:line="400" w:lineRule="exact"/>
              <w:ind w:left="480" w:leftChars="200" w:firstLine="0"/>
              <w:jc w:val="both"/>
              <w:rPr>
                <w:rFonts w:hint="eastAsia"/>
                <w:color w:val="auto"/>
                <w:sz w:val="21"/>
                <w:szCs w:val="21"/>
                <w:lang w:val="en-US"/>
              </w:rPr>
            </w:pPr>
            <w:r>
              <w:rPr>
                <w:rFonts w:hint="eastAsia"/>
                <w:color w:val="auto"/>
                <w:sz w:val="21"/>
                <w:szCs w:val="21"/>
                <w:lang w:val="en-US"/>
              </w:rPr>
              <w:t>1</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00F2249D">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技术响应情况</w:t>
            </w:r>
          </w:p>
          <w:p w14:paraId="12497368">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（20分）</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0FA0A39E">
            <w:pPr>
              <w:spacing w:beforeLines="0" w:afterLines="0" w:line="360" w:lineRule="auto"/>
              <w:rPr>
                <w:rFonts w:hint="eastAsia"/>
                <w:b/>
                <w:color w:val="auto"/>
                <w:sz w:val="21"/>
                <w:szCs w:val="21"/>
              </w:rPr>
            </w:pPr>
            <w:r>
              <w:rPr>
                <w:rFonts w:hint="eastAsia"/>
                <w:b/>
                <w:color w:val="auto"/>
                <w:sz w:val="21"/>
                <w:szCs w:val="21"/>
              </w:rPr>
              <w:t>根据各供应商对《</w:t>
            </w:r>
            <w:r>
              <w:rPr>
                <w:rFonts w:hint="eastAsia"/>
                <w:b/>
                <w:color w:val="auto"/>
                <w:sz w:val="21"/>
                <w:szCs w:val="21"/>
                <w:lang w:val="en-US" w:eastAsia="zh-CN"/>
              </w:rPr>
              <w:t>附件1</w:t>
            </w:r>
            <w:r>
              <w:rPr>
                <w:rFonts w:hint="eastAsia"/>
                <w:b/>
                <w:color w:val="auto"/>
                <w:sz w:val="21"/>
                <w:szCs w:val="21"/>
              </w:rPr>
              <w:t xml:space="preserve"> </w:t>
            </w:r>
            <w:r>
              <w:rPr>
                <w:rFonts w:hint="eastAsia"/>
                <w:b/>
                <w:color w:val="auto"/>
                <w:sz w:val="21"/>
                <w:szCs w:val="21"/>
                <w:lang w:val="en-US" w:eastAsia="zh-CN"/>
              </w:rPr>
              <w:t>项目</w:t>
            </w:r>
            <w:r>
              <w:rPr>
                <w:rFonts w:hint="eastAsia"/>
                <w:b/>
                <w:color w:val="auto"/>
                <w:sz w:val="21"/>
                <w:szCs w:val="21"/>
              </w:rPr>
              <w:t>需求》“</w:t>
            </w:r>
            <w:r>
              <w:rPr>
                <w:rFonts w:hint="eastAsia"/>
                <w:b/>
                <w:color w:val="auto"/>
                <w:sz w:val="21"/>
                <w:szCs w:val="21"/>
                <w:lang w:val="en-US" w:eastAsia="zh-CN"/>
              </w:rPr>
              <w:t>项目需求及服务</w:t>
            </w:r>
            <w:r>
              <w:rPr>
                <w:rFonts w:hint="eastAsia"/>
                <w:b/>
                <w:color w:val="auto"/>
                <w:sz w:val="21"/>
                <w:szCs w:val="21"/>
              </w:rPr>
              <w:t>要求”中的未标注“★”或“▲”的一般技术参数的响应情况进行评审（最高得</w:t>
            </w:r>
            <w:r>
              <w:rPr>
                <w:rFonts w:hint="eastAsia"/>
                <w:b/>
                <w:color w:val="auto"/>
                <w:sz w:val="21"/>
                <w:szCs w:val="21"/>
                <w:lang w:val="en-US" w:eastAsia="zh-CN"/>
              </w:rPr>
              <w:t>20</w:t>
            </w:r>
            <w:r>
              <w:rPr>
                <w:rFonts w:hint="eastAsia"/>
                <w:b/>
                <w:color w:val="auto"/>
                <w:sz w:val="21"/>
                <w:szCs w:val="21"/>
              </w:rPr>
              <w:t>分）：一般技术参数条款完全满足或优于的，得</w:t>
            </w:r>
            <w:r>
              <w:rPr>
                <w:rFonts w:hint="eastAsia"/>
                <w:b/>
                <w:color w:val="auto"/>
                <w:sz w:val="21"/>
                <w:szCs w:val="21"/>
                <w:lang w:val="en-US" w:eastAsia="zh-CN"/>
              </w:rPr>
              <w:t>20</w:t>
            </w:r>
            <w:r>
              <w:rPr>
                <w:rFonts w:hint="eastAsia"/>
                <w:b/>
                <w:color w:val="auto"/>
                <w:sz w:val="21"/>
                <w:szCs w:val="21"/>
              </w:rPr>
              <w:t>分；每有1项负偏离或不完全满足的扣</w:t>
            </w:r>
            <w:r>
              <w:rPr>
                <w:rFonts w:hint="eastAsia"/>
                <w:b/>
                <w:color w:val="auto"/>
                <w:sz w:val="21"/>
                <w:szCs w:val="21"/>
                <w:lang w:val="en-US" w:eastAsia="zh-CN"/>
              </w:rPr>
              <w:t>0.5</w:t>
            </w:r>
            <w:r>
              <w:rPr>
                <w:rFonts w:hint="eastAsia"/>
                <w:b/>
                <w:color w:val="auto"/>
                <w:sz w:val="21"/>
                <w:szCs w:val="21"/>
              </w:rPr>
              <w:t>分，直到扣完本项分数为止。</w:t>
            </w:r>
          </w:p>
          <w:p w14:paraId="64ADD4C8">
            <w:pPr>
              <w:spacing w:beforeLines="0" w:afterLines="0" w:line="360" w:lineRule="auto"/>
              <w:rPr>
                <w:rFonts w:hint="default"/>
                <w:b/>
                <w:color w:val="auto"/>
                <w:sz w:val="21"/>
                <w:szCs w:val="21"/>
              </w:rPr>
            </w:pPr>
            <w:r>
              <w:rPr>
                <w:rFonts w:hint="eastAsia"/>
                <w:b/>
                <w:color w:val="auto"/>
                <w:sz w:val="21"/>
                <w:szCs w:val="21"/>
              </w:rPr>
              <w:t>备注：如采购需求中有明确提供的证明资料，则以采购需求中要求的为准，如采购需求中无明确证明材料的，则以供应商提供的</w:t>
            </w:r>
            <w:r>
              <w:rPr>
                <w:rFonts w:hint="eastAsia"/>
                <w:b/>
                <w:color w:val="auto"/>
                <w:sz w:val="21"/>
                <w:szCs w:val="21"/>
                <w:highlight w:val="none"/>
              </w:rPr>
              <w:t>《</w:t>
            </w:r>
            <w:r>
              <w:rPr>
                <w:rFonts w:hint="eastAsia"/>
                <w:b/>
                <w:color w:val="auto"/>
                <w:sz w:val="21"/>
                <w:szCs w:val="21"/>
                <w:highlight w:val="none"/>
                <w:lang w:val="en-US" w:eastAsia="zh-CN"/>
              </w:rPr>
              <w:t>一般条款</w:t>
            </w:r>
            <w:r>
              <w:rPr>
                <w:rFonts w:hint="eastAsia"/>
                <w:b/>
                <w:color w:val="auto"/>
                <w:sz w:val="21"/>
                <w:szCs w:val="21"/>
                <w:highlight w:val="none"/>
              </w:rPr>
              <w:t>响应表》</w:t>
            </w:r>
            <w:r>
              <w:rPr>
                <w:rFonts w:hint="eastAsia"/>
                <w:b/>
                <w:color w:val="auto"/>
                <w:sz w:val="21"/>
                <w:szCs w:val="21"/>
              </w:rPr>
              <w:t>的响应情况进行评审。</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1591E968">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20</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444A0823">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20</w:t>
            </w:r>
          </w:p>
        </w:tc>
      </w:tr>
      <w:tr w14:paraId="33CE1E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1C15F752">
            <w:pPr>
              <w:pStyle w:val="34"/>
              <w:numPr>
                <w:ilvl w:val="0"/>
                <w:numId w:val="0"/>
              </w:numPr>
              <w:autoSpaceDE/>
              <w:autoSpaceDN/>
              <w:adjustRightInd/>
              <w:spacing w:beforeLines="0" w:afterLines="0" w:line="400" w:lineRule="exact"/>
              <w:ind w:left="480" w:leftChars="200" w:firstLine="0"/>
              <w:jc w:val="both"/>
              <w:rPr>
                <w:rFonts w:hint="eastAsia"/>
                <w:color w:val="auto"/>
                <w:sz w:val="21"/>
                <w:szCs w:val="21"/>
                <w:lang w:val="en-US"/>
              </w:rPr>
            </w:pPr>
            <w:r>
              <w:rPr>
                <w:rFonts w:hint="eastAsia"/>
                <w:color w:val="auto"/>
                <w:sz w:val="21"/>
                <w:szCs w:val="21"/>
                <w:lang w:val="en-US"/>
              </w:rPr>
              <w:t>2</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7F250B30">
            <w:pPr>
              <w:spacing w:beforeLines="0" w:afterLines="0" w:line="400" w:lineRule="exact"/>
              <w:jc w:val="center"/>
              <w:rPr>
                <w:rFonts w:hint="eastAsia" w:ascii="宋体" w:hAnsi="宋体" w:cs="宋体"/>
                <w:color w:val="auto"/>
                <w:sz w:val="21"/>
                <w:szCs w:val="21"/>
                <w:lang w:bidi="ar"/>
              </w:rPr>
            </w:pPr>
            <w:r>
              <w:rPr>
                <w:rFonts w:hint="eastAsia" w:ascii="宋体" w:hAnsi="宋体" w:cs="宋体"/>
                <w:color w:val="auto"/>
                <w:sz w:val="21"/>
                <w:szCs w:val="21"/>
                <w:lang w:bidi="ar"/>
              </w:rPr>
              <w:t>系统功能演示验证</w:t>
            </w:r>
          </w:p>
          <w:p w14:paraId="4824C342">
            <w:pPr>
              <w:spacing w:beforeLines="0" w:afterLines="0" w:line="400" w:lineRule="exact"/>
              <w:jc w:val="center"/>
              <w:rPr>
                <w:rFonts w:hint="eastAsia" w:ascii="宋体" w:hAnsi="宋体"/>
                <w:color w:val="auto"/>
                <w:sz w:val="21"/>
                <w:szCs w:val="21"/>
              </w:rPr>
            </w:pPr>
            <w:r>
              <w:rPr>
                <w:rFonts w:hint="eastAsia" w:ascii="宋体" w:hAnsi="宋体" w:cs="宋体"/>
                <w:color w:val="auto"/>
                <w:sz w:val="21"/>
                <w:szCs w:val="21"/>
                <w:lang w:bidi="ar"/>
              </w:rPr>
              <w:t>（15分）</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23C51405">
            <w:pPr>
              <w:pStyle w:val="7"/>
              <w:spacing w:beforeLines="0" w:afterLines="0" w:line="360" w:lineRule="auto"/>
              <w:rPr>
                <w:rFonts w:hint="default"/>
                <w:b/>
                <w:color w:val="auto"/>
                <w:sz w:val="21"/>
                <w:szCs w:val="21"/>
              </w:rPr>
            </w:pPr>
            <w:r>
              <w:rPr>
                <w:rFonts w:hint="eastAsia"/>
                <w:b/>
                <w:color w:val="auto"/>
                <w:sz w:val="21"/>
                <w:szCs w:val="21"/>
              </w:rPr>
              <w:t>评审现场，</w:t>
            </w:r>
            <w:r>
              <w:rPr>
                <w:rFonts w:hint="eastAsia"/>
                <w:b/>
                <w:color w:val="auto"/>
                <w:sz w:val="21"/>
                <w:szCs w:val="21"/>
                <w:lang w:val="en-US" w:eastAsia="zh-CN"/>
              </w:rPr>
              <w:t>报价</w:t>
            </w:r>
            <w:r>
              <w:rPr>
                <w:rFonts w:hint="eastAsia"/>
                <w:b/>
                <w:color w:val="auto"/>
                <w:sz w:val="21"/>
                <w:szCs w:val="21"/>
              </w:rPr>
              <w:t>供应商可自备演示相关设备参与现场功能演示验证（详见功能演示验证清单），演示时间不得超过15分钟，现场不提供网络环境，必须使用真实系统演示。</w:t>
            </w:r>
          </w:p>
          <w:p w14:paraId="6FAFB660">
            <w:pPr>
              <w:pStyle w:val="7"/>
              <w:spacing w:beforeLines="0" w:afterLines="0" w:line="360" w:lineRule="auto"/>
              <w:rPr>
                <w:rFonts w:hint="default"/>
                <w:b/>
                <w:color w:val="auto"/>
                <w:sz w:val="21"/>
                <w:szCs w:val="21"/>
              </w:rPr>
            </w:pPr>
            <w:r>
              <w:rPr>
                <w:rFonts w:hint="eastAsia"/>
                <w:b/>
                <w:color w:val="auto"/>
                <w:sz w:val="21"/>
                <w:szCs w:val="21"/>
              </w:rPr>
              <w:t>功能演示验证清单如下：</w:t>
            </w:r>
          </w:p>
          <w:p w14:paraId="4A05561A">
            <w:pPr>
              <w:pStyle w:val="7"/>
              <w:spacing w:beforeLines="0" w:afterLines="0" w:line="360" w:lineRule="auto"/>
              <w:rPr>
                <w:rFonts w:hint="eastAsia"/>
                <w:color w:val="auto"/>
                <w:sz w:val="21"/>
                <w:szCs w:val="21"/>
              </w:rPr>
            </w:pPr>
            <w:r>
              <w:rPr>
                <w:rFonts w:hint="eastAsia"/>
                <w:color w:val="auto"/>
                <w:sz w:val="21"/>
                <w:szCs w:val="21"/>
              </w:rPr>
              <w:t>（1）内容编辑文章时支持Word/PDF/Markdown文档一键导入的功能，可以使用导入的Word/PDF/Markdown文件名作为标题，文档内容直接导入到编辑器且保留源格式和表格，Word、PDF中的图片自动上传到服务器上。导入的Word文档格式应支持.docx、.doc、.wps（金山WPS的文档格式），导入时应支持设置“将文件名/内容第一行设置为标题、将标题从内容中去除、自动获取内容中的第一张图片为封面图片、格式清理（清除格式、首行缩进、清除字号、清除字体、清除链接、清除图片）”等选项。完全满足得1分，有负偏离的不得分。</w:t>
            </w:r>
          </w:p>
          <w:p w14:paraId="65E4A419">
            <w:pPr>
              <w:pStyle w:val="7"/>
              <w:spacing w:beforeLines="0" w:afterLines="0" w:line="360" w:lineRule="auto"/>
              <w:rPr>
                <w:rFonts w:hint="default"/>
                <w:color w:val="auto"/>
                <w:sz w:val="21"/>
                <w:szCs w:val="21"/>
              </w:rPr>
            </w:pPr>
            <w:r>
              <w:rPr>
                <w:rFonts w:hint="eastAsia"/>
                <w:color w:val="auto"/>
                <w:sz w:val="21"/>
                <w:szCs w:val="21"/>
              </w:rPr>
              <w:t>（2）支持批量导入Word功能，可以一次性上传多个Word文档并导入到系统中，文档中的图片自动上传到服务器上。导入的Word文档格式支持.docx、.doc、.wps（金山WPS的文档格式），支持批量导入/导出Markdown文档功能。完全满足得1分，有负偏离的不得分。</w:t>
            </w:r>
          </w:p>
          <w:p w14:paraId="02E83B9A">
            <w:pPr>
              <w:pStyle w:val="7"/>
              <w:spacing w:beforeLines="0" w:afterLines="0" w:line="360" w:lineRule="auto"/>
              <w:rPr>
                <w:rFonts w:hint="default"/>
                <w:color w:val="auto"/>
                <w:sz w:val="21"/>
                <w:szCs w:val="21"/>
              </w:rPr>
            </w:pPr>
            <w:r>
              <w:rPr>
                <w:rFonts w:hint="eastAsia"/>
                <w:color w:val="auto"/>
                <w:sz w:val="21"/>
                <w:szCs w:val="21"/>
              </w:rPr>
              <w:t>（3）支持导出数据功能。导出数据时应可以设置导出的字段、导出的数据范围（全部数据/符合筛选条件的数据/列表中选中的数据）、导出的文件格式（Excel/CSV/XML/Json/压缩包Zip），确认后再按照指定的条件来导出数据，以尽量减少导出后的数据再加工处理工作。导出的文件格式为“压缩包Zip”时，在导出时应除了导出文章记录以外，还应将内容中附带的图片、视频和其他附件一并打包，以用于在两个平台之间快速迁移数据。完全满足得1分，有负偏离的不得分。</w:t>
            </w:r>
          </w:p>
          <w:p w14:paraId="5F793CA4">
            <w:pPr>
              <w:pStyle w:val="7"/>
              <w:spacing w:beforeLines="0" w:afterLines="0" w:line="360" w:lineRule="auto"/>
              <w:rPr>
                <w:rFonts w:hint="default"/>
                <w:color w:val="auto"/>
                <w:sz w:val="21"/>
                <w:szCs w:val="21"/>
              </w:rPr>
            </w:pPr>
            <w:r>
              <w:rPr>
                <w:rFonts w:hint="eastAsia"/>
                <w:color w:val="auto"/>
                <w:sz w:val="21"/>
                <w:szCs w:val="21"/>
              </w:rPr>
              <w:t>（4）支持导出文章到Word/PDF功能，在将文章导出到Word文档时，除了文章标题和内容以外，还应将内容中的图片也一并打包进Word文档中。批量导出文章到Word时，支持打包成压缩包下载。完全满足得1分，有负偏离的不得分。</w:t>
            </w:r>
          </w:p>
          <w:p w14:paraId="07EFAE62">
            <w:pPr>
              <w:pStyle w:val="7"/>
              <w:spacing w:beforeLines="0" w:afterLines="0" w:line="360" w:lineRule="auto"/>
              <w:rPr>
                <w:rFonts w:hint="default"/>
                <w:color w:val="auto"/>
                <w:sz w:val="21"/>
                <w:szCs w:val="21"/>
              </w:rPr>
            </w:pPr>
            <w:r>
              <w:rPr>
                <w:rFonts w:hint="eastAsia"/>
                <w:color w:val="auto"/>
                <w:sz w:val="21"/>
                <w:szCs w:val="21"/>
              </w:rPr>
              <w:t>（5）支持手动清理垃圾上传文件功能，支持“快速清理”和“深度清理”。支持查看垃圾文件清理日志。完全满足得1分，有负偏离的不得分。</w:t>
            </w:r>
          </w:p>
          <w:p w14:paraId="6D88A022">
            <w:pPr>
              <w:pStyle w:val="7"/>
              <w:spacing w:beforeLines="0" w:afterLines="0" w:line="360" w:lineRule="auto"/>
              <w:rPr>
                <w:rFonts w:hint="default"/>
                <w:color w:val="auto"/>
                <w:sz w:val="21"/>
                <w:szCs w:val="21"/>
              </w:rPr>
            </w:pPr>
            <w:r>
              <w:rPr>
                <w:rFonts w:hint="eastAsia"/>
                <w:color w:val="auto"/>
                <w:sz w:val="21"/>
                <w:szCs w:val="21"/>
              </w:rPr>
              <w:t>（6）支持“可以直接在前台内容页点击链接进入后台编辑内容”功能。当管理员有登录后台且有对文章的编辑权限时，前台的内容查看页就会显示“进入后台编辑”链接。匿名访问或普通用户访问前台内容页，则没有这一链接。点击上“进入后台编辑”，就可以直接打开后台的编辑页进行编辑，并且保持了完整的后台操作导航路径（左侧导航菜单会展开并定位到“内容采编发”，节点导航中栏会展开节点树并定位到相应节点），在方便在完成此文章的编辑以后可以继续其他后台操作。完全满足得1分，有负偏离的不得分。</w:t>
            </w:r>
          </w:p>
          <w:p w14:paraId="0ED0DCF2">
            <w:pPr>
              <w:pStyle w:val="7"/>
              <w:spacing w:beforeLines="0" w:afterLines="0" w:line="360" w:lineRule="auto"/>
              <w:rPr>
                <w:rFonts w:hint="default"/>
                <w:color w:val="auto"/>
                <w:sz w:val="21"/>
                <w:szCs w:val="21"/>
              </w:rPr>
            </w:pPr>
            <w:r>
              <w:rPr>
                <w:rFonts w:hint="eastAsia"/>
                <w:color w:val="auto"/>
                <w:sz w:val="21"/>
                <w:szCs w:val="21"/>
              </w:rPr>
              <w:t>（7）HTML在线编辑器系统：支持内容大纲（目录）功能。可以开启/关闭“目录”。当打开“目录”以后，在编辑器的左侧会显示内容的目录结构（自动根据内容中设置的“标题1~6”来自动生成文档的目录结构），并在内容目录结构发生变化时同步更新。完全满足得1分，有负偏离的不得分。</w:t>
            </w:r>
          </w:p>
          <w:p w14:paraId="125FCFD9">
            <w:pPr>
              <w:pStyle w:val="7"/>
              <w:spacing w:beforeLines="0" w:afterLines="0" w:line="360" w:lineRule="auto"/>
              <w:rPr>
                <w:rFonts w:hint="eastAsia"/>
                <w:color w:val="auto"/>
                <w:sz w:val="21"/>
                <w:szCs w:val="21"/>
              </w:rPr>
            </w:pPr>
            <w:r>
              <w:rPr>
                <w:rFonts w:hint="eastAsia"/>
                <w:color w:val="auto"/>
                <w:sz w:val="21"/>
                <w:szCs w:val="21"/>
              </w:rPr>
              <w:t>（8）支持批量清理内容格式功能。对于清理过内容格式的内容，有相关的历史记录。支持批量清理内容格式日志功能，详细记录清理内容格式的时间、被清理的内容的ID、标题，字段。清理时支持设置清理的数据范围（按内容模型、节点勾选），支持设置“清除格式、清除字号、清除字体、清除空行、清除图片、首行缩进、图片居中、上传文件的地址转为小写、Base64图片转换为本地图片、使用AI从文章内容中提取摘要并替换掉原简介、使用AI从文章内容中提取关键词并替换掉原关键词”等清理选项。完全满足得1分，有负偏离的不得分。</w:t>
            </w:r>
          </w:p>
          <w:p w14:paraId="7F774783">
            <w:pPr>
              <w:pStyle w:val="7"/>
              <w:spacing w:beforeLines="0" w:afterLines="0" w:line="360" w:lineRule="auto"/>
              <w:rPr>
                <w:rFonts w:hint="eastAsia"/>
                <w:color w:val="auto"/>
                <w:sz w:val="21"/>
                <w:szCs w:val="21"/>
              </w:rPr>
            </w:pPr>
            <w:r>
              <w:rPr>
                <w:rFonts w:hint="eastAsia"/>
                <w:color w:val="auto"/>
                <w:sz w:val="21"/>
                <w:szCs w:val="21"/>
              </w:rPr>
              <w:t>（9）支持批量综合处理功能。可以一次性将指定的内容模型中的文本型字段含有指定关键词的记录全部查询出来，并将结果缓存起来，然后以站内短消息和邮件方式通知执行操作的管理员进行处理。对于找到的记录，支持“修改、从清单中移除”操作，以及相应的批量操作。修改页只显示匹配关键字的具体字段，只提供“保存修改结果并从清单排除”操作。支持日志功能，详细记录批量处理的内容的ID、标题、相应字段。完全满足得1分，有负偏离的不得分。</w:t>
            </w:r>
          </w:p>
          <w:p w14:paraId="57E2A38D">
            <w:pPr>
              <w:pStyle w:val="7"/>
              <w:spacing w:beforeLines="0" w:afterLines="0" w:line="360" w:lineRule="auto"/>
              <w:rPr>
                <w:rFonts w:hint="default"/>
                <w:color w:val="auto"/>
                <w:sz w:val="21"/>
                <w:szCs w:val="21"/>
              </w:rPr>
            </w:pPr>
            <w:r>
              <w:rPr>
                <w:rFonts w:hint="eastAsia"/>
                <w:color w:val="auto"/>
                <w:sz w:val="21"/>
                <w:szCs w:val="21"/>
              </w:rPr>
              <w:t>（10）文件上传与管理：支持在“文件内容中搜索”功能。对于.doc、.docx、.wps、.pdf、.pptx、.txt、和.xlsx格式文档，可以搜索文件内容中存在搜索关键字的文件，搜索时支持区分大小写、全字匹配、使用正则表达式，支持限定搜索范围。支持在文件内容搜索结果页可以直接预览文件内容并定位搜索结果。完全满足得1分，有负偏离的不得分。</w:t>
            </w:r>
          </w:p>
          <w:p w14:paraId="3E3508E3">
            <w:pPr>
              <w:pStyle w:val="7"/>
              <w:spacing w:beforeLines="0" w:afterLines="0" w:line="360" w:lineRule="auto"/>
              <w:rPr>
                <w:rFonts w:hint="eastAsia"/>
                <w:color w:val="auto"/>
                <w:sz w:val="21"/>
                <w:szCs w:val="21"/>
              </w:rPr>
            </w:pPr>
            <w:r>
              <w:rPr>
                <w:rFonts w:hint="eastAsia"/>
                <w:color w:val="auto"/>
                <w:sz w:val="21"/>
                <w:szCs w:val="21"/>
              </w:rPr>
              <w:t>（11）站点管理：创建站点时支持“克隆现有站点模板、从平台模板方案库中导入、从云模板库中下载并导入、上传本地模板方案并导入”等多种模板导入方式，以可以快速的创建站点并导入模板和演示数据。完全满足得1分，有负偏离的不得分。</w:t>
            </w:r>
          </w:p>
          <w:p w14:paraId="21A4CA8F">
            <w:pPr>
              <w:pStyle w:val="7"/>
              <w:spacing w:beforeLines="0" w:afterLines="0" w:line="360" w:lineRule="auto"/>
              <w:rPr>
                <w:rFonts w:hint="eastAsia"/>
                <w:color w:val="auto"/>
                <w:sz w:val="21"/>
                <w:szCs w:val="21"/>
              </w:rPr>
            </w:pPr>
            <w:r>
              <w:rPr>
                <w:rFonts w:hint="eastAsia"/>
                <w:color w:val="auto"/>
                <w:sz w:val="21"/>
                <w:szCs w:val="21"/>
              </w:rPr>
              <w:t>（12）移动设备自动适配系统：网站群管理平台的后台支持手机等移动设备访问并为移动设备优化的用户界面和功能设计，以方便用手机等移动设备对网站群进行管理。后台手机版的功能为PC版功能的子集，提供内容管理的文章添加、修改、审核/取消审核、删除、发布/取消发布等功能。网站前台页面和后台页面都支持手机访问时强制切换到PC版。后台页面在手机访问并强制切换为PC版时，保证功能基本可用，且无需放大缩小页面。完全满足得1分，有负偏离的不得分。</w:t>
            </w:r>
          </w:p>
          <w:p w14:paraId="74E9072A">
            <w:pPr>
              <w:pStyle w:val="7"/>
              <w:spacing w:beforeLines="0" w:afterLines="0" w:line="360" w:lineRule="auto"/>
              <w:rPr>
                <w:rFonts w:hint="eastAsia"/>
                <w:color w:val="auto"/>
                <w:sz w:val="21"/>
                <w:szCs w:val="21"/>
              </w:rPr>
            </w:pPr>
            <w:r>
              <w:rPr>
                <w:rFonts w:hint="eastAsia"/>
                <w:color w:val="auto"/>
                <w:sz w:val="21"/>
                <w:szCs w:val="21"/>
              </w:rPr>
              <w:t>（13）AI创作助手：编辑文章页和前台用户投稿页集成AI创作助手，实现以下这些功能：内容编辑时调用AI进行润色、扩写、缩写、提取摘要、提取关键词、生成全新的文章、根据简介生成封面图片、生成图片并插入到文章内容中。完全满足得1分，有负偏离的不得分。</w:t>
            </w:r>
          </w:p>
          <w:p w14:paraId="5CA86AA2">
            <w:pPr>
              <w:pStyle w:val="7"/>
              <w:spacing w:beforeLines="0" w:afterLines="0" w:line="360" w:lineRule="auto"/>
              <w:rPr>
                <w:rFonts w:hint="eastAsia"/>
                <w:color w:val="auto"/>
                <w:sz w:val="21"/>
                <w:szCs w:val="21"/>
              </w:rPr>
            </w:pPr>
            <w:r>
              <w:rPr>
                <w:rFonts w:hint="eastAsia"/>
                <w:color w:val="auto"/>
                <w:sz w:val="21"/>
                <w:szCs w:val="21"/>
              </w:rPr>
              <w:t>（14）提供错别字、敏感词、非法链接的云端共享中心。网站平台在接入共享中心以后，即可每天定时上传网站平台中的新增错别字、敏感词和非法链接给共享中心，并从共享中心接收其他网站共享出来的错别字、敏感词和非法链接。支持接入黑马校对、网景盛世、JCJC、开普云、蜜度、质子思维、网盯、金鸽等第三方错别检测接口。配置第三方接口时应支持接口测试功能。完全满足得1分，有负偏离的不得分。</w:t>
            </w:r>
          </w:p>
          <w:p w14:paraId="538099AA">
            <w:pPr>
              <w:pStyle w:val="7"/>
              <w:spacing w:beforeLines="0" w:afterLines="0" w:line="360" w:lineRule="auto"/>
              <w:rPr>
                <w:rFonts w:hint="default"/>
                <w:color w:val="auto"/>
                <w:sz w:val="21"/>
                <w:szCs w:val="21"/>
              </w:rPr>
            </w:pPr>
            <w:r>
              <w:rPr>
                <w:rFonts w:hint="eastAsia"/>
                <w:color w:val="auto"/>
                <w:sz w:val="21"/>
                <w:szCs w:val="21"/>
              </w:rPr>
              <w:t>（15）信息报送系统支持手机等移动设备访问并为移动设备优化的用户界面和功能设计，以方便用手机等移动设备进行信息报送和对报送的稿件进行管理。手机版的功能为PC版功能的子集，提供内容管理的文章/视频/图片等内容模型的报送及报送稿件管理，相关列表页的手机版提供内容模型切换、筛选和批量操作等功能。完全满足得1分，有负偏离的不得分。</w:t>
            </w:r>
          </w:p>
          <w:p w14:paraId="710D476F">
            <w:pPr>
              <w:pStyle w:val="7"/>
              <w:spacing w:beforeLines="0" w:afterLines="0" w:line="360" w:lineRule="auto"/>
              <w:rPr>
                <w:rFonts w:hint="default"/>
                <w:b/>
                <w:color w:val="auto"/>
                <w:sz w:val="21"/>
                <w:szCs w:val="21"/>
              </w:rPr>
            </w:pPr>
            <w:r>
              <w:rPr>
                <w:rFonts w:hint="eastAsia"/>
                <w:b/>
                <w:color w:val="auto"/>
                <w:sz w:val="21"/>
                <w:szCs w:val="21"/>
              </w:rPr>
              <w:t xml:space="preserve">评审标准：能演示但不完全满足相关功能要求的、或无法演示的、或演示的功能与要求不符的、或不是在实际的网站群平台软件中操作演示而只是以展示PPT/视频/图片等形式进行演示的，都视为不满足要求，该演示功能不得分。 </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704737D1">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15</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64460BB5">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15</w:t>
            </w:r>
          </w:p>
        </w:tc>
      </w:tr>
      <w:tr w14:paraId="3E38FD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1"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1867DF91">
            <w:pPr>
              <w:pStyle w:val="34"/>
              <w:numPr>
                <w:ilvl w:val="0"/>
                <w:numId w:val="0"/>
              </w:numPr>
              <w:autoSpaceDE/>
              <w:autoSpaceDN/>
              <w:adjustRightInd/>
              <w:spacing w:beforeLines="0" w:afterLines="0" w:line="400" w:lineRule="exact"/>
              <w:ind w:left="480" w:leftChars="200" w:firstLine="0"/>
              <w:jc w:val="both"/>
              <w:rPr>
                <w:rFonts w:hint="eastAsia"/>
                <w:color w:val="auto"/>
                <w:sz w:val="21"/>
                <w:szCs w:val="21"/>
                <w:lang w:val="en-US"/>
              </w:rPr>
            </w:pPr>
            <w:r>
              <w:rPr>
                <w:rFonts w:hint="eastAsia"/>
                <w:color w:val="auto"/>
                <w:sz w:val="21"/>
                <w:szCs w:val="21"/>
                <w:lang w:val="en-US"/>
              </w:rPr>
              <w:t>3</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2B50490C">
            <w:pPr>
              <w:spacing w:beforeLines="0" w:afterLines="0" w:line="400" w:lineRule="exact"/>
              <w:jc w:val="center"/>
              <w:rPr>
                <w:rFonts w:hint="eastAsia"/>
                <w:color w:val="auto"/>
                <w:sz w:val="21"/>
                <w:szCs w:val="21"/>
              </w:rPr>
            </w:pPr>
            <w:r>
              <w:rPr>
                <w:rFonts w:hint="eastAsia"/>
                <w:color w:val="auto"/>
                <w:sz w:val="21"/>
                <w:szCs w:val="21"/>
              </w:rPr>
              <w:t>关键技术参数符合度</w:t>
            </w:r>
          </w:p>
          <w:p w14:paraId="6D6EE790">
            <w:pPr>
              <w:spacing w:beforeLines="0" w:afterLines="0" w:line="400" w:lineRule="exact"/>
              <w:jc w:val="center"/>
              <w:rPr>
                <w:rFonts w:hint="eastAsia" w:ascii="宋体" w:hAnsi="宋体"/>
                <w:color w:val="auto"/>
                <w:sz w:val="21"/>
                <w:szCs w:val="21"/>
              </w:rPr>
            </w:pPr>
            <w:r>
              <w:rPr>
                <w:rFonts w:hint="eastAsia" w:ascii="宋体" w:hAnsi="宋体" w:cs="宋体"/>
                <w:color w:val="auto"/>
                <w:sz w:val="21"/>
                <w:szCs w:val="21"/>
                <w:lang w:bidi="ar"/>
              </w:rPr>
              <w:t>（25分）</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3585B1DC">
            <w:pPr>
              <w:pStyle w:val="7"/>
              <w:spacing w:beforeLines="0" w:afterLines="0" w:line="360" w:lineRule="auto"/>
              <w:rPr>
                <w:rFonts w:hint="default"/>
                <w:color w:val="auto"/>
                <w:sz w:val="21"/>
                <w:szCs w:val="21"/>
              </w:rPr>
            </w:pPr>
            <w:r>
              <w:rPr>
                <w:rFonts w:hint="eastAsia"/>
                <w:color w:val="auto"/>
                <w:sz w:val="21"/>
                <w:szCs w:val="21"/>
              </w:rPr>
              <w:t>总分25分。评分时采用扣分制。对于</w:t>
            </w:r>
            <w:r>
              <w:rPr>
                <w:rFonts w:hint="eastAsia"/>
                <w:color w:val="auto"/>
                <w:sz w:val="21"/>
                <w:szCs w:val="21"/>
                <w:lang w:eastAsia="zh-CN"/>
              </w:rPr>
              <w:t>采购文件</w:t>
            </w:r>
            <w:r>
              <w:rPr>
                <w:rFonts w:hint="eastAsia"/>
                <w:color w:val="auto"/>
                <w:sz w:val="21"/>
                <w:szCs w:val="21"/>
              </w:rPr>
              <w:t>中带“</w:t>
            </w:r>
            <w:r>
              <w:rPr>
                <w:rFonts w:hint="eastAsia"/>
                <w:color w:val="auto"/>
                <w:sz w:val="21"/>
                <w:szCs w:val="21"/>
                <w:lang w:eastAsia="zh-CN"/>
              </w:rPr>
              <w:t>★</w:t>
            </w:r>
            <w:r>
              <w:rPr>
                <w:rFonts w:hint="eastAsia"/>
                <w:color w:val="auto"/>
                <w:sz w:val="21"/>
                <w:szCs w:val="21"/>
              </w:rPr>
              <w:t>”标识的关键技术参数要求，要求供应商一定要在“技术参数响应偏离表”中明确响应。对于每项带“</w:t>
            </w:r>
            <w:r>
              <w:rPr>
                <w:rFonts w:hint="eastAsia"/>
                <w:color w:val="auto"/>
                <w:sz w:val="21"/>
                <w:szCs w:val="21"/>
                <w:lang w:eastAsia="zh-CN"/>
              </w:rPr>
              <w:t>★</w:t>
            </w:r>
            <w:r>
              <w:rPr>
                <w:rFonts w:hint="eastAsia"/>
                <w:color w:val="auto"/>
                <w:sz w:val="21"/>
                <w:szCs w:val="21"/>
              </w:rPr>
              <w:t>”标识的技术参数要求，完全响应的不扣分，不能完全响应的扣</w:t>
            </w:r>
            <w:r>
              <w:rPr>
                <w:rFonts w:hint="eastAsia"/>
                <w:color w:val="auto"/>
                <w:sz w:val="21"/>
                <w:szCs w:val="21"/>
                <w:lang w:val="en-US" w:eastAsia="zh-CN"/>
              </w:rPr>
              <w:t>1</w:t>
            </w:r>
            <w:r>
              <w:rPr>
                <w:rFonts w:hint="eastAsia"/>
                <w:color w:val="auto"/>
                <w:sz w:val="21"/>
                <w:szCs w:val="21"/>
              </w:rPr>
              <w:t>分，直到扣完本项分数为止。</w:t>
            </w:r>
          </w:p>
          <w:p w14:paraId="02417E35">
            <w:pPr>
              <w:pStyle w:val="7"/>
              <w:spacing w:beforeLines="0" w:afterLines="0" w:line="360" w:lineRule="auto"/>
              <w:rPr>
                <w:rFonts w:hint="default"/>
                <w:b/>
                <w:color w:val="auto"/>
                <w:sz w:val="21"/>
                <w:szCs w:val="21"/>
              </w:rPr>
            </w:pPr>
            <w:r>
              <w:rPr>
                <w:rFonts w:hint="eastAsia"/>
                <w:color w:val="auto"/>
                <w:sz w:val="21"/>
                <w:szCs w:val="21"/>
                <w:lang w:val="en-US" w:eastAsia="zh-CN"/>
              </w:rPr>
              <w:t>注：</w:t>
            </w:r>
            <w:r>
              <w:rPr>
                <w:rFonts w:hint="eastAsia"/>
                <w:color w:val="auto"/>
                <w:sz w:val="21"/>
                <w:szCs w:val="21"/>
              </w:rPr>
              <w:t>对于供应商在“技术</w:t>
            </w:r>
            <w:r>
              <w:rPr>
                <w:rFonts w:hint="eastAsia"/>
                <w:color w:val="auto"/>
                <w:sz w:val="21"/>
                <w:szCs w:val="21"/>
                <w:lang w:val="en-US" w:eastAsia="zh-CN"/>
              </w:rPr>
              <w:t>需求</w:t>
            </w:r>
            <w:r>
              <w:rPr>
                <w:rFonts w:hint="eastAsia"/>
                <w:color w:val="auto"/>
                <w:sz w:val="21"/>
                <w:szCs w:val="21"/>
              </w:rPr>
              <w:t>响应偏离表”中明确为“完全响应”的技术参数，要求供应商在响应文件中提供满足相应功能要求的软件运行界面截图予以证明，若未能按照要求提供截图，或提供的截图可以明显看出不能满足要求的，每发现一项将惩罚性扣</w:t>
            </w:r>
            <w:r>
              <w:rPr>
                <w:rFonts w:hint="eastAsia"/>
                <w:color w:val="auto"/>
                <w:sz w:val="21"/>
                <w:szCs w:val="21"/>
                <w:lang w:val="en-US" w:eastAsia="zh-CN"/>
              </w:rPr>
              <w:t>1</w:t>
            </w:r>
            <w:r>
              <w:rPr>
                <w:rFonts w:hint="eastAsia"/>
                <w:color w:val="auto"/>
                <w:sz w:val="21"/>
                <w:szCs w:val="21"/>
              </w:rPr>
              <w:t>分，直到扣完本项分数为止。</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0B193462">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25</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283AC1A5">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25</w:t>
            </w:r>
          </w:p>
        </w:tc>
      </w:tr>
      <w:tr w14:paraId="3CADE2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1"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23E80933">
            <w:pPr>
              <w:pStyle w:val="34"/>
              <w:autoSpaceDE/>
              <w:autoSpaceDN/>
              <w:adjustRightInd/>
              <w:spacing w:beforeLines="0" w:afterLines="0" w:line="400" w:lineRule="exact"/>
              <w:rPr>
                <w:rFonts w:hint="eastAsia"/>
                <w:color w:val="auto"/>
                <w:sz w:val="21"/>
                <w:szCs w:val="21"/>
                <w:lang w:val="en-US"/>
              </w:rPr>
            </w:pPr>
            <w:r>
              <w:rPr>
                <w:rFonts w:hint="eastAsia"/>
                <w:color w:val="auto"/>
                <w:sz w:val="21"/>
                <w:szCs w:val="21"/>
                <w:lang w:val="en-US"/>
              </w:rPr>
              <w:t>4</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1B559673">
            <w:pPr>
              <w:spacing w:beforeLines="0" w:afterLines="0" w:line="400" w:lineRule="exact"/>
              <w:jc w:val="center"/>
              <w:rPr>
                <w:rFonts w:hint="eastAsia" w:ascii="宋体" w:hAnsi="宋体" w:cs="宋体"/>
                <w:color w:val="auto"/>
                <w:sz w:val="21"/>
                <w:szCs w:val="21"/>
                <w:lang w:bidi="ar"/>
              </w:rPr>
            </w:pPr>
            <w:r>
              <w:rPr>
                <w:rFonts w:hint="eastAsia" w:ascii="宋体" w:hAnsi="宋体" w:cs="宋体"/>
                <w:color w:val="auto"/>
                <w:sz w:val="21"/>
                <w:szCs w:val="21"/>
                <w:lang w:bidi="ar"/>
              </w:rPr>
              <w:t>质量管理体系及措施</w:t>
            </w:r>
          </w:p>
          <w:p w14:paraId="53F0F5AC">
            <w:pPr>
              <w:spacing w:beforeLines="0" w:afterLines="0" w:line="400" w:lineRule="exact"/>
              <w:jc w:val="center"/>
              <w:rPr>
                <w:rFonts w:hint="eastAsia" w:ascii="宋体" w:hAnsi="宋体" w:cs="宋体"/>
                <w:color w:val="auto"/>
                <w:sz w:val="21"/>
                <w:szCs w:val="21"/>
                <w:lang w:bidi="ar"/>
              </w:rPr>
            </w:pPr>
            <w:r>
              <w:rPr>
                <w:rFonts w:hint="eastAsia" w:ascii="宋体" w:hAnsi="宋体" w:cs="宋体"/>
                <w:color w:val="auto"/>
                <w:sz w:val="21"/>
                <w:szCs w:val="21"/>
                <w:lang w:bidi="ar"/>
              </w:rPr>
              <w:t>（10分）</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59C06C2D">
            <w:pPr>
              <w:pStyle w:val="7"/>
              <w:spacing w:beforeLines="0" w:afterLines="0" w:line="360" w:lineRule="auto"/>
              <w:rPr>
                <w:rFonts w:hint="eastAsia"/>
                <w:color w:val="auto"/>
                <w:sz w:val="21"/>
                <w:szCs w:val="21"/>
              </w:rPr>
            </w:pPr>
            <w:r>
              <w:rPr>
                <w:rFonts w:hint="eastAsia"/>
                <w:color w:val="auto"/>
                <w:sz w:val="21"/>
                <w:szCs w:val="21"/>
              </w:rPr>
              <w:t>（1）供应商具备如下认证证书：ISO9001质量管理体系认证证书；ISO20000 IT服务管理体系认证证书；以上资质证书均需在有效期内，提供认证证书复印件并加盖公章。</w:t>
            </w:r>
          </w:p>
          <w:p w14:paraId="2DFF46E0">
            <w:pPr>
              <w:pStyle w:val="7"/>
              <w:spacing w:beforeLines="0" w:afterLines="0" w:line="360" w:lineRule="auto"/>
              <w:rPr>
                <w:rFonts w:hint="default"/>
                <w:color w:val="auto"/>
                <w:sz w:val="21"/>
                <w:szCs w:val="21"/>
              </w:rPr>
            </w:pPr>
            <w:r>
              <w:rPr>
                <w:rFonts w:hint="eastAsia"/>
                <w:color w:val="auto"/>
                <w:sz w:val="21"/>
                <w:szCs w:val="21"/>
              </w:rPr>
              <w:t>以上认证提供1个得2分，满分4分，不能提供不得分。</w:t>
            </w:r>
          </w:p>
          <w:p w14:paraId="2739A1B6">
            <w:pPr>
              <w:spacing w:before="156" w:beforeLines="50" w:after="156" w:afterLines="50" w:line="360" w:lineRule="auto"/>
              <w:rPr>
                <w:rFonts w:hint="eastAsia"/>
                <w:color w:val="auto"/>
                <w:spacing w:val="-4"/>
                <w:sz w:val="21"/>
                <w:szCs w:val="21"/>
              </w:rPr>
            </w:pPr>
            <w:r>
              <w:rPr>
                <w:rFonts w:hint="eastAsia"/>
                <w:b/>
                <w:color w:val="auto"/>
                <w:sz w:val="21"/>
                <w:szCs w:val="21"/>
              </w:rPr>
              <w:t>（评审依据：提供证书复印件加盖供应商公章，原件待供货时查验，不重复计算，本小项最高得4分。）</w:t>
            </w:r>
          </w:p>
          <w:p w14:paraId="52D3E712">
            <w:pPr>
              <w:spacing w:before="156" w:beforeLines="50" w:after="156" w:afterLines="50" w:line="360" w:lineRule="auto"/>
              <w:rPr>
                <w:rFonts w:hint="default"/>
                <w:color w:val="auto"/>
                <w:sz w:val="21"/>
                <w:szCs w:val="21"/>
              </w:rPr>
            </w:pPr>
            <w:r>
              <w:rPr>
                <w:rFonts w:hint="eastAsia"/>
                <w:color w:val="auto"/>
                <w:spacing w:val="-4"/>
                <w:sz w:val="21"/>
                <w:szCs w:val="21"/>
              </w:rPr>
              <w:t>（2）</w:t>
            </w:r>
            <w:r>
              <w:rPr>
                <w:rFonts w:hint="default"/>
                <w:color w:val="auto"/>
                <w:sz w:val="21"/>
                <w:szCs w:val="21"/>
              </w:rPr>
              <w:t>根据供应商提供的服务质量保证措施（包括但不限于：</w:t>
            </w:r>
            <w:r>
              <w:rPr>
                <w:rFonts w:hint="eastAsia"/>
                <w:color w:val="auto"/>
                <w:sz w:val="21"/>
                <w:szCs w:val="21"/>
                <w:lang w:val="en-US" w:eastAsia="zh-CN"/>
              </w:rPr>
              <w:t>项目</w:t>
            </w:r>
            <w:r>
              <w:rPr>
                <w:rFonts w:hint="eastAsia"/>
                <w:color w:val="auto"/>
                <w:spacing w:val="-4"/>
                <w:sz w:val="21"/>
                <w:szCs w:val="21"/>
              </w:rPr>
              <w:t>质量管理体系</w:t>
            </w:r>
            <w:r>
              <w:rPr>
                <w:rFonts w:hint="default"/>
                <w:color w:val="auto"/>
                <w:sz w:val="21"/>
                <w:szCs w:val="21"/>
              </w:rPr>
              <w:t>、</w:t>
            </w:r>
            <w:r>
              <w:rPr>
                <w:rFonts w:hint="eastAsia"/>
                <w:color w:val="auto"/>
                <w:sz w:val="21"/>
                <w:szCs w:val="21"/>
                <w:lang w:val="en-US" w:eastAsia="zh-CN"/>
              </w:rPr>
              <w:t>质量管理措施</w:t>
            </w:r>
            <w:r>
              <w:rPr>
                <w:rFonts w:hint="default"/>
                <w:color w:val="auto"/>
                <w:sz w:val="21"/>
                <w:szCs w:val="21"/>
              </w:rPr>
              <w:t>等方面）进行综合评审：</w:t>
            </w:r>
          </w:p>
          <w:p w14:paraId="749E008C">
            <w:pPr>
              <w:spacing w:before="156" w:beforeLines="50" w:after="156" w:afterLines="50" w:line="360" w:lineRule="auto"/>
              <w:rPr>
                <w:rFonts w:hint="default"/>
                <w:color w:val="auto"/>
                <w:sz w:val="21"/>
                <w:szCs w:val="21"/>
              </w:rPr>
            </w:pPr>
            <w:r>
              <w:rPr>
                <w:rFonts w:hint="default"/>
                <w:color w:val="auto"/>
                <w:sz w:val="21"/>
                <w:szCs w:val="21"/>
              </w:rPr>
              <w:t>1.</w:t>
            </w:r>
            <w:r>
              <w:rPr>
                <w:rFonts w:hint="eastAsia"/>
                <w:color w:val="auto"/>
                <w:sz w:val="21"/>
                <w:szCs w:val="21"/>
                <w:lang w:val="en-US" w:eastAsia="zh-CN"/>
              </w:rPr>
              <w:t>服务质量管理</w:t>
            </w:r>
            <w:r>
              <w:rPr>
                <w:rFonts w:hint="default"/>
                <w:color w:val="auto"/>
                <w:sz w:val="21"/>
                <w:szCs w:val="21"/>
              </w:rPr>
              <w:t>措施切实可行、快捷高效，</w:t>
            </w:r>
            <w:r>
              <w:rPr>
                <w:rFonts w:hint="eastAsia"/>
                <w:color w:val="auto"/>
                <w:sz w:val="21"/>
                <w:szCs w:val="21"/>
                <w:lang w:val="en-US" w:eastAsia="zh-CN"/>
              </w:rPr>
              <w:t>管理体系完善，</w:t>
            </w:r>
            <w:r>
              <w:rPr>
                <w:rFonts w:hint="default"/>
                <w:color w:val="auto"/>
                <w:sz w:val="21"/>
                <w:szCs w:val="21"/>
              </w:rPr>
              <w:t>能有效保障本项目重点难点工作实施，有利于实现服务效果，得</w:t>
            </w:r>
            <w:r>
              <w:rPr>
                <w:rFonts w:hint="eastAsia"/>
                <w:color w:val="auto"/>
                <w:sz w:val="21"/>
                <w:szCs w:val="21"/>
                <w:lang w:val="en-US" w:eastAsia="zh-CN"/>
              </w:rPr>
              <w:t>6</w:t>
            </w:r>
            <w:r>
              <w:rPr>
                <w:rFonts w:hint="default"/>
                <w:color w:val="auto"/>
                <w:sz w:val="21"/>
                <w:szCs w:val="21"/>
              </w:rPr>
              <w:t>分；</w:t>
            </w:r>
          </w:p>
          <w:p w14:paraId="7D1552D4">
            <w:pPr>
              <w:spacing w:before="156" w:beforeLines="50" w:after="156" w:afterLines="50" w:line="360" w:lineRule="auto"/>
              <w:rPr>
                <w:rFonts w:hint="default"/>
                <w:color w:val="auto"/>
                <w:sz w:val="21"/>
                <w:szCs w:val="21"/>
              </w:rPr>
            </w:pPr>
            <w:r>
              <w:rPr>
                <w:rFonts w:hint="default"/>
                <w:color w:val="auto"/>
                <w:sz w:val="21"/>
                <w:szCs w:val="21"/>
              </w:rPr>
              <w:t>2.</w:t>
            </w:r>
            <w:r>
              <w:rPr>
                <w:rFonts w:hint="eastAsia"/>
                <w:color w:val="auto"/>
                <w:sz w:val="21"/>
                <w:szCs w:val="21"/>
                <w:lang w:val="en-US" w:eastAsia="zh-CN"/>
              </w:rPr>
              <w:t>服务质量管理</w:t>
            </w:r>
            <w:r>
              <w:rPr>
                <w:rFonts w:hint="default"/>
                <w:color w:val="auto"/>
                <w:sz w:val="21"/>
                <w:szCs w:val="21"/>
              </w:rPr>
              <w:t>措施基本完整，有一定的可行性，</w:t>
            </w:r>
            <w:r>
              <w:rPr>
                <w:rFonts w:hint="eastAsia"/>
                <w:color w:val="auto"/>
                <w:sz w:val="21"/>
                <w:szCs w:val="21"/>
                <w:lang w:val="en-US" w:eastAsia="zh-CN"/>
              </w:rPr>
              <w:t>管理体系</w:t>
            </w:r>
            <w:r>
              <w:rPr>
                <w:rFonts w:hint="default"/>
                <w:color w:val="auto"/>
                <w:sz w:val="21"/>
                <w:szCs w:val="21"/>
              </w:rPr>
              <w:t>基本完善，能基本保障本项目重点难点工作实施，基本实现服务效果，得</w:t>
            </w:r>
            <w:r>
              <w:rPr>
                <w:rFonts w:hint="eastAsia"/>
                <w:color w:val="auto"/>
                <w:sz w:val="21"/>
                <w:szCs w:val="21"/>
                <w:lang w:val="en-US" w:eastAsia="zh-CN"/>
              </w:rPr>
              <w:t>4</w:t>
            </w:r>
            <w:r>
              <w:rPr>
                <w:rFonts w:hint="default"/>
                <w:color w:val="auto"/>
                <w:sz w:val="21"/>
                <w:szCs w:val="21"/>
              </w:rPr>
              <w:t>分；</w:t>
            </w:r>
          </w:p>
          <w:p w14:paraId="20D2BE47">
            <w:pPr>
              <w:spacing w:before="156" w:beforeLines="50" w:after="156" w:afterLines="50" w:line="360" w:lineRule="auto"/>
              <w:rPr>
                <w:rFonts w:hint="default"/>
                <w:color w:val="auto"/>
                <w:sz w:val="21"/>
                <w:szCs w:val="21"/>
              </w:rPr>
            </w:pPr>
            <w:r>
              <w:rPr>
                <w:rFonts w:hint="default"/>
                <w:color w:val="auto"/>
                <w:sz w:val="21"/>
                <w:szCs w:val="21"/>
              </w:rPr>
              <w:t>3.服务</w:t>
            </w:r>
            <w:r>
              <w:rPr>
                <w:rFonts w:hint="eastAsia"/>
                <w:color w:val="auto"/>
                <w:sz w:val="21"/>
                <w:szCs w:val="21"/>
                <w:lang w:val="en-US" w:eastAsia="zh-CN"/>
              </w:rPr>
              <w:t>质量管理</w:t>
            </w:r>
            <w:r>
              <w:rPr>
                <w:rFonts w:hint="default"/>
                <w:color w:val="auto"/>
                <w:sz w:val="21"/>
                <w:szCs w:val="21"/>
              </w:rPr>
              <w:t>措施可行性不足、效率欠缺，</w:t>
            </w:r>
            <w:r>
              <w:rPr>
                <w:rFonts w:hint="eastAsia"/>
                <w:color w:val="auto"/>
                <w:sz w:val="21"/>
                <w:szCs w:val="21"/>
                <w:lang w:val="en-US" w:eastAsia="zh-CN"/>
              </w:rPr>
              <w:t>管理体系</w:t>
            </w:r>
            <w:r>
              <w:rPr>
                <w:rFonts w:hint="default"/>
                <w:color w:val="auto"/>
                <w:sz w:val="21"/>
                <w:szCs w:val="21"/>
              </w:rPr>
              <w:t>不完善，无法保障本项目重点难点工作实施，无法实现服务效果，得2分；</w:t>
            </w:r>
          </w:p>
          <w:p w14:paraId="0675C16A">
            <w:pPr>
              <w:spacing w:before="156" w:beforeLines="50" w:after="156" w:afterLines="50" w:line="360" w:lineRule="auto"/>
              <w:rPr>
                <w:rFonts w:hint="default"/>
                <w:color w:val="auto"/>
                <w:sz w:val="21"/>
                <w:szCs w:val="21"/>
              </w:rPr>
            </w:pPr>
            <w:r>
              <w:rPr>
                <w:rFonts w:hint="default"/>
                <w:color w:val="auto"/>
                <w:sz w:val="21"/>
                <w:szCs w:val="21"/>
              </w:rPr>
              <w:t>4.不提供方案或其它不得分。</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11EE0D28">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10</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66424DB0">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10</w:t>
            </w:r>
          </w:p>
        </w:tc>
      </w:tr>
      <w:tr w14:paraId="52CB59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3"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726C6EFF">
            <w:pPr>
              <w:pStyle w:val="34"/>
              <w:autoSpaceDE/>
              <w:autoSpaceDN/>
              <w:adjustRightInd/>
              <w:spacing w:beforeLines="0" w:afterLines="0" w:line="400" w:lineRule="exact"/>
              <w:rPr>
                <w:rFonts w:hint="eastAsia"/>
                <w:color w:val="auto"/>
                <w:sz w:val="21"/>
                <w:szCs w:val="21"/>
                <w:lang w:val="en-US"/>
              </w:rPr>
            </w:pPr>
            <w:r>
              <w:rPr>
                <w:rFonts w:hint="eastAsia"/>
                <w:color w:val="auto"/>
                <w:sz w:val="21"/>
                <w:szCs w:val="21"/>
                <w:lang w:val="en-US"/>
              </w:rPr>
              <w:t>二</w:t>
            </w:r>
          </w:p>
        </w:tc>
        <w:tc>
          <w:tcPr>
            <w:tcW w:w="4073" w:type="pct"/>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08E62F95">
            <w:pPr>
              <w:spacing w:beforeLines="0" w:afterLines="0" w:line="400" w:lineRule="exact"/>
              <w:jc w:val="center"/>
              <w:rPr>
                <w:rFonts w:hint="eastAsia" w:ascii="宋体" w:hAnsi="宋体"/>
                <w:color w:val="auto"/>
                <w:sz w:val="21"/>
                <w:szCs w:val="21"/>
              </w:rPr>
            </w:pPr>
            <w:r>
              <w:rPr>
                <w:rFonts w:hint="eastAsia" w:ascii="宋体" w:hAnsi="宋体" w:cs="宋体"/>
                <w:b/>
                <w:color w:val="auto"/>
                <w:sz w:val="21"/>
                <w:szCs w:val="21"/>
              </w:rPr>
              <w:t>商务部分 （10分）</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4B01ECAE">
            <w:pPr>
              <w:spacing w:beforeLines="0" w:afterLines="0" w:line="400" w:lineRule="exact"/>
              <w:jc w:val="center"/>
              <w:rPr>
                <w:rFonts w:hint="eastAsia" w:ascii="宋体" w:hAnsi="宋体" w:cs="宋体"/>
                <w:b/>
                <w:color w:val="auto"/>
                <w:sz w:val="21"/>
                <w:szCs w:val="21"/>
              </w:rPr>
            </w:pPr>
            <w:r>
              <w:rPr>
                <w:rFonts w:hint="eastAsia" w:ascii="宋体" w:hAnsi="宋体" w:cs="宋体"/>
                <w:b/>
                <w:color w:val="auto"/>
                <w:sz w:val="21"/>
                <w:szCs w:val="21"/>
              </w:rPr>
              <w:t>10</w:t>
            </w:r>
          </w:p>
        </w:tc>
      </w:tr>
      <w:tr w14:paraId="66A399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445"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5A800726">
            <w:pPr>
              <w:pStyle w:val="34"/>
              <w:numPr>
                <w:ilvl w:val="0"/>
                <w:numId w:val="0"/>
              </w:numPr>
              <w:autoSpaceDE/>
              <w:autoSpaceDN/>
              <w:adjustRightInd/>
              <w:spacing w:beforeLines="0" w:afterLines="0" w:line="400" w:lineRule="exact"/>
              <w:ind w:firstLine="0"/>
              <w:jc w:val="center"/>
              <w:rPr>
                <w:rFonts w:hint="eastAsia"/>
                <w:color w:val="auto"/>
                <w:sz w:val="21"/>
                <w:szCs w:val="21"/>
                <w:lang w:val="en-US"/>
              </w:rPr>
            </w:pPr>
            <w:r>
              <w:rPr>
                <w:rFonts w:hint="eastAsia"/>
                <w:color w:val="auto"/>
                <w:sz w:val="21"/>
                <w:szCs w:val="21"/>
                <w:lang w:val="en-US"/>
              </w:rPr>
              <w:t>1</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3ECC06E4">
            <w:pPr>
              <w:spacing w:beforeLines="0" w:afterLines="0" w:line="400" w:lineRule="exact"/>
              <w:ind w:left="-72" w:leftChars="-30" w:right="-101" w:rightChars="-42"/>
              <w:jc w:val="center"/>
              <w:rPr>
                <w:rFonts w:hint="eastAsia" w:ascii="宋体" w:hAnsi="宋体" w:cs="宋体"/>
                <w:color w:val="auto"/>
                <w:sz w:val="21"/>
                <w:szCs w:val="21"/>
              </w:rPr>
            </w:pPr>
            <w:r>
              <w:rPr>
                <w:rFonts w:hint="eastAsia" w:ascii="宋体" w:hAnsi="宋体" w:cs="宋体"/>
                <w:color w:val="auto"/>
                <w:sz w:val="21"/>
                <w:szCs w:val="21"/>
              </w:rPr>
              <w:t>项目经验</w:t>
            </w:r>
          </w:p>
          <w:p w14:paraId="1D2DBB66">
            <w:pPr>
              <w:spacing w:beforeLines="0" w:afterLines="0" w:line="400" w:lineRule="exact"/>
              <w:ind w:left="-72" w:leftChars="-30" w:right="-101" w:rightChars="-42"/>
              <w:jc w:val="center"/>
              <w:rPr>
                <w:rFonts w:hint="eastAsia" w:ascii="宋体" w:hAnsi="宋体" w:cs="宋体"/>
                <w:color w:val="auto"/>
                <w:sz w:val="21"/>
                <w:szCs w:val="21"/>
              </w:rPr>
            </w:pPr>
            <w:r>
              <w:rPr>
                <w:rFonts w:hint="eastAsia" w:ascii="宋体" w:hAnsi="宋体" w:cs="宋体"/>
                <w:color w:val="auto"/>
                <w:sz w:val="21"/>
                <w:szCs w:val="21"/>
              </w:rPr>
              <w:t>（10分）</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23F48941">
            <w:pPr>
              <w:pStyle w:val="9"/>
              <w:spacing w:beforeLines="0" w:afterLines="0" w:line="360" w:lineRule="auto"/>
              <w:rPr>
                <w:rFonts w:hint="eastAsia" w:hAnsi="宋体"/>
                <w:color w:val="auto"/>
                <w:spacing w:val="-4"/>
                <w:sz w:val="21"/>
                <w:szCs w:val="21"/>
              </w:rPr>
            </w:pPr>
            <w:r>
              <w:rPr>
                <w:rFonts w:hint="eastAsia" w:hAnsi="宋体"/>
                <w:color w:val="auto"/>
                <w:spacing w:val="-4"/>
                <w:sz w:val="21"/>
                <w:szCs w:val="21"/>
              </w:rPr>
              <w:t>提供2020年1月1日以来</w:t>
            </w:r>
            <w:r>
              <w:rPr>
                <w:rFonts w:hint="eastAsia" w:hAnsi="宋体"/>
                <w:color w:val="auto"/>
                <w:spacing w:val="-4"/>
                <w:sz w:val="21"/>
                <w:szCs w:val="21"/>
                <w:lang w:val="en-US" w:eastAsia="zh-CN"/>
              </w:rPr>
              <w:t>政府、企事业单位等</w:t>
            </w:r>
            <w:r>
              <w:rPr>
                <w:rFonts w:hint="eastAsia" w:hAnsi="宋体"/>
                <w:color w:val="auto"/>
                <w:spacing w:val="-4"/>
                <w:sz w:val="21"/>
                <w:szCs w:val="21"/>
              </w:rPr>
              <w:t>网站群项目成功案例（以有效的合同、协议或中标/成交通知书复印件为准）。每提供一份得2分，满分10分。</w:t>
            </w:r>
          </w:p>
          <w:p w14:paraId="061499AC">
            <w:pPr>
              <w:pStyle w:val="9"/>
              <w:spacing w:beforeLines="0" w:afterLines="0" w:line="360" w:lineRule="auto"/>
              <w:rPr>
                <w:rFonts w:hint="eastAsia" w:hAnsi="宋体"/>
                <w:b/>
                <w:color w:val="auto"/>
                <w:sz w:val="21"/>
                <w:szCs w:val="21"/>
              </w:rPr>
            </w:pPr>
            <w:r>
              <w:rPr>
                <w:rFonts w:hint="eastAsia"/>
                <w:b/>
                <w:color w:val="auto"/>
                <w:spacing w:val="-4"/>
                <w:sz w:val="21"/>
                <w:szCs w:val="21"/>
              </w:rPr>
              <w:t>评审依据：</w:t>
            </w:r>
            <w:r>
              <w:rPr>
                <w:rFonts w:hint="eastAsia" w:hAnsi="宋体"/>
                <w:b/>
                <w:color w:val="auto"/>
                <w:sz w:val="21"/>
                <w:szCs w:val="21"/>
              </w:rPr>
              <w:t>以提供案例的项目合同的关键页（清单页和盖章页）为准，</w:t>
            </w:r>
            <w:r>
              <w:rPr>
                <w:rFonts w:hint="eastAsia"/>
                <w:b/>
                <w:color w:val="auto"/>
                <w:sz w:val="21"/>
                <w:szCs w:val="21"/>
              </w:rPr>
              <w:t>原件待查验</w:t>
            </w:r>
            <w:r>
              <w:rPr>
                <w:rFonts w:hint="eastAsia" w:hAnsi="宋体"/>
                <w:b/>
                <w:color w:val="auto"/>
                <w:sz w:val="21"/>
                <w:szCs w:val="21"/>
              </w:rPr>
              <w:t>。</w:t>
            </w:r>
          </w:p>
          <w:p w14:paraId="75E32283">
            <w:pPr>
              <w:spacing w:beforeLines="0" w:afterLines="0" w:line="400" w:lineRule="exact"/>
              <w:ind w:left="-72" w:leftChars="-30" w:right="-101" w:rightChars="-42"/>
              <w:rPr>
                <w:rFonts w:hint="eastAsia" w:ascii="宋体" w:hAnsi="宋体"/>
                <w:color w:val="auto"/>
                <w:sz w:val="21"/>
                <w:szCs w:val="21"/>
              </w:rPr>
            </w:pP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3566D53E">
            <w:pPr>
              <w:spacing w:beforeLines="0" w:afterLines="0" w:line="400" w:lineRule="exact"/>
              <w:ind w:left="-89" w:leftChars="-37" w:right="-84" w:rightChars="-35"/>
              <w:jc w:val="center"/>
              <w:rPr>
                <w:rFonts w:hint="eastAsia" w:ascii="宋体" w:hAnsi="宋体" w:cs="宋体"/>
                <w:color w:val="auto"/>
                <w:sz w:val="21"/>
                <w:szCs w:val="21"/>
              </w:rPr>
            </w:pPr>
            <w:r>
              <w:rPr>
                <w:rFonts w:hint="eastAsia" w:ascii="宋体" w:hAnsi="宋体" w:cs="宋体"/>
                <w:color w:val="auto"/>
                <w:sz w:val="21"/>
                <w:szCs w:val="21"/>
              </w:rPr>
              <w:t>10</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3262AF61">
            <w:pPr>
              <w:spacing w:beforeLines="0" w:afterLines="0" w:line="400" w:lineRule="exact"/>
              <w:ind w:left="-89" w:leftChars="-37" w:right="-84" w:rightChars="-35"/>
              <w:jc w:val="center"/>
              <w:rPr>
                <w:rFonts w:hint="eastAsia" w:ascii="宋体" w:hAnsi="宋体" w:cs="宋体"/>
                <w:color w:val="auto"/>
                <w:sz w:val="21"/>
                <w:szCs w:val="21"/>
              </w:rPr>
            </w:pPr>
            <w:r>
              <w:rPr>
                <w:rFonts w:hint="eastAsia" w:ascii="宋体" w:hAnsi="宋体" w:cs="宋体"/>
                <w:color w:val="auto"/>
                <w:sz w:val="21"/>
                <w:szCs w:val="21"/>
              </w:rPr>
              <w:t>10</w:t>
            </w:r>
          </w:p>
        </w:tc>
      </w:tr>
      <w:tr w14:paraId="187733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5EB9F050">
            <w:pPr>
              <w:pStyle w:val="34"/>
              <w:numPr>
                <w:ilvl w:val="0"/>
                <w:numId w:val="0"/>
              </w:numPr>
              <w:autoSpaceDE/>
              <w:autoSpaceDN/>
              <w:adjustRightInd/>
              <w:spacing w:beforeLines="0" w:afterLines="0" w:line="400" w:lineRule="exact"/>
              <w:ind w:firstLine="0"/>
              <w:jc w:val="center"/>
              <w:rPr>
                <w:rFonts w:hint="eastAsia"/>
                <w:color w:val="auto"/>
                <w:sz w:val="21"/>
                <w:szCs w:val="21"/>
                <w:lang w:val="en-US"/>
              </w:rPr>
            </w:pPr>
            <w:r>
              <w:rPr>
                <w:rFonts w:hint="eastAsia"/>
                <w:color w:val="auto"/>
                <w:sz w:val="21"/>
                <w:szCs w:val="21"/>
                <w:lang w:val="en-US"/>
              </w:rPr>
              <w:t>三</w:t>
            </w:r>
          </w:p>
        </w:tc>
        <w:tc>
          <w:tcPr>
            <w:tcW w:w="4073" w:type="pct"/>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4F2BDAEA">
            <w:pPr>
              <w:spacing w:beforeLines="0" w:afterLines="0" w:line="400" w:lineRule="exact"/>
              <w:ind w:left="-89" w:leftChars="-37" w:right="-84" w:rightChars="-35"/>
              <w:jc w:val="center"/>
              <w:rPr>
                <w:rFonts w:hint="eastAsia" w:ascii="宋体" w:hAnsi="宋体" w:cs="宋体"/>
                <w:color w:val="auto"/>
                <w:sz w:val="21"/>
                <w:szCs w:val="21"/>
              </w:rPr>
            </w:pPr>
            <w:r>
              <w:rPr>
                <w:rFonts w:hint="eastAsia" w:ascii="宋体" w:hAnsi="宋体" w:cs="宋体"/>
                <w:b/>
                <w:color w:val="auto"/>
                <w:sz w:val="21"/>
                <w:szCs w:val="21"/>
              </w:rPr>
              <w:t>价格部分（20分）</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6918B1A6">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20</w:t>
            </w:r>
          </w:p>
        </w:tc>
      </w:tr>
      <w:tr w14:paraId="276DC0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13" w:hRule="atLeast"/>
        </w:trPr>
        <w:tc>
          <w:tcPr>
            <w:tcW w:w="547"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40DC5993">
            <w:pPr>
              <w:numPr>
                <w:ilvl w:val="0"/>
                <w:numId w:val="0"/>
              </w:num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1</w:t>
            </w:r>
          </w:p>
        </w:tc>
        <w:tc>
          <w:tcPr>
            <w:tcW w:w="791"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088B055B">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价格评分</w:t>
            </w:r>
          </w:p>
          <w:p w14:paraId="7A751319">
            <w:pPr>
              <w:spacing w:beforeLines="0" w:afterLines="0" w:line="400" w:lineRule="exact"/>
              <w:jc w:val="center"/>
              <w:rPr>
                <w:rFonts w:hint="eastAsia" w:ascii="宋体" w:hAnsi="宋体"/>
                <w:color w:val="auto"/>
                <w:sz w:val="21"/>
                <w:szCs w:val="21"/>
              </w:rPr>
            </w:pPr>
            <w:r>
              <w:rPr>
                <w:rFonts w:hint="eastAsia" w:ascii="宋体" w:hAnsi="宋体"/>
                <w:color w:val="auto"/>
                <w:sz w:val="21"/>
                <w:szCs w:val="21"/>
              </w:rPr>
              <w:t>（20分）</w:t>
            </w:r>
          </w:p>
        </w:tc>
        <w:tc>
          <w:tcPr>
            <w:tcW w:w="2832"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35008786">
            <w:pPr>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价格分统一采用低价优先法计算，即满足</w:t>
            </w:r>
            <w:r>
              <w:rPr>
                <w:rFonts w:hint="eastAsia" w:ascii="宋体" w:hAnsi="宋体" w:cs="宋体"/>
                <w:color w:val="auto"/>
                <w:sz w:val="21"/>
                <w:szCs w:val="21"/>
                <w:lang w:eastAsia="zh-CN"/>
              </w:rPr>
              <w:t>采购文件</w:t>
            </w:r>
            <w:r>
              <w:rPr>
                <w:rFonts w:hint="eastAsia" w:ascii="宋体" w:hAnsi="宋体" w:cs="宋体"/>
                <w:color w:val="auto"/>
                <w:sz w:val="21"/>
                <w:szCs w:val="21"/>
              </w:rPr>
              <w:t>要求且最后报价最低的报价为基准价，其价格分为满分。其他响应供应商的价格分统一按照下列公式计算：</w:t>
            </w:r>
          </w:p>
          <w:p w14:paraId="6969B457">
            <w:pPr>
              <w:spacing w:beforeLines="0" w:afterLines="0" w:line="400" w:lineRule="exact"/>
              <w:rPr>
                <w:rFonts w:hint="eastAsia" w:ascii="宋体" w:hAnsi="宋体" w:cs="宋体"/>
                <w:color w:val="auto"/>
                <w:sz w:val="21"/>
                <w:szCs w:val="21"/>
              </w:rPr>
            </w:pPr>
            <w:r>
              <w:rPr>
                <w:rFonts w:hint="eastAsia" w:ascii="宋体" w:hAnsi="宋体" w:cs="宋体"/>
                <w:color w:val="auto"/>
                <w:sz w:val="21"/>
                <w:szCs w:val="21"/>
              </w:rPr>
              <w:t>报价得分=(基准价／最后报价)×100×价格权重</w:t>
            </w:r>
          </w:p>
          <w:p w14:paraId="684B1657">
            <w:pPr>
              <w:spacing w:beforeLines="0" w:afterLines="0" w:line="400" w:lineRule="exact"/>
              <w:rPr>
                <w:rFonts w:hint="eastAsia" w:ascii="宋体" w:hAnsi="宋体"/>
                <w:color w:val="auto"/>
                <w:sz w:val="21"/>
                <w:szCs w:val="21"/>
              </w:rPr>
            </w:pPr>
            <w:r>
              <w:rPr>
                <w:rFonts w:hint="eastAsia" w:ascii="宋体" w:hAnsi="宋体"/>
                <w:color w:val="auto"/>
                <w:sz w:val="21"/>
                <w:szCs w:val="21"/>
              </w:rPr>
              <w:t>备注：</w:t>
            </w:r>
          </w:p>
          <w:p w14:paraId="2E3A0FE8">
            <w:pPr>
              <w:numPr>
                <w:ilvl w:val="0"/>
                <w:numId w:val="39"/>
              </w:numPr>
              <w:spacing w:beforeLines="0" w:afterLines="0" w:line="400" w:lineRule="exact"/>
              <w:ind w:left="253" w:hanging="253"/>
              <w:rPr>
                <w:rFonts w:hint="eastAsia" w:ascii="宋体" w:hAnsi="宋体"/>
                <w:color w:val="auto"/>
                <w:sz w:val="21"/>
                <w:szCs w:val="21"/>
              </w:rPr>
            </w:pPr>
            <w:r>
              <w:rPr>
                <w:rFonts w:hint="eastAsia" w:ascii="宋体" w:hAnsi="宋体"/>
                <w:color w:val="auto"/>
                <w:sz w:val="21"/>
                <w:szCs w:val="21"/>
              </w:rPr>
              <w:t>报价得分四舍五入后，小数点后保留两位有效数；</w:t>
            </w:r>
          </w:p>
          <w:p w14:paraId="2041E321">
            <w:pPr>
              <w:numPr>
                <w:ilvl w:val="0"/>
                <w:numId w:val="39"/>
              </w:numPr>
              <w:spacing w:beforeLines="0" w:afterLines="0" w:line="400" w:lineRule="exact"/>
              <w:ind w:left="253" w:hanging="253"/>
              <w:rPr>
                <w:rFonts w:hint="eastAsia" w:ascii="宋体" w:hAnsi="宋体" w:cs="宋体"/>
                <w:color w:val="auto"/>
                <w:sz w:val="21"/>
                <w:szCs w:val="21"/>
              </w:rPr>
            </w:pPr>
            <w:r>
              <w:rPr>
                <w:rFonts w:hint="eastAsia" w:ascii="宋体" w:hAnsi="宋体" w:cs="宋体"/>
                <w:color w:val="auto"/>
                <w:sz w:val="21"/>
                <w:szCs w:val="21"/>
              </w:rPr>
              <w:t>项目评审过程中，不得去掉最后报价中的最高报价和最低报价。</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193B9D2E">
            <w:pPr>
              <w:spacing w:beforeLines="0" w:afterLines="0" w:line="400" w:lineRule="exact"/>
              <w:ind w:left="-89" w:leftChars="-37" w:right="-84" w:rightChars="-35"/>
              <w:jc w:val="center"/>
              <w:rPr>
                <w:rFonts w:hint="eastAsia" w:ascii="宋体" w:hAnsi="宋体" w:cs="宋体"/>
                <w:color w:val="auto"/>
                <w:sz w:val="21"/>
                <w:szCs w:val="21"/>
              </w:rPr>
            </w:pPr>
            <w:r>
              <w:rPr>
                <w:rFonts w:hint="eastAsia" w:ascii="宋体" w:hAnsi="宋体" w:cs="宋体"/>
                <w:color w:val="auto"/>
                <w:sz w:val="21"/>
                <w:szCs w:val="21"/>
              </w:rPr>
              <w:t>20</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77400E0A">
            <w:pPr>
              <w:spacing w:beforeLines="0" w:afterLines="0" w:line="400" w:lineRule="exact"/>
              <w:ind w:left="-89" w:leftChars="-37" w:right="-84" w:rightChars="-35"/>
              <w:jc w:val="center"/>
              <w:rPr>
                <w:rFonts w:hint="eastAsia" w:ascii="宋体" w:hAnsi="宋体" w:cs="宋体"/>
                <w:color w:val="auto"/>
                <w:sz w:val="21"/>
                <w:szCs w:val="21"/>
              </w:rPr>
            </w:pPr>
            <w:r>
              <w:rPr>
                <w:rFonts w:hint="eastAsia" w:ascii="宋体" w:hAnsi="宋体" w:cs="宋体"/>
                <w:color w:val="auto"/>
                <w:sz w:val="21"/>
                <w:szCs w:val="21"/>
              </w:rPr>
              <w:t>20</w:t>
            </w:r>
          </w:p>
        </w:tc>
      </w:tr>
      <w:tr w14:paraId="66966A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trPr>
        <w:tc>
          <w:tcPr>
            <w:tcW w:w="4171" w:type="pct"/>
            <w:gridSpan w:val="3"/>
            <w:tcBorders>
              <w:top w:val="single" w:color="auto" w:sz="12" w:space="0"/>
              <w:left w:val="single" w:color="auto" w:sz="12" w:space="0"/>
              <w:bottom w:val="single" w:color="auto" w:sz="12" w:space="0"/>
              <w:right w:val="single" w:color="auto" w:sz="12" w:space="0"/>
              <w:tl2br w:val="nil"/>
              <w:tr2bl w:val="nil"/>
            </w:tcBorders>
            <w:noWrap w:val="0"/>
            <w:vAlign w:val="center"/>
          </w:tcPr>
          <w:p w14:paraId="7F24D37F">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b/>
                <w:color w:val="auto"/>
                <w:sz w:val="21"/>
                <w:szCs w:val="21"/>
              </w:rPr>
              <w:t>合计</w:t>
            </w:r>
          </w:p>
        </w:tc>
        <w:tc>
          <w:tcPr>
            <w:tcW w:w="44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5147F87D">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100分</w:t>
            </w:r>
          </w:p>
        </w:tc>
        <w:tc>
          <w:tcPr>
            <w:tcW w:w="379" w:type="pct"/>
            <w:tcBorders>
              <w:top w:val="single" w:color="auto" w:sz="12" w:space="0"/>
              <w:left w:val="single" w:color="auto" w:sz="12" w:space="0"/>
              <w:bottom w:val="single" w:color="auto" w:sz="12" w:space="0"/>
              <w:right w:val="single" w:color="auto" w:sz="12" w:space="0"/>
              <w:tl2br w:val="nil"/>
              <w:tr2bl w:val="nil"/>
            </w:tcBorders>
            <w:noWrap w:val="0"/>
            <w:vAlign w:val="center"/>
          </w:tcPr>
          <w:p w14:paraId="0CAC06D9">
            <w:pPr>
              <w:spacing w:beforeLines="0" w:afterLines="0" w:line="400" w:lineRule="exact"/>
              <w:ind w:left="-89" w:leftChars="-37" w:right="-84" w:rightChars="-35"/>
              <w:jc w:val="center"/>
              <w:rPr>
                <w:rFonts w:hint="eastAsia" w:ascii="宋体" w:hAnsi="宋体" w:cs="宋体"/>
                <w:b/>
                <w:color w:val="auto"/>
                <w:sz w:val="21"/>
                <w:szCs w:val="21"/>
              </w:rPr>
            </w:pPr>
            <w:r>
              <w:rPr>
                <w:rFonts w:hint="eastAsia" w:ascii="宋体" w:hAnsi="宋体" w:cs="宋体"/>
                <w:b/>
                <w:color w:val="auto"/>
                <w:sz w:val="21"/>
                <w:szCs w:val="21"/>
              </w:rPr>
              <w:t>100%</w:t>
            </w:r>
          </w:p>
        </w:tc>
      </w:tr>
    </w:tbl>
    <w:p w14:paraId="03D0FC97">
      <w:pPr>
        <w:pStyle w:val="9"/>
        <w:spacing w:line="340" w:lineRule="exact"/>
        <w:rPr>
          <w:rFonts w:hint="eastAsia"/>
          <w:b/>
          <w:color w:val="auto"/>
          <w:lang w:val="en-US" w:eastAsia="zh-CN"/>
        </w:rPr>
      </w:pPr>
    </w:p>
    <w:p w14:paraId="61A3D3B3">
      <w:pPr>
        <w:pStyle w:val="9"/>
        <w:spacing w:line="340" w:lineRule="exact"/>
        <w:rPr>
          <w:rFonts w:hint="eastAsia"/>
          <w:b/>
          <w:color w:val="auto"/>
          <w:lang w:val="en-US" w:eastAsia="zh-CN"/>
        </w:rPr>
      </w:pPr>
    </w:p>
    <w:p w14:paraId="1099B19A">
      <w:pPr>
        <w:pStyle w:val="9"/>
        <w:spacing w:line="340" w:lineRule="exact"/>
        <w:rPr>
          <w:rFonts w:hint="eastAsia"/>
          <w:b/>
          <w:color w:val="auto"/>
          <w:lang w:val="en-US" w:eastAsia="zh-CN"/>
        </w:rPr>
      </w:pPr>
    </w:p>
    <w:p w14:paraId="2AC44E8F">
      <w:pPr>
        <w:pStyle w:val="9"/>
        <w:spacing w:line="340" w:lineRule="exact"/>
        <w:rPr>
          <w:rFonts w:hint="eastAsia"/>
          <w:b/>
          <w:color w:val="auto"/>
          <w:lang w:val="en-US" w:eastAsia="zh-CN"/>
        </w:rPr>
      </w:pPr>
    </w:p>
    <w:p w14:paraId="69196E64">
      <w:pPr>
        <w:pStyle w:val="9"/>
        <w:spacing w:line="340" w:lineRule="exact"/>
        <w:rPr>
          <w:b/>
          <w:color w:val="auto"/>
        </w:rPr>
      </w:pPr>
      <w:r>
        <w:rPr>
          <w:rFonts w:hint="eastAsia"/>
          <w:b/>
          <w:color w:val="auto"/>
          <w:lang w:val="en-US" w:eastAsia="zh-CN"/>
        </w:rPr>
        <w:t>附件4：</w:t>
      </w:r>
      <w:r>
        <w:rPr>
          <w:rFonts w:hint="eastAsia"/>
          <w:b/>
          <w:color w:val="auto"/>
        </w:rPr>
        <w:t>拟签订的合同文本</w:t>
      </w:r>
      <w:r>
        <w:rPr>
          <w:rFonts w:hint="eastAsia"/>
          <w:b/>
          <w:color w:val="auto"/>
        </w:rPr>
        <w:cr/>
      </w:r>
      <w:r>
        <w:rPr>
          <w:rFonts w:hint="eastAsia"/>
          <w:b/>
          <w:color w:val="auto"/>
        </w:rPr>
        <w:t>(参考格式，本合同内容条款在正式签署前可具体补充细化，仅作参考，最终合同以采购人审查通过的版本为准)</w:t>
      </w:r>
    </w:p>
    <w:p w14:paraId="6E4F5942">
      <w:pPr>
        <w:spacing w:beforeLines="0" w:afterLines="0"/>
        <w:jc w:val="center"/>
        <w:rPr>
          <w:rStyle w:val="35"/>
          <w:rFonts w:hint="eastAsia" w:ascii="宋体" w:hAnsi="宋体" w:cs="宋体"/>
          <w:i w:val="0"/>
          <w:color w:val="auto"/>
          <w:sz w:val="24"/>
          <w:szCs w:val="21"/>
        </w:rPr>
      </w:pPr>
      <w:bookmarkStart w:id="13" w:name="_Toc30101"/>
      <w:r>
        <w:rPr>
          <w:rStyle w:val="35"/>
          <w:rFonts w:hint="eastAsia" w:ascii="宋体" w:hAnsi="宋体" w:cs="宋体"/>
          <w:i w:val="0"/>
          <w:color w:val="auto"/>
          <w:sz w:val="24"/>
          <w:szCs w:val="21"/>
        </w:rPr>
        <w:t>***</w:t>
      </w:r>
      <w:bookmarkStart w:id="14" w:name="_Toc369633125"/>
      <w:r>
        <w:rPr>
          <w:rStyle w:val="35"/>
          <w:rFonts w:hint="eastAsia" w:ascii="宋体" w:hAnsi="宋体" w:cs="宋体"/>
          <w:i w:val="0"/>
          <w:color w:val="auto"/>
          <w:sz w:val="24"/>
          <w:szCs w:val="21"/>
        </w:rPr>
        <w:t>学校官方门户网站模板改造服务项目合同</w:t>
      </w:r>
      <w:bookmarkEnd w:id="14"/>
    </w:p>
    <w:p w14:paraId="32B3F941">
      <w:pPr>
        <w:spacing w:beforeLines="0" w:afterLines="0"/>
        <w:jc w:val="center"/>
        <w:rPr>
          <w:rFonts w:hint="eastAsia" w:ascii="宋体" w:hAnsi="宋体" w:cs="宋体"/>
          <w:color w:val="auto"/>
          <w:sz w:val="24"/>
          <w:szCs w:val="21"/>
        </w:rPr>
      </w:pPr>
    </w:p>
    <w:p w14:paraId="48F30B8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根据</w:t>
      </w:r>
      <w:r>
        <w:rPr>
          <w:rFonts w:hint="eastAsia" w:ascii="宋体" w:hAnsi="宋体" w:cs="宋体"/>
          <w:color w:val="auto"/>
          <w:sz w:val="24"/>
          <w:szCs w:val="21"/>
          <w:u w:val="single"/>
        </w:rPr>
        <w:t xml:space="preserve">                 </w:t>
      </w:r>
      <w:r>
        <w:rPr>
          <w:rFonts w:hint="eastAsia" w:ascii="宋体" w:hAnsi="宋体" w:cs="宋体"/>
          <w:color w:val="auto"/>
          <w:sz w:val="24"/>
          <w:szCs w:val="21"/>
        </w:rPr>
        <w:t>所需</w:t>
      </w:r>
      <w:r>
        <w:rPr>
          <w:rFonts w:hint="eastAsia" w:ascii="宋体" w:hAnsi="宋体" w:cs="宋体"/>
          <w:color w:val="auto"/>
          <w:sz w:val="24"/>
          <w:szCs w:val="21"/>
          <w:u w:val="single"/>
        </w:rPr>
        <w:t xml:space="preserve">        </w:t>
      </w:r>
      <w:r>
        <w:rPr>
          <w:rFonts w:hint="eastAsia" w:ascii="宋体" w:hAnsi="宋体" w:cs="宋体"/>
          <w:color w:val="auto"/>
          <w:sz w:val="24"/>
          <w:szCs w:val="21"/>
        </w:rPr>
        <w:t>学校官方门户网站模板改造服务项目(</w:t>
      </w:r>
      <w:r>
        <w:rPr>
          <w:rFonts w:hint="eastAsia" w:ascii="宋体" w:hAnsi="宋体" w:cs="宋体"/>
          <w:color w:val="auto"/>
          <w:sz w:val="24"/>
          <w:szCs w:val="21"/>
          <w:lang w:val="en-US" w:eastAsia="zh-CN"/>
        </w:rPr>
        <w:t>采购</w:t>
      </w:r>
      <w:r>
        <w:rPr>
          <w:rFonts w:hint="eastAsia" w:ascii="宋体" w:hAnsi="宋体" w:cs="宋体"/>
          <w:color w:val="auto"/>
          <w:sz w:val="24"/>
          <w:szCs w:val="21"/>
        </w:rPr>
        <w:t>编号：</w:t>
      </w:r>
      <w:r>
        <w:rPr>
          <w:rFonts w:hint="eastAsia" w:ascii="宋体" w:hAnsi="宋体" w:cs="宋体"/>
          <w:color w:val="auto"/>
          <w:sz w:val="24"/>
          <w:szCs w:val="21"/>
          <w:u w:val="single"/>
        </w:rPr>
        <w:t xml:space="preserve">          </w:t>
      </w:r>
      <w:r>
        <w:rPr>
          <w:rFonts w:hint="eastAsia" w:ascii="宋体" w:hAnsi="宋体" w:cs="宋体"/>
          <w:color w:val="auto"/>
          <w:sz w:val="24"/>
          <w:szCs w:val="21"/>
        </w:rPr>
        <w:t>)评标结果，（以下简称甲方）与</w:t>
      </w:r>
      <w:r>
        <w:rPr>
          <w:rFonts w:hint="eastAsia" w:ascii="宋体" w:hAnsi="宋体" w:cs="宋体"/>
          <w:color w:val="auto"/>
          <w:sz w:val="24"/>
          <w:szCs w:val="21"/>
          <w:u w:val="single"/>
        </w:rPr>
        <w:t xml:space="preserve">              </w:t>
      </w:r>
      <w:r>
        <w:rPr>
          <w:rFonts w:hint="eastAsia" w:ascii="宋体" w:hAnsi="宋体" w:cs="宋体"/>
          <w:color w:val="auto"/>
          <w:sz w:val="24"/>
          <w:szCs w:val="21"/>
        </w:rPr>
        <w:t>（以下简称乙方）签订本合同。</w:t>
      </w:r>
    </w:p>
    <w:p w14:paraId="25CD5F9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一、合同编号：</w:t>
      </w:r>
    </w:p>
    <w:p w14:paraId="25FF5FA1">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二、签订地点：</w:t>
      </w:r>
    </w:p>
    <w:p w14:paraId="70D45A5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三、合同内容：根据《中华人民共和国民法典》及</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文件的规定，供需双方协商一致，签订本合同。</w:t>
      </w:r>
    </w:p>
    <w:p w14:paraId="2D18DE5A">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 xml:space="preserve">1、货物品名、生产厂商、规格、数量等信息详见供货一览表（附后） 。      </w:t>
      </w:r>
    </w:p>
    <w:p w14:paraId="63691CC1">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 xml:space="preserve">2、价格解释：合同价格包括成本、税款、包装、运费、售后服务等全部费用，价格一次确定不再变更。 </w:t>
      </w:r>
    </w:p>
    <w:p w14:paraId="6CE1E90E">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3、包装要求：不论采取何种包装形式，供方均需确保无破损，无污染，且方便二次运输。因包装不当造成的损失由供方负责，包退包换。</w:t>
      </w:r>
    </w:p>
    <w:p w14:paraId="14FEAB1E">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四、</w:t>
      </w:r>
      <w:r>
        <w:rPr>
          <w:rFonts w:hint="eastAsia" w:ascii="宋体" w:hAnsi="宋体" w:cs="宋体"/>
          <w:color w:val="auto"/>
          <w:sz w:val="24"/>
          <w:szCs w:val="21"/>
          <w:lang w:val="en-US" w:eastAsia="zh-CN"/>
        </w:rPr>
        <w:t>采购、报价</w:t>
      </w:r>
      <w:r>
        <w:rPr>
          <w:rFonts w:hint="eastAsia" w:ascii="宋体" w:hAnsi="宋体" w:cs="宋体"/>
          <w:color w:val="auto"/>
          <w:sz w:val="24"/>
          <w:szCs w:val="21"/>
        </w:rPr>
        <w:t>文件，评标结果表，合同所附供货一览表均为本合同不可分割的一部分。如果供货一览表的内容与</w:t>
      </w:r>
      <w:r>
        <w:rPr>
          <w:rFonts w:hint="eastAsia" w:ascii="宋体" w:hAnsi="宋体" w:cs="宋体"/>
          <w:color w:val="auto"/>
          <w:sz w:val="24"/>
          <w:szCs w:val="21"/>
          <w:lang w:val="en-US" w:eastAsia="zh-CN"/>
        </w:rPr>
        <w:t>采购、报价</w:t>
      </w:r>
      <w:r>
        <w:rPr>
          <w:rFonts w:hint="eastAsia" w:ascii="宋体" w:hAnsi="宋体" w:cs="宋体"/>
          <w:color w:val="auto"/>
          <w:sz w:val="24"/>
          <w:szCs w:val="21"/>
        </w:rPr>
        <w:t>文件和评</w:t>
      </w:r>
      <w:r>
        <w:rPr>
          <w:rFonts w:hint="eastAsia" w:ascii="宋体" w:hAnsi="宋体" w:cs="宋体"/>
          <w:color w:val="auto"/>
          <w:sz w:val="24"/>
          <w:szCs w:val="21"/>
          <w:lang w:val="en-US" w:eastAsia="zh-CN"/>
        </w:rPr>
        <w:t>分</w:t>
      </w:r>
      <w:r>
        <w:rPr>
          <w:rFonts w:hint="eastAsia" w:ascii="宋体" w:hAnsi="宋体" w:cs="宋体"/>
          <w:color w:val="auto"/>
          <w:sz w:val="24"/>
          <w:szCs w:val="21"/>
        </w:rPr>
        <w:t>结果表不一致时，以</w:t>
      </w:r>
      <w:r>
        <w:rPr>
          <w:rFonts w:hint="eastAsia" w:ascii="宋体" w:hAnsi="宋体" w:cs="宋体"/>
          <w:color w:val="auto"/>
          <w:sz w:val="24"/>
          <w:szCs w:val="21"/>
          <w:lang w:val="en-US" w:eastAsia="zh-CN"/>
        </w:rPr>
        <w:t>采购、报价</w:t>
      </w:r>
      <w:r>
        <w:rPr>
          <w:rFonts w:hint="eastAsia" w:ascii="宋体" w:hAnsi="宋体" w:cs="宋体"/>
          <w:color w:val="auto"/>
          <w:sz w:val="24"/>
          <w:szCs w:val="21"/>
        </w:rPr>
        <w:t>文件和评</w:t>
      </w:r>
      <w:r>
        <w:rPr>
          <w:rFonts w:hint="eastAsia" w:ascii="宋体" w:hAnsi="宋体" w:cs="宋体"/>
          <w:color w:val="auto"/>
          <w:sz w:val="24"/>
          <w:szCs w:val="21"/>
          <w:lang w:val="en-US" w:eastAsia="zh-CN"/>
        </w:rPr>
        <w:t>分</w:t>
      </w:r>
      <w:r>
        <w:rPr>
          <w:rFonts w:hint="eastAsia" w:ascii="宋体" w:hAnsi="宋体" w:cs="宋体"/>
          <w:color w:val="auto"/>
          <w:sz w:val="24"/>
          <w:szCs w:val="21"/>
        </w:rPr>
        <w:t>结果表为准。</w:t>
      </w:r>
    </w:p>
    <w:p w14:paraId="6C305F12">
      <w:pPr>
        <w:spacing w:beforeLines="0" w:afterLines="0" w:line="300" w:lineRule="auto"/>
        <w:ind w:firstLine="480"/>
        <w:rPr>
          <w:rFonts w:hint="eastAsia" w:ascii="宋体" w:hAnsi="宋体" w:eastAsia="宋体" w:cs="宋体"/>
          <w:color w:val="auto"/>
          <w:sz w:val="24"/>
          <w:szCs w:val="21"/>
          <w:lang w:val="en-US" w:eastAsia="zh-CN"/>
        </w:rPr>
      </w:pPr>
      <w:r>
        <w:rPr>
          <w:rFonts w:hint="eastAsia" w:ascii="宋体" w:hAnsi="宋体" w:cs="宋体"/>
          <w:color w:val="auto"/>
          <w:sz w:val="24"/>
          <w:szCs w:val="21"/>
        </w:rPr>
        <w:t>五、付款方式：货到现场安装调试后10个工作日内采购单位支付合同总额的100%。</w:t>
      </w:r>
    </w:p>
    <w:p w14:paraId="0DC69F2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六、一般条款：</w:t>
      </w:r>
    </w:p>
    <w:bookmarkEnd w:id="13"/>
    <w:p w14:paraId="0061A7A8">
      <w:pPr>
        <w:spacing w:beforeLines="0" w:afterLines="0" w:line="360" w:lineRule="auto"/>
        <w:ind w:firstLine="480" w:firstLineChars="200"/>
        <w:rPr>
          <w:rFonts w:hint="eastAsia" w:ascii="宋体" w:hAnsi="宋体" w:cs="宋体"/>
          <w:color w:val="auto"/>
          <w:sz w:val="24"/>
          <w:szCs w:val="21"/>
        </w:rPr>
      </w:pPr>
      <w:bookmarkStart w:id="15" w:name="_Toc27873"/>
      <w:bookmarkStart w:id="16" w:name="_Toc216520200"/>
      <w:r>
        <w:rPr>
          <w:rFonts w:hint="eastAsia" w:ascii="宋体" w:hAnsi="宋体" w:cs="宋体"/>
          <w:color w:val="auto"/>
          <w:sz w:val="24"/>
          <w:szCs w:val="21"/>
        </w:rPr>
        <w:t>（一）项目实施</w:t>
      </w:r>
      <w:bookmarkEnd w:id="15"/>
    </w:p>
    <w:p w14:paraId="68001BB8">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甲乙双方签订合同后开始项目实施，并在    年   月   日前完成项目制作。如项目实施周期因故调整，经双方协商一致后以书面形式进一步约定完成的日期，双方相应的责任期也随之顺延。</w:t>
      </w:r>
    </w:p>
    <w:p w14:paraId="615E57E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1、甲方权利和义务</w:t>
      </w:r>
    </w:p>
    <w:p w14:paraId="6B61246B">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1）在本合同签订后，甲方应及时成立项目组，明确成员名单和联系方式，向乙方提供项目建设图片、素材和相关资料及数据。</w:t>
      </w:r>
    </w:p>
    <w:p w14:paraId="6748CF9C">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w:t>
      </w:r>
      <w:bookmarkStart w:id="17" w:name="_Toc1707"/>
      <w:bookmarkStart w:id="18" w:name="_Toc4545"/>
      <w:bookmarkStart w:id="19" w:name="_Toc8330"/>
      <w:r>
        <w:rPr>
          <w:rFonts w:hint="eastAsia" w:ascii="宋体" w:hAnsi="宋体" w:cs="宋体"/>
          <w:color w:val="auto"/>
          <w:sz w:val="24"/>
          <w:szCs w:val="21"/>
        </w:rPr>
        <w:t>甲方确认有关项目建设内容和要求已经全部在</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文件中列明，甲方承诺不随意变更或新增需求，项目实施过程中，甲方有权对乙方的阶段性成果提出合理的修改意见、建议和思路，以使乙方设计的模板和开发的产品满足甲方实际需求。</w:t>
      </w:r>
      <w:bookmarkEnd w:id="17"/>
      <w:bookmarkEnd w:id="18"/>
      <w:bookmarkEnd w:id="19"/>
    </w:p>
    <w:p w14:paraId="07C951C3">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3）项目实施过程中，如果乙方需要甲方确认需求时，或在收到乙方制作的效果图、产品功能原型、测试站等阶段性成果后，甲方应及时组织收集内部反馈的各种修改意见，以文档形式反馈给乙方。</w:t>
      </w:r>
    </w:p>
    <w:p w14:paraId="4C709A7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2、乙方权利和义务</w:t>
      </w:r>
    </w:p>
    <w:p w14:paraId="235C91D5">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1）在本合同签订后，乙方应该立即按照</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文件的有关实施要求，以</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 w:val="24"/>
          <w:szCs w:val="21"/>
        </w:rPr>
        <w:t>文件中承诺的项目组成员清单组建项目实施团队。乙方不得随意变更项目组成员，变更后的人员的经验和能力不得低于</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文件的要求和乙方在</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 w:val="24"/>
          <w:szCs w:val="21"/>
        </w:rPr>
        <w:t>文件中做出的承诺。在项目实施过程中，如有项目主要成员发生变更，应及时以书面形式将变更情况告知甲方。乙方要确保在项目实施期间始终投入足够的人力，不得中途抽减人员。</w:t>
      </w:r>
    </w:p>
    <w:p w14:paraId="35718C46">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2）乙方应根据</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 w:val="24"/>
          <w:szCs w:val="21"/>
        </w:rPr>
        <w:t>文件中列明的项目实施计划，在约定时间内完成本项目有关建设内容的进一步需求详细调研和需求分析、软件设计和开发、模板设计和制作、软件部署、设备的安装、调试和集成等项目实施工作。</w:t>
      </w:r>
    </w:p>
    <w:p w14:paraId="243C06D5">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3）项目实施过程中，乙方应在取得“完成功能详细设计、完成效果图设计、研发出产品功能原型、搭建好测试站”等阶段性成果时，及时请甲方确认，并根据甲方的反馈意见做进一步的修改和完善。</w:t>
      </w:r>
    </w:p>
    <w:p w14:paraId="4467572B">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4）项目实施过程中，乙方应该根据</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文件的要求提供有关项目文档，并保证文档质量符合要求。如果乙方无法提供有关文档或文档质量不符合要求，甲方有权拒绝项目进一步实施。</w:t>
      </w:r>
    </w:p>
    <w:bookmarkEnd w:id="16"/>
    <w:p w14:paraId="20536D0E">
      <w:pPr>
        <w:spacing w:beforeLines="0" w:afterLines="0" w:line="360" w:lineRule="auto"/>
        <w:ind w:firstLine="480" w:firstLineChars="200"/>
        <w:rPr>
          <w:rFonts w:hint="eastAsia" w:ascii="宋体" w:hAnsi="宋体" w:cs="宋体"/>
          <w:color w:val="auto"/>
          <w:sz w:val="24"/>
          <w:szCs w:val="21"/>
        </w:rPr>
      </w:pPr>
      <w:bookmarkStart w:id="20" w:name="_Toc22257"/>
      <w:r>
        <w:rPr>
          <w:rFonts w:hint="eastAsia" w:ascii="宋体" w:hAnsi="宋体" w:cs="宋体"/>
          <w:color w:val="auto"/>
          <w:sz w:val="24"/>
          <w:szCs w:val="21"/>
        </w:rPr>
        <w:t>（二）项目初验</w:t>
      </w:r>
      <w:bookmarkEnd w:id="20"/>
      <w:bookmarkStart w:id="21" w:name="_Toc216520201"/>
    </w:p>
    <w:bookmarkEnd w:id="21"/>
    <w:p w14:paraId="36AFD2E8">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项目完成后，乙方以书面形式向甲方提出初验申请，甲方收到初验申请书后组织人员进行初验，初验通过后签发《项目初验合格书》，乙方收到项目初验合格书后向甲方申请付款并开具初验款发票，甲方在收到《付款申请书》和发票后向乙方支付初验款。</w:t>
      </w:r>
    </w:p>
    <w:p w14:paraId="3357C9E5">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项目验收标准详见</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文件中的“验收标准”章节。</w:t>
      </w:r>
    </w:p>
    <w:p w14:paraId="77E08A8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1、甲方权利和义务</w:t>
      </w:r>
    </w:p>
    <w:p w14:paraId="104F44E3">
      <w:pPr>
        <w:spacing w:beforeLines="0" w:afterLines="0" w:line="360" w:lineRule="auto"/>
        <w:ind w:firstLine="480" w:firstLineChars="200"/>
        <w:rPr>
          <w:rFonts w:hint="eastAsia" w:ascii="宋体" w:hAnsi="宋体" w:cs="宋体"/>
          <w:color w:val="auto"/>
          <w:sz w:val="24"/>
          <w:szCs w:val="21"/>
        </w:rPr>
      </w:pPr>
      <w:bookmarkStart w:id="22" w:name="_Toc29357"/>
      <w:bookmarkStart w:id="23" w:name="_Toc20608"/>
      <w:r>
        <w:rPr>
          <w:rFonts w:hint="eastAsia" w:ascii="宋体" w:hAnsi="宋体" w:cs="宋体"/>
          <w:color w:val="auto"/>
          <w:sz w:val="24"/>
          <w:szCs w:val="21"/>
        </w:rPr>
        <w:t>1）甲方在收到乙方的初验申请或初验复审申请后组织人员</w:t>
      </w:r>
      <w:bookmarkEnd w:id="22"/>
      <w:bookmarkEnd w:id="23"/>
      <w:r>
        <w:rPr>
          <w:rFonts w:hint="eastAsia" w:ascii="宋体" w:hAnsi="宋体" w:cs="宋体"/>
          <w:color w:val="auto"/>
          <w:sz w:val="24"/>
          <w:szCs w:val="21"/>
        </w:rPr>
        <w:t>对照验收标准完成项目初验，同时对验收过程中发现的问题以图文形式汇总并提交给乙方。</w:t>
      </w:r>
    </w:p>
    <w:p w14:paraId="72548DB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2）如果验收过程中发现明显达不到验收标准，甲方可以拒绝初验通过，要求乙方对实施结果进行整改。如果基本达到验收标准但有一些不影响试运行的小问题，甲方应通过初验。</w:t>
      </w:r>
    </w:p>
    <w:p w14:paraId="15A694DC">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3）初验通过后，甲方在收到乙方的《付款申请书》和发票后十个工作日内向乙方支付初验款。</w:t>
      </w:r>
    </w:p>
    <w:p w14:paraId="3E9463E2">
      <w:pPr>
        <w:spacing w:beforeLines="0" w:afterLines="0" w:line="360" w:lineRule="auto"/>
        <w:ind w:firstLine="480" w:firstLineChars="200"/>
        <w:rPr>
          <w:rFonts w:hint="eastAsia" w:ascii="宋体" w:hAnsi="宋体" w:cs="宋体"/>
          <w:color w:val="auto"/>
          <w:sz w:val="24"/>
          <w:szCs w:val="21"/>
        </w:rPr>
      </w:pPr>
      <w:bookmarkStart w:id="24" w:name="_Toc19026"/>
      <w:bookmarkStart w:id="25" w:name="_Toc13589"/>
      <w:bookmarkStart w:id="26" w:name="_Toc14820"/>
      <w:bookmarkStart w:id="27" w:name="_Toc18921"/>
      <w:bookmarkStart w:id="28" w:name="_Toc26940"/>
      <w:r>
        <w:rPr>
          <w:rFonts w:hint="eastAsia" w:ascii="宋体" w:hAnsi="宋体" w:cs="宋体"/>
          <w:color w:val="auto"/>
          <w:sz w:val="24"/>
          <w:szCs w:val="21"/>
        </w:rPr>
        <w:t>4）如果乙方初验申请三次都未能通过甲方验收，则甲方有权解除合同。</w:t>
      </w:r>
    </w:p>
    <w:p w14:paraId="23E4D97C">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2、乙方权利和义务</w:t>
      </w:r>
    </w:p>
    <w:p w14:paraId="7FCB43F6">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1）在申请初验前，乙方应确保项目除售后服务、培训服务及第三方服务以外的其他所有建设内容已经根据项目</w:t>
      </w:r>
      <w:r>
        <w:rPr>
          <w:rFonts w:hint="eastAsia" w:ascii="宋体" w:hAnsi="宋体" w:cs="宋体"/>
          <w:color w:val="auto"/>
          <w:sz w:val="24"/>
          <w:szCs w:val="21"/>
          <w:lang w:val="en-US" w:eastAsia="zh-CN"/>
        </w:rPr>
        <w:t>采购</w:t>
      </w:r>
      <w:r>
        <w:rPr>
          <w:rFonts w:hint="eastAsia" w:ascii="宋体" w:hAnsi="宋体" w:cs="宋体"/>
          <w:color w:val="auto"/>
          <w:sz w:val="24"/>
          <w:szCs w:val="21"/>
        </w:rPr>
        <w:t>文件要求完成建设，并已通过乙方内部验收，达到项目验收标准。</w:t>
      </w:r>
    </w:p>
    <w:p w14:paraId="771942A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2）在申请初验前，乙方应整理好项目初验所需要的文档及验收清单，以方便甲方对照验收。</w:t>
      </w:r>
    </w:p>
    <w:p w14:paraId="440E62C3">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3）如果初验不通过，乙方应立即针对甲方反馈的问题进行分析和整改，整改完成后提请甲方进行初验复审。</w:t>
      </w:r>
    </w:p>
    <w:bookmarkEnd w:id="24"/>
    <w:bookmarkEnd w:id="25"/>
    <w:bookmarkEnd w:id="26"/>
    <w:bookmarkEnd w:id="27"/>
    <w:bookmarkEnd w:id="28"/>
    <w:p w14:paraId="4306EEA9">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（三）项目试运行</w:t>
      </w:r>
    </w:p>
    <w:p w14:paraId="4FA15FC0">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初验通过后，乙方将项目网站迁移到甲方指定服务器上，项目进入试运行阶段。试运行阶段发生需求变更或新增需求的情况时，应以不影响项目终验为原则，由双方协商解决。</w:t>
      </w:r>
    </w:p>
    <w:p w14:paraId="21F2AEC2">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1、甲方权利和义务</w:t>
      </w:r>
    </w:p>
    <w:p w14:paraId="05A851EC">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1）初验通过后，甲方应与乙方讨论制定合理的部署方案，并按方案要求准备好软硬件环境和网络设备，以方便乙方进行网站群平台部署工作。</w:t>
      </w:r>
    </w:p>
    <w:p w14:paraId="2FE4EDF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2）试运行期间，甲方应及时安排人员参加培训，并做好培训组织工作。</w:t>
      </w:r>
    </w:p>
    <w:p w14:paraId="454CDA88">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3）试运行期间，甲方应持续检测</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文件中要求的各项建设内容的完成情况，并将发现的问题及时反馈给乙方。</w:t>
      </w:r>
    </w:p>
    <w:p w14:paraId="7351D83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2、乙方权利和义务</w:t>
      </w:r>
    </w:p>
    <w:p w14:paraId="19B43C60">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1）初验通过后，乙方应与甲方讨论制定合理的部署方案，协助甲方采购相应设备，将项目网站迁移到甲方指定服务器上，对甲方在初验和试运行过程中发现的问题及时进行修复，确保网站群平台正常运行。</w:t>
      </w:r>
    </w:p>
    <w:p w14:paraId="00917558">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2）初验通过后，乙方应根据</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文件中的培训服务要求和</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 w:val="24"/>
          <w:szCs w:val="21"/>
        </w:rPr>
        <w:t>文件中的项目培训计划及时安排培训讲师对甲方的相关人员进行培训。</w:t>
      </w:r>
    </w:p>
    <w:p w14:paraId="47EB36D6">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3）试运行期间，乙方应及时采购</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文件中的相关软件、设备和第三方服务，并保证为甲方所采购的相关软件、设备和第三方服务的型号、规格、产地、数量、技术参数、服务内容和服务标准等符合</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文件的要求。如果甲方发现有不符合要求的软件、设备或服务，可以拒收并追究乙方违约责任。</w:t>
      </w:r>
    </w:p>
    <w:p w14:paraId="72E183F2">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4）试运行期间，乙方应按</w:t>
      </w:r>
      <w:r>
        <w:rPr>
          <w:rFonts w:hint="eastAsia" w:ascii="宋体" w:hAnsi="宋体" w:cs="宋体"/>
          <w:color w:val="auto"/>
          <w:sz w:val="24"/>
          <w:szCs w:val="21"/>
          <w:lang w:val="en-US" w:eastAsia="zh-CN"/>
        </w:rPr>
        <w:t>采购</w:t>
      </w:r>
      <w:r>
        <w:rPr>
          <w:rFonts w:hint="eastAsia" w:ascii="宋体" w:hAnsi="宋体" w:cs="宋体"/>
          <w:color w:val="auto"/>
          <w:sz w:val="24"/>
          <w:szCs w:val="21"/>
        </w:rPr>
        <w:t>文件要求整理好所有相关文档和资料，并提交给甲方验收。</w:t>
      </w:r>
    </w:p>
    <w:p w14:paraId="38A6305F">
      <w:pPr>
        <w:spacing w:beforeLines="0" w:afterLines="0" w:line="360" w:lineRule="auto"/>
        <w:ind w:firstLine="480" w:firstLineChars="200"/>
        <w:rPr>
          <w:rFonts w:hint="eastAsia" w:ascii="宋体" w:hAnsi="宋体" w:cs="宋体"/>
          <w:color w:val="auto"/>
          <w:sz w:val="24"/>
          <w:szCs w:val="21"/>
        </w:rPr>
      </w:pPr>
      <w:bookmarkStart w:id="29" w:name="_Toc11384"/>
      <w:bookmarkStart w:id="30" w:name="_Toc216520204"/>
      <w:r>
        <w:rPr>
          <w:rFonts w:hint="eastAsia" w:ascii="宋体" w:hAnsi="宋体" w:cs="宋体"/>
          <w:color w:val="auto"/>
          <w:sz w:val="24"/>
          <w:szCs w:val="21"/>
        </w:rPr>
        <w:t>（四）项目终验</w:t>
      </w:r>
      <w:bookmarkEnd w:id="29"/>
      <w:bookmarkEnd w:id="30"/>
    </w:p>
    <w:p w14:paraId="32CB898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项目试运行结束后，乙方以书面形式向甲方提出终验申请，甲方在收到终验申请书后组织终验，验收合格后签发《项目终验合格书》。</w:t>
      </w:r>
    </w:p>
    <w:p w14:paraId="55AB865A">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1、甲方权利和义务</w:t>
      </w:r>
    </w:p>
    <w:p w14:paraId="4D60E9A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1）甲方在收到乙方的终验申请后五个工作日内组织人员对照验收标准进行项目终验，如果符合验收标准，应该验收通过。</w:t>
      </w:r>
    </w:p>
    <w:p w14:paraId="521C6CD9">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2）终验通过后，在收到乙方的《付款申请书》和发票后十个工作日内向乙方支付终验款。</w:t>
      </w:r>
    </w:p>
    <w:p w14:paraId="7177610C">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2、乙方权利和义务</w:t>
      </w:r>
    </w:p>
    <w:p w14:paraId="3EEAAC8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1）在申请终验前，乙方应确保项目各项工作已全部完成，项目质量已达到项目验收标准，网站群平台上的所有网站正常运行。</w:t>
      </w:r>
    </w:p>
    <w:p w14:paraId="7D7DEAD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2）在申请终验前，乙方应将所有相关文档资料全部提交给甲方。</w:t>
      </w:r>
    </w:p>
    <w:p w14:paraId="7E7FE9B2">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（五）售后服务</w:t>
      </w:r>
    </w:p>
    <w:p w14:paraId="0F88A589">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自甲方签发初验合格书之日起，乙方根据</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文件中的售后服务要求及</w:t>
      </w:r>
      <w:r>
        <w:rPr>
          <w:rStyle w:val="21"/>
          <w:rFonts w:hint="eastAsia" w:ascii="宋体" w:hAnsi="宋体" w:cs="宋体"/>
          <w:b w:val="0"/>
          <w:color w:val="auto"/>
          <w:szCs w:val="24"/>
          <w:shd w:val="clear" w:color="auto" w:fill="FFFFFF"/>
          <w:lang w:val="en-US" w:eastAsia="zh-CN"/>
        </w:rPr>
        <w:t>报价</w:t>
      </w:r>
      <w:r>
        <w:rPr>
          <w:rFonts w:hint="eastAsia" w:ascii="宋体" w:hAnsi="宋体" w:cs="宋体"/>
          <w:color w:val="auto"/>
          <w:sz w:val="24"/>
          <w:szCs w:val="21"/>
        </w:rPr>
        <w:t>文件中的售后服务承诺为甲方提供售后服务。超出服务期限或服务范围的，由双方另行协商服务费用和签订协议。</w:t>
      </w:r>
    </w:p>
    <w:p w14:paraId="2527D6C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lang w:val="en-US" w:eastAsia="zh-CN"/>
        </w:rPr>
        <w:t>采购</w:t>
      </w:r>
      <w:r>
        <w:rPr>
          <w:rFonts w:hint="eastAsia" w:ascii="宋体" w:hAnsi="宋体" w:cs="宋体"/>
          <w:color w:val="auto"/>
          <w:sz w:val="24"/>
          <w:szCs w:val="21"/>
        </w:rPr>
        <w:t>文件中的第三方服务由该服务的提供商按照</w:t>
      </w:r>
      <w:r>
        <w:rPr>
          <w:rFonts w:hint="eastAsia" w:ascii="宋体" w:hAnsi="宋体" w:cs="宋体"/>
          <w:color w:val="auto"/>
          <w:sz w:val="24"/>
          <w:szCs w:val="21"/>
          <w:lang w:val="en-US" w:eastAsia="zh-CN"/>
        </w:rPr>
        <w:t>采购</w:t>
      </w:r>
      <w:r>
        <w:rPr>
          <w:rFonts w:hint="eastAsia" w:ascii="宋体" w:hAnsi="宋体" w:cs="宋体"/>
          <w:color w:val="auto"/>
          <w:sz w:val="24"/>
          <w:szCs w:val="21"/>
        </w:rPr>
        <w:t>文件要求提供，如果提供商不能提供服务的，由乙方按照</w:t>
      </w:r>
      <w:r>
        <w:rPr>
          <w:rFonts w:hint="eastAsia" w:ascii="宋体" w:hAnsi="宋体" w:cs="宋体"/>
          <w:color w:val="auto"/>
          <w:sz w:val="24"/>
          <w:szCs w:val="21"/>
          <w:lang w:val="en-US" w:eastAsia="zh-CN"/>
        </w:rPr>
        <w:t>采购</w:t>
      </w:r>
      <w:r>
        <w:rPr>
          <w:rFonts w:hint="eastAsia" w:ascii="宋体" w:hAnsi="宋体" w:cs="宋体"/>
          <w:color w:val="auto"/>
          <w:sz w:val="24"/>
          <w:szCs w:val="21"/>
        </w:rPr>
        <w:t>文件要求提供。</w:t>
      </w:r>
    </w:p>
    <w:p w14:paraId="1312CC60">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售后服务期间，乙方应对甲方在日常运行维护过程中发现的问题及时进行修复。在软件发布新版本后，乙方应按</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文件约定的升级期限或可升级的版本，及时安排升级更新到最新版本，以确保网站群平台正常运行。</w:t>
      </w:r>
    </w:p>
    <w:p w14:paraId="2F05BB7E">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如果乙方服务质量严重达不到</w:t>
      </w:r>
      <w:r>
        <w:rPr>
          <w:rFonts w:hint="eastAsia" w:ascii="宋体" w:hAnsi="宋体" w:cs="宋体"/>
          <w:color w:val="auto"/>
          <w:sz w:val="24"/>
          <w:szCs w:val="21"/>
          <w:lang w:val="en-US" w:eastAsia="zh-CN"/>
        </w:rPr>
        <w:t>采购</w:t>
      </w:r>
      <w:r>
        <w:rPr>
          <w:rFonts w:hint="eastAsia" w:ascii="宋体" w:hAnsi="宋体" w:cs="宋体"/>
          <w:color w:val="auto"/>
          <w:sz w:val="24"/>
          <w:szCs w:val="21"/>
        </w:rPr>
        <w:t>文件中的售后服务要求的，甲方将向乙方发出书面的服务整改要求。如果甲方已经三次发出书面整改要求后乙方仍未有明显改善的，则甲方有权扣留质保金并解除合同。</w:t>
      </w:r>
    </w:p>
    <w:p w14:paraId="026D0302">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（六）质保金</w:t>
      </w:r>
    </w:p>
    <w:p w14:paraId="41777BF6">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质保期满后，如果软件正常运行，且乙方按照</w:t>
      </w:r>
      <w:r>
        <w:rPr>
          <w:rFonts w:hint="eastAsia" w:ascii="宋体" w:hAnsi="宋体" w:cs="宋体"/>
          <w:color w:val="auto"/>
          <w:sz w:val="24"/>
          <w:szCs w:val="21"/>
          <w:lang w:val="en-US" w:eastAsia="zh-CN"/>
        </w:rPr>
        <w:t>采购</w:t>
      </w:r>
      <w:r>
        <w:rPr>
          <w:rFonts w:hint="eastAsia" w:ascii="宋体" w:hAnsi="宋体" w:cs="宋体"/>
          <w:color w:val="auto"/>
          <w:sz w:val="24"/>
          <w:szCs w:val="21"/>
        </w:rPr>
        <w:t>文件的售后服务要求提供了相关的售后服务，得到甲方认可的，则质保期满后，甲方在收到乙方的《付款申请书》和发票后十个工作日内向乙方支付质保金。</w:t>
      </w:r>
    </w:p>
    <w:p w14:paraId="119F2654">
      <w:pPr>
        <w:spacing w:beforeLines="0" w:afterLines="0" w:line="360" w:lineRule="auto"/>
        <w:ind w:firstLine="480" w:firstLineChars="200"/>
        <w:rPr>
          <w:rFonts w:hint="eastAsia" w:ascii="宋体" w:hAnsi="宋体" w:cs="宋体"/>
          <w:color w:val="auto"/>
          <w:sz w:val="24"/>
          <w:szCs w:val="21"/>
        </w:rPr>
      </w:pPr>
      <w:bookmarkStart w:id="31" w:name="_Toc216520222"/>
      <w:bookmarkStart w:id="32" w:name="_Toc28246"/>
      <w:r>
        <w:rPr>
          <w:rFonts w:hint="eastAsia" w:ascii="宋体" w:hAnsi="宋体" w:cs="宋体"/>
          <w:color w:val="auto"/>
          <w:sz w:val="24"/>
          <w:szCs w:val="21"/>
        </w:rPr>
        <w:t>七、所有权、知识产权和使用权</w:t>
      </w:r>
    </w:p>
    <w:p w14:paraId="794BA25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1、乙方保证对所销售的乙方自有软件产品拥有完整知识产权，乙方保证其按照合同及</w:t>
      </w:r>
      <w:r>
        <w:rPr>
          <w:rFonts w:hint="eastAsia" w:ascii="宋体" w:hAnsi="宋体" w:cs="宋体"/>
          <w:color w:val="auto"/>
          <w:sz w:val="24"/>
          <w:szCs w:val="21"/>
          <w:lang w:val="en-US" w:eastAsia="zh-CN"/>
        </w:rPr>
        <w:t>采购</w:t>
      </w:r>
      <w:r>
        <w:rPr>
          <w:rFonts w:hint="eastAsia" w:ascii="宋体" w:hAnsi="宋体" w:cs="宋体"/>
          <w:color w:val="auto"/>
          <w:sz w:val="24"/>
          <w:szCs w:val="21"/>
        </w:rPr>
        <w:t>文件要求提供的设备和第三方软件不会侵犯第三方的合法权益，并独立承担因此引起的一切责任，若甲方因此造成损失的，由乙方负责赔偿。</w:t>
      </w:r>
    </w:p>
    <w:p w14:paraId="65689C90">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对于乙方在本项目中提供给甲方的有关软件，甲方仅有使用权，并没有所有权、著作权和相关知识产权等，甲方不得在本项目以外使用这些软件，不得以任何形式重新分发，更不得利用非法重新分发获利。甲方不能自己或提供便利对相关软件进行反相工程（Reverse Engineer）、反编译（Decompile）或反汇编（Disassemble）。否则，乙方及相关软件的所有权人有权随时终止对甲方的使用授权，责令甲方停止损害，并保留追究甲方的法律责任和相应的经济责任。</w:t>
      </w:r>
    </w:p>
    <w:p w14:paraId="041F2AFB">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3、乙方的交付件（包括硬件、软硬件配件和备件、介质、文档等有形物品）的所有权归甲方拥有。</w:t>
      </w:r>
    </w:p>
    <w:p w14:paraId="56BDE2C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4、甲方负责其在项目实施过程中提供的设备和软件的合法授权，并自行承担相关的版权纠纷、法律争议与后果。</w:t>
      </w:r>
    </w:p>
    <w:p w14:paraId="37B99FE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5、非本合同约定或未经对方书面同意，非知识产权所有方不得以任何方式向第三方披露、转让或许可使用本项目有关的软件成果、专利技术、技术秘密等。</w:t>
      </w:r>
    </w:p>
    <w:p w14:paraId="5B910E9D">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八、保密</w:t>
      </w:r>
    </w:p>
    <w:p w14:paraId="30BEAA40">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14:paraId="19F0CC08">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2、获取对方秘密的一方仅可以将该秘密用于履行其在本合同项下的义务，且只能由相关的技术人员使用。</w:t>
      </w:r>
    </w:p>
    <w:p w14:paraId="5122D8D8">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3、获取对方秘密的一方应采取有效的保护方式防止秘密未经授权而被使用、传播或公开。</w:t>
      </w:r>
    </w:p>
    <w:p w14:paraId="7EE7963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4、上述保密义务不适用以下情况：</w:t>
      </w:r>
    </w:p>
    <w:p w14:paraId="0466A161">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1）获取的信息已被合法公开；</w:t>
      </w:r>
    </w:p>
    <w:p w14:paraId="4F18B00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2）获得信息拥有方书面许可；</w:t>
      </w:r>
    </w:p>
    <w:p w14:paraId="7C2725F3">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3）国家法律、法规规定的情形。</w:t>
      </w:r>
    </w:p>
    <w:p w14:paraId="2BB3DC6C">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5、保密的时效不受本合同有效时间的限制。</w:t>
      </w:r>
    </w:p>
    <w:bookmarkEnd w:id="31"/>
    <w:bookmarkEnd w:id="32"/>
    <w:p w14:paraId="0C0805D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九、违约责任：</w:t>
      </w:r>
    </w:p>
    <w:p w14:paraId="2F4821D3">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（一）乙方的违约责任：</w:t>
      </w:r>
    </w:p>
    <w:p w14:paraId="78498A3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1、若乙方非因甲方过错而单方面中止并解除合同，乙方应返还甲方已经支付的款项，且乙方应支付甲方损失总额30%的违约金赔偿甲方的损失，并应承担有关法律责任。</w:t>
      </w:r>
    </w:p>
    <w:p w14:paraId="12374DDB">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2、如因乙方的原因未按本合同规定的项目阶段进度要求完成工作，且未通知或征得甲方同意而无故延期的，每延期一个工作日，由乙方按本合同总额的1‰向甲方支付违约金。</w:t>
      </w:r>
    </w:p>
    <w:p w14:paraId="698AF9DF">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3、因乙方未能履行合同中规定的保密条款，造成甲方损失的，乙方应根据所造成的损失大小向甲方赔偿，甲方保留向乙方提出法律诉讼的权利。</w:t>
      </w:r>
    </w:p>
    <w:p w14:paraId="7A2B9391">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（二）甲方的违约责任</w:t>
      </w:r>
    </w:p>
    <w:p w14:paraId="58D3DFFA">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1、若甲方非因乙方过错而单方面中止并解除合同，则甲方已支付的费用不得再向乙方追讨，且甲方应支付乙方损失总额30%的违约金赔偿乙方的损失，并应承担有关法律责任。</w:t>
      </w:r>
    </w:p>
    <w:p w14:paraId="353445FA">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2、若甲方侵害了乙方知识产权，则应负责赔偿由此而给乙方造成的经济损失，并对连带的其他法律后果承担责任。</w:t>
      </w:r>
    </w:p>
    <w:p w14:paraId="6421E29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3、因甲方未能履行合同中规定的保密条款，造成乙方损失的，甲方应根据所造成的损失大小向乙方赔偿，乙方保留向甲方提出法律诉讼的权利。</w:t>
      </w:r>
    </w:p>
    <w:p w14:paraId="0E54B804">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十、合同解释：</w:t>
      </w:r>
    </w:p>
    <w:p w14:paraId="03316D72">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如合同条文存在歧义，</w:t>
      </w:r>
      <w:r>
        <w:rPr>
          <w:rFonts w:hint="eastAsia" w:ascii="宋体" w:hAnsi="宋体" w:cs="宋体"/>
          <w:color w:val="auto"/>
          <w:sz w:val="24"/>
          <w:szCs w:val="21"/>
          <w:lang w:val="en-US" w:eastAsia="zh-CN"/>
        </w:rPr>
        <w:t>采购文件、报价文件不能解释或确定，</w:t>
      </w:r>
      <w:r>
        <w:rPr>
          <w:rFonts w:hint="eastAsia" w:ascii="宋体" w:hAnsi="宋体" w:cs="宋体"/>
          <w:color w:val="auto"/>
          <w:sz w:val="24"/>
          <w:szCs w:val="21"/>
        </w:rPr>
        <w:t>《中华人民共和国</w:t>
      </w:r>
      <w:r>
        <w:rPr>
          <w:rFonts w:hint="eastAsia" w:ascii="宋体" w:hAnsi="宋体" w:cs="宋体"/>
          <w:color w:val="auto"/>
          <w:sz w:val="24"/>
          <w:szCs w:val="21"/>
          <w:lang w:val="en-US" w:eastAsia="zh-CN"/>
        </w:rPr>
        <w:t>民法典</w:t>
      </w:r>
      <w:r>
        <w:rPr>
          <w:rFonts w:hint="eastAsia" w:ascii="宋体" w:hAnsi="宋体" w:cs="宋体"/>
          <w:color w:val="auto"/>
          <w:sz w:val="24"/>
          <w:szCs w:val="21"/>
        </w:rPr>
        <w:t xml:space="preserve">》又无明文规定，依照交易习惯和采购当事人订立合同的目的做合理并且善意的解释，以维护交易安全和社会的公序良俗。 </w:t>
      </w:r>
    </w:p>
    <w:p w14:paraId="70BDDEA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十一、合同执行过程中发生的一切争议，双方应通过友好协商解决，如协商不能解决，依法向起诉方所在地人民法院起诉或按《中华人民共和国</w:t>
      </w:r>
      <w:r>
        <w:rPr>
          <w:rFonts w:hint="eastAsia" w:ascii="宋体" w:hAnsi="宋体" w:cs="宋体"/>
          <w:color w:val="auto"/>
          <w:sz w:val="24"/>
          <w:szCs w:val="21"/>
          <w:lang w:val="en-US" w:eastAsia="zh-CN"/>
        </w:rPr>
        <w:t>民法典</w:t>
      </w:r>
      <w:r>
        <w:rPr>
          <w:rFonts w:hint="eastAsia" w:ascii="宋体" w:hAnsi="宋体" w:cs="宋体"/>
          <w:color w:val="auto"/>
          <w:sz w:val="24"/>
          <w:szCs w:val="21"/>
        </w:rPr>
        <w:t>》有关规定解决。</w:t>
      </w:r>
    </w:p>
    <w:p w14:paraId="67DC568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十二、其它未尽事宜由甲乙双方协商约定。</w:t>
      </w:r>
    </w:p>
    <w:p w14:paraId="3E7DF757">
      <w:pPr>
        <w:spacing w:beforeLines="0" w:afterLines="0" w:line="360" w:lineRule="auto"/>
        <w:ind w:firstLine="480" w:firstLineChars="200"/>
        <w:rPr>
          <w:rFonts w:hint="eastAsia" w:ascii="宋体" w:hAnsi="宋体" w:cs="宋体"/>
          <w:color w:val="auto"/>
          <w:sz w:val="24"/>
          <w:szCs w:val="21"/>
        </w:rPr>
      </w:pPr>
      <w:r>
        <w:rPr>
          <w:rFonts w:hint="eastAsia" w:ascii="宋体" w:hAnsi="宋体" w:cs="宋体"/>
          <w:color w:val="auto"/>
          <w:sz w:val="24"/>
          <w:szCs w:val="21"/>
        </w:rPr>
        <w:t>十三、本合同一式   份，经甲乙双方签字盖章后生效，甲方   份，乙方   份，      公共资源交易中心   份，政府采购办备案   份，均具有同等法律效力。</w:t>
      </w:r>
    </w:p>
    <w:p w14:paraId="2682737C">
      <w:pPr>
        <w:spacing w:beforeLines="0" w:afterLines="0" w:line="420" w:lineRule="exact"/>
        <w:rPr>
          <w:rFonts w:hint="eastAsia" w:ascii="宋体" w:hAnsi="宋体" w:cs="宋体"/>
          <w:b/>
          <w:color w:val="auto"/>
          <w:kern w:val="44"/>
          <w:sz w:val="24"/>
          <w:szCs w:val="21"/>
        </w:rPr>
      </w:pPr>
    </w:p>
    <w:tbl>
      <w:tblPr>
        <w:tblStyle w:val="18"/>
        <w:tblpPr w:leftFromText="180" w:rightFromText="180" w:vertAnchor="text" w:horzAnchor="page" w:tblpX="1313" w:tblpY="2"/>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2"/>
        <w:gridCol w:w="4568"/>
      </w:tblGrid>
      <w:tr w14:paraId="10C8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0" w:hRule="exact"/>
        </w:trPr>
        <w:tc>
          <w:tcPr>
            <w:tcW w:w="4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B6A0C">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甲方:（盖章）</w:t>
            </w:r>
          </w:p>
          <w:p w14:paraId="07B69636">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法定代表人:</w:t>
            </w:r>
          </w:p>
          <w:p w14:paraId="124DE9C1">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委托代理人：</w:t>
            </w:r>
          </w:p>
          <w:p w14:paraId="2042CF5C">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签字日期:</w:t>
            </w:r>
          </w:p>
          <w:p w14:paraId="76818A81">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地址:</w:t>
            </w:r>
          </w:p>
          <w:p w14:paraId="7B717DD3">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电话:</w:t>
            </w:r>
          </w:p>
          <w:p w14:paraId="693F08B4">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邮编:</w:t>
            </w:r>
          </w:p>
        </w:tc>
        <w:tc>
          <w:tcPr>
            <w:tcW w:w="45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A2EA6">
            <w:pPr>
              <w:spacing w:beforeLines="0" w:afterLines="0" w:line="420" w:lineRule="exact"/>
              <w:rPr>
                <w:rFonts w:hint="eastAsia" w:ascii="宋体" w:hAnsi="宋体" w:cs="宋体"/>
                <w:color w:val="auto"/>
                <w:sz w:val="24"/>
                <w:szCs w:val="21"/>
              </w:rPr>
            </w:pPr>
          </w:p>
          <w:p w14:paraId="7FB098B7">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乙方:（盖章）</w:t>
            </w:r>
          </w:p>
          <w:p w14:paraId="64E7C101">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法定代表人:</w:t>
            </w:r>
          </w:p>
          <w:p w14:paraId="1A21F654">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委托代理人：</w:t>
            </w:r>
          </w:p>
          <w:p w14:paraId="4C8F6E68">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签字日期:</w:t>
            </w:r>
          </w:p>
          <w:p w14:paraId="11461C17">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地址:</w:t>
            </w:r>
          </w:p>
          <w:p w14:paraId="2D6B025E">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电话:</w:t>
            </w:r>
          </w:p>
          <w:p w14:paraId="520BA805">
            <w:pPr>
              <w:spacing w:beforeLines="0" w:afterLines="0" w:line="420" w:lineRule="exact"/>
              <w:rPr>
                <w:rFonts w:hint="eastAsia" w:ascii="宋体" w:hAnsi="宋体" w:cs="宋体"/>
                <w:color w:val="auto"/>
                <w:sz w:val="24"/>
                <w:szCs w:val="21"/>
              </w:rPr>
            </w:pPr>
            <w:r>
              <w:rPr>
                <w:rFonts w:hint="eastAsia" w:ascii="宋体" w:hAnsi="宋体" w:cs="宋体"/>
                <w:color w:val="auto"/>
                <w:sz w:val="24"/>
                <w:szCs w:val="21"/>
              </w:rPr>
              <w:t>邮编:</w:t>
            </w:r>
          </w:p>
        </w:tc>
      </w:tr>
    </w:tbl>
    <w:p w14:paraId="6E83D2DA">
      <w:pPr>
        <w:spacing w:beforeLines="0" w:afterLines="0"/>
        <w:rPr>
          <w:rFonts w:hint="eastAsia" w:ascii="宋体" w:hAnsi="宋体" w:cs="宋体"/>
          <w:color w:val="auto"/>
          <w:sz w:val="24"/>
          <w:szCs w:val="21"/>
        </w:rPr>
      </w:pPr>
      <w:bookmarkStart w:id="33" w:name="_Toc498678831"/>
      <w:bookmarkStart w:id="34" w:name="_Toc496283014"/>
    </w:p>
    <w:p w14:paraId="1896DA9B">
      <w:pPr>
        <w:spacing w:beforeLines="0" w:afterLines="0"/>
        <w:ind w:firstLine="240" w:firstLineChars="100"/>
        <w:rPr>
          <w:rFonts w:hint="eastAsia" w:ascii="宋体" w:hAnsi="宋体" w:cs="宋体"/>
          <w:color w:val="auto"/>
          <w:sz w:val="24"/>
          <w:szCs w:val="21"/>
        </w:rPr>
      </w:pPr>
      <w:r>
        <w:rPr>
          <w:rFonts w:hint="eastAsia" w:ascii="宋体" w:hAnsi="宋体" w:cs="宋体"/>
          <w:color w:val="auto"/>
          <w:sz w:val="24"/>
          <w:szCs w:val="21"/>
        </w:rPr>
        <w:t>附件、</w:t>
      </w:r>
      <w:bookmarkEnd w:id="33"/>
      <w:bookmarkEnd w:id="34"/>
      <w:r>
        <w:rPr>
          <w:rFonts w:hint="eastAsia" w:ascii="宋体" w:hAnsi="宋体" w:cs="宋体"/>
          <w:color w:val="auto"/>
          <w:sz w:val="24"/>
          <w:szCs w:val="21"/>
        </w:rPr>
        <w:t>供货一览表</w:t>
      </w:r>
    </w:p>
    <w:p w14:paraId="176386C6">
      <w:pPr>
        <w:spacing w:line="360" w:lineRule="auto"/>
        <w:jc w:val="both"/>
        <w:rPr>
          <w:rFonts w:hint="eastAsia" w:ascii="宋体" w:hAnsi="宋体" w:cs="宋体"/>
          <w:color w:val="auto"/>
          <w:sz w:val="36"/>
          <w:szCs w:val="36"/>
        </w:rPr>
      </w:pPr>
    </w:p>
    <w:p w14:paraId="43B03C5F">
      <w:pPr>
        <w:spacing w:line="520" w:lineRule="exact"/>
        <w:ind w:firstLine="480" w:firstLineChars="200"/>
        <w:jc w:val="both"/>
        <w:rPr>
          <w:rFonts w:ascii="宋体" w:hAnsi="宋体" w:cs="宋体"/>
          <w:color w:val="auto"/>
          <w:szCs w:val="24"/>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B557">
    <w:pPr>
      <w:pStyle w:val="11"/>
      <w:ind w:firstLine="480"/>
      <w:rPr>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85B">
    <w:pPr>
      <w:pStyle w:val="11"/>
      <w:rPr>
        <w:sz w:val="24"/>
        <w:szCs w:val="28"/>
      </w:rPr>
    </w:pPr>
    <w:r>
      <w:rPr>
        <w:rFonts w:hint="eastAsia"/>
        <w:sz w:val="24"/>
        <w:szCs w:val="28"/>
      </w:rPr>
      <w:t>—</w:t>
    </w: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10</w:t>
    </w:r>
    <w:r>
      <w:rPr>
        <w:sz w:val="24"/>
        <w:szCs w:val="28"/>
      </w:rPr>
      <w:fldChar w:fldCharType="end"/>
    </w:r>
    <w:r>
      <w:rPr>
        <w:rFonts w:hint="eastAsia"/>
        <w:sz w:val="24"/>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3D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774B">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9C9">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9CBC"/>
    <w:multiLevelType w:val="singleLevel"/>
    <w:tmpl w:val="91999CBC"/>
    <w:lvl w:ilvl="0" w:tentative="0">
      <w:start w:val="1"/>
      <w:numFmt w:val="decimal"/>
      <w:suff w:val="nothing"/>
      <w:lvlText w:val="%1、"/>
      <w:lvlJc w:val="left"/>
    </w:lvl>
  </w:abstractNum>
  <w:abstractNum w:abstractNumId="1">
    <w:nsid w:val="950F5B3A"/>
    <w:multiLevelType w:val="singleLevel"/>
    <w:tmpl w:val="950F5B3A"/>
    <w:lvl w:ilvl="0" w:tentative="0">
      <w:start w:val="1"/>
      <w:numFmt w:val="decimal"/>
      <w:lvlText w:val="%1)"/>
      <w:lvlJc w:val="left"/>
      <w:pPr>
        <w:ind w:left="425" w:hanging="425"/>
      </w:pPr>
      <w:rPr>
        <w:rFonts w:hint="default"/>
      </w:rPr>
    </w:lvl>
  </w:abstractNum>
  <w:abstractNum w:abstractNumId="2">
    <w:nsid w:val="95ECC348"/>
    <w:multiLevelType w:val="singleLevel"/>
    <w:tmpl w:val="95ECC348"/>
    <w:lvl w:ilvl="0" w:tentative="0">
      <w:start w:val="1"/>
      <w:numFmt w:val="decimal"/>
      <w:lvlText w:val="(%1)"/>
      <w:lvlJc w:val="left"/>
      <w:pPr>
        <w:ind w:left="425" w:hanging="425"/>
      </w:pPr>
      <w:rPr>
        <w:rFonts w:hint="default"/>
      </w:rPr>
    </w:lvl>
  </w:abstractNum>
  <w:abstractNum w:abstractNumId="3">
    <w:nsid w:val="9B54CCC9"/>
    <w:multiLevelType w:val="singleLevel"/>
    <w:tmpl w:val="9B54CCC9"/>
    <w:lvl w:ilvl="0" w:tentative="0">
      <w:start w:val="1"/>
      <w:numFmt w:val="decimal"/>
      <w:lvlText w:val="(%1)"/>
      <w:lvlJc w:val="left"/>
      <w:pPr>
        <w:ind w:left="425" w:hanging="425"/>
      </w:pPr>
      <w:rPr>
        <w:rFonts w:hint="default"/>
      </w:rPr>
    </w:lvl>
  </w:abstractNum>
  <w:abstractNum w:abstractNumId="4">
    <w:nsid w:val="A1BAF7DF"/>
    <w:multiLevelType w:val="singleLevel"/>
    <w:tmpl w:val="A1BAF7DF"/>
    <w:lvl w:ilvl="0" w:tentative="0">
      <w:start w:val="1"/>
      <w:numFmt w:val="decimal"/>
      <w:lvlText w:val="%1)"/>
      <w:lvlJc w:val="left"/>
      <w:pPr>
        <w:ind w:left="425" w:hanging="425"/>
      </w:pPr>
      <w:rPr>
        <w:rFonts w:hint="default"/>
      </w:rPr>
    </w:lvl>
  </w:abstractNum>
  <w:abstractNum w:abstractNumId="5">
    <w:nsid w:val="A88A94A9"/>
    <w:multiLevelType w:val="singleLevel"/>
    <w:tmpl w:val="A88A94A9"/>
    <w:lvl w:ilvl="0" w:tentative="0">
      <w:start w:val="1"/>
      <w:numFmt w:val="decimal"/>
      <w:lvlText w:val="%1)"/>
      <w:lvlJc w:val="left"/>
      <w:pPr>
        <w:ind w:left="425" w:hanging="425"/>
      </w:pPr>
      <w:rPr>
        <w:rFonts w:hint="default"/>
      </w:rPr>
    </w:lvl>
  </w:abstractNum>
  <w:abstractNum w:abstractNumId="6">
    <w:nsid w:val="A9FF77C8"/>
    <w:multiLevelType w:val="singleLevel"/>
    <w:tmpl w:val="A9FF77C8"/>
    <w:lvl w:ilvl="0" w:tentative="0">
      <w:start w:val="1"/>
      <w:numFmt w:val="decimal"/>
      <w:lvlText w:val="%1)"/>
      <w:lvlJc w:val="left"/>
      <w:pPr>
        <w:ind w:left="425" w:hanging="425"/>
      </w:pPr>
      <w:rPr>
        <w:rFonts w:hint="default"/>
      </w:rPr>
    </w:lvl>
  </w:abstractNum>
  <w:abstractNum w:abstractNumId="7">
    <w:nsid w:val="CC5743DA"/>
    <w:multiLevelType w:val="singleLevel"/>
    <w:tmpl w:val="CC5743DA"/>
    <w:lvl w:ilvl="0" w:tentative="0">
      <w:start w:val="1"/>
      <w:numFmt w:val="decimal"/>
      <w:lvlText w:val="%1)"/>
      <w:lvlJc w:val="left"/>
      <w:pPr>
        <w:ind w:left="425" w:hanging="425"/>
      </w:pPr>
      <w:rPr>
        <w:rFonts w:hint="default"/>
      </w:rPr>
    </w:lvl>
  </w:abstractNum>
  <w:abstractNum w:abstractNumId="8">
    <w:nsid w:val="D7AF8880"/>
    <w:multiLevelType w:val="singleLevel"/>
    <w:tmpl w:val="D7AF8880"/>
    <w:lvl w:ilvl="0" w:tentative="0">
      <w:start w:val="1"/>
      <w:numFmt w:val="decimal"/>
      <w:lvlText w:val="%1)"/>
      <w:lvlJc w:val="left"/>
      <w:pPr>
        <w:ind w:left="425" w:hanging="425"/>
      </w:pPr>
      <w:rPr>
        <w:rFonts w:hint="default"/>
      </w:rPr>
    </w:lvl>
  </w:abstractNum>
  <w:abstractNum w:abstractNumId="9">
    <w:nsid w:val="E0C20520"/>
    <w:multiLevelType w:val="singleLevel"/>
    <w:tmpl w:val="E0C20520"/>
    <w:lvl w:ilvl="0" w:tentative="0">
      <w:start w:val="1"/>
      <w:numFmt w:val="decimal"/>
      <w:lvlText w:val="(%1)"/>
      <w:lvlJc w:val="left"/>
      <w:pPr>
        <w:ind w:left="425" w:hanging="425"/>
      </w:pPr>
      <w:rPr>
        <w:rFonts w:hint="default"/>
      </w:rPr>
    </w:lvl>
  </w:abstractNum>
  <w:abstractNum w:abstractNumId="10">
    <w:nsid w:val="ED20BA99"/>
    <w:multiLevelType w:val="singleLevel"/>
    <w:tmpl w:val="ED20BA99"/>
    <w:lvl w:ilvl="0" w:tentative="0">
      <w:start w:val="1"/>
      <w:numFmt w:val="decimal"/>
      <w:lvlText w:val="(%1)"/>
      <w:lvlJc w:val="left"/>
      <w:pPr>
        <w:ind w:left="425" w:hanging="425"/>
      </w:pPr>
      <w:rPr>
        <w:rFonts w:hint="default"/>
      </w:rPr>
    </w:lvl>
  </w:abstractNum>
  <w:abstractNum w:abstractNumId="11">
    <w:nsid w:val="F27F8359"/>
    <w:multiLevelType w:val="singleLevel"/>
    <w:tmpl w:val="F27F8359"/>
    <w:lvl w:ilvl="0" w:tentative="0">
      <w:start w:val="1"/>
      <w:numFmt w:val="decimal"/>
      <w:lvlText w:val="%1."/>
      <w:lvlJc w:val="left"/>
      <w:pPr>
        <w:ind w:left="425" w:hanging="425"/>
      </w:pPr>
      <w:rPr>
        <w:rFonts w:hint="default"/>
      </w:rPr>
    </w:lvl>
  </w:abstractNum>
  <w:abstractNum w:abstractNumId="12">
    <w:nsid w:val="FAA22F48"/>
    <w:multiLevelType w:val="singleLevel"/>
    <w:tmpl w:val="FAA22F48"/>
    <w:lvl w:ilvl="0" w:tentative="0">
      <w:start w:val="1"/>
      <w:numFmt w:val="decimal"/>
      <w:suff w:val="nothing"/>
      <w:lvlText w:val="（%1）"/>
      <w:lvlJc w:val="left"/>
    </w:lvl>
  </w:abstractNum>
  <w:abstractNum w:abstractNumId="13">
    <w:nsid w:val="FEE61056"/>
    <w:multiLevelType w:val="singleLevel"/>
    <w:tmpl w:val="FEE61056"/>
    <w:lvl w:ilvl="0" w:tentative="0">
      <w:start w:val="1"/>
      <w:numFmt w:val="decimal"/>
      <w:lvlText w:val="(%1)"/>
      <w:lvlJc w:val="left"/>
      <w:pPr>
        <w:ind w:left="425" w:hanging="425"/>
      </w:pPr>
      <w:rPr>
        <w:rFonts w:hint="default"/>
      </w:rPr>
    </w:lvl>
  </w:abstractNum>
  <w:abstractNum w:abstractNumId="14">
    <w:nsid w:val="080E28B9"/>
    <w:multiLevelType w:val="singleLevel"/>
    <w:tmpl w:val="080E28B9"/>
    <w:lvl w:ilvl="0" w:tentative="0">
      <w:start w:val="1"/>
      <w:numFmt w:val="decimal"/>
      <w:lvlText w:val="%1)"/>
      <w:lvlJc w:val="left"/>
      <w:pPr>
        <w:ind w:left="425" w:hanging="425"/>
      </w:pPr>
      <w:rPr>
        <w:rFonts w:hint="default"/>
      </w:rPr>
    </w:lvl>
  </w:abstractNum>
  <w:abstractNum w:abstractNumId="15">
    <w:nsid w:val="0DA28EAD"/>
    <w:multiLevelType w:val="singleLevel"/>
    <w:tmpl w:val="0DA28EAD"/>
    <w:lvl w:ilvl="0" w:tentative="0">
      <w:start w:val="1"/>
      <w:numFmt w:val="decimal"/>
      <w:lvlText w:val="%1)"/>
      <w:lvlJc w:val="left"/>
      <w:pPr>
        <w:ind w:left="425" w:hanging="425"/>
      </w:pPr>
      <w:rPr>
        <w:rFonts w:hint="default"/>
      </w:rPr>
    </w:lvl>
  </w:abstractNum>
  <w:abstractNum w:abstractNumId="16">
    <w:nsid w:val="10EDE282"/>
    <w:multiLevelType w:val="multilevel"/>
    <w:tmpl w:val="10EDE28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3"/>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7">
    <w:nsid w:val="12E7A0EF"/>
    <w:multiLevelType w:val="singleLevel"/>
    <w:tmpl w:val="12E7A0EF"/>
    <w:lvl w:ilvl="0" w:tentative="0">
      <w:start w:val="1"/>
      <w:numFmt w:val="decimal"/>
      <w:lvlText w:val="%1)"/>
      <w:lvlJc w:val="left"/>
      <w:pPr>
        <w:ind w:left="425" w:hanging="425"/>
      </w:pPr>
      <w:rPr>
        <w:rFonts w:hint="default"/>
      </w:rPr>
    </w:lvl>
  </w:abstractNum>
  <w:abstractNum w:abstractNumId="18">
    <w:nsid w:val="1A36BD0D"/>
    <w:multiLevelType w:val="singleLevel"/>
    <w:tmpl w:val="1A36BD0D"/>
    <w:lvl w:ilvl="0" w:tentative="0">
      <w:start w:val="1"/>
      <w:numFmt w:val="decimal"/>
      <w:lvlText w:val="%1."/>
      <w:lvlJc w:val="left"/>
      <w:pPr>
        <w:ind w:left="425" w:hanging="425"/>
      </w:pPr>
      <w:rPr>
        <w:rFonts w:hint="default"/>
      </w:rPr>
    </w:lvl>
  </w:abstractNum>
  <w:abstractNum w:abstractNumId="19">
    <w:nsid w:val="23C9EAA8"/>
    <w:multiLevelType w:val="singleLevel"/>
    <w:tmpl w:val="23C9EAA8"/>
    <w:lvl w:ilvl="0" w:tentative="0">
      <w:start w:val="1"/>
      <w:numFmt w:val="decimal"/>
      <w:lvlText w:val="(%1)"/>
      <w:lvlJc w:val="left"/>
      <w:pPr>
        <w:ind w:left="425" w:hanging="425"/>
      </w:pPr>
      <w:rPr>
        <w:rFonts w:hint="default"/>
      </w:rPr>
    </w:lvl>
  </w:abstractNum>
  <w:abstractNum w:abstractNumId="20">
    <w:nsid w:val="24F45BFB"/>
    <w:multiLevelType w:val="multilevel"/>
    <w:tmpl w:val="24F45BFB"/>
    <w:lvl w:ilvl="0" w:tentative="0">
      <w:start w:val="1"/>
      <w:numFmt w:val="decimal"/>
      <w:lvlText w:val="%1."/>
      <w:lvlJc w:val="left"/>
      <w:pPr>
        <w:ind w:left="420"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21">
    <w:nsid w:val="3082CE98"/>
    <w:multiLevelType w:val="singleLevel"/>
    <w:tmpl w:val="3082CE98"/>
    <w:lvl w:ilvl="0" w:tentative="0">
      <w:start w:val="1"/>
      <w:numFmt w:val="decimal"/>
      <w:lvlText w:val="%1)"/>
      <w:lvlJc w:val="left"/>
      <w:pPr>
        <w:ind w:left="425" w:hanging="425"/>
      </w:pPr>
      <w:rPr>
        <w:rFonts w:hint="default"/>
      </w:rPr>
    </w:lvl>
  </w:abstractNum>
  <w:abstractNum w:abstractNumId="22">
    <w:nsid w:val="33D63730"/>
    <w:multiLevelType w:val="singleLevel"/>
    <w:tmpl w:val="33D63730"/>
    <w:lvl w:ilvl="0" w:tentative="0">
      <w:start w:val="1"/>
      <w:numFmt w:val="decimal"/>
      <w:lvlText w:val="%1)"/>
      <w:lvlJc w:val="left"/>
      <w:pPr>
        <w:ind w:left="425" w:hanging="425"/>
      </w:pPr>
      <w:rPr>
        <w:rFonts w:hint="default"/>
      </w:rPr>
    </w:lvl>
  </w:abstractNum>
  <w:abstractNum w:abstractNumId="23">
    <w:nsid w:val="36410C73"/>
    <w:multiLevelType w:val="singleLevel"/>
    <w:tmpl w:val="36410C73"/>
    <w:lvl w:ilvl="0" w:tentative="0">
      <w:start w:val="1"/>
      <w:numFmt w:val="decimal"/>
      <w:lvlText w:val="%1)"/>
      <w:lvlJc w:val="left"/>
      <w:pPr>
        <w:ind w:left="425" w:hanging="425"/>
      </w:pPr>
      <w:rPr>
        <w:rFonts w:hint="default"/>
      </w:rPr>
    </w:lvl>
  </w:abstractNum>
  <w:abstractNum w:abstractNumId="24">
    <w:nsid w:val="38779D74"/>
    <w:multiLevelType w:val="singleLevel"/>
    <w:tmpl w:val="38779D74"/>
    <w:lvl w:ilvl="0" w:tentative="0">
      <w:start w:val="1"/>
      <w:numFmt w:val="decimal"/>
      <w:lvlText w:val="%1)"/>
      <w:lvlJc w:val="left"/>
      <w:pPr>
        <w:ind w:left="425" w:hanging="425"/>
      </w:pPr>
      <w:rPr>
        <w:rFonts w:hint="default"/>
      </w:rPr>
    </w:lvl>
  </w:abstractNum>
  <w:abstractNum w:abstractNumId="25">
    <w:nsid w:val="3F64F432"/>
    <w:multiLevelType w:val="singleLevel"/>
    <w:tmpl w:val="3F64F432"/>
    <w:lvl w:ilvl="0" w:tentative="0">
      <w:start w:val="1"/>
      <w:numFmt w:val="chineseCounting"/>
      <w:suff w:val="nothing"/>
      <w:lvlText w:val="%1、"/>
      <w:lvlJc w:val="left"/>
      <w:rPr>
        <w:rFonts w:hint="eastAsia"/>
      </w:rPr>
    </w:lvl>
  </w:abstractNum>
  <w:abstractNum w:abstractNumId="26">
    <w:nsid w:val="458346B2"/>
    <w:multiLevelType w:val="singleLevel"/>
    <w:tmpl w:val="458346B2"/>
    <w:lvl w:ilvl="0" w:tentative="0">
      <w:start w:val="1"/>
      <w:numFmt w:val="decimal"/>
      <w:lvlText w:val="%1)"/>
      <w:lvlJc w:val="left"/>
      <w:pPr>
        <w:ind w:left="425" w:hanging="425"/>
      </w:pPr>
      <w:rPr>
        <w:rFonts w:hint="default"/>
      </w:rPr>
    </w:lvl>
  </w:abstractNum>
  <w:abstractNum w:abstractNumId="27">
    <w:nsid w:val="5127590E"/>
    <w:multiLevelType w:val="singleLevel"/>
    <w:tmpl w:val="5127590E"/>
    <w:lvl w:ilvl="0" w:tentative="0">
      <w:start w:val="3"/>
      <w:numFmt w:val="chineseCounting"/>
      <w:suff w:val="nothing"/>
      <w:lvlText w:val="（%1）"/>
      <w:lvlJc w:val="left"/>
      <w:rPr>
        <w:rFonts w:hint="eastAsia"/>
      </w:rPr>
    </w:lvl>
  </w:abstractNum>
  <w:abstractNum w:abstractNumId="28">
    <w:nsid w:val="5BC1186C"/>
    <w:multiLevelType w:val="singleLevel"/>
    <w:tmpl w:val="5BC1186C"/>
    <w:lvl w:ilvl="0" w:tentative="0">
      <w:start w:val="1"/>
      <w:numFmt w:val="decimal"/>
      <w:lvlText w:val="(%1)"/>
      <w:lvlJc w:val="left"/>
      <w:pPr>
        <w:ind w:left="425" w:hanging="425"/>
      </w:pPr>
      <w:rPr>
        <w:rFonts w:hint="default"/>
      </w:rPr>
    </w:lvl>
  </w:abstractNum>
  <w:abstractNum w:abstractNumId="29">
    <w:nsid w:val="5D708DE3"/>
    <w:multiLevelType w:val="singleLevel"/>
    <w:tmpl w:val="5D708DE3"/>
    <w:lvl w:ilvl="0" w:tentative="0">
      <w:start w:val="1"/>
      <w:numFmt w:val="decimal"/>
      <w:lvlText w:val="(%1)"/>
      <w:lvlJc w:val="left"/>
      <w:pPr>
        <w:ind w:left="425" w:hanging="425"/>
      </w:pPr>
      <w:rPr>
        <w:rFonts w:hint="default"/>
      </w:rPr>
    </w:lvl>
  </w:abstractNum>
  <w:abstractNum w:abstractNumId="30">
    <w:nsid w:val="659FC059"/>
    <w:multiLevelType w:val="singleLevel"/>
    <w:tmpl w:val="659FC059"/>
    <w:lvl w:ilvl="0" w:tentative="0">
      <w:start w:val="1"/>
      <w:numFmt w:val="decimal"/>
      <w:lvlText w:val="%1)"/>
      <w:lvlJc w:val="left"/>
      <w:pPr>
        <w:ind w:left="425" w:hanging="425"/>
      </w:pPr>
      <w:rPr>
        <w:rFonts w:hint="default"/>
      </w:rPr>
    </w:lvl>
  </w:abstractNum>
  <w:abstractNum w:abstractNumId="31">
    <w:nsid w:val="660A5C5C"/>
    <w:multiLevelType w:val="singleLevel"/>
    <w:tmpl w:val="660A5C5C"/>
    <w:lvl w:ilvl="0" w:tentative="0">
      <w:start w:val="1"/>
      <w:numFmt w:val="decimal"/>
      <w:lvlText w:val="%1)"/>
      <w:lvlJc w:val="left"/>
      <w:pPr>
        <w:ind w:left="425" w:hanging="425"/>
      </w:pPr>
      <w:rPr>
        <w:rFonts w:hint="default"/>
      </w:rPr>
    </w:lvl>
  </w:abstractNum>
  <w:abstractNum w:abstractNumId="32">
    <w:nsid w:val="6649B842"/>
    <w:multiLevelType w:val="singleLevel"/>
    <w:tmpl w:val="6649B842"/>
    <w:lvl w:ilvl="0" w:tentative="0">
      <w:start w:val="1"/>
      <w:numFmt w:val="decimal"/>
      <w:lvlText w:val="%1)"/>
      <w:lvlJc w:val="left"/>
      <w:pPr>
        <w:ind w:left="425" w:hanging="425"/>
      </w:pPr>
      <w:rPr>
        <w:rFonts w:hint="default"/>
      </w:rPr>
    </w:lvl>
  </w:abstractNum>
  <w:abstractNum w:abstractNumId="33">
    <w:nsid w:val="68B1BEBD"/>
    <w:multiLevelType w:val="singleLevel"/>
    <w:tmpl w:val="68B1BEBD"/>
    <w:lvl w:ilvl="0" w:tentative="0">
      <w:start w:val="1"/>
      <w:numFmt w:val="decimal"/>
      <w:lvlText w:val="%1)"/>
      <w:lvlJc w:val="left"/>
      <w:pPr>
        <w:ind w:left="425" w:hanging="425"/>
      </w:pPr>
      <w:rPr>
        <w:rFonts w:hint="default"/>
      </w:rPr>
    </w:lvl>
  </w:abstractNum>
  <w:abstractNum w:abstractNumId="34">
    <w:nsid w:val="6A512636"/>
    <w:multiLevelType w:val="singleLevel"/>
    <w:tmpl w:val="6A512636"/>
    <w:lvl w:ilvl="0" w:tentative="0">
      <w:start w:val="1"/>
      <w:numFmt w:val="decimal"/>
      <w:lvlText w:val="(%1)"/>
      <w:lvlJc w:val="left"/>
      <w:pPr>
        <w:ind w:left="425" w:hanging="425"/>
      </w:pPr>
      <w:rPr>
        <w:rFonts w:hint="default"/>
      </w:rPr>
    </w:lvl>
  </w:abstractNum>
  <w:abstractNum w:abstractNumId="35">
    <w:nsid w:val="71DF9178"/>
    <w:multiLevelType w:val="singleLevel"/>
    <w:tmpl w:val="71DF9178"/>
    <w:lvl w:ilvl="0" w:tentative="0">
      <w:start w:val="1"/>
      <w:numFmt w:val="decimal"/>
      <w:lvlText w:val="%1)"/>
      <w:lvlJc w:val="left"/>
      <w:pPr>
        <w:ind w:left="425" w:hanging="425"/>
      </w:pPr>
      <w:rPr>
        <w:rFonts w:hint="default"/>
      </w:rPr>
    </w:lvl>
  </w:abstractNum>
  <w:abstractNum w:abstractNumId="36">
    <w:nsid w:val="72BCDC04"/>
    <w:multiLevelType w:val="singleLevel"/>
    <w:tmpl w:val="72BCDC04"/>
    <w:lvl w:ilvl="0" w:tentative="0">
      <w:start w:val="1"/>
      <w:numFmt w:val="decimal"/>
      <w:lvlText w:val="(%1)"/>
      <w:lvlJc w:val="left"/>
      <w:pPr>
        <w:ind w:left="425" w:hanging="425"/>
      </w:pPr>
      <w:rPr>
        <w:rFonts w:hint="default"/>
      </w:rPr>
    </w:lvl>
  </w:abstractNum>
  <w:abstractNum w:abstractNumId="37">
    <w:nsid w:val="786194ED"/>
    <w:multiLevelType w:val="singleLevel"/>
    <w:tmpl w:val="786194ED"/>
    <w:lvl w:ilvl="0" w:tentative="0">
      <w:start w:val="1"/>
      <w:numFmt w:val="decimal"/>
      <w:lvlText w:val="(%1)"/>
      <w:lvlJc w:val="left"/>
      <w:pPr>
        <w:ind w:left="425" w:hanging="425"/>
      </w:pPr>
      <w:rPr>
        <w:rFonts w:hint="default"/>
      </w:rPr>
    </w:lvl>
  </w:abstractNum>
  <w:abstractNum w:abstractNumId="38">
    <w:nsid w:val="79EF4FB3"/>
    <w:multiLevelType w:val="singleLevel"/>
    <w:tmpl w:val="79EF4FB3"/>
    <w:lvl w:ilvl="0" w:tentative="0">
      <w:start w:val="1"/>
      <w:numFmt w:val="decimal"/>
      <w:lvlText w:val="%1)"/>
      <w:lvlJc w:val="left"/>
      <w:pPr>
        <w:ind w:left="425" w:hanging="425"/>
      </w:pPr>
      <w:rPr>
        <w:rFonts w:hint="default"/>
      </w:rPr>
    </w:lvl>
  </w:abstractNum>
  <w:num w:numId="1">
    <w:abstractNumId w:val="16"/>
  </w:num>
  <w:num w:numId="2">
    <w:abstractNumId w:val="25"/>
  </w:num>
  <w:num w:numId="3">
    <w:abstractNumId w:val="27"/>
  </w:num>
  <w:num w:numId="4">
    <w:abstractNumId w:val="11"/>
  </w:num>
  <w:num w:numId="5">
    <w:abstractNumId w:val="0"/>
  </w:num>
  <w:num w:numId="6">
    <w:abstractNumId w:val="18"/>
  </w:num>
  <w:num w:numId="7">
    <w:abstractNumId w:val="28"/>
  </w:num>
  <w:num w:numId="8">
    <w:abstractNumId w:val="34"/>
  </w:num>
  <w:num w:numId="9">
    <w:abstractNumId w:val="2"/>
  </w:num>
  <w:num w:numId="10">
    <w:abstractNumId w:val="10"/>
  </w:num>
  <w:num w:numId="11">
    <w:abstractNumId w:val="3"/>
  </w:num>
  <w:num w:numId="12">
    <w:abstractNumId w:val="36"/>
  </w:num>
  <w:num w:numId="13">
    <w:abstractNumId w:val="37"/>
  </w:num>
  <w:num w:numId="14">
    <w:abstractNumId w:val="33"/>
  </w:num>
  <w:num w:numId="15">
    <w:abstractNumId w:val="1"/>
  </w:num>
  <w:num w:numId="16">
    <w:abstractNumId w:val="4"/>
  </w:num>
  <w:num w:numId="17">
    <w:abstractNumId w:val="6"/>
  </w:num>
  <w:num w:numId="18">
    <w:abstractNumId w:val="35"/>
  </w:num>
  <w:num w:numId="19">
    <w:abstractNumId w:val="32"/>
  </w:num>
  <w:num w:numId="20">
    <w:abstractNumId w:val="26"/>
  </w:num>
  <w:num w:numId="21">
    <w:abstractNumId w:val="31"/>
  </w:num>
  <w:num w:numId="22">
    <w:abstractNumId w:val="5"/>
  </w:num>
  <w:num w:numId="23">
    <w:abstractNumId w:val="23"/>
  </w:num>
  <w:num w:numId="24">
    <w:abstractNumId w:val="7"/>
  </w:num>
  <w:num w:numId="25">
    <w:abstractNumId w:val="8"/>
  </w:num>
  <w:num w:numId="26">
    <w:abstractNumId w:val="30"/>
  </w:num>
  <w:num w:numId="27">
    <w:abstractNumId w:val="22"/>
  </w:num>
  <w:num w:numId="28">
    <w:abstractNumId w:val="38"/>
  </w:num>
  <w:num w:numId="29">
    <w:abstractNumId w:val="15"/>
  </w:num>
  <w:num w:numId="30">
    <w:abstractNumId w:val="14"/>
  </w:num>
  <w:num w:numId="31">
    <w:abstractNumId w:val="21"/>
  </w:num>
  <w:num w:numId="32">
    <w:abstractNumId w:val="24"/>
  </w:num>
  <w:num w:numId="33">
    <w:abstractNumId w:val="17"/>
  </w:num>
  <w:num w:numId="34">
    <w:abstractNumId w:val="13"/>
  </w:num>
  <w:num w:numId="35">
    <w:abstractNumId w:val="19"/>
  </w:num>
  <w:num w:numId="36">
    <w:abstractNumId w:val="29"/>
  </w:num>
  <w:num w:numId="37">
    <w:abstractNumId w:val="9"/>
  </w:num>
  <w:num w:numId="38">
    <w:abstractNumId w:val="1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jc3Y2YwZjIzNjU0NGNmZDhiMmM2YzA4NGE5MjEifQ=="/>
  </w:docVars>
  <w:rsids>
    <w:rsidRoot w:val="00172A27"/>
    <w:rsid w:val="000632C7"/>
    <w:rsid w:val="001B61FE"/>
    <w:rsid w:val="00296E1B"/>
    <w:rsid w:val="002C497A"/>
    <w:rsid w:val="00634229"/>
    <w:rsid w:val="0069166C"/>
    <w:rsid w:val="00703594"/>
    <w:rsid w:val="007537BD"/>
    <w:rsid w:val="008F6A16"/>
    <w:rsid w:val="009A1D84"/>
    <w:rsid w:val="009C314F"/>
    <w:rsid w:val="00AF2D5D"/>
    <w:rsid w:val="01C25065"/>
    <w:rsid w:val="01ED6A83"/>
    <w:rsid w:val="02796FC0"/>
    <w:rsid w:val="02B240F8"/>
    <w:rsid w:val="04BC5D9C"/>
    <w:rsid w:val="07EE38B7"/>
    <w:rsid w:val="080C30FA"/>
    <w:rsid w:val="081B2B32"/>
    <w:rsid w:val="084131A2"/>
    <w:rsid w:val="09EC7123"/>
    <w:rsid w:val="0AA52950"/>
    <w:rsid w:val="0AAA0DF0"/>
    <w:rsid w:val="0AD33307"/>
    <w:rsid w:val="0B05113F"/>
    <w:rsid w:val="0B5F1461"/>
    <w:rsid w:val="0BAD4BBE"/>
    <w:rsid w:val="0C3A179C"/>
    <w:rsid w:val="0C5C3FFF"/>
    <w:rsid w:val="0C640D76"/>
    <w:rsid w:val="0CB03EC9"/>
    <w:rsid w:val="0CDB6F07"/>
    <w:rsid w:val="0EBC4F8B"/>
    <w:rsid w:val="0F6D69BB"/>
    <w:rsid w:val="112A26A6"/>
    <w:rsid w:val="12584CB9"/>
    <w:rsid w:val="135D699C"/>
    <w:rsid w:val="137B32C6"/>
    <w:rsid w:val="14356AAB"/>
    <w:rsid w:val="159F4E8D"/>
    <w:rsid w:val="165275C4"/>
    <w:rsid w:val="180833CC"/>
    <w:rsid w:val="19031462"/>
    <w:rsid w:val="1A4A739A"/>
    <w:rsid w:val="1B4848F3"/>
    <w:rsid w:val="1C105709"/>
    <w:rsid w:val="1CA83733"/>
    <w:rsid w:val="1D8965DF"/>
    <w:rsid w:val="1EFF1A3F"/>
    <w:rsid w:val="1F6410B2"/>
    <w:rsid w:val="1FBB0178"/>
    <w:rsid w:val="1FEB5F80"/>
    <w:rsid w:val="208657A5"/>
    <w:rsid w:val="20D37767"/>
    <w:rsid w:val="22166A7B"/>
    <w:rsid w:val="22E03145"/>
    <w:rsid w:val="230A30AA"/>
    <w:rsid w:val="2383647E"/>
    <w:rsid w:val="23945FA1"/>
    <w:rsid w:val="26DB348E"/>
    <w:rsid w:val="26DC74C0"/>
    <w:rsid w:val="27FC457D"/>
    <w:rsid w:val="28341F69"/>
    <w:rsid w:val="297E18EB"/>
    <w:rsid w:val="2B915045"/>
    <w:rsid w:val="2C524329"/>
    <w:rsid w:val="2DA03BFD"/>
    <w:rsid w:val="2F5A0B58"/>
    <w:rsid w:val="30225CA1"/>
    <w:rsid w:val="30282266"/>
    <w:rsid w:val="303269F5"/>
    <w:rsid w:val="30DC4843"/>
    <w:rsid w:val="318B634B"/>
    <w:rsid w:val="32A60849"/>
    <w:rsid w:val="337E5C2D"/>
    <w:rsid w:val="348953EB"/>
    <w:rsid w:val="34C55B5B"/>
    <w:rsid w:val="34F85D17"/>
    <w:rsid w:val="35700359"/>
    <w:rsid w:val="35B00755"/>
    <w:rsid w:val="38AA300C"/>
    <w:rsid w:val="391A5826"/>
    <w:rsid w:val="3AF410E4"/>
    <w:rsid w:val="3AFC588E"/>
    <w:rsid w:val="3C055F1F"/>
    <w:rsid w:val="3D1B331C"/>
    <w:rsid w:val="3D8A5B15"/>
    <w:rsid w:val="3EC16255"/>
    <w:rsid w:val="3ED6687B"/>
    <w:rsid w:val="3F184D91"/>
    <w:rsid w:val="3FE604E4"/>
    <w:rsid w:val="40976F94"/>
    <w:rsid w:val="40E4190F"/>
    <w:rsid w:val="413E7D62"/>
    <w:rsid w:val="4264474B"/>
    <w:rsid w:val="433F6EE1"/>
    <w:rsid w:val="43B5667A"/>
    <w:rsid w:val="443A04B0"/>
    <w:rsid w:val="447B4A86"/>
    <w:rsid w:val="44BE3175"/>
    <w:rsid w:val="45412397"/>
    <w:rsid w:val="456C67E4"/>
    <w:rsid w:val="46EA4A1D"/>
    <w:rsid w:val="46EF569F"/>
    <w:rsid w:val="48462F2E"/>
    <w:rsid w:val="48DA4A7B"/>
    <w:rsid w:val="4A6873F9"/>
    <w:rsid w:val="4AD00929"/>
    <w:rsid w:val="4AF75449"/>
    <w:rsid w:val="4CC307BC"/>
    <w:rsid w:val="4DCA7EE2"/>
    <w:rsid w:val="4F4F687F"/>
    <w:rsid w:val="508E3D18"/>
    <w:rsid w:val="51143E36"/>
    <w:rsid w:val="51AB552C"/>
    <w:rsid w:val="51B41622"/>
    <w:rsid w:val="526A2C4E"/>
    <w:rsid w:val="53552B55"/>
    <w:rsid w:val="53971F1A"/>
    <w:rsid w:val="53E7515D"/>
    <w:rsid w:val="55006289"/>
    <w:rsid w:val="551D5A65"/>
    <w:rsid w:val="57C47E0F"/>
    <w:rsid w:val="587850EB"/>
    <w:rsid w:val="59305AC2"/>
    <w:rsid w:val="5B1E6CC5"/>
    <w:rsid w:val="5B326E69"/>
    <w:rsid w:val="5BE03293"/>
    <w:rsid w:val="5BF9069F"/>
    <w:rsid w:val="5D3A4C25"/>
    <w:rsid w:val="5FFEFFBF"/>
    <w:rsid w:val="60B63B00"/>
    <w:rsid w:val="60F23E5F"/>
    <w:rsid w:val="628C2F3A"/>
    <w:rsid w:val="62AB48E3"/>
    <w:rsid w:val="6435296A"/>
    <w:rsid w:val="646A5414"/>
    <w:rsid w:val="64B21544"/>
    <w:rsid w:val="6626777D"/>
    <w:rsid w:val="666D7522"/>
    <w:rsid w:val="66795D12"/>
    <w:rsid w:val="67387F90"/>
    <w:rsid w:val="67452B44"/>
    <w:rsid w:val="69BA5C11"/>
    <w:rsid w:val="69C97A5C"/>
    <w:rsid w:val="6A75729C"/>
    <w:rsid w:val="6AAD2EDA"/>
    <w:rsid w:val="6ABC5093"/>
    <w:rsid w:val="6B2F7D93"/>
    <w:rsid w:val="6CD27F47"/>
    <w:rsid w:val="6D500D6A"/>
    <w:rsid w:val="6E113780"/>
    <w:rsid w:val="6E5B2C4D"/>
    <w:rsid w:val="751A73BE"/>
    <w:rsid w:val="753D38EF"/>
    <w:rsid w:val="76172A46"/>
    <w:rsid w:val="761A73D1"/>
    <w:rsid w:val="767318FC"/>
    <w:rsid w:val="76B57238"/>
    <w:rsid w:val="76D27B8A"/>
    <w:rsid w:val="777D3BB6"/>
    <w:rsid w:val="78B65CA8"/>
    <w:rsid w:val="79A44345"/>
    <w:rsid w:val="7B2138CA"/>
    <w:rsid w:val="7B441319"/>
    <w:rsid w:val="7D1846E5"/>
    <w:rsid w:val="7E843AFA"/>
    <w:rsid w:val="7EEA3AD1"/>
    <w:rsid w:val="7FB75E28"/>
    <w:rsid w:val="BE5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link w:val="24"/>
    <w:semiHidden/>
    <w:unhideWhenUsed/>
    <w:qFormat/>
    <w:uiPriority w:val="0"/>
    <w:pPr>
      <w:keepNext/>
      <w:keepLines/>
      <w:spacing w:before="260" w:after="260" w:line="416" w:lineRule="auto"/>
      <w:jc w:val="center"/>
      <w:outlineLvl w:val="1"/>
    </w:pPr>
    <w:rPr>
      <w:rFonts w:ascii="等线 Light" w:hAnsi="等线 Light"/>
      <w:b/>
      <w:bCs/>
      <w:sz w:val="30"/>
      <w:szCs w:val="32"/>
    </w:rPr>
  </w:style>
  <w:style w:type="paragraph" w:styleId="4">
    <w:name w:val="heading 3"/>
    <w:next w:val="1"/>
    <w:unhideWhenUsed/>
    <w:qFormat/>
    <w:uiPriority w:val="0"/>
    <w:pPr>
      <w:keepNext/>
      <w:keepLines/>
      <w:numPr>
        <w:ilvl w:val="2"/>
        <w:numId w:val="1"/>
      </w:numPr>
      <w:kinsoku w:val="0"/>
      <w:autoSpaceDE w:val="0"/>
      <w:autoSpaceDN w:val="0"/>
      <w:adjustRightInd w:val="0"/>
      <w:snapToGrid w:val="0"/>
      <w:spacing w:before="260" w:after="260" w:line="413" w:lineRule="auto"/>
      <w:ind w:left="720" w:hanging="720"/>
      <w:textAlignment w:val="baseline"/>
      <w:outlineLvl w:val="2"/>
    </w:pPr>
    <w:rPr>
      <w:rFonts w:ascii="Times New Roman" w:hAnsi="Times New Roman" w:eastAsia="黑体" w:cs="Times New Roman"/>
      <w:b/>
      <w:bCs/>
      <w:snapToGrid w:val="0"/>
      <w:color w:val="000000"/>
      <w:sz w:val="28"/>
      <w:szCs w:val="32"/>
      <w:lang w:val="en-US" w:eastAsia="zh-CN" w:bidi="ar-SA"/>
    </w:rPr>
  </w:style>
  <w:style w:type="paragraph" w:styleId="5">
    <w:name w:val="heading 4"/>
    <w:basedOn w:val="1"/>
    <w:next w:val="1"/>
    <w:unhideWhenUsed/>
    <w:qFormat/>
    <w:uiPriority w:val="0"/>
    <w:pPr>
      <w:keepNext/>
      <w:keepLines/>
      <w:spacing w:before="280" w:after="290" w:line="372" w:lineRule="auto"/>
      <w:jc w:val="center"/>
      <w:outlineLvl w:val="3"/>
    </w:pPr>
    <w:rPr>
      <w:rFonts w:cs="Times New Roman"/>
      <w:b/>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style>
  <w:style w:type="paragraph" w:styleId="7">
    <w:name w:val="Body Text"/>
    <w:basedOn w:val="1"/>
    <w:unhideWhenUsed/>
    <w:qFormat/>
    <w:uiPriority w:val="0"/>
    <w:pPr>
      <w:spacing w:after="120"/>
    </w:pPr>
  </w:style>
  <w:style w:type="paragraph" w:styleId="8">
    <w:name w:val="toc 3"/>
    <w:basedOn w:val="1"/>
    <w:next w:val="1"/>
    <w:qFormat/>
    <w:uiPriority w:val="39"/>
    <w:pPr>
      <w:ind w:left="200" w:leftChars="200"/>
    </w:pPr>
    <w:rPr>
      <w:sz w:val="28"/>
    </w:rPr>
  </w:style>
  <w:style w:type="paragraph" w:styleId="9">
    <w:name w:val="Plain Text"/>
    <w:basedOn w:val="1"/>
    <w:qFormat/>
    <w:uiPriority w:val="0"/>
    <w:rPr>
      <w:rFonts w:ascii="宋体" w:hAnsi="Courier New"/>
      <w:szCs w:val="20"/>
    </w:rPr>
  </w:style>
  <w:style w:type="paragraph" w:styleId="10">
    <w:name w:val="Balloon Text"/>
    <w:basedOn w:val="1"/>
    <w:link w:val="31"/>
    <w:qFormat/>
    <w:uiPriority w:val="0"/>
    <w:rPr>
      <w:sz w:val="18"/>
      <w:szCs w:val="18"/>
    </w:rPr>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pPr>
      <w:tabs>
        <w:tab w:val="right" w:leader="dot" w:pos="8296"/>
        <w:tab w:val="right" w:leader="dot" w:pos="8398"/>
      </w:tabs>
      <w:spacing w:before="120" w:after="120" w:line="320" w:lineRule="exact"/>
      <w:ind w:firstLine="840" w:firstLineChars="400"/>
    </w:pPr>
    <w:rPr>
      <w:rFonts w:ascii="仿宋_GB2312" w:hAnsi="宋体" w:eastAsia="仿宋_GB2312" w:cs="Courier New"/>
      <w:bCs/>
      <w:caps/>
    </w:rPr>
  </w:style>
  <w:style w:type="paragraph" w:styleId="14">
    <w:name w:val="toc 2"/>
    <w:basedOn w:val="1"/>
    <w:next w:val="1"/>
    <w:qFormat/>
    <w:uiPriority w:val="39"/>
    <w:pPr>
      <w:tabs>
        <w:tab w:val="right" w:leader="dot" w:pos="8296"/>
      </w:tabs>
    </w:pPr>
    <w:rPr>
      <w:sz w:val="28"/>
    </w:rPr>
  </w:style>
  <w:style w:type="paragraph" w:styleId="15">
    <w:name w:val="Normal (Web)"/>
    <w:basedOn w:val="1"/>
    <w:qFormat/>
    <w:uiPriority w:val="0"/>
    <w:pPr>
      <w:spacing w:beforeAutospacing="1" w:afterAutospacing="1"/>
    </w:pPr>
    <w:rPr>
      <w:rFonts w:cs="Times New Roman"/>
    </w:rPr>
  </w:style>
  <w:style w:type="paragraph" w:styleId="16">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6"/>
    <w:next w:val="6"/>
    <w:link w:val="33"/>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Title1"/>
    <w:basedOn w:val="1"/>
    <w:next w:val="1"/>
    <w:qFormat/>
    <w:uiPriority w:val="99"/>
    <w:pPr>
      <w:jc w:val="center"/>
      <w:outlineLvl w:val="0"/>
    </w:pPr>
    <w:rPr>
      <w:rFonts w:ascii="Calibri Light" w:hAnsi="Calibri Light"/>
      <w:b/>
    </w:rPr>
  </w:style>
  <w:style w:type="character" w:customStyle="1" w:styleId="24">
    <w:name w:val="标题 2 字符"/>
    <w:link w:val="3"/>
    <w:qFormat/>
    <w:uiPriority w:val="99"/>
    <w:rPr>
      <w:rFonts w:ascii="等线 Light" w:hAnsi="等线 Light" w:eastAsia="宋体" w:cs="Times New Roman"/>
      <w:sz w:val="30"/>
    </w:rPr>
  </w:style>
  <w:style w:type="paragraph" w:customStyle="1" w:styleId="25">
    <w:name w:val="p0"/>
    <w:basedOn w:val="1"/>
    <w:qFormat/>
    <w:uiPriority w:val="0"/>
    <w:rPr>
      <w:rFonts w:eastAsia="Times New Roman" w:cs="宋体"/>
    </w:rPr>
  </w:style>
  <w:style w:type="paragraph" w:customStyle="1" w:styleId="26">
    <w:name w:val="Default"/>
    <w:next w:val="2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8">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9">
    <w:name w:val="自定义正文"/>
    <w:basedOn w:val="1"/>
    <w:qFormat/>
    <w:uiPriority w:val="0"/>
    <w:pPr>
      <w:snapToGrid/>
      <w:contextualSpacing/>
    </w:pPr>
  </w:style>
  <w:style w:type="paragraph" w:customStyle="1" w:styleId="30">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character" w:customStyle="1" w:styleId="31">
    <w:name w:val="批注框文本 字符"/>
    <w:basedOn w:val="20"/>
    <w:link w:val="10"/>
    <w:qFormat/>
    <w:uiPriority w:val="0"/>
    <w:rPr>
      <w:rFonts w:ascii="Arial" w:hAnsi="Arial" w:cs="Arial"/>
      <w:snapToGrid w:val="0"/>
      <w:color w:val="000000"/>
      <w:sz w:val="18"/>
      <w:szCs w:val="18"/>
    </w:rPr>
  </w:style>
  <w:style w:type="character" w:customStyle="1" w:styleId="32">
    <w:name w:val="批注文字 字符"/>
    <w:basedOn w:val="20"/>
    <w:link w:val="6"/>
    <w:qFormat/>
    <w:uiPriority w:val="0"/>
    <w:rPr>
      <w:rFonts w:ascii="Arial" w:hAnsi="Arial" w:cs="Arial"/>
      <w:snapToGrid w:val="0"/>
      <w:color w:val="000000"/>
      <w:sz w:val="24"/>
      <w:szCs w:val="21"/>
    </w:rPr>
  </w:style>
  <w:style w:type="character" w:customStyle="1" w:styleId="33">
    <w:name w:val="批注主题 字符"/>
    <w:basedOn w:val="32"/>
    <w:link w:val="17"/>
    <w:qFormat/>
    <w:uiPriority w:val="0"/>
    <w:rPr>
      <w:rFonts w:ascii="Arial" w:hAnsi="Arial" w:cs="Arial"/>
      <w:b/>
      <w:bCs/>
      <w:snapToGrid w:val="0"/>
      <w:color w:val="000000"/>
      <w:sz w:val="24"/>
      <w:szCs w:val="21"/>
    </w:rPr>
  </w:style>
  <w:style w:type="paragraph" w:styleId="34">
    <w:name w:val="List Paragraph"/>
    <w:basedOn w:val="1"/>
    <w:autoRedefine/>
    <w:qFormat/>
    <w:uiPriority w:val="34"/>
    <w:pPr>
      <w:kinsoku w:val="0"/>
      <w:autoSpaceDE w:val="0"/>
      <w:autoSpaceDN w:val="0"/>
      <w:adjustRightInd w:val="0"/>
      <w:snapToGrid w:val="0"/>
      <w:spacing w:line="360" w:lineRule="auto"/>
      <w:ind w:firstLine="420" w:firstLineChars="200"/>
      <w:textAlignment w:val="baseline"/>
    </w:pPr>
    <w:rPr>
      <w:rFonts w:asciiTheme="minorEastAsia" w:hAnsiTheme="minorEastAsia" w:eastAsiaTheme="minorEastAsia" w:cstheme="minorEastAsia"/>
      <w:bCs/>
      <w:snapToGrid w:val="0"/>
      <w:color w:val="000000" w:themeColor="text1"/>
      <w:sz w:val="24"/>
      <w:szCs w:val="21"/>
      <w:lang w:val="zh-CN" w:eastAsia="zh-CN" w:bidi="ar-SA"/>
      <w14:textFill>
        <w14:solidFill>
          <w14:schemeClr w14:val="tx1"/>
        </w14:solidFill>
      </w14:textFill>
    </w:rPr>
  </w:style>
  <w:style w:type="character" w:customStyle="1" w:styleId="35">
    <w:name w:val="明显强调1"/>
    <w:basedOn w:val="20"/>
    <w:unhideWhenUsed/>
    <w:qFormat/>
    <w:uiPriority w:val="21"/>
    <w:rPr>
      <w:rFonts w:hint="default"/>
      <w:b/>
      <w:i/>
      <w:color w:val="5B9BD5"/>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28393</Words>
  <Characters>29901</Characters>
  <Lines>98</Lines>
  <Paragraphs>27</Paragraphs>
  <TotalTime>48</TotalTime>
  <ScaleCrop>false</ScaleCrop>
  <LinksUpToDate>false</LinksUpToDate>
  <CharactersWithSpaces>30077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2023-02-20T17:34:00Z</dcterms:created>
  <dc:creator>Lenovo</dc:creator>
  <cp:lastModifiedBy>李建波</cp:lastModifiedBy>
  <cp:lastPrinted>2024-10-15T01:11:00Z</cp:lastPrinted>
  <dcterms:modified xsi:type="dcterms:W3CDTF">2025-11-21T10:50:16Z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11BD7E56A9184AF5816EA499473DA4CE_13</vt:lpwstr>
  </property>
  <property fmtid="{D5CDD505-2E9C-101B-9397-08002B2CF9AE}" pid="4" name="KSOTemplateDocerSaveRecord">
    <vt:lpwstr>eyJoZGlkIjoiYWU0ZTY2MzNiOGEyZGQ2MzllNTA0Nzk4MmU4MWVkZTQiLCJ1c2VySWQiOiIxNzIxNjA5MjIwIn0=</vt:lpwstr>
  </property>
</Properties>
</file>