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D951">
      <w:pPr>
        <w:spacing w:line="520" w:lineRule="exact"/>
        <w:jc w:val="center"/>
        <w:rPr>
          <w:rFonts w:ascii="宋体" w:hAnsi="宋体" w:cs="宋体"/>
          <w:color w:val="auto"/>
          <w:szCs w:val="24"/>
        </w:rPr>
      </w:pPr>
      <w:r>
        <w:rPr>
          <w:rFonts w:hint="eastAsia" w:ascii="宋体" w:hAnsi="宋体" w:cs="宋体"/>
          <w:color w:val="auto"/>
          <w:sz w:val="36"/>
          <w:szCs w:val="36"/>
        </w:rPr>
        <w:t>广西艺术学院微门户平台维保和升级服务采购公告</w:t>
      </w:r>
    </w:p>
    <w:p w14:paraId="3D188EB9">
      <w:pPr>
        <w:spacing w:line="520" w:lineRule="exact"/>
        <w:jc w:val="both"/>
        <w:rPr>
          <w:rFonts w:ascii="宋体" w:hAnsi="宋体" w:cs="宋体"/>
          <w:color w:val="auto"/>
          <w:szCs w:val="24"/>
        </w:rPr>
      </w:pPr>
    </w:p>
    <w:p w14:paraId="6EC5ACF0">
      <w:pPr>
        <w:pStyle w:val="14"/>
        <w:numPr>
          <w:ilvl w:val="0"/>
          <w:numId w:val="1"/>
        </w:numPr>
        <w:spacing w:beforeAutospacing="0" w:afterAutospacing="0" w:line="520" w:lineRule="exact"/>
        <w:jc w:val="both"/>
        <w:rPr>
          <w:rFonts w:ascii="宋体" w:hAnsi="宋体" w:cs="宋体"/>
          <w:color w:val="auto"/>
          <w:szCs w:val="24"/>
          <w:shd w:val="clear" w:color="auto" w:fill="FFFFFF"/>
        </w:rPr>
      </w:pPr>
      <w:bookmarkStart w:id="6" w:name="_GoBack"/>
      <w:r>
        <w:rPr>
          <w:rFonts w:hint="eastAsia" w:ascii="宋体" w:hAnsi="宋体" w:cs="宋体"/>
          <w:color w:val="auto"/>
          <w:szCs w:val="24"/>
          <w:shd w:val="clear" w:color="auto" w:fill="FFFFFF"/>
        </w:rPr>
        <w:t>采购单位：广西艺术学院 </w:t>
      </w:r>
    </w:p>
    <w:p w14:paraId="26266BF3">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二、控制价：</w:t>
      </w:r>
      <w:r>
        <w:rPr>
          <w:rFonts w:hint="eastAsia" w:ascii="宋体" w:hAnsi="宋体" w:cs="宋体"/>
          <w:color w:val="auto"/>
          <w:szCs w:val="24"/>
          <w:shd w:val="clear" w:color="auto" w:fill="FFFFFF"/>
          <w:lang w:val="en-US" w:eastAsia="zh-CN"/>
        </w:rPr>
        <w:t>68900</w:t>
      </w:r>
      <w:r>
        <w:rPr>
          <w:rFonts w:hint="eastAsia" w:ascii="宋体" w:hAnsi="宋体" w:cs="宋体"/>
          <w:color w:val="auto"/>
          <w:szCs w:val="24"/>
          <w:shd w:val="clear" w:color="auto" w:fill="FFFFFF"/>
        </w:rPr>
        <w:t>元，总价超过控制价的</w:t>
      </w:r>
      <w:r>
        <w:rPr>
          <w:rFonts w:hint="eastAsia" w:ascii="宋体" w:hAnsi="宋体" w:cs="宋体"/>
          <w:color w:val="auto"/>
          <w:szCs w:val="24"/>
          <w:shd w:val="clear" w:color="auto" w:fill="FFFFFF"/>
          <w:lang w:val="en-US" w:eastAsia="zh-CN"/>
        </w:rPr>
        <w:t>响应</w:t>
      </w:r>
      <w:r>
        <w:rPr>
          <w:rFonts w:hint="eastAsia" w:ascii="宋体" w:hAnsi="宋体" w:cs="宋体"/>
          <w:color w:val="auto"/>
          <w:szCs w:val="24"/>
          <w:shd w:val="clear" w:color="auto" w:fill="FFFFFF"/>
        </w:rPr>
        <w:t>文件视为无效文件。</w:t>
      </w:r>
    </w:p>
    <w:p w14:paraId="02E6E254">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三、服务采购需求</w:t>
      </w:r>
    </w:p>
    <w:p w14:paraId="5D25857C">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见附件1。</w:t>
      </w:r>
    </w:p>
    <w:p w14:paraId="7A8F8547">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四、</w:t>
      </w:r>
      <w:r>
        <w:rPr>
          <w:rFonts w:hint="eastAsia" w:ascii="宋体" w:hAnsi="宋体" w:cs="宋体"/>
          <w:color w:val="auto"/>
          <w:szCs w:val="24"/>
          <w:shd w:val="clear" w:color="auto" w:fill="FFFFFF"/>
          <w:lang w:val="en-US" w:eastAsia="zh-CN"/>
        </w:rPr>
        <w:t>响应</w:t>
      </w:r>
      <w:r>
        <w:rPr>
          <w:rFonts w:hint="eastAsia" w:ascii="宋体" w:hAnsi="宋体" w:cs="宋体"/>
          <w:color w:val="auto"/>
          <w:szCs w:val="24"/>
          <w:shd w:val="clear" w:color="auto" w:fill="FFFFFF"/>
        </w:rPr>
        <w:t>供应商资格要求</w:t>
      </w:r>
    </w:p>
    <w:p w14:paraId="1BAF01B0">
      <w:pPr>
        <w:pStyle w:val="14"/>
        <w:spacing w:beforeAutospacing="0" w:afterAutospacing="0" w:line="520" w:lineRule="exact"/>
        <w:ind w:firstLine="480" w:firstLineChars="200"/>
        <w:jc w:val="both"/>
        <w:rPr>
          <w:rFonts w:ascii="仿宋" w:hAnsi="仿宋" w:eastAsia="仿宋" w:cs="仿宋"/>
          <w:color w:val="auto"/>
          <w:sz w:val="30"/>
          <w:szCs w:val="30"/>
          <w:shd w:val="clear" w:color="auto" w:fill="FFFFFF"/>
        </w:rPr>
      </w:pPr>
      <w:r>
        <w:rPr>
          <w:rFonts w:hint="eastAsia" w:ascii="宋体" w:hAnsi="宋体" w:cs="宋体"/>
          <w:color w:val="auto"/>
          <w:szCs w:val="24"/>
          <w:shd w:val="clear" w:color="auto" w:fill="FFFFFF"/>
        </w:rPr>
        <w:t>（一）必须是在中华人民共和国境内注册，具有独立法人，并持有行政</w:t>
      </w:r>
      <w:r>
        <w:rPr>
          <w:rFonts w:hint="eastAsia" w:ascii="宋体" w:hAnsi="宋体" w:cs="宋体"/>
          <w:color w:val="auto"/>
          <w:szCs w:val="24"/>
          <w:shd w:val="clear" w:color="auto" w:fill="FFFFFF"/>
          <w:lang w:val="en-US" w:eastAsia="zh-CN"/>
        </w:rPr>
        <w:t>主管</w:t>
      </w:r>
      <w:r>
        <w:rPr>
          <w:rFonts w:hint="eastAsia" w:ascii="宋体" w:hAnsi="宋体" w:cs="宋体"/>
          <w:color w:val="auto"/>
          <w:szCs w:val="24"/>
          <w:shd w:val="clear" w:color="auto" w:fill="FFFFFF"/>
        </w:rPr>
        <w:t>部门核发的法人营业执照。</w:t>
      </w:r>
    </w:p>
    <w:p w14:paraId="402F55FC">
      <w:pPr>
        <w:pStyle w:val="14"/>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190E63C1">
      <w:pPr>
        <w:pStyle w:val="14"/>
        <w:kinsoku/>
        <w:autoSpaceDE/>
        <w:autoSpaceDN/>
        <w:adjustRightInd/>
        <w:snapToGrid/>
        <w:spacing w:beforeAutospacing="0" w:afterAutospacing="0" w:line="360" w:lineRule="auto"/>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“信用中国”网站查询方法：</w:t>
      </w:r>
      <w:r>
        <w:rPr>
          <w:rFonts w:hint="eastAsia" w:ascii="宋体" w:hAnsi="宋体" w:cs="宋体"/>
          <w:color w:val="auto"/>
          <w:szCs w:val="24"/>
          <w:shd w:val="clear" w:color="auto" w:fill="FFFFFF"/>
          <w:lang w:val="en-US" w:eastAsia="zh-CN"/>
        </w:rPr>
        <w:t>报价供应商</w:t>
      </w:r>
      <w:r>
        <w:rPr>
          <w:rFonts w:hint="eastAsia" w:ascii="宋体" w:hAnsi="宋体" w:cs="宋体"/>
          <w:color w:val="auto"/>
          <w:szCs w:val="24"/>
          <w:shd w:val="clear" w:color="auto" w:fill="FFFFFF"/>
        </w:rPr>
        <w:t>在本项目</w:t>
      </w:r>
      <w:r>
        <w:rPr>
          <w:rFonts w:hint="eastAsia" w:ascii="宋体" w:hAnsi="宋体" w:cs="宋体"/>
          <w:color w:val="auto"/>
          <w:szCs w:val="24"/>
          <w:shd w:val="clear" w:color="auto" w:fill="FFFFFF"/>
          <w:lang w:val="en-US" w:eastAsia="zh-CN"/>
        </w:rPr>
        <w:t>响应</w:t>
      </w:r>
      <w:r>
        <w:rPr>
          <w:rFonts w:hint="eastAsia" w:ascii="宋体" w:hAnsi="宋体" w:cs="宋体"/>
          <w:color w:val="auto"/>
          <w:szCs w:val="24"/>
          <w:shd w:val="clear" w:color="auto" w:fill="FFFFFF"/>
        </w:rPr>
        <w:t>截止时间前10日内,进入</w:t>
      </w:r>
      <w:r>
        <w:rPr>
          <w:rFonts w:hint="eastAsia" w:ascii="宋体" w:hAnsi="宋体" w:cs="宋体"/>
          <w:color w:val="auto"/>
          <w:szCs w:val="24"/>
          <w:shd w:val="clear" w:color="auto" w:fill="FFFFFF"/>
          <w:lang w:val="en-US" w:eastAsia="zh-CN"/>
        </w:rPr>
        <w:t>供应商</w:t>
      </w:r>
      <w:r>
        <w:rPr>
          <w:rFonts w:hint="eastAsia" w:ascii="宋体" w:hAnsi="宋体" w:cs="宋体"/>
          <w:color w:val="auto"/>
          <w:szCs w:val="24"/>
          <w:shd w:val="clear" w:color="auto" w:fill="FFFFFF"/>
        </w:rPr>
        <w:t>基本信息页面，点击“下载信用报告”后点击“下载”。“中国政府采购网”的查询方法：点击“政府采购严重违法失信行为记录名单”进行查询。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7A937E17">
      <w:pPr>
        <w:pStyle w:val="14"/>
        <w:numPr>
          <w:ilvl w:val="0"/>
          <w:numId w:val="2"/>
        </w:numPr>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单位负责人为同一人或者存在直接控股、管理关系的不同供应商，不得参加同一合同项下的采购活动。本项目不接受联合体。提供附件：</w:t>
      </w:r>
      <w:r>
        <w:rPr>
          <w:rFonts w:hint="eastAsia" w:ascii="宋体" w:hAnsi="宋体" w:cs="宋体"/>
          <w:color w:val="auto"/>
          <w:szCs w:val="24"/>
          <w:shd w:val="clear" w:color="auto" w:fill="FFFFFF"/>
          <w:lang w:val="en-US" w:eastAsia="zh-CN"/>
        </w:rPr>
        <w:t>供应商</w:t>
      </w:r>
      <w:r>
        <w:rPr>
          <w:rFonts w:hint="eastAsia" w:ascii="宋体" w:hAnsi="宋体" w:cs="宋体"/>
          <w:color w:val="auto"/>
          <w:szCs w:val="24"/>
          <w:shd w:val="clear" w:color="auto" w:fill="FFFFFF"/>
        </w:rPr>
        <w:t>直接控股、管理关系信息表。</w:t>
      </w:r>
    </w:p>
    <w:p w14:paraId="4F93B13D">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五、提供资料</w:t>
      </w:r>
    </w:p>
    <w:p w14:paraId="6B7BE252">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报名时请携带以下有效证件的原件及加盖公章的复印件（复印件留存,原件备查），所有材料一正一副。</w:t>
      </w:r>
    </w:p>
    <w:p w14:paraId="0BFAD6A5">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1、根据第四大点资格要求里列明的相关证明材料。</w:t>
      </w:r>
    </w:p>
    <w:p w14:paraId="5B4579A8">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2、营业执照（三证合一）。</w:t>
      </w:r>
    </w:p>
    <w:p w14:paraId="10107CEA">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3、法人代表授权书、法人代表身份证复印件，被授权人身份证。</w:t>
      </w:r>
    </w:p>
    <w:p w14:paraId="41A92E58">
      <w:pPr>
        <w:pStyle w:val="14"/>
        <w:spacing w:beforeAutospacing="0" w:afterAutospacing="0" w:line="520" w:lineRule="exact"/>
        <w:ind w:firstLine="480" w:firstLineChars="200"/>
        <w:jc w:val="both"/>
        <w:rPr>
          <w:rFonts w:ascii="宋体" w:hAnsi="宋体" w:cs="宋体"/>
          <w:b/>
          <w:color w:val="auto"/>
          <w:szCs w:val="24"/>
          <w:shd w:val="clear" w:color="auto" w:fill="FFFFFF"/>
        </w:rPr>
      </w:pP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、报价单（密封，并加盖公章）及技术、商务需求表（格式自拟，需逐项与需求条款比对，并写明偏离情况）。</w:t>
      </w:r>
    </w:p>
    <w:p w14:paraId="1DFB9A77">
      <w:pPr>
        <w:pStyle w:val="14"/>
        <w:spacing w:beforeAutospacing="0" w:afterAutospacing="0" w:line="520" w:lineRule="exact"/>
        <w:ind w:firstLine="480" w:firstLineChars="200"/>
        <w:jc w:val="both"/>
        <w:rPr>
          <w:rFonts w:ascii="宋体" w:hAnsi="宋体" w:cs="宋体"/>
          <w:color w:val="auto"/>
          <w:szCs w:val="24"/>
        </w:rPr>
      </w:pPr>
      <w:r>
        <w:rPr>
          <w:rStyle w:val="20"/>
          <w:rFonts w:hint="eastAsia" w:ascii="宋体" w:hAnsi="宋体" w:cs="宋体"/>
          <w:b w:val="0"/>
          <w:color w:val="auto"/>
          <w:szCs w:val="24"/>
          <w:shd w:val="clear" w:color="auto" w:fill="FFFFFF"/>
        </w:rPr>
        <w:t>注：所有</w:t>
      </w:r>
      <w:r>
        <w:rPr>
          <w:rStyle w:val="20"/>
          <w:rFonts w:hint="eastAsia" w:ascii="宋体" w:hAnsi="宋体" w:cs="宋体"/>
          <w:b w:val="0"/>
          <w:color w:val="auto"/>
          <w:szCs w:val="24"/>
          <w:shd w:val="clear" w:color="auto" w:fill="FFFFFF"/>
          <w:lang w:val="en-US" w:eastAsia="zh-CN"/>
        </w:rPr>
        <w:t>响应</w:t>
      </w:r>
      <w:r>
        <w:rPr>
          <w:rStyle w:val="20"/>
          <w:rFonts w:hint="eastAsia" w:ascii="宋体" w:hAnsi="宋体" w:cs="宋体"/>
          <w:b w:val="0"/>
          <w:color w:val="auto"/>
          <w:szCs w:val="24"/>
          <w:shd w:val="clear" w:color="auto" w:fill="FFFFFF"/>
        </w:rPr>
        <w:t>材料均需要密封并加盖公章。</w:t>
      </w:r>
    </w:p>
    <w:p w14:paraId="6755BAAB">
      <w:pPr>
        <w:pStyle w:val="14"/>
        <w:spacing w:beforeAutospacing="0" w:afterAutospacing="0" w:line="520" w:lineRule="exact"/>
        <w:jc w:val="both"/>
        <w:rPr>
          <w:rFonts w:hint="eastAsia" w:ascii="宋体" w:hAnsi="宋体" w:eastAsia="宋体" w:cs="宋体"/>
          <w:color w:val="auto"/>
          <w:szCs w:val="24"/>
          <w:lang w:val="en-US" w:eastAsia="zh-CN"/>
        </w:rPr>
      </w:pPr>
      <w:r>
        <w:rPr>
          <w:rFonts w:hint="eastAsia" w:ascii="宋体" w:hAnsi="宋体" w:cs="宋体"/>
          <w:color w:val="auto"/>
          <w:szCs w:val="24"/>
          <w:shd w:val="clear" w:color="auto" w:fill="FFFFFF"/>
        </w:rPr>
        <w:t>六、评标</w:t>
      </w:r>
      <w:r>
        <w:rPr>
          <w:rFonts w:hint="eastAsia" w:ascii="宋体" w:hAnsi="宋体" w:cs="宋体"/>
          <w:color w:val="auto"/>
          <w:szCs w:val="24"/>
          <w:shd w:val="clear" w:color="auto" w:fill="FFFFFF"/>
          <w:lang w:val="en-US" w:eastAsia="zh-CN"/>
        </w:rPr>
        <w:t>方式</w:t>
      </w:r>
    </w:p>
    <w:p w14:paraId="12B94A2F">
      <w:pPr>
        <w:pStyle w:val="14"/>
        <w:spacing w:beforeAutospacing="0" w:afterAutospacing="0" w:line="520" w:lineRule="exact"/>
        <w:ind w:firstLine="480" w:firstLineChars="200"/>
        <w:jc w:val="both"/>
        <w:rPr>
          <w:rStyle w:val="20"/>
          <w:rFonts w:ascii="宋体" w:hAnsi="宋体" w:cs="宋体"/>
          <w:b w:val="0"/>
          <w:color w:val="auto"/>
          <w:szCs w:val="24"/>
          <w:highlight w:val="none"/>
          <w:shd w:val="clear" w:color="auto" w:fill="FFFFFF"/>
        </w:rPr>
      </w:pPr>
      <w:r>
        <w:rPr>
          <w:rStyle w:val="20"/>
          <w:rFonts w:hint="eastAsia" w:ascii="宋体" w:hAnsi="宋体" w:cs="宋体"/>
          <w:b w:val="0"/>
          <w:color w:val="auto"/>
          <w:szCs w:val="24"/>
          <w:highlight w:val="none"/>
          <w:shd w:val="clear" w:color="auto" w:fill="FFFFFF"/>
        </w:rPr>
        <w:t>根据</w:t>
      </w:r>
      <w:r>
        <w:rPr>
          <w:rStyle w:val="20"/>
          <w:rFonts w:hint="eastAsia" w:ascii="宋体" w:hAnsi="宋体" w:cs="宋体"/>
          <w:b w:val="0"/>
          <w:color w:val="auto"/>
          <w:szCs w:val="24"/>
          <w:highlight w:val="none"/>
          <w:shd w:val="clear" w:color="auto" w:fill="FFFFFF"/>
          <w:lang w:val="en-US" w:eastAsia="zh-CN"/>
        </w:rPr>
        <w:t>供应商</w:t>
      </w:r>
      <w:r>
        <w:rPr>
          <w:rStyle w:val="20"/>
          <w:rFonts w:hint="eastAsia" w:ascii="宋体" w:hAnsi="宋体" w:cs="宋体"/>
          <w:b w:val="0"/>
          <w:color w:val="auto"/>
          <w:szCs w:val="24"/>
          <w:highlight w:val="none"/>
          <w:shd w:val="clear" w:color="auto" w:fill="FFFFFF"/>
        </w:rPr>
        <w:t>的</w:t>
      </w:r>
      <w:r>
        <w:rPr>
          <w:rStyle w:val="20"/>
          <w:rFonts w:hint="eastAsia" w:ascii="宋体" w:hAnsi="宋体" w:cs="宋体"/>
          <w:b w:val="0"/>
          <w:color w:val="auto"/>
          <w:szCs w:val="24"/>
          <w:highlight w:val="none"/>
          <w:shd w:val="clear" w:color="auto" w:fill="FFFFFF"/>
          <w:lang w:val="en-US" w:eastAsia="zh-CN"/>
        </w:rPr>
        <w:t>响应</w:t>
      </w:r>
      <w:r>
        <w:rPr>
          <w:rStyle w:val="20"/>
          <w:rFonts w:hint="eastAsia" w:ascii="宋体" w:hAnsi="宋体" w:cs="宋体"/>
          <w:b w:val="0"/>
          <w:color w:val="auto"/>
          <w:szCs w:val="24"/>
          <w:highlight w:val="none"/>
          <w:shd w:val="clear" w:color="auto" w:fill="FFFFFF"/>
        </w:rPr>
        <w:t>材料，在满足采购需求的基础上，采取低价中标方式选定该项目中标单位，若价格相同，则采取抽签方式确定中标单位。</w:t>
      </w:r>
    </w:p>
    <w:p w14:paraId="57CFB0D2">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七、</w:t>
      </w:r>
      <w:r>
        <w:rPr>
          <w:rFonts w:hint="eastAsia" w:ascii="宋体" w:hAnsi="宋体" w:cs="宋体"/>
          <w:color w:val="auto"/>
          <w:szCs w:val="24"/>
          <w:shd w:val="clear" w:color="auto" w:fill="FFFFFF"/>
          <w:lang w:val="en-US" w:eastAsia="zh-CN"/>
        </w:rPr>
        <w:t>投递</w:t>
      </w:r>
      <w:r>
        <w:rPr>
          <w:rFonts w:hint="eastAsia" w:ascii="宋体" w:hAnsi="宋体" w:cs="宋体"/>
          <w:color w:val="auto"/>
          <w:szCs w:val="24"/>
          <w:shd w:val="clear" w:color="auto" w:fill="FFFFFF"/>
        </w:rPr>
        <w:t>时间与地点</w:t>
      </w:r>
    </w:p>
    <w:p w14:paraId="18B6739C">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1、时间：</w:t>
      </w:r>
      <w:r>
        <w:rPr>
          <w:rStyle w:val="20"/>
          <w:rFonts w:hint="eastAsia" w:ascii="宋体" w:hAnsi="宋体" w:cs="宋体"/>
          <w:b w:val="0"/>
          <w:color w:val="auto"/>
          <w:szCs w:val="24"/>
          <w:shd w:val="clear" w:color="auto" w:fill="FFFFFF"/>
        </w:rPr>
        <w:t>2025年11月</w:t>
      </w:r>
      <w:r>
        <w:rPr>
          <w:rStyle w:val="20"/>
          <w:rFonts w:hint="eastAsia" w:ascii="宋体" w:hAnsi="宋体" w:cs="宋体"/>
          <w:b w:val="0"/>
          <w:color w:val="auto"/>
          <w:szCs w:val="24"/>
          <w:shd w:val="clear" w:color="auto" w:fill="FFFFFF"/>
          <w:lang w:val="en-US" w:eastAsia="zh-CN"/>
        </w:rPr>
        <w:t>25</w:t>
      </w:r>
      <w:r>
        <w:rPr>
          <w:rStyle w:val="20"/>
          <w:rFonts w:hint="eastAsia" w:ascii="宋体" w:hAnsi="宋体" w:cs="宋体"/>
          <w:b w:val="0"/>
          <w:color w:val="auto"/>
          <w:szCs w:val="24"/>
          <w:shd w:val="clear" w:color="auto" w:fill="FFFFFF"/>
        </w:rPr>
        <w:t>日上午9:00至11:00之间</w:t>
      </w:r>
      <w:r>
        <w:rPr>
          <w:rFonts w:hint="eastAsia" w:ascii="宋体" w:hAnsi="宋体" w:cs="宋体"/>
          <w:color w:val="auto"/>
          <w:szCs w:val="24"/>
          <w:shd w:val="clear" w:color="auto" w:fill="FFFFFF"/>
        </w:rPr>
        <w:t>，其他时间不接收</w:t>
      </w:r>
      <w:r>
        <w:rPr>
          <w:rFonts w:hint="eastAsia" w:ascii="宋体" w:hAnsi="宋体" w:cs="宋体"/>
          <w:color w:val="auto"/>
          <w:szCs w:val="24"/>
          <w:shd w:val="clear" w:color="auto" w:fill="FFFFFF"/>
          <w:lang w:val="en-US" w:eastAsia="zh-CN"/>
        </w:rPr>
        <w:t>响应</w:t>
      </w:r>
      <w:r>
        <w:rPr>
          <w:rFonts w:hint="eastAsia" w:ascii="宋体" w:hAnsi="宋体" w:cs="宋体"/>
          <w:color w:val="auto"/>
          <w:szCs w:val="24"/>
          <w:shd w:val="clear" w:color="auto" w:fill="FFFFFF"/>
        </w:rPr>
        <w:t>材料，在规定时间内未</w:t>
      </w:r>
      <w:r>
        <w:rPr>
          <w:rFonts w:hint="eastAsia" w:ascii="宋体" w:hAnsi="宋体" w:cs="宋体"/>
          <w:color w:val="auto"/>
          <w:szCs w:val="24"/>
          <w:shd w:val="clear" w:color="auto" w:fill="FFFFFF"/>
          <w:lang w:val="en-US" w:eastAsia="zh-CN"/>
        </w:rPr>
        <w:t>投递响应文件</w:t>
      </w:r>
      <w:r>
        <w:rPr>
          <w:rFonts w:hint="eastAsia" w:ascii="宋体" w:hAnsi="宋体" w:cs="宋体"/>
          <w:color w:val="auto"/>
          <w:szCs w:val="24"/>
          <w:shd w:val="clear" w:color="auto" w:fill="FFFFFF"/>
        </w:rPr>
        <w:t>者视为自动弃权。</w:t>
      </w:r>
    </w:p>
    <w:p w14:paraId="230E7A80">
      <w:pPr>
        <w:pStyle w:val="14"/>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2、地点：南宁市青秀区教育路7号广西艺术学院雕塑楼107室，联系人：李老师，朱老师，高老师，联系电话：0771-5327987. </w:t>
      </w:r>
    </w:p>
    <w:p w14:paraId="2B4EF0B9">
      <w:pPr>
        <w:pStyle w:val="14"/>
        <w:spacing w:beforeAutospacing="0" w:afterAutospacing="0" w:line="520" w:lineRule="exact"/>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八、本次采购的相关信息（包括但不限于采购公告与附件及其修改、补充、澄清等，下同）在广西艺术学院主页的“机构设置-财务资产处-招标公告”栏（网址：</w:t>
      </w:r>
      <w:r>
        <w:fldChar w:fldCharType="begin"/>
      </w:r>
      <w:r>
        <w:instrText xml:space="preserve"> HYPERLINK "https://cwc.gxau.edu.cn/zbgg2%EF%BC%89%E4%B8%8A%E5%8F%91%E5%B8%83%EF%BC%8C%E6%9C%AC%E6%AC%A1%E9%87%87%E8%B4%AD%E7%9A%84%E7%9B%B8%E5%85%B3%E4%BF%A1%E6%81%AF%E4%B8%80%E7%BB%8F%E5%9C%A8%E4%B8%8A%E8%BF%B0%E7%BD%91%E7%AB%99%E5%8F%91%E5%B8%83%EF%BC%8C%E5%8D%B3%E8%A7%86%E4%B8%BA%E5%B7%B2%E5%8F%91%E9%80%81%E7%BB%99%E6%8A%95%E6%A0%87%E4%BA%BA%E3%80%82%E6%8A%95%E6%A0%87%E4%BA%BA%E6%8D%AE%E6%AD%A4%E5%8F%82%E4%B8%8E%E6%9C%AC%E6%AC%A1%E9%87%87%E8%B4%AD%E6%B4%BB%E5%8A%A8%EF%BC%8C%E5%8D%B3%E8%A7%86%E4%B8%BA%E5%AF%B9%E6%9C%AC%E6%AC%A1%E9%87%87%E8%B4%AD%E7%9A%84%E7%9B%B8%E5%85%B3%E4%BF%A1%E6%81%AF%E3%80%81%E5%86%85%E5%AE%B9%E5%8F%8A%E8%A7%84%E5%88%99%E6%B2%A1%E6%9C%89%E5%BC%82%E8%AE%AE%E3%80%82" </w:instrText>
      </w:r>
      <w:r>
        <w:fldChar w:fldCharType="separate"/>
      </w:r>
      <w:r>
        <w:rPr>
          <w:rFonts w:hint="eastAsia" w:ascii="宋体" w:hAnsi="宋体" w:cs="宋体"/>
          <w:color w:val="auto"/>
          <w:szCs w:val="24"/>
          <w:shd w:val="clear" w:color="auto" w:fill="FFFFFF"/>
        </w:rPr>
        <w:t>https://cwc.gxau.edu.cn/zbgg2）上发布，本次采购的相关信息一经在上述网站发布，即视为已发送给</w:t>
      </w:r>
      <w:r>
        <w:rPr>
          <w:rFonts w:hint="eastAsia" w:ascii="宋体" w:hAnsi="宋体" w:cs="宋体"/>
          <w:color w:val="auto"/>
          <w:szCs w:val="24"/>
          <w:shd w:val="clear" w:color="auto" w:fill="FFFFFF"/>
          <w:lang w:val="en-US" w:eastAsia="zh-CN"/>
        </w:rPr>
        <w:t>供应商</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供应商</w:t>
      </w:r>
      <w:r>
        <w:rPr>
          <w:rFonts w:hint="eastAsia" w:ascii="宋体" w:hAnsi="宋体" w:cs="宋体"/>
          <w:color w:val="auto"/>
          <w:szCs w:val="24"/>
          <w:shd w:val="clear" w:color="auto" w:fill="FFFFFF"/>
        </w:rPr>
        <w:t>据此参与本次采购活动，即视为对本次采购的相关信息、内容及规则没有异议。</w:t>
      </w:r>
      <w:r>
        <w:rPr>
          <w:rFonts w:hint="eastAsia" w:ascii="宋体" w:hAnsi="宋体" w:cs="宋体"/>
          <w:color w:val="auto"/>
          <w:szCs w:val="24"/>
          <w:shd w:val="clear" w:color="auto" w:fill="FFFFFF"/>
        </w:rPr>
        <w:fldChar w:fldCharType="end"/>
      </w:r>
    </w:p>
    <w:bookmarkEnd w:id="6"/>
    <w:p w14:paraId="6E68DD74">
      <w:pPr>
        <w:spacing w:line="520" w:lineRule="exact"/>
        <w:ind w:firstLine="480" w:firstLineChars="200"/>
        <w:jc w:val="both"/>
        <w:rPr>
          <w:color w:val="auto"/>
        </w:rPr>
      </w:pPr>
    </w:p>
    <w:p w14:paraId="1F3E5C5D">
      <w:pPr>
        <w:spacing w:line="520" w:lineRule="exact"/>
        <w:ind w:firstLine="480" w:firstLineChars="200"/>
        <w:jc w:val="both"/>
        <w:rPr>
          <w:rFonts w:ascii="宋体" w:hAnsi="宋体" w:cs="宋体"/>
          <w:b/>
          <w:bCs/>
          <w:color w:val="auto"/>
          <w:szCs w:val="24"/>
        </w:rPr>
      </w:pPr>
    </w:p>
    <w:p w14:paraId="36B0E16B">
      <w:pPr>
        <w:spacing w:line="520" w:lineRule="exact"/>
        <w:ind w:firstLine="480" w:firstLineChars="200"/>
        <w:jc w:val="both"/>
        <w:rPr>
          <w:rFonts w:ascii="宋体" w:hAnsi="宋体" w:cs="宋体"/>
          <w:b/>
          <w:bCs/>
          <w:color w:val="auto"/>
          <w:szCs w:val="24"/>
        </w:rPr>
      </w:pPr>
    </w:p>
    <w:p w14:paraId="38A6F047">
      <w:pPr>
        <w:spacing w:line="520" w:lineRule="exact"/>
        <w:ind w:firstLine="480" w:firstLineChars="200"/>
        <w:jc w:val="both"/>
        <w:rPr>
          <w:rFonts w:ascii="宋体" w:hAnsi="宋体" w:cs="宋体"/>
          <w:b/>
          <w:bCs/>
          <w:color w:val="auto"/>
          <w:szCs w:val="24"/>
        </w:rPr>
      </w:pPr>
    </w:p>
    <w:p w14:paraId="3050BC1E">
      <w:pPr>
        <w:spacing w:line="520" w:lineRule="exact"/>
        <w:jc w:val="both"/>
        <w:rPr>
          <w:rFonts w:ascii="宋体" w:hAnsi="宋体" w:cs="宋体"/>
          <w:b/>
          <w:bCs/>
          <w:color w:val="auto"/>
          <w:szCs w:val="24"/>
        </w:rPr>
      </w:pPr>
    </w:p>
    <w:p w14:paraId="7DDC8DE5">
      <w:pPr>
        <w:spacing w:line="520" w:lineRule="exact"/>
        <w:jc w:val="both"/>
        <w:rPr>
          <w:rFonts w:ascii="宋体" w:hAnsi="宋体" w:cs="宋体"/>
          <w:b/>
          <w:bCs/>
          <w:color w:val="auto"/>
          <w:szCs w:val="24"/>
        </w:rPr>
        <w:sectPr>
          <w:headerReference r:id="rId3" w:type="default"/>
          <w:footerReference r:id="rId4" w:type="default"/>
          <w:footerReference r:id="rId5" w:type="even"/>
          <w:pgSz w:w="11906" w:h="16838"/>
          <w:pgMar w:top="1418" w:right="1418" w:bottom="1418" w:left="1418" w:header="851" w:footer="850" w:gutter="0"/>
          <w:pgNumType w:fmt="upperRoman" w:start="1"/>
          <w:cols w:space="425" w:num="1"/>
          <w:docGrid w:type="linesAndChars" w:linePitch="326" w:charSpace="0"/>
        </w:sectPr>
      </w:pPr>
      <w:bookmarkStart w:id="0" w:name="_Toc20532"/>
    </w:p>
    <w:p w14:paraId="1BDD2545">
      <w:pPr>
        <w:pStyle w:val="3"/>
        <w:spacing w:line="415" w:lineRule="auto"/>
      </w:pPr>
      <w:bookmarkStart w:id="1" w:name="_Toc8158"/>
      <w:r>
        <w:rPr>
          <w:rFonts w:hint="eastAsia"/>
        </w:rPr>
        <w:t>附件1：</w:t>
      </w:r>
      <w:bookmarkEnd w:id="0"/>
      <w:bookmarkEnd w:id="1"/>
      <w:bookmarkStart w:id="2" w:name="_Toc940146"/>
      <w:r>
        <w:rPr>
          <w:rFonts w:hint="eastAsia"/>
        </w:rPr>
        <w:t>项目需求</w:t>
      </w:r>
      <w:bookmarkEnd w:id="2"/>
    </w:p>
    <w:p w14:paraId="2F415011">
      <w:pPr>
        <w:spacing w:line="360" w:lineRule="exact"/>
        <w:rPr>
          <w:rFonts w:ascii="宋体" w:hAnsi="宋体"/>
        </w:rPr>
      </w:pPr>
      <w:r>
        <w:rPr>
          <w:rFonts w:hint="eastAsia" w:ascii="宋体" w:hAnsi="宋体"/>
        </w:rPr>
        <w:t>说明：</w:t>
      </w:r>
    </w:p>
    <w:p w14:paraId="7E1988C1">
      <w:pPr>
        <w:spacing w:line="360" w:lineRule="exact"/>
        <w:ind w:firstLine="484" w:firstLineChars="202"/>
        <w:rPr>
          <w:rFonts w:ascii="宋体" w:hAnsi="宋体"/>
        </w:rPr>
      </w:pPr>
      <w:r>
        <w:rPr>
          <w:rFonts w:hint="eastAsia" w:ascii="宋体" w:hAnsi="宋体"/>
        </w:rPr>
        <w:t>1、本章中标注“▲”号的条款为实质性条款，必须满足或者优于，</w:t>
      </w:r>
      <w:r>
        <w:rPr>
          <w:rFonts w:hint="eastAsia" w:ascii="宋体" w:hAnsi="宋体"/>
          <w:b/>
        </w:rPr>
        <w:t>否则响应无效</w:t>
      </w:r>
      <w:r>
        <w:rPr>
          <w:rFonts w:hint="eastAsia" w:ascii="宋体" w:hAnsi="宋体"/>
        </w:rPr>
        <w:t>。</w:t>
      </w:r>
    </w:p>
    <w:p w14:paraId="425FD89E">
      <w:pPr>
        <w:spacing w:line="360" w:lineRule="exact"/>
        <w:ind w:firstLine="487" w:firstLineChars="202"/>
        <w:rPr>
          <w:rFonts w:ascii="宋体" w:hAnsi="宋体"/>
          <w:b/>
        </w:rPr>
      </w:pPr>
      <w:r>
        <w:rPr>
          <w:rFonts w:hint="eastAsia" w:ascii="宋体" w:hAnsi="宋体"/>
          <w:b/>
        </w:rPr>
        <w:t>“项目需求及服务要求”中非“▲”号的条款偏离的技术、性能指标或者辅助功能项目发生负偏离达</w:t>
      </w:r>
      <w:r>
        <w:rPr>
          <w:rFonts w:ascii="宋体" w:hAnsi="宋体"/>
          <w:b/>
        </w:rPr>
        <w:t>1</w:t>
      </w:r>
      <w:r>
        <w:rPr>
          <w:rFonts w:hint="eastAsia" w:ascii="宋体" w:hAnsi="宋体"/>
          <w:b/>
        </w:rPr>
        <w:t>项（含）以上的响应无效（即允许负偏离的项数为</w:t>
      </w:r>
      <w:r>
        <w:rPr>
          <w:rFonts w:ascii="宋体" w:hAnsi="宋体"/>
          <w:b/>
        </w:rPr>
        <w:t>0</w:t>
      </w:r>
      <w:r>
        <w:rPr>
          <w:rFonts w:hint="eastAsia" w:ascii="宋体" w:hAnsi="宋体"/>
          <w:b/>
        </w:rPr>
        <w:t>项）。</w:t>
      </w:r>
    </w:p>
    <w:p w14:paraId="0064FED2">
      <w:pPr>
        <w:spacing w:line="360" w:lineRule="exact"/>
        <w:ind w:firstLine="484" w:firstLineChars="202"/>
        <w:rPr>
          <w:rFonts w:ascii="宋体" w:hAnsi="宋体"/>
        </w:rPr>
      </w:pPr>
      <w:r>
        <w:rPr>
          <w:rFonts w:hint="eastAsia" w:ascii="宋体" w:hAnsi="宋体"/>
        </w:rPr>
        <w:t>2、供应商必须自行为其磋商服务侵犯其他供应商或专利人的专利成果承担相应法律责任；同时，具有服务专利的供应商应在其响应文件中提供与其自有服务专利相关的有效证明材料，否则，不能就其服务的专利在本项目磋商过程中被侵权问题提出异议。</w:t>
      </w:r>
    </w:p>
    <w:p w14:paraId="46E9B918">
      <w:pPr>
        <w:spacing w:line="360" w:lineRule="exact"/>
        <w:ind w:firstLine="484" w:firstLineChars="202"/>
        <w:rPr>
          <w:rFonts w:hAnsi="宋体" w:cs="Courier New"/>
        </w:rPr>
      </w:pPr>
      <w:r>
        <w:rPr>
          <w:rFonts w:hint="eastAsia" w:hAnsi="宋体" w:cs="Courier New"/>
        </w:rPr>
        <w:t>3、磋商文件中所要求提供的证明材料，如为英文文本的请提供中文翻译文本。</w:t>
      </w:r>
    </w:p>
    <w:p w14:paraId="62F7D178">
      <w:pPr>
        <w:spacing w:line="360" w:lineRule="exact"/>
        <w:ind w:firstLine="484" w:firstLineChars="202"/>
        <w:rPr>
          <w:rFonts w:hint="eastAsia" w:ascii="宋体" w:hAnsi="宋体"/>
          <w:b/>
          <w:szCs w:val="24"/>
        </w:rPr>
      </w:pPr>
      <w:r>
        <w:rPr>
          <w:rFonts w:hint="eastAsia" w:hAnsi="宋体" w:cs="Courier New"/>
        </w:rPr>
        <w:t>4、项目采购需求具有国家或其他强制性标准、规范等要求的，响应文件中必须提供相关强制性认证资料，</w:t>
      </w:r>
      <w:r>
        <w:rPr>
          <w:rFonts w:hint="eastAsia" w:hAnsi="宋体" w:cs="Courier New"/>
          <w:b/>
        </w:rPr>
        <w:t>否则响应无效</w:t>
      </w:r>
      <w:r>
        <w:rPr>
          <w:rFonts w:hint="eastAsia" w:hAnsi="宋体" w:cs="Courier New"/>
        </w:rPr>
        <w:t>。</w:t>
      </w:r>
      <w:bookmarkStart w:id="3" w:name="heading_1"/>
    </w:p>
    <w:p w14:paraId="4217B792">
      <w:pPr>
        <w:spacing w:before="320" w:after="120" w:line="288" w:lineRule="auto"/>
        <w:rPr>
          <w:rFonts w:ascii="宋体" w:hAnsi="宋体"/>
          <w:szCs w:val="24"/>
        </w:rPr>
      </w:pPr>
      <w:r>
        <w:rPr>
          <w:rFonts w:ascii="宋体" w:hAnsi="宋体"/>
          <w:b/>
          <w:szCs w:val="24"/>
        </w:rPr>
        <w:t>一、项目</w:t>
      </w:r>
      <w:r>
        <w:rPr>
          <w:rFonts w:hint="eastAsia" w:ascii="宋体" w:hAnsi="宋体"/>
          <w:b/>
          <w:szCs w:val="24"/>
        </w:rPr>
        <w:t>服务</w:t>
      </w:r>
      <w:r>
        <w:rPr>
          <w:rFonts w:ascii="宋体" w:hAnsi="宋体"/>
          <w:b/>
          <w:szCs w:val="24"/>
        </w:rPr>
        <w:t>总体要求</w:t>
      </w:r>
      <w:bookmarkEnd w:id="3"/>
    </w:p>
    <w:p w14:paraId="67D1BA78">
      <w:pPr>
        <w:spacing w:before="320" w:after="120" w:line="288" w:lineRule="auto"/>
        <w:rPr>
          <w:rFonts w:ascii="宋体" w:hAnsi="宋体"/>
          <w:b/>
          <w:szCs w:val="24"/>
        </w:rPr>
      </w:pPr>
      <w:r>
        <w:rPr>
          <w:rFonts w:ascii="宋体" w:hAnsi="宋体" w:cs="Courier New"/>
          <w:szCs w:val="24"/>
        </w:rPr>
        <w:t>本项目围绕广西艺术学院现有微门户平台，以“保障运维稳定、升级应用效能”为核心，需符合学校数字化校园建设规范，确保与现有微门户系统、</w:t>
      </w:r>
      <w:r>
        <w:rPr>
          <w:rFonts w:hint="eastAsia" w:ascii="宋体" w:hAnsi="宋体" w:cs="Courier New"/>
          <w:szCs w:val="24"/>
        </w:rPr>
        <w:t>企业微信、</w:t>
      </w:r>
      <w:r>
        <w:rPr>
          <w:rFonts w:ascii="宋体" w:hAnsi="宋体" w:cs="Courier New"/>
          <w:szCs w:val="24"/>
        </w:rPr>
        <w:t>统一身份认证体系兼容对接及数据实时互通。项目实施需保障系统安全，满足全校师生教学、管理、服务场景使用需求，实现平台运行稳定、功能适配、用户体验提升的目标</w:t>
      </w:r>
      <w:r>
        <w:rPr>
          <w:rFonts w:hint="eastAsia" w:ascii="宋体" w:hAnsi="宋体"/>
          <w:b/>
          <w:szCs w:val="24"/>
        </w:rPr>
        <w:t>。</w:t>
      </w:r>
    </w:p>
    <w:p w14:paraId="22A47113">
      <w:pPr>
        <w:spacing w:before="320" w:after="120" w:line="288" w:lineRule="auto"/>
        <w:rPr>
          <w:rFonts w:hint="eastAsia" w:ascii="宋体" w:hAnsi="宋体"/>
        </w:rPr>
      </w:pPr>
      <w:bookmarkStart w:id="4" w:name="heading_2"/>
      <w:r>
        <w:rPr>
          <w:rFonts w:ascii="宋体" w:hAnsi="宋体"/>
          <w:b/>
          <w:szCs w:val="24"/>
        </w:rPr>
        <w:t>二、采购内容及技术需求</w:t>
      </w:r>
      <w:bookmarkEnd w:id="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1"/>
        <w:gridCol w:w="1276"/>
        <w:gridCol w:w="992"/>
        <w:gridCol w:w="5267"/>
      </w:tblGrid>
      <w:tr w14:paraId="539E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78E7E617">
            <w:pPr>
              <w:spacing w:before="120" w:after="120" w:line="360" w:lineRule="exact"/>
              <w:jc w:val="center"/>
              <w:rPr>
                <w:rFonts w:ascii="宋体" w:hAnsi="宋体"/>
                <w:szCs w:val="24"/>
              </w:rPr>
            </w:pPr>
            <w:r>
              <w:rPr>
                <w:rFonts w:hint="eastAsia" w:ascii="宋体" w:hAnsi="宋体"/>
                <w:szCs w:val="24"/>
              </w:rPr>
              <w:t>序号</w:t>
            </w:r>
          </w:p>
        </w:tc>
        <w:tc>
          <w:tcPr>
            <w:tcW w:w="1276" w:type="dxa"/>
            <w:tcMar>
              <w:top w:w="60" w:type="dxa"/>
              <w:left w:w="120" w:type="dxa"/>
              <w:bottom w:w="30" w:type="dxa"/>
              <w:right w:w="120" w:type="dxa"/>
            </w:tcMar>
            <w:vAlign w:val="center"/>
          </w:tcPr>
          <w:p w14:paraId="47106CA5">
            <w:pPr>
              <w:spacing w:before="120" w:after="120" w:line="360" w:lineRule="exact"/>
              <w:jc w:val="center"/>
              <w:rPr>
                <w:rFonts w:ascii="宋体" w:hAnsi="宋体"/>
                <w:szCs w:val="24"/>
              </w:rPr>
            </w:pPr>
            <w:r>
              <w:rPr>
                <w:rFonts w:ascii="宋体" w:hAnsi="宋体"/>
                <w:szCs w:val="24"/>
              </w:rPr>
              <w:t>采购</w:t>
            </w:r>
            <w:r>
              <w:rPr>
                <w:rFonts w:hint="eastAsia" w:ascii="宋体" w:hAnsi="宋体"/>
                <w:szCs w:val="24"/>
              </w:rPr>
              <w:t>标的（服务名称）</w:t>
            </w:r>
          </w:p>
        </w:tc>
        <w:tc>
          <w:tcPr>
            <w:tcW w:w="992" w:type="dxa"/>
            <w:tcMar>
              <w:top w:w="60" w:type="dxa"/>
              <w:left w:w="120" w:type="dxa"/>
              <w:bottom w:w="30" w:type="dxa"/>
              <w:right w:w="120" w:type="dxa"/>
            </w:tcMar>
            <w:vAlign w:val="center"/>
          </w:tcPr>
          <w:p w14:paraId="3A51AAEE">
            <w:pPr>
              <w:spacing w:before="120" w:after="120" w:line="360" w:lineRule="exact"/>
              <w:jc w:val="center"/>
              <w:rPr>
                <w:rFonts w:ascii="宋体" w:hAnsi="宋体"/>
                <w:szCs w:val="24"/>
              </w:rPr>
            </w:pPr>
            <w:r>
              <w:rPr>
                <w:rFonts w:ascii="宋体" w:hAnsi="宋体"/>
                <w:szCs w:val="24"/>
              </w:rPr>
              <w:t>数量</w:t>
            </w:r>
            <w:r>
              <w:rPr>
                <w:rFonts w:hint="eastAsia" w:ascii="宋体" w:hAnsi="宋体"/>
                <w:szCs w:val="24"/>
              </w:rPr>
              <w:t>/</w:t>
            </w:r>
            <w:r>
              <w:rPr>
                <w:rFonts w:ascii="宋体" w:hAnsi="宋体"/>
                <w:szCs w:val="24"/>
              </w:rPr>
              <w:t>单位</w:t>
            </w:r>
          </w:p>
        </w:tc>
        <w:tc>
          <w:tcPr>
            <w:tcW w:w="5267" w:type="dxa"/>
            <w:tcMar>
              <w:top w:w="60" w:type="dxa"/>
              <w:left w:w="120" w:type="dxa"/>
              <w:bottom w:w="30" w:type="dxa"/>
              <w:right w:w="120" w:type="dxa"/>
            </w:tcMar>
            <w:vAlign w:val="center"/>
          </w:tcPr>
          <w:p w14:paraId="5280DFA9">
            <w:pPr>
              <w:spacing w:before="120" w:after="120" w:line="360" w:lineRule="exact"/>
              <w:jc w:val="center"/>
              <w:rPr>
                <w:rFonts w:ascii="宋体" w:hAnsi="宋体"/>
                <w:szCs w:val="24"/>
              </w:rPr>
            </w:pPr>
            <w:r>
              <w:rPr>
                <w:rFonts w:hint="eastAsia" w:ascii="宋体" w:hAnsi="宋体"/>
                <w:szCs w:val="24"/>
              </w:rPr>
              <w:t>服务内容及要求</w:t>
            </w:r>
          </w:p>
        </w:tc>
      </w:tr>
      <w:tr w14:paraId="5568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40AC2CC4">
            <w:pPr>
              <w:spacing w:before="120" w:after="120" w:line="360" w:lineRule="exact"/>
              <w:rPr>
                <w:rFonts w:ascii="宋体" w:hAnsi="宋体"/>
                <w:szCs w:val="24"/>
              </w:rPr>
            </w:pPr>
            <w:r>
              <w:rPr>
                <w:rFonts w:ascii="宋体" w:hAnsi="宋体"/>
                <w:szCs w:val="24"/>
              </w:rPr>
              <w:t>1</w:t>
            </w:r>
          </w:p>
        </w:tc>
        <w:tc>
          <w:tcPr>
            <w:tcW w:w="1276" w:type="dxa"/>
            <w:tcMar>
              <w:top w:w="60" w:type="dxa"/>
              <w:left w:w="120" w:type="dxa"/>
              <w:bottom w:w="30" w:type="dxa"/>
              <w:right w:w="120" w:type="dxa"/>
            </w:tcMar>
            <w:vAlign w:val="center"/>
          </w:tcPr>
          <w:p w14:paraId="177ECA92">
            <w:pPr>
              <w:spacing w:before="120" w:after="120" w:line="360" w:lineRule="exact"/>
              <w:rPr>
                <w:rFonts w:ascii="宋体" w:hAnsi="宋体"/>
                <w:szCs w:val="24"/>
              </w:rPr>
            </w:pPr>
            <w:r>
              <w:rPr>
                <w:rFonts w:ascii="宋体" w:hAnsi="宋体"/>
                <w:szCs w:val="24"/>
              </w:rPr>
              <w:t>维保服务</w:t>
            </w:r>
          </w:p>
        </w:tc>
        <w:tc>
          <w:tcPr>
            <w:tcW w:w="992" w:type="dxa"/>
            <w:tcMar>
              <w:top w:w="60" w:type="dxa"/>
              <w:left w:w="120" w:type="dxa"/>
              <w:bottom w:w="30" w:type="dxa"/>
              <w:right w:w="120" w:type="dxa"/>
            </w:tcMar>
            <w:vAlign w:val="center"/>
          </w:tcPr>
          <w:p w14:paraId="7000B5BA">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4153EA7E">
            <w:pPr>
              <w:spacing w:line="360" w:lineRule="exact"/>
              <w:rPr>
                <w:rFonts w:ascii="宋体" w:hAnsi="宋体" w:cs="宋体"/>
                <w:szCs w:val="24"/>
              </w:rPr>
            </w:pPr>
            <w:r>
              <w:rPr>
                <w:rFonts w:ascii="宋体" w:hAnsi="宋体" w:cs="宋体"/>
                <w:szCs w:val="24"/>
              </w:rPr>
              <w:t>1.服务范围：对企业微信认证、故障报修、会议申请、失物招领、文件管理、捐赠平台、在线考试、网络投票、调查问卷、图书查询、校车查询、消息批量发送等历史开发的微门户微应用，提供为期一年的运行维护服务，保障应用稳定可用；</w:t>
            </w:r>
          </w:p>
          <w:p w14:paraId="39C7CA49">
            <w:pPr>
              <w:spacing w:line="360" w:lineRule="exact"/>
              <w:rPr>
                <w:rFonts w:ascii="宋体" w:hAnsi="宋体" w:cs="宋体"/>
                <w:szCs w:val="24"/>
              </w:rPr>
            </w:pPr>
            <w:r>
              <w:rPr>
                <w:rFonts w:ascii="宋体" w:hAnsi="宋体" w:cs="宋体"/>
                <w:szCs w:val="24"/>
              </w:rPr>
              <w:t>2.运行监控：维保期内组建专业运维团队，实施7×24小时全天候运行监控与技术支持；</w:t>
            </w:r>
          </w:p>
          <w:p w14:paraId="6BD2050F">
            <w:pPr>
              <w:spacing w:line="360" w:lineRule="exact"/>
              <w:rPr>
                <w:rFonts w:ascii="宋体" w:hAnsi="宋体" w:cs="宋体"/>
                <w:szCs w:val="24"/>
              </w:rPr>
            </w:pPr>
            <w:r>
              <w:rPr>
                <w:rFonts w:ascii="宋体" w:hAnsi="宋体" w:cs="宋体"/>
                <w:szCs w:val="24"/>
              </w:rPr>
              <w:t>3. 故障处置：建立高效、规范的故障响应与处置机制，确保应用出现异常时第一时间发现、响应并按标准流程快速修复；</w:t>
            </w:r>
          </w:p>
          <w:p w14:paraId="6AFFF19D">
            <w:pPr>
              <w:spacing w:line="360" w:lineRule="exact"/>
              <w:rPr>
                <w:rFonts w:ascii="宋体" w:hAnsi="宋体" w:cs="宋体"/>
                <w:szCs w:val="24"/>
              </w:rPr>
            </w:pPr>
            <w:r>
              <w:rPr>
                <w:rFonts w:ascii="宋体" w:hAnsi="宋体" w:cs="宋体"/>
                <w:szCs w:val="24"/>
              </w:rPr>
              <w:t>4.系统优化：定期开展系统性能调优、安全漏洞扫描及修复工作，持续提升应用的稳定性、安全性与可用性，为微门户平台平稳高效运行提供保障。</w:t>
            </w:r>
          </w:p>
        </w:tc>
      </w:tr>
      <w:tr w14:paraId="218D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E0CFC5E">
            <w:pPr>
              <w:spacing w:before="120" w:after="120" w:line="360" w:lineRule="exact"/>
              <w:rPr>
                <w:rFonts w:ascii="宋体" w:hAnsi="宋体"/>
                <w:szCs w:val="24"/>
              </w:rPr>
            </w:pPr>
            <w:r>
              <w:rPr>
                <w:rFonts w:ascii="宋体" w:hAnsi="宋体"/>
                <w:szCs w:val="24"/>
              </w:rPr>
              <w:t>2</w:t>
            </w:r>
          </w:p>
        </w:tc>
        <w:tc>
          <w:tcPr>
            <w:tcW w:w="1276" w:type="dxa"/>
            <w:tcMar>
              <w:top w:w="60" w:type="dxa"/>
              <w:left w:w="120" w:type="dxa"/>
              <w:bottom w:w="30" w:type="dxa"/>
              <w:right w:w="120" w:type="dxa"/>
            </w:tcMar>
            <w:vAlign w:val="center"/>
          </w:tcPr>
          <w:p w14:paraId="1B8FBC23">
            <w:pPr>
              <w:spacing w:before="120" w:after="120" w:line="360" w:lineRule="exact"/>
              <w:rPr>
                <w:rFonts w:ascii="宋体" w:hAnsi="宋体"/>
                <w:szCs w:val="24"/>
              </w:rPr>
            </w:pPr>
            <w:r>
              <w:rPr>
                <w:rFonts w:ascii="宋体" w:hAnsi="宋体"/>
                <w:szCs w:val="24"/>
              </w:rPr>
              <w:t>故障报修应用升级</w:t>
            </w:r>
          </w:p>
        </w:tc>
        <w:tc>
          <w:tcPr>
            <w:tcW w:w="992" w:type="dxa"/>
            <w:tcMar>
              <w:top w:w="60" w:type="dxa"/>
              <w:left w:w="120" w:type="dxa"/>
              <w:bottom w:w="30" w:type="dxa"/>
              <w:right w:w="120" w:type="dxa"/>
            </w:tcMar>
            <w:vAlign w:val="center"/>
          </w:tcPr>
          <w:p w14:paraId="505B7D80">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10425659">
            <w:pPr>
              <w:spacing w:line="360" w:lineRule="exact"/>
              <w:rPr>
                <w:rFonts w:ascii="宋体" w:hAnsi="宋体" w:cs="宋体"/>
                <w:szCs w:val="24"/>
              </w:rPr>
            </w:pPr>
            <w:r>
              <w:rPr>
                <w:rFonts w:ascii="宋体" w:hAnsi="宋体" w:cs="宋体"/>
                <w:szCs w:val="24"/>
              </w:rPr>
              <w:t>1.流程优化：优化故障报修功能，构建灵活、高效的故障报修多级流转机制，支持便捷的手动转单、派单操作，方便后勤人员根据实际情况迅速、合理地分配任务；</w:t>
            </w:r>
          </w:p>
          <w:p w14:paraId="4A451A1B">
            <w:pPr>
              <w:spacing w:line="360" w:lineRule="exact"/>
              <w:rPr>
                <w:rFonts w:ascii="宋体" w:hAnsi="宋体" w:cs="宋体"/>
                <w:szCs w:val="24"/>
              </w:rPr>
            </w:pPr>
            <w:r>
              <w:rPr>
                <w:rFonts w:ascii="宋体" w:hAnsi="宋体" w:cs="宋体"/>
                <w:szCs w:val="24"/>
              </w:rPr>
              <w:t>2.预约功能：增加预约上门维修时间，师生提交报修时可选择期望维修时段，后勤人员根据日程确认后反馈；</w:t>
            </w:r>
          </w:p>
          <w:p w14:paraId="7BD9A6D4">
            <w:pPr>
              <w:spacing w:line="360" w:lineRule="exact"/>
              <w:rPr>
                <w:rFonts w:ascii="宋体" w:hAnsi="宋体" w:cs="宋体"/>
                <w:szCs w:val="24"/>
              </w:rPr>
            </w:pPr>
            <w:r>
              <w:rPr>
                <w:rFonts w:ascii="宋体" w:hAnsi="宋体" w:cs="宋体"/>
                <w:szCs w:val="24"/>
              </w:rPr>
              <w:t>3.数据统计：完善后台统计分析功能，运用数据处理技术对故障类型、处理时长、处理效率等关键数据进行深度挖掘与分析，为后勤部门优化故障处理流程提供数据支撑。</w:t>
            </w:r>
          </w:p>
        </w:tc>
      </w:tr>
      <w:tr w14:paraId="4638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C37463F">
            <w:pPr>
              <w:spacing w:before="120" w:after="120" w:line="360" w:lineRule="exact"/>
              <w:rPr>
                <w:rFonts w:ascii="宋体" w:hAnsi="宋体"/>
                <w:szCs w:val="24"/>
              </w:rPr>
            </w:pPr>
            <w:r>
              <w:rPr>
                <w:rFonts w:ascii="宋体" w:hAnsi="宋体"/>
                <w:szCs w:val="24"/>
              </w:rPr>
              <w:t>3</w:t>
            </w:r>
          </w:p>
        </w:tc>
        <w:tc>
          <w:tcPr>
            <w:tcW w:w="1276" w:type="dxa"/>
            <w:tcMar>
              <w:top w:w="60" w:type="dxa"/>
              <w:left w:w="120" w:type="dxa"/>
              <w:bottom w:w="30" w:type="dxa"/>
              <w:right w:w="120" w:type="dxa"/>
            </w:tcMar>
            <w:vAlign w:val="center"/>
          </w:tcPr>
          <w:p w14:paraId="1B9C6866">
            <w:pPr>
              <w:spacing w:before="120" w:after="120" w:line="360" w:lineRule="exact"/>
              <w:rPr>
                <w:rFonts w:ascii="宋体" w:hAnsi="宋体"/>
                <w:szCs w:val="24"/>
              </w:rPr>
            </w:pPr>
            <w:r>
              <w:rPr>
                <w:rFonts w:ascii="宋体" w:hAnsi="宋体"/>
                <w:szCs w:val="24"/>
              </w:rPr>
              <w:t>失物招领应用升级</w:t>
            </w:r>
          </w:p>
        </w:tc>
        <w:tc>
          <w:tcPr>
            <w:tcW w:w="992" w:type="dxa"/>
            <w:tcMar>
              <w:top w:w="60" w:type="dxa"/>
              <w:left w:w="120" w:type="dxa"/>
              <w:bottom w:w="30" w:type="dxa"/>
              <w:right w:w="120" w:type="dxa"/>
            </w:tcMar>
            <w:vAlign w:val="center"/>
          </w:tcPr>
          <w:p w14:paraId="077306EC">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71FABB50">
            <w:pPr>
              <w:spacing w:line="360" w:lineRule="exact"/>
              <w:rPr>
                <w:rFonts w:ascii="宋体" w:hAnsi="宋体" w:cs="宋体"/>
                <w:szCs w:val="24"/>
              </w:rPr>
            </w:pPr>
            <w:r>
              <w:rPr>
                <w:rFonts w:ascii="宋体" w:hAnsi="宋体" w:cs="宋体"/>
                <w:szCs w:val="24"/>
              </w:rPr>
              <w:t>1.提醒交互功能：增加招领人精准提醒、交互功能，根据失物信息和招领人相关信息实现精准推送提醒消息，及时更新招领状态（待确认、已匹配、已领取），提高招领成功率；</w:t>
            </w:r>
          </w:p>
          <w:p w14:paraId="5D4A5E8D">
            <w:pPr>
              <w:spacing w:line="360" w:lineRule="exact"/>
              <w:rPr>
                <w:rFonts w:ascii="宋体" w:hAnsi="宋体" w:cs="宋体"/>
                <w:szCs w:val="24"/>
              </w:rPr>
            </w:pPr>
            <w:r>
              <w:rPr>
                <w:rFonts w:ascii="宋体" w:hAnsi="宋体" w:cs="宋体"/>
                <w:szCs w:val="24"/>
              </w:rPr>
              <w:t>2.校区划分：增加校区划分模块，师生可按校区查询失物/招领信息，后台可分别统计各校区失物招领数据；</w:t>
            </w:r>
          </w:p>
          <w:p w14:paraId="091C9774">
            <w:pPr>
              <w:spacing w:line="360" w:lineRule="exact"/>
              <w:rPr>
                <w:rFonts w:ascii="宋体" w:hAnsi="宋体" w:cs="宋体"/>
                <w:szCs w:val="24"/>
              </w:rPr>
            </w:pPr>
            <w:r>
              <w:rPr>
                <w:rFonts w:ascii="宋体" w:hAnsi="宋体" w:cs="宋体"/>
                <w:szCs w:val="24"/>
              </w:rPr>
              <w:t>3.统计分析：优化招领成功率统计算法，完善后台数据统计分析功能，可对失物类型、招领周期、招领区域等多维度数据进行详细统计与分析。</w:t>
            </w:r>
          </w:p>
        </w:tc>
      </w:tr>
      <w:tr w14:paraId="5C2E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45A5BE0E">
            <w:pPr>
              <w:spacing w:before="120" w:after="120" w:line="360" w:lineRule="exact"/>
              <w:rPr>
                <w:rFonts w:ascii="宋体" w:hAnsi="宋体"/>
                <w:szCs w:val="24"/>
              </w:rPr>
            </w:pPr>
            <w:r>
              <w:rPr>
                <w:rFonts w:ascii="宋体" w:hAnsi="宋体"/>
                <w:szCs w:val="24"/>
              </w:rPr>
              <w:t>4</w:t>
            </w:r>
          </w:p>
        </w:tc>
        <w:tc>
          <w:tcPr>
            <w:tcW w:w="1276" w:type="dxa"/>
            <w:tcMar>
              <w:top w:w="60" w:type="dxa"/>
              <w:left w:w="120" w:type="dxa"/>
              <w:bottom w:w="30" w:type="dxa"/>
              <w:right w:w="120" w:type="dxa"/>
            </w:tcMar>
            <w:vAlign w:val="center"/>
          </w:tcPr>
          <w:p w14:paraId="6322E551">
            <w:pPr>
              <w:spacing w:before="120" w:after="120" w:line="360" w:lineRule="exact"/>
              <w:rPr>
                <w:rFonts w:ascii="宋体" w:hAnsi="宋体"/>
                <w:szCs w:val="24"/>
              </w:rPr>
            </w:pPr>
            <w:r>
              <w:rPr>
                <w:rFonts w:ascii="宋体" w:hAnsi="宋体"/>
                <w:szCs w:val="24"/>
              </w:rPr>
              <w:t>在线考试应用升级</w:t>
            </w:r>
          </w:p>
        </w:tc>
        <w:tc>
          <w:tcPr>
            <w:tcW w:w="992" w:type="dxa"/>
            <w:tcMar>
              <w:top w:w="60" w:type="dxa"/>
              <w:left w:w="120" w:type="dxa"/>
              <w:bottom w:w="30" w:type="dxa"/>
              <w:right w:w="120" w:type="dxa"/>
            </w:tcMar>
            <w:vAlign w:val="center"/>
          </w:tcPr>
          <w:p w14:paraId="37C99004">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7DD85F43">
            <w:pPr>
              <w:spacing w:line="360" w:lineRule="exact"/>
              <w:rPr>
                <w:rFonts w:ascii="宋体" w:hAnsi="宋体" w:cs="宋体"/>
                <w:szCs w:val="24"/>
              </w:rPr>
            </w:pPr>
            <w:r>
              <w:rPr>
                <w:rFonts w:ascii="宋体" w:hAnsi="宋体" w:cs="宋体"/>
                <w:szCs w:val="24"/>
              </w:rPr>
              <w:t xml:space="preserve">1.题库功能：新增题库功能，管理员可编辑和上传题库内容，支持筛选题目自动生成考试试卷； </w:t>
            </w:r>
          </w:p>
          <w:p w14:paraId="577CE671">
            <w:pPr>
              <w:spacing w:line="360" w:lineRule="exact"/>
              <w:rPr>
                <w:rFonts w:ascii="宋体" w:hAnsi="宋体" w:cs="宋体"/>
                <w:szCs w:val="24"/>
              </w:rPr>
            </w:pPr>
            <w:r>
              <w:rPr>
                <w:rFonts w:ascii="宋体" w:hAnsi="宋体" w:cs="宋体"/>
                <w:szCs w:val="24"/>
              </w:rPr>
              <w:t>2.题目操作：试卷的题目和选项顺序可设置为随机；题目</w:t>
            </w:r>
            <w:r>
              <w:rPr>
                <w:rFonts w:hint="eastAsia" w:ascii="宋体" w:hAnsi="宋体" w:cs="宋体"/>
                <w:szCs w:val="24"/>
              </w:rPr>
              <w:t>同时</w:t>
            </w:r>
            <w:r>
              <w:rPr>
                <w:rFonts w:ascii="宋体" w:hAnsi="宋体" w:cs="宋体"/>
                <w:szCs w:val="24"/>
              </w:rPr>
              <w:t>支持拖拉拽排序和预览；</w:t>
            </w:r>
          </w:p>
          <w:p w14:paraId="4E55834D">
            <w:pPr>
              <w:spacing w:line="360" w:lineRule="exact"/>
              <w:rPr>
                <w:rFonts w:ascii="宋体" w:hAnsi="宋体" w:cs="宋体"/>
                <w:szCs w:val="24"/>
              </w:rPr>
            </w:pPr>
            <w:r>
              <w:rPr>
                <w:rFonts w:ascii="宋体" w:hAnsi="宋体" w:cs="宋体"/>
                <w:szCs w:val="24"/>
              </w:rPr>
              <w:t>3.时间提醒：考试开始时间和结束时间提醒更智能；</w:t>
            </w:r>
          </w:p>
          <w:p w14:paraId="5F1264A1">
            <w:pPr>
              <w:spacing w:line="360" w:lineRule="exact"/>
              <w:rPr>
                <w:rFonts w:ascii="宋体" w:hAnsi="宋体" w:cs="宋体"/>
                <w:szCs w:val="24"/>
              </w:rPr>
            </w:pPr>
            <w:r>
              <w:rPr>
                <w:rFonts w:ascii="宋体" w:hAnsi="宋体" w:cs="宋体"/>
                <w:szCs w:val="24"/>
              </w:rPr>
              <w:t>4.权限管理：用户登录后台只能查看到管理员开放的答题库和自己发布的考试，管理员可查看所有题库和考试；</w:t>
            </w:r>
          </w:p>
          <w:p w14:paraId="17C67B57">
            <w:pPr>
              <w:spacing w:line="360" w:lineRule="exact"/>
              <w:rPr>
                <w:rFonts w:ascii="宋体" w:hAnsi="宋体"/>
                <w:szCs w:val="24"/>
              </w:rPr>
            </w:pPr>
            <w:r>
              <w:rPr>
                <w:rFonts w:ascii="宋体" w:hAnsi="宋体" w:cs="宋体"/>
                <w:szCs w:val="24"/>
              </w:rPr>
              <w:t>5. 结果管理：统计结果支持实时预览，能查看已交卷和未交卷人数，考试结果支持筛选查询和导出。</w:t>
            </w:r>
          </w:p>
        </w:tc>
      </w:tr>
      <w:tr w14:paraId="1B16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EBF7262">
            <w:pPr>
              <w:spacing w:before="120" w:after="120" w:line="360" w:lineRule="exact"/>
              <w:rPr>
                <w:rFonts w:ascii="宋体" w:hAnsi="宋体"/>
                <w:szCs w:val="24"/>
              </w:rPr>
            </w:pPr>
            <w:r>
              <w:rPr>
                <w:rFonts w:ascii="宋体" w:hAnsi="宋体"/>
                <w:szCs w:val="24"/>
              </w:rPr>
              <w:t>5</w:t>
            </w:r>
          </w:p>
        </w:tc>
        <w:tc>
          <w:tcPr>
            <w:tcW w:w="1276" w:type="dxa"/>
            <w:tcMar>
              <w:top w:w="60" w:type="dxa"/>
              <w:left w:w="120" w:type="dxa"/>
              <w:bottom w:w="30" w:type="dxa"/>
              <w:right w:w="120" w:type="dxa"/>
            </w:tcMar>
            <w:vAlign w:val="center"/>
          </w:tcPr>
          <w:p w14:paraId="1F777B92">
            <w:pPr>
              <w:spacing w:before="120" w:after="120" w:line="360" w:lineRule="exact"/>
              <w:rPr>
                <w:rFonts w:ascii="宋体" w:hAnsi="宋体"/>
                <w:szCs w:val="24"/>
              </w:rPr>
            </w:pPr>
            <w:r>
              <w:rPr>
                <w:rFonts w:ascii="宋体" w:hAnsi="宋体"/>
                <w:szCs w:val="24"/>
              </w:rPr>
              <w:t>问卷调查应用升级</w:t>
            </w:r>
          </w:p>
        </w:tc>
        <w:tc>
          <w:tcPr>
            <w:tcW w:w="992" w:type="dxa"/>
            <w:tcMar>
              <w:top w:w="60" w:type="dxa"/>
              <w:left w:w="120" w:type="dxa"/>
              <w:bottom w:w="30" w:type="dxa"/>
              <w:right w:w="120" w:type="dxa"/>
            </w:tcMar>
            <w:vAlign w:val="center"/>
          </w:tcPr>
          <w:p w14:paraId="2D401E27">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7756AEAD">
            <w:pPr>
              <w:spacing w:before="120" w:after="120" w:line="360" w:lineRule="exact"/>
              <w:rPr>
                <w:rFonts w:ascii="宋体" w:hAnsi="宋体"/>
                <w:szCs w:val="24"/>
              </w:rPr>
            </w:pPr>
            <w:r>
              <w:rPr>
                <w:rFonts w:ascii="宋体" w:hAnsi="宋体"/>
                <w:szCs w:val="24"/>
              </w:rPr>
              <w:t>1.需求适配与体验优化：根据学校使用需求进行升级，从界面设计、操作流程等方面优化用户体验，使应用更简洁、美观、易用；</w:t>
            </w:r>
          </w:p>
          <w:p w14:paraId="6723C16C">
            <w:pPr>
              <w:spacing w:before="120" w:after="120" w:line="360" w:lineRule="exact"/>
              <w:rPr>
                <w:rFonts w:ascii="宋体" w:hAnsi="宋体"/>
                <w:szCs w:val="24"/>
              </w:rPr>
            </w:pPr>
            <w:r>
              <w:rPr>
                <w:rFonts w:ascii="宋体" w:hAnsi="宋体"/>
                <w:szCs w:val="24"/>
              </w:rPr>
              <w:t>2.bug修复：修复应用存在的各类bug，确保应用稳定、可靠运行，便于在学校范围内广泛推广和有效应用。</w:t>
            </w:r>
          </w:p>
        </w:tc>
      </w:tr>
      <w:tr w14:paraId="3EC5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2E9FFBE">
            <w:pPr>
              <w:spacing w:before="120" w:after="120" w:line="360" w:lineRule="exact"/>
              <w:rPr>
                <w:rFonts w:ascii="宋体" w:hAnsi="宋体"/>
                <w:szCs w:val="24"/>
              </w:rPr>
            </w:pPr>
            <w:r>
              <w:rPr>
                <w:rFonts w:ascii="宋体" w:hAnsi="宋体"/>
                <w:szCs w:val="24"/>
              </w:rPr>
              <w:t>6</w:t>
            </w:r>
          </w:p>
        </w:tc>
        <w:tc>
          <w:tcPr>
            <w:tcW w:w="1276" w:type="dxa"/>
            <w:tcMar>
              <w:top w:w="60" w:type="dxa"/>
              <w:left w:w="120" w:type="dxa"/>
              <w:bottom w:w="30" w:type="dxa"/>
              <w:right w:w="120" w:type="dxa"/>
            </w:tcMar>
            <w:vAlign w:val="center"/>
          </w:tcPr>
          <w:p w14:paraId="6E8812C2">
            <w:pPr>
              <w:spacing w:before="120" w:after="120" w:line="360" w:lineRule="exact"/>
              <w:rPr>
                <w:rFonts w:ascii="宋体" w:hAnsi="宋体"/>
                <w:szCs w:val="24"/>
              </w:rPr>
            </w:pPr>
            <w:r>
              <w:rPr>
                <w:rFonts w:ascii="宋体" w:hAnsi="宋体"/>
                <w:szCs w:val="24"/>
              </w:rPr>
              <w:t>网络投票应用升级</w:t>
            </w:r>
          </w:p>
        </w:tc>
        <w:tc>
          <w:tcPr>
            <w:tcW w:w="992" w:type="dxa"/>
            <w:tcMar>
              <w:top w:w="60" w:type="dxa"/>
              <w:left w:w="120" w:type="dxa"/>
              <w:bottom w:w="30" w:type="dxa"/>
              <w:right w:w="120" w:type="dxa"/>
            </w:tcMar>
            <w:vAlign w:val="center"/>
          </w:tcPr>
          <w:p w14:paraId="74746897">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38DC1C0D">
            <w:pPr>
              <w:spacing w:before="120" w:after="120" w:line="360" w:lineRule="exact"/>
              <w:rPr>
                <w:rFonts w:ascii="宋体" w:hAnsi="宋体"/>
                <w:szCs w:val="24"/>
              </w:rPr>
            </w:pPr>
            <w:r>
              <w:rPr>
                <w:rFonts w:ascii="宋体" w:hAnsi="宋体"/>
                <w:szCs w:val="24"/>
              </w:rPr>
              <w:t>1.需求适配与体验优化：根据学校使用需求进行升级，优化用户体验，改进界面设计使其更加美观大方，简化操作流程让师生能够轻松上手；</w:t>
            </w:r>
          </w:p>
          <w:p w14:paraId="0FBE6185">
            <w:pPr>
              <w:spacing w:before="120" w:after="120" w:line="360" w:lineRule="exact"/>
              <w:rPr>
                <w:rFonts w:ascii="宋体" w:hAnsi="宋体"/>
                <w:szCs w:val="24"/>
              </w:rPr>
            </w:pPr>
            <w:r>
              <w:rPr>
                <w:rFonts w:ascii="宋体" w:hAnsi="宋体"/>
                <w:szCs w:val="24"/>
              </w:rPr>
              <w:t>2.bug修复：修复应用存在的bug，确保应用稳定、高效运行，便于推广使用，为学校投票活动提供坚实技术保障。</w:t>
            </w:r>
          </w:p>
        </w:tc>
      </w:tr>
      <w:tr w14:paraId="7A4C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06" w:type="dxa"/>
            <w:gridSpan w:val="4"/>
            <w:tcMar>
              <w:top w:w="60" w:type="dxa"/>
              <w:left w:w="120" w:type="dxa"/>
              <w:bottom w:w="30" w:type="dxa"/>
              <w:right w:w="120" w:type="dxa"/>
            </w:tcMar>
            <w:vAlign w:val="center"/>
          </w:tcPr>
          <w:p w14:paraId="1210FF4C">
            <w:pPr>
              <w:spacing w:before="120" w:after="120" w:line="360" w:lineRule="exact"/>
              <w:rPr>
                <w:rFonts w:ascii="宋体" w:hAnsi="宋体"/>
                <w:szCs w:val="24"/>
              </w:rPr>
            </w:pPr>
            <w:r>
              <w:rPr>
                <w:rFonts w:hint="eastAsia" w:ascii="宋体" w:hAnsi="宋体" w:cs="宋体"/>
                <w:szCs w:val="24"/>
              </w:rPr>
              <w:t>▲</w:t>
            </w:r>
            <w:r>
              <w:rPr>
                <w:rFonts w:hint="eastAsia" w:ascii="宋体" w:hAnsi="宋体"/>
                <w:szCs w:val="24"/>
              </w:rPr>
              <w:t>商务条款</w:t>
            </w:r>
          </w:p>
        </w:tc>
      </w:tr>
      <w:tr w14:paraId="57D7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354D5751">
            <w:pPr>
              <w:spacing w:line="360" w:lineRule="exact"/>
              <w:rPr>
                <w:rFonts w:ascii="宋体" w:hAnsi="宋体" w:cs="宋体"/>
                <w:szCs w:val="24"/>
              </w:rPr>
            </w:pPr>
            <w:bookmarkStart w:id="5" w:name="_Hlk114761486"/>
            <w:r>
              <w:rPr>
                <w:rFonts w:hint="eastAsia" w:ascii="宋体" w:hAnsi="宋体" w:cs="宋体"/>
                <w:szCs w:val="24"/>
              </w:rPr>
              <w:t>服务(交付)期限</w:t>
            </w:r>
            <w:bookmarkEnd w:id="5"/>
          </w:p>
        </w:tc>
        <w:tc>
          <w:tcPr>
            <w:tcW w:w="7535" w:type="dxa"/>
            <w:gridSpan w:val="3"/>
            <w:vAlign w:val="center"/>
          </w:tcPr>
          <w:p w14:paraId="38EA4918">
            <w:pPr>
              <w:spacing w:line="360" w:lineRule="exact"/>
              <w:rPr>
                <w:rFonts w:ascii="宋体" w:hAnsi="宋体" w:cs="宋体"/>
                <w:szCs w:val="24"/>
              </w:rPr>
            </w:pPr>
            <w:r>
              <w:rPr>
                <w:rFonts w:hint="eastAsia" w:ascii="宋体" w:hAnsi="宋体" w:cs="宋体"/>
                <w:szCs w:val="24"/>
              </w:rPr>
              <w:t>按合同签订日期起算，应用升级服务在</w:t>
            </w:r>
            <w:r>
              <w:rPr>
                <w:rFonts w:hint="eastAsia" w:ascii="宋体" w:hAnsi="宋体" w:cs="宋体"/>
                <w:szCs w:val="24"/>
                <w:lang w:val="en-US" w:eastAsia="zh-CN"/>
              </w:rPr>
              <w:t>20</w:t>
            </w:r>
            <w:r>
              <w:rPr>
                <w:rFonts w:hint="eastAsia" w:ascii="宋体" w:hAnsi="宋体" w:cs="宋体"/>
                <w:szCs w:val="24"/>
              </w:rPr>
              <w:t>天（日历日）内完成，维保服务为1年。</w:t>
            </w:r>
          </w:p>
        </w:tc>
      </w:tr>
      <w:tr w14:paraId="4582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0126588C">
            <w:pPr>
              <w:spacing w:line="360" w:lineRule="exact"/>
              <w:rPr>
                <w:rFonts w:ascii="宋体" w:hAnsi="宋体" w:cs="宋体"/>
                <w:szCs w:val="24"/>
              </w:rPr>
            </w:pPr>
            <w:r>
              <w:rPr>
                <w:rFonts w:hint="eastAsia" w:ascii="宋体" w:hAnsi="宋体" w:cs="宋体"/>
                <w:szCs w:val="24"/>
              </w:rPr>
              <w:t>服务(交付)地点</w:t>
            </w:r>
          </w:p>
        </w:tc>
        <w:tc>
          <w:tcPr>
            <w:tcW w:w="7535" w:type="dxa"/>
            <w:gridSpan w:val="3"/>
            <w:vAlign w:val="center"/>
          </w:tcPr>
          <w:p w14:paraId="7539E5B9">
            <w:pPr>
              <w:spacing w:line="360" w:lineRule="exact"/>
              <w:rPr>
                <w:rFonts w:hint="eastAsia" w:ascii="宋体" w:hAnsi="宋体" w:eastAsia="宋体" w:cs="宋体"/>
                <w:szCs w:val="24"/>
                <w:lang w:eastAsia="zh-CN"/>
              </w:rPr>
            </w:pPr>
            <w:r>
              <w:rPr>
                <w:rFonts w:hint="eastAsia" w:ascii="宋体" w:hAnsi="宋体" w:cs="宋体"/>
                <w:szCs w:val="24"/>
              </w:rPr>
              <w:t>广西艺术学院指定地点</w:t>
            </w:r>
            <w:r>
              <w:rPr>
                <w:rFonts w:hint="eastAsia" w:ascii="宋体" w:hAnsi="宋体" w:cs="宋体"/>
                <w:szCs w:val="24"/>
                <w:lang w:eastAsia="zh-CN"/>
              </w:rPr>
              <w:t>。</w:t>
            </w:r>
          </w:p>
        </w:tc>
      </w:tr>
      <w:tr w14:paraId="4F8B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18FF0970">
            <w:pPr>
              <w:spacing w:line="360" w:lineRule="exact"/>
              <w:rPr>
                <w:rFonts w:ascii="宋体" w:hAnsi="宋体"/>
                <w:szCs w:val="24"/>
              </w:rPr>
            </w:pPr>
            <w:r>
              <w:rPr>
                <w:rFonts w:ascii="宋体" w:hAnsi="宋体"/>
                <w:szCs w:val="24"/>
              </w:rPr>
              <w:t>付款条件</w:t>
            </w:r>
          </w:p>
        </w:tc>
        <w:tc>
          <w:tcPr>
            <w:tcW w:w="7535" w:type="dxa"/>
            <w:gridSpan w:val="3"/>
            <w:vAlign w:val="center"/>
          </w:tcPr>
          <w:p w14:paraId="38D3D20B">
            <w:pPr>
              <w:spacing w:line="360" w:lineRule="exact"/>
              <w:rPr>
                <w:rFonts w:ascii="宋体" w:hAnsi="宋体"/>
                <w:szCs w:val="24"/>
              </w:rPr>
            </w:pPr>
            <w:r>
              <w:rPr>
                <w:rFonts w:ascii="宋体" w:hAnsi="宋体"/>
                <w:szCs w:val="24"/>
              </w:rPr>
              <w:t>1. 合同签订后，乙方需向甲方支付合同金额</w:t>
            </w:r>
            <w:r>
              <w:rPr>
                <w:rFonts w:hint="eastAsia" w:ascii="宋体" w:hAnsi="宋体"/>
                <w:szCs w:val="24"/>
              </w:rPr>
              <w:t>5</w:t>
            </w:r>
            <w:r>
              <w:rPr>
                <w:rFonts w:ascii="宋体" w:hAnsi="宋体"/>
                <w:szCs w:val="24"/>
              </w:rPr>
              <w:t>%的履约保证金；</w:t>
            </w:r>
          </w:p>
          <w:p w14:paraId="31DCD3FE">
            <w:pPr>
              <w:spacing w:line="360" w:lineRule="exact"/>
              <w:rPr>
                <w:rFonts w:ascii="宋体" w:hAnsi="宋体"/>
                <w:szCs w:val="24"/>
              </w:rPr>
            </w:pPr>
            <w:r>
              <w:rPr>
                <w:rFonts w:ascii="宋体" w:hAnsi="宋体"/>
                <w:szCs w:val="24"/>
              </w:rPr>
              <w:t>2. 应用升级完成并验收通过后，甲方支付合同金额100%款项，乙方需开具等额普通发票；</w:t>
            </w:r>
          </w:p>
          <w:p w14:paraId="7ED572EF">
            <w:pPr>
              <w:spacing w:line="360" w:lineRule="exact"/>
              <w:rPr>
                <w:rFonts w:ascii="宋体" w:hAnsi="宋体"/>
                <w:szCs w:val="24"/>
              </w:rPr>
            </w:pPr>
            <w:r>
              <w:rPr>
                <w:rFonts w:ascii="宋体" w:hAnsi="宋体"/>
                <w:szCs w:val="24"/>
              </w:rPr>
              <w:t>3. 质保期为一年，质保期满后无质量问题，乙方可申请退还履约保证金。</w:t>
            </w:r>
          </w:p>
        </w:tc>
      </w:tr>
      <w:tr w14:paraId="35F3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72B44B0D">
            <w:pPr>
              <w:spacing w:before="120" w:after="120" w:line="360" w:lineRule="exact"/>
              <w:rPr>
                <w:rFonts w:ascii="宋体" w:hAnsi="宋体"/>
                <w:szCs w:val="24"/>
              </w:rPr>
            </w:pPr>
            <w:r>
              <w:rPr>
                <w:rFonts w:hint="eastAsia" w:ascii="宋体" w:hAnsi="宋体"/>
                <w:szCs w:val="24"/>
              </w:rPr>
              <w:t>售后服务要求</w:t>
            </w:r>
          </w:p>
        </w:tc>
        <w:tc>
          <w:tcPr>
            <w:tcW w:w="7535" w:type="dxa"/>
            <w:gridSpan w:val="3"/>
            <w:vAlign w:val="center"/>
          </w:tcPr>
          <w:p w14:paraId="033B3569">
            <w:pPr>
              <w:spacing w:line="360" w:lineRule="exact"/>
              <w:rPr>
                <w:rFonts w:ascii="宋体" w:hAnsi="宋体" w:cs="宋体"/>
                <w:szCs w:val="24"/>
              </w:rPr>
            </w:pPr>
            <w:r>
              <w:rPr>
                <w:rFonts w:ascii="宋体" w:hAnsi="宋体" w:cs="宋体"/>
                <w:szCs w:val="24"/>
              </w:rPr>
              <w:t>1.服务期限：自</w:t>
            </w:r>
            <w:r>
              <w:rPr>
                <w:rFonts w:hint="eastAsia" w:ascii="宋体" w:hAnsi="宋体" w:cs="宋体"/>
                <w:szCs w:val="24"/>
              </w:rPr>
              <w:t>合同</w:t>
            </w:r>
            <w:r>
              <w:rPr>
                <w:rFonts w:ascii="宋体" w:hAnsi="宋体" w:cs="宋体"/>
                <w:szCs w:val="24"/>
              </w:rPr>
              <w:t>验收合格之日起提供1年免费售后服务期；</w:t>
            </w:r>
          </w:p>
          <w:p w14:paraId="39D84D91">
            <w:pPr>
              <w:spacing w:line="360" w:lineRule="exact"/>
              <w:rPr>
                <w:rFonts w:ascii="宋体" w:hAnsi="宋体" w:cs="宋体"/>
                <w:szCs w:val="24"/>
              </w:rPr>
            </w:pPr>
            <w:r>
              <w:rPr>
                <w:rFonts w:ascii="宋体" w:hAnsi="宋体" w:cs="宋体"/>
                <w:szCs w:val="24"/>
              </w:rPr>
              <w:t>2.响应机制：提供7×24小时技术支持，电话、远程响应不超过1小时，远程无法解决的重大故障12小时内到场处理，重大活动前开展专项检查并安排专人值守；</w:t>
            </w:r>
          </w:p>
          <w:p w14:paraId="08F5267F">
            <w:pPr>
              <w:spacing w:line="360" w:lineRule="exact"/>
              <w:rPr>
                <w:rFonts w:ascii="宋体" w:hAnsi="宋体" w:cs="宋体"/>
                <w:szCs w:val="24"/>
              </w:rPr>
            </w:pPr>
            <w:r>
              <w:rPr>
                <w:rFonts w:ascii="宋体" w:hAnsi="宋体" w:cs="宋体"/>
                <w:szCs w:val="24"/>
              </w:rPr>
              <w:t>3.维护内容：免费提供系统bug修复、性能优化及版本升级服务，配合学校业务调整提供合理范围内的功能适配；</w:t>
            </w:r>
          </w:p>
          <w:p w14:paraId="4A2E3DF2">
            <w:pPr>
              <w:spacing w:line="360" w:lineRule="exact"/>
              <w:rPr>
                <w:rFonts w:ascii="宋体" w:hAnsi="宋体" w:cs="宋体"/>
                <w:szCs w:val="24"/>
              </w:rPr>
            </w:pPr>
            <w:r>
              <w:rPr>
                <w:rFonts w:ascii="宋体" w:hAnsi="宋体" w:cs="宋体"/>
                <w:szCs w:val="24"/>
              </w:rPr>
              <w:t>4.服务反馈：建立服务台账记录故障处理及维护情况，每月提交台账汇总，售后服务期满前提交含服务统计及优化建议的总结报告；</w:t>
            </w:r>
          </w:p>
          <w:p w14:paraId="5EF981EE">
            <w:pPr>
              <w:spacing w:line="360" w:lineRule="exact"/>
              <w:rPr>
                <w:rFonts w:ascii="宋体" w:hAnsi="宋体" w:cs="宋体"/>
                <w:szCs w:val="24"/>
              </w:rPr>
            </w:pPr>
            <w:r>
              <w:rPr>
                <w:rFonts w:ascii="宋体" w:hAnsi="宋体" w:cs="宋体"/>
                <w:szCs w:val="24"/>
              </w:rPr>
              <w:t>5.培训支持：提供管理员操作培训，确保其掌握系统使用及基础问题排查方法。</w:t>
            </w:r>
          </w:p>
        </w:tc>
      </w:tr>
      <w:tr w14:paraId="132D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6361CEB3">
            <w:pPr>
              <w:spacing w:line="360" w:lineRule="exact"/>
              <w:rPr>
                <w:rFonts w:ascii="宋体" w:hAnsi="宋体" w:cs="宋体"/>
                <w:szCs w:val="24"/>
              </w:rPr>
            </w:pPr>
            <w:r>
              <w:rPr>
                <w:rFonts w:hint="eastAsia" w:ascii="宋体" w:hAnsi="宋体" w:cs="宋体"/>
                <w:szCs w:val="24"/>
              </w:rPr>
              <w:t>保密要求</w:t>
            </w:r>
          </w:p>
        </w:tc>
        <w:tc>
          <w:tcPr>
            <w:tcW w:w="7535" w:type="dxa"/>
            <w:gridSpan w:val="3"/>
            <w:vAlign w:val="center"/>
          </w:tcPr>
          <w:p w14:paraId="198B1C10">
            <w:pPr>
              <w:spacing w:line="360" w:lineRule="exact"/>
              <w:rPr>
                <w:rFonts w:ascii="宋体" w:hAnsi="宋体" w:cs="宋体"/>
                <w:szCs w:val="24"/>
              </w:rPr>
            </w:pPr>
            <w:r>
              <w:rPr>
                <w:rFonts w:hint="eastAsia" w:ascii="宋体" w:hAnsi="宋体" w:cs="宋体"/>
                <w:szCs w:val="24"/>
              </w:rPr>
              <w:t>成交供应商必须对项目技术文件以及</w:t>
            </w:r>
            <w:r>
              <w:rPr>
                <w:rFonts w:hint="eastAsia" w:ascii="宋体" w:hAnsi="宋体"/>
                <w:szCs w:val="24"/>
              </w:rPr>
              <w:t>采购人</w:t>
            </w:r>
            <w:r>
              <w:rPr>
                <w:rFonts w:hint="eastAsia" w:ascii="宋体" w:hAnsi="宋体" w:cs="宋体"/>
                <w:szCs w:val="24"/>
              </w:rPr>
              <w:t>学校机密或商业秘密保密，保密范围包括项目信息、技术情况、数据资料。未经采购人书面许可，成交供应商不得以任何形式向第三方透露本项目标书以及本项目的任何内容，不得私自保存有关内容。</w:t>
            </w:r>
          </w:p>
        </w:tc>
      </w:tr>
      <w:tr w14:paraId="08E8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60240A41">
            <w:pPr>
              <w:spacing w:line="360" w:lineRule="exact"/>
              <w:rPr>
                <w:rFonts w:ascii="宋体" w:hAnsi="宋体" w:cs="宋体"/>
                <w:szCs w:val="24"/>
              </w:rPr>
            </w:pPr>
            <w:r>
              <w:rPr>
                <w:rFonts w:hint="eastAsia" w:ascii="宋体" w:hAnsi="宋体" w:cs="宋体"/>
                <w:szCs w:val="24"/>
              </w:rPr>
              <w:t>知识产权要求</w:t>
            </w:r>
          </w:p>
        </w:tc>
        <w:tc>
          <w:tcPr>
            <w:tcW w:w="7535" w:type="dxa"/>
            <w:gridSpan w:val="3"/>
            <w:vAlign w:val="center"/>
          </w:tcPr>
          <w:p w14:paraId="49E6FC20">
            <w:pPr>
              <w:spacing w:line="360" w:lineRule="exact"/>
              <w:rPr>
                <w:rFonts w:ascii="宋体" w:hAnsi="宋体" w:cs="宋体"/>
                <w:szCs w:val="24"/>
              </w:rPr>
            </w:pPr>
            <w:r>
              <w:rPr>
                <w:rFonts w:hint="eastAsia" w:ascii="宋体" w:hAnsi="宋体" w:cs="宋体"/>
                <w:szCs w:val="24"/>
              </w:rPr>
              <w:t>成交供应商有不可争议的义务确保采购人依据本次采购所获得的知识产权不存在任何瑕疵并且可以不受限制地行使相关权利，包括各项延伸权利。若因此发生任何争议均应当由成交供应商承担全部及任何责任，包括但不限于应当承担其自身及采购人为排除任何争议或瑕疵所应当或所需支附的一切相关或由此引起的费用。</w:t>
            </w:r>
          </w:p>
        </w:tc>
      </w:tr>
      <w:tr w14:paraId="435B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6B1D8476">
            <w:pPr>
              <w:spacing w:line="360" w:lineRule="exact"/>
              <w:rPr>
                <w:rFonts w:ascii="宋体" w:hAnsi="宋体" w:cs="宋体"/>
                <w:szCs w:val="24"/>
              </w:rPr>
            </w:pPr>
            <w:r>
              <w:rPr>
                <w:rFonts w:hint="eastAsia" w:ascii="宋体" w:hAnsi="宋体" w:cs="宋体"/>
                <w:szCs w:val="24"/>
              </w:rPr>
              <w:t>其他要求</w:t>
            </w:r>
          </w:p>
        </w:tc>
        <w:tc>
          <w:tcPr>
            <w:tcW w:w="7535" w:type="dxa"/>
            <w:gridSpan w:val="3"/>
            <w:vAlign w:val="center"/>
          </w:tcPr>
          <w:p w14:paraId="36A4B352">
            <w:pPr>
              <w:spacing w:line="360" w:lineRule="exact"/>
              <w:rPr>
                <w:rFonts w:ascii="宋体" w:hAnsi="宋体" w:cs="宋体"/>
                <w:szCs w:val="24"/>
              </w:rPr>
            </w:pPr>
            <w:r>
              <w:rPr>
                <w:rFonts w:ascii="宋体" w:hAnsi="宋体" w:cs="宋体"/>
                <w:szCs w:val="24"/>
              </w:rPr>
              <w:t>本项目不接受联合体</w:t>
            </w:r>
            <w:r>
              <w:rPr>
                <w:rFonts w:hint="eastAsia" w:ascii="宋体" w:hAnsi="宋体" w:cs="宋体"/>
                <w:szCs w:val="24"/>
                <w:lang w:val="en-US" w:eastAsia="zh-CN"/>
              </w:rPr>
              <w:t>竞标</w:t>
            </w:r>
            <w:r>
              <w:rPr>
                <w:rFonts w:ascii="宋体" w:hAnsi="宋体" w:cs="宋体"/>
                <w:szCs w:val="24"/>
              </w:rPr>
              <w:t>，不得转包分包</w:t>
            </w:r>
            <w:r>
              <w:rPr>
                <w:rFonts w:hint="eastAsia" w:ascii="宋体" w:hAnsi="宋体" w:cs="宋体"/>
                <w:szCs w:val="24"/>
              </w:rPr>
              <w:t>。</w:t>
            </w:r>
          </w:p>
        </w:tc>
      </w:tr>
    </w:tbl>
    <w:p w14:paraId="6AFD8DFC">
      <w:pPr>
        <w:rPr>
          <w:rFonts w:ascii="仿宋" w:hAnsi="仿宋" w:eastAsia="仿宋"/>
          <w:b/>
          <w:color w:val="auto"/>
          <w:sz w:val="32"/>
          <w:szCs w:val="32"/>
        </w:rPr>
      </w:pPr>
      <w:r>
        <w:rPr>
          <w:rFonts w:hint="eastAsia" w:ascii="仿宋" w:hAnsi="仿宋" w:eastAsia="仿宋"/>
          <w:b/>
          <w:color w:val="auto"/>
          <w:sz w:val="32"/>
          <w:szCs w:val="32"/>
        </w:rPr>
        <w:br w:type="page"/>
      </w:r>
    </w:p>
    <w:p w14:paraId="5E896148">
      <w:pPr>
        <w:spacing w:before="50" w:after="120"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附件2：</w:t>
      </w:r>
      <w:r>
        <w:rPr>
          <w:rFonts w:hint="eastAsia" w:ascii="仿宋" w:hAnsi="仿宋" w:eastAsia="仿宋"/>
          <w:b/>
          <w:color w:val="auto"/>
          <w:sz w:val="32"/>
          <w:szCs w:val="32"/>
          <w:lang w:val="en-US" w:eastAsia="zh-CN"/>
        </w:rPr>
        <w:t>供应商</w:t>
      </w:r>
      <w:r>
        <w:rPr>
          <w:rFonts w:hint="eastAsia" w:ascii="仿宋" w:hAnsi="仿宋" w:eastAsia="仿宋"/>
          <w:b/>
          <w:color w:val="auto"/>
          <w:sz w:val="32"/>
          <w:szCs w:val="32"/>
        </w:rPr>
        <w:t>直接控股、管理关系信息表</w:t>
      </w:r>
    </w:p>
    <w:tbl>
      <w:tblPr>
        <w:tblStyle w:val="1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410"/>
        <w:gridCol w:w="3934"/>
      </w:tblGrid>
      <w:tr w14:paraId="3E5F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vAlign w:val="center"/>
          </w:tcPr>
          <w:p w14:paraId="3DAFDAC8">
            <w:pPr>
              <w:spacing w:before="120" w:beforeLines="50" w:after="50"/>
              <w:jc w:val="center"/>
              <w:rPr>
                <w:rFonts w:ascii="仿宋" w:hAnsi="仿宋" w:eastAsia="仿宋"/>
                <w:b/>
                <w:color w:val="auto"/>
              </w:rPr>
            </w:pPr>
            <w:r>
              <w:rPr>
                <w:rFonts w:hint="eastAsia" w:ascii="仿宋" w:hAnsi="仿宋" w:eastAsia="仿宋"/>
                <w:b/>
                <w:color w:val="auto"/>
                <w:lang w:val="en-US" w:eastAsia="zh-CN"/>
              </w:rPr>
              <w:t>供应商</w:t>
            </w:r>
            <w:r>
              <w:rPr>
                <w:rFonts w:ascii="仿宋" w:hAnsi="仿宋" w:eastAsia="仿宋"/>
                <w:b/>
                <w:color w:val="auto"/>
              </w:rPr>
              <w:t>直接控股股东信息表</w:t>
            </w:r>
          </w:p>
        </w:tc>
        <w:tc>
          <w:tcPr>
            <w:tcW w:w="3934" w:type="dxa"/>
            <w:shd w:val="clear" w:color="auto" w:fill="F2DBDB"/>
            <w:vAlign w:val="center"/>
          </w:tcPr>
          <w:p w14:paraId="7B21E993">
            <w:pPr>
              <w:spacing w:before="120" w:beforeLines="50" w:after="50"/>
              <w:jc w:val="center"/>
              <w:rPr>
                <w:rFonts w:ascii="仿宋" w:hAnsi="仿宋" w:eastAsia="仿宋"/>
                <w:b/>
                <w:color w:val="auto"/>
              </w:rPr>
            </w:pPr>
            <w:r>
              <w:rPr>
                <w:rFonts w:ascii="仿宋" w:hAnsi="仿宋" w:eastAsia="仿宋"/>
                <w:b/>
                <w:color w:val="auto"/>
              </w:rPr>
              <w:t>说明</w:t>
            </w:r>
          </w:p>
        </w:tc>
      </w:tr>
      <w:tr w14:paraId="5D5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7394944">
            <w:pPr>
              <w:spacing w:line="360" w:lineRule="exact"/>
              <w:jc w:val="center"/>
              <w:rPr>
                <w:rFonts w:ascii="仿宋" w:hAnsi="仿宋" w:eastAsia="仿宋" w:cs="宋体"/>
                <w:b/>
                <w:bCs/>
                <w:color w:val="auto"/>
              </w:rPr>
            </w:pPr>
            <w:r>
              <w:rPr>
                <w:rFonts w:ascii="仿宋" w:hAnsi="仿宋" w:eastAsia="仿宋" w:cs="宋体"/>
                <w:b/>
                <w:bCs/>
                <w:color w:val="auto"/>
              </w:rPr>
              <w:t>序号</w:t>
            </w:r>
          </w:p>
        </w:tc>
        <w:tc>
          <w:tcPr>
            <w:tcW w:w="1309" w:type="dxa"/>
            <w:vAlign w:val="center"/>
          </w:tcPr>
          <w:p w14:paraId="51DC7EBA">
            <w:pPr>
              <w:spacing w:line="360" w:lineRule="exact"/>
              <w:jc w:val="center"/>
              <w:rPr>
                <w:rFonts w:ascii="仿宋" w:hAnsi="仿宋" w:eastAsia="仿宋" w:cs="宋体"/>
                <w:b/>
                <w:bCs/>
                <w:color w:val="auto"/>
              </w:rPr>
            </w:pPr>
            <w:r>
              <w:rPr>
                <w:rFonts w:ascii="仿宋" w:hAnsi="仿宋" w:eastAsia="仿宋" w:cs="宋体"/>
                <w:b/>
                <w:bCs/>
                <w:color w:val="auto"/>
              </w:rPr>
              <w:t>直接控股股东名称</w:t>
            </w:r>
          </w:p>
        </w:tc>
        <w:tc>
          <w:tcPr>
            <w:tcW w:w="1384" w:type="dxa"/>
            <w:vAlign w:val="center"/>
          </w:tcPr>
          <w:p w14:paraId="54AC52DC">
            <w:pPr>
              <w:spacing w:line="360" w:lineRule="exact"/>
              <w:jc w:val="center"/>
              <w:rPr>
                <w:rFonts w:ascii="仿宋" w:hAnsi="仿宋" w:eastAsia="仿宋" w:cs="宋体"/>
                <w:b/>
                <w:bCs/>
                <w:color w:val="auto"/>
              </w:rPr>
            </w:pPr>
            <w:r>
              <w:rPr>
                <w:rFonts w:ascii="仿宋" w:hAnsi="仿宋" w:eastAsia="仿宋" w:cs="宋体"/>
                <w:b/>
                <w:bCs/>
                <w:color w:val="auto"/>
              </w:rPr>
              <w:t>出资比例</w:t>
            </w:r>
          </w:p>
        </w:tc>
        <w:tc>
          <w:tcPr>
            <w:tcW w:w="2410" w:type="dxa"/>
            <w:vAlign w:val="center"/>
          </w:tcPr>
          <w:p w14:paraId="522A71F8">
            <w:pPr>
              <w:spacing w:line="360" w:lineRule="exact"/>
              <w:jc w:val="center"/>
              <w:rPr>
                <w:rFonts w:ascii="仿宋" w:hAnsi="仿宋" w:eastAsia="仿宋" w:cs="宋体"/>
                <w:b/>
                <w:bCs/>
                <w:color w:val="auto"/>
              </w:rPr>
            </w:pPr>
            <w:r>
              <w:rPr>
                <w:rFonts w:ascii="仿宋" w:hAnsi="仿宋" w:eastAsia="仿宋" w:cs="宋体"/>
                <w:b/>
                <w:bCs/>
                <w:color w:val="auto"/>
              </w:rPr>
              <w:t>身份证号码或者统一社会信用代码</w:t>
            </w:r>
          </w:p>
        </w:tc>
        <w:tc>
          <w:tcPr>
            <w:tcW w:w="3934" w:type="dxa"/>
            <w:vMerge w:val="restart"/>
            <w:vAlign w:val="center"/>
          </w:tcPr>
          <w:p w14:paraId="7DB9C13D">
            <w:pPr>
              <w:rPr>
                <w:rFonts w:ascii="仿宋" w:hAnsi="仿宋" w:eastAsia="仿宋"/>
                <w:color w:val="auto"/>
              </w:rPr>
            </w:pPr>
            <w:r>
              <w:rPr>
                <w:rFonts w:ascii="仿宋" w:hAnsi="仿宋" w:eastAsia="仿宋"/>
                <w:color w:val="auto"/>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BB9957">
            <w:pPr>
              <w:rPr>
                <w:rFonts w:ascii="仿宋" w:hAnsi="仿宋" w:eastAsia="仿宋"/>
                <w:color w:val="auto"/>
              </w:rPr>
            </w:pPr>
            <w:r>
              <w:rPr>
                <w:rFonts w:ascii="仿宋" w:hAnsi="仿宋" w:eastAsia="仿宋"/>
                <w:color w:val="auto"/>
              </w:rPr>
              <w:t>2.本表所指的控股关系仅限于直接控股关系，不包括间接的控股关系。公司实际控制人与公司之间的关系不属于本表所指的直接控股关系。</w:t>
            </w:r>
          </w:p>
          <w:p w14:paraId="0790D3F9">
            <w:pPr>
              <w:rPr>
                <w:rFonts w:ascii="仿宋" w:hAnsi="仿宋" w:eastAsia="仿宋" w:cs="宋体"/>
                <w:b/>
                <w:bCs/>
                <w:color w:val="auto"/>
              </w:rPr>
            </w:pPr>
            <w:r>
              <w:rPr>
                <w:rFonts w:ascii="仿宋" w:hAnsi="仿宋" w:eastAsia="仿宋"/>
                <w:color w:val="auto"/>
              </w:rPr>
              <w:t>3.供应商不存在直接控股股东的，则填“无”。</w:t>
            </w:r>
          </w:p>
        </w:tc>
      </w:tr>
      <w:tr w14:paraId="2F67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F126F45">
            <w:pPr>
              <w:spacing w:before="120" w:beforeLines="50" w:after="50"/>
              <w:jc w:val="center"/>
              <w:rPr>
                <w:rFonts w:ascii="仿宋" w:hAnsi="仿宋" w:eastAsia="仿宋"/>
                <w:b/>
                <w:color w:val="auto"/>
              </w:rPr>
            </w:pPr>
            <w:r>
              <w:rPr>
                <w:rFonts w:ascii="仿宋" w:hAnsi="仿宋" w:eastAsia="仿宋"/>
                <w:b/>
                <w:color w:val="auto"/>
              </w:rPr>
              <w:t>1</w:t>
            </w:r>
          </w:p>
        </w:tc>
        <w:tc>
          <w:tcPr>
            <w:tcW w:w="1309" w:type="dxa"/>
          </w:tcPr>
          <w:p w14:paraId="43BFAE44">
            <w:pPr>
              <w:spacing w:before="120" w:beforeLines="50" w:after="50"/>
              <w:rPr>
                <w:rFonts w:ascii="仿宋" w:hAnsi="仿宋" w:eastAsia="仿宋"/>
                <w:b/>
                <w:color w:val="auto"/>
              </w:rPr>
            </w:pPr>
          </w:p>
        </w:tc>
        <w:tc>
          <w:tcPr>
            <w:tcW w:w="1384" w:type="dxa"/>
          </w:tcPr>
          <w:p w14:paraId="7E752495">
            <w:pPr>
              <w:spacing w:before="120" w:beforeLines="50" w:after="50"/>
              <w:rPr>
                <w:rFonts w:ascii="仿宋" w:hAnsi="仿宋" w:eastAsia="仿宋"/>
                <w:b/>
                <w:color w:val="auto"/>
              </w:rPr>
            </w:pPr>
          </w:p>
        </w:tc>
        <w:tc>
          <w:tcPr>
            <w:tcW w:w="2410" w:type="dxa"/>
          </w:tcPr>
          <w:p w14:paraId="43C44F73">
            <w:pPr>
              <w:spacing w:before="120" w:beforeLines="50" w:after="50"/>
              <w:rPr>
                <w:rFonts w:ascii="仿宋" w:hAnsi="仿宋" w:eastAsia="仿宋"/>
                <w:b/>
                <w:color w:val="auto"/>
              </w:rPr>
            </w:pPr>
          </w:p>
        </w:tc>
        <w:tc>
          <w:tcPr>
            <w:tcW w:w="3934" w:type="dxa"/>
            <w:vMerge w:val="continue"/>
          </w:tcPr>
          <w:p w14:paraId="0F4A9C26">
            <w:pPr>
              <w:rPr>
                <w:rFonts w:ascii="仿宋" w:hAnsi="仿宋" w:eastAsia="仿宋"/>
                <w:color w:val="auto"/>
              </w:rPr>
            </w:pPr>
          </w:p>
        </w:tc>
      </w:tr>
      <w:tr w14:paraId="0866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997057A">
            <w:pPr>
              <w:spacing w:before="120" w:beforeLines="50" w:after="50"/>
              <w:jc w:val="center"/>
              <w:rPr>
                <w:rFonts w:ascii="仿宋" w:hAnsi="仿宋" w:eastAsia="仿宋"/>
                <w:b/>
                <w:color w:val="auto"/>
              </w:rPr>
            </w:pPr>
            <w:r>
              <w:rPr>
                <w:rFonts w:ascii="仿宋" w:hAnsi="仿宋" w:eastAsia="仿宋"/>
                <w:b/>
                <w:color w:val="auto"/>
              </w:rPr>
              <w:t>2</w:t>
            </w:r>
          </w:p>
        </w:tc>
        <w:tc>
          <w:tcPr>
            <w:tcW w:w="1309" w:type="dxa"/>
          </w:tcPr>
          <w:p w14:paraId="7C2FA1F4">
            <w:pPr>
              <w:spacing w:before="120" w:beforeLines="50" w:after="50"/>
              <w:rPr>
                <w:rFonts w:ascii="仿宋" w:hAnsi="仿宋" w:eastAsia="仿宋"/>
                <w:b/>
                <w:color w:val="auto"/>
              </w:rPr>
            </w:pPr>
          </w:p>
        </w:tc>
        <w:tc>
          <w:tcPr>
            <w:tcW w:w="1384" w:type="dxa"/>
          </w:tcPr>
          <w:p w14:paraId="275BC5A8">
            <w:pPr>
              <w:spacing w:before="120" w:beforeLines="50" w:after="50"/>
              <w:rPr>
                <w:rFonts w:ascii="仿宋" w:hAnsi="仿宋" w:eastAsia="仿宋"/>
                <w:b/>
                <w:color w:val="auto"/>
              </w:rPr>
            </w:pPr>
          </w:p>
        </w:tc>
        <w:tc>
          <w:tcPr>
            <w:tcW w:w="2410" w:type="dxa"/>
          </w:tcPr>
          <w:p w14:paraId="2A9EF353">
            <w:pPr>
              <w:spacing w:before="120" w:beforeLines="50" w:after="50"/>
              <w:rPr>
                <w:rFonts w:ascii="仿宋" w:hAnsi="仿宋" w:eastAsia="仿宋"/>
                <w:b/>
                <w:color w:val="auto"/>
              </w:rPr>
            </w:pPr>
          </w:p>
        </w:tc>
        <w:tc>
          <w:tcPr>
            <w:tcW w:w="3934" w:type="dxa"/>
            <w:vMerge w:val="continue"/>
          </w:tcPr>
          <w:p w14:paraId="6EDA149F">
            <w:pPr>
              <w:spacing w:before="120" w:beforeLines="50" w:after="50"/>
              <w:rPr>
                <w:rFonts w:ascii="仿宋" w:hAnsi="仿宋" w:eastAsia="仿宋"/>
                <w:b/>
                <w:color w:val="auto"/>
              </w:rPr>
            </w:pPr>
          </w:p>
        </w:tc>
      </w:tr>
      <w:tr w14:paraId="0819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0ACBED4A">
            <w:pPr>
              <w:spacing w:before="120" w:beforeLines="50" w:after="50"/>
              <w:jc w:val="center"/>
              <w:rPr>
                <w:rFonts w:ascii="仿宋" w:hAnsi="仿宋" w:eastAsia="仿宋"/>
                <w:b/>
                <w:color w:val="auto"/>
              </w:rPr>
            </w:pPr>
            <w:r>
              <w:rPr>
                <w:rFonts w:ascii="仿宋" w:hAnsi="仿宋" w:eastAsia="仿宋" w:cs="宋体"/>
                <w:color w:val="auto"/>
              </w:rPr>
              <w:t>……</w:t>
            </w:r>
          </w:p>
        </w:tc>
        <w:tc>
          <w:tcPr>
            <w:tcW w:w="1309" w:type="dxa"/>
            <w:tcBorders>
              <w:bottom w:val="single" w:color="auto" w:sz="4" w:space="0"/>
            </w:tcBorders>
          </w:tcPr>
          <w:p w14:paraId="563B118D">
            <w:pPr>
              <w:spacing w:before="120" w:beforeLines="50" w:after="50"/>
              <w:rPr>
                <w:rFonts w:ascii="仿宋" w:hAnsi="仿宋" w:eastAsia="仿宋"/>
                <w:b/>
                <w:color w:val="auto"/>
              </w:rPr>
            </w:pPr>
          </w:p>
        </w:tc>
        <w:tc>
          <w:tcPr>
            <w:tcW w:w="1384" w:type="dxa"/>
            <w:tcBorders>
              <w:bottom w:val="single" w:color="auto" w:sz="4" w:space="0"/>
            </w:tcBorders>
          </w:tcPr>
          <w:p w14:paraId="54597BBD">
            <w:pPr>
              <w:spacing w:before="120" w:beforeLines="50" w:after="50"/>
              <w:rPr>
                <w:rFonts w:ascii="仿宋" w:hAnsi="仿宋" w:eastAsia="仿宋"/>
                <w:b/>
                <w:color w:val="auto"/>
              </w:rPr>
            </w:pPr>
          </w:p>
        </w:tc>
        <w:tc>
          <w:tcPr>
            <w:tcW w:w="2410" w:type="dxa"/>
            <w:tcBorders>
              <w:bottom w:val="single" w:color="auto" w:sz="4" w:space="0"/>
            </w:tcBorders>
          </w:tcPr>
          <w:p w14:paraId="773423EC">
            <w:pPr>
              <w:spacing w:before="120" w:beforeLines="50" w:after="50"/>
              <w:rPr>
                <w:rFonts w:ascii="仿宋" w:hAnsi="仿宋" w:eastAsia="仿宋"/>
                <w:b/>
                <w:color w:val="auto"/>
              </w:rPr>
            </w:pPr>
          </w:p>
        </w:tc>
        <w:tc>
          <w:tcPr>
            <w:tcW w:w="3934" w:type="dxa"/>
            <w:vMerge w:val="continue"/>
            <w:tcBorders>
              <w:bottom w:val="single" w:color="auto" w:sz="4" w:space="0"/>
            </w:tcBorders>
          </w:tcPr>
          <w:p w14:paraId="42BCF473">
            <w:pPr>
              <w:spacing w:before="120" w:beforeLines="50" w:after="50"/>
              <w:rPr>
                <w:rFonts w:ascii="仿宋" w:hAnsi="仿宋" w:eastAsia="仿宋"/>
                <w:b/>
                <w:color w:val="auto"/>
              </w:rPr>
            </w:pPr>
          </w:p>
        </w:tc>
      </w:tr>
      <w:tr w14:paraId="7E75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vAlign w:val="center"/>
          </w:tcPr>
          <w:p w14:paraId="06BF3CAA">
            <w:pPr>
              <w:spacing w:before="120" w:beforeLines="50" w:after="50"/>
              <w:jc w:val="center"/>
              <w:rPr>
                <w:rFonts w:ascii="仿宋" w:hAnsi="仿宋" w:eastAsia="仿宋"/>
                <w:b/>
                <w:color w:val="auto"/>
              </w:rPr>
            </w:pPr>
            <w:r>
              <w:rPr>
                <w:rFonts w:hint="eastAsia" w:ascii="仿宋" w:hAnsi="仿宋" w:eastAsia="仿宋"/>
                <w:b/>
                <w:color w:val="auto"/>
                <w:lang w:val="en-US" w:eastAsia="zh-CN"/>
              </w:rPr>
              <w:t>供应商</w:t>
            </w:r>
            <w:r>
              <w:rPr>
                <w:rFonts w:ascii="仿宋" w:hAnsi="仿宋" w:eastAsia="仿宋"/>
                <w:b/>
                <w:color w:val="auto"/>
              </w:rPr>
              <w:t>直接管理关系信息表</w:t>
            </w:r>
          </w:p>
        </w:tc>
        <w:tc>
          <w:tcPr>
            <w:tcW w:w="3934" w:type="dxa"/>
            <w:shd w:val="clear" w:color="auto" w:fill="F2DBDB"/>
            <w:vAlign w:val="center"/>
          </w:tcPr>
          <w:p w14:paraId="6AB61DA7">
            <w:pPr>
              <w:spacing w:before="120" w:beforeLines="50" w:after="50"/>
              <w:jc w:val="center"/>
              <w:rPr>
                <w:rFonts w:ascii="仿宋" w:hAnsi="仿宋" w:eastAsia="仿宋"/>
                <w:b/>
                <w:color w:val="auto"/>
              </w:rPr>
            </w:pPr>
            <w:r>
              <w:rPr>
                <w:rFonts w:ascii="仿宋" w:hAnsi="仿宋" w:eastAsia="仿宋"/>
                <w:b/>
                <w:color w:val="auto"/>
              </w:rPr>
              <w:t>说明</w:t>
            </w:r>
          </w:p>
        </w:tc>
      </w:tr>
      <w:tr w14:paraId="6E7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0F7C0C6">
            <w:pPr>
              <w:spacing w:before="120" w:beforeLines="50" w:after="50"/>
              <w:jc w:val="center"/>
              <w:rPr>
                <w:rFonts w:ascii="仿宋" w:hAnsi="仿宋" w:eastAsia="仿宋"/>
                <w:b/>
                <w:color w:val="auto"/>
              </w:rPr>
            </w:pPr>
            <w:r>
              <w:rPr>
                <w:rFonts w:ascii="仿宋" w:hAnsi="仿宋" w:eastAsia="仿宋" w:cs="宋体"/>
                <w:b/>
                <w:bCs/>
                <w:color w:val="auto"/>
              </w:rPr>
              <w:t>序号</w:t>
            </w:r>
          </w:p>
        </w:tc>
        <w:tc>
          <w:tcPr>
            <w:tcW w:w="2693" w:type="dxa"/>
            <w:gridSpan w:val="2"/>
            <w:vAlign w:val="center"/>
          </w:tcPr>
          <w:p w14:paraId="63A0E0F1">
            <w:pPr>
              <w:spacing w:before="120" w:beforeLines="50" w:after="50"/>
              <w:jc w:val="center"/>
              <w:rPr>
                <w:rFonts w:ascii="仿宋" w:hAnsi="仿宋" w:eastAsia="仿宋"/>
                <w:b/>
                <w:color w:val="auto"/>
              </w:rPr>
            </w:pPr>
            <w:r>
              <w:rPr>
                <w:rFonts w:ascii="仿宋" w:hAnsi="仿宋" w:eastAsia="仿宋" w:cs="宋体"/>
                <w:b/>
                <w:bCs/>
                <w:color w:val="auto"/>
              </w:rPr>
              <w:t>直接管理关系单位名称</w:t>
            </w:r>
          </w:p>
        </w:tc>
        <w:tc>
          <w:tcPr>
            <w:tcW w:w="2410" w:type="dxa"/>
            <w:vAlign w:val="center"/>
          </w:tcPr>
          <w:p w14:paraId="096ED627">
            <w:pPr>
              <w:spacing w:before="120" w:beforeLines="50" w:after="50"/>
              <w:jc w:val="center"/>
              <w:rPr>
                <w:rFonts w:ascii="仿宋" w:hAnsi="仿宋" w:eastAsia="仿宋"/>
                <w:b/>
                <w:color w:val="auto"/>
              </w:rPr>
            </w:pPr>
            <w:r>
              <w:rPr>
                <w:rFonts w:ascii="仿宋" w:hAnsi="仿宋" w:eastAsia="仿宋" w:cs="宋体"/>
                <w:b/>
                <w:bCs/>
                <w:color w:val="auto"/>
              </w:rPr>
              <w:t>统一社会信用代码</w:t>
            </w:r>
          </w:p>
        </w:tc>
        <w:tc>
          <w:tcPr>
            <w:tcW w:w="3934" w:type="dxa"/>
            <w:vMerge w:val="restart"/>
            <w:vAlign w:val="center"/>
          </w:tcPr>
          <w:p w14:paraId="1BEBDE32">
            <w:pPr>
              <w:rPr>
                <w:rFonts w:ascii="仿宋" w:hAnsi="仿宋" w:eastAsia="仿宋"/>
                <w:color w:val="auto"/>
              </w:rPr>
            </w:pPr>
            <w:r>
              <w:rPr>
                <w:rFonts w:ascii="仿宋" w:hAnsi="仿宋" w:eastAsia="仿宋"/>
                <w:color w:val="auto"/>
              </w:rPr>
              <w:t>1.管理关系：是指不具有出资持股关系的其他单位之间存在的管理与被管理关系，如一些上下级关系的事业单位和团体组织。</w:t>
            </w:r>
          </w:p>
          <w:p w14:paraId="53CAC809">
            <w:pPr>
              <w:rPr>
                <w:rFonts w:ascii="仿宋" w:hAnsi="仿宋" w:eastAsia="仿宋"/>
                <w:color w:val="auto"/>
              </w:rPr>
            </w:pPr>
            <w:r>
              <w:rPr>
                <w:rFonts w:ascii="仿宋" w:hAnsi="仿宋" w:eastAsia="仿宋"/>
                <w:color w:val="auto"/>
              </w:rPr>
              <w:t>2.本表所指的管理关系仅限于直接管理关系，不包括间接的管理关系。</w:t>
            </w:r>
          </w:p>
          <w:p w14:paraId="3005D464">
            <w:pPr>
              <w:rPr>
                <w:rFonts w:ascii="仿宋" w:hAnsi="仿宋" w:eastAsia="仿宋"/>
                <w:color w:val="auto"/>
              </w:rPr>
            </w:pPr>
            <w:r>
              <w:rPr>
                <w:rFonts w:ascii="仿宋" w:hAnsi="仿宋" w:eastAsia="仿宋"/>
                <w:color w:val="auto"/>
              </w:rPr>
              <w:t>3.供应商不存在直接管理关系的，则填“无”。</w:t>
            </w:r>
          </w:p>
        </w:tc>
      </w:tr>
      <w:tr w14:paraId="5262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B4A1D8D">
            <w:pPr>
              <w:spacing w:before="120" w:beforeLines="50" w:after="50"/>
              <w:jc w:val="center"/>
              <w:rPr>
                <w:rFonts w:ascii="仿宋" w:hAnsi="仿宋" w:eastAsia="仿宋"/>
                <w:b/>
                <w:color w:val="auto"/>
              </w:rPr>
            </w:pPr>
            <w:r>
              <w:rPr>
                <w:rFonts w:ascii="仿宋" w:hAnsi="仿宋" w:eastAsia="仿宋"/>
                <w:b/>
                <w:color w:val="auto"/>
              </w:rPr>
              <w:t>1</w:t>
            </w:r>
          </w:p>
        </w:tc>
        <w:tc>
          <w:tcPr>
            <w:tcW w:w="2693" w:type="dxa"/>
            <w:gridSpan w:val="2"/>
            <w:vAlign w:val="center"/>
          </w:tcPr>
          <w:p w14:paraId="38C2FB42">
            <w:pPr>
              <w:spacing w:before="120" w:beforeLines="50" w:after="50"/>
              <w:jc w:val="center"/>
              <w:rPr>
                <w:rFonts w:ascii="仿宋" w:hAnsi="仿宋" w:eastAsia="仿宋" w:cs="宋体"/>
                <w:b/>
                <w:bCs/>
                <w:color w:val="auto"/>
              </w:rPr>
            </w:pPr>
          </w:p>
        </w:tc>
        <w:tc>
          <w:tcPr>
            <w:tcW w:w="2410" w:type="dxa"/>
            <w:vAlign w:val="center"/>
          </w:tcPr>
          <w:p w14:paraId="48461E70">
            <w:pPr>
              <w:spacing w:before="120" w:beforeLines="50" w:after="50"/>
              <w:jc w:val="center"/>
              <w:rPr>
                <w:rFonts w:ascii="仿宋" w:hAnsi="仿宋" w:eastAsia="仿宋" w:cs="宋体"/>
                <w:b/>
                <w:bCs/>
                <w:color w:val="auto"/>
              </w:rPr>
            </w:pPr>
          </w:p>
        </w:tc>
        <w:tc>
          <w:tcPr>
            <w:tcW w:w="3934" w:type="dxa"/>
            <w:vMerge w:val="continue"/>
            <w:vAlign w:val="center"/>
          </w:tcPr>
          <w:p w14:paraId="1EF90F77">
            <w:pPr>
              <w:rPr>
                <w:rFonts w:ascii="仿宋" w:hAnsi="仿宋" w:eastAsia="仿宋"/>
                <w:color w:val="auto"/>
              </w:rPr>
            </w:pPr>
          </w:p>
        </w:tc>
      </w:tr>
      <w:tr w14:paraId="4B6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48E04627">
            <w:pPr>
              <w:spacing w:before="120" w:beforeLines="50" w:after="50"/>
              <w:jc w:val="center"/>
              <w:rPr>
                <w:rFonts w:ascii="仿宋" w:hAnsi="仿宋" w:eastAsia="仿宋"/>
                <w:b/>
                <w:color w:val="auto"/>
              </w:rPr>
            </w:pPr>
            <w:r>
              <w:rPr>
                <w:rFonts w:ascii="仿宋" w:hAnsi="仿宋" w:eastAsia="仿宋"/>
                <w:b/>
                <w:color w:val="auto"/>
              </w:rPr>
              <w:t>2</w:t>
            </w:r>
          </w:p>
        </w:tc>
        <w:tc>
          <w:tcPr>
            <w:tcW w:w="2693" w:type="dxa"/>
            <w:gridSpan w:val="2"/>
            <w:vAlign w:val="center"/>
          </w:tcPr>
          <w:p w14:paraId="69AC4FB0">
            <w:pPr>
              <w:spacing w:before="120" w:beforeLines="50" w:after="50"/>
              <w:jc w:val="center"/>
              <w:rPr>
                <w:rFonts w:ascii="仿宋" w:hAnsi="仿宋" w:eastAsia="仿宋" w:cs="宋体"/>
                <w:b/>
                <w:bCs/>
                <w:color w:val="auto"/>
              </w:rPr>
            </w:pPr>
          </w:p>
        </w:tc>
        <w:tc>
          <w:tcPr>
            <w:tcW w:w="2410" w:type="dxa"/>
            <w:vAlign w:val="center"/>
          </w:tcPr>
          <w:p w14:paraId="3BD64881">
            <w:pPr>
              <w:spacing w:before="120" w:beforeLines="50" w:after="50"/>
              <w:jc w:val="center"/>
              <w:rPr>
                <w:rFonts w:ascii="仿宋" w:hAnsi="仿宋" w:eastAsia="仿宋" w:cs="宋体"/>
                <w:b/>
                <w:bCs/>
                <w:color w:val="auto"/>
              </w:rPr>
            </w:pPr>
          </w:p>
        </w:tc>
        <w:tc>
          <w:tcPr>
            <w:tcW w:w="3934" w:type="dxa"/>
            <w:vMerge w:val="continue"/>
            <w:vAlign w:val="center"/>
          </w:tcPr>
          <w:p w14:paraId="52762155">
            <w:pPr>
              <w:rPr>
                <w:rFonts w:ascii="仿宋" w:hAnsi="仿宋" w:eastAsia="仿宋"/>
                <w:color w:val="auto"/>
              </w:rPr>
            </w:pPr>
          </w:p>
        </w:tc>
      </w:tr>
      <w:tr w14:paraId="467C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ABAD357">
            <w:pPr>
              <w:spacing w:before="120" w:beforeLines="50" w:after="50"/>
              <w:jc w:val="center"/>
              <w:rPr>
                <w:rFonts w:ascii="仿宋" w:hAnsi="仿宋" w:eastAsia="仿宋"/>
                <w:b/>
                <w:color w:val="auto"/>
              </w:rPr>
            </w:pPr>
            <w:r>
              <w:rPr>
                <w:rFonts w:ascii="仿宋" w:hAnsi="仿宋" w:eastAsia="仿宋" w:cs="宋体"/>
                <w:color w:val="auto"/>
              </w:rPr>
              <w:t>……</w:t>
            </w:r>
          </w:p>
        </w:tc>
        <w:tc>
          <w:tcPr>
            <w:tcW w:w="2693" w:type="dxa"/>
            <w:gridSpan w:val="2"/>
            <w:vAlign w:val="center"/>
          </w:tcPr>
          <w:p w14:paraId="3B09AA14">
            <w:pPr>
              <w:spacing w:before="120" w:beforeLines="50" w:after="50"/>
              <w:jc w:val="center"/>
              <w:rPr>
                <w:rFonts w:ascii="仿宋" w:hAnsi="仿宋" w:eastAsia="仿宋" w:cs="宋体"/>
                <w:b/>
                <w:bCs/>
                <w:color w:val="auto"/>
              </w:rPr>
            </w:pPr>
          </w:p>
        </w:tc>
        <w:tc>
          <w:tcPr>
            <w:tcW w:w="2410" w:type="dxa"/>
            <w:vAlign w:val="center"/>
          </w:tcPr>
          <w:p w14:paraId="1D4D6644">
            <w:pPr>
              <w:spacing w:before="120" w:beforeLines="50" w:after="50"/>
              <w:jc w:val="center"/>
              <w:rPr>
                <w:rFonts w:ascii="仿宋" w:hAnsi="仿宋" w:eastAsia="仿宋" w:cs="宋体"/>
                <w:b/>
                <w:bCs/>
                <w:color w:val="auto"/>
              </w:rPr>
            </w:pPr>
          </w:p>
        </w:tc>
        <w:tc>
          <w:tcPr>
            <w:tcW w:w="3934" w:type="dxa"/>
            <w:vMerge w:val="continue"/>
            <w:vAlign w:val="center"/>
          </w:tcPr>
          <w:p w14:paraId="5E192F9E">
            <w:pPr>
              <w:rPr>
                <w:rFonts w:ascii="仿宋" w:hAnsi="仿宋" w:eastAsia="仿宋"/>
                <w:color w:val="auto"/>
              </w:rPr>
            </w:pPr>
          </w:p>
        </w:tc>
      </w:tr>
    </w:tbl>
    <w:p w14:paraId="79064DFE">
      <w:pPr>
        <w:spacing w:line="360" w:lineRule="auto"/>
        <w:rPr>
          <w:rFonts w:ascii="仿宋" w:hAnsi="仿宋" w:eastAsia="仿宋"/>
          <w:color w:val="auto"/>
        </w:rPr>
      </w:pPr>
    </w:p>
    <w:p w14:paraId="37DBE126">
      <w:pPr>
        <w:spacing w:line="360" w:lineRule="auto"/>
        <w:rPr>
          <w:rFonts w:ascii="仿宋" w:hAnsi="仿宋" w:eastAsia="仿宋"/>
          <w:color w:val="auto"/>
        </w:rPr>
      </w:pPr>
    </w:p>
    <w:p w14:paraId="7BBD3650">
      <w:pPr>
        <w:spacing w:line="360" w:lineRule="auto"/>
        <w:rPr>
          <w:rFonts w:ascii="仿宋" w:hAnsi="仿宋" w:eastAsia="仿宋"/>
          <w:color w:val="auto"/>
        </w:rPr>
      </w:pPr>
    </w:p>
    <w:p w14:paraId="51ED8CF6">
      <w:pPr>
        <w:spacing w:line="360" w:lineRule="auto"/>
        <w:ind w:firstLine="4620" w:firstLineChars="2100"/>
        <w:rPr>
          <w:rFonts w:ascii="仿宋" w:hAnsi="仿宋" w:eastAsia="仿宋" w:cs="仿宋_GB2312"/>
          <w:color w:val="auto"/>
          <w:sz w:val="22"/>
          <w:u w:val="single"/>
        </w:rPr>
      </w:pPr>
      <w:r>
        <w:rPr>
          <w:rFonts w:hint="eastAsia" w:ascii="仿宋" w:hAnsi="仿宋" w:eastAsia="仿宋" w:cs="仿宋_GB2312"/>
          <w:color w:val="auto"/>
          <w:sz w:val="22"/>
          <w:lang w:val="en-US" w:eastAsia="zh-CN"/>
        </w:rPr>
        <w:t>供应商</w:t>
      </w:r>
      <w:r>
        <w:rPr>
          <w:rFonts w:hint="eastAsia" w:ascii="仿宋" w:hAnsi="仿宋" w:eastAsia="仿宋" w:cs="仿宋_GB2312"/>
          <w:color w:val="auto"/>
          <w:sz w:val="22"/>
          <w:lang w:val="zh-CN"/>
        </w:rPr>
        <w:t>名称(</w:t>
      </w:r>
      <w:r>
        <w:rPr>
          <w:rFonts w:hint="eastAsia" w:ascii="仿宋" w:hAnsi="仿宋" w:eastAsia="仿宋" w:cs="仿宋_GB2312"/>
          <w:color w:val="auto"/>
          <w:sz w:val="22"/>
        </w:rPr>
        <w:t>公章</w:t>
      </w:r>
      <w:r>
        <w:rPr>
          <w:rFonts w:hint="eastAsia" w:ascii="仿宋" w:hAnsi="仿宋" w:eastAsia="仿宋" w:cs="仿宋_GB2312"/>
          <w:color w:val="auto"/>
          <w:sz w:val="22"/>
          <w:lang w:val="zh-CN"/>
        </w:rPr>
        <w:t>)：</w:t>
      </w:r>
      <w:r>
        <w:rPr>
          <w:rFonts w:hint="eastAsia" w:ascii="仿宋" w:hAnsi="仿宋" w:eastAsia="仿宋" w:cs="仿宋_GB2312"/>
          <w:color w:val="auto"/>
          <w:sz w:val="22"/>
          <w:u w:val="single"/>
          <w:lang w:val="zh-CN"/>
        </w:rPr>
        <w:t xml:space="preserve"> </w:t>
      </w:r>
      <w:r>
        <w:rPr>
          <w:rFonts w:ascii="仿宋" w:hAnsi="仿宋" w:eastAsia="仿宋" w:cs="仿宋_GB2312"/>
          <w:color w:val="auto"/>
          <w:sz w:val="22"/>
          <w:u w:val="single"/>
          <w:lang w:val="zh-CN"/>
        </w:rPr>
        <w:t xml:space="preserve">         </w:t>
      </w:r>
    </w:p>
    <w:p w14:paraId="05366937">
      <w:pPr>
        <w:spacing w:line="360" w:lineRule="auto"/>
        <w:ind w:firstLine="4730" w:firstLineChars="2150"/>
        <w:rPr>
          <w:rFonts w:ascii="宋体" w:hAnsi="宋体" w:cs="宋体"/>
          <w:b/>
          <w:bCs/>
          <w:color w:val="auto"/>
          <w:szCs w:val="24"/>
        </w:rPr>
      </w:pPr>
      <w:r>
        <w:rPr>
          <w:rFonts w:hint="eastAsia" w:ascii="仿宋" w:hAnsi="仿宋" w:eastAsia="仿宋" w:cs="仿宋_GB2312"/>
          <w:color w:val="auto"/>
          <w:sz w:val="22"/>
          <w:lang w:val="zh-CN"/>
        </w:rPr>
        <w:t>日期</w:t>
      </w:r>
      <w:r>
        <w:rPr>
          <w:rFonts w:hint="eastAsia" w:ascii="仿宋" w:hAnsi="仿宋" w:eastAsia="仿宋" w:cs="仿宋_GB2312"/>
          <w:color w:val="auto"/>
          <w:sz w:val="22"/>
        </w:rPr>
        <w:t xml:space="preserve">：  年  </w:t>
      </w:r>
      <w:r>
        <w:rPr>
          <w:rFonts w:hint="eastAsia" w:ascii="仿宋" w:hAnsi="仿宋" w:eastAsia="仿宋" w:cs="仿宋_GB2312"/>
          <w:color w:val="auto"/>
          <w:sz w:val="22"/>
          <w:lang w:val="zh-CN"/>
        </w:rPr>
        <w:t>月</w:t>
      </w:r>
      <w:r>
        <w:rPr>
          <w:rFonts w:hint="eastAsia" w:ascii="仿宋" w:hAnsi="仿宋" w:eastAsia="仿宋" w:cs="仿宋_GB2312"/>
          <w:color w:val="auto"/>
          <w:sz w:val="22"/>
        </w:rPr>
        <w:t xml:space="preserve">   </w:t>
      </w:r>
      <w:r>
        <w:rPr>
          <w:rFonts w:hint="eastAsia" w:ascii="仿宋" w:hAnsi="仿宋" w:eastAsia="仿宋" w:cs="仿宋_GB2312"/>
          <w:color w:val="auto"/>
          <w:sz w:val="22"/>
          <w:lang w:val="zh-CN"/>
        </w:rPr>
        <w:t>日</w:t>
      </w:r>
    </w:p>
    <w:p w14:paraId="12D2DA9A">
      <w:pPr>
        <w:pStyle w:val="8"/>
        <w:spacing w:line="340" w:lineRule="exact"/>
        <w:rPr>
          <w:b/>
          <w:color w:val="FF0000"/>
        </w:rPr>
      </w:pPr>
    </w:p>
    <w:p w14:paraId="5F47F45A">
      <w:pPr>
        <w:pStyle w:val="8"/>
        <w:spacing w:line="340" w:lineRule="exact"/>
        <w:rPr>
          <w:b/>
          <w:color w:val="FF0000"/>
        </w:rPr>
      </w:pPr>
    </w:p>
    <w:p w14:paraId="5B1E3D24">
      <w:pPr>
        <w:pStyle w:val="8"/>
        <w:spacing w:line="340" w:lineRule="exact"/>
        <w:rPr>
          <w:b/>
          <w:color w:val="FF0000"/>
        </w:rPr>
      </w:pPr>
    </w:p>
    <w:p w14:paraId="5F90FCFC">
      <w:pPr>
        <w:pStyle w:val="8"/>
        <w:spacing w:line="340" w:lineRule="exact"/>
      </w:pPr>
      <w:r>
        <w:rPr>
          <w:rFonts w:hint="eastAsia"/>
          <w:b/>
          <w:color w:val="FF0000"/>
        </w:rPr>
        <w:t>附件3：拟签订的合同文本</w:t>
      </w:r>
      <w:r>
        <w:rPr>
          <w:rFonts w:hint="eastAsia"/>
          <w:b/>
          <w:color w:val="FF0000"/>
        </w:rPr>
        <w:cr/>
      </w:r>
      <w:r>
        <w:rPr>
          <w:rFonts w:hint="eastAsia"/>
          <w:b/>
          <w:color w:val="FF0000"/>
        </w:rPr>
        <w:t>(参考格式，本合同内容条款在正式签署前可具体补充细化，仅作参考，最终合同以采购人审查通过的版本为准)</w:t>
      </w:r>
    </w:p>
    <w:p w14:paraId="466FF8EE">
      <w:pPr>
        <w:spacing w:line="360" w:lineRule="auto"/>
      </w:pPr>
    </w:p>
    <w:p w14:paraId="5C312047">
      <w:pPr>
        <w:widowControl w:val="0"/>
        <w:kinsoku/>
        <w:autoSpaceDE/>
        <w:autoSpaceDN/>
        <w:adjustRightInd/>
        <w:snapToGrid/>
        <w:spacing w:line="360" w:lineRule="auto"/>
        <w:jc w:val="center"/>
        <w:textAlignment w:val="auto"/>
        <w:rPr>
          <w:rFonts w:ascii="仿宋" w:hAnsi="仿宋" w:eastAsia="仿宋" w:cs="仿宋"/>
          <w:b/>
          <w:snapToGrid/>
          <w:kern w:val="2"/>
          <w:sz w:val="52"/>
          <w:szCs w:val="52"/>
        </w:rPr>
      </w:pPr>
      <w:r>
        <w:rPr>
          <w:rFonts w:hint="eastAsia" w:ascii="仿宋" w:hAnsi="仿宋" w:eastAsia="仿宋" w:cs="仿宋"/>
          <w:b/>
          <w:snapToGrid/>
          <w:kern w:val="2"/>
          <w:sz w:val="52"/>
          <w:szCs w:val="52"/>
        </w:rPr>
        <w:t>广西艺术学院微门户平台</w:t>
      </w:r>
    </w:p>
    <w:p w14:paraId="2C9147F9">
      <w:pPr>
        <w:widowControl w:val="0"/>
        <w:kinsoku/>
        <w:autoSpaceDE/>
        <w:autoSpaceDN/>
        <w:adjustRightInd/>
        <w:snapToGrid/>
        <w:spacing w:line="360" w:lineRule="auto"/>
        <w:jc w:val="center"/>
        <w:textAlignment w:val="auto"/>
        <w:rPr>
          <w:rFonts w:ascii="仿宋" w:hAnsi="仿宋" w:eastAsia="仿宋" w:cs="仿宋"/>
          <w:b/>
          <w:snapToGrid/>
          <w:kern w:val="2"/>
          <w:sz w:val="52"/>
          <w:szCs w:val="52"/>
        </w:rPr>
      </w:pPr>
      <w:r>
        <w:rPr>
          <w:rFonts w:hint="eastAsia" w:ascii="仿宋" w:hAnsi="仿宋" w:eastAsia="仿宋" w:cs="仿宋"/>
          <w:b/>
          <w:snapToGrid/>
          <w:kern w:val="2"/>
          <w:sz w:val="52"/>
          <w:szCs w:val="52"/>
        </w:rPr>
        <w:t>维保和升级服务采购项目合同</w:t>
      </w:r>
    </w:p>
    <w:p w14:paraId="22D01BE1">
      <w:pPr>
        <w:widowControl w:val="0"/>
        <w:kinsoku/>
        <w:autoSpaceDE/>
        <w:autoSpaceDN/>
        <w:spacing w:line="600" w:lineRule="atLeast"/>
        <w:ind w:left="720" w:leftChars="300"/>
        <w:jc w:val="both"/>
        <w:textAlignment w:val="auto"/>
        <w:rPr>
          <w:rFonts w:ascii="仿宋" w:hAnsi="仿宋" w:eastAsia="仿宋" w:cs="仿宋"/>
          <w:b/>
          <w:snapToGrid/>
          <w:w w:val="101"/>
          <w:sz w:val="56"/>
        </w:rPr>
      </w:pPr>
    </w:p>
    <w:p w14:paraId="4179F9F4">
      <w:pPr>
        <w:widowControl w:val="0"/>
        <w:kinsoku/>
        <w:autoSpaceDE/>
        <w:autoSpaceDN/>
        <w:spacing w:line="600" w:lineRule="atLeast"/>
        <w:ind w:left="720" w:leftChars="300"/>
        <w:jc w:val="both"/>
        <w:textAlignment w:val="auto"/>
        <w:rPr>
          <w:rFonts w:ascii="仿宋" w:hAnsi="仿宋" w:eastAsia="仿宋" w:cs="仿宋"/>
          <w:b/>
          <w:snapToGrid/>
          <w:kern w:val="2"/>
          <w:sz w:val="36"/>
          <w:szCs w:val="22"/>
        </w:rPr>
      </w:pPr>
    </w:p>
    <w:p w14:paraId="3309E42C">
      <w:pPr>
        <w:kinsoku/>
        <w:autoSpaceDE/>
        <w:autoSpaceDN/>
        <w:adjustRightInd/>
        <w:snapToGrid/>
        <w:ind w:firstLine="640" w:firstLineChars="200"/>
        <w:textAlignment w:val="auto"/>
        <w:rPr>
          <w:rFonts w:ascii="仿宋" w:hAnsi="仿宋" w:eastAsia="仿宋" w:cs="仿宋"/>
          <w:bCs/>
          <w:snapToGrid/>
          <w:kern w:val="2"/>
          <w:sz w:val="30"/>
          <w:szCs w:val="30"/>
          <w:u w:val="single"/>
        </w:rPr>
      </w:pPr>
      <w:r>
        <w:rPr>
          <w:rFonts w:hint="eastAsia" w:ascii="仿宋" w:hAnsi="仿宋" w:eastAsia="仿宋" w:cs="仿宋"/>
          <w:snapToGrid/>
          <w:kern w:val="2"/>
          <w:sz w:val="32"/>
          <w:szCs w:val="32"/>
        </w:rPr>
        <w:t>委托方（甲方）：</w:t>
      </w:r>
      <w:r>
        <w:rPr>
          <w:rFonts w:hint="eastAsia" w:ascii="仿宋" w:hAnsi="仿宋" w:eastAsia="仿宋" w:cs="仿宋"/>
          <w:snapToGrid/>
          <w:kern w:val="2"/>
          <w:sz w:val="32"/>
          <w:szCs w:val="32"/>
          <w:u w:val="single"/>
        </w:rPr>
        <w:t xml:space="preserve">      广西艺术学院</w:t>
      </w:r>
      <w:r>
        <w:rPr>
          <w:rFonts w:hint="eastAsia" w:ascii="仿宋" w:hAnsi="仿宋" w:eastAsia="仿宋" w:cs="仿宋"/>
          <w:bCs/>
          <w:snapToGrid/>
          <w:kern w:val="2"/>
          <w:sz w:val="30"/>
          <w:szCs w:val="30"/>
          <w:u w:val="single"/>
        </w:rPr>
        <w:t xml:space="preserve">                       </w:t>
      </w:r>
    </w:p>
    <w:p w14:paraId="4543C7FB">
      <w:pPr>
        <w:kinsoku/>
        <w:autoSpaceDE/>
        <w:autoSpaceDN/>
        <w:adjustRightInd/>
        <w:snapToGrid/>
        <w:ind w:firstLine="600" w:firstLineChars="200"/>
        <w:textAlignment w:val="auto"/>
        <w:rPr>
          <w:rFonts w:ascii="仿宋" w:hAnsi="仿宋" w:eastAsia="仿宋" w:cs="仿宋"/>
          <w:bCs/>
          <w:snapToGrid/>
          <w:kern w:val="2"/>
          <w:sz w:val="30"/>
          <w:szCs w:val="30"/>
          <w:u w:val="single"/>
        </w:rPr>
      </w:pPr>
    </w:p>
    <w:p w14:paraId="202A02F8">
      <w:pPr>
        <w:widowControl w:val="0"/>
        <w:kinsoku/>
        <w:autoSpaceDE/>
        <w:autoSpaceDN/>
        <w:spacing w:line="600" w:lineRule="atLeast"/>
        <w:ind w:left="720" w:leftChars="300"/>
        <w:jc w:val="both"/>
        <w:textAlignment w:val="auto"/>
        <w:rPr>
          <w:rFonts w:ascii="仿宋" w:hAnsi="仿宋" w:eastAsia="仿宋" w:cs="仿宋"/>
          <w:bCs/>
          <w:snapToGrid/>
          <w:kern w:val="2"/>
          <w:sz w:val="36"/>
          <w:szCs w:val="22"/>
          <w:u w:val="single"/>
        </w:rPr>
      </w:pPr>
      <w:r>
        <w:rPr>
          <w:rFonts w:hint="eastAsia" w:ascii="仿宋" w:hAnsi="仿宋" w:eastAsia="仿宋" w:cs="仿宋"/>
          <w:snapToGrid/>
          <w:kern w:val="2"/>
          <w:sz w:val="32"/>
          <w:szCs w:val="32"/>
        </w:rPr>
        <w:t>受托方（乙方）：</w:t>
      </w:r>
      <w:r>
        <w:rPr>
          <w:rFonts w:hint="eastAsia" w:ascii="仿宋" w:hAnsi="仿宋" w:eastAsia="仿宋" w:cs="仿宋"/>
          <w:snapToGrid/>
          <w:kern w:val="2"/>
          <w:sz w:val="32"/>
          <w:szCs w:val="32"/>
          <w:u w:val="single"/>
        </w:rPr>
        <w:t xml:space="preserve">           </w:t>
      </w:r>
      <w:r>
        <w:rPr>
          <w:rFonts w:hint="eastAsia" w:ascii="仿宋" w:hAnsi="仿宋" w:eastAsia="仿宋" w:cs="仿宋"/>
          <w:bCs/>
          <w:snapToGrid/>
          <w:kern w:val="2"/>
          <w:sz w:val="30"/>
          <w:szCs w:val="30"/>
          <w:u w:val="single"/>
        </w:rPr>
        <w:t xml:space="preserve"> </w:t>
      </w:r>
      <w:r>
        <w:rPr>
          <w:rFonts w:hint="eastAsia" w:ascii="仿宋" w:hAnsi="仿宋" w:eastAsia="仿宋" w:cs="仿宋"/>
          <w:snapToGrid/>
          <w:kern w:val="2"/>
          <w:sz w:val="32"/>
          <w:szCs w:val="32"/>
          <w:u w:val="single"/>
        </w:rPr>
        <w:t xml:space="preserve">                     </w:t>
      </w:r>
    </w:p>
    <w:p w14:paraId="26B6CC87">
      <w:pPr>
        <w:widowControl w:val="0"/>
        <w:kinsoku/>
        <w:autoSpaceDE/>
        <w:autoSpaceDN/>
        <w:spacing w:line="600" w:lineRule="atLeast"/>
        <w:ind w:left="720" w:leftChars="300"/>
        <w:jc w:val="both"/>
        <w:textAlignment w:val="auto"/>
        <w:rPr>
          <w:rFonts w:ascii="仿宋" w:hAnsi="仿宋" w:eastAsia="仿宋" w:cs="仿宋"/>
          <w:bCs/>
          <w:snapToGrid/>
          <w:kern w:val="2"/>
          <w:sz w:val="36"/>
          <w:szCs w:val="22"/>
        </w:rPr>
      </w:pPr>
    </w:p>
    <w:p w14:paraId="438F9104">
      <w:pPr>
        <w:widowControl w:val="0"/>
        <w:kinsoku/>
        <w:autoSpaceDE/>
        <w:autoSpaceDN/>
        <w:spacing w:line="600" w:lineRule="atLeast"/>
        <w:ind w:left="720" w:leftChars="300"/>
        <w:jc w:val="both"/>
        <w:textAlignment w:val="auto"/>
        <w:rPr>
          <w:rFonts w:ascii="仿宋" w:hAnsi="仿宋" w:eastAsia="仿宋" w:cs="仿宋"/>
          <w:bCs/>
          <w:snapToGrid/>
          <w:kern w:val="2"/>
          <w:sz w:val="36"/>
          <w:szCs w:val="22"/>
          <w:u w:val="single"/>
        </w:rPr>
      </w:pPr>
      <w:r>
        <w:rPr>
          <w:rFonts w:hint="eastAsia" w:ascii="仿宋" w:hAnsi="仿宋" w:eastAsia="仿宋" w:cs="仿宋"/>
          <w:snapToGrid/>
          <w:kern w:val="2"/>
          <w:sz w:val="32"/>
          <w:szCs w:val="32"/>
        </w:rPr>
        <w:t>签订时间：</w:t>
      </w:r>
      <w:r>
        <w:rPr>
          <w:rFonts w:hint="eastAsia" w:ascii="仿宋" w:hAnsi="仿宋" w:eastAsia="仿宋" w:cs="仿宋"/>
          <w:snapToGrid/>
          <w:kern w:val="2"/>
          <w:sz w:val="32"/>
          <w:szCs w:val="32"/>
          <w:u w:val="single"/>
        </w:rPr>
        <w:softHyphen/>
      </w:r>
      <w:r>
        <w:rPr>
          <w:rFonts w:hint="eastAsia" w:ascii="仿宋" w:hAnsi="仿宋" w:eastAsia="仿宋" w:cs="仿宋"/>
          <w:snapToGrid/>
          <w:kern w:val="2"/>
          <w:sz w:val="32"/>
          <w:szCs w:val="32"/>
          <w:u w:val="single"/>
        </w:rPr>
        <w:t xml:space="preserve">     </w:t>
      </w:r>
      <w:r>
        <w:rPr>
          <w:rFonts w:hint="eastAsia" w:ascii="仿宋" w:hAnsi="仿宋" w:eastAsia="仿宋" w:cs="仿宋"/>
          <w:bCs/>
          <w:snapToGrid/>
          <w:kern w:val="2"/>
          <w:sz w:val="30"/>
          <w:szCs w:val="30"/>
          <w:u w:val="single"/>
        </w:rPr>
        <w:t xml:space="preserve">      2025年  月  日                       </w:t>
      </w:r>
      <w:r>
        <w:rPr>
          <w:rFonts w:hint="eastAsia" w:ascii="仿宋" w:hAnsi="仿宋" w:eastAsia="仿宋" w:cs="仿宋"/>
          <w:bCs/>
          <w:snapToGrid/>
          <w:kern w:val="2"/>
          <w:sz w:val="32"/>
          <w:szCs w:val="32"/>
          <w:u w:val="single"/>
        </w:rPr>
        <w:t xml:space="preserve">            </w:t>
      </w:r>
    </w:p>
    <w:p w14:paraId="56A9BFE5">
      <w:pPr>
        <w:widowControl w:val="0"/>
        <w:kinsoku/>
        <w:autoSpaceDE/>
        <w:autoSpaceDN/>
        <w:spacing w:line="600" w:lineRule="atLeast"/>
        <w:ind w:left="720" w:leftChars="300"/>
        <w:jc w:val="both"/>
        <w:textAlignment w:val="auto"/>
        <w:rPr>
          <w:rFonts w:ascii="仿宋" w:hAnsi="仿宋" w:eastAsia="仿宋" w:cs="仿宋"/>
          <w:snapToGrid/>
          <w:kern w:val="2"/>
          <w:sz w:val="32"/>
          <w:szCs w:val="32"/>
        </w:rPr>
      </w:pPr>
    </w:p>
    <w:p w14:paraId="6F68A881">
      <w:pPr>
        <w:widowControl w:val="0"/>
        <w:kinsoku/>
        <w:autoSpaceDE/>
        <w:autoSpaceDN/>
        <w:spacing w:line="600" w:lineRule="atLeast"/>
        <w:ind w:left="720" w:leftChars="300"/>
        <w:jc w:val="both"/>
        <w:textAlignment w:val="auto"/>
        <w:rPr>
          <w:rFonts w:ascii="仿宋" w:hAnsi="仿宋" w:eastAsia="仿宋" w:cs="仿宋"/>
          <w:bCs/>
          <w:snapToGrid/>
          <w:kern w:val="2"/>
          <w:sz w:val="36"/>
          <w:szCs w:val="22"/>
          <w:u w:val="single"/>
        </w:rPr>
      </w:pPr>
      <w:r>
        <w:rPr>
          <w:rFonts w:hint="eastAsia" w:ascii="仿宋" w:hAnsi="仿宋" w:eastAsia="仿宋" w:cs="仿宋"/>
          <w:snapToGrid/>
          <w:kern w:val="2"/>
          <w:sz w:val="32"/>
          <w:szCs w:val="32"/>
        </w:rPr>
        <w:t>签订地点：</w:t>
      </w:r>
      <w:r>
        <w:rPr>
          <w:rFonts w:hint="eastAsia" w:ascii="仿宋" w:hAnsi="仿宋" w:eastAsia="仿宋" w:cs="仿宋"/>
          <w:b/>
          <w:snapToGrid/>
          <w:kern w:val="2"/>
          <w:sz w:val="36"/>
          <w:szCs w:val="22"/>
          <w:u w:val="single"/>
        </w:rPr>
        <w:t xml:space="preserve"> </w:t>
      </w:r>
      <w:r>
        <w:rPr>
          <w:rFonts w:hint="eastAsia" w:ascii="仿宋" w:hAnsi="仿宋" w:eastAsia="仿宋" w:cs="仿宋"/>
          <w:snapToGrid/>
          <w:kern w:val="2"/>
          <w:sz w:val="32"/>
          <w:szCs w:val="32"/>
          <w:u w:val="single"/>
        </w:rPr>
        <w:t xml:space="preserve">                                       </w:t>
      </w:r>
    </w:p>
    <w:p w14:paraId="30B2A62B">
      <w:pPr>
        <w:widowControl w:val="0"/>
        <w:kinsoku/>
        <w:autoSpaceDE/>
        <w:autoSpaceDN/>
        <w:spacing w:line="500" w:lineRule="atLeast"/>
        <w:ind w:left="720" w:leftChars="300"/>
        <w:jc w:val="both"/>
        <w:textAlignment w:val="auto"/>
        <w:rPr>
          <w:rFonts w:ascii="仿宋" w:hAnsi="仿宋" w:eastAsia="仿宋" w:cs="仿宋"/>
          <w:snapToGrid/>
          <w:kern w:val="2"/>
          <w:sz w:val="32"/>
          <w:szCs w:val="32"/>
        </w:rPr>
      </w:pPr>
    </w:p>
    <w:p w14:paraId="352504E6">
      <w:pPr>
        <w:widowControl w:val="0"/>
        <w:kinsoku/>
        <w:autoSpaceDE/>
        <w:autoSpaceDN/>
        <w:spacing w:line="500" w:lineRule="atLeast"/>
        <w:ind w:left="720" w:leftChars="300"/>
        <w:jc w:val="both"/>
        <w:textAlignment w:val="auto"/>
        <w:rPr>
          <w:rFonts w:ascii="仿宋" w:hAnsi="仿宋" w:eastAsia="仿宋" w:cs="仿宋"/>
          <w:b/>
          <w:snapToGrid/>
          <w:kern w:val="2"/>
          <w:sz w:val="32"/>
          <w:szCs w:val="22"/>
        </w:rPr>
      </w:pPr>
      <w:r>
        <w:rPr>
          <w:rFonts w:hint="eastAsia" w:ascii="仿宋" w:hAnsi="仿宋" w:eastAsia="仿宋" w:cs="仿宋"/>
          <w:snapToGrid/>
          <w:kern w:val="2"/>
          <w:sz w:val="32"/>
          <w:szCs w:val="32"/>
        </w:rPr>
        <w:t>合同编号：</w:t>
      </w:r>
      <w:r>
        <w:rPr>
          <w:rFonts w:hint="eastAsia" w:ascii="仿宋" w:hAnsi="仿宋" w:eastAsia="仿宋" w:cs="仿宋"/>
          <w:snapToGrid/>
          <w:kern w:val="2"/>
          <w:sz w:val="32"/>
          <w:szCs w:val="32"/>
          <w:u w:val="single"/>
        </w:rPr>
        <w:t xml:space="preserve">                                        </w:t>
      </w:r>
    </w:p>
    <w:p w14:paraId="058A2A65">
      <w:pPr>
        <w:widowControl w:val="0"/>
        <w:kinsoku/>
        <w:autoSpaceDE/>
        <w:autoSpaceDN/>
        <w:spacing w:line="500" w:lineRule="atLeast"/>
        <w:ind w:left="720" w:leftChars="300"/>
        <w:jc w:val="both"/>
        <w:textAlignment w:val="auto"/>
        <w:rPr>
          <w:rFonts w:ascii="仿宋" w:hAnsi="仿宋" w:eastAsia="仿宋" w:cs="仿宋"/>
          <w:b/>
          <w:snapToGrid/>
          <w:kern w:val="2"/>
          <w:sz w:val="32"/>
          <w:szCs w:val="22"/>
        </w:rPr>
      </w:pPr>
    </w:p>
    <w:p w14:paraId="4CF380D7">
      <w:pPr>
        <w:widowControl w:val="0"/>
        <w:kinsoku/>
        <w:autoSpaceDE/>
        <w:autoSpaceDN/>
        <w:spacing w:line="500" w:lineRule="atLeast"/>
        <w:ind w:left="720" w:leftChars="300"/>
        <w:jc w:val="both"/>
        <w:textAlignment w:val="auto"/>
        <w:rPr>
          <w:rFonts w:ascii="仿宋" w:hAnsi="仿宋" w:eastAsia="仿宋" w:cs="仿宋"/>
          <w:b/>
          <w:snapToGrid/>
          <w:kern w:val="2"/>
          <w:sz w:val="32"/>
          <w:szCs w:val="22"/>
        </w:rPr>
      </w:pPr>
    </w:p>
    <w:p w14:paraId="64EEA724">
      <w:pPr>
        <w:widowControl w:val="0"/>
        <w:kinsoku/>
        <w:autoSpaceDE/>
        <w:autoSpaceDN/>
        <w:spacing w:line="500" w:lineRule="atLeast"/>
        <w:ind w:left="720" w:leftChars="300"/>
        <w:jc w:val="both"/>
        <w:textAlignment w:val="auto"/>
        <w:rPr>
          <w:rFonts w:ascii="仿宋" w:hAnsi="仿宋" w:eastAsia="仿宋" w:cs="仿宋"/>
          <w:b/>
          <w:snapToGrid/>
          <w:kern w:val="2"/>
          <w:sz w:val="32"/>
          <w:szCs w:val="22"/>
        </w:rPr>
      </w:pPr>
    </w:p>
    <w:p w14:paraId="257FB144">
      <w:pPr>
        <w:spacing w:after="120"/>
        <w:rPr>
          <w:rFonts w:ascii="仿宋" w:hAnsi="仿宋" w:eastAsia="仿宋" w:cs="仿宋"/>
        </w:rPr>
        <w:sectPr>
          <w:footerReference r:id="rId6" w:type="default"/>
          <w:footerReference r:id="rId7" w:type="even"/>
          <w:pgSz w:w="11907" w:h="16840"/>
          <w:pgMar w:top="1440" w:right="1701" w:bottom="1440" w:left="1588" w:header="851" w:footer="992" w:gutter="0"/>
          <w:cols w:space="720" w:num="1"/>
          <w:docGrid w:linePitch="312" w:charSpace="0"/>
        </w:sectPr>
      </w:pPr>
    </w:p>
    <w:p w14:paraId="48DD784A">
      <w:pPr>
        <w:widowControl w:val="0"/>
        <w:kinsoku/>
        <w:autoSpaceDE/>
        <w:autoSpaceDN/>
        <w:spacing w:line="360" w:lineRule="auto"/>
        <w:ind w:firstLine="560" w:firstLineChars="200"/>
        <w:jc w:val="both"/>
        <w:textAlignment w:val="auto"/>
        <w:rPr>
          <w:rFonts w:ascii="仿宋" w:hAnsi="仿宋" w:eastAsia="仿宋" w:cs="仿宋"/>
          <w:b/>
          <w:snapToGrid/>
          <w:kern w:val="2"/>
          <w:sz w:val="28"/>
          <w:szCs w:val="28"/>
        </w:rPr>
      </w:pPr>
      <w:r>
        <w:rPr>
          <w:rFonts w:hint="eastAsia" w:ascii="仿宋" w:hAnsi="仿宋" w:eastAsia="仿宋" w:cs="仿宋"/>
          <w:snapToGrid/>
          <w:kern w:val="2"/>
          <w:sz w:val="28"/>
          <w:szCs w:val="22"/>
        </w:rPr>
        <w:t>双方经友好、平等协商，在真实、充分地表达各自意愿的基础上，根据《中华人民共和国民法典》的规定，达成如下协议，并由双方共同恪守。</w:t>
      </w:r>
    </w:p>
    <w:p w14:paraId="55CCACB8">
      <w:pPr>
        <w:widowControl w:val="0"/>
        <w:kinsoku/>
        <w:autoSpaceDE/>
        <w:autoSpaceDN/>
        <w:spacing w:line="360" w:lineRule="auto"/>
        <w:ind w:firstLine="562" w:firstLineChars="200"/>
        <w:jc w:val="both"/>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第一条 项目要求</w:t>
      </w:r>
    </w:p>
    <w:p w14:paraId="51B2B1D3">
      <w:pPr>
        <w:widowControl w:val="0"/>
        <w:kinsoku/>
        <w:autoSpaceDE/>
        <w:autoSpaceDN/>
        <w:spacing w:line="360" w:lineRule="auto"/>
        <w:ind w:firstLine="562" w:firstLineChars="200"/>
        <w:jc w:val="both"/>
        <w:textAlignment w:val="auto"/>
        <w:rPr>
          <w:rFonts w:ascii="仿宋" w:hAnsi="仿宋" w:eastAsia="仿宋" w:cs="仿宋"/>
          <w:b/>
          <w:bCs/>
          <w:snapToGrid/>
          <w:kern w:val="2"/>
          <w:sz w:val="28"/>
          <w:szCs w:val="28"/>
        </w:rPr>
      </w:pPr>
      <w:r>
        <w:rPr>
          <w:rFonts w:hint="eastAsia" w:ascii="仿宋" w:hAnsi="仿宋" w:eastAsia="仿宋" w:cs="仿宋"/>
          <w:b/>
          <w:bCs/>
          <w:snapToGrid/>
          <w:kern w:val="2"/>
          <w:sz w:val="28"/>
          <w:szCs w:val="22"/>
        </w:rPr>
        <w:t>1.项目目标：</w:t>
      </w:r>
    </w:p>
    <w:p w14:paraId="5F91F327">
      <w:pPr>
        <w:widowControl w:val="0"/>
        <w:kinsoku/>
        <w:autoSpaceDE/>
        <w:autoSpaceDN/>
        <w:spacing w:line="360" w:lineRule="auto"/>
        <w:ind w:firstLine="560" w:firstLineChars="200"/>
        <w:textAlignment w:val="auto"/>
        <w:rPr>
          <w:rFonts w:ascii="仿宋" w:hAnsi="仿宋" w:eastAsia="仿宋" w:cs="仿宋"/>
          <w:snapToGrid/>
          <w:kern w:val="2"/>
          <w:sz w:val="28"/>
          <w:szCs w:val="22"/>
        </w:rPr>
      </w:pPr>
      <w:r>
        <w:rPr>
          <w:rFonts w:hint="eastAsia" w:ascii="仿宋" w:hAnsi="仿宋" w:eastAsia="仿宋" w:cs="仿宋"/>
          <w:snapToGrid/>
          <w:kern w:val="2"/>
          <w:sz w:val="28"/>
          <w:szCs w:val="22"/>
        </w:rPr>
        <w:t>本项目围绕广西艺术学院现有微门户平台，以“保障运维稳定、升级应用效能”为核心，需符合学校数字化校园建设规范，确保与现有微门户系统、企业微信、统一身份认证体系兼容对接及数据实时互通。项目实施需保障系统安全，满足全校师生教学、管理、服务场景使用需求，实现平台运行稳定、功能适配、用户体验提升的目标。</w:t>
      </w:r>
    </w:p>
    <w:p w14:paraId="6D07D744">
      <w:pPr>
        <w:widowControl w:val="0"/>
        <w:kinsoku/>
        <w:autoSpaceDE/>
        <w:autoSpaceDN/>
        <w:spacing w:line="360" w:lineRule="auto"/>
        <w:ind w:firstLine="562" w:firstLineChars="200"/>
        <w:textAlignment w:val="auto"/>
        <w:rPr>
          <w:rFonts w:ascii="仿宋" w:hAnsi="仿宋" w:eastAsia="仿宋" w:cs="仿宋"/>
          <w:b/>
          <w:bCs/>
          <w:snapToGrid/>
          <w:kern w:val="2"/>
          <w:sz w:val="28"/>
          <w:szCs w:val="28"/>
        </w:rPr>
      </w:pPr>
      <w:r>
        <w:rPr>
          <w:rFonts w:hint="eastAsia" w:ascii="仿宋" w:hAnsi="仿宋" w:eastAsia="仿宋" w:cs="仿宋"/>
          <w:b/>
          <w:bCs/>
          <w:snapToGrid/>
          <w:kern w:val="2"/>
          <w:sz w:val="28"/>
          <w:szCs w:val="28"/>
        </w:rPr>
        <w:t>2.工作内容：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1"/>
        <w:gridCol w:w="1276"/>
        <w:gridCol w:w="992"/>
        <w:gridCol w:w="5041"/>
      </w:tblGrid>
      <w:tr w14:paraId="57F6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4279C40C">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序号</w:t>
            </w:r>
          </w:p>
        </w:tc>
        <w:tc>
          <w:tcPr>
            <w:tcW w:w="1276" w:type="dxa"/>
            <w:tcMar>
              <w:top w:w="60" w:type="dxa"/>
              <w:left w:w="120" w:type="dxa"/>
              <w:bottom w:w="30" w:type="dxa"/>
              <w:right w:w="120" w:type="dxa"/>
            </w:tcMar>
            <w:vAlign w:val="center"/>
          </w:tcPr>
          <w:p w14:paraId="233F11AE">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服务名称</w:t>
            </w:r>
          </w:p>
        </w:tc>
        <w:tc>
          <w:tcPr>
            <w:tcW w:w="992" w:type="dxa"/>
            <w:tcMar>
              <w:top w:w="60" w:type="dxa"/>
              <w:left w:w="120" w:type="dxa"/>
              <w:bottom w:w="30" w:type="dxa"/>
              <w:right w:w="120" w:type="dxa"/>
            </w:tcMar>
            <w:vAlign w:val="center"/>
          </w:tcPr>
          <w:p w14:paraId="6114F351">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数量/单位</w:t>
            </w:r>
          </w:p>
        </w:tc>
        <w:tc>
          <w:tcPr>
            <w:tcW w:w="5041" w:type="dxa"/>
            <w:tcMar>
              <w:top w:w="60" w:type="dxa"/>
              <w:left w:w="120" w:type="dxa"/>
              <w:bottom w:w="30" w:type="dxa"/>
              <w:right w:w="120" w:type="dxa"/>
            </w:tcMar>
            <w:vAlign w:val="center"/>
          </w:tcPr>
          <w:p w14:paraId="1C580455">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服务内容及要求</w:t>
            </w:r>
          </w:p>
        </w:tc>
      </w:tr>
      <w:tr w14:paraId="2D0C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3BA23848">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w:t>
            </w:r>
          </w:p>
        </w:tc>
        <w:tc>
          <w:tcPr>
            <w:tcW w:w="1276" w:type="dxa"/>
            <w:tcMar>
              <w:top w:w="60" w:type="dxa"/>
              <w:left w:w="120" w:type="dxa"/>
              <w:bottom w:w="30" w:type="dxa"/>
              <w:right w:w="120" w:type="dxa"/>
            </w:tcMar>
            <w:vAlign w:val="center"/>
          </w:tcPr>
          <w:p w14:paraId="40A2682A">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维保服务</w:t>
            </w:r>
          </w:p>
        </w:tc>
        <w:tc>
          <w:tcPr>
            <w:tcW w:w="992" w:type="dxa"/>
            <w:tcMar>
              <w:top w:w="60" w:type="dxa"/>
              <w:left w:w="120" w:type="dxa"/>
              <w:bottom w:w="30" w:type="dxa"/>
              <w:right w:w="120" w:type="dxa"/>
            </w:tcMar>
            <w:vAlign w:val="center"/>
          </w:tcPr>
          <w:p w14:paraId="7DE83A43">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06FFB950">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1.服务范围：对企业微信认证、故障报修、会议申请、失物招领、文件管理、捐赠平台、在线考试、网络投票、调查问卷、图书查询、校车查询、消息批量发送等历史开发的微门户微应用，提供为期一年的运行维护服务，保障应用稳定可用；</w:t>
            </w:r>
          </w:p>
          <w:p w14:paraId="51B34A90">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2.运行监控：维保期内组建专业运维团队，实施7×24小时全天候运行监控与技术支持；</w:t>
            </w:r>
          </w:p>
          <w:p w14:paraId="68FF453D">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3. 故障处置：建立高效、规范的故障响应与处置机制，确保应用出现异常时第一时间发现、响应并按标准流程快速修复；</w:t>
            </w:r>
          </w:p>
          <w:p w14:paraId="4CDD8E05">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4.系统优化：定期开展系统性能调优、安全漏洞扫描及修复工作，持续提升应用的稳定性、安全性与可用性，为微门户平台平稳高效运行提供保障。</w:t>
            </w:r>
          </w:p>
        </w:tc>
      </w:tr>
      <w:tr w14:paraId="0051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3255347E">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2</w:t>
            </w:r>
          </w:p>
        </w:tc>
        <w:tc>
          <w:tcPr>
            <w:tcW w:w="1276" w:type="dxa"/>
            <w:tcMar>
              <w:top w:w="60" w:type="dxa"/>
              <w:left w:w="120" w:type="dxa"/>
              <w:bottom w:w="30" w:type="dxa"/>
              <w:right w:w="120" w:type="dxa"/>
            </w:tcMar>
            <w:vAlign w:val="center"/>
          </w:tcPr>
          <w:p w14:paraId="1C7EC964">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故障报修应用升级</w:t>
            </w:r>
          </w:p>
        </w:tc>
        <w:tc>
          <w:tcPr>
            <w:tcW w:w="992" w:type="dxa"/>
            <w:tcMar>
              <w:top w:w="60" w:type="dxa"/>
              <w:left w:w="120" w:type="dxa"/>
              <w:bottom w:w="30" w:type="dxa"/>
              <w:right w:w="120" w:type="dxa"/>
            </w:tcMar>
            <w:vAlign w:val="center"/>
          </w:tcPr>
          <w:p w14:paraId="5F178AE5">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13CA1834">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1.流程优化：优化故障报修功能，构建灵活、高效的故障报修多级流转机制，支持便捷的手动转单、派单操作，方便后勤人员根据实际情况迅速、合理地分配任务；</w:t>
            </w:r>
          </w:p>
          <w:p w14:paraId="52C5BE79">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2.预约功能：增加预约上门维修时间，师生提交报修时可选择期望维修时段，后勤人员根据日程确认后反馈；</w:t>
            </w:r>
          </w:p>
          <w:p w14:paraId="4B8ED39E">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3.数据统计：完善后台统计分析功能，运用数据处理技术对故障类型、处理时长、处理效率等关键数据进行深度挖掘与分析，为后勤部门优化故障处理流程提供数据支撑。</w:t>
            </w:r>
          </w:p>
        </w:tc>
      </w:tr>
      <w:tr w14:paraId="0E49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0C70E292">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3</w:t>
            </w:r>
          </w:p>
        </w:tc>
        <w:tc>
          <w:tcPr>
            <w:tcW w:w="1276" w:type="dxa"/>
            <w:tcMar>
              <w:top w:w="60" w:type="dxa"/>
              <w:left w:w="120" w:type="dxa"/>
              <w:bottom w:w="30" w:type="dxa"/>
              <w:right w:w="120" w:type="dxa"/>
            </w:tcMar>
            <w:vAlign w:val="center"/>
          </w:tcPr>
          <w:p w14:paraId="474238A5">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失物招领应用升级</w:t>
            </w:r>
          </w:p>
        </w:tc>
        <w:tc>
          <w:tcPr>
            <w:tcW w:w="992" w:type="dxa"/>
            <w:tcMar>
              <w:top w:w="60" w:type="dxa"/>
              <w:left w:w="120" w:type="dxa"/>
              <w:bottom w:w="30" w:type="dxa"/>
              <w:right w:w="120" w:type="dxa"/>
            </w:tcMar>
            <w:vAlign w:val="center"/>
          </w:tcPr>
          <w:p w14:paraId="19E59FDD">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5CCBC5D9">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1.提醒交互功能：增加招领人精准提醒、交互功能，根据失物信息和招领人相关信息实现精准推送提醒消息，及时更新招领状态（待确认、已匹配、已领取），提高招领成功率；</w:t>
            </w:r>
          </w:p>
          <w:p w14:paraId="40DF01E8">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2.校区划分：增加校区划分模块，师生可按校区查询失物/招领信息，后台可分别统计各校区失物招领数据；</w:t>
            </w:r>
          </w:p>
          <w:p w14:paraId="3009D127">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3.统计分析：优化招领成功率统计算法，完善后台数据统计分析功能，可对失物类型、招领周期、招领区域等多维度数据进行详细统计与分析。</w:t>
            </w:r>
          </w:p>
        </w:tc>
      </w:tr>
      <w:tr w14:paraId="663A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534BAA02">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4</w:t>
            </w:r>
          </w:p>
        </w:tc>
        <w:tc>
          <w:tcPr>
            <w:tcW w:w="1276" w:type="dxa"/>
            <w:tcMar>
              <w:top w:w="60" w:type="dxa"/>
              <w:left w:w="120" w:type="dxa"/>
              <w:bottom w:w="30" w:type="dxa"/>
              <w:right w:w="120" w:type="dxa"/>
            </w:tcMar>
            <w:vAlign w:val="center"/>
          </w:tcPr>
          <w:p w14:paraId="463A0D61">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在线考试应用升级</w:t>
            </w:r>
          </w:p>
        </w:tc>
        <w:tc>
          <w:tcPr>
            <w:tcW w:w="992" w:type="dxa"/>
            <w:tcMar>
              <w:top w:w="60" w:type="dxa"/>
              <w:left w:w="120" w:type="dxa"/>
              <w:bottom w:w="30" w:type="dxa"/>
              <w:right w:w="120" w:type="dxa"/>
            </w:tcMar>
            <w:vAlign w:val="center"/>
          </w:tcPr>
          <w:p w14:paraId="5AC4728C">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7F38143D">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 xml:space="preserve">1.题库功能：新增题库功能，管理员可编辑和上传题库内容，支持筛选题目自动生成考试试卷； </w:t>
            </w:r>
          </w:p>
          <w:p w14:paraId="5E0E9F69">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2.题目操作：试卷的题目和选项顺序可设置为随机；题目同时支持拖拉拽排序和预览；</w:t>
            </w:r>
          </w:p>
          <w:p w14:paraId="5DB8CA93">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3.时间提醒：考试开始时间和结束时间提醒更智能；</w:t>
            </w:r>
          </w:p>
          <w:p w14:paraId="0D725FF7">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4.权限管理：用户登录后台只能查看到管理员开放的答题库和自己发布的考试，管理员可查看所有题库和考试；</w:t>
            </w:r>
          </w:p>
          <w:p w14:paraId="479AB086">
            <w:pPr>
              <w:kinsoku/>
              <w:autoSpaceDE/>
              <w:autoSpaceDN/>
              <w:adjustRightInd/>
              <w:snapToGrid/>
              <w:spacing w:line="360" w:lineRule="exact"/>
              <w:jc w:val="both"/>
              <w:textAlignment w:val="auto"/>
              <w:rPr>
                <w:rFonts w:ascii="仿宋" w:hAnsi="仿宋" w:eastAsia="仿宋" w:cs="仿宋"/>
                <w:snapToGrid/>
                <w:kern w:val="2"/>
                <w:szCs w:val="24"/>
              </w:rPr>
            </w:pPr>
            <w:r>
              <w:rPr>
                <w:rFonts w:hint="eastAsia" w:ascii="仿宋" w:hAnsi="仿宋" w:eastAsia="仿宋" w:cs="仿宋"/>
                <w:snapToGrid/>
                <w:szCs w:val="24"/>
              </w:rPr>
              <w:t>5. 结果管理：统计结果支持实时预览，能查看已交卷和未交卷人数，考试结果支持筛选查询和导出。</w:t>
            </w:r>
          </w:p>
        </w:tc>
      </w:tr>
      <w:tr w14:paraId="020C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7C45CE25">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5</w:t>
            </w:r>
          </w:p>
        </w:tc>
        <w:tc>
          <w:tcPr>
            <w:tcW w:w="1276" w:type="dxa"/>
            <w:tcMar>
              <w:top w:w="60" w:type="dxa"/>
              <w:left w:w="120" w:type="dxa"/>
              <w:bottom w:w="30" w:type="dxa"/>
              <w:right w:w="120" w:type="dxa"/>
            </w:tcMar>
            <w:vAlign w:val="center"/>
          </w:tcPr>
          <w:p w14:paraId="3D8BE2B8">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问卷调查应用升级</w:t>
            </w:r>
          </w:p>
        </w:tc>
        <w:tc>
          <w:tcPr>
            <w:tcW w:w="992" w:type="dxa"/>
            <w:tcMar>
              <w:top w:w="60" w:type="dxa"/>
              <w:left w:w="120" w:type="dxa"/>
              <w:bottom w:w="30" w:type="dxa"/>
              <w:right w:w="120" w:type="dxa"/>
            </w:tcMar>
            <w:vAlign w:val="center"/>
          </w:tcPr>
          <w:p w14:paraId="57D27894">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04A63FBA">
            <w:pPr>
              <w:widowControl w:val="0"/>
              <w:kinsoku/>
              <w:autoSpaceDE/>
              <w:autoSpaceDN/>
              <w:adjustRightInd/>
              <w:snapToGrid/>
              <w:spacing w:before="120" w:after="120" w:line="360" w:lineRule="exact"/>
              <w:jc w:val="both"/>
              <w:textAlignment w:val="auto"/>
              <w:rPr>
                <w:rFonts w:ascii="仿宋" w:hAnsi="仿宋" w:eastAsia="仿宋" w:cs="仿宋"/>
                <w:snapToGrid/>
                <w:kern w:val="2"/>
                <w:szCs w:val="24"/>
              </w:rPr>
            </w:pPr>
            <w:r>
              <w:rPr>
                <w:rFonts w:hint="eastAsia" w:ascii="仿宋" w:hAnsi="仿宋" w:eastAsia="仿宋" w:cs="仿宋"/>
                <w:snapToGrid/>
                <w:kern w:val="2"/>
                <w:szCs w:val="24"/>
              </w:rPr>
              <w:t>1.需求适配与体验优化：根据学校使用需求进行升级，从界面设计、操作流程等方面优化用户体验，使应用更简洁、美观、易用；</w:t>
            </w:r>
          </w:p>
          <w:p w14:paraId="2EBC3519">
            <w:pPr>
              <w:widowControl w:val="0"/>
              <w:kinsoku/>
              <w:autoSpaceDE/>
              <w:autoSpaceDN/>
              <w:adjustRightInd/>
              <w:snapToGrid/>
              <w:spacing w:before="120" w:after="120" w:line="360" w:lineRule="exact"/>
              <w:jc w:val="both"/>
              <w:textAlignment w:val="auto"/>
              <w:rPr>
                <w:rFonts w:ascii="仿宋" w:hAnsi="仿宋" w:eastAsia="仿宋" w:cs="仿宋"/>
                <w:snapToGrid/>
                <w:kern w:val="2"/>
                <w:szCs w:val="24"/>
              </w:rPr>
            </w:pPr>
            <w:r>
              <w:rPr>
                <w:rFonts w:hint="eastAsia" w:ascii="仿宋" w:hAnsi="仿宋" w:eastAsia="仿宋" w:cs="仿宋"/>
                <w:snapToGrid/>
                <w:kern w:val="2"/>
                <w:szCs w:val="24"/>
              </w:rPr>
              <w:t>2.bug修复：修复应用存在的各类bug，确保应用稳定、可靠运行，便于在学校范围内广泛推广和有效应用。</w:t>
            </w:r>
          </w:p>
        </w:tc>
      </w:tr>
      <w:tr w14:paraId="35E3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47E935D8">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6</w:t>
            </w:r>
          </w:p>
        </w:tc>
        <w:tc>
          <w:tcPr>
            <w:tcW w:w="1276" w:type="dxa"/>
            <w:tcMar>
              <w:top w:w="60" w:type="dxa"/>
              <w:left w:w="120" w:type="dxa"/>
              <w:bottom w:w="30" w:type="dxa"/>
              <w:right w:w="120" w:type="dxa"/>
            </w:tcMar>
            <w:vAlign w:val="center"/>
          </w:tcPr>
          <w:p w14:paraId="26D60446">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网络投票应用升级</w:t>
            </w:r>
          </w:p>
        </w:tc>
        <w:tc>
          <w:tcPr>
            <w:tcW w:w="992" w:type="dxa"/>
            <w:tcMar>
              <w:top w:w="60" w:type="dxa"/>
              <w:left w:w="120" w:type="dxa"/>
              <w:bottom w:w="30" w:type="dxa"/>
              <w:right w:w="120" w:type="dxa"/>
            </w:tcMar>
            <w:vAlign w:val="center"/>
          </w:tcPr>
          <w:p w14:paraId="7CD799D6">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0A11255C">
            <w:pPr>
              <w:widowControl w:val="0"/>
              <w:kinsoku/>
              <w:autoSpaceDE/>
              <w:autoSpaceDN/>
              <w:adjustRightInd/>
              <w:snapToGrid/>
              <w:spacing w:before="120" w:after="120" w:line="360" w:lineRule="exact"/>
              <w:jc w:val="both"/>
              <w:textAlignment w:val="auto"/>
              <w:rPr>
                <w:rFonts w:ascii="仿宋" w:hAnsi="仿宋" w:eastAsia="仿宋" w:cs="仿宋"/>
                <w:snapToGrid/>
                <w:kern w:val="2"/>
                <w:szCs w:val="24"/>
              </w:rPr>
            </w:pPr>
            <w:r>
              <w:rPr>
                <w:rFonts w:hint="eastAsia" w:ascii="仿宋" w:hAnsi="仿宋" w:eastAsia="仿宋" w:cs="仿宋"/>
                <w:snapToGrid/>
                <w:kern w:val="2"/>
                <w:szCs w:val="24"/>
              </w:rPr>
              <w:t>1.需求适配与体验优化：根据学校使用需求进行升级，优化用户体验，改进界面设计使其更加美观大方，简化操作流程让师生能够轻松上手；</w:t>
            </w:r>
          </w:p>
          <w:p w14:paraId="7F5FDBC4">
            <w:pPr>
              <w:widowControl w:val="0"/>
              <w:kinsoku/>
              <w:autoSpaceDE/>
              <w:autoSpaceDN/>
              <w:adjustRightInd/>
              <w:snapToGrid/>
              <w:spacing w:before="120" w:after="120" w:line="360" w:lineRule="exact"/>
              <w:jc w:val="both"/>
              <w:textAlignment w:val="auto"/>
              <w:rPr>
                <w:rFonts w:ascii="仿宋" w:hAnsi="仿宋" w:eastAsia="仿宋" w:cs="仿宋"/>
                <w:snapToGrid/>
                <w:kern w:val="2"/>
                <w:szCs w:val="24"/>
              </w:rPr>
            </w:pPr>
            <w:r>
              <w:rPr>
                <w:rFonts w:hint="eastAsia" w:ascii="仿宋" w:hAnsi="仿宋" w:eastAsia="仿宋" w:cs="仿宋"/>
                <w:snapToGrid/>
                <w:kern w:val="2"/>
                <w:szCs w:val="24"/>
              </w:rPr>
              <w:t>2.bug修复：修复应用存在的bug，确保应用稳定、高效运行，便于推广使用，为学校投票活动提供坚实技术保障。</w:t>
            </w:r>
          </w:p>
        </w:tc>
      </w:tr>
    </w:tbl>
    <w:p w14:paraId="1E5FC29F">
      <w:pPr>
        <w:widowControl w:val="0"/>
        <w:kinsoku/>
        <w:autoSpaceDE/>
        <w:autoSpaceDN/>
        <w:adjustRightInd/>
        <w:snapToGrid/>
        <w:textAlignment w:val="auto"/>
        <w:rPr>
          <w:rFonts w:ascii="仿宋" w:hAnsi="仿宋" w:eastAsia="仿宋" w:cs="仿宋"/>
          <w:b/>
          <w:bCs/>
          <w:snapToGrid/>
          <w:kern w:val="2"/>
          <w:sz w:val="28"/>
          <w:szCs w:val="28"/>
        </w:rPr>
      </w:pPr>
    </w:p>
    <w:p w14:paraId="21365845">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 xml:space="preserve">第二条 工期 </w:t>
      </w:r>
    </w:p>
    <w:p w14:paraId="229F8B22">
      <w:pPr>
        <w:widowControl w:val="0"/>
        <w:kinsoku/>
        <w:autoSpaceDE/>
        <w:autoSpaceDN/>
        <w:spacing w:line="360" w:lineRule="auto"/>
        <w:ind w:left="420" w:firstLine="140" w:firstLineChars="5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乙方应按下列进度完成研究开发工作：</w:t>
      </w:r>
    </w:p>
    <w:p w14:paraId="58C412A3">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1.合同签订后5个工作日内，提交整体技术方案及详细的工作进度表；</w:t>
      </w:r>
    </w:p>
    <w:p w14:paraId="6D72C249">
      <w:pPr>
        <w:widowControl w:val="0"/>
        <w:kinsoku/>
        <w:autoSpaceDE/>
        <w:autoSpaceDN/>
        <w:spacing w:line="360" w:lineRule="auto"/>
        <w:ind w:firstLine="560" w:firstLineChars="200"/>
        <w:jc w:val="both"/>
        <w:textAlignment w:val="auto"/>
        <w:rPr>
          <w:rFonts w:ascii="仿宋" w:hAnsi="仿宋" w:eastAsia="仿宋" w:cs="仿宋"/>
          <w:b/>
          <w:snapToGrid/>
          <w:kern w:val="2"/>
          <w:sz w:val="28"/>
          <w:szCs w:val="28"/>
        </w:rPr>
      </w:pPr>
      <w:r>
        <w:rPr>
          <w:rFonts w:hint="eastAsia" w:ascii="仿宋" w:hAnsi="仿宋" w:eastAsia="仿宋" w:cs="仿宋"/>
          <w:snapToGrid/>
          <w:kern w:val="2"/>
          <w:sz w:val="28"/>
          <w:szCs w:val="28"/>
        </w:rPr>
        <w:t>2.合同签订后20天（日历日）内完成本合同要求内容，邀请甲方相关管理员进行使用测试上线；所有功能运行正常，验收合格并交付使用。</w:t>
      </w:r>
    </w:p>
    <w:p w14:paraId="37AF6763">
      <w:pPr>
        <w:widowControl w:val="0"/>
        <w:kinsoku/>
        <w:autoSpaceDE/>
        <w:autoSpaceDN/>
        <w:spacing w:line="360" w:lineRule="auto"/>
        <w:ind w:firstLine="562" w:firstLineChars="200"/>
        <w:jc w:val="both"/>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第三条 付款方式</w:t>
      </w:r>
    </w:p>
    <w:p w14:paraId="7C234DCD">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1.项目合同总费用（含税，增值税税率</w:t>
      </w:r>
      <w:r>
        <w:rPr>
          <w:rFonts w:hint="eastAsia" w:ascii="仿宋" w:hAnsi="仿宋" w:eastAsia="仿宋" w:cs="仿宋"/>
          <w:snapToGrid/>
          <w:kern w:val="2"/>
          <w:sz w:val="28"/>
          <w:szCs w:val="28"/>
          <w:u w:val="single"/>
        </w:rPr>
        <w:t>6</w:t>
      </w:r>
      <w:r>
        <w:rPr>
          <w:rFonts w:hint="eastAsia" w:ascii="仿宋" w:hAnsi="仿宋" w:eastAsia="仿宋" w:cs="仿宋"/>
          <w:snapToGrid/>
          <w:kern w:val="2"/>
          <w:sz w:val="28"/>
          <w:szCs w:val="28"/>
        </w:rPr>
        <w:t>%）为：</w:t>
      </w:r>
      <w:r>
        <w:rPr>
          <w:rFonts w:hint="eastAsia" w:ascii="仿宋" w:hAnsi="仿宋" w:eastAsia="仿宋" w:cs="仿宋"/>
          <w:b/>
          <w:snapToGrid/>
          <w:kern w:val="2"/>
          <w:sz w:val="28"/>
          <w:szCs w:val="28"/>
        </w:rPr>
        <w:t>人民币（大写）：</w:t>
      </w:r>
      <w:r>
        <w:rPr>
          <w:rFonts w:hint="eastAsia" w:ascii="仿宋" w:hAnsi="仿宋" w:eastAsia="仿宋" w:cs="仿宋"/>
          <w:b/>
          <w:snapToGrid/>
          <w:kern w:val="2"/>
          <w:sz w:val="28"/>
          <w:szCs w:val="28"/>
          <w:u w:val="single"/>
        </w:rPr>
        <w:t xml:space="preserve">     </w:t>
      </w:r>
      <w:r>
        <w:rPr>
          <w:rFonts w:hint="eastAsia" w:ascii="仿宋" w:hAnsi="仿宋" w:eastAsia="仿宋" w:cs="仿宋"/>
          <w:b/>
          <w:snapToGrid/>
          <w:kern w:val="2"/>
          <w:sz w:val="28"/>
          <w:szCs w:val="28"/>
        </w:rPr>
        <w:t>，¥：</w:t>
      </w:r>
      <w:r>
        <w:rPr>
          <w:rFonts w:hint="eastAsia" w:ascii="仿宋" w:hAnsi="仿宋" w:eastAsia="仿宋" w:cs="仿宋"/>
          <w:b/>
          <w:snapToGrid/>
          <w:kern w:val="2"/>
          <w:sz w:val="28"/>
          <w:szCs w:val="28"/>
          <w:u w:val="single"/>
        </w:rPr>
        <w:t xml:space="preserve">      </w:t>
      </w:r>
      <w:r>
        <w:rPr>
          <w:rFonts w:hint="eastAsia" w:ascii="仿宋" w:hAnsi="仿宋" w:eastAsia="仿宋" w:cs="仿宋"/>
          <w:b/>
          <w:snapToGrid/>
          <w:kern w:val="2"/>
          <w:sz w:val="28"/>
          <w:szCs w:val="28"/>
        </w:rPr>
        <w:t>元，</w:t>
      </w:r>
      <w:r>
        <w:rPr>
          <w:rFonts w:hint="eastAsia" w:ascii="仿宋" w:hAnsi="仿宋" w:eastAsia="仿宋" w:cs="仿宋"/>
          <w:snapToGrid/>
          <w:kern w:val="2"/>
          <w:sz w:val="28"/>
          <w:szCs w:val="28"/>
        </w:rPr>
        <w:t>前述合同价款是乙方履行本合同义务所需的全部费用，除双方另有明确书面约定外，甲方无需向乙方支付其他任何费用。</w:t>
      </w:r>
    </w:p>
    <w:p w14:paraId="7D23905B">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2.甲方按开发进度分以下阶段向乙方支付：</w:t>
      </w:r>
    </w:p>
    <w:p w14:paraId="1AE23DCA">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（1）双方签订合同之后，乙方需向甲方支付合同金额</w:t>
      </w:r>
      <w:r>
        <w:rPr>
          <w:rFonts w:ascii="仿宋" w:hAnsi="仿宋" w:eastAsia="仿宋" w:cs="仿宋"/>
          <w:snapToGrid/>
          <w:kern w:val="2"/>
          <w:sz w:val="28"/>
          <w:szCs w:val="28"/>
        </w:rPr>
        <w:t>5</w:t>
      </w:r>
      <w:r>
        <w:rPr>
          <w:rFonts w:hint="eastAsia" w:ascii="仿宋" w:hAnsi="仿宋" w:eastAsia="仿宋" w:cs="仿宋"/>
          <w:snapToGrid/>
          <w:kern w:val="2"/>
          <w:sz w:val="28"/>
          <w:szCs w:val="28"/>
        </w:rPr>
        <w:t>%的履约保证金，合计为：人民币（大写）：</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元；</w:t>
      </w:r>
    </w:p>
    <w:p w14:paraId="1C720BD0">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（2）应用升级工作完成后，经甲方确认验收合格，甲方向乙方支付合同金额100%款项，合计为：人民币（大写）：</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元；</w:t>
      </w:r>
    </w:p>
    <w:p w14:paraId="0770F0B5">
      <w:pPr>
        <w:widowControl w:val="0"/>
        <w:kinsoku/>
        <w:autoSpaceDE/>
        <w:autoSpaceDN/>
        <w:adjustRightInd/>
        <w:snapToGrid/>
        <w:spacing w:line="360" w:lineRule="auto"/>
        <w:ind w:firstLine="560" w:firstLineChars="200"/>
        <w:jc w:val="both"/>
        <w:textAlignment w:val="auto"/>
        <w:rPr>
          <w:rFonts w:ascii="仿宋" w:hAnsi="仿宋" w:eastAsia="仿宋" w:cs="仿宋"/>
          <w:b/>
          <w:snapToGrid/>
          <w:kern w:val="2"/>
          <w:sz w:val="28"/>
          <w:szCs w:val="28"/>
        </w:rPr>
      </w:pPr>
      <w:r>
        <w:rPr>
          <w:rFonts w:hint="eastAsia" w:ascii="仿宋" w:hAnsi="仿宋" w:eastAsia="仿宋" w:cs="仿宋"/>
          <w:snapToGrid/>
          <w:kern w:val="2"/>
          <w:sz w:val="28"/>
          <w:szCs w:val="28"/>
        </w:rPr>
        <w:t>（3）质保期为一年，一年质保期满后无质量问题，乙方可申请退还履约保证金。</w:t>
      </w:r>
    </w:p>
    <w:p w14:paraId="159144BC">
      <w:pPr>
        <w:widowControl w:val="0"/>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3.甲方付款前，乙方应向甲方开具</w:t>
      </w:r>
      <w:r>
        <w:rPr>
          <w:rFonts w:hint="eastAsia" w:ascii="仿宋" w:hAnsi="仿宋" w:eastAsia="仿宋" w:cs="仿宋"/>
          <w:kern w:val="2"/>
          <w:sz w:val="28"/>
          <w:szCs w:val="28"/>
        </w:rPr>
        <w:t>等额普通发票</w:t>
      </w:r>
      <w:r>
        <w:rPr>
          <w:rFonts w:hint="eastAsia" w:ascii="仿宋" w:hAnsi="仿宋" w:eastAsia="仿宋" w:cs="仿宋"/>
          <w:bCs/>
          <w:kern w:val="2"/>
          <w:sz w:val="28"/>
          <w:szCs w:val="28"/>
        </w:rPr>
        <w:t>，否则甲方付款时间顺延且不承担由此产生的延迟付款责任。</w:t>
      </w:r>
    </w:p>
    <w:p w14:paraId="5ED70E68">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第四条  知识产权</w:t>
      </w:r>
    </w:p>
    <w:p w14:paraId="45AD3B9B">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乙方有不可争议的义务确保甲方依据本次采购所获得的知识产权不存在任何瑕疵并且可以不受限制地行使相关权利，包括各项延伸权利。若因此发生任何争议均应当由乙方承担全部及任何责任，包括但不限于应当承担其自身及甲方为排除任何争议或瑕疵所应当或所需支附的一切相关或由此引起的费用。</w:t>
      </w:r>
    </w:p>
    <w:p w14:paraId="02B8DB44">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第五条　开发方式</w:t>
      </w:r>
    </w:p>
    <w:p w14:paraId="2E4A3172">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开发工作由乙方完成，甲方予以配合，系统开发中，所需相关信息、设备和场地由甲方提供。</w:t>
      </w:r>
    </w:p>
    <w:p w14:paraId="1A89CFB9">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第六条　验收</w:t>
      </w:r>
    </w:p>
    <w:p w14:paraId="2A610F44">
      <w:pPr>
        <w:widowControl w:val="0"/>
        <w:kinsoku/>
        <w:autoSpaceDE/>
        <w:autoSpaceDN/>
        <w:spacing w:line="360" w:lineRule="auto"/>
        <w:ind w:left="420" w:firstLine="140" w:firstLineChars="5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甲方应按工作进度表中约定的时间进行验收。</w:t>
      </w:r>
    </w:p>
    <w:p w14:paraId="3BC83D64">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1．验收方法：系统调试运行正常，系统配置和测试报告完成，乙方向甲方提交验收申请及验收项目清单；验收标准以第一条第二款约定工作内容所述功能要求为准。</w:t>
      </w:r>
    </w:p>
    <w:p w14:paraId="6A00C12E">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2．验收前提：系统中不得含有侵犯他人知识产权的内容；不得含有计算机病毒及不良代码；不得危害计算机系统的安全；不得含有国家规定禁止传播的内容，符合我国软件标准规范。</w:t>
      </w:r>
    </w:p>
    <w:p w14:paraId="46B12871">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3．验收资料：</w:t>
      </w:r>
    </w:p>
    <w:p w14:paraId="412C21E6">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系统设计方案技术文档；</w:t>
      </w:r>
    </w:p>
    <w:p w14:paraId="1E1CDD7F">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系统数据库设计说明；</w:t>
      </w:r>
    </w:p>
    <w:p w14:paraId="7CDE5258">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xml:space="preserve">■ 带注释的软件源代码； </w:t>
      </w:r>
    </w:p>
    <w:p w14:paraId="4B41859A">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用户操作手册；</w:t>
      </w:r>
    </w:p>
    <w:p w14:paraId="1DC3257A">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其他必要的相关技术文档资料。</w:t>
      </w:r>
    </w:p>
    <w:p w14:paraId="324373D8">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第七条  人员培训</w:t>
      </w:r>
    </w:p>
    <w:p w14:paraId="23FF8182">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双方确定，乙方应在开发过程中及系统完成后，根据甲方的请求为甲方指定的人员提供免费技术指导和培训，或提供与使用该研究开发成果相关的技术服务。</w:t>
      </w:r>
    </w:p>
    <w:p w14:paraId="2E73CD19">
      <w:pPr>
        <w:widowControl w:val="0"/>
        <w:kinsoku/>
        <w:autoSpaceDE/>
        <w:autoSpaceDN/>
        <w:spacing w:line="360" w:lineRule="auto"/>
        <w:ind w:left="420" w:firstLine="140" w:firstLineChars="5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 技术服务和指导内容：软件的开发、使用及维护等。</w:t>
      </w:r>
    </w:p>
    <w:p w14:paraId="7F8FC711">
      <w:pPr>
        <w:widowControl w:val="0"/>
        <w:kinsoku/>
        <w:autoSpaceDE/>
        <w:autoSpaceDN/>
        <w:spacing w:line="360" w:lineRule="auto"/>
        <w:ind w:firstLine="560" w:firstLineChars="200"/>
        <w:jc w:val="both"/>
        <w:textAlignment w:val="auto"/>
        <w:rPr>
          <w:rFonts w:ascii="仿宋" w:hAnsi="仿宋" w:eastAsia="仿宋" w:cs="仿宋"/>
          <w:b/>
          <w:snapToGrid/>
          <w:kern w:val="2"/>
          <w:sz w:val="28"/>
          <w:szCs w:val="28"/>
        </w:rPr>
      </w:pPr>
      <w:r>
        <w:rPr>
          <w:rFonts w:hint="eastAsia" w:ascii="仿宋" w:hAnsi="仿宋" w:eastAsia="仿宋" w:cs="仿宋"/>
          <w:snapToGrid/>
          <w:kern w:val="2"/>
          <w:sz w:val="28"/>
          <w:szCs w:val="28"/>
        </w:rPr>
        <w:t>2. 地点和方式：在甲方安装现场的软件上进行实习培训以及集中培训，时间为1天。</w:t>
      </w:r>
    </w:p>
    <w:p w14:paraId="02F78262">
      <w:pPr>
        <w:widowControl w:val="0"/>
        <w:kinsoku/>
        <w:autoSpaceDE/>
        <w:autoSpaceDN/>
        <w:spacing w:line="360" w:lineRule="auto"/>
        <w:ind w:firstLine="562" w:firstLineChars="200"/>
        <w:jc w:val="both"/>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第八条  售后服务</w:t>
      </w:r>
    </w:p>
    <w:p w14:paraId="5E08036D">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本项目免费售后服务期限为1年，自验收合格之日起算。</w:t>
      </w:r>
    </w:p>
    <w:p w14:paraId="711F6B97">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响应机制：提供7×24小时技术支持，电话、远程响应不超过1小时，远程无法解决的重大故障12小时内到场处理，重大活动前开展专项检查并安排专人值守；</w:t>
      </w:r>
    </w:p>
    <w:p w14:paraId="2C43F3D6">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维护内容：免费提供系统bug修复、性能优化及版本升级服务，配合学校业务调整提供合理范围内的功能适配；</w:t>
      </w:r>
    </w:p>
    <w:p w14:paraId="395C9B4B">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服务反馈：建立服务台账记录故障处理及维护情况，每月提交台账汇总，售后服务期满前提交含服务统计及优化建议的总结报告；</w:t>
      </w:r>
    </w:p>
    <w:p w14:paraId="7137E5CE">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培训支持：提供管理员操作培训，确保其掌握系统使用及基础问题排查方法。</w:t>
      </w:r>
    </w:p>
    <w:p w14:paraId="654C06B6">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第九条　转让</w:t>
      </w:r>
    </w:p>
    <w:p w14:paraId="255FDCED">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本合同的变更和修改必须由双方协商一致，并以书面形式确定。在没有另一方事先书面同意的情况下，任何一方不得将本合同项下的权利、义务部分或全部地转让给第三方。</w:t>
      </w:r>
    </w:p>
    <w:p w14:paraId="716F155E">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第十条　保密</w:t>
      </w:r>
    </w:p>
    <w:p w14:paraId="2F7692ED">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双方确定因履行本合同应遵守的保密义务如下：</w:t>
      </w:r>
    </w:p>
    <w:p w14:paraId="07E820BF">
      <w:pPr>
        <w:widowControl w:val="0"/>
        <w:kinsoku/>
        <w:autoSpaceDE/>
        <w:autoSpaceDN/>
        <w:spacing w:line="360" w:lineRule="auto"/>
        <w:ind w:firstLine="560" w:firstLineChars="200"/>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乙方必须对项目技术文件以及采购人学校机密或商业秘密保密，保密范围包括项目信息、技术情况、数据资料</w:t>
      </w:r>
      <w:r>
        <w:rPr>
          <w:rFonts w:hint="eastAsia" w:ascii="仿宋" w:hAnsi="仿宋" w:eastAsia="仿宋" w:cs="仿宋"/>
          <w:snapToGrid/>
          <w:kern w:val="2"/>
          <w:sz w:val="28"/>
          <w:szCs w:val="28"/>
          <w:lang w:eastAsia="zh-CN"/>
        </w:rPr>
        <w:t>、</w:t>
      </w:r>
      <w:r>
        <w:rPr>
          <w:rFonts w:hint="eastAsia" w:ascii="仿宋" w:hAnsi="仿宋" w:eastAsia="仿宋" w:cs="仿宋"/>
          <w:snapToGrid/>
          <w:color w:val="FF0000"/>
          <w:kern w:val="2"/>
          <w:sz w:val="28"/>
          <w:szCs w:val="28"/>
          <w:lang w:val="en-US" w:eastAsia="zh-CN"/>
        </w:rPr>
        <w:t>个人信息等不公开信息</w:t>
      </w:r>
      <w:r>
        <w:rPr>
          <w:rFonts w:hint="eastAsia" w:ascii="仿宋" w:hAnsi="仿宋" w:eastAsia="仿宋" w:cs="仿宋"/>
          <w:snapToGrid/>
          <w:kern w:val="2"/>
          <w:sz w:val="28"/>
          <w:szCs w:val="28"/>
        </w:rPr>
        <w:t>。未经采购人书面许可，成交供应商不得以任何形式向第三方透露本项目</w:t>
      </w:r>
      <w:r>
        <w:rPr>
          <w:rFonts w:hint="eastAsia" w:ascii="仿宋" w:hAnsi="仿宋" w:eastAsia="仿宋" w:cs="仿宋"/>
          <w:snapToGrid/>
          <w:color w:val="FF0000"/>
          <w:kern w:val="2"/>
          <w:sz w:val="28"/>
          <w:szCs w:val="28"/>
          <w:lang w:val="en-US" w:eastAsia="zh-CN"/>
        </w:rPr>
        <w:t>合同</w:t>
      </w:r>
      <w:r>
        <w:rPr>
          <w:rFonts w:hint="eastAsia" w:ascii="仿宋" w:hAnsi="仿宋" w:eastAsia="仿宋" w:cs="仿宋"/>
          <w:snapToGrid/>
          <w:kern w:val="2"/>
          <w:sz w:val="28"/>
          <w:szCs w:val="28"/>
        </w:rPr>
        <w:t>以及本项目的任何内容，不得私自保存有关内容。</w:t>
      </w:r>
    </w:p>
    <w:p w14:paraId="435B1118">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第十一条　违约责任</w:t>
      </w:r>
    </w:p>
    <w:p w14:paraId="68C824FB">
      <w:pPr>
        <w:widowControl w:val="0"/>
        <w:spacing w:line="360" w:lineRule="auto"/>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1.如乙方在规定期限内不能按时完成约定义务，则每迟延一天，乙方向甲方支付合同总金额3‰的违约金，</w:t>
      </w:r>
      <w:r>
        <w:rPr>
          <w:rFonts w:hint="eastAsia" w:ascii="仿宋" w:hAnsi="仿宋" w:eastAsia="仿宋" w:cs="仿宋"/>
          <w:color w:val="FF0000"/>
          <w:kern w:val="2"/>
          <w:sz w:val="28"/>
          <w:szCs w:val="28"/>
          <w:lang w:val="en-US" w:eastAsia="zh-CN"/>
        </w:rPr>
        <w:t>免费售后期相应顺延，</w:t>
      </w:r>
      <w:r>
        <w:rPr>
          <w:rFonts w:hint="eastAsia" w:ascii="仿宋" w:hAnsi="仿宋" w:eastAsia="仿宋" w:cs="仿宋"/>
          <w:kern w:val="2"/>
          <w:sz w:val="28"/>
          <w:szCs w:val="28"/>
        </w:rPr>
        <w:t>违约超过七日的，甲方有权解除合同。</w:t>
      </w:r>
    </w:p>
    <w:p w14:paraId="6DB5C321">
      <w:pPr>
        <w:widowControl w:val="0"/>
        <w:ind w:firstLine="560" w:firstLineChars="200"/>
        <w:jc w:val="both"/>
        <w:rPr>
          <w:rFonts w:ascii="仿宋" w:hAnsi="仿宋" w:eastAsia="仿宋" w:cs="仿宋"/>
          <w:kern w:val="2"/>
          <w:sz w:val="21"/>
          <w:szCs w:val="22"/>
        </w:rPr>
      </w:pPr>
      <w:r>
        <w:rPr>
          <w:rFonts w:hint="eastAsia" w:ascii="仿宋" w:hAnsi="仿宋" w:eastAsia="仿宋" w:cs="仿宋"/>
          <w:kern w:val="2"/>
          <w:sz w:val="28"/>
          <w:szCs w:val="28"/>
        </w:rPr>
        <w:t>2.本项目经甲方验收不合格的，甲方有权解除合同，乙方应退还甲方已经支付的全部款项，如有未付合同款项的，也无需支付。</w:t>
      </w:r>
    </w:p>
    <w:p w14:paraId="535F2471">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第十二条  项目联系</w:t>
      </w:r>
    </w:p>
    <w:p w14:paraId="577EDF4A">
      <w:pPr>
        <w:widowControl w:val="0"/>
        <w:kinsoku/>
        <w:autoSpaceDE/>
        <w:autoSpaceDN/>
        <w:spacing w:line="360" w:lineRule="auto"/>
        <w:ind w:firstLine="560" w:firstLineChars="200"/>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双方确定，在本合同有效期内，甲方指定</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为甲方项目联系人，乙方指定</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为乙方项目联系人，项目联系人承担以下责任：</w:t>
      </w:r>
    </w:p>
    <w:p w14:paraId="5B830899">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1．项目进度的跟踪；</w:t>
      </w:r>
    </w:p>
    <w:p w14:paraId="7AA7AC92">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2．项目实施过程中的协调。</w:t>
      </w:r>
    </w:p>
    <w:p w14:paraId="2EDBD7C9">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一方变更项目联系人的，应当及时以书面形式通知另一方，未及时通知并影响本合同履行或造成损失的，应承担相应的责任。</w:t>
      </w:r>
    </w:p>
    <w:p w14:paraId="3F0355B6">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第十三条  不可抗力</w:t>
      </w:r>
    </w:p>
    <w:p w14:paraId="1582E449">
      <w:pPr>
        <w:widowControl w:val="0"/>
        <w:kinsoku/>
        <w:autoSpaceDE/>
        <w:autoSpaceDN/>
        <w:spacing w:line="360" w:lineRule="auto"/>
        <w:ind w:firstLine="560" w:firstLineChars="200"/>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1．一方因不可抗力不能履行合同或不能完全履行合同的，根据不可抗力的影响，可以部分或全部地免除责任。</w:t>
      </w:r>
    </w:p>
    <w:p w14:paraId="2E224C3B">
      <w:pPr>
        <w:widowControl w:val="0"/>
        <w:kinsoku/>
        <w:autoSpaceDE/>
        <w:autoSpaceDN/>
        <w:spacing w:line="360" w:lineRule="auto"/>
        <w:ind w:firstLine="560" w:firstLineChars="200"/>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2．一方迟延履行后发生不可抗力的，不能免除责任。</w:t>
      </w:r>
    </w:p>
    <w:p w14:paraId="4C9EEF42">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本条款所述的“不可抗力”系指那些甲乙双方在签订合同时所不能预见的，并且它的发生及后果是无法避免和克服的事件，但不包括违约或疏忽。不可抗力事件包括：战争或革命、严重火灾、洪水、台风、地震等。</w:t>
      </w:r>
    </w:p>
    <w:p w14:paraId="3108C7FD">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第十四条  争议解决</w:t>
      </w:r>
    </w:p>
    <w:p w14:paraId="35F2B430">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双方因履行本合同而发生争议，应协商解决。协商不成的，任何一方都有权依法向甲方住所地人民法院起诉。</w:t>
      </w:r>
    </w:p>
    <w:p w14:paraId="4355CA4E">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第十五条　其它规定</w:t>
      </w:r>
    </w:p>
    <w:p w14:paraId="3DBD0BF0">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1．本合同自双方授权代表签字并盖章之日起生效。</w:t>
      </w:r>
    </w:p>
    <w:p w14:paraId="66F18BCD">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2．本合同未尽事宜由双方共同协商，另行补充协议，补充协议与本协议具有同样的法律效力。</w:t>
      </w:r>
    </w:p>
    <w:p w14:paraId="21EF4D81">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3．本合同一式伍份，具有同等法律效力，甲方执肆份，乙方执壹份，具有同样的法律效力。</w:t>
      </w:r>
    </w:p>
    <w:p w14:paraId="759ADB0B">
      <w:pPr>
        <w:widowControl w:val="0"/>
        <w:kinsoku/>
        <w:autoSpaceDE/>
        <w:autoSpaceDN/>
        <w:spacing w:line="360" w:lineRule="auto"/>
        <w:jc w:val="both"/>
        <w:textAlignment w:val="auto"/>
        <w:rPr>
          <w:rFonts w:ascii="仿宋" w:hAnsi="仿宋" w:eastAsia="仿宋" w:cs="仿宋"/>
          <w:snapToGrid/>
          <w:kern w:val="2"/>
          <w:sz w:val="21"/>
          <w:szCs w:val="22"/>
        </w:rPr>
      </w:pPr>
    </w:p>
    <w:tbl>
      <w:tblPr>
        <w:tblStyle w:val="17"/>
        <w:tblpPr w:leftFromText="180" w:rightFromText="180" w:vertAnchor="text" w:horzAnchor="margin" w:tblpXSpec="center"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669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6DB0A428">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甲方：（章）</w:t>
            </w:r>
          </w:p>
          <w:p w14:paraId="3AAB552C">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p>
          <w:p w14:paraId="6E1D8681">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p>
          <w:p w14:paraId="25813254">
            <w:pPr>
              <w:widowControl w:val="0"/>
              <w:kinsoku/>
              <w:autoSpaceDE/>
              <w:autoSpaceDN/>
              <w:adjustRightInd/>
              <w:snapToGrid/>
              <w:spacing w:line="360" w:lineRule="auto"/>
              <w:ind w:firstLine="945" w:firstLineChars="450"/>
              <w:jc w:val="right"/>
              <w:textAlignment w:val="auto"/>
              <w:rPr>
                <w:rFonts w:ascii="宋体" w:hAnsi="宋体" w:eastAsia="等线" w:cs="宋体"/>
                <w:snapToGrid/>
                <w:kern w:val="2"/>
                <w:sz w:val="21"/>
                <w:szCs w:val="22"/>
              </w:rPr>
            </w:pPr>
          </w:p>
          <w:p w14:paraId="40ED5094">
            <w:pPr>
              <w:widowControl w:val="0"/>
              <w:kinsoku/>
              <w:autoSpaceDE/>
              <w:autoSpaceDN/>
              <w:adjustRightInd/>
              <w:snapToGrid/>
              <w:spacing w:line="360" w:lineRule="auto"/>
              <w:ind w:firstLine="945" w:firstLineChars="450"/>
              <w:jc w:val="right"/>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6EA4B3B8">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乙方：（章）       </w:t>
            </w:r>
          </w:p>
          <w:p w14:paraId="6CE35198">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p>
          <w:p w14:paraId="168991A8">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       </w:t>
            </w:r>
          </w:p>
          <w:p w14:paraId="19CF9621">
            <w:pPr>
              <w:widowControl w:val="0"/>
              <w:kinsoku/>
              <w:autoSpaceDE/>
              <w:autoSpaceDN/>
              <w:adjustRightInd/>
              <w:snapToGrid/>
              <w:spacing w:line="360" w:lineRule="auto"/>
              <w:jc w:val="right"/>
              <w:textAlignment w:val="auto"/>
              <w:rPr>
                <w:rFonts w:ascii="宋体" w:hAnsi="宋体" w:eastAsia="等线" w:cs="宋体"/>
                <w:snapToGrid/>
                <w:kern w:val="2"/>
                <w:sz w:val="21"/>
                <w:szCs w:val="22"/>
              </w:rPr>
            </w:pPr>
          </w:p>
          <w:p w14:paraId="663739BE">
            <w:pPr>
              <w:widowControl w:val="0"/>
              <w:kinsoku/>
              <w:autoSpaceDE/>
              <w:autoSpaceDN/>
              <w:adjustRightInd/>
              <w:snapToGrid/>
              <w:spacing w:line="360" w:lineRule="auto"/>
              <w:jc w:val="right"/>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 年   月   日</w:t>
            </w:r>
          </w:p>
        </w:tc>
      </w:tr>
      <w:tr w14:paraId="5A86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BCDFF2D">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61B7091A">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单位地址： </w:t>
            </w:r>
          </w:p>
        </w:tc>
      </w:tr>
      <w:tr w14:paraId="14DA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FEFA111">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67EA8451">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法定代表人：</w:t>
            </w:r>
          </w:p>
        </w:tc>
      </w:tr>
      <w:tr w14:paraId="31FD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E1904BA">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62CC0A73">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委托代理人：</w:t>
            </w:r>
          </w:p>
        </w:tc>
      </w:tr>
      <w:tr w14:paraId="5898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40C473A">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4ABC55DD">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电话：</w:t>
            </w:r>
          </w:p>
        </w:tc>
      </w:tr>
      <w:tr w14:paraId="67C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271251C">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1EE7E7D2">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开户银行： </w:t>
            </w:r>
          </w:p>
        </w:tc>
      </w:tr>
      <w:tr w14:paraId="6BB5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73806CE">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719FC21">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账号：</w:t>
            </w:r>
          </w:p>
        </w:tc>
      </w:tr>
      <w:tr w14:paraId="15AF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89096EB">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2D19ED8F">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邮政编码：</w:t>
            </w:r>
          </w:p>
        </w:tc>
      </w:tr>
    </w:tbl>
    <w:p w14:paraId="69252506">
      <w:pPr>
        <w:widowControl w:val="0"/>
        <w:kinsoku/>
        <w:autoSpaceDE/>
        <w:autoSpaceDN/>
        <w:spacing w:line="360" w:lineRule="auto"/>
        <w:jc w:val="both"/>
        <w:textAlignment w:val="auto"/>
        <w:rPr>
          <w:rFonts w:ascii="仿宋" w:hAnsi="仿宋" w:eastAsia="仿宋" w:cs="仿宋"/>
          <w:snapToGrid/>
          <w:kern w:val="2"/>
          <w:sz w:val="21"/>
          <w:szCs w:val="22"/>
        </w:rPr>
      </w:pPr>
    </w:p>
    <w:p w14:paraId="67ACF72A">
      <w:pPr>
        <w:spacing w:line="520" w:lineRule="exact"/>
        <w:ind w:firstLine="480" w:firstLineChars="200"/>
        <w:jc w:val="both"/>
        <w:rPr>
          <w:rFonts w:ascii="宋体" w:hAnsi="宋体" w:cs="宋体"/>
          <w:color w:val="auto"/>
          <w:szCs w:val="24"/>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B557">
    <w:pPr>
      <w:pStyle w:val="10"/>
      <w:ind w:firstLine="480"/>
      <w:rPr>
        <w:sz w:val="24"/>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B85B">
    <w:pPr>
      <w:pStyle w:val="10"/>
      <w:rPr>
        <w:sz w:val="24"/>
        <w:szCs w:val="28"/>
      </w:rPr>
    </w:pPr>
    <w:r>
      <w:rPr>
        <w:rFonts w:hint="eastAsia"/>
        <w:sz w:val="24"/>
        <w:szCs w:val="28"/>
      </w:rPr>
      <w:t>—</w:t>
    </w: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10</w:t>
    </w:r>
    <w:r>
      <w:rPr>
        <w:sz w:val="24"/>
        <w:szCs w:val="28"/>
      </w:rPr>
      <w:fldChar w:fldCharType="end"/>
    </w:r>
    <w:r>
      <w:rPr>
        <w:rFonts w:hint="eastAsia"/>
        <w:sz w:val="24"/>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71C0">
    <w:pPr>
      <w:widowControl w:val="0"/>
      <w:tabs>
        <w:tab w:val="center" w:pos="4153"/>
        <w:tab w:val="right" w:pos="8306"/>
      </w:tabs>
      <w:rPr>
        <w:rFonts w:ascii="等线" w:hAnsi="Times New Roman" w:eastAsia="等线"/>
        <w:kern w:val="2"/>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2BB0">
    <w:pPr>
      <w:framePr w:wrap="around" w:vAnchor="text" w:hAnchor="margin" w:xAlign="center" w:y="1"/>
      <w:widowControl w:val="0"/>
      <w:tabs>
        <w:tab w:val="center" w:pos="4153"/>
        <w:tab w:val="right" w:pos="8306"/>
      </w:tabs>
      <w:jc w:val="center"/>
      <w:rPr>
        <w:rFonts w:ascii="等线" w:hAnsi="Times New Roman" w:eastAsia="等线"/>
        <w:kern w:val="2"/>
        <w:sz w:val="18"/>
        <w:szCs w:val="18"/>
      </w:rPr>
    </w:pPr>
    <w:r>
      <w:rPr>
        <w:rFonts w:ascii="等线" w:hAnsi="Times New Roman" w:eastAsia="等线"/>
        <w:kern w:val="2"/>
        <w:sz w:val="21"/>
        <w:szCs w:val="22"/>
      </w:rPr>
      <w:fldChar w:fldCharType="begin"/>
    </w:r>
    <w:r>
      <w:rPr>
        <w:rFonts w:ascii="等线" w:hAnsi="Times New Roman" w:eastAsia="等线"/>
        <w:kern w:val="2"/>
        <w:sz w:val="21"/>
        <w:szCs w:val="22"/>
      </w:rPr>
      <w:instrText xml:space="preserve">PAGE  </w:instrText>
    </w:r>
    <w:r>
      <w:rPr>
        <w:rFonts w:ascii="等线" w:hAnsi="Times New Roman" w:eastAsia="等线"/>
        <w:kern w:val="2"/>
        <w:sz w:val="18"/>
        <w:szCs w:val="18"/>
      </w:rPr>
      <w:fldChar w:fldCharType="separate"/>
    </w:r>
    <w:r>
      <w:rPr>
        <w:rFonts w:ascii="等线" w:hAnsi="Times New Roman" w:eastAsia="等线"/>
        <w:kern w:val="2"/>
        <w:sz w:val="21"/>
        <w:szCs w:val="22"/>
      </w:rPr>
      <w:t>- 3 -</w:t>
    </w:r>
    <w:r>
      <w:rPr>
        <w:rFonts w:ascii="等线" w:hAnsi="Times New Roman" w:eastAsia="等线"/>
        <w:kern w:val="2"/>
        <w:sz w:val="18"/>
        <w:szCs w:val="18"/>
      </w:rPr>
      <w:fldChar w:fldCharType="end"/>
    </w:r>
  </w:p>
  <w:p w14:paraId="1A374591">
    <w:pPr>
      <w:widowControl w:val="0"/>
      <w:tabs>
        <w:tab w:val="center" w:pos="4153"/>
        <w:tab w:val="right" w:pos="8306"/>
      </w:tabs>
      <w:ind w:right="360" w:firstLine="360"/>
      <w:jc w:val="right"/>
      <w:rPr>
        <w:rFonts w:ascii="等线" w:hAnsi="Times New Roman" w:eastAsia="等线"/>
        <w:kern w:val="2"/>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73D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774B">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F9C9">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2CC7C"/>
    <w:multiLevelType w:val="singleLevel"/>
    <w:tmpl w:val="EE52CC7C"/>
    <w:lvl w:ilvl="0" w:tentative="0">
      <w:start w:val="1"/>
      <w:numFmt w:val="decimal"/>
      <w:lvlText w:val="%1."/>
      <w:lvlJc w:val="left"/>
      <w:pPr>
        <w:ind w:left="425" w:hanging="425"/>
      </w:pPr>
      <w:rPr>
        <w:rFonts w:hint="default"/>
      </w:rPr>
    </w:lvl>
  </w:abstractNum>
  <w:abstractNum w:abstractNumId="1">
    <w:nsid w:val="3F64F432"/>
    <w:multiLevelType w:val="singleLevel"/>
    <w:tmpl w:val="3F64F432"/>
    <w:lvl w:ilvl="0" w:tentative="0">
      <w:start w:val="1"/>
      <w:numFmt w:val="chineseCounting"/>
      <w:suff w:val="nothing"/>
      <w:lvlText w:val="%1、"/>
      <w:lvlJc w:val="left"/>
      <w:rPr>
        <w:rFonts w:hint="eastAsia"/>
      </w:rPr>
    </w:lvl>
  </w:abstractNum>
  <w:abstractNum w:abstractNumId="2">
    <w:nsid w:val="5127590E"/>
    <w:multiLevelType w:val="singleLevel"/>
    <w:tmpl w:val="5127590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jc3Y2YwZjIzNjU0NGNmZDhiMmM2YzA4NGE5MjEifQ=="/>
  </w:docVars>
  <w:rsids>
    <w:rsidRoot w:val="009A1D84"/>
    <w:rsid w:val="000632C7"/>
    <w:rsid w:val="001B61FE"/>
    <w:rsid w:val="00296E1B"/>
    <w:rsid w:val="002C497A"/>
    <w:rsid w:val="003F2F88"/>
    <w:rsid w:val="00472FCD"/>
    <w:rsid w:val="00574D7A"/>
    <w:rsid w:val="00634229"/>
    <w:rsid w:val="0069166C"/>
    <w:rsid w:val="0070136D"/>
    <w:rsid w:val="00703594"/>
    <w:rsid w:val="00715FDF"/>
    <w:rsid w:val="007537BD"/>
    <w:rsid w:val="008F6A16"/>
    <w:rsid w:val="009A1D84"/>
    <w:rsid w:val="009C314F"/>
    <w:rsid w:val="00AF2D5D"/>
    <w:rsid w:val="00CF037C"/>
    <w:rsid w:val="01C25065"/>
    <w:rsid w:val="01ED6A83"/>
    <w:rsid w:val="02B240F8"/>
    <w:rsid w:val="080C30FA"/>
    <w:rsid w:val="081B2B32"/>
    <w:rsid w:val="084131A2"/>
    <w:rsid w:val="09EC7123"/>
    <w:rsid w:val="0AA52950"/>
    <w:rsid w:val="0AD33307"/>
    <w:rsid w:val="0B5F1461"/>
    <w:rsid w:val="0C3A179C"/>
    <w:rsid w:val="0C5C3FFF"/>
    <w:rsid w:val="0C640D76"/>
    <w:rsid w:val="0CB03EC9"/>
    <w:rsid w:val="0CDB6F07"/>
    <w:rsid w:val="112A26A6"/>
    <w:rsid w:val="12584CB9"/>
    <w:rsid w:val="137B32C6"/>
    <w:rsid w:val="14356AAB"/>
    <w:rsid w:val="159F4E8D"/>
    <w:rsid w:val="15C72899"/>
    <w:rsid w:val="165275C4"/>
    <w:rsid w:val="180833CC"/>
    <w:rsid w:val="1A4A739A"/>
    <w:rsid w:val="1B4848F3"/>
    <w:rsid w:val="1C105709"/>
    <w:rsid w:val="1CA83733"/>
    <w:rsid w:val="1D8965DF"/>
    <w:rsid w:val="1EFF1A3F"/>
    <w:rsid w:val="1F6410B2"/>
    <w:rsid w:val="1FEB5F80"/>
    <w:rsid w:val="208657A5"/>
    <w:rsid w:val="20D37767"/>
    <w:rsid w:val="22166A7B"/>
    <w:rsid w:val="230A30AA"/>
    <w:rsid w:val="2383647E"/>
    <w:rsid w:val="23945FA1"/>
    <w:rsid w:val="26DB348E"/>
    <w:rsid w:val="26DC74C0"/>
    <w:rsid w:val="27FC457D"/>
    <w:rsid w:val="297E18EB"/>
    <w:rsid w:val="2B915045"/>
    <w:rsid w:val="2C524329"/>
    <w:rsid w:val="2DA03BFD"/>
    <w:rsid w:val="2DFE5702"/>
    <w:rsid w:val="2F5A0B58"/>
    <w:rsid w:val="30282266"/>
    <w:rsid w:val="303269F5"/>
    <w:rsid w:val="30DC4843"/>
    <w:rsid w:val="313C1E8F"/>
    <w:rsid w:val="318B634B"/>
    <w:rsid w:val="337E5C2D"/>
    <w:rsid w:val="348953EB"/>
    <w:rsid w:val="34F85D17"/>
    <w:rsid w:val="35700359"/>
    <w:rsid w:val="35ED034B"/>
    <w:rsid w:val="369915A3"/>
    <w:rsid w:val="38AA300C"/>
    <w:rsid w:val="391A5826"/>
    <w:rsid w:val="3AF410E4"/>
    <w:rsid w:val="3C055F1F"/>
    <w:rsid w:val="3D1B331C"/>
    <w:rsid w:val="3D8A5B15"/>
    <w:rsid w:val="3F184D91"/>
    <w:rsid w:val="3F822DE4"/>
    <w:rsid w:val="3FE604E4"/>
    <w:rsid w:val="40976F94"/>
    <w:rsid w:val="40E4190F"/>
    <w:rsid w:val="423942D4"/>
    <w:rsid w:val="4264474B"/>
    <w:rsid w:val="433F6EE1"/>
    <w:rsid w:val="443A04B0"/>
    <w:rsid w:val="447B4A86"/>
    <w:rsid w:val="44BE3175"/>
    <w:rsid w:val="45412397"/>
    <w:rsid w:val="456C67E4"/>
    <w:rsid w:val="46EF569F"/>
    <w:rsid w:val="48462F2E"/>
    <w:rsid w:val="488570E6"/>
    <w:rsid w:val="4A6873F9"/>
    <w:rsid w:val="4AD00929"/>
    <w:rsid w:val="4AF75449"/>
    <w:rsid w:val="4B3A2B43"/>
    <w:rsid w:val="4CC307BC"/>
    <w:rsid w:val="4DCA7EE2"/>
    <w:rsid w:val="4E2313EB"/>
    <w:rsid w:val="4F4F687F"/>
    <w:rsid w:val="50204905"/>
    <w:rsid w:val="51143E36"/>
    <w:rsid w:val="516106F8"/>
    <w:rsid w:val="51AB552C"/>
    <w:rsid w:val="51B41622"/>
    <w:rsid w:val="526A2C4E"/>
    <w:rsid w:val="52BA4C95"/>
    <w:rsid w:val="53552B55"/>
    <w:rsid w:val="53E7515D"/>
    <w:rsid w:val="55006289"/>
    <w:rsid w:val="551D5A65"/>
    <w:rsid w:val="5639410B"/>
    <w:rsid w:val="57C47E0F"/>
    <w:rsid w:val="587850EB"/>
    <w:rsid w:val="59305AC2"/>
    <w:rsid w:val="5B1E6CC5"/>
    <w:rsid w:val="5B326E69"/>
    <w:rsid w:val="5BE03293"/>
    <w:rsid w:val="5CDA2160"/>
    <w:rsid w:val="5D3A4C25"/>
    <w:rsid w:val="5DA077CF"/>
    <w:rsid w:val="5FFEFFBF"/>
    <w:rsid w:val="604C78A9"/>
    <w:rsid w:val="60B63B00"/>
    <w:rsid w:val="60F23E5F"/>
    <w:rsid w:val="6209447F"/>
    <w:rsid w:val="62AB48E3"/>
    <w:rsid w:val="6435296A"/>
    <w:rsid w:val="64514064"/>
    <w:rsid w:val="64B21544"/>
    <w:rsid w:val="65A03519"/>
    <w:rsid w:val="6626777D"/>
    <w:rsid w:val="666D7522"/>
    <w:rsid w:val="66795D12"/>
    <w:rsid w:val="67387F90"/>
    <w:rsid w:val="67452B44"/>
    <w:rsid w:val="692F585A"/>
    <w:rsid w:val="69BA5C11"/>
    <w:rsid w:val="69C97A5C"/>
    <w:rsid w:val="69D96491"/>
    <w:rsid w:val="6A75729C"/>
    <w:rsid w:val="6AAD2EDA"/>
    <w:rsid w:val="6ABC5093"/>
    <w:rsid w:val="6B2F7D93"/>
    <w:rsid w:val="6CD27F47"/>
    <w:rsid w:val="6D500D6A"/>
    <w:rsid w:val="6E113780"/>
    <w:rsid w:val="6E5B2C4D"/>
    <w:rsid w:val="72214F74"/>
    <w:rsid w:val="751A73BE"/>
    <w:rsid w:val="76070F80"/>
    <w:rsid w:val="76172A46"/>
    <w:rsid w:val="761A73D1"/>
    <w:rsid w:val="767318FC"/>
    <w:rsid w:val="76B57238"/>
    <w:rsid w:val="76D27B8A"/>
    <w:rsid w:val="77324802"/>
    <w:rsid w:val="777D3BB6"/>
    <w:rsid w:val="780E2ADE"/>
    <w:rsid w:val="78B65CA8"/>
    <w:rsid w:val="79A44345"/>
    <w:rsid w:val="7AE33054"/>
    <w:rsid w:val="7B2138CA"/>
    <w:rsid w:val="7B441319"/>
    <w:rsid w:val="7D1846E5"/>
    <w:rsid w:val="7E843AFA"/>
    <w:rsid w:val="7E925393"/>
    <w:rsid w:val="7FB75E28"/>
    <w:rsid w:val="BE5F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4"/>
      <w:szCs w:val="21"/>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44"/>
    </w:rPr>
  </w:style>
  <w:style w:type="paragraph" w:styleId="3">
    <w:name w:val="heading 2"/>
    <w:basedOn w:val="1"/>
    <w:next w:val="1"/>
    <w:link w:val="24"/>
    <w:semiHidden/>
    <w:unhideWhenUsed/>
    <w:qFormat/>
    <w:uiPriority w:val="0"/>
    <w:pPr>
      <w:keepNext/>
      <w:keepLines/>
      <w:spacing w:before="260" w:after="260" w:line="416" w:lineRule="auto"/>
      <w:jc w:val="center"/>
      <w:outlineLvl w:val="1"/>
    </w:pPr>
    <w:rPr>
      <w:rFonts w:ascii="等线 Light" w:hAnsi="等线 Light"/>
      <w:b/>
      <w:bCs/>
      <w:sz w:val="30"/>
      <w:szCs w:val="32"/>
    </w:rPr>
  </w:style>
  <w:style w:type="paragraph" w:styleId="4">
    <w:name w:val="heading 4"/>
    <w:basedOn w:val="1"/>
    <w:next w:val="1"/>
    <w:unhideWhenUsed/>
    <w:qFormat/>
    <w:uiPriority w:val="0"/>
    <w:pPr>
      <w:keepNext/>
      <w:keepLines/>
      <w:spacing w:before="280" w:after="290" w:line="372" w:lineRule="auto"/>
      <w:jc w:val="center"/>
      <w:outlineLvl w:val="3"/>
    </w:pPr>
    <w:rPr>
      <w:rFonts w:cs="Times New Roman"/>
      <w:b/>
      <w:szCs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qFormat/>
    <w:uiPriority w:val="0"/>
  </w:style>
  <w:style w:type="paragraph" w:styleId="6">
    <w:name w:val="Body Text"/>
    <w:basedOn w:val="1"/>
    <w:next w:val="1"/>
    <w:unhideWhenUsed/>
    <w:qFormat/>
    <w:uiPriority w:val="0"/>
    <w:pPr>
      <w:spacing w:after="120"/>
    </w:pPr>
  </w:style>
  <w:style w:type="paragraph" w:styleId="7">
    <w:name w:val="toc 3"/>
    <w:basedOn w:val="1"/>
    <w:next w:val="1"/>
    <w:qFormat/>
    <w:uiPriority w:val="39"/>
    <w:pPr>
      <w:ind w:left="200" w:leftChars="200"/>
    </w:pPr>
    <w:rPr>
      <w:sz w:val="28"/>
    </w:rPr>
  </w:style>
  <w:style w:type="paragraph" w:styleId="8">
    <w:name w:val="Plain Text"/>
    <w:basedOn w:val="1"/>
    <w:next w:val="1"/>
    <w:qFormat/>
    <w:uiPriority w:val="0"/>
    <w:rPr>
      <w:rFonts w:ascii="宋体" w:hAnsi="Courier New"/>
      <w:szCs w:val="20"/>
    </w:rPr>
  </w:style>
  <w:style w:type="paragraph" w:styleId="9">
    <w:name w:val="Balloon Text"/>
    <w:basedOn w:val="1"/>
    <w:link w:val="31"/>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pPr>
      <w:tabs>
        <w:tab w:val="right" w:leader="dot" w:pos="8296"/>
        <w:tab w:val="right" w:leader="dot" w:pos="8398"/>
      </w:tabs>
      <w:spacing w:before="120" w:after="120" w:line="320" w:lineRule="exact"/>
      <w:ind w:firstLine="840" w:firstLineChars="400"/>
    </w:pPr>
    <w:rPr>
      <w:rFonts w:ascii="仿宋_GB2312" w:hAnsi="宋体" w:eastAsia="仿宋_GB2312" w:cs="Courier New"/>
      <w:bCs/>
      <w:caps/>
    </w:rPr>
  </w:style>
  <w:style w:type="paragraph" w:styleId="13">
    <w:name w:val="toc 2"/>
    <w:basedOn w:val="1"/>
    <w:next w:val="1"/>
    <w:qFormat/>
    <w:uiPriority w:val="39"/>
    <w:pPr>
      <w:tabs>
        <w:tab w:val="right" w:leader="dot" w:pos="8296"/>
      </w:tabs>
    </w:pPr>
    <w:rPr>
      <w:sz w:val="28"/>
    </w:rPr>
  </w:style>
  <w:style w:type="paragraph" w:styleId="14">
    <w:name w:val="Normal (Web)"/>
    <w:basedOn w:val="1"/>
    <w:qFormat/>
    <w:uiPriority w:val="0"/>
    <w:pPr>
      <w:spacing w:beforeAutospacing="1" w:afterAutospacing="1"/>
    </w:pPr>
    <w:rPr>
      <w:rFonts w:cs="Times New Roman"/>
    </w:rPr>
  </w:style>
  <w:style w:type="paragraph" w:styleId="15">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5"/>
    <w:next w:val="5"/>
    <w:link w:val="33"/>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annotation reference"/>
    <w:basedOn w:val="19"/>
    <w:qFormat/>
    <w:uiPriority w:val="0"/>
    <w:rPr>
      <w:sz w:val="21"/>
      <w:szCs w:val="21"/>
    </w:rPr>
  </w:style>
  <w:style w:type="paragraph" w:customStyle="1" w:styleId="23">
    <w:name w:val="Title1"/>
    <w:basedOn w:val="1"/>
    <w:next w:val="1"/>
    <w:qFormat/>
    <w:uiPriority w:val="99"/>
    <w:pPr>
      <w:jc w:val="center"/>
      <w:outlineLvl w:val="0"/>
    </w:pPr>
    <w:rPr>
      <w:rFonts w:ascii="Calibri Light" w:hAnsi="Calibri Light"/>
      <w:b/>
    </w:rPr>
  </w:style>
  <w:style w:type="character" w:customStyle="1" w:styleId="24">
    <w:name w:val="标题 2 字符"/>
    <w:link w:val="3"/>
    <w:qFormat/>
    <w:uiPriority w:val="99"/>
    <w:rPr>
      <w:rFonts w:ascii="等线 Light" w:hAnsi="等线 Light" w:eastAsia="宋体" w:cs="Times New Roman"/>
      <w:sz w:val="30"/>
    </w:rPr>
  </w:style>
  <w:style w:type="paragraph" w:customStyle="1" w:styleId="25">
    <w:name w:val="p0"/>
    <w:basedOn w:val="1"/>
    <w:qFormat/>
    <w:uiPriority w:val="0"/>
    <w:rPr>
      <w:rFonts w:eastAsia="Times New Roman" w:cs="宋体"/>
    </w:rPr>
  </w:style>
  <w:style w:type="paragraph" w:customStyle="1" w:styleId="26">
    <w:name w:val="Default"/>
    <w:next w:val="2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8">
    <w:name w:val="自定义标题1"/>
    <w:qFormat/>
    <w:uiPriority w:val="0"/>
    <w:pPr>
      <w:spacing w:before="50" w:beforeLines="50" w:after="50" w:afterLines="50" w:line="360" w:lineRule="auto"/>
      <w:outlineLvl w:val="0"/>
    </w:pPr>
    <w:rPr>
      <w:rFonts w:ascii="Times New Roman" w:hAnsi="Times New Roman" w:eastAsia="黑体" w:cs="Times New Roman"/>
      <w:b/>
      <w:snapToGrid w:val="0"/>
      <w:kern w:val="44"/>
      <w:sz w:val="30"/>
      <w:lang w:val="en-US" w:eastAsia="zh-CN" w:bidi="ar-SA"/>
    </w:rPr>
  </w:style>
  <w:style w:type="paragraph" w:customStyle="1" w:styleId="29">
    <w:name w:val="自定义正文"/>
    <w:basedOn w:val="1"/>
    <w:qFormat/>
    <w:uiPriority w:val="0"/>
    <w:pPr>
      <w:snapToGrid/>
      <w:contextualSpacing/>
    </w:pPr>
  </w:style>
  <w:style w:type="paragraph" w:customStyle="1" w:styleId="30">
    <w:name w:val="自定义标题2"/>
    <w:qFormat/>
    <w:uiPriority w:val="0"/>
    <w:pPr>
      <w:spacing w:line="360" w:lineRule="auto"/>
      <w:jc w:val="both"/>
      <w:outlineLvl w:val="1"/>
    </w:pPr>
    <w:rPr>
      <w:rFonts w:ascii="Arial" w:hAnsi="Arial" w:eastAsia="宋体" w:cs="Times New Roman"/>
      <w:b/>
      <w:snapToGrid w:val="0"/>
      <w:kern w:val="44"/>
      <w:sz w:val="28"/>
      <w:lang w:val="en-US" w:eastAsia="zh-CN" w:bidi="ar-SA"/>
    </w:rPr>
  </w:style>
  <w:style w:type="character" w:customStyle="1" w:styleId="31">
    <w:name w:val="批注框文本 字符"/>
    <w:basedOn w:val="19"/>
    <w:link w:val="9"/>
    <w:qFormat/>
    <w:uiPriority w:val="0"/>
    <w:rPr>
      <w:rFonts w:ascii="Arial" w:hAnsi="Arial" w:cs="Arial"/>
      <w:snapToGrid w:val="0"/>
      <w:color w:val="000000"/>
      <w:sz w:val="18"/>
      <w:szCs w:val="18"/>
    </w:rPr>
  </w:style>
  <w:style w:type="character" w:customStyle="1" w:styleId="32">
    <w:name w:val="批注文字 字符"/>
    <w:basedOn w:val="19"/>
    <w:link w:val="5"/>
    <w:qFormat/>
    <w:uiPriority w:val="0"/>
    <w:rPr>
      <w:rFonts w:ascii="Arial" w:hAnsi="Arial" w:cs="Arial"/>
      <w:snapToGrid w:val="0"/>
      <w:color w:val="000000"/>
      <w:sz w:val="24"/>
      <w:szCs w:val="21"/>
    </w:rPr>
  </w:style>
  <w:style w:type="character" w:customStyle="1" w:styleId="33">
    <w:name w:val="批注主题 字符"/>
    <w:basedOn w:val="32"/>
    <w:link w:val="16"/>
    <w:qFormat/>
    <w:uiPriority w:val="0"/>
    <w:rPr>
      <w:rFonts w:ascii="Arial" w:hAnsi="Arial" w:cs="Arial"/>
      <w:b/>
      <w:bCs/>
      <w:snapToGrid w:val="0"/>
      <w:color w:val="000000"/>
      <w:sz w:val="24"/>
      <w:szCs w:val="21"/>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15</Pages>
  <Words>7428</Words>
  <Characters>7593</Characters>
  <Lines>95</Lines>
  <Paragraphs>26</Paragraphs>
  <TotalTime>117</TotalTime>
  <ScaleCrop>false</ScaleCrop>
  <LinksUpToDate>false</LinksUpToDate>
  <CharactersWithSpaces>7923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2023-02-20T17:34:00Z</dcterms:created>
  <dc:creator>GXTT</dc:creator>
  <cp:lastModifiedBy>Jianbo_Lee</cp:lastModifiedBy>
  <cp:lastPrinted>2024-10-15T01:11:00Z</cp:lastPrinted>
  <dcterms:modified xsi:type="dcterms:W3CDTF">2025-11-19T00:49:30Z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61548C3561F24658BF1AFBD96107F0CF_13</vt:lpwstr>
  </property>
  <property fmtid="{D5CDD505-2E9C-101B-9397-08002B2CF9AE}" pid="4" name="KSOTemplateDocerSaveRecord">
    <vt:lpwstr>eyJoZGlkIjoiYWU0ZTY2MzNiOGEyZGQ2MzllNTA0Nzk4MmU4MWVkZTQiLCJ1c2VySWQiOiI3MTkzODkwMDUifQ==</vt:lpwstr>
  </property>
</Properties>
</file>