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ECE00">
      <w:pPr>
        <w:adjustRightInd/>
        <w:snapToGrid/>
        <w:spacing w:before="240" w:beforeLines="100" w:after="240" w:afterLines="100"/>
        <w:jc w:val="center"/>
        <w:rPr>
          <w:rFonts w:hint="eastAsia" w:ascii="微软雅黑" w:hAnsi="微软雅黑" w:cs="宋体"/>
          <w:b/>
          <w:bCs/>
          <w:kern w:val="36"/>
          <w:sz w:val="32"/>
          <w:szCs w:val="32"/>
        </w:rPr>
      </w:pPr>
      <w:bookmarkStart w:id="0" w:name="_Hlk212736641"/>
      <w:r>
        <w:rPr>
          <w:rFonts w:hint="eastAsia" w:ascii="微软雅黑" w:hAnsi="微软雅黑" w:cs="宋体"/>
          <w:b/>
          <w:bCs/>
          <w:kern w:val="36"/>
          <w:sz w:val="32"/>
          <w:szCs w:val="32"/>
        </w:rPr>
        <w:t>广西艺术学院2026年（本科、附校含2027年）线上招生考试业务专业技术服务采购</w:t>
      </w:r>
      <w:bookmarkEnd w:id="0"/>
      <w:r>
        <w:rPr>
          <w:rFonts w:hint="eastAsia" w:ascii="微软雅黑" w:hAnsi="微软雅黑" w:cs="宋体"/>
          <w:b/>
          <w:bCs/>
          <w:kern w:val="36"/>
          <w:sz w:val="32"/>
          <w:szCs w:val="32"/>
        </w:rPr>
        <w:t>公告</w:t>
      </w:r>
    </w:p>
    <w:p w14:paraId="27618D4D">
      <w:pPr>
        <w:adjustRightInd/>
        <w:snapToGrid/>
        <w:spacing w:after="0" w:line="360" w:lineRule="auto"/>
        <w:ind w:firstLine="480"/>
        <w:jc w:val="both"/>
        <w:rPr>
          <w:rFonts w:hint="eastAsia" w:ascii="宋体" w:hAnsi="宋体" w:eastAsia="宋体" w:cs="宋体"/>
          <w:sz w:val="24"/>
          <w:szCs w:val="24"/>
        </w:rPr>
      </w:pPr>
    </w:p>
    <w:p w14:paraId="64767865">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根据有关规定，我校开展广西艺术学院2026年（本科、附校含2027年）线上招生考试业务专业技术服务采购，现将本次采购有关事项公告如下：</w:t>
      </w:r>
    </w:p>
    <w:p w14:paraId="2FF5A817">
      <w:pPr>
        <w:numPr>
          <w:ilvl w:val="0"/>
          <w:numId w:val="1"/>
        </w:num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：广西艺术学院2026年（本科、附校含2027年）线上招生考试业务专业技术服务采购</w:t>
      </w:r>
    </w:p>
    <w:p w14:paraId="7E3E3552">
      <w:pPr>
        <w:numPr>
          <w:ilvl w:val="0"/>
          <w:numId w:val="1"/>
        </w:num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b/>
          <w:bCs/>
          <w:sz w:val="24"/>
          <w:szCs w:val="24"/>
        </w:rPr>
        <w:t>采购内容及数量</w:t>
      </w:r>
    </w:p>
    <w:tbl>
      <w:tblPr>
        <w:tblStyle w:val="12"/>
        <w:tblW w:w="5000" w:type="pct"/>
        <w:jc w:val="center"/>
        <w:tblLayout w:type="autofit"/>
        <w:tblCellMar>
          <w:top w:w="0" w:type="dxa"/>
          <w:left w:w="0" w:type="dxa"/>
          <w:bottom w:w="0" w:type="dxa"/>
          <w:right w:w="0" w:type="dxa"/>
        </w:tblCellMar>
      </w:tblPr>
      <w:tblGrid>
        <w:gridCol w:w="998"/>
        <w:gridCol w:w="6189"/>
        <w:gridCol w:w="1657"/>
      </w:tblGrid>
      <w:tr w14:paraId="46096146">
        <w:tblPrEx>
          <w:tblCellMar>
            <w:top w:w="0" w:type="dxa"/>
            <w:left w:w="0" w:type="dxa"/>
            <w:bottom w:w="0" w:type="dxa"/>
            <w:right w:w="0" w:type="dxa"/>
          </w:tblCellMar>
        </w:tblPrEx>
        <w:trPr>
          <w:trHeight w:val="540" w:hRule="atLeast"/>
          <w:jc w:val="center"/>
        </w:trPr>
        <w:tc>
          <w:tcPr>
            <w:tcW w:w="564" w:type="pct"/>
            <w:tcBorders>
              <w:top w:val="single" w:color="auto" w:sz="8" w:space="0"/>
              <w:left w:val="single" w:color="auto" w:sz="8" w:space="0"/>
              <w:bottom w:val="single" w:color="auto" w:sz="8" w:space="0"/>
              <w:right w:val="single" w:color="auto" w:sz="8" w:space="0"/>
            </w:tcBorders>
            <w:tcMar>
              <w:top w:w="13" w:type="dxa"/>
              <w:left w:w="57" w:type="dxa"/>
              <w:bottom w:w="0" w:type="dxa"/>
              <w:right w:w="57" w:type="dxa"/>
            </w:tcMar>
            <w:vAlign w:val="center"/>
          </w:tcPr>
          <w:p w14:paraId="3390891F">
            <w:pPr>
              <w:adjustRightInd/>
              <w:snapToGrid/>
              <w:spacing w:after="0" w:line="360" w:lineRule="auto"/>
              <w:jc w:val="center"/>
              <w:rPr>
                <w:rFonts w:hint="eastAsia" w:ascii="宋体" w:hAnsi="宋体" w:eastAsia="宋体" w:cs="宋体"/>
                <w:sz w:val="24"/>
                <w:szCs w:val="24"/>
              </w:rPr>
            </w:pPr>
            <w:r>
              <w:rPr>
                <w:rFonts w:hint="eastAsia" w:ascii="宋体" w:hAnsi="宋体" w:eastAsia="宋体" w:cs="宋体"/>
                <w:b/>
                <w:bCs/>
                <w:sz w:val="24"/>
                <w:szCs w:val="24"/>
              </w:rPr>
              <w:t>项号</w:t>
            </w:r>
          </w:p>
        </w:tc>
        <w:tc>
          <w:tcPr>
            <w:tcW w:w="3499" w:type="pct"/>
            <w:tcBorders>
              <w:top w:val="single" w:color="auto" w:sz="8" w:space="0"/>
              <w:left w:val="nil"/>
              <w:bottom w:val="single" w:color="auto" w:sz="8" w:space="0"/>
              <w:right w:val="single" w:color="auto" w:sz="8" w:space="0"/>
            </w:tcBorders>
            <w:vAlign w:val="center"/>
          </w:tcPr>
          <w:p w14:paraId="4AE92754">
            <w:pPr>
              <w:adjustRightInd/>
              <w:snapToGrid/>
              <w:spacing w:after="0" w:line="360" w:lineRule="auto"/>
              <w:jc w:val="center"/>
              <w:rPr>
                <w:rFonts w:hint="eastAsia" w:ascii="宋体" w:hAnsi="宋体" w:eastAsia="宋体" w:cs="宋体"/>
                <w:sz w:val="24"/>
                <w:szCs w:val="24"/>
              </w:rPr>
            </w:pPr>
            <w:r>
              <w:rPr>
                <w:rFonts w:hint="eastAsia" w:ascii="宋体" w:hAnsi="宋体" w:eastAsia="宋体" w:cs="宋体"/>
                <w:b/>
                <w:bCs/>
                <w:sz w:val="24"/>
                <w:szCs w:val="24"/>
              </w:rPr>
              <w:t>采购内容</w:t>
            </w:r>
          </w:p>
        </w:tc>
        <w:tc>
          <w:tcPr>
            <w:tcW w:w="937" w:type="pct"/>
            <w:tcBorders>
              <w:top w:val="single" w:color="auto" w:sz="8" w:space="0"/>
              <w:left w:val="nil"/>
              <w:bottom w:val="single" w:color="auto" w:sz="8" w:space="0"/>
              <w:right w:val="single" w:color="auto" w:sz="8" w:space="0"/>
            </w:tcBorders>
            <w:tcMar>
              <w:top w:w="13" w:type="dxa"/>
              <w:left w:w="57" w:type="dxa"/>
              <w:bottom w:w="0" w:type="dxa"/>
              <w:right w:w="57" w:type="dxa"/>
            </w:tcMar>
            <w:vAlign w:val="center"/>
          </w:tcPr>
          <w:p w14:paraId="6D969CC7">
            <w:pPr>
              <w:adjustRightInd/>
              <w:snapToGrid/>
              <w:spacing w:after="0" w:line="360" w:lineRule="auto"/>
              <w:jc w:val="center"/>
              <w:rPr>
                <w:rFonts w:hint="eastAsia" w:ascii="宋体" w:hAnsi="宋体" w:eastAsia="宋体" w:cs="宋体"/>
                <w:sz w:val="24"/>
                <w:szCs w:val="24"/>
              </w:rPr>
            </w:pPr>
            <w:r>
              <w:rPr>
                <w:rFonts w:hint="eastAsia" w:ascii="宋体" w:hAnsi="宋体" w:eastAsia="宋体" w:cs="宋体"/>
                <w:b/>
                <w:bCs/>
                <w:sz w:val="24"/>
                <w:szCs w:val="24"/>
              </w:rPr>
              <w:t>数量及单位</w:t>
            </w:r>
          </w:p>
        </w:tc>
      </w:tr>
      <w:tr w14:paraId="21343E70">
        <w:tblPrEx>
          <w:tblCellMar>
            <w:top w:w="0" w:type="dxa"/>
            <w:left w:w="0" w:type="dxa"/>
            <w:bottom w:w="0" w:type="dxa"/>
            <w:right w:w="0" w:type="dxa"/>
          </w:tblCellMar>
        </w:tblPrEx>
        <w:trPr>
          <w:trHeight w:val="360" w:hRule="atLeast"/>
          <w:jc w:val="center"/>
        </w:trPr>
        <w:tc>
          <w:tcPr>
            <w:tcW w:w="564" w:type="pct"/>
            <w:tcBorders>
              <w:top w:val="nil"/>
              <w:left w:val="single" w:color="auto" w:sz="8" w:space="0"/>
              <w:bottom w:val="single" w:color="auto" w:sz="4" w:space="0"/>
              <w:right w:val="single" w:color="auto" w:sz="8" w:space="0"/>
            </w:tcBorders>
            <w:tcMar>
              <w:top w:w="13" w:type="dxa"/>
              <w:left w:w="57" w:type="dxa"/>
              <w:bottom w:w="0" w:type="dxa"/>
              <w:right w:w="57" w:type="dxa"/>
            </w:tcMar>
            <w:vAlign w:val="center"/>
          </w:tcPr>
          <w:p w14:paraId="70E59251">
            <w:pPr>
              <w:adjustRightInd/>
              <w:snapToGrid/>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499" w:type="pct"/>
            <w:tcBorders>
              <w:top w:val="nil"/>
              <w:left w:val="nil"/>
              <w:bottom w:val="single" w:color="auto" w:sz="4" w:space="0"/>
              <w:right w:val="single" w:color="auto" w:sz="8" w:space="0"/>
            </w:tcBorders>
            <w:vAlign w:val="center"/>
          </w:tcPr>
          <w:p w14:paraId="322B301A">
            <w:p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广西艺术学院2026年（本科、附校含2027年）线上招生考试业务专业技术服务采购</w:t>
            </w:r>
          </w:p>
          <w:p w14:paraId="3DE126E5">
            <w:pPr>
              <w:adjustRightInd/>
              <w:snapToGrid/>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（详见附件1报价函、附件2采购需求）</w:t>
            </w:r>
          </w:p>
        </w:tc>
        <w:tc>
          <w:tcPr>
            <w:tcW w:w="937" w:type="pct"/>
            <w:tcBorders>
              <w:top w:val="nil"/>
              <w:left w:val="nil"/>
              <w:bottom w:val="single" w:color="auto" w:sz="4" w:space="0"/>
              <w:right w:val="single" w:color="auto" w:sz="8" w:space="0"/>
            </w:tcBorders>
            <w:tcMar>
              <w:top w:w="13" w:type="dxa"/>
              <w:left w:w="57" w:type="dxa"/>
              <w:bottom w:w="0" w:type="dxa"/>
              <w:right w:w="57" w:type="dxa"/>
            </w:tcMar>
            <w:vAlign w:val="center"/>
          </w:tcPr>
          <w:p w14:paraId="019DE3AE">
            <w:pPr>
              <w:adjustRightInd/>
              <w:snapToGrid/>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r>
      <w:tr w14:paraId="07284E54">
        <w:tblPrEx>
          <w:tblCellMar>
            <w:top w:w="0" w:type="dxa"/>
            <w:left w:w="0" w:type="dxa"/>
            <w:bottom w:w="0" w:type="dxa"/>
            <w:right w:w="0" w:type="dxa"/>
          </w:tblCellMar>
        </w:tblPrEx>
        <w:trPr>
          <w:trHeight w:val="360" w:hRule="atLeast"/>
          <w:jc w:val="center"/>
        </w:trPr>
        <w:tc>
          <w:tcPr>
            <w:tcW w:w="5000" w:type="pct"/>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4C1951">
            <w:pPr>
              <w:adjustRightInd/>
              <w:snapToGrid/>
              <w:spacing w:after="0" w:line="360" w:lineRule="auto"/>
              <w:rPr>
                <w:rFonts w:hint="eastAsia" w:ascii="宋体" w:hAnsi="宋体" w:eastAsia="宋体" w:cs="宋体"/>
                <w:sz w:val="24"/>
                <w:szCs w:val="24"/>
              </w:rPr>
            </w:pPr>
            <w:r>
              <w:rPr>
                <w:rFonts w:hint="eastAsia" w:ascii="宋体" w:hAnsi="宋体" w:eastAsia="宋体" w:cs="宋体"/>
                <w:sz w:val="24"/>
                <w:szCs w:val="24"/>
              </w:rPr>
              <w:t>其他要求：（1）附件2采购需求须全部满足。</w:t>
            </w:r>
          </w:p>
          <w:p w14:paraId="3E741A78">
            <w:pPr>
              <w:adjustRightInd/>
              <w:snapToGrid/>
              <w:spacing w:after="0" w:line="360" w:lineRule="auto"/>
              <w:ind w:firstLine="1200" w:firstLineChars="500"/>
              <w:rPr>
                <w:rFonts w:hint="eastAsia" w:ascii="宋体" w:hAnsi="宋体" w:cs="宋体"/>
                <w:sz w:val="24"/>
                <w:szCs w:val="24"/>
              </w:rPr>
            </w:pPr>
            <w:r>
              <w:rPr>
                <w:rFonts w:hint="eastAsia" w:ascii="宋体" w:hAnsi="宋体" w:eastAsia="宋体" w:cs="宋体"/>
                <w:sz w:val="24"/>
                <w:szCs w:val="24"/>
              </w:rPr>
              <w:t>（2）合同履约期限：从合同签订之日起至项目通过验收合格止。</w:t>
            </w:r>
          </w:p>
        </w:tc>
      </w:tr>
    </w:tbl>
    <w:p w14:paraId="3051B319">
      <w:pPr>
        <w:adjustRightInd/>
        <w:snapToGrid/>
        <w:spacing w:after="0" w:line="360" w:lineRule="auto"/>
        <w:ind w:firstLine="480"/>
        <w:jc w:val="both"/>
        <w:rPr>
          <w:rFonts w:hint="eastAsia" w:ascii="宋体" w:hAnsi="宋体" w:eastAsia="宋体" w:cs="宋体"/>
          <w:b/>
          <w:bCs/>
          <w:sz w:val="24"/>
          <w:szCs w:val="24"/>
        </w:rPr>
      </w:pPr>
      <w:r>
        <w:rPr>
          <w:rFonts w:hint="eastAsia" w:ascii="宋体" w:hAnsi="宋体" w:eastAsia="宋体" w:cs="宋体"/>
          <w:b/>
          <w:bCs/>
          <w:sz w:val="24"/>
          <w:szCs w:val="24"/>
        </w:rPr>
        <w:t>三、预算控制价金额（人民币）：</w:t>
      </w:r>
      <w:r>
        <w:rPr>
          <w:rFonts w:hint="eastAsia" w:ascii="宋体" w:hAnsi="宋体" w:eastAsia="宋体" w:cs="宋体"/>
          <w:b/>
          <w:bCs/>
          <w:sz w:val="24"/>
          <w:szCs w:val="24"/>
          <w:u w:val="single"/>
        </w:rPr>
        <w:t> 22.88</w:t>
      </w:r>
      <w:r>
        <w:rPr>
          <w:rFonts w:hint="eastAsia" w:ascii="宋体" w:hAnsi="宋体" w:eastAsia="宋体" w:cs="宋体"/>
          <w:sz w:val="24"/>
          <w:szCs w:val="24"/>
          <w:u w:val="single"/>
        </w:rPr>
        <w:t>  </w:t>
      </w:r>
      <w:r>
        <w:rPr>
          <w:rFonts w:hint="eastAsia" w:ascii="宋体" w:hAnsi="宋体" w:eastAsia="宋体" w:cs="宋体"/>
          <w:b/>
          <w:bCs/>
          <w:sz w:val="24"/>
          <w:szCs w:val="24"/>
        </w:rPr>
        <w:t>万元（大写：贰拾贰万捌仟捌佰元整）。</w:t>
      </w:r>
      <w:r>
        <w:rPr>
          <w:rFonts w:hint="eastAsia" w:ascii="宋体" w:hAnsi="宋体" w:eastAsia="宋体"/>
          <w:sz w:val="24"/>
          <w:szCs w:val="24"/>
        </w:rPr>
        <w:t>结算时，按年进行结算，以每年实际人数据实计算，若两年合计结算总价超过中标总价，则按中标总价进行结算。</w:t>
      </w:r>
      <w:r>
        <w:rPr>
          <w:rFonts w:hint="eastAsia" w:ascii="宋体" w:hAnsi="宋体" w:eastAsia="宋体" w:cs="宋体"/>
          <w:b/>
          <w:bCs/>
          <w:sz w:val="24"/>
          <w:szCs w:val="24"/>
        </w:rPr>
        <w:t>投标单位的投标报价必须在项目预算控制价内（含预算控制价），若超过预算控制价作废标处理。</w:t>
      </w:r>
    </w:p>
    <w:p w14:paraId="4950A3F8">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b/>
          <w:bCs/>
          <w:sz w:val="24"/>
          <w:szCs w:val="24"/>
        </w:rPr>
        <w:t>四、投标人资格要求</w:t>
      </w:r>
    </w:p>
    <w:p w14:paraId="35AF2B6C">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（一）必须是在中华人民共和国境内注册，具有独立法人，并持有工商行政管理部门核发的法人营业执照；</w:t>
      </w:r>
    </w:p>
    <w:p w14:paraId="1C21AF45">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（二）未被列入失信被执行人名单、重大税收违法案件当事人名单、 政府采购严重违法失信行为记录名单，信息以信用中国网站、中国政府采购网公布为准；</w:t>
      </w:r>
    </w:p>
    <w:p w14:paraId="534DA628">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（三）单位负责人为同一人或者存在直接控股、管理关系的不同供应商， 不得参加同一合同项下的采购活动；</w:t>
      </w:r>
    </w:p>
    <w:p w14:paraId="64EC404B">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（四）本项目不接受联合体。</w:t>
      </w:r>
    </w:p>
    <w:p w14:paraId="566B6F70">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五、投标要求</w:t>
      </w:r>
    </w:p>
    <w:p w14:paraId="729EEEA1">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（一）提供法人授权委托书（原件）、有效的营业执照复印件（加盖单位公章）、被授权人身份证（</w:t>
      </w:r>
      <w:r>
        <w:rPr>
          <w:rFonts w:ascii="宋体" w:hAnsi="宋体" w:eastAsia="宋体" w:cs="宋体"/>
          <w:color w:val="000000" w:themeColor="text1"/>
          <w:sz w:val="24"/>
          <w:szCs w:val="24"/>
          <w14:textFill>
            <w14:solidFill>
              <w14:schemeClr w14:val="tx1"/>
            </w14:solidFill>
          </w14:textFill>
        </w:rPr>
        <w:t>原件和复印件）</w:t>
      </w:r>
      <w:r>
        <w:rPr>
          <w:rFonts w:hint="eastAsia" w:ascii="宋体" w:hAnsi="宋体" w:eastAsia="宋体" w:cs="宋体"/>
          <w:color w:val="000000" w:themeColor="text1"/>
          <w:sz w:val="24"/>
          <w:szCs w:val="24"/>
          <w14:textFill>
            <w14:solidFill>
              <w14:schemeClr w14:val="tx1"/>
            </w14:solidFill>
          </w14:textFill>
        </w:rPr>
        <w:t>；</w:t>
      </w:r>
    </w:p>
    <w:p w14:paraId="5635999D">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（二）提供最新的信用中国网站和中国政府采购网无违法失信查询结果截图（加盖单位公章）；</w:t>
      </w:r>
    </w:p>
    <w:p w14:paraId="6152F114">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（三）报价函（详见附件1，密封，加盖公章）；</w:t>
      </w:r>
    </w:p>
    <w:p w14:paraId="45F76C53">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（四）提供本次采购相关服务内容的组织实施方案及服务承诺。</w:t>
      </w:r>
    </w:p>
    <w:p w14:paraId="400380BF">
      <w:pPr>
        <w:pStyle w:val="11"/>
        <w:spacing w:after="0" w:line="360" w:lineRule="auto"/>
        <w:ind w:left="0" w:leftChars="0" w:firstLine="480"/>
        <w:rPr>
          <w:rFonts w:eastAsia="宋体"/>
          <w:sz w:val="24"/>
          <w:szCs w:val="24"/>
        </w:rPr>
      </w:pPr>
      <w:r>
        <w:rPr>
          <w:rFonts w:hint="eastAsia" w:ascii="宋体" w:hAnsi="宋体" w:eastAsia="宋体" w:cs="宋体"/>
          <w:color w:val="000000" w:themeColor="text1"/>
          <w:sz w:val="24"/>
          <w:szCs w:val="24"/>
          <w14:textFill>
            <w14:solidFill>
              <w14:schemeClr w14:val="tx1"/>
            </w14:solidFill>
          </w14:textFill>
        </w:rPr>
        <w:t>（五）</w:t>
      </w:r>
      <w:r>
        <w:rPr>
          <w:rFonts w:hint="eastAsia" w:ascii="宋体" w:hAnsi="宋体" w:eastAsia="宋体" w:cs="宋体"/>
          <w:color w:val="333333"/>
          <w:sz w:val="24"/>
          <w:szCs w:val="24"/>
          <w:shd w:val="clear" w:color="auto" w:fill="FFFFFF"/>
        </w:rPr>
        <w:t>根据评分办法准备的相关材料。</w:t>
      </w:r>
    </w:p>
    <w:p w14:paraId="616EFBFF">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如以上资料提供不全，将被视为不符合投标资格。</w:t>
      </w:r>
    </w:p>
    <w:p w14:paraId="79C652F4">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b/>
          <w:bCs/>
          <w:sz w:val="24"/>
          <w:szCs w:val="24"/>
        </w:rPr>
        <w:t>六、中标方式</w:t>
      </w:r>
    </w:p>
    <w:p w14:paraId="48695B5E">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在满足投标要求的情况下，采用</w:t>
      </w:r>
      <w:r>
        <w:rPr>
          <w:rFonts w:hint="eastAsia" w:ascii="宋体" w:hAnsi="宋体" w:eastAsia="宋体" w:cs="宋体"/>
          <w:b/>
          <w:bCs/>
          <w:sz w:val="24"/>
          <w:szCs w:val="24"/>
        </w:rPr>
        <w:t>综合评分</w:t>
      </w:r>
      <w:r>
        <w:rPr>
          <w:rFonts w:hint="eastAsia" w:ascii="宋体" w:hAnsi="宋体" w:eastAsia="宋体" w:cs="宋体"/>
          <w:sz w:val="24"/>
          <w:szCs w:val="24"/>
        </w:rPr>
        <w:t>的方式确定该项目成交供应商。评标办法详见附件3《评标办法》。</w:t>
      </w:r>
    </w:p>
    <w:p w14:paraId="0CE30163">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七、附件2《采购需求》作为合同的一部分</w:t>
      </w:r>
    </w:p>
    <w:p w14:paraId="7BB8FD71">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八、投标截止时间和地点</w:t>
      </w:r>
    </w:p>
    <w:p w14:paraId="02DFC706">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（一）投标时间</w:t>
      </w:r>
    </w:p>
    <w:p w14:paraId="5DE2E51A">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凡愿意且符合条件投标人，</w:t>
      </w:r>
      <w:r>
        <w:rPr>
          <w:rFonts w:hint="eastAsia" w:ascii="宋体" w:hAnsi="宋体" w:eastAsia="宋体" w:cs="宋体"/>
          <w:bCs/>
          <w:color w:val="000000" w:themeColor="text1"/>
          <w:sz w:val="24"/>
          <w:szCs w:val="24"/>
          <w14:textFill>
            <w14:solidFill>
              <w14:schemeClr w14:val="tx1"/>
            </w14:solidFill>
          </w14:textFill>
        </w:rPr>
        <w:t>请于</w:t>
      </w:r>
      <w:r>
        <w:rPr>
          <w:rFonts w:hint="eastAsia" w:ascii="宋体" w:hAnsi="宋体" w:eastAsia="宋体" w:cs="宋体"/>
          <w:b/>
          <w:bCs w:val="0"/>
          <w:color w:val="000000" w:themeColor="text1"/>
          <w:sz w:val="24"/>
          <w:szCs w:val="24"/>
          <w:highlight w:val="none"/>
          <w14:textFill>
            <w14:solidFill>
              <w14:schemeClr w14:val="tx1"/>
            </w14:solidFill>
          </w14:textFill>
        </w:rPr>
        <w:t xml:space="preserve">2025年11月 </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bCs w:val="0"/>
          <w:color w:val="000000" w:themeColor="text1"/>
          <w:sz w:val="24"/>
          <w:szCs w:val="24"/>
          <w:highlight w:val="none"/>
          <w14:textFill>
            <w14:solidFill>
              <w14:schemeClr w14:val="tx1"/>
            </w14:solidFill>
          </w14:textFill>
        </w:rPr>
        <w:t xml:space="preserve"> 日上午9：00至11：00</w:t>
      </w:r>
      <w:r>
        <w:rPr>
          <w:rFonts w:hint="eastAsia" w:ascii="宋体" w:hAnsi="宋体" w:eastAsia="宋体" w:cs="宋体"/>
          <w:b/>
          <w:bCs w:val="0"/>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将投标文件密封送达广西艺术学院财务资产处，其</w:t>
      </w:r>
      <w:r>
        <w:rPr>
          <w:rFonts w:hint="eastAsia" w:ascii="宋体" w:hAnsi="宋体" w:eastAsia="宋体" w:cs="宋体"/>
          <w:bCs/>
          <w:color w:val="000000" w:themeColor="text1"/>
          <w:sz w:val="24"/>
          <w:szCs w:val="24"/>
          <w14:textFill>
            <w14:solidFill>
              <w14:schemeClr w14:val="tx1"/>
            </w14:solidFill>
          </w14:textFill>
        </w:rPr>
        <w:t>他时间不接收报名材料。</w:t>
      </w:r>
    </w:p>
    <w:p w14:paraId="647C11ED">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（二）投标地点</w:t>
      </w:r>
    </w:p>
    <w:p w14:paraId="06C8AF21">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南宁市教育路7号广西艺术学院雕塑办公楼107室财务资产处采购管理科。</w:t>
      </w:r>
    </w:p>
    <w:p w14:paraId="5BF34C65">
      <w:pPr>
        <w:adjustRightInd/>
        <w:snapToGrid/>
        <w:spacing w:after="0"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sz w:val="24"/>
          <w:szCs w:val="24"/>
        </w:rPr>
        <w:t>朱老师，联系电话：0771-5327987；</w:t>
      </w:r>
      <w:r>
        <w:rPr>
          <w:rFonts w:hint="eastAsia" w:ascii="宋体" w:hAnsi="宋体" w:eastAsia="宋体" w:cs="宋体"/>
          <w:color w:val="000000" w:themeColor="text1"/>
          <w:sz w:val="24"/>
          <w:szCs w:val="24"/>
          <w14:textFill>
            <w14:solidFill>
              <w14:schemeClr w14:val="tx1"/>
            </w14:solidFill>
          </w14:textFill>
        </w:rPr>
        <w:t>荆老师（参数咨询），电话：0771-5333126、5</w:t>
      </w:r>
      <w:r>
        <w:rPr>
          <w:rFonts w:ascii="宋体" w:hAnsi="宋体" w:eastAsia="宋体" w:cs="宋体"/>
          <w:color w:val="000000" w:themeColor="text1"/>
          <w:sz w:val="24"/>
          <w:szCs w:val="24"/>
          <w14:textFill>
            <w14:solidFill>
              <w14:schemeClr w14:val="tx1"/>
            </w14:solidFill>
          </w14:textFill>
        </w:rPr>
        <w:t>327082</w:t>
      </w:r>
      <w:r>
        <w:rPr>
          <w:rFonts w:hint="eastAsia" w:ascii="宋体" w:hAnsi="宋体" w:eastAsia="宋体" w:cs="宋体"/>
          <w:color w:val="000000" w:themeColor="text1"/>
          <w:sz w:val="24"/>
          <w:szCs w:val="24"/>
          <w14:textFill>
            <w14:solidFill>
              <w14:schemeClr w14:val="tx1"/>
            </w14:solidFill>
          </w14:textFill>
        </w:rPr>
        <w:t>。</w:t>
      </w:r>
    </w:p>
    <w:p w14:paraId="1FC69C81">
      <w:pPr>
        <w:adjustRightInd/>
        <w:snapToGrid/>
        <w:spacing w:after="0" w:line="360" w:lineRule="auto"/>
        <w:ind w:firstLine="480"/>
        <w:rPr>
          <w:rFonts w:hint="eastAsia" w:ascii="宋体" w:hAnsi="宋体" w:eastAsia="宋体" w:cs="宋体"/>
          <w:sz w:val="24"/>
          <w:szCs w:val="24"/>
        </w:rPr>
      </w:pPr>
    </w:p>
    <w:p w14:paraId="216EC43A">
      <w:pPr>
        <w:adjustRightInd/>
        <w:snapToGrid/>
        <w:spacing w:after="0"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广西艺术学院  </w:t>
      </w:r>
    </w:p>
    <w:p w14:paraId="316AA3DD">
      <w:pPr>
        <w:pStyle w:val="10"/>
        <w:ind w:firstLine="240"/>
        <w:rPr>
          <w:rFonts w:hint="eastAsia" w:ascii="宋体" w:hAnsi="宋体" w:eastAsia="宋体" w:cs="宋体"/>
          <w:sz w:val="24"/>
          <w:lang w:eastAsia="zh-CN"/>
        </w:rPr>
        <w:sectPr>
          <w:pgSz w:w="11906" w:h="16838"/>
          <w:pgMar w:top="1021" w:right="1588" w:bottom="1021" w:left="1588" w:header="709" w:footer="709" w:gutter="0"/>
          <w:cols w:space="720" w:num="1"/>
          <w:docGrid w:linePitch="360" w:charSpace="0"/>
        </w:sectPr>
      </w:pPr>
    </w:p>
    <w:p w14:paraId="631D1100">
      <w:pPr>
        <w:pStyle w:val="10"/>
        <w:spacing w:before="163" w:beforeLines="50" w:after="163" w:afterLines="50"/>
        <w:ind w:firstLine="0" w:firstLineChars="0"/>
        <w:rPr>
          <w:rFonts w:hint="eastAsia" w:ascii="宋体" w:hAnsi="宋体" w:eastAsia="宋体" w:cs="宋体"/>
          <w:b/>
          <w:bCs/>
          <w:sz w:val="24"/>
          <w:lang w:eastAsia="zh-CN"/>
        </w:rPr>
      </w:pPr>
      <w:r>
        <w:rPr>
          <w:rFonts w:hint="eastAsia" w:ascii="宋体" w:hAnsi="宋体" w:eastAsia="宋体" w:cs="宋体"/>
          <w:b/>
          <w:bCs/>
          <w:sz w:val="24"/>
          <w:lang w:eastAsia="zh-CN"/>
        </w:rPr>
        <w:t>附件1：报价函</w:t>
      </w:r>
    </w:p>
    <w:p w14:paraId="6D222449">
      <w:pPr>
        <w:pStyle w:val="10"/>
        <w:ind w:firstLine="0" w:firstLineChars="0"/>
        <w:rPr>
          <w:rFonts w:hint="eastAsia" w:ascii="宋体" w:hAnsi="宋体" w:eastAsia="宋体" w:cs="宋体"/>
          <w:b/>
          <w:bCs/>
          <w:sz w:val="24"/>
          <w:lang w:eastAsia="zh-CN"/>
        </w:rPr>
      </w:pPr>
      <w:r>
        <w:rPr>
          <w:rFonts w:hint="eastAsia" w:ascii="宋体" w:hAnsi="宋体" w:eastAsia="宋体" w:cs="宋体"/>
          <w:b/>
          <w:bCs/>
          <w:sz w:val="24"/>
          <w:lang w:eastAsia="zh-CN"/>
        </w:rPr>
        <w:t>（一）本科、附校招生考试</w:t>
      </w:r>
    </w:p>
    <w:tbl>
      <w:tblPr>
        <w:tblStyle w:val="12"/>
        <w:tblW w:w="5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236"/>
        <w:gridCol w:w="1017"/>
        <w:gridCol w:w="1017"/>
        <w:gridCol w:w="872"/>
        <w:gridCol w:w="1017"/>
        <w:gridCol w:w="1011"/>
        <w:gridCol w:w="2623"/>
      </w:tblGrid>
      <w:tr w14:paraId="2BCD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6" w:type="pct"/>
            <w:vMerge w:val="restart"/>
            <w:shd w:val="clear" w:color="auto" w:fill="auto"/>
            <w:vAlign w:val="center"/>
          </w:tcPr>
          <w:p w14:paraId="51D6E4F4">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类型/项目</w:t>
            </w:r>
          </w:p>
        </w:tc>
        <w:tc>
          <w:tcPr>
            <w:tcW w:w="608" w:type="pct"/>
            <w:vMerge w:val="restart"/>
            <w:shd w:val="clear" w:color="auto" w:fill="auto"/>
            <w:vAlign w:val="center"/>
          </w:tcPr>
          <w:p w14:paraId="3C1A35CA">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专业/名称</w:t>
            </w:r>
          </w:p>
        </w:tc>
        <w:tc>
          <w:tcPr>
            <w:tcW w:w="1429" w:type="pct"/>
            <w:gridSpan w:val="3"/>
            <w:shd w:val="clear" w:color="auto" w:fill="auto"/>
            <w:noWrap/>
            <w:vAlign w:val="center"/>
          </w:tcPr>
          <w:p w14:paraId="548E555B">
            <w:pPr>
              <w:spacing w:after="0"/>
              <w:jc w:val="center"/>
              <w:rPr>
                <w:rFonts w:ascii="Times New Roman" w:hAnsi="Times New Roman" w:eastAsia="宋体"/>
                <w:b/>
                <w:bCs/>
                <w:sz w:val="21"/>
                <w:szCs w:val="21"/>
              </w:rPr>
            </w:pPr>
            <w:r>
              <w:rPr>
                <w:rFonts w:ascii="Times New Roman" w:hAnsi="Times New Roman" w:eastAsia="宋体"/>
                <w:b/>
                <w:bCs/>
                <w:sz w:val="21"/>
                <w:szCs w:val="21"/>
              </w:rPr>
              <w:t>预计规模</w:t>
            </w:r>
          </w:p>
        </w:tc>
        <w:tc>
          <w:tcPr>
            <w:tcW w:w="500" w:type="pct"/>
            <w:vMerge w:val="restart"/>
            <w:shd w:val="clear" w:color="auto" w:fill="auto"/>
            <w:vAlign w:val="center"/>
          </w:tcPr>
          <w:p w14:paraId="736D6F21">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单价（元）</w:t>
            </w:r>
          </w:p>
        </w:tc>
        <w:tc>
          <w:tcPr>
            <w:tcW w:w="497" w:type="pct"/>
            <w:vMerge w:val="restart"/>
            <w:shd w:val="clear" w:color="auto" w:fill="auto"/>
            <w:vAlign w:val="center"/>
          </w:tcPr>
          <w:p w14:paraId="484D347B">
            <w:pPr>
              <w:spacing w:after="0"/>
              <w:jc w:val="center"/>
              <w:rPr>
                <w:rFonts w:ascii="Times New Roman" w:hAnsi="Times New Roman" w:eastAsia="宋体"/>
                <w:b/>
                <w:bCs/>
                <w:sz w:val="21"/>
                <w:szCs w:val="21"/>
              </w:rPr>
            </w:pPr>
            <w:r>
              <w:rPr>
                <w:rFonts w:ascii="Times New Roman" w:hAnsi="Times New Roman" w:eastAsia="宋体"/>
                <w:b/>
                <w:bCs/>
                <w:sz w:val="21"/>
                <w:szCs w:val="21"/>
              </w:rPr>
              <w:t>小计（元）</w:t>
            </w:r>
          </w:p>
        </w:tc>
        <w:tc>
          <w:tcPr>
            <w:tcW w:w="1290" w:type="pct"/>
            <w:vMerge w:val="restart"/>
            <w:shd w:val="clear" w:color="auto" w:fill="auto"/>
            <w:vAlign w:val="center"/>
          </w:tcPr>
          <w:p w14:paraId="54E33750">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备注</w:t>
            </w:r>
          </w:p>
        </w:tc>
      </w:tr>
      <w:tr w14:paraId="24C7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6" w:type="pct"/>
            <w:vMerge w:val="continue"/>
            <w:shd w:val="clear" w:color="auto" w:fill="auto"/>
            <w:vAlign w:val="center"/>
          </w:tcPr>
          <w:p w14:paraId="11A70058">
            <w:pPr>
              <w:snapToGrid/>
              <w:spacing w:after="0"/>
              <w:jc w:val="center"/>
              <w:rPr>
                <w:rFonts w:ascii="Times New Roman" w:hAnsi="Times New Roman" w:eastAsia="宋体"/>
                <w:b/>
                <w:bCs/>
                <w:sz w:val="21"/>
                <w:szCs w:val="21"/>
              </w:rPr>
            </w:pPr>
          </w:p>
        </w:tc>
        <w:tc>
          <w:tcPr>
            <w:tcW w:w="608" w:type="pct"/>
            <w:vMerge w:val="continue"/>
            <w:shd w:val="clear" w:color="auto" w:fill="auto"/>
            <w:vAlign w:val="center"/>
          </w:tcPr>
          <w:p w14:paraId="4EC4E76A">
            <w:pPr>
              <w:snapToGrid/>
              <w:spacing w:after="0"/>
              <w:jc w:val="center"/>
              <w:rPr>
                <w:rFonts w:ascii="Times New Roman" w:hAnsi="Times New Roman" w:eastAsia="宋体"/>
                <w:b/>
                <w:bCs/>
                <w:sz w:val="21"/>
                <w:szCs w:val="21"/>
              </w:rPr>
            </w:pPr>
          </w:p>
        </w:tc>
        <w:tc>
          <w:tcPr>
            <w:tcW w:w="500" w:type="pct"/>
            <w:shd w:val="clear" w:color="auto" w:fill="auto"/>
            <w:noWrap/>
            <w:vAlign w:val="center"/>
          </w:tcPr>
          <w:p w14:paraId="72EEB73B">
            <w:pPr>
              <w:spacing w:after="0"/>
              <w:jc w:val="center"/>
              <w:rPr>
                <w:rFonts w:ascii="Times New Roman" w:hAnsi="Times New Roman" w:eastAsia="宋体"/>
                <w:b/>
                <w:bCs/>
                <w:sz w:val="21"/>
                <w:szCs w:val="21"/>
              </w:rPr>
            </w:pPr>
            <w:r>
              <w:rPr>
                <w:rFonts w:ascii="Times New Roman" w:hAnsi="Times New Roman" w:eastAsia="宋体"/>
                <w:b/>
                <w:bCs/>
                <w:sz w:val="21"/>
                <w:szCs w:val="21"/>
              </w:rPr>
              <w:t>2026年</w:t>
            </w:r>
          </w:p>
        </w:tc>
        <w:tc>
          <w:tcPr>
            <w:tcW w:w="500" w:type="pct"/>
            <w:vAlign w:val="center"/>
          </w:tcPr>
          <w:p w14:paraId="4AF83796">
            <w:pPr>
              <w:spacing w:after="0"/>
              <w:jc w:val="center"/>
              <w:rPr>
                <w:rFonts w:ascii="Times New Roman" w:hAnsi="Times New Roman" w:eastAsia="宋体"/>
                <w:b/>
                <w:bCs/>
                <w:sz w:val="21"/>
                <w:szCs w:val="21"/>
              </w:rPr>
            </w:pPr>
            <w:r>
              <w:rPr>
                <w:rFonts w:ascii="Times New Roman" w:hAnsi="Times New Roman" w:eastAsia="宋体"/>
                <w:b/>
                <w:bCs/>
                <w:sz w:val="21"/>
                <w:szCs w:val="21"/>
              </w:rPr>
              <w:t>2027年</w:t>
            </w:r>
          </w:p>
        </w:tc>
        <w:tc>
          <w:tcPr>
            <w:tcW w:w="429" w:type="pct"/>
            <w:vAlign w:val="center"/>
          </w:tcPr>
          <w:p w14:paraId="2F7957B9">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规模合计</w:t>
            </w:r>
          </w:p>
        </w:tc>
        <w:tc>
          <w:tcPr>
            <w:tcW w:w="500" w:type="pct"/>
            <w:vMerge w:val="continue"/>
            <w:shd w:val="clear" w:color="auto" w:fill="auto"/>
            <w:vAlign w:val="center"/>
          </w:tcPr>
          <w:p w14:paraId="5D273311">
            <w:pPr>
              <w:snapToGrid/>
              <w:spacing w:after="0"/>
              <w:jc w:val="center"/>
              <w:rPr>
                <w:rFonts w:ascii="Times New Roman" w:hAnsi="Times New Roman" w:eastAsia="宋体"/>
                <w:b/>
                <w:bCs/>
                <w:sz w:val="21"/>
                <w:szCs w:val="21"/>
              </w:rPr>
            </w:pPr>
          </w:p>
        </w:tc>
        <w:tc>
          <w:tcPr>
            <w:tcW w:w="497" w:type="pct"/>
            <w:vMerge w:val="continue"/>
            <w:shd w:val="clear" w:color="auto" w:fill="auto"/>
            <w:vAlign w:val="center"/>
          </w:tcPr>
          <w:p w14:paraId="43DEEB5E">
            <w:pPr>
              <w:spacing w:after="0"/>
              <w:jc w:val="center"/>
              <w:rPr>
                <w:rFonts w:ascii="Times New Roman" w:hAnsi="Times New Roman" w:eastAsia="宋体"/>
                <w:b/>
                <w:bCs/>
                <w:sz w:val="21"/>
                <w:szCs w:val="21"/>
              </w:rPr>
            </w:pPr>
          </w:p>
        </w:tc>
        <w:tc>
          <w:tcPr>
            <w:tcW w:w="1290" w:type="pct"/>
            <w:vMerge w:val="continue"/>
            <w:shd w:val="clear" w:color="auto" w:fill="auto"/>
            <w:vAlign w:val="center"/>
          </w:tcPr>
          <w:p w14:paraId="59F846F8">
            <w:pPr>
              <w:snapToGrid/>
              <w:spacing w:after="0"/>
              <w:jc w:val="center"/>
              <w:rPr>
                <w:rFonts w:ascii="Times New Roman" w:hAnsi="Times New Roman" w:eastAsia="宋体"/>
                <w:b/>
                <w:bCs/>
                <w:sz w:val="21"/>
                <w:szCs w:val="21"/>
              </w:rPr>
            </w:pPr>
          </w:p>
        </w:tc>
      </w:tr>
      <w:tr w14:paraId="5D5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76" w:type="pct"/>
            <w:shd w:val="clear" w:color="auto" w:fill="auto"/>
            <w:vAlign w:val="center"/>
          </w:tcPr>
          <w:p w14:paraId="14701838">
            <w:pPr>
              <w:snapToGrid/>
              <w:spacing w:after="0"/>
              <w:jc w:val="both"/>
              <w:rPr>
                <w:rFonts w:ascii="Times New Roman" w:hAnsi="Times New Roman" w:eastAsia="宋体"/>
                <w:sz w:val="21"/>
                <w:szCs w:val="21"/>
              </w:rPr>
            </w:pPr>
            <w:r>
              <w:rPr>
                <w:rFonts w:ascii="Times New Roman" w:hAnsi="Times New Roman" w:eastAsia="宋体"/>
                <w:sz w:val="21"/>
                <w:szCs w:val="21"/>
              </w:rPr>
              <w:t>本科艺术类专业招生考试（校考）</w:t>
            </w:r>
          </w:p>
        </w:tc>
        <w:tc>
          <w:tcPr>
            <w:tcW w:w="608" w:type="pct"/>
            <w:shd w:val="clear" w:color="auto" w:fill="auto"/>
            <w:vAlign w:val="center"/>
          </w:tcPr>
          <w:p w14:paraId="2B5DE8D9">
            <w:pPr>
              <w:snapToGrid/>
              <w:spacing w:after="0"/>
              <w:jc w:val="center"/>
              <w:rPr>
                <w:rFonts w:ascii="Times New Roman" w:hAnsi="Times New Roman" w:eastAsia="宋体"/>
                <w:sz w:val="21"/>
                <w:szCs w:val="21"/>
              </w:rPr>
            </w:pPr>
            <w:r>
              <w:rPr>
                <w:rFonts w:ascii="Times New Roman" w:hAnsi="Times New Roman" w:eastAsia="宋体"/>
                <w:sz w:val="21"/>
                <w:szCs w:val="21"/>
              </w:rPr>
              <w:t>音乐表演（演奏）</w:t>
            </w:r>
          </w:p>
        </w:tc>
        <w:tc>
          <w:tcPr>
            <w:tcW w:w="500" w:type="pct"/>
            <w:shd w:val="clear" w:color="auto" w:fill="auto"/>
            <w:vAlign w:val="center"/>
          </w:tcPr>
          <w:p w14:paraId="4CBA91C4">
            <w:pPr>
              <w:snapToGrid/>
              <w:spacing w:after="0"/>
              <w:jc w:val="center"/>
              <w:rPr>
                <w:rFonts w:ascii="Times New Roman" w:hAnsi="Times New Roman" w:eastAsia="宋体"/>
                <w:sz w:val="21"/>
                <w:szCs w:val="21"/>
              </w:rPr>
            </w:pPr>
            <w:r>
              <w:rPr>
                <w:rFonts w:ascii="Times New Roman" w:hAnsi="Times New Roman" w:eastAsia="宋体"/>
                <w:sz w:val="21"/>
                <w:szCs w:val="21"/>
              </w:rPr>
              <w:t>2000</w:t>
            </w:r>
          </w:p>
          <w:p w14:paraId="2C76EA3D">
            <w:pPr>
              <w:snapToGrid/>
              <w:spacing w:after="0"/>
              <w:jc w:val="center"/>
              <w:rPr>
                <w:rFonts w:ascii="Times New Roman" w:hAnsi="Times New Roman" w:eastAsia="宋体"/>
                <w:sz w:val="21"/>
                <w:szCs w:val="21"/>
              </w:rPr>
            </w:pPr>
            <w:r>
              <w:rPr>
                <w:rFonts w:ascii="Times New Roman" w:hAnsi="Times New Roman" w:eastAsia="宋体"/>
                <w:sz w:val="21"/>
                <w:szCs w:val="21"/>
              </w:rPr>
              <w:t>人</w:t>
            </w:r>
          </w:p>
        </w:tc>
        <w:tc>
          <w:tcPr>
            <w:tcW w:w="500" w:type="pct"/>
            <w:vAlign w:val="center"/>
          </w:tcPr>
          <w:p w14:paraId="6904FE6C">
            <w:pPr>
              <w:snapToGrid/>
              <w:spacing w:after="0"/>
              <w:jc w:val="center"/>
              <w:rPr>
                <w:rFonts w:ascii="Times New Roman" w:hAnsi="Times New Roman" w:eastAsia="宋体"/>
                <w:sz w:val="21"/>
                <w:szCs w:val="21"/>
              </w:rPr>
            </w:pPr>
            <w:r>
              <w:rPr>
                <w:rFonts w:ascii="Times New Roman" w:hAnsi="Times New Roman" w:eastAsia="宋体"/>
                <w:sz w:val="21"/>
                <w:szCs w:val="21"/>
              </w:rPr>
              <w:t>2000</w:t>
            </w:r>
          </w:p>
          <w:p w14:paraId="7FA17462">
            <w:pPr>
              <w:snapToGrid/>
              <w:spacing w:after="0"/>
              <w:jc w:val="center"/>
              <w:rPr>
                <w:rFonts w:ascii="Times New Roman" w:hAnsi="Times New Roman" w:eastAsia="宋体"/>
                <w:sz w:val="21"/>
                <w:szCs w:val="21"/>
              </w:rPr>
            </w:pPr>
            <w:r>
              <w:rPr>
                <w:rFonts w:ascii="Times New Roman" w:hAnsi="Times New Roman" w:eastAsia="宋体"/>
                <w:sz w:val="21"/>
                <w:szCs w:val="21"/>
              </w:rPr>
              <w:t>人</w:t>
            </w:r>
          </w:p>
        </w:tc>
        <w:tc>
          <w:tcPr>
            <w:tcW w:w="429" w:type="pct"/>
            <w:vAlign w:val="center"/>
          </w:tcPr>
          <w:p w14:paraId="6FFADD2B">
            <w:pPr>
              <w:snapToGrid/>
              <w:spacing w:after="0"/>
              <w:jc w:val="center"/>
              <w:rPr>
                <w:rFonts w:ascii="Times New Roman" w:hAnsi="Times New Roman" w:eastAsia="宋体"/>
                <w:sz w:val="21"/>
                <w:szCs w:val="21"/>
              </w:rPr>
            </w:pPr>
            <w:r>
              <w:rPr>
                <w:rFonts w:ascii="Times New Roman" w:hAnsi="Times New Roman" w:eastAsia="宋体"/>
                <w:sz w:val="21"/>
                <w:szCs w:val="21"/>
              </w:rPr>
              <w:t>4000</w:t>
            </w:r>
          </w:p>
          <w:p w14:paraId="0603A759">
            <w:pPr>
              <w:snapToGrid/>
              <w:spacing w:after="0"/>
              <w:jc w:val="center"/>
              <w:rPr>
                <w:rFonts w:ascii="Times New Roman" w:hAnsi="Times New Roman" w:eastAsia="宋体"/>
                <w:sz w:val="21"/>
                <w:szCs w:val="21"/>
              </w:rPr>
            </w:pPr>
            <w:r>
              <w:rPr>
                <w:rFonts w:ascii="Times New Roman" w:hAnsi="Times New Roman" w:eastAsia="宋体"/>
                <w:sz w:val="21"/>
                <w:szCs w:val="21"/>
              </w:rPr>
              <w:t>人</w:t>
            </w:r>
          </w:p>
        </w:tc>
        <w:tc>
          <w:tcPr>
            <w:tcW w:w="500" w:type="pct"/>
            <w:shd w:val="clear" w:color="auto" w:fill="auto"/>
            <w:vAlign w:val="center"/>
          </w:tcPr>
          <w:p w14:paraId="5537A406">
            <w:pPr>
              <w:snapToGrid/>
              <w:spacing w:after="0"/>
              <w:jc w:val="center"/>
              <w:rPr>
                <w:rFonts w:ascii="Times New Roman" w:hAnsi="Times New Roman" w:eastAsia="宋体"/>
                <w:sz w:val="21"/>
                <w:szCs w:val="21"/>
              </w:rPr>
            </w:pPr>
          </w:p>
        </w:tc>
        <w:tc>
          <w:tcPr>
            <w:tcW w:w="497" w:type="pct"/>
            <w:shd w:val="clear" w:color="auto" w:fill="auto"/>
            <w:noWrap/>
            <w:vAlign w:val="center"/>
          </w:tcPr>
          <w:p w14:paraId="529C57D7">
            <w:pPr>
              <w:snapToGrid/>
              <w:spacing w:after="0"/>
              <w:jc w:val="center"/>
              <w:rPr>
                <w:rFonts w:ascii="Times New Roman" w:hAnsi="Times New Roman" w:eastAsia="宋体"/>
                <w:sz w:val="21"/>
                <w:szCs w:val="21"/>
              </w:rPr>
            </w:pPr>
          </w:p>
        </w:tc>
        <w:tc>
          <w:tcPr>
            <w:tcW w:w="1290" w:type="pct"/>
            <w:shd w:val="clear" w:color="auto" w:fill="auto"/>
            <w:vAlign w:val="center"/>
          </w:tcPr>
          <w:p w14:paraId="52E2AEE4">
            <w:pPr>
              <w:snapToGrid/>
              <w:spacing w:after="0"/>
              <w:jc w:val="both"/>
              <w:rPr>
                <w:rFonts w:ascii="Times New Roman" w:hAnsi="Times New Roman" w:eastAsia="宋体"/>
                <w:sz w:val="21"/>
                <w:szCs w:val="21"/>
              </w:rPr>
            </w:pPr>
            <w:r>
              <w:rPr>
                <w:rFonts w:ascii="Times New Roman" w:hAnsi="Times New Roman" w:eastAsia="宋体"/>
                <w:sz w:val="21"/>
                <w:szCs w:val="21"/>
              </w:rPr>
              <w:t>1.线上报名缴费</w:t>
            </w:r>
            <w:r>
              <w:rPr>
                <w:rFonts w:hint="eastAsia" w:ascii="Times New Roman" w:hAnsi="Times New Roman" w:eastAsia="宋体"/>
                <w:sz w:val="21"/>
                <w:szCs w:val="21"/>
              </w:rPr>
              <w:t>；</w:t>
            </w:r>
            <w:r>
              <w:rPr>
                <w:rFonts w:ascii="Times New Roman" w:hAnsi="Times New Roman" w:eastAsia="宋体"/>
                <w:sz w:val="21"/>
                <w:szCs w:val="21"/>
              </w:rPr>
              <w:t>2.网络考试（提交视频）</w:t>
            </w:r>
            <w:r>
              <w:rPr>
                <w:rFonts w:hint="eastAsia" w:ascii="Times New Roman" w:hAnsi="Times New Roman" w:eastAsia="宋体"/>
                <w:sz w:val="21"/>
                <w:szCs w:val="21"/>
              </w:rPr>
              <w:t>；</w:t>
            </w:r>
            <w:r>
              <w:rPr>
                <w:rFonts w:ascii="Times New Roman" w:hAnsi="Times New Roman" w:eastAsia="宋体"/>
                <w:sz w:val="21"/>
                <w:szCs w:val="21"/>
              </w:rPr>
              <w:t>3.线上评分（视频评分）局域网评分，必要时可切换线上评分</w:t>
            </w:r>
          </w:p>
        </w:tc>
      </w:tr>
      <w:tr w14:paraId="2360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6" w:type="pct"/>
            <w:shd w:val="clear" w:color="auto" w:fill="auto"/>
            <w:vAlign w:val="center"/>
          </w:tcPr>
          <w:p w14:paraId="3931C20A">
            <w:pPr>
              <w:snapToGrid/>
              <w:spacing w:after="0"/>
              <w:jc w:val="both"/>
              <w:rPr>
                <w:rFonts w:ascii="Times New Roman" w:hAnsi="Times New Roman" w:eastAsia="宋体"/>
                <w:sz w:val="21"/>
                <w:szCs w:val="21"/>
              </w:rPr>
            </w:pPr>
            <w:r>
              <w:rPr>
                <w:rFonts w:ascii="Times New Roman" w:hAnsi="Times New Roman" w:eastAsia="宋体"/>
                <w:sz w:val="21"/>
                <w:szCs w:val="21"/>
              </w:rPr>
              <w:t>附属中等艺术学校招生考试</w:t>
            </w:r>
          </w:p>
        </w:tc>
        <w:tc>
          <w:tcPr>
            <w:tcW w:w="608" w:type="pct"/>
            <w:shd w:val="clear" w:color="auto" w:fill="auto"/>
            <w:vAlign w:val="center"/>
          </w:tcPr>
          <w:p w14:paraId="44EDD199">
            <w:pPr>
              <w:snapToGrid/>
              <w:spacing w:after="0"/>
              <w:jc w:val="center"/>
              <w:rPr>
                <w:rFonts w:ascii="Times New Roman" w:hAnsi="Times New Roman" w:eastAsia="宋体"/>
                <w:sz w:val="21"/>
                <w:szCs w:val="21"/>
              </w:rPr>
            </w:pPr>
            <w:r>
              <w:rPr>
                <w:rFonts w:ascii="Times New Roman" w:hAnsi="Times New Roman" w:eastAsia="宋体"/>
                <w:sz w:val="21"/>
                <w:szCs w:val="21"/>
              </w:rPr>
              <w:t>各专业方向</w:t>
            </w:r>
          </w:p>
        </w:tc>
        <w:tc>
          <w:tcPr>
            <w:tcW w:w="500" w:type="pct"/>
            <w:shd w:val="clear" w:color="auto" w:fill="auto"/>
            <w:vAlign w:val="center"/>
          </w:tcPr>
          <w:p w14:paraId="728EBDDC">
            <w:pPr>
              <w:snapToGrid/>
              <w:spacing w:after="0"/>
              <w:jc w:val="center"/>
              <w:rPr>
                <w:rFonts w:ascii="Times New Roman" w:hAnsi="Times New Roman" w:eastAsia="宋体"/>
                <w:sz w:val="21"/>
                <w:szCs w:val="21"/>
              </w:rPr>
            </w:pPr>
            <w:r>
              <w:rPr>
                <w:rFonts w:ascii="Times New Roman" w:hAnsi="Times New Roman" w:eastAsia="宋体"/>
                <w:sz w:val="21"/>
                <w:szCs w:val="21"/>
              </w:rPr>
              <w:t>450</w:t>
            </w:r>
          </w:p>
          <w:p w14:paraId="6916949C">
            <w:pPr>
              <w:snapToGrid/>
              <w:spacing w:after="0"/>
              <w:jc w:val="center"/>
              <w:rPr>
                <w:rFonts w:ascii="Times New Roman" w:hAnsi="Times New Roman" w:eastAsia="宋体"/>
                <w:sz w:val="21"/>
                <w:szCs w:val="21"/>
              </w:rPr>
            </w:pPr>
            <w:r>
              <w:rPr>
                <w:rFonts w:ascii="Times New Roman" w:hAnsi="Times New Roman" w:eastAsia="宋体"/>
                <w:sz w:val="21"/>
                <w:szCs w:val="21"/>
              </w:rPr>
              <w:t>人</w:t>
            </w:r>
          </w:p>
        </w:tc>
        <w:tc>
          <w:tcPr>
            <w:tcW w:w="500" w:type="pct"/>
            <w:vAlign w:val="center"/>
          </w:tcPr>
          <w:p w14:paraId="22500FE5">
            <w:pPr>
              <w:snapToGrid/>
              <w:spacing w:after="0"/>
              <w:jc w:val="center"/>
              <w:rPr>
                <w:rFonts w:ascii="Times New Roman" w:hAnsi="Times New Roman" w:eastAsia="宋体"/>
                <w:sz w:val="21"/>
                <w:szCs w:val="21"/>
              </w:rPr>
            </w:pPr>
            <w:r>
              <w:rPr>
                <w:rFonts w:ascii="Times New Roman" w:hAnsi="Times New Roman" w:eastAsia="宋体"/>
                <w:sz w:val="21"/>
                <w:szCs w:val="21"/>
              </w:rPr>
              <w:t>450</w:t>
            </w:r>
          </w:p>
          <w:p w14:paraId="747E9B41">
            <w:pPr>
              <w:snapToGrid/>
              <w:spacing w:after="0"/>
              <w:jc w:val="center"/>
              <w:rPr>
                <w:rFonts w:ascii="Times New Roman" w:hAnsi="Times New Roman" w:eastAsia="宋体"/>
                <w:sz w:val="21"/>
                <w:szCs w:val="21"/>
              </w:rPr>
            </w:pPr>
            <w:r>
              <w:rPr>
                <w:rFonts w:ascii="Times New Roman" w:hAnsi="Times New Roman" w:eastAsia="宋体"/>
                <w:sz w:val="21"/>
                <w:szCs w:val="21"/>
              </w:rPr>
              <w:t>人</w:t>
            </w:r>
          </w:p>
        </w:tc>
        <w:tc>
          <w:tcPr>
            <w:tcW w:w="429" w:type="pct"/>
            <w:vAlign w:val="center"/>
          </w:tcPr>
          <w:p w14:paraId="38170F5D">
            <w:pPr>
              <w:snapToGrid/>
              <w:spacing w:after="0"/>
              <w:jc w:val="center"/>
              <w:rPr>
                <w:rFonts w:ascii="Times New Roman" w:hAnsi="Times New Roman" w:eastAsia="宋体"/>
                <w:sz w:val="21"/>
                <w:szCs w:val="21"/>
              </w:rPr>
            </w:pPr>
            <w:r>
              <w:rPr>
                <w:rFonts w:ascii="Times New Roman" w:hAnsi="Times New Roman" w:eastAsia="宋体"/>
                <w:sz w:val="21"/>
                <w:szCs w:val="21"/>
              </w:rPr>
              <w:t>900</w:t>
            </w:r>
          </w:p>
          <w:p w14:paraId="67B53B46">
            <w:pPr>
              <w:snapToGrid/>
              <w:spacing w:after="0"/>
              <w:jc w:val="center"/>
              <w:rPr>
                <w:rFonts w:ascii="Times New Roman" w:hAnsi="Times New Roman" w:eastAsia="宋体"/>
                <w:sz w:val="21"/>
                <w:szCs w:val="21"/>
              </w:rPr>
            </w:pPr>
            <w:r>
              <w:rPr>
                <w:rFonts w:ascii="Times New Roman" w:hAnsi="Times New Roman" w:eastAsia="宋体"/>
                <w:sz w:val="21"/>
                <w:szCs w:val="21"/>
              </w:rPr>
              <w:t>人</w:t>
            </w:r>
          </w:p>
        </w:tc>
        <w:tc>
          <w:tcPr>
            <w:tcW w:w="500" w:type="pct"/>
            <w:shd w:val="clear" w:color="auto" w:fill="auto"/>
            <w:vAlign w:val="center"/>
          </w:tcPr>
          <w:p w14:paraId="2EAFDA20">
            <w:pPr>
              <w:snapToGrid/>
              <w:spacing w:after="0"/>
              <w:jc w:val="center"/>
              <w:rPr>
                <w:rFonts w:ascii="Times New Roman" w:hAnsi="Times New Roman" w:eastAsia="宋体"/>
                <w:sz w:val="21"/>
                <w:szCs w:val="21"/>
              </w:rPr>
            </w:pPr>
          </w:p>
        </w:tc>
        <w:tc>
          <w:tcPr>
            <w:tcW w:w="497" w:type="pct"/>
            <w:shd w:val="clear" w:color="auto" w:fill="auto"/>
            <w:noWrap/>
            <w:vAlign w:val="center"/>
          </w:tcPr>
          <w:p w14:paraId="2B4FD478">
            <w:pPr>
              <w:snapToGrid/>
              <w:spacing w:after="0"/>
              <w:jc w:val="center"/>
              <w:rPr>
                <w:rFonts w:ascii="Times New Roman" w:hAnsi="Times New Roman" w:eastAsia="宋体"/>
                <w:sz w:val="21"/>
                <w:szCs w:val="21"/>
              </w:rPr>
            </w:pPr>
          </w:p>
        </w:tc>
        <w:tc>
          <w:tcPr>
            <w:tcW w:w="1290" w:type="pct"/>
            <w:shd w:val="clear" w:color="auto" w:fill="auto"/>
            <w:noWrap/>
            <w:vAlign w:val="center"/>
          </w:tcPr>
          <w:p w14:paraId="3096C714">
            <w:pPr>
              <w:snapToGrid/>
              <w:spacing w:after="0"/>
              <w:rPr>
                <w:rFonts w:ascii="Times New Roman" w:hAnsi="Times New Roman" w:eastAsia="宋体"/>
                <w:sz w:val="21"/>
                <w:szCs w:val="21"/>
              </w:rPr>
            </w:pPr>
            <w:r>
              <w:rPr>
                <w:rFonts w:ascii="Times New Roman" w:hAnsi="Times New Roman" w:eastAsia="宋体"/>
                <w:sz w:val="21"/>
                <w:szCs w:val="21"/>
              </w:rPr>
              <w:t>1.线上报名缴费</w:t>
            </w:r>
          </w:p>
        </w:tc>
      </w:tr>
      <w:tr w14:paraId="1351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6" w:type="pct"/>
            <w:shd w:val="clear" w:color="auto" w:fill="auto"/>
            <w:vAlign w:val="center"/>
          </w:tcPr>
          <w:p w14:paraId="3639E0D1">
            <w:pPr>
              <w:snapToGrid/>
              <w:spacing w:after="0"/>
              <w:jc w:val="both"/>
              <w:rPr>
                <w:rFonts w:ascii="Times New Roman" w:hAnsi="Times New Roman" w:eastAsia="宋体"/>
                <w:sz w:val="21"/>
                <w:szCs w:val="21"/>
              </w:rPr>
            </w:pPr>
            <w:r>
              <w:rPr>
                <w:rFonts w:ascii="Times New Roman" w:hAnsi="Times New Roman" w:eastAsia="宋体"/>
                <w:sz w:val="21"/>
                <w:szCs w:val="21"/>
              </w:rPr>
              <w:t>出差人员</w:t>
            </w:r>
          </w:p>
        </w:tc>
        <w:tc>
          <w:tcPr>
            <w:tcW w:w="608" w:type="pct"/>
            <w:shd w:val="clear" w:color="auto" w:fill="auto"/>
            <w:vAlign w:val="center"/>
          </w:tcPr>
          <w:p w14:paraId="65727117">
            <w:pPr>
              <w:snapToGrid/>
              <w:spacing w:after="0"/>
              <w:jc w:val="center"/>
              <w:rPr>
                <w:rFonts w:ascii="Times New Roman" w:hAnsi="Times New Roman" w:eastAsia="宋体"/>
                <w:sz w:val="21"/>
                <w:szCs w:val="21"/>
              </w:rPr>
            </w:pPr>
            <w:r>
              <w:rPr>
                <w:rFonts w:ascii="Times New Roman" w:hAnsi="Times New Roman" w:eastAsia="宋体"/>
                <w:sz w:val="21"/>
                <w:szCs w:val="21"/>
              </w:rPr>
              <w:t>驻场服务</w:t>
            </w:r>
          </w:p>
        </w:tc>
        <w:tc>
          <w:tcPr>
            <w:tcW w:w="500" w:type="pct"/>
            <w:shd w:val="clear" w:color="auto" w:fill="auto"/>
            <w:vAlign w:val="center"/>
          </w:tcPr>
          <w:p w14:paraId="72695DEA">
            <w:pPr>
              <w:snapToGrid/>
              <w:spacing w:after="0"/>
              <w:jc w:val="center"/>
              <w:rPr>
                <w:rFonts w:ascii="Times New Roman" w:hAnsi="Times New Roman" w:eastAsia="宋体"/>
                <w:sz w:val="21"/>
                <w:szCs w:val="21"/>
              </w:rPr>
            </w:pPr>
            <w:r>
              <w:rPr>
                <w:rFonts w:ascii="Times New Roman" w:hAnsi="Times New Roman" w:eastAsia="宋体"/>
                <w:sz w:val="21"/>
                <w:szCs w:val="21"/>
              </w:rPr>
              <w:t>3</w:t>
            </w:r>
          </w:p>
          <w:p w14:paraId="4F44BCB0">
            <w:pPr>
              <w:snapToGrid/>
              <w:spacing w:after="0"/>
              <w:jc w:val="center"/>
              <w:rPr>
                <w:rFonts w:ascii="Times New Roman" w:hAnsi="Times New Roman" w:eastAsia="宋体"/>
                <w:sz w:val="21"/>
                <w:szCs w:val="21"/>
              </w:rPr>
            </w:pPr>
            <w:r>
              <w:rPr>
                <w:rFonts w:ascii="Times New Roman" w:hAnsi="Times New Roman" w:eastAsia="宋体"/>
                <w:sz w:val="21"/>
                <w:szCs w:val="21"/>
              </w:rPr>
              <w:t>人*天</w:t>
            </w:r>
          </w:p>
        </w:tc>
        <w:tc>
          <w:tcPr>
            <w:tcW w:w="500" w:type="pct"/>
            <w:vAlign w:val="center"/>
          </w:tcPr>
          <w:p w14:paraId="1B078E52">
            <w:pPr>
              <w:snapToGrid/>
              <w:spacing w:after="0"/>
              <w:jc w:val="center"/>
              <w:rPr>
                <w:rFonts w:ascii="Times New Roman" w:hAnsi="Times New Roman" w:eastAsia="宋体"/>
                <w:sz w:val="21"/>
                <w:szCs w:val="21"/>
              </w:rPr>
            </w:pPr>
            <w:r>
              <w:rPr>
                <w:rFonts w:ascii="Times New Roman" w:hAnsi="Times New Roman" w:eastAsia="宋体"/>
                <w:sz w:val="21"/>
                <w:szCs w:val="21"/>
              </w:rPr>
              <w:t>3</w:t>
            </w:r>
          </w:p>
          <w:p w14:paraId="0BEBA63A">
            <w:pPr>
              <w:snapToGrid/>
              <w:spacing w:after="0"/>
              <w:jc w:val="center"/>
              <w:rPr>
                <w:rFonts w:ascii="Times New Roman" w:hAnsi="Times New Roman" w:eastAsia="宋体"/>
                <w:sz w:val="21"/>
                <w:szCs w:val="21"/>
              </w:rPr>
            </w:pPr>
            <w:r>
              <w:rPr>
                <w:rFonts w:ascii="Times New Roman" w:hAnsi="Times New Roman" w:eastAsia="宋体"/>
                <w:sz w:val="21"/>
                <w:szCs w:val="21"/>
              </w:rPr>
              <w:t>人*天</w:t>
            </w:r>
          </w:p>
        </w:tc>
        <w:tc>
          <w:tcPr>
            <w:tcW w:w="429" w:type="pct"/>
            <w:vAlign w:val="center"/>
          </w:tcPr>
          <w:p w14:paraId="6A54A8A7">
            <w:pPr>
              <w:snapToGrid/>
              <w:spacing w:after="0"/>
              <w:jc w:val="center"/>
              <w:rPr>
                <w:rFonts w:ascii="Times New Roman" w:hAnsi="Times New Roman" w:eastAsia="宋体"/>
                <w:sz w:val="21"/>
                <w:szCs w:val="21"/>
              </w:rPr>
            </w:pPr>
            <w:r>
              <w:rPr>
                <w:rFonts w:ascii="Times New Roman" w:hAnsi="Times New Roman" w:eastAsia="宋体"/>
                <w:sz w:val="21"/>
                <w:szCs w:val="21"/>
              </w:rPr>
              <w:t>6</w:t>
            </w:r>
          </w:p>
          <w:p w14:paraId="4CD7079A">
            <w:pPr>
              <w:snapToGrid/>
              <w:spacing w:after="0"/>
              <w:jc w:val="center"/>
              <w:rPr>
                <w:rFonts w:ascii="Times New Roman" w:hAnsi="Times New Roman" w:eastAsia="宋体"/>
                <w:sz w:val="21"/>
                <w:szCs w:val="21"/>
              </w:rPr>
            </w:pPr>
            <w:r>
              <w:rPr>
                <w:rFonts w:ascii="Times New Roman" w:hAnsi="Times New Roman" w:eastAsia="宋体"/>
                <w:sz w:val="21"/>
                <w:szCs w:val="21"/>
              </w:rPr>
              <w:t>人*天</w:t>
            </w:r>
          </w:p>
        </w:tc>
        <w:tc>
          <w:tcPr>
            <w:tcW w:w="500" w:type="pct"/>
            <w:shd w:val="clear" w:color="auto" w:fill="auto"/>
            <w:vAlign w:val="center"/>
          </w:tcPr>
          <w:p w14:paraId="704B7F3A">
            <w:pPr>
              <w:snapToGrid/>
              <w:spacing w:after="0"/>
              <w:jc w:val="center"/>
              <w:rPr>
                <w:rFonts w:ascii="Times New Roman" w:hAnsi="Times New Roman" w:eastAsia="宋体"/>
                <w:sz w:val="21"/>
                <w:szCs w:val="21"/>
              </w:rPr>
            </w:pPr>
          </w:p>
        </w:tc>
        <w:tc>
          <w:tcPr>
            <w:tcW w:w="497" w:type="pct"/>
            <w:shd w:val="clear" w:color="auto" w:fill="auto"/>
            <w:noWrap/>
            <w:vAlign w:val="center"/>
          </w:tcPr>
          <w:p w14:paraId="1B5CBD92">
            <w:pPr>
              <w:snapToGrid/>
              <w:spacing w:after="0"/>
              <w:jc w:val="center"/>
              <w:rPr>
                <w:rFonts w:ascii="Times New Roman" w:hAnsi="Times New Roman" w:eastAsia="宋体"/>
                <w:sz w:val="21"/>
                <w:szCs w:val="21"/>
              </w:rPr>
            </w:pPr>
          </w:p>
        </w:tc>
        <w:tc>
          <w:tcPr>
            <w:tcW w:w="1290" w:type="pct"/>
            <w:shd w:val="clear" w:color="auto" w:fill="auto"/>
            <w:vAlign w:val="center"/>
          </w:tcPr>
          <w:p w14:paraId="4FE15A49">
            <w:pPr>
              <w:snapToGrid/>
              <w:spacing w:after="0"/>
              <w:rPr>
                <w:rFonts w:ascii="Times New Roman" w:hAnsi="Times New Roman" w:eastAsia="宋体"/>
                <w:sz w:val="21"/>
                <w:szCs w:val="21"/>
              </w:rPr>
            </w:pPr>
            <w:r>
              <w:rPr>
                <w:rFonts w:ascii="Times New Roman" w:hAnsi="Times New Roman" w:eastAsia="宋体"/>
                <w:sz w:val="21"/>
                <w:szCs w:val="21"/>
              </w:rPr>
              <w:t>1.现场技术服务</w:t>
            </w:r>
            <w:r>
              <w:rPr>
                <w:rFonts w:hint="eastAsia" w:ascii="Times New Roman" w:hAnsi="Times New Roman" w:eastAsia="宋体"/>
                <w:sz w:val="21"/>
                <w:szCs w:val="21"/>
              </w:rPr>
              <w:t>，学校指定工作地点</w:t>
            </w:r>
          </w:p>
        </w:tc>
      </w:tr>
      <w:tr w14:paraId="272B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13" w:type="pct"/>
            <w:gridSpan w:val="6"/>
            <w:shd w:val="clear" w:color="auto" w:fill="auto"/>
            <w:noWrap/>
            <w:vAlign w:val="center"/>
          </w:tcPr>
          <w:p w14:paraId="3B332388">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合计</w:t>
            </w:r>
          </w:p>
        </w:tc>
        <w:tc>
          <w:tcPr>
            <w:tcW w:w="497" w:type="pct"/>
            <w:shd w:val="clear" w:color="auto" w:fill="auto"/>
            <w:noWrap/>
            <w:vAlign w:val="center"/>
          </w:tcPr>
          <w:p w14:paraId="33E6DD0B">
            <w:pPr>
              <w:snapToGrid/>
              <w:spacing w:after="0"/>
              <w:jc w:val="center"/>
              <w:rPr>
                <w:rFonts w:ascii="Times New Roman" w:hAnsi="Times New Roman" w:eastAsia="宋体"/>
                <w:b/>
                <w:bCs/>
                <w:sz w:val="21"/>
                <w:szCs w:val="21"/>
              </w:rPr>
            </w:pPr>
          </w:p>
        </w:tc>
        <w:tc>
          <w:tcPr>
            <w:tcW w:w="1290" w:type="pct"/>
            <w:shd w:val="clear" w:color="auto" w:fill="auto"/>
            <w:noWrap/>
            <w:vAlign w:val="center"/>
          </w:tcPr>
          <w:p w14:paraId="3ABAB129">
            <w:pPr>
              <w:snapToGrid/>
              <w:spacing w:after="0"/>
              <w:rPr>
                <w:rFonts w:ascii="Times New Roman" w:hAnsi="Times New Roman" w:eastAsia="宋体"/>
                <w:b/>
                <w:bCs/>
                <w:sz w:val="21"/>
                <w:szCs w:val="21"/>
              </w:rPr>
            </w:pPr>
          </w:p>
        </w:tc>
      </w:tr>
    </w:tbl>
    <w:p w14:paraId="3F818573">
      <w:pPr>
        <w:pStyle w:val="10"/>
        <w:spacing w:before="163" w:beforeLines="50" w:line="360" w:lineRule="auto"/>
        <w:ind w:firstLine="0" w:firstLineChars="0"/>
        <w:jc w:val="both"/>
        <w:rPr>
          <w:rFonts w:hint="eastAsia" w:ascii="宋体" w:hAnsi="宋体" w:eastAsia="宋体" w:cs="宋体"/>
          <w:sz w:val="24"/>
          <w:lang w:eastAsia="zh-CN"/>
        </w:rPr>
      </w:pPr>
      <w:r>
        <w:rPr>
          <w:rFonts w:hint="eastAsia" w:ascii="宋体" w:hAnsi="宋体" w:eastAsia="宋体" w:cs="宋体"/>
          <w:sz w:val="24"/>
          <w:lang w:eastAsia="zh-CN"/>
        </w:rPr>
        <w:t>说明：1. 表中的人数为预计人数，根据2025年相关考试数据进行预测，具体以各年度实际人数为准；2. 其他涉及本科的少量线上考试，若有（如港澳台联招专业考试，台湾学测专业考试等），参照校考单价进行合并结算，不另行结算。</w:t>
      </w:r>
    </w:p>
    <w:p w14:paraId="66E957B4">
      <w:pPr>
        <w:pStyle w:val="10"/>
        <w:ind w:firstLine="0" w:firstLineChars="0"/>
        <w:rPr>
          <w:rFonts w:hint="eastAsia" w:ascii="宋体" w:hAnsi="宋体" w:eastAsia="宋体" w:cs="宋体"/>
          <w:b/>
          <w:bCs/>
          <w:sz w:val="24"/>
          <w:lang w:eastAsia="zh-CN"/>
        </w:rPr>
      </w:pPr>
      <w:r>
        <w:rPr>
          <w:rFonts w:hint="eastAsia" w:ascii="宋体" w:hAnsi="宋体" w:eastAsia="宋体" w:cs="宋体"/>
          <w:b/>
          <w:bCs/>
          <w:sz w:val="24"/>
          <w:lang w:eastAsia="zh-CN"/>
        </w:rPr>
        <w:t>（二）硕士研究生招生考试调剂复试</w:t>
      </w:r>
    </w:p>
    <w:tbl>
      <w:tblPr>
        <w:tblStyle w:val="12"/>
        <w:tblW w:w="53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459"/>
        <w:gridCol w:w="1445"/>
        <w:gridCol w:w="1163"/>
        <w:gridCol w:w="1159"/>
        <w:gridCol w:w="3203"/>
      </w:tblGrid>
      <w:tr w14:paraId="7420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95" w:type="pct"/>
            <w:shd w:val="clear" w:color="auto" w:fill="auto"/>
            <w:vAlign w:val="center"/>
          </w:tcPr>
          <w:p w14:paraId="20D686CF">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类型/项目</w:t>
            </w:r>
          </w:p>
        </w:tc>
        <w:tc>
          <w:tcPr>
            <w:tcW w:w="728" w:type="pct"/>
            <w:shd w:val="clear" w:color="auto" w:fill="auto"/>
            <w:vAlign w:val="center"/>
          </w:tcPr>
          <w:p w14:paraId="60FE74AF">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专业/名称</w:t>
            </w:r>
          </w:p>
        </w:tc>
        <w:tc>
          <w:tcPr>
            <w:tcW w:w="721" w:type="pct"/>
            <w:shd w:val="clear" w:color="auto" w:fill="auto"/>
            <w:noWrap/>
            <w:vAlign w:val="center"/>
          </w:tcPr>
          <w:p w14:paraId="1CCF5457">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2026年</w:t>
            </w:r>
          </w:p>
          <w:p w14:paraId="58E33D42">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预计规模</w:t>
            </w:r>
          </w:p>
        </w:tc>
        <w:tc>
          <w:tcPr>
            <w:tcW w:w="580" w:type="pct"/>
            <w:shd w:val="clear" w:color="auto" w:fill="auto"/>
            <w:vAlign w:val="center"/>
          </w:tcPr>
          <w:p w14:paraId="20B1FAE6">
            <w:pPr>
              <w:spacing w:after="0"/>
              <w:jc w:val="center"/>
              <w:rPr>
                <w:rFonts w:ascii="Times New Roman" w:hAnsi="Times New Roman" w:eastAsia="宋体"/>
                <w:b/>
                <w:bCs/>
                <w:sz w:val="21"/>
                <w:szCs w:val="21"/>
              </w:rPr>
            </w:pPr>
            <w:r>
              <w:rPr>
                <w:rFonts w:ascii="Times New Roman" w:hAnsi="Times New Roman" w:eastAsia="宋体"/>
                <w:b/>
                <w:bCs/>
                <w:sz w:val="21"/>
                <w:szCs w:val="21"/>
              </w:rPr>
              <w:t>单价（元）</w:t>
            </w:r>
          </w:p>
        </w:tc>
        <w:tc>
          <w:tcPr>
            <w:tcW w:w="578" w:type="pct"/>
            <w:shd w:val="clear" w:color="auto" w:fill="auto"/>
            <w:vAlign w:val="center"/>
          </w:tcPr>
          <w:p w14:paraId="66F30EF0">
            <w:pPr>
              <w:spacing w:after="0"/>
              <w:jc w:val="center"/>
              <w:rPr>
                <w:rFonts w:ascii="Times New Roman" w:hAnsi="Times New Roman" w:eastAsia="宋体"/>
                <w:b/>
                <w:bCs/>
                <w:sz w:val="21"/>
                <w:szCs w:val="21"/>
              </w:rPr>
            </w:pPr>
            <w:r>
              <w:rPr>
                <w:rFonts w:ascii="Times New Roman" w:hAnsi="Times New Roman" w:eastAsia="宋体"/>
                <w:b/>
                <w:bCs/>
                <w:sz w:val="21"/>
                <w:szCs w:val="21"/>
              </w:rPr>
              <w:t>小计（元）</w:t>
            </w:r>
          </w:p>
        </w:tc>
        <w:tc>
          <w:tcPr>
            <w:tcW w:w="1598" w:type="pct"/>
            <w:shd w:val="clear" w:color="auto" w:fill="auto"/>
            <w:vAlign w:val="center"/>
          </w:tcPr>
          <w:p w14:paraId="1590EEAC">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备注</w:t>
            </w:r>
          </w:p>
        </w:tc>
      </w:tr>
      <w:tr w14:paraId="134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pct"/>
            <w:shd w:val="clear" w:color="auto" w:fill="auto"/>
            <w:vAlign w:val="center"/>
          </w:tcPr>
          <w:p w14:paraId="30714D38">
            <w:pPr>
              <w:snapToGrid/>
              <w:spacing w:after="0"/>
              <w:jc w:val="center"/>
              <w:rPr>
                <w:rFonts w:ascii="Times New Roman" w:hAnsi="Times New Roman" w:eastAsia="宋体"/>
                <w:sz w:val="21"/>
                <w:szCs w:val="21"/>
              </w:rPr>
            </w:pPr>
            <w:r>
              <w:rPr>
                <w:rFonts w:ascii="Times New Roman" w:hAnsi="Times New Roman" w:eastAsia="宋体"/>
                <w:sz w:val="21"/>
                <w:szCs w:val="21"/>
              </w:rPr>
              <w:t>网络考试</w:t>
            </w:r>
          </w:p>
          <w:p w14:paraId="05AC2B7F">
            <w:pPr>
              <w:snapToGrid/>
              <w:spacing w:after="0"/>
              <w:jc w:val="center"/>
              <w:rPr>
                <w:rFonts w:ascii="Times New Roman" w:hAnsi="Times New Roman" w:eastAsia="宋体"/>
                <w:sz w:val="21"/>
                <w:szCs w:val="21"/>
              </w:rPr>
            </w:pPr>
            <w:r>
              <w:rPr>
                <w:rFonts w:ascii="Times New Roman" w:hAnsi="Times New Roman" w:eastAsia="宋体"/>
                <w:sz w:val="21"/>
                <w:szCs w:val="21"/>
              </w:rPr>
              <w:t>（提交视频）</w:t>
            </w:r>
          </w:p>
        </w:tc>
        <w:tc>
          <w:tcPr>
            <w:tcW w:w="728" w:type="pct"/>
            <w:shd w:val="clear" w:color="auto" w:fill="auto"/>
            <w:vAlign w:val="center"/>
          </w:tcPr>
          <w:p w14:paraId="390D6BEC">
            <w:pPr>
              <w:snapToGrid/>
              <w:spacing w:after="0"/>
              <w:jc w:val="center"/>
              <w:rPr>
                <w:rFonts w:ascii="Times New Roman" w:hAnsi="Times New Roman" w:eastAsia="宋体"/>
                <w:sz w:val="21"/>
                <w:szCs w:val="21"/>
              </w:rPr>
            </w:pPr>
            <w:r>
              <w:rPr>
                <w:rFonts w:ascii="Times New Roman" w:hAnsi="Times New Roman" w:eastAsia="宋体"/>
                <w:sz w:val="21"/>
                <w:szCs w:val="21"/>
              </w:rPr>
              <w:t>各专业方向</w:t>
            </w:r>
          </w:p>
        </w:tc>
        <w:tc>
          <w:tcPr>
            <w:tcW w:w="721" w:type="pct"/>
            <w:shd w:val="clear" w:color="auto" w:fill="auto"/>
            <w:vAlign w:val="center"/>
          </w:tcPr>
          <w:p w14:paraId="52F20CD5">
            <w:pPr>
              <w:snapToGrid/>
              <w:spacing w:after="0"/>
              <w:jc w:val="center"/>
              <w:rPr>
                <w:rFonts w:ascii="Times New Roman" w:hAnsi="Times New Roman" w:eastAsia="宋体"/>
                <w:sz w:val="21"/>
                <w:szCs w:val="21"/>
              </w:rPr>
            </w:pPr>
            <w:r>
              <w:rPr>
                <w:rFonts w:ascii="Times New Roman" w:hAnsi="Times New Roman" w:eastAsia="宋体"/>
                <w:sz w:val="21"/>
                <w:szCs w:val="21"/>
              </w:rPr>
              <w:t xml:space="preserve">220人 </w:t>
            </w:r>
          </w:p>
        </w:tc>
        <w:tc>
          <w:tcPr>
            <w:tcW w:w="580" w:type="pct"/>
            <w:vMerge w:val="restart"/>
            <w:shd w:val="clear" w:color="auto" w:fill="auto"/>
            <w:vAlign w:val="center"/>
          </w:tcPr>
          <w:p w14:paraId="2AE327E3">
            <w:pPr>
              <w:snapToGrid/>
              <w:spacing w:after="0"/>
              <w:jc w:val="center"/>
              <w:rPr>
                <w:rFonts w:ascii="Times New Roman" w:hAnsi="Times New Roman" w:eastAsia="宋体"/>
                <w:sz w:val="21"/>
                <w:szCs w:val="21"/>
              </w:rPr>
            </w:pPr>
          </w:p>
        </w:tc>
        <w:tc>
          <w:tcPr>
            <w:tcW w:w="578" w:type="pct"/>
            <w:vMerge w:val="restart"/>
            <w:shd w:val="clear" w:color="auto" w:fill="auto"/>
            <w:noWrap/>
            <w:vAlign w:val="center"/>
          </w:tcPr>
          <w:p w14:paraId="677E0781">
            <w:pPr>
              <w:snapToGrid/>
              <w:spacing w:after="0"/>
              <w:jc w:val="center"/>
              <w:rPr>
                <w:rFonts w:ascii="Times New Roman" w:hAnsi="Times New Roman" w:eastAsia="宋体"/>
                <w:sz w:val="21"/>
                <w:szCs w:val="21"/>
              </w:rPr>
            </w:pPr>
          </w:p>
        </w:tc>
        <w:tc>
          <w:tcPr>
            <w:tcW w:w="1598" w:type="pct"/>
            <w:vMerge w:val="restart"/>
            <w:shd w:val="clear" w:color="auto" w:fill="auto"/>
            <w:vAlign w:val="center"/>
          </w:tcPr>
          <w:p w14:paraId="68F2CA1C">
            <w:pPr>
              <w:snapToGrid/>
              <w:spacing w:after="0"/>
              <w:rPr>
                <w:rFonts w:ascii="Times New Roman" w:hAnsi="Times New Roman" w:eastAsia="宋体"/>
                <w:sz w:val="21"/>
                <w:szCs w:val="21"/>
              </w:rPr>
            </w:pPr>
            <w:r>
              <w:rPr>
                <w:rFonts w:ascii="Times New Roman" w:hAnsi="Times New Roman" w:eastAsia="宋体"/>
                <w:sz w:val="21"/>
                <w:szCs w:val="21"/>
              </w:rPr>
              <w:t>1.线上考试，提交视频、实时监考、直播面试三种类型</w:t>
            </w:r>
          </w:p>
          <w:p w14:paraId="454083BD">
            <w:pPr>
              <w:spacing w:after="0"/>
              <w:rPr>
                <w:rFonts w:ascii="Times New Roman" w:hAnsi="Times New Roman" w:eastAsia="宋体"/>
                <w:sz w:val="21"/>
                <w:szCs w:val="21"/>
              </w:rPr>
            </w:pPr>
            <w:r>
              <w:rPr>
                <w:rFonts w:ascii="Times New Roman" w:hAnsi="Times New Roman" w:eastAsia="宋体"/>
                <w:sz w:val="21"/>
                <w:szCs w:val="21"/>
              </w:rPr>
              <w:t>2.线上评分，视频评分，图片评分两种类型</w:t>
            </w:r>
          </w:p>
          <w:p w14:paraId="570AD542">
            <w:pPr>
              <w:spacing w:after="0"/>
              <w:rPr>
                <w:rFonts w:ascii="Times New Roman" w:hAnsi="Times New Roman" w:eastAsia="宋体"/>
                <w:sz w:val="21"/>
                <w:szCs w:val="21"/>
              </w:rPr>
            </w:pPr>
            <w:r>
              <w:rPr>
                <w:rFonts w:ascii="Times New Roman" w:hAnsi="Times New Roman" w:eastAsia="宋体"/>
                <w:sz w:val="21"/>
                <w:szCs w:val="21"/>
              </w:rPr>
              <w:t>3.驻场人员根据需要提供现场技术服务</w:t>
            </w:r>
            <w:r>
              <w:rPr>
                <w:rFonts w:hint="eastAsia" w:ascii="Times New Roman" w:hAnsi="Times New Roman" w:eastAsia="宋体"/>
                <w:sz w:val="21"/>
                <w:szCs w:val="21"/>
              </w:rPr>
              <w:t>，学校指定工作地点。</w:t>
            </w:r>
          </w:p>
          <w:p w14:paraId="55A41885">
            <w:pPr>
              <w:spacing w:after="0"/>
              <w:rPr>
                <w:rFonts w:ascii="Times New Roman" w:hAnsi="Times New Roman" w:eastAsia="宋体"/>
                <w:sz w:val="21"/>
                <w:szCs w:val="21"/>
              </w:rPr>
            </w:pPr>
            <w:r>
              <w:rPr>
                <w:rFonts w:ascii="Times New Roman" w:hAnsi="Times New Roman" w:eastAsia="宋体"/>
                <w:sz w:val="21"/>
                <w:szCs w:val="21"/>
              </w:rPr>
              <w:t>4.报价为一口价</w:t>
            </w:r>
          </w:p>
        </w:tc>
      </w:tr>
      <w:tr w14:paraId="146F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pct"/>
            <w:shd w:val="clear" w:color="auto" w:fill="auto"/>
            <w:vAlign w:val="center"/>
          </w:tcPr>
          <w:p w14:paraId="22454D28">
            <w:pPr>
              <w:snapToGrid/>
              <w:spacing w:after="0"/>
              <w:jc w:val="center"/>
              <w:rPr>
                <w:rFonts w:ascii="Times New Roman" w:hAnsi="Times New Roman" w:eastAsia="宋体"/>
                <w:sz w:val="21"/>
                <w:szCs w:val="21"/>
              </w:rPr>
            </w:pPr>
            <w:r>
              <w:rPr>
                <w:rFonts w:ascii="Times New Roman" w:hAnsi="Times New Roman" w:eastAsia="宋体"/>
                <w:sz w:val="21"/>
                <w:szCs w:val="21"/>
              </w:rPr>
              <w:t>网络考试</w:t>
            </w:r>
          </w:p>
          <w:p w14:paraId="57ADCCA6">
            <w:pPr>
              <w:snapToGrid/>
              <w:spacing w:after="0"/>
              <w:jc w:val="center"/>
              <w:rPr>
                <w:rFonts w:ascii="Times New Roman" w:hAnsi="Times New Roman" w:eastAsia="宋体"/>
                <w:sz w:val="21"/>
                <w:szCs w:val="21"/>
              </w:rPr>
            </w:pPr>
            <w:r>
              <w:rPr>
                <w:rFonts w:ascii="Times New Roman" w:hAnsi="Times New Roman" w:eastAsia="宋体"/>
                <w:sz w:val="21"/>
                <w:szCs w:val="21"/>
              </w:rPr>
              <w:t>（实时监考）</w:t>
            </w:r>
          </w:p>
        </w:tc>
        <w:tc>
          <w:tcPr>
            <w:tcW w:w="728" w:type="pct"/>
            <w:shd w:val="clear" w:color="auto" w:fill="auto"/>
            <w:vAlign w:val="center"/>
          </w:tcPr>
          <w:p w14:paraId="4190E355">
            <w:pPr>
              <w:snapToGrid/>
              <w:spacing w:after="0"/>
              <w:jc w:val="center"/>
              <w:rPr>
                <w:rFonts w:ascii="Times New Roman" w:hAnsi="Times New Roman" w:eastAsia="宋体"/>
                <w:sz w:val="21"/>
                <w:szCs w:val="21"/>
              </w:rPr>
            </w:pPr>
            <w:r>
              <w:rPr>
                <w:rFonts w:ascii="Times New Roman" w:hAnsi="Times New Roman" w:eastAsia="宋体"/>
                <w:sz w:val="21"/>
                <w:szCs w:val="21"/>
              </w:rPr>
              <w:t>各专业方向</w:t>
            </w:r>
          </w:p>
        </w:tc>
        <w:tc>
          <w:tcPr>
            <w:tcW w:w="721" w:type="pct"/>
            <w:shd w:val="clear" w:color="auto" w:fill="auto"/>
            <w:vAlign w:val="center"/>
          </w:tcPr>
          <w:p w14:paraId="6E6E0459">
            <w:pPr>
              <w:snapToGrid/>
              <w:spacing w:after="0"/>
              <w:jc w:val="center"/>
              <w:rPr>
                <w:rFonts w:ascii="Times New Roman" w:hAnsi="Times New Roman" w:eastAsia="宋体"/>
                <w:sz w:val="21"/>
                <w:szCs w:val="21"/>
              </w:rPr>
            </w:pPr>
            <w:r>
              <w:rPr>
                <w:rFonts w:ascii="Times New Roman" w:hAnsi="Times New Roman" w:eastAsia="宋体"/>
                <w:sz w:val="21"/>
                <w:szCs w:val="21"/>
              </w:rPr>
              <w:t>30 人</w:t>
            </w:r>
          </w:p>
        </w:tc>
        <w:tc>
          <w:tcPr>
            <w:tcW w:w="580" w:type="pct"/>
            <w:vMerge w:val="continue"/>
            <w:vAlign w:val="center"/>
          </w:tcPr>
          <w:p w14:paraId="0DA9CDAF">
            <w:pPr>
              <w:spacing w:after="0"/>
              <w:ind w:firstLine="440"/>
              <w:jc w:val="center"/>
              <w:rPr>
                <w:rFonts w:ascii="Times New Roman" w:hAnsi="Times New Roman" w:eastAsia="宋体"/>
                <w:sz w:val="21"/>
                <w:szCs w:val="21"/>
              </w:rPr>
            </w:pPr>
          </w:p>
        </w:tc>
        <w:tc>
          <w:tcPr>
            <w:tcW w:w="578" w:type="pct"/>
            <w:vMerge w:val="continue"/>
            <w:vAlign w:val="center"/>
          </w:tcPr>
          <w:p w14:paraId="46447616">
            <w:pPr>
              <w:spacing w:after="0"/>
              <w:ind w:firstLine="440"/>
              <w:jc w:val="center"/>
              <w:rPr>
                <w:rFonts w:ascii="Times New Roman" w:hAnsi="Times New Roman" w:eastAsia="宋体"/>
                <w:sz w:val="21"/>
                <w:szCs w:val="21"/>
              </w:rPr>
            </w:pPr>
          </w:p>
        </w:tc>
        <w:tc>
          <w:tcPr>
            <w:tcW w:w="1598" w:type="pct"/>
            <w:vMerge w:val="continue"/>
            <w:vAlign w:val="center"/>
          </w:tcPr>
          <w:p w14:paraId="4B72F6B8">
            <w:pPr>
              <w:spacing w:after="0"/>
              <w:rPr>
                <w:rFonts w:ascii="Times New Roman" w:hAnsi="Times New Roman" w:eastAsia="宋体"/>
                <w:sz w:val="21"/>
                <w:szCs w:val="21"/>
              </w:rPr>
            </w:pPr>
          </w:p>
        </w:tc>
      </w:tr>
      <w:tr w14:paraId="4333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pct"/>
            <w:shd w:val="clear" w:color="auto" w:fill="auto"/>
            <w:vAlign w:val="center"/>
          </w:tcPr>
          <w:p w14:paraId="1FBF6D40">
            <w:pPr>
              <w:snapToGrid/>
              <w:spacing w:after="0"/>
              <w:jc w:val="center"/>
              <w:rPr>
                <w:rFonts w:ascii="Times New Roman" w:hAnsi="Times New Roman" w:eastAsia="宋体"/>
                <w:sz w:val="21"/>
                <w:szCs w:val="21"/>
              </w:rPr>
            </w:pPr>
            <w:r>
              <w:rPr>
                <w:rFonts w:ascii="Times New Roman" w:hAnsi="Times New Roman" w:eastAsia="宋体"/>
                <w:sz w:val="21"/>
                <w:szCs w:val="21"/>
              </w:rPr>
              <w:t>网络考试</w:t>
            </w:r>
          </w:p>
          <w:p w14:paraId="0DCEE348">
            <w:pPr>
              <w:snapToGrid/>
              <w:spacing w:after="0"/>
              <w:jc w:val="center"/>
              <w:rPr>
                <w:rFonts w:ascii="Times New Roman" w:hAnsi="Times New Roman" w:eastAsia="宋体"/>
                <w:sz w:val="21"/>
                <w:szCs w:val="21"/>
              </w:rPr>
            </w:pPr>
            <w:r>
              <w:rPr>
                <w:rFonts w:ascii="Times New Roman" w:hAnsi="Times New Roman" w:eastAsia="宋体"/>
                <w:sz w:val="21"/>
                <w:szCs w:val="21"/>
              </w:rPr>
              <w:t>（直播面试）</w:t>
            </w:r>
          </w:p>
        </w:tc>
        <w:tc>
          <w:tcPr>
            <w:tcW w:w="728" w:type="pct"/>
            <w:shd w:val="clear" w:color="auto" w:fill="auto"/>
            <w:vAlign w:val="center"/>
          </w:tcPr>
          <w:p w14:paraId="54F1E904">
            <w:pPr>
              <w:snapToGrid/>
              <w:spacing w:after="0"/>
              <w:jc w:val="center"/>
              <w:rPr>
                <w:rFonts w:ascii="Times New Roman" w:hAnsi="Times New Roman" w:eastAsia="宋体"/>
                <w:sz w:val="21"/>
                <w:szCs w:val="21"/>
              </w:rPr>
            </w:pPr>
            <w:r>
              <w:rPr>
                <w:rFonts w:ascii="Times New Roman" w:hAnsi="Times New Roman" w:eastAsia="宋体"/>
                <w:sz w:val="21"/>
                <w:szCs w:val="21"/>
              </w:rPr>
              <w:t>英语、综合素质面试</w:t>
            </w:r>
          </w:p>
        </w:tc>
        <w:tc>
          <w:tcPr>
            <w:tcW w:w="721" w:type="pct"/>
            <w:shd w:val="clear" w:color="auto" w:fill="auto"/>
            <w:vAlign w:val="center"/>
          </w:tcPr>
          <w:p w14:paraId="5F853091">
            <w:pPr>
              <w:snapToGrid/>
              <w:spacing w:after="0"/>
              <w:jc w:val="center"/>
              <w:rPr>
                <w:rFonts w:ascii="Times New Roman" w:hAnsi="Times New Roman" w:eastAsia="宋体"/>
                <w:sz w:val="21"/>
                <w:szCs w:val="21"/>
              </w:rPr>
            </w:pPr>
            <w:r>
              <w:rPr>
                <w:rFonts w:ascii="Times New Roman" w:hAnsi="Times New Roman" w:eastAsia="宋体"/>
                <w:sz w:val="21"/>
                <w:szCs w:val="21"/>
              </w:rPr>
              <w:t>700人</w:t>
            </w:r>
          </w:p>
        </w:tc>
        <w:tc>
          <w:tcPr>
            <w:tcW w:w="580" w:type="pct"/>
            <w:vMerge w:val="continue"/>
            <w:vAlign w:val="center"/>
          </w:tcPr>
          <w:p w14:paraId="13A51D05">
            <w:pPr>
              <w:spacing w:after="0"/>
              <w:ind w:firstLine="440"/>
              <w:jc w:val="center"/>
              <w:rPr>
                <w:rFonts w:ascii="Times New Roman" w:hAnsi="Times New Roman" w:eastAsia="宋体"/>
                <w:sz w:val="21"/>
                <w:szCs w:val="21"/>
              </w:rPr>
            </w:pPr>
          </w:p>
        </w:tc>
        <w:tc>
          <w:tcPr>
            <w:tcW w:w="578" w:type="pct"/>
            <w:vMerge w:val="continue"/>
            <w:vAlign w:val="center"/>
          </w:tcPr>
          <w:p w14:paraId="40570356">
            <w:pPr>
              <w:spacing w:after="0"/>
              <w:ind w:firstLine="440"/>
              <w:jc w:val="center"/>
              <w:rPr>
                <w:rFonts w:ascii="Times New Roman" w:hAnsi="Times New Roman" w:eastAsia="宋体"/>
                <w:sz w:val="21"/>
                <w:szCs w:val="21"/>
              </w:rPr>
            </w:pPr>
          </w:p>
        </w:tc>
        <w:tc>
          <w:tcPr>
            <w:tcW w:w="1598" w:type="pct"/>
            <w:vMerge w:val="continue"/>
            <w:vAlign w:val="center"/>
          </w:tcPr>
          <w:p w14:paraId="6527CEC2">
            <w:pPr>
              <w:spacing w:after="0"/>
              <w:rPr>
                <w:rFonts w:ascii="Times New Roman" w:hAnsi="Times New Roman" w:eastAsia="宋体"/>
                <w:sz w:val="21"/>
                <w:szCs w:val="21"/>
              </w:rPr>
            </w:pPr>
          </w:p>
        </w:tc>
      </w:tr>
      <w:tr w14:paraId="2B92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pct"/>
            <w:shd w:val="clear" w:color="auto" w:fill="auto"/>
            <w:vAlign w:val="center"/>
          </w:tcPr>
          <w:p w14:paraId="38D13420">
            <w:pPr>
              <w:snapToGrid/>
              <w:spacing w:after="0"/>
              <w:jc w:val="center"/>
              <w:rPr>
                <w:rFonts w:ascii="Times New Roman" w:hAnsi="Times New Roman" w:eastAsia="宋体"/>
                <w:sz w:val="21"/>
                <w:szCs w:val="21"/>
              </w:rPr>
            </w:pPr>
            <w:r>
              <w:rPr>
                <w:rFonts w:ascii="Times New Roman" w:hAnsi="Times New Roman" w:eastAsia="宋体"/>
                <w:sz w:val="21"/>
                <w:szCs w:val="21"/>
              </w:rPr>
              <w:t>出差人员</w:t>
            </w:r>
          </w:p>
        </w:tc>
        <w:tc>
          <w:tcPr>
            <w:tcW w:w="728" w:type="pct"/>
            <w:shd w:val="clear" w:color="auto" w:fill="auto"/>
            <w:vAlign w:val="center"/>
          </w:tcPr>
          <w:p w14:paraId="4CC9899D">
            <w:pPr>
              <w:snapToGrid/>
              <w:spacing w:after="0"/>
              <w:jc w:val="center"/>
              <w:rPr>
                <w:rFonts w:ascii="Times New Roman" w:hAnsi="Times New Roman" w:eastAsia="宋体"/>
                <w:sz w:val="21"/>
                <w:szCs w:val="21"/>
              </w:rPr>
            </w:pPr>
            <w:r>
              <w:rPr>
                <w:rFonts w:ascii="Times New Roman" w:hAnsi="Times New Roman" w:eastAsia="宋体"/>
                <w:sz w:val="21"/>
                <w:szCs w:val="21"/>
              </w:rPr>
              <w:t>驻场服务</w:t>
            </w:r>
          </w:p>
        </w:tc>
        <w:tc>
          <w:tcPr>
            <w:tcW w:w="721" w:type="pct"/>
            <w:shd w:val="clear" w:color="auto" w:fill="auto"/>
            <w:vAlign w:val="center"/>
          </w:tcPr>
          <w:p w14:paraId="6AB12BA4">
            <w:pPr>
              <w:snapToGrid/>
              <w:spacing w:after="0"/>
              <w:jc w:val="center"/>
              <w:rPr>
                <w:rFonts w:ascii="Times New Roman" w:hAnsi="Times New Roman" w:eastAsia="宋体"/>
                <w:sz w:val="21"/>
                <w:szCs w:val="21"/>
              </w:rPr>
            </w:pPr>
            <w:r>
              <w:rPr>
                <w:rFonts w:ascii="Times New Roman" w:hAnsi="Times New Roman" w:eastAsia="宋体"/>
                <w:sz w:val="21"/>
                <w:szCs w:val="21"/>
              </w:rPr>
              <w:t>21（人*天）</w:t>
            </w:r>
          </w:p>
        </w:tc>
        <w:tc>
          <w:tcPr>
            <w:tcW w:w="580" w:type="pct"/>
            <w:vMerge w:val="continue"/>
            <w:shd w:val="clear" w:color="auto" w:fill="auto"/>
            <w:vAlign w:val="center"/>
          </w:tcPr>
          <w:p w14:paraId="29E42A17">
            <w:pPr>
              <w:snapToGrid/>
              <w:spacing w:after="0"/>
              <w:jc w:val="center"/>
              <w:rPr>
                <w:rFonts w:ascii="Times New Roman" w:hAnsi="Times New Roman" w:eastAsia="宋体"/>
                <w:sz w:val="21"/>
                <w:szCs w:val="21"/>
              </w:rPr>
            </w:pPr>
          </w:p>
        </w:tc>
        <w:tc>
          <w:tcPr>
            <w:tcW w:w="578" w:type="pct"/>
            <w:vMerge w:val="continue"/>
            <w:shd w:val="clear" w:color="auto" w:fill="auto"/>
            <w:noWrap/>
            <w:vAlign w:val="center"/>
          </w:tcPr>
          <w:p w14:paraId="312F8355">
            <w:pPr>
              <w:snapToGrid/>
              <w:spacing w:after="0"/>
              <w:jc w:val="center"/>
              <w:rPr>
                <w:rFonts w:ascii="Times New Roman" w:hAnsi="Times New Roman" w:eastAsia="宋体"/>
                <w:sz w:val="21"/>
                <w:szCs w:val="21"/>
              </w:rPr>
            </w:pPr>
          </w:p>
        </w:tc>
        <w:tc>
          <w:tcPr>
            <w:tcW w:w="1598" w:type="pct"/>
            <w:vMerge w:val="continue"/>
            <w:shd w:val="clear" w:color="auto" w:fill="auto"/>
            <w:noWrap/>
            <w:vAlign w:val="center"/>
          </w:tcPr>
          <w:p w14:paraId="06CE1898">
            <w:pPr>
              <w:snapToGrid/>
              <w:spacing w:after="0"/>
              <w:rPr>
                <w:rFonts w:ascii="Times New Roman" w:hAnsi="Times New Roman" w:eastAsia="宋体"/>
                <w:sz w:val="21"/>
                <w:szCs w:val="21"/>
              </w:rPr>
            </w:pPr>
          </w:p>
        </w:tc>
      </w:tr>
      <w:tr w14:paraId="1E39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24" w:type="pct"/>
            <w:gridSpan w:val="4"/>
            <w:shd w:val="clear" w:color="auto" w:fill="auto"/>
            <w:vAlign w:val="center"/>
          </w:tcPr>
          <w:p w14:paraId="202EA52E">
            <w:pPr>
              <w:snapToGrid/>
              <w:spacing w:after="0"/>
              <w:jc w:val="center"/>
              <w:rPr>
                <w:rFonts w:ascii="Times New Roman" w:hAnsi="Times New Roman" w:eastAsia="宋体"/>
                <w:b/>
                <w:bCs/>
                <w:sz w:val="21"/>
                <w:szCs w:val="21"/>
              </w:rPr>
            </w:pPr>
            <w:r>
              <w:rPr>
                <w:rFonts w:ascii="Times New Roman" w:hAnsi="Times New Roman" w:eastAsia="宋体"/>
                <w:b/>
                <w:bCs/>
                <w:sz w:val="21"/>
                <w:szCs w:val="21"/>
              </w:rPr>
              <w:t>合计</w:t>
            </w:r>
          </w:p>
        </w:tc>
        <w:tc>
          <w:tcPr>
            <w:tcW w:w="578" w:type="pct"/>
            <w:shd w:val="clear" w:color="auto" w:fill="auto"/>
            <w:noWrap/>
            <w:vAlign w:val="center"/>
          </w:tcPr>
          <w:p w14:paraId="38838704">
            <w:pPr>
              <w:snapToGrid/>
              <w:spacing w:after="0"/>
              <w:jc w:val="center"/>
              <w:rPr>
                <w:rFonts w:ascii="Times New Roman" w:hAnsi="Times New Roman" w:eastAsia="宋体"/>
                <w:b/>
                <w:bCs/>
                <w:sz w:val="21"/>
                <w:szCs w:val="21"/>
              </w:rPr>
            </w:pPr>
          </w:p>
        </w:tc>
        <w:tc>
          <w:tcPr>
            <w:tcW w:w="1598" w:type="pct"/>
            <w:shd w:val="clear" w:color="auto" w:fill="auto"/>
            <w:noWrap/>
            <w:vAlign w:val="center"/>
          </w:tcPr>
          <w:p w14:paraId="28DF6BDD">
            <w:pPr>
              <w:snapToGrid/>
              <w:spacing w:after="0"/>
              <w:jc w:val="center"/>
              <w:rPr>
                <w:rFonts w:ascii="Times New Roman" w:hAnsi="Times New Roman" w:eastAsia="宋体"/>
                <w:b/>
                <w:bCs/>
                <w:sz w:val="21"/>
                <w:szCs w:val="21"/>
              </w:rPr>
            </w:pPr>
          </w:p>
        </w:tc>
      </w:tr>
    </w:tbl>
    <w:p w14:paraId="26D753A9">
      <w:pPr>
        <w:pStyle w:val="10"/>
        <w:spacing w:before="163" w:beforeLines="50" w:line="360" w:lineRule="auto"/>
        <w:ind w:firstLine="0" w:firstLineChars="0"/>
        <w:rPr>
          <w:rFonts w:hint="eastAsia" w:ascii="宋体" w:hAnsi="宋体" w:eastAsia="宋体" w:cs="宋体"/>
          <w:sz w:val="24"/>
          <w:lang w:eastAsia="zh-CN"/>
        </w:rPr>
      </w:pPr>
      <w:r>
        <w:rPr>
          <w:rFonts w:hint="eastAsia" w:ascii="宋体" w:hAnsi="宋体" w:eastAsia="宋体" w:cs="宋体"/>
          <w:sz w:val="24"/>
          <w:lang w:eastAsia="zh-CN"/>
        </w:rPr>
        <w:t>说明：1. 表中人数为预计人数，根据2025年相关考试数据，结合2026年改革进行预测，具体以实际人数为准；2. 研究生调剂复试考试人数规模少，专业科目多，预算价格为包干价，不拆分专业进行测算。</w:t>
      </w:r>
    </w:p>
    <w:p w14:paraId="2DB13930">
      <w:pPr>
        <w:pStyle w:val="10"/>
        <w:ind w:firstLine="0" w:firstLineChars="0"/>
        <w:rPr>
          <w:rFonts w:hint="eastAsia" w:ascii="宋体" w:hAnsi="宋体" w:eastAsia="宋体" w:cs="宋体"/>
          <w:b/>
          <w:bCs/>
          <w:sz w:val="24"/>
          <w:lang w:eastAsia="zh-CN"/>
        </w:rPr>
      </w:pPr>
      <w:r>
        <w:rPr>
          <w:rFonts w:hint="eastAsia" w:ascii="宋体" w:hAnsi="宋体" w:eastAsia="宋体" w:cs="宋体"/>
          <w:b/>
          <w:bCs/>
          <w:sz w:val="24"/>
          <w:lang w:eastAsia="zh-CN"/>
        </w:rPr>
        <w:t>（三）报价总计</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2490"/>
        <w:gridCol w:w="2417"/>
        <w:gridCol w:w="2828"/>
      </w:tblGrid>
      <w:tr w14:paraId="4C69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5" w:type="dxa"/>
            <w:vAlign w:val="center"/>
          </w:tcPr>
          <w:p w14:paraId="02EBA229">
            <w:pPr>
              <w:pStyle w:val="10"/>
              <w:spacing w:after="0"/>
              <w:ind w:firstLine="0" w:firstLineChars="0"/>
              <w:jc w:val="center"/>
              <w:rPr>
                <w:rFonts w:hint="eastAsia" w:ascii="宋体" w:hAnsi="宋体" w:eastAsia="宋体" w:cs="宋体"/>
                <w:b/>
                <w:bCs/>
                <w:sz w:val="24"/>
                <w:lang w:eastAsia="zh-CN"/>
              </w:rPr>
            </w:pPr>
            <w:r>
              <w:rPr>
                <w:rFonts w:hint="eastAsia" w:ascii="宋体" w:hAnsi="宋体" w:eastAsia="宋体" w:cs="宋体"/>
                <w:b/>
                <w:bCs/>
                <w:sz w:val="24"/>
                <w:lang w:eastAsia="zh-CN"/>
              </w:rPr>
              <w:t>序号</w:t>
            </w:r>
          </w:p>
        </w:tc>
        <w:tc>
          <w:tcPr>
            <w:tcW w:w="2490" w:type="dxa"/>
            <w:vAlign w:val="center"/>
          </w:tcPr>
          <w:p w14:paraId="24B8A975">
            <w:pPr>
              <w:pStyle w:val="10"/>
              <w:spacing w:after="0"/>
              <w:ind w:firstLine="0" w:firstLineChars="0"/>
              <w:jc w:val="center"/>
              <w:rPr>
                <w:rFonts w:hint="eastAsia" w:ascii="宋体" w:hAnsi="宋体" w:eastAsia="宋体" w:cs="宋体"/>
                <w:b/>
                <w:bCs/>
                <w:sz w:val="24"/>
                <w:lang w:eastAsia="zh-CN"/>
              </w:rPr>
            </w:pPr>
            <w:r>
              <w:rPr>
                <w:rFonts w:hint="eastAsia" w:ascii="宋体" w:hAnsi="宋体" w:eastAsia="宋体" w:cs="宋体"/>
                <w:b/>
                <w:bCs/>
                <w:sz w:val="24"/>
                <w:lang w:eastAsia="zh-CN"/>
              </w:rPr>
              <w:t>项目</w:t>
            </w:r>
          </w:p>
        </w:tc>
        <w:tc>
          <w:tcPr>
            <w:tcW w:w="2417" w:type="dxa"/>
            <w:vAlign w:val="center"/>
          </w:tcPr>
          <w:p w14:paraId="5B49A793">
            <w:pPr>
              <w:pStyle w:val="10"/>
              <w:spacing w:after="0"/>
              <w:ind w:firstLine="0" w:firstLineChars="0"/>
              <w:jc w:val="center"/>
              <w:rPr>
                <w:rFonts w:hint="eastAsia" w:ascii="宋体" w:hAnsi="宋体" w:eastAsia="宋体" w:cs="宋体"/>
                <w:b/>
                <w:bCs/>
                <w:sz w:val="24"/>
                <w:lang w:eastAsia="zh-CN"/>
              </w:rPr>
            </w:pPr>
            <w:r>
              <w:rPr>
                <w:rFonts w:hint="eastAsia" w:ascii="宋体" w:hAnsi="宋体" w:eastAsia="宋体" w:cs="宋体"/>
                <w:b/>
                <w:bCs/>
                <w:sz w:val="24"/>
                <w:lang w:eastAsia="zh-CN"/>
              </w:rPr>
              <w:t>报价</w:t>
            </w:r>
          </w:p>
        </w:tc>
        <w:tc>
          <w:tcPr>
            <w:tcW w:w="2828" w:type="dxa"/>
            <w:vAlign w:val="center"/>
          </w:tcPr>
          <w:p w14:paraId="33AE9A7B">
            <w:pPr>
              <w:pStyle w:val="10"/>
              <w:spacing w:after="0"/>
              <w:ind w:firstLine="0" w:firstLineChars="0"/>
              <w:jc w:val="center"/>
              <w:rPr>
                <w:rFonts w:hint="eastAsia" w:ascii="宋体" w:hAnsi="宋体" w:eastAsia="宋体" w:cs="宋体"/>
                <w:b/>
                <w:bCs/>
                <w:sz w:val="24"/>
                <w:lang w:eastAsia="zh-CN"/>
              </w:rPr>
            </w:pPr>
            <w:r>
              <w:rPr>
                <w:rFonts w:hint="eastAsia" w:ascii="宋体" w:hAnsi="宋体" w:eastAsia="宋体" w:cs="宋体"/>
                <w:b/>
                <w:bCs/>
                <w:sz w:val="24"/>
                <w:lang w:eastAsia="zh-CN"/>
              </w:rPr>
              <w:t>备注</w:t>
            </w:r>
          </w:p>
        </w:tc>
      </w:tr>
      <w:tr w14:paraId="03FA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5" w:type="dxa"/>
            <w:vAlign w:val="center"/>
          </w:tcPr>
          <w:p w14:paraId="77EF06C7">
            <w:pPr>
              <w:pStyle w:val="10"/>
              <w:spacing w:after="0"/>
              <w:ind w:firstLine="0" w:firstLineChars="0"/>
              <w:jc w:val="center"/>
              <w:rPr>
                <w:rFonts w:hint="eastAsia" w:ascii="宋体" w:hAnsi="宋体" w:eastAsia="宋体" w:cs="宋体"/>
                <w:sz w:val="24"/>
                <w:lang w:eastAsia="zh-CN"/>
              </w:rPr>
            </w:pPr>
            <w:r>
              <w:rPr>
                <w:rFonts w:hint="eastAsia" w:ascii="宋体" w:hAnsi="宋体" w:eastAsia="宋体" w:cs="宋体"/>
                <w:sz w:val="24"/>
                <w:lang w:eastAsia="zh-CN"/>
              </w:rPr>
              <w:t>（一）</w:t>
            </w:r>
          </w:p>
        </w:tc>
        <w:tc>
          <w:tcPr>
            <w:tcW w:w="2490" w:type="dxa"/>
            <w:vAlign w:val="center"/>
          </w:tcPr>
          <w:p w14:paraId="27E3EF57">
            <w:pPr>
              <w:pStyle w:val="10"/>
              <w:spacing w:after="0"/>
              <w:ind w:firstLine="0" w:firstLineChars="0"/>
              <w:jc w:val="both"/>
              <w:rPr>
                <w:rFonts w:hint="eastAsia" w:ascii="宋体" w:hAnsi="宋体" w:eastAsia="宋体" w:cs="宋体"/>
                <w:sz w:val="24"/>
                <w:lang w:eastAsia="zh-CN"/>
              </w:rPr>
            </w:pPr>
            <w:r>
              <w:rPr>
                <w:rFonts w:hint="eastAsia" w:ascii="宋体" w:hAnsi="宋体" w:eastAsia="宋体" w:cs="宋体"/>
                <w:sz w:val="24"/>
                <w:lang w:eastAsia="zh-CN"/>
              </w:rPr>
              <w:t>本科、附校招生考试</w:t>
            </w:r>
          </w:p>
        </w:tc>
        <w:tc>
          <w:tcPr>
            <w:tcW w:w="2417" w:type="dxa"/>
            <w:vAlign w:val="center"/>
          </w:tcPr>
          <w:p w14:paraId="6E619792">
            <w:pPr>
              <w:pStyle w:val="10"/>
              <w:spacing w:after="0"/>
              <w:ind w:firstLine="0" w:firstLineChars="0"/>
              <w:jc w:val="center"/>
              <w:rPr>
                <w:rFonts w:hint="eastAsia" w:ascii="宋体" w:hAnsi="宋体" w:eastAsia="宋体" w:cs="宋体"/>
                <w:sz w:val="24"/>
                <w:lang w:eastAsia="zh-CN"/>
              </w:rPr>
            </w:pPr>
          </w:p>
        </w:tc>
        <w:tc>
          <w:tcPr>
            <w:tcW w:w="2828" w:type="dxa"/>
            <w:vAlign w:val="center"/>
          </w:tcPr>
          <w:p w14:paraId="3100BA5F">
            <w:pPr>
              <w:pStyle w:val="10"/>
              <w:spacing w:after="0"/>
              <w:ind w:firstLine="0" w:firstLineChars="0"/>
              <w:jc w:val="center"/>
              <w:rPr>
                <w:rFonts w:hint="eastAsia" w:ascii="宋体" w:hAnsi="宋体" w:eastAsia="宋体" w:cs="宋体"/>
                <w:sz w:val="24"/>
                <w:lang w:eastAsia="zh-CN"/>
              </w:rPr>
            </w:pPr>
            <w:r>
              <w:rPr>
                <w:rFonts w:hint="eastAsia" w:ascii="宋体" w:hAnsi="宋体" w:eastAsia="宋体" w:cs="宋体"/>
                <w:sz w:val="24"/>
                <w:lang w:eastAsia="zh-CN"/>
              </w:rPr>
              <w:t>为对应项目报价合计项</w:t>
            </w:r>
          </w:p>
        </w:tc>
      </w:tr>
      <w:tr w14:paraId="4DD3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25" w:type="dxa"/>
            <w:vAlign w:val="center"/>
          </w:tcPr>
          <w:p w14:paraId="3DC98807">
            <w:pPr>
              <w:pStyle w:val="10"/>
              <w:spacing w:after="0"/>
              <w:ind w:firstLine="0" w:firstLineChars="0"/>
              <w:jc w:val="center"/>
              <w:rPr>
                <w:rFonts w:hint="eastAsia" w:ascii="宋体" w:hAnsi="宋体" w:eastAsia="宋体" w:cs="宋体"/>
                <w:sz w:val="24"/>
                <w:lang w:eastAsia="zh-CN"/>
              </w:rPr>
            </w:pPr>
            <w:r>
              <w:rPr>
                <w:rFonts w:hint="eastAsia" w:ascii="宋体" w:hAnsi="宋体" w:eastAsia="宋体" w:cs="宋体"/>
                <w:sz w:val="24"/>
                <w:lang w:eastAsia="zh-CN"/>
              </w:rPr>
              <w:t>（二）</w:t>
            </w:r>
          </w:p>
        </w:tc>
        <w:tc>
          <w:tcPr>
            <w:tcW w:w="2490" w:type="dxa"/>
            <w:vAlign w:val="center"/>
          </w:tcPr>
          <w:p w14:paraId="77745785">
            <w:pPr>
              <w:pStyle w:val="10"/>
              <w:spacing w:after="0"/>
              <w:ind w:firstLine="0" w:firstLineChars="0"/>
              <w:jc w:val="both"/>
              <w:rPr>
                <w:rFonts w:hint="eastAsia" w:ascii="宋体" w:hAnsi="宋体" w:eastAsia="宋体" w:cs="宋体"/>
                <w:sz w:val="24"/>
                <w:lang w:eastAsia="zh-CN"/>
              </w:rPr>
            </w:pPr>
            <w:r>
              <w:rPr>
                <w:rFonts w:hint="eastAsia" w:ascii="宋体" w:hAnsi="宋体" w:eastAsia="宋体" w:cs="宋体"/>
                <w:sz w:val="24"/>
                <w:lang w:eastAsia="zh-CN"/>
              </w:rPr>
              <w:t>硕士研究生招生考试调剂复试</w:t>
            </w:r>
          </w:p>
        </w:tc>
        <w:tc>
          <w:tcPr>
            <w:tcW w:w="2417" w:type="dxa"/>
            <w:vAlign w:val="center"/>
          </w:tcPr>
          <w:p w14:paraId="454E877F">
            <w:pPr>
              <w:pStyle w:val="10"/>
              <w:spacing w:after="0"/>
              <w:ind w:firstLine="0" w:firstLineChars="0"/>
              <w:jc w:val="center"/>
              <w:rPr>
                <w:rFonts w:hint="eastAsia" w:ascii="宋体" w:hAnsi="宋体" w:eastAsia="宋体" w:cs="宋体"/>
                <w:sz w:val="24"/>
                <w:lang w:eastAsia="zh-CN"/>
              </w:rPr>
            </w:pPr>
          </w:p>
        </w:tc>
        <w:tc>
          <w:tcPr>
            <w:tcW w:w="2828" w:type="dxa"/>
            <w:vAlign w:val="center"/>
          </w:tcPr>
          <w:p w14:paraId="70B0E87A">
            <w:pPr>
              <w:pStyle w:val="10"/>
              <w:spacing w:after="0"/>
              <w:ind w:firstLine="0" w:firstLineChars="0"/>
              <w:jc w:val="center"/>
              <w:rPr>
                <w:rFonts w:hint="eastAsia" w:ascii="宋体" w:hAnsi="宋体" w:eastAsia="宋体" w:cs="宋体"/>
                <w:sz w:val="24"/>
                <w:lang w:eastAsia="zh-CN"/>
              </w:rPr>
            </w:pPr>
            <w:r>
              <w:rPr>
                <w:rFonts w:hint="eastAsia" w:ascii="宋体" w:hAnsi="宋体" w:eastAsia="宋体" w:cs="宋体"/>
                <w:sz w:val="24"/>
                <w:lang w:eastAsia="zh-CN"/>
              </w:rPr>
              <w:t>为对应项目报价合计项</w:t>
            </w:r>
          </w:p>
        </w:tc>
      </w:tr>
      <w:tr w14:paraId="39BB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815" w:type="dxa"/>
            <w:gridSpan w:val="2"/>
            <w:vAlign w:val="center"/>
          </w:tcPr>
          <w:p w14:paraId="47B85DDF">
            <w:pPr>
              <w:pStyle w:val="10"/>
              <w:spacing w:after="0"/>
              <w:ind w:firstLine="0" w:firstLineChars="0"/>
              <w:jc w:val="center"/>
              <w:rPr>
                <w:rFonts w:hint="eastAsia" w:ascii="宋体" w:hAnsi="宋体" w:eastAsia="宋体" w:cs="宋体"/>
                <w:b/>
                <w:bCs/>
                <w:sz w:val="24"/>
                <w:lang w:eastAsia="zh-CN"/>
              </w:rPr>
            </w:pPr>
            <w:r>
              <w:rPr>
                <w:rFonts w:hint="eastAsia" w:ascii="宋体" w:hAnsi="宋体" w:eastAsia="宋体" w:cs="宋体"/>
                <w:b/>
                <w:bCs/>
                <w:sz w:val="24"/>
                <w:lang w:eastAsia="zh-CN"/>
              </w:rPr>
              <w:t>报价总计</w:t>
            </w:r>
          </w:p>
        </w:tc>
        <w:tc>
          <w:tcPr>
            <w:tcW w:w="2417" w:type="dxa"/>
            <w:vAlign w:val="center"/>
          </w:tcPr>
          <w:p w14:paraId="06F62010">
            <w:pPr>
              <w:pStyle w:val="10"/>
              <w:spacing w:after="0"/>
              <w:ind w:firstLine="0" w:firstLineChars="0"/>
              <w:jc w:val="center"/>
              <w:rPr>
                <w:rFonts w:hint="eastAsia" w:ascii="宋体" w:hAnsi="宋体" w:eastAsia="宋体" w:cs="宋体"/>
                <w:b/>
                <w:bCs/>
                <w:sz w:val="24"/>
                <w:lang w:eastAsia="zh-CN"/>
              </w:rPr>
            </w:pPr>
          </w:p>
        </w:tc>
        <w:tc>
          <w:tcPr>
            <w:tcW w:w="2828" w:type="dxa"/>
            <w:vAlign w:val="center"/>
          </w:tcPr>
          <w:p w14:paraId="2B38B671">
            <w:pPr>
              <w:pStyle w:val="10"/>
              <w:spacing w:after="0"/>
              <w:ind w:firstLine="0" w:firstLineChars="0"/>
              <w:jc w:val="center"/>
              <w:rPr>
                <w:rFonts w:hint="eastAsia" w:ascii="宋体" w:hAnsi="宋体" w:eastAsia="宋体" w:cs="宋体"/>
                <w:b/>
                <w:bCs/>
                <w:sz w:val="24"/>
                <w:lang w:eastAsia="zh-CN"/>
              </w:rPr>
            </w:pPr>
          </w:p>
        </w:tc>
      </w:tr>
    </w:tbl>
    <w:p w14:paraId="77EBF221">
      <w:pPr>
        <w:pStyle w:val="10"/>
        <w:ind w:firstLine="0" w:firstLineChars="0"/>
        <w:rPr>
          <w:rFonts w:hint="eastAsia" w:ascii="宋体" w:hAnsi="宋体" w:eastAsia="宋体" w:cs="宋体"/>
          <w:sz w:val="24"/>
          <w:lang w:eastAsia="zh-CN"/>
        </w:rPr>
      </w:pPr>
    </w:p>
    <w:p w14:paraId="31B4C257">
      <w:pPr>
        <w:adjustRightInd/>
        <w:snapToGrid/>
        <w:spacing w:after="0"/>
        <w:rPr>
          <w:rFonts w:hint="eastAsia" w:ascii="宋体" w:hAnsi="宋体" w:eastAsia="宋体" w:cs="宋体"/>
          <w:color w:val="000000" w:themeColor="text1"/>
          <w:sz w:val="24"/>
          <w:szCs w:val="24"/>
          <w14:textFill>
            <w14:solidFill>
              <w14:schemeClr w14:val="tx1"/>
            </w14:solidFill>
          </w14:textFill>
        </w:rPr>
      </w:pPr>
    </w:p>
    <w:p w14:paraId="7E90623D">
      <w:pPr>
        <w:spacing w:after="0" w:line="360" w:lineRule="auto"/>
        <w:ind w:right="660" w:rightChars="300" w:firstLine="5280" w:firstLineChars="2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公司（盖章）：</w:t>
      </w:r>
    </w:p>
    <w:p w14:paraId="0415A7D0">
      <w:pPr>
        <w:spacing w:before="163" w:beforeLines="50" w:after="163" w:afterLines="5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时间：</w:t>
      </w:r>
    </w:p>
    <w:p w14:paraId="4DD38E89">
      <w:pPr>
        <w:spacing w:before="163" w:beforeLines="50" w:after="163" w:afterLines="50" w:line="360" w:lineRule="auto"/>
        <w:jc w:val="both"/>
        <w:rPr>
          <w:rFonts w:hint="eastAsia" w:ascii="宋体" w:hAnsi="宋体" w:eastAsia="宋体" w:cs="宋体"/>
          <w:color w:val="000000" w:themeColor="text1"/>
          <w:sz w:val="28"/>
          <w:szCs w:val="28"/>
          <w14:textFill>
            <w14:solidFill>
              <w14:schemeClr w14:val="tx1"/>
            </w14:solidFill>
          </w14:textFill>
        </w:rPr>
      </w:pPr>
    </w:p>
    <w:p w14:paraId="480FEB8C">
      <w:pPr>
        <w:adjustRightInd/>
        <w:snapToGrid/>
        <w:spacing w:after="0"/>
        <w:rPr>
          <w:rFonts w:hint="eastAsia"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br w:type="page"/>
      </w:r>
    </w:p>
    <w:p w14:paraId="25CC222B">
      <w:pPr>
        <w:pStyle w:val="10"/>
        <w:spacing w:before="163" w:beforeLines="50" w:after="163" w:afterLines="50"/>
        <w:ind w:firstLine="0" w:firstLineChars="0"/>
        <w:rPr>
          <w:rFonts w:hint="eastAsia" w:ascii="宋体" w:hAnsi="宋体" w:eastAsia="宋体" w:cs="宋体"/>
          <w:b/>
          <w:bCs/>
          <w:sz w:val="24"/>
          <w:lang w:eastAsia="zh-CN"/>
        </w:rPr>
      </w:pPr>
      <w:r>
        <w:rPr>
          <w:rFonts w:hint="eastAsia" w:ascii="宋体" w:hAnsi="宋体" w:eastAsia="宋体" w:cs="宋体"/>
          <w:b/>
          <w:bCs/>
          <w:sz w:val="24"/>
          <w:lang w:eastAsia="zh-CN"/>
        </w:rPr>
        <w:t>附件2：</w:t>
      </w:r>
    </w:p>
    <w:p w14:paraId="234789F7">
      <w:pPr>
        <w:spacing w:after="0" w:line="360" w:lineRule="auto"/>
        <w:jc w:val="center"/>
        <w:rPr>
          <w:b/>
          <w:bCs/>
        </w:rPr>
      </w:pPr>
      <w:r>
        <w:rPr>
          <w:rFonts w:hint="eastAsia" w:ascii="宋体" w:hAnsi="宋体" w:eastAsia="宋体" w:cs="宋体"/>
          <w:b/>
          <w:bCs/>
          <w:sz w:val="28"/>
          <w:szCs w:val="28"/>
        </w:rPr>
        <w:t>广西艺术学院2026年（本科、附校含2027年）线上招生考试业务专业技术服务采购需求</w:t>
      </w:r>
    </w:p>
    <w:p w14:paraId="0A848101">
      <w:pPr>
        <w:tabs>
          <w:tab w:val="left" w:leader="dot" w:pos="9060"/>
        </w:tabs>
        <w:spacing w:after="0" w:line="360" w:lineRule="auto"/>
        <w:jc w:val="both"/>
        <w:rPr>
          <w:rFonts w:hint="eastAsia" w:ascii="宋体" w:hAnsi="宋体" w:eastAsia="宋体"/>
          <w:b/>
          <w:bCs/>
          <w:sz w:val="24"/>
          <w:szCs w:val="24"/>
        </w:rPr>
      </w:pPr>
      <w:r>
        <w:rPr>
          <w:rFonts w:hint="eastAsia" w:ascii="宋体" w:hAnsi="宋体" w:eastAsia="宋体" w:cs="黑体"/>
          <w:b/>
          <w:bCs/>
          <w:sz w:val="24"/>
          <w:szCs w:val="24"/>
        </w:rPr>
        <w:t>一、专业技术服务采购目标</w:t>
      </w:r>
    </w:p>
    <w:p w14:paraId="1855C6A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我校艺术类本科专业音乐表演（演奏）经教育主管部门批准，可组织校考，面向全国及港澳台地区招生。2026年、2027年该专业拟继续组织校考招生。我校研究生招生方向齐全，考试科目多，每年在调剂过程中考生人数较多。附校招生每年需组织线上报名缴费。</w:t>
      </w:r>
    </w:p>
    <w:p w14:paraId="2DB2AC7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招生工作把好学生“入口关”，是学校实现内涵式发展的重要基础，也是学校各项工作中的重要环节。在招生过程中要确保报名、考试、评分等全过程的公平公正、安全有序。根据上级部门关于特殊类型招生政策和文件精神以及我校各类招生工作实际需要，校考报名、考试、评分，研究生调剂复试、评分，附校招生报名缴费将继续采用线上的形式进行。因此需采购一套成熟、稳定集报名、考试、评分于一体的专业技术服务平台。</w:t>
      </w:r>
    </w:p>
    <w:p w14:paraId="3A901D9D">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线上招生考试业务相关专业技术服务采购需实现以下目标：</w:t>
      </w:r>
    </w:p>
    <w:p w14:paraId="45CCE095">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1.平台包含报名服务，解决招生系统存在的硬件投入成本高、峰值网络带宽压力大、系统并发能力弱、系统维护技术难、售后服务响应慢等问题，更好地为广大考生提供便捷的报名和在线缴费服务。</w:t>
      </w:r>
    </w:p>
    <w:p w14:paraId="5FD09815">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2.平台包含线上考试服务，包括成熟的网络提交视频、网络实时监考和网络直播面试等考试形式。确保线上考试管理和过程规范化、标准化，形式多样化，严格防范线上考试作弊行为，切实提高考试质量。</w:t>
      </w:r>
    </w:p>
    <w:p w14:paraId="6067434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3.平台包含线上评分服务，包括成熟的视频评分、图片评分和面试评分等评分形式。实现考评分离和评分过程“三随机”，确保评分环节公平公正，安全有序。</w:t>
      </w:r>
    </w:p>
    <w:p w14:paraId="748DF3D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4.平台的服务项目为我校2026（本科、附校含2027年）组织的各类线上招生考试，服务内容如下：</w:t>
      </w:r>
    </w:p>
    <w:p w14:paraId="04D00CD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（1）本科专业校考，含线上报名缴费、线上考试、线上评分。</w:t>
      </w:r>
    </w:p>
    <w:p w14:paraId="3C88910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（2）研究生招生考试（复试），含线上缴费、考生资料收集、线上考试、线上评分。</w:t>
      </w:r>
    </w:p>
    <w:p w14:paraId="5E31ABD6">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（3）附属中等艺术学校招生网上报名缴费服务。</w:t>
      </w:r>
    </w:p>
    <w:p w14:paraId="329A2435">
      <w:pPr>
        <w:pStyle w:val="24"/>
        <w:spacing w:after="0" w:line="360" w:lineRule="auto"/>
        <w:ind w:firstLine="600"/>
        <w:jc w:val="both"/>
        <w:rPr>
          <w:rFonts w:hint="eastAsia" w:ascii="仿宋" w:hAnsi="仿宋" w:eastAsia="仿宋" w:cs="仿宋"/>
          <w:sz w:val="30"/>
          <w:szCs w:val="30"/>
        </w:rPr>
      </w:pPr>
      <w:r>
        <w:rPr>
          <w:rFonts w:hint="eastAsia" w:ascii="宋体" w:hAnsi="宋体" w:eastAsia="宋体" w:cs="仿宋"/>
          <w:sz w:val="24"/>
          <w:szCs w:val="24"/>
        </w:rPr>
        <w:t>（4）其他招生办公室负责组织的少量线上考试，如港澳台联招专业考试，台湾学测专业考试等。</w:t>
      </w:r>
    </w:p>
    <w:p w14:paraId="5E6BDB92">
      <w:pPr>
        <w:pStyle w:val="24"/>
        <w:spacing w:after="0" w:line="360" w:lineRule="auto"/>
        <w:ind w:firstLine="600"/>
        <w:jc w:val="both"/>
        <w:rPr>
          <w:rFonts w:hint="eastAsia" w:ascii="宋体" w:hAnsi="宋体" w:eastAsia="宋体" w:cs="仿宋"/>
          <w:b/>
          <w:bCs/>
          <w:sz w:val="24"/>
          <w:szCs w:val="24"/>
        </w:rPr>
      </w:pPr>
      <w:bookmarkStart w:id="1" w:name="_Toc29769"/>
      <w:bookmarkStart w:id="2" w:name="_Toc211526410"/>
      <w:r>
        <w:rPr>
          <w:rFonts w:hint="eastAsia" w:ascii="宋体" w:hAnsi="宋体" w:eastAsia="宋体" w:cs="仿宋"/>
          <w:b/>
          <w:bCs/>
          <w:sz w:val="24"/>
          <w:szCs w:val="24"/>
        </w:rPr>
        <w:t>二、服务平台参数指标要求</w:t>
      </w:r>
      <w:bookmarkEnd w:id="1"/>
      <w:bookmarkEnd w:id="2"/>
    </w:p>
    <w:p w14:paraId="6AD35377">
      <w:pPr>
        <w:pStyle w:val="24"/>
        <w:spacing w:after="0" w:line="360" w:lineRule="auto"/>
        <w:ind w:firstLine="600"/>
        <w:jc w:val="both"/>
        <w:rPr>
          <w:rFonts w:hint="eastAsia" w:ascii="宋体" w:hAnsi="宋体" w:eastAsia="宋体" w:cs="仿宋"/>
          <w:sz w:val="24"/>
          <w:szCs w:val="24"/>
        </w:rPr>
      </w:pPr>
      <w:bookmarkStart w:id="3" w:name="_Toc211526411"/>
      <w:r>
        <w:rPr>
          <w:rFonts w:hint="eastAsia" w:ascii="宋体" w:hAnsi="宋体" w:eastAsia="宋体" w:cs="仿宋"/>
          <w:sz w:val="24"/>
          <w:szCs w:val="24"/>
        </w:rPr>
        <w:t>（一）架构要求</w:t>
      </w:r>
      <w:bookmarkEnd w:id="3"/>
    </w:p>
    <w:p w14:paraId="4835FDD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1.实现各模块数据库分离，保障各业务数据库访问安全稳定；</w:t>
      </w:r>
    </w:p>
    <w:p w14:paraId="5A589DB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2.实现业务数据读写分离，使查询与写入操作互不影响数据库服务器性能，能合理利用缓存技术，有效降低数据库访问压力；</w:t>
      </w:r>
    </w:p>
    <w:p w14:paraId="14A64EB1">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3.能够将系统的多个应用分离部署，形成高可用的系统分布式集群，以保障业务运行的高可用性。</w:t>
      </w:r>
    </w:p>
    <w:p w14:paraId="4B25A96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4.服务提供方应提供系统运行所需要的硬件（系统本地部署时由院校提供服务器硬件）、软件及第三方软件，系统应完全满足艺术类专业多科目同时开考网络考试的并发性要求。</w:t>
      </w:r>
    </w:p>
    <w:p w14:paraId="7EE0AABB">
      <w:pPr>
        <w:pStyle w:val="24"/>
        <w:spacing w:after="0" w:line="360" w:lineRule="auto"/>
        <w:ind w:firstLine="600"/>
        <w:jc w:val="both"/>
        <w:rPr>
          <w:rFonts w:hint="eastAsia" w:ascii="宋体" w:hAnsi="宋体" w:eastAsia="宋体" w:cs="仿宋"/>
          <w:sz w:val="24"/>
          <w:szCs w:val="24"/>
        </w:rPr>
      </w:pPr>
      <w:bookmarkStart w:id="4" w:name="_Toc211526412"/>
      <w:r>
        <w:rPr>
          <w:rFonts w:hint="eastAsia" w:ascii="宋体" w:hAnsi="宋体" w:eastAsia="宋体" w:cs="仿宋"/>
          <w:sz w:val="24"/>
          <w:szCs w:val="24"/>
        </w:rPr>
        <w:t>（二）性能要求</w:t>
      </w:r>
      <w:bookmarkEnd w:id="4"/>
    </w:p>
    <w:p w14:paraId="0C02D1BB">
      <w:pPr>
        <w:pStyle w:val="24"/>
        <w:spacing w:after="0" w:line="360" w:lineRule="auto"/>
        <w:ind w:firstLine="600"/>
        <w:jc w:val="both"/>
        <w:rPr>
          <w:rFonts w:hint="eastAsia" w:ascii="宋体" w:hAnsi="宋体" w:eastAsia="宋体" w:cs="仿宋"/>
          <w:sz w:val="24"/>
          <w:szCs w:val="24"/>
        </w:rPr>
      </w:pPr>
      <w:bookmarkStart w:id="5" w:name="_Toc211526413"/>
      <w:r>
        <w:rPr>
          <w:rFonts w:hint="eastAsia" w:ascii="宋体" w:hAnsi="宋体" w:eastAsia="宋体" w:cs="仿宋"/>
          <w:sz w:val="24"/>
          <w:szCs w:val="24"/>
        </w:rPr>
        <w:t>1.系统请求响应时间：1秒以内；</w:t>
      </w:r>
    </w:p>
    <w:p w14:paraId="6334A7E8">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2.每分钟成功报名考生数：50万</w:t>
      </w:r>
    </w:p>
    <w:p w14:paraId="761A593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3.同时在线考试考生数：不少于10万人。同步上传考试视频支持不少于5万人，同时在线考试的监考支持不少于5万人，同时在线咨询支持不少于2万人，同时在线查询成绩不少于5万人，数据传输无上限。</w:t>
      </w:r>
    </w:p>
    <w:p w14:paraId="6BDE002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4.支持考生多并发、海量存储：支持文件存储服务器宽带入口10Gb/秒；支持OSS上传就近上传华北、华东、华南、西南4个区域，每个区拥有30Gbps。</w:t>
      </w:r>
    </w:p>
    <w:p w14:paraId="3EB7C7C8">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5.视频文件下载带宽满足50MB/S以上需求。</w:t>
      </w:r>
    </w:p>
    <w:p w14:paraId="2B781CBF">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6.云服务器300台以上，单台服务器规格在8核16G及以上，云数据库服务器2台，单台服务器规格在32核128G及以上，云数据库Redis实例规格256G集群（16节点）及以上。</w:t>
      </w:r>
    </w:p>
    <w:p w14:paraId="39F3A41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7.数据云存储容量满足无限扩展需求。</w:t>
      </w:r>
    </w:p>
    <w:p w14:paraId="52EB55A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（三）安全要求</w:t>
      </w:r>
      <w:bookmarkEnd w:id="5"/>
    </w:p>
    <w:p w14:paraId="2942E50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1.服务平台满足信息安全等级三级等保要求。</w:t>
      </w:r>
    </w:p>
    <w:p w14:paraId="065A12B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2.考生关键信息加密存储，做到不丢失，不损坏，不被窃取，不被篡改，数据有备份，出错可恢复。</w:t>
      </w:r>
    </w:p>
    <w:p w14:paraId="488BEA8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3.系统数据不得非法访问，用户操作轨迹可查询。</w:t>
      </w:r>
    </w:p>
    <w:p w14:paraId="3AB0981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4.网络访问协议使用HTTPS等安全协议。</w:t>
      </w:r>
    </w:p>
    <w:p w14:paraId="23C80898">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5.已知系统漏洞、错误和缺陷等能及时采取必要措施，并做好系统升级。</w:t>
      </w:r>
    </w:p>
    <w:p w14:paraId="4BFE7F51">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具备核心音视频技术独立开发能力，拥有丰富的实际应用经验，所提供的全部产品及服务为同一公司研发与提供，该公司拥有完全的掌控能力并须完成教育移动互联网应用程序备案管理，对院校的需求有能力快速而且灵活地满足。（提供教育移动互联网应用程序备案证明）</w:t>
      </w:r>
    </w:p>
    <w:p w14:paraId="7D6726EE">
      <w:pPr>
        <w:pStyle w:val="24"/>
        <w:spacing w:after="0" w:line="360" w:lineRule="auto"/>
        <w:ind w:firstLine="600"/>
        <w:jc w:val="both"/>
        <w:rPr>
          <w:rFonts w:hint="eastAsia" w:ascii="宋体" w:hAnsi="宋体" w:eastAsia="宋体" w:cs="仿宋"/>
          <w:b/>
          <w:bCs/>
          <w:sz w:val="24"/>
          <w:szCs w:val="24"/>
        </w:rPr>
      </w:pPr>
      <w:bookmarkStart w:id="6" w:name="_Toc211526414"/>
      <w:r>
        <w:rPr>
          <w:rFonts w:hint="eastAsia" w:ascii="宋体" w:hAnsi="宋体" w:eastAsia="宋体" w:cs="仿宋"/>
          <w:b/>
          <w:bCs/>
          <w:sz w:val="24"/>
          <w:szCs w:val="24"/>
        </w:rPr>
        <w:t>三、功能需求</w:t>
      </w:r>
      <w:bookmarkEnd w:id="6"/>
    </w:p>
    <w:p w14:paraId="794D76DD">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提供满足学校招考报名、考试、评分等一体化的平台。实现学校管理、招考管理、信息管理、考生管理、客服平台、下载管理等一体化，且全程日志可追溯的系统。是一个为学校管理者更好地开展线上艺术类专业考试工作而开发的综合服务平台。</w:t>
      </w:r>
    </w:p>
    <w:p w14:paraId="2BD5E69C">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使用现代信息技术将艺术类专业招生考试业务线上进行组织。根据需求，建设内容如下：</w:t>
      </w:r>
    </w:p>
    <w:p w14:paraId="47FCBEE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平台针对学校招生部门业务管理和考生服务需求设计，含在线报名、考试、在线评分三大模块。包括报名管理、考试管理及评分管理三大功能系统，实现报名、考试、评分的全流程服务，构建集管理、服务、宣传、统计分析于一体的艺术类专业招考综合服务体系。</w:t>
      </w:r>
    </w:p>
    <w:p w14:paraId="46352BD1">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报名管理系统能够实现招考信息配置发</w:t>
      </w:r>
      <w:bookmarkStart w:id="32" w:name="_GoBack"/>
      <w:r>
        <w:rPr>
          <w:rFonts w:hint="eastAsia" w:ascii="宋体" w:hAnsi="宋体" w:eastAsia="宋体" w:cs="仿宋"/>
          <w:sz w:val="24"/>
          <w:szCs w:val="24"/>
        </w:rPr>
        <w:t>布、考生认证、报名缴费等功能。</w:t>
      </w:r>
    </w:p>
    <w:p w14:paraId="00DEC0B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考试系统能够实现考试配置，准考证编排和打印，提交视频、直播面试、实时监考等模式的在线考试</w:t>
      </w:r>
      <w:r>
        <w:rPr>
          <w:rFonts w:hint="eastAsia" w:ascii="宋体" w:hAnsi="宋体" w:eastAsia="宋体" w:cs="仿宋"/>
          <w:sz w:val="24"/>
          <w:szCs w:val="24"/>
        </w:rPr>
        <w:t>，视频资料下载等功能。</w:t>
      </w:r>
    </w:p>
    <w:bookmarkEnd w:id="32"/>
    <w:p w14:paraId="7C94643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评分系统能够实现评分配置，视频评分，图片评分，评分结果打印和导出等功能，满足考评分离及三随机要求。</w:t>
      </w:r>
    </w:p>
    <w:p w14:paraId="63D5076A">
      <w:pPr>
        <w:pStyle w:val="24"/>
        <w:spacing w:after="0" w:line="360" w:lineRule="auto"/>
        <w:ind w:firstLine="600"/>
        <w:jc w:val="both"/>
        <w:rPr>
          <w:rFonts w:hint="eastAsia" w:ascii="宋体" w:hAnsi="宋体" w:eastAsia="宋体" w:cs="仿宋"/>
          <w:sz w:val="24"/>
          <w:szCs w:val="24"/>
        </w:rPr>
      </w:pPr>
      <w:bookmarkStart w:id="7" w:name="_Toc211526415"/>
      <w:r>
        <w:rPr>
          <w:rFonts w:hint="eastAsia" w:ascii="宋体" w:hAnsi="宋体" w:eastAsia="宋体" w:cs="仿宋"/>
          <w:sz w:val="24"/>
          <w:szCs w:val="24"/>
        </w:rPr>
        <w:t>（一）报名管理系统</w:t>
      </w:r>
      <w:bookmarkEnd w:id="7"/>
    </w:p>
    <w:p w14:paraId="7E8A61DE">
      <w:pPr>
        <w:pStyle w:val="24"/>
        <w:widowControl w:val="0"/>
        <w:spacing w:after="0" w:line="360" w:lineRule="auto"/>
        <w:ind w:firstLine="601"/>
        <w:jc w:val="both"/>
        <w:rPr>
          <w:rFonts w:hint="eastAsia" w:ascii="宋体" w:hAnsi="宋体" w:eastAsia="宋体" w:cs="仿宋"/>
          <w:sz w:val="24"/>
          <w:szCs w:val="24"/>
        </w:rPr>
      </w:pPr>
      <w:r>
        <w:rPr>
          <w:rFonts w:hint="eastAsia" w:ascii="宋体" w:hAnsi="宋体" w:eastAsia="宋体" w:cs="仿宋"/>
          <w:sz w:val="24"/>
          <w:szCs w:val="24"/>
        </w:rPr>
        <w:t>报名管理系统，根据学校考试科目要求，对系统进行设置，实现考生可根据自己专业进行线上报名缴费功能。可对考生报名省市进行管理，对缴费功能进行配置，考生报名费用从系统直接交至学校指定账户。</w:t>
      </w:r>
    </w:p>
    <w:p w14:paraId="1DD9853A">
      <w:pPr>
        <w:pStyle w:val="24"/>
        <w:spacing w:after="0" w:line="360" w:lineRule="auto"/>
        <w:ind w:firstLine="600"/>
        <w:jc w:val="both"/>
        <w:rPr>
          <w:rFonts w:hint="eastAsia" w:ascii="宋体" w:hAnsi="宋体" w:eastAsia="宋体" w:cs="仿宋"/>
          <w:sz w:val="24"/>
          <w:szCs w:val="24"/>
        </w:rPr>
      </w:pPr>
      <w:bookmarkStart w:id="8" w:name="_Toc211526416"/>
      <w:r>
        <w:rPr>
          <w:rFonts w:hint="eastAsia" w:ascii="宋体" w:hAnsi="宋体" w:eastAsia="宋体" w:cs="仿宋"/>
          <w:sz w:val="24"/>
          <w:szCs w:val="24"/>
        </w:rPr>
        <w:t>1.院校基础管理</w:t>
      </w:r>
      <w:bookmarkEnd w:id="8"/>
    </w:p>
    <w:p w14:paraId="3CD8B40C">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（1）支持显示或设置本次考试院校名称、考试地点、考试专业（科目）；</w:t>
      </w:r>
    </w:p>
    <w:p w14:paraId="6080101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（2）可以对学校专业以及专业下的方向、乐器、舞种或唱法进行设置；</w:t>
      </w:r>
    </w:p>
    <w:p w14:paraId="2BF72DFC">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（3）支持学校能自定义添加多种内部管理账号，如客服、财务等，可针对每种账号实现权限独立设置；</w:t>
      </w:r>
    </w:p>
    <w:p w14:paraId="44ABE347">
      <w:pPr>
        <w:pStyle w:val="24"/>
        <w:spacing w:after="0" w:line="360" w:lineRule="auto"/>
        <w:ind w:firstLine="600"/>
        <w:jc w:val="both"/>
        <w:rPr>
          <w:rFonts w:hint="eastAsia" w:ascii="宋体" w:hAnsi="宋体" w:eastAsia="宋体" w:cs="仿宋"/>
          <w:sz w:val="24"/>
          <w:szCs w:val="24"/>
        </w:rPr>
      </w:pPr>
      <w:bookmarkStart w:id="9" w:name="_Toc211526417"/>
      <w:bookmarkStart w:id="10" w:name="_Toc3130"/>
      <w:bookmarkStart w:id="11" w:name="_Toc12686"/>
      <w:r>
        <w:rPr>
          <w:rFonts w:hint="eastAsia" w:ascii="宋体" w:hAnsi="宋体" w:eastAsia="宋体" w:cs="仿宋"/>
          <w:sz w:val="24"/>
          <w:szCs w:val="24"/>
        </w:rPr>
        <w:t>2.报名管理</w:t>
      </w:r>
      <w:bookmarkEnd w:id="9"/>
      <w:bookmarkEnd w:id="10"/>
      <w:bookmarkEnd w:id="11"/>
    </w:p>
    <w:p w14:paraId="113B069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（1）可以新增设置多场考试的名称、考试年度、限考专业数、专业志愿填报数和开通标志，可通过限考专业数控制考生本次考试报考专业的最大数；</w:t>
      </w:r>
    </w:p>
    <w:p w14:paraId="20799D7D">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（2）可根据专业、省市发布考试，每场考试可以单独选择专业、考试科目、报名时间、报名费用、报考省份、报名须知、考试时间等。</w:t>
      </w:r>
    </w:p>
    <w:p w14:paraId="749B7FD3">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（3）支持多种收费方式，提供基础报名费+考试科目费的形式进行收费或仅按考试科目进行收费，支持初试和复试分开缴费。</w:t>
      </w:r>
    </w:p>
    <w:p w14:paraId="0C83C36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（4）考试专业管理：可以通过“新增”或者“批量新增”的方式，设置考试对应的报考专业信息和专业下对应的考试科目信息；</w:t>
      </w:r>
    </w:p>
    <w:p w14:paraId="35ED1D8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（5）支持APP、网站等入口报名，学校单独连接进行报名，系统批量导入考生信息报名，支持WEB端扫描二维码支付和支付宝APP支付，支付金额进入学校指定账户。</w:t>
      </w:r>
    </w:p>
    <w:p w14:paraId="64922086">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（6）报名时间管理：设置各考点的报名起止时间、准考证打印起止时间，考生必须在指定的时间内进行报名，超过了时间就不允许报名，报名完成后考生可以在指定的时间进行打印准考证操作；</w:t>
      </w:r>
    </w:p>
    <w:p w14:paraId="54F6B12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（7）支持报名和考试功能分离，支持学校在系统上发布报名和考试，考生运用系统报名缴费且考试。同时也支持导入学生名单的形式组织考试。</w:t>
      </w:r>
    </w:p>
    <w:p w14:paraId="16F65A3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（8）支持各考点对应专业的考试信息进行设置，包括考试时间，限报人数、报名费、准考证须知、性别限制、具体考试时间段等信息。</w:t>
      </w:r>
    </w:p>
    <w:p w14:paraId="03F0BDC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（9）支持在报考的时候弹出提示对话框，告知考生本次考试的相关特殊信息，报考须知可以根据需要设置在考点上，也可以设置在专业上。</w:t>
      </w:r>
    </w:p>
    <w:p w14:paraId="45ADA9E0">
      <w:pPr>
        <w:pStyle w:val="24"/>
        <w:spacing w:after="0" w:line="360" w:lineRule="auto"/>
        <w:ind w:firstLine="600"/>
        <w:jc w:val="both"/>
        <w:rPr>
          <w:rFonts w:hint="eastAsia" w:ascii="宋体" w:hAnsi="宋体" w:eastAsia="宋体" w:cs="仿宋"/>
          <w:sz w:val="24"/>
          <w:szCs w:val="24"/>
        </w:rPr>
      </w:pPr>
      <w:bookmarkStart w:id="12" w:name="_Toc211526418"/>
      <w:r>
        <w:rPr>
          <w:rFonts w:hint="eastAsia" w:ascii="宋体" w:hAnsi="宋体" w:eastAsia="宋体" w:cs="仿宋"/>
          <w:sz w:val="24"/>
          <w:szCs w:val="24"/>
        </w:rPr>
        <w:t>3.考生认证和资料收集</w:t>
      </w:r>
      <w:bookmarkEnd w:id="12"/>
    </w:p>
    <w:p w14:paraId="325AD8C2">
      <w:pPr>
        <w:pStyle w:val="24"/>
        <w:widowControl w:val="0"/>
        <w:spacing w:after="0" w:line="360" w:lineRule="auto"/>
        <w:ind w:firstLine="601"/>
        <w:jc w:val="both"/>
        <w:rPr>
          <w:rFonts w:hint="eastAsia" w:ascii="宋体" w:hAnsi="宋体" w:eastAsia="宋体" w:cs="仿宋"/>
          <w:sz w:val="24"/>
          <w:szCs w:val="24"/>
        </w:rPr>
      </w:pPr>
      <w:r>
        <w:rPr>
          <w:rFonts w:hint="eastAsia" w:ascii="宋体" w:hAnsi="宋体" w:eastAsia="宋体" w:cs="仿宋"/>
          <w:sz w:val="24"/>
          <w:szCs w:val="24"/>
        </w:rPr>
        <w:t>（1）支持院校定制化资料上传审核，可根据不同情况配置到报名或确认之前，收集考生个人材料，系统或人工对考生信息进行审核和在线肖像认证，认证后方可进行后续的准考证打印和考试。</w:t>
      </w:r>
    </w:p>
    <w:p w14:paraId="623A50E8">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（2）支持院校自定义信息收集功能，针对不同的考试、专业，可要求考生上传除报名基础信息外其他如身高、体重、特长、成绩等自定义信息。</w:t>
      </w:r>
    </w:p>
    <w:p w14:paraId="723ECA9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（3）支持院校自定义文件收集，针对不同考试，可要求考生在报名后规定时间内上传院校需要的材料，可收集PDF、JPG、PNG、MP4等文件格式。</w:t>
      </w:r>
    </w:p>
    <w:p w14:paraId="6DEEFBCA">
      <w:pPr>
        <w:pStyle w:val="24"/>
        <w:spacing w:after="0" w:line="360" w:lineRule="auto"/>
        <w:ind w:firstLine="600"/>
        <w:jc w:val="both"/>
        <w:rPr>
          <w:rFonts w:hint="eastAsia" w:ascii="宋体" w:hAnsi="宋体" w:eastAsia="宋体" w:cs="仿宋"/>
          <w:sz w:val="24"/>
          <w:szCs w:val="24"/>
        </w:rPr>
      </w:pPr>
      <w:bookmarkStart w:id="13" w:name="_Toc211526419"/>
      <w:r>
        <w:rPr>
          <w:rFonts w:hint="eastAsia" w:ascii="宋体" w:hAnsi="宋体" w:eastAsia="宋体" w:cs="仿宋"/>
          <w:sz w:val="24"/>
          <w:szCs w:val="24"/>
        </w:rPr>
        <w:t>4.报名规则设置</w:t>
      </w:r>
      <w:bookmarkEnd w:id="13"/>
    </w:p>
    <w:p w14:paraId="043E54D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（1）支持在报考的时候对考生的高考省份进行限制，只有指定的省份才能报考，省份限制可以根据考点设置，也可以根据专业考试日程设置。</w:t>
      </w:r>
    </w:p>
    <w:p w14:paraId="6648A71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（2）支持考点容量设置可以控制每个考点每天的最大报考人数，一旦超过考点容量的人数，则不允许进行报考。</w:t>
      </w:r>
    </w:p>
    <w:p w14:paraId="0C3E52E1">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（3）支持根据考试专业设置各个省份的文/理科或物理/历史的科类限制；</w:t>
      </w:r>
    </w:p>
    <w:p w14:paraId="4DFE467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（4）支持报考资格库设置，根据身份证号限定考生的报考资格，只有指定有资格的考生才能进行报考，没有资格的考生不允许报名。</w:t>
      </w:r>
    </w:p>
    <w:p w14:paraId="2EE172E9">
      <w:pPr>
        <w:pStyle w:val="24"/>
        <w:spacing w:after="0" w:line="360" w:lineRule="auto"/>
        <w:ind w:firstLine="600"/>
        <w:jc w:val="both"/>
        <w:rPr>
          <w:rFonts w:hint="eastAsia" w:ascii="宋体" w:hAnsi="宋体" w:eastAsia="宋体" w:cs="仿宋"/>
          <w:sz w:val="24"/>
          <w:szCs w:val="24"/>
        </w:rPr>
      </w:pPr>
      <w:bookmarkStart w:id="14" w:name="_Toc211526420"/>
      <w:r>
        <w:rPr>
          <w:rFonts w:hint="eastAsia" w:ascii="宋体" w:hAnsi="宋体" w:eastAsia="宋体" w:cs="仿宋"/>
          <w:sz w:val="24"/>
          <w:szCs w:val="24"/>
        </w:rPr>
        <w:t>5.考生管理</w:t>
      </w:r>
      <w:bookmarkEnd w:id="14"/>
    </w:p>
    <w:p w14:paraId="1A0212E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（1）可根据考生证件号码、姓名查询某个考生的详细信息，在查询过程中对考生的手机号码等敏感信息进行加密隐藏，在点击详细信息时才显示。</w:t>
      </w:r>
    </w:p>
    <w:p w14:paraId="5C9C4C4F">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（2）支持考生专业作废申请审核，考生报错专业可进行作废处理，可以单个操作，也可以批量操作，可以针对性给出审核意见。</w:t>
      </w:r>
    </w:p>
    <w:p w14:paraId="7328607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（3）考生订单管理，可单个查询或按日期等条件批量导出考生缴费订单信息，方便后期的财务对账和退费等操作。</w:t>
      </w:r>
    </w:p>
    <w:p w14:paraId="6F09B967">
      <w:pPr>
        <w:pStyle w:val="24"/>
        <w:spacing w:after="0" w:line="360" w:lineRule="auto"/>
        <w:ind w:firstLine="600"/>
        <w:jc w:val="both"/>
        <w:rPr>
          <w:rFonts w:hint="eastAsia" w:ascii="宋体" w:hAnsi="宋体" w:eastAsia="宋体" w:cs="仿宋"/>
          <w:sz w:val="24"/>
          <w:szCs w:val="24"/>
        </w:rPr>
      </w:pPr>
      <w:bookmarkStart w:id="15" w:name="_Toc211526421"/>
      <w:r>
        <w:rPr>
          <w:rFonts w:hint="eastAsia" w:ascii="宋体" w:hAnsi="宋体" w:eastAsia="宋体" w:cs="仿宋"/>
          <w:sz w:val="24"/>
          <w:szCs w:val="24"/>
        </w:rPr>
        <w:t>6.报名监控中心</w:t>
      </w:r>
      <w:bookmarkEnd w:id="15"/>
    </w:p>
    <w:p w14:paraId="631A8E2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（1）支持实时监控和统计各考点各专业的报名人数情况。</w:t>
      </w:r>
    </w:p>
    <w:p w14:paraId="0CCBE04F">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（2）支持多维度查询，例如分省、分专业查看报名情况，提供报名明细。</w:t>
      </w:r>
    </w:p>
    <w:p w14:paraId="0468F96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（3）提供报名数据导出功能，数据导出格式为.xlsx文件，照片导出格式为JPG。</w:t>
      </w:r>
    </w:p>
    <w:p w14:paraId="4A3417C4">
      <w:pPr>
        <w:pStyle w:val="24"/>
        <w:spacing w:after="0" w:line="360" w:lineRule="auto"/>
        <w:ind w:firstLine="600"/>
        <w:jc w:val="both"/>
        <w:rPr>
          <w:rFonts w:hint="eastAsia" w:ascii="宋体" w:hAnsi="宋体" w:eastAsia="宋体" w:cs="仿宋"/>
          <w:sz w:val="24"/>
          <w:szCs w:val="24"/>
        </w:rPr>
      </w:pPr>
      <w:bookmarkStart w:id="16" w:name="_Toc211526422"/>
      <w:r>
        <w:rPr>
          <w:rFonts w:hint="eastAsia" w:ascii="宋体" w:hAnsi="宋体" w:eastAsia="宋体" w:cs="仿宋"/>
          <w:sz w:val="24"/>
          <w:szCs w:val="24"/>
        </w:rPr>
        <w:t>（二）考试管理系统</w:t>
      </w:r>
      <w:bookmarkEnd w:id="16"/>
    </w:p>
    <w:p w14:paraId="4B809B03">
      <w:pPr>
        <w:pStyle w:val="24"/>
        <w:spacing w:after="0" w:line="360" w:lineRule="auto"/>
        <w:ind w:firstLine="600"/>
        <w:jc w:val="both"/>
        <w:rPr>
          <w:rFonts w:hint="eastAsia" w:ascii="宋体" w:hAnsi="宋体" w:eastAsia="宋体" w:cs="仿宋"/>
          <w:sz w:val="24"/>
          <w:szCs w:val="24"/>
        </w:rPr>
      </w:pPr>
      <w:bookmarkStart w:id="17" w:name="_Toc22829"/>
      <w:bookmarkStart w:id="18" w:name="_Toc28357"/>
      <w:r>
        <w:rPr>
          <w:rFonts w:hint="eastAsia" w:ascii="宋体" w:hAnsi="宋体" w:eastAsia="宋体" w:cs="仿宋"/>
          <w:sz w:val="24"/>
          <w:szCs w:val="24"/>
        </w:rPr>
        <w:t>考试管理系统服务于线上考试，可满足线上考试（提交视频）、线上考试（直播监考）和线上考试（直播面试）三种考试需求。</w:t>
      </w:r>
    </w:p>
    <w:p w14:paraId="1FC78FA5">
      <w:pPr>
        <w:pStyle w:val="24"/>
        <w:spacing w:after="0" w:line="360" w:lineRule="auto"/>
        <w:ind w:firstLine="600"/>
        <w:jc w:val="both"/>
        <w:rPr>
          <w:rFonts w:hint="eastAsia" w:ascii="宋体" w:hAnsi="宋体" w:eastAsia="宋体" w:cs="仿宋"/>
          <w:sz w:val="24"/>
          <w:szCs w:val="24"/>
        </w:rPr>
      </w:pPr>
      <w:bookmarkStart w:id="19" w:name="_Toc211526423"/>
      <w:r>
        <w:rPr>
          <w:rFonts w:hint="eastAsia" w:ascii="宋体" w:hAnsi="宋体" w:eastAsia="宋体" w:cs="仿宋"/>
          <w:sz w:val="24"/>
          <w:szCs w:val="24"/>
        </w:rPr>
        <w:t>1.考务管理</w:t>
      </w:r>
      <w:bookmarkEnd w:id="17"/>
      <w:bookmarkEnd w:id="18"/>
      <w:bookmarkEnd w:id="19"/>
    </w:p>
    <w:p w14:paraId="45DE6058">
      <w:pPr>
        <w:pStyle w:val="24"/>
        <w:widowControl w:val="0"/>
        <w:spacing w:after="0" w:line="360" w:lineRule="auto"/>
        <w:ind w:firstLine="601"/>
        <w:jc w:val="both"/>
        <w:rPr>
          <w:rFonts w:hint="eastAsia" w:ascii="宋体" w:hAnsi="宋体" w:eastAsia="宋体" w:cs="仿宋"/>
          <w:sz w:val="24"/>
          <w:szCs w:val="24"/>
        </w:rPr>
      </w:pPr>
      <w:r>
        <w:rPr>
          <w:rFonts w:hint="eastAsia" w:ascii="宋体" w:hAnsi="宋体" w:eastAsia="宋体" w:cs="仿宋"/>
          <w:sz w:val="24"/>
          <w:szCs w:val="24"/>
        </w:rPr>
        <w:t>（1）考场管理，支持单个新增或批量导入功能，方便管理人员快速维护考场信息。</w:t>
      </w:r>
    </w:p>
    <w:p w14:paraId="7F22DAA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（2）考场编排，将准考证号码分配到对应考场。要求支持打印考场安排表，打印门贴，打印签到单，打印考场记录，考场核对单等功能，方便考务人员进行考生的信息核对。</w:t>
      </w:r>
    </w:p>
    <w:p w14:paraId="772BD5F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（3）编排数据导入，支持按照学校准考证编排规则，将已编排好准考证号、考场、考试时间的编排数据导入系统。</w:t>
      </w:r>
    </w:p>
    <w:p w14:paraId="67BD657C">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（4）支持同一个考生不同考试专业（或科目）使用相同准考证号或不同准考证号两种选项。</w:t>
      </w:r>
    </w:p>
    <w:p w14:paraId="67EB3BC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线上考试（直播监考），提供监考人员管理功能，可系统随机将监考员分配到各个考场进行监考。也可指定监考员固定的考场，监考员登录后，自动进入指定的考场监考。提供的监考人员账号登录后可绑定到监考员真实姓名。</w:t>
      </w:r>
    </w:p>
    <w:p w14:paraId="4660690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（6）提供考生考试信息查询、考生状态查询、考生信息导出及考生照片、文件、视频下载功能。</w:t>
      </w:r>
    </w:p>
    <w:p w14:paraId="7BAA0C6D">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（7）支持准考证考生自取和随机分配两种功能，可自定义准考证格式和内容，准考证上需要条形码和二维码。</w:t>
      </w:r>
    </w:p>
    <w:p w14:paraId="45ABBE76">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8）线上考试（直播监考）科目，考前提供答题纸打印、条形码（二维码）打印、邮寄单打印功能。打印准考证时同时提供对应专业（或科目）的答题纸打印、条形码（二维码）和试卷邮寄单打印等。条形码支持多种形式的样式选择，条码数量可根据需求动态调整。</w:t>
      </w:r>
    </w:p>
    <w:p w14:paraId="68B6A149">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（9）线上考试（提交视频）、线上考试（直播监考）两种考试形式提供考生试卷、考试视频下载功能，针对单个考生可增加考试次数设置。</w:t>
      </w:r>
    </w:p>
    <w:p w14:paraId="4156675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（10）线上考试（直播面试）提供考生排队功能，可设置考生排队顺序和设置评分项目、考场管理员、评委等。</w:t>
      </w:r>
    </w:p>
    <w:p w14:paraId="2AC7CEE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（11）线上考试（提交视频）、线上考试（直播监考）提供试题管理功能，可根据设定的时间自动分发图片、文字或音频等试题。可将文字指令转成音频指令定时或按需分发给考生。</w:t>
      </w:r>
    </w:p>
    <w:p w14:paraId="4E581F6C">
      <w:pPr>
        <w:pStyle w:val="24"/>
        <w:widowControl w:val="0"/>
        <w:spacing w:after="0" w:line="360" w:lineRule="auto"/>
        <w:ind w:firstLine="601"/>
        <w:jc w:val="both"/>
        <w:rPr>
          <w:rFonts w:hint="eastAsia" w:ascii="宋体" w:hAnsi="宋体" w:eastAsia="宋体" w:cs="仿宋"/>
          <w:sz w:val="24"/>
          <w:szCs w:val="24"/>
        </w:rPr>
      </w:pPr>
      <w:r>
        <w:rPr>
          <w:rFonts w:hint="eastAsia" w:ascii="宋体" w:hAnsi="宋体" w:eastAsia="宋体" w:cs="仿宋"/>
          <w:sz w:val="24"/>
          <w:szCs w:val="24"/>
        </w:rPr>
        <w:t>（12）支持考生考前电子签订《考试安全保密责任书》配置。可配置考生第一个科目考试正式开始前签订责任书。</w:t>
      </w:r>
    </w:p>
    <w:p w14:paraId="25BA46FB">
      <w:pPr>
        <w:pStyle w:val="24"/>
        <w:spacing w:after="0" w:line="360" w:lineRule="auto"/>
        <w:ind w:firstLine="600"/>
        <w:jc w:val="both"/>
        <w:rPr>
          <w:rFonts w:hint="eastAsia" w:ascii="宋体" w:hAnsi="宋体" w:eastAsia="宋体" w:cs="仿宋"/>
          <w:sz w:val="24"/>
          <w:szCs w:val="24"/>
        </w:rPr>
      </w:pPr>
      <w:bookmarkStart w:id="20" w:name="_Toc22195"/>
      <w:bookmarkStart w:id="21" w:name="_Toc4457"/>
      <w:bookmarkStart w:id="22" w:name="_Toc211526424"/>
      <w:r>
        <w:rPr>
          <w:rFonts w:hint="eastAsia" w:ascii="宋体" w:hAnsi="宋体" w:eastAsia="宋体" w:cs="仿宋"/>
          <w:sz w:val="24"/>
          <w:szCs w:val="24"/>
        </w:rPr>
        <w:t>2.线上考试</w:t>
      </w:r>
      <w:bookmarkEnd w:id="20"/>
      <w:bookmarkEnd w:id="21"/>
      <w:r>
        <w:rPr>
          <w:rFonts w:hint="eastAsia" w:ascii="宋体" w:hAnsi="宋体" w:eastAsia="宋体" w:cs="仿宋"/>
          <w:sz w:val="24"/>
          <w:szCs w:val="24"/>
        </w:rPr>
        <w:t>（提交视频）</w:t>
      </w:r>
      <w:bookmarkEnd w:id="22"/>
    </w:p>
    <w:p w14:paraId="7641CF5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系统能够基于学校要求，实现按专业或科目配置题库，题库形式多样。考前进行人脸认证确保考生身份真实和报考资格有效后进入考试。正式考试前能按需配置多次全真模拟考试，让考生完整体验并掌握正式考试流程。系统具有多种防作弊手段，记录考生操作轨迹，有效防止考试作弊。系统能够进行考试设备检查，确保考试设备性能、存储空间、摄像头、麦克风等满足需要。系统能够保障视频画质音质，兼容苹果、安卓、华为等主流品牌机型。系统整体安全、稳定、成熟、使用便捷，满足学校线上考试（提交视频）的要求。</w:t>
      </w:r>
    </w:p>
    <w:p w14:paraId="55BD2E3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（1）支持双机位模式考试、支持次数限制，可根据拍摄限制，控制考生的视频拍摄次数或视频保存次数。双机位考试模式需要实现双机位直播、双机位录播和辅机位直播+主机位录播三种模式的考试形式。</w:t>
      </w:r>
    </w:p>
    <w:p w14:paraId="55A3424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（2）支持拍摄方向设置：考试视频拍摄方向，分为两三种：横屏、竖屏及不限，当选择不限的时候，考生进行视频拍摄的时候，需要先进行拍摄方向的选择，之后再进入视频录制页面。</w:t>
      </w:r>
    </w:p>
    <w:p w14:paraId="7331B9FC">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（3）支持前后置摄像头设置：考试视频拍摄的摄像头选择，分为四种：默认前置不限制、默认后置不限制、前置摄像头和后置摄像头。</w:t>
      </w:r>
    </w:p>
    <w:p w14:paraId="55B8FAD9">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（4）支持对看题过程进行录制：考生进行考题查看的时候，可以设置必须进入录制页面才可以进行考题查看。</w:t>
      </w:r>
    </w:p>
    <w:p w14:paraId="347C2BE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（5）支持在考试前检查手机机型、手机摄像头、声音、存储空间、电量是否满足考试需要，考试录制过程中，若检测到手机性能不足，可自适应调整录制帧率，防止录制意外中断。</w:t>
      </w:r>
    </w:p>
    <w:p w14:paraId="1AAC107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有多种防作弊手段，满足教育部明确提出的防缩屏、防外接设备、防音视频编辑等防作弊要求；系统可进行考生身份验证，启动后自动禁止任何与考试无关的外接设备采用任何形式进行连接使用，禁止使用有源或无线网络方式进行系统内容投屏展示，可防缩屏、防截屏、防录屏、防对口型，防音视频编辑、录制的视频限制上传时间等。</w:t>
      </w:r>
    </w:p>
    <w:p w14:paraId="55FF46EB">
      <w:pPr>
        <w:pStyle w:val="24"/>
        <w:widowControl w:val="0"/>
        <w:spacing w:after="0" w:line="360" w:lineRule="auto"/>
        <w:ind w:firstLine="601"/>
        <w:jc w:val="both"/>
        <w:rPr>
          <w:rFonts w:hint="eastAsia" w:ascii="宋体" w:hAnsi="宋体" w:eastAsia="宋体" w:cs="仿宋"/>
          <w:sz w:val="24"/>
          <w:szCs w:val="24"/>
        </w:rPr>
      </w:pPr>
      <w:r>
        <w:rPr>
          <w:rFonts w:hint="eastAsia" w:ascii="宋体" w:hAnsi="宋体" w:eastAsia="宋体" w:cs="仿宋"/>
          <w:sz w:val="24"/>
          <w:szCs w:val="24"/>
        </w:rPr>
        <w:t>（7）支持考题批次设置，报考了对应日程的考生进行考题获取的时候，只能获取到对应批次的考题。</w:t>
      </w:r>
    </w:p>
    <w:p w14:paraId="3D5081FC">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（8）支持考试引导阶段，考生在考试的时候，引导考生进行一步步操作。</w:t>
      </w:r>
    </w:p>
    <w:p w14:paraId="54976781">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（9）支持图片考题、文字考题、视频考题、语音考题，针对图片文字混合考题提供分块显示，考生可以更清晰地确认考题。不同类型考题加载，分发流畅。</w:t>
      </w:r>
    </w:p>
    <w:p w14:paraId="4F6A9A3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（10）支持通知功能，对线上视频考试快要截止尚未参加考试的考生，系统可自动或手动推送APP消息或短信通知，通知考生按时参加考试。</w:t>
      </w:r>
    </w:p>
    <w:p w14:paraId="47AB7F28">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（11）支持查询功能，考生可查看考试科目的考试情况，系统管理员可查询考生的考试进度，考试结果，统计考试人数等。</w:t>
      </w:r>
    </w:p>
    <w:p w14:paraId="193A047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（12）支持考试限时功能，考生未在规定的时间内参加考试或未进行线上确认的不能进入考场参加考试。</w:t>
      </w:r>
    </w:p>
    <w:p w14:paraId="61C90D89">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（13）提供指令功能，系统可向考生发布语音指令或文字指令，引导考生完成考试操作。</w:t>
      </w:r>
    </w:p>
    <w:p w14:paraId="79191A3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（14）提供日志功能，对考生考试及模拟演练阶段对手机的所有操作以及系统主要事件进行记录，记录考生的考试异常行为，可在后台随时查看。</w:t>
      </w:r>
    </w:p>
    <w:p w14:paraId="531044FD">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（15）在考生录制的视频中可增加时间水印显示，方便院校后期进行视频巡查。</w:t>
      </w:r>
    </w:p>
    <w:p w14:paraId="32338BFB">
      <w:pPr>
        <w:pStyle w:val="24"/>
        <w:spacing w:after="0" w:line="360" w:lineRule="auto"/>
        <w:ind w:firstLine="600"/>
        <w:jc w:val="both"/>
        <w:rPr>
          <w:rFonts w:hint="eastAsia" w:ascii="宋体" w:hAnsi="宋体" w:eastAsia="宋体" w:cs="仿宋"/>
          <w:sz w:val="24"/>
          <w:szCs w:val="24"/>
        </w:rPr>
      </w:pPr>
      <w:bookmarkStart w:id="23" w:name="_Toc16941"/>
      <w:bookmarkStart w:id="24" w:name="_Toc12671"/>
      <w:bookmarkStart w:id="25" w:name="_Toc211526425"/>
      <w:r>
        <w:rPr>
          <w:rFonts w:hint="eastAsia" w:ascii="宋体" w:hAnsi="宋体" w:eastAsia="宋体" w:cs="仿宋"/>
          <w:sz w:val="24"/>
          <w:szCs w:val="24"/>
        </w:rPr>
        <w:t>3.线上考试（直播监考）</w:t>
      </w:r>
      <w:bookmarkEnd w:id="23"/>
      <w:bookmarkEnd w:id="24"/>
      <w:bookmarkEnd w:id="25"/>
    </w:p>
    <w:p w14:paraId="7E8DEF8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（1）提供多种监控模式：单机位直播监考、双机位辅机直播监考、双机位主机直播监考、双机位主辅机同时直播监考。</w:t>
      </w:r>
    </w:p>
    <w:p w14:paraId="262A011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（2）调整监考画面，监考人员后端监控的内容，大于考生在手机上看到的范围。</w:t>
      </w:r>
    </w:p>
    <w:p w14:paraId="3479292C">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（3）实时监考功能，监考员实时监控考生的考试内容，可通过设置考场编排实现每个监考屏幕16人、25人等；监考屏幕人数较多时可多屏切换显示。</w:t>
      </w:r>
    </w:p>
    <w:p w14:paraId="272D57F3">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（4）支持考试引导阶段，考生在考试的时候，引导考生进行一步步操作。</w:t>
      </w:r>
    </w:p>
    <w:p w14:paraId="1193CC63">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（5）支持客观题和主观题，包括单选题、多选题、判断题、简答题、论述题等题型，选项及题目均支持使用图片类型，题目顺序和选项可随机打乱。</w:t>
      </w:r>
    </w:p>
    <w:p w14:paraId="6E14B3E6">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（6）提供监考老师时间轴概念，监考老师根据监考时间进行操作。</w:t>
      </w:r>
    </w:p>
    <w:p w14:paraId="2B4678C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（7）支持辅机发放考题查看，直播管理员可以对考生的辅机进行单独的考题发题，使考生可以在辅机上查看考题。</w:t>
      </w:r>
    </w:p>
    <w:p w14:paraId="4993B49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（8）提供辅机迟到功能，考生迟到之后辅机不能进入考场参加考试；</w:t>
      </w:r>
    </w:p>
    <w:p w14:paraId="428315D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9）提供全员指令功能，监考员可向本考场所有考生发布语音指令；提供考生指令功能，监考员可对考场内考生单独发布指令，指令可为语音指令或文字指令；提供定时指令，指令可在开考后指定的时间向考生自动发布。</w:t>
      </w:r>
    </w:p>
    <w:p w14:paraId="39E89F0F">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（10）提供考生文字沟通功能，针对未开启手机音量或因其他原因导致无法听到音频的考生发送文字指令。</w:t>
      </w:r>
    </w:p>
    <w:p w14:paraId="2C2ADBC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（11）支持实时通信，考试期间监考老师可以通过主机或辅机与考生进行通信；提供云端实时存储功能，主机和辅机的监考视频实时存储在云端进行备份，防止丢失。</w:t>
      </w:r>
    </w:p>
    <w:p w14:paraId="033DB57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（12）提供考场记录功能，监考老师在监控过程中可对考场情况进行记录，监考结束以后，要求监考老师填写和确认完整的考场记录表。系统生成PDF格式，供后台下载。</w:t>
      </w:r>
    </w:p>
    <w:p w14:paraId="71673FBD">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（13）考试过程中，系统或监考员发现异常时，考试中和考试结束后监考员可回看考试视频，并一键截图，快速记录异常情况，支持预设常见异常情况分类，供监考员选择。</w:t>
      </w:r>
    </w:p>
    <w:p w14:paraId="210527A1">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14）监考过程中实现智能AI录制画面、手机画面异常情况检测技术，自动识别考试过程中的人员画面信息、手机屏幕信息，系统自动记录考生的考试异常行为、所有操作轨迹并提醒监考老师进行现场核验，有效识别和防止考试作弊。</w:t>
      </w:r>
    </w:p>
    <w:p w14:paraId="5DCE2088">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（15）支持单独展示试卷阶段的录制，考试结束之后要求考生按指定指令进行展示试卷，并拍摄照片。</w:t>
      </w:r>
    </w:p>
    <w:p w14:paraId="47C2E17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（16）在考生录制的视频中增加时间水印显示，方便院校后期进行视频巡查。</w:t>
      </w:r>
    </w:p>
    <w:p w14:paraId="1A5066D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17）监考员在监控界面上除了实时监考外，还支持收卷功能。提供交卷管理系统，考生提交的作品（图片）需要监考人员进行审核，符合要求之后才能完成交卷。不符合要求的试卷，监考员可以打回要求考生重新提交。针对误收卷的情况提供取消收卷功能，防止因误收卷导致考生试卷不符合要求。</w:t>
      </w:r>
    </w:p>
    <w:p w14:paraId="1985894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（18）支持误操作撤回，不合格答卷被打回后，被打回的试卷应在后台保存，可随时调取查看。</w:t>
      </w:r>
    </w:p>
    <w:p w14:paraId="32EFBCA9">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（19）支持监考员审核作品时无需跳转至其他页面并可在同一界面进行监考，同时可关注考生求助信息、查看及处理异常情况；每个监考员可通过后台监考直观看到考生收卷情况，便于对整场考试状态把控。</w:t>
      </w:r>
    </w:p>
    <w:p w14:paraId="322579C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（20）提供邮寄单号填写，可提前设置邮寄单号填写时间，方便在考试结束后进行邮寄单号登记。</w:t>
      </w:r>
    </w:p>
    <w:p w14:paraId="62BCE39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（21）支持摄像头反转功能，在监考过程中，监考老师可以反转考生摄像头。</w:t>
      </w:r>
    </w:p>
    <w:p w14:paraId="0372EE39">
      <w:pPr>
        <w:pStyle w:val="24"/>
        <w:spacing w:after="0" w:line="360" w:lineRule="auto"/>
        <w:ind w:firstLine="600"/>
        <w:jc w:val="both"/>
        <w:rPr>
          <w:rFonts w:hint="eastAsia" w:ascii="宋体" w:hAnsi="宋体" w:eastAsia="宋体" w:cs="仿宋"/>
          <w:sz w:val="24"/>
          <w:szCs w:val="24"/>
        </w:rPr>
      </w:pPr>
      <w:bookmarkStart w:id="26" w:name="_Toc211526426"/>
      <w:r>
        <w:rPr>
          <w:rFonts w:hint="eastAsia" w:ascii="宋体" w:hAnsi="宋体" w:eastAsia="宋体" w:cs="仿宋"/>
          <w:sz w:val="24"/>
          <w:szCs w:val="24"/>
        </w:rPr>
        <w:t>4.线上考试（直播面试）</w:t>
      </w:r>
      <w:bookmarkEnd w:id="26"/>
    </w:p>
    <w:p w14:paraId="6B29AB3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（1）支持双机位线上面试，评分端使用网页或客户端软件登录，能够同时显示出考生主机和辅机画面。考生主机可显示出评委端画面及考题信息。</w:t>
      </w:r>
    </w:p>
    <w:p w14:paraId="3899504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（2）考试过程的主机和辅机画面全程云录制，考试后，提供统一下载链接供下载。</w:t>
      </w:r>
    </w:p>
    <w:p w14:paraId="6CA9160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（3）提供排队功能，考生按顺序号参加面试考试，系统自动提醒考生参加考试和当前考试顺序号。考生考试时，系统能够直接呼叫考生，以便考生及时接入视频参加考试。</w:t>
      </w:r>
    </w:p>
    <w:p w14:paraId="2DBF9FE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（4）考试页面预加载和显示考生上传的个人资料和文件，供考场管理员（或考评教师）随时打开查看。</w:t>
      </w:r>
    </w:p>
    <w:p w14:paraId="2B6731B9">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（5）考场管理员操作面试客户端，负责给考生发题，可呼叫考生考试和移除考生出面试考场，也可跳过考生。</w:t>
      </w:r>
    </w:p>
    <w:p w14:paraId="30EB4BE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考场支持至少5位评委老师评分，使用PAD或电脑进行打分。评分页面显示当前考生的评分项目（可能有多个）和评分框，同时显示当前考场考生的评分情况。评委按考场分组提交成绩，在本考场成绩未完全提交前，可对已打出的成绩做出修改，系统自动记录评委的修改过程。</w:t>
      </w:r>
    </w:p>
    <w:p w14:paraId="4DCB40D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（7）可配置评委老师电子签名，评委老师在登录时进行电子签名，用于后期导出评分记录表使用。</w:t>
      </w:r>
    </w:p>
    <w:p w14:paraId="09828DB6">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（8）评委可使用考场管理员麦克风实时通过主机或辅机与考生对话。</w:t>
      </w:r>
    </w:p>
    <w:p w14:paraId="7083354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（9）提供成绩导出和打印功能，按照考场，导出评分专家的评分记录表，供评委专家签字确认或使用专家的电子签名。</w:t>
      </w:r>
    </w:p>
    <w:p w14:paraId="74A03E3B">
      <w:pPr>
        <w:pStyle w:val="24"/>
        <w:spacing w:after="0" w:line="360" w:lineRule="auto"/>
        <w:ind w:firstLine="600"/>
        <w:jc w:val="both"/>
        <w:rPr>
          <w:rFonts w:hint="eastAsia" w:ascii="宋体" w:hAnsi="宋体" w:eastAsia="宋体" w:cs="仿宋"/>
          <w:sz w:val="24"/>
          <w:szCs w:val="24"/>
        </w:rPr>
      </w:pPr>
      <w:bookmarkStart w:id="27" w:name="_Toc211526427"/>
      <w:r>
        <w:rPr>
          <w:rFonts w:hint="eastAsia" w:ascii="宋体" w:hAnsi="宋体" w:eastAsia="宋体" w:cs="仿宋"/>
          <w:sz w:val="24"/>
          <w:szCs w:val="24"/>
        </w:rPr>
        <w:t>5.考试监控中心</w:t>
      </w:r>
      <w:bookmarkEnd w:id="27"/>
    </w:p>
    <w:p w14:paraId="4280626E">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（1）支持实时监控和统计各考点各专业的考试情况。</w:t>
      </w:r>
    </w:p>
    <w:p w14:paraId="524CFFAF">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（2）支持多维度查询，例如分省、分专业查看考试明细、重考记录、缺考信息等。</w:t>
      </w:r>
    </w:p>
    <w:p w14:paraId="6EF9C1B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（3）提供线上考试考生日志查询。</w:t>
      </w:r>
    </w:p>
    <w:p w14:paraId="7E89DEA6">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（4）提供线上考试（直播监考）考试时，各监考员监考状态查询情况。</w:t>
      </w:r>
    </w:p>
    <w:p w14:paraId="0A2F7DAB">
      <w:pPr>
        <w:pStyle w:val="24"/>
        <w:spacing w:after="0" w:line="360" w:lineRule="auto"/>
        <w:ind w:firstLine="600"/>
        <w:jc w:val="both"/>
        <w:rPr>
          <w:rFonts w:hint="eastAsia" w:ascii="宋体" w:hAnsi="宋体" w:eastAsia="宋体" w:cs="仿宋"/>
          <w:sz w:val="24"/>
          <w:szCs w:val="24"/>
        </w:rPr>
      </w:pPr>
      <w:bookmarkStart w:id="28" w:name="_Toc211526428"/>
      <w:r>
        <w:rPr>
          <w:rFonts w:hint="eastAsia" w:ascii="宋体" w:hAnsi="宋体" w:eastAsia="宋体" w:cs="仿宋"/>
          <w:sz w:val="24"/>
          <w:szCs w:val="24"/>
        </w:rPr>
        <w:t>（三）评分评卷系统</w:t>
      </w:r>
      <w:bookmarkEnd w:id="28"/>
    </w:p>
    <w:p w14:paraId="5AF4CA3C">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评分评卷系统主要针对网络考试产生的视频、图片进行线上评分，支持多种评分方式、分组方式、评分规则。对评分进度、分数分布等评分情况进行实时监控，具备异常情况及时提醒和评分结果的导出打印功能。</w:t>
      </w:r>
    </w:p>
    <w:p w14:paraId="7BFF33B7">
      <w:pPr>
        <w:pStyle w:val="24"/>
        <w:spacing w:after="0" w:line="360" w:lineRule="auto"/>
        <w:ind w:firstLine="600"/>
        <w:jc w:val="both"/>
        <w:rPr>
          <w:rFonts w:hint="eastAsia" w:ascii="宋体" w:hAnsi="宋体" w:eastAsia="宋体" w:cs="仿宋"/>
          <w:sz w:val="24"/>
          <w:szCs w:val="24"/>
        </w:rPr>
      </w:pPr>
      <w:bookmarkStart w:id="29" w:name="_Toc211526429"/>
      <w:r>
        <w:rPr>
          <w:rFonts w:hint="eastAsia" w:ascii="宋体" w:hAnsi="宋体" w:eastAsia="宋体" w:cs="仿宋"/>
          <w:sz w:val="24"/>
          <w:szCs w:val="24"/>
        </w:rPr>
        <w:t>1.视频（图片）评分</w:t>
      </w:r>
      <w:bookmarkEnd w:id="29"/>
    </w:p>
    <w:p w14:paraId="086FDE1B">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（1）支持阅卷系统部署在本地服务器使用，也支持阅卷系统部署云端直接线上评分的方式使用。若服务器部署本地，评分时根据需要，提供1-2名技术人员现场支持。</w:t>
      </w:r>
    </w:p>
    <w:p w14:paraId="46A87791">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（2）视频评分，评分前对视频进行检查，以校验视频数量是否正确，同时发现无效的视频，如视频时长过短或无法播放。</w:t>
      </w:r>
    </w:p>
    <w:p w14:paraId="47FFD3A3">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（3）图片评分，总评分专家需3人以上，每幅作品随机分给3位、5位或7位专家。专家评分时，每屏可显示1幅作品或多幅作品。</w:t>
      </w:r>
    </w:p>
    <w:p w14:paraId="3C66E583">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评分分档功能，视频评分可先进行分档，分档后再根据分档结果进行评分。分档有两种形式可选择。一是根据多位专家给出的档位多数进行定档。二是每个专家给出的档位进行加权求和后总分进行定档。分档时，无法确定档位的考生可能进行多轮分档来进行定档。</w:t>
      </w:r>
    </w:p>
    <w:p w14:paraId="527FAF80">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（5）评分任务分配，可按专家每天的工作量将考生随机分配，分配时，可根据评委的身份如校内校外按比例随机分配，当评委人数大于5人时，也可随机分配和限制比例。</w:t>
      </w:r>
    </w:p>
    <w:p w14:paraId="077CA456">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（6）可按评委个人动态增加每天的工作量。</w:t>
      </w:r>
    </w:p>
    <w:p w14:paraId="53B91AC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（7）提供电子签名功能，评分专家登录评分系统后，可进行电子签名，用作后期导出评分记录表使用。</w:t>
      </w:r>
    </w:p>
    <w:p w14:paraId="7F44620F">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（8）评分界面可根据设置，显示考生照片，性别，身高等个人信息。可显示考题（图片或文字）等考试信息。可显示评委每天的工作量和剩余的工作量等信息。</w:t>
      </w:r>
    </w:p>
    <w:p w14:paraId="7D72D4A1">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（9）视频评分，评委按组提交，每组数据提交前，评委可修改分数，提交后，不允许修改。</w:t>
      </w:r>
    </w:p>
    <w:p w14:paraId="39541601">
      <w:pPr>
        <w:pStyle w:val="24"/>
        <w:widowControl w:val="0"/>
        <w:spacing w:after="0" w:line="360" w:lineRule="auto"/>
        <w:ind w:firstLine="601"/>
        <w:jc w:val="both"/>
        <w:rPr>
          <w:rFonts w:hint="eastAsia" w:ascii="宋体" w:hAnsi="宋体" w:eastAsia="宋体" w:cs="仿宋"/>
          <w:sz w:val="24"/>
          <w:szCs w:val="24"/>
        </w:rPr>
      </w:pPr>
      <w:r>
        <w:rPr>
          <w:rFonts w:hint="eastAsia" w:ascii="宋体" w:hAnsi="宋体" w:eastAsia="宋体" w:cs="仿宋"/>
          <w:sz w:val="24"/>
          <w:szCs w:val="24"/>
        </w:rPr>
        <w:t>（10）评分界面操作友好，图片评分页面布局合理，具有单击可放大图片等功能；视频评分页面可旋转视频，可以使用键盘快捷键操作（打分，上一个，下一个，视频快进、后退和暂停播放等）。</w:t>
      </w:r>
    </w:p>
    <w:p w14:paraId="69DD0565">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（11）评委评分时，限制评分速度，如可以设置考题倒计时功能。会先弹出考生的考题，在倒计时结束后才能播放视频和评分。也可限制评委在每个视频开始一段时间后才可打分。</w:t>
      </w:r>
    </w:p>
    <w:p w14:paraId="5F24D625">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（12）提供视频异常标记功能，标记在考生科目和对应的评委专家上面，在后台可以筛选查询。 异常可以自定义设置。</w:t>
      </w:r>
    </w:p>
    <w:p w14:paraId="23383D35">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（13）提供志愿选择功能。评委在评分时可以设置考生的志愿，如设置考生乐器，唱法等。</w:t>
      </w:r>
    </w:p>
    <w:p w14:paraId="3F90E615">
      <w:pPr>
        <w:pStyle w:val="24"/>
        <w:spacing w:after="0" w:line="360" w:lineRule="auto"/>
        <w:ind w:firstLine="600"/>
        <w:jc w:val="both"/>
        <w:rPr>
          <w:rFonts w:hint="eastAsia" w:ascii="宋体" w:hAnsi="宋体" w:eastAsia="宋体" w:cs="仿宋"/>
          <w:sz w:val="24"/>
          <w:szCs w:val="24"/>
        </w:rPr>
      </w:pPr>
      <w:bookmarkStart w:id="30" w:name="_Toc211526430"/>
      <w:r>
        <w:rPr>
          <w:rFonts w:hint="eastAsia" w:ascii="宋体" w:hAnsi="宋体" w:eastAsia="宋体" w:cs="仿宋"/>
          <w:sz w:val="24"/>
          <w:szCs w:val="24"/>
        </w:rPr>
        <w:t>2.评分后台功能</w:t>
      </w:r>
      <w:bookmarkEnd w:id="30"/>
    </w:p>
    <w:p w14:paraId="34D78693">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（1）视频（图片）类线上评分，提供实时监控功能，可在评分后台实时监控每位专家的评分进度。</w:t>
      </w:r>
    </w:p>
    <w:p w14:paraId="4B52922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（2）视频（图片）类线上评分，提供成绩导出功能，每日专家评分结束以后，按每位专家的评分分组情况导出当天的评分数据，供专家签字确认使用（或使用专家的电子签名）。</w:t>
      </w:r>
    </w:p>
    <w:p w14:paraId="39BE2A2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视频（图片）类线上评分，提供异常汇总和处理功能，分专业对异常评分进行汇总显示，由管理员进行审核，审核结果可以是确认成绩和打回重评，对打回重评的成绩，系统需做好记录。打回重评的考生在当天专家评分任务完成后，显示给专家重评。已审核异常和未审核异常分组显示。</w:t>
      </w:r>
    </w:p>
    <w:p w14:paraId="4F63EC4A">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提供异常评分检测功能，对评分超过设定差值阀限的，启动复核机制，复核时，以考生所在专家组给出的最高分和最低分之差作为阀值，系统自动将成绩超出阀值的考生对应的所有专家成绩全部打回，由该组专家进行复核。</w:t>
      </w:r>
    </w:p>
    <w:p w14:paraId="476CAFB8">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（5）数据导出功能，所有评分结束以后，可按照科目导出所有考生对应的经专家确认后的成绩，以便下一步的成绩处理使用。</w:t>
      </w:r>
    </w:p>
    <w:p w14:paraId="2F9E01B5">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（6）数据库备份功能，评分过程中，每天或执行重要操作之前，备份数据库。</w:t>
      </w:r>
    </w:p>
    <w:p w14:paraId="5BB44AC1">
      <w:pPr>
        <w:pStyle w:val="24"/>
        <w:spacing w:after="0" w:line="360" w:lineRule="auto"/>
        <w:ind w:firstLine="600"/>
        <w:jc w:val="both"/>
        <w:rPr>
          <w:rFonts w:hint="eastAsia" w:ascii="宋体" w:hAnsi="宋体" w:eastAsia="宋体" w:cs="仿宋"/>
          <w:b/>
          <w:bCs/>
          <w:sz w:val="24"/>
          <w:szCs w:val="24"/>
        </w:rPr>
      </w:pPr>
      <w:bookmarkStart w:id="31" w:name="_Toc211526431"/>
      <w:r>
        <w:rPr>
          <w:rFonts w:hint="eastAsia" w:ascii="宋体" w:hAnsi="宋体" w:eastAsia="宋体" w:cs="仿宋"/>
          <w:b/>
          <w:bCs/>
          <w:sz w:val="24"/>
          <w:szCs w:val="24"/>
        </w:rPr>
        <w:t>四、其他需求</w:t>
      </w:r>
      <w:bookmarkEnd w:id="31"/>
    </w:p>
    <w:p w14:paraId="2EA4AB53">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1.提供网络考试（实时监考）科目考试，考生监考视频和提交作品查看工具，便于后期快速对考生考试情况进行复核。</w:t>
      </w:r>
    </w:p>
    <w:p w14:paraId="7E4D677D">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2.提供考试图片、文件和视频批量下载工具，便于考试后批量下载和整理考试数据。</w:t>
      </w:r>
    </w:p>
    <w:p w14:paraId="7A882C8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3.提供技术人员现场支持。考试和评分过程，根据需要，必要时提供合适人数的专业技术人员在现场提供支持。</w:t>
      </w:r>
    </w:p>
    <w:p w14:paraId="55213CA4">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4.提供短信推送服务。因考试需要，可面向特定考生推送指定内容的短信。</w:t>
      </w:r>
    </w:p>
    <w:p w14:paraId="77203452">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5.系统兼容性。考生端应用支持近两年内主流机型，支持多种标准音视频格式：MP3、m4a、MP4。</w:t>
      </w:r>
    </w:p>
    <w:p w14:paraId="29841857">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6.录制质量。涉及视频录制的场景，支持标清和高清多种分辨率录制。音质高保真无变声，画质清晰流畅，保证音画同步。</w:t>
      </w:r>
    </w:p>
    <w:p w14:paraId="4BA68078">
      <w:pPr>
        <w:pStyle w:val="24"/>
        <w:spacing w:after="0" w:line="360" w:lineRule="auto"/>
        <w:ind w:firstLine="600"/>
        <w:jc w:val="both"/>
        <w:rPr>
          <w:rFonts w:hint="eastAsia" w:ascii="宋体" w:hAnsi="宋体" w:eastAsia="宋体" w:cs="仿宋"/>
          <w:sz w:val="24"/>
          <w:szCs w:val="24"/>
        </w:rPr>
      </w:pPr>
      <w:r>
        <w:rPr>
          <w:rFonts w:hint="eastAsia" w:ascii="宋体" w:hAnsi="宋体" w:eastAsia="宋体" w:cs="仿宋"/>
          <w:sz w:val="24"/>
          <w:szCs w:val="24"/>
        </w:rPr>
        <w:t>7、提供考生考试时人脸识别相似度及结果下载。</w:t>
      </w:r>
    </w:p>
    <w:p w14:paraId="4D9B64A5">
      <w:pPr>
        <w:pStyle w:val="24"/>
        <w:widowControl w:val="0"/>
        <w:spacing w:before="163" w:beforeLines="50" w:after="163" w:afterLines="50" w:line="360" w:lineRule="auto"/>
        <w:jc w:val="both"/>
        <w:rPr>
          <w:rFonts w:hint="eastAsia" w:ascii="宋体" w:hAnsi="宋体" w:eastAsia="宋体" w:cs="宋体"/>
          <w:sz w:val="24"/>
          <w:szCs w:val="24"/>
        </w:rPr>
      </w:pPr>
    </w:p>
    <w:p w14:paraId="5D70DABE">
      <w:pPr>
        <w:pStyle w:val="24"/>
        <w:spacing w:before="163" w:beforeLines="50" w:after="163" w:afterLines="50" w:line="360" w:lineRule="auto"/>
        <w:jc w:val="both"/>
        <w:rPr>
          <w:rFonts w:hint="eastAsia" w:ascii="宋体" w:hAnsi="宋体" w:eastAsia="宋体" w:cs="宋体"/>
          <w:sz w:val="28"/>
          <w:szCs w:val="28"/>
        </w:rPr>
        <w:sectPr>
          <w:footerReference r:id="rId4" w:type="default"/>
          <w:pgSz w:w="11906" w:h="16838"/>
          <w:pgMar w:top="1418" w:right="1418" w:bottom="1418" w:left="1418" w:header="851" w:footer="850" w:gutter="0"/>
          <w:pgNumType w:start="1"/>
          <w:cols w:space="425" w:num="1"/>
          <w:docGrid w:type="linesAndChars" w:linePitch="326" w:charSpace="0"/>
        </w:sectPr>
      </w:pPr>
    </w:p>
    <w:p w14:paraId="4D848BD5">
      <w:pPr>
        <w:pStyle w:val="10"/>
        <w:spacing w:before="120" w:beforeLines="50" w:afterLines="50"/>
        <w:ind w:firstLine="0" w:firstLineChars="0"/>
        <w:rPr>
          <w:rFonts w:hint="eastAsia" w:ascii="宋体" w:hAnsi="宋体" w:eastAsia="宋体" w:cs="宋体"/>
          <w:b/>
          <w:bCs/>
          <w:sz w:val="24"/>
          <w:lang w:eastAsia="zh-CN"/>
        </w:rPr>
      </w:pPr>
      <w:r>
        <w:rPr>
          <w:rFonts w:hint="eastAsia" w:ascii="宋体" w:hAnsi="宋体" w:eastAsia="宋体" w:cs="宋体"/>
          <w:b/>
          <w:bCs/>
          <w:sz w:val="24"/>
          <w:lang w:eastAsia="zh-CN"/>
        </w:rPr>
        <w:t>附件3：评标办法</w:t>
      </w:r>
    </w:p>
    <w:tbl>
      <w:tblPr>
        <w:tblStyle w:val="1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072"/>
        <w:gridCol w:w="1134"/>
        <w:gridCol w:w="6746"/>
      </w:tblGrid>
      <w:tr w14:paraId="0786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14:paraId="70F537ED">
            <w:pPr>
              <w:spacing w:after="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072" w:type="dxa"/>
            <w:vAlign w:val="center"/>
          </w:tcPr>
          <w:p w14:paraId="0A6F7F3B">
            <w:pPr>
              <w:spacing w:after="0"/>
              <w:jc w:val="center"/>
              <w:rPr>
                <w:rFonts w:hint="eastAsia" w:ascii="宋体" w:hAnsi="宋体" w:eastAsia="宋体" w:cs="宋体"/>
                <w:b/>
                <w:bCs/>
                <w:sz w:val="21"/>
                <w:szCs w:val="21"/>
              </w:rPr>
            </w:pPr>
            <w:r>
              <w:rPr>
                <w:rFonts w:hint="eastAsia" w:ascii="宋体" w:hAnsi="宋体" w:eastAsia="宋体" w:cs="宋体"/>
                <w:b/>
                <w:bCs/>
                <w:sz w:val="21"/>
                <w:szCs w:val="21"/>
              </w:rPr>
              <w:t>评分因素及权重</w:t>
            </w:r>
          </w:p>
        </w:tc>
        <w:tc>
          <w:tcPr>
            <w:tcW w:w="1134" w:type="dxa"/>
            <w:vAlign w:val="center"/>
          </w:tcPr>
          <w:p w14:paraId="72709EEC">
            <w:pPr>
              <w:spacing w:after="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6746" w:type="dxa"/>
            <w:vAlign w:val="center"/>
          </w:tcPr>
          <w:p w14:paraId="658DAF2E">
            <w:pPr>
              <w:spacing w:after="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r>
      <w:tr w14:paraId="586D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24" w:type="dxa"/>
            <w:vAlign w:val="center"/>
          </w:tcPr>
          <w:p w14:paraId="49B0C057">
            <w:pPr>
              <w:spacing w:after="0"/>
              <w:jc w:val="center"/>
              <w:rPr>
                <w:rFonts w:hint="eastAsia" w:ascii="宋体" w:hAnsi="宋体" w:eastAsia="宋体" w:cs="宋体"/>
                <w:sz w:val="21"/>
                <w:szCs w:val="21"/>
              </w:rPr>
            </w:pPr>
            <w:r>
              <w:rPr>
                <w:rFonts w:hint="eastAsia" w:ascii="宋体" w:hAnsi="宋体" w:eastAsia="宋体" w:cs="宋体"/>
                <w:sz w:val="21"/>
                <w:szCs w:val="21"/>
              </w:rPr>
              <w:t>一</w:t>
            </w:r>
          </w:p>
        </w:tc>
        <w:tc>
          <w:tcPr>
            <w:tcW w:w="1072" w:type="dxa"/>
            <w:vAlign w:val="center"/>
          </w:tcPr>
          <w:p w14:paraId="1CCF9AE8">
            <w:pPr>
              <w:spacing w:after="0"/>
              <w:jc w:val="center"/>
              <w:rPr>
                <w:rFonts w:hint="eastAsia" w:ascii="宋体" w:hAnsi="宋体" w:eastAsia="宋体" w:cs="宋体"/>
                <w:sz w:val="21"/>
                <w:szCs w:val="21"/>
              </w:rPr>
            </w:pPr>
            <w:r>
              <w:rPr>
                <w:rFonts w:hint="eastAsia" w:ascii="宋体" w:hAnsi="宋体" w:eastAsia="宋体" w:cs="宋体"/>
                <w:sz w:val="21"/>
                <w:szCs w:val="21"/>
              </w:rPr>
              <w:t>投标报价</w:t>
            </w:r>
          </w:p>
          <w:p w14:paraId="63766CD4">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w:t>
            </w:r>
          </w:p>
        </w:tc>
        <w:tc>
          <w:tcPr>
            <w:tcW w:w="1134" w:type="dxa"/>
            <w:vAlign w:val="center"/>
          </w:tcPr>
          <w:p w14:paraId="5139E3D8">
            <w:pPr>
              <w:spacing w:after="0"/>
              <w:jc w:val="center"/>
              <w:rPr>
                <w:rFonts w:hint="eastAsia" w:ascii="宋体" w:hAnsi="宋体" w:eastAsia="宋体" w:cs="宋体"/>
                <w:sz w:val="21"/>
                <w:szCs w:val="21"/>
              </w:rPr>
            </w:pPr>
            <w:r>
              <w:rPr>
                <w:rFonts w:hint="eastAsia" w:ascii="宋体" w:hAnsi="宋体" w:eastAsia="宋体" w:cs="宋体"/>
                <w:sz w:val="21"/>
                <w:szCs w:val="21"/>
              </w:rPr>
              <w:t>报价</w:t>
            </w:r>
          </w:p>
          <w:p w14:paraId="34E6C5B6">
            <w:pPr>
              <w:spacing w:after="0"/>
              <w:jc w:val="center"/>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分</w:t>
            </w:r>
          </w:p>
        </w:tc>
        <w:tc>
          <w:tcPr>
            <w:tcW w:w="6746" w:type="dxa"/>
            <w:vAlign w:val="center"/>
          </w:tcPr>
          <w:p w14:paraId="143BB4B5">
            <w:pPr>
              <w:spacing w:after="0"/>
              <w:jc w:val="both"/>
              <w:rPr>
                <w:rFonts w:hint="eastAsia" w:ascii="宋体" w:hAnsi="宋体" w:eastAsia="宋体" w:cs="宋体"/>
                <w:sz w:val="21"/>
                <w:szCs w:val="21"/>
              </w:rPr>
            </w:pPr>
            <w:r>
              <w:rPr>
                <w:rFonts w:hint="eastAsia" w:ascii="宋体" w:hAnsi="宋体" w:eastAsia="宋体" w:cs="宋体"/>
                <w:sz w:val="21"/>
                <w:szCs w:val="21"/>
              </w:rPr>
              <w:t>有效的投标报价中的最低价为评标基准价，其价格分为满分。其他投标人的价格分统一按照下列公式计算：</w:t>
            </w:r>
          </w:p>
          <w:p w14:paraId="51903235">
            <w:pPr>
              <w:spacing w:after="0"/>
              <w:jc w:val="both"/>
              <w:rPr>
                <w:rFonts w:hint="eastAsia" w:ascii="宋体" w:hAnsi="宋体" w:eastAsia="宋体" w:cs="宋体"/>
                <w:sz w:val="21"/>
                <w:szCs w:val="21"/>
              </w:rPr>
            </w:pPr>
            <w:r>
              <w:rPr>
                <w:rFonts w:hint="eastAsia" w:ascii="宋体" w:hAnsi="宋体" w:eastAsia="宋体" w:cs="宋体"/>
                <w:sz w:val="21"/>
                <w:szCs w:val="21"/>
              </w:rPr>
              <w:t>投标报价得分＝（评审基准价/响应报价）×10分。</w:t>
            </w:r>
          </w:p>
          <w:p w14:paraId="23E30CC6">
            <w:pPr>
              <w:pStyle w:val="11"/>
              <w:ind w:left="0" w:leftChars="0" w:firstLine="0" w:firstLineChars="0"/>
              <w:jc w:val="both"/>
              <w:rPr>
                <w:sz w:val="21"/>
                <w:szCs w:val="21"/>
              </w:rPr>
            </w:pPr>
            <w:r>
              <w:rPr>
                <w:rFonts w:hint="eastAsia" w:ascii="宋体" w:hAnsi="宋体" w:eastAsia="宋体" w:cs="宋体"/>
                <w:sz w:val="21"/>
                <w:szCs w:val="21"/>
              </w:rPr>
              <w:t>评审小组认为供应商的报价明显低于其他通过符合性审查供应商的报价，有可能影响产品（服务）质量或者不能诚信履约的，应当要求其在评标现场合理的时间内提供书面说明，必要时提交相关证明材料；供应商不能证明其报价合理性的，评审小组应当将其作为无效投标处理。</w:t>
            </w:r>
          </w:p>
        </w:tc>
      </w:tr>
      <w:tr w14:paraId="7456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624" w:type="dxa"/>
            <w:vMerge w:val="restart"/>
            <w:vAlign w:val="center"/>
          </w:tcPr>
          <w:p w14:paraId="05CC6A2C">
            <w:pPr>
              <w:spacing w:after="0"/>
              <w:jc w:val="center"/>
              <w:rPr>
                <w:rFonts w:hint="eastAsia" w:ascii="宋体" w:hAnsi="宋体" w:eastAsia="宋体" w:cs="宋体"/>
                <w:sz w:val="21"/>
                <w:szCs w:val="21"/>
              </w:rPr>
            </w:pPr>
            <w:r>
              <w:rPr>
                <w:rFonts w:hint="eastAsia" w:ascii="宋体" w:hAnsi="宋体" w:eastAsia="宋体" w:cs="宋体"/>
                <w:sz w:val="21"/>
                <w:szCs w:val="21"/>
              </w:rPr>
              <w:t>二</w:t>
            </w:r>
          </w:p>
        </w:tc>
        <w:tc>
          <w:tcPr>
            <w:tcW w:w="1072" w:type="dxa"/>
            <w:vMerge w:val="restart"/>
            <w:vAlign w:val="center"/>
          </w:tcPr>
          <w:p w14:paraId="0E11C525">
            <w:pPr>
              <w:spacing w:after="0"/>
              <w:jc w:val="center"/>
              <w:rPr>
                <w:rFonts w:hint="eastAsia" w:ascii="宋体" w:hAnsi="宋体" w:eastAsia="宋体" w:cs="宋体"/>
                <w:sz w:val="21"/>
                <w:szCs w:val="21"/>
              </w:rPr>
            </w:pPr>
            <w:r>
              <w:rPr>
                <w:rFonts w:hint="eastAsia" w:ascii="宋体" w:hAnsi="宋体" w:eastAsia="宋体" w:cs="宋体"/>
                <w:sz w:val="21"/>
                <w:szCs w:val="21"/>
              </w:rPr>
              <w:t>技术部分</w:t>
            </w:r>
          </w:p>
          <w:p w14:paraId="5AC4E7E5">
            <w:pPr>
              <w:spacing w:after="0"/>
              <w:jc w:val="center"/>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60</w:t>
            </w:r>
            <w:r>
              <w:rPr>
                <w:rFonts w:hint="eastAsia" w:ascii="宋体" w:hAnsi="宋体" w:eastAsia="宋体" w:cs="宋体"/>
                <w:sz w:val="21"/>
                <w:szCs w:val="21"/>
              </w:rPr>
              <w:t>%</w:t>
            </w:r>
            <w:r>
              <w:rPr>
                <w:rFonts w:ascii="宋体" w:hAnsi="宋体" w:eastAsia="宋体" w:cs="宋体"/>
                <w:sz w:val="21"/>
                <w:szCs w:val="21"/>
              </w:rPr>
              <w:t>)</w:t>
            </w:r>
          </w:p>
        </w:tc>
        <w:tc>
          <w:tcPr>
            <w:tcW w:w="1134" w:type="dxa"/>
            <w:vAlign w:val="center"/>
          </w:tcPr>
          <w:p w14:paraId="4F0112A8">
            <w:pPr>
              <w:spacing w:after="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w:t>
            </w:r>
            <w:r>
              <w:rPr>
                <w:rFonts w:hint="eastAsia" w:ascii="宋体" w:hAnsi="宋体" w:eastAsia="宋体" w:cs="宋体"/>
                <w:sz w:val="21"/>
                <w:szCs w:val="21"/>
              </w:rPr>
              <w:t>方案</w:t>
            </w:r>
          </w:p>
          <w:p w14:paraId="7735A865">
            <w:pPr>
              <w:spacing w:after="0"/>
              <w:jc w:val="center"/>
              <w:rPr>
                <w:rFonts w:hint="eastAsia" w:ascii="宋体" w:hAnsi="宋体" w:eastAsia="宋体"/>
                <w:sz w:val="21"/>
                <w:szCs w:val="21"/>
              </w:rPr>
            </w:pPr>
            <w:r>
              <w:rPr>
                <w:rFonts w:hint="eastAsia" w:ascii="宋体" w:hAnsi="宋体" w:eastAsia="宋体"/>
                <w:sz w:val="21"/>
                <w:szCs w:val="21"/>
              </w:rPr>
              <w:t>(</w:t>
            </w:r>
            <w:r>
              <w:rPr>
                <w:rFonts w:ascii="宋体" w:hAnsi="宋体" w:eastAsia="宋体"/>
                <w:sz w:val="21"/>
                <w:szCs w:val="21"/>
              </w:rPr>
              <w:t>20</w:t>
            </w:r>
            <w:r>
              <w:rPr>
                <w:rFonts w:hint="eastAsia" w:ascii="宋体" w:hAnsi="宋体" w:eastAsia="宋体"/>
                <w:sz w:val="21"/>
                <w:szCs w:val="21"/>
              </w:rPr>
              <w:t>分)</w:t>
            </w:r>
          </w:p>
        </w:tc>
        <w:tc>
          <w:tcPr>
            <w:tcW w:w="6746" w:type="dxa"/>
            <w:vAlign w:val="center"/>
          </w:tcPr>
          <w:p w14:paraId="608A2413">
            <w:pPr>
              <w:spacing w:after="0"/>
              <w:jc w:val="both"/>
              <w:rPr>
                <w:rFonts w:hint="eastAsia" w:ascii="宋体" w:hAnsi="宋体" w:eastAsia="宋体" w:cs="宋体"/>
                <w:sz w:val="21"/>
                <w:szCs w:val="21"/>
              </w:rPr>
            </w:pPr>
            <w:r>
              <w:rPr>
                <w:rFonts w:hint="eastAsia" w:ascii="宋体" w:hAnsi="宋体" w:eastAsia="宋体" w:cs="宋体"/>
                <w:sz w:val="21"/>
                <w:szCs w:val="21"/>
              </w:rPr>
              <w:t>（1档）</w:t>
            </w:r>
            <w:r>
              <w:rPr>
                <w:rFonts w:ascii="宋体" w:hAnsi="宋体" w:eastAsia="宋体" w:cs="宋体"/>
                <w:sz w:val="21"/>
                <w:szCs w:val="21"/>
              </w:rPr>
              <w:t>20</w:t>
            </w:r>
            <w:r>
              <w:rPr>
                <w:rFonts w:hint="eastAsia" w:ascii="宋体" w:hAnsi="宋体" w:eastAsia="宋体" w:cs="宋体"/>
                <w:sz w:val="21"/>
                <w:szCs w:val="21"/>
              </w:rPr>
              <w:t>分：总体项目技术方案内容全面、功能叙述详尽，总体架构思路清晰；</w:t>
            </w:r>
          </w:p>
          <w:p w14:paraId="2E96D0A2">
            <w:pPr>
              <w:spacing w:after="0"/>
              <w:jc w:val="both"/>
              <w:rPr>
                <w:rFonts w:hint="eastAsia" w:ascii="宋体" w:hAnsi="宋体" w:eastAsia="宋体" w:cs="宋体"/>
                <w:sz w:val="21"/>
                <w:szCs w:val="21"/>
              </w:rPr>
            </w:pPr>
            <w:r>
              <w:rPr>
                <w:rFonts w:hint="eastAsia" w:ascii="宋体" w:hAnsi="宋体" w:eastAsia="宋体" w:cs="宋体"/>
                <w:sz w:val="21"/>
                <w:szCs w:val="21"/>
              </w:rPr>
              <w:t>（2档）</w:t>
            </w:r>
            <w:r>
              <w:rPr>
                <w:rFonts w:ascii="宋体" w:hAnsi="宋体" w:eastAsia="宋体" w:cs="宋体"/>
                <w:sz w:val="21"/>
                <w:szCs w:val="21"/>
              </w:rPr>
              <w:t>13</w:t>
            </w:r>
            <w:r>
              <w:rPr>
                <w:rFonts w:hint="eastAsia" w:ascii="宋体" w:hAnsi="宋体" w:eastAsia="宋体" w:cs="宋体"/>
                <w:sz w:val="21"/>
                <w:szCs w:val="21"/>
              </w:rPr>
              <w:t>分：总体项目技术方案内容较全面、功能叙述详尽，总体架构思路清晰；</w:t>
            </w:r>
          </w:p>
          <w:p w14:paraId="6ACEA79F">
            <w:pPr>
              <w:spacing w:after="0"/>
              <w:jc w:val="both"/>
              <w:rPr>
                <w:rFonts w:hint="eastAsia" w:ascii="宋体" w:hAnsi="宋体" w:eastAsia="宋体" w:cs="宋体"/>
                <w:sz w:val="21"/>
                <w:szCs w:val="21"/>
              </w:rPr>
            </w:pPr>
            <w:r>
              <w:rPr>
                <w:rFonts w:hint="eastAsia" w:ascii="宋体" w:hAnsi="宋体" w:eastAsia="宋体" w:cs="宋体"/>
                <w:sz w:val="21"/>
                <w:szCs w:val="21"/>
              </w:rPr>
              <w:t>（3档)</w:t>
            </w:r>
            <w:r>
              <w:rPr>
                <w:rFonts w:ascii="宋体" w:hAnsi="宋体" w:eastAsia="宋体" w:cs="宋体"/>
                <w:sz w:val="21"/>
                <w:szCs w:val="21"/>
              </w:rPr>
              <w:t>7</w:t>
            </w:r>
            <w:r>
              <w:rPr>
                <w:rFonts w:hint="eastAsia" w:ascii="宋体" w:hAnsi="宋体" w:eastAsia="宋体" w:cs="宋体"/>
                <w:sz w:val="21"/>
                <w:szCs w:val="21"/>
              </w:rPr>
              <w:t>分：总体项目技术方案内容基本全面、功能叙述详尽，总体架构思路基本清晰；</w:t>
            </w:r>
          </w:p>
          <w:p w14:paraId="150177A0">
            <w:pPr>
              <w:spacing w:after="0"/>
              <w:jc w:val="both"/>
              <w:rPr>
                <w:rFonts w:hint="eastAsia" w:ascii="宋体" w:hAnsi="宋体" w:eastAsia="宋体" w:cs="宋体"/>
                <w:sz w:val="21"/>
                <w:szCs w:val="21"/>
              </w:rPr>
            </w:pPr>
            <w:r>
              <w:rPr>
                <w:rFonts w:hint="eastAsia" w:ascii="宋体" w:hAnsi="宋体" w:eastAsia="宋体" w:cs="宋体"/>
                <w:sz w:val="21"/>
                <w:szCs w:val="21"/>
              </w:rPr>
              <w:t>（4档）0分：总体项目技术方案内容不全面、功能叙述不详尽，总体架构思路不清晰</w:t>
            </w:r>
          </w:p>
        </w:tc>
      </w:tr>
      <w:tr w14:paraId="7BA0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624" w:type="dxa"/>
            <w:vMerge w:val="continue"/>
            <w:vAlign w:val="center"/>
          </w:tcPr>
          <w:p w14:paraId="4514EE65">
            <w:pPr>
              <w:rPr>
                <w:rFonts w:hint="eastAsia" w:ascii="宋体" w:hAnsi="宋体" w:eastAsia="宋体" w:cs="宋体"/>
                <w:sz w:val="21"/>
                <w:szCs w:val="21"/>
              </w:rPr>
            </w:pPr>
          </w:p>
        </w:tc>
        <w:tc>
          <w:tcPr>
            <w:tcW w:w="1072" w:type="dxa"/>
            <w:vMerge w:val="continue"/>
            <w:vAlign w:val="center"/>
          </w:tcPr>
          <w:p w14:paraId="4F0A6471">
            <w:pPr>
              <w:rPr>
                <w:rFonts w:hint="eastAsia" w:ascii="宋体" w:hAnsi="宋体" w:eastAsia="宋体" w:cs="宋体"/>
                <w:sz w:val="21"/>
                <w:szCs w:val="21"/>
              </w:rPr>
            </w:pPr>
          </w:p>
        </w:tc>
        <w:tc>
          <w:tcPr>
            <w:tcW w:w="1134" w:type="dxa"/>
            <w:vAlign w:val="center"/>
          </w:tcPr>
          <w:p w14:paraId="5CBC3564">
            <w:pPr>
              <w:spacing w:after="0"/>
              <w:jc w:val="center"/>
              <w:rPr>
                <w:rFonts w:hint="eastAsia" w:ascii="宋体" w:hAnsi="宋体" w:eastAsia="宋体" w:cs="宋体"/>
                <w:sz w:val="21"/>
                <w:szCs w:val="21"/>
              </w:rPr>
            </w:pPr>
            <w:r>
              <w:rPr>
                <w:rFonts w:hint="eastAsia" w:ascii="宋体" w:hAnsi="宋体" w:eastAsia="宋体"/>
                <w:sz w:val="21"/>
                <w:szCs w:val="21"/>
              </w:rPr>
              <w:t>项目实施</w:t>
            </w:r>
            <w:r>
              <w:rPr>
                <w:rFonts w:hint="eastAsia" w:ascii="宋体" w:hAnsi="宋体" w:eastAsia="宋体" w:cs="宋体"/>
                <w:sz w:val="21"/>
                <w:szCs w:val="21"/>
              </w:rPr>
              <w:t>方案</w:t>
            </w:r>
          </w:p>
          <w:p w14:paraId="3B591E36">
            <w:pPr>
              <w:spacing w:after="0"/>
              <w:jc w:val="center"/>
              <w:rPr>
                <w:rFonts w:hint="eastAsia" w:ascii="宋体" w:hAnsi="宋体" w:eastAsia="宋体"/>
                <w:kern w:val="2"/>
                <w:sz w:val="21"/>
                <w:szCs w:val="21"/>
              </w:rPr>
            </w:pPr>
            <w:r>
              <w:rPr>
                <w:rFonts w:hint="eastAsia" w:ascii="宋体" w:hAnsi="宋体" w:eastAsia="宋体"/>
                <w:sz w:val="21"/>
                <w:szCs w:val="21"/>
              </w:rPr>
              <w:t>(15分)</w:t>
            </w:r>
          </w:p>
        </w:tc>
        <w:tc>
          <w:tcPr>
            <w:tcW w:w="6746" w:type="dxa"/>
            <w:vAlign w:val="center"/>
          </w:tcPr>
          <w:p w14:paraId="64E8D222">
            <w:pPr>
              <w:spacing w:after="0"/>
              <w:jc w:val="both"/>
              <w:rPr>
                <w:rFonts w:hint="eastAsia" w:ascii="宋体" w:hAnsi="宋体" w:eastAsia="宋体" w:cs="宋体"/>
                <w:sz w:val="21"/>
                <w:szCs w:val="21"/>
              </w:rPr>
            </w:pPr>
            <w:r>
              <w:rPr>
                <w:rFonts w:hint="eastAsia" w:ascii="宋体" w:hAnsi="宋体" w:eastAsia="宋体" w:cs="宋体"/>
                <w:sz w:val="21"/>
                <w:szCs w:val="21"/>
              </w:rPr>
              <w:t>（1档）15分：</w:t>
            </w:r>
            <w:r>
              <w:rPr>
                <w:rFonts w:ascii="宋体" w:hAnsi="宋体" w:eastAsia="宋体" w:cs="宋体"/>
                <w:sz w:val="21"/>
                <w:szCs w:val="21"/>
              </w:rPr>
              <w:t>项目整体实施方案内容科学全面</w:t>
            </w:r>
            <w:r>
              <w:rPr>
                <w:rFonts w:hint="eastAsia" w:ascii="宋体" w:hAnsi="宋体" w:eastAsia="宋体" w:cs="宋体"/>
                <w:sz w:val="21"/>
                <w:szCs w:val="21"/>
              </w:rPr>
              <w:t>、</w:t>
            </w:r>
            <w:r>
              <w:rPr>
                <w:rFonts w:ascii="宋体" w:hAnsi="宋体" w:eastAsia="宋体" w:cs="宋体"/>
                <w:sz w:val="21"/>
                <w:szCs w:val="21"/>
              </w:rPr>
              <w:t>部署明确合理</w:t>
            </w:r>
            <w:r>
              <w:rPr>
                <w:rFonts w:hint="eastAsia" w:ascii="宋体" w:hAnsi="宋体" w:eastAsia="宋体" w:cs="宋体"/>
                <w:sz w:val="21"/>
                <w:szCs w:val="21"/>
              </w:rPr>
              <w:t>，有详实的培训方案，详实的应急方案，可行性强，针对性强，工作方法得当，对项目需求响应全面，完全能够保障项目实施；</w:t>
            </w:r>
          </w:p>
          <w:p w14:paraId="52D25E5B">
            <w:pPr>
              <w:spacing w:after="0"/>
              <w:jc w:val="both"/>
              <w:rPr>
                <w:rFonts w:hint="eastAsia" w:ascii="宋体" w:hAnsi="宋体" w:eastAsia="宋体" w:cs="宋体"/>
                <w:sz w:val="21"/>
                <w:szCs w:val="21"/>
              </w:rPr>
            </w:pPr>
            <w:r>
              <w:rPr>
                <w:rFonts w:hint="eastAsia" w:ascii="宋体" w:hAnsi="宋体" w:eastAsia="宋体" w:cs="宋体"/>
                <w:sz w:val="21"/>
                <w:szCs w:val="21"/>
              </w:rPr>
              <w:t>（2档）1</w:t>
            </w:r>
            <w:r>
              <w:rPr>
                <w:rFonts w:ascii="宋体" w:hAnsi="宋体" w:eastAsia="宋体" w:cs="宋体"/>
                <w:sz w:val="21"/>
                <w:szCs w:val="21"/>
              </w:rPr>
              <w:t>0</w:t>
            </w:r>
            <w:r>
              <w:rPr>
                <w:rFonts w:hint="eastAsia" w:ascii="宋体" w:hAnsi="宋体" w:eastAsia="宋体" w:cs="宋体"/>
                <w:sz w:val="21"/>
                <w:szCs w:val="21"/>
              </w:rPr>
              <w:t>分：</w:t>
            </w:r>
            <w:r>
              <w:rPr>
                <w:rFonts w:ascii="宋体" w:hAnsi="宋体" w:eastAsia="宋体" w:cs="宋体"/>
                <w:sz w:val="21"/>
                <w:szCs w:val="21"/>
              </w:rPr>
              <w:t>项目整体实施方案内容较具体、部署得当，培训方案基本完善、应急方案基本完善</w:t>
            </w:r>
            <w:r>
              <w:rPr>
                <w:rFonts w:hint="eastAsia" w:ascii="宋体" w:hAnsi="宋体" w:eastAsia="宋体" w:cs="宋体"/>
                <w:sz w:val="21"/>
                <w:szCs w:val="21"/>
              </w:rPr>
              <w:t>，</w:t>
            </w:r>
            <w:r>
              <w:rPr>
                <w:rFonts w:ascii="宋体" w:hAnsi="宋体" w:eastAsia="宋体" w:cs="宋体"/>
                <w:sz w:val="21"/>
                <w:szCs w:val="21"/>
              </w:rPr>
              <w:t>对项目需求响应较全面，能够保障项目实施；</w:t>
            </w:r>
          </w:p>
          <w:p w14:paraId="6B7ABA7F">
            <w:pPr>
              <w:spacing w:after="0"/>
              <w:jc w:val="both"/>
              <w:rPr>
                <w:rFonts w:hint="eastAsia" w:ascii="宋体" w:hAnsi="宋体" w:eastAsia="宋体" w:cs="宋体"/>
                <w:sz w:val="21"/>
                <w:szCs w:val="21"/>
              </w:rPr>
            </w:pPr>
            <w:r>
              <w:rPr>
                <w:rFonts w:hint="eastAsia" w:ascii="宋体" w:hAnsi="宋体" w:eastAsia="宋体" w:cs="宋体"/>
                <w:sz w:val="21"/>
                <w:szCs w:val="21"/>
              </w:rPr>
              <w:t>（3档)5分：</w:t>
            </w:r>
            <w:r>
              <w:rPr>
                <w:rFonts w:ascii="宋体" w:hAnsi="宋体" w:eastAsia="宋体" w:cs="宋体"/>
                <w:sz w:val="21"/>
                <w:szCs w:val="21"/>
              </w:rPr>
              <w:t>项目整体实施方案内容</w:t>
            </w:r>
            <w:r>
              <w:rPr>
                <w:rFonts w:hint="eastAsia" w:ascii="宋体" w:hAnsi="宋体" w:eastAsia="宋体" w:cs="宋体"/>
                <w:sz w:val="21"/>
                <w:szCs w:val="21"/>
              </w:rPr>
              <w:t>合理基本合理、欠完善，</w:t>
            </w:r>
            <w:r>
              <w:rPr>
                <w:rFonts w:ascii="宋体" w:hAnsi="宋体" w:eastAsia="宋体" w:cs="宋体"/>
                <w:sz w:val="21"/>
                <w:szCs w:val="21"/>
              </w:rPr>
              <w:t>培训方案基本</w:t>
            </w:r>
            <w:r>
              <w:rPr>
                <w:rFonts w:hint="eastAsia" w:ascii="宋体" w:hAnsi="宋体" w:eastAsia="宋体" w:cs="宋体"/>
                <w:sz w:val="21"/>
                <w:szCs w:val="21"/>
              </w:rPr>
              <w:t>合理、欠完善</w:t>
            </w:r>
            <w:r>
              <w:rPr>
                <w:rFonts w:ascii="宋体" w:hAnsi="宋体" w:eastAsia="宋体" w:cs="宋体"/>
                <w:sz w:val="21"/>
                <w:szCs w:val="21"/>
              </w:rPr>
              <w:t>、应急方案基本</w:t>
            </w:r>
            <w:r>
              <w:rPr>
                <w:rFonts w:hint="eastAsia" w:ascii="宋体" w:hAnsi="宋体" w:eastAsia="宋体" w:cs="宋体"/>
                <w:sz w:val="21"/>
                <w:szCs w:val="21"/>
              </w:rPr>
              <w:t>合理、欠完善，对项目需求响应不全面，无针对性，部分能够保障项目实施；</w:t>
            </w:r>
          </w:p>
          <w:p w14:paraId="5E519A7D">
            <w:pPr>
              <w:spacing w:after="0"/>
              <w:jc w:val="both"/>
              <w:rPr>
                <w:rFonts w:hint="eastAsia" w:ascii="宋体" w:hAnsi="宋体" w:eastAsia="宋体" w:cs="宋体"/>
                <w:kern w:val="2"/>
                <w:sz w:val="21"/>
                <w:szCs w:val="21"/>
              </w:rPr>
            </w:pPr>
            <w:r>
              <w:rPr>
                <w:rFonts w:hint="eastAsia" w:ascii="宋体" w:hAnsi="宋体" w:eastAsia="宋体" w:cs="宋体"/>
                <w:sz w:val="21"/>
                <w:szCs w:val="21"/>
              </w:rPr>
              <w:t>（4档）0分：未提供</w:t>
            </w:r>
            <w:r>
              <w:rPr>
                <w:rFonts w:ascii="宋体" w:hAnsi="宋体" w:eastAsia="宋体" w:cs="宋体"/>
                <w:sz w:val="21"/>
                <w:szCs w:val="21"/>
              </w:rPr>
              <w:t>项目整体实施方案内容</w:t>
            </w:r>
            <w:r>
              <w:rPr>
                <w:rFonts w:hint="eastAsia" w:ascii="宋体" w:hAnsi="宋体" w:eastAsia="宋体" w:cs="宋体"/>
                <w:sz w:val="21"/>
                <w:szCs w:val="21"/>
              </w:rPr>
              <w:t>、</w:t>
            </w:r>
            <w:r>
              <w:rPr>
                <w:rFonts w:ascii="宋体" w:hAnsi="宋体" w:eastAsia="宋体" w:cs="宋体"/>
                <w:sz w:val="21"/>
                <w:szCs w:val="21"/>
              </w:rPr>
              <w:t>培训方案</w:t>
            </w:r>
            <w:r>
              <w:rPr>
                <w:rFonts w:hint="eastAsia" w:ascii="宋体" w:hAnsi="宋体" w:eastAsia="宋体" w:cs="宋体"/>
                <w:sz w:val="21"/>
                <w:szCs w:val="21"/>
              </w:rPr>
              <w:t>、</w:t>
            </w:r>
            <w:r>
              <w:rPr>
                <w:rFonts w:ascii="宋体" w:hAnsi="宋体" w:eastAsia="宋体" w:cs="宋体"/>
                <w:sz w:val="21"/>
                <w:szCs w:val="21"/>
              </w:rPr>
              <w:t>应急方案</w:t>
            </w:r>
            <w:r>
              <w:rPr>
                <w:rFonts w:hint="eastAsia" w:ascii="宋体" w:hAnsi="宋体" w:eastAsia="宋体" w:cs="宋体"/>
                <w:sz w:val="21"/>
                <w:szCs w:val="21"/>
              </w:rPr>
              <w:t>，对项目需求不响应，可行性低，有缺陷或缺失，不</w:t>
            </w:r>
            <w:r>
              <w:rPr>
                <w:rFonts w:ascii="宋体" w:hAnsi="宋体" w:eastAsia="宋体" w:cs="宋体"/>
                <w:sz w:val="21"/>
                <w:szCs w:val="21"/>
              </w:rPr>
              <w:t>能够保障项目实施</w:t>
            </w:r>
            <w:r>
              <w:rPr>
                <w:rFonts w:hint="eastAsia" w:ascii="宋体" w:hAnsi="宋体" w:eastAsia="宋体" w:cs="宋体"/>
                <w:sz w:val="21"/>
                <w:szCs w:val="21"/>
              </w:rPr>
              <w:t>。</w:t>
            </w:r>
          </w:p>
        </w:tc>
      </w:tr>
      <w:tr w14:paraId="36CF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624" w:type="dxa"/>
            <w:vMerge w:val="continue"/>
            <w:vAlign w:val="center"/>
          </w:tcPr>
          <w:p w14:paraId="5951A9D5">
            <w:pPr>
              <w:rPr>
                <w:rFonts w:hint="eastAsia" w:ascii="宋体" w:hAnsi="宋体" w:eastAsia="宋体" w:cs="宋体"/>
                <w:sz w:val="21"/>
                <w:szCs w:val="21"/>
              </w:rPr>
            </w:pPr>
          </w:p>
        </w:tc>
        <w:tc>
          <w:tcPr>
            <w:tcW w:w="1072" w:type="dxa"/>
            <w:vMerge w:val="continue"/>
            <w:vAlign w:val="center"/>
          </w:tcPr>
          <w:p w14:paraId="2CED4199">
            <w:pPr>
              <w:rPr>
                <w:rFonts w:hint="eastAsia" w:ascii="宋体" w:hAnsi="宋体" w:eastAsia="宋体" w:cs="宋体"/>
                <w:sz w:val="21"/>
                <w:szCs w:val="21"/>
              </w:rPr>
            </w:pPr>
          </w:p>
        </w:tc>
        <w:tc>
          <w:tcPr>
            <w:tcW w:w="1134" w:type="dxa"/>
            <w:vAlign w:val="center"/>
          </w:tcPr>
          <w:p w14:paraId="24FA4FAB">
            <w:pPr>
              <w:spacing w:after="0"/>
              <w:jc w:val="center"/>
              <w:rPr>
                <w:rFonts w:hint="eastAsia" w:ascii="宋体" w:hAnsi="宋体" w:eastAsia="宋体"/>
                <w:sz w:val="21"/>
                <w:szCs w:val="21"/>
              </w:rPr>
            </w:pPr>
            <w:r>
              <w:rPr>
                <w:rFonts w:hint="eastAsia" w:ascii="宋体" w:hAnsi="宋体" w:eastAsia="宋体"/>
                <w:sz w:val="21"/>
                <w:szCs w:val="21"/>
              </w:rPr>
              <w:t>安全保障</w:t>
            </w:r>
            <w:r>
              <w:rPr>
                <w:rFonts w:hint="eastAsia" w:ascii="宋体" w:hAnsi="宋体" w:eastAsia="宋体" w:cs="宋体"/>
                <w:sz w:val="21"/>
                <w:szCs w:val="21"/>
              </w:rPr>
              <w:t>方案</w:t>
            </w:r>
          </w:p>
          <w:p w14:paraId="31CF18BB">
            <w:pPr>
              <w:spacing w:after="0"/>
              <w:jc w:val="center"/>
              <w:rPr>
                <w:rFonts w:hint="eastAsia" w:ascii="宋体" w:hAnsi="宋体" w:eastAsia="宋体" w:cs="宋体"/>
                <w:sz w:val="21"/>
                <w:szCs w:val="21"/>
              </w:rPr>
            </w:pPr>
            <w:r>
              <w:rPr>
                <w:rFonts w:hint="eastAsia" w:ascii="宋体" w:hAnsi="宋体" w:eastAsia="宋体"/>
                <w:sz w:val="21"/>
                <w:szCs w:val="21"/>
              </w:rPr>
              <w:t>(</w:t>
            </w:r>
            <w:r>
              <w:rPr>
                <w:rFonts w:ascii="宋体" w:hAnsi="宋体" w:eastAsia="宋体" w:cs="宋体"/>
                <w:sz w:val="21"/>
                <w:szCs w:val="21"/>
              </w:rPr>
              <w:t>1</w:t>
            </w:r>
            <w:r>
              <w:rPr>
                <w:rFonts w:hint="eastAsia" w:ascii="宋体" w:hAnsi="宋体" w:eastAsia="宋体" w:cs="宋体"/>
                <w:sz w:val="21"/>
                <w:szCs w:val="21"/>
              </w:rPr>
              <w:t>5分</w:t>
            </w:r>
            <w:r>
              <w:rPr>
                <w:rFonts w:hint="eastAsia" w:ascii="宋体" w:hAnsi="宋体" w:eastAsia="宋体"/>
                <w:sz w:val="21"/>
                <w:szCs w:val="21"/>
              </w:rPr>
              <w:t>)</w:t>
            </w:r>
          </w:p>
        </w:tc>
        <w:tc>
          <w:tcPr>
            <w:tcW w:w="6746" w:type="dxa"/>
            <w:vAlign w:val="center"/>
          </w:tcPr>
          <w:p w14:paraId="70F48DF4">
            <w:pPr>
              <w:spacing w:after="0"/>
              <w:jc w:val="both"/>
              <w:rPr>
                <w:rFonts w:hint="eastAsia" w:ascii="宋体" w:hAnsi="宋体" w:eastAsia="宋体" w:cs="宋体"/>
                <w:sz w:val="21"/>
                <w:szCs w:val="21"/>
              </w:rPr>
            </w:pPr>
            <w:r>
              <w:rPr>
                <w:rFonts w:hint="eastAsia" w:ascii="宋体" w:hAnsi="宋体" w:eastAsia="宋体" w:cs="宋体"/>
                <w:sz w:val="21"/>
                <w:szCs w:val="21"/>
              </w:rPr>
              <w:t>（1档）15分：</w:t>
            </w:r>
            <w:r>
              <w:rPr>
                <w:rFonts w:ascii="宋体" w:hAnsi="宋体" w:eastAsia="宋体" w:cs="宋体"/>
                <w:sz w:val="21"/>
                <w:szCs w:val="21"/>
              </w:rPr>
              <w:t>项目整体</w:t>
            </w:r>
            <w:r>
              <w:rPr>
                <w:rFonts w:hint="eastAsia" w:ascii="宋体" w:hAnsi="宋体" w:eastAsia="宋体" w:cs="宋体"/>
                <w:sz w:val="21"/>
                <w:szCs w:val="21"/>
              </w:rPr>
              <w:t>安全保障</w:t>
            </w:r>
            <w:r>
              <w:rPr>
                <w:rFonts w:ascii="宋体" w:hAnsi="宋体" w:eastAsia="宋体" w:cs="宋体"/>
                <w:sz w:val="21"/>
                <w:szCs w:val="21"/>
              </w:rPr>
              <w:t>方案内容科学全面</w:t>
            </w:r>
            <w:r>
              <w:rPr>
                <w:rFonts w:hint="eastAsia" w:ascii="宋体" w:hAnsi="宋体" w:eastAsia="宋体" w:cs="宋体"/>
                <w:sz w:val="21"/>
                <w:szCs w:val="21"/>
              </w:rPr>
              <w:t>、</w:t>
            </w:r>
            <w:r>
              <w:rPr>
                <w:rFonts w:ascii="宋体" w:hAnsi="宋体" w:eastAsia="宋体" w:cs="宋体"/>
                <w:sz w:val="21"/>
                <w:szCs w:val="21"/>
              </w:rPr>
              <w:t>部署明确合理</w:t>
            </w:r>
            <w:r>
              <w:rPr>
                <w:rFonts w:hint="eastAsia" w:ascii="宋体" w:hAnsi="宋体" w:eastAsia="宋体" w:cs="宋体"/>
                <w:sz w:val="21"/>
                <w:szCs w:val="21"/>
              </w:rPr>
              <w:t>，可行性强，针对性强，工作方法得当，对项目需求响应全面，完全能够保障项目安全；</w:t>
            </w:r>
          </w:p>
          <w:p w14:paraId="70F6C98A">
            <w:pPr>
              <w:spacing w:after="0"/>
              <w:jc w:val="both"/>
              <w:rPr>
                <w:rFonts w:hint="eastAsia" w:ascii="宋体" w:hAnsi="宋体" w:eastAsia="宋体" w:cs="宋体"/>
                <w:sz w:val="21"/>
                <w:szCs w:val="21"/>
              </w:rPr>
            </w:pPr>
            <w:r>
              <w:rPr>
                <w:rFonts w:hint="eastAsia" w:ascii="宋体" w:hAnsi="宋体" w:eastAsia="宋体" w:cs="宋体"/>
                <w:sz w:val="21"/>
                <w:szCs w:val="21"/>
              </w:rPr>
              <w:t>（2档）10分：</w:t>
            </w:r>
            <w:r>
              <w:rPr>
                <w:rFonts w:ascii="宋体" w:hAnsi="宋体" w:eastAsia="宋体" w:cs="宋体"/>
                <w:sz w:val="21"/>
                <w:szCs w:val="21"/>
              </w:rPr>
              <w:t>项目整体</w:t>
            </w:r>
            <w:r>
              <w:rPr>
                <w:rFonts w:hint="eastAsia" w:ascii="宋体" w:hAnsi="宋体" w:eastAsia="宋体" w:cs="宋体"/>
                <w:sz w:val="21"/>
                <w:szCs w:val="21"/>
              </w:rPr>
              <w:t>安全保障</w:t>
            </w:r>
            <w:r>
              <w:rPr>
                <w:rFonts w:ascii="宋体" w:hAnsi="宋体" w:eastAsia="宋体" w:cs="宋体"/>
                <w:sz w:val="21"/>
                <w:szCs w:val="21"/>
              </w:rPr>
              <w:t>方案内容较具体</w:t>
            </w:r>
            <w:r>
              <w:rPr>
                <w:rFonts w:hint="eastAsia" w:ascii="宋体" w:hAnsi="宋体" w:eastAsia="宋体" w:cs="宋体"/>
                <w:sz w:val="21"/>
                <w:szCs w:val="21"/>
              </w:rPr>
              <w:t>、部署得当，对项目需求响应较全面，能够基本保障项目安全；</w:t>
            </w:r>
          </w:p>
          <w:p w14:paraId="469EB5BC">
            <w:pPr>
              <w:spacing w:after="0"/>
              <w:jc w:val="both"/>
              <w:rPr>
                <w:rFonts w:hint="eastAsia" w:ascii="宋体" w:hAnsi="宋体" w:eastAsia="宋体" w:cs="宋体"/>
                <w:sz w:val="21"/>
                <w:szCs w:val="21"/>
              </w:rPr>
            </w:pPr>
            <w:r>
              <w:rPr>
                <w:rFonts w:hint="eastAsia" w:ascii="宋体" w:hAnsi="宋体" w:eastAsia="宋体" w:cs="宋体"/>
                <w:sz w:val="21"/>
                <w:szCs w:val="21"/>
              </w:rPr>
              <w:t>（3档)5分：</w:t>
            </w:r>
            <w:r>
              <w:rPr>
                <w:rFonts w:ascii="宋体" w:hAnsi="宋体" w:eastAsia="宋体" w:cs="宋体"/>
                <w:sz w:val="21"/>
                <w:szCs w:val="21"/>
              </w:rPr>
              <w:t>项目整体</w:t>
            </w:r>
            <w:r>
              <w:rPr>
                <w:rFonts w:hint="eastAsia" w:ascii="宋体" w:hAnsi="宋体" w:eastAsia="宋体" w:cs="宋体"/>
                <w:sz w:val="21"/>
                <w:szCs w:val="21"/>
              </w:rPr>
              <w:t>安全保障</w:t>
            </w:r>
            <w:r>
              <w:rPr>
                <w:rFonts w:ascii="宋体" w:hAnsi="宋体" w:eastAsia="宋体" w:cs="宋体"/>
                <w:sz w:val="21"/>
                <w:szCs w:val="21"/>
              </w:rPr>
              <w:t>方案内容</w:t>
            </w:r>
            <w:r>
              <w:rPr>
                <w:rFonts w:hint="eastAsia" w:ascii="宋体" w:hAnsi="宋体" w:eastAsia="宋体" w:cs="宋体"/>
                <w:sz w:val="21"/>
                <w:szCs w:val="21"/>
              </w:rPr>
              <w:t>合理基本合理、欠完善，对项目需求响应不全面，无针对性，部分能够保障项目安全；</w:t>
            </w:r>
          </w:p>
          <w:p w14:paraId="51AEB7DA">
            <w:pPr>
              <w:spacing w:after="0"/>
              <w:jc w:val="both"/>
              <w:rPr>
                <w:rFonts w:hint="eastAsia" w:ascii="宋体" w:hAnsi="宋体" w:eastAsia="宋体" w:cs="宋体"/>
                <w:sz w:val="21"/>
                <w:szCs w:val="21"/>
              </w:rPr>
            </w:pPr>
            <w:r>
              <w:rPr>
                <w:rFonts w:hint="eastAsia" w:ascii="宋体" w:hAnsi="宋体" w:eastAsia="宋体" w:cs="宋体"/>
                <w:sz w:val="21"/>
                <w:szCs w:val="21"/>
              </w:rPr>
              <w:t>（4档）0分：未提供</w:t>
            </w:r>
            <w:r>
              <w:rPr>
                <w:rFonts w:ascii="宋体" w:hAnsi="宋体" w:eastAsia="宋体" w:cs="宋体"/>
                <w:sz w:val="21"/>
                <w:szCs w:val="21"/>
              </w:rPr>
              <w:t>项目整体</w:t>
            </w:r>
            <w:r>
              <w:rPr>
                <w:rFonts w:hint="eastAsia" w:ascii="宋体" w:hAnsi="宋体" w:eastAsia="宋体" w:cs="宋体"/>
                <w:sz w:val="21"/>
                <w:szCs w:val="21"/>
              </w:rPr>
              <w:t>安全保障</w:t>
            </w:r>
            <w:r>
              <w:rPr>
                <w:rFonts w:ascii="宋体" w:hAnsi="宋体" w:eastAsia="宋体" w:cs="宋体"/>
                <w:sz w:val="21"/>
                <w:szCs w:val="21"/>
              </w:rPr>
              <w:t>方案内容</w:t>
            </w:r>
            <w:r>
              <w:rPr>
                <w:rFonts w:hint="eastAsia" w:ascii="宋体" w:hAnsi="宋体" w:eastAsia="宋体" w:cs="宋体"/>
                <w:sz w:val="21"/>
                <w:szCs w:val="21"/>
              </w:rPr>
              <w:t>。</w:t>
            </w:r>
          </w:p>
        </w:tc>
      </w:tr>
      <w:tr w14:paraId="41D9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63145CA8">
            <w:pPr>
              <w:rPr>
                <w:rFonts w:hint="eastAsia" w:ascii="宋体" w:hAnsi="宋体" w:eastAsia="宋体" w:cs="宋体"/>
                <w:sz w:val="21"/>
                <w:szCs w:val="21"/>
              </w:rPr>
            </w:pPr>
          </w:p>
        </w:tc>
        <w:tc>
          <w:tcPr>
            <w:tcW w:w="1072" w:type="dxa"/>
            <w:vMerge w:val="continue"/>
            <w:vAlign w:val="center"/>
          </w:tcPr>
          <w:p w14:paraId="1F338DEC">
            <w:pPr>
              <w:rPr>
                <w:rFonts w:hint="eastAsia" w:ascii="宋体" w:hAnsi="宋体" w:eastAsia="宋体" w:cs="宋体"/>
                <w:sz w:val="21"/>
                <w:szCs w:val="21"/>
              </w:rPr>
            </w:pPr>
          </w:p>
        </w:tc>
        <w:tc>
          <w:tcPr>
            <w:tcW w:w="1134" w:type="dxa"/>
            <w:vAlign w:val="center"/>
          </w:tcPr>
          <w:p w14:paraId="17D85800">
            <w:pPr>
              <w:spacing w:after="0"/>
              <w:jc w:val="center"/>
              <w:rPr>
                <w:rFonts w:hint="eastAsia" w:ascii="宋体" w:hAnsi="宋体" w:eastAsia="宋体"/>
                <w:sz w:val="21"/>
                <w:szCs w:val="21"/>
              </w:rPr>
            </w:pPr>
            <w:r>
              <w:rPr>
                <w:rFonts w:ascii="宋体" w:hAnsi="宋体" w:eastAsia="宋体"/>
                <w:sz w:val="21"/>
                <w:szCs w:val="21"/>
              </w:rPr>
              <w:t>人员</w:t>
            </w:r>
            <w:r>
              <w:rPr>
                <w:rFonts w:hint="eastAsia" w:ascii="宋体" w:hAnsi="宋体" w:eastAsia="宋体"/>
                <w:sz w:val="21"/>
                <w:szCs w:val="21"/>
              </w:rPr>
              <w:t>保障</w:t>
            </w:r>
          </w:p>
          <w:p w14:paraId="61B4B37E">
            <w:pPr>
              <w:spacing w:after="0"/>
              <w:jc w:val="center"/>
              <w:rPr>
                <w:rFonts w:hint="eastAsia" w:ascii="宋体" w:hAnsi="宋体" w:eastAsia="宋体"/>
                <w:sz w:val="21"/>
                <w:szCs w:val="21"/>
              </w:rPr>
            </w:pPr>
            <w:r>
              <w:rPr>
                <w:rFonts w:hint="eastAsia" w:ascii="宋体" w:hAnsi="宋体" w:eastAsia="宋体"/>
                <w:sz w:val="21"/>
                <w:szCs w:val="21"/>
              </w:rPr>
              <w:t>(10</w:t>
            </w:r>
            <w:r>
              <w:rPr>
                <w:rFonts w:ascii="宋体" w:hAnsi="宋体" w:eastAsia="宋体"/>
                <w:sz w:val="21"/>
                <w:szCs w:val="21"/>
              </w:rPr>
              <w:t>分</w:t>
            </w:r>
            <w:r>
              <w:rPr>
                <w:rFonts w:hint="eastAsia" w:ascii="宋体" w:hAnsi="宋体" w:eastAsia="宋体"/>
                <w:sz w:val="21"/>
                <w:szCs w:val="21"/>
              </w:rPr>
              <w:t>)</w:t>
            </w:r>
          </w:p>
        </w:tc>
        <w:tc>
          <w:tcPr>
            <w:tcW w:w="6746" w:type="dxa"/>
            <w:vAlign w:val="center"/>
          </w:tcPr>
          <w:p w14:paraId="6C56CB27">
            <w:pPr>
              <w:spacing w:after="0"/>
              <w:jc w:val="both"/>
              <w:rPr>
                <w:rFonts w:hint="eastAsia" w:ascii="宋体" w:hAnsi="宋体" w:eastAsia="宋体" w:cs="宋体"/>
                <w:sz w:val="21"/>
                <w:szCs w:val="21"/>
              </w:rPr>
            </w:pPr>
            <w:r>
              <w:rPr>
                <w:rFonts w:hint="eastAsia" w:ascii="宋体" w:hAnsi="宋体" w:eastAsia="宋体" w:cs="宋体"/>
                <w:sz w:val="21"/>
                <w:szCs w:val="21"/>
              </w:rPr>
              <w:t>（1档）10分：人员安排和构成合理，项目核心成员稳定，成员具有计算机类相关专业不同类型高级职称证书</w:t>
            </w:r>
            <w:r>
              <w:rPr>
                <w:rFonts w:ascii="宋体" w:hAnsi="宋体" w:eastAsia="宋体" w:cs="宋体"/>
                <w:sz w:val="21"/>
                <w:szCs w:val="21"/>
              </w:rPr>
              <w:t>2</w:t>
            </w:r>
            <w:r>
              <w:rPr>
                <w:rFonts w:hint="eastAsia" w:ascii="宋体" w:hAnsi="宋体" w:eastAsia="宋体" w:cs="宋体"/>
                <w:sz w:val="21"/>
                <w:szCs w:val="21"/>
              </w:rPr>
              <w:t>人及以上（评审或考试获得均可，职称名称相同的按一人计算），权责分明，分工明确，成员相关经验丰富，具备较高的能力和行业水准；</w:t>
            </w:r>
          </w:p>
          <w:p w14:paraId="58BC83F6">
            <w:pPr>
              <w:spacing w:after="0"/>
              <w:jc w:val="both"/>
              <w:rPr>
                <w:rFonts w:hint="eastAsia" w:ascii="宋体" w:hAnsi="宋体" w:eastAsia="宋体" w:cs="宋体"/>
                <w:sz w:val="21"/>
                <w:szCs w:val="21"/>
              </w:rPr>
            </w:pPr>
            <w:r>
              <w:rPr>
                <w:rFonts w:hint="eastAsia" w:ascii="宋体" w:hAnsi="宋体" w:eastAsia="宋体" w:cs="宋体"/>
                <w:sz w:val="21"/>
                <w:szCs w:val="21"/>
              </w:rPr>
              <w:t>（2档）</w:t>
            </w:r>
            <w:r>
              <w:rPr>
                <w:rFonts w:ascii="宋体" w:hAnsi="宋体" w:eastAsia="宋体" w:cs="宋体"/>
                <w:sz w:val="21"/>
                <w:szCs w:val="21"/>
              </w:rPr>
              <w:t>7</w:t>
            </w:r>
            <w:r>
              <w:rPr>
                <w:rFonts w:hint="eastAsia" w:ascii="宋体" w:hAnsi="宋体" w:eastAsia="宋体" w:cs="宋体"/>
                <w:sz w:val="21"/>
                <w:szCs w:val="21"/>
              </w:rPr>
              <w:t>分：人员安排较合理完善，团队结构较清晰，分工较明确，成员相关经验较丰富，成员具有计算机类相关专业不同类型高级职称</w:t>
            </w:r>
            <w:r>
              <w:rPr>
                <w:rFonts w:ascii="宋体" w:hAnsi="宋体" w:eastAsia="宋体" w:cs="宋体"/>
                <w:sz w:val="21"/>
                <w:szCs w:val="21"/>
              </w:rPr>
              <w:t>2</w:t>
            </w:r>
            <w:r>
              <w:rPr>
                <w:rFonts w:hint="eastAsia" w:ascii="宋体" w:hAnsi="宋体" w:eastAsia="宋体" w:cs="宋体"/>
                <w:sz w:val="21"/>
                <w:szCs w:val="21"/>
              </w:rPr>
              <w:t>人以下（职称名称相同的按一人计算），能满足采购需求；</w:t>
            </w:r>
          </w:p>
          <w:p w14:paraId="531F6AAE">
            <w:pPr>
              <w:spacing w:after="0"/>
              <w:jc w:val="both"/>
              <w:rPr>
                <w:rFonts w:hint="eastAsia" w:ascii="宋体" w:hAnsi="宋体" w:eastAsia="宋体" w:cs="宋体"/>
                <w:sz w:val="21"/>
                <w:szCs w:val="21"/>
              </w:rPr>
            </w:pPr>
            <w:r>
              <w:rPr>
                <w:rFonts w:hint="eastAsia" w:ascii="宋体" w:hAnsi="宋体" w:eastAsia="宋体" w:cs="宋体"/>
                <w:sz w:val="21"/>
                <w:szCs w:val="21"/>
              </w:rPr>
              <w:t>（3档)3分：人员安排和构成基本完整，无针对性，责权分明程度一般，成员相关经验较少，基本能满足采购需求；</w:t>
            </w:r>
          </w:p>
          <w:p w14:paraId="774C67C7">
            <w:pPr>
              <w:spacing w:after="0"/>
              <w:jc w:val="both"/>
              <w:rPr>
                <w:rFonts w:hint="eastAsia" w:ascii="宋体" w:hAnsi="宋体" w:eastAsia="宋体" w:cs="宋体"/>
                <w:sz w:val="21"/>
                <w:szCs w:val="21"/>
              </w:rPr>
            </w:pPr>
            <w:r>
              <w:rPr>
                <w:rFonts w:hint="eastAsia" w:ascii="宋体" w:hAnsi="宋体" w:eastAsia="宋体" w:cs="宋体"/>
                <w:sz w:val="21"/>
                <w:szCs w:val="21"/>
              </w:rPr>
              <w:t>（4档）0分：人员安排和构成不合理或分工不明确或未提供。</w:t>
            </w:r>
          </w:p>
          <w:p w14:paraId="493643F0">
            <w:pPr>
              <w:pStyle w:val="11"/>
              <w:ind w:left="0" w:leftChars="0" w:firstLine="0" w:firstLineChars="0"/>
              <w:jc w:val="both"/>
              <w:rPr>
                <w:rFonts w:eastAsia="宋体"/>
                <w:sz w:val="21"/>
                <w:szCs w:val="21"/>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rPr>
              <w:t>项目高级职称成员需附有效证书复印件及投标截止日前半年内任意一个月社保证明或劳动协议复印件并加盖投标人公章。</w:t>
            </w:r>
          </w:p>
        </w:tc>
      </w:tr>
      <w:tr w14:paraId="3A3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624" w:type="dxa"/>
            <w:vAlign w:val="center"/>
          </w:tcPr>
          <w:p w14:paraId="453D0B0E">
            <w:pPr>
              <w:rPr>
                <w:rFonts w:hint="eastAsia" w:ascii="宋体" w:hAnsi="宋体" w:eastAsia="宋体" w:cs="宋体"/>
                <w:sz w:val="21"/>
                <w:szCs w:val="21"/>
              </w:rPr>
            </w:pPr>
            <w:r>
              <w:rPr>
                <w:rFonts w:hint="eastAsia" w:ascii="宋体" w:hAnsi="宋体" w:eastAsia="宋体" w:cs="宋体"/>
                <w:sz w:val="21"/>
                <w:szCs w:val="21"/>
              </w:rPr>
              <w:t>三</w:t>
            </w:r>
          </w:p>
        </w:tc>
        <w:tc>
          <w:tcPr>
            <w:tcW w:w="1072" w:type="dxa"/>
            <w:vAlign w:val="center"/>
          </w:tcPr>
          <w:p w14:paraId="51DE0269">
            <w:pPr>
              <w:rPr>
                <w:rFonts w:hint="eastAsia" w:ascii="宋体" w:hAnsi="宋体" w:eastAsia="宋体" w:cs="宋体"/>
                <w:sz w:val="21"/>
                <w:szCs w:val="21"/>
              </w:rPr>
            </w:pPr>
            <w:r>
              <w:rPr>
                <w:rFonts w:hint="eastAsia" w:ascii="宋体" w:hAnsi="宋体" w:eastAsia="宋体" w:cs="宋体"/>
                <w:sz w:val="21"/>
                <w:szCs w:val="21"/>
              </w:rPr>
              <w:t>演示部分</w:t>
            </w:r>
          </w:p>
        </w:tc>
        <w:tc>
          <w:tcPr>
            <w:tcW w:w="1134" w:type="dxa"/>
            <w:vAlign w:val="center"/>
          </w:tcPr>
          <w:p w14:paraId="4D0F4651">
            <w:pPr>
              <w:spacing w:after="0"/>
              <w:jc w:val="center"/>
              <w:rPr>
                <w:rFonts w:hint="eastAsia" w:ascii="宋体" w:hAnsi="宋体" w:eastAsia="宋体"/>
                <w:sz w:val="21"/>
                <w:szCs w:val="21"/>
              </w:rPr>
            </w:pPr>
            <w:r>
              <w:rPr>
                <w:rFonts w:hint="eastAsia" w:ascii="宋体" w:hAnsi="宋体" w:eastAsia="宋体"/>
                <w:sz w:val="21"/>
                <w:szCs w:val="21"/>
              </w:rPr>
              <w:t>系统演示</w:t>
            </w:r>
          </w:p>
          <w:p w14:paraId="5E0978E6">
            <w:pPr>
              <w:spacing w:after="0"/>
              <w:jc w:val="center"/>
              <w:rPr>
                <w:rFonts w:hint="eastAsia" w:ascii="宋体" w:hAnsi="宋体" w:eastAsia="宋体"/>
                <w:sz w:val="21"/>
                <w:szCs w:val="21"/>
              </w:rPr>
            </w:pPr>
            <w:r>
              <w:rPr>
                <w:rFonts w:hint="eastAsia" w:ascii="宋体" w:hAnsi="宋体" w:eastAsia="宋体"/>
                <w:sz w:val="21"/>
                <w:szCs w:val="21"/>
              </w:rPr>
              <w:t>（15分）</w:t>
            </w:r>
          </w:p>
        </w:tc>
        <w:tc>
          <w:tcPr>
            <w:tcW w:w="6746" w:type="dxa"/>
            <w:vAlign w:val="center"/>
          </w:tcPr>
          <w:p w14:paraId="2C7009D7">
            <w:pPr>
              <w:widowControl w:val="0"/>
              <w:spacing w:after="0"/>
              <w:jc w:val="both"/>
              <w:rPr>
                <w:rFonts w:hint="eastAsia" w:ascii="宋体" w:hAnsi="宋体" w:eastAsia="宋体"/>
                <w:sz w:val="21"/>
                <w:szCs w:val="21"/>
              </w:rPr>
            </w:pPr>
            <w:r>
              <w:rPr>
                <w:rFonts w:ascii="宋体" w:hAnsi="宋体" w:eastAsia="宋体"/>
                <w:sz w:val="21"/>
                <w:szCs w:val="21"/>
              </w:rPr>
              <w:t>现场演示时间不超过35分钟。</w:t>
            </w:r>
            <w:r>
              <w:rPr>
                <w:rFonts w:hint="eastAsia" w:ascii="宋体" w:hAnsi="宋体" w:eastAsia="宋体"/>
                <w:sz w:val="21"/>
                <w:szCs w:val="21"/>
              </w:rPr>
              <w:t>须采用真实系统演示，其他采用Demo、PPT、Word、视频等演示的得不得分。完整演示一项得1分，共15分。</w:t>
            </w:r>
          </w:p>
          <w:p w14:paraId="6136415D">
            <w:pPr>
              <w:spacing w:after="0"/>
              <w:jc w:val="both"/>
              <w:rPr>
                <w:rFonts w:hint="eastAsia" w:ascii="宋体" w:hAnsi="宋体" w:eastAsia="宋体"/>
                <w:b/>
                <w:bCs/>
                <w:sz w:val="21"/>
                <w:szCs w:val="21"/>
              </w:rPr>
            </w:pPr>
            <w:r>
              <w:rPr>
                <w:rFonts w:hint="eastAsia" w:ascii="宋体" w:hAnsi="宋体" w:eastAsia="宋体"/>
                <w:b/>
                <w:bCs/>
                <w:sz w:val="21"/>
                <w:szCs w:val="21"/>
              </w:rPr>
              <w:t>以下演示内容：</w:t>
            </w:r>
          </w:p>
          <w:p w14:paraId="797678D4">
            <w:pPr>
              <w:spacing w:after="0"/>
              <w:jc w:val="both"/>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w:t>
            </w:r>
            <w:r>
              <w:rPr>
                <w:rFonts w:hint="eastAsia" w:ascii="宋体" w:hAnsi="宋体" w:eastAsia="宋体" w:cs="宋体"/>
                <w:sz w:val="21"/>
                <w:szCs w:val="21"/>
              </w:rPr>
              <w:t>报名考生可随时退费，报名费在规定时间内实时原路退回，退费后可重新选择专业报考。</w:t>
            </w:r>
          </w:p>
          <w:p w14:paraId="51065A5F">
            <w:pPr>
              <w:spacing w:after="0"/>
              <w:jc w:val="both"/>
              <w:rPr>
                <w:rFonts w:hint="eastAsia" w:ascii="宋体" w:hAnsi="宋体" w:eastAsia="宋体" w:cs="宋体"/>
                <w:sz w:val="21"/>
                <w:szCs w:val="21"/>
              </w:rPr>
            </w:pPr>
            <w:r>
              <w:rPr>
                <w:rFonts w:hint="eastAsia" w:ascii="宋体" w:hAnsi="宋体" w:eastAsia="宋体" w:cs="宋体"/>
                <w:sz w:val="21"/>
                <w:szCs w:val="21"/>
              </w:rPr>
              <w:t>2</w:t>
            </w:r>
            <w:r>
              <w:rPr>
                <w:rFonts w:ascii="宋体" w:hAnsi="宋体" w:eastAsia="宋体" w:cs="宋体"/>
                <w:sz w:val="21"/>
                <w:szCs w:val="21"/>
              </w:rPr>
              <w:t>.</w:t>
            </w:r>
            <w:r>
              <w:rPr>
                <w:rFonts w:hint="eastAsia" w:ascii="宋体" w:hAnsi="宋体" w:eastAsia="宋体" w:cs="宋体"/>
                <w:sz w:val="21"/>
                <w:szCs w:val="21"/>
              </w:rPr>
              <w:t>支持院校定制化资料上传审核，可根据不同情况配置到报名或确认之前，考生上传个人材料，系统或人工对考生信息进行审核和在线肖像认证，认证后方可进行后续的准考证打印和考试。</w:t>
            </w:r>
          </w:p>
          <w:p w14:paraId="7BC5C400">
            <w:pPr>
              <w:spacing w:after="0"/>
              <w:jc w:val="both"/>
              <w:rPr>
                <w:rFonts w:hint="eastAsia"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w:t>
            </w:r>
            <w:r>
              <w:rPr>
                <w:rFonts w:hint="eastAsia" w:ascii="宋体" w:hAnsi="宋体" w:eastAsia="宋体" w:cs="宋体"/>
                <w:sz w:val="21"/>
                <w:szCs w:val="21"/>
              </w:rPr>
              <w:t>支持院校自定义信息收集功能，针对不同的考试、专业，可要求考生上传除报名基础信息外其他如身高、体重、特长、统考成绩等自定义信息。</w:t>
            </w:r>
          </w:p>
          <w:p w14:paraId="6CFD3DDE">
            <w:pPr>
              <w:spacing w:after="0"/>
              <w:jc w:val="both"/>
              <w:rPr>
                <w:rFonts w:hint="eastAsia" w:ascii="宋体" w:hAnsi="宋体" w:eastAsia="宋体" w:cs="宋体"/>
                <w:sz w:val="21"/>
                <w:szCs w:val="21"/>
              </w:rPr>
            </w:pPr>
            <w:r>
              <w:rPr>
                <w:rFonts w:hint="eastAsia" w:ascii="宋体" w:hAnsi="宋体" w:eastAsia="宋体" w:cs="宋体"/>
                <w:sz w:val="21"/>
                <w:szCs w:val="21"/>
              </w:rPr>
              <w:t>4</w:t>
            </w:r>
            <w:r>
              <w:rPr>
                <w:rFonts w:ascii="宋体" w:hAnsi="宋体" w:eastAsia="宋体" w:cs="宋体"/>
                <w:sz w:val="21"/>
                <w:szCs w:val="21"/>
              </w:rPr>
              <w:t>.</w:t>
            </w:r>
            <w:r>
              <w:rPr>
                <w:rFonts w:hint="eastAsia" w:ascii="宋体" w:hAnsi="宋体" w:eastAsia="宋体" w:cs="宋体"/>
                <w:sz w:val="21"/>
                <w:szCs w:val="21"/>
              </w:rPr>
              <w:t>考场编排，将准考证号码分配到对应考场。按考场打印考场安排表，考场考生信息核对单等功能，方便考务人员进行考生的信息核对。</w:t>
            </w:r>
          </w:p>
          <w:p w14:paraId="4A3B4FE1">
            <w:pPr>
              <w:spacing w:after="0"/>
              <w:jc w:val="both"/>
              <w:rPr>
                <w:rFonts w:hint="eastAsia" w:ascii="宋体" w:hAnsi="宋体" w:eastAsia="宋体" w:cs="宋体"/>
                <w:sz w:val="21"/>
                <w:szCs w:val="21"/>
              </w:rPr>
            </w:pPr>
            <w:r>
              <w:rPr>
                <w:rFonts w:hint="eastAsia" w:ascii="宋体" w:hAnsi="宋体" w:eastAsia="宋体" w:cs="宋体"/>
                <w:sz w:val="21"/>
                <w:szCs w:val="21"/>
              </w:rPr>
              <w:t>5</w:t>
            </w:r>
            <w:r>
              <w:rPr>
                <w:rFonts w:ascii="宋体" w:hAnsi="宋体" w:eastAsia="宋体" w:cs="宋体"/>
                <w:sz w:val="21"/>
                <w:szCs w:val="21"/>
              </w:rPr>
              <w:t>.</w:t>
            </w:r>
            <w:r>
              <w:rPr>
                <w:rFonts w:hint="eastAsia" w:ascii="宋体" w:hAnsi="宋体" w:eastAsia="宋体" w:cs="宋体"/>
                <w:sz w:val="21"/>
                <w:szCs w:val="21"/>
              </w:rPr>
              <w:t>线上考试，提供答题纸打印、条形码（二维码）打印、邮寄单打印功能，在打印准考证的时候下载打印对应专业的答题纸、条形码（二维码）和试卷邮寄单等，方便考生考试和邮寄试卷。条形码支持多种形式的样式选择，条码数量可根据需求动态调整。</w:t>
            </w:r>
          </w:p>
          <w:p w14:paraId="607449AC">
            <w:pPr>
              <w:spacing w:after="0"/>
              <w:jc w:val="both"/>
              <w:rPr>
                <w:rFonts w:hint="eastAsia" w:ascii="宋体" w:hAnsi="宋体" w:eastAsia="宋体" w:cs="宋体"/>
                <w:sz w:val="21"/>
                <w:szCs w:val="21"/>
              </w:rPr>
            </w:pPr>
            <w:r>
              <w:rPr>
                <w:rFonts w:ascii="宋体" w:hAnsi="宋体" w:eastAsia="宋体" w:cs="宋体"/>
                <w:sz w:val="21"/>
                <w:szCs w:val="21"/>
              </w:rPr>
              <w:t>6.</w:t>
            </w:r>
            <w:r>
              <w:rPr>
                <w:rFonts w:hint="eastAsia" w:ascii="宋体" w:hAnsi="宋体" w:eastAsia="宋体" w:cs="宋体"/>
                <w:sz w:val="21"/>
                <w:szCs w:val="21"/>
              </w:rPr>
              <w:t>监考端按考试科目提供监考时间轴，在时间轴上显示各时间点的工作任务，监考员根据时间轴上的要求进行操作；</w:t>
            </w:r>
          </w:p>
          <w:p w14:paraId="683B2AA4">
            <w:pPr>
              <w:spacing w:after="0"/>
              <w:jc w:val="both"/>
              <w:rPr>
                <w:rFonts w:hint="eastAsia" w:ascii="宋体" w:hAnsi="宋体" w:eastAsia="宋体" w:cs="宋体"/>
                <w:sz w:val="21"/>
                <w:szCs w:val="21"/>
              </w:rPr>
            </w:pPr>
            <w:r>
              <w:rPr>
                <w:rFonts w:hint="eastAsia" w:ascii="宋体" w:hAnsi="宋体" w:eastAsia="宋体" w:cs="宋体"/>
                <w:sz w:val="21"/>
                <w:szCs w:val="21"/>
              </w:rPr>
              <w:t>7</w:t>
            </w:r>
            <w:r>
              <w:rPr>
                <w:rFonts w:ascii="宋体" w:hAnsi="宋体" w:eastAsia="宋体" w:cs="宋体"/>
                <w:sz w:val="21"/>
                <w:szCs w:val="21"/>
              </w:rPr>
              <w:t>.</w:t>
            </w:r>
            <w:r>
              <w:rPr>
                <w:rFonts w:hint="eastAsia" w:ascii="宋体" w:hAnsi="宋体" w:eastAsia="宋体" w:cs="宋体"/>
                <w:sz w:val="21"/>
                <w:szCs w:val="21"/>
              </w:rPr>
              <w:t>考试过程中，系统或监考员发现异常时，可一键截图，快速记录异常情况。在考试结束后可回看考试视频和监考记录并导出PDF格式存档。</w:t>
            </w:r>
          </w:p>
          <w:p w14:paraId="40DFC9A4">
            <w:pPr>
              <w:spacing w:after="0"/>
              <w:jc w:val="both"/>
              <w:rPr>
                <w:rFonts w:hint="eastAsia" w:ascii="宋体" w:hAnsi="宋体" w:eastAsia="宋体" w:cs="宋体"/>
                <w:sz w:val="21"/>
                <w:szCs w:val="21"/>
              </w:rPr>
            </w:pPr>
            <w:r>
              <w:rPr>
                <w:rFonts w:hint="eastAsia" w:ascii="宋体" w:hAnsi="宋体" w:eastAsia="宋体" w:cs="宋体"/>
                <w:sz w:val="21"/>
                <w:szCs w:val="21"/>
              </w:rPr>
              <w:t>8</w:t>
            </w:r>
            <w:r>
              <w:rPr>
                <w:rFonts w:ascii="宋体" w:hAnsi="宋体" w:eastAsia="宋体" w:cs="宋体"/>
                <w:sz w:val="21"/>
                <w:szCs w:val="21"/>
              </w:rPr>
              <w:t>.</w:t>
            </w:r>
            <w:r>
              <w:rPr>
                <w:rFonts w:hint="eastAsia" w:ascii="宋体" w:hAnsi="宋体" w:eastAsia="宋体" w:cs="宋体"/>
                <w:sz w:val="21"/>
                <w:szCs w:val="21"/>
              </w:rPr>
              <w:t>调整监考画面，监考人员后端监控的内容，大于考生在手机上看到的范围。</w:t>
            </w:r>
          </w:p>
          <w:p w14:paraId="64478047">
            <w:pPr>
              <w:spacing w:after="0"/>
              <w:jc w:val="both"/>
              <w:rPr>
                <w:rFonts w:hint="eastAsia" w:ascii="宋体" w:hAnsi="宋体" w:eastAsia="宋体" w:cs="宋体"/>
                <w:sz w:val="21"/>
                <w:szCs w:val="21"/>
              </w:rPr>
            </w:pPr>
            <w:r>
              <w:rPr>
                <w:rFonts w:hint="eastAsia" w:ascii="宋体" w:hAnsi="宋体" w:eastAsia="宋体" w:cs="宋体"/>
                <w:sz w:val="21"/>
                <w:szCs w:val="21"/>
              </w:rPr>
              <w:t>9</w:t>
            </w:r>
            <w:r>
              <w:rPr>
                <w:rFonts w:ascii="宋体" w:hAnsi="宋体" w:eastAsia="宋体" w:cs="宋体"/>
                <w:sz w:val="21"/>
                <w:szCs w:val="21"/>
              </w:rPr>
              <w:t>.</w:t>
            </w:r>
            <w:r>
              <w:rPr>
                <w:rFonts w:hint="eastAsia" w:ascii="宋体" w:hAnsi="宋体" w:eastAsia="宋体" w:cs="宋体"/>
                <w:sz w:val="21"/>
                <w:szCs w:val="21"/>
              </w:rPr>
              <w:t>不合格答卷被打回后，不应彻底删除，应存在后台，可再次调取查看或调整试卷状态为收卷。</w:t>
            </w:r>
          </w:p>
          <w:p w14:paraId="26110C9F">
            <w:pPr>
              <w:spacing w:after="0"/>
              <w:jc w:val="both"/>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0.</w:t>
            </w:r>
            <w:r>
              <w:rPr>
                <w:rFonts w:hint="eastAsia" w:ascii="宋体" w:hAnsi="宋体" w:eastAsia="宋体" w:cs="宋体"/>
                <w:sz w:val="21"/>
                <w:szCs w:val="21"/>
              </w:rPr>
              <w:t>提供同席位双机位直播监考和非同席位双机位直播监考两种模式，监考老师可以实时查看考生的主机和辅机两个手机，并通过主机或辅机与考生进行实时通信。</w:t>
            </w:r>
          </w:p>
          <w:p w14:paraId="771DE7A8">
            <w:pPr>
              <w:spacing w:after="0"/>
              <w:jc w:val="both"/>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1.</w:t>
            </w:r>
            <w:r>
              <w:rPr>
                <w:rFonts w:hint="eastAsia" w:ascii="宋体" w:hAnsi="宋体" w:eastAsia="宋体" w:cs="宋体"/>
                <w:sz w:val="21"/>
                <w:szCs w:val="21"/>
              </w:rPr>
              <w:t>根据需要设置多个监考指令，监考指令有人工指令（通过监考员手动发送给全体考生）和定时指令（如开始考试，考试结束还有2分钟等）两种。</w:t>
            </w:r>
          </w:p>
          <w:p w14:paraId="514D0533">
            <w:pPr>
              <w:spacing w:after="0"/>
              <w:jc w:val="both"/>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2.</w:t>
            </w:r>
            <w:r>
              <w:rPr>
                <w:rFonts w:hint="eastAsia" w:ascii="宋体" w:hAnsi="宋体" w:eastAsia="宋体" w:cs="宋体"/>
                <w:sz w:val="21"/>
                <w:szCs w:val="21"/>
              </w:rPr>
              <w:t>评分界面可根据设置，显示性别，身高，考生照片等个人信息。可显示考题（图片或文字）等考试信息。可显示评委每天的工作量和剩余的工作量等信息。</w:t>
            </w:r>
          </w:p>
          <w:p w14:paraId="12CD6865">
            <w:pPr>
              <w:spacing w:after="0"/>
              <w:jc w:val="both"/>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3.</w:t>
            </w:r>
            <w:r>
              <w:rPr>
                <w:rFonts w:hint="eastAsia" w:ascii="宋体" w:hAnsi="宋体" w:eastAsia="宋体" w:cs="宋体"/>
                <w:sz w:val="21"/>
                <w:szCs w:val="21"/>
              </w:rPr>
              <w:t>图片评分页面布局合理，有多张评分和单张评分两种方式，支持多评分项，具有单击可放大图片等功能；</w:t>
            </w:r>
          </w:p>
          <w:p w14:paraId="6D2AAF9F">
            <w:pPr>
              <w:spacing w:after="0"/>
              <w:jc w:val="both"/>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4.</w:t>
            </w:r>
            <w:r>
              <w:rPr>
                <w:rFonts w:hint="eastAsia" w:ascii="宋体" w:hAnsi="宋体" w:eastAsia="宋体" w:cs="宋体"/>
                <w:sz w:val="21"/>
                <w:szCs w:val="21"/>
              </w:rPr>
              <w:t>视频评分页面可旋转视频，控制评分时间，可使用键盘控制上一个、下一个、快进、快退、暂停等操作。一个考生有两个或以上科目时，给第二个或第三个科目评分时能够显示上一个科目的分数。</w:t>
            </w:r>
          </w:p>
          <w:p w14:paraId="19A06B2A">
            <w:pPr>
              <w:spacing w:after="0"/>
              <w:jc w:val="both"/>
              <w:rPr>
                <w:rFonts w:hint="eastAsia" w:ascii="宋体" w:hAnsi="宋体" w:eastAsia="宋体" w:cs="宋体"/>
                <w:sz w:val="21"/>
                <w:szCs w:val="21"/>
              </w:rPr>
            </w:pPr>
            <w:r>
              <w:rPr>
                <w:rFonts w:hint="eastAsia" w:ascii="宋体" w:hAnsi="宋体" w:eastAsia="宋体" w:cs="宋体"/>
                <w:sz w:val="21"/>
                <w:szCs w:val="21"/>
              </w:rPr>
              <w:t>1</w:t>
            </w:r>
            <w:r>
              <w:rPr>
                <w:rFonts w:ascii="宋体" w:hAnsi="宋体" w:eastAsia="宋体" w:cs="宋体"/>
                <w:sz w:val="21"/>
                <w:szCs w:val="21"/>
              </w:rPr>
              <w:t>5.</w:t>
            </w:r>
            <w:r>
              <w:rPr>
                <w:rFonts w:hint="eastAsia" w:ascii="宋体" w:hAnsi="宋体" w:eastAsia="宋体" w:cs="宋体"/>
                <w:sz w:val="21"/>
                <w:szCs w:val="21"/>
              </w:rPr>
              <w:t>提供志愿选择功能。评委在评分时可以设置考生的志愿，如设置考生乐器，唱法等。</w:t>
            </w:r>
          </w:p>
        </w:tc>
      </w:tr>
      <w:tr w14:paraId="1146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624" w:type="dxa"/>
            <w:vMerge w:val="restart"/>
            <w:vAlign w:val="center"/>
          </w:tcPr>
          <w:p w14:paraId="257CC98F">
            <w:pPr>
              <w:spacing w:after="0"/>
              <w:jc w:val="center"/>
              <w:rPr>
                <w:rFonts w:hint="eastAsia" w:ascii="宋体" w:hAnsi="宋体" w:eastAsia="宋体" w:cs="宋体"/>
                <w:sz w:val="21"/>
                <w:szCs w:val="21"/>
              </w:rPr>
            </w:pPr>
            <w:r>
              <w:rPr>
                <w:rFonts w:hint="eastAsia" w:ascii="宋体" w:hAnsi="宋体" w:eastAsia="宋体" w:cs="宋体"/>
                <w:sz w:val="21"/>
                <w:szCs w:val="21"/>
              </w:rPr>
              <w:t>四</w:t>
            </w:r>
          </w:p>
        </w:tc>
        <w:tc>
          <w:tcPr>
            <w:tcW w:w="1072" w:type="dxa"/>
            <w:vMerge w:val="restart"/>
            <w:vAlign w:val="center"/>
          </w:tcPr>
          <w:p w14:paraId="3F4D2BAC">
            <w:pPr>
              <w:spacing w:after="0"/>
              <w:jc w:val="center"/>
              <w:rPr>
                <w:rFonts w:hint="eastAsia" w:ascii="宋体" w:hAnsi="宋体" w:eastAsia="宋体" w:cs="宋体"/>
                <w:sz w:val="21"/>
                <w:szCs w:val="21"/>
              </w:rPr>
            </w:pPr>
            <w:r>
              <w:rPr>
                <w:rFonts w:hint="eastAsia" w:ascii="宋体" w:hAnsi="宋体" w:eastAsia="宋体" w:cs="宋体"/>
                <w:sz w:val="21"/>
                <w:szCs w:val="21"/>
              </w:rPr>
              <w:t>商务部分</w:t>
            </w:r>
          </w:p>
          <w:p w14:paraId="0E912C38">
            <w:pPr>
              <w:spacing w:after="0"/>
              <w:jc w:val="center"/>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1</w:t>
            </w:r>
            <w:r>
              <w:rPr>
                <w:rFonts w:hint="eastAsia" w:ascii="宋体" w:hAnsi="宋体" w:eastAsia="宋体" w:cs="宋体"/>
                <w:sz w:val="21"/>
                <w:szCs w:val="21"/>
              </w:rPr>
              <w:t>5%)</w:t>
            </w:r>
          </w:p>
        </w:tc>
        <w:tc>
          <w:tcPr>
            <w:tcW w:w="1134" w:type="dxa"/>
            <w:vAlign w:val="center"/>
          </w:tcPr>
          <w:p w14:paraId="725A25CD">
            <w:pPr>
              <w:spacing w:after="0"/>
              <w:jc w:val="center"/>
              <w:rPr>
                <w:rFonts w:hint="eastAsia" w:ascii="宋体" w:hAnsi="宋体" w:eastAsia="宋体" w:cs="宋体"/>
                <w:sz w:val="21"/>
                <w:szCs w:val="21"/>
              </w:rPr>
            </w:pPr>
            <w:r>
              <w:rPr>
                <w:rFonts w:hint="eastAsia" w:ascii="宋体" w:hAnsi="宋体" w:eastAsia="宋体" w:cs="宋体"/>
                <w:sz w:val="21"/>
                <w:szCs w:val="21"/>
              </w:rPr>
              <w:t>综合能力</w:t>
            </w:r>
          </w:p>
          <w:p w14:paraId="076911ED">
            <w:pPr>
              <w:spacing w:after="0"/>
              <w:jc w:val="center"/>
              <w:rPr>
                <w:rFonts w:hint="eastAsia" w:ascii="宋体" w:hAnsi="宋体" w:eastAsia="宋体" w:cs="宋体"/>
                <w:sz w:val="21"/>
                <w:szCs w:val="21"/>
              </w:rPr>
            </w:pPr>
            <w:r>
              <w:rPr>
                <w:rFonts w:hint="eastAsia" w:ascii="宋体" w:hAnsi="宋体" w:eastAsia="宋体" w:cs="宋体"/>
                <w:sz w:val="21"/>
                <w:szCs w:val="21"/>
              </w:rPr>
              <w:t>(6分)</w:t>
            </w:r>
          </w:p>
        </w:tc>
        <w:tc>
          <w:tcPr>
            <w:tcW w:w="6746" w:type="dxa"/>
            <w:vAlign w:val="center"/>
          </w:tcPr>
          <w:p w14:paraId="64E16CAA">
            <w:pPr>
              <w:spacing w:after="0"/>
              <w:jc w:val="both"/>
              <w:rPr>
                <w:rFonts w:hint="eastAsia" w:ascii="宋体" w:hAnsi="宋体" w:eastAsia="宋体" w:cs="宋体"/>
                <w:sz w:val="21"/>
                <w:szCs w:val="21"/>
              </w:rPr>
            </w:pPr>
            <w:r>
              <w:rPr>
                <w:rFonts w:hint="eastAsia" w:ascii="宋体" w:hAnsi="宋体" w:eastAsia="宋体" w:cs="宋体"/>
                <w:sz w:val="21"/>
                <w:szCs w:val="21"/>
              </w:rPr>
              <w:t>本项目投标人具有有效期内的以下证书及备案资质的</w:t>
            </w:r>
            <w:r>
              <w:rPr>
                <w:rFonts w:hint="eastAsia" w:ascii="宋体" w:hAnsi="宋体" w:eastAsia="宋体" w:cs="宋体"/>
                <w:b/>
                <w:bCs/>
                <w:sz w:val="21"/>
                <w:szCs w:val="21"/>
              </w:rPr>
              <w:t>（提供证明材料并加盖</w:t>
            </w:r>
            <w:r>
              <w:rPr>
                <w:rFonts w:hint="eastAsia" w:ascii="宋体" w:hAnsi="宋体" w:eastAsia="宋体" w:cs="宋体"/>
                <w:b/>
                <w:bCs/>
                <w:sz w:val="21"/>
                <w:szCs w:val="21"/>
                <w:lang w:val="en-US" w:eastAsia="zh-CN"/>
              </w:rPr>
              <w:t>投标人</w:t>
            </w:r>
            <w:r>
              <w:rPr>
                <w:rFonts w:hint="eastAsia" w:ascii="宋体" w:hAnsi="宋体" w:eastAsia="宋体" w:cs="宋体"/>
                <w:b/>
                <w:bCs/>
                <w:sz w:val="21"/>
                <w:szCs w:val="21"/>
              </w:rPr>
              <w:t>公章）</w:t>
            </w:r>
            <w:r>
              <w:rPr>
                <w:rFonts w:hint="eastAsia" w:ascii="宋体" w:hAnsi="宋体" w:eastAsia="宋体" w:cs="宋体"/>
                <w:sz w:val="21"/>
                <w:szCs w:val="21"/>
              </w:rPr>
              <w:t>，每提供一个得1分，满分6分。</w:t>
            </w:r>
          </w:p>
          <w:p w14:paraId="37129F1C">
            <w:pPr>
              <w:spacing w:after="0"/>
              <w:jc w:val="both"/>
              <w:rPr>
                <w:rFonts w:hint="eastAsia" w:ascii="宋体" w:hAnsi="宋体" w:eastAsia="宋体" w:cs="宋体"/>
                <w:sz w:val="21"/>
                <w:szCs w:val="21"/>
              </w:rPr>
            </w:pPr>
            <w:r>
              <w:rPr>
                <w:rFonts w:hint="eastAsia" w:ascii="宋体" w:hAnsi="宋体" w:eastAsia="宋体" w:cs="宋体"/>
                <w:sz w:val="21"/>
                <w:szCs w:val="21"/>
              </w:rPr>
              <w:t>1.具有涉密信息系统集成软件开发乙级及以上资质证书；</w:t>
            </w:r>
          </w:p>
          <w:p w14:paraId="606EB77B">
            <w:pPr>
              <w:spacing w:after="0"/>
              <w:jc w:val="both"/>
              <w:rPr>
                <w:rFonts w:hint="eastAsia" w:ascii="宋体" w:hAnsi="宋体" w:eastAsia="宋体" w:cs="宋体"/>
                <w:sz w:val="21"/>
                <w:szCs w:val="21"/>
              </w:rPr>
            </w:pPr>
            <w:r>
              <w:rPr>
                <w:rFonts w:hint="eastAsia" w:ascii="宋体" w:hAnsi="宋体" w:eastAsia="宋体" w:cs="宋体"/>
                <w:sz w:val="21"/>
                <w:szCs w:val="21"/>
              </w:rPr>
              <w:t>2.具有有效的信息系统安全等级保护备案证明(三级)及以上；</w:t>
            </w:r>
          </w:p>
          <w:p w14:paraId="1281E060">
            <w:pPr>
              <w:spacing w:after="0"/>
              <w:jc w:val="both"/>
              <w:rPr>
                <w:rFonts w:hint="eastAsia" w:ascii="宋体" w:hAnsi="宋体" w:eastAsia="宋体" w:cs="宋体"/>
                <w:sz w:val="21"/>
                <w:szCs w:val="21"/>
              </w:rPr>
            </w:pPr>
            <w:r>
              <w:rPr>
                <w:rFonts w:hint="eastAsia" w:ascii="宋体" w:hAnsi="宋体" w:eastAsia="宋体" w:cs="宋体"/>
                <w:sz w:val="21"/>
                <w:szCs w:val="21"/>
              </w:rPr>
              <w:t>3.具有有效的ISO 20000 信息技术服务管理体系认证证书；</w:t>
            </w:r>
          </w:p>
          <w:p w14:paraId="1B896B90">
            <w:pPr>
              <w:spacing w:after="0"/>
              <w:jc w:val="both"/>
              <w:rPr>
                <w:rFonts w:hint="eastAsia" w:ascii="宋体" w:hAnsi="宋体" w:eastAsia="宋体" w:cs="宋体"/>
                <w:sz w:val="21"/>
                <w:szCs w:val="21"/>
              </w:rPr>
            </w:pPr>
            <w:r>
              <w:rPr>
                <w:rFonts w:hint="eastAsia" w:ascii="宋体" w:hAnsi="宋体" w:eastAsia="宋体" w:cs="宋体"/>
                <w:sz w:val="21"/>
                <w:szCs w:val="21"/>
              </w:rPr>
              <w:t>4.具有有效的ISO 27001 信息安全管理体系认证证书；</w:t>
            </w:r>
          </w:p>
          <w:p w14:paraId="01F03EFF">
            <w:pPr>
              <w:spacing w:after="0"/>
              <w:jc w:val="both"/>
              <w:rPr>
                <w:rFonts w:hint="eastAsia" w:ascii="宋体" w:hAnsi="宋体" w:eastAsia="宋体" w:cs="宋体"/>
                <w:sz w:val="21"/>
                <w:szCs w:val="21"/>
              </w:rPr>
            </w:pPr>
            <w:r>
              <w:rPr>
                <w:rFonts w:hint="eastAsia" w:ascii="宋体" w:hAnsi="宋体" w:eastAsia="宋体" w:cs="宋体"/>
                <w:sz w:val="21"/>
                <w:szCs w:val="21"/>
              </w:rPr>
              <w:t>5.具有有效的ISO 27701 隐私信息管理体系认证证书；</w:t>
            </w:r>
          </w:p>
          <w:p w14:paraId="0BE5FDCB">
            <w:pPr>
              <w:pStyle w:val="3"/>
              <w:rPr>
                <w:rFonts w:hint="eastAsia" w:ascii="宋体" w:hAnsi="宋体" w:eastAsia="宋体" w:cs="宋体"/>
                <w:sz w:val="21"/>
                <w:szCs w:val="21"/>
              </w:rPr>
            </w:pPr>
            <w:r>
              <w:rPr>
                <w:rFonts w:hint="eastAsia" w:ascii="宋体" w:hAnsi="宋体" w:eastAsia="宋体" w:cs="宋体"/>
                <w:sz w:val="21"/>
                <w:szCs w:val="21"/>
              </w:rPr>
              <w:t>6.具有有效的ISO 27018 公有云个人信息保护管理体系认证证书</w:t>
            </w:r>
            <w:r>
              <w:rPr>
                <w:rFonts w:hint="eastAsia" w:ascii="宋体" w:hAnsi="宋体" w:eastAsia="宋体"/>
                <w:sz w:val="21"/>
                <w:szCs w:val="21"/>
              </w:rPr>
              <w:t>。</w:t>
            </w:r>
          </w:p>
        </w:tc>
      </w:tr>
      <w:tr w14:paraId="04A3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24" w:type="dxa"/>
            <w:vMerge w:val="continue"/>
            <w:vAlign w:val="center"/>
          </w:tcPr>
          <w:p w14:paraId="46E16270">
            <w:pPr>
              <w:rPr>
                <w:rFonts w:hint="eastAsia" w:ascii="宋体" w:hAnsi="宋体" w:eastAsia="宋体" w:cs="宋体"/>
                <w:sz w:val="21"/>
                <w:szCs w:val="21"/>
              </w:rPr>
            </w:pPr>
          </w:p>
        </w:tc>
        <w:tc>
          <w:tcPr>
            <w:tcW w:w="1072" w:type="dxa"/>
            <w:vMerge w:val="continue"/>
            <w:vAlign w:val="center"/>
          </w:tcPr>
          <w:p w14:paraId="4F8A4AFD">
            <w:pPr>
              <w:rPr>
                <w:rFonts w:hint="eastAsia" w:ascii="宋体" w:hAnsi="宋体" w:eastAsia="宋体" w:cs="宋体"/>
                <w:sz w:val="21"/>
                <w:szCs w:val="21"/>
              </w:rPr>
            </w:pPr>
          </w:p>
        </w:tc>
        <w:tc>
          <w:tcPr>
            <w:tcW w:w="1134" w:type="dxa"/>
            <w:vAlign w:val="center"/>
          </w:tcPr>
          <w:p w14:paraId="076B9FC2">
            <w:pPr>
              <w:spacing w:after="0"/>
              <w:jc w:val="center"/>
              <w:rPr>
                <w:rFonts w:hint="eastAsia" w:ascii="宋体" w:hAnsi="宋体" w:eastAsia="宋体" w:cs="宋体"/>
                <w:sz w:val="21"/>
                <w:szCs w:val="21"/>
              </w:rPr>
            </w:pPr>
            <w:r>
              <w:rPr>
                <w:rFonts w:hint="eastAsia" w:ascii="宋体" w:hAnsi="宋体" w:eastAsia="宋体" w:cs="宋体"/>
                <w:sz w:val="21"/>
                <w:szCs w:val="21"/>
              </w:rPr>
              <w:t>同类型项目案例</w:t>
            </w:r>
          </w:p>
          <w:p w14:paraId="46DC92C5">
            <w:pPr>
              <w:spacing w:after="0"/>
              <w:jc w:val="center"/>
              <w:rPr>
                <w:rFonts w:hint="eastAsia" w:ascii="宋体" w:hAnsi="宋体" w:eastAsia="宋体" w:cs="宋体"/>
                <w:sz w:val="21"/>
                <w:szCs w:val="21"/>
              </w:rPr>
            </w:pPr>
            <w:r>
              <w:rPr>
                <w:rFonts w:hint="eastAsia" w:ascii="宋体" w:hAnsi="宋体" w:eastAsia="宋体" w:cs="宋体"/>
                <w:sz w:val="21"/>
                <w:szCs w:val="21"/>
              </w:rPr>
              <w:t>(9分)</w:t>
            </w:r>
          </w:p>
        </w:tc>
        <w:tc>
          <w:tcPr>
            <w:tcW w:w="6746" w:type="dxa"/>
            <w:vAlign w:val="center"/>
          </w:tcPr>
          <w:p w14:paraId="16F75960">
            <w:pPr>
              <w:spacing w:after="0"/>
              <w:jc w:val="both"/>
              <w:rPr>
                <w:rFonts w:hint="eastAsia" w:ascii="宋体" w:hAnsi="宋体" w:eastAsia="宋体" w:cs="宋体"/>
                <w:sz w:val="21"/>
                <w:szCs w:val="21"/>
              </w:rPr>
            </w:pPr>
            <w:r>
              <w:rPr>
                <w:rFonts w:hint="eastAsia" w:ascii="宋体" w:hAnsi="宋体" w:eastAsia="宋体" w:cs="宋体"/>
                <w:sz w:val="21"/>
                <w:szCs w:val="21"/>
              </w:rPr>
              <w:t>供应商需提供自2022年1月1日至今签订的同类项目业绩证明，每提供一个同类项目业绩证明材料的案例得1.5分，满分9分。</w:t>
            </w:r>
          </w:p>
          <w:p w14:paraId="2A2C6821">
            <w:pPr>
              <w:spacing w:after="0"/>
              <w:jc w:val="both"/>
              <w:rPr>
                <w:rFonts w:hint="eastAsia" w:ascii="宋体" w:hAnsi="宋体" w:eastAsia="宋体" w:cs="宋体"/>
                <w:sz w:val="21"/>
                <w:szCs w:val="21"/>
              </w:rPr>
            </w:pPr>
            <w:r>
              <w:rPr>
                <w:rFonts w:hint="eastAsia" w:ascii="宋体" w:hAnsi="宋体" w:eastAsia="宋体" w:cs="宋体"/>
                <w:b/>
                <w:bCs/>
                <w:sz w:val="21"/>
                <w:szCs w:val="21"/>
                <w:lang w:val="en-US" w:eastAsia="zh-CN"/>
              </w:rPr>
              <w:t>注：</w:t>
            </w:r>
            <w:r>
              <w:rPr>
                <w:rFonts w:hint="eastAsia" w:ascii="宋体" w:hAnsi="宋体" w:eastAsia="宋体" w:cs="宋体"/>
                <w:b/>
                <w:bCs/>
                <w:sz w:val="21"/>
                <w:szCs w:val="21"/>
              </w:rPr>
              <w:t>投标文件中须提供合同复印件或中标通知书复印件并加盖投标人公章，否则不予计分，同一个采购单位不同年份的同类项目业绩仅记1分。</w:t>
            </w:r>
          </w:p>
        </w:tc>
      </w:tr>
    </w:tbl>
    <w:p w14:paraId="12487F3E">
      <w:pPr>
        <w:pStyle w:val="24"/>
        <w:jc w:val="both"/>
        <w:rPr>
          <w:rFonts w:hint="eastAsia" w:ascii="宋体" w:hAnsi="宋体" w:eastAsia="宋体" w:cs="宋体"/>
          <w:sz w:val="28"/>
          <w:szCs w:val="28"/>
          <w:highlight w:val="yellow"/>
        </w:rPr>
      </w:pPr>
    </w:p>
    <w:sectPr>
      <w:footerReference r:id="rId5" w:type="default"/>
      <w:pgSz w:w="11906" w:h="16838"/>
      <w:pgMar w:top="1021" w:right="1588" w:bottom="1021" w:left="158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6C72">
    <w:pPr>
      <w:pStyle w:val="7"/>
      <w:ind w:firstLine="480"/>
      <w:jc w:val="center"/>
      <w:rPr>
        <w:rFonts w:ascii="Times New Roman" w:hAnsi="Times New Roman"/>
        <w:sz w:val="24"/>
        <w:szCs w:val="28"/>
      </w:rPr>
    </w:pPr>
    <w:r>
      <w:rPr>
        <w:rFonts w:ascii="Times New Roman" w:hAnsi="Times New Roman"/>
        <w:sz w:val="24"/>
        <w:szCs w:val="28"/>
      </w:rPr>
      <w:fldChar w:fldCharType="begin"/>
    </w:r>
    <w:r>
      <w:rPr>
        <w:rFonts w:ascii="Times New Roman" w:hAnsi="Times New Roman"/>
        <w:sz w:val="24"/>
        <w:szCs w:val="28"/>
      </w:rPr>
      <w:instrText xml:space="preserve">PAGE   \* MERGEFORMAT</w:instrText>
    </w:r>
    <w:r>
      <w:rPr>
        <w:rFonts w:ascii="Times New Roman" w:hAnsi="Times New Roman"/>
        <w:sz w:val="24"/>
        <w:szCs w:val="28"/>
      </w:rPr>
      <w:fldChar w:fldCharType="separate"/>
    </w:r>
    <w:r>
      <w:rPr>
        <w:rFonts w:ascii="Times New Roman" w:hAnsi="Times New Roman"/>
        <w:sz w:val="24"/>
        <w:szCs w:val="28"/>
      </w:rPr>
      <w:t>11</w:t>
    </w:r>
    <w:r>
      <w:rPr>
        <w:rFonts w:ascii="Times New Roman" w:hAnsi="Times New Roman"/>
        <w:sz w:val="24"/>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5F44B">
    <w:pPr>
      <w:pStyle w:val="7"/>
      <w:spacing w:after="0"/>
      <w:jc w:val="center"/>
      <w:rPr>
        <w:rFonts w:ascii="Times New Roman" w:hAnsi="Times New Roman"/>
        <w:sz w:val="21"/>
        <w:szCs w:val="22"/>
      </w:rPr>
    </w:pPr>
    <w:r>
      <w:rPr>
        <w:rFonts w:ascii="Times New Roman" w:hAnsi="Times New Roman"/>
        <w:sz w:val="21"/>
        <w:szCs w:val="22"/>
      </w:rPr>
      <w:fldChar w:fldCharType="begin"/>
    </w:r>
    <w:r>
      <w:rPr>
        <w:rFonts w:ascii="Times New Roman" w:hAnsi="Times New Roman"/>
        <w:sz w:val="21"/>
        <w:szCs w:val="22"/>
      </w:rPr>
      <w:instrText xml:space="preserve">PAGE   \* MERGEFORMAT</w:instrText>
    </w:r>
    <w:r>
      <w:rPr>
        <w:rFonts w:ascii="Times New Roman" w:hAnsi="Times New Roman"/>
        <w:sz w:val="21"/>
        <w:szCs w:val="22"/>
      </w:rPr>
      <w:fldChar w:fldCharType="separate"/>
    </w:r>
    <w:r>
      <w:rPr>
        <w:rFonts w:ascii="Times New Roman" w:hAnsi="Times New Roman"/>
        <w:sz w:val="21"/>
        <w:szCs w:val="22"/>
      </w:rPr>
      <w:t>11</w:t>
    </w:r>
    <w:r>
      <w:rPr>
        <w:rFonts w:ascii="Times New Roman" w:hAnsi="Times New Roman"/>
        <w:sz w:val="21"/>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0F1057"/>
    <w:multiLevelType w:val="singleLevel"/>
    <w:tmpl w:val="DB0F10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0"/>
  <w:noPunctuationKerning w:val="1"/>
  <w:characterSpacingControl w:val="doNotCompress"/>
  <w:footnotePr>
    <w:footnote w:id="0"/>
    <w:footnote w:id="1"/>
  </w:foot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zZDFmOGU2OTE4YzBkZDc5MzRjODI0NWI5ZjZkOGYifQ=="/>
  </w:docVars>
  <w:rsids>
    <w:rsidRoot w:val="007226F2"/>
    <w:rsid w:val="000039E2"/>
    <w:rsid w:val="000277C1"/>
    <w:rsid w:val="000667D5"/>
    <w:rsid w:val="000C3691"/>
    <w:rsid w:val="000D1A53"/>
    <w:rsid w:val="001262F6"/>
    <w:rsid w:val="001271C9"/>
    <w:rsid w:val="00152F92"/>
    <w:rsid w:val="00167658"/>
    <w:rsid w:val="00183C2F"/>
    <w:rsid w:val="00187EAB"/>
    <w:rsid w:val="00190570"/>
    <w:rsid w:val="001A3E96"/>
    <w:rsid w:val="001B2030"/>
    <w:rsid w:val="001C56AD"/>
    <w:rsid w:val="001E1E0D"/>
    <w:rsid w:val="001E3FCE"/>
    <w:rsid w:val="001E7421"/>
    <w:rsid w:val="002063E8"/>
    <w:rsid w:val="002139F2"/>
    <w:rsid w:val="00224B21"/>
    <w:rsid w:val="002511EA"/>
    <w:rsid w:val="002538E3"/>
    <w:rsid w:val="00267227"/>
    <w:rsid w:val="002841C2"/>
    <w:rsid w:val="002A4312"/>
    <w:rsid w:val="002B3CA4"/>
    <w:rsid w:val="002C288B"/>
    <w:rsid w:val="002D0A87"/>
    <w:rsid w:val="002D0EEC"/>
    <w:rsid w:val="002D3EFE"/>
    <w:rsid w:val="002E25B9"/>
    <w:rsid w:val="002F2E3C"/>
    <w:rsid w:val="002F34E0"/>
    <w:rsid w:val="00311A0C"/>
    <w:rsid w:val="003329A1"/>
    <w:rsid w:val="003408F6"/>
    <w:rsid w:val="00367495"/>
    <w:rsid w:val="003A1701"/>
    <w:rsid w:val="003A63F5"/>
    <w:rsid w:val="004046EB"/>
    <w:rsid w:val="004067C0"/>
    <w:rsid w:val="0041309E"/>
    <w:rsid w:val="00413474"/>
    <w:rsid w:val="0042352B"/>
    <w:rsid w:val="004466C5"/>
    <w:rsid w:val="00456F80"/>
    <w:rsid w:val="004600A5"/>
    <w:rsid w:val="004603DE"/>
    <w:rsid w:val="0046651B"/>
    <w:rsid w:val="00470E40"/>
    <w:rsid w:val="00477BB8"/>
    <w:rsid w:val="00477C8C"/>
    <w:rsid w:val="004818AD"/>
    <w:rsid w:val="00481E66"/>
    <w:rsid w:val="00485D8E"/>
    <w:rsid w:val="004C39D4"/>
    <w:rsid w:val="004D511D"/>
    <w:rsid w:val="004E6B49"/>
    <w:rsid w:val="00511275"/>
    <w:rsid w:val="0051643E"/>
    <w:rsid w:val="00542207"/>
    <w:rsid w:val="00551F12"/>
    <w:rsid w:val="0056195B"/>
    <w:rsid w:val="00564C71"/>
    <w:rsid w:val="00570912"/>
    <w:rsid w:val="00570C50"/>
    <w:rsid w:val="00595443"/>
    <w:rsid w:val="005A37E1"/>
    <w:rsid w:val="005B2ACB"/>
    <w:rsid w:val="005B2EC0"/>
    <w:rsid w:val="005B31D6"/>
    <w:rsid w:val="005B3B8E"/>
    <w:rsid w:val="005C7661"/>
    <w:rsid w:val="005E3A8A"/>
    <w:rsid w:val="005E58CD"/>
    <w:rsid w:val="00600840"/>
    <w:rsid w:val="006045E7"/>
    <w:rsid w:val="00644336"/>
    <w:rsid w:val="006666FE"/>
    <w:rsid w:val="006808D0"/>
    <w:rsid w:val="006B76A3"/>
    <w:rsid w:val="006C4307"/>
    <w:rsid w:val="006D132A"/>
    <w:rsid w:val="00710EE2"/>
    <w:rsid w:val="007217D2"/>
    <w:rsid w:val="007226F2"/>
    <w:rsid w:val="00732302"/>
    <w:rsid w:val="0078722A"/>
    <w:rsid w:val="007C188B"/>
    <w:rsid w:val="007C58E9"/>
    <w:rsid w:val="007D4BC5"/>
    <w:rsid w:val="007F3002"/>
    <w:rsid w:val="00810E58"/>
    <w:rsid w:val="00854EFF"/>
    <w:rsid w:val="00877005"/>
    <w:rsid w:val="00877F37"/>
    <w:rsid w:val="0089130E"/>
    <w:rsid w:val="008E11A4"/>
    <w:rsid w:val="008E2FDF"/>
    <w:rsid w:val="00911BD3"/>
    <w:rsid w:val="0092702C"/>
    <w:rsid w:val="009377F1"/>
    <w:rsid w:val="00943C89"/>
    <w:rsid w:val="00966E2E"/>
    <w:rsid w:val="00971194"/>
    <w:rsid w:val="0099299A"/>
    <w:rsid w:val="009B269A"/>
    <w:rsid w:val="009C1838"/>
    <w:rsid w:val="009D0DB2"/>
    <w:rsid w:val="009D6981"/>
    <w:rsid w:val="009E6301"/>
    <w:rsid w:val="009F6ED5"/>
    <w:rsid w:val="00A00F60"/>
    <w:rsid w:val="00A01E16"/>
    <w:rsid w:val="00A068D6"/>
    <w:rsid w:val="00A26343"/>
    <w:rsid w:val="00A4028B"/>
    <w:rsid w:val="00A5087A"/>
    <w:rsid w:val="00A542AE"/>
    <w:rsid w:val="00A84E79"/>
    <w:rsid w:val="00A90DF2"/>
    <w:rsid w:val="00A95C35"/>
    <w:rsid w:val="00AA4A23"/>
    <w:rsid w:val="00AD1961"/>
    <w:rsid w:val="00AE567C"/>
    <w:rsid w:val="00B14334"/>
    <w:rsid w:val="00B1591D"/>
    <w:rsid w:val="00B17A9A"/>
    <w:rsid w:val="00B2589B"/>
    <w:rsid w:val="00B338AA"/>
    <w:rsid w:val="00B4185A"/>
    <w:rsid w:val="00B43698"/>
    <w:rsid w:val="00B548F8"/>
    <w:rsid w:val="00B71234"/>
    <w:rsid w:val="00B842A5"/>
    <w:rsid w:val="00B904F4"/>
    <w:rsid w:val="00B9257B"/>
    <w:rsid w:val="00B9286C"/>
    <w:rsid w:val="00BA65ED"/>
    <w:rsid w:val="00BC772E"/>
    <w:rsid w:val="00BD2699"/>
    <w:rsid w:val="00BE022C"/>
    <w:rsid w:val="00BE27F9"/>
    <w:rsid w:val="00BE56F1"/>
    <w:rsid w:val="00BF1B52"/>
    <w:rsid w:val="00BF30DD"/>
    <w:rsid w:val="00C47020"/>
    <w:rsid w:val="00C52972"/>
    <w:rsid w:val="00C866AD"/>
    <w:rsid w:val="00C87B0F"/>
    <w:rsid w:val="00D059B6"/>
    <w:rsid w:val="00D16911"/>
    <w:rsid w:val="00D30B82"/>
    <w:rsid w:val="00D439F1"/>
    <w:rsid w:val="00D55C23"/>
    <w:rsid w:val="00D61734"/>
    <w:rsid w:val="00D677AD"/>
    <w:rsid w:val="00D76456"/>
    <w:rsid w:val="00D8039C"/>
    <w:rsid w:val="00D86579"/>
    <w:rsid w:val="00D921B6"/>
    <w:rsid w:val="00DA1E41"/>
    <w:rsid w:val="00DD6CBE"/>
    <w:rsid w:val="00DE6F17"/>
    <w:rsid w:val="00DE7E7F"/>
    <w:rsid w:val="00E215AE"/>
    <w:rsid w:val="00E22213"/>
    <w:rsid w:val="00E24257"/>
    <w:rsid w:val="00E71247"/>
    <w:rsid w:val="00EA7FBB"/>
    <w:rsid w:val="00EC1AFF"/>
    <w:rsid w:val="00EC1D2E"/>
    <w:rsid w:val="00ED2B3A"/>
    <w:rsid w:val="00ED3972"/>
    <w:rsid w:val="00F037F4"/>
    <w:rsid w:val="00F14463"/>
    <w:rsid w:val="00F2167F"/>
    <w:rsid w:val="00F60BEE"/>
    <w:rsid w:val="00FA3A04"/>
    <w:rsid w:val="00FB2B28"/>
    <w:rsid w:val="00FB3383"/>
    <w:rsid w:val="00FB50E4"/>
    <w:rsid w:val="00FC405E"/>
    <w:rsid w:val="00FE5AE5"/>
    <w:rsid w:val="01FF1E15"/>
    <w:rsid w:val="050D4568"/>
    <w:rsid w:val="05A6245C"/>
    <w:rsid w:val="0830084B"/>
    <w:rsid w:val="0A6B1808"/>
    <w:rsid w:val="0B7E024F"/>
    <w:rsid w:val="10BB0DF8"/>
    <w:rsid w:val="11C20BFB"/>
    <w:rsid w:val="1B1A5525"/>
    <w:rsid w:val="1E98662C"/>
    <w:rsid w:val="23B066F1"/>
    <w:rsid w:val="27D6522C"/>
    <w:rsid w:val="2D62399F"/>
    <w:rsid w:val="2FA41DDE"/>
    <w:rsid w:val="31E65F8C"/>
    <w:rsid w:val="373A29CC"/>
    <w:rsid w:val="38293343"/>
    <w:rsid w:val="38683C12"/>
    <w:rsid w:val="3BAF672D"/>
    <w:rsid w:val="3C022D1A"/>
    <w:rsid w:val="3F870779"/>
    <w:rsid w:val="3FF91E9E"/>
    <w:rsid w:val="43C86F72"/>
    <w:rsid w:val="452D3B5F"/>
    <w:rsid w:val="478C11D2"/>
    <w:rsid w:val="4A7E43FB"/>
    <w:rsid w:val="4B1A6945"/>
    <w:rsid w:val="4B3B7AAC"/>
    <w:rsid w:val="4BA60A5C"/>
    <w:rsid w:val="4DA710B5"/>
    <w:rsid w:val="4E265601"/>
    <w:rsid w:val="4E413101"/>
    <w:rsid w:val="4F437856"/>
    <w:rsid w:val="544E5ABD"/>
    <w:rsid w:val="5983695C"/>
    <w:rsid w:val="5D576AC3"/>
    <w:rsid w:val="61F931A2"/>
    <w:rsid w:val="65C46736"/>
    <w:rsid w:val="67BF158C"/>
    <w:rsid w:val="69B90925"/>
    <w:rsid w:val="700E7EBD"/>
    <w:rsid w:val="71C224FB"/>
    <w:rsid w:val="71F52F6F"/>
    <w:rsid w:val="72311205"/>
    <w:rsid w:val="76AA4B2B"/>
    <w:rsid w:val="77D63117"/>
    <w:rsid w:val="791D4F12"/>
    <w:rsid w:val="7AAE3787"/>
    <w:rsid w:val="7D96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21"/>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style>
  <w:style w:type="paragraph" w:styleId="4">
    <w:name w:val="Body Text"/>
    <w:basedOn w:val="1"/>
    <w:qFormat/>
    <w:uiPriority w:val="0"/>
    <w:rPr>
      <w:sz w:val="20"/>
      <w:lang w:eastAsia="en-US"/>
    </w:rPr>
  </w:style>
  <w:style w:type="paragraph" w:styleId="5">
    <w:name w:val="Body Text Indent"/>
    <w:basedOn w:val="1"/>
    <w:qFormat/>
    <w:uiPriority w:val="0"/>
    <w:pPr>
      <w:spacing w:after="120"/>
      <w:ind w:left="420" w:leftChars="200"/>
    </w:pPr>
  </w:style>
  <w:style w:type="paragraph" w:styleId="6">
    <w:name w:val="Balloon Text"/>
    <w:basedOn w:val="1"/>
    <w:link w:val="22"/>
    <w:semiHidden/>
    <w:unhideWhenUsed/>
    <w:qFormat/>
    <w:uiPriority w:val="0"/>
    <w:pPr>
      <w:spacing w:after="0"/>
    </w:pPr>
    <w:rPr>
      <w:sz w:val="18"/>
      <w:szCs w:val="18"/>
    </w:rPr>
  </w:style>
  <w:style w:type="paragraph" w:styleId="7">
    <w:name w:val="footer"/>
    <w:basedOn w:val="1"/>
    <w:link w:val="20"/>
    <w:unhideWhenUsed/>
    <w:qFormat/>
    <w:uiPriority w:val="99"/>
    <w:pPr>
      <w:tabs>
        <w:tab w:val="center" w:pos="4153"/>
        <w:tab w:val="right" w:pos="8306"/>
      </w:tabs>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0">
    <w:name w:val="Body Text First Indent"/>
    <w:basedOn w:val="4"/>
    <w:qFormat/>
    <w:uiPriority w:val="0"/>
    <w:pPr>
      <w:widowControl w:val="0"/>
      <w:spacing w:after="120"/>
      <w:ind w:firstLine="420" w:firstLineChars="100"/>
    </w:pPr>
    <w:rPr>
      <w:kern w:val="2"/>
      <w:sz w:val="21"/>
      <w:szCs w:val="24"/>
    </w:rPr>
  </w:style>
  <w:style w:type="paragraph" w:styleId="11">
    <w:name w:val="Body Text First Indent 2"/>
    <w:basedOn w:val="5"/>
    <w:next w:val="10"/>
    <w:link w:val="29"/>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character" w:styleId="17">
    <w:name w:val="Hyperlink"/>
    <w:unhideWhenUsed/>
    <w:qFormat/>
    <w:uiPriority w:val="99"/>
    <w:rPr>
      <w:color w:val="0000FF"/>
      <w:u w:val="single"/>
    </w:rPr>
  </w:style>
  <w:style w:type="paragraph" w:customStyle="1" w:styleId="18">
    <w:name w:val="列出段落1"/>
    <w:basedOn w:val="1"/>
    <w:qFormat/>
    <w:uiPriority w:val="34"/>
    <w:pPr>
      <w:ind w:firstLine="420" w:firstLineChars="200"/>
    </w:pPr>
  </w:style>
  <w:style w:type="character" w:customStyle="1" w:styleId="19">
    <w:name w:val="页眉 字符"/>
    <w:link w:val="8"/>
    <w:qFormat/>
    <w:uiPriority w:val="99"/>
    <w:rPr>
      <w:rFonts w:ascii="Tahoma" w:hAnsi="Tahoma"/>
      <w:sz w:val="18"/>
      <w:szCs w:val="18"/>
    </w:rPr>
  </w:style>
  <w:style w:type="character" w:customStyle="1" w:styleId="20">
    <w:name w:val="页脚 字符"/>
    <w:link w:val="7"/>
    <w:qFormat/>
    <w:uiPriority w:val="99"/>
    <w:rPr>
      <w:rFonts w:ascii="Tahoma" w:hAnsi="Tahoma"/>
      <w:sz w:val="18"/>
      <w:szCs w:val="18"/>
    </w:rPr>
  </w:style>
  <w:style w:type="character" w:customStyle="1" w:styleId="21">
    <w:name w:val="标题 1 字符"/>
    <w:link w:val="2"/>
    <w:qFormat/>
    <w:uiPriority w:val="9"/>
    <w:rPr>
      <w:rFonts w:ascii="宋体" w:hAnsi="宋体" w:eastAsia="宋体" w:cs="宋体"/>
      <w:b/>
      <w:bCs/>
      <w:kern w:val="36"/>
      <w:sz w:val="48"/>
      <w:szCs w:val="48"/>
    </w:rPr>
  </w:style>
  <w:style w:type="character" w:customStyle="1" w:styleId="22">
    <w:name w:val="批注框文本 字符"/>
    <w:link w:val="6"/>
    <w:semiHidden/>
    <w:qFormat/>
    <w:uiPriority w:val="0"/>
    <w:rPr>
      <w:rFonts w:ascii="Tahoma" w:hAnsi="Tahoma"/>
      <w:sz w:val="18"/>
      <w:szCs w:val="18"/>
    </w:rPr>
  </w:style>
  <w:style w:type="paragraph" w:customStyle="1" w:styleId="23">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4">
    <w:name w:val="自定义正文"/>
    <w:basedOn w:val="1"/>
    <w:qFormat/>
    <w:uiPriority w:val="0"/>
    <w:pPr>
      <w:snapToGrid/>
      <w:contextualSpacing/>
    </w:pPr>
  </w:style>
  <w:style w:type="paragraph" w:customStyle="1" w:styleId="25">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 w:type="paragraph" w:customStyle="1" w:styleId="26">
    <w:name w:val="自定义标题3"/>
    <w:qFormat/>
    <w:uiPriority w:val="0"/>
    <w:pPr>
      <w:spacing w:line="360" w:lineRule="auto"/>
      <w:ind w:firstLine="200" w:firstLineChars="200"/>
      <w:jc w:val="both"/>
      <w:outlineLvl w:val="2"/>
    </w:pPr>
    <w:rPr>
      <w:rFonts w:ascii="Times New Roman" w:hAnsi="Times New Roman" w:eastAsia="宋体" w:cs="Times New Roman"/>
      <w:b/>
      <w:snapToGrid w:val="0"/>
      <w:sz w:val="24"/>
      <w:lang w:val="en-US" w:eastAsia="zh-CN" w:bidi="ar-SA"/>
    </w:rPr>
  </w:style>
  <w:style w:type="paragraph" w:customStyle="1" w:styleId="27">
    <w:name w:val="修订1"/>
    <w:hidden/>
    <w:semiHidden/>
    <w:qFormat/>
    <w:uiPriority w:val="99"/>
    <w:rPr>
      <w:rFonts w:ascii="Tahoma" w:hAnsi="Tahoma" w:eastAsia="微软雅黑" w:cs="Times New Roman"/>
      <w:sz w:val="22"/>
      <w:szCs w:val="22"/>
      <w:lang w:val="en-US" w:eastAsia="zh-CN" w:bidi="ar-SA"/>
    </w:rPr>
  </w:style>
  <w:style w:type="paragraph" w:customStyle="1" w:styleId="28">
    <w:name w:val="修订2"/>
    <w:hidden/>
    <w:unhideWhenUsed/>
    <w:qFormat/>
    <w:uiPriority w:val="99"/>
    <w:rPr>
      <w:rFonts w:ascii="Tahoma" w:hAnsi="Tahoma" w:eastAsia="微软雅黑" w:cs="Times New Roman"/>
      <w:sz w:val="22"/>
      <w:szCs w:val="22"/>
      <w:lang w:val="en-US" w:eastAsia="zh-CN" w:bidi="ar-SA"/>
    </w:rPr>
  </w:style>
  <w:style w:type="character" w:customStyle="1" w:styleId="29">
    <w:name w:val="正文文本首行缩进 2 字符"/>
    <w:basedOn w:val="14"/>
    <w:link w:val="11"/>
    <w:qFormat/>
    <w:uiPriority w:val="0"/>
    <w:rPr>
      <w:rFonts w:ascii="Tahoma" w:hAnsi="Tahoma" w:eastAsia="微软雅黑"/>
      <w:sz w:val="22"/>
      <w:szCs w:val="22"/>
    </w:rPr>
  </w:style>
  <w:style w:type="paragraph" w:styleId="30">
    <w:name w:val="List Paragraph"/>
    <w:basedOn w:val="1"/>
    <w:unhideWhenUsed/>
    <w:qFormat/>
    <w:uiPriority w:val="99"/>
    <w:pPr>
      <w:ind w:firstLine="420" w:firstLineChars="200"/>
    </w:pPr>
  </w:style>
  <w:style w:type="paragraph" w:customStyle="1" w:styleId="31">
    <w:name w:val="修订3"/>
    <w:hidden/>
    <w:unhideWhenUsed/>
    <w:qFormat/>
    <w:uiPriority w:val="99"/>
    <w:rPr>
      <w:rFonts w:ascii="Tahoma" w:hAnsi="Tahoma" w:eastAsia="微软雅黑" w:cs="Times New Roman"/>
      <w:sz w:val="22"/>
      <w:szCs w:val="22"/>
      <w:lang w:val="en-US" w:eastAsia="zh-CN" w:bidi="ar-SA"/>
    </w:rPr>
  </w:style>
  <w:style w:type="paragraph" w:customStyle="1" w:styleId="32">
    <w:name w:val="Revision"/>
    <w:hidden/>
    <w:unhideWhenUsed/>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792E-51DF-48C4-826F-7D3774D991AC}">
  <ds:schemaRefs/>
</ds:datastoreItem>
</file>

<file path=docProps/app.xml><?xml version="1.0" encoding="utf-8"?>
<Properties xmlns="http://schemas.openxmlformats.org/officeDocument/2006/extended-properties" xmlns:vt="http://schemas.openxmlformats.org/officeDocument/2006/docPropsVTypes">
  <Template>Normal</Template>
  <Pages>20</Pages>
  <Words>13344</Words>
  <Characters>13723</Characters>
  <Lines>100</Lines>
  <Paragraphs>28</Paragraphs>
  <TotalTime>39</TotalTime>
  <ScaleCrop>false</ScaleCrop>
  <LinksUpToDate>false</LinksUpToDate>
  <CharactersWithSpaces>13793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2023-11-27T10:16:00Z</dcterms:created>
  <dc:creator>DELL</dc:creator>
  <cp:lastModifiedBy>朱桂英</cp:lastModifiedBy>
  <cp:lastPrinted>2018-01-04T08:52:00Z</cp:lastPrinted>
  <dcterms:modified xsi:type="dcterms:W3CDTF">2025-11-07T10:02:25Z</dcterms:modified>
  <dc:title>广西艺术学院2020年艺术类专业招生考试</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BE6691607FCE4DCEA22C147147D45011_13</vt:lpwstr>
  </property>
  <property fmtid="{D5CDD505-2E9C-101B-9397-08002B2CF9AE}" pid="4" name="KSOTemplateDocerSaveRecord">
    <vt:lpwstr>eyJoZGlkIjoiYzc2ZWM2YjcxOWRlMWVhODE0YzM2ZDBhMDYzNTNhYmUiLCJ1c2VySWQiOiI0NDcyODgwOTUifQ==</vt:lpwstr>
  </property>
</Properties>
</file>