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D951">
      <w:pPr>
        <w:spacing w:line="520" w:lineRule="exact"/>
        <w:jc w:val="center"/>
        <w:rPr>
          <w:rFonts w:ascii="宋体" w:hAnsi="宋体" w:cs="宋体"/>
          <w:color w:val="auto"/>
          <w:szCs w:val="24"/>
        </w:rPr>
      </w:pPr>
      <w:r>
        <w:rPr>
          <w:rFonts w:hint="eastAsia" w:ascii="宋体" w:hAnsi="宋体" w:cs="宋体"/>
          <w:color w:val="auto"/>
          <w:sz w:val="36"/>
          <w:szCs w:val="36"/>
        </w:rPr>
        <w:t>广西艺术学院2025年网络安全服务采购公告</w:t>
      </w:r>
    </w:p>
    <w:p w14:paraId="13D058DD">
      <w:pPr>
        <w:spacing w:line="520" w:lineRule="exact"/>
        <w:ind w:firstLine="480" w:firstLineChars="200"/>
        <w:jc w:val="both"/>
        <w:rPr>
          <w:rFonts w:ascii="宋体" w:hAnsi="宋体" w:cs="宋体"/>
          <w:color w:val="auto"/>
          <w:szCs w:val="24"/>
        </w:rPr>
      </w:pPr>
    </w:p>
    <w:p w14:paraId="3D188EB9">
      <w:pPr>
        <w:spacing w:line="520" w:lineRule="exact"/>
        <w:ind w:firstLine="480" w:firstLineChars="200"/>
        <w:jc w:val="both"/>
        <w:rPr>
          <w:rFonts w:ascii="宋体" w:hAnsi="宋体" w:cs="宋体"/>
          <w:color w:val="auto"/>
          <w:szCs w:val="24"/>
        </w:rPr>
      </w:pPr>
    </w:p>
    <w:p w14:paraId="6EC5ACF0">
      <w:pPr>
        <w:pStyle w:val="14"/>
        <w:numPr>
          <w:ilvl w:val="0"/>
          <w:numId w:val="1"/>
        </w:numPr>
        <w:spacing w:beforeAutospacing="0" w:afterAutospacing="0" w:line="520" w:lineRule="exact"/>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采购单位：广西艺术学院 </w:t>
      </w:r>
    </w:p>
    <w:p w14:paraId="26266BF3">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二、控制价：180000元，总价超过控制价的投标文件视为无效文件。</w:t>
      </w:r>
    </w:p>
    <w:p w14:paraId="02E6E254">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三、服务采购需求</w:t>
      </w:r>
    </w:p>
    <w:p w14:paraId="5D25857C">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见附件1。</w:t>
      </w:r>
    </w:p>
    <w:p w14:paraId="7A8F8547">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四、投标供应商资格要求</w:t>
      </w:r>
    </w:p>
    <w:p w14:paraId="1BAF01B0">
      <w:pPr>
        <w:pStyle w:val="14"/>
        <w:spacing w:beforeAutospacing="0" w:afterAutospacing="0" w:line="520" w:lineRule="exact"/>
        <w:ind w:firstLine="480" w:firstLineChars="200"/>
        <w:jc w:val="both"/>
        <w:rPr>
          <w:rFonts w:ascii="仿宋" w:hAnsi="仿宋" w:eastAsia="仿宋" w:cs="仿宋"/>
          <w:color w:val="auto"/>
          <w:sz w:val="30"/>
          <w:szCs w:val="30"/>
          <w:shd w:val="clear" w:color="auto" w:fill="FFFFFF"/>
        </w:rPr>
      </w:pPr>
      <w:r>
        <w:rPr>
          <w:rFonts w:hint="eastAsia" w:ascii="宋体" w:hAnsi="宋体" w:cs="宋体"/>
          <w:color w:val="auto"/>
          <w:szCs w:val="24"/>
          <w:shd w:val="clear" w:color="auto" w:fill="FFFFFF"/>
        </w:rPr>
        <w:t>（一）必须是在中华人民共和国境内注册，具有独立法人，并持有工商行政管理部门核发的法人营业执照。</w:t>
      </w:r>
    </w:p>
    <w:p w14:paraId="402F55FC">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190E63C1">
      <w:pPr>
        <w:pStyle w:val="14"/>
        <w:kinsoku/>
        <w:autoSpaceDE/>
        <w:autoSpaceDN/>
        <w:adjustRightInd/>
        <w:snapToGrid/>
        <w:spacing w:beforeAutospacing="0" w:afterAutospacing="0" w:line="360" w:lineRule="auto"/>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A937E17">
      <w:pPr>
        <w:pStyle w:val="14"/>
        <w:numPr>
          <w:ilvl w:val="0"/>
          <w:numId w:val="2"/>
        </w:numPr>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单位负责人为同一人或者存在直接控股、管理关系的不同供应商，不得参加同一合同项下的采购活动。本项目不接受联合体。提供附件：投标人直接控股、管理关系信息表。</w:t>
      </w:r>
    </w:p>
    <w:p w14:paraId="4F93B13D">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五、投标提供资料</w:t>
      </w:r>
    </w:p>
    <w:p w14:paraId="6B7BE252">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报名时请携带以下有效证件的原件及加盖公章的复印件（复印件留存,原件备查），所有材料一正二副。</w:t>
      </w:r>
    </w:p>
    <w:p w14:paraId="0BFAD6A5">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1、根据第四大点资格要求里列明的相关证明材料。</w:t>
      </w:r>
    </w:p>
    <w:p w14:paraId="5B4579A8">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2、营业执照（三证合一）。</w:t>
      </w:r>
    </w:p>
    <w:p w14:paraId="10107CEA">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3、法人代表授权书、法人代表身份证复印件，被授权人身份证。</w:t>
      </w:r>
    </w:p>
    <w:p w14:paraId="2388EFFC">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4、根据评分办法准备的相关材料（密封，加盖公章）。</w:t>
      </w:r>
    </w:p>
    <w:p w14:paraId="41A92E58">
      <w:pPr>
        <w:pStyle w:val="5"/>
        <w:keepNext w:val="0"/>
        <w:keepLines w:val="0"/>
        <w:numPr>
          <w:ilvl w:val="255"/>
          <w:numId w:val="0"/>
        </w:numPr>
        <w:spacing w:before="0" w:after="0" w:line="520" w:lineRule="exact"/>
        <w:ind w:firstLine="480" w:firstLineChars="200"/>
        <w:jc w:val="both"/>
        <w:rPr>
          <w:rFonts w:ascii="宋体" w:hAnsi="宋体" w:cs="宋体"/>
          <w:b w:val="0"/>
          <w:color w:val="auto"/>
          <w:szCs w:val="24"/>
          <w:shd w:val="clear" w:color="auto" w:fill="FFFFFF"/>
        </w:rPr>
      </w:pPr>
      <w:r>
        <w:rPr>
          <w:rFonts w:hint="eastAsia" w:ascii="宋体" w:hAnsi="宋体" w:cs="宋体"/>
          <w:b w:val="0"/>
          <w:color w:val="auto"/>
          <w:szCs w:val="24"/>
          <w:shd w:val="clear" w:color="auto" w:fill="FFFFFF"/>
        </w:rPr>
        <w:t>5、报价单（密封，并加盖公章）及技术、商务需求表（格式自拟，需逐项与需求条款比对，并写明偏离情况）。</w:t>
      </w:r>
    </w:p>
    <w:p w14:paraId="1DFB9A77">
      <w:pPr>
        <w:pStyle w:val="14"/>
        <w:spacing w:beforeAutospacing="0" w:afterAutospacing="0" w:line="520" w:lineRule="exact"/>
        <w:ind w:firstLine="480" w:firstLineChars="200"/>
        <w:jc w:val="both"/>
        <w:rPr>
          <w:rFonts w:ascii="宋体" w:hAnsi="宋体" w:cs="宋体"/>
          <w:color w:val="auto"/>
          <w:szCs w:val="24"/>
        </w:rPr>
      </w:pPr>
      <w:r>
        <w:rPr>
          <w:rStyle w:val="20"/>
          <w:rFonts w:hint="eastAsia" w:ascii="宋体" w:hAnsi="宋体" w:cs="宋体"/>
          <w:b w:val="0"/>
          <w:color w:val="auto"/>
          <w:szCs w:val="24"/>
          <w:shd w:val="clear" w:color="auto" w:fill="FFFFFF"/>
        </w:rPr>
        <w:t>注：所有投标材料均需要密封并加盖公章。投标文件里投标资格要求审查部分与评分办法材料请分开装订并列明对应的目录与页码。</w:t>
      </w:r>
    </w:p>
    <w:p w14:paraId="6755BAAB">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六、评标办法</w:t>
      </w:r>
    </w:p>
    <w:p w14:paraId="3F0ECF26">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见附件2：评分办法。</w:t>
      </w:r>
    </w:p>
    <w:p w14:paraId="57CFB0D2">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七、投标时间与地点</w:t>
      </w:r>
    </w:p>
    <w:p w14:paraId="18B6739C">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w:t>
      </w:r>
      <w:bookmarkStart w:id="12" w:name="_GoBack"/>
      <w:r>
        <w:rPr>
          <w:rFonts w:hint="eastAsia" w:ascii="宋体" w:hAnsi="宋体" w:cs="宋体"/>
          <w:color w:val="auto"/>
          <w:szCs w:val="24"/>
          <w:shd w:val="clear" w:color="auto" w:fill="FFFFFF"/>
        </w:rPr>
        <w:t>、投标时间：</w:t>
      </w:r>
      <w:r>
        <w:rPr>
          <w:rStyle w:val="20"/>
          <w:rFonts w:hint="eastAsia" w:ascii="宋体" w:hAnsi="宋体" w:cs="宋体"/>
          <w:b w:val="0"/>
          <w:color w:val="auto"/>
          <w:szCs w:val="24"/>
          <w:shd w:val="clear" w:color="auto" w:fill="FFFFFF"/>
        </w:rPr>
        <w:t>2025年11 月</w:t>
      </w:r>
      <w:r>
        <w:rPr>
          <w:rStyle w:val="20"/>
          <w:rFonts w:hint="eastAsia" w:ascii="宋体" w:hAnsi="宋体" w:cs="宋体"/>
          <w:b w:val="0"/>
          <w:color w:val="auto"/>
          <w:szCs w:val="24"/>
          <w:shd w:val="clear" w:color="auto" w:fill="FFFFFF"/>
          <w:lang w:val="en-US" w:eastAsia="zh-CN"/>
        </w:rPr>
        <w:t>13</w:t>
      </w:r>
      <w:r>
        <w:rPr>
          <w:rStyle w:val="20"/>
          <w:rFonts w:hint="eastAsia" w:ascii="宋体" w:hAnsi="宋体" w:cs="宋体"/>
          <w:b w:val="0"/>
          <w:color w:val="auto"/>
          <w:szCs w:val="24"/>
          <w:shd w:val="clear" w:color="auto" w:fill="FFFFFF"/>
        </w:rPr>
        <w:t>日上午9:00至11:00之间</w:t>
      </w:r>
      <w:r>
        <w:rPr>
          <w:rFonts w:hint="eastAsia" w:ascii="宋体" w:hAnsi="宋体" w:cs="宋体"/>
          <w:color w:val="auto"/>
          <w:szCs w:val="24"/>
          <w:shd w:val="clear" w:color="auto" w:fill="FFFFFF"/>
        </w:rPr>
        <w:t>，其他时间不接收投标材料，在规定时间内未投标者视为自动弃权。</w:t>
      </w:r>
      <w:bookmarkEnd w:id="12"/>
    </w:p>
    <w:p w14:paraId="230E7A80">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2、投标地点：南宁市青秀区教育路7号广西艺术学院雕塑楼107室，联系人：李老师，朱老师，高老师，联系电话：0771-5327987. </w:t>
      </w:r>
    </w:p>
    <w:p w14:paraId="2B4EF0B9">
      <w:pPr>
        <w:pStyle w:val="14"/>
        <w:spacing w:beforeAutospacing="0" w:afterAutospacing="0" w:line="520" w:lineRule="exact"/>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九、本次采购的相关信息（包括但不限于采购公告与附件及其修改、补充、澄清等，下同）在广西艺术学院主页的“机构设置-财务资产处-招标公告”栏（网址：</w:t>
      </w:r>
      <w:r>
        <w:fldChar w:fldCharType="begin"/>
      </w:r>
      <w: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fldChar w:fldCharType="separate"/>
      </w:r>
      <w:r>
        <w:rPr>
          <w:rFonts w:hint="eastAsia" w:ascii="宋体" w:hAnsi="宋体" w:cs="宋体"/>
          <w:color w:val="auto"/>
          <w:szCs w:val="24"/>
          <w:shd w:val="clear" w:color="auto" w:fill="FFFFFF"/>
        </w:rPr>
        <w:t>https://cwc.gxau.edu.cn/zbgg2）上发布，本次采购的相关信息一经在上述网站发布，即视为已发送给投标人。投标人据此参与本次采购活动，即视为对本次采购的相关信息、内容及规则没有异议。</w:t>
      </w:r>
      <w:r>
        <w:rPr>
          <w:rFonts w:hint="eastAsia" w:ascii="宋体" w:hAnsi="宋体" w:cs="宋体"/>
          <w:color w:val="auto"/>
          <w:szCs w:val="24"/>
          <w:shd w:val="clear" w:color="auto" w:fill="FFFFFF"/>
        </w:rPr>
        <w:fldChar w:fldCharType="end"/>
      </w:r>
    </w:p>
    <w:p w14:paraId="6E68DD74">
      <w:pPr>
        <w:spacing w:line="520" w:lineRule="exact"/>
        <w:ind w:firstLine="480" w:firstLineChars="200"/>
        <w:jc w:val="both"/>
        <w:rPr>
          <w:color w:val="auto"/>
        </w:rPr>
      </w:pPr>
    </w:p>
    <w:p w14:paraId="1F3E5C5D">
      <w:pPr>
        <w:spacing w:line="520" w:lineRule="exact"/>
        <w:ind w:firstLine="480" w:firstLineChars="200"/>
        <w:jc w:val="both"/>
        <w:rPr>
          <w:rFonts w:ascii="宋体" w:hAnsi="宋体" w:cs="宋体"/>
          <w:b/>
          <w:bCs/>
          <w:color w:val="auto"/>
          <w:szCs w:val="24"/>
        </w:rPr>
      </w:pPr>
    </w:p>
    <w:p w14:paraId="36B0E16B">
      <w:pPr>
        <w:spacing w:line="520" w:lineRule="exact"/>
        <w:ind w:firstLine="480" w:firstLineChars="200"/>
        <w:jc w:val="both"/>
        <w:rPr>
          <w:rFonts w:ascii="宋体" w:hAnsi="宋体" w:cs="宋体"/>
          <w:b/>
          <w:bCs/>
          <w:color w:val="auto"/>
          <w:szCs w:val="24"/>
        </w:rPr>
      </w:pPr>
    </w:p>
    <w:p w14:paraId="38A6F047">
      <w:pPr>
        <w:spacing w:line="520" w:lineRule="exact"/>
        <w:ind w:firstLine="480" w:firstLineChars="200"/>
        <w:jc w:val="both"/>
        <w:rPr>
          <w:rFonts w:ascii="宋体" w:hAnsi="宋体" w:cs="宋体"/>
          <w:b/>
          <w:bCs/>
          <w:color w:val="auto"/>
          <w:szCs w:val="24"/>
        </w:rPr>
      </w:pPr>
    </w:p>
    <w:p w14:paraId="3050BC1E">
      <w:pPr>
        <w:spacing w:line="520" w:lineRule="exact"/>
        <w:jc w:val="both"/>
        <w:rPr>
          <w:rFonts w:ascii="宋体" w:hAnsi="宋体" w:cs="宋体"/>
          <w:b/>
          <w:bCs/>
          <w:color w:val="auto"/>
          <w:szCs w:val="24"/>
        </w:rPr>
      </w:pPr>
    </w:p>
    <w:p w14:paraId="7DDC8DE5">
      <w:pPr>
        <w:spacing w:line="520" w:lineRule="exact"/>
        <w:jc w:val="both"/>
        <w:rPr>
          <w:rFonts w:ascii="宋体" w:hAnsi="宋体" w:cs="宋体"/>
          <w:b/>
          <w:bCs/>
          <w:color w:val="auto"/>
          <w:szCs w:val="24"/>
        </w:rPr>
        <w:sectPr>
          <w:headerReference r:id="rId3" w:type="default"/>
          <w:footerReference r:id="rId4" w:type="default"/>
          <w:footerReference r:id="rId5" w:type="even"/>
          <w:pgSz w:w="11906" w:h="16838"/>
          <w:pgMar w:top="1418" w:right="1418" w:bottom="1418" w:left="1418" w:header="851" w:footer="850" w:gutter="0"/>
          <w:pgNumType w:fmt="upperRoman" w:start="1"/>
          <w:cols w:space="425" w:num="1"/>
          <w:docGrid w:type="linesAndChars" w:linePitch="326" w:charSpace="0"/>
        </w:sectPr>
      </w:pPr>
      <w:bookmarkStart w:id="0" w:name="_Toc20532"/>
    </w:p>
    <w:p w14:paraId="1BDD2545">
      <w:pPr>
        <w:pStyle w:val="4"/>
      </w:pPr>
      <w:bookmarkStart w:id="1" w:name="_Toc8158"/>
      <w:r>
        <w:rPr>
          <w:rFonts w:hint="eastAsia"/>
        </w:rPr>
        <w:t>附件1：</w:t>
      </w:r>
      <w:bookmarkEnd w:id="0"/>
      <w:bookmarkEnd w:id="1"/>
      <w:bookmarkStart w:id="2" w:name="_Toc940146"/>
      <w:r>
        <w:rPr>
          <w:rFonts w:hint="eastAsia"/>
        </w:rPr>
        <w:t>项目需求</w:t>
      </w:r>
      <w:bookmarkEnd w:id="2"/>
    </w:p>
    <w:p w14:paraId="2F415011">
      <w:pPr>
        <w:spacing w:line="360" w:lineRule="exact"/>
        <w:rPr>
          <w:rFonts w:ascii="宋体" w:hAnsi="宋体"/>
        </w:rPr>
      </w:pPr>
      <w:r>
        <w:rPr>
          <w:rFonts w:hint="eastAsia" w:ascii="宋体" w:hAnsi="宋体"/>
        </w:rPr>
        <w:t>说明：</w:t>
      </w:r>
    </w:p>
    <w:p w14:paraId="7E1988C1">
      <w:pPr>
        <w:spacing w:line="360" w:lineRule="exact"/>
        <w:ind w:firstLine="484" w:firstLineChars="202"/>
        <w:rPr>
          <w:rFonts w:ascii="宋体" w:hAnsi="宋体"/>
        </w:rPr>
      </w:pPr>
      <w:r>
        <w:rPr>
          <w:rFonts w:hint="eastAsia" w:ascii="宋体" w:hAnsi="宋体"/>
        </w:rPr>
        <w:t>1、本章中标注“▲”号的条款为实质性条款，必须满足或者优于，</w:t>
      </w:r>
      <w:r>
        <w:rPr>
          <w:rFonts w:hint="eastAsia" w:ascii="宋体" w:hAnsi="宋体"/>
          <w:b/>
        </w:rPr>
        <w:t>否则响应无效</w:t>
      </w:r>
      <w:r>
        <w:rPr>
          <w:rFonts w:hint="eastAsia" w:ascii="宋体" w:hAnsi="宋体"/>
        </w:rPr>
        <w:t>。</w:t>
      </w:r>
    </w:p>
    <w:p w14:paraId="425FD89E">
      <w:pPr>
        <w:spacing w:line="360" w:lineRule="exact"/>
        <w:ind w:firstLine="487" w:firstLineChars="202"/>
        <w:rPr>
          <w:rFonts w:ascii="宋体" w:hAnsi="宋体"/>
          <w:b/>
        </w:rPr>
      </w:pPr>
      <w:r>
        <w:rPr>
          <w:rFonts w:hint="eastAsia" w:ascii="宋体" w:hAnsi="宋体"/>
          <w:b/>
        </w:rPr>
        <w:t>“项目需求及服务要求”中非“▲”号的条款偏离的技术、性能指标或者辅助功能项目发生负偏离达</w:t>
      </w:r>
      <w:r>
        <w:rPr>
          <w:rFonts w:ascii="宋体" w:hAnsi="宋体"/>
          <w:b/>
        </w:rPr>
        <w:t>1</w:t>
      </w:r>
      <w:r>
        <w:rPr>
          <w:rFonts w:hint="eastAsia" w:ascii="宋体" w:hAnsi="宋体"/>
          <w:b/>
        </w:rPr>
        <w:t>项（含）以上的响应无效（即允许负偏离的项数为</w:t>
      </w:r>
      <w:r>
        <w:rPr>
          <w:rFonts w:ascii="宋体" w:hAnsi="宋体"/>
          <w:b/>
        </w:rPr>
        <w:t>0</w:t>
      </w:r>
      <w:r>
        <w:rPr>
          <w:rFonts w:hint="eastAsia" w:ascii="宋体" w:hAnsi="宋体"/>
          <w:b/>
        </w:rPr>
        <w:t>项）。</w:t>
      </w:r>
    </w:p>
    <w:p w14:paraId="0064FED2">
      <w:pPr>
        <w:spacing w:line="360" w:lineRule="exact"/>
        <w:ind w:firstLine="484" w:firstLineChars="202"/>
        <w:rPr>
          <w:rFonts w:ascii="宋体" w:hAnsi="宋体"/>
        </w:rPr>
      </w:pPr>
      <w:r>
        <w:rPr>
          <w:rFonts w:hint="eastAsia" w:ascii="宋体" w:hAnsi="宋体"/>
        </w:rPr>
        <w:t>2、供应商必须自行为其磋商服务侵犯其他供应商或专利人的专利成果承担相应法律责任；同时，具有服务专利的供应商应在其响应文件中提供与其自有服务专利相关的有效证明材料，否则，不能就其服务的专利在本项目磋商过程中被侵权问题提出异议。</w:t>
      </w:r>
    </w:p>
    <w:p w14:paraId="46E9B918">
      <w:pPr>
        <w:spacing w:line="360" w:lineRule="exact"/>
        <w:ind w:firstLine="484" w:firstLineChars="202"/>
        <w:rPr>
          <w:rFonts w:hAnsi="宋体" w:cs="Courier New"/>
        </w:rPr>
      </w:pPr>
      <w:r>
        <w:rPr>
          <w:rFonts w:hint="eastAsia" w:hAnsi="宋体" w:cs="Courier New"/>
        </w:rPr>
        <w:t>3、磋商文件中所要求提供的证明材料，如为英文文本的请提供中文翻译文本。</w:t>
      </w:r>
    </w:p>
    <w:p w14:paraId="7D771910">
      <w:pPr>
        <w:spacing w:line="360" w:lineRule="exact"/>
        <w:ind w:firstLine="484" w:firstLineChars="202"/>
        <w:rPr>
          <w:rFonts w:hAnsi="宋体" w:cs="Courier New"/>
        </w:rPr>
      </w:pPr>
      <w:r>
        <w:rPr>
          <w:rFonts w:hint="eastAsia" w:hAnsi="宋体" w:cs="Courier New"/>
        </w:rPr>
        <w:t>4、项目采购需求具有国家或其他强制性标准、规范等要求的，响应文件中必须提供相关强制性认证资料，</w:t>
      </w:r>
      <w:r>
        <w:rPr>
          <w:rFonts w:hint="eastAsia" w:hAnsi="宋体" w:cs="Courier New"/>
          <w:b/>
        </w:rPr>
        <w:t>否则响应无效</w:t>
      </w:r>
      <w:r>
        <w:rPr>
          <w:rFonts w:hint="eastAsia" w:hAnsi="宋体" w:cs="Courier New"/>
        </w:rPr>
        <w:t>。</w:t>
      </w:r>
    </w:p>
    <w:p w14:paraId="17FE858E">
      <w:pPr>
        <w:pStyle w:val="2"/>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98"/>
        <w:gridCol w:w="457"/>
        <w:gridCol w:w="6910"/>
      </w:tblGrid>
      <w:tr w14:paraId="4AFC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019204FD">
            <w:pPr>
              <w:spacing w:line="400" w:lineRule="exact"/>
              <w:rPr>
                <w:rFonts w:ascii="宋体" w:hAnsi="宋体" w:cs="宋体"/>
                <w:b/>
                <w:bCs/>
              </w:rPr>
            </w:pPr>
            <w:r>
              <w:rPr>
                <w:rFonts w:hint="eastAsia" w:ascii="宋体" w:hAnsi="宋体" w:cs="宋体"/>
                <w:b/>
                <w:bCs/>
              </w:rPr>
              <w:t>序号</w:t>
            </w:r>
          </w:p>
        </w:tc>
        <w:tc>
          <w:tcPr>
            <w:tcW w:w="642" w:type="dxa"/>
            <w:tcBorders>
              <w:top w:val="single" w:color="auto" w:sz="4" w:space="0"/>
              <w:left w:val="single" w:color="auto" w:sz="4" w:space="0"/>
              <w:bottom w:val="single" w:color="auto" w:sz="4" w:space="0"/>
              <w:right w:val="single" w:color="auto" w:sz="4" w:space="0"/>
            </w:tcBorders>
            <w:vAlign w:val="center"/>
          </w:tcPr>
          <w:p w14:paraId="74B65343">
            <w:pPr>
              <w:spacing w:line="400" w:lineRule="exact"/>
              <w:jc w:val="center"/>
              <w:rPr>
                <w:rFonts w:ascii="宋体" w:hAnsi="宋体" w:cs="宋体"/>
                <w:b/>
                <w:bCs/>
              </w:rPr>
            </w:pPr>
            <w:r>
              <w:rPr>
                <w:rFonts w:hint="eastAsia" w:ascii="宋体" w:hAnsi="宋体" w:cs="宋体"/>
                <w:b/>
                <w:bCs/>
              </w:rPr>
              <w:t>采购标的（服务名称）</w:t>
            </w:r>
          </w:p>
        </w:tc>
        <w:tc>
          <w:tcPr>
            <w:tcW w:w="431" w:type="dxa"/>
            <w:tcBorders>
              <w:top w:val="single" w:color="auto" w:sz="4" w:space="0"/>
              <w:left w:val="single" w:color="auto" w:sz="4" w:space="0"/>
              <w:bottom w:val="single" w:color="auto" w:sz="4" w:space="0"/>
              <w:right w:val="single" w:color="auto" w:sz="4" w:space="0"/>
            </w:tcBorders>
            <w:vAlign w:val="center"/>
          </w:tcPr>
          <w:p w14:paraId="1DA78C34">
            <w:pPr>
              <w:spacing w:line="400" w:lineRule="exact"/>
              <w:jc w:val="center"/>
              <w:rPr>
                <w:rFonts w:ascii="宋体" w:hAnsi="宋体" w:cs="宋体"/>
                <w:b/>
                <w:bCs/>
              </w:rPr>
            </w:pPr>
            <w:r>
              <w:rPr>
                <w:rFonts w:hint="eastAsia" w:ascii="宋体" w:hAnsi="宋体" w:cs="宋体"/>
                <w:b/>
                <w:bCs/>
              </w:rPr>
              <w:t>数量/单位</w:t>
            </w:r>
          </w:p>
        </w:tc>
        <w:tc>
          <w:tcPr>
            <w:tcW w:w="7173" w:type="dxa"/>
            <w:tcBorders>
              <w:top w:val="single" w:color="auto" w:sz="4" w:space="0"/>
              <w:left w:val="single" w:color="auto" w:sz="4" w:space="0"/>
              <w:bottom w:val="single" w:color="auto" w:sz="4" w:space="0"/>
              <w:right w:val="single" w:color="auto" w:sz="4" w:space="0"/>
            </w:tcBorders>
            <w:vAlign w:val="center"/>
          </w:tcPr>
          <w:p w14:paraId="48AE9B1E">
            <w:pPr>
              <w:spacing w:line="400" w:lineRule="exact"/>
              <w:jc w:val="center"/>
              <w:rPr>
                <w:rFonts w:ascii="宋体" w:hAnsi="宋体" w:cs="宋体"/>
                <w:b/>
                <w:bCs/>
              </w:rPr>
            </w:pPr>
            <w:r>
              <w:rPr>
                <w:rFonts w:hint="eastAsia" w:ascii="宋体" w:hAnsi="宋体" w:cs="宋体"/>
                <w:b/>
                <w:bCs/>
              </w:rPr>
              <w:t>服务内容及要求</w:t>
            </w:r>
          </w:p>
        </w:tc>
      </w:tr>
      <w:tr w14:paraId="66BD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14:paraId="5BE37DB8">
            <w:pPr>
              <w:spacing w:line="400" w:lineRule="exact"/>
              <w:jc w:val="center"/>
              <w:rPr>
                <w:rFonts w:ascii="宋体" w:hAnsi="宋体" w:cs="宋体"/>
              </w:rPr>
            </w:pPr>
            <w:r>
              <w:rPr>
                <w:rFonts w:hint="eastAsia" w:ascii="宋体" w:hAnsi="宋体" w:cs="宋体"/>
              </w:rPr>
              <w:t>1</w:t>
            </w:r>
          </w:p>
        </w:tc>
        <w:tc>
          <w:tcPr>
            <w:tcW w:w="642" w:type="dxa"/>
            <w:tcBorders>
              <w:top w:val="single" w:color="auto" w:sz="4" w:space="0"/>
              <w:left w:val="single" w:color="auto" w:sz="4" w:space="0"/>
              <w:bottom w:val="single" w:color="auto" w:sz="4" w:space="0"/>
              <w:right w:val="single" w:color="auto" w:sz="4" w:space="0"/>
            </w:tcBorders>
            <w:vAlign w:val="center"/>
          </w:tcPr>
          <w:p w14:paraId="0AF46738">
            <w:pPr>
              <w:spacing w:line="400" w:lineRule="exact"/>
              <w:jc w:val="center"/>
              <w:rPr>
                <w:rFonts w:ascii="宋体" w:hAnsi="宋体" w:cs="宋体"/>
              </w:rPr>
            </w:pPr>
            <w:r>
              <w:rPr>
                <w:rFonts w:hint="eastAsia" w:ascii="宋体" w:hAnsi="宋体"/>
                <w:b/>
                <w:bCs/>
              </w:rPr>
              <w:t>网络安全设备运维服务</w:t>
            </w:r>
          </w:p>
        </w:tc>
        <w:tc>
          <w:tcPr>
            <w:tcW w:w="431" w:type="dxa"/>
            <w:tcBorders>
              <w:top w:val="single" w:color="auto" w:sz="4" w:space="0"/>
              <w:left w:val="single" w:color="auto" w:sz="4" w:space="0"/>
              <w:bottom w:val="single" w:color="auto" w:sz="4" w:space="0"/>
              <w:right w:val="single" w:color="auto" w:sz="4" w:space="0"/>
            </w:tcBorders>
            <w:vAlign w:val="center"/>
          </w:tcPr>
          <w:p w14:paraId="0EC38E5A">
            <w:pPr>
              <w:spacing w:line="400" w:lineRule="exact"/>
              <w:jc w:val="center"/>
              <w:rPr>
                <w:rFonts w:ascii="宋体" w:hAnsi="宋体" w:cs="宋体"/>
              </w:rPr>
            </w:pPr>
            <w:r>
              <w:rPr>
                <w:rFonts w:hint="eastAsia" w:ascii="宋体" w:hAnsi="宋体" w:cs="宋体"/>
              </w:rPr>
              <w:t>1项</w:t>
            </w:r>
          </w:p>
        </w:tc>
        <w:tc>
          <w:tcPr>
            <w:tcW w:w="7173" w:type="dxa"/>
            <w:tcBorders>
              <w:top w:val="single" w:color="auto" w:sz="4" w:space="0"/>
              <w:left w:val="single" w:color="auto" w:sz="4" w:space="0"/>
              <w:bottom w:val="single" w:color="auto" w:sz="4" w:space="0"/>
              <w:right w:val="single" w:color="auto" w:sz="4" w:space="0"/>
            </w:tcBorders>
            <w:vAlign w:val="center"/>
          </w:tcPr>
          <w:p w14:paraId="5528D738">
            <w:pPr>
              <w:spacing w:line="400" w:lineRule="exact"/>
              <w:rPr>
                <w:rFonts w:ascii="宋体" w:hAnsi="宋体" w:cs="宋体"/>
                <w:b/>
                <w:bCs/>
              </w:rPr>
            </w:pPr>
            <w:r>
              <w:rPr>
                <w:rFonts w:hint="eastAsia" w:ascii="宋体" w:hAnsi="宋体" w:cs="宋体"/>
                <w:b/>
                <w:bCs/>
              </w:rPr>
              <w:t>一、服务总体要求：</w:t>
            </w:r>
          </w:p>
          <w:p w14:paraId="391B452B">
            <w:pPr>
              <w:spacing w:line="400" w:lineRule="exact"/>
              <w:rPr>
                <w:rFonts w:ascii="宋体" w:hAnsi="宋体" w:cs="宋体"/>
              </w:rPr>
            </w:pPr>
            <w:r>
              <w:rPr>
                <w:rFonts w:ascii="宋体" w:hAnsi="宋体" w:cs="宋体"/>
              </w:rPr>
              <w:t>1</w:t>
            </w:r>
            <w:r>
              <w:rPr>
                <w:rFonts w:hint="eastAsia" w:ascii="宋体" w:hAnsi="宋体" w:cs="宋体"/>
              </w:rPr>
              <w:t>.供应商须设立客户支持中心</w:t>
            </w:r>
            <w:r>
              <w:rPr>
                <w:rFonts w:hint="eastAsia"/>
              </w:rPr>
              <w:t>或类似机构</w:t>
            </w:r>
            <w:r>
              <w:rPr>
                <w:rFonts w:hint="eastAsia" w:ascii="宋体" w:hAnsi="宋体" w:cs="宋体"/>
              </w:rPr>
              <w:t>，配备专业技术人员解答采购人提出的问题，提供≥7*14小时服务热线电话。</w:t>
            </w:r>
          </w:p>
          <w:p w14:paraId="3701363D">
            <w:pPr>
              <w:spacing w:line="400" w:lineRule="exact"/>
              <w:rPr>
                <w:rFonts w:ascii="宋体" w:hAnsi="宋体" w:cs="宋体"/>
              </w:rPr>
            </w:pPr>
            <w:r>
              <w:rPr>
                <w:rFonts w:ascii="宋体" w:hAnsi="宋体" w:cs="宋体"/>
              </w:rPr>
              <w:t>2</w:t>
            </w:r>
            <w:r>
              <w:rPr>
                <w:rFonts w:hint="eastAsia" w:ascii="宋体" w:hAnsi="宋体" w:cs="宋体"/>
              </w:rPr>
              <w:t>.供应商须提供7*24小时向采购人提供快速响应服务技术支持服务，服务内容包括维保设备的故障排除、坏件更换、设备检修等，处理问题响应时间为30分钟内。如果不能远程解决问题，须在2小时内到达现场；现场处理不了的故障问题，维保设备的原厂工程师须在24小时内到达现场。</w:t>
            </w:r>
          </w:p>
          <w:p w14:paraId="1617A20B">
            <w:pPr>
              <w:spacing w:line="400" w:lineRule="exact"/>
              <w:rPr>
                <w:rFonts w:ascii="宋体" w:hAnsi="宋体" w:cs="宋体"/>
              </w:rPr>
            </w:pPr>
            <w:r>
              <w:rPr>
                <w:rFonts w:ascii="宋体" w:hAnsi="宋体" w:cs="宋体"/>
              </w:rPr>
              <w:t>3</w:t>
            </w:r>
            <w:r>
              <w:rPr>
                <w:rFonts w:hint="eastAsia" w:ascii="宋体" w:hAnsi="宋体" w:cs="宋体"/>
              </w:rPr>
              <w:t>.出现与各类硬件设备相关但难以准确定位故障原因的问题时，为了保证故障得到及时、准确的定位和处理，供应商服务团队工程师应根据采购人的安排到达现场提供技术支持服务。供应商服务团队工程师应配合采购人和其他相关厂商工程师对故障进行分析定位并及时解决故障或问题。</w:t>
            </w:r>
          </w:p>
          <w:p w14:paraId="1DA4C721">
            <w:pPr>
              <w:spacing w:line="400" w:lineRule="exact"/>
              <w:rPr>
                <w:rFonts w:ascii="宋体" w:hAnsi="宋体" w:cs="宋体"/>
              </w:rPr>
            </w:pPr>
            <w:r>
              <w:rPr>
                <w:rFonts w:ascii="宋体" w:hAnsi="宋体" w:cs="宋体"/>
              </w:rPr>
              <w:t>4</w:t>
            </w:r>
            <w:r>
              <w:rPr>
                <w:rFonts w:hint="eastAsia" w:ascii="宋体" w:hAnsi="宋体" w:cs="宋体"/>
              </w:rPr>
              <w:t>.完成网络安全服务内容，满足采购人对整体安全服务质量评价标准要求。包括网络安全运营1年服务。</w:t>
            </w:r>
          </w:p>
          <w:p w14:paraId="5F6D9DFA">
            <w:pPr>
              <w:spacing w:line="400" w:lineRule="exact"/>
              <w:rPr>
                <w:rFonts w:ascii="宋体" w:hAnsi="宋体" w:cs="宋体"/>
              </w:rPr>
            </w:pPr>
            <w:r>
              <w:rPr>
                <w:rFonts w:hint="eastAsia" w:ascii="宋体" w:hAnsi="宋体" w:cs="宋体"/>
              </w:rPr>
              <w:t>注：7</w:t>
            </w:r>
            <w:r>
              <w:rPr>
                <w:rFonts w:ascii="宋体" w:hAnsi="宋体" w:cs="宋体"/>
              </w:rPr>
              <w:t>*14</w:t>
            </w:r>
            <w:r>
              <w:rPr>
                <w:rFonts w:hint="eastAsia" w:ascii="宋体" w:hAnsi="宋体" w:cs="宋体"/>
              </w:rPr>
              <w:t>小时原则上指每日</w:t>
            </w:r>
            <w:r>
              <w:rPr>
                <w:rFonts w:ascii="宋体" w:hAnsi="宋体" w:cs="宋体"/>
              </w:rPr>
              <w:t>8</w:t>
            </w:r>
            <w:r>
              <w:rPr>
                <w:rFonts w:hint="eastAsia" w:ascii="宋体" w:hAnsi="宋体" w:cs="宋体"/>
              </w:rPr>
              <w:t>:0</w:t>
            </w:r>
            <w:r>
              <w:rPr>
                <w:rFonts w:ascii="宋体" w:hAnsi="宋体" w:cs="宋体"/>
              </w:rPr>
              <w:t>0-22</w:t>
            </w:r>
            <w:r>
              <w:rPr>
                <w:rFonts w:hint="eastAsia" w:ascii="宋体" w:hAnsi="宋体" w:cs="宋体"/>
              </w:rPr>
              <w:t>:</w:t>
            </w:r>
            <w:r>
              <w:rPr>
                <w:rFonts w:ascii="宋体" w:hAnsi="宋体" w:cs="宋体"/>
              </w:rPr>
              <w:t>00</w:t>
            </w:r>
          </w:p>
          <w:p w14:paraId="76623F06">
            <w:pPr>
              <w:pStyle w:val="2"/>
              <w:spacing w:line="400" w:lineRule="exact"/>
              <w:rPr>
                <w:rFonts w:ascii="宋体" w:hAnsi="宋体"/>
                <w:b/>
                <w:bCs/>
                <w:kern w:val="2"/>
                <w:sz w:val="24"/>
                <w:szCs w:val="24"/>
              </w:rPr>
            </w:pPr>
            <w:r>
              <w:rPr>
                <w:rFonts w:hint="eastAsia" w:ascii="宋体" w:hAnsi="宋体" w:cs="宋体"/>
                <w:b/>
                <w:bCs/>
                <w:sz w:val="24"/>
                <w:szCs w:val="24"/>
              </w:rPr>
              <w:t>▲</w:t>
            </w:r>
            <w:r>
              <w:rPr>
                <w:rFonts w:hint="eastAsia" w:ascii="宋体" w:hAnsi="宋体"/>
                <w:sz w:val="24"/>
                <w:szCs w:val="24"/>
              </w:rPr>
              <w:t>（一）网络安全运维服务及质量要求</w:t>
            </w:r>
          </w:p>
          <w:p w14:paraId="2823B020">
            <w:pPr>
              <w:pStyle w:val="2"/>
              <w:spacing w:line="400" w:lineRule="exact"/>
              <w:rPr>
                <w:rFonts w:ascii="宋体" w:hAnsi="宋体"/>
                <w:sz w:val="24"/>
                <w:szCs w:val="24"/>
              </w:rPr>
            </w:pPr>
            <w:r>
              <w:rPr>
                <w:rFonts w:hint="eastAsia" w:ascii="宋体" w:hAnsi="宋体"/>
                <w:sz w:val="24"/>
                <w:szCs w:val="24"/>
              </w:rPr>
              <w:t>1. 网络安全运维1年服务</w:t>
            </w:r>
          </w:p>
          <w:p w14:paraId="300574E8">
            <w:pPr>
              <w:pStyle w:val="2"/>
              <w:spacing w:line="400" w:lineRule="exact"/>
              <w:rPr>
                <w:rFonts w:ascii="宋体" w:hAnsi="宋体"/>
                <w:sz w:val="24"/>
                <w:szCs w:val="24"/>
              </w:rPr>
            </w:pPr>
            <w:r>
              <w:rPr>
                <w:rFonts w:hint="eastAsia" w:ascii="宋体" w:hAnsi="宋体"/>
                <w:sz w:val="24"/>
                <w:szCs w:val="24"/>
              </w:rPr>
              <w:t>1.1自合同签订之日起向采购人提供365天网络安全运维服务（按合同约定日期起算），提供驻场人员至少1人（工作时间原则上与采购人一致，重保时期根据采购人要求而定），服务期间提供至少1名安全顾问,服务期间提供7*24小时技术支持，成交人在签订合同的同时与采购人签订保密协议。</w:t>
            </w:r>
          </w:p>
          <w:p w14:paraId="54259DBC">
            <w:pPr>
              <w:pStyle w:val="2"/>
              <w:spacing w:line="400" w:lineRule="exact"/>
              <w:rPr>
                <w:rFonts w:ascii="宋体" w:hAnsi="宋体"/>
                <w:sz w:val="24"/>
                <w:szCs w:val="24"/>
              </w:rPr>
            </w:pPr>
            <w:r>
              <w:rPr>
                <w:rFonts w:hint="eastAsia" w:ascii="宋体" w:hAnsi="宋体"/>
                <w:sz w:val="24"/>
                <w:szCs w:val="24"/>
              </w:rPr>
              <w:t>1.2合同内驻场人员职责包括但不仅限于以下内容：</w:t>
            </w:r>
          </w:p>
          <w:p w14:paraId="28B98CAE">
            <w:pPr>
              <w:pStyle w:val="2"/>
              <w:spacing w:line="400" w:lineRule="exact"/>
              <w:rPr>
                <w:rFonts w:ascii="宋体" w:hAnsi="宋体"/>
                <w:sz w:val="24"/>
                <w:szCs w:val="24"/>
              </w:rPr>
            </w:pPr>
            <w:r>
              <w:rPr>
                <w:rFonts w:hint="eastAsia" w:ascii="宋体" w:hAnsi="宋体"/>
                <w:sz w:val="24"/>
                <w:szCs w:val="24"/>
              </w:rPr>
              <w:t>①按照等保2.0新规标准要求，协助学校完成网络安全等级保护测评、建设和整改工作，</w:t>
            </w:r>
            <w:r>
              <w:rPr>
                <w:rFonts w:ascii="宋体" w:hAnsi="宋体"/>
                <w:sz w:val="24"/>
                <w:szCs w:val="24"/>
              </w:rPr>
              <w:t>确保学校网络安全符合等级保护要求</w:t>
            </w:r>
            <w:r>
              <w:rPr>
                <w:rFonts w:hint="eastAsia" w:ascii="宋体" w:hAnsi="宋体"/>
                <w:sz w:val="24"/>
                <w:szCs w:val="24"/>
              </w:rPr>
              <w:t>；</w:t>
            </w:r>
          </w:p>
          <w:p w14:paraId="7CB5E0BC">
            <w:pPr>
              <w:pStyle w:val="2"/>
              <w:spacing w:line="400" w:lineRule="exact"/>
              <w:rPr>
                <w:rFonts w:ascii="宋体" w:hAnsi="宋体"/>
                <w:sz w:val="24"/>
                <w:szCs w:val="24"/>
              </w:rPr>
            </w:pPr>
            <w:r>
              <w:rPr>
                <w:rFonts w:hint="eastAsia" w:ascii="宋体" w:hAnsi="宋体"/>
                <w:sz w:val="24"/>
                <w:szCs w:val="24"/>
              </w:rPr>
              <w:t>②按照学校的安全防护要求和现状，对部署设备进行策略优化和配置，优化调整学校网络拓扑、安全架构；</w:t>
            </w:r>
          </w:p>
          <w:p w14:paraId="61F06479">
            <w:pPr>
              <w:pStyle w:val="2"/>
              <w:spacing w:line="400" w:lineRule="exact"/>
              <w:rPr>
                <w:rFonts w:ascii="宋体" w:hAnsi="宋体"/>
                <w:sz w:val="24"/>
                <w:szCs w:val="24"/>
              </w:rPr>
            </w:pPr>
            <w:r>
              <w:rPr>
                <w:rFonts w:hint="eastAsia" w:ascii="宋体" w:hAnsi="宋体"/>
                <w:sz w:val="24"/>
                <w:szCs w:val="24"/>
              </w:rPr>
              <w:t>③完成网络安全日常运维、月度巡检等服务，预先识别网络关键节点设备存在的潜在风险并处理，确保网络无风险运行；</w:t>
            </w:r>
          </w:p>
          <w:p w14:paraId="1B9C0EEF">
            <w:pPr>
              <w:pStyle w:val="2"/>
              <w:spacing w:line="400" w:lineRule="exact"/>
              <w:rPr>
                <w:rFonts w:ascii="宋体" w:hAnsi="宋体"/>
                <w:sz w:val="24"/>
                <w:szCs w:val="24"/>
              </w:rPr>
            </w:pPr>
            <w:r>
              <w:rPr>
                <w:rFonts w:hint="eastAsia" w:ascii="宋体" w:hAnsi="宋体"/>
                <w:sz w:val="24"/>
                <w:szCs w:val="24"/>
              </w:rPr>
              <w:t>④协助学校对网络安全设备运维及故障处理，包含日常设备运行的配置改动和网络故障处理、安全故障处理之类的问题；</w:t>
            </w:r>
          </w:p>
          <w:p w14:paraId="58468F0D">
            <w:pPr>
              <w:pStyle w:val="2"/>
              <w:spacing w:line="400" w:lineRule="exact"/>
              <w:rPr>
                <w:rFonts w:ascii="宋体" w:hAnsi="宋体"/>
                <w:sz w:val="24"/>
                <w:szCs w:val="24"/>
              </w:rPr>
            </w:pPr>
            <w:r>
              <w:rPr>
                <w:rFonts w:hint="eastAsia" w:ascii="宋体" w:hAnsi="宋体"/>
                <w:sz w:val="24"/>
                <w:szCs w:val="24"/>
              </w:rPr>
              <w:t>⑤资料收集管理：建立完善的运维服务资料库，保证采购人运维服务资料文件的完整和安全，便于查找利用，做好文件资料的记录、收集、管理。具体包含但不限于：设备资产登记、故障处理记录、日常网络数据记录、产品使用手册、运维服务内部人员通讯录。</w:t>
            </w:r>
          </w:p>
          <w:p w14:paraId="0060AA9D">
            <w:pPr>
              <w:pStyle w:val="2"/>
              <w:spacing w:line="400" w:lineRule="exact"/>
              <w:rPr>
                <w:rFonts w:ascii="宋体" w:hAnsi="宋体"/>
                <w:sz w:val="24"/>
                <w:szCs w:val="24"/>
              </w:rPr>
            </w:pPr>
            <w:r>
              <w:rPr>
                <w:rFonts w:hint="eastAsia" w:ascii="宋体" w:hAnsi="宋体"/>
                <w:sz w:val="24"/>
                <w:szCs w:val="24"/>
              </w:rPr>
              <w:t>⑥配合采购人完成相关行政监管部门（公安、网信等）对采购人关键信息基础设施、网络安全执法检查等网络安全检查。</w:t>
            </w:r>
          </w:p>
          <w:p w14:paraId="12314E7C">
            <w:pPr>
              <w:pStyle w:val="2"/>
              <w:spacing w:line="400" w:lineRule="exact"/>
              <w:rPr>
                <w:rFonts w:ascii="宋体" w:hAnsi="宋体"/>
                <w:sz w:val="24"/>
                <w:szCs w:val="24"/>
              </w:rPr>
            </w:pPr>
            <w:r>
              <w:rPr>
                <w:rFonts w:hint="eastAsia" w:ascii="宋体" w:hAnsi="宋体"/>
                <w:sz w:val="24"/>
                <w:szCs w:val="24"/>
              </w:rPr>
              <w:t>⑦需在设备系统软件或特征库新版本发布后，协助采购人完成设备系统的升级，实现对新的安全威胁进行检测。需定期对安全设备配置进行备份，为防止在设备在配置策略或升级补丁过程中出现系统异常的情况，均应在配置之前进行一次完整的系统备份，以便在系统发生故障后能够迅速恢复正常。</w:t>
            </w:r>
          </w:p>
          <w:p w14:paraId="18EE1C6C">
            <w:pPr>
              <w:pStyle w:val="2"/>
              <w:spacing w:line="400" w:lineRule="exact"/>
              <w:rPr>
                <w:rFonts w:ascii="宋体" w:hAnsi="宋体"/>
                <w:sz w:val="24"/>
                <w:szCs w:val="24"/>
              </w:rPr>
            </w:pPr>
            <w:r>
              <w:rPr>
                <w:rFonts w:hint="eastAsia" w:ascii="宋体" w:hAnsi="宋体"/>
                <w:sz w:val="24"/>
                <w:szCs w:val="24"/>
              </w:rPr>
              <w:t>⑧协助采购人完成其他网络安全相关工作。</w:t>
            </w:r>
          </w:p>
          <w:p w14:paraId="15A15DDF">
            <w:pPr>
              <w:pStyle w:val="2"/>
              <w:spacing w:line="400" w:lineRule="exact"/>
              <w:rPr>
                <w:rFonts w:ascii="宋体" w:hAnsi="宋体"/>
                <w:sz w:val="24"/>
                <w:szCs w:val="24"/>
              </w:rPr>
            </w:pPr>
            <w:r>
              <w:rPr>
                <w:rFonts w:hint="eastAsia" w:ascii="宋体" w:hAnsi="宋体"/>
                <w:sz w:val="24"/>
                <w:szCs w:val="24"/>
              </w:rPr>
              <w:t>注：定期备份要求如下：</w:t>
            </w:r>
            <w:r>
              <w:rPr>
                <w:rFonts w:ascii="宋体" w:hAnsi="宋体"/>
                <w:sz w:val="24"/>
                <w:szCs w:val="24"/>
              </w:rPr>
              <w:br w:type="textWrapping"/>
            </w:r>
            <w:r>
              <w:rPr>
                <w:rFonts w:hint="eastAsia" w:ascii="宋体" w:hAnsi="宋体"/>
                <w:sz w:val="24"/>
                <w:szCs w:val="24"/>
              </w:rPr>
              <w:t>1）设备配置较为稳定，且变更频率不高，每周备份一次</w:t>
            </w:r>
          </w:p>
          <w:p w14:paraId="7BA7929B">
            <w:pPr>
              <w:pStyle w:val="2"/>
              <w:spacing w:line="400" w:lineRule="exact"/>
              <w:rPr>
                <w:rFonts w:ascii="宋体" w:hAnsi="宋体"/>
                <w:sz w:val="24"/>
                <w:szCs w:val="24"/>
              </w:rPr>
            </w:pPr>
            <w:r>
              <w:rPr>
                <w:rFonts w:hint="eastAsia" w:ascii="宋体" w:hAnsi="宋体"/>
                <w:sz w:val="24"/>
                <w:szCs w:val="24"/>
              </w:rPr>
              <w:t>2）业务关键性较高或变更较为频繁的设备（如防火墙、核心交换机等），设置每日自动备份</w:t>
            </w:r>
          </w:p>
          <w:p w14:paraId="056A8E54">
            <w:pPr>
              <w:pStyle w:val="2"/>
              <w:spacing w:line="400" w:lineRule="exact"/>
              <w:rPr>
                <w:rFonts w:ascii="宋体" w:hAnsi="宋体"/>
                <w:sz w:val="24"/>
                <w:szCs w:val="24"/>
              </w:rPr>
            </w:pPr>
            <w:r>
              <w:rPr>
                <w:rFonts w:ascii="宋体" w:hAnsi="宋体"/>
                <w:sz w:val="24"/>
                <w:szCs w:val="24"/>
              </w:rPr>
              <w:t>3</w:t>
            </w:r>
            <w:r>
              <w:rPr>
                <w:rFonts w:hint="eastAsia" w:ascii="宋体" w:hAnsi="宋体"/>
                <w:sz w:val="24"/>
                <w:szCs w:val="24"/>
              </w:rPr>
              <w:t>）任何配置变更（如规则修改、策略更新、接口调整）前后，进行一次手动或自动备份</w:t>
            </w:r>
          </w:p>
          <w:p w14:paraId="2EB61798">
            <w:pPr>
              <w:pStyle w:val="2"/>
              <w:spacing w:line="400" w:lineRule="exact"/>
              <w:rPr>
                <w:rFonts w:ascii="宋体" w:hAnsi="宋体"/>
                <w:sz w:val="24"/>
                <w:szCs w:val="24"/>
              </w:rPr>
            </w:pPr>
            <w:r>
              <w:rPr>
                <w:rFonts w:hint="eastAsia" w:ascii="宋体" w:hAnsi="宋体"/>
                <w:sz w:val="24"/>
                <w:szCs w:val="24"/>
              </w:rPr>
              <w:t>1.3提供的安全顾问服务，包括但不仅限于以下内容：</w:t>
            </w:r>
          </w:p>
          <w:p w14:paraId="0AED93F6">
            <w:pPr>
              <w:pStyle w:val="2"/>
              <w:spacing w:line="400" w:lineRule="exact"/>
              <w:rPr>
                <w:rFonts w:ascii="宋体" w:hAnsi="宋体"/>
                <w:sz w:val="24"/>
                <w:szCs w:val="24"/>
              </w:rPr>
            </w:pPr>
            <w:r>
              <w:rPr>
                <w:rFonts w:hint="eastAsia" w:ascii="宋体" w:hAnsi="宋体"/>
                <w:sz w:val="24"/>
                <w:szCs w:val="24"/>
              </w:rPr>
              <w:t>对采购人的整体网络安全情况给出建议性意见，包含但不限于漏洞修补的建议、网络安全防护的建议、未来安全建设趋势的建议等；为解决棘手的安全问题、应急响应提供专家力量支撑等。</w:t>
            </w:r>
          </w:p>
          <w:p w14:paraId="0CBA901E">
            <w:pPr>
              <w:pStyle w:val="2"/>
              <w:spacing w:line="400" w:lineRule="exact"/>
              <w:rPr>
                <w:rFonts w:ascii="宋体" w:hAnsi="宋体"/>
                <w:sz w:val="24"/>
                <w:szCs w:val="24"/>
              </w:rPr>
            </w:pPr>
            <w:r>
              <w:rPr>
                <w:rFonts w:ascii="宋体" w:hAnsi="宋体"/>
                <w:sz w:val="24"/>
                <w:szCs w:val="24"/>
              </w:rPr>
              <w:t>2</w:t>
            </w:r>
            <w:r>
              <w:rPr>
                <w:rFonts w:hint="eastAsia" w:ascii="宋体" w:hAnsi="宋体"/>
                <w:sz w:val="24"/>
                <w:szCs w:val="24"/>
              </w:rPr>
              <w:t>.重保期间安全保障服务：在国家、地区和学校的各重大节日或关键活动期间（例如法定节假日、两会、东盟、护网等）按照采购人要求另外派遣专业工程师到采购人现场帮助采购人做防御工作，并提供7*24小时值守防御等重保服务，保障采购人在安全演练中符合国家检验标准；</w:t>
            </w:r>
          </w:p>
          <w:p w14:paraId="69CB3BBF">
            <w:pPr>
              <w:pStyle w:val="2"/>
              <w:spacing w:line="400" w:lineRule="exact"/>
              <w:rPr>
                <w:rFonts w:ascii="宋体" w:hAnsi="宋体"/>
                <w:sz w:val="24"/>
                <w:szCs w:val="24"/>
              </w:rPr>
            </w:pPr>
            <w:r>
              <w:rPr>
                <w:rFonts w:ascii="宋体" w:hAnsi="宋体"/>
                <w:sz w:val="24"/>
                <w:szCs w:val="24"/>
              </w:rPr>
              <w:t>3</w:t>
            </w:r>
            <w:r>
              <w:rPr>
                <w:rFonts w:hint="eastAsia" w:ascii="宋体" w:hAnsi="宋体"/>
                <w:sz w:val="24"/>
                <w:szCs w:val="24"/>
              </w:rPr>
              <w:t>.应急响应服务：包含但不仅限于以下应急响应服务（服务时间一年，不限次数），服务内容如下：</w:t>
            </w:r>
          </w:p>
          <w:p w14:paraId="53D28625">
            <w:pPr>
              <w:pStyle w:val="2"/>
              <w:spacing w:line="400" w:lineRule="exact"/>
              <w:rPr>
                <w:rFonts w:ascii="宋体" w:hAnsi="宋体"/>
                <w:sz w:val="24"/>
                <w:szCs w:val="24"/>
              </w:rPr>
            </w:pPr>
            <w:r>
              <w:rPr>
                <w:rFonts w:ascii="宋体" w:hAnsi="宋体"/>
                <w:sz w:val="24"/>
                <w:szCs w:val="24"/>
              </w:rPr>
              <w:t>3</w:t>
            </w:r>
            <w:r>
              <w:rPr>
                <w:rFonts w:hint="eastAsia" w:ascii="宋体" w:hAnsi="宋体"/>
                <w:sz w:val="24"/>
                <w:szCs w:val="24"/>
              </w:rPr>
              <w:t>.1非法页面植入：非法页面位置查找、删除，并分析非法页面植入的手法及路径；对溯源结果提供一份应急响应报告，报告内指出该次应急响应所呈现的漏洞、影响面、攻击路径、攻击时间、攻击手段等信息，并针对发现的问题给予整改、修复意见。</w:t>
            </w:r>
          </w:p>
          <w:p w14:paraId="2921D5D6">
            <w:pPr>
              <w:pStyle w:val="2"/>
              <w:spacing w:line="400" w:lineRule="exact"/>
              <w:rPr>
                <w:rFonts w:ascii="宋体" w:hAnsi="宋体"/>
                <w:sz w:val="24"/>
                <w:szCs w:val="24"/>
              </w:rPr>
            </w:pPr>
            <w:r>
              <w:rPr>
                <w:rFonts w:ascii="宋体" w:hAnsi="宋体"/>
                <w:sz w:val="24"/>
                <w:szCs w:val="24"/>
              </w:rPr>
              <w:t>3</w:t>
            </w:r>
            <w:r>
              <w:rPr>
                <w:rFonts w:hint="eastAsia" w:ascii="宋体" w:hAnsi="宋体"/>
                <w:sz w:val="24"/>
                <w:szCs w:val="24"/>
              </w:rPr>
              <w:t>.2被入侵植入 shell ：查找 shell 并删除、溯源入侵的手法及路径，排查服务器是否被进一步利用；对溯源结果提供一份应急响应报告，报告内指出该次应急响应所呈现的漏洞、影响面、攻击路径、攻击时间、攻击手段等信息，并针对发现的问题给予整改、修复意见。</w:t>
            </w:r>
          </w:p>
          <w:p w14:paraId="16229A15">
            <w:pPr>
              <w:pStyle w:val="2"/>
              <w:spacing w:line="400" w:lineRule="exact"/>
              <w:rPr>
                <w:rFonts w:ascii="宋体" w:hAnsi="宋体"/>
                <w:sz w:val="24"/>
                <w:szCs w:val="24"/>
              </w:rPr>
            </w:pPr>
            <w:r>
              <w:rPr>
                <w:rFonts w:ascii="宋体" w:hAnsi="宋体"/>
                <w:sz w:val="24"/>
                <w:szCs w:val="24"/>
              </w:rPr>
              <w:t>3</w:t>
            </w:r>
            <w:r>
              <w:rPr>
                <w:rFonts w:hint="eastAsia" w:ascii="宋体" w:hAnsi="宋体"/>
                <w:sz w:val="24"/>
                <w:szCs w:val="24"/>
              </w:rPr>
              <w:t>.3木马、病毒：判断服务器中木马、病毒类型，根据所中木马、病毒的特征对服务器进行排查，排查如计划任务、进程、服务、新增用户、脚本、恶意文件等。并清理其中一台已被入侵的服务器，观察是否能达到清除效果，已清除后，对溯源结果提供一份应急响应报告，报告内指出该次应急响应所呈现的漏洞、影响面、攻击路径、攻击时间、攻击手段等信息，并针对发现的问题给予整改、修复意见。</w:t>
            </w:r>
          </w:p>
          <w:p w14:paraId="03D1B8E6">
            <w:pPr>
              <w:pStyle w:val="2"/>
              <w:spacing w:line="400" w:lineRule="exact"/>
              <w:rPr>
                <w:rFonts w:ascii="宋体" w:hAnsi="宋体"/>
                <w:sz w:val="24"/>
                <w:szCs w:val="24"/>
              </w:rPr>
            </w:pPr>
            <w:r>
              <w:rPr>
                <w:rFonts w:ascii="宋体" w:hAnsi="宋体"/>
                <w:sz w:val="24"/>
                <w:szCs w:val="24"/>
              </w:rPr>
              <w:t xml:space="preserve">3.4 </w:t>
            </w:r>
            <w:r>
              <w:rPr>
                <w:rFonts w:hint="eastAsia" w:ascii="宋体" w:hAnsi="宋体"/>
                <w:sz w:val="24"/>
                <w:szCs w:val="24"/>
              </w:rPr>
              <w:t>舆论安全事件处理：针对学校相关的网络舆情进行实时监控，识别并分析潜在的舆论风险。提供《舆情安全分析报告》，报告中列出舆论风险的具体来源、传播途径、影响范围等信息，并提出应对措施及舆情管理建议，确保学校形象和声誉不受损害。</w:t>
            </w:r>
          </w:p>
          <w:p w14:paraId="047553CB">
            <w:pPr>
              <w:pStyle w:val="2"/>
              <w:spacing w:line="400" w:lineRule="exact"/>
              <w:rPr>
                <w:rFonts w:ascii="宋体" w:hAnsi="宋体"/>
                <w:sz w:val="24"/>
                <w:szCs w:val="24"/>
              </w:rPr>
            </w:pPr>
            <w:r>
              <w:rPr>
                <w:rFonts w:ascii="宋体" w:hAnsi="宋体"/>
                <w:sz w:val="24"/>
                <w:szCs w:val="24"/>
              </w:rPr>
              <w:t>3</w:t>
            </w:r>
            <w:r>
              <w:rPr>
                <w:rFonts w:hint="eastAsia" w:ascii="宋体" w:hAnsi="宋体"/>
                <w:sz w:val="24"/>
                <w:szCs w:val="24"/>
              </w:rPr>
              <w:t>.5公民个人信息泄露处理：查找并阻断泄露个人信息的源头，排查涉及的系统或数据库是否被入侵。对溯源结果提供《个人信息泄露应急响应报告》，报告中指出泄露的具体信息类型、影响范围、攻击路径及泄露时间，并根据溯源结果提供补救措施和系统加固建议，避免类似事件再次发生。</w:t>
            </w:r>
          </w:p>
          <w:p w14:paraId="7026C3EB">
            <w:pPr>
              <w:pStyle w:val="2"/>
              <w:spacing w:line="400" w:lineRule="exact"/>
              <w:rPr>
                <w:rFonts w:ascii="宋体" w:hAnsi="宋体"/>
                <w:sz w:val="24"/>
                <w:szCs w:val="24"/>
              </w:rPr>
            </w:pPr>
            <w:r>
              <w:rPr>
                <w:rFonts w:hint="eastAsia" w:ascii="宋体" w:hAnsi="宋体"/>
                <w:sz w:val="24"/>
                <w:szCs w:val="24"/>
              </w:rPr>
              <w:t>6.漏洞修复：协助采购人修复上级单位、本单位、教育行业漏洞报告平台（src）、安管平台等机构和平台发现的漏洞。</w:t>
            </w:r>
          </w:p>
          <w:p w14:paraId="3F36B7CD">
            <w:pPr>
              <w:pStyle w:val="2"/>
              <w:spacing w:line="400" w:lineRule="exact"/>
              <w:rPr>
                <w:rFonts w:ascii="宋体" w:hAnsi="宋体"/>
                <w:sz w:val="24"/>
                <w:szCs w:val="24"/>
              </w:rPr>
            </w:pPr>
            <w:r>
              <w:rPr>
                <w:rFonts w:hint="eastAsia" w:ascii="宋体" w:hAnsi="宋体"/>
                <w:sz w:val="24"/>
                <w:szCs w:val="24"/>
              </w:rPr>
              <w:t>7.</w:t>
            </w:r>
            <w:r>
              <w:rPr>
                <w:sz w:val="24"/>
                <w:szCs w:val="24"/>
              </w:rPr>
              <w:t xml:space="preserve"> </w:t>
            </w:r>
            <w:r>
              <w:rPr>
                <w:rFonts w:hint="eastAsia" w:ascii="宋体" w:hAnsi="宋体"/>
                <w:sz w:val="24"/>
                <w:szCs w:val="24"/>
              </w:rPr>
              <w:t>渗透测试服务：针对采购人的关键业务系统及内外网进行渗透测试，每年进行一次（服务周期为一年）。此次服务采用人工测试，以发现WEB层面扫描工具无法识别的深层次漏洞（如：软件逻辑漏洞等）以及其他网络设备的潜在漏洞。测试的目标不仅是寻找漏洞，更是确保全面覆盖潜在风险，避免遗漏。协助采购人在遭受恶意攻击前将风险降到最低。完成测试后，出具详细的《渗透测试报告》，报告不仅列出发现的所有漏洞，还将针对发现的安全问题提供具体的整改和防护建议，确保安全隐患得到彻底解决。</w:t>
            </w:r>
          </w:p>
          <w:p w14:paraId="6B22C773">
            <w:pPr>
              <w:pStyle w:val="2"/>
              <w:spacing w:line="400" w:lineRule="exact"/>
              <w:rPr>
                <w:rFonts w:ascii="宋体" w:hAnsi="宋体"/>
                <w:sz w:val="24"/>
                <w:szCs w:val="24"/>
              </w:rPr>
            </w:pPr>
            <w:r>
              <w:rPr>
                <w:rFonts w:hint="eastAsia" w:ascii="宋体" w:hAnsi="宋体" w:cs="宋体"/>
                <w:b/>
                <w:bCs/>
                <w:sz w:val="24"/>
                <w:szCs w:val="24"/>
              </w:rPr>
              <w:t>▲</w:t>
            </w:r>
            <w:r>
              <w:rPr>
                <w:rFonts w:hint="eastAsia" w:ascii="宋体" w:hAnsi="宋体"/>
                <w:sz w:val="24"/>
                <w:szCs w:val="24"/>
              </w:rPr>
              <w:t>（二）其他服务要求</w:t>
            </w:r>
          </w:p>
          <w:p w14:paraId="718F5506">
            <w:pPr>
              <w:pStyle w:val="2"/>
              <w:spacing w:line="400" w:lineRule="exact"/>
              <w:rPr>
                <w:rFonts w:ascii="宋体" w:hAnsi="宋体"/>
                <w:b/>
                <w:bCs/>
              </w:rPr>
            </w:pPr>
            <w:bookmarkStart w:id="3" w:name="_Hlk147756113"/>
            <w:r>
              <w:rPr>
                <w:rFonts w:hint="eastAsia" w:ascii="宋体" w:hAnsi="宋体"/>
                <w:sz w:val="24"/>
                <w:szCs w:val="24"/>
              </w:rPr>
              <w:t>为保证服务质量和应急响应服务，应配备不少于</w:t>
            </w:r>
            <w:r>
              <w:rPr>
                <w:rFonts w:ascii="宋体" w:hAnsi="宋体"/>
                <w:sz w:val="24"/>
                <w:szCs w:val="24"/>
              </w:rPr>
              <w:t>5</w:t>
            </w:r>
            <w:r>
              <w:rPr>
                <w:rFonts w:hint="eastAsia" w:ascii="宋体" w:hAnsi="宋体"/>
                <w:sz w:val="24"/>
                <w:szCs w:val="24"/>
              </w:rPr>
              <w:t>人的本地</w:t>
            </w:r>
            <w:r>
              <w:rPr>
                <w:rFonts w:hint="eastAsia" w:ascii="宋体" w:hAnsi="宋体"/>
                <w:bCs/>
                <w:sz w:val="24"/>
                <w:szCs w:val="24"/>
              </w:rPr>
              <w:t>用于本项目的</w:t>
            </w:r>
            <w:r>
              <w:rPr>
                <w:rFonts w:hint="eastAsia" w:ascii="宋体" w:hAnsi="宋体"/>
                <w:sz w:val="24"/>
                <w:szCs w:val="24"/>
              </w:rPr>
              <w:t>技术服务团队。</w:t>
            </w:r>
            <w:bookmarkEnd w:id="3"/>
          </w:p>
        </w:tc>
      </w:tr>
      <w:tr w14:paraId="066A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4"/>
            <w:tcBorders>
              <w:top w:val="single" w:color="auto" w:sz="4" w:space="0"/>
              <w:left w:val="single" w:color="auto" w:sz="4" w:space="0"/>
              <w:bottom w:val="single" w:color="auto" w:sz="4" w:space="0"/>
              <w:right w:val="single" w:color="auto" w:sz="4" w:space="0"/>
            </w:tcBorders>
            <w:vAlign w:val="center"/>
          </w:tcPr>
          <w:p w14:paraId="2D760E34">
            <w:pPr>
              <w:spacing w:line="360" w:lineRule="auto"/>
              <w:rPr>
                <w:rFonts w:ascii="宋体" w:hAnsi="宋体" w:cs="宋体"/>
              </w:rPr>
            </w:pPr>
            <w:r>
              <w:rPr>
                <w:rFonts w:hint="eastAsia" w:ascii="宋体" w:hAnsi="宋体" w:cs="宋体"/>
              </w:rPr>
              <w:t>▲</w:t>
            </w:r>
            <w:r>
              <w:rPr>
                <w:rFonts w:hint="eastAsia" w:ascii="宋体" w:hAnsi="宋体" w:cs="宋体"/>
                <w:b/>
                <w:bCs/>
              </w:rPr>
              <w:t>商务条款</w:t>
            </w:r>
          </w:p>
        </w:tc>
      </w:tr>
      <w:tr w14:paraId="160B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3FFB9DD3">
            <w:pPr>
              <w:spacing w:line="400" w:lineRule="exact"/>
              <w:jc w:val="center"/>
              <w:rPr>
                <w:rFonts w:ascii="宋体" w:hAnsi="宋体" w:cs="宋体"/>
              </w:rPr>
            </w:pPr>
            <w:bookmarkStart w:id="4" w:name="_Hlk114761478"/>
            <w:r>
              <w:rPr>
                <w:rFonts w:hint="eastAsia" w:ascii="宋体" w:hAnsi="宋体" w:cs="宋体"/>
              </w:rPr>
              <w:t>规范标准及要求</w:t>
            </w:r>
            <w:bookmarkEnd w:id="4"/>
          </w:p>
        </w:tc>
        <w:tc>
          <w:tcPr>
            <w:tcW w:w="7173" w:type="dxa"/>
            <w:tcBorders>
              <w:top w:val="single" w:color="auto" w:sz="4" w:space="0"/>
              <w:left w:val="single" w:color="auto" w:sz="4" w:space="0"/>
              <w:bottom w:val="single" w:color="auto" w:sz="4" w:space="0"/>
              <w:right w:val="single" w:color="auto" w:sz="4" w:space="0"/>
            </w:tcBorders>
            <w:vAlign w:val="center"/>
          </w:tcPr>
          <w:p w14:paraId="4D04B214">
            <w:pPr>
              <w:tabs>
                <w:tab w:val="left" w:pos="1820"/>
              </w:tabs>
              <w:spacing w:line="400" w:lineRule="exact"/>
              <w:rPr>
                <w:rFonts w:ascii="宋体" w:hAnsi="宋体" w:cs="宋体"/>
              </w:rPr>
            </w:pPr>
            <w:bookmarkStart w:id="5" w:name="_Hlk114761467"/>
            <w:r>
              <w:rPr>
                <w:rFonts w:hint="eastAsia" w:ascii="宋体" w:hAnsi="宋体" w:cs="宋体"/>
              </w:rPr>
              <w:t>1.采购标的需执行的国家标准、行业标准、地方标准或者其他标准、规范。</w:t>
            </w:r>
          </w:p>
          <w:p w14:paraId="5B9E6E56">
            <w:pPr>
              <w:spacing w:line="400" w:lineRule="exact"/>
              <w:rPr>
                <w:rFonts w:ascii="宋体" w:hAnsi="宋体" w:cs="宋体"/>
              </w:rPr>
            </w:pPr>
            <w:r>
              <w:rPr>
                <w:rFonts w:hint="eastAsia" w:ascii="宋体" w:hAnsi="宋体" w:cs="宋体"/>
              </w:rPr>
              <w:t>2.维保服务启动后，采购人按国家标准及厂方标准进行质量验收。成交供应商应向采购人提供详细的服务标准。</w:t>
            </w:r>
            <w:bookmarkEnd w:id="5"/>
          </w:p>
        </w:tc>
      </w:tr>
      <w:tr w14:paraId="6B42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576A3873">
            <w:pPr>
              <w:spacing w:line="400" w:lineRule="exact"/>
              <w:jc w:val="center"/>
              <w:rPr>
                <w:rFonts w:ascii="宋体" w:hAnsi="宋体" w:cs="宋体"/>
              </w:rPr>
            </w:pPr>
            <w:bookmarkStart w:id="6" w:name="_Hlk114761486"/>
            <w:r>
              <w:rPr>
                <w:rFonts w:hint="eastAsia" w:ascii="宋体" w:hAnsi="宋体" w:cs="宋体"/>
              </w:rPr>
              <w:t>服务(交付)期限</w:t>
            </w:r>
            <w:bookmarkEnd w:id="6"/>
          </w:p>
        </w:tc>
        <w:tc>
          <w:tcPr>
            <w:tcW w:w="7173" w:type="dxa"/>
            <w:tcBorders>
              <w:top w:val="single" w:color="auto" w:sz="4" w:space="0"/>
              <w:left w:val="single" w:color="auto" w:sz="4" w:space="0"/>
              <w:bottom w:val="single" w:color="auto" w:sz="4" w:space="0"/>
              <w:right w:val="single" w:color="auto" w:sz="4" w:space="0"/>
            </w:tcBorders>
            <w:vAlign w:val="center"/>
          </w:tcPr>
          <w:p w14:paraId="4CCB227C">
            <w:pPr>
              <w:spacing w:line="400" w:lineRule="exact"/>
              <w:rPr>
                <w:rFonts w:ascii="宋体" w:hAnsi="宋体" w:cs="宋体"/>
              </w:rPr>
            </w:pPr>
            <w:r>
              <w:rPr>
                <w:rFonts w:hint="eastAsia" w:ascii="宋体" w:hAnsi="宋体" w:cs="宋体"/>
              </w:rPr>
              <w:t>按合同约定日期起算1年服务。</w:t>
            </w:r>
          </w:p>
        </w:tc>
      </w:tr>
      <w:tr w14:paraId="4BED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4948EA49">
            <w:pPr>
              <w:spacing w:line="400" w:lineRule="exact"/>
              <w:jc w:val="center"/>
              <w:rPr>
                <w:rFonts w:ascii="宋体" w:hAnsi="宋体" w:cs="宋体"/>
              </w:rPr>
            </w:pPr>
            <w:r>
              <w:rPr>
                <w:rFonts w:hint="eastAsia" w:ascii="宋体" w:hAnsi="宋体" w:cs="宋体"/>
              </w:rPr>
              <w:t>服务(交付)地点</w:t>
            </w:r>
          </w:p>
        </w:tc>
        <w:tc>
          <w:tcPr>
            <w:tcW w:w="7173" w:type="dxa"/>
            <w:tcBorders>
              <w:top w:val="single" w:color="auto" w:sz="4" w:space="0"/>
              <w:left w:val="single" w:color="auto" w:sz="4" w:space="0"/>
              <w:bottom w:val="single" w:color="auto" w:sz="4" w:space="0"/>
              <w:right w:val="single" w:color="auto" w:sz="4" w:space="0"/>
            </w:tcBorders>
            <w:vAlign w:val="center"/>
          </w:tcPr>
          <w:p w14:paraId="13FF0D6C">
            <w:pPr>
              <w:spacing w:line="400" w:lineRule="exact"/>
              <w:rPr>
                <w:rFonts w:ascii="宋体" w:hAnsi="宋体" w:cs="宋体"/>
              </w:rPr>
            </w:pPr>
            <w:r>
              <w:rPr>
                <w:rFonts w:hint="eastAsia" w:ascii="宋体" w:hAnsi="宋体" w:cs="宋体"/>
              </w:rPr>
              <w:t>广西艺术学院指定地点</w:t>
            </w:r>
          </w:p>
        </w:tc>
      </w:tr>
      <w:tr w14:paraId="6E73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68FF7B2D">
            <w:pPr>
              <w:spacing w:line="400" w:lineRule="exact"/>
              <w:jc w:val="center"/>
              <w:rPr>
                <w:rFonts w:ascii="宋体" w:hAnsi="宋体" w:cs="宋体"/>
              </w:rPr>
            </w:pPr>
            <w:r>
              <w:rPr>
                <w:rFonts w:hint="eastAsia" w:ascii="宋体" w:hAnsi="宋体" w:cs="宋体"/>
              </w:rPr>
              <w:t>付款方式</w:t>
            </w:r>
          </w:p>
        </w:tc>
        <w:tc>
          <w:tcPr>
            <w:tcW w:w="7173" w:type="dxa"/>
            <w:tcBorders>
              <w:top w:val="single" w:color="auto" w:sz="4" w:space="0"/>
              <w:left w:val="single" w:color="auto" w:sz="4" w:space="0"/>
              <w:bottom w:val="single" w:color="auto" w:sz="4" w:space="0"/>
              <w:right w:val="single" w:color="auto" w:sz="4" w:space="0"/>
            </w:tcBorders>
            <w:vAlign w:val="center"/>
          </w:tcPr>
          <w:p w14:paraId="200CA6D2">
            <w:pPr>
              <w:spacing w:line="400" w:lineRule="exact"/>
              <w:rPr>
                <w:rFonts w:ascii="宋体" w:hAnsi="宋体" w:cs="仿宋"/>
                <w:lang w:bidi="zh-CN"/>
              </w:rPr>
            </w:pPr>
            <w:bookmarkStart w:id="7" w:name="OLE_LINK42"/>
            <w:r>
              <w:rPr>
                <w:rFonts w:hint="eastAsia" w:ascii="宋体" w:hAnsi="宋体" w:cs="仿宋"/>
                <w:lang w:bidi="zh-CN"/>
              </w:rPr>
              <w:t>无预付款，签订项目合同后，</w:t>
            </w:r>
            <w:r>
              <w:rPr>
                <w:rFonts w:hint="eastAsia" w:ascii="宋体" w:hAnsi="宋体" w:cs="宋体"/>
              </w:rPr>
              <w:t>成交供应商</w:t>
            </w:r>
            <w:r>
              <w:rPr>
                <w:rFonts w:hint="eastAsia" w:ascii="宋体" w:hAnsi="宋体" w:cs="仿宋"/>
                <w:lang w:bidi="zh-CN"/>
              </w:rPr>
              <w:t>需在3个工作日内支付合同金额的5%作为履约保证金，采购人将向</w:t>
            </w:r>
            <w:r>
              <w:rPr>
                <w:rFonts w:hint="eastAsia" w:ascii="宋体" w:hAnsi="宋体" w:cs="宋体"/>
              </w:rPr>
              <w:t>成交供应商</w:t>
            </w:r>
            <w:r>
              <w:rPr>
                <w:rFonts w:hint="eastAsia" w:ascii="宋体" w:hAnsi="宋体" w:cs="仿宋"/>
                <w:lang w:bidi="zh-CN"/>
              </w:rPr>
              <w:t>提供相应的收据。待</w:t>
            </w:r>
            <w:r>
              <w:rPr>
                <w:rFonts w:hint="eastAsia" w:ascii="宋体" w:hAnsi="宋体" w:cs="宋体"/>
              </w:rPr>
              <w:t>成交供应商</w:t>
            </w:r>
            <w:r>
              <w:rPr>
                <w:rFonts w:hint="eastAsia" w:ascii="宋体" w:hAnsi="宋体" w:cs="仿宋"/>
                <w:lang w:bidi="zh-CN"/>
              </w:rPr>
              <w:t>驻场人员确认到位后，</w:t>
            </w:r>
            <w:r>
              <w:rPr>
                <w:rFonts w:hint="eastAsia" w:ascii="宋体" w:hAnsi="宋体" w:cs="宋体"/>
              </w:rPr>
              <w:t>成交供应商</w:t>
            </w:r>
            <w:r>
              <w:rPr>
                <w:rFonts w:hint="eastAsia" w:ascii="宋体" w:hAnsi="宋体" w:cs="仿宋"/>
                <w:lang w:bidi="zh-CN"/>
              </w:rPr>
              <w:t>向</w:t>
            </w:r>
            <w:r>
              <w:rPr>
                <w:rFonts w:hint="eastAsia" w:ascii="宋体" w:hAnsi="宋体"/>
              </w:rPr>
              <w:t>采购人</w:t>
            </w:r>
            <w:r>
              <w:rPr>
                <w:rFonts w:hint="eastAsia" w:ascii="宋体" w:hAnsi="宋体" w:cs="仿宋"/>
                <w:lang w:bidi="zh-CN"/>
              </w:rPr>
              <w:t>开具全额发票，</w:t>
            </w:r>
            <w:r>
              <w:rPr>
                <w:rFonts w:hint="eastAsia" w:ascii="宋体" w:hAnsi="宋体"/>
              </w:rPr>
              <w:t>采购人</w:t>
            </w:r>
            <w:r>
              <w:rPr>
                <w:rFonts w:hint="eastAsia" w:ascii="宋体" w:hAnsi="宋体" w:cs="仿宋"/>
                <w:lang w:bidi="zh-CN"/>
              </w:rPr>
              <w:t>支付合同款的</w:t>
            </w:r>
            <w:r>
              <w:rPr>
                <w:rFonts w:ascii="宋体" w:hAnsi="宋体" w:cs="仿宋"/>
                <w:lang w:bidi="zh-CN"/>
              </w:rPr>
              <w:t>100</w:t>
            </w:r>
            <w:r>
              <w:rPr>
                <w:rFonts w:hint="eastAsia" w:ascii="宋体" w:hAnsi="宋体" w:cs="仿宋"/>
                <w:lang w:bidi="zh-CN"/>
              </w:rPr>
              <w:t>%。在合同服务期满（1年）并通过验收后，</w:t>
            </w:r>
            <w:r>
              <w:rPr>
                <w:rFonts w:hint="eastAsia" w:ascii="宋体" w:hAnsi="宋体"/>
              </w:rPr>
              <w:t>采购人</w:t>
            </w:r>
            <w:r>
              <w:rPr>
                <w:rFonts w:hint="eastAsia" w:ascii="宋体" w:hAnsi="宋体" w:cs="仿宋"/>
                <w:lang w:bidi="zh-CN"/>
              </w:rPr>
              <w:t>将在5个工作日内退还</w:t>
            </w:r>
            <w:r>
              <w:rPr>
                <w:rFonts w:hint="eastAsia" w:ascii="宋体" w:hAnsi="宋体" w:cs="宋体"/>
              </w:rPr>
              <w:t>成交供应商</w:t>
            </w:r>
            <w:r>
              <w:rPr>
                <w:rFonts w:hint="eastAsia" w:ascii="宋体" w:hAnsi="宋体" w:cs="仿宋"/>
                <w:lang w:bidi="zh-CN"/>
              </w:rPr>
              <w:t>所支付的履约保证金。</w:t>
            </w:r>
          </w:p>
          <w:p w14:paraId="6C6438F7">
            <w:pPr>
              <w:spacing w:line="400" w:lineRule="exact"/>
              <w:rPr>
                <w:rFonts w:ascii="宋体" w:hAnsi="宋体" w:cs="宋体"/>
              </w:rPr>
            </w:pPr>
            <w:r>
              <w:rPr>
                <w:rFonts w:hint="eastAsia" w:ascii="宋体" w:hAnsi="宋体" w:cs="宋体"/>
              </w:rPr>
              <w:t>每次付款前，由成交供应商开具同等金额的合法有效发票给采购人。成交供应商逾期开具相应发票给采购人的，采购人有权追究成交供应商的违约责任</w:t>
            </w:r>
            <w:bookmarkStart w:id="8" w:name="_Hlk147756263"/>
            <w:r>
              <w:rPr>
                <w:rFonts w:hint="eastAsia" w:ascii="宋体" w:hAnsi="宋体" w:cs="宋体"/>
              </w:rPr>
              <w:t>。付款前成交供应商开具增值税普通发票。</w:t>
            </w:r>
            <w:bookmarkEnd w:id="7"/>
            <w:bookmarkEnd w:id="8"/>
          </w:p>
        </w:tc>
      </w:tr>
      <w:tr w14:paraId="7405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14902378">
            <w:pPr>
              <w:spacing w:line="360" w:lineRule="auto"/>
              <w:jc w:val="center"/>
              <w:rPr>
                <w:rFonts w:ascii="宋体" w:hAnsi="宋体" w:cs="宋体"/>
              </w:rPr>
            </w:pPr>
            <w:r>
              <w:rPr>
                <w:rFonts w:hint="eastAsia" w:ascii="宋体" w:hAnsi="宋体" w:cs="宋体"/>
              </w:rPr>
              <w:t>售后服务要求</w:t>
            </w:r>
          </w:p>
        </w:tc>
        <w:tc>
          <w:tcPr>
            <w:tcW w:w="7173" w:type="dxa"/>
            <w:tcBorders>
              <w:top w:val="single" w:color="auto" w:sz="4" w:space="0"/>
              <w:left w:val="single" w:color="auto" w:sz="4" w:space="0"/>
              <w:bottom w:val="single" w:color="auto" w:sz="4" w:space="0"/>
              <w:right w:val="single" w:color="auto" w:sz="4" w:space="0"/>
            </w:tcBorders>
            <w:vAlign w:val="center"/>
          </w:tcPr>
          <w:p w14:paraId="4F77D1E4">
            <w:pPr>
              <w:pStyle w:val="2"/>
              <w:spacing w:line="360" w:lineRule="exact"/>
              <w:rPr>
                <w:rFonts w:ascii="宋体" w:hAnsi="宋体" w:cs="宋体"/>
                <w:sz w:val="24"/>
              </w:rPr>
            </w:pPr>
            <w:r>
              <w:rPr>
                <w:rFonts w:ascii="宋体" w:hAnsi="宋体" w:cs="宋体"/>
                <w:sz w:val="24"/>
              </w:rPr>
              <w:t>1</w:t>
            </w:r>
            <w:r>
              <w:rPr>
                <w:rFonts w:hint="eastAsia" w:ascii="宋体" w:hAnsi="宋体" w:cs="宋体"/>
                <w:sz w:val="24"/>
              </w:rPr>
              <w:t>.故障响应时间：发生故障时，成交供应商在30分钟内电话服务应答，2个小时内现场维护，8小时内解决故障。故障解决后48小时内，须向采购人提交故障处理报告。报告中必须说明故障种类、故障原因、故障处理方法等。</w:t>
            </w:r>
          </w:p>
          <w:p w14:paraId="6847D28C">
            <w:pPr>
              <w:spacing w:line="360" w:lineRule="auto"/>
              <w:rPr>
                <w:rFonts w:ascii="宋体" w:hAnsi="宋体" w:cs="宋体"/>
              </w:rPr>
            </w:pPr>
            <w:r>
              <w:rPr>
                <w:rFonts w:ascii="宋体" w:hAnsi="宋体" w:cs="宋体"/>
              </w:rPr>
              <w:t>2</w:t>
            </w:r>
            <w:r>
              <w:rPr>
                <w:rFonts w:hint="eastAsia" w:ascii="宋体" w:hAnsi="宋体" w:cs="宋体"/>
              </w:rPr>
              <w:t>.售后服务不符合约定或承诺的，应承担相应的违约责任（见合同条款）。</w:t>
            </w:r>
          </w:p>
        </w:tc>
      </w:tr>
      <w:tr w14:paraId="4B6F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55FB7CEC">
            <w:pPr>
              <w:spacing w:line="360" w:lineRule="auto"/>
              <w:jc w:val="center"/>
              <w:rPr>
                <w:rFonts w:ascii="宋体" w:hAnsi="宋体" w:cs="宋体"/>
              </w:rPr>
            </w:pPr>
            <w:r>
              <w:rPr>
                <w:rFonts w:hint="eastAsia" w:ascii="宋体" w:hAnsi="宋体" w:cs="宋体"/>
              </w:rPr>
              <w:t>保密要求</w:t>
            </w:r>
          </w:p>
        </w:tc>
        <w:tc>
          <w:tcPr>
            <w:tcW w:w="7173" w:type="dxa"/>
            <w:tcBorders>
              <w:top w:val="single" w:color="auto" w:sz="4" w:space="0"/>
              <w:left w:val="single" w:color="auto" w:sz="4" w:space="0"/>
              <w:bottom w:val="single" w:color="auto" w:sz="4" w:space="0"/>
              <w:right w:val="single" w:color="auto" w:sz="4" w:space="0"/>
            </w:tcBorders>
            <w:vAlign w:val="center"/>
          </w:tcPr>
          <w:p w14:paraId="67F7C950">
            <w:pPr>
              <w:spacing w:line="360" w:lineRule="auto"/>
              <w:rPr>
                <w:rFonts w:ascii="宋体" w:hAnsi="宋体" w:cs="宋体"/>
              </w:rPr>
            </w:pPr>
            <w:r>
              <w:rPr>
                <w:rFonts w:hint="eastAsia" w:ascii="宋体" w:hAnsi="宋体" w:cs="宋体"/>
              </w:rPr>
              <w:t>成交供应商必须对项目技术文件以及</w:t>
            </w:r>
            <w:r>
              <w:rPr>
                <w:rFonts w:hint="eastAsia" w:ascii="宋体" w:hAnsi="宋体"/>
              </w:rPr>
              <w:t>采购人</w:t>
            </w:r>
            <w:r>
              <w:rPr>
                <w:rFonts w:hint="eastAsia" w:ascii="宋体" w:hAnsi="宋体" w:cs="宋体"/>
              </w:rPr>
              <w:t>学校机密或商业秘密保密，保密范围包括项目信息、技术情况、数据资料。未经采购人书面许可，成交供应商不得以任何形式向第三方透露本项目标书以及本项目的任何内容，不得私自保存有关内容。</w:t>
            </w:r>
          </w:p>
        </w:tc>
      </w:tr>
      <w:tr w14:paraId="16DC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5BE9A8C7">
            <w:pPr>
              <w:spacing w:line="360" w:lineRule="auto"/>
              <w:jc w:val="center"/>
              <w:rPr>
                <w:rFonts w:ascii="宋体" w:hAnsi="宋体" w:cs="宋体"/>
              </w:rPr>
            </w:pPr>
            <w:r>
              <w:rPr>
                <w:rFonts w:hint="eastAsia" w:ascii="宋体" w:hAnsi="宋体" w:cs="宋体"/>
              </w:rPr>
              <w:t>知识产权要求</w:t>
            </w:r>
          </w:p>
        </w:tc>
        <w:tc>
          <w:tcPr>
            <w:tcW w:w="7173" w:type="dxa"/>
            <w:tcBorders>
              <w:top w:val="single" w:color="auto" w:sz="4" w:space="0"/>
              <w:left w:val="single" w:color="auto" w:sz="4" w:space="0"/>
              <w:bottom w:val="single" w:color="auto" w:sz="4" w:space="0"/>
              <w:right w:val="single" w:color="auto" w:sz="4" w:space="0"/>
            </w:tcBorders>
            <w:vAlign w:val="center"/>
          </w:tcPr>
          <w:p w14:paraId="40CF9935">
            <w:pPr>
              <w:spacing w:line="360" w:lineRule="auto"/>
              <w:rPr>
                <w:rFonts w:ascii="宋体" w:hAnsi="宋体" w:cs="宋体"/>
              </w:rPr>
            </w:pPr>
            <w:r>
              <w:rPr>
                <w:rFonts w:hint="eastAsia" w:ascii="宋体" w:hAnsi="宋体" w:cs="宋体"/>
              </w:rPr>
              <w:t>成交供应商有不可争议的义务确保采购人依据本次采购所获得的知识产权不存在任何瑕疵并且可以不受限制地行使相关权利，包括各项延伸权利。若因此发生任何争议均应当由成交供应商承担全部及任何责任，包括但不限于应当承担其自身及采购人为排除任何争议或瑕疵所应当或所需支附的一切相关或由此引起的费用。</w:t>
            </w:r>
          </w:p>
        </w:tc>
      </w:tr>
      <w:tr w14:paraId="5708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4"/>
            <w:tcBorders>
              <w:top w:val="single" w:color="auto" w:sz="4" w:space="0"/>
              <w:left w:val="single" w:color="auto" w:sz="4" w:space="0"/>
              <w:bottom w:val="single" w:color="auto" w:sz="4" w:space="0"/>
              <w:right w:val="single" w:color="auto" w:sz="4" w:space="0"/>
            </w:tcBorders>
            <w:vAlign w:val="center"/>
          </w:tcPr>
          <w:p w14:paraId="23450C48">
            <w:pPr>
              <w:spacing w:line="360" w:lineRule="auto"/>
              <w:rPr>
                <w:rFonts w:ascii="宋体" w:hAnsi="宋体" w:cs="宋体"/>
              </w:rPr>
            </w:pPr>
            <w:r>
              <w:rPr>
                <w:rFonts w:hint="eastAsia" w:ascii="宋体" w:hAnsi="宋体" w:cs="宋体"/>
              </w:rPr>
              <w:t>采购人对项目的其他要求和说明</w:t>
            </w:r>
          </w:p>
        </w:tc>
      </w:tr>
      <w:tr w14:paraId="508B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gridSpan w:val="3"/>
            <w:tcBorders>
              <w:top w:val="single" w:color="auto" w:sz="4" w:space="0"/>
              <w:left w:val="single" w:color="auto" w:sz="4" w:space="0"/>
              <w:bottom w:val="single" w:color="auto" w:sz="4" w:space="0"/>
              <w:right w:val="single" w:color="auto" w:sz="4" w:space="0"/>
            </w:tcBorders>
            <w:vAlign w:val="center"/>
          </w:tcPr>
          <w:p w14:paraId="1935B617">
            <w:pPr>
              <w:spacing w:line="360" w:lineRule="auto"/>
              <w:jc w:val="center"/>
              <w:rPr>
                <w:rFonts w:ascii="宋体" w:hAnsi="宋体" w:cs="宋体"/>
              </w:rPr>
            </w:pPr>
            <w:r>
              <w:rPr>
                <w:rFonts w:hint="eastAsia" w:ascii="宋体" w:hAnsi="宋体" w:cs="宋体"/>
              </w:rPr>
              <w:t>资料</w:t>
            </w:r>
          </w:p>
        </w:tc>
        <w:tc>
          <w:tcPr>
            <w:tcW w:w="7173" w:type="dxa"/>
            <w:tcBorders>
              <w:top w:val="single" w:color="auto" w:sz="4" w:space="0"/>
              <w:left w:val="single" w:color="auto" w:sz="4" w:space="0"/>
              <w:bottom w:val="single" w:color="auto" w:sz="4" w:space="0"/>
              <w:right w:val="single" w:color="auto" w:sz="4" w:space="0"/>
            </w:tcBorders>
            <w:vAlign w:val="center"/>
          </w:tcPr>
          <w:p w14:paraId="4580AEFB">
            <w:pPr>
              <w:spacing w:line="360" w:lineRule="auto"/>
              <w:rPr>
                <w:rFonts w:ascii="宋体" w:hAnsi="宋体" w:cs="宋体"/>
              </w:rPr>
            </w:pPr>
            <w:r>
              <w:rPr>
                <w:rFonts w:hint="eastAsia" w:ascii="宋体" w:hAnsi="宋体" w:cs="宋体"/>
              </w:rPr>
              <w:t>供应商可根据评分标准在响应文件中提供</w:t>
            </w:r>
            <w:r>
              <w:rPr>
                <w:rFonts w:hint="eastAsia" w:ascii="宋体" w:hAnsi="宋体" w:cs="宋体"/>
                <w:bCs/>
              </w:rPr>
              <w:t>技术服务方案、售后服务方案、</w:t>
            </w:r>
            <w:r>
              <w:rPr>
                <w:rFonts w:hint="eastAsia" w:ascii="宋体" w:hAnsi="宋体" w:cs="仿宋"/>
                <w:bCs/>
              </w:rPr>
              <w:t>网络安全运维能力、</w:t>
            </w:r>
            <w:r>
              <w:rPr>
                <w:rFonts w:hint="eastAsia" w:ascii="宋体" w:hAnsi="宋体" w:cs="宋体"/>
              </w:rPr>
              <w:t>履约能力、</w:t>
            </w:r>
            <w:r>
              <w:rPr>
                <w:rFonts w:hint="eastAsia" w:ascii="宋体" w:hAnsi="宋体" w:cs="宋体"/>
                <w:bCs/>
              </w:rPr>
              <w:t>业绩</w:t>
            </w:r>
            <w:r>
              <w:rPr>
                <w:rFonts w:hint="eastAsia" w:ascii="宋体" w:hAnsi="宋体" w:cs="宋体"/>
              </w:rPr>
              <w:t>证明。</w:t>
            </w:r>
          </w:p>
        </w:tc>
      </w:tr>
    </w:tbl>
    <w:p w14:paraId="1E9D211F">
      <w:pPr>
        <w:spacing w:line="520" w:lineRule="exact"/>
        <w:ind w:firstLine="482" w:firstLineChars="200"/>
        <w:jc w:val="both"/>
        <w:rPr>
          <w:rFonts w:ascii="宋体" w:hAnsi="宋体" w:cs="宋体"/>
          <w:b/>
          <w:bCs/>
          <w:color w:val="auto"/>
          <w:szCs w:val="24"/>
        </w:rPr>
      </w:pPr>
    </w:p>
    <w:p w14:paraId="7D3B2D25">
      <w:pPr>
        <w:spacing w:line="520" w:lineRule="exact"/>
        <w:ind w:firstLine="482" w:firstLineChars="200"/>
        <w:jc w:val="both"/>
        <w:rPr>
          <w:rFonts w:ascii="宋体" w:hAnsi="宋体" w:cs="宋体"/>
          <w:b/>
          <w:bCs/>
          <w:color w:val="auto"/>
          <w:szCs w:val="24"/>
        </w:rPr>
      </w:pPr>
    </w:p>
    <w:p w14:paraId="257C02BA">
      <w:pPr>
        <w:spacing w:line="520" w:lineRule="exact"/>
        <w:ind w:firstLine="482" w:firstLineChars="200"/>
        <w:jc w:val="both"/>
        <w:rPr>
          <w:rFonts w:ascii="宋体" w:hAnsi="宋体" w:cs="宋体"/>
          <w:b/>
          <w:bCs/>
          <w:color w:val="auto"/>
          <w:szCs w:val="24"/>
        </w:rPr>
      </w:pPr>
    </w:p>
    <w:p w14:paraId="3E6D1C27">
      <w:pPr>
        <w:spacing w:line="520" w:lineRule="exact"/>
        <w:ind w:firstLine="482" w:firstLineChars="200"/>
        <w:jc w:val="both"/>
        <w:rPr>
          <w:rFonts w:ascii="宋体" w:hAnsi="宋体" w:cs="宋体"/>
          <w:b/>
          <w:bCs/>
          <w:color w:val="auto"/>
          <w:szCs w:val="24"/>
        </w:rPr>
      </w:pPr>
    </w:p>
    <w:p w14:paraId="254BF1EC">
      <w:pPr>
        <w:pStyle w:val="7"/>
        <w:jc w:val="center"/>
        <w:rPr>
          <w:rFonts w:ascii="仿宋_GB2312" w:hAnsi="宋体" w:eastAsia="仿宋_GB2312"/>
        </w:rPr>
      </w:pPr>
      <w:bookmarkStart w:id="9" w:name="_Toc73550042"/>
      <w:r>
        <w:rPr>
          <w:rFonts w:hint="eastAsia" w:ascii="仿宋_GB2312" w:hAnsi="宋体" w:eastAsia="仿宋_GB2312"/>
          <w:b/>
          <w:sz w:val="32"/>
          <w:szCs w:val="32"/>
        </w:rPr>
        <w:t>评定标准</w:t>
      </w:r>
    </w:p>
    <w:p w14:paraId="020463E5">
      <w:pPr>
        <w:spacing w:line="440" w:lineRule="exact"/>
        <w:ind w:firstLine="472" w:firstLineChars="196"/>
        <w:rPr>
          <w:rFonts w:ascii="宋体" w:hAnsi="宋体"/>
          <w:b/>
          <w:bCs/>
        </w:rPr>
      </w:pPr>
      <w:r>
        <w:rPr>
          <w:rFonts w:hint="eastAsia" w:ascii="宋体" w:hAnsi="宋体"/>
          <w:b/>
          <w:bCs/>
        </w:rPr>
        <w:t>一、评标原则</w:t>
      </w:r>
    </w:p>
    <w:p w14:paraId="6E3E79CA">
      <w:pPr>
        <w:spacing w:line="440" w:lineRule="exact"/>
        <w:ind w:firstLine="480" w:firstLineChars="200"/>
        <w:rPr>
          <w:rFonts w:ascii="宋体" w:hAnsi="宋体"/>
          <w:bCs/>
        </w:rPr>
      </w:pPr>
      <w:r>
        <w:rPr>
          <w:rFonts w:hint="eastAsia" w:ascii="宋体" w:hAnsi="宋体"/>
          <w:bCs/>
        </w:rPr>
        <w:t>(一）磋商小组构成：本项目的磋商小组由采购人代表和有关技术、经济等方面的专家组成。成员人数应当为三人以上（含三人）单数。其中，技术、经济等方面的专家不得少于成员总数的三分之二。</w:t>
      </w:r>
    </w:p>
    <w:p w14:paraId="53DFD2BF">
      <w:pPr>
        <w:spacing w:line="440" w:lineRule="exact"/>
        <w:ind w:firstLine="480" w:firstLineChars="200"/>
        <w:rPr>
          <w:rFonts w:ascii="宋体" w:hAnsi="宋体"/>
          <w:bCs/>
        </w:rPr>
      </w:pPr>
      <w:r>
        <w:rPr>
          <w:rFonts w:hint="eastAsia" w:ascii="宋体" w:hAnsi="宋体"/>
          <w:bCs/>
        </w:rPr>
        <w:t>(二）评标依据：磋商小组将以竞争性磋商文件和响应文件为评定依据进行评审，对供应商的响应文件内容按百分制打分。</w:t>
      </w:r>
    </w:p>
    <w:p w14:paraId="0044310D">
      <w:pPr>
        <w:spacing w:line="440" w:lineRule="exact"/>
        <w:ind w:firstLine="480" w:firstLineChars="200"/>
        <w:rPr>
          <w:rFonts w:ascii="宋体" w:hAnsi="宋体"/>
          <w:bCs/>
        </w:rPr>
      </w:pPr>
      <w:r>
        <w:rPr>
          <w:rFonts w:hint="eastAsia" w:ascii="宋体" w:hAnsi="宋体"/>
          <w:bCs/>
        </w:rPr>
        <w:t>(三）评标方法：综合评分法。</w:t>
      </w:r>
    </w:p>
    <w:p w14:paraId="2E8D8BC3">
      <w:pPr>
        <w:spacing w:line="440" w:lineRule="exact"/>
        <w:ind w:firstLine="472" w:firstLineChars="196"/>
        <w:rPr>
          <w:rFonts w:ascii="宋体" w:hAnsi="宋体"/>
          <w:b/>
          <w:bCs/>
        </w:rPr>
      </w:pPr>
      <w:r>
        <w:rPr>
          <w:rFonts w:hint="eastAsia" w:ascii="宋体" w:hAnsi="宋体"/>
          <w:b/>
          <w:bCs/>
        </w:rPr>
        <w:t>二、评标方法</w:t>
      </w:r>
    </w:p>
    <w:p w14:paraId="0F5A007C">
      <w:pPr>
        <w:pStyle w:val="2"/>
      </w:pP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61"/>
        <w:gridCol w:w="6645"/>
        <w:gridCol w:w="851"/>
      </w:tblGrid>
      <w:tr w14:paraId="240D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35141A5C">
            <w:pPr>
              <w:spacing w:line="400" w:lineRule="exact"/>
              <w:jc w:val="center"/>
              <w:rPr>
                <w:rFonts w:ascii="宋体" w:hAnsi="宋体" w:cs="宋体"/>
                <w:b/>
                <w:bCs/>
              </w:rPr>
            </w:pPr>
            <w:r>
              <w:rPr>
                <w:rFonts w:hint="eastAsia" w:ascii="宋体" w:hAnsi="宋体" w:cs="宋体"/>
                <w:b/>
                <w:bCs/>
              </w:rPr>
              <w:t>序号</w:t>
            </w:r>
          </w:p>
        </w:tc>
        <w:tc>
          <w:tcPr>
            <w:tcW w:w="1061" w:type="dxa"/>
            <w:tcBorders>
              <w:top w:val="single" w:color="auto" w:sz="4" w:space="0"/>
              <w:left w:val="single" w:color="auto" w:sz="4" w:space="0"/>
              <w:bottom w:val="single" w:color="auto" w:sz="4" w:space="0"/>
              <w:right w:val="single" w:color="auto" w:sz="4" w:space="0"/>
            </w:tcBorders>
            <w:vAlign w:val="center"/>
          </w:tcPr>
          <w:p w14:paraId="2A6F97CD">
            <w:pPr>
              <w:spacing w:line="400" w:lineRule="exact"/>
              <w:jc w:val="center"/>
              <w:rPr>
                <w:rFonts w:ascii="宋体" w:hAnsi="宋体" w:cs="宋体"/>
                <w:b/>
                <w:bCs/>
              </w:rPr>
            </w:pPr>
            <w:r>
              <w:rPr>
                <w:rFonts w:hint="eastAsia" w:ascii="宋体" w:hAnsi="宋体" w:cs="宋体"/>
                <w:b/>
                <w:bCs/>
              </w:rPr>
              <w:t>评审因素</w:t>
            </w:r>
          </w:p>
        </w:tc>
        <w:tc>
          <w:tcPr>
            <w:tcW w:w="6645" w:type="dxa"/>
            <w:tcBorders>
              <w:top w:val="single" w:color="auto" w:sz="4" w:space="0"/>
              <w:left w:val="single" w:color="auto" w:sz="4" w:space="0"/>
              <w:bottom w:val="single" w:color="auto" w:sz="4" w:space="0"/>
              <w:right w:val="single" w:color="auto" w:sz="4" w:space="0"/>
            </w:tcBorders>
            <w:vAlign w:val="center"/>
          </w:tcPr>
          <w:p w14:paraId="63EBBC69">
            <w:pPr>
              <w:spacing w:line="400" w:lineRule="exact"/>
              <w:jc w:val="center"/>
              <w:rPr>
                <w:rFonts w:ascii="宋体" w:hAnsi="宋体" w:cs="宋体"/>
                <w:b/>
                <w:bCs/>
              </w:rPr>
            </w:pPr>
            <w:r>
              <w:rPr>
                <w:rFonts w:hint="eastAsia" w:ascii="宋体" w:hAnsi="宋体" w:cs="宋体"/>
                <w:b/>
                <w:bCs/>
              </w:rPr>
              <w:t>评审因素具体内容</w:t>
            </w:r>
          </w:p>
        </w:tc>
        <w:tc>
          <w:tcPr>
            <w:tcW w:w="851" w:type="dxa"/>
            <w:tcBorders>
              <w:top w:val="single" w:color="auto" w:sz="4" w:space="0"/>
              <w:left w:val="single" w:color="auto" w:sz="4" w:space="0"/>
              <w:bottom w:val="single" w:color="auto" w:sz="4" w:space="0"/>
              <w:right w:val="single" w:color="auto" w:sz="4" w:space="0"/>
            </w:tcBorders>
            <w:vAlign w:val="center"/>
          </w:tcPr>
          <w:p w14:paraId="1DBEEC62">
            <w:pPr>
              <w:spacing w:line="400" w:lineRule="exact"/>
              <w:jc w:val="center"/>
              <w:rPr>
                <w:rFonts w:ascii="宋体" w:hAnsi="宋体" w:cs="宋体"/>
                <w:b/>
                <w:bCs/>
              </w:rPr>
            </w:pPr>
            <w:r>
              <w:rPr>
                <w:rFonts w:hint="eastAsia" w:ascii="宋体" w:hAnsi="宋体" w:cs="宋体"/>
                <w:b/>
                <w:bCs/>
              </w:rPr>
              <w:t>分值</w:t>
            </w:r>
          </w:p>
        </w:tc>
      </w:tr>
      <w:tr w14:paraId="74E3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37DFA80A">
            <w:pPr>
              <w:spacing w:line="400" w:lineRule="exact"/>
              <w:jc w:val="center"/>
              <w:rPr>
                <w:rFonts w:ascii="宋体" w:hAnsi="宋体" w:cs="宋体"/>
              </w:rPr>
            </w:pPr>
            <w:r>
              <w:rPr>
                <w:rFonts w:hint="eastAsia" w:ascii="宋体" w:hAnsi="宋体" w:cs="宋体"/>
              </w:rPr>
              <w:t>1</w:t>
            </w:r>
          </w:p>
        </w:tc>
        <w:tc>
          <w:tcPr>
            <w:tcW w:w="1061" w:type="dxa"/>
            <w:tcBorders>
              <w:top w:val="single" w:color="auto" w:sz="4" w:space="0"/>
              <w:left w:val="single" w:color="auto" w:sz="4" w:space="0"/>
              <w:bottom w:val="single" w:color="auto" w:sz="4" w:space="0"/>
              <w:right w:val="single" w:color="auto" w:sz="4" w:space="0"/>
            </w:tcBorders>
            <w:vAlign w:val="center"/>
          </w:tcPr>
          <w:p w14:paraId="0ED29499">
            <w:pPr>
              <w:spacing w:line="400" w:lineRule="exact"/>
              <w:jc w:val="center"/>
              <w:rPr>
                <w:rFonts w:ascii="宋体" w:hAnsi="宋体" w:cs="宋体"/>
              </w:rPr>
            </w:pPr>
            <w:r>
              <w:rPr>
                <w:rFonts w:hint="eastAsia" w:ascii="宋体" w:hAnsi="宋体" w:cs="宋体"/>
              </w:rPr>
              <w:t>价格分</w:t>
            </w:r>
          </w:p>
        </w:tc>
        <w:tc>
          <w:tcPr>
            <w:tcW w:w="6645" w:type="dxa"/>
            <w:tcBorders>
              <w:top w:val="single" w:color="auto" w:sz="4" w:space="0"/>
              <w:left w:val="single" w:color="auto" w:sz="4" w:space="0"/>
              <w:bottom w:val="single" w:color="auto" w:sz="4" w:space="0"/>
              <w:right w:val="single" w:color="auto" w:sz="4" w:space="0"/>
            </w:tcBorders>
          </w:tcPr>
          <w:p w14:paraId="00E5C32E">
            <w:pPr>
              <w:pStyle w:val="9"/>
              <w:spacing w:line="360" w:lineRule="auto"/>
              <w:rPr>
                <w:rFonts w:hAnsi="宋体" w:cs="宋体"/>
                <w:szCs w:val="21"/>
              </w:rPr>
            </w:pPr>
            <w:r>
              <w:rPr>
                <w:rFonts w:hint="eastAsia" w:hAnsi="宋体" w:cs="宋体"/>
                <w:szCs w:val="21"/>
              </w:rPr>
              <w:t>（1）评审价＝最后报价。</w:t>
            </w:r>
          </w:p>
          <w:p w14:paraId="7135318D">
            <w:pPr>
              <w:pStyle w:val="9"/>
              <w:spacing w:line="360" w:lineRule="auto"/>
              <w:rPr>
                <w:rFonts w:hAnsi="宋体" w:cs="宋体"/>
                <w:szCs w:val="21"/>
              </w:rPr>
            </w:pPr>
            <w:r>
              <w:rPr>
                <w:rFonts w:hint="eastAsia" w:hAnsi="宋体" w:cs="宋体"/>
                <w:szCs w:val="21"/>
              </w:rPr>
              <w:t>（2）以进入比较与评价环节的最低的评审价为基准价，基准价得分为30分。</w:t>
            </w:r>
          </w:p>
          <w:p w14:paraId="20F0CB47">
            <w:pPr>
              <w:pStyle w:val="9"/>
              <w:spacing w:line="360" w:lineRule="auto"/>
              <w:rPr>
                <w:rFonts w:hAnsi="宋体" w:cs="宋体"/>
                <w:bCs/>
                <w:kern w:val="2"/>
                <w:sz w:val="21"/>
              </w:rPr>
            </w:pPr>
            <w:r>
              <w:rPr>
                <w:rFonts w:hint="eastAsia" w:hAnsi="宋体" w:cs="宋体"/>
                <w:szCs w:val="21"/>
              </w:rPr>
              <w:t>（3）价格分计算公式：报价得分=（基准价/评审价）×30分</w:t>
            </w:r>
          </w:p>
        </w:tc>
        <w:tc>
          <w:tcPr>
            <w:tcW w:w="851" w:type="dxa"/>
            <w:tcBorders>
              <w:top w:val="single" w:color="auto" w:sz="4" w:space="0"/>
              <w:left w:val="single" w:color="auto" w:sz="4" w:space="0"/>
              <w:bottom w:val="single" w:color="auto" w:sz="4" w:space="0"/>
              <w:right w:val="single" w:color="auto" w:sz="4" w:space="0"/>
            </w:tcBorders>
            <w:vAlign w:val="center"/>
          </w:tcPr>
          <w:p w14:paraId="591CEF18">
            <w:pPr>
              <w:spacing w:line="400" w:lineRule="exact"/>
              <w:jc w:val="center"/>
              <w:rPr>
                <w:rFonts w:ascii="宋体" w:hAnsi="宋体" w:cs="宋体"/>
              </w:rPr>
            </w:pPr>
            <w:r>
              <w:rPr>
                <w:rFonts w:hint="eastAsia" w:ascii="宋体" w:hAnsi="宋体" w:cs="宋体"/>
              </w:rPr>
              <w:t>30</w:t>
            </w:r>
          </w:p>
        </w:tc>
      </w:tr>
      <w:tr w14:paraId="60AD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7B543B96">
            <w:pPr>
              <w:spacing w:line="400" w:lineRule="exact"/>
              <w:jc w:val="center"/>
              <w:rPr>
                <w:rFonts w:ascii="宋体" w:hAnsi="宋体" w:cs="宋体"/>
              </w:rPr>
            </w:pPr>
            <w:r>
              <w:rPr>
                <w:rFonts w:hint="eastAsia" w:ascii="宋体" w:hAnsi="宋体" w:cs="宋体"/>
                <w:bCs/>
              </w:rPr>
              <w:t>2</w:t>
            </w:r>
          </w:p>
        </w:tc>
        <w:tc>
          <w:tcPr>
            <w:tcW w:w="1061" w:type="dxa"/>
            <w:tcBorders>
              <w:top w:val="single" w:color="auto" w:sz="4" w:space="0"/>
              <w:left w:val="single" w:color="auto" w:sz="4" w:space="0"/>
              <w:bottom w:val="single" w:color="auto" w:sz="4" w:space="0"/>
              <w:right w:val="single" w:color="auto" w:sz="4" w:space="0"/>
            </w:tcBorders>
            <w:vAlign w:val="center"/>
          </w:tcPr>
          <w:p w14:paraId="7F4B48EC">
            <w:pPr>
              <w:spacing w:line="400" w:lineRule="exact"/>
              <w:jc w:val="center"/>
              <w:rPr>
                <w:rFonts w:ascii="宋体" w:hAnsi="宋体" w:cs="宋体"/>
              </w:rPr>
            </w:pPr>
            <w:r>
              <w:rPr>
                <w:rFonts w:hint="eastAsia" w:ascii="宋体" w:hAnsi="宋体" w:cs="宋体"/>
                <w:bCs/>
              </w:rPr>
              <w:t>技术分</w:t>
            </w:r>
          </w:p>
        </w:tc>
        <w:tc>
          <w:tcPr>
            <w:tcW w:w="6645" w:type="dxa"/>
            <w:tcBorders>
              <w:top w:val="single" w:color="auto" w:sz="4" w:space="0"/>
              <w:left w:val="single" w:color="auto" w:sz="4" w:space="0"/>
              <w:bottom w:val="single" w:color="auto" w:sz="4" w:space="0"/>
              <w:right w:val="single" w:color="auto" w:sz="4" w:space="0"/>
            </w:tcBorders>
          </w:tcPr>
          <w:p w14:paraId="27C44F4D">
            <w:pPr>
              <w:spacing w:line="400" w:lineRule="exact"/>
              <w:jc w:val="center"/>
              <w:rPr>
                <w:rFonts w:ascii="宋体" w:hAnsi="宋体" w:cs="宋体"/>
              </w:rPr>
            </w:pPr>
            <w:r>
              <w:rPr>
                <w:rFonts w:hint="eastAsia" w:ascii="宋体" w:hAnsi="宋体" w:cs="宋体"/>
              </w:rPr>
              <w:t>评审因素</w:t>
            </w:r>
          </w:p>
        </w:tc>
        <w:tc>
          <w:tcPr>
            <w:tcW w:w="851" w:type="dxa"/>
            <w:tcBorders>
              <w:top w:val="single" w:color="auto" w:sz="4" w:space="0"/>
              <w:left w:val="single" w:color="auto" w:sz="4" w:space="0"/>
              <w:bottom w:val="single" w:color="auto" w:sz="4" w:space="0"/>
              <w:right w:val="single" w:color="auto" w:sz="4" w:space="0"/>
            </w:tcBorders>
          </w:tcPr>
          <w:p w14:paraId="668DFE98">
            <w:pPr>
              <w:spacing w:line="400" w:lineRule="exact"/>
              <w:jc w:val="center"/>
              <w:rPr>
                <w:rFonts w:ascii="宋体" w:hAnsi="宋体" w:cs="宋体"/>
              </w:rPr>
            </w:pPr>
            <w:r>
              <w:rPr>
                <w:rFonts w:ascii="宋体" w:hAnsi="宋体" w:cs="宋体"/>
              </w:rPr>
              <w:t>40</w:t>
            </w:r>
          </w:p>
        </w:tc>
      </w:tr>
      <w:tr w14:paraId="38A8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553B961F">
            <w:pPr>
              <w:spacing w:line="400" w:lineRule="exact"/>
              <w:jc w:val="center"/>
              <w:rPr>
                <w:rFonts w:ascii="宋体" w:hAnsi="宋体" w:cs="宋体"/>
                <w:bCs/>
              </w:rPr>
            </w:pPr>
            <w:r>
              <w:rPr>
                <w:rFonts w:hint="eastAsia" w:ascii="宋体" w:hAnsi="宋体" w:cs="宋体"/>
                <w:bCs/>
              </w:rPr>
              <w:t>2.1</w:t>
            </w:r>
          </w:p>
        </w:tc>
        <w:tc>
          <w:tcPr>
            <w:tcW w:w="1061" w:type="dxa"/>
            <w:tcBorders>
              <w:top w:val="single" w:color="auto" w:sz="4" w:space="0"/>
              <w:left w:val="single" w:color="auto" w:sz="4" w:space="0"/>
              <w:bottom w:val="single" w:color="auto" w:sz="4" w:space="0"/>
              <w:right w:val="single" w:color="auto" w:sz="4" w:space="0"/>
            </w:tcBorders>
            <w:vAlign w:val="center"/>
          </w:tcPr>
          <w:p w14:paraId="1DF3CD44">
            <w:pPr>
              <w:spacing w:line="400" w:lineRule="exact"/>
              <w:jc w:val="center"/>
              <w:rPr>
                <w:rFonts w:ascii="宋体" w:hAnsi="宋体" w:cs="宋体"/>
                <w:bCs/>
              </w:rPr>
            </w:pPr>
            <w:r>
              <w:rPr>
                <w:rFonts w:hint="eastAsia" w:ascii="宋体" w:hAnsi="宋体" w:cs="宋体"/>
                <w:bCs/>
              </w:rPr>
              <w:t>网络安全服务实施方案</w:t>
            </w:r>
          </w:p>
        </w:tc>
        <w:tc>
          <w:tcPr>
            <w:tcW w:w="6645" w:type="dxa"/>
            <w:tcBorders>
              <w:top w:val="single" w:color="auto" w:sz="4" w:space="0"/>
              <w:left w:val="single" w:color="auto" w:sz="4" w:space="0"/>
              <w:bottom w:val="single" w:color="auto" w:sz="4" w:space="0"/>
              <w:right w:val="single" w:color="auto" w:sz="4" w:space="0"/>
            </w:tcBorders>
          </w:tcPr>
          <w:p w14:paraId="7C76AD67">
            <w:pPr>
              <w:spacing w:line="400" w:lineRule="exact"/>
              <w:rPr>
                <w:rFonts w:ascii="宋体" w:hAnsi="宋体" w:cs="宋体"/>
              </w:rPr>
            </w:pPr>
            <w:r>
              <w:rPr>
                <w:rFonts w:hint="eastAsia" w:ascii="宋体" w:hAnsi="宋体" w:cs="宋体"/>
              </w:rPr>
              <w:t>供应商须针对本项目（采购人）出具定制化实施方案。评分按以下三档评定：</w:t>
            </w:r>
          </w:p>
          <w:p w14:paraId="3BDA7D86">
            <w:pPr>
              <w:spacing w:line="400" w:lineRule="exact"/>
              <w:rPr>
                <w:rFonts w:ascii="宋体" w:hAnsi="宋体" w:cs="宋体"/>
              </w:rPr>
            </w:pPr>
            <w:r>
              <w:rPr>
                <w:rFonts w:hint="eastAsia" w:ascii="宋体" w:hAnsi="宋体" w:cs="宋体"/>
              </w:rPr>
              <w:t>一档（2分）：方案已覆盖采购文件全部服务内容，但仅为通用模版，仅包含基本服务内容框架、原则性描述，未结合采购人业务特点，无实施路径、无阶段安排、无质量保障机制。</w:t>
            </w:r>
          </w:p>
          <w:p w14:paraId="656037D6">
            <w:pPr>
              <w:spacing w:line="400" w:lineRule="exact"/>
              <w:rPr>
                <w:rFonts w:ascii="宋体" w:hAnsi="宋体" w:cs="宋体"/>
              </w:rPr>
            </w:pPr>
            <w:r>
              <w:rPr>
                <w:rFonts w:hint="eastAsia" w:ascii="宋体" w:hAnsi="宋体" w:cs="宋体"/>
              </w:rPr>
              <w:t>二档（6分）：方案在覆盖全部服务内容基础上，结合采购人行业属性或典型场景（门户网站、一卡通、教务系统、有线无线网络等），对驻场运维、应急响应、重保值守、等保配合、个人信息保护等关键服务，提出分阶段实施思路、人员分工逻辑、服务协同机制，具备基本可执行性。</w:t>
            </w:r>
          </w:p>
          <w:p w14:paraId="6EDE8D5E">
            <w:pPr>
              <w:spacing w:line="400" w:lineRule="exact"/>
              <w:rPr>
                <w:rFonts w:ascii="宋体" w:hAnsi="宋体" w:cs="宋体"/>
              </w:rPr>
            </w:pPr>
            <w:r>
              <w:rPr>
                <w:rFonts w:hint="eastAsia" w:ascii="宋体" w:hAnsi="宋体" w:cs="宋体"/>
              </w:rPr>
              <w:t>三档（1</w:t>
            </w:r>
            <w:r>
              <w:rPr>
                <w:rFonts w:ascii="宋体" w:hAnsi="宋体" w:cs="宋体"/>
              </w:rPr>
              <w:t>0</w:t>
            </w:r>
            <w:r>
              <w:rPr>
                <w:rFonts w:hint="eastAsia" w:ascii="宋体" w:hAnsi="宋体" w:cs="宋体"/>
              </w:rPr>
              <w:t>分）：在满足二挡要求基础上，方案深度贴合采购人实际业务系统与安全需求，提供分阶段实施计划（含准备、执行、优化阶段及关键节点）、服务质量控制与客户反馈机制等，并明确列出可验证的交付成果清单样例（如重保值守方案、信息安全事件处置预案、等保整改方案等），整体具有高度针对性与可操作性。</w:t>
            </w:r>
          </w:p>
          <w:p w14:paraId="752FFD9B">
            <w:pPr>
              <w:pStyle w:val="2"/>
              <w:spacing w:line="400" w:lineRule="exact"/>
              <w:rPr>
                <w:rFonts w:ascii="宋体" w:hAnsi="宋体" w:cs="宋体"/>
                <w:b/>
                <w:sz w:val="21"/>
              </w:rPr>
            </w:pPr>
            <w:r>
              <w:rPr>
                <w:rFonts w:hint="eastAsia" w:ascii="宋体" w:hAnsi="宋体" w:cs="宋体"/>
                <w:b/>
                <w:sz w:val="21"/>
              </w:rPr>
              <w:t>注：未提供方案或内容严重缺失的，得0分；方案内容达不到该档全部要求的，默认不得该档分；方案需体现定制化，套用模板不得高分。</w:t>
            </w:r>
          </w:p>
        </w:tc>
        <w:tc>
          <w:tcPr>
            <w:tcW w:w="851" w:type="dxa"/>
            <w:tcBorders>
              <w:top w:val="single" w:color="auto" w:sz="4" w:space="0"/>
              <w:left w:val="single" w:color="auto" w:sz="4" w:space="0"/>
              <w:bottom w:val="single" w:color="auto" w:sz="4" w:space="0"/>
              <w:right w:val="single" w:color="auto" w:sz="4" w:space="0"/>
            </w:tcBorders>
            <w:vAlign w:val="center"/>
          </w:tcPr>
          <w:p w14:paraId="17FE93EB">
            <w:pPr>
              <w:spacing w:line="400" w:lineRule="exact"/>
              <w:jc w:val="center"/>
              <w:rPr>
                <w:rFonts w:ascii="宋体" w:hAnsi="宋体" w:cs="宋体"/>
              </w:rPr>
            </w:pPr>
            <w:r>
              <w:rPr>
                <w:rFonts w:hint="eastAsia" w:ascii="宋体" w:hAnsi="宋体" w:cs="宋体"/>
              </w:rPr>
              <w:t>1</w:t>
            </w:r>
            <w:r>
              <w:rPr>
                <w:rFonts w:ascii="宋体" w:hAnsi="宋体" w:cs="宋体"/>
              </w:rPr>
              <w:t>0</w:t>
            </w:r>
          </w:p>
        </w:tc>
      </w:tr>
      <w:tr w14:paraId="72A1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3EB73BB3">
            <w:pPr>
              <w:spacing w:line="400" w:lineRule="exact"/>
              <w:jc w:val="center"/>
              <w:rPr>
                <w:rFonts w:ascii="宋体" w:hAnsi="宋体" w:cs="宋体"/>
                <w:bCs/>
              </w:rPr>
            </w:pPr>
            <w:r>
              <w:rPr>
                <w:rFonts w:hint="eastAsia" w:ascii="宋体" w:hAnsi="宋体" w:cs="宋体"/>
                <w:bCs/>
              </w:rPr>
              <w:t>2</w:t>
            </w:r>
            <w:r>
              <w:rPr>
                <w:rFonts w:ascii="宋体" w:hAnsi="宋体" w:cs="宋体"/>
                <w:bCs/>
              </w:rPr>
              <w:t>.2</w:t>
            </w:r>
          </w:p>
        </w:tc>
        <w:tc>
          <w:tcPr>
            <w:tcW w:w="1061" w:type="dxa"/>
            <w:tcBorders>
              <w:top w:val="single" w:color="auto" w:sz="4" w:space="0"/>
              <w:left w:val="single" w:color="auto" w:sz="4" w:space="0"/>
              <w:bottom w:val="single" w:color="auto" w:sz="4" w:space="0"/>
              <w:right w:val="single" w:color="auto" w:sz="4" w:space="0"/>
            </w:tcBorders>
            <w:vAlign w:val="center"/>
          </w:tcPr>
          <w:p w14:paraId="19999FF0">
            <w:pPr>
              <w:spacing w:line="400" w:lineRule="exact"/>
              <w:jc w:val="center"/>
              <w:rPr>
                <w:rFonts w:ascii="宋体" w:hAnsi="宋体" w:cs="宋体"/>
                <w:bCs/>
              </w:rPr>
            </w:pPr>
            <w:r>
              <w:rPr>
                <w:rFonts w:hint="eastAsia" w:ascii="宋体" w:hAnsi="宋体" w:cs="宋体"/>
                <w:bCs/>
              </w:rPr>
              <w:t>应急响应与攻防实战能力</w:t>
            </w:r>
          </w:p>
        </w:tc>
        <w:tc>
          <w:tcPr>
            <w:tcW w:w="6645" w:type="dxa"/>
            <w:tcBorders>
              <w:top w:val="single" w:color="auto" w:sz="4" w:space="0"/>
              <w:left w:val="single" w:color="auto" w:sz="4" w:space="0"/>
              <w:bottom w:val="single" w:color="auto" w:sz="4" w:space="0"/>
              <w:right w:val="single" w:color="auto" w:sz="4" w:space="0"/>
            </w:tcBorders>
          </w:tcPr>
          <w:p w14:paraId="59B83482">
            <w:pPr>
              <w:pStyle w:val="2"/>
              <w:spacing w:line="400" w:lineRule="exact"/>
              <w:rPr>
                <w:rFonts w:ascii="宋体" w:hAnsi="宋体" w:cs="宋体"/>
                <w:sz w:val="24"/>
              </w:rPr>
            </w:pPr>
            <w:r>
              <w:rPr>
                <w:rFonts w:hint="eastAsia" w:ascii="宋体" w:hAnsi="宋体" w:cs="宋体"/>
                <w:sz w:val="24"/>
              </w:rPr>
              <w:t>（1）拟投入本项目的安全顾问人员持有中国网络安全审查技术与认证中心颁发的网络安全应急响应工程师证书，得</w:t>
            </w:r>
            <w:r>
              <w:rPr>
                <w:rFonts w:ascii="宋体" w:hAnsi="宋体" w:cs="宋体"/>
                <w:sz w:val="24"/>
              </w:rPr>
              <w:t>2</w:t>
            </w:r>
            <w:r>
              <w:rPr>
                <w:rFonts w:hint="eastAsia" w:ascii="宋体" w:hAnsi="宋体" w:cs="宋体"/>
                <w:sz w:val="24"/>
              </w:rPr>
              <w:t>分。</w:t>
            </w:r>
          </w:p>
          <w:p w14:paraId="506C6378">
            <w:pPr>
              <w:pStyle w:val="2"/>
              <w:spacing w:line="400" w:lineRule="exact"/>
              <w:rPr>
                <w:rFonts w:ascii="宋体" w:hAnsi="宋体" w:cs="宋体"/>
                <w:sz w:val="24"/>
              </w:rPr>
            </w:pPr>
            <w:r>
              <w:rPr>
                <w:rFonts w:hint="eastAsia" w:ascii="宋体" w:hAnsi="宋体" w:cs="宋体"/>
                <w:sz w:val="24"/>
              </w:rPr>
              <w:t>（2）拟投入本项目的安全顾问人员持有中国信息安全测评中心颁发的注册信息安全渗透测试工程师员（CISP-PTE）证书，得</w:t>
            </w:r>
            <w:r>
              <w:rPr>
                <w:rFonts w:ascii="宋体" w:hAnsi="宋体" w:cs="宋体"/>
                <w:sz w:val="24"/>
              </w:rPr>
              <w:t>2</w:t>
            </w:r>
            <w:r>
              <w:rPr>
                <w:rFonts w:hint="eastAsia" w:ascii="宋体" w:hAnsi="宋体" w:cs="宋体"/>
                <w:sz w:val="24"/>
              </w:rPr>
              <w:t>分。</w:t>
            </w:r>
          </w:p>
          <w:p w14:paraId="5CCB1737">
            <w:pPr>
              <w:spacing w:line="400" w:lineRule="exact"/>
              <w:rPr>
                <w:rFonts w:ascii="宋体" w:hAnsi="宋体" w:cs="宋体"/>
              </w:rPr>
            </w:pPr>
            <w:r>
              <w:rPr>
                <w:rFonts w:hint="eastAsia" w:ascii="宋体" w:hAnsi="宋体" w:cs="宋体"/>
              </w:rPr>
              <w:t>（3）提供自2</w:t>
            </w:r>
            <w:r>
              <w:rPr>
                <w:rFonts w:ascii="宋体" w:hAnsi="宋体" w:cs="宋体"/>
              </w:rPr>
              <w:t>022</w:t>
            </w:r>
            <w:r>
              <w:rPr>
                <w:rFonts w:hint="eastAsia" w:ascii="宋体" w:hAnsi="宋体" w:cs="宋体"/>
              </w:rPr>
              <w:t>年1月1日后，投标人作为攻击队或防守队参与国家级或省级“护网行动”“网络安全攻防演练”，并获得主办方表彰或书面通报表扬的证明材料（官方证明），每提供一项得</w:t>
            </w:r>
            <w:r>
              <w:rPr>
                <w:rFonts w:ascii="宋体" w:hAnsi="宋体" w:cs="宋体"/>
              </w:rPr>
              <w:t>1</w:t>
            </w:r>
            <w:r>
              <w:rPr>
                <w:rFonts w:hint="eastAsia" w:ascii="宋体" w:hAnsi="宋体" w:cs="宋体"/>
              </w:rPr>
              <w:t>分，最高</w:t>
            </w:r>
            <w:r>
              <w:rPr>
                <w:rFonts w:ascii="宋体" w:hAnsi="宋体" w:cs="宋体"/>
              </w:rPr>
              <w:t>5</w:t>
            </w:r>
            <w:r>
              <w:rPr>
                <w:rFonts w:hint="eastAsia" w:ascii="宋体" w:hAnsi="宋体" w:cs="宋体"/>
              </w:rPr>
              <w:t>分。</w:t>
            </w:r>
          </w:p>
          <w:p w14:paraId="29FBDBF8">
            <w:pPr>
              <w:spacing w:line="400" w:lineRule="exact"/>
              <w:rPr>
                <w:rFonts w:ascii="宋体" w:hAnsi="宋体" w:cs="宋体"/>
              </w:rPr>
            </w:pPr>
            <w:r>
              <w:rPr>
                <w:rFonts w:hint="eastAsia" w:ascii="宋体" w:hAnsi="宋体" w:cs="宋体"/>
              </w:rPr>
              <w:t>（4）提供真实应急响应案例（如处置Webshell、勒索病毒、数据泄露、挖矿木马、APT攻击等），须附事件发生单位（即服务对象）加盖公章的《应急响应处置确认函》或《服务完成证明》等证明材料，内容完整、逻辑清晰，每提供一项得</w:t>
            </w:r>
            <w:r>
              <w:rPr>
                <w:rFonts w:ascii="宋体" w:hAnsi="宋体" w:cs="宋体"/>
              </w:rPr>
              <w:t>2</w:t>
            </w:r>
            <w:r>
              <w:rPr>
                <w:rFonts w:hint="eastAsia" w:ascii="宋体" w:hAnsi="宋体" w:cs="宋体"/>
              </w:rPr>
              <w:t>分，最高</w:t>
            </w:r>
            <w:r>
              <w:rPr>
                <w:rFonts w:ascii="宋体" w:hAnsi="宋体" w:cs="宋体"/>
              </w:rPr>
              <w:t>6</w:t>
            </w:r>
            <w:r>
              <w:rPr>
                <w:rFonts w:hint="eastAsia" w:ascii="宋体" w:hAnsi="宋体" w:cs="宋体"/>
              </w:rPr>
              <w:t>分；仅提供自编报告无佐证材料的，本项不得分。</w:t>
            </w:r>
          </w:p>
          <w:p w14:paraId="36E5FAD5">
            <w:pPr>
              <w:spacing w:line="400" w:lineRule="exact"/>
              <w:rPr>
                <w:rFonts w:ascii="宋体" w:hAnsi="宋体" w:cs="宋体"/>
              </w:rPr>
            </w:pPr>
            <w:r>
              <w:rPr>
                <w:rFonts w:hint="eastAsia" w:ascii="宋体" w:hAnsi="宋体" w:cs="宋体"/>
                <w:b/>
                <w:sz w:val="21"/>
              </w:rPr>
              <w:t>注：以上均需在响应文件中提供证书复印件、供应商为其缴纳的自响应文件提交截止时间前半年内任意连续3个月的社保证明或劳动合同复印件及案例证明材料。（原件备查）</w:t>
            </w:r>
          </w:p>
        </w:tc>
        <w:tc>
          <w:tcPr>
            <w:tcW w:w="851" w:type="dxa"/>
            <w:tcBorders>
              <w:top w:val="single" w:color="auto" w:sz="4" w:space="0"/>
              <w:left w:val="single" w:color="auto" w:sz="4" w:space="0"/>
              <w:bottom w:val="single" w:color="auto" w:sz="4" w:space="0"/>
              <w:right w:val="single" w:color="auto" w:sz="4" w:space="0"/>
            </w:tcBorders>
            <w:vAlign w:val="center"/>
          </w:tcPr>
          <w:p w14:paraId="3416D35C">
            <w:pPr>
              <w:spacing w:line="400" w:lineRule="exact"/>
              <w:jc w:val="center"/>
              <w:rPr>
                <w:rFonts w:ascii="宋体" w:hAnsi="宋体" w:cs="宋体"/>
              </w:rPr>
            </w:pPr>
            <w:r>
              <w:rPr>
                <w:rFonts w:ascii="宋体" w:hAnsi="宋体" w:cs="宋体"/>
              </w:rPr>
              <w:t>15</w:t>
            </w:r>
          </w:p>
        </w:tc>
      </w:tr>
      <w:tr w14:paraId="2E1D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62B9CF6B">
            <w:pPr>
              <w:spacing w:line="400" w:lineRule="exact"/>
              <w:jc w:val="center"/>
              <w:rPr>
                <w:rFonts w:ascii="宋体" w:hAnsi="宋体" w:cs="宋体"/>
                <w:bCs/>
              </w:rPr>
            </w:pPr>
            <w:r>
              <w:rPr>
                <w:rFonts w:hint="eastAsia" w:ascii="宋体" w:hAnsi="宋体" w:cs="宋体"/>
                <w:bCs/>
              </w:rPr>
              <w:t>2.</w:t>
            </w:r>
            <w:r>
              <w:rPr>
                <w:rFonts w:ascii="宋体" w:hAnsi="宋体" w:cs="宋体"/>
                <w:bCs/>
              </w:rPr>
              <w:t>3</w:t>
            </w:r>
          </w:p>
        </w:tc>
        <w:tc>
          <w:tcPr>
            <w:tcW w:w="1061" w:type="dxa"/>
            <w:tcBorders>
              <w:top w:val="single" w:color="auto" w:sz="4" w:space="0"/>
              <w:left w:val="single" w:color="auto" w:sz="4" w:space="0"/>
              <w:bottom w:val="single" w:color="auto" w:sz="4" w:space="0"/>
              <w:right w:val="single" w:color="auto" w:sz="4" w:space="0"/>
            </w:tcBorders>
            <w:vAlign w:val="center"/>
          </w:tcPr>
          <w:p w14:paraId="2E0CF5D0">
            <w:pPr>
              <w:spacing w:line="400" w:lineRule="exact"/>
              <w:jc w:val="center"/>
              <w:rPr>
                <w:rFonts w:ascii="宋体" w:hAnsi="宋体" w:cs="宋体"/>
                <w:bCs/>
              </w:rPr>
            </w:pPr>
            <w:r>
              <w:rPr>
                <w:rFonts w:hint="eastAsia" w:ascii="宋体" w:hAnsi="宋体" w:cs="宋体"/>
                <w:bCs/>
              </w:rPr>
              <w:t>安全运维与风险防控能力</w:t>
            </w:r>
          </w:p>
        </w:tc>
        <w:tc>
          <w:tcPr>
            <w:tcW w:w="6645" w:type="dxa"/>
            <w:tcBorders>
              <w:top w:val="single" w:color="auto" w:sz="4" w:space="0"/>
              <w:left w:val="single" w:color="auto" w:sz="4" w:space="0"/>
              <w:bottom w:val="single" w:color="auto" w:sz="4" w:space="0"/>
              <w:right w:val="single" w:color="auto" w:sz="4" w:space="0"/>
            </w:tcBorders>
          </w:tcPr>
          <w:p w14:paraId="592A020C">
            <w:pPr>
              <w:pStyle w:val="2"/>
              <w:spacing w:line="400" w:lineRule="exact"/>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拟投入本项目的长期驻场人员持有主流网络厂商之一（华为、H3C、锐捷、信锐等）售后工程师认证，得2分；持有主流安全厂商之一（深信服、绿盟、安恒、启明星辰、奇安信、长亭等）售后工程师认证，得2分；本项满分4分。</w:t>
            </w:r>
          </w:p>
          <w:p w14:paraId="7F69B286">
            <w:pPr>
              <w:spacing w:line="400" w:lineRule="exact"/>
              <w:rPr>
                <w:rFonts w:ascii="宋体" w:hAnsi="宋体" w:cs="宋体"/>
              </w:rPr>
            </w:pPr>
            <w:r>
              <w:rPr>
                <w:rFonts w:hint="eastAsia" w:ascii="宋体" w:hAnsi="宋体" w:cs="宋体"/>
              </w:rPr>
              <w:t>（</w:t>
            </w:r>
            <w:r>
              <w:rPr>
                <w:rFonts w:ascii="宋体" w:hAnsi="宋体" w:cs="宋体"/>
              </w:rPr>
              <w:t>2</w:t>
            </w:r>
            <w:r>
              <w:rPr>
                <w:rFonts w:hint="eastAsia" w:ascii="宋体" w:hAnsi="宋体" w:cs="宋体"/>
              </w:rPr>
              <w:t>）供应商自2022年1月1日后，向国家信息安全漏洞共享平台（CNVD）成功报送并获收录的高危及以上级别漏洞，每提供1份有效证明（含漏洞编号、收录截图），得1分，最高5分。</w:t>
            </w:r>
          </w:p>
          <w:p w14:paraId="2E5B5C5F">
            <w:pPr>
              <w:spacing w:line="400" w:lineRule="exact"/>
              <w:rPr>
                <w:rFonts w:ascii="宋体" w:hAnsi="宋体" w:cs="宋体"/>
              </w:rPr>
            </w:pPr>
            <w:r>
              <w:rPr>
                <w:rFonts w:hint="eastAsia" w:ascii="宋体" w:hAnsi="宋体" w:cs="宋体"/>
              </w:rPr>
              <w:t>（3）具有渗透测试服务经验，每提供一个独立合同（提供2022年1月1日后合同关键页及验收证明）得1分，最高</w:t>
            </w:r>
            <w:r>
              <w:rPr>
                <w:rFonts w:ascii="宋体" w:hAnsi="宋体" w:cs="宋体"/>
              </w:rPr>
              <w:t>6</w:t>
            </w:r>
            <w:r>
              <w:rPr>
                <w:rFonts w:hint="eastAsia" w:ascii="宋体" w:hAnsi="宋体" w:cs="宋体"/>
              </w:rPr>
              <w:t>分。</w:t>
            </w:r>
          </w:p>
          <w:p w14:paraId="0F3573BA">
            <w:pPr>
              <w:spacing w:line="400" w:lineRule="exact"/>
            </w:pPr>
            <w:r>
              <w:rPr>
                <w:rFonts w:hint="eastAsia" w:ascii="宋体" w:hAnsi="宋体" w:cs="宋体"/>
                <w:b/>
                <w:sz w:val="21"/>
              </w:rPr>
              <w:t>注：以上均需在响应文件中提供证书复印件、供应商为其缴纳的自响应文件提交截止时间前半年内任意连续</w:t>
            </w:r>
            <w:r>
              <w:rPr>
                <w:rFonts w:ascii="宋体" w:hAnsi="宋体" w:cs="宋体"/>
                <w:b/>
                <w:sz w:val="21"/>
              </w:rPr>
              <w:t>3个月的社保证明</w:t>
            </w:r>
            <w:r>
              <w:rPr>
                <w:rFonts w:hint="eastAsia" w:ascii="宋体" w:hAnsi="宋体" w:cs="宋体"/>
                <w:b/>
                <w:sz w:val="21"/>
              </w:rPr>
              <w:t>或劳动合同复印件及案例证明材料。（原件备查）</w:t>
            </w:r>
          </w:p>
        </w:tc>
        <w:tc>
          <w:tcPr>
            <w:tcW w:w="851" w:type="dxa"/>
            <w:tcBorders>
              <w:top w:val="single" w:color="auto" w:sz="4" w:space="0"/>
              <w:left w:val="single" w:color="auto" w:sz="4" w:space="0"/>
              <w:bottom w:val="single" w:color="auto" w:sz="4" w:space="0"/>
              <w:right w:val="single" w:color="auto" w:sz="4" w:space="0"/>
            </w:tcBorders>
            <w:vAlign w:val="center"/>
          </w:tcPr>
          <w:p w14:paraId="0FA2D992">
            <w:pPr>
              <w:spacing w:line="400" w:lineRule="exact"/>
              <w:jc w:val="center"/>
              <w:rPr>
                <w:rFonts w:ascii="宋体" w:hAnsi="宋体" w:cs="宋体"/>
              </w:rPr>
            </w:pPr>
            <w:r>
              <w:rPr>
                <w:rFonts w:hint="eastAsia" w:ascii="宋体" w:hAnsi="宋体" w:cs="宋体"/>
              </w:rPr>
              <w:t>1</w:t>
            </w:r>
            <w:r>
              <w:rPr>
                <w:rFonts w:ascii="宋体" w:hAnsi="宋体" w:cs="宋体"/>
              </w:rPr>
              <w:t>5</w:t>
            </w:r>
          </w:p>
        </w:tc>
      </w:tr>
      <w:tr w14:paraId="0C20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15100B48">
            <w:pPr>
              <w:spacing w:line="400" w:lineRule="exact"/>
              <w:jc w:val="center"/>
              <w:rPr>
                <w:rFonts w:ascii="宋体" w:hAnsi="宋体" w:cs="宋体"/>
                <w:bCs/>
              </w:rPr>
            </w:pPr>
            <w:r>
              <w:rPr>
                <w:rFonts w:hint="eastAsia" w:ascii="宋体" w:hAnsi="宋体" w:cs="宋体"/>
                <w:bCs/>
              </w:rPr>
              <w:t>3</w:t>
            </w:r>
          </w:p>
        </w:tc>
        <w:tc>
          <w:tcPr>
            <w:tcW w:w="1061" w:type="dxa"/>
            <w:tcBorders>
              <w:top w:val="single" w:color="auto" w:sz="4" w:space="0"/>
              <w:left w:val="single" w:color="auto" w:sz="4" w:space="0"/>
              <w:bottom w:val="single" w:color="auto" w:sz="4" w:space="0"/>
              <w:right w:val="single" w:color="auto" w:sz="4" w:space="0"/>
            </w:tcBorders>
            <w:vAlign w:val="center"/>
          </w:tcPr>
          <w:p w14:paraId="52048919">
            <w:pPr>
              <w:spacing w:line="400" w:lineRule="exact"/>
              <w:jc w:val="center"/>
              <w:rPr>
                <w:rFonts w:ascii="宋体" w:hAnsi="宋体" w:cs="宋体"/>
                <w:bCs/>
              </w:rPr>
            </w:pPr>
            <w:r>
              <w:rPr>
                <w:rFonts w:hint="eastAsia" w:ascii="宋体" w:hAnsi="宋体" w:cs="宋体"/>
                <w:bCs/>
              </w:rPr>
              <w:t>服务保障与本地化能力</w:t>
            </w:r>
          </w:p>
        </w:tc>
        <w:tc>
          <w:tcPr>
            <w:tcW w:w="6645" w:type="dxa"/>
            <w:tcBorders>
              <w:top w:val="single" w:color="auto" w:sz="4" w:space="0"/>
              <w:left w:val="single" w:color="auto" w:sz="4" w:space="0"/>
              <w:bottom w:val="single" w:color="auto" w:sz="4" w:space="0"/>
              <w:right w:val="single" w:color="auto" w:sz="4" w:space="0"/>
            </w:tcBorders>
            <w:vAlign w:val="center"/>
          </w:tcPr>
          <w:p w14:paraId="6C9CD7AC">
            <w:pPr>
              <w:spacing w:line="400" w:lineRule="exact"/>
              <w:jc w:val="center"/>
              <w:rPr>
                <w:rFonts w:ascii="宋体" w:hAnsi="宋体" w:cs="宋体"/>
              </w:rPr>
            </w:pPr>
            <w:r>
              <w:rPr>
                <w:rFonts w:hint="eastAsia" w:ascii="宋体" w:hAnsi="宋体" w:cs="宋体"/>
              </w:rPr>
              <w:t>评审因素</w:t>
            </w:r>
          </w:p>
        </w:tc>
        <w:tc>
          <w:tcPr>
            <w:tcW w:w="851" w:type="dxa"/>
            <w:tcBorders>
              <w:top w:val="single" w:color="auto" w:sz="4" w:space="0"/>
              <w:left w:val="single" w:color="auto" w:sz="4" w:space="0"/>
              <w:bottom w:val="single" w:color="auto" w:sz="4" w:space="0"/>
              <w:right w:val="single" w:color="auto" w:sz="4" w:space="0"/>
            </w:tcBorders>
            <w:vAlign w:val="center"/>
          </w:tcPr>
          <w:p w14:paraId="38ECD222">
            <w:pPr>
              <w:spacing w:line="400" w:lineRule="exact"/>
              <w:jc w:val="center"/>
              <w:rPr>
                <w:rFonts w:ascii="宋体" w:hAnsi="宋体" w:cs="宋体"/>
              </w:rPr>
            </w:pPr>
            <w:r>
              <w:rPr>
                <w:rFonts w:ascii="宋体" w:hAnsi="宋体" w:cs="宋体"/>
              </w:rPr>
              <w:t>16</w:t>
            </w:r>
          </w:p>
        </w:tc>
      </w:tr>
      <w:tr w14:paraId="031D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0C2F3FF4">
            <w:pPr>
              <w:spacing w:line="400" w:lineRule="exact"/>
              <w:jc w:val="center"/>
              <w:rPr>
                <w:rFonts w:ascii="宋体" w:hAnsi="宋体" w:cs="宋体"/>
                <w:bCs/>
              </w:rPr>
            </w:pPr>
            <w:r>
              <w:rPr>
                <w:rFonts w:ascii="宋体" w:hAnsi="宋体" w:cs="宋体"/>
                <w:bCs/>
              </w:rPr>
              <w:t>3.1</w:t>
            </w:r>
          </w:p>
        </w:tc>
        <w:tc>
          <w:tcPr>
            <w:tcW w:w="1061" w:type="dxa"/>
            <w:tcBorders>
              <w:top w:val="single" w:color="auto" w:sz="4" w:space="0"/>
              <w:left w:val="single" w:color="auto" w:sz="4" w:space="0"/>
              <w:bottom w:val="single" w:color="auto" w:sz="4" w:space="0"/>
              <w:right w:val="single" w:color="auto" w:sz="4" w:space="0"/>
            </w:tcBorders>
            <w:vAlign w:val="center"/>
          </w:tcPr>
          <w:p w14:paraId="3B7EE064">
            <w:pPr>
              <w:spacing w:line="400" w:lineRule="exact"/>
              <w:rPr>
                <w:rFonts w:ascii="宋体" w:hAnsi="宋体" w:cs="宋体"/>
                <w:bCs/>
              </w:rPr>
            </w:pPr>
            <w:r>
              <w:rPr>
                <w:rFonts w:hint="eastAsia" w:ascii="宋体" w:hAnsi="宋体" w:cs="宋体"/>
                <w:bCs/>
              </w:rPr>
              <w:t>本地技术服务团队配置</w:t>
            </w:r>
          </w:p>
        </w:tc>
        <w:tc>
          <w:tcPr>
            <w:tcW w:w="6645" w:type="dxa"/>
            <w:tcBorders>
              <w:top w:val="single" w:color="auto" w:sz="4" w:space="0"/>
              <w:left w:val="single" w:color="auto" w:sz="4" w:space="0"/>
              <w:bottom w:val="single" w:color="auto" w:sz="4" w:space="0"/>
              <w:right w:val="single" w:color="auto" w:sz="4" w:space="0"/>
            </w:tcBorders>
          </w:tcPr>
          <w:p w14:paraId="66B7A7C6">
            <w:pPr>
              <w:pStyle w:val="2"/>
              <w:spacing w:line="400" w:lineRule="exact"/>
              <w:rPr>
                <w:rFonts w:ascii="宋体" w:hAnsi="宋体"/>
                <w:sz w:val="24"/>
                <w:szCs w:val="24"/>
              </w:rPr>
            </w:pPr>
            <w:r>
              <w:rPr>
                <w:rFonts w:hint="eastAsia" w:ascii="宋体" w:hAnsi="宋体"/>
                <w:sz w:val="24"/>
                <w:szCs w:val="24"/>
              </w:rPr>
              <w:t>一档（</w:t>
            </w:r>
            <w:r>
              <w:rPr>
                <w:rFonts w:ascii="宋体" w:hAnsi="宋体"/>
                <w:sz w:val="24"/>
                <w:szCs w:val="24"/>
              </w:rPr>
              <w:t>2</w:t>
            </w:r>
            <w:r>
              <w:rPr>
                <w:rFonts w:hint="eastAsia" w:ascii="宋体" w:hAnsi="宋体"/>
                <w:sz w:val="24"/>
                <w:szCs w:val="24"/>
              </w:rPr>
              <w:t>分）：拟投入本地用于本项目的技术服务团队人员≥</w:t>
            </w:r>
            <w:r>
              <w:rPr>
                <w:rFonts w:ascii="宋体" w:hAnsi="宋体"/>
                <w:sz w:val="24"/>
                <w:szCs w:val="24"/>
              </w:rPr>
              <w:t>6</w:t>
            </w:r>
            <w:r>
              <w:rPr>
                <w:rFonts w:hint="eastAsia" w:ascii="宋体" w:hAnsi="宋体"/>
                <w:sz w:val="24"/>
                <w:szCs w:val="24"/>
              </w:rPr>
              <w:t>人；</w:t>
            </w:r>
          </w:p>
          <w:p w14:paraId="6C711AD6">
            <w:pPr>
              <w:pStyle w:val="2"/>
              <w:spacing w:line="400" w:lineRule="exact"/>
              <w:rPr>
                <w:rFonts w:ascii="宋体" w:hAnsi="宋体"/>
                <w:sz w:val="24"/>
                <w:szCs w:val="24"/>
              </w:rPr>
            </w:pPr>
            <w:bookmarkStart w:id="10" w:name="OLE_LINK1"/>
            <w:bookmarkStart w:id="11" w:name="OLE_LINK2"/>
            <w:r>
              <w:rPr>
                <w:rFonts w:hint="eastAsia" w:ascii="宋体" w:hAnsi="宋体"/>
                <w:sz w:val="24"/>
                <w:szCs w:val="24"/>
              </w:rPr>
              <w:t>二档（</w:t>
            </w:r>
            <w:r>
              <w:rPr>
                <w:rFonts w:ascii="宋体" w:hAnsi="宋体"/>
                <w:sz w:val="24"/>
                <w:szCs w:val="24"/>
              </w:rPr>
              <w:t>5</w:t>
            </w:r>
            <w:r>
              <w:rPr>
                <w:rFonts w:hint="eastAsia" w:ascii="宋体" w:hAnsi="宋体"/>
                <w:sz w:val="24"/>
                <w:szCs w:val="24"/>
              </w:rPr>
              <w:t>分）：拟投入本地用于本项目的技术服务团队人员≥</w:t>
            </w:r>
            <w:r>
              <w:rPr>
                <w:rFonts w:ascii="宋体" w:hAnsi="宋体"/>
                <w:sz w:val="24"/>
                <w:szCs w:val="24"/>
              </w:rPr>
              <w:t>8</w:t>
            </w:r>
            <w:r>
              <w:rPr>
                <w:rFonts w:hint="eastAsia" w:ascii="宋体" w:hAnsi="宋体"/>
                <w:sz w:val="24"/>
                <w:szCs w:val="24"/>
              </w:rPr>
              <w:t>人，且团队中除驻场人员外：</w:t>
            </w:r>
          </w:p>
          <w:p w14:paraId="71A876C8">
            <w:pPr>
              <w:pStyle w:val="2"/>
              <w:spacing w:line="400" w:lineRule="exact"/>
              <w:rPr>
                <w:rFonts w:ascii="宋体" w:hAnsi="宋体"/>
                <w:sz w:val="24"/>
                <w:szCs w:val="24"/>
              </w:rPr>
            </w:pPr>
            <w:r>
              <w:rPr>
                <w:rFonts w:ascii="宋体" w:hAnsi="宋体"/>
                <w:sz w:val="24"/>
                <w:szCs w:val="24"/>
              </w:rPr>
              <w:t xml:space="preserve"> • </w:t>
            </w:r>
            <w:r>
              <w:rPr>
                <w:rFonts w:hint="eastAsia" w:ascii="宋体" w:hAnsi="宋体"/>
                <w:sz w:val="24"/>
                <w:szCs w:val="24"/>
              </w:rPr>
              <w:t>至少</w:t>
            </w:r>
            <w:r>
              <w:rPr>
                <w:rFonts w:ascii="宋体" w:hAnsi="宋体"/>
                <w:sz w:val="24"/>
                <w:szCs w:val="24"/>
              </w:rPr>
              <w:t>1</w:t>
            </w:r>
            <w:r>
              <w:rPr>
                <w:rFonts w:hint="eastAsia" w:ascii="宋体" w:hAnsi="宋体"/>
                <w:sz w:val="24"/>
                <w:szCs w:val="24"/>
              </w:rPr>
              <w:t>人持有主流网络厂商之一（华为、H3C、锐捷、信锐等）售后工程师认证；</w:t>
            </w:r>
          </w:p>
          <w:p w14:paraId="10FD81DB">
            <w:pPr>
              <w:pStyle w:val="2"/>
              <w:spacing w:line="400" w:lineRule="exact"/>
              <w:rPr>
                <w:rFonts w:ascii="宋体" w:hAnsi="宋体"/>
                <w:sz w:val="24"/>
                <w:szCs w:val="24"/>
              </w:rPr>
            </w:pPr>
            <w:r>
              <w:rPr>
                <w:rFonts w:ascii="宋体" w:hAnsi="宋体"/>
                <w:sz w:val="24"/>
                <w:szCs w:val="24"/>
              </w:rPr>
              <w:t xml:space="preserve"> • </w:t>
            </w:r>
            <w:r>
              <w:rPr>
                <w:rFonts w:hint="eastAsia" w:ascii="宋体" w:hAnsi="宋体"/>
                <w:sz w:val="24"/>
                <w:szCs w:val="24"/>
              </w:rPr>
              <w:t>至少</w:t>
            </w:r>
            <w:r>
              <w:rPr>
                <w:rFonts w:ascii="宋体" w:hAnsi="宋体"/>
                <w:sz w:val="24"/>
                <w:szCs w:val="24"/>
              </w:rPr>
              <w:t>1</w:t>
            </w:r>
            <w:r>
              <w:rPr>
                <w:rFonts w:hint="eastAsia" w:ascii="宋体" w:hAnsi="宋体"/>
                <w:sz w:val="24"/>
                <w:szCs w:val="24"/>
              </w:rPr>
              <w:t>人持有主流安全厂商之一（深信服、绿盟、安恒、启明星辰、奇安信、长亭等）售后工程师认证。</w:t>
            </w:r>
          </w:p>
          <w:p w14:paraId="0084EA8B">
            <w:pPr>
              <w:pStyle w:val="2"/>
              <w:spacing w:line="400" w:lineRule="exact"/>
              <w:rPr>
                <w:rFonts w:ascii="宋体" w:hAnsi="宋体"/>
                <w:sz w:val="24"/>
                <w:szCs w:val="24"/>
              </w:rPr>
            </w:pPr>
            <w:r>
              <w:rPr>
                <w:rFonts w:hint="eastAsia" w:ascii="宋体" w:hAnsi="宋体"/>
                <w:sz w:val="24"/>
                <w:szCs w:val="24"/>
              </w:rPr>
              <w:t>三档（</w:t>
            </w:r>
            <w:r>
              <w:rPr>
                <w:rFonts w:ascii="宋体" w:hAnsi="宋体"/>
                <w:sz w:val="24"/>
                <w:szCs w:val="24"/>
              </w:rPr>
              <w:t>8</w:t>
            </w:r>
            <w:r>
              <w:rPr>
                <w:rFonts w:hint="eastAsia" w:ascii="宋体" w:hAnsi="宋体"/>
                <w:sz w:val="24"/>
                <w:szCs w:val="24"/>
              </w:rPr>
              <w:t>分）：拟投入本地用于本项目的技术服务团队人员≥1</w:t>
            </w:r>
            <w:r>
              <w:rPr>
                <w:rFonts w:ascii="宋体" w:hAnsi="宋体"/>
                <w:sz w:val="24"/>
                <w:szCs w:val="24"/>
              </w:rPr>
              <w:t>0</w:t>
            </w:r>
            <w:r>
              <w:rPr>
                <w:rFonts w:hint="eastAsia" w:ascii="宋体" w:hAnsi="宋体"/>
                <w:sz w:val="24"/>
                <w:szCs w:val="24"/>
              </w:rPr>
              <w:t>人，且满足：</w:t>
            </w:r>
          </w:p>
          <w:p w14:paraId="7D27C12C">
            <w:pPr>
              <w:pStyle w:val="2"/>
              <w:spacing w:line="400" w:lineRule="exact"/>
              <w:rPr>
                <w:rFonts w:ascii="宋体" w:hAnsi="宋体"/>
                <w:sz w:val="24"/>
                <w:szCs w:val="24"/>
              </w:rPr>
            </w:pPr>
            <w:r>
              <w:rPr>
                <w:rFonts w:ascii="宋体" w:hAnsi="宋体"/>
                <w:sz w:val="24"/>
                <w:szCs w:val="24"/>
              </w:rPr>
              <w:t xml:space="preserve"> • </w:t>
            </w:r>
            <w:r>
              <w:rPr>
                <w:rFonts w:hint="eastAsia" w:ascii="宋体" w:hAnsi="宋体"/>
                <w:sz w:val="24"/>
                <w:szCs w:val="24"/>
              </w:rPr>
              <w:t>除驻场人员外，至少</w:t>
            </w:r>
            <w:r>
              <w:rPr>
                <w:rFonts w:ascii="宋体" w:hAnsi="宋体"/>
                <w:sz w:val="24"/>
                <w:szCs w:val="24"/>
              </w:rPr>
              <w:t>2</w:t>
            </w:r>
            <w:r>
              <w:rPr>
                <w:rFonts w:hint="eastAsia" w:ascii="宋体" w:hAnsi="宋体"/>
                <w:sz w:val="24"/>
                <w:szCs w:val="24"/>
              </w:rPr>
              <w:t>人持有主流网络厂商之一（华为、H3C、锐捷、信锐等）售后工程师认证；</w:t>
            </w:r>
          </w:p>
          <w:p w14:paraId="52AE8770">
            <w:pPr>
              <w:pStyle w:val="2"/>
              <w:spacing w:line="400" w:lineRule="exact"/>
              <w:rPr>
                <w:rFonts w:ascii="宋体" w:hAnsi="宋体"/>
                <w:sz w:val="24"/>
                <w:szCs w:val="24"/>
              </w:rPr>
            </w:pPr>
            <w:r>
              <w:rPr>
                <w:rFonts w:ascii="宋体" w:hAnsi="宋体"/>
                <w:sz w:val="24"/>
                <w:szCs w:val="24"/>
              </w:rPr>
              <w:t xml:space="preserve"> • </w:t>
            </w:r>
            <w:r>
              <w:rPr>
                <w:rFonts w:hint="eastAsia" w:ascii="宋体" w:hAnsi="宋体"/>
                <w:sz w:val="24"/>
                <w:szCs w:val="24"/>
              </w:rPr>
              <w:t>除驻场人员外，至少</w:t>
            </w:r>
            <w:r>
              <w:rPr>
                <w:rFonts w:ascii="宋体" w:hAnsi="宋体"/>
                <w:sz w:val="24"/>
                <w:szCs w:val="24"/>
              </w:rPr>
              <w:t>2</w:t>
            </w:r>
            <w:r>
              <w:rPr>
                <w:rFonts w:hint="eastAsia" w:ascii="宋体" w:hAnsi="宋体"/>
                <w:sz w:val="24"/>
                <w:szCs w:val="24"/>
              </w:rPr>
              <w:t>人持有主流安全厂商之一（深信服、绿盟、安恒、启明星辰、奇安信、长亭等）售后工程师认证；</w:t>
            </w:r>
          </w:p>
          <w:p w14:paraId="359326B4">
            <w:pPr>
              <w:pStyle w:val="2"/>
              <w:spacing w:line="400" w:lineRule="exact"/>
              <w:rPr>
                <w:rFonts w:ascii="宋体" w:hAnsi="宋体"/>
                <w:sz w:val="24"/>
                <w:szCs w:val="24"/>
              </w:rPr>
            </w:pPr>
            <w:r>
              <w:rPr>
                <w:rFonts w:ascii="宋体" w:hAnsi="宋体"/>
                <w:sz w:val="24"/>
                <w:szCs w:val="24"/>
              </w:rPr>
              <w:t xml:space="preserve"> • </w:t>
            </w:r>
            <w:r>
              <w:rPr>
                <w:rFonts w:hint="eastAsia" w:ascii="宋体" w:hAnsi="宋体"/>
                <w:sz w:val="24"/>
                <w:szCs w:val="24"/>
              </w:rPr>
              <w:t>至少</w:t>
            </w:r>
            <w:r>
              <w:rPr>
                <w:rFonts w:ascii="宋体" w:hAnsi="宋体"/>
                <w:sz w:val="24"/>
                <w:szCs w:val="24"/>
              </w:rPr>
              <w:t>2</w:t>
            </w:r>
            <w:r>
              <w:rPr>
                <w:rFonts w:hint="eastAsia" w:ascii="宋体" w:hAnsi="宋体"/>
                <w:sz w:val="24"/>
                <w:szCs w:val="24"/>
              </w:rPr>
              <w:t>人持有中国信息安全测评中心颁发的注册信息安全专业人员（</w:t>
            </w:r>
            <w:r>
              <w:rPr>
                <w:rFonts w:ascii="宋体" w:hAnsi="宋体"/>
                <w:sz w:val="24"/>
                <w:szCs w:val="24"/>
              </w:rPr>
              <w:t>CISP</w:t>
            </w:r>
            <w:r>
              <w:rPr>
                <w:rFonts w:hint="eastAsia" w:ascii="宋体" w:hAnsi="宋体"/>
                <w:sz w:val="24"/>
                <w:szCs w:val="24"/>
              </w:rPr>
              <w:t>）证书。（驻场人员可计入此项）</w:t>
            </w:r>
          </w:p>
          <w:p w14:paraId="44F76759">
            <w:pPr>
              <w:spacing w:line="400" w:lineRule="exact"/>
              <w:rPr>
                <w:rFonts w:ascii="宋体" w:hAnsi="宋体"/>
                <w:bCs/>
              </w:rPr>
            </w:pPr>
            <w:r>
              <w:rPr>
                <w:rFonts w:hint="eastAsia" w:ascii="宋体" w:hAnsi="宋体" w:cs="宋体"/>
                <w:b/>
                <w:sz w:val="21"/>
              </w:rPr>
              <w:t>注：本项所指“本地技术服务团队”包含1名长期驻场人员及本地支持人员，总人数按自然人计算；用于满足本项网络、安全、CISP三类资质证书要求的持证人员须互不重叠。须提供人员名单、相关资格证书复印件及供应商为其缴纳的自响应文件提交截止时间前半年内任意连续3个月的社保证明或劳动合同复印件。（原件备查）</w:t>
            </w:r>
            <w:bookmarkEnd w:id="10"/>
            <w:bookmarkEnd w:id="11"/>
          </w:p>
        </w:tc>
        <w:tc>
          <w:tcPr>
            <w:tcW w:w="851" w:type="dxa"/>
            <w:tcBorders>
              <w:top w:val="single" w:color="auto" w:sz="4" w:space="0"/>
              <w:left w:val="single" w:color="auto" w:sz="4" w:space="0"/>
              <w:bottom w:val="single" w:color="auto" w:sz="4" w:space="0"/>
              <w:right w:val="single" w:color="auto" w:sz="4" w:space="0"/>
            </w:tcBorders>
            <w:vAlign w:val="center"/>
          </w:tcPr>
          <w:p w14:paraId="0E60C01E">
            <w:pPr>
              <w:spacing w:line="400" w:lineRule="exact"/>
              <w:jc w:val="center"/>
              <w:rPr>
                <w:rFonts w:ascii="宋体" w:hAnsi="宋体" w:cs="宋体"/>
              </w:rPr>
            </w:pPr>
            <w:r>
              <w:rPr>
                <w:rFonts w:ascii="宋体" w:hAnsi="宋体" w:cs="宋体"/>
              </w:rPr>
              <w:t>8</w:t>
            </w:r>
          </w:p>
        </w:tc>
      </w:tr>
      <w:tr w14:paraId="0971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3EC25ED9">
            <w:pPr>
              <w:spacing w:line="400" w:lineRule="exact"/>
              <w:jc w:val="center"/>
              <w:rPr>
                <w:rFonts w:ascii="宋体" w:hAnsi="宋体" w:cs="宋体"/>
                <w:bCs/>
              </w:rPr>
            </w:pPr>
            <w:r>
              <w:rPr>
                <w:rFonts w:hint="eastAsia" w:ascii="宋体" w:hAnsi="宋体" w:cs="宋体"/>
                <w:bCs/>
              </w:rPr>
              <w:t>3</w:t>
            </w:r>
            <w:r>
              <w:rPr>
                <w:rFonts w:ascii="宋体" w:hAnsi="宋体" w:cs="宋体"/>
                <w:bCs/>
              </w:rPr>
              <w:t>.2</w:t>
            </w:r>
          </w:p>
        </w:tc>
        <w:tc>
          <w:tcPr>
            <w:tcW w:w="1061" w:type="dxa"/>
            <w:tcBorders>
              <w:top w:val="single" w:color="auto" w:sz="4" w:space="0"/>
              <w:left w:val="single" w:color="auto" w:sz="4" w:space="0"/>
              <w:bottom w:val="single" w:color="auto" w:sz="4" w:space="0"/>
              <w:right w:val="single" w:color="auto" w:sz="4" w:space="0"/>
            </w:tcBorders>
            <w:vAlign w:val="center"/>
          </w:tcPr>
          <w:p w14:paraId="77E36FD4">
            <w:pPr>
              <w:spacing w:line="400" w:lineRule="exact"/>
              <w:rPr>
                <w:rFonts w:ascii="宋体" w:hAnsi="宋体" w:cs="宋体"/>
                <w:bCs/>
              </w:rPr>
            </w:pPr>
            <w:r>
              <w:rPr>
                <w:rFonts w:hint="eastAsia" w:ascii="宋体" w:hAnsi="宋体" w:cs="宋体"/>
                <w:bCs/>
              </w:rPr>
              <w:t>售后服务方案</w:t>
            </w:r>
          </w:p>
        </w:tc>
        <w:tc>
          <w:tcPr>
            <w:tcW w:w="6645" w:type="dxa"/>
            <w:tcBorders>
              <w:top w:val="single" w:color="auto" w:sz="4" w:space="0"/>
              <w:left w:val="single" w:color="auto" w:sz="4" w:space="0"/>
              <w:bottom w:val="single" w:color="auto" w:sz="4" w:space="0"/>
              <w:right w:val="single" w:color="auto" w:sz="4" w:space="0"/>
            </w:tcBorders>
          </w:tcPr>
          <w:p w14:paraId="78C92B34">
            <w:pPr>
              <w:pStyle w:val="2"/>
              <w:spacing w:line="400" w:lineRule="exact"/>
              <w:rPr>
                <w:rFonts w:ascii="宋体" w:hAnsi="宋体"/>
                <w:sz w:val="24"/>
              </w:rPr>
            </w:pPr>
            <w:r>
              <w:rPr>
                <w:rFonts w:hint="eastAsia" w:ascii="宋体" w:hAnsi="宋体"/>
                <w:sz w:val="24"/>
              </w:rPr>
              <w:t>方案包含以下每项内容，且具备可操作性（即包含具体执行要素，非仅承诺描述），得对应分值：</w:t>
            </w:r>
          </w:p>
          <w:p w14:paraId="73D168DE">
            <w:pPr>
              <w:pStyle w:val="2"/>
              <w:spacing w:line="400" w:lineRule="exact"/>
              <w:rPr>
                <w:rFonts w:ascii="宋体" w:hAnsi="宋体"/>
                <w:sz w:val="24"/>
              </w:rPr>
            </w:pPr>
            <w:r>
              <w:rPr>
                <w:rFonts w:hint="eastAsia" w:ascii="宋体" w:hAnsi="宋体"/>
                <w:sz w:val="24"/>
              </w:rPr>
              <w:t>（1）故障响应执行机制：方案中针对采购文件“售后服务要求”的响应时效（30分钟电话响应、2小时到场、8小时解决、48小时报告），提供了具体的执行保障措施，得2分；</w:t>
            </w:r>
          </w:p>
          <w:p w14:paraId="35620924">
            <w:pPr>
              <w:pStyle w:val="2"/>
              <w:spacing w:line="400" w:lineRule="exact"/>
              <w:rPr>
                <w:rFonts w:ascii="宋体" w:hAnsi="宋体"/>
                <w:sz w:val="24"/>
              </w:rPr>
            </w:pPr>
            <w:r>
              <w:rPr>
                <w:rFonts w:hint="eastAsia" w:ascii="宋体" w:hAnsi="宋体"/>
                <w:sz w:val="24"/>
              </w:rPr>
              <w:t>（2）故障报告要求：承诺故障解决后</w:t>
            </w:r>
            <w:r>
              <w:rPr>
                <w:rFonts w:ascii="宋体" w:hAnsi="宋体"/>
                <w:sz w:val="24"/>
              </w:rPr>
              <w:t>48</w:t>
            </w:r>
            <w:r>
              <w:rPr>
                <w:rFonts w:hint="eastAsia" w:ascii="宋体" w:hAnsi="宋体"/>
                <w:sz w:val="24"/>
              </w:rPr>
              <w:t>小时内提交书面分析报告，并列出报告核心内容框架或模版结构（如故障原因、根因分析、处理步骤、改进建议等），得2分；</w:t>
            </w:r>
          </w:p>
          <w:p w14:paraId="657913A0">
            <w:pPr>
              <w:pStyle w:val="2"/>
              <w:spacing w:line="400" w:lineRule="exact"/>
              <w:rPr>
                <w:rFonts w:ascii="宋体" w:hAnsi="宋体"/>
                <w:sz w:val="24"/>
              </w:rPr>
            </w:pPr>
            <w:r>
              <w:rPr>
                <w:rFonts w:hint="eastAsia" w:ascii="宋体" w:hAnsi="宋体"/>
                <w:sz w:val="24"/>
              </w:rPr>
              <w:t>（3）定期巡检计划：提供月度巡检清单（如设备状态、日志完整性、策略有效性）及季度安全评估安排，并说明执行人、记录方式，得2分；</w:t>
            </w:r>
          </w:p>
          <w:p w14:paraId="06F61E56">
            <w:pPr>
              <w:pStyle w:val="2"/>
              <w:spacing w:line="400" w:lineRule="exact"/>
              <w:rPr>
                <w:rFonts w:ascii="宋体" w:hAnsi="宋体"/>
                <w:sz w:val="21"/>
              </w:rPr>
            </w:pPr>
            <w:r>
              <w:rPr>
                <w:rFonts w:hint="eastAsia" w:ascii="宋体" w:hAnsi="宋体"/>
                <w:sz w:val="24"/>
              </w:rPr>
              <w:t>（4）服务文档交付：承诺服务期内提供运维日志、配置备份记录、安全事件台账、年度服务总结报告，并说明文档格式、交付周期、存储方式，得2分。</w:t>
            </w:r>
          </w:p>
          <w:p w14:paraId="1C8F932D">
            <w:pPr>
              <w:spacing w:line="400" w:lineRule="exact"/>
              <w:rPr>
                <w:rFonts w:ascii="宋体" w:hAnsi="宋体"/>
              </w:rPr>
            </w:pPr>
            <w:r>
              <w:rPr>
                <w:rFonts w:hint="eastAsia" w:ascii="宋体" w:hAnsi="宋体" w:cs="宋体"/>
                <w:b/>
                <w:sz w:val="21"/>
              </w:rPr>
              <w:t>注：未提供售后服务方案的，得0分；每项内容缺失或仅为泛化描述（如“按合同执行”“及时响应”“定期巡检”）的，视为无效，该项不得分。</w:t>
            </w:r>
          </w:p>
        </w:tc>
        <w:tc>
          <w:tcPr>
            <w:tcW w:w="851" w:type="dxa"/>
            <w:tcBorders>
              <w:top w:val="single" w:color="auto" w:sz="4" w:space="0"/>
              <w:left w:val="single" w:color="auto" w:sz="4" w:space="0"/>
              <w:bottom w:val="single" w:color="auto" w:sz="4" w:space="0"/>
              <w:right w:val="single" w:color="auto" w:sz="4" w:space="0"/>
            </w:tcBorders>
            <w:vAlign w:val="center"/>
          </w:tcPr>
          <w:p w14:paraId="77AD7BBE">
            <w:pPr>
              <w:spacing w:line="400" w:lineRule="exact"/>
              <w:jc w:val="center"/>
              <w:rPr>
                <w:rFonts w:ascii="宋体" w:hAnsi="宋体" w:cs="宋体"/>
              </w:rPr>
            </w:pPr>
            <w:r>
              <w:rPr>
                <w:rFonts w:ascii="宋体" w:hAnsi="宋体" w:cs="宋体"/>
              </w:rPr>
              <w:t>8</w:t>
            </w:r>
          </w:p>
        </w:tc>
      </w:tr>
      <w:tr w14:paraId="7E14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7644210A">
            <w:pPr>
              <w:spacing w:line="400" w:lineRule="exact"/>
              <w:jc w:val="center"/>
              <w:rPr>
                <w:rFonts w:ascii="宋体" w:hAnsi="宋体" w:cs="宋体"/>
              </w:rPr>
            </w:pPr>
            <w:r>
              <w:rPr>
                <w:rFonts w:ascii="宋体" w:hAnsi="宋体" w:cs="宋体"/>
              </w:rPr>
              <w:t>4</w:t>
            </w:r>
          </w:p>
        </w:tc>
        <w:tc>
          <w:tcPr>
            <w:tcW w:w="1061" w:type="dxa"/>
            <w:tcBorders>
              <w:top w:val="single" w:color="auto" w:sz="4" w:space="0"/>
              <w:left w:val="single" w:color="auto" w:sz="4" w:space="0"/>
              <w:bottom w:val="single" w:color="auto" w:sz="4" w:space="0"/>
              <w:right w:val="single" w:color="auto" w:sz="4" w:space="0"/>
            </w:tcBorders>
            <w:vAlign w:val="center"/>
          </w:tcPr>
          <w:p w14:paraId="0C818086">
            <w:pPr>
              <w:spacing w:line="400" w:lineRule="exact"/>
              <w:jc w:val="center"/>
              <w:rPr>
                <w:rFonts w:ascii="宋体" w:hAnsi="宋体" w:cs="宋体"/>
                <w:bCs/>
              </w:rPr>
            </w:pPr>
            <w:r>
              <w:rPr>
                <w:rFonts w:hint="eastAsia" w:ascii="宋体" w:hAnsi="宋体" w:cs="宋体"/>
                <w:bCs/>
              </w:rPr>
              <w:t>综合实力与信誉</w:t>
            </w:r>
          </w:p>
        </w:tc>
        <w:tc>
          <w:tcPr>
            <w:tcW w:w="6645" w:type="dxa"/>
            <w:tcBorders>
              <w:top w:val="single" w:color="auto" w:sz="4" w:space="0"/>
              <w:left w:val="single" w:color="auto" w:sz="4" w:space="0"/>
              <w:bottom w:val="single" w:color="auto" w:sz="4" w:space="0"/>
              <w:right w:val="single" w:color="auto" w:sz="4" w:space="0"/>
            </w:tcBorders>
            <w:vAlign w:val="center"/>
          </w:tcPr>
          <w:p w14:paraId="247EBEB8">
            <w:pPr>
              <w:spacing w:line="400" w:lineRule="exact"/>
              <w:jc w:val="center"/>
              <w:rPr>
                <w:rFonts w:ascii="宋体" w:hAnsi="宋体" w:cs="宋体"/>
              </w:rPr>
            </w:pPr>
            <w:r>
              <w:rPr>
                <w:rFonts w:hint="eastAsia" w:ascii="宋体" w:hAnsi="宋体" w:cs="宋体"/>
              </w:rPr>
              <w:t>评审因素</w:t>
            </w:r>
          </w:p>
        </w:tc>
        <w:tc>
          <w:tcPr>
            <w:tcW w:w="851" w:type="dxa"/>
            <w:tcBorders>
              <w:top w:val="single" w:color="auto" w:sz="4" w:space="0"/>
              <w:left w:val="single" w:color="auto" w:sz="4" w:space="0"/>
              <w:bottom w:val="single" w:color="auto" w:sz="4" w:space="0"/>
              <w:right w:val="single" w:color="auto" w:sz="4" w:space="0"/>
            </w:tcBorders>
            <w:vAlign w:val="center"/>
          </w:tcPr>
          <w:p w14:paraId="6684D2E0">
            <w:pPr>
              <w:spacing w:line="400" w:lineRule="exact"/>
              <w:jc w:val="center"/>
              <w:rPr>
                <w:rFonts w:ascii="等线" w:hAnsi="等线" w:eastAsia="等线" w:cs="宋体"/>
              </w:rPr>
            </w:pPr>
            <w:r>
              <w:rPr>
                <w:rFonts w:ascii="等线" w:hAnsi="等线" w:eastAsia="等线" w:cs="宋体"/>
              </w:rPr>
              <w:t>14</w:t>
            </w:r>
          </w:p>
        </w:tc>
      </w:tr>
      <w:tr w14:paraId="20F1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0F16DAF8">
            <w:pPr>
              <w:spacing w:line="400" w:lineRule="exact"/>
              <w:jc w:val="center"/>
              <w:rPr>
                <w:rFonts w:ascii="宋体" w:hAnsi="宋体" w:cs="宋体"/>
              </w:rPr>
            </w:pPr>
            <w:r>
              <w:rPr>
                <w:rFonts w:ascii="宋体" w:hAnsi="宋体" w:cs="宋体"/>
              </w:rPr>
              <w:t>4</w:t>
            </w:r>
            <w:r>
              <w:rPr>
                <w:rFonts w:hint="eastAsia" w:ascii="宋体" w:hAnsi="宋体" w:cs="宋体"/>
              </w:rPr>
              <w:t>.1</w:t>
            </w:r>
          </w:p>
        </w:tc>
        <w:tc>
          <w:tcPr>
            <w:tcW w:w="1061" w:type="dxa"/>
            <w:tcBorders>
              <w:top w:val="single" w:color="auto" w:sz="4" w:space="0"/>
              <w:left w:val="single" w:color="auto" w:sz="4" w:space="0"/>
              <w:bottom w:val="single" w:color="auto" w:sz="4" w:space="0"/>
              <w:right w:val="single" w:color="auto" w:sz="4" w:space="0"/>
            </w:tcBorders>
            <w:vAlign w:val="center"/>
          </w:tcPr>
          <w:p w14:paraId="43C53BF1">
            <w:pPr>
              <w:spacing w:line="400" w:lineRule="exact"/>
              <w:jc w:val="center"/>
              <w:rPr>
                <w:rFonts w:ascii="宋体" w:hAnsi="宋体" w:cs="宋体"/>
              </w:rPr>
            </w:pPr>
            <w:r>
              <w:rPr>
                <w:rFonts w:hint="eastAsia" w:ascii="宋体" w:hAnsi="宋体" w:cs="宋体"/>
              </w:rPr>
              <w:t>履约能力</w:t>
            </w:r>
          </w:p>
        </w:tc>
        <w:tc>
          <w:tcPr>
            <w:tcW w:w="6645" w:type="dxa"/>
            <w:tcBorders>
              <w:top w:val="single" w:color="auto" w:sz="4" w:space="0"/>
              <w:left w:val="single" w:color="auto" w:sz="4" w:space="0"/>
              <w:bottom w:val="single" w:color="auto" w:sz="4" w:space="0"/>
              <w:right w:val="single" w:color="auto" w:sz="4" w:space="0"/>
            </w:tcBorders>
            <w:vAlign w:val="center"/>
          </w:tcPr>
          <w:p w14:paraId="3924F2A2">
            <w:pPr>
              <w:pStyle w:val="2"/>
              <w:spacing w:line="400" w:lineRule="exact"/>
              <w:rPr>
                <w:rFonts w:ascii="宋体" w:hAnsi="宋体"/>
                <w:sz w:val="24"/>
              </w:rPr>
            </w:pPr>
            <w:r>
              <w:rPr>
                <w:rFonts w:hint="eastAsia" w:ascii="宋体" w:hAnsi="宋体"/>
                <w:sz w:val="24"/>
              </w:rPr>
              <w:t>供应商具备以下有效资质证书：</w:t>
            </w:r>
          </w:p>
          <w:p w14:paraId="30BE445D">
            <w:pPr>
              <w:pStyle w:val="2"/>
              <w:spacing w:line="400" w:lineRule="exact"/>
              <w:rPr>
                <w:rFonts w:ascii="宋体" w:hAnsi="宋体"/>
                <w:sz w:val="24"/>
              </w:rPr>
            </w:pPr>
            <w:r>
              <w:rPr>
                <w:rFonts w:hint="eastAsia" w:ascii="宋体" w:hAnsi="宋体"/>
                <w:sz w:val="24"/>
              </w:rPr>
              <w:t>（1）ISO 9001质量管理体系认证、ISO 27001信息安全管理体系认证、ISO 20000信息技术服务管理体系认证，同时持有以上至少两项,得2分；</w:t>
            </w:r>
          </w:p>
          <w:p w14:paraId="3A4FB47C">
            <w:pPr>
              <w:pStyle w:val="2"/>
              <w:spacing w:line="400" w:lineRule="exac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）国家信息安全漏洞库（CNNVD）技术支撑单位等级证书，得2分；</w:t>
            </w:r>
          </w:p>
          <w:p w14:paraId="312309DA">
            <w:pPr>
              <w:pStyle w:val="2"/>
              <w:spacing w:line="400" w:lineRule="exact"/>
              <w:rPr>
                <w:rFonts w:ascii="宋体" w:hAnsi="宋体"/>
                <w:sz w:val="24"/>
              </w:rPr>
            </w:pPr>
            <w:r>
              <w:rPr>
                <w:rFonts w:hint="eastAsia" w:ascii="宋体" w:hAnsi="宋体"/>
                <w:sz w:val="24"/>
              </w:rPr>
              <w:t>（3）中国网络安全审查技术与认证中心（CCRC）颁发的信息安全服务资质证书（业务类别须包含：风险评估、应急处理、安全集成或安全运维任一类），三级资质得2分，二级资质得3分，一级资质得4分。</w:t>
            </w:r>
          </w:p>
          <w:p w14:paraId="4F496644">
            <w:pPr>
              <w:spacing w:line="400" w:lineRule="exact"/>
              <w:rPr>
                <w:rFonts w:ascii="宋体" w:hAnsi="宋体" w:cs="宋体"/>
                <w:bCs/>
              </w:rPr>
            </w:pPr>
            <w:r>
              <w:rPr>
                <w:rFonts w:hint="eastAsia" w:ascii="宋体" w:hAnsi="宋体" w:cs="宋体"/>
                <w:b/>
                <w:sz w:val="21"/>
              </w:rPr>
              <w:t>注：所有证书须在有效期内，响应文件须提供有效的证书复印件并加盖供应商单位公章，未提供不得分。（原件备查）</w:t>
            </w:r>
          </w:p>
        </w:tc>
        <w:tc>
          <w:tcPr>
            <w:tcW w:w="851" w:type="dxa"/>
            <w:tcBorders>
              <w:top w:val="single" w:color="auto" w:sz="4" w:space="0"/>
              <w:left w:val="single" w:color="auto" w:sz="4" w:space="0"/>
              <w:bottom w:val="single" w:color="auto" w:sz="4" w:space="0"/>
              <w:right w:val="single" w:color="auto" w:sz="4" w:space="0"/>
            </w:tcBorders>
            <w:vAlign w:val="center"/>
          </w:tcPr>
          <w:p w14:paraId="418BEE25">
            <w:pPr>
              <w:spacing w:line="400" w:lineRule="exact"/>
              <w:jc w:val="center"/>
              <w:rPr>
                <w:rFonts w:ascii="等线" w:hAnsi="等线" w:eastAsia="等线" w:cs="宋体"/>
              </w:rPr>
            </w:pPr>
            <w:r>
              <w:rPr>
                <w:rFonts w:ascii="等线" w:hAnsi="等线" w:eastAsia="等线" w:cs="宋体"/>
              </w:rPr>
              <w:t>8</w:t>
            </w:r>
          </w:p>
        </w:tc>
      </w:tr>
      <w:tr w14:paraId="60AF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0F4897C4">
            <w:pPr>
              <w:spacing w:line="400" w:lineRule="exact"/>
              <w:jc w:val="center"/>
              <w:rPr>
                <w:rFonts w:ascii="宋体" w:hAnsi="宋体" w:cs="宋体"/>
              </w:rPr>
            </w:pPr>
            <w:r>
              <w:rPr>
                <w:rFonts w:ascii="宋体" w:hAnsi="宋体" w:cs="宋体"/>
              </w:rPr>
              <w:t>4</w:t>
            </w:r>
            <w:r>
              <w:rPr>
                <w:rFonts w:hint="eastAsia" w:ascii="宋体" w:hAnsi="宋体" w:cs="宋体"/>
              </w:rPr>
              <w:t>.2</w:t>
            </w:r>
          </w:p>
        </w:tc>
        <w:tc>
          <w:tcPr>
            <w:tcW w:w="1061" w:type="dxa"/>
            <w:tcBorders>
              <w:top w:val="single" w:color="auto" w:sz="4" w:space="0"/>
              <w:left w:val="single" w:color="auto" w:sz="4" w:space="0"/>
              <w:bottom w:val="single" w:color="auto" w:sz="4" w:space="0"/>
              <w:right w:val="single" w:color="auto" w:sz="4" w:space="0"/>
            </w:tcBorders>
            <w:vAlign w:val="center"/>
          </w:tcPr>
          <w:p w14:paraId="4C1DC1CD">
            <w:pPr>
              <w:spacing w:line="400" w:lineRule="exact"/>
              <w:jc w:val="center"/>
              <w:rPr>
                <w:rFonts w:ascii="宋体" w:hAnsi="宋体" w:cs="宋体"/>
                <w:bCs/>
              </w:rPr>
            </w:pPr>
            <w:r>
              <w:rPr>
                <w:rFonts w:hint="eastAsia" w:ascii="宋体" w:hAnsi="宋体" w:cs="宋体"/>
                <w:bCs/>
              </w:rPr>
              <w:t>业绩</w:t>
            </w:r>
          </w:p>
        </w:tc>
        <w:tc>
          <w:tcPr>
            <w:tcW w:w="6645" w:type="dxa"/>
            <w:tcBorders>
              <w:top w:val="single" w:color="auto" w:sz="4" w:space="0"/>
              <w:left w:val="single" w:color="auto" w:sz="4" w:space="0"/>
              <w:bottom w:val="single" w:color="auto" w:sz="4" w:space="0"/>
              <w:right w:val="single" w:color="auto" w:sz="4" w:space="0"/>
            </w:tcBorders>
            <w:vAlign w:val="center"/>
          </w:tcPr>
          <w:p w14:paraId="2CD89851">
            <w:pPr>
              <w:pStyle w:val="2"/>
              <w:spacing w:line="400" w:lineRule="exact"/>
              <w:rPr>
                <w:rFonts w:ascii="宋体" w:hAnsi="宋体"/>
                <w:sz w:val="24"/>
              </w:rPr>
            </w:pPr>
            <w:r>
              <w:rPr>
                <w:rFonts w:hint="eastAsia" w:ascii="宋体" w:hAnsi="宋体"/>
                <w:sz w:val="24"/>
              </w:rPr>
              <w:t>提供2022年1月1日至今（以合同签订日期为准）网络安全服务成功案例（不含纯硬件销售项目），项目内容须包含以下至少两项（合同须明确体现服务内容）：</w:t>
            </w:r>
          </w:p>
          <w:p w14:paraId="6F6A8BE6">
            <w:pPr>
              <w:pStyle w:val="2"/>
              <w:spacing w:line="400" w:lineRule="exact"/>
              <w:rPr>
                <w:rFonts w:ascii="宋体" w:hAnsi="宋体"/>
                <w:sz w:val="24"/>
              </w:rPr>
            </w:pPr>
            <w:r>
              <w:rPr>
                <w:rFonts w:hint="eastAsia" w:ascii="宋体" w:hAnsi="宋体"/>
                <w:sz w:val="24"/>
              </w:rPr>
              <w:t>网络安全运营服务（含7×24</w:t>
            </w:r>
            <w:r>
              <w:rPr>
                <w:rFonts w:ascii="宋体" w:hAnsi="宋体"/>
                <w:sz w:val="24"/>
              </w:rPr>
              <w:t>h</w:t>
            </w:r>
            <w:r>
              <w:rPr>
                <w:rFonts w:hint="eastAsia" w:ascii="宋体" w:hAnsi="宋体"/>
                <w:sz w:val="24"/>
              </w:rPr>
              <w:t>监测、日志分析、威胁处置等）、驻场运维、网络安全等级保护整改、重要时期安全保障（重保）、网络安全应急演练。</w:t>
            </w:r>
          </w:p>
          <w:p w14:paraId="34D21553">
            <w:pPr>
              <w:pStyle w:val="2"/>
              <w:spacing w:line="400" w:lineRule="exact"/>
              <w:rPr>
                <w:rFonts w:ascii="宋体" w:hAnsi="宋体"/>
                <w:sz w:val="24"/>
              </w:rPr>
            </w:pPr>
            <w:r>
              <w:rPr>
                <w:rFonts w:hint="eastAsia" w:ascii="宋体" w:hAnsi="宋体"/>
                <w:sz w:val="24"/>
              </w:rPr>
              <w:t>每提供一个有效业绩，得1分，满分</w:t>
            </w:r>
            <w:r>
              <w:rPr>
                <w:rFonts w:ascii="宋体" w:hAnsi="宋体"/>
                <w:sz w:val="24"/>
              </w:rPr>
              <w:t>6</w:t>
            </w:r>
            <w:r>
              <w:rPr>
                <w:rFonts w:hint="eastAsia" w:ascii="宋体" w:hAnsi="宋体"/>
                <w:sz w:val="24"/>
              </w:rPr>
              <w:t>分。</w:t>
            </w:r>
          </w:p>
          <w:p w14:paraId="3E8EBC70">
            <w:pPr>
              <w:spacing w:line="400" w:lineRule="exact"/>
            </w:pPr>
            <w:r>
              <w:rPr>
                <w:rFonts w:hint="eastAsia" w:ascii="宋体" w:hAnsi="宋体" w:cs="宋体"/>
                <w:b/>
                <w:sz w:val="21"/>
              </w:rPr>
              <w:t>注：响应文件须提供合同及验收报告复印件并加盖供应商公章，否则不得分。（原件备查）</w:t>
            </w:r>
          </w:p>
        </w:tc>
        <w:tc>
          <w:tcPr>
            <w:tcW w:w="851" w:type="dxa"/>
            <w:tcBorders>
              <w:top w:val="single" w:color="auto" w:sz="4" w:space="0"/>
              <w:left w:val="single" w:color="auto" w:sz="4" w:space="0"/>
              <w:bottom w:val="single" w:color="auto" w:sz="4" w:space="0"/>
              <w:right w:val="single" w:color="auto" w:sz="4" w:space="0"/>
            </w:tcBorders>
            <w:vAlign w:val="center"/>
          </w:tcPr>
          <w:p w14:paraId="2D6B88CB">
            <w:pPr>
              <w:spacing w:line="400" w:lineRule="exact"/>
              <w:jc w:val="center"/>
              <w:rPr>
                <w:rFonts w:ascii="等线" w:hAnsi="等线" w:eastAsia="等线" w:cs="宋体"/>
              </w:rPr>
            </w:pPr>
            <w:r>
              <w:rPr>
                <w:rFonts w:ascii="等线" w:hAnsi="等线" w:eastAsia="等线" w:cs="宋体"/>
              </w:rPr>
              <w:t>6</w:t>
            </w:r>
          </w:p>
        </w:tc>
      </w:tr>
      <w:tr w14:paraId="3A7B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29" w:type="dxa"/>
            <w:gridSpan w:val="3"/>
            <w:tcBorders>
              <w:top w:val="single" w:color="auto" w:sz="4" w:space="0"/>
              <w:left w:val="single" w:color="auto" w:sz="4" w:space="0"/>
              <w:bottom w:val="single" w:color="auto" w:sz="4" w:space="0"/>
              <w:right w:val="single" w:color="auto" w:sz="4" w:space="0"/>
            </w:tcBorders>
          </w:tcPr>
          <w:p w14:paraId="287647B1">
            <w:pPr>
              <w:pStyle w:val="9"/>
              <w:spacing w:line="400" w:lineRule="exact"/>
              <w:rPr>
                <w:rFonts w:hAnsi="宋体" w:cs="宋体"/>
                <w:bCs/>
                <w:sz w:val="21"/>
              </w:rPr>
            </w:pPr>
            <w:r>
              <w:rPr>
                <w:rFonts w:hint="eastAsia" w:hAnsi="宋体" w:cs="宋体"/>
                <w:bCs/>
                <w:sz w:val="21"/>
              </w:rPr>
              <w:t>4.总得分＝1+2+3</w:t>
            </w:r>
            <w:r>
              <w:rPr>
                <w:rFonts w:hAnsi="宋体" w:cs="宋体"/>
                <w:bCs/>
                <w:sz w:val="21"/>
              </w:rPr>
              <w:t>+4</w:t>
            </w:r>
          </w:p>
        </w:tc>
        <w:tc>
          <w:tcPr>
            <w:tcW w:w="851" w:type="dxa"/>
            <w:tcBorders>
              <w:top w:val="single" w:color="auto" w:sz="4" w:space="0"/>
              <w:left w:val="single" w:color="auto" w:sz="4" w:space="0"/>
              <w:bottom w:val="single" w:color="auto" w:sz="4" w:space="0"/>
              <w:right w:val="single" w:color="auto" w:sz="4" w:space="0"/>
            </w:tcBorders>
            <w:vAlign w:val="center"/>
          </w:tcPr>
          <w:p w14:paraId="1DB4592A">
            <w:pPr>
              <w:spacing w:line="400" w:lineRule="exact"/>
              <w:jc w:val="center"/>
              <w:rPr>
                <w:rFonts w:ascii="宋体" w:hAnsi="宋体" w:cs="宋体"/>
              </w:rPr>
            </w:pPr>
            <w:r>
              <w:rPr>
                <w:rFonts w:hint="eastAsia" w:ascii="宋体" w:hAnsi="宋体" w:cs="宋体"/>
              </w:rPr>
              <w:t>100</w:t>
            </w:r>
          </w:p>
        </w:tc>
      </w:tr>
    </w:tbl>
    <w:p w14:paraId="4EC33919">
      <w:pPr>
        <w:spacing w:line="440" w:lineRule="exact"/>
        <w:ind w:firstLine="480" w:firstLineChars="200"/>
        <w:rPr>
          <w:rFonts w:ascii="宋体" w:hAnsi="宋体" w:cs="宋体"/>
          <w:b/>
          <w:bCs/>
          <w:color w:val="auto"/>
          <w:szCs w:val="24"/>
        </w:rPr>
      </w:pPr>
      <w:r>
        <w:br w:type="page"/>
      </w:r>
      <w:bookmarkEnd w:id="9"/>
    </w:p>
    <w:p w14:paraId="5E896148">
      <w:pPr>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附件3：投标人直接控股、管理关系信息表</w:t>
      </w:r>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410"/>
        <w:gridCol w:w="3934"/>
      </w:tblGrid>
      <w:tr w14:paraId="3E5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3DAFDAC8">
            <w:pPr>
              <w:spacing w:before="156" w:beforeLines="50" w:after="50"/>
              <w:jc w:val="center"/>
              <w:rPr>
                <w:rFonts w:ascii="仿宋" w:hAnsi="仿宋" w:eastAsia="仿宋"/>
                <w:b/>
                <w:color w:val="auto"/>
              </w:rPr>
            </w:pPr>
            <w:r>
              <w:rPr>
                <w:rFonts w:ascii="仿宋" w:hAnsi="仿宋" w:eastAsia="仿宋"/>
                <w:b/>
                <w:color w:val="auto"/>
              </w:rPr>
              <w:t>投标人直接控股股东信息表</w:t>
            </w:r>
          </w:p>
        </w:tc>
        <w:tc>
          <w:tcPr>
            <w:tcW w:w="3934" w:type="dxa"/>
            <w:shd w:val="clear" w:color="auto" w:fill="F2DBDB"/>
            <w:vAlign w:val="center"/>
          </w:tcPr>
          <w:p w14:paraId="7B21E993">
            <w:pPr>
              <w:spacing w:before="156" w:beforeLines="50" w:after="50"/>
              <w:jc w:val="center"/>
              <w:rPr>
                <w:rFonts w:ascii="仿宋" w:hAnsi="仿宋" w:eastAsia="仿宋"/>
                <w:b/>
                <w:color w:val="auto"/>
              </w:rPr>
            </w:pPr>
            <w:r>
              <w:rPr>
                <w:rFonts w:ascii="仿宋" w:hAnsi="仿宋" w:eastAsia="仿宋"/>
                <w:b/>
                <w:color w:val="auto"/>
              </w:rPr>
              <w:t>说明</w:t>
            </w:r>
          </w:p>
        </w:tc>
      </w:tr>
      <w:tr w14:paraId="5D5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7394944">
            <w:pPr>
              <w:spacing w:line="360" w:lineRule="exact"/>
              <w:jc w:val="center"/>
              <w:rPr>
                <w:rFonts w:ascii="仿宋" w:hAnsi="仿宋" w:eastAsia="仿宋" w:cs="宋体"/>
                <w:b/>
                <w:bCs/>
                <w:color w:val="auto"/>
              </w:rPr>
            </w:pPr>
            <w:r>
              <w:rPr>
                <w:rFonts w:ascii="仿宋" w:hAnsi="仿宋" w:eastAsia="仿宋" w:cs="宋体"/>
                <w:b/>
                <w:bCs/>
                <w:color w:val="auto"/>
              </w:rPr>
              <w:t>序号</w:t>
            </w:r>
          </w:p>
        </w:tc>
        <w:tc>
          <w:tcPr>
            <w:tcW w:w="1309" w:type="dxa"/>
            <w:vAlign w:val="center"/>
          </w:tcPr>
          <w:p w14:paraId="51DC7EBA">
            <w:pPr>
              <w:spacing w:line="360" w:lineRule="exact"/>
              <w:jc w:val="center"/>
              <w:rPr>
                <w:rFonts w:ascii="仿宋" w:hAnsi="仿宋" w:eastAsia="仿宋" w:cs="宋体"/>
                <w:b/>
                <w:bCs/>
                <w:color w:val="auto"/>
              </w:rPr>
            </w:pPr>
            <w:r>
              <w:rPr>
                <w:rFonts w:ascii="仿宋" w:hAnsi="仿宋" w:eastAsia="仿宋" w:cs="宋体"/>
                <w:b/>
                <w:bCs/>
                <w:color w:val="auto"/>
              </w:rPr>
              <w:t>直接控股股东名称</w:t>
            </w:r>
          </w:p>
        </w:tc>
        <w:tc>
          <w:tcPr>
            <w:tcW w:w="1384" w:type="dxa"/>
            <w:vAlign w:val="center"/>
          </w:tcPr>
          <w:p w14:paraId="54AC52DC">
            <w:pPr>
              <w:spacing w:line="360" w:lineRule="exact"/>
              <w:jc w:val="center"/>
              <w:rPr>
                <w:rFonts w:ascii="仿宋" w:hAnsi="仿宋" w:eastAsia="仿宋" w:cs="宋体"/>
                <w:b/>
                <w:bCs/>
                <w:color w:val="auto"/>
              </w:rPr>
            </w:pPr>
            <w:r>
              <w:rPr>
                <w:rFonts w:ascii="仿宋" w:hAnsi="仿宋" w:eastAsia="仿宋" w:cs="宋体"/>
                <w:b/>
                <w:bCs/>
                <w:color w:val="auto"/>
              </w:rPr>
              <w:t>出资比例</w:t>
            </w:r>
          </w:p>
        </w:tc>
        <w:tc>
          <w:tcPr>
            <w:tcW w:w="2410" w:type="dxa"/>
            <w:vAlign w:val="center"/>
          </w:tcPr>
          <w:p w14:paraId="522A71F8">
            <w:pPr>
              <w:spacing w:line="360" w:lineRule="exact"/>
              <w:jc w:val="center"/>
              <w:rPr>
                <w:rFonts w:ascii="仿宋" w:hAnsi="仿宋" w:eastAsia="仿宋" w:cs="宋体"/>
                <w:b/>
                <w:bCs/>
                <w:color w:val="auto"/>
              </w:rPr>
            </w:pPr>
            <w:r>
              <w:rPr>
                <w:rFonts w:ascii="仿宋" w:hAnsi="仿宋" w:eastAsia="仿宋" w:cs="宋体"/>
                <w:b/>
                <w:bCs/>
                <w:color w:val="auto"/>
              </w:rPr>
              <w:t>身份证号码或者统一社会信用代码</w:t>
            </w:r>
          </w:p>
        </w:tc>
        <w:tc>
          <w:tcPr>
            <w:tcW w:w="3934" w:type="dxa"/>
            <w:vMerge w:val="restart"/>
            <w:vAlign w:val="center"/>
          </w:tcPr>
          <w:p w14:paraId="7DB9C13D">
            <w:pPr>
              <w:rPr>
                <w:rFonts w:ascii="仿宋" w:hAnsi="仿宋" w:eastAsia="仿宋"/>
                <w:color w:val="auto"/>
              </w:rPr>
            </w:pPr>
            <w:r>
              <w:rPr>
                <w:rFonts w:ascii="仿宋" w:hAnsi="仿宋" w:eastAsia="仿宋"/>
                <w:color w:val="auto"/>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BB9957">
            <w:pPr>
              <w:rPr>
                <w:rFonts w:ascii="仿宋" w:hAnsi="仿宋" w:eastAsia="仿宋"/>
                <w:color w:val="auto"/>
              </w:rPr>
            </w:pPr>
            <w:r>
              <w:rPr>
                <w:rFonts w:ascii="仿宋" w:hAnsi="仿宋" w:eastAsia="仿宋"/>
                <w:color w:val="auto"/>
              </w:rPr>
              <w:t>2.本表所指的控股关系仅限于直接控股关系，不包括间接的控股关系。公司实际控制人与公司之间的关系不属于本表所指的直接控股关系。</w:t>
            </w:r>
          </w:p>
          <w:p w14:paraId="0790D3F9">
            <w:pPr>
              <w:rPr>
                <w:rFonts w:ascii="仿宋" w:hAnsi="仿宋" w:eastAsia="仿宋" w:cs="宋体"/>
                <w:b/>
                <w:bCs/>
                <w:color w:val="auto"/>
              </w:rPr>
            </w:pPr>
            <w:r>
              <w:rPr>
                <w:rFonts w:ascii="仿宋" w:hAnsi="仿宋" w:eastAsia="仿宋"/>
                <w:color w:val="auto"/>
              </w:rPr>
              <w:t>3.供应商不存在直接控股股东的，则填“无”。</w:t>
            </w:r>
          </w:p>
        </w:tc>
      </w:tr>
      <w:tr w14:paraId="2F6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F126F45">
            <w:pPr>
              <w:spacing w:before="156" w:beforeLines="50" w:after="50"/>
              <w:jc w:val="center"/>
              <w:rPr>
                <w:rFonts w:ascii="仿宋" w:hAnsi="仿宋" w:eastAsia="仿宋"/>
                <w:b/>
                <w:color w:val="auto"/>
              </w:rPr>
            </w:pPr>
            <w:r>
              <w:rPr>
                <w:rFonts w:ascii="仿宋" w:hAnsi="仿宋" w:eastAsia="仿宋"/>
                <w:b/>
                <w:color w:val="auto"/>
              </w:rPr>
              <w:t>1</w:t>
            </w:r>
          </w:p>
        </w:tc>
        <w:tc>
          <w:tcPr>
            <w:tcW w:w="1309" w:type="dxa"/>
          </w:tcPr>
          <w:p w14:paraId="43BFAE44">
            <w:pPr>
              <w:spacing w:before="156" w:beforeLines="50" w:after="50"/>
              <w:rPr>
                <w:rFonts w:ascii="仿宋" w:hAnsi="仿宋" w:eastAsia="仿宋"/>
                <w:b/>
                <w:color w:val="auto"/>
              </w:rPr>
            </w:pPr>
          </w:p>
        </w:tc>
        <w:tc>
          <w:tcPr>
            <w:tcW w:w="1384" w:type="dxa"/>
          </w:tcPr>
          <w:p w14:paraId="7E752495">
            <w:pPr>
              <w:spacing w:before="156" w:beforeLines="50" w:after="50"/>
              <w:rPr>
                <w:rFonts w:ascii="仿宋" w:hAnsi="仿宋" w:eastAsia="仿宋"/>
                <w:b/>
                <w:color w:val="auto"/>
              </w:rPr>
            </w:pPr>
          </w:p>
        </w:tc>
        <w:tc>
          <w:tcPr>
            <w:tcW w:w="2410" w:type="dxa"/>
          </w:tcPr>
          <w:p w14:paraId="43C44F73">
            <w:pPr>
              <w:spacing w:before="156" w:beforeLines="50" w:after="50"/>
              <w:rPr>
                <w:rFonts w:ascii="仿宋" w:hAnsi="仿宋" w:eastAsia="仿宋"/>
                <w:b/>
                <w:color w:val="auto"/>
              </w:rPr>
            </w:pPr>
          </w:p>
        </w:tc>
        <w:tc>
          <w:tcPr>
            <w:tcW w:w="3934" w:type="dxa"/>
            <w:vMerge w:val="continue"/>
          </w:tcPr>
          <w:p w14:paraId="0F4A9C26">
            <w:pPr>
              <w:rPr>
                <w:rFonts w:ascii="仿宋" w:hAnsi="仿宋" w:eastAsia="仿宋"/>
                <w:color w:val="auto"/>
              </w:rPr>
            </w:pPr>
          </w:p>
        </w:tc>
      </w:tr>
      <w:tr w14:paraId="0866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997057A">
            <w:pPr>
              <w:spacing w:before="156" w:beforeLines="50" w:after="50"/>
              <w:jc w:val="center"/>
              <w:rPr>
                <w:rFonts w:ascii="仿宋" w:hAnsi="仿宋" w:eastAsia="仿宋"/>
                <w:b/>
                <w:color w:val="auto"/>
              </w:rPr>
            </w:pPr>
            <w:r>
              <w:rPr>
                <w:rFonts w:ascii="仿宋" w:hAnsi="仿宋" w:eastAsia="仿宋"/>
                <w:b/>
                <w:color w:val="auto"/>
              </w:rPr>
              <w:t>2</w:t>
            </w:r>
          </w:p>
        </w:tc>
        <w:tc>
          <w:tcPr>
            <w:tcW w:w="1309" w:type="dxa"/>
          </w:tcPr>
          <w:p w14:paraId="7C2FA1F4">
            <w:pPr>
              <w:spacing w:before="156" w:beforeLines="50" w:after="50"/>
              <w:rPr>
                <w:rFonts w:ascii="仿宋" w:hAnsi="仿宋" w:eastAsia="仿宋"/>
                <w:b/>
                <w:color w:val="auto"/>
              </w:rPr>
            </w:pPr>
          </w:p>
        </w:tc>
        <w:tc>
          <w:tcPr>
            <w:tcW w:w="1384" w:type="dxa"/>
          </w:tcPr>
          <w:p w14:paraId="275BC5A8">
            <w:pPr>
              <w:spacing w:before="156" w:beforeLines="50" w:after="50"/>
              <w:rPr>
                <w:rFonts w:ascii="仿宋" w:hAnsi="仿宋" w:eastAsia="仿宋"/>
                <w:b/>
                <w:color w:val="auto"/>
              </w:rPr>
            </w:pPr>
          </w:p>
        </w:tc>
        <w:tc>
          <w:tcPr>
            <w:tcW w:w="2410" w:type="dxa"/>
          </w:tcPr>
          <w:p w14:paraId="2A9EF353">
            <w:pPr>
              <w:spacing w:before="156" w:beforeLines="50" w:after="50"/>
              <w:rPr>
                <w:rFonts w:ascii="仿宋" w:hAnsi="仿宋" w:eastAsia="仿宋"/>
                <w:b/>
                <w:color w:val="auto"/>
              </w:rPr>
            </w:pPr>
          </w:p>
        </w:tc>
        <w:tc>
          <w:tcPr>
            <w:tcW w:w="3934" w:type="dxa"/>
            <w:vMerge w:val="continue"/>
          </w:tcPr>
          <w:p w14:paraId="6EDA149F">
            <w:pPr>
              <w:spacing w:before="156" w:beforeLines="50" w:after="50"/>
              <w:rPr>
                <w:rFonts w:ascii="仿宋" w:hAnsi="仿宋" w:eastAsia="仿宋"/>
                <w:b/>
                <w:color w:val="auto"/>
              </w:rPr>
            </w:pPr>
          </w:p>
        </w:tc>
      </w:tr>
      <w:tr w14:paraId="0819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ACBED4A">
            <w:pPr>
              <w:spacing w:before="156" w:beforeLines="50" w:after="50"/>
              <w:jc w:val="center"/>
              <w:rPr>
                <w:rFonts w:ascii="仿宋" w:hAnsi="仿宋" w:eastAsia="仿宋"/>
                <w:b/>
                <w:color w:val="auto"/>
              </w:rPr>
            </w:pPr>
            <w:r>
              <w:rPr>
                <w:rFonts w:ascii="仿宋" w:hAnsi="仿宋" w:eastAsia="仿宋" w:cs="宋体"/>
                <w:color w:val="auto"/>
              </w:rPr>
              <w:t>……</w:t>
            </w:r>
          </w:p>
        </w:tc>
        <w:tc>
          <w:tcPr>
            <w:tcW w:w="1309" w:type="dxa"/>
            <w:tcBorders>
              <w:bottom w:val="single" w:color="auto" w:sz="4" w:space="0"/>
            </w:tcBorders>
          </w:tcPr>
          <w:p w14:paraId="563B118D">
            <w:pPr>
              <w:spacing w:before="156" w:beforeLines="50" w:after="50"/>
              <w:rPr>
                <w:rFonts w:ascii="仿宋" w:hAnsi="仿宋" w:eastAsia="仿宋"/>
                <w:b/>
                <w:color w:val="auto"/>
              </w:rPr>
            </w:pPr>
          </w:p>
        </w:tc>
        <w:tc>
          <w:tcPr>
            <w:tcW w:w="1384" w:type="dxa"/>
            <w:tcBorders>
              <w:bottom w:val="single" w:color="auto" w:sz="4" w:space="0"/>
            </w:tcBorders>
          </w:tcPr>
          <w:p w14:paraId="54597BBD">
            <w:pPr>
              <w:spacing w:before="156" w:beforeLines="50" w:after="50"/>
              <w:rPr>
                <w:rFonts w:ascii="仿宋" w:hAnsi="仿宋" w:eastAsia="仿宋"/>
                <w:b/>
                <w:color w:val="auto"/>
              </w:rPr>
            </w:pPr>
          </w:p>
        </w:tc>
        <w:tc>
          <w:tcPr>
            <w:tcW w:w="2410" w:type="dxa"/>
            <w:tcBorders>
              <w:bottom w:val="single" w:color="auto" w:sz="4" w:space="0"/>
            </w:tcBorders>
          </w:tcPr>
          <w:p w14:paraId="773423EC">
            <w:pPr>
              <w:spacing w:before="156" w:beforeLines="50" w:after="50"/>
              <w:rPr>
                <w:rFonts w:ascii="仿宋" w:hAnsi="仿宋" w:eastAsia="仿宋"/>
                <w:b/>
                <w:color w:val="auto"/>
              </w:rPr>
            </w:pPr>
          </w:p>
        </w:tc>
        <w:tc>
          <w:tcPr>
            <w:tcW w:w="3934" w:type="dxa"/>
            <w:vMerge w:val="continue"/>
            <w:tcBorders>
              <w:bottom w:val="single" w:color="auto" w:sz="4" w:space="0"/>
            </w:tcBorders>
          </w:tcPr>
          <w:p w14:paraId="42BCF473">
            <w:pPr>
              <w:spacing w:before="156" w:beforeLines="50" w:after="50"/>
              <w:rPr>
                <w:rFonts w:ascii="仿宋" w:hAnsi="仿宋" w:eastAsia="仿宋"/>
                <w:b/>
                <w:color w:val="auto"/>
              </w:rPr>
            </w:pPr>
          </w:p>
        </w:tc>
      </w:tr>
      <w:tr w14:paraId="7E75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06BF3CAA">
            <w:pPr>
              <w:spacing w:before="156" w:beforeLines="50" w:after="50"/>
              <w:jc w:val="center"/>
              <w:rPr>
                <w:rFonts w:ascii="仿宋" w:hAnsi="仿宋" w:eastAsia="仿宋"/>
                <w:b/>
                <w:color w:val="auto"/>
              </w:rPr>
            </w:pPr>
            <w:r>
              <w:rPr>
                <w:rFonts w:ascii="仿宋" w:hAnsi="仿宋" w:eastAsia="仿宋"/>
                <w:b/>
                <w:color w:val="auto"/>
              </w:rPr>
              <w:t>投标人直接管理关系信息表</w:t>
            </w:r>
          </w:p>
        </w:tc>
        <w:tc>
          <w:tcPr>
            <w:tcW w:w="3934" w:type="dxa"/>
            <w:shd w:val="clear" w:color="auto" w:fill="F2DBDB"/>
            <w:vAlign w:val="center"/>
          </w:tcPr>
          <w:p w14:paraId="6AB61DA7">
            <w:pPr>
              <w:spacing w:before="156" w:beforeLines="50" w:after="50"/>
              <w:jc w:val="center"/>
              <w:rPr>
                <w:rFonts w:ascii="仿宋" w:hAnsi="仿宋" w:eastAsia="仿宋"/>
                <w:b/>
                <w:color w:val="auto"/>
              </w:rPr>
            </w:pPr>
            <w:r>
              <w:rPr>
                <w:rFonts w:ascii="仿宋" w:hAnsi="仿宋" w:eastAsia="仿宋"/>
                <w:b/>
                <w:color w:val="auto"/>
              </w:rPr>
              <w:t>说明</w:t>
            </w:r>
          </w:p>
        </w:tc>
      </w:tr>
      <w:tr w14:paraId="6E7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0F7C0C6">
            <w:pPr>
              <w:spacing w:before="156" w:beforeLines="50" w:after="50"/>
              <w:jc w:val="center"/>
              <w:rPr>
                <w:rFonts w:ascii="仿宋" w:hAnsi="仿宋" w:eastAsia="仿宋"/>
                <w:b/>
                <w:color w:val="auto"/>
              </w:rPr>
            </w:pPr>
            <w:r>
              <w:rPr>
                <w:rFonts w:ascii="仿宋" w:hAnsi="仿宋" w:eastAsia="仿宋" w:cs="宋体"/>
                <w:b/>
                <w:bCs/>
                <w:color w:val="auto"/>
              </w:rPr>
              <w:t>序号</w:t>
            </w:r>
          </w:p>
        </w:tc>
        <w:tc>
          <w:tcPr>
            <w:tcW w:w="2693" w:type="dxa"/>
            <w:gridSpan w:val="2"/>
            <w:vAlign w:val="center"/>
          </w:tcPr>
          <w:p w14:paraId="63A0E0F1">
            <w:pPr>
              <w:spacing w:before="156" w:beforeLines="50" w:after="50"/>
              <w:jc w:val="center"/>
              <w:rPr>
                <w:rFonts w:ascii="仿宋" w:hAnsi="仿宋" w:eastAsia="仿宋"/>
                <w:b/>
                <w:color w:val="auto"/>
              </w:rPr>
            </w:pPr>
            <w:r>
              <w:rPr>
                <w:rFonts w:ascii="仿宋" w:hAnsi="仿宋" w:eastAsia="仿宋" w:cs="宋体"/>
                <w:b/>
                <w:bCs/>
                <w:color w:val="auto"/>
              </w:rPr>
              <w:t>直接管理关系单位名称</w:t>
            </w:r>
          </w:p>
        </w:tc>
        <w:tc>
          <w:tcPr>
            <w:tcW w:w="2410" w:type="dxa"/>
            <w:vAlign w:val="center"/>
          </w:tcPr>
          <w:p w14:paraId="096ED627">
            <w:pPr>
              <w:spacing w:before="156" w:beforeLines="50" w:after="50"/>
              <w:jc w:val="center"/>
              <w:rPr>
                <w:rFonts w:ascii="仿宋" w:hAnsi="仿宋" w:eastAsia="仿宋"/>
                <w:b/>
                <w:color w:val="auto"/>
              </w:rPr>
            </w:pPr>
            <w:r>
              <w:rPr>
                <w:rFonts w:ascii="仿宋" w:hAnsi="仿宋" w:eastAsia="仿宋" w:cs="宋体"/>
                <w:b/>
                <w:bCs/>
                <w:color w:val="auto"/>
              </w:rPr>
              <w:t>统一社会信用代码</w:t>
            </w:r>
          </w:p>
        </w:tc>
        <w:tc>
          <w:tcPr>
            <w:tcW w:w="3934" w:type="dxa"/>
            <w:vMerge w:val="restart"/>
            <w:vAlign w:val="center"/>
          </w:tcPr>
          <w:p w14:paraId="1BEBDE32">
            <w:pPr>
              <w:rPr>
                <w:rFonts w:ascii="仿宋" w:hAnsi="仿宋" w:eastAsia="仿宋"/>
                <w:color w:val="auto"/>
              </w:rPr>
            </w:pPr>
            <w:r>
              <w:rPr>
                <w:rFonts w:ascii="仿宋" w:hAnsi="仿宋" w:eastAsia="仿宋"/>
                <w:color w:val="auto"/>
              </w:rPr>
              <w:t>1.管理关系：是指不具有出资持股关系的其他单位之间存在的管理与被管理关系，如一些上下级关系的事业单位和团体组织。</w:t>
            </w:r>
          </w:p>
          <w:p w14:paraId="53CAC809">
            <w:pPr>
              <w:rPr>
                <w:rFonts w:ascii="仿宋" w:hAnsi="仿宋" w:eastAsia="仿宋"/>
                <w:color w:val="auto"/>
              </w:rPr>
            </w:pPr>
            <w:r>
              <w:rPr>
                <w:rFonts w:ascii="仿宋" w:hAnsi="仿宋" w:eastAsia="仿宋"/>
                <w:color w:val="auto"/>
              </w:rPr>
              <w:t>2.本表所指的管理关系仅限于直接管理关系，不包括间接的管理关系。</w:t>
            </w:r>
          </w:p>
          <w:p w14:paraId="3005D464">
            <w:pPr>
              <w:rPr>
                <w:rFonts w:ascii="仿宋" w:hAnsi="仿宋" w:eastAsia="仿宋"/>
                <w:color w:val="auto"/>
              </w:rPr>
            </w:pPr>
            <w:r>
              <w:rPr>
                <w:rFonts w:ascii="仿宋" w:hAnsi="仿宋" w:eastAsia="仿宋"/>
                <w:color w:val="auto"/>
              </w:rPr>
              <w:t>3.供应商不存在直接管理关系的，则填“无”。</w:t>
            </w:r>
          </w:p>
        </w:tc>
      </w:tr>
      <w:tr w14:paraId="5262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B4A1D8D">
            <w:pPr>
              <w:spacing w:before="156" w:beforeLines="50" w:after="50"/>
              <w:jc w:val="center"/>
              <w:rPr>
                <w:rFonts w:ascii="仿宋" w:hAnsi="仿宋" w:eastAsia="仿宋"/>
                <w:b/>
                <w:color w:val="auto"/>
              </w:rPr>
            </w:pPr>
            <w:r>
              <w:rPr>
                <w:rFonts w:ascii="仿宋" w:hAnsi="仿宋" w:eastAsia="仿宋"/>
                <w:b/>
                <w:color w:val="auto"/>
              </w:rPr>
              <w:t>1</w:t>
            </w:r>
          </w:p>
        </w:tc>
        <w:tc>
          <w:tcPr>
            <w:tcW w:w="2693" w:type="dxa"/>
            <w:gridSpan w:val="2"/>
            <w:vAlign w:val="center"/>
          </w:tcPr>
          <w:p w14:paraId="38C2FB42">
            <w:pPr>
              <w:spacing w:before="156" w:beforeLines="50" w:after="50"/>
              <w:jc w:val="center"/>
              <w:rPr>
                <w:rFonts w:ascii="仿宋" w:hAnsi="仿宋" w:eastAsia="仿宋" w:cs="宋体"/>
                <w:b/>
                <w:bCs/>
                <w:color w:val="auto"/>
              </w:rPr>
            </w:pPr>
          </w:p>
        </w:tc>
        <w:tc>
          <w:tcPr>
            <w:tcW w:w="2410" w:type="dxa"/>
            <w:vAlign w:val="center"/>
          </w:tcPr>
          <w:p w14:paraId="48461E70">
            <w:pPr>
              <w:spacing w:before="156" w:beforeLines="50" w:after="50"/>
              <w:jc w:val="center"/>
              <w:rPr>
                <w:rFonts w:ascii="仿宋" w:hAnsi="仿宋" w:eastAsia="仿宋" w:cs="宋体"/>
                <w:b/>
                <w:bCs/>
                <w:color w:val="auto"/>
              </w:rPr>
            </w:pPr>
          </w:p>
        </w:tc>
        <w:tc>
          <w:tcPr>
            <w:tcW w:w="3934" w:type="dxa"/>
            <w:vMerge w:val="continue"/>
            <w:vAlign w:val="center"/>
          </w:tcPr>
          <w:p w14:paraId="1EF90F77">
            <w:pPr>
              <w:rPr>
                <w:rFonts w:ascii="仿宋" w:hAnsi="仿宋" w:eastAsia="仿宋"/>
                <w:color w:val="auto"/>
              </w:rPr>
            </w:pPr>
          </w:p>
        </w:tc>
      </w:tr>
      <w:tr w14:paraId="4B6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8E04627">
            <w:pPr>
              <w:spacing w:before="156" w:beforeLines="50" w:after="50"/>
              <w:jc w:val="center"/>
              <w:rPr>
                <w:rFonts w:ascii="仿宋" w:hAnsi="仿宋" w:eastAsia="仿宋"/>
                <w:b/>
                <w:color w:val="auto"/>
              </w:rPr>
            </w:pPr>
            <w:r>
              <w:rPr>
                <w:rFonts w:ascii="仿宋" w:hAnsi="仿宋" w:eastAsia="仿宋"/>
                <w:b/>
                <w:color w:val="auto"/>
              </w:rPr>
              <w:t>2</w:t>
            </w:r>
          </w:p>
        </w:tc>
        <w:tc>
          <w:tcPr>
            <w:tcW w:w="2693" w:type="dxa"/>
            <w:gridSpan w:val="2"/>
            <w:vAlign w:val="center"/>
          </w:tcPr>
          <w:p w14:paraId="69AC4FB0">
            <w:pPr>
              <w:spacing w:before="156" w:beforeLines="50" w:after="50"/>
              <w:jc w:val="center"/>
              <w:rPr>
                <w:rFonts w:ascii="仿宋" w:hAnsi="仿宋" w:eastAsia="仿宋" w:cs="宋体"/>
                <w:b/>
                <w:bCs/>
                <w:color w:val="auto"/>
              </w:rPr>
            </w:pPr>
          </w:p>
        </w:tc>
        <w:tc>
          <w:tcPr>
            <w:tcW w:w="2410" w:type="dxa"/>
            <w:vAlign w:val="center"/>
          </w:tcPr>
          <w:p w14:paraId="3BD64881">
            <w:pPr>
              <w:spacing w:before="156" w:beforeLines="50" w:after="50"/>
              <w:jc w:val="center"/>
              <w:rPr>
                <w:rFonts w:ascii="仿宋" w:hAnsi="仿宋" w:eastAsia="仿宋" w:cs="宋体"/>
                <w:b/>
                <w:bCs/>
                <w:color w:val="auto"/>
              </w:rPr>
            </w:pPr>
          </w:p>
        </w:tc>
        <w:tc>
          <w:tcPr>
            <w:tcW w:w="3934" w:type="dxa"/>
            <w:vMerge w:val="continue"/>
            <w:vAlign w:val="center"/>
          </w:tcPr>
          <w:p w14:paraId="52762155">
            <w:pPr>
              <w:rPr>
                <w:rFonts w:ascii="仿宋" w:hAnsi="仿宋" w:eastAsia="仿宋"/>
                <w:color w:val="auto"/>
              </w:rPr>
            </w:pPr>
          </w:p>
        </w:tc>
      </w:tr>
      <w:tr w14:paraId="467C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ABAD357">
            <w:pPr>
              <w:spacing w:before="156" w:beforeLines="50" w:after="50"/>
              <w:jc w:val="center"/>
              <w:rPr>
                <w:rFonts w:ascii="仿宋" w:hAnsi="仿宋" w:eastAsia="仿宋"/>
                <w:b/>
                <w:color w:val="auto"/>
              </w:rPr>
            </w:pPr>
            <w:r>
              <w:rPr>
                <w:rFonts w:ascii="仿宋" w:hAnsi="仿宋" w:eastAsia="仿宋" w:cs="宋体"/>
                <w:color w:val="auto"/>
              </w:rPr>
              <w:t>……</w:t>
            </w:r>
          </w:p>
        </w:tc>
        <w:tc>
          <w:tcPr>
            <w:tcW w:w="2693" w:type="dxa"/>
            <w:gridSpan w:val="2"/>
            <w:vAlign w:val="center"/>
          </w:tcPr>
          <w:p w14:paraId="3B09AA14">
            <w:pPr>
              <w:spacing w:before="156" w:beforeLines="50" w:after="50"/>
              <w:jc w:val="center"/>
              <w:rPr>
                <w:rFonts w:ascii="仿宋" w:hAnsi="仿宋" w:eastAsia="仿宋" w:cs="宋体"/>
                <w:b/>
                <w:bCs/>
                <w:color w:val="auto"/>
              </w:rPr>
            </w:pPr>
          </w:p>
        </w:tc>
        <w:tc>
          <w:tcPr>
            <w:tcW w:w="2410" w:type="dxa"/>
            <w:vAlign w:val="center"/>
          </w:tcPr>
          <w:p w14:paraId="1D4D6644">
            <w:pPr>
              <w:spacing w:before="156" w:beforeLines="50" w:after="50"/>
              <w:jc w:val="center"/>
              <w:rPr>
                <w:rFonts w:ascii="仿宋" w:hAnsi="仿宋" w:eastAsia="仿宋" w:cs="宋体"/>
                <w:b/>
                <w:bCs/>
                <w:color w:val="auto"/>
              </w:rPr>
            </w:pPr>
          </w:p>
        </w:tc>
        <w:tc>
          <w:tcPr>
            <w:tcW w:w="3934" w:type="dxa"/>
            <w:vMerge w:val="continue"/>
            <w:vAlign w:val="center"/>
          </w:tcPr>
          <w:p w14:paraId="5E192F9E">
            <w:pPr>
              <w:rPr>
                <w:rFonts w:ascii="仿宋" w:hAnsi="仿宋" w:eastAsia="仿宋"/>
                <w:color w:val="auto"/>
              </w:rPr>
            </w:pPr>
          </w:p>
        </w:tc>
      </w:tr>
    </w:tbl>
    <w:p w14:paraId="79064DFE">
      <w:pPr>
        <w:spacing w:line="360" w:lineRule="auto"/>
        <w:rPr>
          <w:rFonts w:ascii="仿宋" w:hAnsi="仿宋" w:eastAsia="仿宋"/>
          <w:color w:val="auto"/>
        </w:rPr>
      </w:pPr>
    </w:p>
    <w:p w14:paraId="37DBE126">
      <w:pPr>
        <w:spacing w:line="360" w:lineRule="auto"/>
        <w:rPr>
          <w:rFonts w:ascii="仿宋" w:hAnsi="仿宋" w:eastAsia="仿宋"/>
          <w:color w:val="auto"/>
        </w:rPr>
      </w:pPr>
    </w:p>
    <w:p w14:paraId="7BBD3650">
      <w:pPr>
        <w:spacing w:line="360" w:lineRule="auto"/>
        <w:rPr>
          <w:rFonts w:ascii="仿宋" w:hAnsi="仿宋" w:eastAsia="仿宋"/>
          <w:color w:val="auto"/>
        </w:rPr>
      </w:pPr>
    </w:p>
    <w:p w14:paraId="51ED8CF6">
      <w:pPr>
        <w:spacing w:line="360" w:lineRule="auto"/>
        <w:ind w:firstLine="4620" w:firstLineChars="2100"/>
        <w:rPr>
          <w:rFonts w:ascii="仿宋" w:hAnsi="仿宋" w:eastAsia="仿宋" w:cs="仿宋_GB2312"/>
          <w:color w:val="auto"/>
          <w:sz w:val="22"/>
          <w:u w:val="single"/>
        </w:rPr>
      </w:pPr>
      <w:r>
        <w:rPr>
          <w:rFonts w:hint="eastAsia" w:ascii="仿宋" w:hAnsi="仿宋" w:eastAsia="仿宋" w:cs="仿宋_GB2312"/>
          <w:color w:val="auto"/>
          <w:sz w:val="22"/>
          <w:lang w:val="zh-CN"/>
        </w:rPr>
        <w:t>投标人名称(</w:t>
      </w:r>
      <w:r>
        <w:rPr>
          <w:rFonts w:hint="eastAsia" w:ascii="仿宋" w:hAnsi="仿宋" w:eastAsia="仿宋" w:cs="仿宋_GB2312"/>
          <w:color w:val="auto"/>
          <w:sz w:val="22"/>
        </w:rPr>
        <w:t>公章</w:t>
      </w:r>
      <w:r>
        <w:rPr>
          <w:rFonts w:hint="eastAsia" w:ascii="仿宋" w:hAnsi="仿宋" w:eastAsia="仿宋" w:cs="仿宋_GB2312"/>
          <w:color w:val="auto"/>
          <w:sz w:val="22"/>
          <w:lang w:val="zh-CN"/>
        </w:rPr>
        <w:t>)：</w:t>
      </w:r>
      <w:r>
        <w:rPr>
          <w:rFonts w:hint="eastAsia" w:ascii="仿宋" w:hAnsi="仿宋" w:eastAsia="仿宋" w:cs="仿宋_GB2312"/>
          <w:color w:val="auto"/>
          <w:sz w:val="22"/>
          <w:u w:val="single"/>
          <w:lang w:val="zh-CN"/>
        </w:rPr>
        <w:t xml:space="preserve"> </w:t>
      </w:r>
      <w:r>
        <w:rPr>
          <w:rFonts w:ascii="仿宋" w:hAnsi="仿宋" w:eastAsia="仿宋" w:cs="仿宋_GB2312"/>
          <w:color w:val="auto"/>
          <w:sz w:val="22"/>
          <w:u w:val="single"/>
          <w:lang w:val="zh-CN"/>
        </w:rPr>
        <w:t xml:space="preserve">         </w:t>
      </w:r>
    </w:p>
    <w:p w14:paraId="05366937">
      <w:pPr>
        <w:spacing w:line="360" w:lineRule="auto"/>
        <w:ind w:firstLine="4730" w:firstLineChars="2150"/>
        <w:rPr>
          <w:rFonts w:ascii="宋体" w:hAnsi="宋体" w:cs="宋体"/>
          <w:b/>
          <w:bCs/>
          <w:color w:val="auto"/>
          <w:szCs w:val="24"/>
        </w:rPr>
      </w:pPr>
      <w:r>
        <w:rPr>
          <w:rFonts w:hint="eastAsia" w:ascii="仿宋" w:hAnsi="仿宋" w:eastAsia="仿宋" w:cs="仿宋_GB2312"/>
          <w:color w:val="auto"/>
          <w:sz w:val="22"/>
          <w:lang w:val="zh-CN"/>
        </w:rPr>
        <w:t>日期</w:t>
      </w:r>
      <w:r>
        <w:rPr>
          <w:rFonts w:hint="eastAsia" w:ascii="仿宋" w:hAnsi="仿宋" w:eastAsia="仿宋" w:cs="仿宋_GB2312"/>
          <w:color w:val="auto"/>
          <w:sz w:val="22"/>
        </w:rPr>
        <w:t xml:space="preserve">：  年  </w:t>
      </w:r>
      <w:r>
        <w:rPr>
          <w:rFonts w:hint="eastAsia" w:ascii="仿宋" w:hAnsi="仿宋" w:eastAsia="仿宋" w:cs="仿宋_GB2312"/>
          <w:color w:val="auto"/>
          <w:sz w:val="22"/>
          <w:lang w:val="zh-CN"/>
        </w:rPr>
        <w:t>月</w:t>
      </w:r>
      <w:r>
        <w:rPr>
          <w:rFonts w:hint="eastAsia" w:ascii="仿宋" w:hAnsi="仿宋" w:eastAsia="仿宋" w:cs="仿宋_GB2312"/>
          <w:color w:val="auto"/>
          <w:sz w:val="22"/>
        </w:rPr>
        <w:t xml:space="preserve">   </w:t>
      </w:r>
      <w:r>
        <w:rPr>
          <w:rFonts w:hint="eastAsia" w:ascii="仿宋" w:hAnsi="仿宋" w:eastAsia="仿宋" w:cs="仿宋_GB2312"/>
          <w:color w:val="auto"/>
          <w:sz w:val="22"/>
          <w:lang w:val="zh-CN"/>
        </w:rPr>
        <w:t>日</w:t>
      </w:r>
    </w:p>
    <w:p w14:paraId="69196E64">
      <w:pPr>
        <w:pStyle w:val="9"/>
        <w:spacing w:line="340" w:lineRule="exact"/>
        <w:rPr>
          <w:b/>
          <w:color w:val="FF0000"/>
        </w:rPr>
      </w:pPr>
      <w:r>
        <w:rPr>
          <w:rFonts w:hint="eastAsia"/>
          <w:b/>
          <w:color w:val="FF0000"/>
        </w:rPr>
        <w:t>拟签订的合同文本</w:t>
      </w:r>
      <w:r>
        <w:rPr>
          <w:rFonts w:hint="eastAsia"/>
          <w:b/>
          <w:color w:val="FF0000"/>
        </w:rPr>
        <w:cr/>
      </w:r>
      <w:r>
        <w:rPr>
          <w:rFonts w:hint="eastAsia"/>
          <w:b/>
          <w:color w:val="FF0000"/>
        </w:rPr>
        <w:t>(参考格式，本合同内容条款在正式签署前可具体补充细化，仅作参考，最终合同以采购人审查通过的版本为准)</w:t>
      </w:r>
    </w:p>
    <w:p w14:paraId="30ADFC47"/>
    <w:p w14:paraId="4AFDD749">
      <w:pPr>
        <w:spacing w:line="360" w:lineRule="auto"/>
        <w:jc w:val="center"/>
        <w:rPr>
          <w:b/>
        </w:rPr>
      </w:pPr>
      <w:r>
        <w:rPr>
          <w:rFonts w:hint="eastAsia"/>
          <w:b/>
          <w:sz w:val="32"/>
        </w:rPr>
        <w:t>广西艺术学院网络安全服务采购合同</w:t>
      </w:r>
    </w:p>
    <w:p w14:paraId="0B3B46B3">
      <w:pPr>
        <w:spacing w:line="360" w:lineRule="auto"/>
      </w:pPr>
    </w:p>
    <w:p w14:paraId="42DEC68C">
      <w:pPr>
        <w:spacing w:line="360" w:lineRule="auto"/>
        <w:ind w:right="800"/>
        <w:rPr>
          <w:rFonts w:ascii="宋体" w:hAnsi="宋体" w:cs="宋体"/>
          <w:bCs/>
        </w:rPr>
      </w:pPr>
      <w:r>
        <w:rPr>
          <w:rFonts w:hint="eastAsia" w:ascii="宋体" w:hAnsi="宋体" w:cs="宋体"/>
        </w:rPr>
        <w:t>采购计划号：</w:t>
      </w:r>
      <w:r>
        <w:rPr>
          <w:rFonts w:hint="eastAsia" w:ascii="宋体" w:hAnsi="宋体" w:cs="宋体"/>
          <w:u w:val="single"/>
        </w:rPr>
        <w:t xml:space="preserve">    </w:t>
      </w:r>
      <w:r>
        <w:rPr>
          <w:rFonts w:ascii="宋体" w:hAnsi="宋体" w:cs="宋体"/>
          <w:u w:val="single"/>
        </w:rPr>
        <w:t xml:space="preserve">       </w:t>
      </w:r>
    </w:p>
    <w:p w14:paraId="4C46343F">
      <w:pPr>
        <w:spacing w:line="360" w:lineRule="auto"/>
        <w:ind w:right="800"/>
        <w:rPr>
          <w:rFonts w:ascii="宋体" w:hAnsi="宋体" w:cs="宋体"/>
          <w:bCs/>
          <w:u w:val="single"/>
        </w:rPr>
      </w:pPr>
      <w:r>
        <w:rPr>
          <w:rFonts w:hint="eastAsia" w:ascii="宋体" w:hAnsi="宋体" w:cs="宋体"/>
          <w:bCs/>
        </w:rPr>
        <w:t>合同编号：</w:t>
      </w:r>
      <w:r>
        <w:rPr>
          <w:rFonts w:ascii="宋体" w:hAnsi="宋体" w:cs="宋体"/>
          <w:u w:val="single"/>
        </w:rPr>
        <w:t xml:space="preserve">                </w:t>
      </w:r>
      <w:r>
        <w:rPr>
          <w:rFonts w:hint="eastAsia" w:ascii="宋体" w:hAnsi="宋体" w:cs="宋体"/>
          <w:u w:val="single"/>
        </w:rPr>
        <w:t xml:space="preserve">  </w:t>
      </w:r>
    </w:p>
    <w:p w14:paraId="4AFD2B15">
      <w:pPr>
        <w:spacing w:line="360" w:lineRule="auto"/>
        <w:rPr>
          <w:rFonts w:ascii="宋体" w:hAnsi="宋体" w:cs="宋体"/>
          <w:u w:val="single"/>
        </w:rPr>
      </w:pPr>
      <w:r>
        <w:rPr>
          <w:rFonts w:hint="eastAsia" w:ascii="宋体" w:hAnsi="宋体" w:cs="宋体"/>
        </w:rPr>
        <w:t>采购人（甲方）：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 xml:space="preserve">   供应商（乙方）：</w:t>
      </w:r>
      <w:r>
        <w:rPr>
          <w:rFonts w:ascii="宋体" w:hAnsi="宋体" w:cs="宋体"/>
          <w:u w:val="single"/>
        </w:rPr>
        <w:t xml:space="preserve">                    </w:t>
      </w:r>
      <w:r>
        <w:rPr>
          <w:rFonts w:hint="eastAsia" w:ascii="宋体" w:hAnsi="宋体" w:cs="宋体"/>
        </w:rPr>
        <w:t xml:space="preserve">    </w:t>
      </w:r>
    </w:p>
    <w:p w14:paraId="27429A57">
      <w:pPr>
        <w:spacing w:line="360" w:lineRule="auto"/>
        <w:rPr>
          <w:rFonts w:ascii="宋体" w:hAnsi="宋体" w:cs="宋体"/>
        </w:rPr>
      </w:pPr>
      <w:r>
        <w:rPr>
          <w:rFonts w:hint="eastAsia" w:ascii="宋体" w:hAnsi="宋体" w:cs="宋体"/>
        </w:rPr>
        <w:t>项目名称：</w:t>
      </w:r>
      <w:r>
        <w:rPr>
          <w:rFonts w:ascii="宋体" w:hAnsi="宋体" w:cs="宋体"/>
          <w:u w:val="single"/>
        </w:rPr>
        <w:t xml:space="preserve">     </w:t>
      </w:r>
      <w:r>
        <w:rPr>
          <w:rFonts w:ascii="宋体" w:hAnsi="宋体" w:cs="宋体"/>
        </w:rPr>
        <w:t xml:space="preserve">   </w:t>
      </w:r>
    </w:p>
    <w:p w14:paraId="4D0E5A89">
      <w:pPr>
        <w:spacing w:line="360" w:lineRule="auto"/>
        <w:rPr>
          <w:rFonts w:ascii="宋体" w:hAnsi="宋体" w:cs="宋体"/>
          <w:u w:val="single"/>
        </w:rPr>
      </w:pPr>
      <w:r>
        <w:rPr>
          <w:rFonts w:hint="eastAsia" w:ascii="宋体" w:hAnsi="宋体" w:cs="宋体"/>
        </w:rPr>
        <w:t>项目编号：</w:t>
      </w:r>
      <w:r>
        <w:rPr>
          <w:rFonts w:ascii="宋体" w:hAnsi="宋体" w:cs="宋体"/>
          <w:u w:val="single"/>
        </w:rPr>
        <w:t xml:space="preserve">                        </w:t>
      </w:r>
    </w:p>
    <w:p w14:paraId="62284E58">
      <w:pPr>
        <w:spacing w:line="360" w:lineRule="auto"/>
        <w:rPr>
          <w:rFonts w:ascii="宋体" w:hAnsi="宋体" w:cs="宋体"/>
          <w:u w:val="single"/>
        </w:rPr>
      </w:pPr>
      <w:r>
        <w:rPr>
          <w:rFonts w:hint="eastAsia" w:ascii="宋体" w:hAnsi="宋体" w:cs="宋体"/>
        </w:rPr>
        <w:t>签订地点：</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 xml:space="preserve">   签订时间：</w:t>
      </w:r>
      <w:r>
        <w:rPr>
          <w:rFonts w:hint="eastAsia" w:ascii="宋体" w:hAnsi="宋体" w:cs="宋体"/>
          <w:u w:val="single"/>
        </w:rPr>
        <w:t xml:space="preserve">   202</w:t>
      </w:r>
      <w:r>
        <w:rPr>
          <w:rFonts w:ascii="宋体" w:hAnsi="宋体" w:cs="宋体"/>
          <w:u w:val="single"/>
        </w:rPr>
        <w:t>5</w:t>
      </w:r>
      <w:r>
        <w:rPr>
          <w:rFonts w:hint="eastAsia" w:ascii="宋体" w:hAnsi="宋体" w:cs="宋体"/>
          <w:u w:val="single"/>
        </w:rPr>
        <w:t xml:space="preserve">年    月   日    </w:t>
      </w:r>
    </w:p>
    <w:p w14:paraId="319F1AAB">
      <w:pPr>
        <w:spacing w:line="360" w:lineRule="auto"/>
        <w:ind w:firstLine="480" w:firstLineChars="200"/>
        <w:rPr>
          <w:rFonts w:ascii="宋体" w:hAnsi="宋体" w:cs="宋体"/>
        </w:rPr>
      </w:pPr>
    </w:p>
    <w:p w14:paraId="39BE5B9D">
      <w:pPr>
        <w:spacing w:line="360" w:lineRule="auto"/>
        <w:ind w:firstLine="480" w:firstLineChars="200"/>
        <w:rPr>
          <w:rFonts w:ascii="宋体" w:hAnsi="宋体" w:cs="宋体"/>
        </w:rPr>
      </w:pPr>
      <w:r>
        <w:rPr>
          <w:rFonts w:hint="eastAsia" w:ascii="宋体" w:hAnsi="宋体" w:cs="宋体"/>
        </w:rPr>
        <w:t>根据《中华人民共和国民法典》等法律、法规规定，按照采购文件</w:t>
      </w:r>
      <w:r>
        <w:rPr>
          <w:rFonts w:hint="eastAsia" w:ascii="宋体" w:hAnsi="宋体"/>
        </w:rPr>
        <w:t>规定条款和乙方投标文件及其承诺，甲乙双方签订本合同。</w:t>
      </w:r>
    </w:p>
    <w:p w14:paraId="1396F35C">
      <w:pPr>
        <w:spacing w:line="360" w:lineRule="auto"/>
        <w:ind w:firstLine="482" w:firstLineChars="200"/>
        <w:rPr>
          <w:rFonts w:ascii="宋体" w:hAnsi="宋体" w:cs="宋体"/>
          <w:b/>
        </w:rPr>
      </w:pPr>
      <w:r>
        <w:rPr>
          <w:rFonts w:hint="eastAsia" w:ascii="宋体" w:hAnsi="宋体" w:cs="宋体"/>
          <w:b/>
        </w:rPr>
        <w:t>第一条　合同标的</w:t>
      </w:r>
    </w:p>
    <w:p w14:paraId="1D56EA80">
      <w:pPr>
        <w:spacing w:line="360" w:lineRule="auto"/>
        <w:ind w:firstLine="480" w:firstLineChars="200"/>
        <w:rPr>
          <w:rFonts w:ascii="宋体" w:hAnsi="宋体" w:cs="宋体"/>
        </w:rPr>
      </w:pPr>
      <w:r>
        <w:rPr>
          <w:rFonts w:hint="eastAsia" w:ascii="宋体" w:hAnsi="宋体" w:cs="宋体"/>
        </w:rPr>
        <w:t>1、合同总金额：</w:t>
      </w:r>
      <w:r>
        <w:rPr>
          <w:rFonts w:hint="eastAsia" w:ascii="宋体" w:hAnsi="宋体" w:cs="宋体"/>
          <w:u w:val="single"/>
        </w:rPr>
        <w:t xml:space="preserve">                          </w:t>
      </w:r>
      <w:r>
        <w:rPr>
          <w:rFonts w:hint="eastAsia" w:ascii="宋体" w:hAnsi="宋体" w:cs="宋体"/>
        </w:rPr>
        <w:t>。</w:t>
      </w:r>
    </w:p>
    <w:p w14:paraId="551268DE">
      <w:pPr>
        <w:spacing w:line="360" w:lineRule="auto"/>
        <w:ind w:firstLine="480" w:firstLineChars="200"/>
        <w:rPr>
          <w:rFonts w:ascii="宋体" w:hAnsi="宋体" w:cs="宋体"/>
        </w:rPr>
      </w:pPr>
      <w:r>
        <w:rPr>
          <w:rFonts w:hint="eastAsia" w:ascii="宋体" w:hAnsi="宋体" w:cs="宋体"/>
        </w:rPr>
        <w:t>2、服务内容一览表（详见附件中的报价表）</w:t>
      </w:r>
    </w:p>
    <w:p w14:paraId="7D015CBC">
      <w:pPr>
        <w:spacing w:line="360" w:lineRule="auto"/>
        <w:ind w:firstLine="480" w:firstLineChars="200"/>
        <w:rPr>
          <w:rFonts w:ascii="宋体" w:hAnsi="宋体" w:cs="宋体"/>
        </w:rPr>
      </w:pPr>
      <w:r>
        <w:rPr>
          <w:rFonts w:hint="eastAsia" w:ascii="宋体" w:hAnsi="宋体" w:cs="宋体"/>
        </w:rPr>
        <w:t>3、合同总金额包括但不限于满足本次竞标全部采购需求所应提供的服务，以及伴随的货物和工程（如有）的价格；包含竞标服务、货物、工程的成本、运输（含保险）、安装（如有）、调试、检验、技术服务、培训、税费等所有费用，甲方不再另行向乙方支付其他任何费用。如采购文件对其另有规定的，从其规定。</w:t>
      </w:r>
    </w:p>
    <w:p w14:paraId="7DE66191">
      <w:pPr>
        <w:spacing w:line="360" w:lineRule="auto"/>
        <w:ind w:firstLine="482" w:firstLineChars="200"/>
        <w:rPr>
          <w:rFonts w:ascii="宋体" w:hAnsi="宋体" w:cs="宋体"/>
          <w:b/>
        </w:rPr>
      </w:pPr>
      <w:r>
        <w:rPr>
          <w:rFonts w:hint="eastAsia" w:ascii="宋体" w:hAnsi="宋体" w:cs="宋体"/>
          <w:b/>
        </w:rPr>
        <w:t>第二条　质量保证</w:t>
      </w:r>
    </w:p>
    <w:p w14:paraId="29657FE1">
      <w:pPr>
        <w:spacing w:line="360" w:lineRule="auto"/>
        <w:ind w:firstLine="480" w:firstLineChars="200"/>
        <w:rPr>
          <w:rFonts w:ascii="宋体" w:hAnsi="宋体" w:cs="宋体"/>
        </w:rPr>
      </w:pPr>
      <w:r>
        <w:rPr>
          <w:rFonts w:hint="eastAsia" w:ascii="宋体" w:hAnsi="宋体" w:cs="宋体"/>
        </w:rPr>
        <w:t>乙方所提供的服务及服务内容必须与响应文件承诺相一致，有国家强制性标准的，还必须符合国家强制性标准的规定，没有国家强制性标准但有其他强制性标准的，必须符合其他强制性标准的规定。</w:t>
      </w:r>
    </w:p>
    <w:p w14:paraId="68DFFA13">
      <w:pPr>
        <w:spacing w:line="360" w:lineRule="auto"/>
        <w:ind w:firstLine="482" w:firstLineChars="200"/>
        <w:rPr>
          <w:rFonts w:ascii="宋体" w:hAnsi="宋体" w:cs="宋体"/>
        </w:rPr>
      </w:pPr>
      <w:r>
        <w:rPr>
          <w:rFonts w:hint="eastAsia" w:ascii="宋体" w:hAnsi="宋体" w:cs="宋体"/>
          <w:b/>
        </w:rPr>
        <w:t>第三条　权利保证</w:t>
      </w:r>
    </w:p>
    <w:p w14:paraId="2F859067">
      <w:pPr>
        <w:spacing w:line="360" w:lineRule="auto"/>
        <w:ind w:firstLine="480" w:firstLineChars="200"/>
        <w:rPr>
          <w:rFonts w:ascii="宋体" w:hAnsi="宋体" w:cs="宋体"/>
        </w:rPr>
      </w:pPr>
      <w:r>
        <w:rPr>
          <w:rFonts w:hint="eastAsia" w:ascii="宋体" w:hAnsi="宋体" w:cs="宋体"/>
        </w:rPr>
        <w:t>1、乙方应保证所提供服务在使用时不会侵犯任何第三方的专利权、商标权、工业设计权等知识产权及其他合法权利，且所有权、处分权等没有受到任何限制。</w:t>
      </w:r>
    </w:p>
    <w:p w14:paraId="4FE1C4F2">
      <w:pPr>
        <w:spacing w:line="360" w:lineRule="auto"/>
        <w:ind w:firstLine="480" w:firstLineChars="200"/>
        <w:rPr>
          <w:rFonts w:ascii="宋体" w:hAnsi="宋体" w:cs="宋体"/>
        </w:rPr>
      </w:pPr>
      <w:r>
        <w:rPr>
          <w:rFonts w:hint="eastAsia" w:ascii="宋体" w:hAnsi="宋体" w:cs="宋体"/>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乙方未履行保密义务给甲方造成损失的，应承担赔偿责任。</w:t>
      </w:r>
    </w:p>
    <w:p w14:paraId="60F6D21F">
      <w:pPr>
        <w:spacing w:line="360" w:lineRule="auto"/>
        <w:ind w:firstLine="480" w:firstLineChars="200"/>
        <w:rPr>
          <w:rFonts w:ascii="宋体" w:hAnsi="宋体" w:cs="宋体"/>
        </w:rPr>
      </w:pPr>
      <w:r>
        <w:rPr>
          <w:rFonts w:hint="eastAsia" w:ascii="宋体" w:hAnsi="宋体" w:cs="宋体"/>
        </w:rPr>
        <w:t>3、乙方应按采购文件规定的时间向甲方提供使用货物的有关技术资料。</w:t>
      </w:r>
    </w:p>
    <w:p w14:paraId="1E8D3ECA">
      <w:pPr>
        <w:spacing w:line="360" w:lineRule="auto"/>
        <w:ind w:firstLine="480" w:firstLineChars="200"/>
        <w:rPr>
          <w:rFonts w:ascii="宋体" w:hAnsi="宋体" w:cs="宋体"/>
        </w:rPr>
      </w:pPr>
      <w:r>
        <w:rPr>
          <w:rFonts w:hint="eastAsia" w:ascii="宋体" w:hAnsi="宋体" w:cs="宋体"/>
        </w:rPr>
        <w:t>4、乙方保证所交付的货物的所有权完全属于乙方且无任何抵押、查封等产权瑕疵，否则甲方有权按本合同第八条第7款追究乙方违约责任。</w:t>
      </w:r>
    </w:p>
    <w:p w14:paraId="50BD3323">
      <w:pPr>
        <w:spacing w:line="360" w:lineRule="auto"/>
        <w:ind w:firstLine="480" w:firstLineChars="200"/>
      </w:pPr>
      <w:r>
        <w:rPr>
          <w:rFonts w:hint="eastAsia" w:ascii="宋体" w:hAnsi="宋体" w:cs="宋体"/>
        </w:rPr>
        <w:t>5、乙方履行本合同形成的成果知识产权归甲方所有。乙方使用成果应取得甲方书面授权同意，不得擅自使用（包括但不限于发表、修改、复制、翻译、改编、汇编等）该课题研究成果。</w:t>
      </w:r>
    </w:p>
    <w:p w14:paraId="2B29EE23">
      <w:pPr>
        <w:spacing w:line="360" w:lineRule="auto"/>
        <w:ind w:firstLine="482" w:firstLineChars="200"/>
        <w:rPr>
          <w:rFonts w:ascii="宋体" w:hAnsi="宋体" w:cs="宋体"/>
        </w:rPr>
      </w:pPr>
      <w:r>
        <w:rPr>
          <w:rFonts w:hint="eastAsia" w:ascii="宋体" w:hAnsi="宋体" w:cs="宋体"/>
          <w:b/>
        </w:rPr>
        <w:t>第四条　交付和验收</w:t>
      </w:r>
    </w:p>
    <w:p w14:paraId="78244C29">
      <w:pPr>
        <w:spacing w:line="360" w:lineRule="auto"/>
        <w:ind w:firstLine="480" w:firstLineChars="200"/>
        <w:rPr>
          <w:rFonts w:ascii="宋体" w:hAnsi="宋体" w:cs="宋体"/>
        </w:rPr>
      </w:pPr>
      <w:r>
        <w:rPr>
          <w:rFonts w:hint="eastAsia" w:ascii="宋体" w:hAnsi="宋体" w:cs="宋体"/>
        </w:rPr>
        <w:t>1、服务期限：</w:t>
      </w:r>
      <w:r>
        <w:rPr>
          <w:rFonts w:hint="eastAsia" w:ascii="宋体" w:hAnsi="宋体" w:cs="宋体"/>
          <w:u w:val="single"/>
        </w:rPr>
        <w:t xml:space="preserve">                                       </w:t>
      </w:r>
      <w:r>
        <w:rPr>
          <w:rFonts w:hint="eastAsia" w:ascii="宋体" w:hAnsi="宋体" w:cs="宋体"/>
        </w:rPr>
        <w:t>，</w:t>
      </w:r>
    </w:p>
    <w:p w14:paraId="0C6699BB">
      <w:pPr>
        <w:spacing w:line="360" w:lineRule="auto"/>
        <w:ind w:firstLine="960" w:firstLineChars="400"/>
        <w:rPr>
          <w:rFonts w:ascii="宋体" w:hAnsi="宋体" w:cs="宋体"/>
        </w:rPr>
      </w:pPr>
      <w:r>
        <w:rPr>
          <w:rFonts w:hint="eastAsia" w:ascii="宋体" w:hAnsi="宋体" w:cs="宋体"/>
        </w:rPr>
        <w:t>服务地点：甲方</w:t>
      </w:r>
      <w:r>
        <w:rPr>
          <w:rFonts w:hint="eastAsia" w:ascii="宋体" w:hAnsi="宋体" w:cs="宋体"/>
          <w:u w:val="single"/>
        </w:rPr>
        <w:t>指定地点</w:t>
      </w:r>
      <w:r>
        <w:rPr>
          <w:rFonts w:hint="eastAsia" w:ascii="宋体" w:hAnsi="宋体" w:cs="宋体"/>
        </w:rPr>
        <w:t>。</w:t>
      </w:r>
    </w:p>
    <w:p w14:paraId="3BD0A4B5">
      <w:pPr>
        <w:spacing w:line="360" w:lineRule="auto"/>
        <w:ind w:firstLine="480" w:firstLineChars="200"/>
        <w:rPr>
          <w:rFonts w:ascii="宋体" w:hAnsi="宋体" w:cs="宋体"/>
        </w:rPr>
      </w:pPr>
      <w:r>
        <w:rPr>
          <w:rFonts w:hint="eastAsia" w:ascii="宋体" w:hAnsi="宋体" w:cs="宋体"/>
        </w:rPr>
        <w:t>2、乙方应按投标（响应）文件的承诺向甲方提供相应的服务，并提供所服务内容的相关技术资料。</w:t>
      </w:r>
    </w:p>
    <w:p w14:paraId="52F6DF7A">
      <w:pPr>
        <w:spacing w:line="360" w:lineRule="auto"/>
        <w:ind w:firstLine="480" w:firstLineChars="200"/>
        <w:rPr>
          <w:rFonts w:ascii="宋体" w:hAnsi="宋体" w:cs="宋体"/>
        </w:rPr>
      </w:pPr>
      <w:r>
        <w:rPr>
          <w:rFonts w:hint="eastAsia" w:ascii="宋体" w:hAnsi="宋体" w:cs="宋体"/>
        </w:rPr>
        <w:t>3、乙方提供不符合投标（响应）文件和本合同规定的服务成果，甲方有权拒绝接受。</w:t>
      </w:r>
    </w:p>
    <w:p w14:paraId="1B63DF27">
      <w:pPr>
        <w:spacing w:line="360" w:lineRule="auto"/>
        <w:ind w:firstLine="480" w:firstLineChars="200"/>
        <w:rPr>
          <w:rFonts w:ascii="宋体" w:hAnsi="宋体"/>
        </w:rPr>
      </w:pPr>
      <w:r>
        <w:rPr>
          <w:rFonts w:hint="eastAsia" w:ascii="宋体" w:hAnsi="宋体"/>
        </w:rPr>
        <w:t>4、甲方应当在乙方提供服务后，连同本项目进行验收。验收合格后由甲乙双方授权代表签署验收书并加盖甲方单位公章，甲方三份，乙方一份。</w:t>
      </w:r>
    </w:p>
    <w:p w14:paraId="697CE31B">
      <w:pPr>
        <w:spacing w:line="360" w:lineRule="auto"/>
        <w:ind w:firstLine="480" w:firstLineChars="200"/>
        <w:rPr>
          <w:rFonts w:ascii="宋体" w:hAnsi="宋体"/>
        </w:rPr>
      </w:pPr>
      <w:r>
        <w:rPr>
          <w:rFonts w:hint="eastAsia" w:ascii="宋体" w:hAnsi="宋体" w:cs="宋体"/>
        </w:rPr>
        <w:t>5、甲方对乙方提供的服务成果在使用前进行调试时，乙方需负责安装并培训甲方的使用操作人员，并协助甲方一起调试，直到符合技术要求，甲方才做最终验收。</w:t>
      </w:r>
    </w:p>
    <w:p w14:paraId="545F9B6C">
      <w:pPr>
        <w:spacing w:line="360" w:lineRule="auto"/>
        <w:ind w:firstLine="480" w:firstLineChars="200"/>
        <w:rPr>
          <w:rFonts w:ascii="宋体" w:hAnsi="宋体" w:cs="宋体"/>
        </w:rPr>
      </w:pPr>
      <w:r>
        <w:rPr>
          <w:rFonts w:hint="eastAsia" w:ascii="宋体" w:hAnsi="宋体" w:cs="宋体"/>
        </w:rPr>
        <w:t>6、甲方在初步验收或者最终验收过程中如发现乙方提供的服务成果不满足投标文件及本合同规定的，可暂缓向乙方付款，直到乙方及时完善并提交相应的服务成果且经甲方验收合格后，方可办理付款。</w:t>
      </w:r>
    </w:p>
    <w:p w14:paraId="4B4C8DE5">
      <w:pPr>
        <w:spacing w:line="360" w:lineRule="auto"/>
        <w:ind w:firstLine="480" w:firstLineChars="200"/>
        <w:rPr>
          <w:rFonts w:ascii="宋体" w:hAnsi="宋体" w:cs="宋体"/>
        </w:rPr>
      </w:pPr>
      <w:r>
        <w:rPr>
          <w:rFonts w:hint="eastAsia" w:ascii="宋体" w:hAnsi="宋体" w:cs="宋体"/>
        </w:rPr>
        <w:t>7、甲方验收时以书面形式提出异议的，乙方应自收到甲方书面异议后五个工作日内及时予以解决，否则甲方有权不出具验收合格单。</w:t>
      </w:r>
    </w:p>
    <w:p w14:paraId="1074DFE9">
      <w:pPr>
        <w:spacing w:line="360" w:lineRule="auto"/>
        <w:ind w:firstLine="480" w:firstLineChars="200"/>
        <w:rPr>
          <w:rFonts w:ascii="宋体" w:hAnsi="宋体" w:cs="宋体"/>
        </w:rPr>
      </w:pPr>
      <w:r>
        <w:rPr>
          <w:rFonts w:hint="eastAsia" w:ascii="宋体" w:hAnsi="宋体" w:cs="宋体"/>
        </w:rPr>
        <w:t>8、在验收过程中发现乙方有违约问题，甲方可暂缓向乙方付款，待违约问题解决后，方可办理付款事宜。</w:t>
      </w:r>
    </w:p>
    <w:p w14:paraId="054B629D">
      <w:pPr>
        <w:spacing w:line="360" w:lineRule="auto"/>
        <w:ind w:firstLine="480" w:firstLineChars="200"/>
        <w:rPr>
          <w:rFonts w:ascii="宋体" w:hAnsi="宋体" w:cs="宋体"/>
        </w:rPr>
      </w:pPr>
      <w:r>
        <w:rPr>
          <w:rFonts w:hint="eastAsia" w:ascii="宋体" w:hAnsi="宋体" w:cs="宋体"/>
        </w:rPr>
        <w:t>9、乙方交付服务成果前应对服务成果作出全面检查和对验收文件进行整理，并列出清单，作为甲方验收和使用服务成果的技术条件依据，检验的结果应随服务成果交甲方。</w:t>
      </w:r>
    </w:p>
    <w:p w14:paraId="6132F2C2">
      <w:pPr>
        <w:spacing w:line="360" w:lineRule="auto"/>
        <w:ind w:firstLine="480" w:firstLineChars="200"/>
        <w:rPr>
          <w:rFonts w:ascii="宋体" w:hAnsi="宋体" w:cs="宋体"/>
        </w:rPr>
      </w:pPr>
      <w:r>
        <w:rPr>
          <w:rFonts w:hint="eastAsia" w:ascii="宋体" w:hAnsi="宋体" w:cs="宋体"/>
        </w:rPr>
        <w:t>10、对技术复杂的服务成果，甲方应请国家认可的专业检测机构参与初步验收及最终验收，并由其出具质量检测报告。</w:t>
      </w:r>
    </w:p>
    <w:p w14:paraId="59CF13A0">
      <w:pPr>
        <w:spacing w:line="360" w:lineRule="auto"/>
        <w:ind w:firstLine="480" w:firstLineChars="200"/>
        <w:rPr>
          <w:rFonts w:ascii="宋体" w:hAnsi="宋体" w:cs="宋体"/>
        </w:rPr>
      </w:pPr>
      <w:r>
        <w:rPr>
          <w:rFonts w:hint="eastAsia" w:ascii="宋体" w:hAnsi="宋体" w:cs="宋体"/>
        </w:rPr>
        <w:t>11、验收时乙方必须在现场，验收完毕后作出验收结果报告，验收费用由乙方负责。</w:t>
      </w:r>
    </w:p>
    <w:p w14:paraId="730DFD6C">
      <w:pPr>
        <w:spacing w:line="360" w:lineRule="auto"/>
        <w:ind w:firstLine="482" w:firstLineChars="200"/>
        <w:rPr>
          <w:rFonts w:ascii="宋体" w:hAnsi="宋体" w:cs="宋体"/>
          <w:b/>
        </w:rPr>
      </w:pPr>
      <w:r>
        <w:rPr>
          <w:rFonts w:hint="eastAsia" w:ascii="宋体" w:hAnsi="宋体" w:cs="宋体"/>
          <w:b/>
        </w:rPr>
        <w:t>第五条  售后服务及培训</w:t>
      </w:r>
    </w:p>
    <w:p w14:paraId="3D1F2ED3">
      <w:pPr>
        <w:spacing w:line="360" w:lineRule="auto"/>
        <w:ind w:firstLine="480" w:firstLineChars="200"/>
        <w:rPr>
          <w:rFonts w:ascii="宋体" w:hAnsi="宋体" w:cs="宋体"/>
        </w:rPr>
      </w:pPr>
      <w:r>
        <w:rPr>
          <w:rFonts w:hint="eastAsia" w:ascii="宋体" w:hAnsi="宋体" w:cs="宋体"/>
        </w:rPr>
        <w:t>1、乙方应按照国家有关法律法规和“三包”规定以及采购文件、乙方投标（响应）文件和本合同所附的《售后服务承诺》要求为甲方提供相应的售后服务。</w:t>
      </w:r>
    </w:p>
    <w:p w14:paraId="1565D503">
      <w:pPr>
        <w:spacing w:line="360" w:lineRule="auto"/>
        <w:ind w:firstLine="480" w:firstLineChars="200"/>
        <w:rPr>
          <w:rFonts w:ascii="宋体" w:hAnsi="宋体" w:cs="宋体"/>
        </w:rPr>
      </w:pPr>
      <w:r>
        <w:rPr>
          <w:rFonts w:hint="eastAsia" w:ascii="宋体" w:hAnsi="宋体" w:cs="宋体"/>
        </w:rPr>
        <w:t>2、验收合格之日起所有软、硬件设备、配件提供至少一年的软件质保服务（各分项另有要求的以各分项要求为准）。质保期内免费保修，须提供1名现场驻场技术人员保障运维服务。超过质保期的服务成果，终生维护，维护时只收更换零件的成本费。</w:t>
      </w:r>
    </w:p>
    <w:p w14:paraId="5267791F">
      <w:pPr>
        <w:spacing w:line="360" w:lineRule="auto"/>
        <w:ind w:firstLine="480" w:firstLineChars="200"/>
        <w:rPr>
          <w:rFonts w:ascii="宋体" w:hAnsi="宋体" w:cs="宋体"/>
        </w:rPr>
      </w:pPr>
      <w:r>
        <w:rPr>
          <w:rFonts w:hint="eastAsia" w:ascii="宋体" w:hAnsi="宋体" w:cs="宋体"/>
        </w:rPr>
        <w:t>3、乙方提供的服务承诺和售后服务及保修期责任等其它具体约定事项。（见合同附件）</w:t>
      </w:r>
    </w:p>
    <w:p w14:paraId="498CA61E">
      <w:pPr>
        <w:spacing w:line="360" w:lineRule="auto"/>
        <w:ind w:firstLine="482" w:firstLineChars="200"/>
        <w:rPr>
          <w:rFonts w:ascii="宋体" w:hAnsi="宋体" w:cs="宋体"/>
          <w:u w:val="single"/>
        </w:rPr>
      </w:pPr>
      <w:r>
        <w:rPr>
          <w:rFonts w:hint="eastAsia" w:ascii="宋体" w:hAnsi="宋体" w:cs="宋体"/>
          <w:b/>
        </w:rPr>
        <w:t>第六条　付款方式</w:t>
      </w:r>
    </w:p>
    <w:p w14:paraId="3CBAEDB7">
      <w:pPr>
        <w:spacing w:line="360" w:lineRule="auto"/>
        <w:ind w:firstLine="480" w:firstLineChars="200"/>
        <w:rPr>
          <w:rFonts w:ascii="宋体" w:hAnsi="宋体"/>
          <w:u w:val="single"/>
        </w:rPr>
      </w:pPr>
      <w:r>
        <w:rPr>
          <w:rFonts w:hint="eastAsia" w:ascii="宋体" w:hAnsi="宋体"/>
        </w:rPr>
        <w:t>甲乙双方同意本合同金额的支付按以下约定执行：</w:t>
      </w:r>
    </w:p>
    <w:p w14:paraId="0EBECE40">
      <w:pPr>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无预付款，签订项目合同后，乙方需在3个工作日内支付合同金额的5%作为履约保证金，甲方将向乙方提供相应的收据。待乙方驻场人员确认到位后，乙方向甲方开具全额发票，甲方支付合同款的</w:t>
      </w:r>
      <w:r>
        <w:rPr>
          <w:rFonts w:ascii="宋体" w:hAnsi="宋体"/>
        </w:rPr>
        <w:t>100</w:t>
      </w:r>
      <w:r>
        <w:rPr>
          <w:rFonts w:hint="eastAsia" w:ascii="宋体" w:hAnsi="宋体"/>
        </w:rPr>
        <w:t>%。在合同服务期满（1年）并通过验收后，甲方将在5个工作日内退还乙方所支付的履约保证金。</w:t>
      </w:r>
    </w:p>
    <w:p w14:paraId="20BA5CE3">
      <w:pPr>
        <w:spacing w:line="360" w:lineRule="auto"/>
        <w:ind w:firstLine="480" w:firstLineChars="200"/>
        <w:rPr>
          <w:rFonts w:ascii="宋体" w:hAnsi="宋体"/>
        </w:rPr>
      </w:pPr>
      <w:r>
        <w:rPr>
          <w:rFonts w:hint="eastAsia" w:ascii="宋体" w:hAnsi="宋体"/>
        </w:rPr>
        <w:t>（2）每次付款前，由成交供应商开具同等金额的合法有效发票给采购人。成交供应商逾期开具相应发票给采购人的，采购人有权追究成交供应商的违约责任。付款前成交供应商开具增值税普通发票。</w:t>
      </w:r>
    </w:p>
    <w:p w14:paraId="65444314">
      <w:pPr>
        <w:spacing w:line="360" w:lineRule="auto"/>
        <w:ind w:firstLine="480" w:firstLineChars="200"/>
        <w:rPr>
          <w:rFonts w:ascii="宋体" w:hAnsi="宋体"/>
        </w:rPr>
      </w:pPr>
      <w:r>
        <w:rPr>
          <w:rFonts w:hint="eastAsia" w:ascii="宋体" w:hAnsi="宋体"/>
        </w:rPr>
        <w:t>（3）甲方将</w:t>
      </w:r>
      <w:r>
        <w:rPr>
          <w:rFonts w:hint="eastAsia" w:ascii="宋体" w:hAnsi="宋体" w:cs="仿宋"/>
          <w:lang w:bidi="zh-CN"/>
        </w:rPr>
        <w:t>以银行转账方式向乙方指定银行账户支付合同款项。</w:t>
      </w:r>
      <w:r>
        <w:rPr>
          <w:rFonts w:hint="eastAsia" w:ascii="宋体" w:hAnsi="宋体"/>
        </w:rPr>
        <w:t>乙方指定收款银行账户详见本合同签字落款处。</w:t>
      </w:r>
    </w:p>
    <w:p w14:paraId="5084F069">
      <w:pPr>
        <w:spacing w:line="360" w:lineRule="auto"/>
        <w:ind w:firstLine="482" w:firstLineChars="200"/>
        <w:rPr>
          <w:rFonts w:ascii="宋体" w:hAnsi="宋体" w:cs="宋体"/>
          <w:b/>
        </w:rPr>
      </w:pPr>
      <w:r>
        <w:rPr>
          <w:rFonts w:hint="eastAsia" w:ascii="宋体" w:hAnsi="宋体" w:cs="宋体"/>
          <w:b/>
        </w:rPr>
        <w:t>第七条  税费</w:t>
      </w:r>
    </w:p>
    <w:p w14:paraId="48143B63">
      <w:pPr>
        <w:spacing w:line="360" w:lineRule="auto"/>
        <w:ind w:firstLine="480" w:firstLineChars="200"/>
        <w:rPr>
          <w:rFonts w:ascii="宋体" w:hAnsi="宋体" w:cs="宋体"/>
        </w:rPr>
      </w:pPr>
      <w:r>
        <w:rPr>
          <w:rFonts w:hint="eastAsia" w:ascii="宋体" w:hAnsi="宋体" w:cs="宋体"/>
        </w:rPr>
        <w:t>本合同执行中相关的一切税费均由乙方负担，合同另有约定的除外。</w:t>
      </w:r>
    </w:p>
    <w:p w14:paraId="274D99AF">
      <w:pPr>
        <w:spacing w:line="360" w:lineRule="auto"/>
        <w:ind w:firstLine="482" w:firstLineChars="200"/>
        <w:rPr>
          <w:rFonts w:ascii="宋体" w:hAnsi="宋体" w:cs="宋体"/>
          <w:b/>
        </w:rPr>
      </w:pPr>
      <w:r>
        <w:rPr>
          <w:rFonts w:hint="eastAsia" w:ascii="宋体" w:hAnsi="宋体" w:cs="宋体"/>
          <w:b/>
        </w:rPr>
        <w:t>第八条　违约责任</w:t>
      </w:r>
    </w:p>
    <w:p w14:paraId="2280276F">
      <w:pPr>
        <w:spacing w:line="360" w:lineRule="auto"/>
        <w:ind w:firstLine="480" w:firstLineChars="200"/>
        <w:rPr>
          <w:rFonts w:ascii="宋体" w:hAnsi="宋体" w:cs="宋体"/>
        </w:rPr>
      </w:pPr>
      <w:r>
        <w:rPr>
          <w:rFonts w:hint="eastAsia" w:ascii="宋体" w:hAnsi="宋体"/>
        </w:rPr>
        <w:t>1、除不可抗力原因外，乙方没有按照合同约定的时间提供服务成果、货物的，甲方可要求乙方支付违约金。乙方每推迟一天按合同总金额的3‰支付违约金，如乙方服务缺漏且无法补救的，应赔偿由此造成甲方的损失或每次按合同总金额的5%支付违约金，乙方逾期超过30日，甲方有权解除合同。</w:t>
      </w:r>
      <w:r>
        <w:rPr>
          <w:rFonts w:hint="eastAsia" w:ascii="宋体" w:hAnsi="宋体" w:cs="宋体"/>
        </w:rPr>
        <w:t xml:space="preserve"> </w:t>
      </w:r>
    </w:p>
    <w:p w14:paraId="1182BE55">
      <w:pPr>
        <w:spacing w:line="360" w:lineRule="auto"/>
        <w:ind w:firstLine="480" w:firstLineChars="200"/>
        <w:rPr>
          <w:rFonts w:ascii="宋体" w:hAnsi="宋体" w:cs="宋体"/>
        </w:rPr>
      </w:pPr>
      <w:r>
        <w:rPr>
          <w:rFonts w:hint="eastAsia" w:ascii="宋体" w:hAnsi="宋体" w:cs="宋体"/>
        </w:rPr>
        <w:t>2、乙方提供的服务如侵犯了第三方合法权益而引发的任何纠纷或者诉讼，均由乙方负责交涉并承担全部责任。</w:t>
      </w:r>
      <w:r>
        <w:rPr>
          <w:rFonts w:hint="eastAsia" w:ascii="宋体" w:hAnsi="宋体"/>
        </w:rPr>
        <w:t>如因此造成甲方损失，乙方应并赔偿甲方全部经济损失。</w:t>
      </w:r>
    </w:p>
    <w:p w14:paraId="62FBAE1E">
      <w:pPr>
        <w:spacing w:line="360" w:lineRule="auto"/>
        <w:ind w:firstLine="480" w:firstLineChars="200"/>
        <w:rPr>
          <w:rFonts w:ascii="宋体" w:hAnsi="宋体"/>
        </w:rPr>
      </w:pPr>
      <w:r>
        <w:rPr>
          <w:rFonts w:hint="eastAsia" w:ascii="宋体" w:hAnsi="宋体"/>
        </w:rPr>
        <w:t>3、除不可抗力原因及本合同另有约定外，甲方无故延期付款的，每天向乙方偿付延期款额3‰违约金，但违约金累计不得超过延期款额5%。</w:t>
      </w:r>
    </w:p>
    <w:p w14:paraId="4F5A7801">
      <w:pPr>
        <w:spacing w:line="360" w:lineRule="auto"/>
        <w:ind w:firstLine="480" w:firstLineChars="200"/>
        <w:rPr>
          <w:rFonts w:ascii="宋体" w:hAnsi="宋体"/>
        </w:rPr>
      </w:pPr>
      <w:r>
        <w:rPr>
          <w:rFonts w:hint="eastAsia" w:ascii="宋体" w:hAnsi="宋体"/>
        </w:rPr>
        <w:t>4、除不可抗力原因及本合同另有约定外，甲方无故延期接收货物的，每天向乙方偿付违约货款额3‰违约金，但违约金累计不得超过违约货款额5%。</w:t>
      </w:r>
    </w:p>
    <w:p w14:paraId="58BFF9DA">
      <w:pPr>
        <w:spacing w:line="360" w:lineRule="auto"/>
        <w:ind w:firstLine="480" w:firstLineChars="200"/>
        <w:rPr>
          <w:rFonts w:ascii="宋体" w:hAnsi="宋体"/>
        </w:rPr>
      </w:pPr>
      <w:r>
        <w:rPr>
          <w:rFonts w:hint="eastAsia" w:ascii="宋体" w:hAnsi="宋体"/>
        </w:rPr>
        <w:t>5、乙方未按本合同和采购文件中规定的服务承诺提供售后服务的，乙方应按本合同总金额 5%向甲方支付违约金。</w:t>
      </w:r>
    </w:p>
    <w:p w14:paraId="361C11F8">
      <w:pPr>
        <w:spacing w:line="360" w:lineRule="auto"/>
        <w:ind w:firstLine="480" w:firstLineChars="200"/>
        <w:rPr>
          <w:rFonts w:ascii="宋体" w:hAnsi="宋体"/>
        </w:rPr>
      </w:pPr>
      <w:r>
        <w:rPr>
          <w:rFonts w:hint="eastAsia" w:ascii="宋体" w:hAnsi="宋体"/>
        </w:rPr>
        <w:t>6、乙方提供的服务成果在质量保修期内，因乙方和其它质量原因造成的问题，由乙方负责解决并按实际情况赔偿甲方损失。</w:t>
      </w:r>
    </w:p>
    <w:p w14:paraId="3D26445B">
      <w:pPr>
        <w:spacing w:line="360" w:lineRule="auto"/>
        <w:ind w:firstLine="480" w:firstLineChars="200"/>
        <w:rPr>
          <w:rFonts w:ascii="宋体" w:hAnsi="宋体"/>
        </w:rPr>
      </w:pPr>
      <w:r>
        <w:rPr>
          <w:rFonts w:hint="eastAsia" w:ascii="宋体" w:hAnsi="宋体"/>
        </w:rPr>
        <w:t>7、乙方所提供的服务成果、货物的质量、数量、服务项目要求(技术参数需求)等不符合采购文件、国家有关质量标准或本合同约定的，甲方有权拒绝接受。如因造成逾期提供相关服务成果的，则按本条第1款约定承担逾期违约责任。因特殊情况甲方同意接收不符合采购、投标文件、国家有关质量标准或本合同约定的服务成果的，乙方除承担逾期违约责任外，还应向甲方支付合同总金额15%违约金。因乙方无法提供符合采购、投标文件、国家有关质量标准或本合同约定的服务成果的，甲方有权解除合同。</w:t>
      </w:r>
    </w:p>
    <w:p w14:paraId="2772AADD">
      <w:pPr>
        <w:spacing w:line="360" w:lineRule="auto"/>
        <w:ind w:firstLine="480" w:firstLineChars="200"/>
        <w:rPr>
          <w:rFonts w:ascii="宋体" w:hAnsi="宋体"/>
        </w:rPr>
      </w:pPr>
      <w:r>
        <w:rPr>
          <w:rFonts w:hint="eastAsia" w:ascii="宋体" w:hAnsi="宋体"/>
        </w:rPr>
        <w:t>8、乙方其它违约行为按合同总金额5%向甲方支付违约金。</w:t>
      </w:r>
    </w:p>
    <w:p w14:paraId="57DB0133">
      <w:pPr>
        <w:spacing w:line="360" w:lineRule="auto"/>
        <w:ind w:firstLine="480" w:firstLineChars="200"/>
        <w:rPr>
          <w:rFonts w:ascii="宋体" w:hAnsi="宋体"/>
        </w:rPr>
      </w:pPr>
      <w:r>
        <w:rPr>
          <w:rFonts w:hint="eastAsia" w:ascii="宋体" w:hAnsi="宋体"/>
        </w:rPr>
        <w:t>9、甲方根据本合同约定而解除合同的，有权不予支付任何款项给乙方，已经支付的，乙方应当自甲方要求返还之日起5日内予以返还，除合同有其他约定外，乙方还应支付合同总金额5%的违约金给甲方并赔偿甲方经济损失。</w:t>
      </w:r>
    </w:p>
    <w:p w14:paraId="4126AA85">
      <w:pPr>
        <w:spacing w:line="360" w:lineRule="auto"/>
        <w:ind w:firstLine="480" w:firstLineChars="200"/>
        <w:rPr>
          <w:rFonts w:ascii="宋体" w:hAnsi="宋体" w:cs="宋体"/>
          <w:b/>
        </w:rPr>
      </w:pPr>
      <w:r>
        <w:rPr>
          <w:rFonts w:hint="eastAsia" w:ascii="宋体" w:hAnsi="宋体"/>
        </w:rPr>
        <w:t>10、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律师费、诉讼费、调查费、公证费、鉴定费、执行费、保全费、公告费、差旅费及其他费用。</w:t>
      </w:r>
    </w:p>
    <w:p w14:paraId="27F83FCF">
      <w:pPr>
        <w:spacing w:line="360" w:lineRule="auto"/>
        <w:ind w:firstLine="482" w:firstLineChars="200"/>
        <w:rPr>
          <w:rFonts w:ascii="宋体" w:hAnsi="宋体" w:cs="宋体"/>
          <w:b/>
        </w:rPr>
      </w:pPr>
      <w:r>
        <w:rPr>
          <w:rFonts w:hint="eastAsia" w:ascii="宋体" w:hAnsi="宋体" w:cs="宋体"/>
          <w:b/>
        </w:rPr>
        <w:t>第九条  不可抗力事件处理</w:t>
      </w:r>
    </w:p>
    <w:p w14:paraId="30E7C459">
      <w:pPr>
        <w:spacing w:line="360" w:lineRule="auto"/>
        <w:ind w:firstLine="480" w:firstLineChars="200"/>
        <w:rPr>
          <w:rFonts w:ascii="宋体" w:hAnsi="宋体" w:cs="宋体"/>
        </w:rPr>
      </w:pPr>
      <w:r>
        <w:rPr>
          <w:rFonts w:hint="eastAsia" w:ascii="宋体" w:hAnsi="宋体" w:cs="宋体"/>
        </w:rPr>
        <w:t>1、在合同有效期内，任何一方因不可抗力事件导致不能履行合同，则合同履行期可延长，其延长期与不可抗力影响期相同。</w:t>
      </w:r>
    </w:p>
    <w:p w14:paraId="09872AC1">
      <w:pPr>
        <w:spacing w:line="360" w:lineRule="auto"/>
        <w:ind w:firstLine="480" w:firstLineChars="200"/>
        <w:rPr>
          <w:rFonts w:ascii="宋体" w:hAnsi="宋体" w:cs="宋体"/>
        </w:rPr>
      </w:pPr>
      <w:r>
        <w:rPr>
          <w:rFonts w:hint="eastAsia" w:ascii="宋体" w:hAnsi="宋体" w:cs="宋体"/>
        </w:rPr>
        <w:t>2、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6A0C08C2">
      <w:pPr>
        <w:spacing w:line="360" w:lineRule="auto"/>
        <w:ind w:firstLine="480" w:firstLineChars="200"/>
        <w:rPr>
          <w:rFonts w:ascii="宋体" w:hAnsi="宋体" w:cs="宋体"/>
        </w:rPr>
      </w:pPr>
      <w:r>
        <w:rPr>
          <w:rFonts w:hint="eastAsia" w:ascii="宋体" w:hAnsi="宋体" w:cs="宋体"/>
        </w:rPr>
        <w:t>3、不可抗力事件延续一百二十天以上，双方应通过友好协商，确定是否继续履行合同。不可抗力造成的损失各自承担。</w:t>
      </w:r>
    </w:p>
    <w:p w14:paraId="4E467345">
      <w:pPr>
        <w:spacing w:line="360" w:lineRule="auto"/>
        <w:ind w:firstLine="482" w:firstLineChars="200"/>
        <w:rPr>
          <w:rFonts w:ascii="宋体" w:hAnsi="宋体" w:cs="宋体"/>
        </w:rPr>
      </w:pPr>
      <w:r>
        <w:rPr>
          <w:rFonts w:hint="eastAsia" w:ascii="宋体" w:hAnsi="宋体" w:cs="宋体"/>
          <w:b/>
        </w:rPr>
        <w:t>第十条  合同争议解决</w:t>
      </w:r>
    </w:p>
    <w:p w14:paraId="4187B488">
      <w:pPr>
        <w:spacing w:line="360" w:lineRule="auto"/>
        <w:ind w:firstLine="480" w:firstLineChars="200"/>
        <w:rPr>
          <w:rFonts w:ascii="宋体" w:hAnsi="宋体" w:cs="宋体"/>
        </w:rPr>
      </w:pPr>
      <w:r>
        <w:rPr>
          <w:rFonts w:hint="eastAsia" w:ascii="宋体" w:hAnsi="宋体" w:cs="宋体"/>
        </w:rPr>
        <w:t>1、因服务成果质量问题发生争议的，应邀请国家认可的质量检测机构进行鉴定。符合标准的，鉴定费由甲方承担；不符合标准的，鉴定费由乙方承担。</w:t>
      </w:r>
    </w:p>
    <w:p w14:paraId="3E62C2E4">
      <w:pPr>
        <w:spacing w:line="360" w:lineRule="auto"/>
        <w:ind w:firstLine="480" w:firstLineChars="200"/>
        <w:rPr>
          <w:rFonts w:ascii="宋体" w:hAnsi="宋体" w:cs="宋体"/>
        </w:rPr>
      </w:pPr>
      <w:r>
        <w:rPr>
          <w:rFonts w:hint="eastAsia" w:ascii="宋体" w:hAnsi="宋体" w:cs="宋体"/>
        </w:rPr>
        <w:t>2、因履行本合同引起的或者与本合同有关的争议，甲乙双方应首先通过友好协商解决，如果协商不能解决，各方有权向甲方所在地有管辖权的人民法院提起诉讼。</w:t>
      </w:r>
    </w:p>
    <w:p w14:paraId="2D921024">
      <w:pPr>
        <w:spacing w:line="360" w:lineRule="auto"/>
        <w:ind w:firstLine="480" w:firstLineChars="200"/>
        <w:rPr>
          <w:rFonts w:ascii="宋体" w:hAnsi="宋体" w:cs="宋体"/>
        </w:rPr>
      </w:pPr>
      <w:r>
        <w:rPr>
          <w:rFonts w:hint="eastAsia" w:ascii="宋体" w:hAnsi="宋体" w:cs="宋体"/>
        </w:rPr>
        <w:t>3、诉讼期间，本合同继续履行。</w:t>
      </w:r>
    </w:p>
    <w:p w14:paraId="1A8F171E">
      <w:pPr>
        <w:spacing w:line="360" w:lineRule="auto"/>
        <w:ind w:firstLine="482" w:firstLineChars="200"/>
        <w:rPr>
          <w:rFonts w:ascii="宋体" w:hAnsi="宋体" w:cs="宋体"/>
          <w:b/>
        </w:rPr>
      </w:pPr>
      <w:r>
        <w:rPr>
          <w:rFonts w:hint="eastAsia" w:ascii="宋体" w:hAnsi="宋体" w:cs="宋体"/>
          <w:b/>
        </w:rPr>
        <w:t>第十一条  合同生效及其它</w:t>
      </w:r>
    </w:p>
    <w:p w14:paraId="2811BDBE">
      <w:pPr>
        <w:spacing w:line="360" w:lineRule="auto"/>
        <w:ind w:firstLine="480" w:firstLineChars="200"/>
        <w:rPr>
          <w:rFonts w:ascii="宋体" w:hAnsi="宋体" w:cs="宋体"/>
        </w:rPr>
      </w:pPr>
      <w:r>
        <w:rPr>
          <w:rFonts w:hint="eastAsia" w:ascii="宋体" w:hAnsi="宋体" w:cs="宋体"/>
        </w:rPr>
        <w:t>1、合同经双方法定代表人或者委托代理人签字并加盖单位公章后生效（委托代理人签字的需后附法定代表人授权委托书，格式自拟）。</w:t>
      </w:r>
    </w:p>
    <w:p w14:paraId="6B348A84">
      <w:pPr>
        <w:spacing w:line="360" w:lineRule="auto"/>
        <w:ind w:firstLine="480" w:firstLineChars="200"/>
        <w:rPr>
          <w:rFonts w:ascii="宋体" w:hAnsi="宋体" w:cs="宋体"/>
        </w:rPr>
      </w:pPr>
      <w:r>
        <w:rPr>
          <w:rFonts w:hint="eastAsia" w:ascii="宋体" w:hAnsi="宋体" w:cs="宋体"/>
        </w:rPr>
        <w:t>2、合同执行中涉及采购资金和采购内容修改或者补充的，须经财政部门审批，并签书面补充协议报财政部门备案，方可作为主合同不可分割的一部分。</w:t>
      </w:r>
    </w:p>
    <w:p w14:paraId="4F2BA50C">
      <w:pPr>
        <w:spacing w:line="360" w:lineRule="auto"/>
        <w:ind w:firstLine="480" w:firstLineChars="200"/>
        <w:rPr>
          <w:rFonts w:ascii="宋体" w:hAnsi="宋体" w:cs="宋体"/>
        </w:rPr>
      </w:pPr>
      <w:r>
        <w:rPr>
          <w:rFonts w:hint="eastAsia" w:ascii="宋体" w:hAnsi="宋体" w:cs="宋体"/>
        </w:rPr>
        <w:t>3、本合同未尽事宜，按甲方采购需求和乙方承诺执行，甲方采购需求与乙方承诺仍未涉及的，遵照《中华人民共和国民法典》有关条文执行。</w:t>
      </w:r>
    </w:p>
    <w:p w14:paraId="4665327D">
      <w:pPr>
        <w:spacing w:line="360" w:lineRule="auto"/>
        <w:ind w:firstLine="482" w:firstLineChars="200"/>
        <w:rPr>
          <w:rFonts w:ascii="宋体" w:hAnsi="宋体" w:cs="宋体"/>
          <w:b/>
        </w:rPr>
      </w:pPr>
      <w:r>
        <w:rPr>
          <w:rFonts w:hint="eastAsia" w:ascii="宋体" w:hAnsi="宋体" w:cs="宋体"/>
          <w:b/>
        </w:rPr>
        <w:t>第十二条　合同的变更、终止与转让</w:t>
      </w:r>
    </w:p>
    <w:p w14:paraId="2777F262">
      <w:pPr>
        <w:spacing w:line="360" w:lineRule="auto"/>
        <w:ind w:firstLine="480" w:firstLineChars="200"/>
        <w:rPr>
          <w:rFonts w:ascii="宋体" w:hAnsi="宋体" w:cs="宋体"/>
        </w:rPr>
      </w:pPr>
      <w:r>
        <w:rPr>
          <w:rFonts w:hint="eastAsia" w:ascii="宋体" w:hAnsi="宋体" w:cs="宋体"/>
        </w:rPr>
        <w:t>1、除《中华人民共和国政府采购法》第五十条规定的情形外，本合同一经签订，甲乙双方不得擅自变更、中止或者终止。</w:t>
      </w:r>
    </w:p>
    <w:p w14:paraId="1BF2D478">
      <w:pPr>
        <w:spacing w:line="360" w:lineRule="auto"/>
        <w:ind w:firstLine="480" w:firstLineChars="200"/>
        <w:rPr>
          <w:rFonts w:ascii="宋体" w:hAnsi="宋体" w:cs="宋体"/>
        </w:rPr>
      </w:pPr>
      <w:r>
        <w:rPr>
          <w:rFonts w:hint="eastAsia" w:ascii="宋体" w:hAnsi="宋体" w:cs="宋体"/>
        </w:rPr>
        <w:t>2、乙方不得擅自转让其应履行的合同义务。</w:t>
      </w:r>
    </w:p>
    <w:p w14:paraId="664C6898">
      <w:pPr>
        <w:spacing w:line="360" w:lineRule="auto"/>
        <w:ind w:firstLine="482" w:firstLineChars="200"/>
        <w:rPr>
          <w:rFonts w:ascii="宋体" w:hAnsi="宋体" w:cs="宋体"/>
          <w:b/>
        </w:rPr>
      </w:pPr>
      <w:r>
        <w:rPr>
          <w:rFonts w:hint="eastAsia" w:ascii="宋体" w:hAnsi="宋体" w:cs="宋体"/>
          <w:b/>
        </w:rPr>
        <w:t>第十三条　通知与送达</w:t>
      </w:r>
    </w:p>
    <w:p w14:paraId="26E9D652">
      <w:pPr>
        <w:spacing w:line="360" w:lineRule="auto"/>
        <w:ind w:firstLine="480" w:firstLineChars="200"/>
      </w:pPr>
      <w:r>
        <w:rPr>
          <w:rFonts w:hint="eastAsia" w:ascii="宋体" w:hAnsi="宋体" w:cs="宋体"/>
        </w:rPr>
        <w:t>本合同各方在本合同中载明的地址、电话和联系人为各方的通信地址及联系电话、联系人，任何一方变更的，应在变更之日起3个工作日内以书面形式通知其他方，否则变更方应承担通知无法送达的责任。一方按照上述地址寄送的通知与书面材料，如因地址不正确或者对方拒收而被退回的，则退回之日视为送达之日。上述通信地址及联系电话、联系人同时作为法律文书的送达地址。</w:t>
      </w:r>
    </w:p>
    <w:p w14:paraId="23BF97BC">
      <w:pPr>
        <w:spacing w:line="360" w:lineRule="auto"/>
        <w:ind w:firstLine="482" w:firstLineChars="200"/>
        <w:rPr>
          <w:rFonts w:ascii="宋体" w:hAnsi="宋体" w:cs="宋体"/>
          <w:b/>
        </w:rPr>
      </w:pPr>
      <w:r>
        <w:rPr>
          <w:rFonts w:hint="eastAsia" w:ascii="宋体" w:hAnsi="宋体" w:cs="宋体"/>
          <w:b/>
        </w:rPr>
        <w:t>第十四条 签订本合同依据</w:t>
      </w:r>
    </w:p>
    <w:p w14:paraId="6A12697E">
      <w:pPr>
        <w:spacing w:line="360" w:lineRule="auto"/>
        <w:ind w:firstLine="480" w:firstLineChars="200"/>
        <w:rPr>
          <w:rFonts w:ascii="宋体" w:hAnsi="宋体" w:cs="宋体"/>
        </w:rPr>
      </w:pPr>
      <w:r>
        <w:rPr>
          <w:rFonts w:hint="eastAsia" w:ascii="宋体" w:hAnsi="宋体" w:cs="宋体"/>
        </w:rPr>
        <w:t>1、成交</w:t>
      </w:r>
      <w:r>
        <w:rPr>
          <w:rFonts w:hint="eastAsia" w:ascii="宋体" w:hAnsi="宋体"/>
        </w:rPr>
        <w:t>通知书</w:t>
      </w:r>
      <w:r>
        <w:rPr>
          <w:rFonts w:hint="eastAsia" w:ascii="宋体" w:hAnsi="宋体" w:cs="宋体"/>
        </w:rPr>
        <w:t>；</w:t>
      </w:r>
    </w:p>
    <w:p w14:paraId="23B1B291">
      <w:pPr>
        <w:spacing w:line="360" w:lineRule="auto"/>
        <w:ind w:firstLine="480" w:firstLineChars="200"/>
        <w:rPr>
          <w:rFonts w:ascii="宋体" w:hAnsi="宋体" w:cs="宋体"/>
        </w:rPr>
      </w:pPr>
      <w:r>
        <w:rPr>
          <w:rFonts w:hint="eastAsia" w:ascii="宋体" w:hAnsi="宋体" w:cs="宋体"/>
        </w:rPr>
        <w:t>2、报价表；</w:t>
      </w:r>
    </w:p>
    <w:p w14:paraId="3E6E48E4">
      <w:pPr>
        <w:spacing w:line="360" w:lineRule="auto"/>
        <w:ind w:firstLine="480" w:firstLineChars="200"/>
        <w:rPr>
          <w:rFonts w:ascii="宋体" w:hAnsi="宋体" w:cs="宋体"/>
        </w:rPr>
      </w:pPr>
      <w:r>
        <w:rPr>
          <w:rFonts w:hint="eastAsia" w:ascii="宋体" w:hAnsi="宋体" w:cs="宋体"/>
        </w:rPr>
        <w:t>3、商务条款偏离表和技术需求偏离表；</w:t>
      </w:r>
    </w:p>
    <w:p w14:paraId="066935A5">
      <w:pPr>
        <w:spacing w:line="360" w:lineRule="auto"/>
        <w:ind w:firstLine="480" w:firstLineChars="200"/>
        <w:rPr>
          <w:rFonts w:ascii="宋体" w:hAnsi="宋体" w:cs="宋体"/>
        </w:rPr>
      </w:pPr>
      <w:r>
        <w:rPr>
          <w:rFonts w:hint="eastAsia" w:ascii="宋体" w:hAnsi="宋体" w:cs="宋体"/>
        </w:rPr>
        <w:t>4、服务方案；</w:t>
      </w:r>
    </w:p>
    <w:p w14:paraId="7ED0F693">
      <w:pPr>
        <w:spacing w:line="360" w:lineRule="auto"/>
        <w:ind w:firstLine="480" w:firstLineChars="200"/>
        <w:rPr>
          <w:rFonts w:ascii="宋体" w:hAnsi="宋体" w:cs="宋体"/>
        </w:rPr>
      </w:pPr>
      <w:r>
        <w:rPr>
          <w:rFonts w:hint="eastAsia" w:ascii="宋体" w:hAnsi="宋体" w:cs="宋体"/>
        </w:rPr>
        <w:t>5、投标（响应）文件中的其他相关文件；</w:t>
      </w:r>
    </w:p>
    <w:p w14:paraId="08FC212C">
      <w:pPr>
        <w:spacing w:line="360" w:lineRule="auto"/>
        <w:ind w:firstLine="480" w:firstLineChars="200"/>
        <w:rPr>
          <w:rFonts w:ascii="宋体" w:hAnsi="宋体" w:cs="宋体"/>
        </w:rPr>
      </w:pPr>
      <w:r>
        <w:rPr>
          <w:rFonts w:hint="eastAsia" w:ascii="宋体" w:hAnsi="宋体" w:cs="宋体"/>
        </w:rPr>
        <w:t>6、上述合同文件互相补充和解释。如果合同文件之间存在矛盾或者不一致之处，以上述文件的排列顺序在先者为准。</w:t>
      </w:r>
    </w:p>
    <w:p w14:paraId="246304A5">
      <w:pPr>
        <w:spacing w:line="360" w:lineRule="auto"/>
        <w:ind w:firstLine="482" w:firstLineChars="200"/>
        <w:rPr>
          <w:rFonts w:ascii="宋体" w:hAnsi="宋体" w:cs="宋体"/>
        </w:rPr>
      </w:pPr>
      <w:r>
        <w:rPr>
          <w:rFonts w:hint="eastAsia" w:ascii="宋体" w:hAnsi="宋体" w:cs="宋体"/>
          <w:b/>
        </w:rPr>
        <w:t>第十五条　</w:t>
      </w:r>
      <w:r>
        <w:rPr>
          <w:rFonts w:hint="eastAsia" w:ascii="宋体" w:hAnsi="宋体" w:cs="宋体"/>
        </w:rPr>
        <w:t>本合同一式七份，具有同等法律效力，采购代理机构一份，甲方四份，乙方二份。</w:t>
      </w:r>
    </w:p>
    <w:tbl>
      <w:tblPr>
        <w:tblStyle w:val="17"/>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4578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6B435C8C">
            <w:pPr>
              <w:spacing w:line="360" w:lineRule="auto"/>
              <w:rPr>
                <w:rFonts w:ascii="宋体" w:hAnsi="宋体" w:cs="宋体"/>
              </w:rPr>
            </w:pPr>
            <w:r>
              <w:rPr>
                <w:rFonts w:hint="eastAsia" w:ascii="宋体" w:hAnsi="宋体" w:cs="宋体"/>
              </w:rPr>
              <w:t>甲方：（章）</w:t>
            </w:r>
          </w:p>
          <w:p w14:paraId="332E3563">
            <w:pPr>
              <w:spacing w:line="360" w:lineRule="auto"/>
              <w:rPr>
                <w:rFonts w:ascii="宋体" w:hAnsi="宋体" w:cs="宋体"/>
              </w:rPr>
            </w:pPr>
          </w:p>
          <w:p w14:paraId="4C576A18">
            <w:pPr>
              <w:spacing w:line="360" w:lineRule="auto"/>
              <w:rPr>
                <w:rFonts w:ascii="宋体" w:hAnsi="宋体" w:cs="宋体"/>
              </w:rPr>
            </w:pPr>
          </w:p>
          <w:p w14:paraId="7B210C6E">
            <w:pPr>
              <w:spacing w:line="360" w:lineRule="auto"/>
              <w:ind w:firstLine="1080" w:firstLineChars="450"/>
              <w:jc w:val="right"/>
              <w:rPr>
                <w:rFonts w:ascii="宋体" w:hAnsi="宋体" w:cs="宋体"/>
              </w:rPr>
            </w:pPr>
          </w:p>
          <w:p w14:paraId="5E492E01">
            <w:pPr>
              <w:spacing w:line="360" w:lineRule="auto"/>
              <w:ind w:firstLine="1080" w:firstLineChars="450"/>
              <w:jc w:val="right"/>
              <w:rPr>
                <w:rFonts w:ascii="宋体" w:hAnsi="宋体" w:cs="宋体"/>
              </w:rPr>
            </w:pPr>
            <w:r>
              <w:rPr>
                <w:rFonts w:hint="eastAsia" w:ascii="宋体" w:hAnsi="宋体" w:cs="宋体"/>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176DFCEB">
            <w:pPr>
              <w:spacing w:line="360" w:lineRule="auto"/>
              <w:rPr>
                <w:rFonts w:ascii="宋体" w:hAnsi="宋体" w:cs="宋体"/>
              </w:rPr>
            </w:pPr>
            <w:r>
              <w:rPr>
                <w:rFonts w:hint="eastAsia" w:ascii="宋体" w:hAnsi="宋体" w:cs="宋体"/>
              </w:rPr>
              <w:t xml:space="preserve">乙方：（章）       </w:t>
            </w:r>
          </w:p>
          <w:p w14:paraId="57F58D3A">
            <w:pPr>
              <w:spacing w:line="360" w:lineRule="auto"/>
              <w:rPr>
                <w:rFonts w:ascii="宋体" w:hAnsi="宋体" w:cs="宋体"/>
              </w:rPr>
            </w:pPr>
          </w:p>
          <w:p w14:paraId="05AC81C5">
            <w:pPr>
              <w:spacing w:line="360" w:lineRule="auto"/>
              <w:rPr>
                <w:rFonts w:ascii="宋体" w:hAnsi="宋体" w:cs="宋体"/>
              </w:rPr>
            </w:pPr>
            <w:r>
              <w:rPr>
                <w:rFonts w:hint="eastAsia" w:ascii="宋体" w:hAnsi="宋体" w:cs="宋体"/>
              </w:rPr>
              <w:t xml:space="preserve">       </w:t>
            </w:r>
          </w:p>
          <w:p w14:paraId="2666F948">
            <w:pPr>
              <w:spacing w:line="360" w:lineRule="auto"/>
              <w:jc w:val="right"/>
              <w:rPr>
                <w:rFonts w:ascii="宋体" w:hAnsi="宋体" w:cs="宋体"/>
              </w:rPr>
            </w:pPr>
          </w:p>
          <w:p w14:paraId="2F49E684">
            <w:pPr>
              <w:spacing w:line="360" w:lineRule="auto"/>
              <w:jc w:val="right"/>
              <w:rPr>
                <w:rFonts w:ascii="宋体" w:hAnsi="宋体" w:cs="宋体"/>
              </w:rPr>
            </w:pPr>
            <w:r>
              <w:rPr>
                <w:rFonts w:hint="eastAsia" w:ascii="宋体" w:hAnsi="宋体" w:cs="宋体"/>
              </w:rPr>
              <w:t xml:space="preserve"> 年   月   日</w:t>
            </w:r>
          </w:p>
        </w:tc>
      </w:tr>
      <w:tr w14:paraId="709F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B18E23C">
            <w:pPr>
              <w:spacing w:line="360" w:lineRule="auto"/>
              <w:rPr>
                <w:rFonts w:ascii="宋体" w:hAnsi="宋体" w:cs="宋体"/>
              </w:rPr>
            </w:pPr>
            <w:r>
              <w:rPr>
                <w:rFonts w:hint="eastAsia" w:ascii="宋体" w:hAnsi="宋体" w:cs="宋体"/>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4311DBC8">
            <w:pPr>
              <w:spacing w:line="360" w:lineRule="auto"/>
              <w:rPr>
                <w:rFonts w:ascii="宋体" w:hAnsi="宋体" w:cs="宋体"/>
              </w:rPr>
            </w:pPr>
            <w:r>
              <w:rPr>
                <w:rFonts w:hint="eastAsia" w:ascii="宋体" w:hAnsi="宋体" w:cs="宋体"/>
              </w:rPr>
              <w:t xml:space="preserve">单位地址： </w:t>
            </w:r>
          </w:p>
        </w:tc>
      </w:tr>
      <w:tr w14:paraId="3F3A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29E364C">
            <w:pPr>
              <w:spacing w:line="360" w:lineRule="auto"/>
              <w:rPr>
                <w:rFonts w:ascii="宋体" w:hAnsi="宋体" w:cs="宋体"/>
              </w:rPr>
            </w:pPr>
            <w:r>
              <w:rPr>
                <w:rFonts w:hint="eastAsia" w:ascii="宋体" w:hAnsi="宋体" w:cs="宋体"/>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7D20D636">
            <w:pPr>
              <w:spacing w:line="360" w:lineRule="auto"/>
              <w:rPr>
                <w:rFonts w:ascii="宋体" w:hAnsi="宋体" w:cs="宋体"/>
              </w:rPr>
            </w:pPr>
            <w:r>
              <w:rPr>
                <w:rFonts w:hint="eastAsia" w:ascii="宋体" w:hAnsi="宋体" w:cs="宋体"/>
              </w:rPr>
              <w:t>法定代表人：</w:t>
            </w:r>
          </w:p>
        </w:tc>
      </w:tr>
      <w:tr w14:paraId="66E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087D4CF">
            <w:pPr>
              <w:spacing w:line="360" w:lineRule="auto"/>
              <w:rPr>
                <w:rFonts w:ascii="宋体" w:hAnsi="宋体" w:cs="宋体"/>
              </w:rPr>
            </w:pPr>
            <w:r>
              <w:rPr>
                <w:rFonts w:hint="eastAsia" w:ascii="宋体" w:hAnsi="宋体" w:cs="宋体"/>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0246225A">
            <w:pPr>
              <w:spacing w:line="360" w:lineRule="auto"/>
              <w:rPr>
                <w:rFonts w:ascii="宋体" w:hAnsi="宋体" w:cs="宋体"/>
              </w:rPr>
            </w:pPr>
            <w:r>
              <w:rPr>
                <w:rFonts w:hint="eastAsia" w:ascii="宋体" w:hAnsi="宋体" w:cs="宋体"/>
              </w:rPr>
              <w:t>委托代理人：</w:t>
            </w:r>
          </w:p>
        </w:tc>
      </w:tr>
      <w:tr w14:paraId="75DA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0488CEA">
            <w:pPr>
              <w:spacing w:line="360" w:lineRule="auto"/>
              <w:rPr>
                <w:rFonts w:ascii="宋体" w:hAnsi="宋体" w:cs="宋体"/>
              </w:rPr>
            </w:pPr>
            <w:r>
              <w:rPr>
                <w:rFonts w:hint="eastAsia" w:ascii="宋体" w:hAnsi="宋体" w:cs="宋体"/>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35976B4E">
            <w:pPr>
              <w:spacing w:line="360" w:lineRule="auto"/>
              <w:rPr>
                <w:rFonts w:ascii="宋体" w:hAnsi="宋体" w:cs="宋体"/>
              </w:rPr>
            </w:pPr>
            <w:r>
              <w:rPr>
                <w:rFonts w:hint="eastAsia" w:ascii="宋体" w:hAnsi="宋体" w:cs="宋体"/>
              </w:rPr>
              <w:t>电话：</w:t>
            </w:r>
          </w:p>
        </w:tc>
      </w:tr>
      <w:tr w14:paraId="2063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8445FA3">
            <w:pPr>
              <w:spacing w:line="360" w:lineRule="auto"/>
              <w:rPr>
                <w:rFonts w:ascii="宋体" w:hAnsi="宋体" w:cs="宋体"/>
              </w:rPr>
            </w:pPr>
            <w:r>
              <w:rPr>
                <w:rFonts w:hint="eastAsia" w:ascii="宋体" w:hAnsi="宋体" w:cs="宋体"/>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2DE7040B">
            <w:pPr>
              <w:spacing w:line="360" w:lineRule="auto"/>
              <w:rPr>
                <w:rFonts w:ascii="宋体" w:hAnsi="宋体" w:cs="宋体"/>
              </w:rPr>
            </w:pPr>
            <w:r>
              <w:rPr>
                <w:rFonts w:hint="eastAsia" w:ascii="宋体" w:hAnsi="宋体" w:cs="宋体"/>
              </w:rPr>
              <w:t xml:space="preserve">开户银行： </w:t>
            </w:r>
          </w:p>
        </w:tc>
      </w:tr>
      <w:tr w14:paraId="3637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1D0FDAC">
            <w:pPr>
              <w:spacing w:line="360" w:lineRule="auto"/>
              <w:rPr>
                <w:rFonts w:ascii="宋体" w:hAnsi="宋体" w:cs="宋体"/>
              </w:rPr>
            </w:pPr>
            <w:r>
              <w:rPr>
                <w:rFonts w:hint="eastAsia" w:ascii="宋体" w:hAnsi="宋体" w:cs="宋体"/>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4D7CC0D6">
            <w:pPr>
              <w:spacing w:line="360" w:lineRule="auto"/>
              <w:rPr>
                <w:rFonts w:ascii="宋体" w:hAnsi="宋体" w:cs="宋体"/>
              </w:rPr>
            </w:pPr>
            <w:r>
              <w:rPr>
                <w:rFonts w:hint="eastAsia" w:ascii="宋体" w:hAnsi="宋体" w:cs="宋体"/>
              </w:rPr>
              <w:t>账号：</w:t>
            </w:r>
          </w:p>
        </w:tc>
      </w:tr>
      <w:tr w14:paraId="4C2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57DCD71">
            <w:pPr>
              <w:spacing w:line="360" w:lineRule="auto"/>
              <w:rPr>
                <w:rFonts w:ascii="宋体" w:hAnsi="宋体" w:cs="宋体"/>
              </w:rPr>
            </w:pPr>
            <w:r>
              <w:rPr>
                <w:rFonts w:hint="eastAsia" w:ascii="宋体" w:hAnsi="宋体" w:cs="宋体"/>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61F4F15C">
            <w:pPr>
              <w:spacing w:line="360" w:lineRule="auto"/>
              <w:rPr>
                <w:rFonts w:ascii="宋体" w:hAnsi="宋体" w:cs="宋体"/>
              </w:rPr>
            </w:pPr>
            <w:r>
              <w:rPr>
                <w:rFonts w:hint="eastAsia" w:ascii="宋体" w:hAnsi="宋体" w:cs="宋体"/>
              </w:rPr>
              <w:t>邮政编码：</w:t>
            </w:r>
          </w:p>
        </w:tc>
      </w:tr>
    </w:tbl>
    <w:p w14:paraId="466FF8EE">
      <w:pPr>
        <w:spacing w:line="360" w:lineRule="auto"/>
      </w:pPr>
    </w:p>
    <w:p w14:paraId="43B03C5F">
      <w:pPr>
        <w:spacing w:line="520" w:lineRule="exact"/>
        <w:ind w:firstLine="480" w:firstLineChars="200"/>
        <w:jc w:val="both"/>
        <w:rPr>
          <w:rFonts w:ascii="宋体" w:hAnsi="宋体" w:cs="宋体"/>
          <w:color w:val="auto"/>
          <w:szCs w:val="24"/>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B557">
    <w:pPr>
      <w:pStyle w:val="2"/>
      <w:ind w:firstLine="480"/>
      <w:rPr>
        <w:sz w:val="24"/>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85B">
    <w:pPr>
      <w:pStyle w:val="2"/>
      <w:rPr>
        <w:sz w:val="24"/>
        <w:szCs w:val="28"/>
      </w:rPr>
    </w:pPr>
    <w:r>
      <w:rPr>
        <w:rFonts w:hint="eastAsia"/>
        <w:sz w:val="24"/>
        <w:szCs w:val="28"/>
      </w:rPr>
      <w:t>—</w:t>
    </w: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10</w:t>
    </w:r>
    <w:r>
      <w:rPr>
        <w:sz w:val="24"/>
        <w:szCs w:val="28"/>
      </w:rPr>
      <w:fldChar w:fldCharType="end"/>
    </w:r>
    <w:r>
      <w:rPr>
        <w:rFonts w:hint="eastAsia"/>
        <w:sz w:val="24"/>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73D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774B">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9C9">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4F432"/>
    <w:multiLevelType w:val="singleLevel"/>
    <w:tmpl w:val="3F64F432"/>
    <w:lvl w:ilvl="0" w:tentative="0">
      <w:start w:val="1"/>
      <w:numFmt w:val="chineseCounting"/>
      <w:suff w:val="nothing"/>
      <w:lvlText w:val="%1、"/>
      <w:lvlJc w:val="left"/>
      <w:rPr>
        <w:rFonts w:hint="eastAsia"/>
      </w:rPr>
    </w:lvl>
  </w:abstractNum>
  <w:abstractNum w:abstractNumId="1">
    <w:nsid w:val="5127590E"/>
    <w:multiLevelType w:val="singleLevel"/>
    <w:tmpl w:val="5127590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jc3Y2YwZjIzNjU0NGNmZDhiMmM2YzA4NGE5MjEifQ=="/>
  </w:docVars>
  <w:rsids>
    <w:rsidRoot w:val="009A1D84"/>
    <w:rsid w:val="000632C7"/>
    <w:rsid w:val="001B61FE"/>
    <w:rsid w:val="00296E1B"/>
    <w:rsid w:val="002C497A"/>
    <w:rsid w:val="00634229"/>
    <w:rsid w:val="0069166C"/>
    <w:rsid w:val="00703594"/>
    <w:rsid w:val="007537BD"/>
    <w:rsid w:val="008F6A16"/>
    <w:rsid w:val="009A1D84"/>
    <w:rsid w:val="009C314F"/>
    <w:rsid w:val="00AF2D5D"/>
    <w:rsid w:val="01C25065"/>
    <w:rsid w:val="01ED6A83"/>
    <w:rsid w:val="02B240F8"/>
    <w:rsid w:val="080C30FA"/>
    <w:rsid w:val="081B2B32"/>
    <w:rsid w:val="084131A2"/>
    <w:rsid w:val="0AA52950"/>
    <w:rsid w:val="0AD33307"/>
    <w:rsid w:val="0B5F1461"/>
    <w:rsid w:val="0C3A179C"/>
    <w:rsid w:val="0C5C3FFF"/>
    <w:rsid w:val="0C640D76"/>
    <w:rsid w:val="0CB03EC9"/>
    <w:rsid w:val="0CDB6F07"/>
    <w:rsid w:val="12584CB9"/>
    <w:rsid w:val="137B32C6"/>
    <w:rsid w:val="14356AAB"/>
    <w:rsid w:val="159F4E8D"/>
    <w:rsid w:val="165275C4"/>
    <w:rsid w:val="180833CC"/>
    <w:rsid w:val="1A4A739A"/>
    <w:rsid w:val="1C105709"/>
    <w:rsid w:val="1CA83733"/>
    <w:rsid w:val="1D8965DF"/>
    <w:rsid w:val="1EFF1A3F"/>
    <w:rsid w:val="1F6410B2"/>
    <w:rsid w:val="1FEB5F80"/>
    <w:rsid w:val="208657A5"/>
    <w:rsid w:val="20D37767"/>
    <w:rsid w:val="22166A7B"/>
    <w:rsid w:val="230A30AA"/>
    <w:rsid w:val="2383647E"/>
    <w:rsid w:val="23945FA1"/>
    <w:rsid w:val="26DB348E"/>
    <w:rsid w:val="26DC74C0"/>
    <w:rsid w:val="27FC457D"/>
    <w:rsid w:val="297E18EB"/>
    <w:rsid w:val="2B915045"/>
    <w:rsid w:val="2C524329"/>
    <w:rsid w:val="2DA03BFD"/>
    <w:rsid w:val="2F5A0B58"/>
    <w:rsid w:val="30282266"/>
    <w:rsid w:val="303269F5"/>
    <w:rsid w:val="30DC4843"/>
    <w:rsid w:val="318B634B"/>
    <w:rsid w:val="337E5C2D"/>
    <w:rsid w:val="348953EB"/>
    <w:rsid w:val="34F85D17"/>
    <w:rsid w:val="35700359"/>
    <w:rsid w:val="38AA300C"/>
    <w:rsid w:val="3AF410E4"/>
    <w:rsid w:val="3C055F1F"/>
    <w:rsid w:val="3D1B331C"/>
    <w:rsid w:val="3D8A5B15"/>
    <w:rsid w:val="3F184D91"/>
    <w:rsid w:val="3FE604E4"/>
    <w:rsid w:val="40976F94"/>
    <w:rsid w:val="40E4190F"/>
    <w:rsid w:val="4264474B"/>
    <w:rsid w:val="433F6EE1"/>
    <w:rsid w:val="443A04B0"/>
    <w:rsid w:val="447B4A86"/>
    <w:rsid w:val="44BE3175"/>
    <w:rsid w:val="45412397"/>
    <w:rsid w:val="456C67E4"/>
    <w:rsid w:val="46EF569F"/>
    <w:rsid w:val="48462F2E"/>
    <w:rsid w:val="4A6873F9"/>
    <w:rsid w:val="4AD00929"/>
    <w:rsid w:val="4AF75449"/>
    <w:rsid w:val="4CC307BC"/>
    <w:rsid w:val="4DCA7EE2"/>
    <w:rsid w:val="4F4F687F"/>
    <w:rsid w:val="51143E36"/>
    <w:rsid w:val="51AB552C"/>
    <w:rsid w:val="51B41622"/>
    <w:rsid w:val="526A2C4E"/>
    <w:rsid w:val="53552B55"/>
    <w:rsid w:val="55006289"/>
    <w:rsid w:val="551D5A65"/>
    <w:rsid w:val="587850EB"/>
    <w:rsid w:val="59305AC2"/>
    <w:rsid w:val="5B1E6CC5"/>
    <w:rsid w:val="5B326E69"/>
    <w:rsid w:val="5BE03293"/>
    <w:rsid w:val="5D3A4C25"/>
    <w:rsid w:val="5F6C1968"/>
    <w:rsid w:val="5FFEFFBF"/>
    <w:rsid w:val="60B63B00"/>
    <w:rsid w:val="60F23E5F"/>
    <w:rsid w:val="62AB48E3"/>
    <w:rsid w:val="6435296A"/>
    <w:rsid w:val="64B21544"/>
    <w:rsid w:val="6626777D"/>
    <w:rsid w:val="666D7522"/>
    <w:rsid w:val="66795D12"/>
    <w:rsid w:val="67387F90"/>
    <w:rsid w:val="67452B44"/>
    <w:rsid w:val="69BA5C11"/>
    <w:rsid w:val="69C97A5C"/>
    <w:rsid w:val="6AAD2EDA"/>
    <w:rsid w:val="6ABC5093"/>
    <w:rsid w:val="6B2F7D93"/>
    <w:rsid w:val="6CD27F47"/>
    <w:rsid w:val="6D500D6A"/>
    <w:rsid w:val="6E113780"/>
    <w:rsid w:val="6E5B2C4D"/>
    <w:rsid w:val="751A73BE"/>
    <w:rsid w:val="76172A46"/>
    <w:rsid w:val="761A73D1"/>
    <w:rsid w:val="767318FC"/>
    <w:rsid w:val="76B57238"/>
    <w:rsid w:val="76D27B8A"/>
    <w:rsid w:val="777D3BB6"/>
    <w:rsid w:val="78B65CA8"/>
    <w:rsid w:val="79A44345"/>
    <w:rsid w:val="7B2138CA"/>
    <w:rsid w:val="7B441319"/>
    <w:rsid w:val="7D1846E5"/>
    <w:rsid w:val="7E843AFA"/>
    <w:rsid w:val="7FB75E28"/>
    <w:rsid w:val="BE5F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snapToGrid w:val="0"/>
      <w:color w:val="000000"/>
      <w:sz w:val="24"/>
      <w:szCs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kern w:val="44"/>
      <w:sz w:val="44"/>
    </w:rPr>
  </w:style>
  <w:style w:type="paragraph" w:styleId="4">
    <w:name w:val="heading 2"/>
    <w:basedOn w:val="1"/>
    <w:next w:val="1"/>
    <w:link w:val="23"/>
    <w:semiHidden/>
    <w:unhideWhenUsed/>
    <w:qFormat/>
    <w:uiPriority w:val="0"/>
    <w:pPr>
      <w:keepNext/>
      <w:keepLines/>
      <w:spacing w:before="260" w:after="260" w:line="416" w:lineRule="auto"/>
      <w:jc w:val="center"/>
      <w:outlineLvl w:val="1"/>
    </w:pPr>
    <w:rPr>
      <w:rFonts w:ascii="等线 Light" w:hAnsi="等线 Light"/>
      <w:b/>
      <w:bCs/>
      <w:sz w:val="30"/>
      <w:szCs w:val="32"/>
    </w:rPr>
  </w:style>
  <w:style w:type="paragraph" w:styleId="5">
    <w:name w:val="heading 4"/>
    <w:basedOn w:val="1"/>
    <w:next w:val="1"/>
    <w:unhideWhenUsed/>
    <w:qFormat/>
    <w:uiPriority w:val="0"/>
    <w:pPr>
      <w:keepNext/>
      <w:keepLines/>
      <w:spacing w:before="280" w:after="290" w:line="372" w:lineRule="auto"/>
      <w:jc w:val="center"/>
      <w:outlineLvl w:val="3"/>
    </w:pPr>
    <w:rPr>
      <w:rFonts w:cs="Times New Roman"/>
      <w:b/>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6">
    <w:name w:val="annotation text"/>
    <w:basedOn w:val="1"/>
    <w:link w:val="31"/>
    <w:qFormat/>
    <w:uiPriority w:val="0"/>
  </w:style>
  <w:style w:type="paragraph" w:styleId="7">
    <w:name w:val="Body Text"/>
    <w:basedOn w:val="1"/>
    <w:next w:val="1"/>
    <w:unhideWhenUsed/>
    <w:qFormat/>
    <w:uiPriority w:val="0"/>
    <w:pPr>
      <w:spacing w:after="120"/>
    </w:pPr>
  </w:style>
  <w:style w:type="paragraph" w:styleId="8">
    <w:name w:val="toc 3"/>
    <w:basedOn w:val="1"/>
    <w:next w:val="1"/>
    <w:qFormat/>
    <w:uiPriority w:val="39"/>
    <w:pPr>
      <w:ind w:left="200" w:leftChars="200"/>
    </w:pPr>
    <w:rPr>
      <w:sz w:val="28"/>
    </w:rPr>
  </w:style>
  <w:style w:type="paragraph" w:styleId="9">
    <w:name w:val="Plain Text"/>
    <w:basedOn w:val="1"/>
    <w:next w:val="1"/>
    <w:qFormat/>
    <w:uiPriority w:val="0"/>
    <w:rPr>
      <w:rFonts w:ascii="宋体" w:hAnsi="Courier New"/>
      <w:szCs w:val="20"/>
    </w:rPr>
  </w:style>
  <w:style w:type="paragraph" w:styleId="10">
    <w:name w:val="Balloon Text"/>
    <w:basedOn w:val="1"/>
    <w:link w:val="30"/>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pPr>
      <w:tabs>
        <w:tab w:val="right" w:leader="dot" w:pos="8296"/>
        <w:tab w:val="right" w:leader="dot" w:pos="8398"/>
      </w:tabs>
      <w:spacing w:before="120" w:after="120" w:line="320" w:lineRule="exact"/>
      <w:ind w:firstLine="840" w:firstLineChars="400"/>
    </w:pPr>
    <w:rPr>
      <w:rFonts w:ascii="仿宋_GB2312" w:hAnsi="宋体" w:eastAsia="仿宋_GB2312" w:cs="Courier New"/>
      <w:bCs/>
      <w:caps/>
    </w:rPr>
  </w:style>
  <w:style w:type="paragraph" w:styleId="13">
    <w:name w:val="toc 2"/>
    <w:basedOn w:val="1"/>
    <w:next w:val="1"/>
    <w:qFormat/>
    <w:uiPriority w:val="39"/>
    <w:pPr>
      <w:tabs>
        <w:tab w:val="right" w:leader="dot" w:pos="8296"/>
      </w:tabs>
    </w:pPr>
    <w:rPr>
      <w:sz w:val="28"/>
    </w:rPr>
  </w:style>
  <w:style w:type="paragraph" w:styleId="14">
    <w:name w:val="Normal (Web)"/>
    <w:basedOn w:val="1"/>
    <w:qFormat/>
    <w:uiPriority w:val="0"/>
    <w:pPr>
      <w:spacing w:beforeAutospacing="1" w:afterAutospacing="1"/>
    </w:pPr>
    <w:rPr>
      <w:rFonts w:cs="Times New Roman"/>
    </w:rPr>
  </w:style>
  <w:style w:type="paragraph" w:styleId="15">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6"/>
    <w:next w:val="6"/>
    <w:link w:val="32"/>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basedOn w:val="19"/>
    <w:uiPriority w:val="0"/>
    <w:rPr>
      <w:sz w:val="21"/>
      <w:szCs w:val="21"/>
    </w:rPr>
  </w:style>
  <w:style w:type="paragraph" w:customStyle="1" w:styleId="22">
    <w:name w:val="Title1"/>
    <w:basedOn w:val="1"/>
    <w:next w:val="1"/>
    <w:qFormat/>
    <w:uiPriority w:val="99"/>
    <w:pPr>
      <w:jc w:val="center"/>
      <w:outlineLvl w:val="0"/>
    </w:pPr>
    <w:rPr>
      <w:rFonts w:ascii="Calibri Light" w:hAnsi="Calibri Light"/>
      <w:b/>
    </w:rPr>
  </w:style>
  <w:style w:type="character" w:customStyle="1" w:styleId="23">
    <w:name w:val="标题 2 字符"/>
    <w:link w:val="4"/>
    <w:qFormat/>
    <w:uiPriority w:val="99"/>
    <w:rPr>
      <w:rFonts w:ascii="等线 Light" w:hAnsi="等线 Light" w:eastAsia="宋体" w:cs="Times New Roman"/>
      <w:sz w:val="30"/>
    </w:rPr>
  </w:style>
  <w:style w:type="paragraph" w:customStyle="1" w:styleId="24">
    <w:name w:val="p0"/>
    <w:basedOn w:val="1"/>
    <w:qFormat/>
    <w:uiPriority w:val="0"/>
    <w:rPr>
      <w:rFonts w:eastAsia="Times New Roman" w:cs="宋体"/>
    </w:rPr>
  </w:style>
  <w:style w:type="paragraph" w:customStyle="1" w:styleId="25">
    <w:name w:val="Default"/>
    <w:next w:val="26"/>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7">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8">
    <w:name w:val="自定义正文"/>
    <w:basedOn w:val="1"/>
    <w:qFormat/>
    <w:uiPriority w:val="0"/>
    <w:pPr>
      <w:snapToGrid/>
      <w:contextualSpacing/>
    </w:pPr>
  </w:style>
  <w:style w:type="paragraph" w:customStyle="1" w:styleId="29">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character" w:customStyle="1" w:styleId="30">
    <w:name w:val="批注框文本 字符"/>
    <w:basedOn w:val="19"/>
    <w:link w:val="10"/>
    <w:qFormat/>
    <w:uiPriority w:val="0"/>
    <w:rPr>
      <w:rFonts w:ascii="Arial" w:hAnsi="Arial" w:cs="Arial"/>
      <w:snapToGrid w:val="0"/>
      <w:color w:val="000000"/>
      <w:sz w:val="18"/>
      <w:szCs w:val="18"/>
    </w:rPr>
  </w:style>
  <w:style w:type="character" w:customStyle="1" w:styleId="31">
    <w:name w:val="批注文字 字符"/>
    <w:basedOn w:val="19"/>
    <w:link w:val="6"/>
    <w:qFormat/>
    <w:uiPriority w:val="0"/>
    <w:rPr>
      <w:rFonts w:ascii="Arial" w:hAnsi="Arial" w:cs="Arial"/>
      <w:snapToGrid w:val="0"/>
      <w:color w:val="000000"/>
      <w:sz w:val="24"/>
      <w:szCs w:val="21"/>
    </w:rPr>
  </w:style>
  <w:style w:type="character" w:customStyle="1" w:styleId="32">
    <w:name w:val="批注主题 字符"/>
    <w:basedOn w:val="31"/>
    <w:link w:val="16"/>
    <w:qFormat/>
    <w:uiPriority w:val="0"/>
    <w:rPr>
      <w:rFonts w:ascii="Arial" w:hAnsi="Arial" w:cs="Arial"/>
      <w:b/>
      <w:bCs/>
      <w:snapToGrid w:val="0"/>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3873</Words>
  <Characters>4003</Characters>
  <Lines>98</Lines>
  <Paragraphs>27</Paragraphs>
  <TotalTime>39</TotalTime>
  <ScaleCrop>false</ScaleCrop>
  <LinksUpToDate>false</LinksUpToDate>
  <CharactersWithSpaces>4015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2023-02-20T17:34:00Z</dcterms:created>
  <dc:creator>GXTT</dc:creator>
  <cp:lastModifiedBy>李建波</cp:lastModifiedBy>
  <cp:lastPrinted>2024-10-15T01:11:00Z</cp:lastPrinted>
  <dcterms:modified xsi:type="dcterms:W3CDTF">2025-11-07T07:14:50Z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11BD7E56A9184AF5816EA499473DA4CE_13</vt:lpwstr>
  </property>
  <property fmtid="{D5CDD505-2E9C-101B-9397-08002B2CF9AE}" pid="4" name="KSOTemplateDocerSaveRecord">
    <vt:lpwstr>eyJoZGlkIjoiMTUyNDhmOWU4ZDRkMzNmMmFkYWMwMmFjZTJmOGM4YjgiLCJ1c2VySWQiOiI3MTkzODkwMDUifQ==</vt:lpwstr>
  </property>
</Properties>
</file>