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469C98">
      <w:pPr>
        <w:pStyle w:val="8"/>
        <w:widowControl/>
        <w:shd w:val="clear" w:color="auto" w:fill="FFFFFF"/>
        <w:spacing w:before="0" w:beforeAutospacing="0" w:after="0" w:afterAutospacing="0"/>
        <w:jc w:val="center"/>
        <w:rPr>
          <w:rFonts w:hint="eastAsia" w:ascii="宋体" w:hAnsi="宋体" w:cs="宋体" w:eastAsiaTheme="minorEastAsia"/>
          <w:b/>
          <w:bCs/>
          <w:sz w:val="32"/>
          <w:szCs w:val="32"/>
          <w:shd w:val="clear" w:color="auto" w:fill="FFFFFF"/>
          <w:lang w:eastAsia="zh-CN"/>
        </w:rPr>
      </w:pPr>
      <w:r>
        <w:rPr>
          <w:rFonts w:hint="eastAsia" w:ascii="宋体" w:hAnsi="宋体" w:cs="宋体"/>
          <w:b/>
          <w:bCs/>
          <w:sz w:val="32"/>
          <w:szCs w:val="32"/>
          <w:shd w:val="clear" w:color="auto" w:fill="FFFFFF"/>
        </w:rPr>
        <w:t>广西艺术学院老年大学教学设备采购</w:t>
      </w:r>
      <w:r>
        <w:rPr>
          <w:rFonts w:hint="eastAsia" w:ascii="宋体" w:hAnsi="宋体" w:cs="宋体"/>
          <w:b/>
          <w:bCs/>
          <w:sz w:val="32"/>
          <w:szCs w:val="32"/>
          <w:shd w:val="clear" w:color="auto" w:fill="FFFFFF"/>
          <w:lang w:eastAsia="zh-CN"/>
        </w:rPr>
        <w:t>（</w:t>
      </w:r>
      <w:r>
        <w:rPr>
          <w:rFonts w:hint="eastAsia" w:ascii="宋体" w:hAnsi="宋体" w:cs="宋体"/>
          <w:b/>
          <w:bCs/>
          <w:sz w:val="32"/>
          <w:szCs w:val="32"/>
          <w:shd w:val="clear" w:color="auto" w:fill="FFFFFF"/>
          <w:lang w:val="en-US" w:eastAsia="zh-CN"/>
        </w:rPr>
        <w:t>非集采）</w:t>
      </w:r>
      <w:r>
        <w:rPr>
          <w:rFonts w:hint="eastAsia" w:ascii="宋体" w:hAnsi="宋体" w:cs="宋体"/>
          <w:b/>
          <w:bCs/>
          <w:sz w:val="32"/>
          <w:szCs w:val="32"/>
          <w:shd w:val="clear" w:color="auto" w:fill="FFFFFF"/>
        </w:rPr>
        <w:t>项目采购</w:t>
      </w:r>
      <w:r>
        <w:rPr>
          <w:rFonts w:hint="eastAsia" w:ascii="宋体" w:hAnsi="宋体" w:cs="宋体"/>
          <w:b/>
          <w:bCs/>
          <w:sz w:val="32"/>
          <w:szCs w:val="32"/>
          <w:shd w:val="clear" w:color="auto" w:fill="FFFFFF"/>
          <w:lang w:val="en-US" w:eastAsia="zh-CN"/>
        </w:rPr>
        <w:t>公告</w:t>
      </w:r>
    </w:p>
    <w:p w14:paraId="74810447">
      <w:pPr>
        <w:pStyle w:val="8"/>
        <w:widowControl/>
        <w:shd w:val="clear" w:color="auto" w:fill="FFFFFF"/>
        <w:spacing w:before="0" w:beforeAutospacing="0" w:after="0" w:afterAutospacing="0"/>
        <w:jc w:val="center"/>
        <w:rPr>
          <w:rFonts w:hint="eastAsia" w:ascii="宋体" w:hAnsi="宋体" w:cs="宋体"/>
          <w:b/>
          <w:bCs/>
          <w:sz w:val="32"/>
          <w:szCs w:val="32"/>
          <w:shd w:val="clear" w:color="auto" w:fill="FFFFFF"/>
        </w:rPr>
      </w:pPr>
    </w:p>
    <w:p w14:paraId="7E1E2AC1">
      <w:pPr>
        <w:pStyle w:val="8"/>
        <w:widowControl/>
        <w:numPr>
          <w:ilvl w:val="0"/>
          <w:numId w:val="1"/>
        </w:numPr>
        <w:shd w:val="clear" w:color="auto" w:fill="FFFFFF"/>
        <w:spacing w:before="0" w:beforeAutospacing="0" w:after="0" w:afterAutospacing="0"/>
        <w:ind w:firstLine="480"/>
        <w:rPr>
          <w:rStyle w:val="11"/>
          <w:rFonts w:ascii="宋体" w:hAnsi="宋体" w:cs="宋体"/>
          <w:sz w:val="28"/>
          <w:szCs w:val="28"/>
          <w:shd w:val="clear" w:color="auto" w:fill="FFFFFF"/>
        </w:rPr>
      </w:pPr>
      <w:bookmarkStart w:id="3" w:name="_GoBack"/>
      <w:r>
        <w:rPr>
          <w:rStyle w:val="11"/>
          <w:rFonts w:hint="eastAsia" w:ascii="宋体" w:hAnsi="宋体" w:cs="宋体"/>
          <w:sz w:val="28"/>
          <w:szCs w:val="28"/>
          <w:shd w:val="clear" w:color="auto" w:fill="FFFFFF"/>
        </w:rPr>
        <w:t>项目名称</w:t>
      </w:r>
      <w:r>
        <w:rPr>
          <w:rStyle w:val="11"/>
          <w:rFonts w:hint="eastAsia" w:ascii="宋体" w:hAnsi="宋体" w:cs="宋体"/>
          <w:b w:val="0"/>
          <w:bCs/>
          <w:sz w:val="28"/>
          <w:szCs w:val="28"/>
          <w:shd w:val="clear" w:color="auto" w:fill="FFFFFF"/>
        </w:rPr>
        <w:t>：广西艺术学院老年大学教学设备</w:t>
      </w:r>
      <w:r>
        <w:rPr>
          <w:rStyle w:val="11"/>
          <w:rFonts w:hint="eastAsia" w:ascii="宋体" w:hAnsi="宋体" w:eastAsia="宋体" w:cs="宋体"/>
          <w:b w:val="0"/>
          <w:bCs/>
          <w:sz w:val="28"/>
          <w:szCs w:val="28"/>
          <w:shd w:val="clear" w:color="auto" w:fill="FFFFFF"/>
          <w:lang w:eastAsia="zh-CN"/>
        </w:rPr>
        <w:t>（</w:t>
      </w:r>
      <w:r>
        <w:rPr>
          <w:rStyle w:val="11"/>
          <w:rFonts w:hint="eastAsia" w:ascii="宋体" w:hAnsi="宋体" w:eastAsia="宋体" w:cs="宋体"/>
          <w:b w:val="0"/>
          <w:bCs/>
          <w:sz w:val="28"/>
          <w:szCs w:val="28"/>
          <w:shd w:val="clear" w:color="auto" w:fill="FFFFFF"/>
          <w:lang w:val="en-US" w:eastAsia="zh-CN"/>
        </w:rPr>
        <w:t>非集采）</w:t>
      </w:r>
      <w:r>
        <w:rPr>
          <w:rStyle w:val="11"/>
          <w:rFonts w:hint="eastAsia" w:ascii="宋体" w:hAnsi="宋体" w:eastAsia="宋体" w:cs="宋体"/>
          <w:b w:val="0"/>
          <w:bCs/>
          <w:sz w:val="28"/>
          <w:szCs w:val="28"/>
          <w:shd w:val="clear" w:color="auto" w:fill="FFFFFF"/>
        </w:rPr>
        <w:t>采</w:t>
      </w:r>
      <w:r>
        <w:rPr>
          <w:rFonts w:hint="eastAsia" w:ascii="宋体" w:hAnsi="宋体" w:cs="宋体"/>
          <w:sz w:val="28"/>
          <w:szCs w:val="28"/>
          <w:shd w:val="clear" w:color="auto" w:fill="FFFFFF"/>
        </w:rPr>
        <w:t>购项目</w:t>
      </w:r>
    </w:p>
    <w:p w14:paraId="37C4003E">
      <w:pPr>
        <w:pStyle w:val="8"/>
        <w:widowControl/>
        <w:numPr>
          <w:ilvl w:val="0"/>
          <w:numId w:val="1"/>
        </w:numPr>
        <w:shd w:val="clear" w:color="auto" w:fill="FFFFFF"/>
        <w:spacing w:before="0" w:beforeAutospacing="0" w:after="0" w:afterAutospacing="0"/>
        <w:ind w:firstLine="480"/>
        <w:rPr>
          <w:rStyle w:val="11"/>
          <w:rFonts w:ascii="宋体" w:hAnsi="宋体" w:cs="宋体"/>
          <w:sz w:val="28"/>
          <w:szCs w:val="28"/>
          <w:shd w:val="clear" w:color="auto" w:fill="FFFFFF"/>
        </w:rPr>
      </w:pPr>
      <w:r>
        <w:rPr>
          <w:rStyle w:val="11"/>
          <w:rFonts w:hint="eastAsia" w:ascii="宋体" w:hAnsi="宋体" w:cs="宋体"/>
          <w:sz w:val="28"/>
          <w:szCs w:val="28"/>
          <w:shd w:val="clear" w:color="auto" w:fill="FFFFFF"/>
        </w:rPr>
        <w:t xml:space="preserve">采购需求内容         </w:t>
      </w:r>
    </w:p>
    <w:p w14:paraId="2094EB3B">
      <w:pPr>
        <w:pStyle w:val="8"/>
        <w:widowControl/>
        <w:shd w:val="clear" w:color="auto" w:fill="FFFFFF"/>
        <w:spacing w:before="0" w:beforeAutospacing="0" w:after="0" w:afterAutospacing="0"/>
        <w:ind w:left="480"/>
        <w:rPr>
          <w:rStyle w:val="11"/>
          <w:rFonts w:ascii="宋体" w:hAnsi="宋体" w:cs="宋体"/>
          <w:sz w:val="28"/>
          <w:szCs w:val="28"/>
          <w:shd w:val="clear" w:color="auto" w:fill="FFFFFF"/>
        </w:rPr>
      </w:pPr>
      <w:r>
        <w:rPr>
          <w:rStyle w:val="11"/>
          <w:rFonts w:hint="eastAsia" w:ascii="宋体" w:hAnsi="宋体" w:cs="宋体"/>
          <w:sz w:val="28"/>
          <w:szCs w:val="28"/>
          <w:shd w:val="clear" w:color="auto" w:fill="FFFFFF"/>
        </w:rPr>
        <w:t>总采购预算为：</w:t>
      </w:r>
      <w:r>
        <w:rPr>
          <w:rStyle w:val="11"/>
          <w:rFonts w:hint="eastAsia" w:ascii="宋体" w:hAnsi="宋体" w:cs="宋体"/>
          <w:color w:val="auto"/>
          <w:sz w:val="28"/>
          <w:szCs w:val="28"/>
          <w:shd w:val="clear" w:color="auto" w:fill="FFFFFF"/>
          <w:lang w:val="en-US" w:eastAsia="zh-CN"/>
        </w:rPr>
        <w:t>81972</w:t>
      </w:r>
      <w:r>
        <w:rPr>
          <w:rStyle w:val="11"/>
          <w:rFonts w:hint="eastAsia" w:ascii="宋体" w:hAnsi="宋体" w:cs="宋体"/>
          <w:color w:val="auto"/>
          <w:sz w:val="28"/>
          <w:szCs w:val="28"/>
          <w:shd w:val="clear" w:color="auto" w:fill="FFFFFF"/>
        </w:rPr>
        <w:t>元</w:t>
      </w:r>
      <w:r>
        <w:rPr>
          <w:rStyle w:val="11"/>
          <w:rFonts w:hint="eastAsia" w:ascii="宋体" w:hAnsi="宋体" w:cs="宋体"/>
          <w:sz w:val="28"/>
          <w:szCs w:val="28"/>
          <w:shd w:val="clear" w:color="auto" w:fill="FFFFFF"/>
        </w:rPr>
        <w:t>。</w:t>
      </w:r>
    </w:p>
    <w:p w14:paraId="305FB659">
      <w:pPr>
        <w:pStyle w:val="8"/>
        <w:widowControl/>
        <w:numPr>
          <w:ilvl w:val="0"/>
          <w:numId w:val="0"/>
        </w:numPr>
        <w:shd w:val="clear" w:color="auto" w:fill="FFFFFF"/>
        <w:spacing w:before="0" w:beforeAutospacing="0" w:after="0" w:afterAutospacing="0"/>
        <w:ind w:firstLine="560" w:firstLineChars="200"/>
        <w:rPr>
          <w:rStyle w:val="11"/>
          <w:rFonts w:hint="default" w:ascii="宋体" w:hAnsi="宋体" w:cs="宋体" w:eastAsiaTheme="minorEastAsia"/>
          <w:b w:val="0"/>
          <w:bCs/>
          <w:color w:val="auto"/>
          <w:sz w:val="28"/>
          <w:szCs w:val="28"/>
          <w:shd w:val="clear" w:color="auto" w:fill="FFFFFF"/>
          <w:lang w:val="en-US" w:eastAsia="zh-CN"/>
        </w:rPr>
      </w:pPr>
      <w:r>
        <w:rPr>
          <w:rStyle w:val="11"/>
          <w:rFonts w:hint="eastAsia" w:ascii="宋体" w:hAnsi="宋体" w:cs="宋体"/>
          <w:b w:val="0"/>
          <w:bCs/>
          <w:sz w:val="28"/>
          <w:szCs w:val="28"/>
          <w:shd w:val="clear" w:color="auto" w:fill="FFFFFF"/>
        </w:rPr>
        <w:t>具体需求详见附件1。本项目不允许负偏离。</w:t>
      </w:r>
      <w:r>
        <w:rPr>
          <w:rFonts w:hint="eastAsia" w:ascii="宋体" w:hAnsi="宋体" w:cs="宋体"/>
          <w:color w:val="auto"/>
          <w:sz w:val="28"/>
          <w:szCs w:val="28"/>
          <w:shd w:val="clear" w:color="auto" w:fill="FFFFFF"/>
        </w:rPr>
        <w:t>“实质性要求”是指</w:t>
      </w:r>
      <w:r>
        <w:rPr>
          <w:rFonts w:hint="eastAsia" w:ascii="宋体" w:hAnsi="宋体" w:cs="宋体"/>
          <w:color w:val="auto"/>
          <w:sz w:val="28"/>
          <w:szCs w:val="28"/>
          <w:shd w:val="clear" w:color="auto" w:fill="FFFFFF"/>
          <w:lang w:val="en-US" w:eastAsia="zh-CN"/>
        </w:rPr>
        <w:t>采购</w:t>
      </w:r>
      <w:r>
        <w:rPr>
          <w:rFonts w:hint="eastAsia" w:ascii="宋体" w:hAnsi="宋体" w:cs="宋体"/>
          <w:color w:val="auto"/>
          <w:sz w:val="28"/>
          <w:szCs w:val="28"/>
          <w:shd w:val="clear" w:color="auto" w:fill="FFFFFF"/>
        </w:rPr>
        <w:t>文件中已经指明不满足则投标无效的条款，或者不能负偏离的条款，或者采购需求中带“▲”的条款。</w:t>
      </w:r>
      <w:r>
        <w:rPr>
          <w:rFonts w:hint="eastAsia" w:ascii="宋体" w:hAnsi="宋体" w:cs="宋体"/>
          <w:color w:val="auto"/>
          <w:sz w:val="28"/>
          <w:szCs w:val="28"/>
          <w:shd w:val="clear" w:color="auto" w:fill="FFFFFF"/>
          <w:lang w:val="en-US" w:eastAsia="zh-CN"/>
        </w:rPr>
        <w:t>合同签订后20个日历日内完成全部货物安装及调试。</w:t>
      </w:r>
    </w:p>
    <w:p w14:paraId="6EC465DA">
      <w:pPr>
        <w:pStyle w:val="8"/>
        <w:widowControl/>
        <w:numPr>
          <w:ilvl w:val="0"/>
          <w:numId w:val="1"/>
        </w:numPr>
        <w:shd w:val="clear" w:color="auto" w:fill="FFFFFF"/>
        <w:spacing w:before="0" w:beforeAutospacing="0" w:after="0" w:afterAutospacing="0"/>
        <w:ind w:firstLine="480"/>
        <w:rPr>
          <w:rStyle w:val="11"/>
          <w:rFonts w:ascii="宋体" w:hAnsi="宋体" w:cs="宋体"/>
          <w:sz w:val="28"/>
          <w:szCs w:val="28"/>
          <w:shd w:val="clear" w:color="auto" w:fill="FFFFFF"/>
        </w:rPr>
      </w:pPr>
      <w:r>
        <w:rPr>
          <w:rStyle w:val="11"/>
          <w:rFonts w:hint="eastAsia" w:ascii="宋体" w:hAnsi="宋体" w:cs="宋体"/>
          <w:sz w:val="28"/>
          <w:szCs w:val="28"/>
          <w:shd w:val="clear" w:color="auto" w:fill="FFFFFF"/>
        </w:rPr>
        <w:t>投标人资格要求</w:t>
      </w:r>
    </w:p>
    <w:p w14:paraId="37A8F5D2">
      <w:pPr>
        <w:pStyle w:val="8"/>
        <w:widowControl/>
        <w:shd w:val="clear" w:color="auto" w:fill="FFFFFF"/>
        <w:spacing w:before="0" w:beforeAutospacing="0" w:after="0" w:afterAutospacing="0"/>
        <w:ind w:firstLine="480"/>
        <w:rPr>
          <w:sz w:val="28"/>
          <w:szCs w:val="28"/>
        </w:rPr>
      </w:pPr>
      <w:r>
        <w:rPr>
          <w:rFonts w:hint="eastAsia" w:ascii="宋体" w:hAnsi="宋体" w:cs="宋体"/>
          <w:sz w:val="28"/>
          <w:szCs w:val="28"/>
          <w:shd w:val="clear" w:color="auto" w:fill="FFFFFF"/>
        </w:rPr>
        <w:t>（一）必须是在中华人民共和国境内注册，具有独立法人，并持有工商行政管理部门核发的法人营业执照。</w:t>
      </w:r>
    </w:p>
    <w:p w14:paraId="1AF4A2E9">
      <w:pPr>
        <w:pStyle w:val="8"/>
        <w:widowControl/>
        <w:shd w:val="clear" w:color="auto" w:fill="FFFFFF"/>
        <w:spacing w:before="0" w:beforeAutospacing="0" w:after="0" w:afterAutospacing="0"/>
        <w:ind w:firstLine="480"/>
        <w:rPr>
          <w:rFonts w:ascii="宋体" w:hAnsi="宋体" w:cs="宋体"/>
          <w:sz w:val="28"/>
          <w:szCs w:val="28"/>
          <w:shd w:val="clear" w:color="auto" w:fill="FFFFFF"/>
        </w:rPr>
      </w:pPr>
      <w:r>
        <w:rPr>
          <w:rFonts w:hint="eastAsia" w:ascii="宋体" w:hAnsi="宋体" w:cs="宋体"/>
          <w:sz w:val="28"/>
          <w:szCs w:val="28"/>
          <w:shd w:val="clear" w:color="auto" w:fill="FFFFFF"/>
        </w:rPr>
        <w:t>（二）未被列入失信被执行人名单、重大税收违法案件当事人名单、政府采购严重违法失信行为记录名单，信用信息以最新的信用中国网站和中国政府采购网公布为准，请提供最新的</w:t>
      </w:r>
      <w:r>
        <w:rPr>
          <w:rFonts w:hint="eastAsia" w:ascii="宋体" w:hAnsi="宋体" w:cs="宋体"/>
          <w:sz w:val="28"/>
          <w:szCs w:val="28"/>
          <w:u w:val="single"/>
          <w:shd w:val="clear" w:color="auto" w:fill="FFFFFF"/>
        </w:rPr>
        <w:t>信用中国网站</w:t>
      </w:r>
      <w:r>
        <w:rPr>
          <w:rFonts w:hint="eastAsia" w:ascii="宋体" w:hAnsi="宋体" w:cs="宋体"/>
          <w:sz w:val="28"/>
          <w:szCs w:val="28"/>
          <w:shd w:val="clear" w:color="auto" w:fill="FFFFFF"/>
        </w:rPr>
        <w:t>和</w:t>
      </w:r>
      <w:r>
        <w:rPr>
          <w:rFonts w:hint="eastAsia" w:ascii="宋体" w:hAnsi="宋体" w:cs="宋体"/>
          <w:sz w:val="28"/>
          <w:szCs w:val="28"/>
          <w:u w:val="single"/>
          <w:shd w:val="clear" w:color="auto" w:fill="FFFFFF"/>
        </w:rPr>
        <w:t>中国政府采购网</w:t>
      </w:r>
      <w:r>
        <w:rPr>
          <w:rFonts w:hint="eastAsia" w:ascii="宋体" w:hAnsi="宋体" w:cs="宋体"/>
          <w:sz w:val="28"/>
          <w:szCs w:val="28"/>
          <w:shd w:val="clear" w:color="auto" w:fill="FFFFFF"/>
        </w:rPr>
        <w:t>的截图证明信息。</w:t>
      </w:r>
    </w:p>
    <w:p w14:paraId="789C7BF9">
      <w:pPr>
        <w:pStyle w:val="8"/>
        <w:widowControl/>
        <w:shd w:val="clear" w:color="auto" w:fill="FFFFFF"/>
        <w:spacing w:before="0" w:beforeAutospacing="0" w:after="0" w:afterAutospacing="0"/>
        <w:ind w:firstLine="480"/>
        <w:rPr>
          <w:rFonts w:hint="eastAsia" w:ascii="宋体" w:hAnsi="宋体" w:cs="宋体"/>
          <w:sz w:val="28"/>
          <w:szCs w:val="28"/>
          <w:shd w:val="clear" w:color="auto" w:fill="FFFFFF"/>
        </w:rPr>
      </w:pPr>
      <w:r>
        <w:rPr>
          <w:rFonts w:hint="eastAsia" w:ascii="宋体" w:hAnsi="宋体" w:cs="宋体"/>
          <w:b/>
          <w:bCs/>
          <w:sz w:val="28"/>
          <w:szCs w:val="28"/>
          <w:shd w:val="clear" w:color="auto" w:fill="FFFFFF"/>
        </w:rPr>
        <w:t>“信用中国”网站查询方法</w:t>
      </w:r>
      <w:r>
        <w:rPr>
          <w:rFonts w:hint="eastAsia" w:ascii="宋体" w:hAnsi="宋体" w:cs="宋体"/>
          <w:sz w:val="28"/>
          <w:szCs w:val="28"/>
          <w:shd w:val="clear" w:color="auto" w:fill="FFFFFF"/>
        </w:rPr>
        <w:t>：投标人在本项目投标截止时间前10日内,进入投标人基本信息页面，点击“下载信用报告”后点击“下载”。</w:t>
      </w:r>
    </w:p>
    <w:p w14:paraId="4FDDD27E">
      <w:pPr>
        <w:pStyle w:val="8"/>
        <w:widowControl/>
        <w:shd w:val="clear" w:color="auto" w:fill="FFFFFF"/>
        <w:spacing w:before="0" w:beforeAutospacing="0" w:after="0" w:afterAutospacing="0"/>
        <w:ind w:firstLine="480"/>
        <w:rPr>
          <w:rFonts w:hint="eastAsia" w:ascii="宋体" w:hAnsi="宋体" w:cs="宋体"/>
          <w:sz w:val="28"/>
          <w:szCs w:val="28"/>
          <w:shd w:val="clear" w:color="auto" w:fill="FFFFFF"/>
        </w:rPr>
      </w:pPr>
      <w:r>
        <w:rPr>
          <w:rFonts w:hint="eastAsia" w:ascii="宋体" w:hAnsi="宋体" w:cs="宋体"/>
          <w:b/>
          <w:bCs/>
          <w:sz w:val="28"/>
          <w:szCs w:val="28"/>
          <w:shd w:val="clear" w:color="auto" w:fill="FFFFFF"/>
        </w:rPr>
        <w:t>“中国政府采购网”的查询方法</w:t>
      </w:r>
      <w:r>
        <w:rPr>
          <w:rFonts w:hint="eastAsia" w:ascii="宋体" w:hAnsi="宋体" w:cs="宋体"/>
          <w:sz w:val="28"/>
          <w:szCs w:val="28"/>
          <w:shd w:val="clear" w:color="auto" w:fill="FFFFFF"/>
        </w:rPr>
        <w:t>：点击“政府采购严重违法失信行为记录名单”进行查询。页面中的处罚日期不设置起始时间，只能设置截止时间，截止时间为本项目投标截止时间前10日至投标截止时间中任意一天。</w:t>
      </w:r>
    </w:p>
    <w:p w14:paraId="4B47B2AC">
      <w:pPr>
        <w:pStyle w:val="8"/>
        <w:widowControl/>
        <w:shd w:val="clear" w:color="auto" w:fill="FFFFFF"/>
        <w:spacing w:before="0" w:beforeAutospacing="0" w:after="0" w:afterAutospacing="0"/>
        <w:ind w:firstLine="480"/>
        <w:rPr>
          <w:sz w:val="28"/>
          <w:szCs w:val="28"/>
        </w:rPr>
      </w:pPr>
      <w:r>
        <w:rPr>
          <w:rFonts w:hint="eastAsia" w:ascii="宋体" w:hAnsi="宋体" w:cs="宋体"/>
          <w:sz w:val="28"/>
          <w:szCs w:val="28"/>
          <w:shd w:val="clear" w:color="auto" w:fill="FFFFFF"/>
        </w:rPr>
        <w:t>采购人将对供应商信用记录进行甄别，对列入失信被执行人、重大税收违法案件当事人名单、政府采购严重违法失信行为记录名单及其他不符合《中华人民共和国政府采购法》第二十二条规定条件的供应商，将拒绝其参与采购活动。</w:t>
      </w:r>
    </w:p>
    <w:p w14:paraId="2C8798A6">
      <w:pPr>
        <w:pStyle w:val="8"/>
        <w:widowControl/>
        <w:shd w:val="clear" w:color="auto" w:fill="FFFFFF"/>
        <w:spacing w:before="0" w:beforeAutospacing="0" w:after="0" w:afterAutospacing="0"/>
        <w:ind w:firstLine="480"/>
        <w:rPr>
          <w:sz w:val="28"/>
          <w:szCs w:val="28"/>
        </w:rPr>
      </w:pPr>
      <w:r>
        <w:rPr>
          <w:rFonts w:hint="eastAsia" w:ascii="宋体" w:hAnsi="宋体" w:cs="宋体"/>
          <w:sz w:val="28"/>
          <w:szCs w:val="28"/>
          <w:shd w:val="clear" w:color="auto" w:fill="FFFFFF"/>
        </w:rPr>
        <w:t>（三）单位负责人为同一人或者存在直接控股、管理关系的不同供应商，不得参加同一合同项下的采购活动。本项目不接受联合体。</w:t>
      </w:r>
      <w:r>
        <w:rPr>
          <w:rFonts w:hint="eastAsia" w:ascii="宋体" w:hAnsi="宋体" w:eastAsia="宋体" w:cs="宋体"/>
          <w:sz w:val="28"/>
          <w:szCs w:val="28"/>
        </w:rPr>
        <w:t>（投标时提供附件2）</w:t>
      </w:r>
    </w:p>
    <w:p w14:paraId="1E8FB26D">
      <w:pPr>
        <w:pStyle w:val="8"/>
        <w:widowControl/>
        <w:numPr>
          <w:ilvl w:val="0"/>
          <w:numId w:val="1"/>
        </w:numPr>
        <w:shd w:val="clear" w:color="auto" w:fill="FFFFFF"/>
        <w:spacing w:before="0" w:beforeAutospacing="0" w:after="0" w:afterAutospacing="0"/>
        <w:ind w:firstLine="480"/>
        <w:rPr>
          <w:rStyle w:val="11"/>
          <w:rFonts w:ascii="宋体" w:hAnsi="宋体" w:cs="宋体"/>
          <w:sz w:val="28"/>
          <w:szCs w:val="28"/>
          <w:shd w:val="clear" w:color="auto" w:fill="FFFFFF"/>
        </w:rPr>
      </w:pPr>
      <w:r>
        <w:rPr>
          <w:rStyle w:val="11"/>
          <w:rFonts w:hint="eastAsia" w:ascii="宋体" w:hAnsi="宋体" w:cs="宋体"/>
          <w:sz w:val="28"/>
          <w:szCs w:val="28"/>
          <w:shd w:val="clear" w:color="auto" w:fill="FFFFFF"/>
        </w:rPr>
        <w:t>投标要求</w:t>
      </w:r>
    </w:p>
    <w:p w14:paraId="12368E98">
      <w:pPr>
        <w:pStyle w:val="8"/>
        <w:widowControl/>
        <w:shd w:val="clear" w:color="auto" w:fill="FFFFFF"/>
        <w:spacing w:before="0" w:beforeAutospacing="0" w:after="0" w:afterAutospacing="0"/>
        <w:ind w:firstLine="480"/>
        <w:rPr>
          <w:sz w:val="28"/>
          <w:szCs w:val="28"/>
        </w:rPr>
      </w:pPr>
      <w:r>
        <w:rPr>
          <w:rFonts w:hint="eastAsia" w:ascii="宋体" w:hAnsi="宋体" w:cs="宋体"/>
          <w:sz w:val="28"/>
          <w:szCs w:val="28"/>
          <w:shd w:val="clear" w:color="auto" w:fill="FFFFFF"/>
        </w:rPr>
        <w:t>（一）提供法人授权委托书（格式自拟）、有效的营业执照复印件（加盖单位公章）、被授权人身份证（复印件）及按第三大点资格要求列明的证明材料。</w:t>
      </w:r>
    </w:p>
    <w:p w14:paraId="1D43EE70">
      <w:pPr>
        <w:pStyle w:val="8"/>
        <w:widowControl/>
        <w:shd w:val="clear" w:color="auto" w:fill="FFFFFF"/>
        <w:spacing w:before="0" w:beforeAutospacing="0" w:after="0" w:afterAutospacing="0"/>
        <w:ind w:firstLine="480"/>
        <w:rPr>
          <w:sz w:val="28"/>
          <w:szCs w:val="28"/>
        </w:rPr>
      </w:pPr>
      <w:r>
        <w:rPr>
          <w:rFonts w:hint="eastAsia" w:ascii="宋体" w:hAnsi="宋体" w:cs="宋体"/>
          <w:sz w:val="28"/>
          <w:szCs w:val="28"/>
          <w:shd w:val="clear" w:color="auto" w:fill="FFFFFF"/>
        </w:rPr>
        <w:t>（二）报价函（格式自拟，写清楚所投产品品牌、型号、技术参数等，报价必须包含但不限于运输、调试、安装、税金等本项目所有费用）、技术与商务参数偏离表（格式自拟，必须与采购需求表里的技术参数逐项比对）。</w:t>
      </w:r>
    </w:p>
    <w:p w14:paraId="168DDA12">
      <w:pPr>
        <w:pStyle w:val="8"/>
        <w:widowControl/>
        <w:shd w:val="clear" w:color="auto" w:fill="FFFFFF"/>
        <w:spacing w:before="0" w:beforeAutospacing="0" w:after="0" w:afterAutospacing="0"/>
        <w:ind w:firstLine="480"/>
        <w:rPr>
          <w:rFonts w:ascii="宋体" w:hAnsi="宋体" w:cs="宋体"/>
          <w:sz w:val="28"/>
          <w:szCs w:val="28"/>
          <w:shd w:val="clear" w:color="auto" w:fill="FFFFFF"/>
        </w:rPr>
      </w:pPr>
      <w:r>
        <w:rPr>
          <w:rFonts w:hint="eastAsia" w:ascii="宋体" w:hAnsi="宋体" w:cs="宋体"/>
          <w:sz w:val="28"/>
          <w:szCs w:val="28"/>
          <w:shd w:val="clear" w:color="auto" w:fill="FFFFFF"/>
        </w:rPr>
        <w:t>（三）关于本项目的服务承诺（格式自拟，包含但不限于售后、培训、免费质保期等）。</w:t>
      </w:r>
    </w:p>
    <w:p w14:paraId="19D0DE99">
      <w:pPr>
        <w:pStyle w:val="8"/>
        <w:widowControl/>
        <w:shd w:val="clear" w:color="auto" w:fill="FFFFFF"/>
        <w:spacing w:before="0" w:beforeAutospacing="0" w:after="0" w:afterAutospacing="0"/>
        <w:ind w:firstLine="480"/>
        <w:rPr>
          <w:rFonts w:ascii="宋体" w:hAnsi="宋体" w:cs="宋体"/>
          <w:sz w:val="28"/>
          <w:szCs w:val="28"/>
          <w:shd w:val="clear" w:color="auto" w:fill="FFFFFF"/>
        </w:rPr>
      </w:pPr>
      <w:r>
        <w:rPr>
          <w:rFonts w:hint="eastAsia" w:ascii="宋体" w:hAnsi="宋体" w:cs="宋体"/>
          <w:sz w:val="28"/>
          <w:szCs w:val="28"/>
          <w:shd w:val="clear" w:color="auto" w:fill="FFFFFF"/>
        </w:rPr>
        <w:t>（四）采购需求里要求提供的其他证明材料。</w:t>
      </w:r>
    </w:p>
    <w:p w14:paraId="08AE8EC2">
      <w:pPr>
        <w:pStyle w:val="8"/>
        <w:widowControl/>
        <w:shd w:val="clear" w:color="auto" w:fill="FFFFFF"/>
        <w:spacing w:before="0" w:beforeAutospacing="0" w:after="0" w:afterAutospacing="0"/>
        <w:ind w:firstLine="480"/>
        <w:rPr>
          <w:sz w:val="28"/>
          <w:szCs w:val="28"/>
        </w:rPr>
      </w:pPr>
      <w:r>
        <w:rPr>
          <w:rStyle w:val="11"/>
          <w:rFonts w:hint="eastAsia" w:ascii="宋体" w:hAnsi="宋体" w:cs="宋体"/>
          <w:sz w:val="28"/>
          <w:szCs w:val="28"/>
          <w:shd w:val="clear" w:color="auto" w:fill="FFFFFF"/>
        </w:rPr>
        <w:t>注：所有投标材料务必严格按要求提供，不按要求提供的，采购人有权视为无效投标。投标材料必须一正一副，且须加盖公章后密封提供。</w:t>
      </w:r>
    </w:p>
    <w:p w14:paraId="3891AAFE">
      <w:pPr>
        <w:pStyle w:val="8"/>
        <w:widowControl/>
        <w:shd w:val="clear" w:color="auto" w:fill="FFFFFF"/>
        <w:spacing w:before="0" w:beforeAutospacing="0" w:after="0" w:afterAutospacing="0"/>
        <w:ind w:firstLine="480"/>
        <w:rPr>
          <w:sz w:val="28"/>
          <w:szCs w:val="28"/>
        </w:rPr>
      </w:pPr>
      <w:r>
        <w:rPr>
          <w:rStyle w:val="11"/>
          <w:rFonts w:hint="eastAsia" w:ascii="宋体" w:hAnsi="宋体" w:cs="宋体"/>
          <w:sz w:val="28"/>
          <w:szCs w:val="28"/>
          <w:shd w:val="clear" w:color="auto" w:fill="FFFFFF"/>
        </w:rPr>
        <w:t>五、中标方式</w:t>
      </w:r>
      <w:r>
        <w:rPr>
          <w:rFonts w:hint="eastAsia"/>
          <w:sz w:val="28"/>
          <w:szCs w:val="28"/>
        </w:rPr>
        <w:t>：</w:t>
      </w:r>
      <w:r>
        <w:rPr>
          <w:rFonts w:hint="eastAsia" w:ascii="宋体" w:hAnsi="宋体" w:cs="宋体"/>
          <w:sz w:val="28"/>
          <w:szCs w:val="28"/>
          <w:shd w:val="clear" w:color="auto" w:fill="FFFFFF"/>
        </w:rPr>
        <w:t>根据投标人的投标材料，在满足采购需求的基础上，采取低价中标方式选定该项目中标单位，若价格相同，则采取抽签方式确定中标单位。</w:t>
      </w:r>
    </w:p>
    <w:p w14:paraId="05CA4CEC">
      <w:pPr>
        <w:pStyle w:val="8"/>
        <w:widowControl/>
        <w:shd w:val="clear" w:color="auto" w:fill="FFFFFF"/>
        <w:spacing w:before="0" w:beforeAutospacing="0" w:after="0" w:afterAutospacing="0"/>
        <w:ind w:firstLine="480"/>
        <w:rPr>
          <w:sz w:val="28"/>
          <w:szCs w:val="28"/>
        </w:rPr>
      </w:pPr>
      <w:r>
        <w:rPr>
          <w:rStyle w:val="11"/>
          <w:rFonts w:hint="eastAsia" w:ascii="宋体" w:hAnsi="宋体" w:cs="宋体"/>
          <w:sz w:val="28"/>
          <w:szCs w:val="28"/>
          <w:shd w:val="clear" w:color="auto" w:fill="FFFFFF"/>
        </w:rPr>
        <w:t>六、投标截止时间和地点</w:t>
      </w:r>
    </w:p>
    <w:p w14:paraId="2CEBDC80">
      <w:pPr>
        <w:pStyle w:val="8"/>
        <w:widowControl/>
        <w:shd w:val="clear" w:color="auto" w:fill="FFFFFF"/>
        <w:spacing w:before="0" w:beforeAutospacing="0" w:after="0" w:afterAutospacing="0"/>
        <w:ind w:firstLine="480"/>
        <w:rPr>
          <w:sz w:val="28"/>
          <w:szCs w:val="28"/>
        </w:rPr>
      </w:pPr>
      <w:r>
        <w:rPr>
          <w:rFonts w:hint="eastAsia" w:ascii="宋体" w:hAnsi="宋体" w:cs="宋体"/>
          <w:sz w:val="28"/>
          <w:szCs w:val="28"/>
          <w:shd w:val="clear" w:color="auto" w:fill="FFFFFF"/>
        </w:rPr>
        <w:t>投标时间：凡愿意且符合条件投标人，请于</w:t>
      </w:r>
      <w:r>
        <w:rPr>
          <w:rFonts w:hint="eastAsia" w:ascii="宋体" w:hAnsi="宋体" w:cs="宋体"/>
          <w:b/>
          <w:bCs/>
          <w:sz w:val="28"/>
          <w:szCs w:val="28"/>
          <w:shd w:val="clear" w:color="auto" w:fill="FFFFFF"/>
        </w:rPr>
        <w:t>2025</w:t>
      </w:r>
      <w:r>
        <w:rPr>
          <w:rFonts w:hint="eastAsia" w:ascii="宋体" w:hAnsi="宋体" w:cs="宋体"/>
          <w:b/>
          <w:bCs/>
          <w:sz w:val="28"/>
          <w:szCs w:val="28"/>
          <w:highlight w:val="none"/>
          <w:shd w:val="clear" w:color="auto" w:fill="FFFFFF"/>
        </w:rPr>
        <w:t>年</w:t>
      </w:r>
      <w:r>
        <w:rPr>
          <w:rFonts w:hint="eastAsia" w:ascii="宋体" w:hAnsi="宋体" w:cs="宋体"/>
          <w:b/>
          <w:bCs/>
          <w:sz w:val="28"/>
          <w:szCs w:val="28"/>
          <w:highlight w:val="none"/>
          <w:shd w:val="clear" w:color="auto" w:fill="FFFFFF"/>
          <w:lang w:val="en-US" w:eastAsia="zh-CN"/>
        </w:rPr>
        <w:t>11</w:t>
      </w:r>
      <w:r>
        <w:rPr>
          <w:rFonts w:hint="eastAsia" w:ascii="宋体" w:hAnsi="宋体" w:cs="宋体"/>
          <w:b/>
          <w:bCs/>
          <w:sz w:val="28"/>
          <w:szCs w:val="28"/>
          <w:highlight w:val="none"/>
          <w:shd w:val="clear" w:color="auto" w:fill="FFFFFF"/>
        </w:rPr>
        <w:t>月</w:t>
      </w:r>
      <w:r>
        <w:rPr>
          <w:rFonts w:hint="eastAsia" w:ascii="宋体" w:hAnsi="宋体" w:cs="宋体"/>
          <w:b/>
          <w:bCs/>
          <w:sz w:val="28"/>
          <w:szCs w:val="28"/>
          <w:highlight w:val="none"/>
          <w:shd w:val="clear" w:color="auto" w:fill="FFFFFF"/>
          <w:lang w:val="en-US" w:eastAsia="zh-CN"/>
        </w:rPr>
        <w:t>10</w:t>
      </w:r>
      <w:r>
        <w:rPr>
          <w:rFonts w:hint="eastAsia" w:ascii="宋体" w:hAnsi="宋体" w:cs="宋体"/>
          <w:b/>
          <w:bCs/>
          <w:sz w:val="28"/>
          <w:szCs w:val="28"/>
          <w:highlight w:val="none"/>
          <w:shd w:val="clear" w:color="auto" w:fill="FFFFFF"/>
        </w:rPr>
        <w:t xml:space="preserve"> 日上</w:t>
      </w:r>
      <w:r>
        <w:rPr>
          <w:rFonts w:hint="eastAsia" w:ascii="宋体" w:hAnsi="宋体" w:cs="宋体"/>
          <w:b/>
          <w:bCs/>
          <w:sz w:val="28"/>
          <w:szCs w:val="28"/>
          <w:shd w:val="clear" w:color="auto" w:fill="FFFFFF"/>
        </w:rPr>
        <w:t>午9点至11点</w:t>
      </w:r>
      <w:r>
        <w:rPr>
          <w:rFonts w:hint="eastAsia" w:ascii="宋体" w:hAnsi="宋体" w:cs="宋体"/>
          <w:sz w:val="28"/>
          <w:szCs w:val="28"/>
          <w:shd w:val="clear" w:color="auto" w:fill="FFFFFF"/>
        </w:rPr>
        <w:t>之间，将投标文件送达广西艺术学院财务资产处，其他时间不接收报名材料。投标地点：南宁市教育路7号广西艺术学院雕塑办公楼107室财务资产处采购管理科。联系人：</w:t>
      </w:r>
      <w:r>
        <w:rPr>
          <w:rFonts w:hint="eastAsia" w:ascii="宋体" w:hAnsi="宋体" w:cs="宋体"/>
          <w:color w:val="000000" w:themeColor="text1"/>
          <w:sz w:val="28"/>
          <w:szCs w:val="28"/>
          <w:shd w:val="clear" w:color="auto" w:fill="FFFFFF"/>
          <w14:textFill>
            <w14:solidFill>
              <w14:schemeClr w14:val="tx1"/>
            </w14:solidFill>
          </w14:textFill>
        </w:rPr>
        <w:t>朱</w:t>
      </w:r>
      <w:r>
        <w:rPr>
          <w:rFonts w:hint="eastAsia" w:ascii="宋体" w:hAnsi="宋体" w:cs="宋体"/>
          <w:sz w:val="28"/>
          <w:szCs w:val="28"/>
          <w:shd w:val="clear" w:color="auto" w:fill="FFFFFF"/>
        </w:rPr>
        <w:t>老师，联系电话：0771</w:t>
      </w:r>
      <w:r>
        <w:rPr>
          <w:rFonts w:hint="eastAsia" w:ascii="宋体" w:hAnsi="宋体" w:cs="宋体"/>
          <w:sz w:val="28"/>
          <w:szCs w:val="28"/>
          <w:shd w:val="clear" w:color="auto" w:fill="FFFFFF"/>
          <w:lang w:val="en-US" w:eastAsia="zh-CN"/>
        </w:rPr>
        <w:t>-</w:t>
      </w:r>
      <w:r>
        <w:rPr>
          <w:rFonts w:hint="eastAsia" w:ascii="宋体" w:hAnsi="宋体" w:cs="宋体"/>
          <w:sz w:val="28"/>
          <w:szCs w:val="28"/>
          <w:shd w:val="clear" w:color="auto" w:fill="FFFFFF"/>
        </w:rPr>
        <w:t>5327987.</w:t>
      </w:r>
    </w:p>
    <w:p w14:paraId="1D35ADC4">
      <w:pPr>
        <w:pStyle w:val="8"/>
        <w:widowControl/>
        <w:shd w:val="clear" w:color="auto" w:fill="FFFFFF"/>
        <w:spacing w:before="0" w:beforeAutospacing="0" w:after="0" w:afterAutospacing="0"/>
        <w:ind w:firstLine="480"/>
        <w:rPr>
          <w:rFonts w:ascii="宋体" w:hAnsi="宋体" w:cs="宋体"/>
          <w:sz w:val="28"/>
          <w:szCs w:val="28"/>
          <w:shd w:val="clear" w:color="auto" w:fill="FFFFFF"/>
        </w:rPr>
        <w:sectPr>
          <w:pgSz w:w="11906" w:h="16838"/>
          <w:pgMar w:top="720" w:right="720" w:bottom="720" w:left="720" w:header="851" w:footer="992" w:gutter="0"/>
          <w:cols w:space="425" w:num="1"/>
          <w:docGrid w:type="lines" w:linePitch="312" w:charSpace="0"/>
        </w:sectPr>
      </w:pPr>
      <w:r>
        <w:rPr>
          <w:rFonts w:hint="eastAsia" w:ascii="宋体" w:hAnsi="宋体" w:cs="宋体"/>
          <w:sz w:val="28"/>
          <w:szCs w:val="28"/>
          <w:shd w:val="clear" w:color="auto" w:fill="FFFFFF"/>
        </w:rPr>
        <w:t>七、</w:t>
      </w:r>
      <w:r>
        <w:rPr>
          <w:rFonts w:hint="eastAsia" w:ascii="宋体" w:hAnsi="宋体" w:eastAsia="宋体" w:cs="宋体"/>
          <w:sz w:val="28"/>
          <w:szCs w:val="28"/>
          <w:shd w:val="clear" w:color="auto" w:fill="FFFFFF"/>
        </w:rPr>
        <w:t>本次采购的相关信息（包括但不限于采购公告与附件及其修改、补充、澄清等，下同）在广西艺术学院主页的“机构设置-财务资产处-招标公告”栏（网址：https://cwc.gxau.edu.cn/zbgg2）上发布，本次采购的相关信息一经在上述网站发布，即视为已发送给投标人。投标人据此参与本次采购活动，即视为对本次采购的相关信息、内容及规则没有异议。</w:t>
      </w:r>
    </w:p>
    <w:bookmarkEnd w:id="3"/>
    <w:p w14:paraId="06C629C0">
      <w:r>
        <w:rPr>
          <w:rFonts w:hint="eastAsia"/>
        </w:rPr>
        <w:t xml:space="preserve"> </w:t>
      </w:r>
      <w:r>
        <w:t xml:space="preserve">       </w:t>
      </w:r>
      <w:r>
        <w:rPr>
          <w:rFonts w:hint="eastAsia"/>
          <w:lang w:val="en-US" w:eastAsia="zh-CN"/>
        </w:rPr>
        <w:t>附件1：</w:t>
      </w:r>
      <w:r>
        <w:t xml:space="preserve">                     </w:t>
      </w:r>
      <w:r>
        <w:rPr>
          <w:rFonts w:hint="eastAsia" w:ascii="宋体" w:hAnsi="宋体" w:eastAsia="宋体" w:cs="宋体"/>
          <w:b/>
          <w:bCs/>
          <w:color w:val="000000"/>
          <w:kern w:val="0"/>
          <w:sz w:val="40"/>
          <w:szCs w:val="40"/>
          <w:lang w:bidi="ar"/>
        </w:rPr>
        <w:t>设备购置清单</w:t>
      </w:r>
    </w:p>
    <w:p w14:paraId="6E535AF8"/>
    <w:tbl>
      <w:tblPr>
        <w:tblStyle w:val="9"/>
        <w:tblW w:w="111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534"/>
        <w:gridCol w:w="1367"/>
        <w:gridCol w:w="4541"/>
        <w:gridCol w:w="1592"/>
        <w:gridCol w:w="945"/>
        <w:gridCol w:w="1219"/>
      </w:tblGrid>
      <w:tr w14:paraId="541CD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jc w:val="center"/>
        </w:trPr>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924F1">
            <w:pPr>
              <w:keepNext w:val="0"/>
              <w:keepLines w:val="0"/>
              <w:widowControl/>
              <w:suppressLineNumbers w:val="0"/>
              <w:jc w:val="center"/>
              <w:textAlignment w:val="center"/>
              <w:rPr>
                <w:rFonts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序号</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3029B">
            <w:pPr>
              <w:keepNext w:val="0"/>
              <w:keepLines w:val="0"/>
              <w:widowControl/>
              <w:suppressLineNumbers w:val="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采购品目</w:t>
            </w:r>
          </w:p>
        </w:tc>
        <w:tc>
          <w:tcPr>
            <w:tcW w:w="4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B352C">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技术参数</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C450B">
            <w:pPr>
              <w:keepNext w:val="0"/>
              <w:keepLines w:val="0"/>
              <w:widowControl/>
              <w:suppressLineNumbers w:val="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参考品牌型号</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1AF41">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采购数量</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7AF49">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计量单位</w:t>
            </w:r>
          </w:p>
        </w:tc>
      </w:tr>
      <w:tr w14:paraId="63334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0" w:hRule="atLeast"/>
          <w:jc w:val="center"/>
        </w:trPr>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2671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8CFD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组合音响系统</w:t>
            </w:r>
          </w:p>
        </w:tc>
        <w:tc>
          <w:tcPr>
            <w:tcW w:w="4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FFDA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类型：音响套装（含点歌机）</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1.音箱（主扬声器）关键参数</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theme="minorBidi"/>
                <w:szCs w:val="21"/>
              </w:rPr>
              <w:t>▲</w:t>
            </w:r>
            <w:r>
              <w:rPr>
                <w:rFonts w:hint="eastAsia" w:ascii="仿宋" w:hAnsi="仿宋" w:eastAsia="仿宋" w:cs="仿宋"/>
                <w:i w:val="0"/>
                <w:iCs w:val="0"/>
                <w:color w:val="000000"/>
                <w:kern w:val="0"/>
                <w:sz w:val="24"/>
                <w:szCs w:val="24"/>
                <w:u w:val="none"/>
                <w:lang w:val="en-US" w:eastAsia="zh-CN" w:bidi="ar"/>
              </w:rPr>
              <w:t xml:space="preserve">类型：3分频4单元（低音×2 + 中音 + 高音）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频响范围：35Hz - 28kHz (±3dB)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灵敏度：88dB - 90dB（易驱动）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功率承载：100W - 300W（RMS）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2. 功放（放大器） 关键参数：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输出功率：2×100W - 2×200W（8Ω）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输入接口：XLR平衡/RCA/光纤/蓝牙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支持格式：PCM 32bit/384kHz、DSD256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3.线材 &amp; 配件**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音箱线：AudioQuest Rocket 44（4N纯铜，低损耗）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信号线：Cardas Clear Reflection（XLR平衡线）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4.连接方式：Wi-Fi，光纤，AV，AUX，HDMI，USB</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5.适用场景：家庭KTV，影院/KTV，室内外舞台演出</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6.辅助设备：音箱支架（可调节高度）</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A614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YAMAHA、JBL、BMB</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5307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3B8D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r>
      <w:tr w14:paraId="25496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90" w:hRule="atLeast"/>
          <w:jc w:val="center"/>
        </w:trPr>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E030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56D0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音响系统</w:t>
            </w:r>
          </w:p>
        </w:tc>
        <w:tc>
          <w:tcPr>
            <w:tcW w:w="4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E11D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1.主音箱 功率：300W-500W</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2.频响范围：60Hz-20kHz&lt;br&gt;- 灵敏度：≥90dB&lt;br&gt;</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3.功放功率：2×300W（8Ω）&lt;br&gt;- 支持蓝牙/USB/AUX输入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4.无线麦克风：有效距离≥50米      </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CD21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Bose、YAMAHA、JBL</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7EAB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F8E0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r>
      <w:tr w14:paraId="15115B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A1D8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C154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高清摄像机</w:t>
            </w:r>
          </w:p>
        </w:tc>
        <w:tc>
          <w:tcPr>
            <w:tcW w:w="4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01E8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传感器类型： 1英寸及以上CMOS传感器                                                  </w:t>
            </w:r>
            <w:r>
              <w:rPr>
                <w:rFonts w:hint="eastAsia" w:ascii="仿宋" w:hAnsi="仿宋" w:eastAsia="仿宋" w:cstheme="minorBidi"/>
                <w:szCs w:val="21"/>
              </w:rPr>
              <w:t>▲</w:t>
            </w:r>
            <w:r>
              <w:rPr>
                <w:rFonts w:hint="eastAsia" w:ascii="仿宋" w:hAnsi="仿宋" w:eastAsia="仿宋" w:cs="仿宋"/>
                <w:i w:val="0"/>
                <w:iCs w:val="0"/>
                <w:color w:val="000000"/>
                <w:kern w:val="0"/>
                <w:sz w:val="24"/>
                <w:szCs w:val="24"/>
                <w:u w:val="none"/>
                <w:lang w:val="en-US" w:eastAsia="zh-CN" w:bidi="ar"/>
              </w:rPr>
              <w:t xml:space="preserve">分辨率： 4K UHD（3840×2160）@30fps，支持1080P@60fps                            镜头：20倍以上光学变焦，广角端≤24mm（适合教室拍摄）                          防抖功能：光学防抖+电子防抖，确保手持拍摄稳定                                    音频输入：3.5mm麦克风接口/XLR接口（可选），支持外接无线麦克风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存储介质：双SD卡槽（支持SDXC），可连续录制                                       网络功能：HDMI输出+USB直播推流，支持Wi-Fi/有线网络传输                           续航：电池续航≥2小时，支持USB供电     </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C10E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索尼、松下、佳能</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AEC9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D45C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r>
      <w:tr w14:paraId="0F7AF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jc w:val="center"/>
        </w:trPr>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69E6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0BFC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便携式摄像机</w:t>
            </w:r>
          </w:p>
        </w:tc>
        <w:tc>
          <w:tcPr>
            <w:tcW w:w="4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5304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影像传感器：1英寸CMOS。</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镜头：f/1.8，20mm。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对焦：全像素相位对焦。</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最高录像规格：4K/120fps。</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HDR视频：支持10-bit HLG视频。</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屏幕：2英寸OLED，556×314像素。</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充电时间：16分钟充满80%电量。</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58A9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大疆、索尼、松下</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8E56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1784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r>
      <w:tr w14:paraId="69DF4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0" w:hRule="atLeast"/>
          <w:jc w:val="center"/>
        </w:trPr>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944B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583A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数码单反相机</w:t>
            </w:r>
          </w:p>
        </w:tc>
        <w:tc>
          <w:tcPr>
            <w:tcW w:w="4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F514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视频拍摄能力： 4K 30P</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像素： 2000-3000万</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类型 ：多镜头套装</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RAW照片输出 14bit</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功能 翻转自拍，Wi-Fi，4K视频</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滤镜直径 49mm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传感器尺寸 APS-C</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标准ISO感光度 ISO 100-32000</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电池类型： 锂离子电池</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存储介质： SD卡；SDHC卡；SDXC卡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有效像素： 2420万</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254A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佳能、索尼、尼康</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9DCB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25C9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r>
      <w:tr w14:paraId="7A5CB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70" w:hRule="atLeast"/>
          <w:jc w:val="center"/>
        </w:trPr>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3623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0797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高清电视机</w:t>
            </w:r>
          </w:p>
        </w:tc>
        <w:tc>
          <w:tcPr>
            <w:tcW w:w="4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67A44">
            <w:pPr>
              <w:keepNext w:val="0"/>
              <w:keepLines w:val="0"/>
              <w:widowControl/>
              <w:suppressLineNumbers w:val="0"/>
              <w:spacing w:after="240" w:afterAutospacing="0"/>
              <w:jc w:val="left"/>
              <w:textAlignment w:val="center"/>
              <w:rPr>
                <w:rFonts w:hint="eastAsia" w:ascii="仿宋" w:hAnsi="仿宋" w:eastAsia="仿宋" w:cs="仿宋"/>
                <w:i w:val="0"/>
                <w:iCs w:val="0"/>
                <w:color w:val="000000"/>
                <w:sz w:val="24"/>
                <w:szCs w:val="24"/>
                <w:u w:val="none"/>
              </w:rPr>
            </w:pPr>
            <w:r>
              <w:rPr>
                <w:rFonts w:hint="eastAsia" w:ascii="仿宋" w:hAnsi="仿宋" w:eastAsia="仿宋" w:cstheme="minorBidi"/>
                <w:szCs w:val="21"/>
              </w:rPr>
              <w:t>▲</w:t>
            </w:r>
            <w:r>
              <w:rPr>
                <w:rFonts w:hint="eastAsia" w:ascii="仿宋" w:hAnsi="仿宋" w:eastAsia="仿宋" w:cs="仿宋"/>
                <w:i w:val="0"/>
                <w:iCs w:val="0"/>
                <w:color w:val="000000"/>
                <w:kern w:val="0"/>
                <w:sz w:val="24"/>
                <w:szCs w:val="24"/>
                <w:u w:val="none"/>
                <w:lang w:val="en-US" w:eastAsia="zh-CN" w:bidi="ar"/>
              </w:rPr>
              <w:t xml:space="preserve">屏幕尺寸：75英寸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theme="minorBidi"/>
                <w:szCs w:val="21"/>
              </w:rPr>
              <w:t>▲</w:t>
            </w:r>
            <w:r>
              <w:rPr>
                <w:rFonts w:hint="eastAsia" w:ascii="仿宋" w:hAnsi="仿宋" w:eastAsia="仿宋" w:cs="仿宋"/>
                <w:i w:val="0"/>
                <w:iCs w:val="0"/>
                <w:color w:val="000000"/>
                <w:kern w:val="0"/>
                <w:sz w:val="24"/>
                <w:szCs w:val="24"/>
                <w:u w:val="none"/>
                <w:lang w:val="en-US" w:eastAsia="zh-CN" w:bidi="ar"/>
              </w:rPr>
              <w:t xml:space="preserve">分辨率：4K UHD（3840×2160）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操作系统：安卓TV 11+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接口：HDMI 2.1×3、USB 3.0×2  连接电脑/播放设备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音效： 20W+立体声，支持杜比音效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能效等级： 二级能效</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电视类型： 智能电视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刷屏率 144Hz</w:t>
            </w:r>
            <w:r>
              <w:rPr>
                <w:rFonts w:hint="eastAsia" w:ascii="仿宋" w:hAnsi="仿宋" w:eastAsia="仿宋" w:cs="仿宋"/>
                <w:i w:val="0"/>
                <w:iCs w:val="0"/>
                <w:color w:val="000000"/>
                <w:kern w:val="0"/>
                <w:sz w:val="24"/>
                <w:szCs w:val="24"/>
                <w:u w:val="none"/>
                <w:lang w:val="en-US" w:eastAsia="zh-CN" w:bidi="ar"/>
              </w:rPr>
              <w:br w:type="textWrapping"/>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27DC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海信、TCL、创维</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4F18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5563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r>
    </w:tbl>
    <w:p w14:paraId="103F2920"/>
    <w:p w14:paraId="05CB4C79"/>
    <w:p w14:paraId="5DF4C029"/>
    <w:p w14:paraId="7EB8A9E6"/>
    <w:p w14:paraId="706C8076"/>
    <w:p w14:paraId="619AC5F9"/>
    <w:p w14:paraId="5254A3D2"/>
    <w:p w14:paraId="3730CFFD"/>
    <w:p w14:paraId="2C4D6EC7"/>
    <w:p w14:paraId="0E3FC2DC">
      <w:pPr>
        <w:rPr>
          <w:rFonts w:hint="eastAsia"/>
        </w:rPr>
      </w:pPr>
    </w:p>
    <w:p w14:paraId="6CBB22CB">
      <w:r>
        <w:rPr>
          <w:rFonts w:hint="eastAsia"/>
        </w:rPr>
        <w:t>附件2：</w:t>
      </w:r>
    </w:p>
    <w:p w14:paraId="14A7B0A7">
      <w:pPr>
        <w:snapToGrid w:val="0"/>
        <w:spacing w:before="50" w:after="156" w:afterLines="50" w:line="360" w:lineRule="auto"/>
        <w:jc w:val="center"/>
        <w:rPr>
          <w:rFonts w:ascii="仿宋" w:hAnsi="仿宋" w:eastAsia="仿宋"/>
          <w:b/>
          <w:sz w:val="32"/>
          <w:szCs w:val="32"/>
        </w:rPr>
      </w:pPr>
      <w:r>
        <w:rPr>
          <w:rFonts w:hint="eastAsia" w:ascii="仿宋" w:hAnsi="仿宋" w:eastAsia="仿宋"/>
          <w:b/>
          <w:sz w:val="32"/>
          <w:szCs w:val="32"/>
        </w:rPr>
        <w:t>投标人直接控股、管理关系信息表</w:t>
      </w:r>
    </w:p>
    <w:tbl>
      <w:tblPr>
        <w:tblStyle w:val="9"/>
        <w:tblW w:w="102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309"/>
        <w:gridCol w:w="1384"/>
        <w:gridCol w:w="4163"/>
        <w:gridCol w:w="2562"/>
      </w:tblGrid>
      <w:tr w14:paraId="6B5D5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7673" w:type="dxa"/>
            <w:gridSpan w:val="4"/>
            <w:shd w:val="clear" w:color="auto" w:fill="F2DBDB"/>
            <w:vAlign w:val="center"/>
          </w:tcPr>
          <w:p w14:paraId="7B605525">
            <w:pPr>
              <w:snapToGrid w:val="0"/>
              <w:spacing w:before="156" w:beforeLines="50" w:after="50"/>
              <w:jc w:val="center"/>
              <w:rPr>
                <w:rFonts w:ascii="仿宋" w:hAnsi="仿宋" w:eastAsia="仿宋"/>
                <w:b/>
                <w:szCs w:val="21"/>
              </w:rPr>
            </w:pPr>
            <w:r>
              <w:rPr>
                <w:rFonts w:ascii="仿宋" w:hAnsi="仿宋" w:eastAsia="仿宋"/>
                <w:b/>
                <w:szCs w:val="21"/>
              </w:rPr>
              <w:t>投标人直接控股股东信息表</w:t>
            </w:r>
          </w:p>
        </w:tc>
        <w:tc>
          <w:tcPr>
            <w:tcW w:w="2562" w:type="dxa"/>
            <w:shd w:val="clear" w:color="auto" w:fill="F2DBDB"/>
            <w:vAlign w:val="center"/>
          </w:tcPr>
          <w:p w14:paraId="79DB757A">
            <w:pPr>
              <w:snapToGrid w:val="0"/>
              <w:spacing w:before="156" w:beforeLines="50" w:after="50"/>
              <w:jc w:val="center"/>
              <w:rPr>
                <w:rFonts w:ascii="仿宋" w:hAnsi="仿宋" w:eastAsia="仿宋"/>
                <w:b/>
                <w:szCs w:val="21"/>
              </w:rPr>
            </w:pPr>
            <w:r>
              <w:rPr>
                <w:rFonts w:ascii="仿宋" w:hAnsi="仿宋" w:eastAsia="仿宋"/>
                <w:b/>
                <w:szCs w:val="21"/>
              </w:rPr>
              <w:t>说明</w:t>
            </w:r>
          </w:p>
        </w:tc>
      </w:tr>
      <w:tr w14:paraId="5D21F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vAlign w:val="center"/>
          </w:tcPr>
          <w:p w14:paraId="463E447E">
            <w:pPr>
              <w:spacing w:line="360" w:lineRule="exact"/>
              <w:jc w:val="center"/>
              <w:rPr>
                <w:rFonts w:ascii="仿宋" w:hAnsi="仿宋" w:eastAsia="仿宋" w:cs="宋体"/>
                <w:b/>
                <w:bCs/>
                <w:kern w:val="0"/>
                <w:szCs w:val="21"/>
              </w:rPr>
            </w:pPr>
            <w:r>
              <w:rPr>
                <w:rFonts w:ascii="仿宋" w:hAnsi="仿宋" w:eastAsia="仿宋" w:cs="宋体"/>
                <w:b/>
                <w:bCs/>
                <w:kern w:val="0"/>
                <w:szCs w:val="21"/>
              </w:rPr>
              <w:t>序号</w:t>
            </w:r>
          </w:p>
        </w:tc>
        <w:tc>
          <w:tcPr>
            <w:tcW w:w="1309" w:type="dxa"/>
            <w:vAlign w:val="center"/>
          </w:tcPr>
          <w:p w14:paraId="43FFC6E5">
            <w:pPr>
              <w:spacing w:line="360" w:lineRule="exact"/>
              <w:jc w:val="center"/>
              <w:rPr>
                <w:rFonts w:ascii="仿宋" w:hAnsi="仿宋" w:eastAsia="仿宋" w:cs="宋体"/>
                <w:b/>
                <w:bCs/>
                <w:kern w:val="0"/>
                <w:szCs w:val="21"/>
              </w:rPr>
            </w:pPr>
            <w:r>
              <w:rPr>
                <w:rFonts w:ascii="仿宋" w:hAnsi="仿宋" w:eastAsia="仿宋" w:cs="宋体"/>
                <w:b/>
                <w:bCs/>
                <w:kern w:val="0"/>
                <w:szCs w:val="21"/>
              </w:rPr>
              <w:t>直接控股股东名称</w:t>
            </w:r>
          </w:p>
        </w:tc>
        <w:tc>
          <w:tcPr>
            <w:tcW w:w="1384" w:type="dxa"/>
            <w:vAlign w:val="center"/>
          </w:tcPr>
          <w:p w14:paraId="74F847EF">
            <w:pPr>
              <w:spacing w:line="360" w:lineRule="exact"/>
              <w:jc w:val="center"/>
              <w:rPr>
                <w:rFonts w:ascii="仿宋" w:hAnsi="仿宋" w:eastAsia="仿宋" w:cs="宋体"/>
                <w:b/>
                <w:bCs/>
                <w:kern w:val="0"/>
                <w:szCs w:val="21"/>
              </w:rPr>
            </w:pPr>
            <w:r>
              <w:rPr>
                <w:rFonts w:ascii="仿宋" w:hAnsi="仿宋" w:eastAsia="仿宋" w:cs="宋体"/>
                <w:b/>
                <w:bCs/>
                <w:kern w:val="0"/>
                <w:szCs w:val="21"/>
              </w:rPr>
              <w:t>出资比例</w:t>
            </w:r>
          </w:p>
        </w:tc>
        <w:tc>
          <w:tcPr>
            <w:tcW w:w="4163" w:type="dxa"/>
            <w:vAlign w:val="center"/>
          </w:tcPr>
          <w:p w14:paraId="235077EF">
            <w:pPr>
              <w:spacing w:line="360" w:lineRule="exact"/>
              <w:jc w:val="center"/>
              <w:rPr>
                <w:rFonts w:ascii="仿宋" w:hAnsi="仿宋" w:eastAsia="仿宋" w:cs="宋体"/>
                <w:b/>
                <w:bCs/>
                <w:kern w:val="0"/>
                <w:szCs w:val="21"/>
              </w:rPr>
            </w:pPr>
            <w:r>
              <w:rPr>
                <w:rFonts w:ascii="仿宋" w:hAnsi="仿宋" w:eastAsia="仿宋" w:cs="宋体"/>
                <w:b/>
                <w:bCs/>
                <w:kern w:val="0"/>
                <w:szCs w:val="21"/>
              </w:rPr>
              <w:t>身份证号码或者统一社会信用代码</w:t>
            </w:r>
          </w:p>
        </w:tc>
        <w:tc>
          <w:tcPr>
            <w:tcW w:w="2562" w:type="dxa"/>
            <w:vMerge w:val="restart"/>
            <w:vAlign w:val="center"/>
          </w:tcPr>
          <w:p w14:paraId="30677715">
            <w:pPr>
              <w:snapToGrid w:val="0"/>
              <w:jc w:val="left"/>
              <w:rPr>
                <w:rFonts w:ascii="仿宋" w:hAnsi="仿宋" w:eastAsia="仿宋"/>
                <w:szCs w:val="21"/>
              </w:rPr>
            </w:pPr>
            <w:r>
              <w:rPr>
                <w:rFonts w:ascii="仿宋" w:hAnsi="仿宋" w:eastAsia="仿宋"/>
                <w:szCs w:val="21"/>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5BA4FE84">
            <w:pPr>
              <w:snapToGrid w:val="0"/>
              <w:jc w:val="left"/>
              <w:rPr>
                <w:rFonts w:ascii="仿宋" w:hAnsi="仿宋" w:eastAsia="仿宋"/>
                <w:szCs w:val="21"/>
              </w:rPr>
            </w:pPr>
            <w:r>
              <w:rPr>
                <w:rFonts w:ascii="仿宋" w:hAnsi="仿宋" w:eastAsia="仿宋"/>
                <w:szCs w:val="21"/>
              </w:rPr>
              <w:t>2.本表所指的控股关系仅限于直接控股关系，不包括间接的控股关系。公司实际控制人与公司之间的关系不属于本表所指的直接控股关系。</w:t>
            </w:r>
          </w:p>
          <w:p w14:paraId="4F02FDDE">
            <w:pPr>
              <w:snapToGrid w:val="0"/>
              <w:jc w:val="left"/>
              <w:rPr>
                <w:rFonts w:ascii="仿宋" w:hAnsi="仿宋" w:eastAsia="仿宋" w:cs="宋体"/>
                <w:b/>
                <w:bCs/>
                <w:kern w:val="0"/>
                <w:szCs w:val="21"/>
              </w:rPr>
            </w:pPr>
            <w:r>
              <w:rPr>
                <w:rFonts w:ascii="仿宋" w:hAnsi="仿宋" w:eastAsia="仿宋"/>
                <w:szCs w:val="21"/>
              </w:rPr>
              <w:t>3.供应商不存在直接控股股东的，则填“无”。</w:t>
            </w:r>
          </w:p>
        </w:tc>
      </w:tr>
      <w:tr w14:paraId="1863F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tcPr>
          <w:p w14:paraId="5FAF252D">
            <w:pPr>
              <w:snapToGrid w:val="0"/>
              <w:spacing w:before="156" w:beforeLines="50" w:after="50"/>
              <w:jc w:val="center"/>
              <w:rPr>
                <w:rFonts w:ascii="仿宋" w:hAnsi="仿宋" w:eastAsia="仿宋"/>
                <w:b/>
                <w:szCs w:val="21"/>
              </w:rPr>
            </w:pPr>
            <w:r>
              <w:rPr>
                <w:rFonts w:ascii="仿宋" w:hAnsi="仿宋" w:eastAsia="仿宋"/>
                <w:b/>
                <w:szCs w:val="21"/>
              </w:rPr>
              <w:t>1</w:t>
            </w:r>
          </w:p>
        </w:tc>
        <w:tc>
          <w:tcPr>
            <w:tcW w:w="1309" w:type="dxa"/>
          </w:tcPr>
          <w:p w14:paraId="4CB76A6E">
            <w:pPr>
              <w:snapToGrid w:val="0"/>
              <w:spacing w:before="156" w:beforeLines="50" w:after="50"/>
              <w:jc w:val="left"/>
              <w:rPr>
                <w:rFonts w:ascii="仿宋" w:hAnsi="仿宋" w:eastAsia="仿宋"/>
                <w:b/>
                <w:szCs w:val="21"/>
              </w:rPr>
            </w:pPr>
          </w:p>
        </w:tc>
        <w:tc>
          <w:tcPr>
            <w:tcW w:w="1384" w:type="dxa"/>
          </w:tcPr>
          <w:p w14:paraId="6677D9CC">
            <w:pPr>
              <w:snapToGrid w:val="0"/>
              <w:spacing w:before="156" w:beforeLines="50" w:after="50"/>
              <w:jc w:val="left"/>
              <w:rPr>
                <w:rFonts w:ascii="仿宋" w:hAnsi="仿宋" w:eastAsia="仿宋"/>
                <w:b/>
                <w:szCs w:val="21"/>
              </w:rPr>
            </w:pPr>
          </w:p>
        </w:tc>
        <w:tc>
          <w:tcPr>
            <w:tcW w:w="4163" w:type="dxa"/>
          </w:tcPr>
          <w:p w14:paraId="7471893F">
            <w:pPr>
              <w:snapToGrid w:val="0"/>
              <w:spacing w:before="156" w:beforeLines="50" w:after="50"/>
              <w:jc w:val="left"/>
              <w:rPr>
                <w:rFonts w:ascii="仿宋" w:hAnsi="仿宋" w:eastAsia="仿宋"/>
                <w:b/>
                <w:szCs w:val="21"/>
              </w:rPr>
            </w:pPr>
          </w:p>
        </w:tc>
        <w:tc>
          <w:tcPr>
            <w:tcW w:w="2562" w:type="dxa"/>
            <w:vMerge w:val="continue"/>
          </w:tcPr>
          <w:p w14:paraId="6E223151">
            <w:pPr>
              <w:snapToGrid w:val="0"/>
              <w:jc w:val="left"/>
              <w:rPr>
                <w:rFonts w:ascii="仿宋" w:hAnsi="仿宋" w:eastAsia="仿宋"/>
                <w:szCs w:val="21"/>
              </w:rPr>
            </w:pPr>
          </w:p>
        </w:tc>
      </w:tr>
      <w:tr w14:paraId="0E15D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tcPr>
          <w:p w14:paraId="2045C714">
            <w:pPr>
              <w:snapToGrid w:val="0"/>
              <w:spacing w:before="156" w:beforeLines="50" w:after="50"/>
              <w:jc w:val="center"/>
              <w:rPr>
                <w:rFonts w:ascii="仿宋" w:hAnsi="仿宋" w:eastAsia="仿宋"/>
                <w:b/>
                <w:szCs w:val="21"/>
              </w:rPr>
            </w:pPr>
            <w:r>
              <w:rPr>
                <w:rFonts w:ascii="仿宋" w:hAnsi="仿宋" w:eastAsia="仿宋"/>
                <w:b/>
                <w:szCs w:val="21"/>
              </w:rPr>
              <w:t>2</w:t>
            </w:r>
          </w:p>
        </w:tc>
        <w:tc>
          <w:tcPr>
            <w:tcW w:w="1309" w:type="dxa"/>
          </w:tcPr>
          <w:p w14:paraId="459F22F6">
            <w:pPr>
              <w:snapToGrid w:val="0"/>
              <w:spacing w:before="156" w:beforeLines="50" w:after="50"/>
              <w:jc w:val="left"/>
              <w:rPr>
                <w:rFonts w:ascii="仿宋" w:hAnsi="仿宋" w:eastAsia="仿宋"/>
                <w:b/>
                <w:szCs w:val="21"/>
              </w:rPr>
            </w:pPr>
          </w:p>
        </w:tc>
        <w:tc>
          <w:tcPr>
            <w:tcW w:w="1384" w:type="dxa"/>
          </w:tcPr>
          <w:p w14:paraId="41683AF1">
            <w:pPr>
              <w:snapToGrid w:val="0"/>
              <w:spacing w:before="156" w:beforeLines="50" w:after="50"/>
              <w:jc w:val="left"/>
              <w:rPr>
                <w:rFonts w:ascii="仿宋" w:hAnsi="仿宋" w:eastAsia="仿宋"/>
                <w:b/>
                <w:szCs w:val="21"/>
              </w:rPr>
            </w:pPr>
          </w:p>
        </w:tc>
        <w:tc>
          <w:tcPr>
            <w:tcW w:w="4163" w:type="dxa"/>
          </w:tcPr>
          <w:p w14:paraId="31A3DD7E">
            <w:pPr>
              <w:snapToGrid w:val="0"/>
              <w:spacing w:before="156" w:beforeLines="50" w:after="50"/>
              <w:jc w:val="left"/>
              <w:rPr>
                <w:rFonts w:ascii="仿宋" w:hAnsi="仿宋" w:eastAsia="仿宋"/>
                <w:b/>
                <w:szCs w:val="21"/>
              </w:rPr>
            </w:pPr>
          </w:p>
        </w:tc>
        <w:tc>
          <w:tcPr>
            <w:tcW w:w="2562" w:type="dxa"/>
            <w:vMerge w:val="continue"/>
          </w:tcPr>
          <w:p w14:paraId="4278126A">
            <w:pPr>
              <w:snapToGrid w:val="0"/>
              <w:spacing w:before="156" w:beforeLines="50" w:after="50"/>
              <w:jc w:val="left"/>
              <w:rPr>
                <w:rFonts w:ascii="仿宋" w:hAnsi="仿宋" w:eastAsia="仿宋"/>
                <w:b/>
                <w:szCs w:val="21"/>
              </w:rPr>
            </w:pPr>
          </w:p>
        </w:tc>
      </w:tr>
      <w:tr w14:paraId="56010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tcBorders>
              <w:bottom w:val="single" w:color="auto" w:sz="4" w:space="0"/>
            </w:tcBorders>
          </w:tcPr>
          <w:p w14:paraId="6F308D51">
            <w:pPr>
              <w:snapToGrid w:val="0"/>
              <w:spacing w:before="156" w:beforeLines="50" w:after="50"/>
              <w:jc w:val="center"/>
              <w:rPr>
                <w:rFonts w:ascii="仿宋" w:hAnsi="仿宋" w:eastAsia="仿宋"/>
                <w:b/>
                <w:szCs w:val="21"/>
              </w:rPr>
            </w:pPr>
            <w:r>
              <w:rPr>
                <w:rFonts w:ascii="仿宋" w:hAnsi="仿宋" w:eastAsia="仿宋" w:cs="宋体"/>
                <w:kern w:val="0"/>
                <w:szCs w:val="21"/>
              </w:rPr>
              <w:t>……</w:t>
            </w:r>
          </w:p>
        </w:tc>
        <w:tc>
          <w:tcPr>
            <w:tcW w:w="1309" w:type="dxa"/>
            <w:tcBorders>
              <w:bottom w:val="single" w:color="auto" w:sz="4" w:space="0"/>
            </w:tcBorders>
          </w:tcPr>
          <w:p w14:paraId="11FB19EA">
            <w:pPr>
              <w:snapToGrid w:val="0"/>
              <w:spacing w:before="156" w:beforeLines="50" w:after="50"/>
              <w:jc w:val="left"/>
              <w:rPr>
                <w:rFonts w:ascii="仿宋" w:hAnsi="仿宋" w:eastAsia="仿宋"/>
                <w:b/>
                <w:szCs w:val="21"/>
              </w:rPr>
            </w:pPr>
          </w:p>
        </w:tc>
        <w:tc>
          <w:tcPr>
            <w:tcW w:w="1384" w:type="dxa"/>
            <w:tcBorders>
              <w:bottom w:val="single" w:color="auto" w:sz="4" w:space="0"/>
            </w:tcBorders>
          </w:tcPr>
          <w:p w14:paraId="161784AA">
            <w:pPr>
              <w:snapToGrid w:val="0"/>
              <w:spacing w:before="156" w:beforeLines="50" w:after="50"/>
              <w:jc w:val="left"/>
              <w:rPr>
                <w:rFonts w:ascii="仿宋" w:hAnsi="仿宋" w:eastAsia="仿宋"/>
                <w:b/>
                <w:szCs w:val="21"/>
              </w:rPr>
            </w:pPr>
          </w:p>
        </w:tc>
        <w:tc>
          <w:tcPr>
            <w:tcW w:w="4163" w:type="dxa"/>
            <w:tcBorders>
              <w:bottom w:val="single" w:color="auto" w:sz="4" w:space="0"/>
            </w:tcBorders>
          </w:tcPr>
          <w:p w14:paraId="4C98F250">
            <w:pPr>
              <w:snapToGrid w:val="0"/>
              <w:spacing w:before="156" w:beforeLines="50" w:after="50"/>
              <w:jc w:val="left"/>
              <w:rPr>
                <w:rFonts w:ascii="仿宋" w:hAnsi="仿宋" w:eastAsia="仿宋"/>
                <w:b/>
                <w:szCs w:val="21"/>
              </w:rPr>
            </w:pPr>
          </w:p>
        </w:tc>
        <w:tc>
          <w:tcPr>
            <w:tcW w:w="2562" w:type="dxa"/>
            <w:vMerge w:val="continue"/>
            <w:tcBorders>
              <w:bottom w:val="single" w:color="auto" w:sz="4" w:space="0"/>
            </w:tcBorders>
          </w:tcPr>
          <w:p w14:paraId="25E36D15">
            <w:pPr>
              <w:snapToGrid w:val="0"/>
              <w:spacing w:before="156" w:beforeLines="50" w:after="50"/>
              <w:jc w:val="left"/>
              <w:rPr>
                <w:rFonts w:ascii="仿宋" w:hAnsi="仿宋" w:eastAsia="仿宋"/>
                <w:b/>
                <w:szCs w:val="21"/>
              </w:rPr>
            </w:pPr>
          </w:p>
        </w:tc>
      </w:tr>
      <w:tr w14:paraId="63AD4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7673" w:type="dxa"/>
            <w:gridSpan w:val="4"/>
            <w:shd w:val="clear" w:color="auto" w:fill="F2DBDB"/>
            <w:vAlign w:val="center"/>
          </w:tcPr>
          <w:p w14:paraId="72061FF8">
            <w:pPr>
              <w:snapToGrid w:val="0"/>
              <w:spacing w:before="156" w:beforeLines="50" w:after="50"/>
              <w:jc w:val="center"/>
              <w:rPr>
                <w:rFonts w:ascii="仿宋" w:hAnsi="仿宋" w:eastAsia="仿宋"/>
                <w:b/>
                <w:szCs w:val="21"/>
              </w:rPr>
            </w:pPr>
            <w:r>
              <w:rPr>
                <w:rFonts w:ascii="仿宋" w:hAnsi="仿宋" w:eastAsia="仿宋"/>
                <w:b/>
                <w:szCs w:val="21"/>
              </w:rPr>
              <w:t>投标人直接管理关系信息表</w:t>
            </w:r>
          </w:p>
        </w:tc>
        <w:tc>
          <w:tcPr>
            <w:tcW w:w="2562" w:type="dxa"/>
            <w:shd w:val="clear" w:color="auto" w:fill="F2DBDB"/>
            <w:vAlign w:val="center"/>
          </w:tcPr>
          <w:p w14:paraId="4B889ED3">
            <w:pPr>
              <w:snapToGrid w:val="0"/>
              <w:spacing w:before="156" w:beforeLines="50" w:after="50"/>
              <w:jc w:val="center"/>
              <w:rPr>
                <w:rFonts w:ascii="仿宋" w:hAnsi="仿宋" w:eastAsia="仿宋"/>
                <w:b/>
                <w:szCs w:val="21"/>
              </w:rPr>
            </w:pPr>
            <w:r>
              <w:rPr>
                <w:rFonts w:ascii="仿宋" w:hAnsi="仿宋" w:eastAsia="仿宋"/>
                <w:b/>
                <w:szCs w:val="21"/>
              </w:rPr>
              <w:t>说明</w:t>
            </w:r>
          </w:p>
        </w:tc>
      </w:tr>
      <w:tr w14:paraId="130DB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vAlign w:val="center"/>
          </w:tcPr>
          <w:p w14:paraId="318EEAC5">
            <w:pPr>
              <w:snapToGrid w:val="0"/>
              <w:spacing w:before="156" w:beforeLines="50" w:after="50"/>
              <w:jc w:val="center"/>
              <w:rPr>
                <w:rFonts w:ascii="仿宋" w:hAnsi="仿宋" w:eastAsia="仿宋"/>
                <w:b/>
                <w:szCs w:val="21"/>
              </w:rPr>
            </w:pPr>
            <w:r>
              <w:rPr>
                <w:rFonts w:ascii="仿宋" w:hAnsi="仿宋" w:eastAsia="仿宋" w:cs="宋体"/>
                <w:b/>
                <w:bCs/>
                <w:kern w:val="0"/>
                <w:szCs w:val="21"/>
              </w:rPr>
              <w:t>序号</w:t>
            </w:r>
          </w:p>
        </w:tc>
        <w:tc>
          <w:tcPr>
            <w:tcW w:w="2693" w:type="dxa"/>
            <w:gridSpan w:val="2"/>
            <w:vAlign w:val="center"/>
          </w:tcPr>
          <w:p w14:paraId="3B62DEF5">
            <w:pPr>
              <w:snapToGrid w:val="0"/>
              <w:spacing w:before="156" w:beforeLines="50" w:after="50"/>
              <w:jc w:val="center"/>
              <w:rPr>
                <w:rFonts w:ascii="仿宋" w:hAnsi="仿宋" w:eastAsia="仿宋"/>
                <w:b/>
                <w:szCs w:val="21"/>
              </w:rPr>
            </w:pPr>
            <w:r>
              <w:rPr>
                <w:rFonts w:ascii="仿宋" w:hAnsi="仿宋" w:eastAsia="仿宋" w:cs="宋体"/>
                <w:b/>
                <w:bCs/>
                <w:kern w:val="0"/>
                <w:szCs w:val="21"/>
              </w:rPr>
              <w:t>直接管理关系单位名称</w:t>
            </w:r>
          </w:p>
        </w:tc>
        <w:tc>
          <w:tcPr>
            <w:tcW w:w="4163" w:type="dxa"/>
            <w:vAlign w:val="center"/>
          </w:tcPr>
          <w:p w14:paraId="6CAD11EF">
            <w:pPr>
              <w:snapToGrid w:val="0"/>
              <w:spacing w:before="156" w:beforeLines="50" w:after="50"/>
              <w:jc w:val="center"/>
              <w:rPr>
                <w:rFonts w:ascii="仿宋" w:hAnsi="仿宋" w:eastAsia="仿宋"/>
                <w:b/>
                <w:szCs w:val="21"/>
              </w:rPr>
            </w:pPr>
            <w:r>
              <w:rPr>
                <w:rFonts w:ascii="仿宋" w:hAnsi="仿宋" w:eastAsia="仿宋" w:cs="宋体"/>
                <w:b/>
                <w:bCs/>
                <w:kern w:val="0"/>
                <w:szCs w:val="21"/>
              </w:rPr>
              <w:t>统一社会信用代码</w:t>
            </w:r>
          </w:p>
        </w:tc>
        <w:tc>
          <w:tcPr>
            <w:tcW w:w="2562" w:type="dxa"/>
            <w:vMerge w:val="restart"/>
            <w:vAlign w:val="center"/>
          </w:tcPr>
          <w:p w14:paraId="28A57631">
            <w:pPr>
              <w:snapToGrid w:val="0"/>
              <w:jc w:val="left"/>
              <w:rPr>
                <w:rFonts w:ascii="仿宋" w:hAnsi="仿宋" w:eastAsia="仿宋"/>
                <w:szCs w:val="21"/>
              </w:rPr>
            </w:pPr>
            <w:r>
              <w:rPr>
                <w:rFonts w:ascii="仿宋" w:hAnsi="仿宋" w:eastAsia="仿宋"/>
                <w:szCs w:val="21"/>
              </w:rPr>
              <w:t>1.管理关系：是指不具有出资持股关系的其他单位之间存在的管理与被管理关系，如一些上下级关系的事业单位和团体组织。</w:t>
            </w:r>
          </w:p>
          <w:p w14:paraId="2F1DD5E1">
            <w:pPr>
              <w:snapToGrid w:val="0"/>
              <w:jc w:val="left"/>
              <w:rPr>
                <w:rFonts w:ascii="仿宋" w:hAnsi="仿宋" w:eastAsia="仿宋"/>
                <w:szCs w:val="21"/>
              </w:rPr>
            </w:pPr>
            <w:r>
              <w:rPr>
                <w:rFonts w:ascii="仿宋" w:hAnsi="仿宋" w:eastAsia="仿宋"/>
                <w:szCs w:val="21"/>
              </w:rPr>
              <w:t>2.本表所指的管理关系仅限于直接管理关系，不包括间接的管理关系。</w:t>
            </w:r>
          </w:p>
          <w:p w14:paraId="4CD8F99D">
            <w:pPr>
              <w:snapToGrid w:val="0"/>
              <w:jc w:val="left"/>
              <w:rPr>
                <w:rFonts w:ascii="仿宋" w:hAnsi="仿宋" w:eastAsia="仿宋"/>
                <w:szCs w:val="21"/>
              </w:rPr>
            </w:pPr>
            <w:r>
              <w:rPr>
                <w:rFonts w:ascii="仿宋" w:hAnsi="仿宋" w:eastAsia="仿宋"/>
                <w:szCs w:val="21"/>
              </w:rPr>
              <w:t>3.供应商不存在直接管理关系的，则填“无”。</w:t>
            </w:r>
          </w:p>
        </w:tc>
      </w:tr>
      <w:tr w14:paraId="49BAB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tcPr>
          <w:p w14:paraId="60545E59">
            <w:pPr>
              <w:snapToGrid w:val="0"/>
              <w:spacing w:before="156" w:beforeLines="50" w:after="50"/>
              <w:jc w:val="center"/>
              <w:rPr>
                <w:rFonts w:ascii="仿宋" w:hAnsi="仿宋" w:eastAsia="仿宋"/>
                <w:b/>
                <w:szCs w:val="21"/>
              </w:rPr>
            </w:pPr>
            <w:r>
              <w:rPr>
                <w:rFonts w:ascii="仿宋" w:hAnsi="仿宋" w:eastAsia="仿宋"/>
                <w:b/>
                <w:szCs w:val="21"/>
              </w:rPr>
              <w:t>1</w:t>
            </w:r>
          </w:p>
        </w:tc>
        <w:tc>
          <w:tcPr>
            <w:tcW w:w="2693" w:type="dxa"/>
            <w:gridSpan w:val="2"/>
            <w:vAlign w:val="center"/>
          </w:tcPr>
          <w:p w14:paraId="566F4D5B">
            <w:pPr>
              <w:snapToGrid w:val="0"/>
              <w:spacing w:before="156" w:beforeLines="50" w:after="50"/>
              <w:jc w:val="center"/>
              <w:rPr>
                <w:rFonts w:ascii="仿宋" w:hAnsi="仿宋" w:eastAsia="仿宋" w:cs="宋体"/>
                <w:b/>
                <w:bCs/>
                <w:kern w:val="0"/>
                <w:szCs w:val="21"/>
              </w:rPr>
            </w:pPr>
          </w:p>
        </w:tc>
        <w:tc>
          <w:tcPr>
            <w:tcW w:w="4163" w:type="dxa"/>
            <w:vAlign w:val="center"/>
          </w:tcPr>
          <w:p w14:paraId="3D236EA3">
            <w:pPr>
              <w:snapToGrid w:val="0"/>
              <w:spacing w:before="156" w:beforeLines="50" w:after="50"/>
              <w:jc w:val="center"/>
              <w:rPr>
                <w:rFonts w:ascii="仿宋" w:hAnsi="仿宋" w:eastAsia="仿宋" w:cs="宋体"/>
                <w:b/>
                <w:bCs/>
                <w:kern w:val="0"/>
                <w:szCs w:val="21"/>
              </w:rPr>
            </w:pPr>
          </w:p>
        </w:tc>
        <w:tc>
          <w:tcPr>
            <w:tcW w:w="2562" w:type="dxa"/>
            <w:vMerge w:val="continue"/>
            <w:vAlign w:val="center"/>
          </w:tcPr>
          <w:p w14:paraId="713196E9">
            <w:pPr>
              <w:snapToGrid w:val="0"/>
              <w:jc w:val="left"/>
              <w:rPr>
                <w:rFonts w:ascii="仿宋" w:hAnsi="仿宋" w:eastAsia="仿宋"/>
                <w:szCs w:val="21"/>
              </w:rPr>
            </w:pPr>
          </w:p>
        </w:tc>
      </w:tr>
      <w:tr w14:paraId="060A7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tcPr>
          <w:p w14:paraId="2F83240D">
            <w:pPr>
              <w:snapToGrid w:val="0"/>
              <w:spacing w:before="156" w:beforeLines="50" w:after="50"/>
              <w:jc w:val="center"/>
              <w:rPr>
                <w:rFonts w:ascii="仿宋" w:hAnsi="仿宋" w:eastAsia="仿宋"/>
                <w:b/>
                <w:szCs w:val="21"/>
              </w:rPr>
            </w:pPr>
            <w:r>
              <w:rPr>
                <w:rFonts w:ascii="仿宋" w:hAnsi="仿宋" w:eastAsia="仿宋"/>
                <w:b/>
                <w:szCs w:val="21"/>
              </w:rPr>
              <w:t>2</w:t>
            </w:r>
          </w:p>
        </w:tc>
        <w:tc>
          <w:tcPr>
            <w:tcW w:w="2693" w:type="dxa"/>
            <w:gridSpan w:val="2"/>
            <w:vAlign w:val="center"/>
          </w:tcPr>
          <w:p w14:paraId="01D518E8">
            <w:pPr>
              <w:snapToGrid w:val="0"/>
              <w:spacing w:before="156" w:beforeLines="50" w:after="50"/>
              <w:jc w:val="center"/>
              <w:rPr>
                <w:rFonts w:ascii="仿宋" w:hAnsi="仿宋" w:eastAsia="仿宋" w:cs="宋体"/>
                <w:b/>
                <w:bCs/>
                <w:kern w:val="0"/>
                <w:szCs w:val="21"/>
              </w:rPr>
            </w:pPr>
          </w:p>
        </w:tc>
        <w:tc>
          <w:tcPr>
            <w:tcW w:w="4163" w:type="dxa"/>
            <w:vAlign w:val="center"/>
          </w:tcPr>
          <w:p w14:paraId="1587044B">
            <w:pPr>
              <w:snapToGrid w:val="0"/>
              <w:spacing w:before="156" w:beforeLines="50" w:after="50"/>
              <w:jc w:val="center"/>
              <w:rPr>
                <w:rFonts w:ascii="仿宋" w:hAnsi="仿宋" w:eastAsia="仿宋" w:cs="宋体"/>
                <w:b/>
                <w:bCs/>
                <w:kern w:val="0"/>
                <w:szCs w:val="21"/>
              </w:rPr>
            </w:pPr>
          </w:p>
        </w:tc>
        <w:tc>
          <w:tcPr>
            <w:tcW w:w="2562" w:type="dxa"/>
            <w:vMerge w:val="continue"/>
            <w:vAlign w:val="center"/>
          </w:tcPr>
          <w:p w14:paraId="299029C1">
            <w:pPr>
              <w:snapToGrid w:val="0"/>
              <w:jc w:val="left"/>
              <w:rPr>
                <w:rFonts w:ascii="仿宋" w:hAnsi="仿宋" w:eastAsia="仿宋"/>
                <w:szCs w:val="21"/>
              </w:rPr>
            </w:pPr>
          </w:p>
        </w:tc>
      </w:tr>
      <w:tr w14:paraId="5CDC7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vAlign w:val="center"/>
          </w:tcPr>
          <w:p w14:paraId="5120B8BF">
            <w:pPr>
              <w:snapToGrid w:val="0"/>
              <w:spacing w:before="156" w:beforeLines="50" w:after="50"/>
              <w:jc w:val="center"/>
              <w:rPr>
                <w:rFonts w:ascii="仿宋" w:hAnsi="仿宋" w:eastAsia="仿宋"/>
                <w:b/>
                <w:szCs w:val="21"/>
              </w:rPr>
            </w:pPr>
            <w:r>
              <w:rPr>
                <w:rFonts w:ascii="仿宋" w:hAnsi="仿宋" w:eastAsia="仿宋" w:cs="宋体"/>
                <w:kern w:val="0"/>
                <w:szCs w:val="21"/>
              </w:rPr>
              <w:t>……</w:t>
            </w:r>
          </w:p>
        </w:tc>
        <w:tc>
          <w:tcPr>
            <w:tcW w:w="2693" w:type="dxa"/>
            <w:gridSpan w:val="2"/>
            <w:vAlign w:val="center"/>
          </w:tcPr>
          <w:p w14:paraId="17FD4101">
            <w:pPr>
              <w:snapToGrid w:val="0"/>
              <w:spacing w:before="156" w:beforeLines="50" w:after="50"/>
              <w:jc w:val="center"/>
              <w:rPr>
                <w:rFonts w:ascii="仿宋" w:hAnsi="仿宋" w:eastAsia="仿宋" w:cs="宋体"/>
                <w:b/>
                <w:bCs/>
                <w:kern w:val="0"/>
                <w:szCs w:val="21"/>
              </w:rPr>
            </w:pPr>
          </w:p>
        </w:tc>
        <w:tc>
          <w:tcPr>
            <w:tcW w:w="4163" w:type="dxa"/>
            <w:vAlign w:val="center"/>
          </w:tcPr>
          <w:p w14:paraId="689AA734">
            <w:pPr>
              <w:snapToGrid w:val="0"/>
              <w:spacing w:before="156" w:beforeLines="50" w:after="50"/>
              <w:jc w:val="center"/>
              <w:rPr>
                <w:rFonts w:ascii="仿宋" w:hAnsi="仿宋" w:eastAsia="仿宋" w:cs="宋体"/>
                <w:b/>
                <w:bCs/>
                <w:kern w:val="0"/>
                <w:szCs w:val="21"/>
              </w:rPr>
            </w:pPr>
          </w:p>
        </w:tc>
        <w:tc>
          <w:tcPr>
            <w:tcW w:w="2562" w:type="dxa"/>
            <w:vMerge w:val="continue"/>
            <w:vAlign w:val="center"/>
          </w:tcPr>
          <w:p w14:paraId="6DE108A1">
            <w:pPr>
              <w:snapToGrid w:val="0"/>
              <w:jc w:val="left"/>
              <w:rPr>
                <w:rFonts w:ascii="仿宋" w:hAnsi="仿宋" w:eastAsia="仿宋"/>
                <w:szCs w:val="21"/>
              </w:rPr>
            </w:pPr>
          </w:p>
        </w:tc>
      </w:tr>
    </w:tbl>
    <w:p w14:paraId="281EA2AE">
      <w:pPr>
        <w:snapToGrid w:val="0"/>
        <w:spacing w:line="360" w:lineRule="auto"/>
        <w:jc w:val="left"/>
        <w:rPr>
          <w:rFonts w:ascii="仿宋" w:hAnsi="仿宋" w:eastAsia="仿宋"/>
          <w:sz w:val="24"/>
        </w:rPr>
      </w:pPr>
    </w:p>
    <w:p w14:paraId="7BA66D78">
      <w:pPr>
        <w:snapToGrid w:val="0"/>
        <w:spacing w:line="360" w:lineRule="auto"/>
        <w:ind w:firstLine="4840" w:firstLineChars="2200"/>
        <w:rPr>
          <w:rFonts w:ascii="仿宋" w:hAnsi="仿宋" w:eastAsia="仿宋" w:cs="仿宋_GB2312"/>
          <w:kern w:val="0"/>
          <w:sz w:val="22"/>
          <w:u w:val="single"/>
          <w:lang w:val="zh-CN"/>
        </w:rPr>
      </w:pPr>
      <w:r>
        <w:rPr>
          <w:rFonts w:hint="eastAsia" w:ascii="仿宋" w:hAnsi="仿宋" w:eastAsia="仿宋" w:cs="仿宋_GB2312"/>
          <w:kern w:val="0"/>
          <w:sz w:val="22"/>
          <w:lang w:val="zh-CN"/>
        </w:rPr>
        <w:t>投标人名称(</w:t>
      </w:r>
      <w:r>
        <w:rPr>
          <w:rFonts w:hint="eastAsia" w:ascii="仿宋" w:hAnsi="仿宋" w:eastAsia="仿宋" w:cs="仿宋_GB2312"/>
          <w:kern w:val="0"/>
          <w:sz w:val="22"/>
        </w:rPr>
        <w:t>公章</w:t>
      </w:r>
      <w:r>
        <w:rPr>
          <w:rFonts w:hint="eastAsia" w:ascii="仿宋" w:hAnsi="仿宋" w:eastAsia="仿宋" w:cs="仿宋_GB2312"/>
          <w:kern w:val="0"/>
          <w:sz w:val="22"/>
          <w:lang w:val="zh-CN"/>
        </w:rPr>
        <w:t>)：</w:t>
      </w:r>
      <w:r>
        <w:rPr>
          <w:rFonts w:hint="eastAsia" w:ascii="仿宋" w:hAnsi="仿宋" w:eastAsia="仿宋" w:cs="仿宋_GB2312"/>
          <w:kern w:val="0"/>
          <w:sz w:val="22"/>
          <w:u w:val="single"/>
          <w:lang w:val="zh-CN"/>
        </w:rPr>
        <w:t xml:space="preserve"> </w:t>
      </w:r>
      <w:r>
        <w:rPr>
          <w:rFonts w:ascii="仿宋" w:hAnsi="仿宋" w:eastAsia="仿宋" w:cs="仿宋_GB2312"/>
          <w:kern w:val="0"/>
          <w:sz w:val="22"/>
          <w:u w:val="single"/>
          <w:lang w:val="zh-CN"/>
        </w:rPr>
        <w:t xml:space="preserve">         </w:t>
      </w:r>
    </w:p>
    <w:p w14:paraId="5BF9A07D">
      <w:pPr>
        <w:snapToGrid w:val="0"/>
        <w:spacing w:line="360" w:lineRule="auto"/>
        <w:ind w:firstLine="4840" w:firstLineChars="2200"/>
        <w:rPr>
          <w:rFonts w:ascii="仿宋" w:hAnsi="仿宋" w:eastAsia="仿宋" w:cs="仿宋_GB2312"/>
          <w:kern w:val="0"/>
          <w:sz w:val="22"/>
          <w:u w:val="single"/>
          <w:lang w:val="zh-CN"/>
        </w:rPr>
      </w:pPr>
    </w:p>
    <w:p w14:paraId="1D15B4AD">
      <w:pPr>
        <w:snapToGrid w:val="0"/>
        <w:spacing w:line="360" w:lineRule="auto"/>
        <w:ind w:firstLine="4730" w:firstLineChars="2150"/>
        <w:rPr>
          <w:rFonts w:hint="eastAsia" w:ascii="仿宋" w:hAnsi="仿宋" w:eastAsia="仿宋" w:cs="仿宋_GB2312"/>
          <w:kern w:val="0"/>
          <w:sz w:val="22"/>
          <w:lang w:val="zh-CN"/>
        </w:rPr>
      </w:pPr>
      <w:r>
        <w:rPr>
          <w:rFonts w:hint="eastAsia" w:ascii="仿宋" w:hAnsi="仿宋" w:eastAsia="仿宋" w:cs="仿宋_GB2312"/>
          <w:kern w:val="0"/>
          <w:sz w:val="22"/>
          <w:lang w:val="zh-CN"/>
        </w:rPr>
        <w:t>日期</w:t>
      </w:r>
      <w:r>
        <w:rPr>
          <w:rFonts w:hint="eastAsia" w:ascii="仿宋" w:hAnsi="仿宋" w:eastAsia="仿宋" w:cs="仿宋_GB2312"/>
          <w:kern w:val="0"/>
          <w:sz w:val="22"/>
        </w:rPr>
        <w:t xml:space="preserve">：  年  </w:t>
      </w:r>
      <w:r>
        <w:rPr>
          <w:rFonts w:hint="eastAsia" w:ascii="仿宋" w:hAnsi="仿宋" w:eastAsia="仿宋" w:cs="仿宋_GB2312"/>
          <w:kern w:val="0"/>
          <w:sz w:val="22"/>
          <w:lang w:val="zh-CN"/>
        </w:rPr>
        <w:t>月</w:t>
      </w:r>
      <w:r>
        <w:rPr>
          <w:rFonts w:hint="eastAsia" w:ascii="仿宋" w:hAnsi="仿宋" w:eastAsia="仿宋" w:cs="仿宋_GB2312"/>
          <w:kern w:val="0"/>
          <w:sz w:val="22"/>
        </w:rPr>
        <w:t xml:space="preserve">   </w:t>
      </w:r>
      <w:r>
        <w:rPr>
          <w:rFonts w:hint="eastAsia" w:ascii="仿宋" w:hAnsi="仿宋" w:eastAsia="仿宋" w:cs="仿宋_GB2312"/>
          <w:kern w:val="0"/>
          <w:sz w:val="22"/>
          <w:lang w:val="zh-CN"/>
        </w:rPr>
        <w:t>日</w:t>
      </w:r>
    </w:p>
    <w:p w14:paraId="2416D9E8">
      <w:pPr>
        <w:jc w:val="center"/>
        <w:rPr>
          <w:rFonts w:hint="eastAsia" w:ascii="宋体" w:hAnsi="宋体" w:cs="宋体"/>
          <w:b/>
          <w:bCs/>
          <w:sz w:val="36"/>
          <w:szCs w:val="36"/>
          <w:lang w:val="en-US" w:eastAsia="zh-CN"/>
        </w:rPr>
      </w:pPr>
    </w:p>
    <w:p w14:paraId="272DB90D">
      <w:pPr>
        <w:jc w:val="both"/>
        <w:rPr>
          <w:rFonts w:hint="eastAsia" w:ascii="宋体" w:hAnsi="宋体" w:cs="宋体"/>
          <w:b/>
          <w:bCs/>
          <w:sz w:val="36"/>
          <w:szCs w:val="36"/>
        </w:rPr>
      </w:pPr>
      <w:r>
        <w:rPr>
          <w:rFonts w:hint="eastAsia"/>
          <w:lang w:val="en-US" w:eastAsia="zh-CN"/>
        </w:rPr>
        <w:t xml:space="preserve">附件3： </w:t>
      </w:r>
      <w:r>
        <w:rPr>
          <w:rFonts w:hint="eastAsia" w:ascii="宋体" w:hAnsi="宋体" w:cs="宋体"/>
          <w:b/>
          <w:bCs/>
          <w:sz w:val="36"/>
          <w:szCs w:val="36"/>
          <w:lang w:val="en-US" w:eastAsia="zh-CN"/>
        </w:rPr>
        <w:t xml:space="preserve">         </w:t>
      </w:r>
      <w:r>
        <w:rPr>
          <w:rFonts w:hint="eastAsia" w:ascii="宋体" w:hAnsi="宋体" w:cs="宋体"/>
          <w:b/>
          <w:bCs/>
          <w:sz w:val="36"/>
          <w:szCs w:val="36"/>
        </w:rPr>
        <w:t>采购合同</w:t>
      </w:r>
    </w:p>
    <w:p w14:paraId="5ADD2110">
      <w:pPr>
        <w:spacing w:line="480" w:lineRule="auto"/>
        <w:rPr>
          <w:rFonts w:hint="eastAsia" w:ascii="宋体" w:hAnsi="宋体" w:cs="宋体"/>
          <w:sz w:val="24"/>
        </w:rPr>
      </w:pPr>
    </w:p>
    <w:p w14:paraId="55E1D79D">
      <w:pPr>
        <w:spacing w:line="480" w:lineRule="auto"/>
        <w:rPr>
          <w:rFonts w:hint="eastAsia" w:ascii="宋体" w:hAnsi="宋体" w:cs="宋体"/>
          <w:sz w:val="24"/>
        </w:rPr>
      </w:pPr>
    </w:p>
    <w:p w14:paraId="15A19F15">
      <w:pPr>
        <w:spacing w:line="480" w:lineRule="auto"/>
        <w:rPr>
          <w:rFonts w:hint="eastAsia" w:ascii="宋体" w:hAnsi="宋体" w:cs="宋体"/>
          <w:sz w:val="24"/>
        </w:rPr>
      </w:pPr>
    </w:p>
    <w:p w14:paraId="3AA8E7C7">
      <w:pPr>
        <w:spacing w:line="720" w:lineRule="auto"/>
        <w:rPr>
          <w:rFonts w:ascii="宋体" w:hAnsi="宋体" w:cs="宋体"/>
          <w:b/>
          <w:bCs/>
          <w:sz w:val="30"/>
          <w:szCs w:val="30"/>
        </w:rPr>
      </w:pPr>
      <w:r>
        <w:rPr>
          <w:rFonts w:hint="eastAsia" w:ascii="宋体" w:hAnsi="宋体" w:cs="宋体"/>
          <w:b/>
          <w:bCs/>
          <w:sz w:val="30"/>
          <w:szCs w:val="30"/>
        </w:rPr>
        <w:t>项目名称：</w:t>
      </w:r>
      <w:r>
        <w:rPr>
          <w:rStyle w:val="11"/>
          <w:rFonts w:hint="eastAsia" w:ascii="宋体" w:hAnsi="宋体" w:cs="宋体"/>
          <w:b/>
          <w:bCs w:val="0"/>
          <w:sz w:val="28"/>
          <w:szCs w:val="28"/>
          <w:shd w:val="clear" w:color="auto" w:fill="FFFFFF"/>
        </w:rPr>
        <w:t>广西艺术学院老年大学教学设备</w:t>
      </w:r>
      <w:r>
        <w:rPr>
          <w:rStyle w:val="11"/>
          <w:rFonts w:hint="eastAsia" w:ascii="宋体" w:hAnsi="宋体" w:eastAsia="宋体" w:cs="宋体"/>
          <w:b/>
          <w:bCs w:val="0"/>
          <w:sz w:val="28"/>
          <w:szCs w:val="28"/>
          <w:shd w:val="clear" w:color="auto" w:fill="FFFFFF"/>
          <w:lang w:eastAsia="zh-CN"/>
        </w:rPr>
        <w:t>（</w:t>
      </w:r>
      <w:r>
        <w:rPr>
          <w:rStyle w:val="11"/>
          <w:rFonts w:hint="eastAsia" w:ascii="宋体" w:hAnsi="宋体" w:eastAsia="宋体" w:cs="宋体"/>
          <w:b/>
          <w:bCs w:val="0"/>
          <w:sz w:val="28"/>
          <w:szCs w:val="28"/>
          <w:shd w:val="clear" w:color="auto" w:fill="FFFFFF"/>
          <w:lang w:val="en-US" w:eastAsia="zh-CN"/>
        </w:rPr>
        <w:t>非集采）</w:t>
      </w:r>
      <w:r>
        <w:rPr>
          <w:rStyle w:val="11"/>
          <w:rFonts w:hint="eastAsia" w:ascii="宋体" w:hAnsi="宋体" w:eastAsia="宋体" w:cs="宋体"/>
          <w:b/>
          <w:bCs w:val="0"/>
          <w:sz w:val="28"/>
          <w:szCs w:val="28"/>
          <w:shd w:val="clear" w:color="auto" w:fill="FFFFFF"/>
        </w:rPr>
        <w:t>采</w:t>
      </w:r>
      <w:r>
        <w:rPr>
          <w:rFonts w:hint="eastAsia" w:ascii="宋体" w:hAnsi="宋体" w:cs="宋体"/>
          <w:b/>
          <w:bCs w:val="0"/>
          <w:sz w:val="28"/>
          <w:szCs w:val="28"/>
          <w:shd w:val="clear" w:color="auto" w:fill="FFFFFF"/>
        </w:rPr>
        <w:t>购项目</w:t>
      </w:r>
    </w:p>
    <w:p w14:paraId="3AC9462F">
      <w:pPr>
        <w:spacing w:line="720" w:lineRule="auto"/>
        <w:ind w:right="-313" w:rightChars="-149"/>
        <w:rPr>
          <w:rFonts w:hint="eastAsia" w:ascii="宋体" w:hAnsi="宋体" w:cs="宋体"/>
          <w:b/>
          <w:bCs/>
          <w:sz w:val="30"/>
          <w:szCs w:val="30"/>
        </w:rPr>
      </w:pPr>
      <w:r>
        <w:rPr>
          <w:rFonts w:hint="eastAsia" w:ascii="宋体" w:hAnsi="宋体" w:cs="宋体"/>
          <w:b/>
          <w:bCs/>
          <w:sz w:val="30"/>
          <w:szCs w:val="30"/>
        </w:rPr>
        <w:t>合同编号：</w:t>
      </w:r>
      <w:r>
        <w:rPr>
          <w:rFonts w:hint="eastAsia" w:ascii="宋体" w:hAnsi="宋体" w:cs="宋体"/>
          <w:b/>
          <w:bCs/>
          <w:sz w:val="30"/>
          <w:szCs w:val="30"/>
          <w:u w:val="single"/>
        </w:rPr>
        <w:t xml:space="preserve">                                   </w:t>
      </w:r>
    </w:p>
    <w:p w14:paraId="4AE95E09">
      <w:pPr>
        <w:spacing w:line="720" w:lineRule="auto"/>
        <w:rPr>
          <w:rFonts w:ascii="宋体" w:hAnsi="宋体" w:cs="宋体"/>
          <w:b/>
          <w:bCs/>
          <w:sz w:val="30"/>
          <w:szCs w:val="30"/>
        </w:rPr>
      </w:pPr>
      <w:r>
        <w:rPr>
          <w:rFonts w:hint="eastAsia" w:ascii="宋体" w:hAnsi="宋体" w:cs="宋体"/>
          <w:b/>
          <w:bCs/>
          <w:sz w:val="30"/>
          <w:szCs w:val="30"/>
        </w:rPr>
        <w:t>采购单位（甲方）：</w:t>
      </w:r>
      <w:r>
        <w:rPr>
          <w:rFonts w:hint="eastAsia" w:ascii="宋体" w:hAnsi="宋体" w:cs="宋体"/>
          <w:b/>
          <w:bCs/>
          <w:sz w:val="30"/>
          <w:szCs w:val="30"/>
          <w:u w:val="single"/>
        </w:rPr>
        <w:t xml:space="preserve">广西艺术学院 </w:t>
      </w:r>
    </w:p>
    <w:p w14:paraId="0CB7ACCB">
      <w:pPr>
        <w:spacing w:line="720" w:lineRule="auto"/>
        <w:rPr>
          <w:rFonts w:hint="default" w:ascii="宋体" w:hAnsi="宋体" w:eastAsia="宋体" w:cs="宋体"/>
          <w:b/>
          <w:bCs/>
          <w:sz w:val="28"/>
          <w:szCs w:val="28"/>
          <w:lang w:val="en-US" w:eastAsia="zh-CN"/>
        </w:rPr>
      </w:pPr>
      <w:r>
        <w:rPr>
          <w:rFonts w:hint="eastAsia" w:ascii="宋体" w:hAnsi="宋体" w:cs="宋体"/>
          <w:b/>
          <w:bCs/>
          <w:sz w:val="30"/>
          <w:szCs w:val="30"/>
        </w:rPr>
        <w:t>供 应 商（乙方）：</w:t>
      </w:r>
      <w:r>
        <w:rPr>
          <w:rFonts w:hint="eastAsia" w:ascii="宋体" w:hAnsi="宋体" w:cs="宋体"/>
          <w:b/>
          <w:bCs/>
          <w:sz w:val="30"/>
          <w:szCs w:val="30"/>
          <w:u w:val="single"/>
        </w:rPr>
        <w:t xml:space="preserve"> </w:t>
      </w:r>
      <w:r>
        <w:rPr>
          <w:rFonts w:hint="eastAsia" w:ascii="宋体" w:hAnsi="宋体" w:cs="宋体"/>
          <w:b/>
          <w:bCs/>
          <w:sz w:val="30"/>
          <w:szCs w:val="30"/>
          <w:u w:val="single"/>
          <w:lang w:val="en-US" w:eastAsia="zh-CN"/>
        </w:rPr>
        <w:t xml:space="preserve">                           </w:t>
      </w:r>
    </w:p>
    <w:p w14:paraId="2D183C39">
      <w:pPr>
        <w:rPr>
          <w:rFonts w:hint="eastAsia" w:ascii="宋体" w:hAnsi="宋体" w:cs="宋体"/>
          <w:b/>
          <w:bCs/>
          <w:sz w:val="28"/>
          <w:szCs w:val="28"/>
        </w:rPr>
      </w:pPr>
    </w:p>
    <w:p w14:paraId="649E1C53">
      <w:pPr>
        <w:rPr>
          <w:rFonts w:hint="eastAsia" w:ascii="宋体" w:hAnsi="宋体" w:cs="宋体"/>
          <w:b/>
          <w:bCs/>
          <w:sz w:val="28"/>
          <w:szCs w:val="28"/>
        </w:rPr>
      </w:pPr>
    </w:p>
    <w:p w14:paraId="72AC449B">
      <w:pPr>
        <w:rPr>
          <w:rFonts w:hint="eastAsia" w:ascii="宋体" w:hAnsi="宋体" w:cs="宋体"/>
          <w:b/>
          <w:bCs/>
          <w:sz w:val="28"/>
          <w:szCs w:val="28"/>
        </w:rPr>
      </w:pPr>
    </w:p>
    <w:p w14:paraId="4E4B3C30">
      <w:pPr>
        <w:rPr>
          <w:rFonts w:hint="eastAsia" w:ascii="宋体" w:hAnsi="宋体" w:cs="宋体"/>
          <w:b/>
          <w:bCs/>
          <w:sz w:val="28"/>
          <w:szCs w:val="28"/>
        </w:rPr>
      </w:pPr>
    </w:p>
    <w:p w14:paraId="28DA9BC8">
      <w:pPr>
        <w:rPr>
          <w:rFonts w:hint="eastAsia" w:ascii="宋体" w:hAnsi="宋体" w:cs="宋体"/>
          <w:b/>
          <w:bCs/>
          <w:sz w:val="28"/>
          <w:szCs w:val="28"/>
        </w:rPr>
      </w:pPr>
    </w:p>
    <w:p w14:paraId="7087AE65">
      <w:pPr>
        <w:rPr>
          <w:rFonts w:hint="eastAsia" w:ascii="宋体" w:hAnsi="宋体" w:cs="宋体"/>
          <w:b/>
          <w:bCs/>
          <w:sz w:val="30"/>
          <w:szCs w:val="30"/>
        </w:rPr>
      </w:pPr>
      <w:r>
        <w:rPr>
          <w:rFonts w:hint="eastAsia" w:ascii="宋体" w:hAnsi="宋体" w:cs="宋体"/>
          <w:b/>
          <w:bCs/>
          <w:sz w:val="30"/>
          <w:szCs w:val="30"/>
        </w:rPr>
        <w:t>签订合同地点：    广西南宁市</w:t>
      </w:r>
    </w:p>
    <w:p w14:paraId="0D100BD4">
      <w:pPr>
        <w:rPr>
          <w:rFonts w:hint="eastAsia" w:ascii="宋体" w:hAnsi="宋体" w:cs="宋体"/>
          <w:b/>
          <w:bCs/>
          <w:sz w:val="30"/>
          <w:szCs w:val="30"/>
        </w:rPr>
      </w:pPr>
      <w:r>
        <w:rPr>
          <w:rFonts w:hint="eastAsia" w:ascii="宋体" w:hAnsi="宋体" w:cs="宋体"/>
          <w:b/>
          <w:bCs/>
          <w:sz w:val="30"/>
          <w:szCs w:val="30"/>
        </w:rPr>
        <w:t>签订合同时间：</w:t>
      </w:r>
      <w:r>
        <w:rPr>
          <w:rFonts w:hint="eastAsia" w:ascii="宋体" w:hAnsi="宋体" w:cs="宋体"/>
          <w:b/>
          <w:bCs/>
          <w:sz w:val="30"/>
          <w:szCs w:val="30"/>
          <w:lang w:val="en-US" w:eastAsia="zh-CN"/>
        </w:rPr>
        <w:t xml:space="preserve">     </w:t>
      </w:r>
      <w:r>
        <w:rPr>
          <w:rFonts w:hint="eastAsia" w:ascii="宋体" w:hAnsi="宋体" w:cs="宋体"/>
          <w:b/>
          <w:bCs/>
          <w:sz w:val="30"/>
          <w:szCs w:val="30"/>
        </w:rPr>
        <w:t>年    月    日</w:t>
      </w:r>
    </w:p>
    <w:p w14:paraId="3343261E">
      <w:pPr>
        <w:rPr>
          <w:rFonts w:hint="eastAsia"/>
          <w:b/>
          <w:bCs/>
        </w:rPr>
      </w:pPr>
    </w:p>
    <w:p w14:paraId="499A1509">
      <w:pPr>
        <w:rPr>
          <w:rFonts w:hint="eastAsia"/>
        </w:rPr>
      </w:pPr>
    </w:p>
    <w:p w14:paraId="05350C30">
      <w:pPr>
        <w:snapToGrid w:val="0"/>
        <w:spacing w:line="400" w:lineRule="exact"/>
        <w:jc w:val="center"/>
        <w:rPr>
          <w:rFonts w:hint="eastAsia" w:ascii="宋体" w:hAnsi="宋体"/>
          <w:b/>
          <w:bCs/>
          <w:color w:val="000000"/>
          <w:sz w:val="32"/>
          <w:szCs w:val="32"/>
        </w:rPr>
        <w:sectPr>
          <w:pgSz w:w="11906" w:h="16838"/>
          <w:pgMar w:top="1440" w:right="1686" w:bottom="1440" w:left="1600" w:header="851" w:footer="992" w:gutter="0"/>
          <w:cols w:space="720" w:num="1"/>
          <w:docGrid w:type="lines" w:linePitch="312" w:charSpace="0"/>
        </w:sectPr>
      </w:pPr>
    </w:p>
    <w:p w14:paraId="79BA4873">
      <w:pPr>
        <w:snapToGrid w:val="0"/>
        <w:spacing w:line="400" w:lineRule="exact"/>
        <w:jc w:val="center"/>
        <w:rPr>
          <w:rFonts w:hint="eastAsia" w:ascii="宋体" w:hAnsi="宋体"/>
          <w:b/>
          <w:bCs/>
          <w:color w:val="000000"/>
          <w:sz w:val="32"/>
          <w:szCs w:val="32"/>
        </w:rPr>
      </w:pPr>
      <w:r>
        <w:rPr>
          <w:rFonts w:hint="eastAsia" w:ascii="宋体" w:hAnsi="宋体"/>
          <w:b/>
          <w:bCs/>
          <w:color w:val="000000"/>
          <w:sz w:val="32"/>
          <w:szCs w:val="32"/>
        </w:rPr>
        <w:t>采购合同</w:t>
      </w:r>
      <w:r>
        <w:rPr>
          <w:rFonts w:hint="eastAsia" w:ascii="宋体" w:hAnsi="宋体"/>
          <w:b/>
          <w:color w:val="000000"/>
          <w:sz w:val="32"/>
          <w:szCs w:val="32"/>
        </w:rPr>
        <w:t>文本</w:t>
      </w:r>
    </w:p>
    <w:p w14:paraId="5A675C7B">
      <w:pPr>
        <w:snapToGrid w:val="0"/>
        <w:spacing w:line="400" w:lineRule="exact"/>
        <w:ind w:right="480" w:firstLine="5460" w:firstLineChars="2600"/>
        <w:rPr>
          <w:rFonts w:ascii="宋体" w:hAnsi="宋体" w:cs="宋体"/>
          <w:bCs/>
          <w:color w:val="000000"/>
          <w:szCs w:val="21"/>
          <w:u w:val="single"/>
        </w:rPr>
      </w:pPr>
      <w:r>
        <w:rPr>
          <w:rFonts w:hint="eastAsia" w:ascii="宋体" w:hAnsi="宋体" w:cs="宋体"/>
          <w:bCs/>
          <w:color w:val="000000"/>
          <w:szCs w:val="21"/>
        </w:rPr>
        <w:t>合同编号：</w:t>
      </w:r>
      <w:r>
        <w:rPr>
          <w:rFonts w:hint="eastAsia" w:ascii="宋体" w:hAnsi="宋体" w:cs="宋体"/>
          <w:bCs/>
          <w:color w:val="000000"/>
          <w:szCs w:val="21"/>
          <w:u w:val="single"/>
        </w:rPr>
        <w:t xml:space="preserve">                 </w:t>
      </w:r>
    </w:p>
    <w:p w14:paraId="74EFBF14">
      <w:pPr>
        <w:snapToGrid w:val="0"/>
        <w:spacing w:line="240" w:lineRule="atLeast"/>
        <w:rPr>
          <w:rFonts w:hint="eastAsia" w:ascii="宋体" w:hAnsi="宋体" w:cs="宋体"/>
          <w:color w:val="000000"/>
          <w:sz w:val="24"/>
        </w:rPr>
      </w:pPr>
      <w:r>
        <w:rPr>
          <w:rFonts w:hint="eastAsia" w:ascii="宋体" w:hAnsi="宋体" w:cs="宋体"/>
          <w:color w:val="000000"/>
          <w:sz w:val="24"/>
        </w:rPr>
        <w:t>采购单位（甲方）：</w:t>
      </w:r>
      <w:r>
        <w:rPr>
          <w:rFonts w:hint="eastAsia" w:ascii="宋体" w:hAnsi="宋体" w:cs="宋体"/>
          <w:color w:val="000000"/>
          <w:sz w:val="24"/>
          <w:u w:val="single"/>
        </w:rPr>
        <w:t>广西艺术学院</w:t>
      </w:r>
      <w:r>
        <w:rPr>
          <w:rFonts w:hint="eastAsia" w:ascii="宋体" w:hAnsi="宋体" w:cs="宋体"/>
          <w:color w:val="000000"/>
          <w:sz w:val="24"/>
        </w:rPr>
        <w:t xml:space="preserve">  </w:t>
      </w:r>
    </w:p>
    <w:p w14:paraId="7C183317">
      <w:pPr>
        <w:snapToGrid w:val="0"/>
        <w:spacing w:line="240" w:lineRule="atLeast"/>
        <w:rPr>
          <w:rFonts w:hint="eastAsia" w:ascii="宋体" w:hAnsi="宋体" w:cs="宋体"/>
          <w:color w:val="000000"/>
          <w:sz w:val="24"/>
        </w:rPr>
      </w:pPr>
      <w:r>
        <w:rPr>
          <w:rFonts w:hint="eastAsia" w:ascii="宋体" w:hAnsi="宋体" w:cs="宋体"/>
          <w:color w:val="000000"/>
          <w:sz w:val="24"/>
        </w:rPr>
        <w:t>供 应 商（乙方）：</w:t>
      </w:r>
      <w:r>
        <w:rPr>
          <w:rFonts w:hint="eastAsia" w:ascii="宋体" w:hAnsi="宋体" w:cs="宋体"/>
          <w:color w:val="000000"/>
          <w:sz w:val="24"/>
          <w:u w:val="single"/>
          <w:lang w:val="en-US" w:eastAsia="zh-CN"/>
        </w:rPr>
        <w:t xml:space="preserve">                    </w:t>
      </w:r>
      <w:r>
        <w:rPr>
          <w:rFonts w:hint="eastAsia" w:ascii="宋体" w:hAnsi="宋体" w:cs="宋体"/>
          <w:color w:val="000000"/>
          <w:sz w:val="24"/>
        </w:rPr>
        <w:t xml:space="preserve">  </w:t>
      </w:r>
    </w:p>
    <w:p w14:paraId="051E1DDF">
      <w:pPr>
        <w:spacing w:line="240" w:lineRule="atLeast"/>
        <w:rPr>
          <w:rFonts w:ascii="宋体" w:hAnsi="宋体" w:cs="宋体"/>
          <w:sz w:val="24"/>
        </w:rPr>
      </w:pPr>
      <w:r>
        <w:rPr>
          <w:rFonts w:hint="eastAsia" w:ascii="宋体" w:hAnsi="宋体" w:cs="宋体"/>
          <w:sz w:val="24"/>
        </w:rPr>
        <w:t>项目名称：</w:t>
      </w:r>
      <w:r>
        <w:rPr>
          <w:rFonts w:hint="eastAsia" w:ascii="宋体" w:hAnsi="宋体" w:cs="宋体"/>
          <w:color w:val="000000"/>
          <w:sz w:val="24"/>
        </w:rPr>
        <w:t>广西艺术学院老年大学教学设备</w:t>
      </w:r>
      <w:r>
        <w:rPr>
          <w:rFonts w:hint="eastAsia" w:ascii="宋体" w:hAnsi="宋体" w:cs="宋体"/>
          <w:color w:val="000000"/>
          <w:sz w:val="24"/>
          <w:lang w:eastAsia="zh-CN"/>
        </w:rPr>
        <w:t>（</w:t>
      </w:r>
      <w:r>
        <w:rPr>
          <w:rFonts w:hint="eastAsia" w:ascii="宋体" w:hAnsi="宋体" w:cs="宋体"/>
          <w:color w:val="000000"/>
          <w:sz w:val="24"/>
          <w:lang w:val="en-US" w:eastAsia="zh-CN"/>
        </w:rPr>
        <w:t>非集采）</w:t>
      </w:r>
      <w:r>
        <w:rPr>
          <w:rFonts w:hint="eastAsia" w:ascii="宋体" w:hAnsi="宋体" w:cs="宋体"/>
          <w:color w:val="000000"/>
          <w:sz w:val="24"/>
        </w:rPr>
        <w:t>采购项目</w:t>
      </w:r>
    </w:p>
    <w:p w14:paraId="2DC96CEA">
      <w:pPr>
        <w:snapToGrid w:val="0"/>
        <w:spacing w:line="240" w:lineRule="atLeast"/>
        <w:rPr>
          <w:rFonts w:hint="eastAsia" w:ascii="宋体" w:hAnsi="宋体" w:cs="宋体"/>
          <w:color w:val="000000"/>
          <w:sz w:val="24"/>
          <w:u w:val="single"/>
        </w:rPr>
      </w:pPr>
      <w:r>
        <w:rPr>
          <w:rFonts w:hint="eastAsia" w:ascii="宋体" w:hAnsi="宋体" w:cs="宋体"/>
          <w:color w:val="000000"/>
          <w:sz w:val="24"/>
        </w:rPr>
        <w:t>签订地点：</w:t>
      </w:r>
      <w:r>
        <w:rPr>
          <w:rFonts w:hint="eastAsia" w:ascii="宋体" w:hAnsi="宋体" w:cs="宋体"/>
          <w:color w:val="000000"/>
          <w:sz w:val="24"/>
          <w:u w:val="single"/>
        </w:rPr>
        <w:t>广西南宁市</w:t>
      </w:r>
      <w:r>
        <w:rPr>
          <w:rFonts w:hint="eastAsia" w:ascii="宋体" w:hAnsi="宋体" w:cs="宋体"/>
          <w:color w:val="000000"/>
          <w:sz w:val="24"/>
        </w:rPr>
        <w:t xml:space="preserve">                      签订时间：</w:t>
      </w:r>
      <w:r>
        <w:rPr>
          <w:rFonts w:hint="eastAsia" w:ascii="宋体" w:hAnsi="宋体" w:cs="宋体"/>
          <w:color w:val="000000"/>
          <w:sz w:val="24"/>
          <w:u w:val="single"/>
        </w:rPr>
        <w:t xml:space="preserve"> </w:t>
      </w:r>
      <w:r>
        <w:rPr>
          <w:rFonts w:hint="eastAsia" w:ascii="宋体" w:hAnsi="宋体" w:cs="宋体"/>
          <w:color w:val="000000"/>
          <w:sz w:val="24"/>
          <w:u w:val="single"/>
          <w:lang w:val="en-US" w:eastAsia="zh-CN"/>
        </w:rPr>
        <w:t xml:space="preserve">     </w:t>
      </w:r>
      <w:r>
        <w:rPr>
          <w:rFonts w:hint="eastAsia" w:ascii="宋体" w:hAnsi="宋体" w:cs="宋体"/>
          <w:color w:val="000000"/>
          <w:sz w:val="24"/>
          <w:u w:val="single"/>
        </w:rPr>
        <w:t>年  月    日</w:t>
      </w:r>
    </w:p>
    <w:p w14:paraId="5E41E6A2">
      <w:pPr>
        <w:snapToGrid w:val="0"/>
        <w:spacing w:line="360" w:lineRule="auto"/>
        <w:ind w:firstLine="480" w:firstLineChars="200"/>
        <w:rPr>
          <w:rFonts w:hint="eastAsia" w:ascii="宋体" w:hAnsi="宋体" w:cs="宋体"/>
          <w:color w:val="000000"/>
          <w:sz w:val="24"/>
        </w:rPr>
      </w:pPr>
    </w:p>
    <w:p w14:paraId="15AABEE2">
      <w:pPr>
        <w:snapToGrid w:val="0"/>
        <w:spacing w:line="360" w:lineRule="auto"/>
        <w:ind w:firstLine="480" w:firstLineChars="200"/>
        <w:rPr>
          <w:rFonts w:hint="eastAsia" w:ascii="宋体" w:hAnsi="宋体" w:cs="宋体"/>
          <w:color w:val="000000"/>
          <w:sz w:val="24"/>
        </w:rPr>
      </w:pPr>
      <w:r>
        <w:rPr>
          <w:rFonts w:hint="eastAsia" w:ascii="宋体" w:hAnsi="宋体" w:cs="宋体"/>
          <w:color w:val="000000"/>
          <w:sz w:val="24"/>
        </w:rPr>
        <w:t>根据《中华人民共和国政府采购法》、《中华人民共和国民法典》等法律、法规规定，按照竞争性谈判文件规定条款和成交供应商承诺，甲乙双方签订本合同。</w:t>
      </w:r>
    </w:p>
    <w:p w14:paraId="7CC2E2F4">
      <w:pPr>
        <w:snapToGrid w:val="0"/>
        <w:spacing w:line="360" w:lineRule="auto"/>
        <w:ind w:firstLine="482" w:firstLineChars="200"/>
        <w:rPr>
          <w:rFonts w:hint="eastAsia" w:ascii="宋体" w:hAnsi="宋体" w:cs="宋体"/>
          <w:b/>
          <w:color w:val="000000"/>
          <w:sz w:val="24"/>
        </w:rPr>
      </w:pPr>
      <w:r>
        <w:rPr>
          <w:rFonts w:hint="eastAsia" w:ascii="宋体" w:hAnsi="宋体" w:cs="宋体"/>
          <w:b/>
          <w:color w:val="000000"/>
          <w:sz w:val="24"/>
        </w:rPr>
        <w:t>第一条</w:t>
      </w:r>
      <w:r>
        <w:rPr>
          <w:rFonts w:hint="eastAsia" w:ascii="宋体" w:hAnsi="宋体" w:cs="宋体"/>
          <w:b/>
          <w:color w:val="000000"/>
          <w:sz w:val="24"/>
          <w:lang w:val="en-US" w:eastAsia="zh-CN"/>
        </w:rPr>
        <w:t xml:space="preserve"> </w:t>
      </w:r>
      <w:r>
        <w:rPr>
          <w:rFonts w:hint="eastAsia" w:ascii="宋体" w:hAnsi="宋体" w:cs="宋体"/>
          <w:b/>
          <w:color w:val="000000"/>
          <w:sz w:val="24"/>
        </w:rPr>
        <w:t>合同标的</w:t>
      </w:r>
    </w:p>
    <w:p w14:paraId="18F195B2">
      <w:pPr>
        <w:snapToGrid w:val="0"/>
        <w:spacing w:line="360" w:lineRule="auto"/>
        <w:ind w:firstLine="480" w:firstLineChars="200"/>
        <w:rPr>
          <w:rFonts w:hint="eastAsia" w:ascii="宋体" w:hAnsi="宋体" w:cs="宋体"/>
          <w:color w:val="000000"/>
          <w:sz w:val="24"/>
        </w:rPr>
      </w:pPr>
      <w:r>
        <w:rPr>
          <w:rFonts w:hint="eastAsia" w:ascii="宋体" w:hAnsi="宋体" w:cs="宋体"/>
          <w:color w:val="000000"/>
          <w:sz w:val="24"/>
        </w:rPr>
        <w:t>1.供货一览表</w:t>
      </w:r>
    </w:p>
    <w:tbl>
      <w:tblPr>
        <w:tblStyle w:val="9"/>
        <w:tblW w:w="92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1776"/>
        <w:gridCol w:w="2720"/>
        <w:gridCol w:w="690"/>
        <w:gridCol w:w="705"/>
        <w:gridCol w:w="1215"/>
        <w:gridCol w:w="1504"/>
      </w:tblGrid>
      <w:tr w14:paraId="1B12F283">
        <w:tblPrEx>
          <w:tblCellMar>
            <w:top w:w="0" w:type="dxa"/>
            <w:left w:w="108" w:type="dxa"/>
            <w:bottom w:w="0" w:type="dxa"/>
            <w:right w:w="108" w:type="dxa"/>
          </w:tblCellMar>
        </w:tblPrEx>
        <w:trPr>
          <w:cantSplit/>
          <w:trHeight w:val="549" w:hRule="atLeast"/>
          <w:jc w:val="center"/>
        </w:trPr>
        <w:tc>
          <w:tcPr>
            <w:tcW w:w="673" w:type="dxa"/>
            <w:noWrap w:val="0"/>
            <w:vAlign w:val="center"/>
          </w:tcPr>
          <w:p w14:paraId="0AD15325">
            <w:pPr>
              <w:snapToGrid w:val="0"/>
              <w:jc w:val="center"/>
              <w:rPr>
                <w:rFonts w:hint="eastAsia" w:ascii="宋体" w:hAnsi="宋体" w:cs="宋体"/>
                <w:b/>
                <w:bCs/>
                <w:color w:val="000000"/>
                <w:szCs w:val="21"/>
              </w:rPr>
            </w:pPr>
            <w:r>
              <w:rPr>
                <w:rFonts w:hint="eastAsia" w:ascii="宋体" w:hAnsi="宋体" w:cs="宋体"/>
                <w:b/>
                <w:bCs/>
                <w:color w:val="000000"/>
                <w:szCs w:val="21"/>
              </w:rPr>
              <w:t>序号</w:t>
            </w:r>
          </w:p>
        </w:tc>
        <w:tc>
          <w:tcPr>
            <w:tcW w:w="1776" w:type="dxa"/>
            <w:noWrap w:val="0"/>
            <w:vAlign w:val="center"/>
          </w:tcPr>
          <w:p w14:paraId="00FB0700">
            <w:pPr>
              <w:snapToGrid w:val="0"/>
              <w:jc w:val="center"/>
              <w:rPr>
                <w:rFonts w:hint="eastAsia" w:ascii="宋体" w:hAnsi="宋体" w:cs="宋体"/>
                <w:b/>
                <w:bCs/>
                <w:color w:val="000000"/>
                <w:szCs w:val="21"/>
              </w:rPr>
            </w:pPr>
            <w:r>
              <w:rPr>
                <w:rFonts w:hint="eastAsia" w:ascii="宋体" w:hAnsi="宋体" w:cs="宋体"/>
                <w:b/>
                <w:bCs/>
                <w:color w:val="000000"/>
                <w:szCs w:val="21"/>
              </w:rPr>
              <w:t>设备名称</w:t>
            </w:r>
          </w:p>
        </w:tc>
        <w:tc>
          <w:tcPr>
            <w:tcW w:w="2720" w:type="dxa"/>
            <w:noWrap w:val="0"/>
            <w:vAlign w:val="center"/>
          </w:tcPr>
          <w:p w14:paraId="26296B60">
            <w:pPr>
              <w:snapToGrid w:val="0"/>
              <w:jc w:val="center"/>
              <w:rPr>
                <w:rFonts w:hint="eastAsia" w:ascii="宋体" w:hAnsi="宋体" w:cs="宋体"/>
                <w:b/>
                <w:bCs/>
                <w:color w:val="000000"/>
                <w:szCs w:val="21"/>
              </w:rPr>
            </w:pPr>
            <w:r>
              <w:rPr>
                <w:rFonts w:hint="eastAsia" w:ascii="宋体" w:hAnsi="宋体" w:cs="宋体"/>
                <w:b/>
                <w:bCs/>
                <w:color w:val="000000"/>
                <w:szCs w:val="21"/>
              </w:rPr>
              <w:t>品牌、规格型号</w:t>
            </w:r>
          </w:p>
        </w:tc>
        <w:tc>
          <w:tcPr>
            <w:tcW w:w="690" w:type="dxa"/>
            <w:noWrap w:val="0"/>
            <w:vAlign w:val="center"/>
          </w:tcPr>
          <w:p w14:paraId="33F35DCC">
            <w:pPr>
              <w:snapToGrid w:val="0"/>
              <w:jc w:val="center"/>
              <w:rPr>
                <w:rFonts w:hint="eastAsia" w:ascii="宋体" w:hAnsi="宋体" w:cs="宋体"/>
                <w:b/>
                <w:bCs/>
                <w:color w:val="000000"/>
                <w:szCs w:val="21"/>
              </w:rPr>
            </w:pPr>
            <w:r>
              <w:rPr>
                <w:rFonts w:hint="eastAsia" w:ascii="宋体" w:hAnsi="宋体" w:cs="宋体"/>
                <w:b/>
                <w:bCs/>
                <w:color w:val="000000"/>
                <w:szCs w:val="21"/>
              </w:rPr>
              <w:t>数量</w:t>
            </w:r>
          </w:p>
        </w:tc>
        <w:tc>
          <w:tcPr>
            <w:tcW w:w="705" w:type="dxa"/>
            <w:noWrap w:val="0"/>
            <w:vAlign w:val="center"/>
          </w:tcPr>
          <w:p w14:paraId="63750563">
            <w:pPr>
              <w:snapToGrid w:val="0"/>
              <w:jc w:val="center"/>
              <w:rPr>
                <w:rFonts w:hint="eastAsia" w:ascii="宋体" w:hAnsi="宋体" w:cs="宋体"/>
                <w:b/>
                <w:bCs/>
                <w:color w:val="000000"/>
                <w:szCs w:val="21"/>
              </w:rPr>
            </w:pPr>
            <w:r>
              <w:rPr>
                <w:rFonts w:hint="eastAsia" w:ascii="宋体" w:hAnsi="宋体" w:cs="宋体"/>
                <w:b/>
                <w:bCs/>
                <w:color w:val="000000"/>
                <w:szCs w:val="21"/>
              </w:rPr>
              <w:t>单位</w:t>
            </w:r>
          </w:p>
        </w:tc>
        <w:tc>
          <w:tcPr>
            <w:tcW w:w="1215" w:type="dxa"/>
            <w:noWrap w:val="0"/>
            <w:vAlign w:val="center"/>
          </w:tcPr>
          <w:p w14:paraId="77E25147">
            <w:pPr>
              <w:snapToGrid w:val="0"/>
              <w:jc w:val="center"/>
              <w:rPr>
                <w:rFonts w:hint="eastAsia" w:ascii="宋体" w:hAnsi="宋体" w:cs="宋体"/>
                <w:b/>
                <w:bCs/>
                <w:color w:val="000000"/>
                <w:szCs w:val="21"/>
              </w:rPr>
            </w:pPr>
            <w:r>
              <w:rPr>
                <w:rFonts w:hint="eastAsia" w:ascii="宋体" w:hAnsi="宋体" w:cs="宋体"/>
                <w:b/>
                <w:bCs/>
                <w:color w:val="000000"/>
                <w:szCs w:val="21"/>
              </w:rPr>
              <w:t>单价（元）</w:t>
            </w:r>
          </w:p>
        </w:tc>
        <w:tc>
          <w:tcPr>
            <w:tcW w:w="1504" w:type="dxa"/>
            <w:noWrap w:val="0"/>
            <w:vAlign w:val="center"/>
          </w:tcPr>
          <w:p w14:paraId="73A843DE">
            <w:pPr>
              <w:snapToGrid w:val="0"/>
              <w:jc w:val="center"/>
              <w:rPr>
                <w:rFonts w:hint="eastAsia" w:ascii="宋体" w:hAnsi="宋体" w:cs="宋体"/>
                <w:b/>
                <w:bCs/>
                <w:color w:val="000000"/>
                <w:szCs w:val="21"/>
              </w:rPr>
            </w:pPr>
            <w:r>
              <w:rPr>
                <w:rFonts w:hint="eastAsia" w:ascii="宋体" w:hAnsi="宋体" w:cs="宋体"/>
                <w:b/>
                <w:bCs/>
                <w:color w:val="000000"/>
                <w:szCs w:val="21"/>
              </w:rPr>
              <w:t>金额（元）</w:t>
            </w:r>
          </w:p>
        </w:tc>
      </w:tr>
      <w:tr w14:paraId="752D6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7" w:hRule="atLeast"/>
          <w:jc w:val="center"/>
        </w:trPr>
        <w:tc>
          <w:tcPr>
            <w:tcW w:w="673" w:type="dxa"/>
            <w:noWrap w:val="0"/>
            <w:vAlign w:val="center"/>
          </w:tcPr>
          <w:p w14:paraId="435F416F">
            <w:pPr>
              <w:pStyle w:val="6"/>
              <w:jc w:val="center"/>
              <w:rPr>
                <w:rFonts w:hint="eastAsia" w:ascii="宋体" w:hAnsi="宋体" w:cs="宋体"/>
                <w:color w:val="000000"/>
                <w:sz w:val="21"/>
                <w:szCs w:val="21"/>
              </w:rPr>
            </w:pPr>
            <w:r>
              <w:rPr>
                <w:rFonts w:hint="eastAsia" w:ascii="宋体" w:hAnsi="宋体" w:cs="宋体"/>
                <w:sz w:val="21"/>
                <w:szCs w:val="21"/>
              </w:rPr>
              <w:t>1</w:t>
            </w:r>
          </w:p>
        </w:tc>
        <w:tc>
          <w:tcPr>
            <w:tcW w:w="1776" w:type="dxa"/>
            <w:noWrap w:val="0"/>
            <w:vAlign w:val="center"/>
          </w:tcPr>
          <w:p w14:paraId="3968D215">
            <w:pPr>
              <w:widowControl/>
              <w:jc w:val="center"/>
              <w:rPr>
                <w:rFonts w:hint="eastAsia" w:ascii="宋体" w:hAnsi="宋体" w:cs="宋体"/>
                <w:color w:val="000000"/>
                <w:szCs w:val="21"/>
              </w:rPr>
            </w:pPr>
          </w:p>
        </w:tc>
        <w:tc>
          <w:tcPr>
            <w:tcW w:w="2720" w:type="dxa"/>
            <w:noWrap w:val="0"/>
            <w:vAlign w:val="center"/>
          </w:tcPr>
          <w:p w14:paraId="4277131D">
            <w:pPr>
              <w:widowControl/>
              <w:jc w:val="center"/>
              <w:rPr>
                <w:rFonts w:hint="eastAsia" w:ascii="宋体" w:hAnsi="宋体" w:cs="宋体"/>
                <w:szCs w:val="21"/>
              </w:rPr>
            </w:pPr>
          </w:p>
        </w:tc>
        <w:tc>
          <w:tcPr>
            <w:tcW w:w="690" w:type="dxa"/>
            <w:noWrap w:val="0"/>
            <w:vAlign w:val="center"/>
          </w:tcPr>
          <w:p w14:paraId="61332F51">
            <w:pPr>
              <w:widowControl/>
              <w:jc w:val="center"/>
              <w:rPr>
                <w:rFonts w:hint="eastAsia" w:ascii="宋体" w:hAnsi="宋体" w:cs="宋体"/>
                <w:color w:val="000000"/>
                <w:szCs w:val="21"/>
              </w:rPr>
            </w:pPr>
          </w:p>
        </w:tc>
        <w:tc>
          <w:tcPr>
            <w:tcW w:w="705" w:type="dxa"/>
            <w:noWrap w:val="0"/>
            <w:vAlign w:val="center"/>
          </w:tcPr>
          <w:p w14:paraId="759DD8DE">
            <w:pPr>
              <w:widowControl/>
              <w:jc w:val="center"/>
              <w:rPr>
                <w:rFonts w:hint="eastAsia" w:ascii="宋体" w:hAnsi="宋体" w:cs="宋体"/>
                <w:color w:val="000000"/>
                <w:szCs w:val="21"/>
              </w:rPr>
            </w:pPr>
          </w:p>
        </w:tc>
        <w:tc>
          <w:tcPr>
            <w:tcW w:w="1215" w:type="dxa"/>
            <w:noWrap w:val="0"/>
            <w:vAlign w:val="center"/>
          </w:tcPr>
          <w:p w14:paraId="0693956B">
            <w:pPr>
              <w:widowControl/>
              <w:jc w:val="right"/>
              <w:textAlignment w:val="center"/>
              <w:rPr>
                <w:rFonts w:ascii="宋体" w:hAnsi="宋体" w:cs="宋体"/>
                <w:szCs w:val="21"/>
              </w:rPr>
            </w:pPr>
          </w:p>
        </w:tc>
        <w:tc>
          <w:tcPr>
            <w:tcW w:w="1504" w:type="dxa"/>
            <w:noWrap w:val="0"/>
            <w:vAlign w:val="center"/>
          </w:tcPr>
          <w:p w14:paraId="5173061B">
            <w:pPr>
              <w:widowControl/>
              <w:jc w:val="right"/>
              <w:textAlignment w:val="center"/>
              <w:rPr>
                <w:rFonts w:ascii="宋体" w:hAnsi="宋体" w:cs="宋体"/>
                <w:szCs w:val="21"/>
              </w:rPr>
            </w:pPr>
          </w:p>
        </w:tc>
      </w:tr>
      <w:tr w14:paraId="2C7AB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9" w:hRule="atLeast"/>
          <w:jc w:val="center"/>
        </w:trPr>
        <w:tc>
          <w:tcPr>
            <w:tcW w:w="673" w:type="dxa"/>
            <w:noWrap w:val="0"/>
            <w:vAlign w:val="center"/>
          </w:tcPr>
          <w:p w14:paraId="65FD9917">
            <w:pPr>
              <w:pStyle w:val="6"/>
              <w:jc w:val="center"/>
              <w:rPr>
                <w:rFonts w:hint="eastAsia" w:ascii="宋体" w:hAnsi="宋体" w:cs="宋体"/>
                <w:color w:val="000000"/>
                <w:sz w:val="21"/>
                <w:szCs w:val="21"/>
              </w:rPr>
            </w:pPr>
            <w:r>
              <w:rPr>
                <w:rFonts w:hint="eastAsia" w:ascii="宋体" w:hAnsi="宋体" w:cs="宋体"/>
                <w:sz w:val="21"/>
                <w:szCs w:val="21"/>
              </w:rPr>
              <w:t>2</w:t>
            </w:r>
          </w:p>
        </w:tc>
        <w:tc>
          <w:tcPr>
            <w:tcW w:w="1776" w:type="dxa"/>
            <w:noWrap w:val="0"/>
            <w:vAlign w:val="center"/>
          </w:tcPr>
          <w:p w14:paraId="2075A79C">
            <w:pPr>
              <w:widowControl/>
              <w:jc w:val="center"/>
              <w:rPr>
                <w:rFonts w:hint="eastAsia" w:ascii="宋体" w:hAnsi="宋体" w:cs="宋体"/>
                <w:color w:val="000000"/>
                <w:szCs w:val="21"/>
              </w:rPr>
            </w:pPr>
          </w:p>
        </w:tc>
        <w:tc>
          <w:tcPr>
            <w:tcW w:w="2720" w:type="dxa"/>
            <w:noWrap w:val="0"/>
            <w:vAlign w:val="center"/>
          </w:tcPr>
          <w:p w14:paraId="1BEC2E88">
            <w:pPr>
              <w:widowControl/>
              <w:jc w:val="center"/>
              <w:rPr>
                <w:rFonts w:hint="eastAsia" w:ascii="宋体" w:hAnsi="宋体" w:cs="宋体"/>
                <w:szCs w:val="21"/>
              </w:rPr>
            </w:pPr>
          </w:p>
        </w:tc>
        <w:tc>
          <w:tcPr>
            <w:tcW w:w="690" w:type="dxa"/>
            <w:noWrap w:val="0"/>
            <w:vAlign w:val="center"/>
          </w:tcPr>
          <w:p w14:paraId="63DEBE14">
            <w:pPr>
              <w:widowControl/>
              <w:jc w:val="center"/>
              <w:rPr>
                <w:rFonts w:hint="eastAsia" w:ascii="宋体" w:hAnsi="宋体" w:cs="宋体"/>
                <w:color w:val="000000"/>
                <w:szCs w:val="21"/>
              </w:rPr>
            </w:pPr>
          </w:p>
        </w:tc>
        <w:tc>
          <w:tcPr>
            <w:tcW w:w="705" w:type="dxa"/>
            <w:noWrap w:val="0"/>
            <w:vAlign w:val="center"/>
          </w:tcPr>
          <w:p w14:paraId="71BDA3F1">
            <w:pPr>
              <w:widowControl/>
              <w:jc w:val="center"/>
              <w:rPr>
                <w:rFonts w:hint="eastAsia" w:ascii="宋体" w:hAnsi="宋体" w:cs="宋体"/>
                <w:color w:val="000000"/>
                <w:szCs w:val="21"/>
              </w:rPr>
            </w:pPr>
          </w:p>
        </w:tc>
        <w:tc>
          <w:tcPr>
            <w:tcW w:w="1215" w:type="dxa"/>
            <w:noWrap w:val="0"/>
            <w:vAlign w:val="center"/>
          </w:tcPr>
          <w:p w14:paraId="7C50DEB4">
            <w:pPr>
              <w:widowControl/>
              <w:jc w:val="right"/>
              <w:textAlignment w:val="center"/>
              <w:rPr>
                <w:rFonts w:ascii="宋体" w:hAnsi="宋体" w:cs="宋体"/>
                <w:szCs w:val="21"/>
              </w:rPr>
            </w:pPr>
          </w:p>
        </w:tc>
        <w:tc>
          <w:tcPr>
            <w:tcW w:w="1504" w:type="dxa"/>
            <w:noWrap w:val="0"/>
            <w:vAlign w:val="center"/>
          </w:tcPr>
          <w:p w14:paraId="6C2E639C">
            <w:pPr>
              <w:widowControl/>
              <w:jc w:val="right"/>
              <w:textAlignment w:val="center"/>
              <w:rPr>
                <w:rFonts w:ascii="宋体" w:hAnsi="宋体" w:cs="宋体"/>
                <w:szCs w:val="21"/>
              </w:rPr>
            </w:pPr>
          </w:p>
        </w:tc>
      </w:tr>
      <w:tr w14:paraId="38D7C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9" w:hRule="atLeast"/>
          <w:jc w:val="center"/>
        </w:trPr>
        <w:tc>
          <w:tcPr>
            <w:tcW w:w="673" w:type="dxa"/>
            <w:noWrap w:val="0"/>
            <w:vAlign w:val="center"/>
          </w:tcPr>
          <w:p w14:paraId="53AB6043">
            <w:pPr>
              <w:pStyle w:val="6"/>
              <w:jc w:val="center"/>
              <w:rPr>
                <w:rFonts w:hint="eastAsia" w:ascii="宋体" w:hAnsi="宋体" w:cs="宋体"/>
                <w:color w:val="000000"/>
                <w:sz w:val="21"/>
                <w:szCs w:val="21"/>
              </w:rPr>
            </w:pPr>
            <w:r>
              <w:rPr>
                <w:rFonts w:hint="eastAsia" w:ascii="宋体" w:hAnsi="宋体" w:cs="宋体"/>
                <w:sz w:val="21"/>
                <w:szCs w:val="21"/>
              </w:rPr>
              <w:t>3</w:t>
            </w:r>
          </w:p>
        </w:tc>
        <w:tc>
          <w:tcPr>
            <w:tcW w:w="1776" w:type="dxa"/>
            <w:noWrap w:val="0"/>
            <w:vAlign w:val="center"/>
          </w:tcPr>
          <w:p w14:paraId="7CBDF71C">
            <w:pPr>
              <w:widowControl/>
              <w:jc w:val="center"/>
              <w:rPr>
                <w:rFonts w:hint="eastAsia" w:ascii="宋体" w:hAnsi="宋体" w:cs="宋体"/>
                <w:color w:val="000000"/>
                <w:szCs w:val="21"/>
              </w:rPr>
            </w:pPr>
          </w:p>
        </w:tc>
        <w:tc>
          <w:tcPr>
            <w:tcW w:w="2720" w:type="dxa"/>
            <w:noWrap w:val="0"/>
            <w:vAlign w:val="center"/>
          </w:tcPr>
          <w:p w14:paraId="6AE3AB28">
            <w:pPr>
              <w:widowControl/>
              <w:jc w:val="center"/>
              <w:rPr>
                <w:rFonts w:hint="eastAsia" w:ascii="宋体" w:hAnsi="宋体" w:cs="宋体"/>
                <w:szCs w:val="21"/>
              </w:rPr>
            </w:pPr>
          </w:p>
        </w:tc>
        <w:tc>
          <w:tcPr>
            <w:tcW w:w="690" w:type="dxa"/>
            <w:noWrap w:val="0"/>
            <w:vAlign w:val="center"/>
          </w:tcPr>
          <w:p w14:paraId="2DBE3ED8">
            <w:pPr>
              <w:widowControl/>
              <w:jc w:val="center"/>
              <w:rPr>
                <w:rFonts w:hint="eastAsia" w:ascii="宋体" w:hAnsi="宋体" w:cs="宋体"/>
                <w:color w:val="000000"/>
                <w:szCs w:val="21"/>
              </w:rPr>
            </w:pPr>
          </w:p>
        </w:tc>
        <w:tc>
          <w:tcPr>
            <w:tcW w:w="705" w:type="dxa"/>
            <w:noWrap w:val="0"/>
            <w:vAlign w:val="center"/>
          </w:tcPr>
          <w:p w14:paraId="6D9B1FBB">
            <w:pPr>
              <w:widowControl/>
              <w:jc w:val="center"/>
              <w:rPr>
                <w:rFonts w:hint="eastAsia" w:ascii="宋体" w:hAnsi="宋体" w:cs="宋体"/>
                <w:color w:val="000000"/>
                <w:szCs w:val="21"/>
              </w:rPr>
            </w:pPr>
          </w:p>
        </w:tc>
        <w:tc>
          <w:tcPr>
            <w:tcW w:w="1215" w:type="dxa"/>
            <w:noWrap w:val="0"/>
            <w:vAlign w:val="center"/>
          </w:tcPr>
          <w:p w14:paraId="4CA4F860">
            <w:pPr>
              <w:widowControl/>
              <w:jc w:val="right"/>
              <w:textAlignment w:val="center"/>
              <w:rPr>
                <w:rFonts w:ascii="宋体" w:hAnsi="宋体" w:cs="宋体"/>
                <w:szCs w:val="21"/>
              </w:rPr>
            </w:pPr>
          </w:p>
        </w:tc>
        <w:tc>
          <w:tcPr>
            <w:tcW w:w="1504" w:type="dxa"/>
            <w:noWrap w:val="0"/>
            <w:vAlign w:val="center"/>
          </w:tcPr>
          <w:p w14:paraId="3669C561">
            <w:pPr>
              <w:widowControl/>
              <w:jc w:val="right"/>
              <w:textAlignment w:val="center"/>
              <w:rPr>
                <w:rFonts w:ascii="宋体" w:hAnsi="宋体" w:cs="宋体"/>
                <w:szCs w:val="21"/>
              </w:rPr>
            </w:pPr>
          </w:p>
        </w:tc>
      </w:tr>
      <w:tr w14:paraId="04055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4" w:hRule="atLeast"/>
          <w:jc w:val="center"/>
        </w:trPr>
        <w:tc>
          <w:tcPr>
            <w:tcW w:w="673" w:type="dxa"/>
            <w:noWrap w:val="0"/>
            <w:vAlign w:val="center"/>
          </w:tcPr>
          <w:p w14:paraId="76F6D1DD">
            <w:pPr>
              <w:pStyle w:val="6"/>
              <w:jc w:val="center"/>
              <w:rPr>
                <w:rFonts w:hint="eastAsia" w:ascii="宋体" w:hAnsi="宋体" w:cs="宋体"/>
                <w:color w:val="000000"/>
                <w:sz w:val="21"/>
                <w:szCs w:val="21"/>
              </w:rPr>
            </w:pPr>
            <w:r>
              <w:rPr>
                <w:rFonts w:hint="eastAsia" w:ascii="宋体" w:hAnsi="宋体" w:cs="宋体"/>
                <w:sz w:val="21"/>
                <w:szCs w:val="21"/>
              </w:rPr>
              <w:t>4</w:t>
            </w:r>
          </w:p>
        </w:tc>
        <w:tc>
          <w:tcPr>
            <w:tcW w:w="1776" w:type="dxa"/>
            <w:noWrap w:val="0"/>
            <w:vAlign w:val="center"/>
          </w:tcPr>
          <w:p w14:paraId="29E3C8A8">
            <w:pPr>
              <w:widowControl/>
              <w:jc w:val="center"/>
              <w:rPr>
                <w:rFonts w:hint="eastAsia" w:ascii="宋体" w:hAnsi="宋体" w:cs="宋体"/>
                <w:color w:val="000000"/>
                <w:szCs w:val="21"/>
              </w:rPr>
            </w:pPr>
          </w:p>
        </w:tc>
        <w:tc>
          <w:tcPr>
            <w:tcW w:w="2720" w:type="dxa"/>
            <w:noWrap w:val="0"/>
            <w:vAlign w:val="center"/>
          </w:tcPr>
          <w:p w14:paraId="510F945C">
            <w:pPr>
              <w:pStyle w:val="6"/>
              <w:jc w:val="center"/>
              <w:rPr>
                <w:rFonts w:hint="eastAsia"/>
                <w:sz w:val="21"/>
                <w:szCs w:val="21"/>
              </w:rPr>
            </w:pPr>
          </w:p>
        </w:tc>
        <w:tc>
          <w:tcPr>
            <w:tcW w:w="690" w:type="dxa"/>
            <w:noWrap w:val="0"/>
            <w:vAlign w:val="center"/>
          </w:tcPr>
          <w:p w14:paraId="6F268803">
            <w:pPr>
              <w:widowControl/>
              <w:jc w:val="center"/>
              <w:rPr>
                <w:rFonts w:hint="eastAsia" w:ascii="宋体" w:hAnsi="宋体" w:cs="宋体"/>
                <w:color w:val="000000"/>
                <w:szCs w:val="21"/>
              </w:rPr>
            </w:pPr>
          </w:p>
        </w:tc>
        <w:tc>
          <w:tcPr>
            <w:tcW w:w="705" w:type="dxa"/>
            <w:noWrap w:val="0"/>
            <w:vAlign w:val="center"/>
          </w:tcPr>
          <w:p w14:paraId="0895836E">
            <w:pPr>
              <w:widowControl/>
              <w:jc w:val="center"/>
              <w:rPr>
                <w:rFonts w:hint="eastAsia" w:ascii="宋体" w:hAnsi="宋体" w:cs="宋体"/>
                <w:color w:val="000000"/>
                <w:szCs w:val="21"/>
              </w:rPr>
            </w:pPr>
          </w:p>
        </w:tc>
        <w:tc>
          <w:tcPr>
            <w:tcW w:w="1215" w:type="dxa"/>
            <w:noWrap w:val="0"/>
            <w:vAlign w:val="center"/>
          </w:tcPr>
          <w:p w14:paraId="1673A07C">
            <w:pPr>
              <w:widowControl/>
              <w:jc w:val="right"/>
              <w:textAlignment w:val="center"/>
              <w:rPr>
                <w:rFonts w:hint="eastAsia" w:ascii="宋体" w:hAnsi="宋体" w:cs="宋体"/>
                <w:szCs w:val="21"/>
              </w:rPr>
            </w:pPr>
          </w:p>
        </w:tc>
        <w:tc>
          <w:tcPr>
            <w:tcW w:w="1504" w:type="dxa"/>
            <w:noWrap w:val="0"/>
            <w:vAlign w:val="center"/>
          </w:tcPr>
          <w:p w14:paraId="0D556426">
            <w:pPr>
              <w:widowControl/>
              <w:jc w:val="right"/>
              <w:textAlignment w:val="center"/>
              <w:rPr>
                <w:rFonts w:hint="eastAsia" w:ascii="宋体" w:hAnsi="宋体" w:cs="宋体"/>
                <w:szCs w:val="21"/>
              </w:rPr>
            </w:pPr>
          </w:p>
        </w:tc>
      </w:tr>
      <w:tr w14:paraId="4CAC2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9" w:hRule="atLeast"/>
          <w:jc w:val="center"/>
        </w:trPr>
        <w:tc>
          <w:tcPr>
            <w:tcW w:w="673" w:type="dxa"/>
            <w:noWrap w:val="0"/>
            <w:vAlign w:val="center"/>
          </w:tcPr>
          <w:p w14:paraId="49C44615">
            <w:pPr>
              <w:pStyle w:val="6"/>
              <w:jc w:val="center"/>
              <w:rPr>
                <w:rFonts w:hint="eastAsia" w:ascii="宋体" w:hAnsi="宋体" w:cs="宋体"/>
                <w:color w:val="000000"/>
                <w:sz w:val="21"/>
                <w:szCs w:val="21"/>
              </w:rPr>
            </w:pPr>
            <w:r>
              <w:rPr>
                <w:rFonts w:hint="eastAsia" w:ascii="宋体" w:hAnsi="宋体" w:cs="宋体"/>
                <w:sz w:val="21"/>
                <w:szCs w:val="21"/>
              </w:rPr>
              <w:t>5</w:t>
            </w:r>
          </w:p>
        </w:tc>
        <w:tc>
          <w:tcPr>
            <w:tcW w:w="1776" w:type="dxa"/>
            <w:noWrap w:val="0"/>
            <w:vAlign w:val="center"/>
          </w:tcPr>
          <w:p w14:paraId="2B018050">
            <w:pPr>
              <w:widowControl/>
              <w:jc w:val="center"/>
              <w:rPr>
                <w:rFonts w:hint="eastAsia" w:ascii="宋体" w:hAnsi="宋体" w:cs="宋体"/>
                <w:color w:val="000000"/>
                <w:szCs w:val="21"/>
              </w:rPr>
            </w:pPr>
          </w:p>
        </w:tc>
        <w:tc>
          <w:tcPr>
            <w:tcW w:w="2720" w:type="dxa"/>
            <w:noWrap w:val="0"/>
            <w:vAlign w:val="center"/>
          </w:tcPr>
          <w:p w14:paraId="254C8B2B">
            <w:pPr>
              <w:widowControl/>
              <w:jc w:val="center"/>
              <w:rPr>
                <w:rFonts w:hint="eastAsia" w:ascii="宋体" w:hAnsi="宋体" w:cs="宋体"/>
                <w:szCs w:val="21"/>
              </w:rPr>
            </w:pPr>
          </w:p>
        </w:tc>
        <w:tc>
          <w:tcPr>
            <w:tcW w:w="690" w:type="dxa"/>
            <w:noWrap w:val="0"/>
            <w:vAlign w:val="center"/>
          </w:tcPr>
          <w:p w14:paraId="5605B5BF">
            <w:pPr>
              <w:widowControl/>
              <w:jc w:val="center"/>
              <w:rPr>
                <w:rFonts w:hint="eastAsia" w:ascii="宋体" w:hAnsi="宋体" w:cs="宋体"/>
                <w:color w:val="000000"/>
                <w:szCs w:val="21"/>
              </w:rPr>
            </w:pPr>
          </w:p>
        </w:tc>
        <w:tc>
          <w:tcPr>
            <w:tcW w:w="705" w:type="dxa"/>
            <w:noWrap w:val="0"/>
            <w:vAlign w:val="center"/>
          </w:tcPr>
          <w:p w14:paraId="3F002A27">
            <w:pPr>
              <w:widowControl/>
              <w:jc w:val="center"/>
              <w:rPr>
                <w:rFonts w:hint="eastAsia" w:ascii="宋体" w:hAnsi="宋体" w:cs="宋体"/>
                <w:color w:val="000000"/>
                <w:szCs w:val="21"/>
              </w:rPr>
            </w:pPr>
          </w:p>
        </w:tc>
        <w:tc>
          <w:tcPr>
            <w:tcW w:w="1215" w:type="dxa"/>
            <w:noWrap w:val="0"/>
            <w:vAlign w:val="center"/>
          </w:tcPr>
          <w:p w14:paraId="0949C240">
            <w:pPr>
              <w:widowControl/>
              <w:jc w:val="right"/>
              <w:textAlignment w:val="center"/>
              <w:rPr>
                <w:rFonts w:hint="eastAsia" w:ascii="宋体" w:hAnsi="宋体" w:cs="宋体"/>
                <w:szCs w:val="21"/>
              </w:rPr>
            </w:pPr>
          </w:p>
        </w:tc>
        <w:tc>
          <w:tcPr>
            <w:tcW w:w="1504" w:type="dxa"/>
            <w:noWrap w:val="0"/>
            <w:vAlign w:val="center"/>
          </w:tcPr>
          <w:p w14:paraId="4DADC26E">
            <w:pPr>
              <w:widowControl/>
              <w:jc w:val="right"/>
              <w:textAlignment w:val="center"/>
              <w:rPr>
                <w:rFonts w:hint="eastAsia" w:ascii="宋体" w:hAnsi="宋体" w:cs="宋体"/>
                <w:szCs w:val="21"/>
              </w:rPr>
            </w:pPr>
          </w:p>
        </w:tc>
      </w:tr>
      <w:tr w14:paraId="1053A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jc w:val="center"/>
        </w:trPr>
        <w:tc>
          <w:tcPr>
            <w:tcW w:w="673" w:type="dxa"/>
            <w:noWrap w:val="0"/>
            <w:vAlign w:val="center"/>
          </w:tcPr>
          <w:p w14:paraId="3B53DB41">
            <w:pPr>
              <w:pStyle w:val="6"/>
              <w:jc w:val="center"/>
              <w:rPr>
                <w:rFonts w:ascii="宋体" w:hAnsi="宋体" w:cs="宋体"/>
                <w:sz w:val="21"/>
                <w:szCs w:val="21"/>
              </w:rPr>
            </w:pPr>
            <w:r>
              <w:rPr>
                <w:rFonts w:hint="eastAsia" w:ascii="宋体" w:hAnsi="宋体" w:cs="宋体"/>
                <w:b/>
                <w:bCs/>
                <w:sz w:val="21"/>
                <w:szCs w:val="21"/>
              </w:rPr>
              <w:t>合计</w:t>
            </w:r>
          </w:p>
        </w:tc>
        <w:tc>
          <w:tcPr>
            <w:tcW w:w="8610" w:type="dxa"/>
            <w:gridSpan w:val="6"/>
            <w:noWrap w:val="0"/>
            <w:vAlign w:val="center"/>
          </w:tcPr>
          <w:p w14:paraId="2BEA8C4B">
            <w:pPr>
              <w:pStyle w:val="6"/>
              <w:rPr>
                <w:rFonts w:hint="eastAsia" w:ascii="宋体" w:hAnsi="宋体" w:cs="宋体"/>
                <w:sz w:val="21"/>
                <w:szCs w:val="21"/>
              </w:rPr>
            </w:pPr>
            <w:r>
              <w:rPr>
                <w:rFonts w:hint="eastAsia" w:ascii="宋体" w:hAnsi="宋体" w:cs="宋体"/>
                <w:b/>
                <w:bCs/>
                <w:sz w:val="21"/>
                <w:szCs w:val="21"/>
              </w:rPr>
              <w:t>总金额：人民币大写：</w:t>
            </w:r>
            <w:r>
              <w:rPr>
                <w:rFonts w:hint="eastAsia" w:ascii="宋体" w:hAnsi="宋体" w:cs="宋体"/>
                <w:b/>
                <w:bCs/>
                <w:sz w:val="21"/>
                <w:szCs w:val="21"/>
                <w:lang w:val="en-US" w:eastAsia="zh-CN"/>
              </w:rPr>
              <w:t xml:space="preserve">       </w:t>
            </w:r>
            <w:r>
              <w:rPr>
                <w:rFonts w:hint="eastAsia" w:ascii="宋体" w:hAnsi="宋体" w:cs="宋体"/>
                <w:b/>
                <w:bCs/>
                <w:sz w:val="21"/>
                <w:szCs w:val="21"/>
              </w:rPr>
              <w:t xml:space="preserve">    （小写：</w:t>
            </w:r>
            <w:r>
              <w:rPr>
                <w:rFonts w:hint="eastAsia" w:ascii="宋体" w:hAnsi="宋体" w:cs="宋体"/>
                <w:b/>
                <w:bCs/>
                <w:sz w:val="21"/>
                <w:szCs w:val="21"/>
                <w:lang w:val="en-US" w:eastAsia="zh-CN"/>
              </w:rPr>
              <w:t xml:space="preserve">     </w:t>
            </w:r>
            <w:r>
              <w:rPr>
                <w:rFonts w:hint="eastAsia" w:ascii="宋体" w:hAnsi="宋体" w:cs="宋体"/>
                <w:b/>
                <w:bCs/>
                <w:sz w:val="21"/>
                <w:szCs w:val="21"/>
              </w:rPr>
              <w:t>元）</w:t>
            </w:r>
          </w:p>
        </w:tc>
      </w:tr>
    </w:tbl>
    <w:p w14:paraId="0A01F520">
      <w:pPr>
        <w:snapToGrid w:val="0"/>
        <w:spacing w:line="360" w:lineRule="auto"/>
        <w:ind w:firstLine="480" w:firstLineChars="200"/>
        <w:rPr>
          <w:rFonts w:hint="eastAsia" w:ascii="宋体" w:hAnsi="宋体" w:cs="宋体"/>
          <w:color w:val="000000"/>
          <w:sz w:val="24"/>
        </w:rPr>
      </w:pPr>
      <w:r>
        <w:rPr>
          <w:rFonts w:hint="eastAsia" w:ascii="宋体" w:hAnsi="宋体" w:cs="宋体"/>
          <w:color w:val="000000"/>
          <w:sz w:val="24"/>
        </w:rPr>
        <w:t>2.合同合计金额为到甲方指定地点的现场交货价，包括：（1）货物及标准附件、备品备件、专用工具的价格；（2）运输、装卸、调试、培训、技术支持、售后服务等费用；（3）必要的保险费用，安全施工费和各项税费；（4）包括安装费用。</w:t>
      </w:r>
    </w:p>
    <w:p w14:paraId="42675AD9">
      <w:pPr>
        <w:snapToGrid w:val="0"/>
        <w:spacing w:line="360" w:lineRule="auto"/>
        <w:ind w:firstLine="482" w:firstLineChars="200"/>
        <w:rPr>
          <w:rFonts w:hint="eastAsia" w:ascii="宋体" w:hAnsi="宋体" w:cs="宋体"/>
          <w:color w:val="000000"/>
          <w:sz w:val="24"/>
        </w:rPr>
      </w:pPr>
      <w:r>
        <w:rPr>
          <w:rFonts w:hint="eastAsia" w:ascii="宋体" w:hAnsi="宋体" w:cs="宋体"/>
          <w:b/>
          <w:color w:val="000000"/>
          <w:sz w:val="24"/>
        </w:rPr>
        <w:t>第二条</w:t>
      </w:r>
      <w:r>
        <w:rPr>
          <w:rFonts w:hint="eastAsia" w:ascii="宋体" w:hAnsi="宋体" w:cs="宋体"/>
          <w:b/>
          <w:color w:val="000000"/>
          <w:sz w:val="24"/>
          <w:lang w:eastAsia="zh-CN"/>
        </w:rPr>
        <w:t xml:space="preserve"> </w:t>
      </w:r>
      <w:r>
        <w:rPr>
          <w:rFonts w:hint="eastAsia" w:ascii="宋体" w:hAnsi="宋体" w:cs="宋体"/>
          <w:b/>
          <w:color w:val="000000"/>
          <w:sz w:val="24"/>
        </w:rPr>
        <w:t>质量要求</w:t>
      </w:r>
    </w:p>
    <w:p w14:paraId="3D6192EB">
      <w:pPr>
        <w:snapToGrid w:val="0"/>
        <w:spacing w:line="360" w:lineRule="auto"/>
        <w:ind w:firstLine="480" w:firstLineChars="200"/>
        <w:rPr>
          <w:rFonts w:hint="eastAsia" w:ascii="宋体" w:hAnsi="宋体" w:cs="宋体"/>
          <w:color w:val="000000"/>
          <w:sz w:val="24"/>
        </w:rPr>
      </w:pPr>
      <w:r>
        <w:rPr>
          <w:rFonts w:hint="eastAsia" w:ascii="宋体" w:hAnsi="宋体" w:cs="宋体"/>
          <w:color w:val="000000"/>
          <w:sz w:val="24"/>
        </w:rPr>
        <w:t>1.乙方所提供的产品名称、商标品牌、生产厂家、规格型号、技术参数等质量必须与采购文件规定及投标文件承诺相一致。</w:t>
      </w:r>
    </w:p>
    <w:p w14:paraId="1458E2B3">
      <w:pPr>
        <w:snapToGrid w:val="0"/>
        <w:spacing w:line="360" w:lineRule="auto"/>
        <w:ind w:firstLine="480" w:firstLineChars="200"/>
        <w:rPr>
          <w:rFonts w:hint="eastAsia" w:ascii="宋体" w:hAnsi="宋体" w:cs="宋体"/>
          <w:color w:val="000000"/>
          <w:sz w:val="24"/>
          <w:u w:val="single"/>
        </w:rPr>
      </w:pPr>
      <w:r>
        <w:rPr>
          <w:rFonts w:hint="eastAsia" w:ascii="宋体" w:hAnsi="宋体" w:cs="宋体"/>
          <w:color w:val="000000"/>
          <w:sz w:val="24"/>
        </w:rPr>
        <w:t>2.乙方所提供的货物必须是全新、未使用的原装产品，且在正常安装、使用和保养条件下，其使用寿命期内各项指标均达到招标文件规定或者投标文件承诺的质量要求。</w:t>
      </w:r>
    </w:p>
    <w:p w14:paraId="2635D201">
      <w:pPr>
        <w:snapToGrid w:val="0"/>
        <w:spacing w:line="360" w:lineRule="auto"/>
        <w:ind w:firstLine="482" w:firstLineChars="200"/>
        <w:rPr>
          <w:rFonts w:hint="eastAsia" w:ascii="宋体" w:hAnsi="宋体" w:cs="宋体"/>
          <w:color w:val="000000"/>
          <w:sz w:val="24"/>
        </w:rPr>
      </w:pPr>
      <w:r>
        <w:rPr>
          <w:rFonts w:hint="eastAsia" w:ascii="宋体" w:hAnsi="宋体" w:cs="宋体"/>
          <w:b/>
          <w:color w:val="000000"/>
          <w:sz w:val="24"/>
        </w:rPr>
        <w:t>第三条</w:t>
      </w:r>
      <w:r>
        <w:rPr>
          <w:rFonts w:hint="eastAsia" w:ascii="宋体" w:hAnsi="宋体" w:cs="宋体"/>
          <w:b/>
          <w:color w:val="000000"/>
          <w:sz w:val="24"/>
          <w:lang w:eastAsia="zh-CN"/>
        </w:rPr>
        <w:t xml:space="preserve"> </w:t>
      </w:r>
      <w:r>
        <w:rPr>
          <w:rFonts w:hint="eastAsia" w:ascii="宋体" w:hAnsi="宋体" w:cs="宋体"/>
          <w:b/>
          <w:color w:val="000000"/>
          <w:sz w:val="24"/>
        </w:rPr>
        <w:t>权利保证</w:t>
      </w:r>
    </w:p>
    <w:p w14:paraId="6A34FA06">
      <w:pPr>
        <w:snapToGrid w:val="0"/>
        <w:spacing w:line="360" w:lineRule="auto"/>
        <w:ind w:firstLine="480" w:firstLineChars="200"/>
        <w:rPr>
          <w:rFonts w:hint="eastAsia" w:ascii="宋体" w:hAnsi="宋体" w:cs="宋体"/>
          <w:color w:val="000000"/>
          <w:sz w:val="24"/>
        </w:rPr>
      </w:pPr>
      <w:r>
        <w:rPr>
          <w:rFonts w:hint="eastAsia" w:ascii="宋体" w:hAnsi="宋体" w:cs="宋体"/>
          <w:color w:val="000000"/>
          <w:sz w:val="24"/>
        </w:rPr>
        <w:t>1.乙方应保证所提供货物在使用时不会侵犯任何第三方的专利权、商标权、工业设计权或者其他权利。</w:t>
      </w:r>
    </w:p>
    <w:p w14:paraId="7BB90AD4">
      <w:pPr>
        <w:snapToGrid w:val="0"/>
        <w:spacing w:line="360" w:lineRule="auto"/>
        <w:ind w:firstLine="480" w:firstLineChars="200"/>
        <w:rPr>
          <w:rFonts w:hint="eastAsia" w:ascii="宋体" w:hAnsi="宋体" w:cs="宋体"/>
          <w:color w:val="000000"/>
          <w:sz w:val="24"/>
        </w:rPr>
      </w:pPr>
      <w:r>
        <w:rPr>
          <w:rFonts w:hint="eastAsia" w:ascii="宋体" w:hAnsi="宋体" w:cs="宋体"/>
          <w:color w:val="000000"/>
          <w:sz w:val="24"/>
        </w:rPr>
        <w:t>2.乙方应按招标文件规定或者投标文件承诺的时间向甲方提供使用货物的有关技术资料。</w:t>
      </w:r>
    </w:p>
    <w:p w14:paraId="58EEF4DB">
      <w:pPr>
        <w:snapToGrid w:val="0"/>
        <w:spacing w:line="360" w:lineRule="auto"/>
        <w:ind w:firstLine="480" w:firstLineChars="200"/>
        <w:rPr>
          <w:rFonts w:hint="eastAsia" w:ascii="宋体" w:hAnsi="宋体" w:cs="宋体"/>
          <w:color w:val="000000"/>
          <w:sz w:val="24"/>
        </w:rPr>
      </w:pPr>
      <w:r>
        <w:rPr>
          <w:rFonts w:hint="eastAsia" w:ascii="宋体" w:hAnsi="宋体" w:cs="宋体"/>
          <w:color w:val="000000"/>
          <w:sz w:val="24"/>
        </w:rPr>
        <w:t>3.没有甲方事先书面同意，乙方不得将由甲方提供的有关合同或者任何合同条文、规格、计划、图纸、样品或者资料提供给与履行本合同无关的任何其他人。即使向履行本合同有关的人员提供，也应注意保密并限于履行合同的必需范围。</w:t>
      </w:r>
    </w:p>
    <w:p w14:paraId="507EED4C">
      <w:pPr>
        <w:snapToGrid w:val="0"/>
        <w:spacing w:line="360" w:lineRule="auto"/>
        <w:ind w:firstLine="480" w:firstLineChars="200"/>
        <w:rPr>
          <w:rFonts w:hint="eastAsia" w:ascii="宋体" w:hAnsi="宋体" w:cs="宋体"/>
          <w:color w:val="000000"/>
          <w:sz w:val="24"/>
        </w:rPr>
      </w:pPr>
      <w:r>
        <w:rPr>
          <w:rFonts w:hint="eastAsia" w:ascii="宋体" w:hAnsi="宋体" w:cs="宋体"/>
          <w:color w:val="000000"/>
          <w:sz w:val="24"/>
        </w:rPr>
        <w:t>4.乙方保证将要交付的货物的所有权完全属于乙方且无任何抵押、质押、查封等产权瑕疵。</w:t>
      </w:r>
    </w:p>
    <w:p w14:paraId="72D1386A">
      <w:pPr>
        <w:snapToGrid w:val="0"/>
        <w:spacing w:line="360" w:lineRule="auto"/>
        <w:ind w:firstLine="482" w:firstLineChars="200"/>
        <w:rPr>
          <w:rFonts w:hint="eastAsia" w:ascii="宋体" w:hAnsi="宋体" w:cs="宋体"/>
          <w:b/>
          <w:color w:val="000000"/>
          <w:sz w:val="24"/>
        </w:rPr>
      </w:pPr>
      <w:r>
        <w:rPr>
          <w:rFonts w:hint="eastAsia" w:ascii="宋体" w:hAnsi="宋体" w:cs="宋体"/>
          <w:b/>
          <w:color w:val="000000"/>
          <w:sz w:val="24"/>
        </w:rPr>
        <w:t>第四条</w:t>
      </w:r>
      <w:r>
        <w:rPr>
          <w:rFonts w:hint="eastAsia" w:ascii="宋体" w:hAnsi="宋体" w:cs="宋体"/>
          <w:b/>
          <w:color w:val="000000"/>
          <w:sz w:val="24"/>
          <w:lang w:eastAsia="zh-CN"/>
        </w:rPr>
        <w:t xml:space="preserve"> </w:t>
      </w:r>
      <w:r>
        <w:rPr>
          <w:rFonts w:hint="eastAsia" w:ascii="宋体" w:hAnsi="宋体" w:cs="宋体"/>
          <w:b/>
          <w:color w:val="000000"/>
          <w:sz w:val="24"/>
        </w:rPr>
        <w:t>包装和运输</w:t>
      </w:r>
    </w:p>
    <w:p w14:paraId="00B1D3E2">
      <w:pPr>
        <w:snapToGrid w:val="0"/>
        <w:spacing w:line="360" w:lineRule="auto"/>
        <w:ind w:firstLine="480" w:firstLineChars="200"/>
        <w:rPr>
          <w:rFonts w:hint="eastAsia" w:ascii="宋体" w:hAnsi="宋体" w:cs="宋体"/>
          <w:color w:val="000000"/>
          <w:sz w:val="24"/>
        </w:rPr>
      </w:pPr>
      <w:r>
        <w:rPr>
          <w:rFonts w:hint="eastAsia" w:ascii="宋体" w:hAnsi="宋体" w:cs="宋体"/>
          <w:color w:val="000000"/>
          <w:sz w:val="24"/>
        </w:rPr>
        <w:t>1.乙方提供的货物均应按招标文件规定或者投标文件承诺的要求的包装材料、包装标准、包装方式进行包装，每一包装单元内应附详细的装箱单和质量合格证。</w:t>
      </w:r>
    </w:p>
    <w:p w14:paraId="507F5076">
      <w:pPr>
        <w:snapToGrid w:val="0"/>
        <w:spacing w:line="360" w:lineRule="auto"/>
        <w:ind w:firstLine="480" w:firstLineChars="200"/>
        <w:rPr>
          <w:rFonts w:hint="eastAsia" w:ascii="宋体" w:hAnsi="宋体" w:cs="宋体"/>
          <w:color w:val="000000"/>
          <w:sz w:val="24"/>
        </w:rPr>
      </w:pPr>
      <w:r>
        <w:rPr>
          <w:rFonts w:hint="eastAsia" w:ascii="宋体" w:hAnsi="宋体" w:cs="宋体"/>
          <w:color w:val="000000"/>
          <w:sz w:val="24"/>
        </w:rPr>
        <w:t>2.货物的运输方式：</w:t>
      </w:r>
      <w:r>
        <w:rPr>
          <w:rFonts w:hint="eastAsia" w:ascii="宋体" w:hAnsi="宋体" w:cs="宋体"/>
          <w:b/>
          <w:bCs/>
          <w:color w:val="000000"/>
          <w:sz w:val="24"/>
          <w:u w:val="single"/>
        </w:rPr>
        <w:t>乙方负责将所有合同货物运送至甲方指定收货地址。乙方承担运费</w:t>
      </w:r>
      <w:r>
        <w:rPr>
          <w:rFonts w:hint="eastAsia" w:ascii="宋体" w:hAnsi="宋体" w:cs="宋体"/>
          <w:color w:val="000000"/>
          <w:sz w:val="24"/>
          <w:u w:val="single"/>
        </w:rPr>
        <w:t xml:space="preserve"> </w:t>
      </w:r>
      <w:r>
        <w:rPr>
          <w:rFonts w:hint="eastAsia" w:ascii="宋体" w:hAnsi="宋体" w:cs="宋体"/>
          <w:color w:val="000000"/>
          <w:sz w:val="24"/>
        </w:rPr>
        <w:t>。</w:t>
      </w:r>
    </w:p>
    <w:p w14:paraId="08A45398">
      <w:pPr>
        <w:snapToGrid w:val="0"/>
        <w:spacing w:line="360" w:lineRule="auto"/>
        <w:ind w:firstLine="482" w:firstLineChars="200"/>
        <w:rPr>
          <w:rFonts w:hint="eastAsia" w:ascii="宋体" w:hAnsi="宋体" w:cs="宋体"/>
          <w:color w:val="000000"/>
          <w:sz w:val="24"/>
        </w:rPr>
      </w:pPr>
      <w:r>
        <w:rPr>
          <w:rFonts w:hint="eastAsia" w:ascii="宋体" w:hAnsi="宋体" w:cs="宋体"/>
          <w:b/>
          <w:color w:val="000000"/>
          <w:sz w:val="24"/>
        </w:rPr>
        <w:t>第五条</w:t>
      </w:r>
      <w:r>
        <w:rPr>
          <w:rFonts w:hint="eastAsia" w:ascii="宋体" w:hAnsi="宋体" w:cs="宋体"/>
          <w:b/>
          <w:color w:val="000000"/>
          <w:sz w:val="24"/>
          <w:lang w:eastAsia="zh-CN"/>
        </w:rPr>
        <w:t xml:space="preserve"> </w:t>
      </w:r>
      <w:r>
        <w:rPr>
          <w:rFonts w:hint="eastAsia" w:ascii="宋体" w:hAnsi="宋体" w:cs="宋体"/>
          <w:b/>
          <w:color w:val="000000"/>
          <w:sz w:val="24"/>
        </w:rPr>
        <w:t>交付和验收</w:t>
      </w:r>
    </w:p>
    <w:p w14:paraId="2B036138">
      <w:pPr>
        <w:snapToGrid w:val="0"/>
        <w:spacing w:line="360" w:lineRule="auto"/>
        <w:ind w:firstLine="480" w:firstLineChars="200"/>
        <w:rPr>
          <w:rFonts w:hint="eastAsia" w:ascii="宋体" w:hAnsi="宋体" w:cs="宋体"/>
          <w:color w:val="000000"/>
          <w:sz w:val="24"/>
        </w:rPr>
      </w:pPr>
      <w:r>
        <w:rPr>
          <w:rFonts w:hint="eastAsia" w:ascii="宋体" w:hAnsi="宋体" w:cs="宋体"/>
          <w:color w:val="000000"/>
          <w:sz w:val="24"/>
        </w:rPr>
        <w:t>1.交付时间：</w:t>
      </w:r>
      <w:r>
        <w:rPr>
          <w:rFonts w:hint="eastAsia" w:ascii="宋体" w:hAnsi="宋体" w:cs="宋体"/>
          <w:color w:val="000000"/>
          <w:sz w:val="24"/>
          <w:u w:val="single"/>
        </w:rPr>
        <w:t xml:space="preserve"> </w:t>
      </w:r>
      <w:r>
        <w:rPr>
          <w:rFonts w:hint="eastAsia" w:ascii="宋体" w:hAnsi="宋体" w:cs="宋体"/>
          <w:b/>
          <w:bCs/>
          <w:color w:val="000000"/>
          <w:sz w:val="24"/>
          <w:u w:val="single"/>
        </w:rPr>
        <w:t>合同签订后</w:t>
      </w:r>
      <w:r>
        <w:rPr>
          <w:rFonts w:hint="eastAsia" w:ascii="宋体" w:hAnsi="宋体" w:cs="宋体"/>
          <w:b/>
          <w:bCs/>
          <w:color w:val="auto"/>
          <w:sz w:val="24"/>
          <w:u w:val="single"/>
          <w:lang w:val="en-US" w:eastAsia="zh-CN"/>
        </w:rPr>
        <w:t>2</w:t>
      </w:r>
      <w:r>
        <w:rPr>
          <w:rFonts w:hint="eastAsia" w:ascii="宋体" w:hAnsi="宋体" w:cs="宋体"/>
          <w:b/>
          <w:bCs/>
          <w:color w:val="auto"/>
          <w:sz w:val="24"/>
          <w:u w:val="single"/>
        </w:rPr>
        <w:t>0个</w:t>
      </w:r>
      <w:r>
        <w:rPr>
          <w:rFonts w:hint="eastAsia" w:ascii="宋体" w:hAnsi="宋体" w:cs="宋体"/>
          <w:b/>
          <w:bCs/>
          <w:color w:val="000000"/>
          <w:sz w:val="24"/>
          <w:u w:val="single"/>
          <w:lang w:val="en-US" w:eastAsia="zh-CN"/>
        </w:rPr>
        <w:t>日历</w:t>
      </w:r>
      <w:r>
        <w:rPr>
          <w:rFonts w:hint="eastAsia" w:ascii="宋体" w:hAnsi="宋体" w:cs="宋体"/>
          <w:b/>
          <w:bCs/>
          <w:color w:val="000000"/>
          <w:sz w:val="24"/>
          <w:u w:val="single"/>
        </w:rPr>
        <w:t xml:space="preserve">日内完成全部货物安装及调试 </w:t>
      </w:r>
      <w:r>
        <w:rPr>
          <w:rFonts w:hint="eastAsia" w:ascii="宋体" w:hAnsi="宋体" w:cs="宋体"/>
          <w:color w:val="000000"/>
          <w:sz w:val="24"/>
        </w:rPr>
        <w:t>；</w:t>
      </w:r>
    </w:p>
    <w:p w14:paraId="3C0B0AE0">
      <w:pPr>
        <w:snapToGrid w:val="0"/>
        <w:spacing w:line="360" w:lineRule="auto"/>
        <w:ind w:firstLine="720" w:firstLineChars="300"/>
        <w:rPr>
          <w:rFonts w:hint="eastAsia" w:ascii="宋体" w:hAnsi="宋体" w:cs="宋体"/>
          <w:color w:val="000000"/>
          <w:sz w:val="24"/>
        </w:rPr>
      </w:pPr>
      <w:r>
        <w:rPr>
          <w:rFonts w:hint="eastAsia" w:ascii="宋体" w:hAnsi="宋体" w:cs="宋体"/>
          <w:color w:val="000000"/>
          <w:sz w:val="24"/>
        </w:rPr>
        <w:t>交付地点：</w:t>
      </w:r>
      <w:r>
        <w:rPr>
          <w:rFonts w:hint="eastAsia" w:ascii="宋体" w:hAnsi="宋体" w:cs="宋体"/>
          <w:b/>
          <w:bCs/>
          <w:color w:val="000000"/>
          <w:sz w:val="24"/>
          <w:u w:val="single"/>
        </w:rPr>
        <w:t>甲方指定地点。</w:t>
      </w:r>
    </w:p>
    <w:p w14:paraId="58391764">
      <w:pPr>
        <w:snapToGrid w:val="0"/>
        <w:spacing w:line="360" w:lineRule="auto"/>
        <w:ind w:firstLine="480" w:firstLineChars="200"/>
        <w:rPr>
          <w:rFonts w:hint="eastAsia" w:ascii="宋体" w:hAnsi="宋体" w:cs="宋体"/>
          <w:color w:val="000000"/>
          <w:sz w:val="24"/>
        </w:rPr>
      </w:pPr>
      <w:r>
        <w:rPr>
          <w:rFonts w:hint="eastAsia" w:ascii="宋体" w:hAnsi="宋体" w:cs="宋体"/>
          <w:color w:val="000000"/>
          <w:sz w:val="24"/>
        </w:rPr>
        <w:t>2.乙方提供不符合招标文件规定或者投标文件承诺的和本合同规定的货物，甲方有权拒绝接受。</w:t>
      </w:r>
    </w:p>
    <w:p w14:paraId="3505BDD5">
      <w:pPr>
        <w:snapToGrid w:val="0"/>
        <w:spacing w:line="360" w:lineRule="auto"/>
        <w:ind w:firstLine="480" w:firstLineChars="200"/>
        <w:rPr>
          <w:rFonts w:hint="eastAsia" w:ascii="宋体" w:hAnsi="宋体" w:cs="宋体"/>
          <w:color w:val="000000"/>
          <w:sz w:val="24"/>
        </w:rPr>
      </w:pPr>
      <w:r>
        <w:rPr>
          <w:rFonts w:hint="eastAsia" w:ascii="宋体" w:hAnsi="宋体" w:cs="宋体"/>
          <w:color w:val="000000"/>
          <w:sz w:val="24"/>
        </w:rPr>
        <w:t>3.乙方应将所提供货物的装箱清单、用户手册、原厂保修卡、随机资料、工具和备品、备件等交付给甲方，货物属于进口产品的，供货时应同时附上中文使用说明书，如有缺失应在合理的规定时间内补齐，否则视为逾期交货。</w:t>
      </w:r>
    </w:p>
    <w:p w14:paraId="42A4353B">
      <w:pPr>
        <w:snapToGrid w:val="0"/>
        <w:spacing w:line="360" w:lineRule="auto"/>
        <w:ind w:firstLine="480" w:firstLineChars="200"/>
        <w:rPr>
          <w:rFonts w:hint="eastAsia" w:ascii="宋体" w:hAnsi="宋体" w:cs="宋体"/>
          <w:color w:val="000000"/>
          <w:sz w:val="24"/>
        </w:rPr>
      </w:pPr>
      <w:r>
        <w:rPr>
          <w:rFonts w:hint="eastAsia" w:ascii="宋体" w:hAnsi="宋体" w:cs="宋体"/>
          <w:color w:val="000000"/>
          <w:sz w:val="24"/>
        </w:rPr>
        <w:t>4.甲方应当在到货（安装、调试完）后七个工作日内进行验收，逾期不验收的，乙方可视同验收合格。验收合格后由甲乙双方签署货物验收单并加盖双方公章，甲乙双方各执一份。在验收过程中发现乙方有违约问题，可暂缓资金结算，待违约问题解决后，方可办理资金结算事宜。</w:t>
      </w:r>
    </w:p>
    <w:p w14:paraId="0D96D5AA">
      <w:pPr>
        <w:snapToGrid w:val="0"/>
        <w:spacing w:line="360" w:lineRule="auto"/>
        <w:ind w:firstLine="480" w:firstLineChars="200"/>
        <w:rPr>
          <w:rFonts w:hint="eastAsia" w:ascii="宋体" w:hAnsi="宋体" w:cs="宋体"/>
          <w:color w:val="000000"/>
          <w:sz w:val="24"/>
        </w:rPr>
      </w:pPr>
      <w:r>
        <w:rPr>
          <w:rFonts w:hint="eastAsia" w:ascii="宋体" w:hAnsi="宋体" w:cs="宋体"/>
          <w:color w:val="000000"/>
          <w:sz w:val="24"/>
        </w:rPr>
        <w:t>5.甲方对验收有异议的，在验收后五个工作日内以书面形式向乙方提出，乙方应自收到甲方书面异议后</w:t>
      </w:r>
      <w:r>
        <w:rPr>
          <w:rFonts w:hint="eastAsia" w:ascii="宋体" w:hAnsi="宋体" w:cs="宋体"/>
          <w:color w:val="000000"/>
          <w:sz w:val="24"/>
          <w:u w:val="single"/>
        </w:rPr>
        <w:t xml:space="preserve"> </w:t>
      </w:r>
      <w:r>
        <w:rPr>
          <w:rFonts w:hint="eastAsia" w:ascii="宋体" w:hAnsi="宋体" w:cs="宋体"/>
          <w:b/>
          <w:bCs/>
          <w:color w:val="000000"/>
          <w:sz w:val="24"/>
          <w:u w:val="single"/>
        </w:rPr>
        <w:t xml:space="preserve"> 5  </w:t>
      </w:r>
      <w:r>
        <w:rPr>
          <w:rFonts w:hint="eastAsia" w:ascii="宋体" w:hAnsi="宋体" w:cs="宋体"/>
          <w:color w:val="000000"/>
          <w:sz w:val="24"/>
        </w:rPr>
        <w:t>日内及时予以解决。</w:t>
      </w:r>
    </w:p>
    <w:p w14:paraId="35F4F1E5">
      <w:pPr>
        <w:snapToGrid w:val="0"/>
        <w:spacing w:line="360" w:lineRule="auto"/>
        <w:ind w:firstLine="482" w:firstLineChars="200"/>
        <w:rPr>
          <w:rFonts w:hint="eastAsia" w:ascii="宋体" w:hAnsi="宋体" w:cs="宋体"/>
          <w:b/>
          <w:color w:val="000000"/>
          <w:sz w:val="24"/>
        </w:rPr>
      </w:pPr>
      <w:r>
        <w:rPr>
          <w:rFonts w:hint="eastAsia" w:ascii="宋体" w:hAnsi="宋体" w:cs="宋体"/>
          <w:b/>
          <w:color w:val="000000"/>
          <w:sz w:val="24"/>
        </w:rPr>
        <w:t>第六条</w:t>
      </w:r>
      <w:r>
        <w:rPr>
          <w:rFonts w:hint="eastAsia" w:ascii="宋体" w:hAnsi="宋体" w:cs="宋体"/>
          <w:b/>
          <w:color w:val="000000"/>
          <w:sz w:val="24"/>
          <w:lang w:eastAsia="zh-CN"/>
        </w:rPr>
        <w:t xml:space="preserve"> </w:t>
      </w:r>
      <w:r>
        <w:rPr>
          <w:rFonts w:hint="eastAsia" w:ascii="宋体" w:hAnsi="宋体" w:cs="宋体"/>
          <w:b/>
          <w:color w:val="000000"/>
          <w:sz w:val="24"/>
        </w:rPr>
        <w:t>安装和培训</w:t>
      </w:r>
    </w:p>
    <w:p w14:paraId="4B5222CF">
      <w:pPr>
        <w:snapToGrid w:val="0"/>
        <w:spacing w:line="360" w:lineRule="auto"/>
        <w:ind w:firstLine="480" w:firstLineChars="200"/>
        <w:rPr>
          <w:rFonts w:hint="eastAsia" w:ascii="宋体" w:hAnsi="宋体" w:cs="宋体"/>
          <w:color w:val="000000"/>
          <w:sz w:val="24"/>
        </w:rPr>
      </w:pPr>
      <w:r>
        <w:rPr>
          <w:rFonts w:hint="eastAsia" w:ascii="宋体" w:hAnsi="宋体" w:cs="宋体"/>
          <w:color w:val="000000"/>
          <w:sz w:val="24"/>
        </w:rPr>
        <w:t>1.甲方应提供必要安装条件（如场地、电源、水源等）。</w:t>
      </w:r>
    </w:p>
    <w:p w14:paraId="0A079078">
      <w:pPr>
        <w:snapToGrid w:val="0"/>
        <w:spacing w:line="360" w:lineRule="auto"/>
        <w:ind w:firstLine="480" w:firstLineChars="200"/>
        <w:rPr>
          <w:rFonts w:hint="eastAsia" w:ascii="宋体" w:hAnsi="宋体" w:cs="宋体"/>
          <w:b/>
          <w:bCs/>
          <w:color w:val="000000"/>
          <w:sz w:val="24"/>
          <w:u w:val="single"/>
        </w:rPr>
      </w:pPr>
      <w:r>
        <w:rPr>
          <w:rFonts w:hint="eastAsia" w:ascii="宋体" w:hAnsi="宋体" w:cs="宋体"/>
          <w:color w:val="000000"/>
          <w:sz w:val="24"/>
        </w:rPr>
        <w:t>2.乙方投标文件承诺负责甲方有关人员的培训：</w:t>
      </w:r>
      <w:r>
        <w:rPr>
          <w:rFonts w:hint="eastAsia" w:ascii="宋体" w:hAnsi="宋体" w:cs="宋体"/>
          <w:b/>
          <w:bCs/>
          <w:color w:val="000000"/>
          <w:sz w:val="24"/>
          <w:u w:val="single"/>
        </w:rPr>
        <w:t>培训时间、地点、内容由双方根据实际需要另行商定</w:t>
      </w:r>
      <w:r>
        <w:rPr>
          <w:rFonts w:hint="eastAsia" w:ascii="宋体" w:hAnsi="宋体" w:cs="宋体"/>
          <w:b/>
          <w:bCs/>
          <w:color w:val="000000"/>
          <w:sz w:val="24"/>
        </w:rPr>
        <w:t>。</w:t>
      </w:r>
    </w:p>
    <w:p w14:paraId="363621C2">
      <w:pPr>
        <w:snapToGrid w:val="0"/>
        <w:spacing w:line="360" w:lineRule="auto"/>
        <w:ind w:firstLine="482" w:firstLineChars="200"/>
        <w:rPr>
          <w:rFonts w:hint="eastAsia" w:ascii="宋体" w:hAnsi="宋体" w:cs="宋体"/>
          <w:b/>
          <w:color w:val="000000"/>
          <w:sz w:val="24"/>
        </w:rPr>
      </w:pPr>
      <w:r>
        <w:rPr>
          <w:rFonts w:hint="eastAsia" w:ascii="宋体" w:hAnsi="宋体" w:cs="宋体"/>
          <w:b/>
          <w:color w:val="000000"/>
          <w:sz w:val="24"/>
        </w:rPr>
        <w:t>第七条  售后服务、质保期</w:t>
      </w:r>
    </w:p>
    <w:p w14:paraId="74E68965">
      <w:pPr>
        <w:snapToGrid w:val="0"/>
        <w:spacing w:line="360" w:lineRule="auto"/>
        <w:ind w:firstLine="480" w:firstLineChars="200"/>
        <w:rPr>
          <w:rFonts w:hint="eastAsia" w:ascii="宋体" w:hAnsi="宋体" w:cs="宋体"/>
          <w:color w:val="000000"/>
          <w:sz w:val="24"/>
        </w:rPr>
      </w:pPr>
      <w:r>
        <w:rPr>
          <w:rFonts w:hint="eastAsia" w:ascii="宋体" w:hAnsi="宋体" w:cs="宋体"/>
          <w:color w:val="000000"/>
          <w:sz w:val="24"/>
        </w:rPr>
        <w:t>1.乙方应按照国家有关法律法规和“三包”规定以及本合同所附的《服务承诺》，为甲方提供售后服务。</w:t>
      </w:r>
    </w:p>
    <w:p w14:paraId="5354EF2F">
      <w:pPr>
        <w:snapToGrid w:val="0"/>
        <w:spacing w:line="360" w:lineRule="auto"/>
        <w:ind w:firstLine="480" w:firstLineChars="200"/>
        <w:rPr>
          <w:rFonts w:hint="eastAsia" w:ascii="宋体" w:hAnsi="宋体" w:cs="宋体"/>
          <w:color w:val="000000"/>
          <w:sz w:val="24"/>
          <w:u w:val="single"/>
        </w:rPr>
      </w:pPr>
      <w:r>
        <w:rPr>
          <w:rFonts w:hint="eastAsia" w:ascii="宋体" w:hAnsi="宋体" w:cs="宋体"/>
          <w:color w:val="000000"/>
          <w:sz w:val="24"/>
        </w:rPr>
        <w:t>2.货物质保期</w:t>
      </w:r>
      <w:r>
        <w:rPr>
          <w:rFonts w:hint="eastAsia" w:ascii="宋体" w:hAnsi="宋体" w:cs="宋体"/>
          <w:color w:val="auto"/>
          <w:sz w:val="24"/>
        </w:rPr>
        <w:t>：</w:t>
      </w:r>
      <w:r>
        <w:rPr>
          <w:rFonts w:hint="eastAsia" w:ascii="宋体" w:hAnsi="宋体" w:cs="宋体"/>
          <w:color w:val="auto"/>
          <w:sz w:val="24"/>
          <w:u w:val="none"/>
          <w:lang w:val="en-US" w:eastAsia="zh-CN"/>
        </w:rPr>
        <w:t>叁</w:t>
      </w:r>
      <w:r>
        <w:rPr>
          <w:rFonts w:hint="eastAsia" w:ascii="宋体" w:hAnsi="宋体" w:cs="宋体"/>
          <w:b/>
          <w:bCs/>
          <w:color w:val="auto"/>
          <w:sz w:val="24"/>
          <w:u w:val="none"/>
        </w:rPr>
        <w:t>年</w:t>
      </w:r>
      <w:r>
        <w:rPr>
          <w:rFonts w:hint="eastAsia" w:ascii="宋体" w:hAnsi="宋体" w:cs="宋体"/>
          <w:color w:val="auto"/>
          <w:sz w:val="24"/>
        </w:rPr>
        <w:t>。</w:t>
      </w:r>
    </w:p>
    <w:p w14:paraId="46C1FEA4">
      <w:pPr>
        <w:snapToGrid w:val="0"/>
        <w:spacing w:line="360" w:lineRule="auto"/>
        <w:ind w:firstLine="480" w:firstLineChars="200"/>
        <w:rPr>
          <w:rFonts w:hint="eastAsia" w:ascii="宋体" w:hAnsi="宋体" w:cs="宋体"/>
          <w:color w:val="000000"/>
          <w:sz w:val="24"/>
          <w:u w:val="single"/>
        </w:rPr>
      </w:pPr>
      <w:r>
        <w:rPr>
          <w:rFonts w:hint="eastAsia" w:ascii="宋体" w:hAnsi="宋体" w:cs="宋体"/>
          <w:color w:val="000000"/>
          <w:sz w:val="24"/>
        </w:rPr>
        <w:t>3.乙方提供的服务承诺和售后服务及保修期责任等其它具体约定事项。（见合同附件）</w:t>
      </w:r>
    </w:p>
    <w:p w14:paraId="15FBDCD5">
      <w:pPr>
        <w:snapToGrid w:val="0"/>
        <w:spacing w:line="360" w:lineRule="auto"/>
        <w:ind w:firstLine="482" w:firstLineChars="200"/>
        <w:rPr>
          <w:rFonts w:hint="eastAsia" w:ascii="宋体" w:hAnsi="宋体" w:cs="宋体"/>
          <w:color w:val="000000"/>
          <w:sz w:val="24"/>
        </w:rPr>
      </w:pPr>
      <w:r>
        <w:rPr>
          <w:rFonts w:hint="eastAsia" w:ascii="宋体" w:hAnsi="宋体" w:cs="宋体"/>
          <w:b/>
          <w:color w:val="000000"/>
          <w:sz w:val="24"/>
        </w:rPr>
        <w:t>第八条</w:t>
      </w:r>
      <w:r>
        <w:rPr>
          <w:rFonts w:hint="eastAsia" w:ascii="宋体" w:hAnsi="宋体" w:cs="宋体"/>
          <w:b/>
          <w:color w:val="000000"/>
          <w:sz w:val="24"/>
          <w:lang w:eastAsia="zh-CN"/>
        </w:rPr>
        <w:t xml:space="preserve"> </w:t>
      </w:r>
      <w:r>
        <w:rPr>
          <w:rFonts w:hint="eastAsia" w:ascii="宋体" w:hAnsi="宋体" w:cs="宋体"/>
          <w:b/>
          <w:color w:val="000000"/>
          <w:sz w:val="24"/>
        </w:rPr>
        <w:t>付款方式</w:t>
      </w:r>
    </w:p>
    <w:p w14:paraId="5E2A5268">
      <w:pPr>
        <w:pStyle w:val="4"/>
        <w:snapToGrid w:val="0"/>
        <w:spacing w:line="360" w:lineRule="auto"/>
        <w:ind w:firstLine="480" w:firstLineChars="200"/>
        <w:rPr>
          <w:rFonts w:hint="eastAsia" w:hAnsi="宋体" w:cs="宋体"/>
          <w:sz w:val="24"/>
          <w:szCs w:val="24"/>
        </w:rPr>
      </w:pPr>
      <w:r>
        <w:rPr>
          <w:rFonts w:hint="eastAsia" w:hAnsi="宋体" w:cs="宋体"/>
          <w:bCs/>
          <w:color w:val="000000"/>
          <w:sz w:val="24"/>
          <w:szCs w:val="24"/>
        </w:rPr>
        <w:t>1</w:t>
      </w:r>
      <w:r>
        <w:rPr>
          <w:rFonts w:hint="eastAsia" w:hAnsi="宋体" w:cs="宋体"/>
          <w:color w:val="000000"/>
          <w:sz w:val="24"/>
          <w:szCs w:val="24"/>
        </w:rPr>
        <w:t>.当采购数量与实际使用数量不一致时，乙方应根据实际使用量供货，合同的最终结算金</w:t>
      </w:r>
      <w:r>
        <w:rPr>
          <w:rFonts w:hint="eastAsia" w:hAnsi="宋体" w:cs="宋体"/>
          <w:sz w:val="24"/>
          <w:szCs w:val="24"/>
        </w:rPr>
        <w:t>额按实际使用量乘以成交单价进行计算，但不得超出合同价的10%。</w:t>
      </w:r>
    </w:p>
    <w:p w14:paraId="52A25B71">
      <w:pPr>
        <w:pStyle w:val="4"/>
        <w:snapToGrid w:val="0"/>
        <w:spacing w:line="360" w:lineRule="auto"/>
        <w:ind w:firstLine="480" w:firstLineChars="200"/>
        <w:rPr>
          <w:rFonts w:hint="eastAsia" w:hAnsi="宋体" w:cs="宋体"/>
          <w:sz w:val="24"/>
          <w:szCs w:val="24"/>
          <w:highlight w:val="none"/>
        </w:rPr>
      </w:pPr>
      <w:r>
        <w:rPr>
          <w:rFonts w:hint="eastAsia" w:hAnsi="宋体" w:cs="宋体"/>
          <w:bCs/>
          <w:sz w:val="24"/>
          <w:szCs w:val="24"/>
          <w:highlight w:val="none"/>
        </w:rPr>
        <w:t>2.</w:t>
      </w:r>
      <w:r>
        <w:rPr>
          <w:rFonts w:hint="eastAsia" w:hAnsi="宋体" w:cs="宋体"/>
          <w:sz w:val="24"/>
          <w:szCs w:val="24"/>
          <w:highlight w:val="none"/>
        </w:rPr>
        <w:t>付款方式：</w:t>
      </w:r>
      <w:r>
        <w:rPr>
          <w:rFonts w:hint="eastAsia" w:hAnsi="宋体" w:cs="宋体"/>
          <w:b/>
          <w:bCs/>
          <w:color w:val="000000"/>
          <w:kern w:val="2"/>
          <w:sz w:val="24"/>
          <w:szCs w:val="24"/>
          <w:highlight w:val="none"/>
          <w:u w:val="single"/>
        </w:rPr>
        <w:t>本项目无预付款，验收</w:t>
      </w:r>
      <w:r>
        <w:rPr>
          <w:rFonts w:hint="eastAsia" w:hAnsi="宋体" w:cs="宋体"/>
          <w:b/>
          <w:bCs/>
          <w:color w:val="auto"/>
          <w:kern w:val="2"/>
          <w:sz w:val="24"/>
          <w:szCs w:val="24"/>
          <w:highlight w:val="none"/>
          <w:u w:val="single"/>
          <w:lang w:eastAsia="zh-CN"/>
        </w:rPr>
        <w:t>合格</w:t>
      </w:r>
      <w:r>
        <w:rPr>
          <w:rFonts w:hint="eastAsia" w:hAnsi="宋体" w:cs="宋体"/>
          <w:b/>
          <w:bCs/>
          <w:color w:val="000000"/>
          <w:kern w:val="2"/>
          <w:sz w:val="24"/>
          <w:szCs w:val="24"/>
          <w:highlight w:val="none"/>
          <w:u w:val="single"/>
        </w:rPr>
        <w:t>后一次性支付全部货款。</w:t>
      </w:r>
    </w:p>
    <w:p w14:paraId="322B060C">
      <w:pPr>
        <w:snapToGrid w:val="0"/>
        <w:spacing w:line="360" w:lineRule="auto"/>
        <w:ind w:left="-61" w:leftChars="-29" w:firstLine="590" w:firstLineChars="245"/>
        <w:rPr>
          <w:rFonts w:hint="eastAsia" w:ascii="宋体" w:hAnsi="宋体" w:cs="宋体"/>
          <w:b/>
          <w:sz w:val="24"/>
          <w:highlight w:val="none"/>
        </w:rPr>
      </w:pPr>
      <w:r>
        <w:rPr>
          <w:rFonts w:hint="eastAsia" w:ascii="宋体" w:hAnsi="宋体" w:cs="宋体"/>
          <w:b/>
          <w:sz w:val="24"/>
          <w:highlight w:val="none"/>
        </w:rPr>
        <w:t>第九条</w:t>
      </w:r>
      <w:r>
        <w:rPr>
          <w:rFonts w:hint="eastAsia" w:ascii="宋体" w:hAnsi="宋体" w:cs="宋体"/>
          <w:b/>
          <w:sz w:val="24"/>
          <w:highlight w:val="none"/>
          <w:lang w:eastAsia="zh-CN"/>
        </w:rPr>
        <w:t xml:space="preserve"> </w:t>
      </w:r>
      <w:r>
        <w:rPr>
          <w:rFonts w:hint="eastAsia" w:ascii="宋体" w:hAnsi="宋体" w:cs="宋体"/>
          <w:b/>
          <w:sz w:val="24"/>
          <w:highlight w:val="none"/>
        </w:rPr>
        <w:t>履约保证金</w:t>
      </w:r>
    </w:p>
    <w:p w14:paraId="4A014F34">
      <w:pPr>
        <w:autoSpaceDE w:val="0"/>
        <w:autoSpaceDN w:val="0"/>
        <w:snapToGrid w:val="0"/>
        <w:spacing w:line="360" w:lineRule="auto"/>
        <w:ind w:firstLine="484" w:firstLineChars="202"/>
        <w:textAlignment w:val="bottom"/>
        <w:rPr>
          <w:rFonts w:hint="eastAsia" w:ascii="宋体" w:hAnsi="宋体" w:cs="宋体"/>
          <w:sz w:val="24"/>
          <w:highlight w:val="none"/>
        </w:rPr>
      </w:pPr>
      <w:r>
        <w:rPr>
          <w:rFonts w:hint="eastAsia" w:ascii="宋体" w:hAnsi="宋体" w:cs="宋体"/>
          <w:sz w:val="24"/>
          <w:highlight w:val="none"/>
        </w:rPr>
        <w:t>履约保证金金额：</w:t>
      </w:r>
      <w:r>
        <w:rPr>
          <w:rFonts w:hint="eastAsia" w:ascii="宋体" w:hAnsi="宋体" w:cs="宋体"/>
          <w:b/>
          <w:bCs/>
          <w:sz w:val="24"/>
          <w:highlight w:val="none"/>
          <w:u w:val="single"/>
        </w:rPr>
        <w:t xml:space="preserve"> 无，本项目不需要提交履约保证金，乙方应按照招标文件要求以及投标文件的承诺对本项目提供全面的、合格的售后服务内容</w:t>
      </w:r>
      <w:r>
        <w:rPr>
          <w:rFonts w:hint="eastAsia" w:ascii="宋体" w:hAnsi="宋体" w:cs="宋体"/>
          <w:sz w:val="24"/>
          <w:highlight w:val="none"/>
        </w:rPr>
        <w:t>。</w:t>
      </w:r>
    </w:p>
    <w:p w14:paraId="534332EB">
      <w:pPr>
        <w:snapToGrid w:val="0"/>
        <w:spacing w:line="360" w:lineRule="auto"/>
        <w:ind w:left="-61" w:firstLine="514"/>
        <w:rPr>
          <w:rFonts w:hint="eastAsia" w:ascii="宋体" w:hAnsi="宋体" w:cs="宋体"/>
          <w:b/>
          <w:sz w:val="24"/>
        </w:rPr>
      </w:pPr>
      <w:r>
        <w:rPr>
          <w:rFonts w:hint="eastAsia" w:ascii="宋体" w:hAnsi="宋体" w:cs="宋体"/>
          <w:b/>
          <w:sz w:val="24"/>
        </w:rPr>
        <w:t>第十条  税费</w:t>
      </w:r>
    </w:p>
    <w:p w14:paraId="6AFB4D1A">
      <w:pPr>
        <w:snapToGrid w:val="0"/>
        <w:spacing w:line="360" w:lineRule="auto"/>
        <w:ind w:left="-61" w:firstLine="514"/>
        <w:rPr>
          <w:rFonts w:hint="eastAsia" w:ascii="宋体" w:hAnsi="宋体" w:cs="宋体"/>
          <w:color w:val="000000"/>
          <w:sz w:val="24"/>
        </w:rPr>
      </w:pPr>
      <w:r>
        <w:rPr>
          <w:rFonts w:hint="eastAsia" w:ascii="宋体" w:hAnsi="宋体" w:cs="宋体"/>
          <w:sz w:val="24"/>
        </w:rPr>
        <w:t>本合同执行中相关的一切税费均由乙方负担，合</w:t>
      </w:r>
      <w:r>
        <w:rPr>
          <w:rFonts w:hint="eastAsia" w:ascii="宋体" w:hAnsi="宋体" w:cs="宋体"/>
          <w:color w:val="000000"/>
          <w:sz w:val="24"/>
        </w:rPr>
        <w:t>同另有约定的除外。</w:t>
      </w:r>
    </w:p>
    <w:p w14:paraId="17919A20">
      <w:pPr>
        <w:snapToGrid w:val="0"/>
        <w:spacing w:line="360" w:lineRule="auto"/>
        <w:ind w:left="-61" w:firstLine="514"/>
        <w:rPr>
          <w:rFonts w:hint="eastAsia" w:ascii="宋体" w:hAnsi="宋体" w:cs="宋体"/>
          <w:color w:val="000000"/>
          <w:sz w:val="24"/>
        </w:rPr>
      </w:pPr>
      <w:r>
        <w:rPr>
          <w:rFonts w:hint="eastAsia" w:ascii="宋体" w:hAnsi="宋体" w:cs="宋体"/>
          <w:b/>
          <w:color w:val="000000"/>
          <w:sz w:val="24"/>
        </w:rPr>
        <w:t>第十一条  质量保证及售后服务</w:t>
      </w:r>
    </w:p>
    <w:p w14:paraId="7ABFB0CF">
      <w:pPr>
        <w:pStyle w:val="4"/>
        <w:snapToGrid w:val="0"/>
        <w:spacing w:line="360" w:lineRule="auto"/>
        <w:ind w:firstLine="480" w:firstLineChars="200"/>
        <w:rPr>
          <w:rFonts w:hint="eastAsia" w:hAnsi="宋体" w:cs="宋体"/>
          <w:color w:val="000000"/>
          <w:sz w:val="24"/>
          <w:szCs w:val="24"/>
        </w:rPr>
      </w:pPr>
      <w:r>
        <w:rPr>
          <w:rFonts w:hint="eastAsia" w:hAnsi="宋体" w:cs="宋体"/>
          <w:bCs/>
          <w:color w:val="000000"/>
          <w:sz w:val="24"/>
          <w:szCs w:val="24"/>
        </w:rPr>
        <w:t>1.</w:t>
      </w:r>
      <w:r>
        <w:rPr>
          <w:rFonts w:hint="eastAsia" w:hAnsi="宋体" w:cs="宋体"/>
          <w:color w:val="000000"/>
          <w:sz w:val="24"/>
          <w:szCs w:val="24"/>
        </w:rPr>
        <w:t>乙方应按招标文件规定的产品名称、商标品牌、生产厂家、规格型号、技术参数、质量标准向甲方提供未经使用的全新产品。不符合要求的，根据实际情况，甲方有权按以下办法处理：</w:t>
      </w:r>
    </w:p>
    <w:p w14:paraId="3B4463EE">
      <w:pPr>
        <w:pStyle w:val="4"/>
        <w:snapToGrid w:val="0"/>
        <w:spacing w:line="360" w:lineRule="auto"/>
        <w:ind w:firstLine="480" w:firstLineChars="200"/>
        <w:rPr>
          <w:rFonts w:hint="eastAsia" w:hAnsi="宋体" w:cs="宋体"/>
          <w:color w:val="000000"/>
          <w:sz w:val="24"/>
          <w:szCs w:val="24"/>
        </w:rPr>
      </w:pPr>
      <w:r>
        <w:rPr>
          <w:rFonts w:hint="eastAsia" w:hAnsi="宋体" w:cs="宋体"/>
          <w:color w:val="000000"/>
          <w:sz w:val="24"/>
          <w:szCs w:val="24"/>
        </w:rPr>
        <w:t>⑴更换：由乙方承担所发生的全部费用。</w:t>
      </w:r>
    </w:p>
    <w:p w14:paraId="63A86280">
      <w:pPr>
        <w:pStyle w:val="4"/>
        <w:snapToGrid w:val="0"/>
        <w:spacing w:line="360" w:lineRule="auto"/>
        <w:ind w:firstLine="420"/>
        <w:rPr>
          <w:rFonts w:hint="eastAsia" w:hAnsi="宋体" w:cs="宋体"/>
          <w:color w:val="000000"/>
          <w:sz w:val="24"/>
          <w:szCs w:val="24"/>
        </w:rPr>
      </w:pPr>
      <w:r>
        <w:rPr>
          <w:rFonts w:hint="eastAsia" w:hAnsi="宋体" w:cs="宋体"/>
          <w:color w:val="000000"/>
          <w:sz w:val="24"/>
          <w:szCs w:val="24"/>
        </w:rPr>
        <w:t>⑵贬值处理：由甲乙双方合议定价。</w:t>
      </w:r>
    </w:p>
    <w:p w14:paraId="602D9106">
      <w:pPr>
        <w:pStyle w:val="4"/>
        <w:snapToGrid w:val="0"/>
        <w:spacing w:line="360" w:lineRule="auto"/>
        <w:ind w:firstLine="420"/>
        <w:rPr>
          <w:rFonts w:hint="eastAsia" w:hAnsi="宋体" w:cs="宋体"/>
          <w:color w:val="000000"/>
          <w:sz w:val="24"/>
          <w:szCs w:val="24"/>
        </w:rPr>
      </w:pPr>
      <w:r>
        <w:rPr>
          <w:rFonts w:hint="eastAsia" w:hAnsi="宋体" w:cs="宋体"/>
          <w:color w:val="000000"/>
          <w:sz w:val="24"/>
          <w:szCs w:val="24"/>
        </w:rPr>
        <w:t>⑶退货处理：乙方应退还甲方支付的合同款，同时应承担该货物的直接费用（运输、保险、检验、货款利息及银行手续费等）。</w:t>
      </w:r>
    </w:p>
    <w:p w14:paraId="6AE6F01D">
      <w:pPr>
        <w:pStyle w:val="4"/>
        <w:snapToGrid w:val="0"/>
        <w:spacing w:line="360" w:lineRule="auto"/>
        <w:ind w:firstLine="480" w:firstLineChars="200"/>
        <w:rPr>
          <w:rFonts w:hint="eastAsia" w:hAnsi="宋体" w:eastAsia="宋体" w:cs="宋体"/>
          <w:b/>
          <w:bCs/>
          <w:kern w:val="2"/>
          <w:sz w:val="24"/>
          <w:szCs w:val="24"/>
          <w:u w:val="single"/>
        </w:rPr>
      </w:pPr>
      <w:r>
        <w:rPr>
          <w:rFonts w:hint="eastAsia" w:hAnsi="宋体" w:cs="宋体"/>
          <w:color w:val="000000"/>
          <w:sz w:val="24"/>
          <w:szCs w:val="24"/>
        </w:rPr>
        <w:t>2.如在使用过程中发生质量问题，</w:t>
      </w:r>
      <w:r>
        <w:rPr>
          <w:rFonts w:hint="eastAsia" w:hAnsi="宋体" w:cs="宋体"/>
          <w:b/>
          <w:bCs/>
          <w:kern w:val="2"/>
          <w:sz w:val="24"/>
          <w:szCs w:val="24"/>
          <w:u w:val="single"/>
        </w:rPr>
        <w:t>乙方在接到故障通知后在</w:t>
      </w:r>
      <w:r>
        <w:rPr>
          <w:rFonts w:hint="eastAsia" w:hAnsi="宋体" w:cs="宋体"/>
          <w:b/>
          <w:bCs/>
          <w:kern w:val="2"/>
          <w:sz w:val="24"/>
          <w:szCs w:val="24"/>
          <w:u w:val="single"/>
          <w:lang w:val="en-US" w:eastAsia="zh-CN"/>
        </w:rPr>
        <w:t>1</w:t>
      </w:r>
      <w:r>
        <w:rPr>
          <w:rFonts w:hint="eastAsia" w:hAnsi="宋体" w:cs="宋体"/>
          <w:b/>
          <w:bCs/>
          <w:kern w:val="2"/>
          <w:sz w:val="24"/>
          <w:szCs w:val="24"/>
          <w:u w:val="single"/>
        </w:rPr>
        <w:t>2小时内到达甲方指定现场；对于故障处理，乙方在质保期内提供免费维</w:t>
      </w:r>
      <w:r>
        <w:rPr>
          <w:rFonts w:hint="eastAsia" w:hAnsi="宋体" w:cs="宋体"/>
          <w:b/>
          <w:bCs/>
          <w:kern w:val="2"/>
          <w:sz w:val="24"/>
          <w:szCs w:val="24"/>
          <w:u w:val="single"/>
          <w:lang w:val="en-US" w:eastAsia="zh-CN"/>
        </w:rPr>
        <w:t>修</w:t>
      </w:r>
      <w:r>
        <w:rPr>
          <w:rFonts w:hint="eastAsia" w:hAnsi="宋体" w:cs="宋体"/>
          <w:b/>
          <w:bCs/>
          <w:kern w:val="2"/>
          <w:sz w:val="24"/>
          <w:szCs w:val="24"/>
          <w:u w:val="single"/>
        </w:rPr>
        <w:t>服务，24小时无法排除故障时，提供相同型号备用设备，以保证正常使用。</w:t>
      </w:r>
      <w:r>
        <w:rPr>
          <w:rFonts w:hint="eastAsia" w:ascii="宋体" w:hAnsi="宋体" w:eastAsia="宋体" w:cs="宋体"/>
          <w:sz w:val="24"/>
          <w:szCs w:val="24"/>
          <w:u w:val="single"/>
        </w:rPr>
        <w:t>乙方在接到甲方通知后拒不响应或解决故障的，甲方有权聘请第三方进行维修，由此产生的费用由乙方承担。</w:t>
      </w:r>
    </w:p>
    <w:p w14:paraId="029629B1">
      <w:pPr>
        <w:pStyle w:val="4"/>
        <w:snapToGrid w:val="0"/>
        <w:spacing w:line="360" w:lineRule="auto"/>
        <w:ind w:firstLine="480" w:firstLineChars="200"/>
        <w:rPr>
          <w:rFonts w:hint="eastAsia" w:hAnsi="宋体" w:cs="宋体"/>
          <w:color w:val="000000"/>
          <w:sz w:val="24"/>
          <w:szCs w:val="24"/>
        </w:rPr>
      </w:pPr>
      <w:r>
        <w:rPr>
          <w:rFonts w:hint="eastAsia" w:hAnsi="宋体" w:cs="宋体"/>
          <w:color w:val="000000"/>
          <w:sz w:val="24"/>
          <w:szCs w:val="24"/>
        </w:rPr>
        <w:t>3.在质保期内，乙方应对货物出现的质量及安全问题负责处理解决并承担一切费用。</w:t>
      </w:r>
    </w:p>
    <w:p w14:paraId="67694C59">
      <w:pPr>
        <w:snapToGrid w:val="0"/>
        <w:spacing w:line="360" w:lineRule="auto"/>
        <w:ind w:firstLine="480" w:firstLineChars="200"/>
        <w:rPr>
          <w:rFonts w:hint="eastAsia" w:ascii="宋体" w:hAnsi="宋体" w:cs="宋体"/>
          <w:color w:val="000000"/>
          <w:sz w:val="24"/>
        </w:rPr>
      </w:pPr>
      <w:r>
        <w:rPr>
          <w:rFonts w:hint="eastAsia" w:ascii="宋体" w:hAnsi="宋体" w:cs="宋体"/>
          <w:color w:val="000000"/>
          <w:sz w:val="24"/>
        </w:rPr>
        <w:t>4.上述的货物质保期</w:t>
      </w:r>
      <w:r>
        <w:rPr>
          <w:rFonts w:hint="eastAsia" w:ascii="宋体" w:hAnsi="宋体" w:cs="宋体"/>
          <w:color w:val="auto"/>
          <w:sz w:val="24"/>
        </w:rPr>
        <w:t>为</w:t>
      </w:r>
      <w:r>
        <w:rPr>
          <w:rFonts w:hint="eastAsia" w:ascii="宋体" w:hAnsi="宋体" w:cs="宋体"/>
          <w:b/>
          <w:bCs/>
          <w:color w:val="auto"/>
          <w:sz w:val="24"/>
          <w:u w:val="single"/>
        </w:rPr>
        <w:t xml:space="preserve"> </w:t>
      </w:r>
      <w:r>
        <w:rPr>
          <w:rFonts w:hint="eastAsia" w:ascii="宋体" w:hAnsi="宋体" w:cs="宋体"/>
          <w:b/>
          <w:bCs/>
          <w:color w:val="auto"/>
          <w:sz w:val="24"/>
          <w:u w:val="single"/>
          <w:lang w:val="en-US" w:eastAsia="zh-CN"/>
        </w:rPr>
        <w:t>叁</w:t>
      </w:r>
      <w:r>
        <w:rPr>
          <w:rFonts w:hint="eastAsia" w:ascii="宋体" w:hAnsi="宋体" w:cs="宋体"/>
          <w:b/>
          <w:bCs/>
          <w:color w:val="auto"/>
          <w:sz w:val="24"/>
          <w:u w:val="single"/>
        </w:rPr>
        <w:t xml:space="preserve"> </w:t>
      </w:r>
      <w:r>
        <w:rPr>
          <w:rFonts w:hint="eastAsia" w:ascii="宋体" w:hAnsi="宋体" w:cs="宋体"/>
          <w:color w:val="auto"/>
          <w:sz w:val="24"/>
        </w:rPr>
        <w:t>年</w:t>
      </w:r>
      <w:r>
        <w:rPr>
          <w:rFonts w:hint="eastAsia" w:ascii="宋体" w:hAnsi="宋体" w:cs="宋体"/>
          <w:color w:val="000000"/>
          <w:sz w:val="24"/>
        </w:rPr>
        <w:t>，因人为因素出现的故障不在免费保修范围内。超过保修期的机器设备，终生维修，维修时只收部件成本费。</w:t>
      </w:r>
    </w:p>
    <w:p w14:paraId="1CA3DD20">
      <w:pPr>
        <w:snapToGrid w:val="0"/>
        <w:spacing w:line="360" w:lineRule="auto"/>
        <w:ind w:left="-61" w:firstLine="514"/>
        <w:rPr>
          <w:rFonts w:hint="eastAsia" w:ascii="宋体" w:hAnsi="宋体" w:cs="宋体"/>
          <w:color w:val="000000"/>
          <w:sz w:val="24"/>
        </w:rPr>
      </w:pPr>
      <w:r>
        <w:rPr>
          <w:rFonts w:hint="eastAsia" w:ascii="宋体" w:hAnsi="宋体" w:cs="宋体"/>
          <w:b/>
          <w:color w:val="000000"/>
          <w:sz w:val="24"/>
        </w:rPr>
        <w:t>第十二条  调试和验收（本条款适用于甲方自行验收，委托第三方验收的另行规定）</w:t>
      </w:r>
    </w:p>
    <w:p w14:paraId="3283F4BF">
      <w:pPr>
        <w:pStyle w:val="4"/>
        <w:snapToGrid w:val="0"/>
        <w:spacing w:line="360" w:lineRule="auto"/>
        <w:ind w:firstLine="480" w:firstLineChars="200"/>
        <w:jc w:val="left"/>
        <w:rPr>
          <w:rFonts w:hint="eastAsia" w:hAnsi="宋体" w:cs="宋体"/>
          <w:color w:val="000000"/>
          <w:sz w:val="24"/>
          <w:szCs w:val="24"/>
        </w:rPr>
      </w:pPr>
      <w:r>
        <w:rPr>
          <w:rFonts w:hint="eastAsia" w:hAnsi="宋体" w:cs="宋体"/>
          <w:color w:val="000000"/>
          <w:sz w:val="24"/>
          <w:szCs w:val="24"/>
        </w:rPr>
        <w:t>1.甲方对乙方提交的货物依据招标文件上的技术规格要求和国家有关质量标准进行现场初步验收，外观、说明书符合招标文件技术要求的，给予签收，初步验收不合格的不予签收。货到后，甲方应当在到货（安装、调试完）后七个工作日内进行验收。</w:t>
      </w:r>
    </w:p>
    <w:p w14:paraId="00AEB7F3">
      <w:pPr>
        <w:pStyle w:val="4"/>
        <w:snapToGrid w:val="0"/>
        <w:spacing w:line="360" w:lineRule="auto"/>
        <w:ind w:firstLine="480" w:firstLineChars="200"/>
        <w:rPr>
          <w:rFonts w:hint="eastAsia" w:hAnsi="宋体" w:cs="宋体"/>
          <w:color w:val="000000"/>
          <w:sz w:val="24"/>
          <w:szCs w:val="24"/>
        </w:rPr>
      </w:pPr>
      <w:r>
        <w:rPr>
          <w:rFonts w:hint="eastAsia" w:hAnsi="宋体" w:cs="宋体"/>
          <w:color w:val="000000"/>
          <w:sz w:val="24"/>
          <w:szCs w:val="24"/>
        </w:rPr>
        <w:t>2.乙方交货前应对产品作出全面检查和对验收文件进行整理，并列出清单，作为甲方收货验收和使用的技术条件依据，检验的结果应随货物交甲方。</w:t>
      </w:r>
    </w:p>
    <w:p w14:paraId="4066BBB4">
      <w:pPr>
        <w:pStyle w:val="4"/>
        <w:snapToGrid w:val="0"/>
        <w:spacing w:line="360" w:lineRule="auto"/>
        <w:ind w:firstLine="480" w:firstLineChars="200"/>
        <w:rPr>
          <w:rFonts w:hint="eastAsia" w:hAnsi="宋体" w:cs="宋体"/>
          <w:color w:val="000000"/>
          <w:sz w:val="24"/>
          <w:szCs w:val="24"/>
        </w:rPr>
      </w:pPr>
      <w:r>
        <w:rPr>
          <w:rFonts w:hint="eastAsia" w:hAnsi="宋体" w:cs="宋体"/>
          <w:color w:val="000000"/>
          <w:sz w:val="24"/>
          <w:szCs w:val="24"/>
        </w:rPr>
        <w:t>3.甲方对乙方提供的货物在使用前进行调试时，乙方需负责安装并培训甲方的使用操作人员，并协助甲方一起调试，直到符合技术要求，甲方才做最终验收。</w:t>
      </w:r>
    </w:p>
    <w:p w14:paraId="310C9DF5">
      <w:pPr>
        <w:pStyle w:val="4"/>
        <w:snapToGrid w:val="0"/>
        <w:spacing w:line="360" w:lineRule="auto"/>
        <w:ind w:firstLine="480" w:firstLineChars="200"/>
        <w:rPr>
          <w:rFonts w:hint="eastAsia" w:hAnsi="宋体" w:cs="宋体"/>
          <w:color w:val="000000"/>
          <w:sz w:val="24"/>
          <w:szCs w:val="24"/>
        </w:rPr>
      </w:pPr>
      <w:r>
        <w:rPr>
          <w:rFonts w:hint="eastAsia" w:hAnsi="宋体" w:cs="宋体"/>
          <w:color w:val="000000"/>
          <w:sz w:val="24"/>
          <w:szCs w:val="24"/>
        </w:rPr>
        <w:t>4.对技术复杂的货物，甲方可请国家认可的专业检测机构参与初步验收及最终验收，并由其出具质量检测报告。</w:t>
      </w:r>
    </w:p>
    <w:p w14:paraId="435EF334">
      <w:pPr>
        <w:snapToGrid w:val="0"/>
        <w:spacing w:line="360" w:lineRule="auto"/>
        <w:ind w:left="-61" w:firstLine="514"/>
        <w:rPr>
          <w:rFonts w:hint="eastAsia" w:ascii="宋体" w:hAnsi="宋体" w:cs="宋体"/>
          <w:color w:val="000000"/>
          <w:sz w:val="24"/>
        </w:rPr>
      </w:pPr>
      <w:r>
        <w:rPr>
          <w:rFonts w:hint="eastAsia" w:ascii="宋体" w:hAnsi="宋体" w:cs="宋体"/>
          <w:color w:val="000000"/>
          <w:sz w:val="24"/>
        </w:rPr>
        <w:t>5.验收时乙方必须在现场，验收完毕后作出验收结果报告；验收费用按招标文件约定承担方负责。</w:t>
      </w:r>
    </w:p>
    <w:p w14:paraId="1A5CD2D6">
      <w:pPr>
        <w:pStyle w:val="4"/>
        <w:snapToGrid w:val="0"/>
        <w:spacing w:line="360" w:lineRule="auto"/>
        <w:ind w:firstLine="472" w:firstLineChars="196"/>
        <w:rPr>
          <w:rFonts w:hint="eastAsia" w:hAnsi="宋体" w:cs="宋体"/>
          <w:b/>
          <w:color w:val="000000"/>
          <w:sz w:val="24"/>
          <w:szCs w:val="24"/>
        </w:rPr>
      </w:pPr>
      <w:r>
        <w:rPr>
          <w:rFonts w:hint="eastAsia" w:hAnsi="宋体" w:cs="宋体"/>
          <w:b/>
          <w:color w:val="000000"/>
          <w:sz w:val="24"/>
          <w:szCs w:val="24"/>
        </w:rPr>
        <w:t>第十三条  货物包装、发运及运输</w:t>
      </w:r>
    </w:p>
    <w:p w14:paraId="4BB99F43">
      <w:pPr>
        <w:pStyle w:val="4"/>
        <w:snapToGrid w:val="0"/>
        <w:spacing w:line="360" w:lineRule="auto"/>
        <w:ind w:firstLine="480" w:firstLineChars="200"/>
        <w:rPr>
          <w:rFonts w:hint="eastAsia" w:hAnsi="宋体" w:cs="宋体"/>
          <w:color w:val="000000"/>
          <w:sz w:val="24"/>
          <w:szCs w:val="24"/>
        </w:rPr>
      </w:pPr>
      <w:r>
        <w:rPr>
          <w:rFonts w:hint="eastAsia" w:hAnsi="宋体" w:cs="宋体"/>
          <w:color w:val="000000"/>
          <w:sz w:val="24"/>
          <w:szCs w:val="24"/>
        </w:rPr>
        <w:t>1.乙方应在货物发运前对其进行满足运输距离、防潮、防震、防锈和防破损装卸等要求包装，以保证货物安全运达甲方指定地点。</w:t>
      </w:r>
    </w:p>
    <w:p w14:paraId="0F504602">
      <w:pPr>
        <w:pStyle w:val="4"/>
        <w:snapToGrid w:val="0"/>
        <w:spacing w:line="360" w:lineRule="auto"/>
        <w:ind w:firstLine="480" w:firstLineChars="200"/>
        <w:rPr>
          <w:rFonts w:hint="eastAsia" w:hAnsi="宋体" w:cs="宋体"/>
          <w:color w:val="000000"/>
          <w:sz w:val="24"/>
          <w:szCs w:val="24"/>
        </w:rPr>
      </w:pPr>
      <w:r>
        <w:rPr>
          <w:rFonts w:hint="eastAsia" w:hAnsi="宋体" w:cs="宋体"/>
          <w:color w:val="000000"/>
          <w:sz w:val="24"/>
          <w:szCs w:val="24"/>
        </w:rPr>
        <w:t>2.使用说明书（货物属于进口产品的，供货时应同时附上中文使用说明书）、质量检验证明书、随配附件和工具以及清单一并附于货物内。</w:t>
      </w:r>
    </w:p>
    <w:p w14:paraId="12402D26">
      <w:pPr>
        <w:pStyle w:val="4"/>
        <w:snapToGrid w:val="0"/>
        <w:spacing w:line="360" w:lineRule="auto"/>
        <w:ind w:firstLine="480" w:firstLineChars="200"/>
        <w:rPr>
          <w:rFonts w:hint="eastAsia" w:hAnsi="宋体" w:cs="宋体"/>
          <w:color w:val="000000"/>
          <w:sz w:val="24"/>
          <w:szCs w:val="24"/>
        </w:rPr>
      </w:pPr>
      <w:r>
        <w:rPr>
          <w:rFonts w:hint="eastAsia" w:hAnsi="宋体" w:cs="宋体"/>
          <w:color w:val="000000"/>
          <w:sz w:val="24"/>
          <w:szCs w:val="24"/>
        </w:rPr>
        <w:t>3.乙方在货物发运手续办理完毕后24小时内或者货到甲方48小时前通知甲方，以准备接货。</w:t>
      </w:r>
    </w:p>
    <w:p w14:paraId="59533985">
      <w:pPr>
        <w:pStyle w:val="4"/>
        <w:snapToGrid w:val="0"/>
        <w:spacing w:line="360" w:lineRule="auto"/>
        <w:ind w:firstLine="480" w:firstLineChars="200"/>
        <w:rPr>
          <w:rFonts w:hint="eastAsia" w:hAnsi="宋体" w:cs="宋体"/>
          <w:color w:val="000000"/>
          <w:sz w:val="24"/>
          <w:szCs w:val="24"/>
        </w:rPr>
      </w:pPr>
      <w:r>
        <w:rPr>
          <w:rFonts w:hint="eastAsia" w:hAnsi="宋体" w:cs="宋体"/>
          <w:color w:val="000000"/>
          <w:sz w:val="24"/>
          <w:szCs w:val="24"/>
        </w:rPr>
        <w:t>4.货物在交付甲方前发生的风险均由乙方负责。</w:t>
      </w:r>
    </w:p>
    <w:p w14:paraId="6E6BD320">
      <w:pPr>
        <w:pStyle w:val="4"/>
        <w:snapToGrid w:val="0"/>
        <w:spacing w:line="360" w:lineRule="auto"/>
        <w:ind w:firstLine="480" w:firstLineChars="200"/>
        <w:rPr>
          <w:rFonts w:hint="eastAsia" w:hAnsi="宋体" w:cs="宋体"/>
          <w:color w:val="000000"/>
          <w:sz w:val="24"/>
          <w:szCs w:val="24"/>
        </w:rPr>
      </w:pPr>
      <w:r>
        <w:rPr>
          <w:rFonts w:hint="eastAsia" w:hAnsi="宋体" w:cs="宋体"/>
          <w:color w:val="000000"/>
          <w:sz w:val="24"/>
          <w:szCs w:val="24"/>
        </w:rPr>
        <w:t>5.货物在规定的交付期限内由乙方送达甲方指定的地点视为交付，乙方同时需通知甲方货物已送达。</w:t>
      </w:r>
    </w:p>
    <w:p w14:paraId="47EB1B11">
      <w:pPr>
        <w:suppressAutoHyphens/>
        <w:snapToGrid w:val="0"/>
        <w:spacing w:line="360" w:lineRule="exact"/>
        <w:ind w:firstLine="482" w:firstLineChars="200"/>
        <w:rPr>
          <w:rFonts w:hint="default" w:ascii="宋体" w:hAnsi="宋体" w:cs="宋体" w:eastAsiaTheme="minorEastAsia"/>
          <w:b/>
          <w:color w:val="000000"/>
          <w:sz w:val="24"/>
          <w:lang w:val="en-US" w:eastAsia="zh-CN"/>
        </w:rPr>
      </w:pPr>
      <w:r>
        <w:rPr>
          <w:rFonts w:hint="eastAsia" w:ascii="宋体" w:hAnsi="宋体" w:cs="宋体"/>
          <w:b/>
          <w:color w:val="000000"/>
          <w:sz w:val="24"/>
        </w:rPr>
        <w:t>第十四条</w:t>
      </w:r>
      <w:r>
        <w:rPr>
          <w:rFonts w:hint="eastAsia" w:ascii="宋体" w:hAnsi="宋体" w:cs="宋体"/>
          <w:b/>
          <w:color w:val="000000"/>
          <w:sz w:val="24"/>
          <w:lang w:val="en-US" w:eastAsia="zh-CN"/>
        </w:rPr>
        <w:t xml:space="preserve">  违约责任</w:t>
      </w:r>
    </w:p>
    <w:p w14:paraId="641B9676">
      <w:pPr>
        <w:pStyle w:val="4"/>
        <w:snapToGrid w:val="0"/>
        <w:spacing w:line="360" w:lineRule="auto"/>
        <w:ind w:firstLine="480" w:firstLineChars="200"/>
        <w:rPr>
          <w:rFonts w:hint="eastAsia" w:hAnsi="宋体" w:cs="宋体"/>
          <w:color w:val="000000"/>
          <w:sz w:val="24"/>
          <w:szCs w:val="24"/>
          <w:lang w:eastAsia="ar-SA"/>
        </w:rPr>
      </w:pPr>
      <w:r>
        <w:rPr>
          <w:rFonts w:hint="eastAsia" w:hAnsi="宋体" w:cs="宋体"/>
          <w:color w:val="000000"/>
          <w:sz w:val="24"/>
          <w:szCs w:val="24"/>
          <w:lang w:val="en-US" w:eastAsia="zh-CN"/>
        </w:rPr>
        <w:t xml:space="preserve">1. </w:t>
      </w:r>
      <w:r>
        <w:rPr>
          <w:rFonts w:hint="eastAsia" w:hAnsi="宋体" w:cs="宋体"/>
          <w:color w:val="000000"/>
          <w:sz w:val="24"/>
          <w:szCs w:val="24"/>
          <w:lang w:eastAsia="ar-SA"/>
        </w:rPr>
        <w:t>乙方所提供的货物规格、技术标准、材料</w:t>
      </w:r>
      <w:r>
        <w:rPr>
          <w:rFonts w:hint="eastAsia" w:hAnsi="宋体" w:cs="宋体"/>
          <w:color w:val="000000"/>
          <w:sz w:val="24"/>
          <w:szCs w:val="24"/>
        </w:rPr>
        <w:t>、品牌</w:t>
      </w:r>
      <w:r>
        <w:rPr>
          <w:rFonts w:hint="eastAsia" w:hAnsi="宋体" w:cs="宋体"/>
          <w:color w:val="000000"/>
          <w:sz w:val="24"/>
          <w:szCs w:val="24"/>
          <w:lang w:eastAsia="ar-SA"/>
        </w:rPr>
        <w:t>等</w:t>
      </w:r>
      <w:r>
        <w:rPr>
          <w:rFonts w:hint="eastAsia" w:hAnsi="宋体" w:cs="宋体"/>
          <w:color w:val="000000"/>
          <w:sz w:val="24"/>
          <w:szCs w:val="24"/>
        </w:rPr>
        <w:t>不符合采购文件</w:t>
      </w:r>
      <w:r>
        <w:rPr>
          <w:rFonts w:hint="eastAsia" w:hAnsi="宋体" w:cs="宋体"/>
          <w:color w:val="000000"/>
          <w:sz w:val="24"/>
          <w:szCs w:val="24"/>
          <w:lang w:eastAsia="ar-SA"/>
        </w:rPr>
        <w:t>、响应文件</w:t>
      </w:r>
      <w:r>
        <w:rPr>
          <w:rFonts w:hint="eastAsia" w:hAnsi="宋体" w:cs="宋体"/>
          <w:color w:val="000000"/>
          <w:sz w:val="24"/>
          <w:szCs w:val="24"/>
        </w:rPr>
        <w:t>、</w:t>
      </w:r>
      <w:r>
        <w:rPr>
          <w:rFonts w:hint="eastAsia" w:hAnsi="宋体" w:cs="宋体"/>
          <w:color w:val="000000"/>
          <w:sz w:val="24"/>
          <w:szCs w:val="24"/>
          <w:lang w:eastAsia="ar-SA"/>
        </w:rPr>
        <w:t>国家</w:t>
      </w:r>
      <w:r>
        <w:rPr>
          <w:rFonts w:hint="eastAsia" w:hAnsi="宋体" w:cs="宋体"/>
          <w:color w:val="000000"/>
          <w:sz w:val="24"/>
          <w:szCs w:val="24"/>
        </w:rPr>
        <w:t>质量标准</w:t>
      </w:r>
      <w:r>
        <w:rPr>
          <w:rFonts w:hint="eastAsia" w:hAnsi="宋体" w:cs="宋体"/>
          <w:color w:val="000000"/>
          <w:sz w:val="24"/>
          <w:szCs w:val="24"/>
          <w:lang w:eastAsia="ar-SA"/>
        </w:rPr>
        <w:t>、行业质量标准的，应在15 个工作日内更换，换货期间计入乙方交货时间，</w:t>
      </w:r>
      <w:r>
        <w:rPr>
          <w:rFonts w:hint="eastAsia" w:hAnsi="宋体" w:cs="宋体"/>
          <w:color w:val="000000"/>
          <w:sz w:val="24"/>
          <w:szCs w:val="24"/>
        </w:rPr>
        <w:t>如因换货导致</w:t>
      </w:r>
      <w:r>
        <w:rPr>
          <w:rFonts w:hint="eastAsia" w:hAnsi="宋体" w:cs="宋体"/>
          <w:color w:val="000000"/>
          <w:sz w:val="24"/>
          <w:szCs w:val="24"/>
          <w:lang w:eastAsia="ar-SA"/>
        </w:rPr>
        <w:t>逾期交货的</w:t>
      </w:r>
      <w:r>
        <w:rPr>
          <w:rFonts w:hint="eastAsia" w:hAnsi="宋体" w:cs="宋体"/>
          <w:color w:val="000000"/>
          <w:sz w:val="24"/>
          <w:szCs w:val="24"/>
        </w:rPr>
        <w:t>，</w:t>
      </w:r>
      <w:r>
        <w:rPr>
          <w:rFonts w:hint="eastAsia" w:hAnsi="宋体" w:cs="宋体"/>
          <w:color w:val="000000"/>
          <w:sz w:val="24"/>
          <w:szCs w:val="24"/>
          <w:lang w:eastAsia="ar-SA"/>
        </w:rPr>
        <w:t>乙方应承担相应违约责任。乙方拒绝更换或更换货物后仍不符合本合同约定的，该货物的价款不计入结算金额</w:t>
      </w:r>
      <w:r>
        <w:rPr>
          <w:rFonts w:hint="eastAsia" w:hAnsi="宋体" w:cs="宋体"/>
          <w:color w:val="000000"/>
          <w:sz w:val="24"/>
          <w:szCs w:val="24"/>
        </w:rPr>
        <w:t>（或从合同合计金额中扣除）</w:t>
      </w:r>
      <w:r>
        <w:rPr>
          <w:rFonts w:hint="eastAsia" w:hAnsi="宋体" w:cs="宋体"/>
          <w:color w:val="000000"/>
          <w:sz w:val="24"/>
          <w:szCs w:val="24"/>
          <w:lang w:eastAsia="ar-SA"/>
        </w:rPr>
        <w:t>，且乙方应按合同合计金额的</w:t>
      </w:r>
      <w:r>
        <w:rPr>
          <w:rFonts w:hint="eastAsia" w:hAnsi="宋体" w:cs="宋体"/>
          <w:color w:val="000000"/>
          <w:sz w:val="24"/>
          <w:szCs w:val="24"/>
        </w:rPr>
        <w:t>3</w:t>
      </w:r>
      <w:r>
        <w:rPr>
          <w:rFonts w:hint="eastAsia" w:hAnsi="宋体" w:cs="宋体"/>
          <w:color w:val="000000"/>
          <w:sz w:val="24"/>
          <w:szCs w:val="24"/>
          <w:lang w:eastAsia="ar-SA"/>
        </w:rPr>
        <w:t>0%向甲方支付违约金</w:t>
      </w:r>
      <w:r>
        <w:rPr>
          <w:rFonts w:hint="eastAsia" w:hAnsi="宋体" w:cs="宋体"/>
          <w:color w:val="000000"/>
          <w:sz w:val="24"/>
          <w:szCs w:val="24"/>
        </w:rPr>
        <w:t>；</w:t>
      </w:r>
      <w:r>
        <w:rPr>
          <w:rFonts w:hint="eastAsia" w:hAnsi="宋体" w:cs="宋体"/>
          <w:color w:val="000000"/>
          <w:sz w:val="24"/>
          <w:szCs w:val="24"/>
          <w:lang w:eastAsia="ar-SA"/>
        </w:rPr>
        <w:t>乙方所提供的货物仅存在不影响使用的质量瑕疵且特殊情况下甲方同意接收的，乙方应向甲方支付违约货款额5%</w:t>
      </w:r>
      <w:r>
        <w:rPr>
          <w:rFonts w:hint="eastAsia" w:hAnsi="宋体" w:cs="宋体"/>
          <w:color w:val="000000"/>
          <w:sz w:val="24"/>
          <w:szCs w:val="24"/>
        </w:rPr>
        <w:t>的</w:t>
      </w:r>
      <w:r>
        <w:rPr>
          <w:rFonts w:hint="eastAsia" w:hAnsi="宋体" w:cs="宋体"/>
          <w:color w:val="000000"/>
          <w:sz w:val="24"/>
          <w:szCs w:val="24"/>
          <w:lang w:eastAsia="ar-SA"/>
        </w:rPr>
        <w:t>违约金。</w:t>
      </w:r>
    </w:p>
    <w:p w14:paraId="4DC7F222">
      <w:pPr>
        <w:pStyle w:val="4"/>
        <w:snapToGrid w:val="0"/>
        <w:spacing w:line="360" w:lineRule="auto"/>
        <w:ind w:firstLine="480" w:firstLineChars="200"/>
        <w:rPr>
          <w:rFonts w:hint="eastAsia" w:hAnsi="宋体" w:cs="宋体"/>
          <w:color w:val="000000"/>
          <w:sz w:val="24"/>
          <w:szCs w:val="24"/>
          <w:lang w:eastAsia="ar-SA"/>
        </w:rPr>
      </w:pPr>
      <w:r>
        <w:rPr>
          <w:rFonts w:hint="eastAsia" w:hAnsi="宋体" w:cs="宋体"/>
          <w:color w:val="000000"/>
          <w:sz w:val="24"/>
          <w:szCs w:val="24"/>
          <w:lang w:eastAsia="ar-SA"/>
        </w:rPr>
        <w:t>2.乙方提供的货物如侵犯了第三方合法权益（包括但不限于知识产权、所有权、用益权物、担保物权等）而引发的任何纠纷或诉讼，均由乙方负责交涉并承担全部责任。在处理纠纷或诉讼的过程中，乙方应为甲方取得继续使用该</w:t>
      </w:r>
      <w:r>
        <w:rPr>
          <w:rFonts w:hint="eastAsia" w:hAnsi="宋体" w:cs="宋体"/>
          <w:color w:val="000000"/>
          <w:sz w:val="24"/>
          <w:szCs w:val="24"/>
        </w:rPr>
        <w:t>货物</w:t>
      </w:r>
      <w:r>
        <w:rPr>
          <w:rFonts w:hint="eastAsia" w:hAnsi="宋体" w:cs="宋体"/>
          <w:color w:val="000000"/>
          <w:sz w:val="24"/>
          <w:szCs w:val="24"/>
          <w:lang w:eastAsia="ar-SA"/>
        </w:rPr>
        <w:t>的权利，或者将该</w:t>
      </w:r>
      <w:r>
        <w:rPr>
          <w:rFonts w:hint="eastAsia" w:hAnsi="宋体" w:cs="宋体"/>
          <w:color w:val="000000"/>
          <w:sz w:val="24"/>
          <w:szCs w:val="24"/>
        </w:rPr>
        <w:t>货物</w:t>
      </w:r>
      <w:r>
        <w:rPr>
          <w:rFonts w:hint="eastAsia" w:hAnsi="宋体" w:cs="宋体"/>
          <w:color w:val="000000"/>
          <w:sz w:val="24"/>
          <w:szCs w:val="24"/>
          <w:lang w:eastAsia="ar-SA"/>
        </w:rPr>
        <w:t>替换或修改，以便使用该</w:t>
      </w:r>
      <w:r>
        <w:rPr>
          <w:rFonts w:hint="eastAsia" w:hAnsi="宋体" w:cs="宋体"/>
          <w:color w:val="000000"/>
          <w:sz w:val="24"/>
          <w:szCs w:val="24"/>
        </w:rPr>
        <w:t>货物</w:t>
      </w:r>
      <w:r>
        <w:rPr>
          <w:rFonts w:hint="eastAsia" w:hAnsi="宋体" w:cs="宋体"/>
          <w:color w:val="000000"/>
          <w:sz w:val="24"/>
          <w:szCs w:val="24"/>
          <w:lang w:eastAsia="ar-SA"/>
        </w:rPr>
        <w:t>不再侵权。如果乙方不能合理地完成这些补救措施，并且甲方必须停止使用侵权的</w:t>
      </w:r>
      <w:r>
        <w:rPr>
          <w:rFonts w:hint="eastAsia" w:hAnsi="宋体" w:cs="宋体"/>
          <w:color w:val="000000"/>
          <w:sz w:val="24"/>
          <w:szCs w:val="24"/>
        </w:rPr>
        <w:t>货物</w:t>
      </w:r>
      <w:r>
        <w:rPr>
          <w:rFonts w:hint="eastAsia" w:hAnsi="宋体" w:cs="宋体"/>
          <w:color w:val="000000"/>
          <w:sz w:val="24"/>
          <w:szCs w:val="24"/>
          <w:lang w:eastAsia="ar-SA"/>
        </w:rPr>
        <w:t>，甲方有权解除合同，要求乙方需退还甲方已付价款，没收</w:t>
      </w:r>
      <w:r>
        <w:rPr>
          <w:rFonts w:hint="eastAsia" w:hAnsi="宋体" w:cs="宋体"/>
          <w:color w:val="000000"/>
          <w:sz w:val="24"/>
          <w:szCs w:val="24"/>
        </w:rPr>
        <w:t>履约</w:t>
      </w:r>
      <w:r>
        <w:rPr>
          <w:rFonts w:hint="eastAsia" w:hAnsi="宋体" w:cs="宋体"/>
          <w:color w:val="000000"/>
          <w:sz w:val="24"/>
          <w:szCs w:val="24"/>
          <w:lang w:eastAsia="ar-SA"/>
        </w:rPr>
        <w:t>保证金，并有权要求</w:t>
      </w:r>
      <w:r>
        <w:rPr>
          <w:rFonts w:hint="eastAsia" w:hAnsi="宋体" w:cs="宋体"/>
          <w:color w:val="000000"/>
          <w:sz w:val="24"/>
          <w:szCs w:val="24"/>
        </w:rPr>
        <w:t>乙方</w:t>
      </w:r>
      <w:r>
        <w:rPr>
          <w:rFonts w:hint="eastAsia" w:hAnsi="宋体" w:cs="宋体"/>
          <w:color w:val="000000"/>
          <w:sz w:val="24"/>
          <w:szCs w:val="24"/>
          <w:lang w:eastAsia="ar-SA"/>
        </w:rPr>
        <w:t>按合同合计金额</w:t>
      </w:r>
      <w:r>
        <w:rPr>
          <w:rFonts w:hint="eastAsia" w:hAnsi="宋体" w:cs="宋体"/>
          <w:color w:val="000000"/>
          <w:sz w:val="24"/>
          <w:szCs w:val="24"/>
        </w:rPr>
        <w:t>的</w:t>
      </w:r>
      <w:r>
        <w:rPr>
          <w:rFonts w:hint="eastAsia" w:hAnsi="宋体" w:cs="宋体"/>
          <w:color w:val="000000"/>
          <w:sz w:val="24"/>
          <w:szCs w:val="24"/>
          <w:lang w:eastAsia="ar-SA"/>
        </w:rPr>
        <w:t xml:space="preserve">30% </w:t>
      </w:r>
      <w:r>
        <w:rPr>
          <w:rFonts w:hint="eastAsia" w:hAnsi="宋体" w:cs="宋体"/>
          <w:color w:val="000000"/>
          <w:sz w:val="24"/>
          <w:szCs w:val="24"/>
        </w:rPr>
        <w:t>支付违约金</w:t>
      </w:r>
      <w:r>
        <w:rPr>
          <w:rFonts w:hint="eastAsia" w:hAnsi="宋体" w:cs="宋体"/>
          <w:color w:val="000000"/>
          <w:sz w:val="24"/>
          <w:szCs w:val="24"/>
          <w:lang w:eastAsia="ar-SA"/>
        </w:rPr>
        <w:t>。</w:t>
      </w:r>
    </w:p>
    <w:p w14:paraId="2BA6CE41">
      <w:pPr>
        <w:pStyle w:val="4"/>
        <w:snapToGrid w:val="0"/>
        <w:spacing w:line="360" w:lineRule="auto"/>
        <w:ind w:firstLine="480" w:firstLineChars="200"/>
        <w:rPr>
          <w:rFonts w:hint="eastAsia" w:hAnsi="宋体" w:cs="宋体"/>
          <w:color w:val="000000"/>
          <w:sz w:val="24"/>
          <w:szCs w:val="24"/>
          <w:lang w:eastAsia="ar-SA"/>
        </w:rPr>
      </w:pPr>
      <w:r>
        <w:rPr>
          <w:rFonts w:hint="eastAsia" w:hAnsi="宋体" w:cs="宋体"/>
          <w:color w:val="000000"/>
          <w:sz w:val="24"/>
          <w:szCs w:val="24"/>
          <w:lang w:eastAsia="ar-SA"/>
        </w:rPr>
        <w:t>3.因包装、运输引起的货物损坏，</w:t>
      </w:r>
      <w:r>
        <w:rPr>
          <w:rFonts w:hint="eastAsia" w:hAnsi="宋体" w:cs="宋体"/>
          <w:color w:val="000000"/>
          <w:sz w:val="24"/>
          <w:szCs w:val="24"/>
          <w:lang w:eastAsia="zh-Hans"/>
        </w:rPr>
        <w:t>甲方有权选择不予接收或</w:t>
      </w:r>
      <w:r>
        <w:rPr>
          <w:rFonts w:hint="eastAsia" w:hAnsi="宋体" w:cs="宋体"/>
          <w:color w:val="000000"/>
          <w:sz w:val="24"/>
          <w:szCs w:val="24"/>
          <w:lang w:eastAsia="ar-SA"/>
        </w:rPr>
        <w:t>按质量不合格</w:t>
      </w:r>
      <w:r>
        <w:rPr>
          <w:rFonts w:hint="eastAsia" w:hAnsi="宋体" w:cs="宋体"/>
          <w:color w:val="000000"/>
          <w:sz w:val="24"/>
          <w:szCs w:val="24"/>
        </w:rPr>
        <w:t>要求乙方承担相应违约责任</w:t>
      </w:r>
      <w:r>
        <w:rPr>
          <w:rFonts w:hint="eastAsia" w:hAnsi="宋体" w:cs="宋体"/>
          <w:color w:val="000000"/>
          <w:sz w:val="24"/>
          <w:szCs w:val="24"/>
          <w:lang w:eastAsia="ar-SA"/>
        </w:rPr>
        <w:t>。</w:t>
      </w:r>
    </w:p>
    <w:p w14:paraId="20873DCA">
      <w:pPr>
        <w:suppressAutoHyphens/>
        <w:snapToGrid w:val="0"/>
        <w:spacing w:line="360" w:lineRule="exact"/>
        <w:ind w:firstLine="480" w:firstLineChars="200"/>
        <w:rPr>
          <w:rFonts w:hint="eastAsia" w:ascii="宋体" w:hAnsi="宋体" w:cs="宋体" w:eastAsiaTheme="minorEastAsia"/>
          <w:color w:val="000000"/>
          <w:kern w:val="0"/>
          <w:sz w:val="24"/>
          <w:szCs w:val="24"/>
          <w:lang w:val="en-US" w:eastAsia="ar-SA" w:bidi="ar-SA"/>
        </w:rPr>
      </w:pPr>
      <w:r>
        <w:rPr>
          <w:rFonts w:hint="eastAsia" w:ascii="宋体" w:hAnsi="宋体" w:cs="宋体" w:eastAsiaTheme="minorEastAsia"/>
          <w:color w:val="000000"/>
          <w:kern w:val="0"/>
          <w:sz w:val="24"/>
          <w:szCs w:val="24"/>
          <w:lang w:val="en-US" w:eastAsia="ar-SA" w:bidi="ar-SA"/>
        </w:rPr>
        <w:t xml:space="preserve">4.甲方无故延期接收货物的，需补偿乙方因此增加的直接成本。乙方逾期交货的，每天向甲方偿付违约货款额0.4‰的违约金，超过30天甲方有权解除合同；甲方延期支付货款的，每天向乙方偿付延期货款额0.1‰ </w:t>
      </w:r>
      <w:bookmarkStart w:id="0" w:name="_Hlk148991641"/>
      <w:r>
        <w:rPr>
          <w:rFonts w:hint="eastAsia" w:ascii="宋体" w:hAnsi="宋体" w:cs="宋体" w:eastAsiaTheme="minorEastAsia"/>
          <w:color w:val="000000"/>
          <w:kern w:val="0"/>
          <w:sz w:val="24"/>
          <w:szCs w:val="24"/>
          <w:lang w:val="en-US" w:eastAsia="ar-SA" w:bidi="ar-SA"/>
        </w:rPr>
        <w:t>迟延履行金</w:t>
      </w:r>
      <w:bookmarkEnd w:id="0"/>
      <w:r>
        <w:rPr>
          <w:rFonts w:hint="eastAsia" w:ascii="宋体" w:hAnsi="宋体" w:cs="宋体" w:eastAsiaTheme="minorEastAsia"/>
          <w:color w:val="000000"/>
          <w:kern w:val="0"/>
          <w:sz w:val="24"/>
          <w:szCs w:val="24"/>
          <w:lang w:val="en-US" w:eastAsia="ar-SA" w:bidi="ar-SA"/>
        </w:rPr>
        <w:t>，但迟延履行金累计不得超过延期货款额5%。乙方逾期交付货物核心部件导致货物无法使用的，乙方须赔偿甲方所受到的全部损失（包括但不限于：替代物购置及安装费用等）并按本合同合计金额的30%支付违约金。</w:t>
      </w:r>
    </w:p>
    <w:p w14:paraId="1A7548D0">
      <w:pPr>
        <w:suppressAutoHyphens/>
        <w:snapToGrid w:val="0"/>
        <w:spacing w:line="360" w:lineRule="exact"/>
        <w:ind w:firstLine="480" w:firstLineChars="200"/>
        <w:rPr>
          <w:rFonts w:hint="eastAsia" w:ascii="宋体" w:hAnsi="宋体" w:cs="宋体" w:eastAsiaTheme="minorEastAsia"/>
          <w:color w:val="000000"/>
          <w:kern w:val="0"/>
          <w:sz w:val="24"/>
          <w:szCs w:val="24"/>
          <w:lang w:val="en-US" w:eastAsia="ar-SA" w:bidi="ar-SA"/>
        </w:rPr>
      </w:pPr>
      <w:r>
        <w:rPr>
          <w:rFonts w:hint="eastAsia" w:ascii="宋体" w:hAnsi="宋体" w:cs="宋体" w:eastAsiaTheme="minorEastAsia"/>
          <w:color w:val="000000"/>
          <w:kern w:val="0"/>
          <w:sz w:val="24"/>
          <w:szCs w:val="24"/>
          <w:lang w:val="en-US" w:eastAsia="ar-SA" w:bidi="ar-SA"/>
        </w:rPr>
        <w:t>5.乙方未按本合同和投标/响应文件中规定的服务承诺提供售后服务的，每出现一次，乙方应按本合同合计金额的 5%向甲方支付违约金，同时甲方有权根据本合同第十一条第2</w:t>
      </w:r>
      <w:r>
        <w:rPr>
          <w:rFonts w:hint="eastAsia" w:ascii="宋体" w:hAnsi="宋体" w:cs="宋体" w:eastAsiaTheme="minorEastAsia"/>
          <w:color w:val="000000"/>
          <w:kern w:val="0"/>
          <w:sz w:val="24"/>
          <w:szCs w:val="24"/>
          <w:lang w:val="en-US" w:eastAsia="zh-CN" w:bidi="ar-SA"/>
        </w:rPr>
        <w:t>款</w:t>
      </w:r>
      <w:r>
        <w:rPr>
          <w:rFonts w:hint="eastAsia" w:ascii="宋体" w:hAnsi="宋体" w:cs="宋体" w:eastAsiaTheme="minorEastAsia"/>
          <w:color w:val="000000"/>
          <w:kern w:val="0"/>
          <w:sz w:val="24"/>
          <w:szCs w:val="24"/>
          <w:lang w:val="en-US" w:eastAsia="ar-SA" w:bidi="ar-SA"/>
        </w:rPr>
        <w:t>的约定自行交由第三方提供售后服务，乙方每次除向甲方支付违约金外，还需承担甲方为此支出的配件费、工时费等一切售后服务相关费用。</w:t>
      </w:r>
    </w:p>
    <w:p w14:paraId="01C33DB6">
      <w:pPr>
        <w:suppressAutoHyphens/>
        <w:snapToGrid w:val="0"/>
        <w:spacing w:line="360" w:lineRule="exact"/>
        <w:ind w:firstLine="480" w:firstLineChars="200"/>
        <w:rPr>
          <w:rFonts w:hint="eastAsia" w:ascii="宋体" w:hAnsi="宋体" w:cs="宋体" w:eastAsiaTheme="minorEastAsia"/>
          <w:color w:val="000000"/>
          <w:kern w:val="0"/>
          <w:sz w:val="24"/>
          <w:szCs w:val="24"/>
          <w:lang w:val="en-US" w:eastAsia="ar-SA" w:bidi="ar-SA"/>
        </w:rPr>
      </w:pPr>
      <w:r>
        <w:rPr>
          <w:rFonts w:hint="eastAsia" w:ascii="宋体" w:hAnsi="宋体" w:cs="宋体" w:eastAsiaTheme="minorEastAsia"/>
          <w:color w:val="000000"/>
          <w:kern w:val="0"/>
          <w:sz w:val="24"/>
          <w:szCs w:val="24"/>
          <w:lang w:val="en-US" w:eastAsia="ar-SA" w:bidi="ar-SA"/>
        </w:rPr>
        <w:t>6.乙方提供的货物在质量保证期内，因设计、工艺或材料的缺陷和其他质量原因造成甲方人员（含经允许进入甲方场地的第三人）、该货物之外的其他物品受到伤害（损坏）的，由乙方负责承担由此产生的一切赔偿责任。</w:t>
      </w:r>
    </w:p>
    <w:p w14:paraId="604A7A25">
      <w:pPr>
        <w:suppressAutoHyphens/>
        <w:snapToGrid w:val="0"/>
        <w:spacing w:line="360" w:lineRule="exact"/>
        <w:ind w:firstLine="480" w:firstLineChars="200"/>
        <w:rPr>
          <w:rFonts w:hint="eastAsia" w:ascii="宋体" w:hAnsi="宋体" w:cs="宋体" w:eastAsiaTheme="minorEastAsia"/>
          <w:color w:val="000000"/>
          <w:kern w:val="0"/>
          <w:sz w:val="24"/>
          <w:szCs w:val="24"/>
          <w:lang w:val="en-US" w:eastAsia="ar-SA" w:bidi="ar-SA"/>
        </w:rPr>
      </w:pPr>
      <w:r>
        <w:rPr>
          <w:rFonts w:hint="eastAsia" w:ascii="宋体" w:hAnsi="宋体" w:cs="宋体" w:eastAsiaTheme="minorEastAsia"/>
          <w:color w:val="000000"/>
          <w:kern w:val="0"/>
          <w:sz w:val="24"/>
          <w:szCs w:val="24"/>
          <w:lang w:val="en-US" w:eastAsia="ar-SA" w:bidi="ar-SA"/>
        </w:rPr>
        <w:t>7.未经甲方书面许可，乙方擅自将本合同项下义务交由第三方完成的，视为乙方根本违约，甲方有权解除本合同。</w:t>
      </w:r>
    </w:p>
    <w:p w14:paraId="306DD507">
      <w:pPr>
        <w:suppressAutoHyphens/>
        <w:snapToGrid w:val="0"/>
        <w:spacing w:line="360" w:lineRule="exact"/>
        <w:ind w:firstLine="480" w:firstLineChars="200"/>
        <w:rPr>
          <w:rFonts w:hint="eastAsia" w:ascii="宋体" w:hAnsi="宋体" w:cs="宋体" w:eastAsiaTheme="minorEastAsia"/>
          <w:color w:val="000000"/>
          <w:kern w:val="0"/>
          <w:sz w:val="24"/>
          <w:szCs w:val="24"/>
          <w:lang w:val="en-US" w:eastAsia="ar-SA" w:bidi="ar-SA"/>
        </w:rPr>
      </w:pPr>
      <w:r>
        <w:rPr>
          <w:rFonts w:hint="eastAsia" w:ascii="宋体" w:hAnsi="宋体" w:cs="宋体" w:eastAsiaTheme="minorEastAsia"/>
          <w:color w:val="000000"/>
          <w:kern w:val="0"/>
          <w:sz w:val="24"/>
          <w:szCs w:val="24"/>
          <w:lang w:val="en-US" w:eastAsia="ar-SA" w:bidi="ar-SA"/>
        </w:rPr>
        <w:t>8.乙方未按约提供合法有效的足额发票的，除须向甲方补开发票外，还须向甲方支付相当于不符合合同约定的发票票面金额30%的违约金。</w:t>
      </w:r>
    </w:p>
    <w:p w14:paraId="37DE12AC">
      <w:pPr>
        <w:snapToGrid w:val="0"/>
        <w:spacing w:line="360" w:lineRule="exact"/>
        <w:ind w:firstLine="480" w:firstLineChars="200"/>
        <w:rPr>
          <w:rFonts w:hint="eastAsia" w:ascii="宋体" w:hAnsi="宋体" w:cs="宋体" w:eastAsiaTheme="minorEastAsia"/>
          <w:color w:val="000000"/>
          <w:kern w:val="0"/>
          <w:sz w:val="24"/>
          <w:szCs w:val="24"/>
          <w:lang w:val="en-US" w:eastAsia="ar-SA" w:bidi="ar-SA"/>
        </w:rPr>
      </w:pPr>
      <w:r>
        <w:rPr>
          <w:rFonts w:hint="eastAsia" w:ascii="宋体" w:hAnsi="宋体" w:cs="宋体" w:eastAsiaTheme="minorEastAsia"/>
          <w:color w:val="000000"/>
          <w:kern w:val="0"/>
          <w:sz w:val="24"/>
          <w:szCs w:val="24"/>
          <w:lang w:val="en-US" w:eastAsia="ar-SA" w:bidi="ar-SA"/>
        </w:rPr>
        <w:t>9.乙方违反第三条第3款约定的，应向甲方一次性支付合同合计金额30%的违约金。</w:t>
      </w:r>
    </w:p>
    <w:p w14:paraId="254C336D">
      <w:pPr>
        <w:suppressAutoHyphens/>
        <w:snapToGrid w:val="0"/>
        <w:spacing w:line="360" w:lineRule="exact"/>
        <w:ind w:firstLine="480" w:firstLineChars="200"/>
        <w:rPr>
          <w:rFonts w:hint="eastAsia" w:ascii="宋体" w:hAnsi="宋体" w:cs="宋体" w:eastAsiaTheme="minorEastAsia"/>
          <w:color w:val="000000"/>
          <w:kern w:val="0"/>
          <w:sz w:val="24"/>
          <w:szCs w:val="24"/>
          <w:lang w:val="en-US" w:eastAsia="ar-SA" w:bidi="ar-SA"/>
        </w:rPr>
      </w:pPr>
      <w:r>
        <w:rPr>
          <w:rFonts w:hint="eastAsia" w:ascii="宋体" w:hAnsi="宋体" w:cs="宋体" w:eastAsiaTheme="minorEastAsia"/>
          <w:color w:val="000000"/>
          <w:kern w:val="0"/>
          <w:sz w:val="24"/>
          <w:szCs w:val="24"/>
          <w:lang w:val="en-US" w:eastAsia="ar-SA" w:bidi="ar-SA"/>
        </w:rPr>
        <w:t>10.乙方的其他违约行为，按违约货款额5%收取违约金。</w:t>
      </w:r>
    </w:p>
    <w:p w14:paraId="73634B2B">
      <w:pPr>
        <w:suppressAutoHyphens/>
        <w:snapToGrid w:val="0"/>
        <w:spacing w:line="360" w:lineRule="exact"/>
        <w:ind w:firstLine="480" w:firstLineChars="200"/>
        <w:rPr>
          <w:rFonts w:hint="eastAsia" w:ascii="宋体" w:hAnsi="宋体" w:cs="宋体" w:eastAsiaTheme="minorEastAsia"/>
          <w:color w:val="000000"/>
          <w:kern w:val="0"/>
          <w:sz w:val="24"/>
          <w:szCs w:val="24"/>
          <w:lang w:val="en-US" w:eastAsia="ar-SA" w:bidi="ar-SA"/>
        </w:rPr>
      </w:pPr>
      <w:r>
        <w:rPr>
          <w:rFonts w:hint="eastAsia" w:ascii="宋体" w:hAnsi="宋体" w:cs="宋体" w:eastAsiaTheme="minorEastAsia"/>
          <w:color w:val="000000"/>
          <w:kern w:val="0"/>
          <w:sz w:val="24"/>
          <w:szCs w:val="24"/>
          <w:lang w:val="en-US" w:eastAsia="ar-SA" w:bidi="ar-SA"/>
        </w:rPr>
        <w:t>11.甲方解除合同的，除有权要求乙方按相应违约条款承担违约责任外，还有权要求乙方按本合同合计金额的30%支付违约金。</w:t>
      </w:r>
    </w:p>
    <w:p w14:paraId="7B75B77B">
      <w:pPr>
        <w:suppressAutoHyphens/>
        <w:snapToGrid w:val="0"/>
        <w:spacing w:line="360" w:lineRule="exact"/>
        <w:ind w:firstLine="480" w:firstLineChars="200"/>
        <w:rPr>
          <w:rFonts w:hint="eastAsia" w:ascii="宋体" w:hAnsi="宋体" w:cs="宋体" w:eastAsiaTheme="minorEastAsia"/>
          <w:color w:val="000000"/>
          <w:kern w:val="0"/>
          <w:sz w:val="24"/>
          <w:szCs w:val="24"/>
          <w:lang w:val="en-US" w:eastAsia="zh-Hans" w:bidi="ar-SA"/>
        </w:rPr>
      </w:pPr>
      <w:r>
        <w:rPr>
          <w:rFonts w:hint="eastAsia" w:ascii="宋体" w:hAnsi="宋体" w:cs="宋体" w:eastAsiaTheme="minorEastAsia"/>
          <w:color w:val="000000"/>
          <w:kern w:val="0"/>
          <w:sz w:val="24"/>
          <w:szCs w:val="24"/>
          <w:lang w:val="en-US" w:eastAsia="ar-SA" w:bidi="ar-SA"/>
        </w:rPr>
        <w:t>12.</w:t>
      </w:r>
      <w:r>
        <w:rPr>
          <w:rFonts w:hint="eastAsia" w:ascii="宋体" w:hAnsi="宋体" w:cs="宋体" w:eastAsiaTheme="minorEastAsia"/>
          <w:color w:val="000000"/>
          <w:kern w:val="0"/>
          <w:sz w:val="24"/>
          <w:szCs w:val="24"/>
          <w:lang w:val="en-US" w:eastAsia="zh-Hans" w:bidi="ar-SA"/>
        </w:rPr>
        <w:t>任何一方存在任何违约行为的，除按合同约定承担</w:t>
      </w:r>
      <w:r>
        <w:rPr>
          <w:rFonts w:hint="eastAsia" w:ascii="宋体" w:hAnsi="宋体" w:cs="宋体" w:eastAsiaTheme="minorEastAsia"/>
          <w:color w:val="000000"/>
          <w:kern w:val="0"/>
          <w:sz w:val="24"/>
          <w:szCs w:val="24"/>
          <w:lang w:val="en-US" w:eastAsia="ar-SA" w:bidi="ar-SA"/>
        </w:rPr>
        <w:t>违约</w:t>
      </w:r>
      <w:r>
        <w:rPr>
          <w:rFonts w:hint="eastAsia" w:ascii="宋体" w:hAnsi="宋体" w:cs="宋体" w:eastAsiaTheme="minorEastAsia"/>
          <w:color w:val="000000"/>
          <w:kern w:val="0"/>
          <w:sz w:val="24"/>
          <w:szCs w:val="24"/>
          <w:lang w:val="en-US" w:eastAsia="zh-Hans" w:bidi="ar-SA"/>
        </w:rPr>
        <w:t>责任外，还应赔偿守约方的一切</w:t>
      </w:r>
      <w:r>
        <w:rPr>
          <w:rFonts w:hint="eastAsia" w:ascii="宋体" w:hAnsi="宋体" w:cs="宋体" w:eastAsiaTheme="minorEastAsia"/>
          <w:color w:val="000000"/>
          <w:kern w:val="0"/>
          <w:sz w:val="24"/>
          <w:szCs w:val="24"/>
          <w:lang w:val="en-US" w:eastAsia="ar-SA" w:bidi="ar-SA"/>
        </w:rPr>
        <w:t>经济</w:t>
      </w:r>
      <w:r>
        <w:rPr>
          <w:rFonts w:hint="eastAsia" w:ascii="宋体" w:hAnsi="宋体" w:cs="宋体" w:eastAsiaTheme="minorEastAsia"/>
          <w:color w:val="000000"/>
          <w:kern w:val="0"/>
          <w:sz w:val="24"/>
          <w:szCs w:val="24"/>
          <w:lang w:val="en-US" w:eastAsia="zh-Hans" w:bidi="ar-SA"/>
        </w:rPr>
        <w:t>损失</w:t>
      </w:r>
      <w:bookmarkStart w:id="1" w:name="_Hlk148991659"/>
      <w:r>
        <w:rPr>
          <w:rFonts w:hint="eastAsia" w:ascii="宋体" w:hAnsi="宋体" w:cs="宋体" w:eastAsiaTheme="minorEastAsia"/>
          <w:color w:val="000000"/>
          <w:kern w:val="0"/>
          <w:sz w:val="24"/>
          <w:szCs w:val="24"/>
          <w:lang w:val="en-US" w:eastAsia="zh-Hans" w:bidi="ar-SA"/>
        </w:rPr>
        <w:t>，包括直接的财产损失，以及因违约造成的可能产生的预期经济损失以及守约为应对相关处罚、纠纷、诉讼支出的全部费用（包括但不限于守约方因此承担的处罚、赔偿责任、发生的当事人以及代理人差旅费、诉讼费、公告费、律师费、公证费、保全费、诉讼保全保险费、评估费、鉴定费及其他损失等）</w:t>
      </w:r>
      <w:bookmarkEnd w:id="1"/>
      <w:r>
        <w:rPr>
          <w:rFonts w:hint="eastAsia" w:ascii="宋体" w:hAnsi="宋体" w:cs="宋体" w:eastAsiaTheme="minorEastAsia"/>
          <w:color w:val="000000"/>
          <w:kern w:val="0"/>
          <w:sz w:val="24"/>
          <w:szCs w:val="24"/>
          <w:lang w:val="en-US" w:eastAsia="zh-Hans" w:bidi="ar-SA"/>
        </w:rPr>
        <w:t>。</w:t>
      </w:r>
    </w:p>
    <w:p w14:paraId="3B516B50">
      <w:pPr>
        <w:snapToGrid w:val="0"/>
        <w:spacing w:line="360" w:lineRule="exact"/>
        <w:ind w:firstLine="480" w:firstLineChars="200"/>
        <w:rPr>
          <w:rFonts w:hint="eastAsia" w:ascii="宋体" w:hAnsi="宋体" w:cs="宋体" w:eastAsiaTheme="minorEastAsia"/>
          <w:color w:val="000000"/>
          <w:kern w:val="0"/>
          <w:sz w:val="24"/>
          <w:szCs w:val="24"/>
          <w:lang w:val="en-US" w:eastAsia="ar-SA" w:bidi="ar-SA"/>
        </w:rPr>
      </w:pPr>
      <w:bookmarkStart w:id="2" w:name="_Hlk148991669"/>
      <w:r>
        <w:rPr>
          <w:rFonts w:hint="eastAsia" w:ascii="宋体" w:hAnsi="宋体" w:cs="宋体" w:eastAsiaTheme="minorEastAsia"/>
          <w:color w:val="000000"/>
          <w:kern w:val="0"/>
          <w:sz w:val="24"/>
          <w:szCs w:val="24"/>
          <w:lang w:val="en-US" w:eastAsia="ar-SA" w:bidi="ar-SA"/>
        </w:rPr>
        <w:t>13. 按本合同约定或法律规定，甲方主张解除合同的，自甲方解除合同的书面通知送达乙方之日起合同解除，乙方应赔偿由此给甲方造成的全部损失。甲方不支付乙方任何费用，乙方对解除合同有异议的异议期为叁日。乙方应当在合同解除后伍日内退还甲方支付的所有费用（如有），自费运回所交付的货物，付清违约金、赔偿金。</w:t>
      </w:r>
      <w:bookmarkEnd w:id="2"/>
    </w:p>
    <w:p w14:paraId="6F126D6C">
      <w:pPr>
        <w:pStyle w:val="4"/>
        <w:snapToGrid w:val="0"/>
        <w:spacing w:line="360" w:lineRule="auto"/>
        <w:ind w:firstLine="354" w:firstLineChars="196"/>
        <w:rPr>
          <w:rFonts w:hint="eastAsia" w:hAnsi="宋体" w:cs="宋体"/>
          <w:b/>
          <w:color w:val="000000"/>
          <w:sz w:val="18"/>
          <w:szCs w:val="18"/>
        </w:rPr>
      </w:pPr>
    </w:p>
    <w:p w14:paraId="5396A525">
      <w:pPr>
        <w:pStyle w:val="4"/>
        <w:snapToGrid w:val="0"/>
        <w:spacing w:line="360" w:lineRule="auto"/>
        <w:ind w:firstLine="472" w:firstLineChars="196"/>
        <w:rPr>
          <w:rFonts w:hint="eastAsia" w:hAnsi="宋体" w:cs="宋体"/>
          <w:b/>
          <w:color w:val="000000"/>
          <w:sz w:val="24"/>
          <w:szCs w:val="24"/>
        </w:rPr>
      </w:pPr>
      <w:r>
        <w:rPr>
          <w:rFonts w:hint="eastAsia" w:hAnsi="宋体" w:cs="宋体"/>
          <w:b/>
          <w:color w:val="000000"/>
          <w:sz w:val="24"/>
          <w:szCs w:val="24"/>
        </w:rPr>
        <w:t>第十五条  不可抗力事件处理</w:t>
      </w:r>
    </w:p>
    <w:p w14:paraId="498F8E7C">
      <w:pPr>
        <w:pStyle w:val="4"/>
        <w:snapToGrid w:val="0"/>
        <w:spacing w:line="360" w:lineRule="auto"/>
        <w:ind w:firstLine="480" w:firstLineChars="200"/>
        <w:rPr>
          <w:rFonts w:hint="eastAsia" w:hAnsi="宋体" w:cs="宋体"/>
          <w:color w:val="000000"/>
          <w:sz w:val="24"/>
          <w:szCs w:val="24"/>
        </w:rPr>
      </w:pPr>
      <w:r>
        <w:rPr>
          <w:rFonts w:hint="eastAsia" w:hAnsi="宋体" w:cs="宋体"/>
          <w:color w:val="000000"/>
          <w:sz w:val="24"/>
          <w:szCs w:val="24"/>
        </w:rPr>
        <w:t>1.在合同有效期内，任何一方因不可抗力事件导致不能履行合同，则合同履行期可延长，其延长期与不可抗力影响期相同。</w:t>
      </w:r>
    </w:p>
    <w:p w14:paraId="56F87C96">
      <w:pPr>
        <w:pStyle w:val="4"/>
        <w:snapToGrid w:val="0"/>
        <w:spacing w:line="360" w:lineRule="auto"/>
        <w:ind w:firstLine="480" w:firstLineChars="200"/>
        <w:rPr>
          <w:rFonts w:hint="eastAsia" w:hAnsi="宋体" w:cs="宋体"/>
          <w:color w:val="000000"/>
          <w:sz w:val="24"/>
          <w:szCs w:val="24"/>
        </w:rPr>
      </w:pPr>
      <w:r>
        <w:rPr>
          <w:rFonts w:hint="eastAsia" w:hAnsi="宋体" w:cs="宋体"/>
          <w:color w:val="000000"/>
          <w:sz w:val="24"/>
          <w:szCs w:val="24"/>
        </w:rPr>
        <w:t>2.不可抗力事件发生后，应立即通知对方，并寄送有关权威机构出具的证明。</w:t>
      </w:r>
    </w:p>
    <w:p w14:paraId="4F8A6BCE">
      <w:pPr>
        <w:snapToGrid w:val="0"/>
        <w:spacing w:line="360" w:lineRule="auto"/>
        <w:ind w:firstLine="480" w:firstLineChars="200"/>
        <w:rPr>
          <w:rFonts w:hint="eastAsia" w:ascii="宋体" w:hAnsi="宋体" w:cs="宋体"/>
          <w:color w:val="000000"/>
          <w:sz w:val="24"/>
        </w:rPr>
      </w:pPr>
      <w:r>
        <w:rPr>
          <w:rFonts w:hint="eastAsia" w:ascii="宋体" w:hAnsi="宋体" w:cs="宋体"/>
          <w:color w:val="000000"/>
          <w:sz w:val="24"/>
        </w:rPr>
        <w:t>3.不可抗力事件延续一百二十天以上，双方应通过友好协商，确定是否继续履行合同。</w:t>
      </w:r>
    </w:p>
    <w:p w14:paraId="5B81D848">
      <w:pPr>
        <w:snapToGrid w:val="0"/>
        <w:spacing w:line="360" w:lineRule="auto"/>
        <w:ind w:firstLine="301" w:firstLineChars="200"/>
        <w:rPr>
          <w:rFonts w:hint="eastAsia" w:ascii="宋体" w:hAnsi="宋体" w:cs="宋体"/>
          <w:b/>
          <w:color w:val="000000"/>
          <w:sz w:val="15"/>
          <w:szCs w:val="15"/>
        </w:rPr>
      </w:pPr>
    </w:p>
    <w:p w14:paraId="2A58643F">
      <w:pPr>
        <w:snapToGrid w:val="0"/>
        <w:spacing w:line="360" w:lineRule="auto"/>
        <w:ind w:firstLine="482" w:firstLineChars="200"/>
        <w:rPr>
          <w:rFonts w:hint="eastAsia" w:ascii="宋体" w:hAnsi="宋体" w:cs="宋体"/>
          <w:color w:val="000000"/>
          <w:sz w:val="24"/>
        </w:rPr>
      </w:pPr>
      <w:r>
        <w:rPr>
          <w:rFonts w:hint="eastAsia" w:ascii="宋体" w:hAnsi="宋体" w:cs="宋体"/>
          <w:b/>
          <w:color w:val="000000"/>
          <w:sz w:val="24"/>
        </w:rPr>
        <w:t>第十六条  合同争议解决</w:t>
      </w:r>
    </w:p>
    <w:p w14:paraId="6B2A8355">
      <w:pPr>
        <w:snapToGrid w:val="0"/>
        <w:spacing w:line="360" w:lineRule="auto"/>
        <w:ind w:firstLine="480" w:firstLineChars="200"/>
        <w:rPr>
          <w:rFonts w:hint="eastAsia" w:ascii="宋体" w:hAnsi="宋体" w:cs="宋体"/>
          <w:color w:val="000000"/>
          <w:sz w:val="24"/>
        </w:rPr>
      </w:pPr>
      <w:r>
        <w:rPr>
          <w:rFonts w:hint="eastAsia" w:ascii="宋体" w:hAnsi="宋体" w:cs="宋体"/>
          <w:color w:val="000000"/>
          <w:sz w:val="24"/>
        </w:rPr>
        <w:t>1.因货物质量问题发生争议的，应邀请国家认可的质量检测机构对货物质量进行鉴定。货物符合标准的，鉴定费由甲方承担；货物不符合标准的，鉴定费由乙方承担。</w:t>
      </w:r>
    </w:p>
    <w:p w14:paraId="7ED78AD7">
      <w:pPr>
        <w:snapToGrid w:val="0"/>
        <w:spacing w:line="360" w:lineRule="auto"/>
        <w:ind w:firstLine="480" w:firstLineChars="200"/>
        <w:rPr>
          <w:rFonts w:hint="eastAsia" w:ascii="宋体" w:hAnsi="宋体" w:cs="宋体"/>
          <w:color w:val="000000"/>
          <w:sz w:val="24"/>
        </w:rPr>
      </w:pPr>
      <w:r>
        <w:rPr>
          <w:rFonts w:hint="eastAsia" w:ascii="宋体" w:hAnsi="宋体" w:cs="宋体"/>
          <w:color w:val="000000"/>
          <w:sz w:val="24"/>
        </w:rPr>
        <w:t>2.因履行本合同引起的或者与本合同有关的争议，甲乙双方应首先通过友好协商解决，如果协商不能解决，可向甲方所在地人民法院提起诉讼。</w:t>
      </w:r>
    </w:p>
    <w:p w14:paraId="7468F5AB">
      <w:pPr>
        <w:snapToGrid w:val="0"/>
        <w:spacing w:line="360" w:lineRule="auto"/>
        <w:ind w:left="-61" w:firstLine="514"/>
        <w:rPr>
          <w:rFonts w:hint="eastAsia" w:ascii="宋体" w:hAnsi="宋体" w:cs="宋体"/>
          <w:color w:val="000000"/>
          <w:sz w:val="24"/>
        </w:rPr>
      </w:pPr>
      <w:r>
        <w:rPr>
          <w:rFonts w:hint="eastAsia" w:ascii="宋体" w:hAnsi="宋体" w:cs="宋体"/>
          <w:color w:val="000000"/>
          <w:sz w:val="24"/>
        </w:rPr>
        <w:t>3.诉讼期间，本合同继续履行。</w:t>
      </w:r>
    </w:p>
    <w:p w14:paraId="60F759D1">
      <w:pPr>
        <w:pStyle w:val="6"/>
        <w:rPr>
          <w:rFonts w:hint="eastAsia"/>
        </w:rPr>
      </w:pPr>
    </w:p>
    <w:p w14:paraId="4ED5F7C2">
      <w:pPr>
        <w:pStyle w:val="4"/>
        <w:snapToGrid w:val="0"/>
        <w:spacing w:line="360" w:lineRule="auto"/>
        <w:ind w:firstLine="472" w:firstLineChars="196"/>
        <w:rPr>
          <w:rFonts w:hint="eastAsia" w:hAnsi="宋体" w:cs="宋体"/>
          <w:b/>
          <w:color w:val="000000"/>
          <w:sz w:val="24"/>
          <w:szCs w:val="24"/>
        </w:rPr>
      </w:pPr>
      <w:r>
        <w:rPr>
          <w:rFonts w:hint="eastAsia" w:hAnsi="宋体" w:cs="宋体"/>
          <w:b/>
          <w:color w:val="000000"/>
          <w:sz w:val="24"/>
          <w:szCs w:val="24"/>
        </w:rPr>
        <w:t>第十七条  合同生效及其它</w:t>
      </w:r>
    </w:p>
    <w:p w14:paraId="5B5A1359">
      <w:pPr>
        <w:pStyle w:val="4"/>
        <w:snapToGrid w:val="0"/>
        <w:spacing w:line="480" w:lineRule="auto"/>
        <w:ind w:firstLine="480" w:firstLineChars="200"/>
        <w:rPr>
          <w:rFonts w:hint="eastAsia" w:hAnsi="宋体" w:cs="宋体"/>
          <w:bCs/>
          <w:color w:val="000000"/>
          <w:sz w:val="24"/>
          <w:szCs w:val="24"/>
        </w:rPr>
      </w:pPr>
      <w:r>
        <w:rPr>
          <w:rFonts w:hint="eastAsia" w:hAnsi="宋体" w:cs="宋体"/>
          <w:bCs/>
          <w:color w:val="000000"/>
          <w:sz w:val="24"/>
          <w:szCs w:val="24"/>
        </w:rPr>
        <w:t>1.本合同一式伍份，甲方执四份，乙方执壹份，具有同等法律效力；合同经双方法定代表人或者委托代理人签字并加盖单位公章后生效。</w:t>
      </w:r>
    </w:p>
    <w:p w14:paraId="18200C74">
      <w:pPr>
        <w:pStyle w:val="4"/>
        <w:snapToGrid w:val="0"/>
        <w:spacing w:line="480" w:lineRule="auto"/>
        <w:ind w:firstLine="480" w:firstLineChars="200"/>
        <w:rPr>
          <w:rFonts w:hint="eastAsia" w:hAnsi="宋体" w:cs="宋体"/>
          <w:bCs/>
          <w:color w:val="000000"/>
          <w:sz w:val="24"/>
          <w:szCs w:val="24"/>
        </w:rPr>
      </w:pPr>
      <w:r>
        <w:rPr>
          <w:rFonts w:hint="eastAsia" w:hAnsi="宋体" w:cs="宋体"/>
          <w:bCs/>
          <w:color w:val="000000"/>
          <w:sz w:val="24"/>
          <w:szCs w:val="24"/>
        </w:rPr>
        <w:t>2.合同执行中涉及采购资金和采购内容修改或者补充的，须经甲方相关部门审批，并签书面补充协议备案，方可作为主合同不可分割的一部分。</w:t>
      </w:r>
    </w:p>
    <w:p w14:paraId="77996B1A">
      <w:pPr>
        <w:pStyle w:val="4"/>
        <w:snapToGrid w:val="0"/>
        <w:spacing w:line="480" w:lineRule="auto"/>
        <w:ind w:left="283" w:leftChars="135" w:firstLine="143"/>
        <w:rPr>
          <w:rFonts w:hint="eastAsia" w:hAnsi="宋体" w:cs="宋体"/>
          <w:bCs/>
          <w:color w:val="000000"/>
          <w:sz w:val="24"/>
          <w:szCs w:val="24"/>
        </w:rPr>
      </w:pPr>
      <w:r>
        <w:rPr>
          <w:rFonts w:hint="eastAsia" w:hAnsi="宋体" w:cs="宋体"/>
          <w:bCs/>
          <w:color w:val="000000"/>
          <w:sz w:val="24"/>
          <w:szCs w:val="24"/>
        </w:rPr>
        <w:t>3.本合同未尽事宜，</w:t>
      </w:r>
      <w:r>
        <w:rPr>
          <w:rFonts w:hint="eastAsia" w:hAnsi="宋体" w:cs="宋体"/>
          <w:bCs/>
          <w:color w:val="000000"/>
          <w:sz w:val="24"/>
          <w:szCs w:val="24"/>
          <w:lang w:val="en-US" w:eastAsia="zh-CN"/>
        </w:rPr>
        <w:t>按采购文件的要求和投标/响应文件的承诺执行，采购文件和投标/响应文件均不涉及的，</w:t>
      </w:r>
      <w:r>
        <w:rPr>
          <w:rFonts w:hint="eastAsia" w:hAnsi="宋体" w:cs="宋体"/>
          <w:bCs/>
          <w:color w:val="000000"/>
          <w:sz w:val="24"/>
          <w:szCs w:val="24"/>
        </w:rPr>
        <w:t>遵照《民法典》有关条文执行。</w:t>
      </w:r>
    </w:p>
    <w:p w14:paraId="7E66327C">
      <w:pPr>
        <w:rPr>
          <w:rFonts w:hint="eastAsia"/>
        </w:rPr>
      </w:pPr>
    </w:p>
    <w:tbl>
      <w:tblPr>
        <w:tblStyle w:val="9"/>
        <w:tblW w:w="90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gridCol w:w="4517"/>
      </w:tblGrid>
      <w:tr w14:paraId="443D4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jc w:val="center"/>
        </w:trPr>
        <w:tc>
          <w:tcPr>
            <w:tcW w:w="4516" w:type="dxa"/>
            <w:noWrap w:val="0"/>
            <w:vAlign w:val="center"/>
          </w:tcPr>
          <w:p w14:paraId="308FBF3F">
            <w:pPr>
              <w:snapToGrid w:val="0"/>
              <w:spacing w:line="360" w:lineRule="auto"/>
              <w:rPr>
                <w:rFonts w:hint="eastAsia" w:ascii="宋体" w:hAnsi="宋体"/>
                <w:b/>
                <w:bCs/>
                <w:color w:val="000000"/>
                <w:sz w:val="24"/>
              </w:rPr>
            </w:pPr>
            <w:r>
              <w:rPr>
                <w:rFonts w:hint="eastAsia" w:ascii="宋体" w:hAnsi="宋体"/>
                <w:b/>
                <w:bCs/>
                <w:color w:val="000000"/>
                <w:sz w:val="24"/>
              </w:rPr>
              <w:t xml:space="preserve">甲方（章）           </w:t>
            </w:r>
          </w:p>
          <w:p w14:paraId="36075587">
            <w:pPr>
              <w:snapToGrid w:val="0"/>
              <w:spacing w:line="360" w:lineRule="auto"/>
              <w:rPr>
                <w:rFonts w:hint="eastAsia" w:ascii="宋体" w:hAnsi="宋体"/>
                <w:b/>
                <w:bCs/>
                <w:color w:val="000000"/>
                <w:sz w:val="24"/>
              </w:rPr>
            </w:pPr>
          </w:p>
          <w:p w14:paraId="7AC438E1">
            <w:pPr>
              <w:snapToGrid w:val="0"/>
              <w:spacing w:line="360" w:lineRule="auto"/>
              <w:ind w:firstLine="1084" w:firstLineChars="450"/>
              <w:jc w:val="right"/>
              <w:rPr>
                <w:rFonts w:hint="eastAsia" w:ascii="宋体" w:hAnsi="宋体"/>
                <w:b/>
                <w:bCs/>
                <w:color w:val="000000"/>
                <w:sz w:val="24"/>
              </w:rPr>
            </w:pPr>
            <w:r>
              <w:rPr>
                <w:rFonts w:hint="eastAsia" w:ascii="宋体" w:hAnsi="宋体"/>
                <w:b/>
                <w:bCs/>
                <w:color w:val="000000"/>
                <w:sz w:val="24"/>
              </w:rPr>
              <w:t>年   月   日</w:t>
            </w:r>
          </w:p>
        </w:tc>
        <w:tc>
          <w:tcPr>
            <w:tcW w:w="4517" w:type="dxa"/>
            <w:noWrap w:val="0"/>
            <w:vAlign w:val="center"/>
          </w:tcPr>
          <w:p w14:paraId="495C7364">
            <w:pPr>
              <w:snapToGrid w:val="0"/>
              <w:spacing w:line="360" w:lineRule="auto"/>
              <w:rPr>
                <w:rFonts w:hint="eastAsia" w:ascii="宋体" w:hAnsi="宋体"/>
                <w:b/>
                <w:bCs/>
                <w:color w:val="000000"/>
                <w:sz w:val="24"/>
              </w:rPr>
            </w:pPr>
            <w:r>
              <w:rPr>
                <w:rFonts w:hint="eastAsia" w:ascii="宋体" w:hAnsi="宋体"/>
                <w:b/>
                <w:bCs/>
                <w:color w:val="000000"/>
                <w:sz w:val="24"/>
              </w:rPr>
              <w:t xml:space="preserve">乙方（章）              </w:t>
            </w:r>
          </w:p>
          <w:p w14:paraId="045147E0">
            <w:pPr>
              <w:snapToGrid w:val="0"/>
              <w:spacing w:line="360" w:lineRule="auto"/>
              <w:rPr>
                <w:rFonts w:hint="eastAsia" w:ascii="宋体" w:hAnsi="宋体"/>
                <w:b/>
                <w:bCs/>
                <w:color w:val="000000"/>
                <w:sz w:val="24"/>
              </w:rPr>
            </w:pPr>
          </w:p>
          <w:p w14:paraId="3DB386C1">
            <w:pPr>
              <w:snapToGrid w:val="0"/>
              <w:spacing w:line="360" w:lineRule="auto"/>
              <w:jc w:val="right"/>
              <w:rPr>
                <w:rFonts w:hint="eastAsia" w:ascii="宋体" w:hAnsi="宋体"/>
                <w:b/>
                <w:bCs/>
                <w:color w:val="000000"/>
                <w:sz w:val="24"/>
              </w:rPr>
            </w:pPr>
            <w:r>
              <w:rPr>
                <w:rFonts w:hint="eastAsia" w:ascii="宋体" w:hAnsi="宋体"/>
                <w:b/>
                <w:bCs/>
                <w:color w:val="000000"/>
                <w:sz w:val="24"/>
              </w:rPr>
              <w:t xml:space="preserve"> 年   月   日</w:t>
            </w:r>
          </w:p>
        </w:tc>
      </w:tr>
      <w:tr w14:paraId="5346E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9" w:hRule="atLeast"/>
          <w:jc w:val="center"/>
        </w:trPr>
        <w:tc>
          <w:tcPr>
            <w:tcW w:w="4516" w:type="dxa"/>
            <w:noWrap w:val="0"/>
            <w:vAlign w:val="center"/>
          </w:tcPr>
          <w:p w14:paraId="26F65695">
            <w:pPr>
              <w:snapToGrid w:val="0"/>
              <w:spacing w:line="360" w:lineRule="auto"/>
              <w:rPr>
                <w:rFonts w:ascii="宋体" w:hAnsi="宋体"/>
                <w:color w:val="000000"/>
                <w:sz w:val="24"/>
              </w:rPr>
            </w:pPr>
            <w:r>
              <w:rPr>
                <w:rFonts w:hint="eastAsia" w:ascii="宋体" w:hAnsi="宋体"/>
                <w:color w:val="000000"/>
                <w:sz w:val="24"/>
              </w:rPr>
              <w:t>单位地址：</w:t>
            </w:r>
          </w:p>
        </w:tc>
        <w:tc>
          <w:tcPr>
            <w:tcW w:w="4517" w:type="dxa"/>
            <w:noWrap w:val="0"/>
            <w:vAlign w:val="center"/>
          </w:tcPr>
          <w:p w14:paraId="4DAB3309">
            <w:pPr>
              <w:snapToGrid w:val="0"/>
              <w:spacing w:line="360" w:lineRule="auto"/>
              <w:rPr>
                <w:rFonts w:hint="eastAsia" w:ascii="宋体" w:hAnsi="宋体"/>
                <w:color w:val="000000"/>
                <w:sz w:val="24"/>
              </w:rPr>
            </w:pPr>
            <w:r>
              <w:rPr>
                <w:rFonts w:hint="eastAsia" w:ascii="宋体" w:hAnsi="宋体"/>
                <w:color w:val="000000"/>
                <w:sz w:val="24"/>
              </w:rPr>
              <w:t>单位地址：</w:t>
            </w:r>
          </w:p>
        </w:tc>
      </w:tr>
      <w:tr w14:paraId="44E3D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0" w:hRule="atLeast"/>
          <w:jc w:val="center"/>
        </w:trPr>
        <w:tc>
          <w:tcPr>
            <w:tcW w:w="4516" w:type="dxa"/>
            <w:noWrap w:val="0"/>
            <w:vAlign w:val="top"/>
          </w:tcPr>
          <w:p w14:paraId="06C68ABE">
            <w:pPr>
              <w:snapToGrid w:val="0"/>
              <w:spacing w:line="360" w:lineRule="auto"/>
              <w:rPr>
                <w:rFonts w:hint="eastAsia" w:ascii="宋体" w:hAnsi="宋体"/>
                <w:color w:val="000000"/>
                <w:sz w:val="24"/>
              </w:rPr>
            </w:pPr>
            <w:r>
              <w:rPr>
                <w:rFonts w:hint="eastAsia" w:ascii="宋体" w:hAnsi="宋体"/>
                <w:color w:val="000000"/>
                <w:sz w:val="24"/>
              </w:rPr>
              <w:t>法定代表人或者委托代理人：</w:t>
            </w:r>
          </w:p>
        </w:tc>
        <w:tc>
          <w:tcPr>
            <w:tcW w:w="4517" w:type="dxa"/>
            <w:noWrap w:val="0"/>
            <w:vAlign w:val="top"/>
          </w:tcPr>
          <w:p w14:paraId="76DE7714">
            <w:pPr>
              <w:snapToGrid w:val="0"/>
              <w:spacing w:line="360" w:lineRule="auto"/>
              <w:rPr>
                <w:rFonts w:hint="eastAsia" w:ascii="宋体" w:hAnsi="宋体"/>
                <w:color w:val="000000"/>
                <w:sz w:val="24"/>
              </w:rPr>
            </w:pPr>
            <w:r>
              <w:rPr>
                <w:rFonts w:hint="eastAsia" w:ascii="宋体" w:hAnsi="宋体"/>
                <w:color w:val="000000"/>
                <w:sz w:val="24"/>
              </w:rPr>
              <w:t>法定代表人或者委托代理人：</w:t>
            </w:r>
          </w:p>
        </w:tc>
      </w:tr>
      <w:tr w14:paraId="6142A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atLeast"/>
          <w:jc w:val="center"/>
        </w:trPr>
        <w:tc>
          <w:tcPr>
            <w:tcW w:w="4516" w:type="dxa"/>
            <w:noWrap w:val="0"/>
            <w:vAlign w:val="center"/>
          </w:tcPr>
          <w:p w14:paraId="0BA7A930">
            <w:pPr>
              <w:snapToGrid w:val="0"/>
              <w:spacing w:line="360" w:lineRule="auto"/>
              <w:rPr>
                <w:rFonts w:hint="eastAsia" w:ascii="宋体" w:hAnsi="宋体"/>
                <w:color w:val="000000"/>
                <w:sz w:val="24"/>
              </w:rPr>
            </w:pPr>
            <w:r>
              <w:rPr>
                <w:rFonts w:hint="eastAsia" w:ascii="宋体" w:hAnsi="宋体"/>
                <w:color w:val="000000"/>
                <w:sz w:val="24"/>
              </w:rPr>
              <w:t>电话：</w:t>
            </w:r>
          </w:p>
        </w:tc>
        <w:tc>
          <w:tcPr>
            <w:tcW w:w="4517" w:type="dxa"/>
            <w:noWrap w:val="0"/>
            <w:vAlign w:val="center"/>
          </w:tcPr>
          <w:p w14:paraId="12FABFB1">
            <w:pPr>
              <w:snapToGrid w:val="0"/>
              <w:spacing w:line="360" w:lineRule="auto"/>
              <w:rPr>
                <w:rFonts w:ascii="宋体" w:hAnsi="宋体"/>
                <w:color w:val="000000"/>
                <w:sz w:val="24"/>
              </w:rPr>
            </w:pPr>
            <w:r>
              <w:rPr>
                <w:rFonts w:hint="eastAsia" w:ascii="宋体" w:hAnsi="宋体"/>
                <w:color w:val="000000"/>
                <w:sz w:val="24"/>
              </w:rPr>
              <w:t>电话：</w:t>
            </w:r>
          </w:p>
        </w:tc>
      </w:tr>
      <w:tr w14:paraId="18730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jc w:val="center"/>
        </w:trPr>
        <w:tc>
          <w:tcPr>
            <w:tcW w:w="4516" w:type="dxa"/>
            <w:noWrap w:val="0"/>
            <w:vAlign w:val="center"/>
          </w:tcPr>
          <w:p w14:paraId="58B1EE07">
            <w:pPr>
              <w:snapToGrid w:val="0"/>
              <w:spacing w:line="360" w:lineRule="auto"/>
              <w:rPr>
                <w:rFonts w:ascii="宋体" w:hAnsi="宋体"/>
                <w:color w:val="000000"/>
                <w:sz w:val="24"/>
              </w:rPr>
            </w:pPr>
            <w:r>
              <w:rPr>
                <w:rFonts w:hint="eastAsia" w:ascii="宋体" w:hAnsi="宋体"/>
                <w:color w:val="000000"/>
                <w:sz w:val="24"/>
              </w:rPr>
              <w:t>纳税人识别号：</w:t>
            </w:r>
          </w:p>
        </w:tc>
        <w:tc>
          <w:tcPr>
            <w:tcW w:w="4517" w:type="dxa"/>
            <w:noWrap w:val="0"/>
            <w:vAlign w:val="center"/>
          </w:tcPr>
          <w:p w14:paraId="61E84F62">
            <w:pPr>
              <w:snapToGrid w:val="0"/>
              <w:spacing w:line="360" w:lineRule="auto"/>
              <w:rPr>
                <w:rFonts w:ascii="宋体" w:hAnsi="宋体"/>
                <w:color w:val="000000"/>
                <w:sz w:val="24"/>
              </w:rPr>
            </w:pPr>
            <w:r>
              <w:rPr>
                <w:rFonts w:hint="eastAsia" w:ascii="宋体" w:hAnsi="宋体"/>
                <w:color w:val="000000"/>
                <w:sz w:val="24"/>
              </w:rPr>
              <w:t>纳税人识别号：</w:t>
            </w:r>
          </w:p>
        </w:tc>
      </w:tr>
      <w:tr w14:paraId="29B8B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jc w:val="center"/>
        </w:trPr>
        <w:tc>
          <w:tcPr>
            <w:tcW w:w="4516" w:type="dxa"/>
            <w:noWrap w:val="0"/>
            <w:vAlign w:val="center"/>
          </w:tcPr>
          <w:p w14:paraId="48F577A5">
            <w:pPr>
              <w:snapToGrid w:val="0"/>
              <w:spacing w:line="360" w:lineRule="auto"/>
              <w:rPr>
                <w:rFonts w:hint="eastAsia" w:ascii="宋体" w:hAnsi="宋体"/>
                <w:color w:val="000000"/>
                <w:sz w:val="24"/>
              </w:rPr>
            </w:pPr>
            <w:r>
              <w:rPr>
                <w:rFonts w:hint="eastAsia" w:ascii="宋体" w:hAnsi="宋体"/>
                <w:color w:val="000000"/>
                <w:sz w:val="24"/>
              </w:rPr>
              <w:t>注册地址：</w:t>
            </w:r>
          </w:p>
        </w:tc>
        <w:tc>
          <w:tcPr>
            <w:tcW w:w="4517" w:type="dxa"/>
            <w:noWrap w:val="0"/>
            <w:vAlign w:val="center"/>
          </w:tcPr>
          <w:p w14:paraId="5D671A17">
            <w:pPr>
              <w:snapToGrid w:val="0"/>
              <w:spacing w:line="360" w:lineRule="auto"/>
              <w:rPr>
                <w:rFonts w:ascii="宋体" w:hAnsi="宋体"/>
                <w:color w:val="000000"/>
                <w:sz w:val="24"/>
              </w:rPr>
            </w:pPr>
            <w:r>
              <w:rPr>
                <w:rFonts w:hint="eastAsia" w:ascii="宋体" w:hAnsi="宋体"/>
                <w:color w:val="000000"/>
                <w:sz w:val="24"/>
              </w:rPr>
              <w:t>注册地址：</w:t>
            </w:r>
          </w:p>
        </w:tc>
      </w:tr>
      <w:tr w14:paraId="2BB53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jc w:val="center"/>
        </w:trPr>
        <w:tc>
          <w:tcPr>
            <w:tcW w:w="4516" w:type="dxa"/>
            <w:noWrap w:val="0"/>
            <w:vAlign w:val="center"/>
          </w:tcPr>
          <w:p w14:paraId="4307C0BE">
            <w:pPr>
              <w:snapToGrid w:val="0"/>
              <w:spacing w:line="360" w:lineRule="auto"/>
              <w:rPr>
                <w:rFonts w:hint="eastAsia" w:ascii="宋体" w:hAnsi="宋体"/>
                <w:color w:val="000000"/>
                <w:sz w:val="24"/>
              </w:rPr>
            </w:pPr>
            <w:r>
              <w:rPr>
                <w:rFonts w:hint="eastAsia" w:ascii="宋体" w:hAnsi="宋体"/>
                <w:color w:val="000000"/>
                <w:sz w:val="24"/>
              </w:rPr>
              <w:t>开户银行：</w:t>
            </w:r>
          </w:p>
        </w:tc>
        <w:tc>
          <w:tcPr>
            <w:tcW w:w="4517" w:type="dxa"/>
            <w:noWrap w:val="0"/>
            <w:vAlign w:val="center"/>
          </w:tcPr>
          <w:p w14:paraId="6DED0B39">
            <w:pPr>
              <w:snapToGrid w:val="0"/>
              <w:spacing w:line="360" w:lineRule="auto"/>
              <w:rPr>
                <w:rFonts w:ascii="宋体" w:hAnsi="宋体"/>
                <w:color w:val="000000"/>
                <w:sz w:val="24"/>
              </w:rPr>
            </w:pPr>
            <w:r>
              <w:rPr>
                <w:rFonts w:hint="eastAsia" w:ascii="宋体" w:hAnsi="宋体"/>
                <w:color w:val="000000"/>
                <w:sz w:val="24"/>
              </w:rPr>
              <w:t>开户银行：</w:t>
            </w:r>
          </w:p>
        </w:tc>
      </w:tr>
      <w:tr w14:paraId="684AC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jc w:val="center"/>
        </w:trPr>
        <w:tc>
          <w:tcPr>
            <w:tcW w:w="4516" w:type="dxa"/>
            <w:noWrap w:val="0"/>
            <w:vAlign w:val="center"/>
          </w:tcPr>
          <w:p w14:paraId="6249F964">
            <w:pPr>
              <w:snapToGrid w:val="0"/>
              <w:spacing w:line="360" w:lineRule="auto"/>
              <w:rPr>
                <w:rFonts w:hint="eastAsia" w:ascii="宋体" w:hAnsi="宋体"/>
                <w:color w:val="000000"/>
                <w:sz w:val="24"/>
              </w:rPr>
            </w:pPr>
            <w:r>
              <w:rPr>
                <w:rFonts w:hint="eastAsia" w:ascii="宋体" w:hAnsi="宋体"/>
                <w:color w:val="000000"/>
                <w:sz w:val="24"/>
              </w:rPr>
              <w:t>银行账号：</w:t>
            </w:r>
          </w:p>
        </w:tc>
        <w:tc>
          <w:tcPr>
            <w:tcW w:w="4517" w:type="dxa"/>
            <w:noWrap w:val="0"/>
            <w:vAlign w:val="center"/>
          </w:tcPr>
          <w:p w14:paraId="43AB026F">
            <w:pPr>
              <w:snapToGrid w:val="0"/>
              <w:spacing w:line="360" w:lineRule="auto"/>
              <w:rPr>
                <w:rFonts w:ascii="宋体" w:hAnsi="宋体"/>
                <w:color w:val="000000"/>
                <w:sz w:val="24"/>
              </w:rPr>
            </w:pPr>
            <w:r>
              <w:rPr>
                <w:rFonts w:hint="eastAsia" w:ascii="宋体" w:hAnsi="宋体"/>
                <w:color w:val="000000"/>
                <w:sz w:val="24"/>
              </w:rPr>
              <w:t>银行账号：</w:t>
            </w:r>
          </w:p>
        </w:tc>
      </w:tr>
      <w:tr w14:paraId="6F26C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jc w:val="center"/>
        </w:trPr>
        <w:tc>
          <w:tcPr>
            <w:tcW w:w="4516" w:type="dxa"/>
            <w:noWrap w:val="0"/>
            <w:vAlign w:val="center"/>
          </w:tcPr>
          <w:p w14:paraId="48285799">
            <w:pPr>
              <w:snapToGrid w:val="0"/>
              <w:spacing w:line="360" w:lineRule="auto"/>
              <w:rPr>
                <w:rFonts w:ascii="宋体" w:hAnsi="宋体"/>
                <w:color w:val="000000"/>
                <w:sz w:val="24"/>
              </w:rPr>
            </w:pPr>
            <w:r>
              <w:rPr>
                <w:rFonts w:hint="eastAsia" w:ascii="宋体" w:hAnsi="宋体"/>
                <w:color w:val="000000"/>
                <w:sz w:val="24"/>
              </w:rPr>
              <w:t>签订时间：    年   月   日</w:t>
            </w:r>
          </w:p>
        </w:tc>
        <w:tc>
          <w:tcPr>
            <w:tcW w:w="4517" w:type="dxa"/>
            <w:noWrap w:val="0"/>
            <w:vAlign w:val="center"/>
          </w:tcPr>
          <w:p w14:paraId="5441B4E4">
            <w:pPr>
              <w:snapToGrid w:val="0"/>
              <w:spacing w:line="360" w:lineRule="auto"/>
              <w:rPr>
                <w:rFonts w:ascii="宋体" w:hAnsi="宋体"/>
                <w:color w:val="000000"/>
                <w:sz w:val="24"/>
              </w:rPr>
            </w:pPr>
            <w:r>
              <w:rPr>
                <w:rFonts w:hint="eastAsia" w:ascii="宋体" w:hAnsi="宋体"/>
                <w:color w:val="000000"/>
                <w:sz w:val="24"/>
              </w:rPr>
              <w:t>签订时间：    年   月   日</w:t>
            </w:r>
          </w:p>
        </w:tc>
      </w:tr>
    </w:tbl>
    <w:p w14:paraId="728426E8">
      <w:pPr>
        <w:pStyle w:val="6"/>
      </w:pPr>
    </w:p>
    <w:p w14:paraId="1FC2B11E">
      <w:pPr>
        <w:pStyle w:val="8"/>
        <w:widowControl/>
        <w:numPr>
          <w:ilvl w:val="0"/>
          <w:numId w:val="0"/>
        </w:numPr>
        <w:shd w:val="clear" w:color="auto" w:fill="FFFFFF"/>
        <w:spacing w:before="0" w:beforeAutospacing="0" w:after="0" w:afterAutospacing="0"/>
        <w:ind w:right="0" w:rightChars="0"/>
        <w:jc w:val="left"/>
        <w:rPr>
          <w:rFonts w:hint="eastAsia" w:ascii="宋体" w:hAnsi="宋体" w:cs="宋体"/>
          <w:szCs w:val="21"/>
          <w:lang w:val="en-US" w:eastAsia="zh-CN"/>
        </w:rPr>
        <w:sectPr>
          <w:pgSz w:w="11906" w:h="16838"/>
          <w:pgMar w:top="720" w:right="720" w:bottom="720" w:left="720" w:header="851" w:footer="992" w:gutter="0"/>
          <w:cols w:space="425" w:num="1"/>
          <w:docGrid w:type="lines" w:linePitch="312" w:charSpace="0"/>
        </w:sectPr>
      </w:pPr>
    </w:p>
    <w:p w14:paraId="0621C951">
      <w:pPr>
        <w:snapToGrid w:val="0"/>
        <w:spacing w:line="360" w:lineRule="auto"/>
        <w:ind w:firstLine="4730" w:firstLineChars="2150"/>
        <w:jc w:val="left"/>
        <w:rPr>
          <w:rFonts w:hint="eastAsia" w:ascii="仿宋" w:hAnsi="仿宋" w:eastAsia="仿宋" w:cs="仿宋_GB2312"/>
          <w:kern w:val="0"/>
          <w:sz w:val="22"/>
          <w:lang w:val="zh-CN"/>
        </w:rPr>
      </w:pPr>
    </w:p>
    <w:sectPr>
      <w:pgSz w:w="16838" w:h="11906" w:orient="landscape"/>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BatangChe">
    <w:altName w:val="Malgun Gothic"/>
    <w:panose1 w:val="00000000000000000000"/>
    <w:charset w:val="81"/>
    <w:family w:val="moder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B7E3FE"/>
    <w:multiLevelType w:val="singleLevel"/>
    <w:tmpl w:val="38B7E3F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393C70"/>
    <w:rsid w:val="00003255"/>
    <w:rsid w:val="00031333"/>
    <w:rsid w:val="00090D71"/>
    <w:rsid w:val="000D455E"/>
    <w:rsid w:val="00140B74"/>
    <w:rsid w:val="0014511E"/>
    <w:rsid w:val="002D0F5F"/>
    <w:rsid w:val="003504F0"/>
    <w:rsid w:val="00363A79"/>
    <w:rsid w:val="003C0572"/>
    <w:rsid w:val="0043275E"/>
    <w:rsid w:val="004713E6"/>
    <w:rsid w:val="004D1444"/>
    <w:rsid w:val="00523927"/>
    <w:rsid w:val="00586704"/>
    <w:rsid w:val="005F0310"/>
    <w:rsid w:val="00612647"/>
    <w:rsid w:val="00647889"/>
    <w:rsid w:val="00707DB2"/>
    <w:rsid w:val="007C2959"/>
    <w:rsid w:val="00904876"/>
    <w:rsid w:val="00C57ED9"/>
    <w:rsid w:val="00D433FE"/>
    <w:rsid w:val="00F0747E"/>
    <w:rsid w:val="00F14CD5"/>
    <w:rsid w:val="00FF577D"/>
    <w:rsid w:val="05393C70"/>
    <w:rsid w:val="07526C4E"/>
    <w:rsid w:val="0C6F55EB"/>
    <w:rsid w:val="0E26793E"/>
    <w:rsid w:val="124B4370"/>
    <w:rsid w:val="14A66120"/>
    <w:rsid w:val="18A97340"/>
    <w:rsid w:val="20B633C9"/>
    <w:rsid w:val="20C4005A"/>
    <w:rsid w:val="23845BBE"/>
    <w:rsid w:val="277D26EF"/>
    <w:rsid w:val="33303667"/>
    <w:rsid w:val="3C090BBF"/>
    <w:rsid w:val="42C10446"/>
    <w:rsid w:val="45C014AB"/>
    <w:rsid w:val="4B8141EC"/>
    <w:rsid w:val="4B8B74BE"/>
    <w:rsid w:val="4C9635CE"/>
    <w:rsid w:val="4F522BFC"/>
    <w:rsid w:val="51A85ED4"/>
    <w:rsid w:val="587255D7"/>
    <w:rsid w:val="594C6F81"/>
    <w:rsid w:val="67F72090"/>
    <w:rsid w:val="6E056B89"/>
    <w:rsid w:val="6F8E3370"/>
    <w:rsid w:val="6FCF1767"/>
    <w:rsid w:val="70434922"/>
    <w:rsid w:val="F9FEA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qFormat/>
    <w:uiPriority w:val="9"/>
    <w:pPr>
      <w:keepNext/>
      <w:keepLines/>
      <w:spacing w:before="280" w:after="290" w:line="376" w:lineRule="auto"/>
      <w:outlineLvl w:val="3"/>
    </w:pPr>
    <w:rPr>
      <w:rFonts w:ascii="Cambria" w:hAnsi="Cambria"/>
      <w:b/>
      <w:bCs/>
      <w:sz w:val="28"/>
      <w:szCs w:val="28"/>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Plain Text"/>
    <w:basedOn w:val="1"/>
    <w:next w:val="2"/>
    <w:qFormat/>
    <w:uiPriority w:val="0"/>
    <w:rPr>
      <w:rFonts w:ascii="宋体" w:hAnsi="Courier New"/>
      <w:kern w:val="0"/>
      <w:sz w:val="20"/>
      <w:szCs w:val="21"/>
    </w:rPr>
  </w:style>
  <w:style w:type="paragraph" w:styleId="5">
    <w:name w:val="Balloon Text"/>
    <w:basedOn w:val="1"/>
    <w:link w:val="21"/>
    <w:qFormat/>
    <w:uiPriority w:val="0"/>
    <w:rPr>
      <w:sz w:val="18"/>
      <w:szCs w:val="18"/>
    </w:rPr>
  </w:style>
  <w:style w:type="paragraph" w:styleId="6">
    <w:name w:val="footer"/>
    <w:basedOn w:val="1"/>
    <w:next w:val="1"/>
    <w:link w:val="23"/>
    <w:qFormat/>
    <w:uiPriority w:val="0"/>
    <w:pPr>
      <w:tabs>
        <w:tab w:val="center" w:pos="4153"/>
        <w:tab w:val="right" w:pos="8306"/>
      </w:tabs>
      <w:snapToGrid w:val="0"/>
      <w:jc w:val="left"/>
    </w:pPr>
    <w:rPr>
      <w:sz w:val="18"/>
      <w:szCs w:val="18"/>
    </w:rPr>
  </w:style>
  <w:style w:type="paragraph" w:styleId="7">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100" w:beforeAutospacing="1" w:after="100" w:afterAutospacing="1"/>
      <w:jc w:val="left"/>
    </w:pPr>
    <w:rPr>
      <w:rFonts w:cs="Times New Roman"/>
      <w:kern w:val="0"/>
      <w:sz w:val="24"/>
    </w:rPr>
  </w:style>
  <w:style w:type="character" w:styleId="11">
    <w:name w:val="Strong"/>
    <w:qFormat/>
    <w:uiPriority w:val="0"/>
    <w:rPr>
      <w:b/>
    </w:rPr>
  </w:style>
  <w:style w:type="character" w:styleId="12">
    <w:name w:val="Hyperlink"/>
    <w:qFormat/>
    <w:uiPriority w:val="0"/>
    <w:rPr>
      <w:color w:val="0000FF"/>
      <w:u w:val="single"/>
    </w:rPr>
  </w:style>
  <w:style w:type="character" w:styleId="13">
    <w:name w:val="annotation reference"/>
    <w:basedOn w:val="10"/>
    <w:qFormat/>
    <w:uiPriority w:val="0"/>
    <w:rPr>
      <w:sz w:val="21"/>
      <w:szCs w:val="21"/>
    </w:rPr>
  </w:style>
  <w:style w:type="character" w:customStyle="1" w:styleId="14">
    <w:name w:val="font31"/>
    <w:basedOn w:val="10"/>
    <w:qFormat/>
    <w:uiPriority w:val="0"/>
    <w:rPr>
      <w:rFonts w:hint="eastAsia" w:ascii="宋体" w:hAnsi="宋体" w:eastAsia="宋体" w:cs="宋体"/>
      <w:color w:val="000000"/>
      <w:sz w:val="21"/>
      <w:szCs w:val="21"/>
      <w:u w:val="none"/>
    </w:rPr>
  </w:style>
  <w:style w:type="character" w:customStyle="1" w:styleId="15">
    <w:name w:val="font51"/>
    <w:basedOn w:val="10"/>
    <w:qFormat/>
    <w:uiPriority w:val="0"/>
    <w:rPr>
      <w:rFonts w:hint="eastAsia" w:ascii="宋体" w:hAnsi="宋体" w:eastAsia="宋体" w:cs="宋体"/>
      <w:b/>
      <w:bCs/>
      <w:color w:val="FF0000"/>
      <w:sz w:val="21"/>
      <w:szCs w:val="21"/>
      <w:u w:val="none"/>
    </w:rPr>
  </w:style>
  <w:style w:type="character" w:customStyle="1" w:styleId="16">
    <w:name w:val="font01"/>
    <w:basedOn w:val="10"/>
    <w:qFormat/>
    <w:uiPriority w:val="0"/>
    <w:rPr>
      <w:rFonts w:hint="eastAsia" w:ascii="宋体" w:hAnsi="宋体" w:eastAsia="宋体" w:cs="宋体"/>
      <w:color w:val="000000"/>
      <w:sz w:val="22"/>
      <w:szCs w:val="22"/>
      <w:u w:val="none"/>
    </w:rPr>
  </w:style>
  <w:style w:type="character" w:customStyle="1" w:styleId="17">
    <w:name w:val="font61"/>
    <w:basedOn w:val="10"/>
    <w:qFormat/>
    <w:uiPriority w:val="0"/>
    <w:rPr>
      <w:rFonts w:hint="eastAsia" w:ascii="宋体" w:hAnsi="宋体" w:eastAsia="宋体" w:cs="宋体"/>
      <w:b/>
      <w:bCs/>
      <w:color w:val="FF0000"/>
      <w:sz w:val="22"/>
      <w:szCs w:val="22"/>
      <w:u w:val="none"/>
    </w:rPr>
  </w:style>
  <w:style w:type="character" w:customStyle="1" w:styleId="18">
    <w:name w:val="font11"/>
    <w:basedOn w:val="10"/>
    <w:qFormat/>
    <w:uiPriority w:val="0"/>
    <w:rPr>
      <w:rFonts w:hint="eastAsia" w:ascii="宋体" w:hAnsi="宋体" w:eastAsia="宋体" w:cs="宋体"/>
      <w:color w:val="000000"/>
      <w:sz w:val="24"/>
      <w:szCs w:val="24"/>
      <w:u w:val="none"/>
    </w:rPr>
  </w:style>
  <w:style w:type="character" w:customStyle="1" w:styleId="19">
    <w:name w:val="font81"/>
    <w:basedOn w:val="10"/>
    <w:qFormat/>
    <w:uiPriority w:val="0"/>
    <w:rPr>
      <w:rFonts w:ascii="BatangChe" w:hAnsi="BatangChe" w:eastAsia="BatangChe" w:cs="BatangChe"/>
      <w:color w:val="000000"/>
      <w:sz w:val="24"/>
      <w:szCs w:val="24"/>
      <w:u w:val="none"/>
    </w:rPr>
  </w:style>
  <w:style w:type="character" w:customStyle="1" w:styleId="20">
    <w:name w:val="font21"/>
    <w:basedOn w:val="10"/>
    <w:qFormat/>
    <w:uiPriority w:val="0"/>
    <w:rPr>
      <w:rFonts w:hint="eastAsia" w:ascii="宋体" w:hAnsi="宋体" w:eastAsia="宋体" w:cs="宋体"/>
      <w:b/>
      <w:bCs/>
      <w:color w:val="000000"/>
      <w:sz w:val="24"/>
      <w:szCs w:val="24"/>
      <w:u w:val="none"/>
    </w:rPr>
  </w:style>
  <w:style w:type="character" w:customStyle="1" w:styleId="21">
    <w:name w:val="批注框文本 字符"/>
    <w:basedOn w:val="10"/>
    <w:link w:val="5"/>
    <w:qFormat/>
    <w:uiPriority w:val="0"/>
    <w:rPr>
      <w:rFonts w:asciiTheme="minorHAnsi" w:hAnsiTheme="minorHAnsi" w:eastAsiaTheme="minorEastAsia" w:cstheme="minorBidi"/>
      <w:kern w:val="2"/>
      <w:sz w:val="18"/>
      <w:szCs w:val="18"/>
    </w:rPr>
  </w:style>
  <w:style w:type="character" w:customStyle="1" w:styleId="22">
    <w:name w:val="页眉 字符"/>
    <w:basedOn w:val="10"/>
    <w:link w:val="7"/>
    <w:qFormat/>
    <w:uiPriority w:val="0"/>
    <w:rPr>
      <w:rFonts w:asciiTheme="minorHAnsi" w:hAnsiTheme="minorHAnsi" w:eastAsiaTheme="minorEastAsia" w:cstheme="minorBidi"/>
      <w:kern w:val="2"/>
      <w:sz w:val="18"/>
      <w:szCs w:val="18"/>
    </w:rPr>
  </w:style>
  <w:style w:type="character" w:customStyle="1" w:styleId="23">
    <w:name w:val="页脚 字符"/>
    <w:basedOn w:val="10"/>
    <w:link w:val="6"/>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13</Pages>
  <Words>2556</Words>
  <Characters>2973</Characters>
  <Lines>48</Lines>
  <Paragraphs>13</Paragraphs>
  <TotalTime>44</TotalTime>
  <ScaleCrop>false</ScaleCrop>
  <LinksUpToDate>false</LinksUpToDate>
  <CharactersWithSpaces>3361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2025-05-06T17:03:00Z</dcterms:created>
  <dc:creator>黄冲</dc:creator>
  <cp:lastModifiedBy>朱桂英</cp:lastModifiedBy>
  <cp:lastPrinted>2025-05-16T15:28:00Z</cp:lastPrinted>
  <dcterms:modified xsi:type="dcterms:W3CDTF">2025-11-03T01:24:56Z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C994997DE3BD702376EEFE68F267B612_43</vt:lpwstr>
  </property>
  <property fmtid="{D5CDD505-2E9C-101B-9397-08002B2CF9AE}" pid="4" name="KSOTemplateDocerSaveRecord">
    <vt:lpwstr>eyJoZGlkIjoiMTYzNTExNzExNzQzOWNmZTBmMjIzYzMyODYxOTczOWYiLCJ1c2VySWQiOiI0NDcyODgwOTUifQ==</vt:lpwstr>
  </property>
</Properties>
</file>