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C919A">
      <w:pPr>
        <w:pStyle w:val="11"/>
        <w:widowControl/>
        <w:numPr>
          <w:ilvl w:val="0"/>
          <w:numId w:val="1"/>
        </w:numPr>
        <w:shd w:val="clear" w:color="auto" w:fill="FFFFFF"/>
        <w:spacing w:before="0" w:beforeAutospacing="0" w:after="0" w:afterAutospacing="0"/>
        <w:jc w:val="center"/>
        <w:rPr>
          <w:rFonts w:hint="eastAsia" w:asciiTheme="minorEastAsia" w:hAnsiTheme="minorEastAsia" w:eastAsiaTheme="minorEastAsia" w:cstheme="minorEastAsia"/>
          <w:b/>
          <w:bCs/>
          <w:color w:val="auto"/>
          <w:sz w:val="36"/>
          <w:szCs w:val="36"/>
          <w:shd w:val="clear" w:color="auto" w:fill="FFFFFF"/>
          <w:lang w:val="en-US" w:eastAsia="zh-CN"/>
        </w:rPr>
      </w:pPr>
      <w:r>
        <w:rPr>
          <w:rFonts w:hint="eastAsia" w:asciiTheme="minorEastAsia" w:hAnsiTheme="minorEastAsia" w:eastAsiaTheme="minorEastAsia" w:cstheme="minorEastAsia"/>
          <w:b/>
          <w:bCs/>
          <w:color w:val="auto"/>
          <w:sz w:val="36"/>
          <w:szCs w:val="36"/>
          <w:shd w:val="clear" w:color="auto" w:fill="FFFFFF"/>
          <w:lang w:val="en-US" w:eastAsia="zh-CN"/>
        </w:rPr>
        <w:t xml:space="preserve"> 采购公告</w:t>
      </w:r>
    </w:p>
    <w:p w14:paraId="595A3BE5">
      <w:pPr>
        <w:pStyle w:val="11"/>
        <w:widowControl/>
        <w:shd w:val="clear" w:color="auto" w:fill="FFFFFF"/>
        <w:spacing w:before="0" w:beforeAutospacing="0" w:after="0" w:afterAutospacing="0"/>
        <w:jc w:val="center"/>
        <w:rPr>
          <w:rFonts w:hint="eastAsia" w:asciiTheme="minorEastAsia" w:hAnsiTheme="minorEastAsia" w:eastAsiaTheme="minorEastAsia" w:cstheme="minorEastAsia"/>
          <w:b/>
          <w:bCs/>
          <w:color w:val="auto"/>
          <w:sz w:val="36"/>
          <w:szCs w:val="36"/>
          <w:shd w:val="clear" w:color="auto" w:fill="FFFFFF"/>
        </w:rPr>
      </w:pPr>
    </w:p>
    <w:p w14:paraId="39469C98">
      <w:pPr>
        <w:pStyle w:val="11"/>
        <w:widowControl/>
        <w:shd w:val="clear" w:color="auto" w:fill="FFFFFF"/>
        <w:spacing w:before="0" w:beforeAutospacing="0" w:after="0" w:afterAutospacing="0"/>
        <w:jc w:val="center"/>
        <w:rPr>
          <w:rFonts w:hint="eastAsia" w:asciiTheme="minorEastAsia" w:hAnsiTheme="minorEastAsia" w:eastAsiaTheme="minorEastAsia" w:cstheme="minorEastAsia"/>
          <w:color w:val="auto"/>
          <w:sz w:val="28"/>
          <w:szCs w:val="28"/>
          <w:shd w:val="clear" w:color="auto" w:fill="FFFFFF"/>
          <w:lang w:val="en-US" w:eastAsia="zh-CN"/>
        </w:rPr>
      </w:pPr>
      <w:r>
        <w:rPr>
          <w:rFonts w:hint="eastAsia" w:asciiTheme="minorEastAsia" w:hAnsiTheme="minorEastAsia" w:eastAsiaTheme="minorEastAsia" w:cstheme="minorEastAsia"/>
          <w:b/>
          <w:bCs/>
          <w:color w:val="auto"/>
          <w:sz w:val="36"/>
          <w:szCs w:val="36"/>
          <w:shd w:val="clear" w:color="auto" w:fill="FFFFFF"/>
        </w:rPr>
        <w:t>广西艺术学院桂林校区监控及广播系统安装工程项目采购</w:t>
      </w:r>
      <w:r>
        <w:rPr>
          <w:rFonts w:hint="eastAsia" w:asciiTheme="minorEastAsia" w:hAnsiTheme="minorEastAsia" w:eastAsiaTheme="minorEastAsia" w:cstheme="minorEastAsia"/>
          <w:b/>
          <w:bCs/>
          <w:color w:val="auto"/>
          <w:sz w:val="36"/>
          <w:szCs w:val="36"/>
          <w:shd w:val="clear" w:color="auto" w:fill="FFFFFF"/>
          <w:lang w:val="en-US" w:eastAsia="zh-CN"/>
        </w:rPr>
        <w:t>文件</w:t>
      </w:r>
    </w:p>
    <w:p w14:paraId="43A225C2">
      <w:pPr>
        <w:pStyle w:val="11"/>
        <w:widowControl/>
        <w:shd w:val="clear" w:color="auto" w:fill="FFFFFF"/>
        <w:spacing w:before="0" w:beforeAutospacing="0" w:after="0" w:afterAutospacing="0"/>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color="auto" w:fill="FFFFFF"/>
        </w:rPr>
        <w:t>根据有关规定，我校开展广西艺术学院桂林校区监控及广播系统安装工程项目，现将本次采购有关事项公告如下：</w:t>
      </w:r>
    </w:p>
    <w:p w14:paraId="7E1E2AC1">
      <w:pPr>
        <w:pStyle w:val="11"/>
        <w:widowControl/>
        <w:numPr>
          <w:ilvl w:val="0"/>
          <w:numId w:val="2"/>
        </w:numPr>
        <w:shd w:val="clear" w:color="auto" w:fill="FFFFFF"/>
        <w:spacing w:before="0" w:beforeAutospacing="0" w:after="0" w:afterAutospacing="0"/>
        <w:ind w:firstLine="480"/>
        <w:rPr>
          <w:rStyle w:val="14"/>
          <w:rFonts w:hint="eastAsia" w:asciiTheme="minorEastAsia" w:hAnsiTheme="minorEastAsia" w:eastAsiaTheme="minorEastAsia" w:cstheme="minorEastAsia"/>
          <w:color w:val="auto"/>
          <w:sz w:val="28"/>
          <w:szCs w:val="28"/>
          <w:shd w:val="clear" w:color="auto" w:fill="FFFFFF"/>
        </w:rPr>
      </w:pPr>
      <w:r>
        <w:rPr>
          <w:rStyle w:val="14"/>
          <w:rFonts w:hint="eastAsia" w:asciiTheme="minorEastAsia" w:hAnsiTheme="minorEastAsia" w:eastAsiaTheme="minorEastAsia" w:cstheme="minorEastAsia"/>
          <w:color w:val="auto"/>
          <w:sz w:val="28"/>
          <w:szCs w:val="28"/>
          <w:shd w:val="clear" w:color="auto" w:fill="FFFFFF"/>
        </w:rPr>
        <w:t>项目名称</w:t>
      </w:r>
      <w:r>
        <w:rPr>
          <w:rStyle w:val="14"/>
          <w:rFonts w:hint="eastAsia" w:asciiTheme="minorEastAsia" w:hAnsiTheme="minorEastAsia" w:eastAsiaTheme="minorEastAsia" w:cstheme="minorEastAsia"/>
          <w:b w:val="0"/>
          <w:bCs/>
          <w:color w:val="auto"/>
          <w:sz w:val="28"/>
          <w:szCs w:val="28"/>
          <w:shd w:val="clear" w:color="auto" w:fill="FFFFFF"/>
        </w:rPr>
        <w:t>：</w:t>
      </w:r>
      <w:r>
        <w:rPr>
          <w:rFonts w:hint="eastAsia" w:asciiTheme="minorEastAsia" w:hAnsiTheme="minorEastAsia" w:eastAsiaTheme="minorEastAsia" w:cstheme="minorEastAsia"/>
          <w:color w:val="auto"/>
          <w:sz w:val="28"/>
          <w:szCs w:val="28"/>
          <w:shd w:val="clear" w:color="auto" w:fill="FFFFFF"/>
        </w:rPr>
        <w:t>广西艺术学院桂林校区监控及广播系统安装工程项目</w:t>
      </w:r>
    </w:p>
    <w:p w14:paraId="37C4003E">
      <w:pPr>
        <w:pStyle w:val="11"/>
        <w:widowControl/>
        <w:numPr>
          <w:ilvl w:val="0"/>
          <w:numId w:val="2"/>
        </w:numPr>
        <w:shd w:val="clear" w:color="auto" w:fill="FFFFFF"/>
        <w:spacing w:before="0" w:beforeAutospacing="0" w:after="0" w:afterAutospacing="0"/>
        <w:ind w:firstLine="480"/>
        <w:rPr>
          <w:rStyle w:val="14"/>
          <w:rFonts w:hint="eastAsia" w:asciiTheme="minorEastAsia" w:hAnsiTheme="minorEastAsia" w:eastAsiaTheme="minorEastAsia" w:cstheme="minorEastAsia"/>
          <w:color w:val="auto"/>
          <w:sz w:val="28"/>
          <w:szCs w:val="28"/>
          <w:shd w:val="clear" w:color="auto" w:fill="FFFFFF"/>
        </w:rPr>
      </w:pPr>
      <w:r>
        <w:rPr>
          <w:rStyle w:val="14"/>
          <w:rFonts w:hint="eastAsia" w:asciiTheme="minorEastAsia" w:hAnsiTheme="minorEastAsia" w:eastAsiaTheme="minorEastAsia" w:cstheme="minorEastAsia"/>
          <w:color w:val="auto"/>
          <w:sz w:val="28"/>
          <w:szCs w:val="28"/>
          <w:shd w:val="clear" w:color="auto" w:fill="FFFFFF"/>
        </w:rPr>
        <w:t>采购需求内容</w:t>
      </w:r>
      <w:r>
        <w:rPr>
          <w:rStyle w:val="14"/>
          <w:rFonts w:hint="eastAsia" w:asciiTheme="minorEastAsia" w:hAnsiTheme="minorEastAsia" w:eastAsiaTheme="minorEastAsia" w:cstheme="minorEastAsia"/>
          <w:color w:val="auto"/>
          <w:sz w:val="28"/>
          <w:szCs w:val="28"/>
          <w:shd w:val="clear" w:color="auto" w:fill="FFFFFF"/>
          <w:lang w:val="en-US" w:eastAsia="zh-CN"/>
        </w:rPr>
        <w:t xml:space="preserve">         </w:t>
      </w:r>
    </w:p>
    <w:p w14:paraId="2094EB3B">
      <w:pPr>
        <w:pStyle w:val="11"/>
        <w:widowControl/>
        <w:shd w:val="clear" w:color="auto" w:fill="FFFFFF"/>
        <w:spacing w:before="0" w:beforeAutospacing="0" w:after="0" w:afterAutospacing="0"/>
        <w:ind w:left="480"/>
        <w:rPr>
          <w:rStyle w:val="14"/>
          <w:rFonts w:hint="eastAsia" w:asciiTheme="minorEastAsia" w:hAnsiTheme="minorEastAsia" w:eastAsiaTheme="minorEastAsia" w:cstheme="minorEastAsia"/>
          <w:color w:val="auto"/>
          <w:sz w:val="28"/>
          <w:szCs w:val="28"/>
          <w:shd w:val="clear" w:color="auto" w:fill="FFFFFF"/>
        </w:rPr>
      </w:pPr>
      <w:r>
        <w:rPr>
          <w:rStyle w:val="14"/>
          <w:rFonts w:hint="eastAsia" w:asciiTheme="minorEastAsia" w:hAnsiTheme="minorEastAsia" w:eastAsiaTheme="minorEastAsia" w:cstheme="minorEastAsia"/>
          <w:color w:val="auto"/>
          <w:sz w:val="28"/>
          <w:szCs w:val="28"/>
          <w:shd w:val="clear" w:color="auto" w:fill="FFFFFF"/>
        </w:rPr>
        <w:t>总采购预算为：</w:t>
      </w:r>
      <w:r>
        <w:rPr>
          <w:rStyle w:val="14"/>
          <w:rFonts w:hint="eastAsia" w:asciiTheme="minorEastAsia" w:hAnsiTheme="minorEastAsia" w:eastAsiaTheme="minorEastAsia" w:cstheme="minorEastAsia"/>
          <w:color w:val="auto"/>
          <w:sz w:val="28"/>
          <w:szCs w:val="28"/>
          <w:shd w:val="clear" w:color="auto" w:fill="FFFFFF"/>
          <w:lang w:val="en-US" w:eastAsia="zh-CN"/>
        </w:rPr>
        <w:t>234204.39</w:t>
      </w:r>
      <w:r>
        <w:rPr>
          <w:rStyle w:val="14"/>
          <w:rFonts w:hint="eastAsia" w:asciiTheme="minorEastAsia" w:hAnsiTheme="minorEastAsia" w:eastAsiaTheme="minorEastAsia" w:cstheme="minorEastAsia"/>
          <w:color w:val="auto"/>
          <w:sz w:val="28"/>
          <w:szCs w:val="28"/>
          <w:shd w:val="clear" w:color="auto" w:fill="FFFFFF"/>
        </w:rPr>
        <w:t>元。</w:t>
      </w:r>
    </w:p>
    <w:p w14:paraId="305FB659">
      <w:pPr>
        <w:pStyle w:val="11"/>
        <w:widowControl/>
        <w:numPr>
          <w:ilvl w:val="0"/>
          <w:numId w:val="0"/>
        </w:numPr>
        <w:shd w:val="clear" w:color="auto" w:fill="FFFFFF"/>
        <w:spacing w:before="0" w:beforeAutospacing="0" w:after="0" w:afterAutospacing="0"/>
        <w:ind w:firstLine="0"/>
        <w:rPr>
          <w:rStyle w:val="14"/>
          <w:rFonts w:hint="eastAsia" w:asciiTheme="minorEastAsia" w:hAnsiTheme="minorEastAsia" w:eastAsiaTheme="minorEastAsia" w:cstheme="minorEastAsia"/>
          <w:b w:val="0"/>
          <w:bCs/>
          <w:color w:val="auto"/>
          <w:sz w:val="28"/>
          <w:szCs w:val="28"/>
          <w:shd w:val="clear" w:color="auto" w:fill="FFFFFF"/>
          <w:lang w:val="en-US" w:eastAsia="zh-CN"/>
        </w:rPr>
      </w:pPr>
      <w:r>
        <w:rPr>
          <w:rStyle w:val="14"/>
          <w:rFonts w:hint="eastAsia" w:asciiTheme="minorEastAsia" w:hAnsiTheme="minorEastAsia" w:eastAsiaTheme="minorEastAsia" w:cstheme="minorEastAsia"/>
          <w:b w:val="0"/>
          <w:bCs/>
          <w:color w:val="auto"/>
          <w:sz w:val="28"/>
          <w:szCs w:val="28"/>
          <w:shd w:val="clear" w:color="auto" w:fill="FFFFFF"/>
          <w:lang w:val="en-US" w:eastAsia="zh-CN"/>
        </w:rPr>
        <w:t>具体需求</w:t>
      </w:r>
      <w:r>
        <w:rPr>
          <w:rStyle w:val="14"/>
          <w:rFonts w:hint="eastAsia" w:asciiTheme="minorEastAsia" w:hAnsiTheme="minorEastAsia" w:eastAsiaTheme="minorEastAsia" w:cstheme="minorEastAsia"/>
          <w:b w:val="0"/>
          <w:bCs/>
          <w:color w:val="auto"/>
          <w:sz w:val="28"/>
          <w:szCs w:val="28"/>
          <w:shd w:val="clear" w:color="auto" w:fill="FFFFFF"/>
        </w:rPr>
        <w:t>详见附件</w:t>
      </w:r>
      <w:r>
        <w:rPr>
          <w:rStyle w:val="14"/>
          <w:rFonts w:hint="eastAsia" w:asciiTheme="minorEastAsia" w:hAnsiTheme="minorEastAsia" w:eastAsiaTheme="minorEastAsia" w:cstheme="minorEastAsia"/>
          <w:b w:val="0"/>
          <w:bCs/>
          <w:color w:val="auto"/>
          <w:sz w:val="28"/>
          <w:szCs w:val="28"/>
          <w:shd w:val="clear" w:color="auto" w:fill="FFFFFF"/>
          <w:lang w:val="en-US" w:eastAsia="zh-CN"/>
        </w:rPr>
        <w:t>1</w:t>
      </w:r>
      <w:r>
        <w:rPr>
          <w:rStyle w:val="14"/>
          <w:rFonts w:hint="eastAsia" w:asciiTheme="minorEastAsia" w:hAnsiTheme="minorEastAsia" w:eastAsiaTheme="minorEastAsia" w:cstheme="minorEastAsia"/>
          <w:b w:val="0"/>
          <w:bCs/>
          <w:color w:val="auto"/>
          <w:sz w:val="28"/>
          <w:szCs w:val="28"/>
          <w:shd w:val="clear" w:color="auto" w:fill="FFFFFF"/>
        </w:rPr>
        <w:t>。</w:t>
      </w:r>
      <w:r>
        <w:rPr>
          <w:rFonts w:hint="eastAsia" w:asciiTheme="minorEastAsia" w:hAnsiTheme="minorEastAsia" w:eastAsiaTheme="minorEastAsia" w:cstheme="minorEastAsia"/>
          <w:color w:val="auto"/>
          <w:sz w:val="28"/>
          <w:szCs w:val="28"/>
          <w:shd w:val="clear" w:color="auto" w:fill="FFFFFF"/>
          <w:lang w:val="en-US" w:eastAsia="zh-CN"/>
        </w:rPr>
        <w:t>合同签订后</w:t>
      </w:r>
      <w:r>
        <w:rPr>
          <w:rFonts w:hint="eastAsia" w:asciiTheme="minorEastAsia" w:hAnsiTheme="minorEastAsia" w:cstheme="minorEastAsia"/>
          <w:color w:val="auto"/>
          <w:sz w:val="28"/>
          <w:szCs w:val="28"/>
          <w:shd w:val="clear" w:color="auto" w:fill="FFFFFF"/>
          <w:lang w:val="en-US" w:eastAsia="zh-CN"/>
        </w:rPr>
        <w:t>20天</w:t>
      </w:r>
      <w:r>
        <w:rPr>
          <w:rFonts w:hint="eastAsia" w:asciiTheme="minorEastAsia" w:hAnsiTheme="minorEastAsia" w:eastAsiaTheme="minorEastAsia" w:cstheme="minorEastAsia"/>
          <w:color w:val="auto"/>
          <w:sz w:val="28"/>
          <w:szCs w:val="28"/>
          <w:shd w:val="clear" w:color="auto" w:fill="FFFFFF"/>
          <w:lang w:val="en-US" w:eastAsia="zh-CN"/>
        </w:rPr>
        <w:t>内完成全部货物安装及调试。所有设备保修售后服务期不少于1年。</w:t>
      </w:r>
    </w:p>
    <w:p w14:paraId="6EC465DA">
      <w:pPr>
        <w:pStyle w:val="11"/>
        <w:widowControl/>
        <w:numPr>
          <w:ilvl w:val="0"/>
          <w:numId w:val="2"/>
        </w:numPr>
        <w:shd w:val="clear" w:color="auto" w:fill="FFFFFF"/>
        <w:spacing w:before="0" w:beforeAutospacing="0" w:after="0" w:afterAutospacing="0"/>
        <w:ind w:firstLine="480"/>
        <w:rPr>
          <w:rStyle w:val="14"/>
          <w:rFonts w:hint="eastAsia" w:asciiTheme="minorEastAsia" w:hAnsiTheme="minorEastAsia" w:eastAsiaTheme="minorEastAsia" w:cstheme="minorEastAsia"/>
          <w:color w:val="auto"/>
          <w:sz w:val="28"/>
          <w:szCs w:val="28"/>
          <w:shd w:val="clear" w:color="auto" w:fill="FFFFFF"/>
        </w:rPr>
      </w:pPr>
      <w:r>
        <w:rPr>
          <w:rStyle w:val="14"/>
          <w:rFonts w:hint="eastAsia" w:asciiTheme="minorEastAsia" w:hAnsiTheme="minorEastAsia" w:eastAsiaTheme="minorEastAsia" w:cstheme="minorEastAsia"/>
          <w:color w:val="auto"/>
          <w:sz w:val="28"/>
          <w:szCs w:val="28"/>
          <w:shd w:val="clear" w:color="auto" w:fill="FFFFFF"/>
        </w:rPr>
        <w:t>投标人资格要求</w:t>
      </w:r>
    </w:p>
    <w:p w14:paraId="37A8F5D2">
      <w:pPr>
        <w:pStyle w:val="11"/>
        <w:widowControl/>
        <w:shd w:val="clear" w:color="auto" w:fill="FFFFFF"/>
        <w:spacing w:before="0" w:beforeAutospacing="0" w:after="0" w:afterAutospacing="0"/>
        <w:ind w:firstLine="48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color="auto" w:fill="FFFFFF"/>
        </w:rPr>
        <w:t>（一）必须是在中华人民共和国境内注册，具有独立法人，并持有</w:t>
      </w:r>
      <w:r>
        <w:rPr>
          <w:rFonts w:hint="eastAsia" w:asciiTheme="minorEastAsia" w:hAnsiTheme="minorEastAsia" w:cstheme="minorEastAsia"/>
          <w:color w:val="auto"/>
          <w:sz w:val="28"/>
          <w:szCs w:val="28"/>
          <w:shd w:val="clear" w:color="auto" w:fill="FFFFFF"/>
          <w:lang w:val="en-US" w:eastAsia="zh-CN"/>
        </w:rPr>
        <w:t>行政主管</w:t>
      </w:r>
      <w:r>
        <w:rPr>
          <w:rFonts w:hint="eastAsia" w:asciiTheme="minorEastAsia" w:hAnsiTheme="minorEastAsia" w:eastAsiaTheme="minorEastAsia" w:cstheme="minorEastAsia"/>
          <w:color w:val="auto"/>
          <w:sz w:val="28"/>
          <w:szCs w:val="28"/>
          <w:shd w:val="clear" w:color="auto" w:fill="FFFFFF"/>
        </w:rPr>
        <w:t>部门核发的法人营业执照。</w:t>
      </w:r>
    </w:p>
    <w:p w14:paraId="1AF4A2E9">
      <w:pPr>
        <w:pStyle w:val="11"/>
        <w:widowControl/>
        <w:shd w:val="clear" w:color="auto" w:fill="FFFFFF"/>
        <w:spacing w:before="0" w:beforeAutospacing="0" w:after="0" w:afterAutospacing="0"/>
        <w:ind w:firstLine="480"/>
        <w:rPr>
          <w:rFonts w:hint="eastAsia" w:asciiTheme="minorEastAsia" w:hAnsiTheme="minorEastAsia" w:eastAsiaTheme="minorEastAsia" w:cstheme="minorEastAsia"/>
          <w:color w:val="auto"/>
          <w:sz w:val="28"/>
          <w:szCs w:val="28"/>
          <w:shd w:val="clear" w:color="auto" w:fill="FFFFFF"/>
        </w:rPr>
      </w:pPr>
      <w:r>
        <w:rPr>
          <w:rFonts w:hint="eastAsia" w:asciiTheme="minorEastAsia" w:hAnsiTheme="minorEastAsia" w:eastAsiaTheme="minorEastAsia" w:cstheme="minorEastAsia"/>
          <w:color w:val="auto"/>
          <w:sz w:val="28"/>
          <w:szCs w:val="28"/>
          <w:shd w:val="clear" w:color="auto" w:fill="FFFFFF"/>
        </w:rPr>
        <w:t>（二）未被列入失信被执行人名单、重大税收违法案件当事人名单、政府采购严重违法失信行为记录名单，信用信息以最新的信用中国网站和中国政府采购网公布为准，请提供最新的信用中国网站和中国政府采购网的截图证明信息。</w:t>
      </w:r>
    </w:p>
    <w:p w14:paraId="4B47B2AC">
      <w:pPr>
        <w:pStyle w:val="11"/>
        <w:widowControl/>
        <w:shd w:val="clear" w:color="auto" w:fill="FFFFFF"/>
        <w:spacing w:before="0" w:beforeAutospacing="0" w:after="0" w:afterAutospacing="0"/>
        <w:ind w:firstLine="48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color="auto" w:fill="FFFFFF"/>
        </w:rPr>
        <w:t>“信用中国”网站查询方法：投标人在本项目投标截止时间前10日内,进入投标人基本信息页面，点击“下载信用报告”后点击“下载”。“中国政府采购网”的查询方法：点击“政府采购严重违法失信行为记录名单”进行查询。页面中的处罚日期不设置起始时间，只能设置截止时间，截止时间为本项目投标截止时间前10日至投标截止时间中任意一天。采购人将对供应商信用记录进行甄别，对列入失信被执行人、重大税收违法案件当事人名单、政府采购严重违法失信行为记录名单及其他不符合《中华人民共和国政府采购法》第二十二条规定条件的供应商，将拒绝其参与采购活动。</w:t>
      </w:r>
    </w:p>
    <w:p w14:paraId="2C8798A6">
      <w:pPr>
        <w:pStyle w:val="11"/>
        <w:widowControl/>
        <w:shd w:val="clear" w:color="auto" w:fill="FFFFFF"/>
        <w:spacing w:before="0" w:beforeAutospacing="0" w:after="0" w:afterAutospacing="0"/>
        <w:ind w:firstLine="48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color="auto" w:fill="FFFFFF"/>
        </w:rPr>
        <w:t>（三）单位负责人为同一人或者存在直接控股、管理关系的不同供应商，不得参加同一合同项下的采购活动。本项目不接受联合体。</w:t>
      </w:r>
      <w:r>
        <w:rPr>
          <w:rFonts w:hint="eastAsia" w:asciiTheme="minorEastAsia" w:hAnsiTheme="minorEastAsia" w:eastAsiaTheme="minorEastAsia" w:cstheme="minorEastAsia"/>
          <w:i w:val="0"/>
          <w:iCs w:val="0"/>
          <w:caps w:val="0"/>
          <w:color w:val="auto"/>
          <w:spacing w:val="0"/>
          <w:sz w:val="28"/>
          <w:szCs w:val="28"/>
        </w:rPr>
        <w:t>（</w:t>
      </w:r>
      <w:r>
        <w:rPr>
          <w:rFonts w:hint="eastAsia" w:asciiTheme="minorEastAsia" w:hAnsiTheme="minorEastAsia" w:eastAsiaTheme="minorEastAsia" w:cstheme="minorEastAsia"/>
          <w:i w:val="0"/>
          <w:iCs w:val="0"/>
          <w:caps w:val="0"/>
          <w:color w:val="auto"/>
          <w:spacing w:val="0"/>
          <w:sz w:val="28"/>
          <w:szCs w:val="28"/>
          <w:lang w:val="en-US" w:eastAsia="zh-CN"/>
        </w:rPr>
        <w:t>投标时</w:t>
      </w:r>
      <w:r>
        <w:rPr>
          <w:rFonts w:hint="eastAsia" w:asciiTheme="minorEastAsia" w:hAnsiTheme="minorEastAsia" w:eastAsiaTheme="minorEastAsia" w:cstheme="minorEastAsia"/>
          <w:i w:val="0"/>
          <w:iCs w:val="0"/>
          <w:caps w:val="0"/>
          <w:color w:val="auto"/>
          <w:spacing w:val="0"/>
          <w:sz w:val="28"/>
          <w:szCs w:val="28"/>
        </w:rPr>
        <w:t>提供附件2）</w:t>
      </w:r>
    </w:p>
    <w:p w14:paraId="1E8FB26D">
      <w:pPr>
        <w:pStyle w:val="11"/>
        <w:widowControl/>
        <w:numPr>
          <w:ilvl w:val="0"/>
          <w:numId w:val="2"/>
        </w:numPr>
        <w:shd w:val="clear" w:color="auto" w:fill="FFFFFF"/>
        <w:spacing w:before="0" w:beforeAutospacing="0" w:after="0" w:afterAutospacing="0"/>
        <w:ind w:firstLine="480"/>
        <w:rPr>
          <w:rStyle w:val="14"/>
          <w:rFonts w:hint="eastAsia" w:asciiTheme="minorEastAsia" w:hAnsiTheme="minorEastAsia" w:eastAsiaTheme="minorEastAsia" w:cstheme="minorEastAsia"/>
          <w:color w:val="auto"/>
          <w:sz w:val="28"/>
          <w:szCs w:val="28"/>
          <w:shd w:val="clear" w:color="auto" w:fill="FFFFFF"/>
        </w:rPr>
      </w:pPr>
      <w:r>
        <w:rPr>
          <w:rStyle w:val="14"/>
          <w:rFonts w:hint="eastAsia" w:asciiTheme="minorEastAsia" w:hAnsiTheme="minorEastAsia" w:eastAsiaTheme="minorEastAsia" w:cstheme="minorEastAsia"/>
          <w:color w:val="auto"/>
          <w:sz w:val="28"/>
          <w:szCs w:val="28"/>
          <w:shd w:val="clear" w:color="auto" w:fill="FFFFFF"/>
        </w:rPr>
        <w:t>投标要求</w:t>
      </w:r>
    </w:p>
    <w:p w14:paraId="12368E98">
      <w:pPr>
        <w:pStyle w:val="11"/>
        <w:widowControl/>
        <w:shd w:val="clear" w:color="auto" w:fill="FFFFFF"/>
        <w:spacing w:before="0" w:beforeAutospacing="0" w:after="0" w:afterAutospacing="0"/>
        <w:ind w:firstLine="48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color="auto" w:fill="FFFFFF"/>
        </w:rPr>
        <w:t>（一）提供法人授权委托书（格式自拟）、有效的营业执照复印件（加盖单位公章）、被授权人身份证（复印件）及</w:t>
      </w:r>
      <w:r>
        <w:rPr>
          <w:rFonts w:hint="eastAsia" w:asciiTheme="minorEastAsia" w:hAnsiTheme="minorEastAsia" w:eastAsiaTheme="minorEastAsia" w:cstheme="minorEastAsia"/>
          <w:color w:val="auto"/>
          <w:sz w:val="28"/>
          <w:szCs w:val="28"/>
          <w:shd w:val="clear" w:color="auto" w:fill="FFFFFF"/>
          <w:lang w:val="en-US" w:eastAsia="zh-CN"/>
        </w:rPr>
        <w:t>按第三大点资格要求列明的证明材料</w:t>
      </w:r>
      <w:r>
        <w:rPr>
          <w:rFonts w:hint="eastAsia" w:asciiTheme="minorEastAsia" w:hAnsiTheme="minorEastAsia" w:eastAsiaTheme="minorEastAsia" w:cstheme="minorEastAsia"/>
          <w:color w:val="auto"/>
          <w:sz w:val="28"/>
          <w:szCs w:val="28"/>
          <w:shd w:val="clear" w:color="auto" w:fill="FFFFFF"/>
        </w:rPr>
        <w:t>。</w:t>
      </w:r>
    </w:p>
    <w:p w14:paraId="1D43EE70">
      <w:pPr>
        <w:pStyle w:val="11"/>
        <w:widowControl/>
        <w:shd w:val="clear" w:color="auto" w:fill="FFFFFF"/>
        <w:spacing w:before="0" w:beforeAutospacing="0" w:after="0" w:afterAutospacing="0"/>
        <w:ind w:firstLine="48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color="auto" w:fill="FFFFFF"/>
        </w:rPr>
        <w:t>（二）报价函（格式自拟，写清楚所投产品品牌、型号、技术参数等，报价必须包含但不限于运输、调试、安装、税金等本项目所有费用）、技术</w:t>
      </w:r>
      <w:r>
        <w:rPr>
          <w:rFonts w:hint="eastAsia" w:asciiTheme="minorEastAsia" w:hAnsiTheme="minorEastAsia" w:eastAsiaTheme="minorEastAsia" w:cstheme="minorEastAsia"/>
          <w:color w:val="auto"/>
          <w:sz w:val="28"/>
          <w:szCs w:val="28"/>
          <w:shd w:val="clear" w:color="auto" w:fill="FFFFFF"/>
          <w:lang w:val="en-US" w:eastAsia="zh-CN"/>
        </w:rPr>
        <w:t>与商务</w:t>
      </w:r>
      <w:r>
        <w:rPr>
          <w:rFonts w:hint="eastAsia" w:asciiTheme="minorEastAsia" w:hAnsiTheme="minorEastAsia" w:eastAsiaTheme="minorEastAsia" w:cstheme="minorEastAsia"/>
          <w:color w:val="auto"/>
          <w:sz w:val="28"/>
          <w:szCs w:val="28"/>
          <w:shd w:val="clear" w:color="auto" w:fill="FFFFFF"/>
        </w:rPr>
        <w:t>参数偏离表（格式自拟，必须与采购需求表里的技术参数逐项比对</w:t>
      </w:r>
      <w:r>
        <w:rPr>
          <w:rFonts w:hint="eastAsia" w:asciiTheme="minorEastAsia" w:hAnsiTheme="minorEastAsia" w:cstheme="minorEastAsia"/>
          <w:color w:val="auto"/>
          <w:sz w:val="28"/>
          <w:szCs w:val="28"/>
          <w:shd w:val="clear" w:color="auto" w:fill="FFFFFF"/>
          <w:lang w:eastAsia="zh-CN"/>
        </w:rPr>
        <w:t>，</w:t>
      </w:r>
      <w:r>
        <w:rPr>
          <w:rFonts w:hint="eastAsia" w:asciiTheme="minorEastAsia" w:hAnsiTheme="minorEastAsia" w:cstheme="minorEastAsia"/>
          <w:color w:val="auto"/>
          <w:sz w:val="28"/>
          <w:szCs w:val="28"/>
          <w:shd w:val="clear" w:color="auto" w:fill="FFFFFF"/>
          <w:lang w:val="en-US" w:eastAsia="zh-CN"/>
        </w:rPr>
        <w:t>并写清楚偏离情况</w:t>
      </w:r>
      <w:bookmarkStart w:id="8" w:name="_GoBack"/>
      <w:bookmarkEnd w:id="8"/>
      <w:r>
        <w:rPr>
          <w:rFonts w:hint="eastAsia" w:asciiTheme="minorEastAsia" w:hAnsiTheme="minorEastAsia" w:eastAsiaTheme="minorEastAsia" w:cstheme="minorEastAsia"/>
          <w:color w:val="auto"/>
          <w:sz w:val="28"/>
          <w:szCs w:val="28"/>
          <w:shd w:val="clear" w:color="auto" w:fill="FFFFFF"/>
        </w:rPr>
        <w:t>）。</w:t>
      </w:r>
    </w:p>
    <w:p w14:paraId="168DDA12">
      <w:pPr>
        <w:pStyle w:val="11"/>
        <w:widowControl/>
        <w:shd w:val="clear" w:color="auto" w:fill="FFFFFF"/>
        <w:spacing w:before="0" w:beforeAutospacing="0" w:after="0" w:afterAutospacing="0"/>
        <w:ind w:firstLine="480"/>
        <w:rPr>
          <w:rFonts w:hint="eastAsia" w:asciiTheme="minorEastAsia" w:hAnsiTheme="minorEastAsia" w:eastAsiaTheme="minorEastAsia" w:cstheme="minorEastAsia"/>
          <w:color w:val="auto"/>
          <w:sz w:val="28"/>
          <w:szCs w:val="28"/>
          <w:shd w:val="clear" w:color="auto" w:fill="FFFFFF"/>
        </w:rPr>
      </w:pPr>
      <w:r>
        <w:rPr>
          <w:rFonts w:hint="eastAsia" w:asciiTheme="minorEastAsia" w:hAnsiTheme="minorEastAsia" w:eastAsiaTheme="minorEastAsia" w:cstheme="minorEastAsia"/>
          <w:color w:val="auto"/>
          <w:sz w:val="28"/>
          <w:szCs w:val="28"/>
          <w:shd w:val="clear" w:color="auto" w:fill="FFFFFF"/>
        </w:rPr>
        <w:t>（三）关于本项目的服务承诺（格式自拟，包含但不限于售后、培训、免费质保期</w:t>
      </w:r>
      <w:r>
        <w:rPr>
          <w:rFonts w:hint="eastAsia" w:asciiTheme="minorEastAsia" w:hAnsiTheme="minorEastAsia" w:eastAsiaTheme="minorEastAsia" w:cstheme="minorEastAsia"/>
          <w:color w:val="auto"/>
          <w:sz w:val="28"/>
          <w:szCs w:val="28"/>
          <w:shd w:val="clear" w:color="auto" w:fill="FFFFFF"/>
          <w:lang w:eastAsia="zh-CN"/>
        </w:rPr>
        <w:t>、</w:t>
      </w:r>
      <w:r>
        <w:rPr>
          <w:rFonts w:hint="eastAsia" w:asciiTheme="minorEastAsia" w:hAnsiTheme="minorEastAsia" w:eastAsiaTheme="minorEastAsia" w:cstheme="minorEastAsia"/>
          <w:color w:val="auto"/>
          <w:sz w:val="28"/>
          <w:szCs w:val="28"/>
          <w:shd w:val="clear" w:color="auto" w:fill="FFFFFF"/>
          <w:lang w:val="en-US" w:eastAsia="zh-CN"/>
        </w:rPr>
        <w:t>过保后的费用收取方式及标准</w:t>
      </w:r>
      <w:r>
        <w:rPr>
          <w:rFonts w:hint="eastAsia" w:asciiTheme="minorEastAsia" w:hAnsiTheme="minorEastAsia" w:eastAsiaTheme="minorEastAsia" w:cstheme="minorEastAsia"/>
          <w:color w:val="auto"/>
          <w:sz w:val="28"/>
          <w:szCs w:val="28"/>
          <w:shd w:val="clear" w:color="auto" w:fill="FFFFFF"/>
        </w:rPr>
        <w:t>等）。</w:t>
      </w:r>
    </w:p>
    <w:p w14:paraId="19D0DE99">
      <w:pPr>
        <w:pStyle w:val="11"/>
        <w:widowControl/>
        <w:shd w:val="clear" w:color="auto" w:fill="FFFFFF"/>
        <w:spacing w:before="0" w:beforeAutospacing="0" w:after="0" w:afterAutospacing="0"/>
        <w:ind w:firstLine="480"/>
        <w:rPr>
          <w:rFonts w:hint="eastAsia" w:asciiTheme="minorEastAsia" w:hAnsiTheme="minorEastAsia" w:eastAsiaTheme="minorEastAsia" w:cstheme="minorEastAsia"/>
          <w:color w:val="auto"/>
          <w:sz w:val="28"/>
          <w:szCs w:val="28"/>
          <w:shd w:val="clear" w:color="auto" w:fill="FFFFFF"/>
        </w:rPr>
      </w:pPr>
      <w:r>
        <w:rPr>
          <w:rFonts w:hint="eastAsia" w:asciiTheme="minorEastAsia" w:hAnsiTheme="minorEastAsia" w:eastAsiaTheme="minorEastAsia" w:cstheme="minorEastAsia"/>
          <w:color w:val="auto"/>
          <w:sz w:val="28"/>
          <w:szCs w:val="28"/>
          <w:shd w:val="clear" w:color="auto" w:fill="FFFFFF"/>
        </w:rPr>
        <w:t>（四）</w:t>
      </w:r>
      <w:r>
        <w:rPr>
          <w:rFonts w:hint="eastAsia" w:asciiTheme="minorEastAsia" w:hAnsiTheme="minorEastAsia" w:cstheme="minorEastAsia"/>
          <w:color w:val="auto"/>
          <w:sz w:val="28"/>
          <w:szCs w:val="28"/>
          <w:shd w:val="clear" w:color="auto" w:fill="FFFFFF"/>
          <w:lang w:val="en-US" w:eastAsia="zh-CN"/>
        </w:rPr>
        <w:t>根据评分办法准备的相关材料</w:t>
      </w:r>
      <w:r>
        <w:rPr>
          <w:rFonts w:hint="eastAsia" w:asciiTheme="minorEastAsia" w:hAnsiTheme="minorEastAsia" w:eastAsiaTheme="minorEastAsia" w:cstheme="minorEastAsia"/>
          <w:color w:val="auto"/>
          <w:sz w:val="28"/>
          <w:szCs w:val="28"/>
          <w:shd w:val="clear" w:color="auto" w:fill="FFFFFF"/>
        </w:rPr>
        <w:t>。</w:t>
      </w:r>
    </w:p>
    <w:p w14:paraId="08AE8EC2">
      <w:pPr>
        <w:pStyle w:val="11"/>
        <w:widowControl/>
        <w:shd w:val="clear" w:color="auto" w:fill="FFFFFF"/>
        <w:spacing w:before="0" w:beforeAutospacing="0" w:after="0" w:afterAutospacing="0"/>
        <w:ind w:firstLine="480"/>
        <w:rPr>
          <w:rFonts w:hint="eastAsia" w:asciiTheme="minorEastAsia" w:hAnsiTheme="minorEastAsia" w:eastAsiaTheme="minorEastAsia" w:cstheme="minorEastAsia"/>
          <w:color w:val="auto"/>
          <w:sz w:val="28"/>
          <w:szCs w:val="28"/>
        </w:rPr>
      </w:pPr>
      <w:r>
        <w:rPr>
          <w:rStyle w:val="14"/>
          <w:rFonts w:hint="eastAsia" w:asciiTheme="minorEastAsia" w:hAnsiTheme="minorEastAsia" w:eastAsiaTheme="minorEastAsia" w:cstheme="minorEastAsia"/>
          <w:color w:val="auto"/>
          <w:sz w:val="28"/>
          <w:szCs w:val="28"/>
          <w:shd w:val="clear" w:color="auto" w:fill="FFFFFF"/>
        </w:rPr>
        <w:t>注：所有投标材料必须一正</w:t>
      </w:r>
      <w:r>
        <w:rPr>
          <w:rStyle w:val="14"/>
          <w:rFonts w:hint="eastAsia" w:asciiTheme="minorEastAsia" w:hAnsiTheme="minorEastAsia" w:eastAsiaTheme="minorEastAsia" w:cstheme="minorEastAsia"/>
          <w:color w:val="auto"/>
          <w:sz w:val="28"/>
          <w:szCs w:val="28"/>
          <w:shd w:val="clear" w:color="auto" w:fill="FFFFFF"/>
          <w:lang w:val="en-US" w:eastAsia="zh-CN"/>
        </w:rPr>
        <w:t>一</w:t>
      </w:r>
      <w:r>
        <w:rPr>
          <w:rStyle w:val="14"/>
          <w:rFonts w:hint="eastAsia" w:asciiTheme="minorEastAsia" w:hAnsiTheme="minorEastAsia" w:eastAsiaTheme="minorEastAsia" w:cstheme="minorEastAsia"/>
          <w:color w:val="auto"/>
          <w:sz w:val="28"/>
          <w:szCs w:val="28"/>
          <w:shd w:val="clear" w:color="auto" w:fill="FFFFFF"/>
        </w:rPr>
        <w:t>副，且须加盖公章后密封提供。</w:t>
      </w:r>
    </w:p>
    <w:p w14:paraId="3891AAFE">
      <w:pPr>
        <w:pStyle w:val="11"/>
        <w:widowControl/>
        <w:shd w:val="clear" w:color="auto" w:fill="FFFFFF"/>
        <w:spacing w:before="0" w:beforeAutospacing="0" w:after="0" w:afterAutospacing="0"/>
        <w:ind w:firstLine="480"/>
        <w:rPr>
          <w:rFonts w:hint="eastAsia" w:asciiTheme="minorEastAsia" w:hAnsiTheme="minorEastAsia" w:eastAsiaTheme="minorEastAsia" w:cstheme="minorEastAsia"/>
          <w:color w:val="auto"/>
          <w:sz w:val="28"/>
          <w:szCs w:val="28"/>
        </w:rPr>
      </w:pPr>
      <w:r>
        <w:rPr>
          <w:rStyle w:val="14"/>
          <w:rFonts w:hint="eastAsia" w:asciiTheme="minorEastAsia" w:hAnsiTheme="minorEastAsia" w:eastAsiaTheme="minorEastAsia" w:cstheme="minorEastAsia"/>
          <w:color w:val="auto"/>
          <w:sz w:val="28"/>
          <w:szCs w:val="28"/>
          <w:shd w:val="clear" w:color="auto" w:fill="FFFFFF"/>
        </w:rPr>
        <w:t>五、中标方式</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shd w:val="clear" w:color="auto" w:fill="FFFFFF"/>
        </w:rPr>
        <w:t>根据投标人的投标材料，在满足采购需求的基础上，采取综合评分法进行评标</w:t>
      </w:r>
      <w:r>
        <w:rPr>
          <w:rFonts w:hint="eastAsia" w:asciiTheme="minorEastAsia" w:hAnsiTheme="minorEastAsia" w:cstheme="minorEastAsia"/>
          <w:color w:val="auto"/>
          <w:sz w:val="28"/>
          <w:szCs w:val="28"/>
          <w:shd w:val="clear" w:color="auto" w:fill="FFFFFF"/>
          <w:lang w:val="en-US" w:eastAsia="zh-CN"/>
        </w:rPr>
        <w:t>并</w:t>
      </w:r>
      <w:r>
        <w:rPr>
          <w:rFonts w:hint="eastAsia" w:asciiTheme="minorEastAsia" w:hAnsiTheme="minorEastAsia" w:eastAsiaTheme="minorEastAsia" w:cstheme="minorEastAsia"/>
          <w:color w:val="auto"/>
          <w:sz w:val="28"/>
          <w:szCs w:val="28"/>
          <w:shd w:val="clear" w:color="auto" w:fill="FFFFFF"/>
        </w:rPr>
        <w:t>确定中标单位。</w:t>
      </w:r>
    </w:p>
    <w:p w14:paraId="05CA4CEC">
      <w:pPr>
        <w:pStyle w:val="11"/>
        <w:widowControl/>
        <w:shd w:val="clear" w:color="auto" w:fill="FFFFFF"/>
        <w:spacing w:before="0" w:beforeAutospacing="0" w:after="0" w:afterAutospacing="0"/>
        <w:ind w:firstLine="480"/>
        <w:rPr>
          <w:rFonts w:hint="eastAsia" w:asciiTheme="minorEastAsia" w:hAnsiTheme="minorEastAsia" w:eastAsiaTheme="minorEastAsia" w:cstheme="minorEastAsia"/>
          <w:color w:val="auto"/>
          <w:sz w:val="28"/>
          <w:szCs w:val="28"/>
        </w:rPr>
      </w:pPr>
      <w:r>
        <w:rPr>
          <w:rStyle w:val="14"/>
          <w:rFonts w:hint="eastAsia" w:asciiTheme="minorEastAsia" w:hAnsiTheme="minorEastAsia" w:eastAsiaTheme="minorEastAsia" w:cstheme="minorEastAsia"/>
          <w:color w:val="auto"/>
          <w:sz w:val="28"/>
          <w:szCs w:val="28"/>
          <w:shd w:val="clear" w:color="auto" w:fill="FFFFFF"/>
        </w:rPr>
        <w:t>六、投标截止时间和地点</w:t>
      </w:r>
    </w:p>
    <w:p w14:paraId="2CEBDC80">
      <w:pPr>
        <w:pStyle w:val="11"/>
        <w:widowControl/>
        <w:shd w:val="clear" w:color="auto" w:fill="FFFFFF"/>
        <w:spacing w:before="0" w:beforeAutospacing="0" w:after="0" w:afterAutospacing="0"/>
        <w:ind w:firstLine="48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shd w:val="clear" w:color="auto" w:fill="FFFFFF"/>
        </w:rPr>
        <w:t>投标时间：凡愿意且符合条件投标人，请于202</w:t>
      </w:r>
      <w:r>
        <w:rPr>
          <w:rFonts w:hint="eastAsia" w:asciiTheme="minorEastAsia" w:hAnsiTheme="minorEastAsia" w:eastAsiaTheme="minorEastAsia" w:cstheme="minorEastAsia"/>
          <w:color w:val="auto"/>
          <w:sz w:val="28"/>
          <w:szCs w:val="28"/>
          <w:shd w:val="clear" w:color="auto" w:fill="FFFFFF"/>
          <w:lang w:val="en-US" w:eastAsia="zh-CN"/>
        </w:rPr>
        <w:t>5</w:t>
      </w:r>
      <w:r>
        <w:rPr>
          <w:rFonts w:hint="eastAsia" w:asciiTheme="minorEastAsia" w:hAnsiTheme="minorEastAsia" w:eastAsiaTheme="minorEastAsia" w:cstheme="minorEastAsia"/>
          <w:color w:val="auto"/>
          <w:sz w:val="28"/>
          <w:szCs w:val="28"/>
          <w:highlight w:val="none"/>
          <w:shd w:val="clear" w:color="auto" w:fill="FFFFFF"/>
        </w:rPr>
        <w:t>年</w:t>
      </w:r>
      <w:r>
        <w:rPr>
          <w:rFonts w:hint="eastAsia" w:asciiTheme="minorEastAsia" w:hAnsiTheme="minorEastAsia" w:eastAsiaTheme="minorEastAsia" w:cstheme="minorEastAsia"/>
          <w:color w:val="auto"/>
          <w:sz w:val="28"/>
          <w:szCs w:val="28"/>
          <w:highlight w:val="none"/>
          <w:shd w:val="clear" w:color="auto" w:fill="FFFFFF"/>
          <w:lang w:val="en-US" w:eastAsia="zh-CN"/>
        </w:rPr>
        <w:t>1</w:t>
      </w:r>
      <w:r>
        <w:rPr>
          <w:rFonts w:hint="eastAsia" w:asciiTheme="minorEastAsia" w:hAnsiTheme="minorEastAsia" w:cstheme="minorEastAsia"/>
          <w:color w:val="auto"/>
          <w:sz w:val="28"/>
          <w:szCs w:val="28"/>
          <w:highlight w:val="none"/>
          <w:shd w:val="clear" w:color="auto" w:fill="FFFFFF"/>
          <w:lang w:val="en-US" w:eastAsia="zh-CN"/>
        </w:rPr>
        <w:t>1</w:t>
      </w:r>
      <w:r>
        <w:rPr>
          <w:rFonts w:hint="eastAsia" w:asciiTheme="minorEastAsia" w:hAnsiTheme="minorEastAsia" w:eastAsiaTheme="minorEastAsia" w:cstheme="minorEastAsia"/>
          <w:color w:val="auto"/>
          <w:sz w:val="28"/>
          <w:szCs w:val="28"/>
          <w:highlight w:val="none"/>
          <w:shd w:val="clear" w:color="auto" w:fill="FFFFFF"/>
        </w:rPr>
        <w:t>月</w:t>
      </w:r>
      <w:r>
        <w:rPr>
          <w:rFonts w:hint="eastAsia" w:asciiTheme="minorEastAsia" w:hAnsiTheme="minorEastAsia" w:cstheme="minorEastAsia"/>
          <w:color w:val="auto"/>
          <w:sz w:val="28"/>
          <w:szCs w:val="28"/>
          <w:highlight w:val="none"/>
          <w:shd w:val="clear" w:color="auto" w:fill="FFFFFF"/>
          <w:lang w:val="en-US" w:eastAsia="zh-CN"/>
        </w:rPr>
        <w:t>6</w:t>
      </w:r>
      <w:r>
        <w:rPr>
          <w:rFonts w:hint="eastAsia" w:asciiTheme="minorEastAsia" w:hAnsiTheme="minorEastAsia" w:eastAsiaTheme="minorEastAsia" w:cstheme="minorEastAsia"/>
          <w:color w:val="auto"/>
          <w:sz w:val="28"/>
          <w:szCs w:val="28"/>
          <w:highlight w:val="none"/>
          <w:shd w:val="clear" w:color="auto" w:fill="FFFFFF"/>
        </w:rPr>
        <w:t>日</w:t>
      </w:r>
      <w:r>
        <w:rPr>
          <w:rFonts w:hint="eastAsia" w:asciiTheme="minorEastAsia" w:hAnsiTheme="minorEastAsia" w:eastAsiaTheme="minorEastAsia" w:cstheme="minorEastAsia"/>
          <w:color w:val="auto"/>
          <w:sz w:val="28"/>
          <w:szCs w:val="28"/>
          <w:shd w:val="clear" w:color="auto" w:fill="FFFFFF"/>
          <w:lang w:val="en-US" w:eastAsia="zh-CN"/>
        </w:rPr>
        <w:t>上午9</w:t>
      </w:r>
      <w:r>
        <w:rPr>
          <w:rFonts w:hint="eastAsia" w:asciiTheme="minorEastAsia" w:hAnsiTheme="minorEastAsia" w:eastAsiaTheme="minorEastAsia" w:cstheme="minorEastAsia"/>
          <w:color w:val="auto"/>
          <w:sz w:val="28"/>
          <w:szCs w:val="28"/>
          <w:shd w:val="clear" w:color="auto" w:fill="FFFFFF"/>
        </w:rPr>
        <w:t>点至1</w:t>
      </w:r>
      <w:r>
        <w:rPr>
          <w:rFonts w:hint="eastAsia" w:asciiTheme="minorEastAsia" w:hAnsiTheme="minorEastAsia" w:eastAsiaTheme="minorEastAsia" w:cstheme="minorEastAsia"/>
          <w:color w:val="auto"/>
          <w:sz w:val="28"/>
          <w:szCs w:val="28"/>
          <w:shd w:val="clear" w:color="auto" w:fill="FFFFFF"/>
          <w:lang w:val="en-US" w:eastAsia="zh-CN"/>
        </w:rPr>
        <w:t>1</w:t>
      </w:r>
      <w:r>
        <w:rPr>
          <w:rFonts w:hint="eastAsia" w:asciiTheme="minorEastAsia" w:hAnsiTheme="minorEastAsia" w:eastAsiaTheme="minorEastAsia" w:cstheme="minorEastAsia"/>
          <w:color w:val="auto"/>
          <w:sz w:val="28"/>
          <w:szCs w:val="28"/>
          <w:shd w:val="clear" w:color="auto" w:fill="FFFFFF"/>
        </w:rPr>
        <w:t>点之间，将投标文件送达广西艺术学院财务资产处，其他时间不接收报名材料。投标地点：南宁市教育路7号广西艺术学院雕塑办公楼107室财务资产处采购管理科。联系人：李老师</w:t>
      </w:r>
      <w:r>
        <w:rPr>
          <w:rFonts w:hint="eastAsia" w:asciiTheme="minorEastAsia" w:hAnsiTheme="minorEastAsia" w:eastAsiaTheme="minorEastAsia" w:cstheme="minorEastAsia"/>
          <w:color w:val="auto"/>
          <w:sz w:val="28"/>
          <w:szCs w:val="28"/>
          <w:shd w:val="clear" w:color="auto" w:fill="FFFFFF"/>
          <w:lang w:eastAsia="zh-CN"/>
        </w:rPr>
        <w:t>，</w:t>
      </w:r>
      <w:r>
        <w:rPr>
          <w:rFonts w:hint="eastAsia" w:asciiTheme="minorEastAsia" w:hAnsiTheme="minorEastAsia" w:eastAsiaTheme="minorEastAsia" w:cstheme="minorEastAsia"/>
          <w:color w:val="auto"/>
          <w:sz w:val="28"/>
          <w:szCs w:val="28"/>
          <w:shd w:val="clear" w:color="auto" w:fill="FFFFFF"/>
          <w:lang w:val="en-US" w:eastAsia="zh-CN"/>
        </w:rPr>
        <w:t>朱老师，高老师</w:t>
      </w:r>
      <w:r>
        <w:rPr>
          <w:rFonts w:hint="eastAsia" w:asciiTheme="minorEastAsia" w:hAnsiTheme="minorEastAsia" w:eastAsiaTheme="minorEastAsia" w:cstheme="minorEastAsia"/>
          <w:color w:val="auto"/>
          <w:sz w:val="28"/>
          <w:szCs w:val="28"/>
          <w:shd w:val="clear" w:color="auto" w:fill="FFFFFF"/>
        </w:rPr>
        <w:t>，联系电话：07715327987.</w:t>
      </w:r>
    </w:p>
    <w:p w14:paraId="1D35ADC4">
      <w:pPr>
        <w:pStyle w:val="11"/>
        <w:widowControl/>
        <w:numPr>
          <w:ilvl w:val="0"/>
          <w:numId w:val="3"/>
        </w:numPr>
        <w:shd w:val="clear" w:color="auto" w:fill="FFFFFF"/>
        <w:spacing w:before="0" w:beforeAutospacing="0" w:after="0" w:afterAutospacing="0"/>
        <w:ind w:firstLine="480"/>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本次采购的相关信息（包括但不限于采购公告与附件及其修改、补充、澄清等，下同）在广西艺术学院主页的“机构设置-财务资产处-招标公告”栏（网址：https://cwc.gxau.edu.cn/zbgg2）上发布，本次采购的相关信息一经在上述网站发布，即视为已发送给投标人。投标人据此参与本次采购活动，即视为对本次采购的相关信息、内容及规则没有异议。</w:t>
      </w:r>
    </w:p>
    <w:p w14:paraId="1B0728A5">
      <w:pPr>
        <w:pStyle w:val="11"/>
        <w:widowControl/>
        <w:numPr>
          <w:ilvl w:val="0"/>
          <w:numId w:val="0"/>
        </w:numPr>
        <w:shd w:val="clear" w:color="auto" w:fill="FFFFFF"/>
        <w:spacing w:before="0" w:beforeAutospacing="0" w:after="0" w:afterAutospacing="0"/>
        <w:ind w:right="0" w:rightChars="0"/>
        <w:jc w:val="left"/>
        <w:rPr>
          <w:rFonts w:hint="eastAsia" w:asciiTheme="minorEastAsia" w:hAnsiTheme="minorEastAsia" w:eastAsiaTheme="minorEastAsia" w:cstheme="minorEastAsia"/>
          <w:szCs w:val="21"/>
          <w:lang w:val="en-US" w:eastAsia="zh-CN"/>
        </w:rPr>
      </w:pPr>
    </w:p>
    <w:p w14:paraId="23AEB379">
      <w:pPr>
        <w:pStyle w:val="11"/>
        <w:widowControl/>
        <w:numPr>
          <w:ilvl w:val="0"/>
          <w:numId w:val="0"/>
        </w:numPr>
        <w:shd w:val="clear" w:color="auto" w:fill="FFFFFF"/>
        <w:spacing w:before="0" w:beforeAutospacing="0" w:after="0" w:afterAutospacing="0"/>
        <w:ind w:right="0" w:rightChars="0"/>
        <w:jc w:val="left"/>
        <w:rPr>
          <w:rFonts w:hint="eastAsia" w:asciiTheme="minorEastAsia" w:hAnsiTheme="minorEastAsia" w:eastAsiaTheme="minorEastAsia" w:cstheme="minorEastAsia"/>
          <w:szCs w:val="21"/>
          <w:lang w:val="en-US" w:eastAsia="zh-CN"/>
        </w:rPr>
      </w:pPr>
    </w:p>
    <w:p w14:paraId="4230F6EB">
      <w:pPr>
        <w:pStyle w:val="11"/>
        <w:widowControl/>
        <w:numPr>
          <w:ilvl w:val="0"/>
          <w:numId w:val="0"/>
        </w:numPr>
        <w:shd w:val="clear" w:color="auto" w:fill="FFFFFF"/>
        <w:spacing w:before="0" w:beforeAutospacing="0" w:after="0" w:afterAutospacing="0"/>
        <w:ind w:right="0" w:rightChars="0"/>
        <w:jc w:val="left"/>
        <w:rPr>
          <w:rFonts w:hint="eastAsia" w:asciiTheme="minorEastAsia" w:hAnsiTheme="minorEastAsia" w:eastAsiaTheme="minorEastAsia" w:cstheme="minorEastAsia"/>
          <w:szCs w:val="21"/>
          <w:lang w:val="en-US" w:eastAsia="zh-CN"/>
        </w:rPr>
      </w:pPr>
    </w:p>
    <w:p w14:paraId="71E733D4">
      <w:pPr>
        <w:pStyle w:val="11"/>
        <w:widowControl/>
        <w:numPr>
          <w:ilvl w:val="0"/>
          <w:numId w:val="0"/>
        </w:numPr>
        <w:shd w:val="clear" w:color="auto" w:fill="FFFFFF"/>
        <w:spacing w:before="0" w:beforeAutospacing="0" w:after="0" w:afterAutospacing="0"/>
        <w:ind w:right="0" w:rightChars="0"/>
        <w:jc w:val="left"/>
        <w:rPr>
          <w:rFonts w:hint="eastAsia" w:asciiTheme="minorEastAsia" w:hAnsiTheme="minorEastAsia" w:eastAsiaTheme="minorEastAsia" w:cstheme="minorEastAsia"/>
          <w:szCs w:val="21"/>
          <w:lang w:val="en-US" w:eastAsia="zh-CN"/>
        </w:rPr>
      </w:pPr>
    </w:p>
    <w:p w14:paraId="1ECCF62E">
      <w:pPr>
        <w:pStyle w:val="11"/>
        <w:widowControl/>
        <w:numPr>
          <w:ilvl w:val="0"/>
          <w:numId w:val="0"/>
        </w:numPr>
        <w:shd w:val="clear" w:color="auto" w:fill="FFFFFF"/>
        <w:spacing w:before="0" w:beforeAutospacing="0" w:after="0" w:afterAutospacing="0"/>
        <w:ind w:right="0" w:rightChars="0"/>
        <w:jc w:val="left"/>
        <w:rPr>
          <w:rFonts w:hint="eastAsia" w:asciiTheme="minorEastAsia" w:hAnsiTheme="minorEastAsia" w:eastAsiaTheme="minorEastAsia" w:cstheme="minorEastAsia"/>
          <w:szCs w:val="21"/>
          <w:lang w:val="en-US" w:eastAsia="zh-CN"/>
        </w:rPr>
      </w:pPr>
    </w:p>
    <w:p w14:paraId="5E2567B6">
      <w:pPr>
        <w:pStyle w:val="11"/>
        <w:widowControl/>
        <w:numPr>
          <w:ilvl w:val="0"/>
          <w:numId w:val="0"/>
        </w:numPr>
        <w:shd w:val="clear" w:color="auto" w:fill="FFFFFF"/>
        <w:spacing w:before="0" w:beforeAutospacing="0" w:after="0" w:afterAutospacing="0"/>
        <w:ind w:right="0" w:rightChars="0"/>
        <w:jc w:val="left"/>
        <w:rPr>
          <w:rFonts w:hint="eastAsia" w:asciiTheme="minorEastAsia" w:hAnsiTheme="minorEastAsia" w:eastAsiaTheme="minorEastAsia" w:cstheme="minorEastAsia"/>
          <w:szCs w:val="21"/>
          <w:lang w:val="en-US" w:eastAsia="zh-CN"/>
        </w:rPr>
      </w:pPr>
    </w:p>
    <w:p w14:paraId="7FF0477A">
      <w:pPr>
        <w:pStyle w:val="11"/>
        <w:widowControl/>
        <w:numPr>
          <w:ilvl w:val="0"/>
          <w:numId w:val="0"/>
        </w:numPr>
        <w:shd w:val="clear" w:color="auto" w:fill="FFFFFF"/>
        <w:spacing w:before="0" w:beforeAutospacing="0" w:after="0" w:afterAutospacing="0"/>
        <w:ind w:right="0" w:rightChars="0"/>
        <w:jc w:val="left"/>
        <w:rPr>
          <w:rFonts w:hint="eastAsia" w:asciiTheme="minorEastAsia" w:hAnsiTheme="minorEastAsia" w:eastAsiaTheme="minorEastAsia" w:cstheme="minorEastAsia"/>
          <w:szCs w:val="21"/>
          <w:lang w:val="en-US" w:eastAsia="zh-CN"/>
        </w:rPr>
      </w:pPr>
    </w:p>
    <w:p w14:paraId="2B7F4D91">
      <w:pPr>
        <w:pStyle w:val="11"/>
        <w:widowControl/>
        <w:numPr>
          <w:ilvl w:val="0"/>
          <w:numId w:val="0"/>
        </w:numPr>
        <w:shd w:val="clear" w:color="auto" w:fill="FFFFFF"/>
        <w:spacing w:before="0" w:beforeAutospacing="0" w:after="0" w:afterAutospacing="0"/>
        <w:ind w:right="0" w:rightChars="0"/>
        <w:jc w:val="left"/>
        <w:rPr>
          <w:rFonts w:hint="eastAsia" w:asciiTheme="minorEastAsia" w:hAnsiTheme="minorEastAsia" w:eastAsiaTheme="minorEastAsia" w:cstheme="minorEastAsia"/>
          <w:szCs w:val="21"/>
          <w:lang w:val="en-US" w:eastAsia="zh-CN"/>
        </w:rPr>
      </w:pPr>
    </w:p>
    <w:p w14:paraId="01E5FF73">
      <w:pPr>
        <w:pStyle w:val="11"/>
        <w:widowControl/>
        <w:numPr>
          <w:ilvl w:val="0"/>
          <w:numId w:val="0"/>
        </w:numPr>
        <w:shd w:val="clear" w:color="auto" w:fill="FFFFFF"/>
        <w:spacing w:before="0" w:beforeAutospacing="0" w:after="0" w:afterAutospacing="0"/>
        <w:ind w:right="0" w:rightChars="0"/>
        <w:jc w:val="left"/>
        <w:rPr>
          <w:rFonts w:hint="eastAsia" w:asciiTheme="minorEastAsia" w:hAnsiTheme="minorEastAsia" w:eastAsiaTheme="minorEastAsia" w:cstheme="minorEastAsia"/>
          <w:szCs w:val="21"/>
          <w:lang w:val="en-US" w:eastAsia="zh-CN"/>
        </w:rPr>
      </w:pPr>
    </w:p>
    <w:p w14:paraId="31010EEC">
      <w:pPr>
        <w:pStyle w:val="11"/>
        <w:widowControl/>
        <w:numPr>
          <w:ilvl w:val="0"/>
          <w:numId w:val="0"/>
        </w:numPr>
        <w:shd w:val="clear" w:color="auto" w:fill="FFFFFF"/>
        <w:spacing w:before="0" w:beforeAutospacing="0" w:after="0" w:afterAutospacing="0"/>
        <w:ind w:right="0" w:rightChars="0"/>
        <w:jc w:val="left"/>
        <w:rPr>
          <w:rFonts w:hint="eastAsia" w:asciiTheme="minorEastAsia" w:hAnsiTheme="minorEastAsia" w:eastAsiaTheme="minorEastAsia" w:cstheme="minorEastAsia"/>
          <w:szCs w:val="21"/>
          <w:lang w:val="en-US" w:eastAsia="zh-CN"/>
        </w:rPr>
      </w:pPr>
    </w:p>
    <w:p w14:paraId="47841D07">
      <w:pPr>
        <w:pStyle w:val="11"/>
        <w:widowControl/>
        <w:numPr>
          <w:ilvl w:val="0"/>
          <w:numId w:val="0"/>
        </w:numPr>
        <w:shd w:val="clear" w:color="auto" w:fill="FFFFFF"/>
        <w:spacing w:before="0" w:beforeAutospacing="0" w:after="0" w:afterAutospacing="0"/>
        <w:ind w:right="0" w:rightChars="0"/>
        <w:jc w:val="left"/>
        <w:rPr>
          <w:rFonts w:hint="eastAsia" w:asciiTheme="minorEastAsia" w:hAnsiTheme="minorEastAsia" w:eastAsiaTheme="minorEastAsia" w:cstheme="minorEastAsia"/>
          <w:szCs w:val="21"/>
          <w:lang w:val="en-US" w:eastAsia="zh-CN"/>
        </w:rPr>
      </w:pPr>
    </w:p>
    <w:p w14:paraId="54FEBBB7">
      <w:pPr>
        <w:pStyle w:val="11"/>
        <w:widowControl/>
        <w:numPr>
          <w:ilvl w:val="0"/>
          <w:numId w:val="0"/>
        </w:numPr>
        <w:shd w:val="clear" w:color="auto" w:fill="FFFFFF"/>
        <w:spacing w:before="0" w:beforeAutospacing="0" w:after="0" w:afterAutospacing="0"/>
        <w:ind w:right="0" w:rightChars="0"/>
        <w:jc w:val="left"/>
        <w:rPr>
          <w:rFonts w:hint="eastAsia" w:asciiTheme="minorEastAsia" w:hAnsiTheme="minorEastAsia" w:eastAsiaTheme="minorEastAsia" w:cstheme="minorEastAsia"/>
          <w:szCs w:val="21"/>
          <w:lang w:val="en-US" w:eastAsia="zh-CN"/>
        </w:rPr>
      </w:pPr>
    </w:p>
    <w:p w14:paraId="6A64B4F4">
      <w:pPr>
        <w:pStyle w:val="11"/>
        <w:widowControl/>
        <w:numPr>
          <w:ilvl w:val="0"/>
          <w:numId w:val="1"/>
        </w:numPr>
        <w:shd w:val="clear" w:color="auto" w:fill="FFFFFF"/>
        <w:spacing w:before="0" w:beforeAutospacing="0" w:after="0" w:afterAutospacing="0"/>
        <w:jc w:val="center"/>
        <w:rPr>
          <w:rFonts w:hint="eastAsia" w:asciiTheme="minorEastAsia" w:hAnsiTheme="minorEastAsia" w:eastAsiaTheme="minorEastAsia" w:cstheme="minorEastAsia"/>
          <w:b/>
          <w:bCs/>
          <w:color w:val="auto"/>
          <w:sz w:val="36"/>
          <w:szCs w:val="36"/>
          <w:shd w:val="clear" w:color="auto" w:fill="FFFFFF"/>
          <w:lang w:val="en-US" w:eastAsia="zh-CN"/>
        </w:rPr>
      </w:pPr>
      <w:r>
        <w:rPr>
          <w:rFonts w:hint="eastAsia" w:asciiTheme="minorEastAsia" w:hAnsiTheme="minorEastAsia" w:eastAsiaTheme="minorEastAsia" w:cstheme="minorEastAsia"/>
          <w:b/>
          <w:bCs/>
          <w:color w:val="auto"/>
          <w:sz w:val="36"/>
          <w:szCs w:val="36"/>
          <w:shd w:val="clear" w:color="auto" w:fill="FFFFFF"/>
          <w:lang w:val="en-US" w:eastAsia="zh-CN"/>
        </w:rPr>
        <w:t xml:space="preserve"> 采购需求</w:t>
      </w:r>
    </w:p>
    <w:p w14:paraId="5C4540C5">
      <w:pPr>
        <w:jc w:val="center"/>
        <w:rPr>
          <w:rFonts w:hint="eastAsia" w:asciiTheme="minorEastAsia" w:hAnsiTheme="minorEastAsia" w:eastAsiaTheme="minorEastAsia" w:cstheme="minorEastAsia"/>
          <w:b/>
          <w:bCs/>
          <w:sz w:val="32"/>
          <w:szCs w:val="32"/>
        </w:rPr>
      </w:pPr>
    </w:p>
    <w:p w14:paraId="79B153DC">
      <w:pPr>
        <w:jc w:val="left"/>
        <w:rPr>
          <w:rFonts w:hint="eastAsia" w:asciiTheme="minorEastAsia" w:hAnsiTheme="minorEastAsia" w:eastAsiaTheme="minorEastAsia" w:cstheme="minorEastAsia"/>
          <w:i w:val="0"/>
          <w:iCs w:val="0"/>
          <w:caps w:val="0"/>
          <w:color w:val="auto"/>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fill="FFFFFF"/>
          <w:lang w:val="en-US" w:eastAsia="zh-CN" w:bidi="ar"/>
        </w:rPr>
        <w:t>说明：</w:t>
      </w:r>
    </w:p>
    <w:p w14:paraId="474C3527">
      <w:pPr>
        <w:ind w:firstLine="560" w:firstLineChars="200"/>
        <w:jc w:val="left"/>
        <w:rPr>
          <w:rFonts w:hint="eastAsia" w:asciiTheme="minorEastAsia" w:hAnsiTheme="minorEastAsia" w:eastAsiaTheme="minorEastAsia" w:cstheme="minorEastAsia"/>
          <w:i w:val="0"/>
          <w:iCs w:val="0"/>
          <w:caps w:val="0"/>
          <w:color w:val="auto"/>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fill="FFFFFF"/>
          <w:lang w:val="en-US" w:eastAsia="zh-CN" w:bidi="ar"/>
        </w:rPr>
        <w:t>1、“实质性要求”是指招标文件中已经指明不满足则投标无效的条款，或者不能负偏离的条款，或者采购需求中带“▲”的条款，如有不满足或负偏离则投标无效。标注“★”条款为重要技术参数</w:t>
      </w:r>
      <w:r>
        <w:rPr>
          <w:rFonts w:hint="eastAsia" w:asciiTheme="minorEastAsia" w:hAnsiTheme="minorEastAsia" w:cstheme="minorEastAsia"/>
          <w:i w:val="0"/>
          <w:iCs w:val="0"/>
          <w:caps w:val="0"/>
          <w:color w:val="auto"/>
          <w:spacing w:val="0"/>
          <w:kern w:val="0"/>
          <w:sz w:val="28"/>
          <w:szCs w:val="28"/>
          <w:shd w:val="clear" w:fill="FFFFFF"/>
          <w:lang w:val="en-US" w:eastAsia="zh-CN" w:bidi="ar"/>
        </w:rPr>
        <w:t>。</w:t>
      </w:r>
    </w:p>
    <w:p w14:paraId="7F81B143">
      <w:pPr>
        <w:ind w:firstLine="560" w:firstLineChars="200"/>
        <w:jc w:val="left"/>
        <w:rPr>
          <w:rFonts w:hint="eastAsia" w:asciiTheme="minorEastAsia" w:hAnsiTheme="minorEastAsia" w:eastAsiaTheme="minorEastAsia" w:cstheme="minorEastAsia"/>
          <w:i w:val="0"/>
          <w:iCs w:val="0"/>
          <w:caps w:val="0"/>
          <w:color w:val="auto"/>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fill="FFFFFF"/>
          <w:lang w:val="en-US" w:eastAsia="zh-CN" w:bidi="ar"/>
        </w:rPr>
        <w:t>2、采购需求中出现的品牌、型号或者生产厂家仅起参考作用，不属于指定品牌、型号或者生产厂家的情形。投标人可参照或者选用其他相当的品牌、型号或者生产厂家替代，但选用的投标产品技术参数及配置必须满足采购要求。</w:t>
      </w:r>
    </w:p>
    <w:p w14:paraId="46493061">
      <w:pPr>
        <w:ind w:firstLine="560" w:firstLineChars="200"/>
        <w:jc w:val="left"/>
        <w:rPr>
          <w:rFonts w:hint="eastAsia" w:asciiTheme="minorEastAsia" w:hAnsiTheme="minorEastAsia" w:eastAsiaTheme="minorEastAsia" w:cstheme="minorEastAsia"/>
          <w:i w:val="0"/>
          <w:iCs w:val="0"/>
          <w:caps w:val="0"/>
          <w:color w:val="auto"/>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fill="FFFFFF"/>
          <w:lang w:val="en-US" w:eastAsia="zh-CN" w:bidi="ar"/>
        </w:rPr>
        <w:t>3、投标人必须对投标文件中提供的证明材料和资质文件真实性负责，如出现虚假应标情况，投标人除了应接受有关部门的处罚外，还应依据《中华人民共和国民法典》的相关条款来进行赔偿。</w:t>
      </w:r>
    </w:p>
    <w:p w14:paraId="6EB5AFF7">
      <w:pPr>
        <w:ind w:firstLine="560" w:firstLineChars="200"/>
        <w:jc w:val="left"/>
        <w:rPr>
          <w:rFonts w:hint="default" w:asciiTheme="minorEastAsia" w:hAnsiTheme="minorEastAsia" w:eastAsiaTheme="minorEastAsia" w:cstheme="minorEastAsia"/>
          <w:i w:val="0"/>
          <w:iCs w:val="0"/>
          <w:caps w:val="0"/>
          <w:color w:val="auto"/>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fill="FFFFFF"/>
          <w:lang w:val="en-US" w:eastAsia="zh-CN" w:bidi="ar"/>
        </w:rPr>
        <w:t>4、投标人应对投标内容所涉及的专利承担法律责任，并负责保护采购人的利益不受任何损害。一切由于文字、商标、技术和软件专利授权引起的法律裁决、诉讼和赔偿费用均由中标人负</w:t>
      </w:r>
      <w:r>
        <w:rPr>
          <w:rFonts w:hint="eastAsia" w:asciiTheme="minorEastAsia" w:hAnsiTheme="minorEastAsia" w:cstheme="minorEastAsia"/>
          <w:i w:val="0"/>
          <w:iCs w:val="0"/>
          <w:caps w:val="0"/>
          <w:color w:val="auto"/>
          <w:spacing w:val="0"/>
          <w:kern w:val="0"/>
          <w:sz w:val="28"/>
          <w:szCs w:val="28"/>
          <w:shd w:val="clear" w:fill="FFFFFF"/>
          <w:lang w:val="en-US" w:eastAsia="zh-CN" w:bidi="ar"/>
        </w:rPr>
        <w:t>责。</w:t>
      </w:r>
    </w:p>
    <w:tbl>
      <w:tblPr>
        <w:tblStyle w:val="12"/>
        <w:tblW w:w="9230"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35"/>
        <w:gridCol w:w="2072"/>
        <w:gridCol w:w="4943"/>
        <w:gridCol w:w="729"/>
        <w:gridCol w:w="951"/>
      </w:tblGrid>
      <w:tr w14:paraId="5178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35" w:type="dxa"/>
            <w:shd w:val="clear" w:color="auto" w:fill="auto"/>
            <w:vAlign w:val="center"/>
          </w:tcPr>
          <w:p w14:paraId="62B05C0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2072" w:type="dxa"/>
            <w:shd w:val="clear" w:color="auto" w:fill="auto"/>
            <w:vAlign w:val="center"/>
          </w:tcPr>
          <w:p w14:paraId="0093B10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产品名称</w:t>
            </w:r>
          </w:p>
        </w:tc>
        <w:tc>
          <w:tcPr>
            <w:tcW w:w="4943" w:type="dxa"/>
            <w:shd w:val="clear" w:color="auto" w:fill="auto"/>
            <w:vAlign w:val="center"/>
          </w:tcPr>
          <w:p w14:paraId="55FFDCB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lang w:val="en-US"/>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技术参数及配置</w:t>
            </w:r>
          </w:p>
        </w:tc>
        <w:tc>
          <w:tcPr>
            <w:tcW w:w="729" w:type="dxa"/>
            <w:shd w:val="clear" w:color="auto" w:fill="auto"/>
            <w:vAlign w:val="center"/>
          </w:tcPr>
          <w:p w14:paraId="267EAD5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 xml:space="preserve">计量 </w:t>
            </w:r>
            <w:r>
              <w:rPr>
                <w:rFonts w:hint="eastAsia" w:asciiTheme="minorEastAsia" w:hAnsiTheme="minorEastAsia" w:eastAsiaTheme="minorEastAsia" w:cstheme="minorEastAsia"/>
                <w:b/>
                <w:bCs/>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000000"/>
                <w:kern w:val="0"/>
                <w:sz w:val="21"/>
                <w:szCs w:val="21"/>
                <w:u w:val="none"/>
                <w:lang w:val="en-US" w:eastAsia="zh-CN" w:bidi="ar"/>
              </w:rPr>
              <w:t>单位</w:t>
            </w:r>
          </w:p>
        </w:tc>
        <w:tc>
          <w:tcPr>
            <w:tcW w:w="951" w:type="dxa"/>
            <w:shd w:val="clear" w:color="auto" w:fill="auto"/>
            <w:vAlign w:val="center"/>
          </w:tcPr>
          <w:p w14:paraId="0A6B8DC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lang w:val="en-US" w:eastAsia="zh-CN"/>
              </w:rPr>
            </w:pPr>
            <w:r>
              <w:rPr>
                <w:rFonts w:hint="eastAsia" w:asciiTheme="minorEastAsia" w:hAnsiTheme="minorEastAsia" w:eastAsiaTheme="minorEastAsia" w:cstheme="minorEastAsia"/>
                <w:b/>
                <w:bCs/>
                <w:i w:val="0"/>
                <w:iCs w:val="0"/>
                <w:color w:val="000000"/>
                <w:sz w:val="21"/>
                <w:szCs w:val="21"/>
                <w:u w:val="none"/>
                <w:lang w:val="en-US" w:eastAsia="zh-CN"/>
              </w:rPr>
              <w:t>数量</w:t>
            </w:r>
          </w:p>
        </w:tc>
      </w:tr>
      <w:tr w14:paraId="3629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5" w:type="dxa"/>
            <w:shd w:val="clear" w:color="auto" w:fill="auto"/>
            <w:vAlign w:val="center"/>
          </w:tcPr>
          <w:p w14:paraId="3EAC994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072" w:type="dxa"/>
            <w:shd w:val="clear" w:color="auto" w:fill="auto"/>
            <w:vAlign w:val="center"/>
          </w:tcPr>
          <w:p w14:paraId="38DE541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32路录像机</w:t>
            </w:r>
          </w:p>
        </w:tc>
        <w:tc>
          <w:tcPr>
            <w:tcW w:w="4943" w:type="dxa"/>
            <w:shd w:val="clear" w:color="auto" w:fill="auto"/>
            <w:vAlign w:val="top"/>
          </w:tcPr>
          <w:p w14:paraId="1F5CC1A5">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32路录像机</w:t>
            </w:r>
          </w:p>
          <w:p w14:paraId="13246338">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1、1.5U机架式8盘位嵌入式网络硬盘录像机，采用短机箱设计，搭载高性能ATX电源</w:t>
            </w:r>
          </w:p>
          <w:p w14:paraId="43F8A669">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2、【硬件规格】存储接口：8个SATA接口，可满配8TB硬盘</w:t>
            </w:r>
          </w:p>
          <w:p w14:paraId="7CA89530">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3、视频接口：1×HDMI，1×VGA</w:t>
            </w:r>
          </w:p>
          <w:p w14:paraId="0053C27A">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4、网络接口：2×RJ45 10/100/1000Mbps自适应以太网口</w:t>
            </w:r>
          </w:p>
          <w:p w14:paraId="69E1ED20">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5、报警接口：16路报警输入，4路报警输出</w:t>
            </w:r>
          </w:p>
          <w:p w14:paraId="53BF7BAB">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6、串行接口：1路RS-232接口，1路半双工RS-485接口</w:t>
            </w:r>
          </w:p>
          <w:p w14:paraId="6F88A682">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7、USB接口：3×USB 2.0</w:t>
            </w:r>
          </w:p>
          <w:p w14:paraId="26F70C6E">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8、【产品性能】输入带宽：160Mbps</w:t>
            </w:r>
          </w:p>
          <w:p w14:paraId="63BE8F08">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9、输出带宽：80Mbps</w:t>
            </w:r>
          </w:p>
          <w:p w14:paraId="71CFC379">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fill="FFFFFF"/>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10、接入能力：32路H.264、H.265格式高清码流接入</w:t>
            </w:r>
          </w:p>
          <w:p w14:paraId="1AB50756">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fill="FFFFFF"/>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11、解码能力：最大支持8×1080P</w:t>
            </w:r>
          </w:p>
          <w:p w14:paraId="05462DBA">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auto"/>
                <w:spacing w:val="0"/>
                <w:kern w:val="0"/>
                <w:sz w:val="28"/>
                <w:szCs w:val="28"/>
                <w:shd w:val="clear" w:fill="FFFFFF"/>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12、显示能力：最大支持4K输出</w:t>
            </w:r>
          </w:p>
        </w:tc>
        <w:tc>
          <w:tcPr>
            <w:tcW w:w="729" w:type="dxa"/>
            <w:shd w:val="clear" w:color="auto" w:fill="auto"/>
            <w:vAlign w:val="center"/>
          </w:tcPr>
          <w:p w14:paraId="05BE28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51" w:type="dxa"/>
            <w:shd w:val="clear" w:color="auto" w:fill="auto"/>
            <w:vAlign w:val="center"/>
          </w:tcPr>
          <w:p w14:paraId="26BBDC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7BDE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35" w:type="dxa"/>
            <w:shd w:val="clear" w:color="auto" w:fill="auto"/>
            <w:vAlign w:val="center"/>
          </w:tcPr>
          <w:p w14:paraId="3767A28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2072" w:type="dxa"/>
            <w:shd w:val="clear" w:color="auto" w:fill="auto"/>
            <w:vAlign w:val="center"/>
          </w:tcPr>
          <w:p w14:paraId="215471D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16路录像机 </w:t>
            </w:r>
          </w:p>
        </w:tc>
        <w:tc>
          <w:tcPr>
            <w:tcW w:w="4943" w:type="dxa"/>
            <w:shd w:val="clear" w:color="auto" w:fill="auto"/>
            <w:vAlign w:val="top"/>
          </w:tcPr>
          <w:p w14:paraId="3E675EC1">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1、1盘位嵌入式网络硬盘录像机，采用短机箱设计，搭载高性能电源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2、【硬件规格】存储接口：1个SATA接口，可满配8TB硬盘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3、视频接口：1×HDMI，1×VGA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4、网络接口：2×RJ45 10/100/1000Mbps自适应以太网口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5、报警接口：4路报警输入，1路报警输出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6、USB接口：2×USB 2.0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7、【产品性能】输入带宽：160Mbps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8、输出带宽：80Mbps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9、接入能力：16路H.264、H.265格式高清码流接入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10、解码能力：最大支持8×1080P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11、显示能力：最大支持4K输出 </w:t>
            </w:r>
          </w:p>
        </w:tc>
        <w:tc>
          <w:tcPr>
            <w:tcW w:w="729" w:type="dxa"/>
            <w:shd w:val="clear" w:color="auto" w:fill="auto"/>
            <w:vAlign w:val="center"/>
          </w:tcPr>
          <w:p w14:paraId="2998BC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51" w:type="dxa"/>
            <w:shd w:val="clear" w:color="auto" w:fill="auto"/>
            <w:vAlign w:val="center"/>
          </w:tcPr>
          <w:p w14:paraId="7AF0EA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441A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35" w:type="dxa"/>
            <w:shd w:val="clear" w:color="auto" w:fill="auto"/>
            <w:vAlign w:val="center"/>
          </w:tcPr>
          <w:p w14:paraId="374F23A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2072" w:type="dxa"/>
            <w:shd w:val="clear" w:color="auto" w:fill="auto"/>
            <w:vAlign w:val="center"/>
          </w:tcPr>
          <w:p w14:paraId="6B33702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4路录像机</w:t>
            </w:r>
          </w:p>
        </w:tc>
        <w:tc>
          <w:tcPr>
            <w:tcW w:w="4943" w:type="dxa"/>
            <w:shd w:val="clear" w:color="auto" w:fill="auto"/>
            <w:vAlign w:val="top"/>
          </w:tcPr>
          <w:p w14:paraId="435A5AFD">
            <w:pPr>
              <w:keepNext w:val="0"/>
              <w:keepLines w:val="0"/>
              <w:widowControl/>
              <w:numPr>
                <w:ilvl w:val="-1"/>
                <w:numId w:val="0"/>
              </w:numPr>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1、1盘位嵌入式网络硬盘录像机，采用短机箱设计，搭载高性能电源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2、【硬件规格】存储接口：1个SATA接口，可满配8TB硬盘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3、视频接口：1×HDMI，1×VGA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4、网络接口：2×RJ45 10/100Mbps自适应以太网口</w:t>
            </w:r>
          </w:p>
          <w:p w14:paraId="7E4E78F6">
            <w:pPr>
              <w:keepNext w:val="0"/>
              <w:keepLines w:val="0"/>
              <w:widowControl/>
              <w:numPr>
                <w:ilvl w:val="0"/>
                <w:numId w:val="4"/>
              </w:numPr>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报警接口：4路报警输入，1路报警输出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6、USB接口：2×USB 2.0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7、【产品性能】输入带宽：40Mbps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8、输出带宽：80Mbps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9、接入能力：4路H.264、H.265格式高清码流接入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10、解码能力：最大支持6×1080P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11、显示能力：最大支持4K输出 </w:t>
            </w:r>
          </w:p>
        </w:tc>
        <w:tc>
          <w:tcPr>
            <w:tcW w:w="729" w:type="dxa"/>
            <w:shd w:val="clear" w:color="auto" w:fill="auto"/>
            <w:vAlign w:val="center"/>
          </w:tcPr>
          <w:p w14:paraId="042F58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51" w:type="dxa"/>
            <w:shd w:val="clear" w:color="auto" w:fill="auto"/>
            <w:vAlign w:val="center"/>
          </w:tcPr>
          <w:p w14:paraId="0494BE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2636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35" w:type="dxa"/>
            <w:shd w:val="clear" w:color="auto" w:fill="auto"/>
            <w:vAlign w:val="center"/>
          </w:tcPr>
          <w:p w14:paraId="622BF53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2072" w:type="dxa"/>
            <w:shd w:val="clear" w:color="auto" w:fill="auto"/>
            <w:vAlign w:val="center"/>
          </w:tcPr>
          <w:p w14:paraId="4D1E5E5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50寸钢化玻璃防暴高清监视器 </w:t>
            </w:r>
          </w:p>
        </w:tc>
        <w:tc>
          <w:tcPr>
            <w:tcW w:w="4943" w:type="dxa"/>
            <w:shd w:val="clear" w:color="auto" w:fill="auto"/>
            <w:vAlign w:val="top"/>
          </w:tcPr>
          <w:p w14:paraId="592A1AFA">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fill="FFFFFF"/>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1、50寸钢化玻璃防暴高清监视器，自带拼接功能，专业拼接4K主板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aps w:val="0"/>
                <w:color w:val="auto"/>
                <w:spacing w:val="0"/>
                <w:kern w:val="0"/>
                <w:sz w:val="28"/>
                <w:szCs w:val="28"/>
                <w:shd w:val="clear" w:fill="FFFFFF"/>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 接入分辨率：3840×2160（4K），2560×1440（2K），1920×1080及以下；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 屏幕比例：16:9；可视面积：</w:t>
            </w:r>
            <w:r>
              <w:rPr>
                <w:rFonts w:hint="eastAsia" w:asciiTheme="minorEastAsia" w:hAnsiTheme="minorEastAsia" w:cstheme="minorEastAsia"/>
                <w:i w:val="0"/>
                <w:iCs w:val="0"/>
                <w:color w:val="000000"/>
                <w:kern w:val="0"/>
                <w:sz w:val="21"/>
                <w:szCs w:val="21"/>
                <w:u w:val="none"/>
                <w:lang w:val="en-US" w:eastAsia="zh-CN" w:bidi="ar"/>
              </w:rPr>
              <w:t>约</w:t>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1095.84×616.41mm；亮度：400cd/m²；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 对比度：3000:1；可视角：全视角；响应时间：5ms；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 屏接口：V-by-one，最佳分辨率：3840×2160；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 接口：2*HDMI、1*VGA、1*DVI、1*USB、1*AV in；标配：喇叭、HDMI线、遥控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 单包尺寸：</w:t>
            </w:r>
            <w:r>
              <w:rPr>
                <w:rFonts w:hint="eastAsia" w:asciiTheme="minorEastAsia" w:hAnsiTheme="minorEastAsia" w:cstheme="minorEastAsia"/>
                <w:i w:val="0"/>
                <w:iCs w:val="0"/>
                <w:color w:val="000000"/>
                <w:kern w:val="0"/>
                <w:sz w:val="21"/>
                <w:szCs w:val="21"/>
                <w:u w:val="none"/>
                <w:lang w:val="en-US" w:eastAsia="zh-CN" w:bidi="ar"/>
              </w:rPr>
              <w:t>约</w:t>
            </w:r>
            <w:r>
              <w:rPr>
                <w:rFonts w:hint="eastAsia" w:asciiTheme="minorEastAsia" w:hAnsiTheme="minorEastAsia" w:eastAsiaTheme="minorEastAsia" w:cstheme="minorEastAsia"/>
                <w:i w:val="0"/>
                <w:iCs w:val="0"/>
                <w:color w:val="000000"/>
                <w:kern w:val="0"/>
                <w:sz w:val="21"/>
                <w:szCs w:val="21"/>
                <w:u w:val="none"/>
                <w:lang w:val="en-US" w:eastAsia="zh-CN" w:bidi="ar"/>
              </w:rPr>
              <w:t>1162×140×690mm；外箱2台/箱：</w:t>
            </w:r>
            <w:r>
              <w:rPr>
                <w:rFonts w:hint="eastAsia" w:asciiTheme="minorEastAsia" w:hAnsiTheme="minorEastAsia" w:cstheme="minorEastAsia"/>
                <w:i w:val="0"/>
                <w:iCs w:val="0"/>
                <w:color w:val="000000"/>
                <w:kern w:val="0"/>
                <w:sz w:val="21"/>
                <w:szCs w:val="21"/>
                <w:u w:val="none"/>
                <w:lang w:val="en-US" w:eastAsia="zh-CN" w:bidi="ar"/>
              </w:rPr>
              <w:t>约</w:t>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1195×165×725mm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 标配八字形底座，支持壁挂和吊装（自行采购支架，孔距：200×100mm） </w:t>
            </w:r>
          </w:p>
        </w:tc>
        <w:tc>
          <w:tcPr>
            <w:tcW w:w="729" w:type="dxa"/>
            <w:shd w:val="clear" w:color="auto" w:fill="auto"/>
            <w:vAlign w:val="center"/>
          </w:tcPr>
          <w:p w14:paraId="057CEF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51" w:type="dxa"/>
            <w:shd w:val="clear" w:color="auto" w:fill="auto"/>
            <w:vAlign w:val="center"/>
          </w:tcPr>
          <w:p w14:paraId="290D3F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0683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35" w:type="dxa"/>
            <w:shd w:val="clear" w:color="auto" w:fill="auto"/>
            <w:vAlign w:val="center"/>
          </w:tcPr>
          <w:p w14:paraId="6C125064">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2072" w:type="dxa"/>
            <w:shd w:val="clear" w:color="auto" w:fill="auto"/>
            <w:vAlign w:val="center"/>
          </w:tcPr>
          <w:p w14:paraId="1F3709C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24寸监控</w:t>
            </w:r>
            <w:r>
              <w:rPr>
                <w:rFonts w:hint="eastAsia" w:asciiTheme="minorEastAsia" w:hAnsiTheme="minorEastAsia" w:cstheme="minorEastAsia"/>
                <w:i w:val="0"/>
                <w:iCs w:val="0"/>
                <w:color w:val="000000"/>
                <w:kern w:val="0"/>
                <w:sz w:val="21"/>
                <w:szCs w:val="21"/>
                <w:highlight w:val="none"/>
                <w:u w:val="none"/>
                <w:lang w:val="en-US" w:eastAsia="zh-CN" w:bidi="ar"/>
              </w:rPr>
              <w:t>屏</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 </w:t>
            </w:r>
          </w:p>
        </w:tc>
        <w:tc>
          <w:tcPr>
            <w:tcW w:w="4943" w:type="dxa"/>
            <w:shd w:val="clear" w:color="auto" w:fill="auto"/>
            <w:vAlign w:val="top"/>
          </w:tcPr>
          <w:p w14:paraId="49348568">
            <w:pPr>
              <w:keepNext w:val="0"/>
              <w:keepLines w:val="0"/>
              <w:widowControl/>
              <w:numPr>
                <w:ilvl w:val="0"/>
                <w:numId w:val="5"/>
              </w:numPr>
              <w:suppressLineNumbers w:val="0"/>
              <w:jc w:val="left"/>
              <w:textAlignment w:val="top"/>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接入分辨率：1920×1080； </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 屏幕比例：16:9；可视面积：</w:t>
            </w:r>
            <w:r>
              <w:rPr>
                <w:rFonts w:hint="eastAsia" w:asciiTheme="minorEastAsia" w:hAnsiTheme="minorEastAsia" w:cstheme="minorEastAsia"/>
                <w:i w:val="0"/>
                <w:iCs w:val="0"/>
                <w:color w:val="000000"/>
                <w:kern w:val="0"/>
                <w:sz w:val="21"/>
                <w:szCs w:val="21"/>
                <w:highlight w:val="none"/>
                <w:u w:val="none"/>
                <w:lang w:val="en-US" w:eastAsia="zh-CN" w:bidi="ar"/>
              </w:rPr>
              <w:t>约</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531.36×270.9mm；亮度：250cd/m²； </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3、 屏接口：LVDS，最佳分辨率：1920×1080； </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4、 对比度：3000:1；可视角：宽视角；响应时间：5ms； </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5、 接口：1*HDMI、1*VGA、1*USB、RCA*2；标配：喇叭、HDMI线、遥控 </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 单包尺寸：</w:t>
            </w:r>
            <w:r>
              <w:rPr>
                <w:rFonts w:hint="eastAsia" w:asciiTheme="minorEastAsia" w:hAnsiTheme="minorEastAsia" w:cstheme="minorEastAsia"/>
                <w:i w:val="0"/>
                <w:iCs w:val="0"/>
                <w:color w:val="000000"/>
                <w:kern w:val="0"/>
                <w:sz w:val="21"/>
                <w:szCs w:val="21"/>
                <w:highlight w:val="none"/>
                <w:u w:val="none"/>
                <w:lang w:val="en-US" w:eastAsia="zh-CN" w:bidi="ar"/>
              </w:rPr>
              <w:t>约</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606×125×405mm； </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7、 标配底座，支持壁挂和吊装（自行采购支架，孔距：100×100mm） </w:t>
            </w:r>
          </w:p>
        </w:tc>
        <w:tc>
          <w:tcPr>
            <w:tcW w:w="729" w:type="dxa"/>
            <w:shd w:val="clear" w:color="auto" w:fill="auto"/>
            <w:vAlign w:val="center"/>
          </w:tcPr>
          <w:p w14:paraId="4410E6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951" w:type="dxa"/>
            <w:shd w:val="clear" w:color="auto" w:fill="auto"/>
            <w:vAlign w:val="center"/>
          </w:tcPr>
          <w:p w14:paraId="3E42C0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r>
      <w:tr w14:paraId="6DCBC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35" w:type="dxa"/>
            <w:shd w:val="clear" w:color="auto" w:fill="auto"/>
            <w:vAlign w:val="center"/>
          </w:tcPr>
          <w:p w14:paraId="4E55D5B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2072" w:type="dxa"/>
            <w:shd w:val="clear" w:color="auto" w:fill="auto"/>
            <w:vAlign w:val="center"/>
          </w:tcPr>
          <w:p w14:paraId="1953847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监控硬盘 8T</w:t>
            </w:r>
          </w:p>
        </w:tc>
        <w:tc>
          <w:tcPr>
            <w:tcW w:w="4943" w:type="dxa"/>
            <w:shd w:val="clear" w:color="auto" w:fill="auto"/>
            <w:vAlign w:val="top"/>
          </w:tcPr>
          <w:p w14:paraId="471D092C">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1、B容量，3.5英寸，SATA3.0接口，7200RPM</w:t>
            </w:r>
          </w:p>
          <w:p w14:paraId="08B6E6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2、AllFrame AI全帧技术，提升用户AI视频分析检索体验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3、空气盘， CMR传统磁记录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4、传输速率267 MB/s，流畅存储视频有效防止丢帧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5、高级格式（AF）512e扇区技术，保障硬盘扇区4K对齐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6、满足数据严苛的7*24小时运行可靠性、安全性的需求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7、支持5年有限质保服务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8、适用海拔高度范围-305m至3050m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9、标称容量：8TB 外形规格：3.5-inch 接口类型：SATA 刻录技术：CMR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10、转速：7200RPM  缓存：256MB 最大读取速度：267MB/s 接口传输速率（最大值）：6.0Gb/s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11、平均读写功率（W）：7.3W  加载/卸载周期：600,000  MTBF：2,000,000 年负荷（TB/年）：550TB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12、工作状态温度(°C)：0-65℃  尺寸：147mm(L)×101.6mm(W)×26.1mm(H) </w:t>
            </w:r>
          </w:p>
        </w:tc>
        <w:tc>
          <w:tcPr>
            <w:tcW w:w="729" w:type="dxa"/>
            <w:shd w:val="clear" w:color="auto" w:fill="auto"/>
            <w:vAlign w:val="center"/>
          </w:tcPr>
          <w:p w14:paraId="5B6EC8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51" w:type="dxa"/>
            <w:shd w:val="clear" w:color="auto" w:fill="auto"/>
            <w:vAlign w:val="center"/>
          </w:tcPr>
          <w:p w14:paraId="4509F0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r>
      <w:tr w14:paraId="2BB6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35" w:type="dxa"/>
            <w:shd w:val="clear" w:color="auto" w:fill="auto"/>
            <w:vAlign w:val="center"/>
          </w:tcPr>
          <w:p w14:paraId="14991A0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2072" w:type="dxa"/>
            <w:shd w:val="clear" w:color="auto" w:fill="auto"/>
            <w:vAlign w:val="center"/>
          </w:tcPr>
          <w:p w14:paraId="6D2166B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400万筒型网络摄像机</w:t>
            </w:r>
          </w:p>
        </w:tc>
        <w:tc>
          <w:tcPr>
            <w:tcW w:w="4943" w:type="dxa"/>
            <w:shd w:val="clear" w:color="auto" w:fill="auto"/>
            <w:vAlign w:val="top"/>
          </w:tcPr>
          <w:p w14:paraId="06B62DDD">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1、最高分辨率可达2560 × 1440 @25 fps 支持SmartIR，防止夜间红外过曝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2、支持背光补偿，强光抑制，3D数字降噪，数字宽动态，适应不同使用环境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3、支持开放型网络视频接口，ISAPI，SDK，GB28181协议，支持萤石平台接入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4、1个内置麦克风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5、智能补光，支持白光/红外双补光，红外光最远可达50 m，白光最远可达30m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6、符合IP67防尘防水设计，可靠性高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7、传感器类型：1/2.7" Progressive Scan CMOS  最低照度：彩色：0.005 Lux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8、宽动态：数字宽动态  焦距&amp;视场角：4 mm，水平视场角：70°，垂直视场角：35°，对角视场角：85°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9、mm，水平视场角：46°，垂直视场角：24°，对角视场角：54°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10、mm，水平视场角：43°，垂直视场角：24°，对角视场角：50°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11、mm，水平视场角：27°，垂直视场角：15°，对角视场角：31°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12、红外波长范围：850 nm  防补光过曝：支持</w:t>
            </w:r>
          </w:p>
          <w:p w14:paraId="2F61CA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13、补光灯类型：智能补光，可切换白光灯、红外灯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14、补光距离：红外光最远可达50 m，白光最远可达30m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15、最大分辨率：2560 × 1440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16、视频压缩标准：主码流：H.265/H.264/Smart264/Smart265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17、子码流：H.265/H.264  音频：1个内置麦克风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18、网络：1个RJ45 10 M/100 M自适应以太网口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19、启动及工作温湿度：-30 ℃~60 ℃，湿度小于95%（无凝结）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20、存储温湿度：-30 ℃~60 ℃，湿度小于95%（无凝结）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21、恢复出厂设置：支持客户端或浏览器恢复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22、供电方式：DC：12 V ± 25%，支持防反接保护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23、PoE：IEEE 802.3af，Class 3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24、电流及功耗：DC：12 V，0.42 A，最大功耗：5 W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25、PoE：IEEE 802.3af，CLASS 3，最大功耗：6.5 W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26、电源接口类型：Ø5.5 mm圆口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27、产品尺寸：</w:t>
            </w:r>
            <w:r>
              <w:rPr>
                <w:rFonts w:hint="eastAsia" w:asciiTheme="minorEastAsia" w:hAnsiTheme="minorEastAsia" w:cstheme="minorEastAsia"/>
                <w:i w:val="0"/>
                <w:iCs w:val="0"/>
                <w:color w:val="000000"/>
                <w:kern w:val="0"/>
                <w:sz w:val="21"/>
                <w:szCs w:val="21"/>
                <w:u w:val="none"/>
                <w:lang w:val="en-US" w:eastAsia="zh-CN" w:bidi="ar"/>
              </w:rPr>
              <w:t>约</w:t>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87.1 × 83.7 × 171.7 mm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28、包装尺寸：</w:t>
            </w:r>
            <w:r>
              <w:rPr>
                <w:rFonts w:hint="eastAsia" w:asciiTheme="minorEastAsia" w:hAnsiTheme="minorEastAsia" w:cstheme="minorEastAsia"/>
                <w:i w:val="0"/>
                <w:iCs w:val="0"/>
                <w:color w:val="000000"/>
                <w:kern w:val="0"/>
                <w:sz w:val="21"/>
                <w:szCs w:val="21"/>
                <w:u w:val="none"/>
                <w:lang w:val="en-US" w:eastAsia="zh-CN" w:bidi="ar"/>
              </w:rPr>
              <w:t>约</w:t>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216 × 121 × 118 mm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29、设备重量：</w:t>
            </w:r>
            <w:r>
              <w:rPr>
                <w:rFonts w:hint="eastAsia" w:asciiTheme="minorEastAsia" w:hAnsiTheme="minorEastAsia" w:cstheme="minorEastAsia"/>
                <w:i w:val="0"/>
                <w:iCs w:val="0"/>
                <w:color w:val="000000"/>
                <w:kern w:val="0"/>
                <w:sz w:val="21"/>
                <w:szCs w:val="21"/>
                <w:u w:val="none"/>
                <w:lang w:val="en-US" w:eastAsia="zh-CN" w:bidi="ar"/>
              </w:rPr>
              <w:t>约</w:t>
            </w:r>
            <w:r>
              <w:rPr>
                <w:rFonts w:hint="eastAsia" w:asciiTheme="minorEastAsia" w:hAnsiTheme="minorEastAsia" w:eastAsiaTheme="minorEastAsia" w:cstheme="minorEastAsia"/>
                <w:i w:val="0"/>
                <w:iCs w:val="0"/>
                <w:color w:val="000000"/>
                <w:kern w:val="0"/>
                <w:sz w:val="21"/>
                <w:szCs w:val="21"/>
                <w:u w:val="none"/>
                <w:lang w:val="en-US" w:eastAsia="zh-CN" w:bidi="ar"/>
              </w:rPr>
              <w:t>360g 带包装重量：</w:t>
            </w:r>
            <w:r>
              <w:rPr>
                <w:rFonts w:hint="eastAsia" w:asciiTheme="minorEastAsia" w:hAnsiTheme="minorEastAsia" w:cstheme="minorEastAsia"/>
                <w:i w:val="0"/>
                <w:iCs w:val="0"/>
                <w:color w:val="000000"/>
                <w:kern w:val="0"/>
                <w:sz w:val="21"/>
                <w:szCs w:val="21"/>
                <w:u w:val="none"/>
                <w:lang w:val="en-US" w:eastAsia="zh-CN" w:bidi="ar"/>
              </w:rPr>
              <w:t>约</w:t>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540g  防护：IP67 </w:t>
            </w:r>
          </w:p>
        </w:tc>
        <w:tc>
          <w:tcPr>
            <w:tcW w:w="729" w:type="dxa"/>
            <w:shd w:val="clear" w:color="auto" w:fill="auto"/>
            <w:vAlign w:val="center"/>
          </w:tcPr>
          <w:p w14:paraId="0A1F64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51" w:type="dxa"/>
            <w:shd w:val="clear" w:color="auto" w:fill="auto"/>
            <w:vAlign w:val="center"/>
          </w:tcPr>
          <w:p w14:paraId="61C0DC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r>
      <w:tr w14:paraId="3111B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5" w:type="dxa"/>
            <w:shd w:val="clear" w:color="auto" w:fill="auto"/>
            <w:vAlign w:val="center"/>
          </w:tcPr>
          <w:p w14:paraId="4090A63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2072" w:type="dxa"/>
            <w:shd w:val="clear" w:color="auto" w:fill="auto"/>
            <w:vAlign w:val="center"/>
          </w:tcPr>
          <w:p w14:paraId="4A097FC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摄像机支架 </w:t>
            </w:r>
          </w:p>
        </w:tc>
        <w:tc>
          <w:tcPr>
            <w:tcW w:w="4943" w:type="dxa"/>
            <w:shd w:val="clear" w:color="auto" w:fill="auto"/>
            <w:vAlign w:val="top"/>
          </w:tcPr>
          <w:p w14:paraId="45476421">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1、颜色: 白  材质: 铝合金 最小管径:</w:t>
            </w:r>
            <w:r>
              <w:rPr>
                <w:rFonts w:hint="eastAsia" w:asciiTheme="minorEastAsia" w:hAnsiTheme="minorEastAsia" w:cstheme="minorEastAsia"/>
                <w:i w:val="0"/>
                <w:iCs w:val="0"/>
                <w:color w:val="000000"/>
                <w:kern w:val="0"/>
                <w:sz w:val="21"/>
                <w:szCs w:val="21"/>
                <w:u w:val="none"/>
                <w:lang w:val="en-US" w:eastAsia="zh-CN" w:bidi="ar"/>
              </w:rPr>
              <w:t>约</w:t>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184.6 × 94 × 65mm  承重:</w:t>
            </w:r>
            <w:r>
              <w:rPr>
                <w:rFonts w:hint="eastAsia" w:asciiTheme="minorEastAsia" w:hAnsiTheme="minorEastAsia" w:cstheme="minorEastAsia"/>
                <w:i w:val="0"/>
                <w:iCs w:val="0"/>
                <w:color w:val="000000"/>
                <w:kern w:val="0"/>
                <w:sz w:val="21"/>
                <w:szCs w:val="21"/>
                <w:u w:val="none"/>
                <w:lang w:val="en-US" w:eastAsia="zh-CN" w:bidi="ar"/>
              </w:rPr>
              <w:t>不低于</w:t>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0.7KG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2、品牌不低于“海康威视、大华、宇视”产品品质</w:t>
            </w:r>
          </w:p>
        </w:tc>
        <w:tc>
          <w:tcPr>
            <w:tcW w:w="729" w:type="dxa"/>
            <w:shd w:val="clear" w:color="auto" w:fill="auto"/>
            <w:vAlign w:val="center"/>
          </w:tcPr>
          <w:p w14:paraId="03B2FE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951" w:type="dxa"/>
            <w:shd w:val="clear" w:color="auto" w:fill="auto"/>
            <w:vAlign w:val="center"/>
          </w:tcPr>
          <w:p w14:paraId="099786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r>
      <w:tr w14:paraId="74CA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5" w:type="dxa"/>
            <w:shd w:val="clear" w:color="auto" w:fill="auto"/>
            <w:vAlign w:val="center"/>
          </w:tcPr>
          <w:p w14:paraId="178E3A7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2072" w:type="dxa"/>
            <w:shd w:val="clear" w:color="auto" w:fill="auto"/>
            <w:vAlign w:val="center"/>
          </w:tcPr>
          <w:p w14:paraId="05F2185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24口千兆汇聚交换机 </w:t>
            </w:r>
          </w:p>
        </w:tc>
        <w:tc>
          <w:tcPr>
            <w:tcW w:w="4943" w:type="dxa"/>
            <w:shd w:val="clear" w:color="auto" w:fill="auto"/>
            <w:vAlign w:val="top"/>
          </w:tcPr>
          <w:p w14:paraId="5ED5D815">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1、交换容量≧52Gbps、包转发率≧38Mpps；提供24个千兆电口。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2、千兆无阻塞线速转发，保证网络应用的通畅。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3、机架式设计，可直接安装于机架上，方便管理。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4、平行/交叉线自动识别，简化网络的架设、维护工作。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5、全双工流控和半双工背压控制，可以减少在高阻塞的环境下的丢帧率。 </w:t>
            </w:r>
          </w:p>
        </w:tc>
        <w:tc>
          <w:tcPr>
            <w:tcW w:w="729" w:type="dxa"/>
            <w:shd w:val="clear" w:color="auto" w:fill="auto"/>
            <w:vAlign w:val="center"/>
          </w:tcPr>
          <w:p w14:paraId="5204AF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51" w:type="dxa"/>
            <w:shd w:val="clear" w:color="auto" w:fill="auto"/>
            <w:vAlign w:val="center"/>
          </w:tcPr>
          <w:p w14:paraId="529E29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5CDA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35" w:type="dxa"/>
            <w:shd w:val="clear" w:color="auto" w:fill="auto"/>
            <w:vAlign w:val="center"/>
          </w:tcPr>
          <w:p w14:paraId="112EACE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2072" w:type="dxa"/>
            <w:shd w:val="clear" w:color="auto" w:fill="auto"/>
            <w:vAlign w:val="center"/>
          </w:tcPr>
          <w:p w14:paraId="757EE26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10口千兆POE交换机 </w:t>
            </w:r>
          </w:p>
        </w:tc>
        <w:tc>
          <w:tcPr>
            <w:tcW w:w="4943" w:type="dxa"/>
            <w:shd w:val="clear" w:color="auto" w:fill="auto"/>
            <w:vAlign w:val="top"/>
          </w:tcPr>
          <w:p w14:paraId="5CB5468A">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1、提供8个千兆PoE电口，1个千兆电口， 1个千兆光口</w:t>
            </w:r>
          </w:p>
          <w:p w14:paraId="579E07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2、支持IEEE 802.3af/at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3、支持6 kV防浪涌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4、支持PoE输出功率管理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5、千兆网络接入设计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6、线速转发、无阻塞设计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7、存储转发交换方式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8、坚固式高强度金属外壳 </w:t>
            </w:r>
          </w:p>
        </w:tc>
        <w:tc>
          <w:tcPr>
            <w:tcW w:w="729" w:type="dxa"/>
            <w:shd w:val="clear" w:color="auto" w:fill="auto"/>
            <w:vAlign w:val="center"/>
          </w:tcPr>
          <w:p w14:paraId="6A52E4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51" w:type="dxa"/>
            <w:shd w:val="clear" w:color="auto" w:fill="auto"/>
            <w:vAlign w:val="center"/>
          </w:tcPr>
          <w:p w14:paraId="13630D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0ACB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35" w:type="dxa"/>
            <w:shd w:val="clear" w:color="auto" w:fill="auto"/>
            <w:vAlign w:val="center"/>
          </w:tcPr>
          <w:p w14:paraId="69C4988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2072" w:type="dxa"/>
            <w:shd w:val="clear" w:color="auto" w:fill="auto"/>
            <w:vAlign w:val="center"/>
          </w:tcPr>
          <w:p w14:paraId="4A6E2F13">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8口千兆POE交换机 </w:t>
            </w:r>
          </w:p>
        </w:tc>
        <w:tc>
          <w:tcPr>
            <w:tcW w:w="4943" w:type="dxa"/>
            <w:shd w:val="clear" w:color="auto" w:fill="auto"/>
            <w:vAlign w:val="top"/>
          </w:tcPr>
          <w:p w14:paraId="271C64BF">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1、提供8个千兆PoE电口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2、支持IEEE 802.3af/at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3、支持6 KV防浪涌（PoE口）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4、支持PoE输出功率管理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5、千兆网络接入设计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6、线速转发、无阻塞设计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7、存储转发交换方式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8、坚固式高强度金属外壳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9、无风扇设计，高可靠性 </w:t>
            </w:r>
          </w:p>
        </w:tc>
        <w:tc>
          <w:tcPr>
            <w:tcW w:w="729" w:type="dxa"/>
            <w:shd w:val="clear" w:color="auto" w:fill="auto"/>
            <w:vAlign w:val="center"/>
          </w:tcPr>
          <w:p w14:paraId="6AE8CA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51" w:type="dxa"/>
            <w:shd w:val="clear" w:color="auto" w:fill="auto"/>
            <w:vAlign w:val="center"/>
          </w:tcPr>
          <w:p w14:paraId="412FEC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r>
      <w:tr w14:paraId="74D6B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5" w:type="dxa"/>
            <w:shd w:val="clear" w:color="auto" w:fill="auto"/>
            <w:vAlign w:val="center"/>
          </w:tcPr>
          <w:p w14:paraId="7D488B8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2072" w:type="dxa"/>
            <w:shd w:val="clear" w:color="auto" w:fill="auto"/>
            <w:vAlign w:val="center"/>
          </w:tcPr>
          <w:p w14:paraId="6594E509">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网络机柜 600*600*2000mm </w:t>
            </w:r>
          </w:p>
        </w:tc>
        <w:tc>
          <w:tcPr>
            <w:tcW w:w="4943" w:type="dxa"/>
            <w:shd w:val="clear" w:color="auto" w:fill="auto"/>
            <w:vAlign w:val="top"/>
          </w:tcPr>
          <w:p w14:paraId="2C1E2A2C">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网络机柜 600*600*2000mm</w:t>
            </w:r>
          </w:p>
          <w:p w14:paraId="2223174A">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1、品牌不低于“顺通、图腾、金盾”产品品质</w:t>
            </w:r>
          </w:p>
        </w:tc>
        <w:tc>
          <w:tcPr>
            <w:tcW w:w="729" w:type="dxa"/>
            <w:shd w:val="clear" w:color="auto" w:fill="auto"/>
            <w:vAlign w:val="center"/>
          </w:tcPr>
          <w:p w14:paraId="3248B3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51" w:type="dxa"/>
            <w:shd w:val="clear" w:color="auto" w:fill="auto"/>
            <w:vAlign w:val="center"/>
          </w:tcPr>
          <w:p w14:paraId="2FA57A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77D0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5" w:type="dxa"/>
            <w:shd w:val="clear" w:color="auto" w:fill="auto"/>
            <w:vAlign w:val="center"/>
          </w:tcPr>
          <w:p w14:paraId="3ED6748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2072" w:type="dxa"/>
            <w:shd w:val="clear" w:color="auto" w:fill="auto"/>
            <w:vAlign w:val="center"/>
          </w:tcPr>
          <w:p w14:paraId="15EA428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24芯光纤配线架</w:t>
            </w:r>
          </w:p>
        </w:tc>
        <w:tc>
          <w:tcPr>
            <w:tcW w:w="4943" w:type="dxa"/>
            <w:shd w:val="clear" w:color="auto" w:fill="auto"/>
            <w:vAlign w:val="top"/>
          </w:tcPr>
          <w:p w14:paraId="1AE5B6B5">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24芯光纤配线架</w:t>
            </w:r>
          </w:p>
          <w:p w14:paraId="59F8A2CD">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1、品牌不低于“海康威视、大华、安普”产品品质</w:t>
            </w:r>
          </w:p>
        </w:tc>
        <w:tc>
          <w:tcPr>
            <w:tcW w:w="729" w:type="dxa"/>
            <w:shd w:val="clear" w:color="auto" w:fill="auto"/>
            <w:vAlign w:val="center"/>
          </w:tcPr>
          <w:p w14:paraId="0A4C70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架</w:t>
            </w:r>
          </w:p>
        </w:tc>
        <w:tc>
          <w:tcPr>
            <w:tcW w:w="951" w:type="dxa"/>
            <w:shd w:val="clear" w:color="auto" w:fill="auto"/>
            <w:vAlign w:val="center"/>
          </w:tcPr>
          <w:p w14:paraId="32E847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2C4E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35" w:type="dxa"/>
            <w:shd w:val="clear" w:color="auto" w:fill="auto"/>
            <w:vAlign w:val="center"/>
          </w:tcPr>
          <w:p w14:paraId="10953F9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2072" w:type="dxa"/>
            <w:shd w:val="clear" w:color="auto" w:fill="auto"/>
            <w:vAlign w:val="center"/>
          </w:tcPr>
          <w:p w14:paraId="281775B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6芯光纤配线架</w:t>
            </w:r>
          </w:p>
        </w:tc>
        <w:tc>
          <w:tcPr>
            <w:tcW w:w="4943" w:type="dxa"/>
            <w:shd w:val="clear" w:color="auto" w:fill="auto"/>
            <w:vAlign w:val="top"/>
          </w:tcPr>
          <w:p w14:paraId="2F0604C9">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6芯光纤配线架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1、品牌不低于“海康威视、大华、安普”产品品质</w:t>
            </w:r>
          </w:p>
        </w:tc>
        <w:tc>
          <w:tcPr>
            <w:tcW w:w="729" w:type="dxa"/>
            <w:shd w:val="clear" w:color="auto" w:fill="auto"/>
            <w:vAlign w:val="center"/>
          </w:tcPr>
          <w:p w14:paraId="62812A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架</w:t>
            </w:r>
          </w:p>
        </w:tc>
        <w:tc>
          <w:tcPr>
            <w:tcW w:w="951" w:type="dxa"/>
            <w:shd w:val="clear" w:color="auto" w:fill="auto"/>
            <w:vAlign w:val="center"/>
          </w:tcPr>
          <w:p w14:paraId="220096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r>
      <w:tr w14:paraId="05061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35" w:type="dxa"/>
            <w:shd w:val="clear" w:color="auto" w:fill="auto"/>
            <w:vAlign w:val="center"/>
          </w:tcPr>
          <w:p w14:paraId="01272CE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2072" w:type="dxa"/>
            <w:shd w:val="clear" w:color="auto" w:fill="auto"/>
            <w:vAlign w:val="center"/>
          </w:tcPr>
          <w:p w14:paraId="29198E1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12口RJ45配线架</w:t>
            </w:r>
          </w:p>
        </w:tc>
        <w:tc>
          <w:tcPr>
            <w:tcW w:w="4943" w:type="dxa"/>
            <w:shd w:val="clear" w:color="auto" w:fill="auto"/>
            <w:vAlign w:val="top"/>
          </w:tcPr>
          <w:p w14:paraId="035D5986">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12口RJ45配线架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1、品牌不低于“海康威视、大华、安普”产品品质</w:t>
            </w:r>
          </w:p>
        </w:tc>
        <w:tc>
          <w:tcPr>
            <w:tcW w:w="729" w:type="dxa"/>
            <w:shd w:val="clear" w:color="auto" w:fill="auto"/>
            <w:vAlign w:val="center"/>
          </w:tcPr>
          <w:p w14:paraId="3937E7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架</w:t>
            </w:r>
          </w:p>
        </w:tc>
        <w:tc>
          <w:tcPr>
            <w:tcW w:w="951" w:type="dxa"/>
            <w:shd w:val="clear" w:color="auto" w:fill="auto"/>
            <w:vAlign w:val="center"/>
          </w:tcPr>
          <w:p w14:paraId="00BEE8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5232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5" w:type="dxa"/>
            <w:shd w:val="clear" w:color="auto" w:fill="auto"/>
            <w:vAlign w:val="center"/>
          </w:tcPr>
          <w:p w14:paraId="74896A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2072" w:type="dxa"/>
            <w:shd w:val="clear" w:color="auto" w:fill="auto"/>
            <w:vAlign w:val="center"/>
          </w:tcPr>
          <w:p w14:paraId="52F3FD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8口RJ45配线架</w:t>
            </w:r>
          </w:p>
        </w:tc>
        <w:tc>
          <w:tcPr>
            <w:tcW w:w="4943" w:type="dxa"/>
            <w:shd w:val="clear" w:color="auto" w:fill="auto"/>
            <w:vAlign w:val="center"/>
          </w:tcPr>
          <w:p w14:paraId="613EFB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8口RJ45配线架</w:t>
            </w:r>
          </w:p>
        </w:tc>
        <w:tc>
          <w:tcPr>
            <w:tcW w:w="729" w:type="dxa"/>
            <w:shd w:val="clear" w:color="auto" w:fill="auto"/>
            <w:vAlign w:val="center"/>
          </w:tcPr>
          <w:p w14:paraId="2B3D75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架</w:t>
            </w:r>
          </w:p>
        </w:tc>
        <w:tc>
          <w:tcPr>
            <w:tcW w:w="951" w:type="dxa"/>
            <w:shd w:val="clear" w:color="auto" w:fill="auto"/>
            <w:vAlign w:val="center"/>
          </w:tcPr>
          <w:p w14:paraId="5D694D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r>
      <w:tr w14:paraId="0645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5" w:type="dxa"/>
            <w:shd w:val="clear" w:color="auto" w:fill="auto"/>
            <w:vAlign w:val="center"/>
          </w:tcPr>
          <w:p w14:paraId="4953BBA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2072" w:type="dxa"/>
            <w:shd w:val="clear" w:color="auto" w:fill="auto"/>
            <w:vAlign w:val="center"/>
          </w:tcPr>
          <w:p w14:paraId="4C791FC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管内穿放非屏蔽超5类网线 </w:t>
            </w:r>
          </w:p>
        </w:tc>
        <w:tc>
          <w:tcPr>
            <w:tcW w:w="4943" w:type="dxa"/>
            <w:shd w:val="clear" w:color="auto" w:fill="auto"/>
            <w:vAlign w:val="top"/>
          </w:tcPr>
          <w:p w14:paraId="14354E7F">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管内穿放非屏蔽超5类网线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1、品牌不低于“海康威视、大华、安普”产品品质</w:t>
            </w:r>
          </w:p>
        </w:tc>
        <w:tc>
          <w:tcPr>
            <w:tcW w:w="729" w:type="dxa"/>
            <w:shd w:val="clear" w:color="auto" w:fill="auto"/>
            <w:vAlign w:val="center"/>
          </w:tcPr>
          <w:p w14:paraId="08C76E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51" w:type="dxa"/>
            <w:shd w:val="clear" w:color="auto" w:fill="auto"/>
            <w:vAlign w:val="center"/>
          </w:tcPr>
          <w:p w14:paraId="1CBEB5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1220.07</w:t>
            </w:r>
          </w:p>
        </w:tc>
      </w:tr>
      <w:tr w14:paraId="69C0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5" w:type="dxa"/>
            <w:shd w:val="clear" w:color="auto" w:fill="auto"/>
            <w:vAlign w:val="center"/>
          </w:tcPr>
          <w:p w14:paraId="54C4F06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2072" w:type="dxa"/>
            <w:shd w:val="clear" w:color="auto" w:fill="auto"/>
            <w:vAlign w:val="center"/>
          </w:tcPr>
          <w:p w14:paraId="5249558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室外6芯单模光缆</w:t>
            </w:r>
          </w:p>
        </w:tc>
        <w:tc>
          <w:tcPr>
            <w:tcW w:w="4943" w:type="dxa"/>
            <w:shd w:val="clear" w:color="auto" w:fill="auto"/>
            <w:vAlign w:val="top"/>
          </w:tcPr>
          <w:p w14:paraId="24535CD8">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室外6芯单模光缆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1、品牌不低于“海康威视、大华、安普”产品品质</w:t>
            </w:r>
          </w:p>
        </w:tc>
        <w:tc>
          <w:tcPr>
            <w:tcW w:w="729" w:type="dxa"/>
            <w:shd w:val="clear" w:color="auto" w:fill="auto"/>
            <w:vAlign w:val="center"/>
          </w:tcPr>
          <w:p w14:paraId="7EE8C6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51" w:type="dxa"/>
            <w:shd w:val="clear" w:color="auto" w:fill="auto"/>
            <w:vAlign w:val="center"/>
          </w:tcPr>
          <w:p w14:paraId="05EB45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1256.66</w:t>
            </w:r>
          </w:p>
        </w:tc>
      </w:tr>
      <w:tr w14:paraId="1D507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5" w:type="dxa"/>
            <w:shd w:val="clear" w:color="auto" w:fill="auto"/>
            <w:vAlign w:val="center"/>
          </w:tcPr>
          <w:p w14:paraId="4E84F264">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2072" w:type="dxa"/>
            <w:shd w:val="clear" w:color="auto" w:fill="auto"/>
            <w:vAlign w:val="center"/>
          </w:tcPr>
          <w:p w14:paraId="183C639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塑料管埋地敷设 PVC100</w:t>
            </w:r>
          </w:p>
        </w:tc>
        <w:tc>
          <w:tcPr>
            <w:tcW w:w="4943" w:type="dxa"/>
            <w:shd w:val="clear" w:color="auto" w:fill="auto"/>
            <w:vAlign w:val="top"/>
          </w:tcPr>
          <w:p w14:paraId="7A6F74AD">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塑料管埋地敷设 PVC100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1、品牌不低于“联塑、伟星、公元”产品品质</w:t>
            </w:r>
          </w:p>
        </w:tc>
        <w:tc>
          <w:tcPr>
            <w:tcW w:w="729" w:type="dxa"/>
            <w:shd w:val="clear" w:color="auto" w:fill="auto"/>
            <w:vAlign w:val="center"/>
          </w:tcPr>
          <w:p w14:paraId="634408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51" w:type="dxa"/>
            <w:shd w:val="clear" w:color="auto" w:fill="auto"/>
            <w:vAlign w:val="center"/>
          </w:tcPr>
          <w:p w14:paraId="5B1C0E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608.91</w:t>
            </w:r>
          </w:p>
        </w:tc>
      </w:tr>
      <w:tr w14:paraId="7BE4F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35" w:type="dxa"/>
            <w:shd w:val="clear" w:color="auto" w:fill="auto"/>
            <w:vAlign w:val="center"/>
          </w:tcPr>
          <w:p w14:paraId="346FD5D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2072" w:type="dxa"/>
            <w:shd w:val="clear" w:color="auto" w:fill="auto"/>
            <w:vAlign w:val="center"/>
          </w:tcPr>
          <w:p w14:paraId="43A88DE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塑料管埋地敷设 PVC20 </w:t>
            </w:r>
          </w:p>
        </w:tc>
        <w:tc>
          <w:tcPr>
            <w:tcW w:w="4943" w:type="dxa"/>
            <w:shd w:val="clear" w:color="auto" w:fill="auto"/>
            <w:vAlign w:val="top"/>
          </w:tcPr>
          <w:p w14:paraId="7F5D1813">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塑料管埋地敷设 PVC20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1、品牌不低于“联塑、伟星、公元”产品品质</w:t>
            </w:r>
          </w:p>
        </w:tc>
        <w:tc>
          <w:tcPr>
            <w:tcW w:w="729" w:type="dxa"/>
            <w:shd w:val="clear" w:color="auto" w:fill="auto"/>
            <w:vAlign w:val="center"/>
          </w:tcPr>
          <w:p w14:paraId="64F1E4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51" w:type="dxa"/>
            <w:shd w:val="clear" w:color="auto" w:fill="auto"/>
            <w:vAlign w:val="center"/>
          </w:tcPr>
          <w:p w14:paraId="2D41FF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936.07</w:t>
            </w:r>
          </w:p>
        </w:tc>
      </w:tr>
      <w:tr w14:paraId="6B736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35" w:type="dxa"/>
            <w:shd w:val="clear" w:color="auto" w:fill="auto"/>
            <w:vAlign w:val="center"/>
          </w:tcPr>
          <w:p w14:paraId="0620246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2072" w:type="dxa"/>
            <w:shd w:val="clear" w:color="auto" w:fill="auto"/>
            <w:vAlign w:val="center"/>
          </w:tcPr>
          <w:p w14:paraId="44D7B19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塑料管敷设 砖、混凝土结构明配 PVC20 </w:t>
            </w:r>
          </w:p>
        </w:tc>
        <w:tc>
          <w:tcPr>
            <w:tcW w:w="4943" w:type="dxa"/>
            <w:shd w:val="clear" w:color="auto" w:fill="auto"/>
            <w:vAlign w:val="top"/>
          </w:tcPr>
          <w:p w14:paraId="357AFBB8">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塑料管敷设 砖、混凝土结构明配 PVC20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1、品牌不低于“联塑、伟星、公元”产品品质</w:t>
            </w:r>
          </w:p>
        </w:tc>
        <w:tc>
          <w:tcPr>
            <w:tcW w:w="729" w:type="dxa"/>
            <w:shd w:val="clear" w:color="auto" w:fill="auto"/>
            <w:vAlign w:val="center"/>
          </w:tcPr>
          <w:p w14:paraId="2E4D32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51" w:type="dxa"/>
            <w:shd w:val="clear" w:color="auto" w:fill="auto"/>
            <w:vAlign w:val="center"/>
          </w:tcPr>
          <w:p w14:paraId="132DA0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204.00</w:t>
            </w:r>
          </w:p>
        </w:tc>
      </w:tr>
      <w:tr w14:paraId="6779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35" w:type="dxa"/>
            <w:shd w:val="clear" w:color="auto" w:fill="auto"/>
            <w:vAlign w:val="center"/>
          </w:tcPr>
          <w:p w14:paraId="7E584C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w:t>
            </w:r>
          </w:p>
        </w:tc>
        <w:tc>
          <w:tcPr>
            <w:tcW w:w="2072" w:type="dxa"/>
            <w:shd w:val="clear" w:color="auto" w:fill="auto"/>
            <w:vAlign w:val="center"/>
          </w:tcPr>
          <w:p w14:paraId="4521F2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土方开挖</w:t>
            </w:r>
          </w:p>
        </w:tc>
        <w:tc>
          <w:tcPr>
            <w:tcW w:w="4943" w:type="dxa"/>
            <w:shd w:val="clear" w:color="auto" w:fill="auto"/>
            <w:vAlign w:val="center"/>
          </w:tcPr>
          <w:p w14:paraId="174D35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土方开挖</w:t>
            </w:r>
          </w:p>
        </w:tc>
        <w:tc>
          <w:tcPr>
            <w:tcW w:w="729" w:type="dxa"/>
            <w:shd w:val="clear" w:color="auto" w:fill="auto"/>
            <w:vAlign w:val="center"/>
          </w:tcPr>
          <w:p w14:paraId="4F4CA3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951" w:type="dxa"/>
            <w:shd w:val="clear" w:color="auto" w:fill="auto"/>
            <w:vAlign w:val="center"/>
          </w:tcPr>
          <w:p w14:paraId="20F49F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116.56</w:t>
            </w:r>
          </w:p>
        </w:tc>
      </w:tr>
      <w:tr w14:paraId="01AF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35" w:type="dxa"/>
            <w:shd w:val="clear" w:color="auto" w:fill="auto"/>
            <w:vAlign w:val="center"/>
          </w:tcPr>
          <w:p w14:paraId="6E9525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23</w:t>
            </w:r>
          </w:p>
        </w:tc>
        <w:tc>
          <w:tcPr>
            <w:tcW w:w="2072" w:type="dxa"/>
            <w:shd w:val="clear" w:color="auto" w:fill="auto"/>
            <w:vAlign w:val="center"/>
          </w:tcPr>
          <w:p w14:paraId="7660F3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原土回填</w:t>
            </w:r>
          </w:p>
        </w:tc>
        <w:tc>
          <w:tcPr>
            <w:tcW w:w="4943" w:type="dxa"/>
            <w:shd w:val="clear" w:color="auto" w:fill="auto"/>
            <w:vAlign w:val="center"/>
          </w:tcPr>
          <w:p w14:paraId="114041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原土回填</w:t>
            </w:r>
          </w:p>
        </w:tc>
        <w:tc>
          <w:tcPr>
            <w:tcW w:w="729" w:type="dxa"/>
            <w:shd w:val="clear" w:color="auto" w:fill="auto"/>
            <w:vAlign w:val="center"/>
          </w:tcPr>
          <w:p w14:paraId="0030C6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951" w:type="dxa"/>
            <w:shd w:val="clear" w:color="auto" w:fill="auto"/>
            <w:vAlign w:val="center"/>
          </w:tcPr>
          <w:p w14:paraId="2C2D08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116.56</w:t>
            </w:r>
          </w:p>
        </w:tc>
      </w:tr>
      <w:tr w14:paraId="2C209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35" w:type="dxa"/>
            <w:shd w:val="clear" w:color="auto" w:fill="auto"/>
            <w:vAlign w:val="center"/>
          </w:tcPr>
          <w:p w14:paraId="4B13F0F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2072" w:type="dxa"/>
            <w:shd w:val="clear" w:color="auto" w:fill="auto"/>
            <w:vAlign w:val="center"/>
          </w:tcPr>
          <w:p w14:paraId="1C40375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光纤收发器 </w:t>
            </w:r>
          </w:p>
        </w:tc>
        <w:tc>
          <w:tcPr>
            <w:tcW w:w="4943" w:type="dxa"/>
            <w:shd w:val="clear" w:color="auto" w:fill="auto"/>
            <w:vAlign w:val="top"/>
          </w:tcPr>
          <w:p w14:paraId="3E827DAC">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1、即插即用，快速转发，无需任何配置，即可高速无损传输数据信号，最长传输距离3km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2、V防雷设计，高可靠性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3、准工业级设计，工作温度范围可达到-20～60℃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4、波分复用，单纤数据转发，节约布线成本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5、外壳工业级全金属设计，坚固耐用，散热能力更强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6、提供1个千兆电口，1个千兆光口，SC接口 </w:t>
            </w:r>
          </w:p>
        </w:tc>
        <w:tc>
          <w:tcPr>
            <w:tcW w:w="729" w:type="dxa"/>
            <w:shd w:val="clear" w:color="auto" w:fill="auto"/>
            <w:vAlign w:val="center"/>
          </w:tcPr>
          <w:p w14:paraId="10FC10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951" w:type="dxa"/>
            <w:shd w:val="clear" w:color="auto" w:fill="auto"/>
            <w:vAlign w:val="center"/>
          </w:tcPr>
          <w:p w14:paraId="646D11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r>
      <w:tr w14:paraId="7D79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5" w:type="dxa"/>
            <w:shd w:val="clear" w:color="auto" w:fill="auto"/>
            <w:vAlign w:val="center"/>
          </w:tcPr>
          <w:p w14:paraId="4938461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2072" w:type="dxa"/>
            <w:shd w:val="clear" w:color="auto" w:fill="auto"/>
            <w:vAlign w:val="center"/>
          </w:tcPr>
          <w:p w14:paraId="5FCA254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户外设备箱 </w:t>
            </w:r>
          </w:p>
        </w:tc>
        <w:tc>
          <w:tcPr>
            <w:tcW w:w="4943" w:type="dxa"/>
            <w:shd w:val="clear" w:color="auto" w:fill="auto"/>
            <w:vAlign w:val="top"/>
          </w:tcPr>
          <w:p w14:paraId="1FB35C74">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规格：</w:t>
            </w:r>
            <w:r>
              <w:rPr>
                <w:rFonts w:hint="eastAsia" w:asciiTheme="minorEastAsia" w:hAnsiTheme="minorEastAsia" w:cstheme="minorEastAsia"/>
                <w:i w:val="0"/>
                <w:iCs w:val="0"/>
                <w:color w:val="000000"/>
                <w:kern w:val="0"/>
                <w:sz w:val="21"/>
                <w:szCs w:val="21"/>
                <w:u w:val="none"/>
                <w:lang w:val="en-US" w:eastAsia="zh-CN" w:bidi="ar"/>
              </w:rPr>
              <w:t>约</w:t>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400*600*280mm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1、品牌不低于“顺通、图腾、金盾”产品品质</w:t>
            </w:r>
          </w:p>
        </w:tc>
        <w:tc>
          <w:tcPr>
            <w:tcW w:w="729" w:type="dxa"/>
            <w:shd w:val="clear" w:color="auto" w:fill="auto"/>
            <w:vAlign w:val="center"/>
          </w:tcPr>
          <w:p w14:paraId="2BF7BF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51" w:type="dxa"/>
            <w:shd w:val="clear" w:color="auto" w:fill="auto"/>
            <w:vAlign w:val="center"/>
          </w:tcPr>
          <w:p w14:paraId="4FAF41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r>
      <w:tr w14:paraId="62F9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5" w:type="dxa"/>
            <w:shd w:val="clear" w:color="auto" w:fill="auto"/>
            <w:vAlign w:val="center"/>
          </w:tcPr>
          <w:p w14:paraId="55B6A2C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2072" w:type="dxa"/>
            <w:shd w:val="clear" w:color="auto" w:fill="auto"/>
            <w:vAlign w:val="center"/>
          </w:tcPr>
          <w:p w14:paraId="6AEDC2C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6位排插 </w:t>
            </w:r>
          </w:p>
        </w:tc>
        <w:tc>
          <w:tcPr>
            <w:tcW w:w="4943" w:type="dxa"/>
            <w:shd w:val="clear" w:color="auto" w:fill="auto"/>
            <w:vAlign w:val="top"/>
          </w:tcPr>
          <w:p w14:paraId="1AC02B82">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1、6位五孔 无线，带开关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2、品牌不低于“海康威视、大华、公牛”产品品质</w:t>
            </w:r>
          </w:p>
        </w:tc>
        <w:tc>
          <w:tcPr>
            <w:tcW w:w="729" w:type="dxa"/>
            <w:shd w:val="clear" w:color="auto" w:fill="auto"/>
            <w:vAlign w:val="center"/>
          </w:tcPr>
          <w:p w14:paraId="66AEB0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951" w:type="dxa"/>
            <w:shd w:val="clear" w:color="auto" w:fill="auto"/>
            <w:vAlign w:val="center"/>
          </w:tcPr>
          <w:p w14:paraId="2DA586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r>
      <w:tr w14:paraId="4852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5" w:type="dxa"/>
            <w:shd w:val="clear" w:color="auto" w:fill="auto"/>
            <w:vAlign w:val="center"/>
          </w:tcPr>
          <w:p w14:paraId="394D528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2072" w:type="dxa"/>
            <w:shd w:val="clear" w:color="auto" w:fill="auto"/>
            <w:vAlign w:val="center"/>
          </w:tcPr>
          <w:p w14:paraId="5959521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水晶头（超五类）</w:t>
            </w:r>
          </w:p>
        </w:tc>
        <w:tc>
          <w:tcPr>
            <w:tcW w:w="4943" w:type="dxa"/>
            <w:shd w:val="clear" w:color="auto" w:fill="auto"/>
            <w:vAlign w:val="top"/>
          </w:tcPr>
          <w:p w14:paraId="6EFAAF8A">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水晶头（超五类）</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1、品牌不低于“海康威视、大华、安普”产品品质</w:t>
            </w:r>
          </w:p>
        </w:tc>
        <w:tc>
          <w:tcPr>
            <w:tcW w:w="729" w:type="dxa"/>
            <w:shd w:val="clear" w:color="auto" w:fill="auto"/>
            <w:vAlign w:val="center"/>
          </w:tcPr>
          <w:p w14:paraId="12CC60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951" w:type="dxa"/>
            <w:shd w:val="clear" w:color="auto" w:fill="auto"/>
            <w:vAlign w:val="center"/>
          </w:tcPr>
          <w:p w14:paraId="2EE378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r>
      <w:tr w14:paraId="00F2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5" w:type="dxa"/>
            <w:shd w:val="clear" w:color="auto" w:fill="auto"/>
            <w:vAlign w:val="center"/>
          </w:tcPr>
          <w:p w14:paraId="2F2ECFB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2072" w:type="dxa"/>
            <w:shd w:val="clear" w:color="auto" w:fill="auto"/>
            <w:vAlign w:val="center"/>
          </w:tcPr>
          <w:p w14:paraId="51714449">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控制</w:t>
            </w:r>
            <w:r>
              <w:rPr>
                <w:rFonts w:hint="eastAsia" w:asciiTheme="minorEastAsia" w:hAnsiTheme="minorEastAsia" w:cstheme="minorEastAsia"/>
                <w:i w:val="0"/>
                <w:iCs w:val="0"/>
                <w:color w:val="000000"/>
                <w:kern w:val="0"/>
                <w:sz w:val="21"/>
                <w:szCs w:val="21"/>
                <w:u w:val="none"/>
                <w:lang w:val="en-US" w:eastAsia="zh-CN" w:bidi="ar"/>
              </w:rPr>
              <w:t>系统设备</w:t>
            </w:r>
          </w:p>
        </w:tc>
        <w:tc>
          <w:tcPr>
            <w:tcW w:w="4943" w:type="dxa"/>
            <w:shd w:val="clear" w:color="auto" w:fill="auto"/>
            <w:vAlign w:val="top"/>
          </w:tcPr>
          <w:p w14:paraId="123EC7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1、设备具有8路USB接口，6路通用串口（6组工业异步传输接口），最高480M传输速率。方便外扩周边设备接入；设备自带2路千兆网卡，同时兼容百兆网络。自适应交换机连接系统。</w:t>
            </w:r>
          </w:p>
          <w:p w14:paraId="562421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2、设备具有1×MIC IN接口，1×LINE OUT接口，1×LINE IN接口。</w:t>
            </w:r>
          </w:p>
          <w:p w14:paraId="09D351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3、设备具有1×HDMI接口，1×DVI接口，1×VGA接口；2×LAN接口；1×PS/2接口。</w:t>
            </w:r>
          </w:p>
          <w:p w14:paraId="097723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4、设备内置大容量128GBmSATA固态硬盘，具有抗震动、抗摔、读写速度快、功耗低等特点。支持3.5"、2.5"、mSATA硬盘。标配：8G内存</w:t>
            </w:r>
          </w:p>
          <w:p w14:paraId="6E7A0E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5、设备具有一路短路触发开机运行接口，用于外部设备定时驱动开机运行，实现无人值守功能。</w:t>
            </w:r>
          </w:p>
          <w:p w14:paraId="0D8398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6、设备具有17.3英寸LED液晶显示屏，10点电容触摸屏，支持1920*1080分辨率，TFT262144色真彩色的屏幕颜色；内置五线工业加固触摸屏，简单易用的触摸屏操控。</w:t>
            </w:r>
          </w:p>
          <w:p w14:paraId="59C11A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7、设备支持IPV6、IPV4网络协议。</w:t>
            </w:r>
          </w:p>
          <w:p w14:paraId="0063A7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8、设备采用工业级专用主板设计，配置4核 4线程 3.2GHz处理器，处理速度更快，运作性能更强，可以长时期不断电稳定工作。</w:t>
            </w:r>
          </w:p>
          <w:p w14:paraId="47D19F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9、设备功耗为120W。</w:t>
            </w:r>
          </w:p>
          <w:p w14:paraId="6C532D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10、设备支持录音存储功能，可在后台自定义设置录音文件保存路径。</w:t>
            </w:r>
          </w:p>
          <w:p w14:paraId="00608A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11、服务器运载Windows Server 2008 R2 Standard(x64),Windows Server 2012 R2 Standard(x64)及以上操作系统。</w:t>
            </w:r>
          </w:p>
          <w:p w14:paraId="1AFA0F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12、设备支持操作系统配置通电自动开机、定时自动开机，定时自动关机功能，方便项目灵活操作管理。</w:t>
            </w:r>
          </w:p>
          <w:p w14:paraId="569E5A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13、设备支持双显卡，可外接最大FullHD显示设备。</w:t>
            </w:r>
          </w:p>
          <w:p w14:paraId="4A5D14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14、设备运载服务器软件后构成系统管理控制中心。</w:t>
            </w:r>
          </w:p>
          <w:p w14:paraId="259397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15、服务器软件采用后台系统服务运行，是企业级的标准服务器工作模式，开机系统即可自动运行，相比运行在界面前台的软件具有更高的稳定性和可靠性。</w:t>
            </w:r>
          </w:p>
          <w:p w14:paraId="10E30B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16、设备采用工业级机柜式机箱设计，机箱采用钢结构，有较高的防磁、防尘、防冲击的能力；内置工业级抽拉键盘、内置工业级触控鼠标面板+左右按键设计，支持通过USB接口外接鼠标键盘，方便用户操作。</w:t>
            </w:r>
          </w:p>
          <w:p w14:paraId="03F688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17、设备安装在主控室，对整个广播系统进行实时有效的管理。IP网络数字广播服务器软件的运行载体，是广播系统的控制中心。</w:t>
            </w:r>
          </w:p>
          <w:p w14:paraId="7DB9B8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18、设备功率为300W。</w:t>
            </w:r>
          </w:p>
          <w:p w14:paraId="44AFD9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19、设备尺寸（W×D×H）：484×339.5×353.5mm</w:t>
            </w:r>
          </w:p>
          <w:p w14:paraId="7E5832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20、设备重量：18.40kg</w:t>
            </w:r>
          </w:p>
          <w:p w14:paraId="41E385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21、设备工作环境温度：-10℃~50℃</w:t>
            </w:r>
          </w:p>
          <w:p w14:paraId="5FCD7F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22、设备相对湿度：10%～95%，非凝结状态</w:t>
            </w:r>
          </w:p>
          <w:p w14:paraId="12F06D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23、设备系统音频信号失真度：1kHz＜0.5%</w:t>
            </w:r>
          </w:p>
          <w:p w14:paraId="7EAC2F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24、设备系统音频信号信噪比：LINE:70dB；MIC:60dB</w:t>
            </w:r>
          </w:p>
          <w:p w14:paraId="4DD3C5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25、设备系统音频信号标准输出电平：0dBV</w:t>
            </w:r>
          </w:p>
          <w:p w14:paraId="6F90FC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26、设备系统音频信号标准输入电平：LINE:300mV； MIC:5mV</w:t>
            </w:r>
          </w:p>
          <w:p w14:paraId="38EA26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27、设备电源：输入电压:AC100V-240V</w:t>
            </w:r>
          </w:p>
        </w:tc>
        <w:tc>
          <w:tcPr>
            <w:tcW w:w="729" w:type="dxa"/>
            <w:shd w:val="clear" w:color="auto" w:fill="auto"/>
            <w:vAlign w:val="center"/>
          </w:tcPr>
          <w:p w14:paraId="5C8805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51" w:type="dxa"/>
            <w:shd w:val="clear" w:color="auto" w:fill="auto"/>
            <w:vAlign w:val="center"/>
          </w:tcPr>
          <w:p w14:paraId="162E63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0A873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5" w:type="dxa"/>
            <w:shd w:val="clear" w:color="auto" w:fill="auto"/>
            <w:vAlign w:val="center"/>
          </w:tcPr>
          <w:p w14:paraId="659FEC8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2072" w:type="dxa"/>
            <w:shd w:val="clear" w:color="auto" w:fill="auto"/>
            <w:vAlign w:val="center"/>
          </w:tcPr>
          <w:p w14:paraId="64151DD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数字化IP网络广播客户端管理软件 </w:t>
            </w:r>
          </w:p>
        </w:tc>
        <w:tc>
          <w:tcPr>
            <w:tcW w:w="4943" w:type="dxa"/>
            <w:shd w:val="clear" w:color="auto" w:fill="auto"/>
            <w:vAlign w:val="top"/>
          </w:tcPr>
          <w:p w14:paraId="13B2AB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1、系统支持文本广播功能，可实现将文本转成语音，支持后台调整语速、设置播放语音功能。</w:t>
            </w:r>
          </w:p>
          <w:p w14:paraId="2548D4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2、系统支持提供二次软件开发包、提供标准MFC动态链接库和HTTP协议，实现与第三方平台整合。</w:t>
            </w:r>
          </w:p>
          <w:p w14:paraId="54EDA4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3、系统支持设置节假日或特殊日期，实现指定时间停用所有定时任务。</w:t>
            </w:r>
          </w:p>
          <w:p w14:paraId="0AD1EB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4、系统支持日志记录系统运行状态，实时记录系统运行及终端工作状态，每次呼叫、通话和广播操作均有记录。</w:t>
            </w:r>
          </w:p>
          <w:p w14:paraId="30E05B9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5、系统支持后台换肤功能，可根据喜好自由切换皮肤主题。</w:t>
            </w:r>
          </w:p>
          <w:p w14:paraId="5FC4C9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fill="FFFFFF"/>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6、系统支持后台功能管理模块自定义；首页快捷入口配置，入口数量提供2*3、3*3、2*4、3*4的排列布局显示。</w:t>
            </w:r>
          </w:p>
          <w:p w14:paraId="3CA13E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7、系统支持广播接收方提示音，广播接收方响应广播任务时，加入“叮咚”提示音。支持开启音频高码率功能，开启后使用高音质采集且网络带宽占用较大。</w:t>
            </w:r>
          </w:p>
          <w:p w14:paraId="063448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8、系统支持多语言功能，支持中文、繁体中文、英文、韩文等。</w:t>
            </w:r>
          </w:p>
          <w:p w14:paraId="11B968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9、系统支持多用户、任意级别的分控管理功能，实现远程节目播放管理。系统支持多用户、多级别、指定权限、指定功能、指定终端对后台进行分类管理。</w:t>
            </w:r>
          </w:p>
          <w:p w14:paraId="16AED1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系统支持对终端设置不同的灯光模式，可分别自定义设置红灯亮、红灯灭、绿灯/蓝灯亮、绿灯/蓝灯灭时间0-10S。系统支持对终端设置时间显示配置功能，可设置1-6级别亮度值，可设置断网后不显示时间等模式。</w:t>
            </w:r>
          </w:p>
          <w:p w14:paraId="48CE92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fill="FFFFFF"/>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11、系统支持定时打铃功能，支持打铃方案克隆，任务执行与停止控制、定时任务禁用与启用功能。系统支持多套定时打铃方案同时启用功能，每套定时打铃方案支持多套任务同时进行，支持一键启用/停用所有方案。</w:t>
            </w:r>
          </w:p>
          <w:p w14:paraId="278E6A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12、系统支持编程定时任务功能，支持编程多套定时方案，支持选择任意终端和设置任意时间；支持定时任务执行测试、设置重复周期。支持定时任务多种音源选择（音乐播放、声卡采集、终端采集）。</w:t>
            </w:r>
          </w:p>
          <w:p w14:paraId="7655AB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13、系统兼容路由器、交换机、网桥网关、Modem、Internet、2G、3G、4G等任意网络结构。</w:t>
            </w:r>
          </w:p>
          <w:p w14:paraId="22122C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14、广播系统管理和控制软件，安装于网络广播控制中心或计算机，是广播系统数据交换、系统运行和功能操作的综合管理平台。系统软件是整个系统的运行核心，统一管理系统内所有音频终端，</w:t>
            </w:r>
          </w:p>
          <w:p w14:paraId="50FBED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15、包括寻呼话筒、对讲终端、广播终端和消防接口设备，实时显示音频终端的IP地址、在线状态、任务状态、音量等运行状态。</w:t>
            </w:r>
          </w:p>
          <w:p w14:paraId="14F978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16、Windows服务模式，支持win7、server2008及更高版本系统。系统采用后台系统服务运行，是企业级的标准服务器工作模式，开机系统即可自动运行，</w:t>
            </w:r>
          </w:p>
          <w:p w14:paraId="5588C9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17、相比运行在界面前台的软件具有更高的稳定性和可靠性。支持自定义登录界面背景，同时支持恢复默认登录界面。</w:t>
            </w:r>
          </w:p>
          <w:p w14:paraId="77A048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18、系统支持终端音频采播功能，实现听力考试语音文件采播。系统支持远程遥控点播功能，实现操场远程遥控点播。系统支持本地音频采集功能，播放到任意指定终端。</w:t>
            </w:r>
          </w:p>
          <w:p w14:paraId="0C4D15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19、系统支持终端音频采播功能，实现听力考试语音文件采播。系统支持远程遥控点播功能，实现操场远程遥控点播。系统支持本地音频采集功能，播放到任意指定终端。</w:t>
            </w:r>
          </w:p>
          <w:p w14:paraId="16265C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系统支持终端防拆报警功能，终端拆卸触发警报或其他终端联动触发警报；支持报警任务自动解除报警功能。支持全区、分区消防联动，支持消防N±N模式，支持人工报警与数字报警。支持配置报警器触发终端采集任务。</w:t>
            </w:r>
          </w:p>
          <w:p w14:paraId="16A5F3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21、系统支持终端短路输入联动触发功能，可任意设置联动触发方案和触发终端数量，触发方案包括短路输出、音乐播放、巡更警报等。</w:t>
            </w:r>
          </w:p>
          <w:p w14:paraId="3D8FBC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22、系统支持终端的上/下线状态以及占用状态进行实时监控，实时管理终端音量和当前任务；也可自定义终端分区，按区域划分管理终端状态，方便直观；</w:t>
            </w:r>
          </w:p>
          <w:p w14:paraId="0833B5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23、系统支持中控终端临时任务、定时任务、场景调用管理功能。</w:t>
            </w:r>
          </w:p>
          <w:p w14:paraId="42A67A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fill="FFFFFF"/>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24、系统支持统一管理终端登陆密码，支持多级优先级管理，并支持轻松自动授权。支持4x100级自定义配置任务优先级(服务器优先级、任务优先级、用户优先级,终端优先级），满足各种优先级任务自动调度。</w:t>
            </w:r>
          </w:p>
          <w:p w14:paraId="73167C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25、系统支持声文广播功能，可以终端同时播放声音，发布文字信息，支持LED显示屏信息发布功能，数字时钟及模拟时钟选择功能，具备显示字体大小，字体调节，显示引入，引出、停留方式、停留时间等选择。</w:t>
            </w:r>
          </w:p>
          <w:p w14:paraId="1EEFA5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26、系统支持配置指定终端在指定时间段内启用考试模式，考试模式下，数模备份能进行相互切换，支持一键结束所有设备的考试模式。系统支持配置终端冻结时间功能，</w:t>
            </w:r>
          </w:p>
          <w:p w14:paraId="12C686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27、在终端被冻结期间禁止终端执行任务，适用于考试或休息等场景。</w:t>
            </w:r>
          </w:p>
          <w:p w14:paraId="6EFF65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28、系统支持媒体文件分类分用户管理，可配置公有/私有文件夹，私有文件单独使用。</w:t>
            </w:r>
          </w:p>
          <w:p w14:paraId="3E9A06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29、系统支持离线定时打铃功能，实现断网时终端托管执行定时打铃任务；支持定时打铃任务离线下载。</w:t>
            </w:r>
          </w:p>
          <w:p w14:paraId="538B69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30、系统支持今日任务列表查看功能，轻松管理今日执行的所有定时任务信息和执行状态。</w:t>
            </w:r>
          </w:p>
          <w:p w14:paraId="05FB54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31、系统支持广播、对讲、实时采集、终端监听进行录音。支持批量修改定时任务的时间、音量、执行终端。系统支持终端自定义区域划分，实现对终端的实时状态分区域管理。</w:t>
            </w:r>
          </w:p>
          <w:p w14:paraId="1B31E0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32、系统支持对8路功率分区终端进行功率控制分区设置，通过web页面后台或分控客户端均可轻松设置分区。系统支持终端3、4制音控强切功能，（4线制音控需外接电源）。</w:t>
            </w:r>
          </w:p>
          <w:p w14:paraId="294338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33、系统支持定时巡更功能，支持自定义巡更任务的执行时间及重复周期，可自定义指示灯闪烁间隔时间0-30s。支持外接无锁按键短路开关（带3.3V的LED提示灯）。</w:t>
            </w:r>
          </w:p>
          <w:p w14:paraId="1183D6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34、系统支持定期插播模式,批量自动生成打铃任务,无需逐条编辑,简便轻松；</w:t>
            </w:r>
          </w:p>
          <w:p w14:paraId="4066B7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35、系统支持终端明细导出功能，支持通过表格方式导出当前系统终端的配置详情，为系统管理带来方便。</w:t>
            </w:r>
          </w:p>
          <w:p w14:paraId="0C1961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36、系统支持音频终端外控电源管理功能，支持定时打开和延时关闭；支持对灯光控制功能，可对灯光模式进行配置。</w:t>
            </w:r>
          </w:p>
          <w:p w14:paraId="0BBD80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37、系统支持管理节目库资源功能，为所有音频终端器提供定时播放和实时点播媒体服务，响应各终端的节目播放请求，为各音频工作站提供数据接口服务。</w:t>
            </w:r>
          </w:p>
          <w:p w14:paraId="343E1E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38、系统支持多种呼叫策略功能，包括无响应转移、占线转移、关机转移，支持时间策略和转移策略自定义设置。支持设置对讲终端呼叫策略，</w:t>
            </w:r>
          </w:p>
          <w:p w14:paraId="10CD35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39、可自定义通话时间0-180S或不受限，可选择是否自动接听，支持自定义选择来电铃声与等待铃声。</w:t>
            </w:r>
          </w:p>
          <w:p w14:paraId="62585E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40、系统支持对终端进行远程固件升级，无需到终端本地升级，减轻维护人员工作强度。</w:t>
            </w:r>
          </w:p>
          <w:p w14:paraId="007847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41、系统支持对接高精准基于GPS的定时系统，可脱离因特网独立进行广播系统授时，使得系统时间误差每年小于1/300000秒。</w:t>
            </w:r>
          </w:p>
          <w:p w14:paraId="05F972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42、系统支持电子地图功能，在地图/导览图上可实时查看终端状态。系统支持在线地图功能，可直接使用百度地图实现在地图上实时查看终端状态。</w:t>
            </w:r>
          </w:p>
          <w:p w14:paraId="373E18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43、系统支持SIP广播进行分区广播或全区广播功能；支持高考专用模式及独立考试模式，配合离线播放功能把预设考试内容推送到终端内置储存器，实现断网也能本地播放。</w:t>
            </w:r>
          </w:p>
          <w:p w14:paraId="600DEA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44、系统支撑各音频终端的运行，负责音频流传输管理，响应各音频终端播放请求和音频全双工交换，支持B/S架构，</w:t>
            </w:r>
          </w:p>
          <w:p w14:paraId="0CE941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45、通过网页登陆可进行终端管理、用户管理、节目播放管理、音频文件管理、录音存贮、内部通讯调度处理等功能。</w:t>
            </w:r>
          </w:p>
          <w:p w14:paraId="2F2542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46、系统提供全双工语音数据交换功能，响应各对讲终端的呼叫和通话请求，支持一键呼叫、一键对讲、一键求助、一键报警等通话模式，支持自动接听、手动接听，支持自定义接听提示音。</w:t>
            </w:r>
          </w:p>
          <w:p w14:paraId="7A8852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47、系统扩展支持手机移动端WIFI点播、广播、对讲功能，兼容Android和IOS系统手机APP进行操作。</w:t>
            </w:r>
          </w:p>
          <w:p w14:paraId="7EF8CA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48、系统扩展支持电话广播功能，实现电话发起全区广播、分区广播、终端对讲的功能。</w:t>
            </w:r>
          </w:p>
          <w:p w14:paraId="552C7D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49、网络广播系统支持IPV6、IPV4网络协议，可实现基于IPV6网络的终端广播、定时任务播放、远程喊话、对讲功能。</w:t>
            </w:r>
          </w:p>
          <w:p w14:paraId="043325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50、系统支持显示屏任务功能，设置LED显示屏信息发布功能。支持展示服务器时间（年月日 时分秒）。</w:t>
            </w:r>
          </w:p>
          <w:p w14:paraId="3CBE66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51、系统支持设置广播超时自动挂断和对讲超时自动挂断功能，默认为0不限制会话时间，设置后按照规定时间自动结束任务。</w:t>
            </w:r>
          </w:p>
        </w:tc>
        <w:tc>
          <w:tcPr>
            <w:tcW w:w="729" w:type="dxa"/>
            <w:shd w:val="clear" w:color="auto" w:fill="auto"/>
            <w:vAlign w:val="center"/>
          </w:tcPr>
          <w:p w14:paraId="472CE0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951" w:type="dxa"/>
            <w:shd w:val="clear" w:color="auto" w:fill="auto"/>
            <w:vAlign w:val="center"/>
          </w:tcPr>
          <w:p w14:paraId="6915C9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2BD4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35" w:type="dxa"/>
            <w:shd w:val="clear" w:color="auto" w:fill="auto"/>
            <w:vAlign w:val="center"/>
          </w:tcPr>
          <w:p w14:paraId="31784C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2072" w:type="dxa"/>
            <w:shd w:val="clear" w:color="auto" w:fill="auto"/>
            <w:vAlign w:val="center"/>
          </w:tcPr>
          <w:p w14:paraId="4A3399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桌面操作系统</w:t>
            </w:r>
          </w:p>
        </w:tc>
        <w:tc>
          <w:tcPr>
            <w:tcW w:w="4943" w:type="dxa"/>
            <w:shd w:val="clear" w:color="auto" w:fill="auto"/>
            <w:vAlign w:val="center"/>
          </w:tcPr>
          <w:p w14:paraId="5B5875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银河麒麟桌面操作系统（工业版）V10（兆芯版）</w:t>
            </w:r>
          </w:p>
        </w:tc>
        <w:tc>
          <w:tcPr>
            <w:tcW w:w="729" w:type="dxa"/>
            <w:shd w:val="clear" w:color="auto" w:fill="auto"/>
            <w:vAlign w:val="center"/>
          </w:tcPr>
          <w:p w14:paraId="59F540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951" w:type="dxa"/>
            <w:shd w:val="clear" w:color="auto" w:fill="auto"/>
            <w:vAlign w:val="center"/>
          </w:tcPr>
          <w:p w14:paraId="47B91D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4364D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35" w:type="dxa"/>
            <w:shd w:val="clear" w:color="auto" w:fill="auto"/>
            <w:vAlign w:val="center"/>
          </w:tcPr>
          <w:p w14:paraId="3F874534">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w:t>
            </w:r>
          </w:p>
        </w:tc>
        <w:tc>
          <w:tcPr>
            <w:tcW w:w="2072" w:type="dxa"/>
            <w:shd w:val="clear" w:color="auto" w:fill="auto"/>
            <w:vAlign w:val="center"/>
          </w:tcPr>
          <w:p w14:paraId="6515967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寻呼话筒</w:t>
            </w:r>
          </w:p>
        </w:tc>
        <w:tc>
          <w:tcPr>
            <w:tcW w:w="4943" w:type="dxa"/>
            <w:shd w:val="clear" w:color="auto" w:fill="auto"/>
            <w:vAlign w:val="top"/>
          </w:tcPr>
          <w:p w14:paraId="0361E66A">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寻呼话筒</w:t>
            </w:r>
          </w:p>
          <w:p w14:paraId="72D8C61B">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1、桌面鹅颈设计，自带7英寸800 x 480的图形点阵K600+内核65K色显示的电阻触屏，显示界面简洁大方，适用于值班室、领导办公室、广播站等场合，可以对终端就行单向广播和双向对讲等功能使用。</w:t>
            </w:r>
          </w:p>
          <w:p w14:paraId="44DAE9F8">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2、内置2W全频高保真扬声器，实现双向通话和网络监听。</w:t>
            </w:r>
          </w:p>
          <w:p w14:paraId="20639F73">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3、一个φ3.5耳机插座和一个φ3.5MIC输入插座</w:t>
            </w:r>
          </w:p>
          <w:p w14:paraId="2538D433">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4、内置网络回声消除模块；IP终端之间实现两两双向对讲，延时低于100ms；同时网络回声啸叫彻底抑制。</w:t>
            </w:r>
          </w:p>
          <w:p w14:paraId="1353714F">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5、支持多种呼叫策略，包括无响应转移、占线转移、关机转移。</w:t>
            </w:r>
          </w:p>
          <w:p w14:paraId="66F955E4">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6、支持自动接听、手动接听，支持自定义接听提示音；支持转移时间、无人接听时间、呼叫等待时间自定义</w:t>
            </w:r>
          </w:p>
          <w:p w14:paraId="47783B63">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7、一路音频线路输出，外扩功放；一路音频线路输入,支持采集播放功能，提供多音源传输；一路报警触发短路输出，</w:t>
            </w:r>
          </w:p>
          <w:p w14:paraId="3981C4E6">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8、级联外扩警示设备或控制门禁；一路短路输入，可以用作触发预置语音提示（或报警），亦可用于控制门禁联动输入短路信号。</w:t>
            </w:r>
          </w:p>
          <w:p w14:paraId="11A58B05">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9、自带数字键，功能键界面。可环境监听，监听距离达到5m。</w:t>
            </w:r>
          </w:p>
          <w:p w14:paraId="370D0963">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10、1路数模解码模块，支持TCP/IP、UDP协议。</w:t>
            </w:r>
          </w:p>
          <w:p w14:paraId="42AB1985">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11、支持求助信号铃声、闪灯提示，一键接受求助、对讲功能，同时也可以支持免提通话和接收广播，实现快速链接。</w:t>
            </w:r>
          </w:p>
          <w:p w14:paraId="6F7A7874">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12、广播终端可进行远程固件升级。</w:t>
            </w:r>
          </w:p>
          <w:p w14:paraId="00B4C266">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13、可支持10个按键自定义一键呼叫广播功能。</w:t>
            </w:r>
          </w:p>
          <w:p w14:paraId="67BFA6E0">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14、采用话筒桌面式设计，带有7英寸显示屏，带触摸控制功能；显示屏自带数字键、功能键，支持通过触摸呼叫广播，支持呼叫分区及多个分区，呼叫全区广播</w:t>
            </w:r>
          </w:p>
          <w:p w14:paraId="2608B479">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15、支持直接操作呼叫或对讲任意终端，支持通过话筒广播呼叫功能，广播延时低于100毫秒。</w:t>
            </w:r>
          </w:p>
          <w:p w14:paraId="0E300986">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16、信噪比：&gt;65dB；PHONE OUT输出阻抗及额定功率：32Ω，2mW</w:t>
            </w:r>
          </w:p>
          <w:p w14:paraId="17BE1876">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17、内接扬声器阻抗及额定功率：4Ω，2W；总谐波失真：≤1%</w:t>
            </w:r>
          </w:p>
          <w:p w14:paraId="548E4314">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18、内置喇叭频率响应：317Hz~3.4KHz  +1/-3dB；LIEN OUT频率响应：80Hz~16KHz  +1/-3dB</w:t>
            </w:r>
          </w:p>
          <w:p w14:paraId="0BDFCAA4">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19、LINE OUT 输出电平：1000mV 工业标准压线接线端子；LINE OUT 输出阻抗：470Ω</w:t>
            </w:r>
          </w:p>
          <w:p w14:paraId="427A2611">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20、LINE IN输入灵敏度：350mV  工业标准压线接线端子</w:t>
            </w:r>
          </w:p>
          <w:p w14:paraId="7F0FB132">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21、MIC输入灵敏度（非平衡）：10mV</w:t>
            </w:r>
          </w:p>
          <w:p w14:paraId="24E30149">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22、网络接口：标准RJ45输入；支持协议：TCP/IP，UDP；音频模式：16位CD音质</w:t>
            </w:r>
          </w:p>
          <w:p w14:paraId="3022E589">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23、音频格式：MP3；采样率：8KHz~48KHz；传输速率：100Mbps</w:t>
            </w:r>
          </w:p>
          <w:p w14:paraId="2190A31E">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24、屏幕类型：65K色DGUS屏</w:t>
            </w:r>
          </w:p>
          <w:p w14:paraId="6B81EA09">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25、键盘类型：虚拟QWERTY键盘；键盘输入方式：触控</w:t>
            </w:r>
          </w:p>
          <w:p w14:paraId="3CCEC680">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26、短路输入：干接点输入；短路输出：最大1A/30VDC干接点</w:t>
            </w:r>
          </w:p>
          <w:p w14:paraId="54ABC6AF">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27、工作温度：5℃～40℃；工作湿度：20%～80%相对湿度，无结露；整机功耗：≤6W；输入电源：～190V-240V 50Hz-60Hz(电源适配器);DC24V/1.5A</w:t>
            </w:r>
          </w:p>
          <w:p w14:paraId="74ACBE08">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28、尺寸：（L×W×H）200 x 160 x 60 mm</w:t>
            </w:r>
          </w:p>
          <w:p w14:paraId="5B32C9BD">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29、净重：1.4Kg</w:t>
            </w:r>
          </w:p>
        </w:tc>
        <w:tc>
          <w:tcPr>
            <w:tcW w:w="729" w:type="dxa"/>
            <w:shd w:val="clear" w:color="auto" w:fill="auto"/>
            <w:vAlign w:val="center"/>
          </w:tcPr>
          <w:p w14:paraId="5D2CE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51" w:type="dxa"/>
            <w:shd w:val="clear" w:color="auto" w:fill="auto"/>
            <w:vAlign w:val="center"/>
          </w:tcPr>
          <w:p w14:paraId="5A88A1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714E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35" w:type="dxa"/>
            <w:shd w:val="clear" w:color="auto" w:fill="auto"/>
            <w:vAlign w:val="center"/>
          </w:tcPr>
          <w:p w14:paraId="384E30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2072" w:type="dxa"/>
            <w:shd w:val="clear" w:color="auto" w:fill="auto"/>
            <w:vAlign w:val="center"/>
          </w:tcPr>
          <w:p w14:paraId="1D2194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IP网络音箱</w:t>
            </w:r>
          </w:p>
        </w:tc>
        <w:tc>
          <w:tcPr>
            <w:tcW w:w="4943" w:type="dxa"/>
            <w:shd w:val="clear" w:color="auto" w:fill="auto"/>
            <w:vAlign w:val="center"/>
          </w:tcPr>
          <w:p w14:paraId="51B79D48">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IP网络音箱</w:t>
            </w:r>
          </w:p>
          <w:p w14:paraId="6ABBA653">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1、专业一体化壁挂式音箱设计，材质坚固，外表简洁大方，适用于普通教室，多媒体教室，办公室等场所播放录制语音文件或背景音乐节目。</w:t>
            </w:r>
          </w:p>
          <w:p w14:paraId="561743EE">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2、内置2*20W（MAX）功放，一路接主音箱，一路外接到副音箱。,具有网络音量设置功能。</w:t>
            </w:r>
          </w:p>
          <w:p w14:paraId="0D1795FA">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3、具备有1路线路输入接口，具有独立的音量旋钮。</w:t>
            </w:r>
          </w:p>
          <w:p w14:paraId="73B9032C">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4、可外接2.4G无线音频模块，实现2.4G无线麦克风进行本地扩音；可扩展连接蓝牙接收器实现接收蓝牙音频进行本地扩声。</w:t>
            </w:r>
          </w:p>
          <w:p w14:paraId="43E6972F">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5、1路数模解码模块，支持TCP/IP、UDP协议；</w:t>
            </w:r>
          </w:p>
          <w:p w14:paraId="5CC55A1F">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6、广播终端可进行远程固件升级。</w:t>
            </w:r>
          </w:p>
          <w:p w14:paraId="74C80BBB">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7、内置2级优先级功能设计：</w:t>
            </w:r>
          </w:p>
          <w:p w14:paraId="4BB311E2">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8、AUX与网络背景音乐信号同级，混音输出。 网络报警信号优先AUX与网络背景音乐信号。</w:t>
            </w:r>
          </w:p>
          <w:p w14:paraId="19033A59">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9、具有红外遥控播放本地IP地址功能。</w:t>
            </w:r>
          </w:p>
          <w:p w14:paraId="69953518">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10、网络接口：标准RJ45输入；传输速率：100Mbps；支持协议：TCP/IP、UDP</w:t>
            </w:r>
          </w:p>
          <w:p w14:paraId="6DF8A3BF">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11、频率响应：150Hz～16KHz(+1/-3dB)</w:t>
            </w:r>
          </w:p>
          <w:p w14:paraId="5527BB75">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12、谐波失真：≤1%；信噪比：&gt;65dB</w:t>
            </w:r>
          </w:p>
          <w:p w14:paraId="5012F5FE">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13、整机功耗：≤50W；输出功率：2×20W（MAX）</w:t>
            </w:r>
          </w:p>
          <w:p w14:paraId="25ECBDB0">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14、音频格式：MP3；音频模式：16位CD音质；采样率：8KHz～48KHz</w:t>
            </w:r>
          </w:p>
          <w:p w14:paraId="3D2D7C59">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15、辅助线路输入电平：350mV工业标准压线接线端子</w:t>
            </w:r>
          </w:p>
          <w:p w14:paraId="324D69B8">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16、工作环境温度：5℃～40℃；工作环境湿度：20%～80%相对湿度，无结露；输入电源：～190-240V 50-60Hz（电源适配器）；DC12V</w:t>
            </w:r>
          </w:p>
          <w:p w14:paraId="47AD9132">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17、尺寸（L×W×H）：135×125×250mm</w:t>
            </w:r>
          </w:p>
          <w:p w14:paraId="2EB0CA72">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18、重量：1.9Kg</w:t>
            </w:r>
          </w:p>
        </w:tc>
        <w:tc>
          <w:tcPr>
            <w:tcW w:w="729" w:type="dxa"/>
            <w:shd w:val="clear" w:color="auto" w:fill="auto"/>
            <w:vAlign w:val="center"/>
          </w:tcPr>
          <w:p w14:paraId="4147D4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51" w:type="dxa"/>
            <w:shd w:val="clear" w:color="auto" w:fill="auto"/>
            <w:vAlign w:val="center"/>
          </w:tcPr>
          <w:p w14:paraId="1370B4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3334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0" w:hRule="atLeast"/>
        </w:trPr>
        <w:tc>
          <w:tcPr>
            <w:tcW w:w="535" w:type="dxa"/>
            <w:shd w:val="clear" w:color="auto" w:fill="auto"/>
            <w:vAlign w:val="center"/>
          </w:tcPr>
          <w:p w14:paraId="0320BEF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33</w:t>
            </w:r>
          </w:p>
        </w:tc>
        <w:tc>
          <w:tcPr>
            <w:tcW w:w="2072" w:type="dxa"/>
            <w:shd w:val="clear" w:color="auto" w:fill="auto"/>
            <w:vAlign w:val="center"/>
          </w:tcPr>
          <w:p w14:paraId="446A3873">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合并式播放器 </w:t>
            </w:r>
          </w:p>
        </w:tc>
        <w:tc>
          <w:tcPr>
            <w:tcW w:w="4943" w:type="dxa"/>
            <w:shd w:val="clear" w:color="auto" w:fill="auto"/>
            <w:vAlign w:val="top"/>
          </w:tcPr>
          <w:p w14:paraId="7526C2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合并式播放器</w:t>
            </w:r>
          </w:p>
          <w:p w14:paraId="5D94C2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1、1U标准机柜式设计，支持播放CD、MP3和收音机，为广播系统提供高品质的音源。</w:t>
            </w:r>
          </w:p>
          <w:p w14:paraId="3F81EC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2、支持播放USB、SD卡、CD和收音机、蓝牙等四种音源，设备自带两个输出接口，CD和MP3共用一个，蓝牙和收音机共用一个。</w:t>
            </w:r>
          </w:p>
          <w:p w14:paraId="087552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3、采用高品质吸入式机芯和高品质收音模块，</w:t>
            </w:r>
          </w:p>
          <w:p w14:paraId="05BB158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4、调频、调幅（AM/FM）立体声二波段接收可选，支持电台频率记忆，最多可存储99个电台；</w:t>
            </w:r>
          </w:p>
          <w:p w14:paraId="752F69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5、支持通过红外遥控控制音量；</w:t>
            </w:r>
          </w:p>
          <w:p w14:paraId="09A95F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6、音频失真度：0.1%</w:t>
            </w:r>
          </w:p>
          <w:p w14:paraId="6CBB0F3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7、频响范围：20Hz-20kHz(-2dB)</w:t>
            </w:r>
          </w:p>
          <w:p w14:paraId="062F77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8、动态范围：75dB</w:t>
            </w:r>
          </w:p>
          <w:p w14:paraId="597168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9、收音和CD音频输出：775mV</w:t>
            </w:r>
          </w:p>
          <w:p w14:paraId="5B21B6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10、信噪比：85dB</w:t>
            </w:r>
          </w:p>
          <w:p w14:paraId="2D3D87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11、天线输入阻抗：AM:低阻 环形天线，FM:75Ω非平衡；</w:t>
            </w:r>
          </w:p>
          <w:p w14:paraId="1B6468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12、收音支持频率：AM:522kHz-1620kHz，FM:87.5MHz-108.0MHz；</w:t>
            </w:r>
          </w:p>
          <w:p w14:paraId="569ED9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13、收音灵敏度：AM:≤100uA，FM:≤10uA；</w:t>
            </w:r>
          </w:p>
          <w:p w14:paraId="1C8E8F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14、电台记忆：最多存储99个</w:t>
            </w:r>
          </w:p>
          <w:p w14:paraId="153EE8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15、通道串音：65dB</w:t>
            </w:r>
          </w:p>
          <w:p w14:paraId="3EA34B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16、设备供电：AC220V(50Hz)</w:t>
            </w:r>
          </w:p>
          <w:p w14:paraId="22C34C9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17、设备尺寸（mm）：（LxDxH）484×209×44mm</w:t>
            </w:r>
          </w:p>
          <w:p w14:paraId="0D0F8F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18、设备重量：3.80kg</w:t>
            </w:r>
          </w:p>
        </w:tc>
        <w:tc>
          <w:tcPr>
            <w:tcW w:w="729" w:type="dxa"/>
            <w:shd w:val="clear" w:color="auto" w:fill="auto"/>
            <w:vAlign w:val="center"/>
          </w:tcPr>
          <w:p w14:paraId="3FB242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51" w:type="dxa"/>
            <w:shd w:val="clear" w:color="auto" w:fill="auto"/>
            <w:vAlign w:val="center"/>
          </w:tcPr>
          <w:p w14:paraId="763976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775A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5" w:type="dxa"/>
            <w:shd w:val="clear" w:color="auto" w:fill="auto"/>
            <w:vAlign w:val="center"/>
          </w:tcPr>
          <w:p w14:paraId="0D2E808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c>
          <w:tcPr>
            <w:tcW w:w="2072" w:type="dxa"/>
            <w:shd w:val="clear" w:color="auto" w:fill="auto"/>
            <w:vAlign w:val="center"/>
          </w:tcPr>
          <w:p w14:paraId="46EC55F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前置放大器 </w:t>
            </w:r>
          </w:p>
        </w:tc>
        <w:tc>
          <w:tcPr>
            <w:tcW w:w="4943" w:type="dxa"/>
            <w:shd w:val="clear" w:color="auto" w:fill="auto"/>
            <w:vAlign w:val="top"/>
          </w:tcPr>
          <w:p w14:paraId="2A1497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1、设备采用标准机柜式设计（2U），设备适用于对普通音源进行前级放大。是具有多路话筒、音频以及紧急信号输入线路，单通道输出的前置放大器。</w:t>
            </w:r>
          </w:p>
          <w:p w14:paraId="4A9DAF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2、设备具有5路话筒（MIC）输入，3路标准信号线路（AUX）输入，2路紧急线路（EMC）输入。</w:t>
            </w:r>
          </w:p>
          <w:p w14:paraId="7D4522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3、设备话筒1-5的输入灵敏度：话筒:5mV/600Ω非平衡；线路RCA:775mV /10KΩ非平衡</w:t>
            </w:r>
          </w:p>
          <w:p w14:paraId="6C85B7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4、设备辅助1-3输入：AUX 1.2.3: 350mV/10KΩ非平衡</w:t>
            </w:r>
          </w:p>
          <w:p w14:paraId="08461B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5、设备EMC1-2输入：RAC:非平衡 200mV～1000mV/10KΩ；MIC：非平衡 5mV～25mV/600Ω</w:t>
            </w:r>
          </w:p>
          <w:p w14:paraId="486A1C6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6、设备具有默音深度调节旋钮和EMC输入增益调节旋钮。设备设有高音（TREBLE）和低音（BASS）独立调节。</w:t>
            </w:r>
          </w:p>
          <w:p w14:paraId="07FA69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7、设备话筒（MIC）输入通道和线路（AUX）输入通道均可独立调校音量，并设有总音量控制旋钮。</w:t>
            </w:r>
          </w:p>
          <w:p w14:paraId="2A725C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8、设备MIC1、2、3、4、5 和2路紧急输入（EMC）通道均附设有线路辅助输入接口功能。</w:t>
            </w:r>
          </w:p>
          <w:p w14:paraId="7B2542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9、设备紧急输入线路具有二级优先，强行切入优先功能。</w:t>
            </w:r>
          </w:p>
          <w:p w14:paraId="3C09209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10、设备MIC 5具有最高优先、强行切入优先功能；MIC 5和EMC最高优先权限功能可通过拔动开关交替选择，客户可根据使用情况选择优先。</w:t>
            </w:r>
          </w:p>
          <w:p w14:paraId="34C646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11、设备MIC1、2、3、4和AUX1、2、3可交叉混合输出；其中MIC1灵敏度可根据项目现场应用通过电位器灵活调节。</w:t>
            </w:r>
          </w:p>
          <w:p w14:paraId="238627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12、设备电源：～220V/50Hz</w:t>
            </w:r>
          </w:p>
          <w:p w14:paraId="57B5B1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13、设备电源功耗：20W</w:t>
            </w:r>
          </w:p>
          <w:p w14:paraId="5C8C92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14、设备尺寸：484×303×88mm</w:t>
            </w:r>
          </w:p>
          <w:p w14:paraId="2A8D4C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15、设备重量：4.54Kg</w:t>
            </w:r>
          </w:p>
          <w:p w14:paraId="32E7C4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16、设备频率响应：20Hz-20KHz(±3dB)</w:t>
            </w:r>
          </w:p>
          <w:p w14:paraId="0165B5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17、设备信噪比：MIC 输入:50dB； AUX输入:80dB</w:t>
            </w:r>
          </w:p>
          <w:p w14:paraId="4E824E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18、设备音调调节：低音:±10dB at 100Hz；高音:±10dB at 10KHz</w:t>
            </w:r>
          </w:p>
        </w:tc>
        <w:tc>
          <w:tcPr>
            <w:tcW w:w="729" w:type="dxa"/>
            <w:shd w:val="clear" w:color="auto" w:fill="auto"/>
            <w:vAlign w:val="center"/>
          </w:tcPr>
          <w:p w14:paraId="5DD850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51" w:type="dxa"/>
            <w:shd w:val="clear" w:color="auto" w:fill="auto"/>
            <w:vAlign w:val="center"/>
          </w:tcPr>
          <w:p w14:paraId="2828C3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26069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35" w:type="dxa"/>
            <w:shd w:val="clear" w:color="auto" w:fill="auto"/>
            <w:vAlign w:val="center"/>
          </w:tcPr>
          <w:p w14:paraId="34D133B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2072" w:type="dxa"/>
            <w:shd w:val="clear" w:color="auto" w:fill="auto"/>
            <w:vAlign w:val="center"/>
          </w:tcPr>
          <w:p w14:paraId="2709DA6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JE系列话筒 </w:t>
            </w:r>
          </w:p>
        </w:tc>
        <w:tc>
          <w:tcPr>
            <w:tcW w:w="4943" w:type="dxa"/>
            <w:shd w:val="clear" w:color="auto" w:fill="auto"/>
            <w:vAlign w:val="top"/>
          </w:tcPr>
          <w:p w14:paraId="1BF8CCF6">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JE系列话筒</w:t>
            </w:r>
          </w:p>
          <w:p w14:paraId="650690AB">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1、话筒带钟声提示功能和灯环提示功能，具备较好的抗手机、电磁、高频干扰能力。</w:t>
            </w:r>
          </w:p>
          <w:p w14:paraId="445DF08F">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2、是心形指向性话筒，采用驻极体的换能方式。</w:t>
            </w:r>
          </w:p>
          <w:p w14:paraId="368F3F78">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3、标配10m卡农母转6.35mm音频线和420mm咪杆</w:t>
            </w:r>
          </w:p>
          <w:p w14:paraId="4AB92366">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4、供电电源：交流220V/50Hz（适配器供电 直流 11.4V）；电池供电:直流9V</w:t>
            </w:r>
          </w:p>
          <w:p w14:paraId="2D4E562C">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5、前奏音：开启时，有前奏音乐放出</w:t>
            </w:r>
          </w:p>
          <w:p w14:paraId="520A9861">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6、话筒灵敏度：-43dB±2dB</w:t>
            </w:r>
          </w:p>
          <w:p w14:paraId="21092712">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7、频响范围：40Hz-16kHz</w:t>
            </w:r>
          </w:p>
          <w:p w14:paraId="509B9800">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8、前置提示音灵敏度：-50dB±2dB</w:t>
            </w:r>
          </w:p>
          <w:p w14:paraId="708B5E1E">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9、产品尺寸（长*宽*高）：125*150*455mm</w:t>
            </w:r>
          </w:p>
          <w:p w14:paraId="3575C7C1">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10、产品重量：0.67kg</w:t>
            </w:r>
          </w:p>
        </w:tc>
        <w:tc>
          <w:tcPr>
            <w:tcW w:w="729" w:type="dxa"/>
            <w:shd w:val="clear" w:color="auto" w:fill="auto"/>
            <w:vAlign w:val="center"/>
          </w:tcPr>
          <w:p w14:paraId="0B161C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51" w:type="dxa"/>
            <w:shd w:val="clear" w:color="auto" w:fill="auto"/>
            <w:vAlign w:val="center"/>
          </w:tcPr>
          <w:p w14:paraId="548461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16503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35" w:type="dxa"/>
            <w:shd w:val="clear" w:color="auto" w:fill="auto"/>
            <w:vAlign w:val="center"/>
          </w:tcPr>
          <w:p w14:paraId="0C4BDFB3">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w:t>
            </w:r>
          </w:p>
        </w:tc>
        <w:tc>
          <w:tcPr>
            <w:tcW w:w="2072" w:type="dxa"/>
            <w:shd w:val="clear" w:color="auto" w:fill="auto"/>
            <w:vAlign w:val="center"/>
          </w:tcPr>
          <w:p w14:paraId="285AC613">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IP音频采集器</w:t>
            </w:r>
          </w:p>
        </w:tc>
        <w:tc>
          <w:tcPr>
            <w:tcW w:w="4943" w:type="dxa"/>
            <w:shd w:val="clear" w:color="auto" w:fill="auto"/>
            <w:vAlign w:val="top"/>
          </w:tcPr>
          <w:p w14:paraId="444DD5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1、设备音频格式：MP3、PCM；设备采样率：8KHz~48KHz；设备音频模式：ADPCM PCM</w:t>
            </w:r>
          </w:p>
          <w:p w14:paraId="5AFBA4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2、设备输入频率：80Hz～16KHz   +1/-3dB；设备AUX输入灵敏度：350mV 标准莲花座输入接口（非平衡）；设备AUX声压触发阀值：≥10MV</w:t>
            </w:r>
          </w:p>
          <w:p w14:paraId="001299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3、设备专为IP网络广播系统采集外部模拟音频信号设计。</w:t>
            </w:r>
          </w:p>
          <w:p w14:paraId="1F34E5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4、设备可将模拟音频采集编码成数字音频，通过网络传输到指定区域终端播放。</w:t>
            </w:r>
          </w:p>
          <w:p w14:paraId="2EAB9F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5、设备采用全铝外壳工艺。</w:t>
            </w:r>
          </w:p>
          <w:p w14:paraId="7B3FEE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6、设备网络接口:标准RJ45输入；传输速率：100Mbps。</w:t>
            </w:r>
          </w:p>
          <w:p w14:paraId="751FFD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7、设备采用嵌入式计算机技术和DSP音频处理技术设计。</w:t>
            </w:r>
          </w:p>
          <w:p w14:paraId="60B0258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8、设备内置2组RCA输入端子，带输入音量调节，灵活适配多种不同灵敏度音频设备，支持输入音频压限功能。</w:t>
            </w:r>
          </w:p>
          <w:p w14:paraId="623792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9、设备支持5分区独立触发打开或关闭采集功能，面板带有5个分区触发按键及指示灯。</w:t>
            </w:r>
          </w:p>
          <w:p w14:paraId="7F8533A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10、设备支持路由器、交换机、网桥网关、Modem、Internet、2G、3G、4G等任意网络结构。</w:t>
            </w:r>
          </w:p>
          <w:p w14:paraId="4F8615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11、设备支持广播系统对终端进行远程固件升级，无需到终端本地升级，减轻维护人员工作强度。</w:t>
            </w:r>
          </w:p>
          <w:p w14:paraId="661EC0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12、设备支持音频触发采集任务；可通过服务器的采集配置，实现AUX输入自动触发采集任务。</w:t>
            </w:r>
          </w:p>
          <w:p w14:paraId="75AB1A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13、设备支持声压触发采集外部音源，智能识别音频,自动建立采集任务,可自定义执行区域,可自定义延时关闭时间。</w:t>
            </w:r>
          </w:p>
          <w:p w14:paraId="0663D9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14、设备采播模式：支持“普通采播”、“中级采播”和“高级采播”三种采播模式</w:t>
            </w:r>
          </w:p>
          <w:p w14:paraId="27FEBC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15、设备输入电源：DC12V/1A</w:t>
            </w:r>
          </w:p>
          <w:p w14:paraId="201808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16、设备功耗：≤10W</w:t>
            </w:r>
          </w:p>
          <w:p w14:paraId="590BEA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17、设备支持TCP/IP、UDP协议</w:t>
            </w:r>
          </w:p>
          <w:p w14:paraId="53B16B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18、谐波失真：≤0.3%</w:t>
            </w:r>
          </w:p>
          <w:p w14:paraId="73D9DF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19、信噪比：≥68dB</w:t>
            </w:r>
          </w:p>
          <w:p w14:paraId="174DE9E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20、环境温度：5℃～40℃</w:t>
            </w:r>
          </w:p>
          <w:p w14:paraId="722981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21、环境湿度：20%～80%相对湿度，无结露</w:t>
            </w:r>
          </w:p>
          <w:p w14:paraId="2CFA70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22、尺寸：165x156x33mm</w:t>
            </w:r>
          </w:p>
          <w:p w14:paraId="65422F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23、重量：0.5Kg</w:t>
            </w:r>
          </w:p>
          <w:p w14:paraId="5BC635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24、设备“普通采播”模式：可获得极低延迟的网络音频采集效果</w:t>
            </w:r>
          </w:p>
          <w:p w14:paraId="4E8B4C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25、设备“中级采播”模式：可获得低延迟一般音质的网络采集效果</w:t>
            </w:r>
          </w:p>
          <w:p w14:paraId="34D2C5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26、设备“高级采播”模式：可获得极低失真率的网络音频采集效果</w:t>
            </w:r>
          </w:p>
          <w:p w14:paraId="2A050A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27、设备内置网络硬件音频编码模块：1路</w:t>
            </w:r>
          </w:p>
          <w:p w14:paraId="01B799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28、实现网络化传输16位CD音质的音频信号：支持</w:t>
            </w:r>
          </w:p>
          <w:p w14:paraId="75B375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29、采播任务：定时采播任务、临时采播任务</w:t>
            </w:r>
          </w:p>
          <w:p w14:paraId="38BB20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30、采播任务优先级别可通过服务器设置：支持</w:t>
            </w:r>
          </w:p>
        </w:tc>
        <w:tc>
          <w:tcPr>
            <w:tcW w:w="729" w:type="dxa"/>
            <w:shd w:val="clear" w:color="auto" w:fill="auto"/>
            <w:vAlign w:val="center"/>
          </w:tcPr>
          <w:p w14:paraId="0E3E11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51" w:type="dxa"/>
            <w:shd w:val="clear" w:color="auto" w:fill="auto"/>
            <w:vAlign w:val="center"/>
          </w:tcPr>
          <w:p w14:paraId="09CE1D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06F9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35" w:type="dxa"/>
            <w:shd w:val="clear" w:color="auto" w:fill="auto"/>
            <w:vAlign w:val="center"/>
          </w:tcPr>
          <w:p w14:paraId="2C887E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37</w:t>
            </w:r>
          </w:p>
        </w:tc>
        <w:tc>
          <w:tcPr>
            <w:tcW w:w="2072" w:type="dxa"/>
            <w:shd w:val="clear" w:color="auto" w:fill="auto"/>
            <w:vAlign w:val="center"/>
          </w:tcPr>
          <w:p w14:paraId="6DC893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控制器</w:t>
            </w:r>
          </w:p>
        </w:tc>
        <w:tc>
          <w:tcPr>
            <w:tcW w:w="4943" w:type="dxa"/>
            <w:shd w:val="clear" w:color="auto" w:fill="auto"/>
            <w:vAlign w:val="center"/>
          </w:tcPr>
          <w:p w14:paraId="4889D59F">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控制器（电源时序器）</w:t>
            </w:r>
          </w:p>
          <w:p w14:paraId="7A5F0041">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1、设备支持中英文语言显示界面切换。</w:t>
            </w:r>
          </w:p>
          <w:p w14:paraId="2554F3FF">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2、设备支持固定IP地址接入。</w:t>
            </w:r>
          </w:p>
          <w:p w14:paraId="69535EED">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3、设备支持DHCP自动分配接入。</w:t>
            </w:r>
          </w:p>
          <w:p w14:paraId="208D58EA">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4、设备支持ADSL智能拨号接入。</w:t>
            </w:r>
          </w:p>
          <w:p w14:paraId="4C6C8F82">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5、设备液晶显示屏支持显示当前时间、当前时区等。</w:t>
            </w:r>
          </w:p>
          <w:p w14:paraId="226E5230">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6、设备为专业NTP服务器。</w:t>
            </w:r>
          </w:p>
          <w:p w14:paraId="3E89ADAB">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7、设备网络接口：标准RJ45输入；设备传输速率：100Mbps。</w:t>
            </w:r>
          </w:p>
          <w:p w14:paraId="03D7C58E">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8、设备可设定为自动获取IP地址功能。</w:t>
            </w:r>
          </w:p>
          <w:p w14:paraId="2C4F5068">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9、系统带北斗卫星导航系统（BDS）+GPS卫星定位系统两大定位系统，可以实现后台远程切换两个不同系统。</w:t>
            </w:r>
          </w:p>
          <w:p w14:paraId="5B40CA06">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10、设备支持自动实现卫星自动校时，使用地球同步卫星作为校时基准，与格林威治时间误差小于0.1秒。</w:t>
            </w:r>
          </w:p>
          <w:p w14:paraId="238D3FC0">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11、设备支持与公共广播系统对接作为校时系统，保障公共广播系统和定时任务准确性。</w:t>
            </w:r>
          </w:p>
          <w:p w14:paraId="2DE26E49">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12、设备支持一键恢复出厂功能，最大程度方便系统维护管理。</w:t>
            </w:r>
          </w:p>
          <w:p w14:paraId="36E49EDB">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13、设备支持协议：TCP/IP，UDP，IGMP(组播)，IETF SIP。</w:t>
            </w:r>
          </w:p>
          <w:p w14:paraId="76365584">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14、设备支持进行远程固件升级，无需到终端本地升级，减轻维护人员工作强度。</w:t>
            </w:r>
          </w:p>
          <w:p w14:paraId="41CAC906">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15、设备内置网络解码模块，通过网络与公共广播系统通讯，接收地球同步卫星信号进行时间校准。</w:t>
            </w:r>
          </w:p>
          <w:p w14:paraId="4EBB76A5">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16、设备电源：~190V-240V 50Hz-60Hz；DC24V/1A。</w:t>
            </w:r>
          </w:p>
          <w:p w14:paraId="1CA711FB">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17、设备设计：标准机柜式设计</w:t>
            </w:r>
          </w:p>
          <w:p w14:paraId="633A4650">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18、设备净重：2Kg</w:t>
            </w:r>
          </w:p>
          <w:p w14:paraId="6D1C70AE">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19、设备功耗：20W</w:t>
            </w:r>
          </w:p>
          <w:p w14:paraId="63CA90D4">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20、设备工作温度：5℃～40℃</w:t>
            </w:r>
          </w:p>
          <w:p w14:paraId="34A734C3">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21、设备工作湿度：20%～80%相对湿度，无结露</w:t>
            </w:r>
          </w:p>
          <w:p w14:paraId="6D77AC81">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22、设备待机功率：＜3W</w:t>
            </w:r>
          </w:p>
          <w:p w14:paraId="5D6D569D">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23、设备尺寸：484 x 310 x 44mm</w:t>
            </w:r>
          </w:p>
          <w:p w14:paraId="101F592D">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24、设备采用操作系统：linux</w:t>
            </w:r>
          </w:p>
        </w:tc>
        <w:tc>
          <w:tcPr>
            <w:tcW w:w="729" w:type="dxa"/>
            <w:shd w:val="clear" w:color="auto" w:fill="auto"/>
            <w:vAlign w:val="center"/>
          </w:tcPr>
          <w:p w14:paraId="287A7E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51" w:type="dxa"/>
            <w:shd w:val="clear" w:color="auto" w:fill="auto"/>
            <w:vAlign w:val="center"/>
          </w:tcPr>
          <w:p w14:paraId="549743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6F22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35" w:type="dxa"/>
            <w:shd w:val="clear" w:color="auto" w:fill="auto"/>
            <w:vAlign w:val="center"/>
          </w:tcPr>
          <w:p w14:paraId="7E2E1B4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w:t>
            </w:r>
          </w:p>
        </w:tc>
        <w:tc>
          <w:tcPr>
            <w:tcW w:w="2072" w:type="dxa"/>
            <w:shd w:val="clear" w:color="auto" w:fill="auto"/>
            <w:vAlign w:val="center"/>
          </w:tcPr>
          <w:p w14:paraId="7DCF972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24口交换机</w:t>
            </w:r>
          </w:p>
        </w:tc>
        <w:tc>
          <w:tcPr>
            <w:tcW w:w="4943" w:type="dxa"/>
            <w:shd w:val="clear" w:color="auto" w:fill="auto"/>
            <w:vAlign w:val="top"/>
          </w:tcPr>
          <w:p w14:paraId="5F17729E">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24口交换机</w:t>
            </w:r>
          </w:p>
          <w:p w14:paraId="0B8A5B4E">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1、外形尺寸：440mmx173mmx44mm</w:t>
            </w:r>
          </w:p>
          <w:p w14:paraId="19B8E63C">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2、固定端口：24个10/100/1000Base-T电口，2个1000Base-XSFP端口</w:t>
            </w:r>
          </w:p>
          <w:p w14:paraId="1BBF3B32">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3、交换容量：52Gbps</w:t>
            </w:r>
          </w:p>
          <w:p w14:paraId="3AC6C99A">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4、转发能力：38.7MppS</w:t>
            </w:r>
          </w:p>
          <w:p w14:paraId="54820CDE">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5、模式切换：标准交换，网络克隆，汇聚上联，端囗隔离</w:t>
            </w:r>
          </w:p>
          <w:p w14:paraId="0F6F04F7">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6、MAC表：8K</w:t>
            </w:r>
          </w:p>
          <w:p w14:paraId="2A185E5B">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7、交换模式：存储转发</w:t>
            </w:r>
          </w:p>
          <w:p w14:paraId="2A7821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8、电源：100~240V AC</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9、品牌不低于“海康威视、大华、H3C”产品品质</w:t>
            </w:r>
          </w:p>
        </w:tc>
        <w:tc>
          <w:tcPr>
            <w:tcW w:w="729" w:type="dxa"/>
            <w:shd w:val="clear" w:color="auto" w:fill="auto"/>
            <w:vAlign w:val="center"/>
          </w:tcPr>
          <w:p w14:paraId="16BFA4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51" w:type="dxa"/>
            <w:shd w:val="clear" w:color="auto" w:fill="auto"/>
            <w:vAlign w:val="center"/>
          </w:tcPr>
          <w:p w14:paraId="2C9E7A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059F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35" w:type="dxa"/>
            <w:shd w:val="clear" w:color="auto" w:fill="auto"/>
            <w:vAlign w:val="center"/>
          </w:tcPr>
          <w:p w14:paraId="19B91CC9">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39</w:t>
            </w:r>
          </w:p>
        </w:tc>
        <w:tc>
          <w:tcPr>
            <w:tcW w:w="2072" w:type="dxa"/>
            <w:shd w:val="clear" w:color="auto" w:fill="auto"/>
            <w:vAlign w:val="center"/>
          </w:tcPr>
          <w:p w14:paraId="1E7C4B7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网络机柜</w:t>
            </w:r>
          </w:p>
        </w:tc>
        <w:tc>
          <w:tcPr>
            <w:tcW w:w="4943" w:type="dxa"/>
            <w:shd w:val="clear" w:color="auto" w:fill="auto"/>
            <w:vAlign w:val="top"/>
          </w:tcPr>
          <w:p w14:paraId="6CB445E2">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规格：600*600*1800mm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1、尺寸:1800/600/600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2、容量:37U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3、配置:8位10A PDU插排一个、固定板3块、风扇部件2组、4只两寸重型脚轮、M6方螺母钉40套、内六角扳手一只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4、品牌不低于“顺通、图腾、金盾”产品品质</w:t>
            </w:r>
          </w:p>
        </w:tc>
        <w:tc>
          <w:tcPr>
            <w:tcW w:w="729" w:type="dxa"/>
            <w:shd w:val="clear" w:color="auto" w:fill="auto"/>
            <w:vAlign w:val="center"/>
          </w:tcPr>
          <w:p w14:paraId="777F1C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51" w:type="dxa"/>
            <w:shd w:val="clear" w:color="auto" w:fill="auto"/>
            <w:vAlign w:val="center"/>
          </w:tcPr>
          <w:p w14:paraId="603074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540A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35" w:type="dxa"/>
            <w:shd w:val="clear" w:color="auto" w:fill="auto"/>
            <w:vAlign w:val="center"/>
          </w:tcPr>
          <w:p w14:paraId="15546873">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2072" w:type="dxa"/>
            <w:shd w:val="clear" w:color="auto" w:fill="auto"/>
            <w:vAlign w:val="center"/>
          </w:tcPr>
          <w:p w14:paraId="07212BC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电源管理器 </w:t>
            </w:r>
          </w:p>
        </w:tc>
        <w:tc>
          <w:tcPr>
            <w:tcW w:w="4943" w:type="dxa"/>
            <w:shd w:val="clear" w:color="auto" w:fill="auto"/>
            <w:vAlign w:val="top"/>
          </w:tcPr>
          <w:p w14:paraId="18F0503C">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1、设备采用标准1U机箱设计，具有USB输出接口，可以接LED灯。</w:t>
            </w:r>
          </w:p>
          <w:p w14:paraId="5E04BF5A">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2、8通道电源时序打开/关闭。</w:t>
            </w:r>
          </w:p>
          <w:p w14:paraId="310F76CB">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3、设备支持远程控制（上电+24V直流信号）8通道电源时序打开/关闭—当船型开关锁处于off位置时有效；支持配置CH1和CH2通道为受控或不受控状态。</w:t>
            </w:r>
          </w:p>
          <w:p w14:paraId="66B77E58">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4、设备远程控制功能支持级联控制输出。</w:t>
            </w:r>
          </w:p>
          <w:p w14:paraId="21F76A87">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5、单个通道最大负载功率2200W，所有通道负载总功率达6000W。</w:t>
            </w:r>
          </w:p>
          <w:p w14:paraId="38505D7E">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6、输入连接器：大功率线码式电源连接器。</w:t>
            </w:r>
          </w:p>
          <w:p w14:paraId="44CCA4F2">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7、输出连接器：多用途电源插座。</w:t>
            </w:r>
          </w:p>
          <w:p w14:paraId="13833AE3">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8、当远程控制有效时同时控制后板ALARM（报警）端口导通以起到级联控制ALARM（报警）功能。</w:t>
            </w:r>
          </w:p>
          <w:p w14:paraId="23915CD0">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9、额定输出电压：AC~220V50Hz</w:t>
            </w:r>
          </w:p>
          <w:p w14:paraId="62B6FA2C">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10、额定输出电流：30A</w:t>
            </w:r>
          </w:p>
          <w:p w14:paraId="7A6924CD">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11、可控制电源：8路</w:t>
            </w:r>
          </w:p>
          <w:p w14:paraId="60C64940">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12、每路动作延时时间：1秒</w:t>
            </w:r>
          </w:p>
          <w:p w14:paraId="37050FCA">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13、输入电压：~220V(50/60Hz)</w:t>
            </w:r>
          </w:p>
          <w:p w14:paraId="63A5B480">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14、单路额定输出电源：10A</w:t>
            </w:r>
          </w:p>
          <w:p w14:paraId="59C67C45">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15、产品尺寸：长484mm×宽258.5mm×高44mm</w:t>
            </w:r>
          </w:p>
          <w:p w14:paraId="6244322E">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16、产品重量：4.2kg</w:t>
            </w:r>
          </w:p>
        </w:tc>
        <w:tc>
          <w:tcPr>
            <w:tcW w:w="729" w:type="dxa"/>
            <w:shd w:val="clear" w:color="auto" w:fill="auto"/>
            <w:vAlign w:val="center"/>
          </w:tcPr>
          <w:p w14:paraId="6F7A72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51" w:type="dxa"/>
            <w:shd w:val="clear" w:color="auto" w:fill="auto"/>
            <w:vAlign w:val="center"/>
          </w:tcPr>
          <w:p w14:paraId="06ED33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7ECF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35" w:type="dxa"/>
            <w:shd w:val="clear" w:color="auto" w:fill="auto"/>
            <w:vAlign w:val="center"/>
          </w:tcPr>
          <w:p w14:paraId="305657F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41</w:t>
            </w:r>
          </w:p>
        </w:tc>
        <w:tc>
          <w:tcPr>
            <w:tcW w:w="2072" w:type="dxa"/>
            <w:shd w:val="clear" w:color="auto" w:fill="auto"/>
            <w:vAlign w:val="center"/>
          </w:tcPr>
          <w:p w14:paraId="31DAC2C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消防联动采集器 </w:t>
            </w:r>
          </w:p>
        </w:tc>
        <w:tc>
          <w:tcPr>
            <w:tcW w:w="4943" w:type="dxa"/>
            <w:shd w:val="clear" w:color="auto" w:fill="auto"/>
            <w:vAlign w:val="top"/>
          </w:tcPr>
          <w:p w14:paraId="53ADE5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消防联动采集器</w:t>
            </w:r>
          </w:p>
          <w:p w14:paraId="4591EB9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1、标准机柜式设计，金属面板，工艺考究，外观简洁大方，设置于消防中心，用于采集消防报警短路信号。</w:t>
            </w:r>
          </w:p>
          <w:p w14:paraId="6D37C7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2、支持后台设置报警策略，可为每路短路信号输入端口配置报警策略，关联联动的终端及播放曲目等功能；面板支持一键取消任务。</w:t>
            </w:r>
          </w:p>
          <w:p w14:paraId="566145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3、支持16路消防短路信号输入，可无限扩展输入接口，方便更大的系统使用；标配网络接口，全速率连接最高可达100M。</w:t>
            </w:r>
          </w:p>
          <w:p w14:paraId="06E98A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4、广播终端可进行远程固件升级。</w:t>
            </w:r>
          </w:p>
          <w:p w14:paraId="302460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5、网络接口：标准RJ45输入；支持协议：TCP/IP、UDP；传输速率：100Mbps</w:t>
            </w:r>
          </w:p>
          <w:p w14:paraId="67A042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6、功耗：≤20W；输入电源：～190V-240V 50Hz-60Hz</w:t>
            </w:r>
          </w:p>
          <w:p w14:paraId="1D2E45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7、短路接口：工业标准压线接线端子</w:t>
            </w:r>
          </w:p>
          <w:p w14:paraId="02251D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8、尺寸：（L×W×H)484 x 209 x 44mm</w:t>
            </w:r>
          </w:p>
          <w:p w14:paraId="444165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9、重量：3.2Kg</w:t>
            </w:r>
          </w:p>
        </w:tc>
        <w:tc>
          <w:tcPr>
            <w:tcW w:w="729" w:type="dxa"/>
            <w:shd w:val="clear" w:color="auto" w:fill="auto"/>
            <w:vAlign w:val="center"/>
          </w:tcPr>
          <w:p w14:paraId="303386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951" w:type="dxa"/>
            <w:shd w:val="clear" w:color="auto" w:fill="auto"/>
            <w:vAlign w:val="center"/>
          </w:tcPr>
          <w:p w14:paraId="5F9ABB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54D0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9230" w:type="dxa"/>
            <w:gridSpan w:val="5"/>
            <w:shd w:val="clear" w:color="auto" w:fill="auto"/>
            <w:vAlign w:val="center"/>
          </w:tcPr>
          <w:p w14:paraId="29E008DE">
            <w:pPr>
              <w:jc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（二）校园广播站设备</w:t>
            </w:r>
          </w:p>
        </w:tc>
      </w:tr>
      <w:tr w14:paraId="73C1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5" w:type="dxa"/>
            <w:shd w:val="clear" w:color="auto" w:fill="auto"/>
            <w:vAlign w:val="center"/>
          </w:tcPr>
          <w:p w14:paraId="629DD5D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42</w:t>
            </w:r>
          </w:p>
        </w:tc>
        <w:tc>
          <w:tcPr>
            <w:tcW w:w="2072" w:type="dxa"/>
            <w:shd w:val="clear" w:color="auto" w:fill="auto"/>
            <w:vAlign w:val="center"/>
          </w:tcPr>
          <w:p w14:paraId="243974B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工作站</w:t>
            </w:r>
          </w:p>
        </w:tc>
        <w:tc>
          <w:tcPr>
            <w:tcW w:w="4943" w:type="dxa"/>
            <w:shd w:val="clear" w:color="auto" w:fill="auto"/>
            <w:vAlign w:val="top"/>
          </w:tcPr>
          <w:p w14:paraId="1F3E2CD7">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1、处理器：i7处理器</w:t>
            </w:r>
          </w:p>
          <w:p w14:paraId="69B469A8">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2、内存：16G</w:t>
            </w:r>
          </w:p>
          <w:p w14:paraId="2A94A34C">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3、硬盘：1TB SSD</w:t>
            </w:r>
          </w:p>
          <w:p w14:paraId="7B4E9B92">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4、系统：Windows 11家庭中文版</w:t>
            </w:r>
          </w:p>
          <w:p w14:paraId="066DD100">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5、包含21.45英寸显示器（分辨率：1080P）</w:t>
            </w:r>
          </w:p>
        </w:tc>
        <w:tc>
          <w:tcPr>
            <w:tcW w:w="729" w:type="dxa"/>
            <w:shd w:val="clear" w:color="auto" w:fill="auto"/>
            <w:vAlign w:val="center"/>
          </w:tcPr>
          <w:p w14:paraId="4B8503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51" w:type="dxa"/>
            <w:shd w:val="clear" w:color="auto" w:fill="auto"/>
            <w:vAlign w:val="center"/>
          </w:tcPr>
          <w:p w14:paraId="069FD6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5B67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5" w:type="dxa"/>
            <w:shd w:val="clear" w:color="auto" w:fill="auto"/>
            <w:vAlign w:val="center"/>
          </w:tcPr>
          <w:p w14:paraId="148B51D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43</w:t>
            </w:r>
          </w:p>
        </w:tc>
        <w:tc>
          <w:tcPr>
            <w:tcW w:w="2072" w:type="dxa"/>
            <w:shd w:val="clear" w:color="auto" w:fill="auto"/>
            <w:vAlign w:val="center"/>
          </w:tcPr>
          <w:p w14:paraId="503AF75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IP网络广播系统分控软件</w:t>
            </w:r>
          </w:p>
        </w:tc>
        <w:tc>
          <w:tcPr>
            <w:tcW w:w="4943" w:type="dxa"/>
            <w:shd w:val="clear" w:color="auto" w:fill="auto"/>
            <w:vAlign w:val="top"/>
          </w:tcPr>
          <w:p w14:paraId="7C08326D">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IP网络广播系统分控软件</w:t>
            </w:r>
          </w:p>
          <w:p w14:paraId="540B6271">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1、用户登陆通过系统服务器的权限验证即可进行对广播系统的控制。</w:t>
            </w:r>
          </w:p>
          <w:p w14:paraId="02FB3FE9">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2、系统支持创建终端采集任务，可设置普通、中级的采集音质类型。</w:t>
            </w:r>
          </w:p>
          <w:p w14:paraId="0A79815A">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3、系统支持创建音乐播放任务，可进行本地文件播放，可选择多首歌曲进行顺序播放或循环播放或随机播放。</w:t>
            </w:r>
          </w:p>
          <w:p w14:paraId="35AF7366">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4、系统支持创建文本广播任务，可实现将文本转成语音，支持后台调整语速、设置播放语音、循环次数的功能。</w:t>
            </w:r>
          </w:p>
          <w:p w14:paraId="3875AAE8">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5、系统支持创建声卡采集任务，可通过分控客户端所在电脑的声卡进行实时采播，并且支持将采播的内容进行录音存储。</w:t>
            </w:r>
          </w:p>
          <w:p w14:paraId="348526F6">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6、数字客户端分控软件运行于Windows操作系统的台式电脑或笔记本电脑（兼容(win7-win10、server2008或更高版本)）。</w:t>
            </w:r>
          </w:p>
          <w:p w14:paraId="188AED7D">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7、系统支持分控端查看终端上下线记录，可设置终端掉线弹窗提示。</w:t>
            </w:r>
          </w:p>
          <w:p w14:paraId="72165471">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8、支持多套客户端软件同时登录到服务器，各套客户端软件独立工作。</w:t>
            </w:r>
          </w:p>
          <w:p w14:paraId="526784DA">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9、系统支持展示服务器时间（年月日 时分秒）。</w:t>
            </w:r>
          </w:p>
          <w:p w14:paraId="4C80025D">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10、系统支持实时查看终端工作状态、音量、任务，并且可在终端状态界面设置终端音量。终端状态支持方块视图和列表视图两种模式。</w:t>
            </w:r>
          </w:p>
          <w:p w14:paraId="59727206">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color w:val="auto"/>
                <w:spacing w:val="0"/>
                <w:kern w:val="0"/>
                <w:sz w:val="28"/>
                <w:szCs w:val="28"/>
                <w:shd w:val="clear" w:fill="FFFFFF"/>
                <w:lang w:val="en-US" w:eastAsia="zh-CN" w:bidi="ar"/>
              </w:rPr>
              <w:t>★</w:t>
            </w:r>
            <w:r>
              <w:rPr>
                <w:rFonts w:hint="eastAsia" w:asciiTheme="minorEastAsia" w:hAnsiTheme="minorEastAsia" w:eastAsiaTheme="minorEastAsia" w:cstheme="minorEastAsia"/>
              </w:rPr>
              <w:t>11、系统支持方块视图或列表视图进行切换显示，方块视图每页显示终端数量提供3x5、3x6、4x6、4x7、5x8、5x9、5x10、5x11的排列布局显示。</w:t>
            </w:r>
          </w:p>
          <w:p w14:paraId="2665ED4B">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12、分控工作站软件是利用IP网络（局域网、广域网）远程登录到服务器，实现远程音频播放，实时采播、会话管理、广播室讲话等功能。</w:t>
            </w:r>
          </w:p>
          <w:p w14:paraId="717611E4">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13、系统支持远程对某终端/分区或全区进行实时的寻呼广播，支持选择网络寻呼话筒进行实时对讲。</w:t>
            </w:r>
          </w:p>
          <w:p w14:paraId="00C933C7">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14、系统支持人工报警弹窗提醒。系统支持一键触发报警任务，后台预置报警任务，紧急时刻客户端一键触发。</w:t>
            </w:r>
          </w:p>
          <w:p w14:paraId="0DF77283">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15、系统支持媒体文件分类分用户管理，可配置公有/私有文件夹，私有文件单独使用。</w:t>
            </w:r>
          </w:p>
          <w:p w14:paraId="6333A416">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16、系统支持临时定时任务配置和管理，提供多种音源选择（音乐播放、声卡采集、终端采集）。</w:t>
            </w:r>
          </w:p>
          <w:p w14:paraId="4324A4B6">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17、系统支持进行发起监听功能，在会话状态选择监听终端，可监听某任务播放的内容。</w:t>
            </w:r>
          </w:p>
          <w:p w14:paraId="08D202FA">
            <w:pPr>
              <w:keepNext w:val="0"/>
              <w:keepLines w:val="0"/>
              <w:widowControl/>
              <w:suppressLineNumbers w:val="0"/>
              <w:jc w:val="lef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18、系统可实现终端状态查看、音频播放、监听、广播及对讲、会话状态监控等功能。</w:t>
            </w:r>
          </w:p>
        </w:tc>
        <w:tc>
          <w:tcPr>
            <w:tcW w:w="729" w:type="dxa"/>
            <w:shd w:val="clear" w:color="auto" w:fill="auto"/>
            <w:vAlign w:val="center"/>
          </w:tcPr>
          <w:p w14:paraId="131CCC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951" w:type="dxa"/>
            <w:shd w:val="clear" w:color="auto" w:fill="auto"/>
            <w:vAlign w:val="center"/>
          </w:tcPr>
          <w:p w14:paraId="733DC2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7643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35" w:type="dxa"/>
            <w:shd w:val="clear" w:color="auto" w:fill="auto"/>
            <w:vAlign w:val="center"/>
          </w:tcPr>
          <w:p w14:paraId="57E1878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44</w:t>
            </w:r>
          </w:p>
        </w:tc>
        <w:tc>
          <w:tcPr>
            <w:tcW w:w="2072" w:type="dxa"/>
            <w:shd w:val="clear" w:color="auto" w:fill="auto"/>
            <w:vAlign w:val="center"/>
          </w:tcPr>
          <w:p w14:paraId="6771CB7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寻呼话筒</w:t>
            </w:r>
          </w:p>
        </w:tc>
        <w:tc>
          <w:tcPr>
            <w:tcW w:w="4943" w:type="dxa"/>
            <w:shd w:val="clear" w:color="auto" w:fill="auto"/>
            <w:vAlign w:val="top"/>
          </w:tcPr>
          <w:p w14:paraId="0EBE2482">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1、桌面鹅颈设计，自带7英寸800 x 480的图形点阵K600+内核65K色显示的电阻触屏，显示界面简洁大方，适用于值班室、领导办公室、广播站等场合，可以对终端就行单向广播和双向对讲等功能使用。</w:t>
            </w:r>
          </w:p>
          <w:p w14:paraId="705EEA55">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2、内置2W全频高保真扬声器，实现双向通话和网络监听。</w:t>
            </w:r>
          </w:p>
          <w:p w14:paraId="6A94B525">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3、一个φ3.5耳机插座和一个φ3.5MIC输入插座</w:t>
            </w:r>
          </w:p>
          <w:p w14:paraId="2A640831">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4、内置网络回声消除模块；IP终端之间实现两两双向对讲，延时低于100ms；同时网络回声啸叫彻底抑制。</w:t>
            </w:r>
          </w:p>
          <w:p w14:paraId="13F4A89F">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5、支持多种呼叫策略，包括无响应转移、占线转移、关机转移。</w:t>
            </w:r>
          </w:p>
          <w:p w14:paraId="1B38BA3E">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6、支持自动接听、手动接听，支持自定义接听提示音；支持转移时间、无人接听时间、呼叫等待时间自定义</w:t>
            </w:r>
          </w:p>
          <w:p w14:paraId="61C3F944">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7、一路音频线路输出，外扩功放；一路音频线路输入,支持采集播放功能，提供多音源传输；一路报警触发短路输出，</w:t>
            </w:r>
          </w:p>
          <w:p w14:paraId="5B09F934">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8、级联外扩警示设备或控制门禁；一路短路输入，可以用作触发预置语音提示（或报警），亦可用于控制门禁联动输入短路信号。</w:t>
            </w:r>
          </w:p>
          <w:p w14:paraId="79CA4D2A">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9、自带数字键，功能键界面。可环境监听，监听距离达到5m。</w:t>
            </w:r>
          </w:p>
          <w:p w14:paraId="1539A36D">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10、1路数模解码模块，支持TCP/IP、UDP协议。</w:t>
            </w:r>
          </w:p>
          <w:p w14:paraId="26556B27">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11、支持求助信号铃声、闪灯提示，一键接受求助、对讲功能，同时也可以支持免提通话和接收广播，实现快速链接。</w:t>
            </w:r>
          </w:p>
          <w:p w14:paraId="718A18BE">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12、广播终端可进行远程固件升级。</w:t>
            </w:r>
          </w:p>
          <w:p w14:paraId="46E3100F">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13、可支持10个按键自定义一键呼叫广播功能。</w:t>
            </w:r>
          </w:p>
          <w:p w14:paraId="2ACA4EC1">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14、采用话筒桌面式设计，带有7英寸显示屏，带触摸控制功能；显示屏自带数字键、功能键，支持通过触摸呼叫广播，支持呼叫分区及多个分区，呼叫全区广播</w:t>
            </w:r>
          </w:p>
          <w:p w14:paraId="1FE96B97">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15、支持直接操作呼叫或对讲任意终端，支持通过话筒广播呼叫功能，广播延时低于100毫秒。</w:t>
            </w:r>
          </w:p>
          <w:p w14:paraId="7DF148C5">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16、信噪比：&gt;65dB；PHONE OUT输出阻抗及额定功率：32Ω，2mW</w:t>
            </w:r>
          </w:p>
          <w:p w14:paraId="2E911445">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17、内接扬声器阻抗及额定功率：4Ω，2W；总谐波失真：≤1%</w:t>
            </w:r>
          </w:p>
          <w:p w14:paraId="1E45612B">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18、内置喇叭频率响应：317Hz~3.4KHz  +1/-3dB；LIEN OUT频率响应：80Hz~16KHz  +1/-3dB</w:t>
            </w:r>
          </w:p>
          <w:p w14:paraId="61FC7C28">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19、LINE OUT 输出电平：1000mV 工业标准压线接线端子；LINE OUT 输出阻抗：470Ω</w:t>
            </w:r>
          </w:p>
          <w:p w14:paraId="5C61C4F2">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20、LINE IN输入灵敏度：350mV  工业标准压线接线端子</w:t>
            </w:r>
          </w:p>
          <w:p w14:paraId="51699741">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21、MIC输入灵敏度（非平衡）：10mV</w:t>
            </w:r>
          </w:p>
          <w:p w14:paraId="4ACC3E17">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22、网络接口：标准RJ45输入；支持协议：TCP/IP，UDP；音频模式：16位CD音质</w:t>
            </w:r>
          </w:p>
          <w:p w14:paraId="28A1AE2F">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23、音频格式：MP3；采样率：8KHz~48KHz；传输速率：100Mbps</w:t>
            </w:r>
          </w:p>
          <w:p w14:paraId="712A5714">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24、屏幕类型：65K色DGUS屏</w:t>
            </w:r>
          </w:p>
          <w:p w14:paraId="452AF046">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25、键盘类型：虚拟QWERTY键盘；键盘输入方式：触控</w:t>
            </w:r>
          </w:p>
          <w:p w14:paraId="5C07BA98">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26、短路输入：干接点输入；短路输出：最大1A/30VDC干接点</w:t>
            </w:r>
          </w:p>
          <w:p w14:paraId="7DCE2A2F">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27、工作温度：5℃～40℃；工作湿度：20%～80%相对湿度，无结露；整机功耗：≤6W；输入电源：～190V-240V 50Hz-60Hz(电源适配器);DC24V/1.5A</w:t>
            </w:r>
          </w:p>
          <w:p w14:paraId="3163CDC7">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28、尺寸：（L×W×H）200 x 160 x 60 mm</w:t>
            </w:r>
          </w:p>
          <w:p w14:paraId="0E1F24B1">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29、净重：1.4Kg</w:t>
            </w:r>
          </w:p>
        </w:tc>
        <w:tc>
          <w:tcPr>
            <w:tcW w:w="729" w:type="dxa"/>
            <w:shd w:val="clear" w:color="auto" w:fill="auto"/>
            <w:vAlign w:val="center"/>
          </w:tcPr>
          <w:p w14:paraId="2E97AE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51" w:type="dxa"/>
            <w:shd w:val="clear" w:color="auto" w:fill="auto"/>
            <w:vAlign w:val="center"/>
          </w:tcPr>
          <w:p w14:paraId="362173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098BE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35" w:type="dxa"/>
            <w:shd w:val="clear" w:color="auto" w:fill="auto"/>
            <w:vAlign w:val="center"/>
          </w:tcPr>
          <w:p w14:paraId="6E7EEA6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w:t>
            </w:r>
          </w:p>
        </w:tc>
        <w:tc>
          <w:tcPr>
            <w:tcW w:w="2072" w:type="dxa"/>
            <w:shd w:val="clear" w:color="auto" w:fill="auto"/>
            <w:vAlign w:val="center"/>
          </w:tcPr>
          <w:p w14:paraId="4EAE0429">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IP网络音箱</w:t>
            </w:r>
          </w:p>
        </w:tc>
        <w:tc>
          <w:tcPr>
            <w:tcW w:w="4943" w:type="dxa"/>
            <w:shd w:val="clear" w:color="auto" w:fill="auto"/>
            <w:vAlign w:val="top"/>
          </w:tcPr>
          <w:p w14:paraId="30B036A9">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IP网络音箱</w:t>
            </w:r>
          </w:p>
          <w:p w14:paraId="7D798D06">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1、专业一体化壁挂式音箱设计，材质坚固，外表简洁大方，适用于普通教室，多媒体教室，办公室等场所播放录制语音文件或背景音乐节目。</w:t>
            </w:r>
          </w:p>
          <w:p w14:paraId="4B683790">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2、内置2*20W（MAX）功放，一路接主音箱，一路外接到副音箱。,具有网络音量设置功能。</w:t>
            </w:r>
          </w:p>
          <w:p w14:paraId="4F25B5E3">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3、具备有1路线路输入接口，具有独立的音量旋钮。</w:t>
            </w:r>
          </w:p>
          <w:p w14:paraId="21CA7297">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4、可外接2.4G无线音频模块，实现2.4G无线麦克风进行本地扩音；可扩展连接蓝牙接收器实现接收蓝牙音频进行本地扩声。</w:t>
            </w:r>
          </w:p>
          <w:p w14:paraId="73D80BE8">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5、1路数模解码模块，支持TCP/IP、UDP协议；</w:t>
            </w:r>
          </w:p>
          <w:p w14:paraId="7D1C90EA">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6、广播终端可进行远程固件升级。</w:t>
            </w:r>
          </w:p>
          <w:p w14:paraId="355B6869">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7、内置2级优先级功能设计：</w:t>
            </w:r>
          </w:p>
          <w:p w14:paraId="0C747C26">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8、AUX与网络背景音乐信号同级，混音输出。 网络报警信号优先AUX与网络背景音乐信号。</w:t>
            </w:r>
          </w:p>
          <w:p w14:paraId="60BF4B96">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9、具有红外遥控播放本地IP地址功能。</w:t>
            </w:r>
          </w:p>
          <w:p w14:paraId="47AA95FE">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10、网络接口：标准RJ45输入；传输速率：100Mbps；支持协议：TCP/IP、UDP</w:t>
            </w:r>
          </w:p>
          <w:p w14:paraId="49924686">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11、频率响应：150Hz～16KHz(+1/-3dB)</w:t>
            </w:r>
          </w:p>
          <w:p w14:paraId="3AA0FD67">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12、谐波失真：≤1%；信噪比：&gt;65dB</w:t>
            </w:r>
          </w:p>
          <w:p w14:paraId="7725751F">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13、整机功耗：≤50W；输出功率：2×20W（MAX）</w:t>
            </w:r>
          </w:p>
          <w:p w14:paraId="52D55D00">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14、音频格式：MP3；音频模式：16位CD音质；采样率：8KHz～48KHz</w:t>
            </w:r>
          </w:p>
          <w:p w14:paraId="33AEBB09">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15、辅助线路输入电平：350mV工业标准压线接线端子</w:t>
            </w:r>
          </w:p>
          <w:p w14:paraId="744971C5">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16、工作环境温度：5℃～40℃；工作环境湿度：20%～80%相对湿度，无结露；输入电源：～190-240V 50-60Hz（电源适配器）；DC12V</w:t>
            </w:r>
          </w:p>
          <w:p w14:paraId="145E27E6">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17、尺寸（L×W×H）：135×125×250mm</w:t>
            </w:r>
          </w:p>
          <w:p w14:paraId="2BC608C4">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18、重量：1.9Kg</w:t>
            </w:r>
          </w:p>
        </w:tc>
        <w:tc>
          <w:tcPr>
            <w:tcW w:w="729" w:type="dxa"/>
            <w:shd w:val="clear" w:color="auto" w:fill="auto"/>
            <w:vAlign w:val="center"/>
          </w:tcPr>
          <w:p w14:paraId="2CBD87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51" w:type="dxa"/>
            <w:shd w:val="clear" w:color="auto" w:fill="auto"/>
            <w:vAlign w:val="center"/>
          </w:tcPr>
          <w:p w14:paraId="30DA48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05BE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2" w:hRule="atLeast"/>
        </w:trPr>
        <w:tc>
          <w:tcPr>
            <w:tcW w:w="535" w:type="dxa"/>
            <w:shd w:val="clear" w:color="auto" w:fill="auto"/>
            <w:vAlign w:val="center"/>
          </w:tcPr>
          <w:p w14:paraId="6282C8D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46</w:t>
            </w:r>
          </w:p>
        </w:tc>
        <w:tc>
          <w:tcPr>
            <w:tcW w:w="2072" w:type="dxa"/>
            <w:shd w:val="clear" w:color="auto" w:fill="auto"/>
            <w:vAlign w:val="center"/>
          </w:tcPr>
          <w:p w14:paraId="5C5F601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调音台 </w:t>
            </w:r>
          </w:p>
        </w:tc>
        <w:tc>
          <w:tcPr>
            <w:tcW w:w="4943" w:type="dxa"/>
            <w:shd w:val="clear" w:color="auto" w:fill="auto"/>
            <w:vAlign w:val="top"/>
          </w:tcPr>
          <w:p w14:paraId="3175C265">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调音台</w:t>
            </w:r>
          </w:p>
          <w:p w14:paraId="77824159">
            <w:pPr>
              <w:keepNext w:val="0"/>
              <w:keepLines w:val="0"/>
              <w:widowControl/>
              <w:numPr>
                <w:ilvl w:val="0"/>
                <w:numId w:val="6"/>
              </w:numPr>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具有13个60mm行程的高精密碳膜推子。</w:t>
            </w:r>
          </w:p>
          <w:p w14:paraId="3401D14A">
            <w:pPr>
              <w:keepNext w:val="0"/>
              <w:keepLines w:val="0"/>
              <w:widowControl/>
              <w:numPr>
                <w:ilvl w:val="0"/>
                <w:numId w:val="6"/>
              </w:numPr>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2、专业型紧凑式调音台,超低噪声离散式麦克风前置放大器和+48V幻象电源，功能强大齐全，音质动听。</w:t>
            </w:r>
          </w:p>
          <w:p w14:paraId="59177CBF">
            <w:pPr>
              <w:keepNext w:val="0"/>
              <w:keepLines w:val="0"/>
              <w:widowControl/>
              <w:numPr>
                <w:ilvl w:val="0"/>
                <w:numId w:val="6"/>
              </w:numPr>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3、支持7段图示均衡推子调节。</w:t>
            </w:r>
          </w:p>
          <w:p w14:paraId="006BE5D7">
            <w:pPr>
              <w:keepNext w:val="0"/>
              <w:keepLines w:val="0"/>
              <w:widowControl/>
              <w:numPr>
                <w:ilvl w:val="0"/>
                <w:numId w:val="6"/>
              </w:numPr>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4、具有1组主混音断点插入、6个断点插入，可连接额外的处理器（压缩器、均衡器。限幅器等）。</w:t>
            </w:r>
          </w:p>
          <w:p w14:paraId="34DF7F9B">
            <w:pPr>
              <w:keepNext w:val="0"/>
              <w:keepLines w:val="0"/>
              <w:widowControl/>
              <w:numPr>
                <w:ilvl w:val="0"/>
                <w:numId w:val="6"/>
              </w:numPr>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5、具有2组立体声输入，4路RCA输入，可连接立体设备。</w:t>
            </w:r>
          </w:p>
          <w:p w14:paraId="7105C0DF">
            <w:pPr>
              <w:keepNext w:val="0"/>
              <w:keepLines w:val="0"/>
              <w:widowControl/>
              <w:numPr>
                <w:ilvl w:val="0"/>
                <w:numId w:val="6"/>
              </w:numPr>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6、具有2组立体声输出、4路编组输出、4路辅助输出、1个耳机监听输出、1个接口双路效果输出 、1组控制室输出。</w:t>
            </w:r>
          </w:p>
          <w:p w14:paraId="2FC6D8DE">
            <w:pPr>
              <w:keepNext w:val="0"/>
              <w:keepLines w:val="0"/>
              <w:widowControl/>
              <w:numPr>
                <w:ilvl w:val="0"/>
                <w:numId w:val="6"/>
              </w:numPr>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7、具有1个USB供电接口，可连接USB照明灯。</w:t>
            </w:r>
          </w:p>
          <w:p w14:paraId="194B3BF7">
            <w:pPr>
              <w:keepNext w:val="0"/>
              <w:keepLines w:val="0"/>
              <w:widowControl/>
              <w:numPr>
                <w:ilvl w:val="0"/>
                <w:numId w:val="6"/>
              </w:numPr>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8、具有8路Mic输入接口兼容6路线路输入接口，CH1-CH6通道话筒输入接口带48V幻象开关独立控制。</w:t>
            </w:r>
          </w:p>
          <w:p w14:paraId="10CFFD69">
            <w:pPr>
              <w:keepNext w:val="0"/>
              <w:keepLines w:val="0"/>
              <w:widowControl/>
              <w:numPr>
                <w:ilvl w:val="0"/>
                <w:numId w:val="6"/>
              </w:numPr>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9、内置24位DSP效果器，具有100种预设效果。</w:t>
            </w:r>
          </w:p>
          <w:p w14:paraId="6CD3199D">
            <w:pPr>
              <w:keepNext w:val="0"/>
              <w:keepLines w:val="0"/>
              <w:widowControl/>
              <w:numPr>
                <w:ilvl w:val="0"/>
                <w:numId w:val="6"/>
              </w:numPr>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10、内置蓝牙MP3播放器，支持1路USB接口，外接U盘和连接手机蓝牙播放音乐。</w:t>
            </w:r>
          </w:p>
          <w:p w14:paraId="47986139">
            <w:pPr>
              <w:keepNext w:val="0"/>
              <w:keepLines w:val="0"/>
              <w:widowControl/>
              <w:numPr>
                <w:ilvl w:val="0"/>
                <w:numId w:val="6"/>
              </w:numPr>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11、内置USB声卡，连接电脑进行音乐播放和声音录音。</w:t>
            </w:r>
          </w:p>
          <w:p w14:paraId="41A5314C">
            <w:pPr>
              <w:keepNext w:val="0"/>
              <w:keepLines w:val="0"/>
              <w:widowControl/>
              <w:numPr>
                <w:ilvl w:val="0"/>
                <w:numId w:val="6"/>
              </w:numPr>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12、额定功率：30W</w:t>
            </w:r>
          </w:p>
          <w:p w14:paraId="09EFD1DC">
            <w:pPr>
              <w:keepNext w:val="0"/>
              <w:keepLines w:val="0"/>
              <w:widowControl/>
              <w:numPr>
                <w:ilvl w:val="0"/>
                <w:numId w:val="6"/>
              </w:numPr>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13、供电电压：AC 100-240V 50/60Hz</w:t>
            </w:r>
          </w:p>
          <w:p w14:paraId="231956DF">
            <w:pPr>
              <w:keepNext w:val="0"/>
              <w:keepLines w:val="0"/>
              <w:widowControl/>
              <w:numPr>
                <w:ilvl w:val="0"/>
                <w:numId w:val="6"/>
              </w:numPr>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14、USB声卡端口：支持电脑播放/录音，通过CH11/12通道回放</w:t>
            </w:r>
          </w:p>
          <w:p w14:paraId="657BFE26">
            <w:pPr>
              <w:keepNext w:val="0"/>
              <w:keepLines w:val="0"/>
              <w:widowControl/>
              <w:numPr>
                <w:ilvl w:val="0"/>
                <w:numId w:val="6"/>
              </w:numPr>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15、幻象电源：CH1-CH6每路通道带48V幻象开关独立控制</w:t>
            </w:r>
          </w:p>
          <w:p w14:paraId="663590BB">
            <w:pPr>
              <w:keepNext w:val="0"/>
              <w:keepLines w:val="0"/>
              <w:widowControl/>
              <w:numPr>
                <w:ilvl w:val="0"/>
                <w:numId w:val="6"/>
              </w:numPr>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16、INSERT：1组主混音断点插入、6个断点插入</w:t>
            </w:r>
          </w:p>
          <w:p w14:paraId="03104455">
            <w:pPr>
              <w:keepNext w:val="0"/>
              <w:keepLines w:val="0"/>
              <w:widowControl/>
              <w:numPr>
                <w:ilvl w:val="0"/>
                <w:numId w:val="6"/>
              </w:numPr>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17、USB接口：外接U盘播放音乐</w:t>
            </w:r>
          </w:p>
          <w:p w14:paraId="364479EF">
            <w:pPr>
              <w:keepNext w:val="0"/>
              <w:keepLines w:val="0"/>
              <w:widowControl/>
              <w:numPr>
                <w:ilvl w:val="0"/>
                <w:numId w:val="6"/>
              </w:numPr>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18、失真度：&lt;0.03% at+0dB,22Hz-22KHz A-weighted</w:t>
            </w:r>
          </w:p>
          <w:p w14:paraId="229CD5CD">
            <w:pPr>
              <w:keepNext w:val="0"/>
              <w:keepLines w:val="0"/>
              <w:widowControl/>
              <w:numPr>
                <w:ilvl w:val="0"/>
                <w:numId w:val="6"/>
              </w:numPr>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19、灵敏度：+20dB~-30dB</w:t>
            </w:r>
          </w:p>
          <w:p w14:paraId="14268779">
            <w:pPr>
              <w:keepNext w:val="0"/>
              <w:keepLines w:val="0"/>
              <w:widowControl/>
              <w:numPr>
                <w:ilvl w:val="0"/>
                <w:numId w:val="6"/>
              </w:numPr>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20、信噪比：&lt;-100dBr A-weighted</w:t>
            </w:r>
          </w:p>
          <w:p w14:paraId="76965C44">
            <w:pPr>
              <w:keepNext w:val="0"/>
              <w:keepLines w:val="0"/>
              <w:widowControl/>
              <w:numPr>
                <w:ilvl w:val="0"/>
                <w:numId w:val="6"/>
              </w:numPr>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21、频率响应：20Hz-20kHz，±2dB</w:t>
            </w:r>
          </w:p>
          <w:p w14:paraId="7BC843B8">
            <w:pPr>
              <w:keepNext w:val="0"/>
              <w:keepLines w:val="0"/>
              <w:widowControl/>
              <w:numPr>
                <w:ilvl w:val="0"/>
                <w:numId w:val="6"/>
              </w:numPr>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22、效果器：24位DSP效果器（包括人声、小房子、大厅、回声、回声+回响、盘子、声乐板、合唱GTR，旋转GTR、颤音GTR类型），100种预设效果</w:t>
            </w:r>
          </w:p>
          <w:p w14:paraId="6A83BD49">
            <w:pPr>
              <w:keepNext w:val="0"/>
              <w:keepLines w:val="0"/>
              <w:widowControl/>
              <w:numPr>
                <w:ilvl w:val="0"/>
                <w:numId w:val="6"/>
              </w:numPr>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23、立体声输入通道：2组（4路单声道）、4路RCA输入</w:t>
            </w:r>
          </w:p>
          <w:p w14:paraId="688A70BD">
            <w:pPr>
              <w:keepNext w:val="0"/>
              <w:keepLines w:val="0"/>
              <w:widowControl/>
              <w:numPr>
                <w:ilvl w:val="0"/>
                <w:numId w:val="6"/>
              </w:numPr>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24、单声道均衡：高频：+/-15dB @12KHz；中频：+/-15dB @100Hz-8KHz；低频：+/-15dB @80Hz</w:t>
            </w:r>
          </w:p>
          <w:p w14:paraId="0CEA10A0">
            <w:pPr>
              <w:keepNext w:val="0"/>
              <w:keepLines w:val="0"/>
              <w:widowControl/>
              <w:numPr>
                <w:ilvl w:val="0"/>
                <w:numId w:val="6"/>
              </w:numPr>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25、立体声均衡：高频：+/-15dB @12KHz；中频：+/-15dB @3KHz or +/-15dB @500Hz；低频：+/-15dB @80Hz</w:t>
            </w:r>
          </w:p>
          <w:p w14:paraId="382ECD88">
            <w:pPr>
              <w:keepNext w:val="0"/>
              <w:keepLines w:val="0"/>
              <w:widowControl/>
              <w:numPr>
                <w:ilvl w:val="0"/>
                <w:numId w:val="6"/>
              </w:numPr>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26、主混音串音：&lt;-80dB @0dB 20Hz-22KHz A-weighted，主输出：0dB,其他通道：最小</w:t>
            </w:r>
          </w:p>
          <w:p w14:paraId="65C7AEB8">
            <w:pPr>
              <w:keepNext w:val="0"/>
              <w:keepLines w:val="0"/>
              <w:widowControl/>
              <w:numPr>
                <w:ilvl w:val="0"/>
                <w:numId w:val="6"/>
              </w:numPr>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27、电平表：2x12-点距LED电平指示表</w:t>
            </w:r>
          </w:p>
          <w:p w14:paraId="284F2E98">
            <w:pPr>
              <w:keepNext w:val="0"/>
              <w:keepLines w:val="0"/>
              <w:widowControl/>
              <w:numPr>
                <w:ilvl w:val="0"/>
                <w:numId w:val="6"/>
              </w:numPr>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28、麦克风输入：8路（8个XLR接口）</w:t>
            </w:r>
          </w:p>
          <w:p w14:paraId="4977E96D">
            <w:pPr>
              <w:keepNext w:val="0"/>
              <w:keepLines w:val="0"/>
              <w:widowControl/>
              <w:numPr>
                <w:ilvl w:val="0"/>
                <w:numId w:val="6"/>
              </w:numPr>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29、线路输入：6路单插单声道/立体声自动切换混合接口</w:t>
            </w:r>
          </w:p>
          <w:p w14:paraId="2966E179">
            <w:pPr>
              <w:keepNext w:val="0"/>
              <w:keepLines w:val="0"/>
              <w:widowControl/>
              <w:numPr>
                <w:ilvl w:val="0"/>
                <w:numId w:val="6"/>
              </w:numPr>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30、尺寸（L×W×H）：441.1×441.9×94.3mm</w:t>
            </w:r>
          </w:p>
          <w:p w14:paraId="02F5EECA">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z w:val="21"/>
                <w:szCs w:val="21"/>
                <w:u w:val="none"/>
              </w:rPr>
              <w:t>31、重量：6.7Kg</w:t>
            </w:r>
          </w:p>
        </w:tc>
        <w:tc>
          <w:tcPr>
            <w:tcW w:w="729" w:type="dxa"/>
            <w:shd w:val="clear" w:color="auto" w:fill="auto"/>
            <w:vAlign w:val="center"/>
          </w:tcPr>
          <w:p w14:paraId="25C31D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51" w:type="dxa"/>
            <w:shd w:val="clear" w:color="auto" w:fill="auto"/>
            <w:vAlign w:val="center"/>
          </w:tcPr>
          <w:p w14:paraId="3B1414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6C3F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35" w:type="dxa"/>
            <w:shd w:val="clear" w:color="auto" w:fill="auto"/>
            <w:vAlign w:val="center"/>
          </w:tcPr>
          <w:p w14:paraId="1EEE0C8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47</w:t>
            </w:r>
          </w:p>
        </w:tc>
        <w:tc>
          <w:tcPr>
            <w:tcW w:w="2072" w:type="dxa"/>
            <w:shd w:val="clear" w:color="auto" w:fill="auto"/>
            <w:vAlign w:val="center"/>
          </w:tcPr>
          <w:p w14:paraId="5142A1F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JE系列话筒 </w:t>
            </w:r>
          </w:p>
        </w:tc>
        <w:tc>
          <w:tcPr>
            <w:tcW w:w="4943" w:type="dxa"/>
            <w:shd w:val="clear" w:color="auto" w:fill="auto"/>
            <w:vAlign w:val="top"/>
          </w:tcPr>
          <w:p w14:paraId="087D247B">
            <w:pPr>
              <w:keepNext w:val="0"/>
              <w:keepLines w:val="0"/>
              <w:widowControl/>
              <w:suppressLineNumbers w:val="0"/>
              <w:jc w:val="left"/>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rPr>
              <w:t>JE系列话筒</w:t>
            </w:r>
          </w:p>
          <w:p w14:paraId="492ECB38">
            <w:pPr>
              <w:keepNext w:val="0"/>
              <w:keepLines w:val="0"/>
              <w:widowControl/>
              <w:suppressLineNumbers w:val="0"/>
              <w:jc w:val="left"/>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rPr>
              <w:t>1、话筒带钟声提示功能和灯环提示功能，具备较好的抗手机、电磁、高频干扰能力。</w:t>
            </w:r>
          </w:p>
          <w:p w14:paraId="2955F0E1">
            <w:pPr>
              <w:keepNext w:val="0"/>
              <w:keepLines w:val="0"/>
              <w:widowControl/>
              <w:suppressLineNumbers w:val="0"/>
              <w:jc w:val="left"/>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rPr>
              <w:t>2、是心形指向性话筒，采用驻极体的换能方式。</w:t>
            </w:r>
          </w:p>
          <w:p w14:paraId="26E0EC93">
            <w:pPr>
              <w:keepNext w:val="0"/>
              <w:keepLines w:val="0"/>
              <w:widowControl/>
              <w:suppressLineNumbers w:val="0"/>
              <w:jc w:val="left"/>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rPr>
              <w:t>3、标配10m卡农母转6.35mm音频线和420mm咪杆</w:t>
            </w:r>
          </w:p>
          <w:p w14:paraId="5C86721C">
            <w:pPr>
              <w:keepNext w:val="0"/>
              <w:keepLines w:val="0"/>
              <w:widowControl/>
              <w:suppressLineNumbers w:val="0"/>
              <w:jc w:val="left"/>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rPr>
              <w:t>4、供电电源：交流220V/50Hz（适配器供电 直流 11.4V）；电池供电:直流9V</w:t>
            </w:r>
          </w:p>
          <w:p w14:paraId="369D3299">
            <w:pPr>
              <w:keepNext w:val="0"/>
              <w:keepLines w:val="0"/>
              <w:widowControl/>
              <w:suppressLineNumbers w:val="0"/>
              <w:jc w:val="left"/>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rPr>
              <w:t>5、前奏音：开启时，有前奏音乐放出</w:t>
            </w:r>
          </w:p>
          <w:p w14:paraId="0D95E8D7">
            <w:pPr>
              <w:keepNext w:val="0"/>
              <w:keepLines w:val="0"/>
              <w:widowControl/>
              <w:suppressLineNumbers w:val="0"/>
              <w:jc w:val="left"/>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rPr>
              <w:t>6、话筒灵敏度：-43dB±2dB</w:t>
            </w:r>
          </w:p>
          <w:p w14:paraId="737A26FB">
            <w:pPr>
              <w:keepNext w:val="0"/>
              <w:keepLines w:val="0"/>
              <w:widowControl/>
              <w:suppressLineNumbers w:val="0"/>
              <w:jc w:val="left"/>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rPr>
              <w:t>7、频响范围：40Hz-16kHz</w:t>
            </w:r>
          </w:p>
          <w:p w14:paraId="5E3DA5B5">
            <w:pPr>
              <w:keepNext w:val="0"/>
              <w:keepLines w:val="0"/>
              <w:widowControl/>
              <w:suppressLineNumbers w:val="0"/>
              <w:jc w:val="left"/>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rPr>
              <w:t>8、前置提示音灵敏度：-50dB±2dB</w:t>
            </w:r>
          </w:p>
          <w:p w14:paraId="7EFE6723">
            <w:pPr>
              <w:keepNext w:val="0"/>
              <w:keepLines w:val="0"/>
              <w:widowControl/>
              <w:suppressLineNumbers w:val="0"/>
              <w:jc w:val="left"/>
              <w:textAlignment w:val="top"/>
              <w:rPr>
                <w:rFonts w:hint="eastAsia" w:asciiTheme="minorEastAsia" w:hAnsiTheme="minorEastAsia" w:eastAsiaTheme="minorEastAsia" w:cstheme="minorEastAsia"/>
              </w:rPr>
            </w:pPr>
            <w:r>
              <w:rPr>
                <w:rFonts w:hint="eastAsia" w:asciiTheme="minorEastAsia" w:hAnsiTheme="minorEastAsia" w:eastAsiaTheme="minorEastAsia" w:cstheme="minorEastAsia"/>
              </w:rPr>
              <w:t>9、产品尺寸（长*宽*高）：125*150*455mm</w:t>
            </w:r>
          </w:p>
          <w:p w14:paraId="46A6168D">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rPr>
              <w:t>10、产品重量：0.67kg</w:t>
            </w:r>
          </w:p>
        </w:tc>
        <w:tc>
          <w:tcPr>
            <w:tcW w:w="729" w:type="dxa"/>
            <w:shd w:val="clear" w:color="auto" w:fill="auto"/>
            <w:vAlign w:val="center"/>
          </w:tcPr>
          <w:p w14:paraId="19C45E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51" w:type="dxa"/>
            <w:shd w:val="clear" w:color="auto" w:fill="auto"/>
            <w:vAlign w:val="center"/>
          </w:tcPr>
          <w:p w14:paraId="0FE491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713C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35" w:type="dxa"/>
            <w:shd w:val="clear" w:color="auto" w:fill="auto"/>
            <w:vAlign w:val="center"/>
          </w:tcPr>
          <w:p w14:paraId="0E524439">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w:t>
            </w:r>
          </w:p>
        </w:tc>
        <w:tc>
          <w:tcPr>
            <w:tcW w:w="2072" w:type="dxa"/>
            <w:shd w:val="clear" w:color="auto" w:fill="auto"/>
            <w:vAlign w:val="center"/>
          </w:tcPr>
          <w:p w14:paraId="624A078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合并式播放器 </w:t>
            </w:r>
          </w:p>
        </w:tc>
        <w:tc>
          <w:tcPr>
            <w:tcW w:w="4943" w:type="dxa"/>
            <w:shd w:val="clear" w:color="auto" w:fill="auto"/>
            <w:vAlign w:val="top"/>
          </w:tcPr>
          <w:p w14:paraId="5600F8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合并式播放器</w:t>
            </w:r>
          </w:p>
          <w:p w14:paraId="15CBAB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1、1U标准机柜式设计，支持播放CD、MP3和收音机，为广播系统提供高品质的音源。</w:t>
            </w:r>
          </w:p>
          <w:p w14:paraId="7B362C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2、支持播放USB、SD卡、CD和收音机、蓝牙等四种音源，设备自带两个输出接口，CD和MP3共用一个，蓝牙和收音机共用一个。</w:t>
            </w:r>
          </w:p>
          <w:p w14:paraId="271D69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3、采用高品质吸入式机芯和高品质收音模块，</w:t>
            </w:r>
          </w:p>
          <w:p w14:paraId="6A7556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4、调频、调幅（AM/FM）立体声二波段接收可选，支持电台频率记忆，最多可存储99个电台；</w:t>
            </w:r>
          </w:p>
          <w:p w14:paraId="143AEC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5、支持通过红外遥控控制音量；</w:t>
            </w:r>
          </w:p>
          <w:p w14:paraId="1B1B08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6、音频失真度：0.1%</w:t>
            </w:r>
          </w:p>
          <w:p w14:paraId="500837D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7、频响范围：20Hz-20kHz(-2dB)</w:t>
            </w:r>
          </w:p>
          <w:p w14:paraId="26F9FA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8、动态范围：75dB</w:t>
            </w:r>
          </w:p>
          <w:p w14:paraId="4FEF6D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9、收音和CD音频输出：775mV</w:t>
            </w:r>
          </w:p>
          <w:p w14:paraId="30EB20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10、信噪比：85dB</w:t>
            </w:r>
          </w:p>
          <w:p w14:paraId="2FB047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11、天线输入阻抗：AM:低阻 环形天线，FM:75Ω非平衡；</w:t>
            </w:r>
          </w:p>
          <w:p w14:paraId="1D3147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12、收音支持频率：AM:522kHz-1620kHz，FM:87.5MHz-108.0MHz；</w:t>
            </w:r>
          </w:p>
          <w:p w14:paraId="0BDB4B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13、收音灵敏度：AM:≤100uA，FM:≤10uA；</w:t>
            </w:r>
          </w:p>
          <w:p w14:paraId="57018B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14、电台记忆：最多存储99个</w:t>
            </w:r>
          </w:p>
          <w:p w14:paraId="3B1EBC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15、通道串音：65dB</w:t>
            </w:r>
          </w:p>
          <w:p w14:paraId="3E6939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16、设备供电：AC220V(50Hz)</w:t>
            </w:r>
          </w:p>
          <w:p w14:paraId="18417D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17、设备尺寸（mm）：（LxDxH）484×209×44mm</w:t>
            </w:r>
          </w:p>
          <w:p w14:paraId="670A0C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18、设备重量：3.80kg</w:t>
            </w:r>
          </w:p>
        </w:tc>
        <w:tc>
          <w:tcPr>
            <w:tcW w:w="729" w:type="dxa"/>
            <w:shd w:val="clear" w:color="auto" w:fill="auto"/>
            <w:vAlign w:val="center"/>
          </w:tcPr>
          <w:p w14:paraId="29AC8F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51" w:type="dxa"/>
            <w:shd w:val="clear" w:color="auto" w:fill="auto"/>
            <w:vAlign w:val="center"/>
          </w:tcPr>
          <w:p w14:paraId="02EE86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24E8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30" w:type="dxa"/>
            <w:gridSpan w:val="5"/>
            <w:shd w:val="clear" w:color="auto" w:fill="auto"/>
            <w:vAlign w:val="center"/>
          </w:tcPr>
          <w:p w14:paraId="4D8CFD98">
            <w:pPr>
              <w:jc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（三）室外前端设备</w:t>
            </w:r>
          </w:p>
        </w:tc>
      </w:tr>
      <w:tr w14:paraId="7701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35" w:type="dxa"/>
            <w:shd w:val="clear" w:color="auto" w:fill="auto"/>
            <w:vAlign w:val="center"/>
          </w:tcPr>
          <w:p w14:paraId="65601E3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49</w:t>
            </w:r>
          </w:p>
        </w:tc>
        <w:tc>
          <w:tcPr>
            <w:tcW w:w="2072" w:type="dxa"/>
            <w:shd w:val="clear" w:color="auto" w:fill="auto"/>
            <w:vAlign w:val="center"/>
          </w:tcPr>
          <w:p w14:paraId="46338AB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音柱</w:t>
            </w:r>
          </w:p>
        </w:tc>
        <w:tc>
          <w:tcPr>
            <w:tcW w:w="4943" w:type="dxa"/>
            <w:shd w:val="clear" w:color="auto" w:fill="auto"/>
            <w:vAlign w:val="top"/>
          </w:tcPr>
          <w:p w14:paraId="4EBDDA5A">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音柱</w:t>
            </w:r>
          </w:p>
          <w:p w14:paraId="7F0E95C5">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1、外壳采用铝合金材料。</w:t>
            </w:r>
          </w:p>
          <w:p w14:paraId="125B5F5F">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2、配可调节多种角度支架，安装方便。</w:t>
            </w:r>
          </w:p>
          <w:p w14:paraId="57F98FD7">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3、专业的表面处理工艺，防水防锈。</w:t>
            </w:r>
          </w:p>
          <w:p w14:paraId="077E4341">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4、扬声器单元：4×4"，1×2.5"</w:t>
            </w:r>
          </w:p>
          <w:p w14:paraId="10CE1D51">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5、灵敏度：91dB±3dB</w:t>
            </w:r>
          </w:p>
          <w:p w14:paraId="764AE276">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6、额定功率：22.5W, 45W；接100V</w:t>
            </w:r>
          </w:p>
          <w:p w14:paraId="61FD0245">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7、额定功率：11.2W, 22.5W；接70V</w:t>
            </w:r>
          </w:p>
          <w:p w14:paraId="39A8EB38">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8、接入方式：COM，70V，100V</w:t>
            </w:r>
          </w:p>
          <w:p w14:paraId="72304149">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9、阻抗：440Ω（白）、220Ω（绿）、COM（黑）</w:t>
            </w:r>
          </w:p>
          <w:p w14:paraId="4E4FE695">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10、频率响应：50Hz-18KHz</w:t>
            </w:r>
          </w:p>
          <w:p w14:paraId="6CA7BF75">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11、防护等级：IP66</w:t>
            </w:r>
          </w:p>
          <w:p w14:paraId="5FCCDC86">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12、尺寸：150×125×565mm</w:t>
            </w:r>
          </w:p>
          <w:p w14:paraId="13EA1D30">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13、重量：4.61kg</w:t>
            </w:r>
          </w:p>
          <w:p w14:paraId="37A6BDA4">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14、材料：铝合金</w:t>
            </w:r>
          </w:p>
        </w:tc>
        <w:tc>
          <w:tcPr>
            <w:tcW w:w="729" w:type="dxa"/>
            <w:shd w:val="clear" w:color="auto" w:fill="auto"/>
            <w:vAlign w:val="center"/>
          </w:tcPr>
          <w:p w14:paraId="11419E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51" w:type="dxa"/>
            <w:shd w:val="clear" w:color="auto" w:fill="auto"/>
            <w:vAlign w:val="center"/>
          </w:tcPr>
          <w:p w14:paraId="69DF41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r>
      <w:tr w14:paraId="67CD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35" w:type="dxa"/>
            <w:shd w:val="clear" w:color="auto" w:fill="auto"/>
            <w:vAlign w:val="center"/>
          </w:tcPr>
          <w:p w14:paraId="3883936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2072" w:type="dxa"/>
            <w:shd w:val="clear" w:color="auto" w:fill="auto"/>
            <w:vAlign w:val="center"/>
          </w:tcPr>
          <w:p w14:paraId="74FE5F84">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IP终端</w:t>
            </w:r>
          </w:p>
        </w:tc>
        <w:tc>
          <w:tcPr>
            <w:tcW w:w="4943" w:type="dxa"/>
            <w:shd w:val="clear" w:color="auto" w:fill="auto"/>
            <w:vAlign w:val="center"/>
          </w:tcPr>
          <w:p w14:paraId="3FC83DCE">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IP终端（IP网络功放终端）</w:t>
            </w:r>
          </w:p>
          <w:p w14:paraId="7CD27BCF">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1、设备支持MP3音频格式，设备支持8KHz～48KHz采样率。</w:t>
            </w:r>
          </w:p>
          <w:p w14:paraId="16EC4CEE">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2、设备支持2路电源输出插座，内置智能电源管理，无音乐或呼叫时，自动切断输出座电源，有信号时自动打开输出座电源。</w:t>
            </w:r>
          </w:p>
          <w:p w14:paraId="1E3BA6C2">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3、设备内置1路网络硬件音频解码模块，支持TCP/IP、UDP，实现网络化传输16位CD音质的音频信号。</w:t>
            </w:r>
          </w:p>
          <w:p w14:paraId="3E819066">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4、设备具有网络接口：标准RJ45输入；设备支持100Mbps传输速率。</w:t>
            </w:r>
          </w:p>
          <w:p w14:paraId="26EE7320">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5、设备具有USB接口：最大支持16G内存U盘接入。</w:t>
            </w:r>
          </w:p>
          <w:p w14:paraId="7E796DDB">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6、设备具有USB播放功能，接入U盘。搭配红外遥控器可实现播放任意一首歌曲和播放上一曲、下一曲、暂停、停止等功能（或选择面板按键操作）。</w:t>
            </w:r>
          </w:p>
          <w:p w14:paraId="401D2051">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设备具有1路线路（AUX）和1路话筒（MIC）输入接口，具有独立的音量和高低音调节电位器控制，支持断网本地寻呼功能。设备具有1路EMC输入接口，输入紧急报警语音信号为直通，具有最高优先级。设备具有1路音频信号辅助输出接口，可扩展外接功率放大器，标准的莲花座接口，布线连接非常方便。设备具有2路三线制音控强切输出接口，无需强切电源。</w:t>
            </w:r>
          </w:p>
          <w:p w14:paraId="09BB2906">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8、设备采用嵌入式计算机技术和DSP音频处理技术设计。</w:t>
            </w:r>
          </w:p>
          <w:p w14:paraId="07D50277">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9、设备采用工业级3.4英寸LCD显示屏，可以清晰显示大多数点阵图案和机器工作状态；支持红外功能，搭配红外遥控器可实现点播服务器节目库任意内容、可控制播放/暂停，操作灵活简单。</w:t>
            </w:r>
          </w:p>
          <w:p w14:paraId="5A853A0C">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10、设备支持缄默强度预置减少功能，支持背景伴奏预置功能；支持状态灯显示，包括电平指示灯、保护指示灯、待机指示灯等；支持授权操作管理功能，由服务器统一配置管理用户及密码。</w:t>
            </w:r>
          </w:p>
          <w:p w14:paraId="2696997C">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11、设备支持广播系统对终端进行远程固件升级，无需到终端本地升级，减轻维护人员工作强度。</w:t>
            </w:r>
          </w:p>
          <w:p w14:paraId="59DCA3DC">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12、设备为数字化产品，扩容方便，不受地理位置限制，无需增加机房管理设备，采用共网免线路施工的设计理念，安装简便。</w:t>
            </w:r>
          </w:p>
          <w:p w14:paraId="7DBCA9B4">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13、设备内置3级优先设置： EMC为最高优先。网络报警信号优先MIC,AUX和网络背景音乐信号。 MIC优先AUX和网络背景音乐信号。AUX和网络背景音乐为同级，无任何优先。</w:t>
            </w:r>
          </w:p>
          <w:p w14:paraId="695DE33B">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14、设备兼容路由器、交换机、网桥网关、Modem、Internet、2G、3G、4G等任意网络结构。</w:t>
            </w:r>
          </w:p>
          <w:p w14:paraId="39FFAEFE">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15、设备采用标准19英寸机架设计，黑色氧化铝拉丝面板，坚固的抽手，专业的机械组装工艺，机器外观高档大气。</w:t>
            </w:r>
          </w:p>
          <w:p w14:paraId="455B572B">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16、设备安装在各个广播管理区域的弱电间或分控机房，可接2台功率放大器，用于大厅、走廊、室外等区域的节目播放和本地广播。</w:t>
            </w:r>
          </w:p>
          <w:p w14:paraId="1693B382">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17、设备EMC输入灵敏度：775mV  (非平衡）；设备AUX输入灵敏度：350mV  (非平衡）；设备MIC输入灵敏度：5mV   (非平衡）；设备AUX输出幅度：1000mV  2路莲花座输出接口；设备AUX输出阻抗：470Ω。</w:t>
            </w:r>
          </w:p>
          <w:p w14:paraId="6F151D14">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18、设备工作环境温度：5℃～40℃</w:t>
            </w:r>
          </w:p>
          <w:p w14:paraId="579CA82B">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19、设备工作环境湿度：20%～80%相对湿度，无结露</w:t>
            </w:r>
          </w:p>
          <w:p w14:paraId="3B6B10E8">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20、设备输入电源：~220V 50Hz</w:t>
            </w:r>
          </w:p>
          <w:p w14:paraId="059B04EF">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21、设备尺寸：484 x 303 x 88mm</w:t>
            </w:r>
          </w:p>
          <w:p w14:paraId="77EF35FA">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22、设备重量：5.2kg</w:t>
            </w:r>
          </w:p>
          <w:p w14:paraId="5CBEED6A">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23、设备高音提升、衰减：±10dB</w:t>
            </w:r>
          </w:p>
          <w:p w14:paraId="6CF1494A">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24、设备低音提升、衰减：±10dB</w:t>
            </w:r>
          </w:p>
          <w:p w14:paraId="50E19CD6">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25、设备频率响应：80Hz～16KHz</w:t>
            </w:r>
          </w:p>
          <w:p w14:paraId="24762BD5">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26、设备整机功耗：≤2000W</w:t>
            </w:r>
          </w:p>
          <w:p w14:paraId="3BB8E80E">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27、设备谐波失真：≤0.3%</w:t>
            </w:r>
          </w:p>
          <w:p w14:paraId="5DF70B83">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28、设备信噪比：＞65dB</w:t>
            </w:r>
          </w:p>
        </w:tc>
        <w:tc>
          <w:tcPr>
            <w:tcW w:w="729" w:type="dxa"/>
            <w:shd w:val="clear" w:color="auto" w:fill="auto"/>
            <w:vAlign w:val="center"/>
          </w:tcPr>
          <w:p w14:paraId="6215EE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51" w:type="dxa"/>
            <w:shd w:val="clear" w:color="auto" w:fill="auto"/>
            <w:vAlign w:val="center"/>
          </w:tcPr>
          <w:p w14:paraId="14AC4E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44440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35" w:type="dxa"/>
            <w:shd w:val="clear" w:color="auto" w:fill="auto"/>
            <w:vAlign w:val="center"/>
          </w:tcPr>
          <w:p w14:paraId="67284A1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51</w:t>
            </w:r>
          </w:p>
        </w:tc>
        <w:tc>
          <w:tcPr>
            <w:tcW w:w="2072" w:type="dxa"/>
            <w:shd w:val="clear" w:color="auto" w:fill="auto"/>
            <w:vAlign w:val="center"/>
          </w:tcPr>
          <w:p w14:paraId="1C58A0D3">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前置放大器 </w:t>
            </w:r>
          </w:p>
        </w:tc>
        <w:tc>
          <w:tcPr>
            <w:tcW w:w="4943" w:type="dxa"/>
            <w:shd w:val="clear" w:color="auto" w:fill="auto"/>
            <w:vAlign w:val="center"/>
          </w:tcPr>
          <w:p w14:paraId="7A312BE8">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前置放大器</w:t>
            </w:r>
          </w:p>
          <w:p w14:paraId="47A9033C">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1、设备采用标准机柜式设计（2U），设备适用于对普通音源进行前级放大。是具有多路话筒、音频以及紧急信号输入线路，单通道输出的前置放大器。</w:t>
            </w:r>
          </w:p>
          <w:p w14:paraId="315457DE">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2、设备具有5路话筒（MIC）输入，3路标准信号线路（AUX）输入，2路紧急线路（EMC）输入。</w:t>
            </w:r>
          </w:p>
          <w:p w14:paraId="2D60EB95">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3、设备话筒1-5的输入灵敏度：话筒:5mV/600Ω非平衡；线路RCA:775mV /10KΩ非平衡</w:t>
            </w:r>
          </w:p>
          <w:p w14:paraId="603E5340">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4、设备辅助1-3输入：AUX 1.2.3: 350mV/10KΩ非平衡</w:t>
            </w:r>
          </w:p>
          <w:p w14:paraId="1CCA26C6">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5、设备EMC1-2输入：RAC:非平衡 200mV～1000mV/10KΩ；MIC：非平衡 5mV～25mV/600Ω</w:t>
            </w:r>
          </w:p>
          <w:p w14:paraId="16E23885">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6、设备具有默音深度调节旋钮和EMC输入增益调节旋钮。设备设有高音（TREBLE）和低音（BASS）独立调节。</w:t>
            </w:r>
          </w:p>
          <w:p w14:paraId="6D3E9DEA">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7、设备话筒（MIC）输入通道和线路（AUX）输入通道均可独立调校音量，并设有总音量控制旋钮。</w:t>
            </w:r>
          </w:p>
          <w:p w14:paraId="0F0104DF">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8、设备MIC1、2、3、4、5 和2路紧急输入（EMC）通道均附设有线路辅助输入接口功能。</w:t>
            </w:r>
          </w:p>
          <w:p w14:paraId="50D05A78">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9、设备紧急输入线路具有二级优先，强行切入优先功能。</w:t>
            </w:r>
          </w:p>
          <w:p w14:paraId="6FC894AC">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10、设备MIC 5具有最高优先、强行切入优先功能；MIC 5和EMC最高优先权限功能可通过拔动开关交替选择，客户可根据使用情况选择优先。</w:t>
            </w:r>
          </w:p>
          <w:p w14:paraId="6415B8F7">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11、设备MIC1、2、3、4和AUX1、2、3可交叉混合输出；其中MIC1灵敏度可根据项目现场应用通过电位器灵活调节。</w:t>
            </w:r>
          </w:p>
          <w:p w14:paraId="654664C0">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12、设备电源：～220V/50Hz</w:t>
            </w:r>
          </w:p>
          <w:p w14:paraId="327C0CCF">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13、设备电源功耗：20W</w:t>
            </w:r>
          </w:p>
          <w:p w14:paraId="462641E0">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14、设备尺寸：484×303×88mm</w:t>
            </w:r>
          </w:p>
          <w:p w14:paraId="1D01AA87">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15、设备重量：4.54Kg</w:t>
            </w:r>
          </w:p>
          <w:p w14:paraId="488227BC">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16、设备频率响应：20Hz-20KHz(±3dB)</w:t>
            </w:r>
          </w:p>
          <w:p w14:paraId="5B15A2A6">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17、设备信噪比：MIC 输入:50dB； AUX输入:80dB</w:t>
            </w:r>
          </w:p>
          <w:p w14:paraId="180BD24A">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18、设备音调调节：低音:±10dB at 100Hz；高音:±10dB at 10KHz</w:t>
            </w:r>
          </w:p>
        </w:tc>
        <w:tc>
          <w:tcPr>
            <w:tcW w:w="729" w:type="dxa"/>
            <w:shd w:val="clear" w:color="auto" w:fill="auto"/>
            <w:vAlign w:val="center"/>
          </w:tcPr>
          <w:p w14:paraId="58E6BA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51" w:type="dxa"/>
            <w:shd w:val="clear" w:color="auto" w:fill="auto"/>
            <w:vAlign w:val="center"/>
          </w:tcPr>
          <w:p w14:paraId="51E66E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0FF34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35" w:type="dxa"/>
            <w:shd w:val="clear" w:color="auto" w:fill="auto"/>
            <w:vAlign w:val="center"/>
          </w:tcPr>
          <w:p w14:paraId="2B82B9D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52</w:t>
            </w:r>
          </w:p>
        </w:tc>
        <w:tc>
          <w:tcPr>
            <w:tcW w:w="2072" w:type="dxa"/>
            <w:shd w:val="clear" w:color="auto" w:fill="auto"/>
            <w:vAlign w:val="center"/>
          </w:tcPr>
          <w:p w14:paraId="31D2F75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纯后级功放</w:t>
            </w:r>
          </w:p>
        </w:tc>
        <w:tc>
          <w:tcPr>
            <w:tcW w:w="4943" w:type="dxa"/>
            <w:shd w:val="clear" w:color="auto" w:fill="auto"/>
            <w:vAlign w:val="top"/>
          </w:tcPr>
          <w:p w14:paraId="525C22AC">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纯后级功放</w:t>
            </w:r>
          </w:p>
          <w:p w14:paraId="29B3BA19">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1、设备采用2U精简黑色氧化铝拉丝面板。</w:t>
            </w:r>
          </w:p>
          <w:p w14:paraId="464F1212">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2、设备额定输出功率：1500W。</w:t>
            </w:r>
          </w:p>
          <w:p w14:paraId="4E7D0F5C">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3、设备具有1通道LINE不平衡TRS/XLR高品质多功能输入接口，1通道LINE平衡XLR级联输出。</w:t>
            </w:r>
          </w:p>
          <w:p w14:paraId="28F107B1">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4、设备具有过温、过热、过载、过压、欠压、过流、短路多重智能检测保护系统。</w:t>
            </w:r>
          </w:p>
          <w:p w14:paraId="34A53593">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5、设备具有良好的管道式散热结构，内置自动温度控制风扇冷却系统，能有效排出热空气，有效降低设备温度，保障设备持续稳定运行。散热：由前往后强制风冷，散热器温度45度时启动内置风扇。</w:t>
            </w:r>
          </w:p>
          <w:p w14:paraId="226BE8EC">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6、设备内置智能削顶失真和过流压限系统，能有效保护扬声器单元。</w:t>
            </w:r>
          </w:p>
          <w:p w14:paraId="700A9E58">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7、设备输入灵敏度 &amp; 输入阻抗：775mV/10KΩ, 平衡 XLR/TRS接口；设备输出灵敏度 &amp; 输出源阻抗：775mV/470Ω, 平衡 XLR 接口。</w:t>
            </w:r>
          </w:p>
          <w:p w14:paraId="781321E8">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8、设备采用全新第三代D类数字功放技术，高效功率放大电路设计。</w:t>
            </w:r>
          </w:p>
          <w:p w14:paraId="62B6DC7D">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9、设备采用新型功放电路，零交越失真，保证信号在放大过程中的质量无损。</w:t>
            </w:r>
          </w:p>
          <w:p w14:paraId="67A0D639">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10、设备可为广播系统提供区域功率放大。</w:t>
            </w:r>
          </w:p>
          <w:p w14:paraId="71311A57">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11、设备内置PFC电路和软开关电源技术，开关机自动软启动控制，达到92%的超高系统效率。</w:t>
            </w:r>
          </w:p>
          <w:p w14:paraId="7E07F94C">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12、设备是一款高性能的开关电源单通道大功率纯后级广播功放。</w:t>
            </w:r>
          </w:p>
          <w:p w14:paraId="403EE15B">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13、设备适用于较大区域范围的广播扩声，如中大型学校、大厦，会所，场所酒吧，公园等。</w:t>
            </w:r>
          </w:p>
          <w:p w14:paraId="7599E504">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14、设备支持2种定阻和定压输出模式:4-16Ω/100V可选择。</w:t>
            </w:r>
          </w:p>
          <w:p w14:paraId="3B58CFEC">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15、设备尺寸：484x398x88mm</w:t>
            </w:r>
          </w:p>
          <w:p w14:paraId="3C5E977A">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16、设备电源：~220V/50Hz</w:t>
            </w:r>
          </w:p>
          <w:p w14:paraId="682CDA10">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17、设备净重：8.7kg</w:t>
            </w:r>
          </w:p>
          <w:p w14:paraId="70C6180B">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18、设备频率响应：80Hz~16kHz(+1dB, -3dB )</w:t>
            </w:r>
          </w:p>
          <w:p w14:paraId="020657F5">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19、设备信噪比：&gt;90dB</w:t>
            </w:r>
          </w:p>
          <w:p w14:paraId="673B4F59">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20、设备整机功耗：300W（依据GB4943.1-2022测试手法:在1kHz正弦波额定负载1/8功率条件下测得）</w:t>
            </w:r>
          </w:p>
          <w:p w14:paraId="72AAC86E">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21、设备总谐波失真：1kHz时0.5%, 1/3 输出功率</w:t>
            </w:r>
          </w:p>
        </w:tc>
        <w:tc>
          <w:tcPr>
            <w:tcW w:w="729" w:type="dxa"/>
            <w:shd w:val="clear" w:color="auto" w:fill="auto"/>
            <w:vAlign w:val="center"/>
          </w:tcPr>
          <w:p w14:paraId="586240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951" w:type="dxa"/>
            <w:shd w:val="clear" w:color="auto" w:fill="auto"/>
            <w:vAlign w:val="center"/>
          </w:tcPr>
          <w:p w14:paraId="48607C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2C4AA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9230" w:type="dxa"/>
            <w:gridSpan w:val="5"/>
            <w:shd w:val="clear" w:color="auto" w:fill="auto"/>
            <w:vAlign w:val="center"/>
          </w:tcPr>
          <w:p w14:paraId="3F2A8B3A">
            <w:pPr>
              <w:jc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（四）系统集成</w:t>
            </w:r>
          </w:p>
        </w:tc>
      </w:tr>
      <w:tr w14:paraId="01A1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35" w:type="dxa"/>
            <w:shd w:val="clear" w:color="auto" w:fill="auto"/>
            <w:vAlign w:val="center"/>
          </w:tcPr>
          <w:p w14:paraId="151EBAF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53</w:t>
            </w:r>
          </w:p>
        </w:tc>
        <w:tc>
          <w:tcPr>
            <w:tcW w:w="2072" w:type="dxa"/>
            <w:shd w:val="clear" w:color="auto" w:fill="auto"/>
            <w:vAlign w:val="center"/>
          </w:tcPr>
          <w:p w14:paraId="55365DA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音频跳线：RCA莲花-RCA莲花(1.8m) </w:t>
            </w:r>
          </w:p>
        </w:tc>
        <w:tc>
          <w:tcPr>
            <w:tcW w:w="4943" w:type="dxa"/>
            <w:shd w:val="clear" w:color="auto" w:fill="auto"/>
            <w:vAlign w:val="top"/>
          </w:tcPr>
          <w:p w14:paraId="0166B22F">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音频跳线：RCA莲花-RCA莲花(1.8m)</w:t>
            </w:r>
          </w:p>
          <w:p w14:paraId="3E39DA54">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1、品牌不低于“itc、迪士普、佳比”产品品质</w:t>
            </w:r>
          </w:p>
        </w:tc>
        <w:tc>
          <w:tcPr>
            <w:tcW w:w="729" w:type="dxa"/>
            <w:shd w:val="clear" w:color="auto" w:fill="auto"/>
            <w:vAlign w:val="center"/>
          </w:tcPr>
          <w:p w14:paraId="682F1A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条</w:t>
            </w:r>
          </w:p>
        </w:tc>
        <w:tc>
          <w:tcPr>
            <w:tcW w:w="951" w:type="dxa"/>
            <w:shd w:val="clear" w:color="auto" w:fill="auto"/>
            <w:vAlign w:val="center"/>
          </w:tcPr>
          <w:p w14:paraId="691A93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r>
      <w:tr w14:paraId="768A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5" w:type="dxa"/>
            <w:shd w:val="clear" w:color="auto" w:fill="auto"/>
            <w:vAlign w:val="center"/>
          </w:tcPr>
          <w:p w14:paraId="4D7F622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54</w:t>
            </w:r>
          </w:p>
        </w:tc>
        <w:tc>
          <w:tcPr>
            <w:tcW w:w="2072" w:type="dxa"/>
            <w:shd w:val="clear" w:color="auto" w:fill="auto"/>
            <w:vAlign w:val="center"/>
          </w:tcPr>
          <w:p w14:paraId="3EFC050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音频跳线：RCA莲花-6.35mm大单芯(1.8m) </w:t>
            </w:r>
          </w:p>
        </w:tc>
        <w:tc>
          <w:tcPr>
            <w:tcW w:w="4943" w:type="dxa"/>
            <w:shd w:val="clear" w:color="auto" w:fill="auto"/>
            <w:vAlign w:val="top"/>
          </w:tcPr>
          <w:p w14:paraId="43066A7D">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音频跳线：RCA莲花-6.35mm大单芯(1.8m) </w:t>
            </w:r>
          </w:p>
          <w:p w14:paraId="2EA2311C">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1、品牌不低于“itc、迪士普、佳比”产品品质</w:t>
            </w:r>
          </w:p>
        </w:tc>
        <w:tc>
          <w:tcPr>
            <w:tcW w:w="729" w:type="dxa"/>
            <w:shd w:val="clear" w:color="auto" w:fill="auto"/>
            <w:vAlign w:val="center"/>
          </w:tcPr>
          <w:p w14:paraId="309BC3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条</w:t>
            </w:r>
          </w:p>
        </w:tc>
        <w:tc>
          <w:tcPr>
            <w:tcW w:w="951" w:type="dxa"/>
            <w:shd w:val="clear" w:color="auto" w:fill="auto"/>
            <w:vAlign w:val="center"/>
          </w:tcPr>
          <w:p w14:paraId="44072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r>
      <w:tr w14:paraId="3024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5" w:type="dxa"/>
            <w:shd w:val="clear" w:color="auto" w:fill="auto"/>
            <w:vAlign w:val="center"/>
          </w:tcPr>
          <w:p w14:paraId="5B12403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55</w:t>
            </w:r>
          </w:p>
        </w:tc>
        <w:tc>
          <w:tcPr>
            <w:tcW w:w="2072" w:type="dxa"/>
            <w:shd w:val="clear" w:color="auto" w:fill="auto"/>
            <w:vAlign w:val="center"/>
          </w:tcPr>
          <w:p w14:paraId="038DB58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音频跳线：3.5mm接线头-双RCA莲花(1.8m)</w:t>
            </w:r>
          </w:p>
        </w:tc>
        <w:tc>
          <w:tcPr>
            <w:tcW w:w="4943" w:type="dxa"/>
            <w:shd w:val="clear" w:color="auto" w:fill="auto"/>
            <w:vAlign w:val="top"/>
          </w:tcPr>
          <w:p w14:paraId="190235CD">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音频跳线：3.5mm接线头-双RCA莲花(1.8m)</w:t>
            </w:r>
          </w:p>
          <w:p w14:paraId="03FA5E5B">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1、品牌不低于“itc、迪士普、佳比”产品品质</w:t>
            </w:r>
          </w:p>
        </w:tc>
        <w:tc>
          <w:tcPr>
            <w:tcW w:w="729" w:type="dxa"/>
            <w:shd w:val="clear" w:color="auto" w:fill="auto"/>
            <w:vAlign w:val="center"/>
          </w:tcPr>
          <w:p w14:paraId="070068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条</w:t>
            </w:r>
          </w:p>
        </w:tc>
        <w:tc>
          <w:tcPr>
            <w:tcW w:w="951" w:type="dxa"/>
            <w:shd w:val="clear" w:color="auto" w:fill="auto"/>
            <w:vAlign w:val="center"/>
          </w:tcPr>
          <w:p w14:paraId="54925E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6FC7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5" w:type="dxa"/>
            <w:shd w:val="clear" w:color="auto" w:fill="auto"/>
            <w:vAlign w:val="center"/>
          </w:tcPr>
          <w:p w14:paraId="7F5FCC2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56</w:t>
            </w:r>
          </w:p>
        </w:tc>
        <w:tc>
          <w:tcPr>
            <w:tcW w:w="2072" w:type="dxa"/>
            <w:shd w:val="clear" w:color="auto" w:fill="auto"/>
            <w:vAlign w:val="center"/>
          </w:tcPr>
          <w:p w14:paraId="5CDAC59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6位排插 </w:t>
            </w:r>
          </w:p>
        </w:tc>
        <w:tc>
          <w:tcPr>
            <w:tcW w:w="4943" w:type="dxa"/>
            <w:shd w:val="clear" w:color="auto" w:fill="auto"/>
            <w:vAlign w:val="top"/>
          </w:tcPr>
          <w:p w14:paraId="0BED4134">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1、6位五孔 无线，带开关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2、品牌不低于“海康威视、大华、公牛”产品品质</w:t>
            </w:r>
          </w:p>
        </w:tc>
        <w:tc>
          <w:tcPr>
            <w:tcW w:w="729" w:type="dxa"/>
            <w:shd w:val="clear" w:color="auto" w:fill="auto"/>
            <w:vAlign w:val="center"/>
          </w:tcPr>
          <w:p w14:paraId="519F20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951" w:type="dxa"/>
            <w:shd w:val="clear" w:color="auto" w:fill="auto"/>
            <w:vAlign w:val="center"/>
          </w:tcPr>
          <w:p w14:paraId="159BEF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389D2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35" w:type="dxa"/>
            <w:shd w:val="clear" w:color="auto" w:fill="auto"/>
            <w:vAlign w:val="center"/>
          </w:tcPr>
          <w:p w14:paraId="7E5B3FD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57</w:t>
            </w:r>
          </w:p>
        </w:tc>
        <w:tc>
          <w:tcPr>
            <w:tcW w:w="2072" w:type="dxa"/>
            <w:shd w:val="clear" w:color="auto" w:fill="auto"/>
            <w:vAlign w:val="center"/>
          </w:tcPr>
          <w:p w14:paraId="425F5C8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管内穿放非屏蔽超5类网线 </w:t>
            </w:r>
          </w:p>
        </w:tc>
        <w:tc>
          <w:tcPr>
            <w:tcW w:w="4943" w:type="dxa"/>
            <w:shd w:val="clear" w:color="auto" w:fill="auto"/>
            <w:vAlign w:val="top"/>
          </w:tcPr>
          <w:p w14:paraId="43E762E2">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1、品牌不低于“海康威视、大华、安普”产品品质</w:t>
            </w:r>
          </w:p>
        </w:tc>
        <w:tc>
          <w:tcPr>
            <w:tcW w:w="729" w:type="dxa"/>
            <w:shd w:val="clear" w:color="auto" w:fill="auto"/>
            <w:vAlign w:val="center"/>
          </w:tcPr>
          <w:p w14:paraId="6FDF89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51" w:type="dxa"/>
            <w:shd w:val="clear" w:color="auto" w:fill="auto"/>
            <w:vAlign w:val="center"/>
          </w:tcPr>
          <w:p w14:paraId="1F6C2D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18.00</w:t>
            </w:r>
          </w:p>
        </w:tc>
      </w:tr>
      <w:tr w14:paraId="283E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5" w:type="dxa"/>
            <w:shd w:val="clear" w:color="auto" w:fill="auto"/>
            <w:vAlign w:val="center"/>
          </w:tcPr>
          <w:p w14:paraId="0F85EC7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58</w:t>
            </w:r>
          </w:p>
        </w:tc>
        <w:tc>
          <w:tcPr>
            <w:tcW w:w="2072" w:type="dxa"/>
            <w:shd w:val="clear" w:color="auto" w:fill="auto"/>
            <w:vAlign w:val="center"/>
          </w:tcPr>
          <w:p w14:paraId="2DEF40C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4芯中心束管式光缆</w:t>
            </w:r>
          </w:p>
        </w:tc>
        <w:tc>
          <w:tcPr>
            <w:tcW w:w="4943" w:type="dxa"/>
            <w:shd w:val="clear" w:color="auto" w:fill="auto"/>
            <w:vAlign w:val="top"/>
          </w:tcPr>
          <w:p w14:paraId="0B9CEE9D">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1、品牌不低于“海康威视、大华、安普”产品品质</w:t>
            </w:r>
          </w:p>
        </w:tc>
        <w:tc>
          <w:tcPr>
            <w:tcW w:w="729" w:type="dxa"/>
            <w:shd w:val="clear" w:color="auto" w:fill="auto"/>
            <w:vAlign w:val="center"/>
          </w:tcPr>
          <w:p w14:paraId="35D02A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51" w:type="dxa"/>
            <w:shd w:val="clear" w:color="auto" w:fill="auto"/>
            <w:vAlign w:val="center"/>
          </w:tcPr>
          <w:p w14:paraId="653C7B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2434.00</w:t>
            </w:r>
          </w:p>
        </w:tc>
      </w:tr>
      <w:tr w14:paraId="3046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5" w:type="dxa"/>
            <w:shd w:val="clear" w:color="auto" w:fill="auto"/>
            <w:vAlign w:val="center"/>
          </w:tcPr>
          <w:p w14:paraId="0A68711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59</w:t>
            </w:r>
          </w:p>
        </w:tc>
        <w:tc>
          <w:tcPr>
            <w:tcW w:w="2072" w:type="dxa"/>
            <w:shd w:val="clear" w:color="auto" w:fill="auto"/>
            <w:vAlign w:val="center"/>
          </w:tcPr>
          <w:p w14:paraId="2AC5527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布放金银线 0.5*75*2mm2 </w:t>
            </w:r>
          </w:p>
        </w:tc>
        <w:tc>
          <w:tcPr>
            <w:tcW w:w="4943" w:type="dxa"/>
            <w:shd w:val="clear" w:color="auto" w:fill="auto"/>
            <w:vAlign w:val="top"/>
          </w:tcPr>
          <w:p w14:paraId="31ED0F65">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布放金银线 0.5*75*2mm2 </w:t>
            </w:r>
          </w:p>
          <w:p w14:paraId="77B10DA3">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1、品牌不低于“itc、迪士普、佳比”产品品质</w:t>
            </w:r>
          </w:p>
        </w:tc>
        <w:tc>
          <w:tcPr>
            <w:tcW w:w="729" w:type="dxa"/>
            <w:shd w:val="clear" w:color="auto" w:fill="auto"/>
            <w:vAlign w:val="center"/>
          </w:tcPr>
          <w:p w14:paraId="73422B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51" w:type="dxa"/>
            <w:shd w:val="clear" w:color="auto" w:fill="auto"/>
            <w:vAlign w:val="center"/>
          </w:tcPr>
          <w:p w14:paraId="1BD47D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18.00</w:t>
            </w:r>
          </w:p>
        </w:tc>
      </w:tr>
      <w:tr w14:paraId="56AB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5" w:type="dxa"/>
            <w:shd w:val="clear" w:color="auto" w:fill="auto"/>
            <w:vAlign w:val="center"/>
          </w:tcPr>
          <w:p w14:paraId="62C1047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2072" w:type="dxa"/>
            <w:shd w:val="clear" w:color="auto" w:fill="auto"/>
            <w:vAlign w:val="center"/>
          </w:tcPr>
          <w:p w14:paraId="57B18C29">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塑料管埋地敷设 PVC100 </w:t>
            </w:r>
          </w:p>
        </w:tc>
        <w:tc>
          <w:tcPr>
            <w:tcW w:w="4943" w:type="dxa"/>
            <w:shd w:val="clear" w:color="auto" w:fill="auto"/>
            <w:vAlign w:val="top"/>
          </w:tcPr>
          <w:p w14:paraId="61F93DD6">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塑料管埋地敷设 PVC100 </w:t>
            </w:r>
          </w:p>
          <w:p w14:paraId="5DD21401">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1、品牌不低于“联塑、伟星、公元”产品品质</w:t>
            </w:r>
          </w:p>
        </w:tc>
        <w:tc>
          <w:tcPr>
            <w:tcW w:w="729" w:type="dxa"/>
            <w:shd w:val="clear" w:color="auto" w:fill="auto"/>
            <w:vAlign w:val="center"/>
          </w:tcPr>
          <w:p w14:paraId="2B466B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51" w:type="dxa"/>
            <w:shd w:val="clear" w:color="auto" w:fill="auto"/>
            <w:vAlign w:val="center"/>
          </w:tcPr>
          <w:p w14:paraId="45A396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410.14</w:t>
            </w:r>
          </w:p>
        </w:tc>
      </w:tr>
      <w:tr w14:paraId="25BB3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35" w:type="dxa"/>
            <w:shd w:val="clear" w:color="auto" w:fill="auto"/>
            <w:vAlign w:val="center"/>
          </w:tcPr>
          <w:p w14:paraId="02AB4D6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61</w:t>
            </w:r>
          </w:p>
        </w:tc>
        <w:tc>
          <w:tcPr>
            <w:tcW w:w="2072" w:type="dxa"/>
            <w:shd w:val="clear" w:color="auto" w:fill="auto"/>
            <w:vAlign w:val="center"/>
          </w:tcPr>
          <w:p w14:paraId="59956FE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塑料管埋地敷设 PVC20 </w:t>
            </w:r>
          </w:p>
        </w:tc>
        <w:tc>
          <w:tcPr>
            <w:tcW w:w="4943" w:type="dxa"/>
            <w:shd w:val="clear" w:color="auto" w:fill="auto"/>
            <w:vAlign w:val="top"/>
          </w:tcPr>
          <w:p w14:paraId="67DBDD25">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塑料管埋地敷设 PVC20 </w:t>
            </w:r>
          </w:p>
          <w:p w14:paraId="5A5BE3AE">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1、品牌不低于“联塑、伟星、公元”产品品质</w:t>
            </w:r>
          </w:p>
        </w:tc>
        <w:tc>
          <w:tcPr>
            <w:tcW w:w="729" w:type="dxa"/>
            <w:shd w:val="clear" w:color="auto" w:fill="auto"/>
            <w:vAlign w:val="center"/>
          </w:tcPr>
          <w:p w14:paraId="775596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51" w:type="dxa"/>
            <w:shd w:val="clear" w:color="auto" w:fill="auto"/>
            <w:vAlign w:val="center"/>
          </w:tcPr>
          <w:p w14:paraId="7DF027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161.90</w:t>
            </w:r>
          </w:p>
        </w:tc>
      </w:tr>
      <w:tr w14:paraId="339D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5" w:type="dxa"/>
            <w:shd w:val="clear" w:color="auto" w:fill="auto"/>
            <w:vAlign w:val="center"/>
          </w:tcPr>
          <w:p w14:paraId="4BDFAF0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62</w:t>
            </w:r>
          </w:p>
        </w:tc>
        <w:tc>
          <w:tcPr>
            <w:tcW w:w="2072" w:type="dxa"/>
            <w:shd w:val="clear" w:color="auto" w:fill="auto"/>
            <w:vAlign w:val="center"/>
          </w:tcPr>
          <w:p w14:paraId="1B4A8553">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塑料管敷设 砖、混凝土结构明配 PVC20 </w:t>
            </w:r>
          </w:p>
        </w:tc>
        <w:tc>
          <w:tcPr>
            <w:tcW w:w="4943" w:type="dxa"/>
            <w:shd w:val="clear" w:color="auto" w:fill="auto"/>
            <w:vAlign w:val="top"/>
          </w:tcPr>
          <w:p w14:paraId="099AB29F">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塑料管敷设 砖、混凝土结构明配 PVC20</w:t>
            </w:r>
          </w:p>
          <w:p w14:paraId="61B115BB">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1、品牌不低于“联塑、伟星、公元”产品品质</w:t>
            </w:r>
          </w:p>
        </w:tc>
        <w:tc>
          <w:tcPr>
            <w:tcW w:w="729" w:type="dxa"/>
            <w:shd w:val="clear" w:color="auto" w:fill="auto"/>
            <w:vAlign w:val="center"/>
          </w:tcPr>
          <w:p w14:paraId="599149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951" w:type="dxa"/>
            <w:shd w:val="clear" w:color="auto" w:fill="auto"/>
            <w:vAlign w:val="center"/>
          </w:tcPr>
          <w:p w14:paraId="362897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50.40</w:t>
            </w:r>
          </w:p>
        </w:tc>
      </w:tr>
      <w:tr w14:paraId="2F44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35" w:type="dxa"/>
            <w:shd w:val="clear" w:color="auto" w:fill="auto"/>
            <w:vAlign w:val="center"/>
          </w:tcPr>
          <w:p w14:paraId="48B7B5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63</w:t>
            </w:r>
          </w:p>
        </w:tc>
        <w:tc>
          <w:tcPr>
            <w:tcW w:w="2072" w:type="dxa"/>
            <w:shd w:val="clear" w:color="auto" w:fill="auto"/>
            <w:vAlign w:val="center"/>
          </w:tcPr>
          <w:p w14:paraId="2E274D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土方开挖</w:t>
            </w:r>
          </w:p>
        </w:tc>
        <w:tc>
          <w:tcPr>
            <w:tcW w:w="4943" w:type="dxa"/>
            <w:shd w:val="clear" w:color="auto" w:fill="auto"/>
            <w:vAlign w:val="center"/>
          </w:tcPr>
          <w:p w14:paraId="7DB878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土方开挖</w:t>
            </w:r>
          </w:p>
        </w:tc>
        <w:tc>
          <w:tcPr>
            <w:tcW w:w="729" w:type="dxa"/>
            <w:shd w:val="clear" w:color="auto" w:fill="auto"/>
            <w:vAlign w:val="center"/>
          </w:tcPr>
          <w:p w14:paraId="334A4C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m²</w:t>
            </w:r>
          </w:p>
        </w:tc>
        <w:tc>
          <w:tcPr>
            <w:tcW w:w="951" w:type="dxa"/>
            <w:shd w:val="clear" w:color="auto" w:fill="auto"/>
            <w:vAlign w:val="center"/>
          </w:tcPr>
          <w:p w14:paraId="4AA61C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50.73</w:t>
            </w:r>
          </w:p>
        </w:tc>
      </w:tr>
      <w:tr w14:paraId="34668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5" w:type="dxa"/>
            <w:shd w:val="clear" w:color="auto" w:fill="auto"/>
            <w:vAlign w:val="center"/>
          </w:tcPr>
          <w:p w14:paraId="5F41D3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64</w:t>
            </w:r>
          </w:p>
        </w:tc>
        <w:tc>
          <w:tcPr>
            <w:tcW w:w="2072" w:type="dxa"/>
            <w:shd w:val="clear" w:color="auto" w:fill="auto"/>
            <w:vAlign w:val="center"/>
          </w:tcPr>
          <w:p w14:paraId="189E51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原土回填</w:t>
            </w:r>
          </w:p>
        </w:tc>
        <w:tc>
          <w:tcPr>
            <w:tcW w:w="4943" w:type="dxa"/>
            <w:shd w:val="clear" w:color="auto" w:fill="auto"/>
            <w:vAlign w:val="center"/>
          </w:tcPr>
          <w:p w14:paraId="360491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原土回填</w:t>
            </w:r>
          </w:p>
        </w:tc>
        <w:tc>
          <w:tcPr>
            <w:tcW w:w="729" w:type="dxa"/>
            <w:shd w:val="clear" w:color="auto" w:fill="auto"/>
            <w:vAlign w:val="center"/>
          </w:tcPr>
          <w:p w14:paraId="6595DA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m²</w:t>
            </w:r>
          </w:p>
        </w:tc>
        <w:tc>
          <w:tcPr>
            <w:tcW w:w="951" w:type="dxa"/>
            <w:shd w:val="clear" w:color="auto" w:fill="auto"/>
            <w:vAlign w:val="center"/>
          </w:tcPr>
          <w:p w14:paraId="789AB1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50.73</w:t>
            </w:r>
          </w:p>
        </w:tc>
      </w:tr>
      <w:tr w14:paraId="6BC2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35" w:type="dxa"/>
            <w:shd w:val="clear" w:color="auto" w:fill="auto"/>
            <w:vAlign w:val="center"/>
          </w:tcPr>
          <w:p w14:paraId="50FC233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65</w:t>
            </w:r>
          </w:p>
        </w:tc>
        <w:tc>
          <w:tcPr>
            <w:tcW w:w="2072" w:type="dxa"/>
            <w:shd w:val="clear" w:color="auto" w:fill="auto"/>
            <w:vAlign w:val="center"/>
          </w:tcPr>
          <w:p w14:paraId="218784D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水晶头（超五类）</w:t>
            </w:r>
          </w:p>
        </w:tc>
        <w:tc>
          <w:tcPr>
            <w:tcW w:w="4943" w:type="dxa"/>
            <w:shd w:val="clear" w:color="auto" w:fill="auto"/>
            <w:vAlign w:val="top"/>
          </w:tcPr>
          <w:p w14:paraId="7BF16ED0">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水晶头（超五类）</w:t>
            </w:r>
          </w:p>
          <w:p w14:paraId="78D7460A">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1、品牌不低于“海康威视、大华、安普”产品品质</w:t>
            </w:r>
          </w:p>
        </w:tc>
        <w:tc>
          <w:tcPr>
            <w:tcW w:w="729" w:type="dxa"/>
            <w:shd w:val="clear" w:color="auto" w:fill="auto"/>
            <w:vAlign w:val="center"/>
          </w:tcPr>
          <w:p w14:paraId="053A1F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951" w:type="dxa"/>
            <w:shd w:val="clear" w:color="auto" w:fill="auto"/>
            <w:vAlign w:val="center"/>
          </w:tcPr>
          <w:p w14:paraId="7B1A56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w:t>
            </w:r>
          </w:p>
        </w:tc>
      </w:tr>
    </w:tbl>
    <w:p w14:paraId="2DA710CC">
      <w:pPr>
        <w:jc w:val="both"/>
        <w:rPr>
          <w:rFonts w:hint="eastAsia" w:asciiTheme="minorEastAsia" w:hAnsiTheme="minorEastAsia" w:eastAsiaTheme="minorEastAsia" w:cstheme="minorEastAsia"/>
          <w:b/>
          <w:bCs/>
          <w:sz w:val="32"/>
          <w:szCs w:val="32"/>
        </w:rPr>
      </w:pPr>
    </w:p>
    <w:p w14:paraId="0D5306EC">
      <w:pPr>
        <w:jc w:val="both"/>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注：上述参数里设备尺寸、设备重量为约数，如</w:t>
      </w: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设备重量：4.54Kg</w:t>
      </w:r>
      <w:r>
        <w:rPr>
          <w:rFonts w:hint="eastAsia" w:asciiTheme="minorEastAsia" w:hAnsiTheme="minorEastAsia" w:cstheme="minorEastAsia"/>
          <w:b w:val="0"/>
          <w:bCs w:val="0"/>
          <w:i w:val="0"/>
          <w:iCs w:val="0"/>
          <w:color w:val="000000"/>
          <w:kern w:val="0"/>
          <w:sz w:val="28"/>
          <w:szCs w:val="28"/>
          <w:u w:val="none"/>
          <w:lang w:val="en-US" w:eastAsia="zh-CN" w:bidi="ar"/>
        </w:rPr>
        <w:t>，表示设备重量约4.54kg。</w:t>
      </w:r>
    </w:p>
    <w:p w14:paraId="4F2D68D7">
      <w:pPr>
        <w:jc w:val="center"/>
        <w:rPr>
          <w:rFonts w:hint="eastAsia" w:asciiTheme="minorEastAsia" w:hAnsiTheme="minorEastAsia" w:eastAsiaTheme="minorEastAsia" w:cstheme="minorEastAsia"/>
          <w:b/>
          <w:bCs/>
          <w:sz w:val="32"/>
          <w:szCs w:val="32"/>
        </w:rPr>
      </w:pPr>
    </w:p>
    <w:p w14:paraId="2F6314CE">
      <w:pPr>
        <w:jc w:val="center"/>
        <w:rPr>
          <w:rFonts w:hint="eastAsia" w:asciiTheme="minorEastAsia" w:hAnsiTheme="minorEastAsia" w:eastAsiaTheme="minorEastAsia" w:cstheme="minorEastAsia"/>
          <w:b/>
          <w:bCs/>
          <w:sz w:val="32"/>
          <w:szCs w:val="32"/>
        </w:rPr>
      </w:pPr>
    </w:p>
    <w:p w14:paraId="0775187B">
      <w:pPr>
        <w:pStyle w:val="11"/>
        <w:widowControl/>
        <w:numPr>
          <w:ilvl w:val="0"/>
          <w:numId w:val="1"/>
        </w:numPr>
        <w:shd w:val="clear" w:color="auto" w:fill="FFFFFF"/>
        <w:spacing w:before="0" w:beforeAutospacing="0" w:after="0" w:afterAutospacing="0"/>
        <w:jc w:val="center"/>
        <w:rPr>
          <w:rFonts w:hint="eastAsia" w:asciiTheme="minorEastAsia" w:hAnsiTheme="minorEastAsia" w:eastAsiaTheme="minorEastAsia" w:cstheme="minorEastAsia"/>
          <w:b/>
          <w:bCs/>
          <w:color w:val="auto"/>
          <w:sz w:val="36"/>
          <w:szCs w:val="36"/>
          <w:shd w:val="clear" w:color="auto" w:fill="FFFFFF"/>
          <w:lang w:val="en-US" w:eastAsia="zh-CN"/>
        </w:rPr>
      </w:pPr>
      <w:r>
        <w:rPr>
          <w:rFonts w:hint="eastAsia" w:asciiTheme="minorEastAsia" w:hAnsiTheme="minorEastAsia" w:eastAsiaTheme="minorEastAsia" w:cstheme="minorEastAsia"/>
          <w:b/>
          <w:bCs/>
          <w:color w:val="auto"/>
          <w:sz w:val="36"/>
          <w:szCs w:val="36"/>
          <w:shd w:val="clear" w:color="auto" w:fill="FFFFFF"/>
          <w:lang w:val="en-US" w:eastAsia="zh-CN"/>
        </w:rPr>
        <w:t xml:space="preserve"> 评标办法</w:t>
      </w:r>
    </w:p>
    <w:p w14:paraId="7D946013">
      <w:pPr>
        <w:jc w:val="center"/>
        <w:rPr>
          <w:rFonts w:hint="eastAsia" w:asciiTheme="minorEastAsia" w:hAnsiTheme="minorEastAsia" w:eastAsiaTheme="minorEastAsia" w:cstheme="minorEastAsia"/>
          <w:b/>
          <w:bCs/>
          <w:sz w:val="32"/>
          <w:szCs w:val="32"/>
        </w:rPr>
      </w:pPr>
    </w:p>
    <w:p w14:paraId="47FC8FA4">
      <w:pPr>
        <w:pStyle w:val="8"/>
        <w:jc w:val="center"/>
        <w:rPr>
          <w:rFonts w:hint="eastAsia" w:asciiTheme="minorEastAsia" w:hAnsiTheme="minorEastAsia" w:eastAsiaTheme="minorEastAsia" w:cstheme="minorEastAsia"/>
          <w:b/>
          <w:color w:val="000000" w:themeColor="text1"/>
          <w:sz w:val="30"/>
          <w:szCs w:val="30"/>
          <w14:textFill>
            <w14:solidFill>
              <w14:schemeClr w14:val="tx1"/>
            </w14:solidFill>
          </w14:textFill>
        </w:rPr>
      </w:pPr>
      <w:bookmarkStart w:id="0" w:name="_Toc16607"/>
      <w:bookmarkStart w:id="1" w:name="_Toc1251"/>
      <w:bookmarkStart w:id="2" w:name="_Toc30734"/>
      <w:bookmarkStart w:id="3" w:name="_Toc28332"/>
      <w:bookmarkStart w:id="4" w:name="_Toc5054"/>
      <w:r>
        <w:rPr>
          <w:rFonts w:hint="eastAsia" w:asciiTheme="minorEastAsia" w:hAnsiTheme="minorEastAsia" w:eastAsiaTheme="minorEastAsia" w:cstheme="minorEastAsia"/>
          <w:b/>
          <w:color w:val="000000" w:themeColor="text1"/>
          <w:sz w:val="30"/>
          <w:szCs w:val="30"/>
          <w14:textFill>
            <w14:solidFill>
              <w14:schemeClr w14:val="tx1"/>
            </w14:solidFill>
          </w14:textFill>
        </w:rPr>
        <w:t>综合评分法</w:t>
      </w:r>
    </w:p>
    <w:p w14:paraId="7960C6DB">
      <w:pPr>
        <w:pStyle w:val="8"/>
        <w:spacing w:line="360" w:lineRule="auto"/>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注：计分方法按四舍五入取至百分位。</w:t>
      </w:r>
    </w:p>
    <w:tbl>
      <w:tblPr>
        <w:tblStyle w:val="12"/>
        <w:tblW w:w="5305" w:type="pct"/>
        <w:tblInd w:w="-5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1247"/>
        <w:gridCol w:w="6563"/>
      </w:tblGrid>
      <w:tr w14:paraId="611B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3"/>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14:paraId="144426CD">
            <w:pPr>
              <w:spacing w:line="36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本</w:t>
            </w:r>
            <w:r>
              <w:rPr>
                <w:rFonts w:hint="eastAsia" w:asciiTheme="minorEastAsia" w:hAnsiTheme="minorEastAsia" w:eastAsiaTheme="minorEastAsia" w:cstheme="minorEastAsia"/>
                <w:lang w:val="en-US" w:eastAsia="zh-CN"/>
              </w:rPr>
              <w:t>项目</w:t>
            </w:r>
            <w:r>
              <w:rPr>
                <w:rFonts w:hint="eastAsia" w:asciiTheme="minorEastAsia" w:hAnsiTheme="minorEastAsia" w:eastAsiaTheme="minorEastAsia" w:cstheme="minorEastAsia"/>
              </w:rPr>
              <w:t>采用综合评分法进行评标。</w:t>
            </w:r>
          </w:p>
          <w:p w14:paraId="7AA84457">
            <w:pPr>
              <w:spacing w:line="36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（一）</w:t>
            </w:r>
            <w:r>
              <w:rPr>
                <w:rFonts w:hint="eastAsia" w:asciiTheme="minorEastAsia" w:hAnsiTheme="minorEastAsia" w:eastAsiaTheme="minorEastAsia" w:cstheme="minorEastAsia"/>
                <w:lang w:eastAsia="zh-CN"/>
              </w:rPr>
              <w:t>评审小组</w:t>
            </w:r>
            <w:r>
              <w:rPr>
                <w:rFonts w:hint="eastAsia" w:asciiTheme="minorEastAsia" w:hAnsiTheme="minorEastAsia" w:eastAsiaTheme="minorEastAsia" w:cstheme="minorEastAsia"/>
              </w:rPr>
              <w:t>首先根据采购文件要求对各</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lang w:eastAsia="zh-CN"/>
              </w:rPr>
              <w:t>文件</w:t>
            </w:r>
            <w:r>
              <w:rPr>
                <w:rFonts w:hint="eastAsia" w:asciiTheme="minorEastAsia" w:hAnsiTheme="minorEastAsia" w:eastAsiaTheme="minorEastAsia" w:cstheme="minorEastAsia"/>
              </w:rPr>
              <w:t>进行符合性鉴定，实质上响应采购文件的</w:t>
            </w:r>
            <w:r>
              <w:rPr>
                <w:rFonts w:hint="eastAsia" w:asciiTheme="minorEastAsia" w:hAnsiTheme="minorEastAsia" w:eastAsiaTheme="minorEastAsia" w:cstheme="minorEastAsia"/>
                <w:lang w:eastAsia="zh-CN"/>
              </w:rPr>
              <w:t>文件</w:t>
            </w:r>
            <w:r>
              <w:rPr>
                <w:rFonts w:hint="eastAsia" w:asciiTheme="minorEastAsia" w:hAnsiTheme="minorEastAsia" w:eastAsiaTheme="minorEastAsia" w:cstheme="minorEastAsia"/>
              </w:rPr>
              <w:t>方可进入下一步的评标。</w:t>
            </w:r>
          </w:p>
          <w:p w14:paraId="6149DC04">
            <w:pPr>
              <w:spacing w:line="360" w:lineRule="exact"/>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lang w:eastAsia="zh-CN"/>
              </w:rPr>
              <w:t>评审小组</w:t>
            </w:r>
            <w:r>
              <w:rPr>
                <w:rFonts w:hint="eastAsia" w:asciiTheme="minorEastAsia" w:hAnsiTheme="minorEastAsia" w:eastAsiaTheme="minorEastAsia" w:cstheme="minorEastAsia"/>
              </w:rPr>
              <w:t>对通过符合性鉴定的</w:t>
            </w:r>
            <w:r>
              <w:rPr>
                <w:rFonts w:hint="eastAsia" w:asciiTheme="minorEastAsia" w:hAnsiTheme="minorEastAsia" w:eastAsiaTheme="minorEastAsia" w:cstheme="minorEastAsia"/>
                <w:lang w:eastAsia="zh-CN"/>
              </w:rPr>
              <w:t>文件</w:t>
            </w:r>
            <w:r>
              <w:rPr>
                <w:rFonts w:hint="eastAsia" w:asciiTheme="minorEastAsia" w:hAnsiTheme="minorEastAsia" w:eastAsiaTheme="minorEastAsia" w:cstheme="minorEastAsia"/>
              </w:rPr>
              <w:t>按下列评分办法进行评审。</w:t>
            </w:r>
          </w:p>
        </w:tc>
      </w:tr>
      <w:tr w14:paraId="60DB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3"/>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14:paraId="1231BB11">
            <w:pPr>
              <w:numPr>
                <w:ilvl w:val="0"/>
                <w:numId w:val="7"/>
              </w:numPr>
              <w:spacing w:line="360" w:lineRule="exac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价格分（满分30分）</w:t>
            </w:r>
          </w:p>
          <w:p w14:paraId="7B8F28C6">
            <w:pPr>
              <w:spacing w:line="3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报价超出采购人上限价的投标报价，</w:t>
            </w:r>
            <w:r>
              <w:rPr>
                <w:rFonts w:hint="eastAsia" w:asciiTheme="minorEastAsia" w:hAnsiTheme="minorEastAsia" w:eastAsiaTheme="minorEastAsia" w:cstheme="minorEastAsia"/>
                <w:szCs w:val="21"/>
                <w:lang w:eastAsia="zh-CN"/>
              </w:rPr>
              <w:t>评审小组</w:t>
            </w:r>
            <w:r>
              <w:rPr>
                <w:rFonts w:hint="eastAsia" w:asciiTheme="minorEastAsia" w:hAnsiTheme="minorEastAsia" w:eastAsiaTheme="minorEastAsia" w:cstheme="minorEastAsia"/>
                <w:szCs w:val="21"/>
              </w:rPr>
              <w:t>不予以评审。</w:t>
            </w:r>
          </w:p>
          <w:p w14:paraId="645F9FFB">
            <w:pPr>
              <w:spacing w:line="3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（2）以进入评标的最低的评标价为30分。</w:t>
            </w:r>
          </w:p>
          <w:p w14:paraId="38BD00D9">
            <w:pPr>
              <w:spacing w:line="360" w:lineRule="exact"/>
              <w:ind w:firstLine="3360" w:firstLineChars="16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最低评标价</w:t>
            </w:r>
          </w:p>
          <w:p w14:paraId="6713C2EC">
            <w:pPr>
              <w:spacing w:line="360" w:lineRule="exact"/>
              <w:ind w:firstLine="840" w:firstLineChars="4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mc:AlternateContent>
                <mc:Choice Requires="wps">
                  <w:drawing>
                    <wp:anchor distT="0" distB="0" distL="114300" distR="114300" simplePos="0" relativeHeight="251659264" behindDoc="0" locked="0" layoutInCell="1" allowOverlap="1">
                      <wp:simplePos x="0" y="0"/>
                      <wp:positionH relativeFrom="column">
                        <wp:posOffset>1981200</wp:posOffset>
                      </wp:positionH>
                      <wp:positionV relativeFrom="paragraph">
                        <wp:posOffset>153670</wp:posOffset>
                      </wp:positionV>
                      <wp:extent cx="1571625" cy="9525"/>
                      <wp:effectExtent l="0" t="6350" r="9525" b="12700"/>
                      <wp:wrapNone/>
                      <wp:docPr id="1" name="直接箭头连接符 1"/>
                      <wp:cNvGraphicFramePr/>
                      <a:graphic xmlns:a="http://schemas.openxmlformats.org/drawingml/2006/main">
                        <a:graphicData uri="http://schemas.microsoft.com/office/word/2010/wordprocessingShape">
                          <wps:wsp>
                            <wps:cNvCnPr/>
                            <wps:spPr>
                              <a:xfrm flipV="1">
                                <a:off x="0" y="0"/>
                                <a:ext cx="1571625" cy="9525"/>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56pt;margin-top:12.1pt;height:0.75pt;width:123.75pt;z-index:251659264;mso-width-relative:page;mso-height-relative:page;" filled="f" stroked="t" coordsize="21600,21600" o:gfxdata="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12UNgAAAAJAQAADwAAAAAAAAABACAAAAAiAAAAZHJz&#10;L2Rvd25yZXYueG1sUEsBAhQAFAAAAAgAh07iQHoOeJkEAgAA+gMAAA4AAAAAAAAAAQAgAAAAJwEA&#10;AGRycy9lMm9Eb2MueG1sUEsFBgAAAAAGAAYAWQEAAJ0FAAAAAA==&#10;">
                      <v:fill on="f" focussize="0,0"/>
                      <v:stroke weight="1pt" color="#000000" joinstyle="round"/>
                      <v:imagedata o:title=""/>
                      <o:lock v:ext="edit" aspectratio="f"/>
                    </v:shape>
                  </w:pict>
                </mc:Fallback>
              </mc:AlternateContent>
            </w:r>
            <w:r>
              <w:rPr>
                <w:rFonts w:hint="eastAsia" w:asciiTheme="minorEastAsia" w:hAnsiTheme="minorEastAsia" w:eastAsiaTheme="minorEastAsia" w:cstheme="minorEastAsia"/>
                <w:szCs w:val="21"/>
              </w:rPr>
              <w:t>某</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价格分=                              ×30分</w:t>
            </w:r>
          </w:p>
          <w:p w14:paraId="6109EC67">
            <w:pPr>
              <w:spacing w:line="360" w:lineRule="exact"/>
              <w:ind w:firstLine="3570" w:firstLineChars="17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某</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评标价</w:t>
            </w:r>
          </w:p>
          <w:p w14:paraId="262299A0">
            <w:pPr>
              <w:pStyle w:val="8"/>
              <w:spacing w:line="360" w:lineRule="exact"/>
              <w:ind w:left="-54"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 w:val="21"/>
                <w:szCs w:val="21"/>
              </w:rPr>
              <w:t>在评标过程中评标委员会发现</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的报价明显低于其他磋商报价，使得其磋商报价可能低于其个别成本的，应当要求该</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做出书面说明并提供相关证明材料。</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不能合理说明并提供相关证明材料的，由评标委员会会认定该</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以低于成本报价磋商，报价严重不平衡、不合理，其磋商应作无效报价处理。</w:t>
            </w:r>
          </w:p>
        </w:tc>
      </w:tr>
      <w:tr w14:paraId="13A59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pct"/>
            <w:vMerge w:val="restart"/>
            <w:tcBorders>
              <w:top w:val="single" w:color="000000" w:sz="2" w:space="0"/>
              <w:left w:val="single" w:color="000000" w:sz="2" w:space="0"/>
              <w:right w:val="single" w:color="000000" w:sz="2" w:space="0"/>
            </w:tcBorders>
            <w:tcMar>
              <w:top w:w="100" w:type="dxa"/>
              <w:bottom w:w="100" w:type="dxa"/>
            </w:tcMar>
            <w:vAlign w:val="center"/>
          </w:tcPr>
          <w:p w14:paraId="45E0B13F">
            <w:pPr>
              <w:pStyle w:val="20"/>
              <w:spacing w:line="360" w:lineRule="exact"/>
              <w:rPr>
                <w:rFonts w:hint="eastAsia" w:asciiTheme="minorEastAsia" w:hAnsiTheme="minorEastAsia" w:eastAsiaTheme="minorEastAsia" w:cstheme="minorEastAsia"/>
                <w:sz w:val="21"/>
                <w:highlight w:val="none"/>
              </w:rPr>
            </w:pPr>
            <w:r>
              <w:rPr>
                <w:rFonts w:hint="eastAsia" w:asciiTheme="minorEastAsia" w:hAnsiTheme="minorEastAsia" w:eastAsiaTheme="minorEastAsia" w:cstheme="minorEastAsia"/>
                <w:b/>
                <w:kern w:val="2"/>
                <w:sz w:val="21"/>
                <w:szCs w:val="21"/>
                <w:highlight w:val="none"/>
              </w:rPr>
              <w:t>2、技术部评分标准（满分</w:t>
            </w:r>
            <w:r>
              <w:rPr>
                <w:rFonts w:hint="eastAsia" w:asciiTheme="minorEastAsia" w:hAnsiTheme="minorEastAsia" w:eastAsiaTheme="minorEastAsia" w:cstheme="minorEastAsia"/>
                <w:b/>
                <w:kern w:val="2"/>
                <w:sz w:val="21"/>
                <w:szCs w:val="21"/>
                <w:highlight w:val="none"/>
                <w:lang w:val="en-US" w:eastAsia="zh-CN"/>
              </w:rPr>
              <w:t>52</w:t>
            </w:r>
            <w:r>
              <w:rPr>
                <w:rFonts w:hint="eastAsia" w:asciiTheme="minorEastAsia" w:hAnsiTheme="minorEastAsia" w:eastAsiaTheme="minorEastAsia" w:cstheme="minorEastAsia"/>
                <w:b/>
                <w:kern w:val="2"/>
                <w:sz w:val="21"/>
                <w:szCs w:val="21"/>
                <w:highlight w:val="none"/>
              </w:rPr>
              <w:t>分）</w:t>
            </w:r>
          </w:p>
        </w:tc>
        <w:tc>
          <w:tcPr>
            <w:tcW w:w="665" w:type="pc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14:paraId="2A2DB2C6">
            <w:pPr>
              <w:spacing w:line="3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b/>
                <w:bCs/>
                <w:color w:val="000000" w:themeColor="text1"/>
                <w:szCs w:val="21"/>
                <w:highlight w:val="none"/>
                <w:u w:val="none"/>
                <w14:textFill>
                  <w14:solidFill>
                    <w14:schemeClr w14:val="tx1"/>
                  </w14:solidFill>
                </w14:textFill>
              </w:rPr>
              <w:t>2.1技术性能分（满分</w:t>
            </w:r>
            <w:r>
              <w:rPr>
                <w:rFonts w:hint="eastAsia" w:asciiTheme="minorEastAsia" w:hAnsiTheme="minorEastAsia" w:cstheme="minorEastAsia"/>
                <w:b/>
                <w:bCs/>
                <w:color w:val="000000" w:themeColor="text1"/>
                <w:szCs w:val="21"/>
                <w:highlight w:val="none"/>
                <w:u w:val="none"/>
                <w:lang w:val="en-US" w:eastAsia="zh-CN"/>
                <w14:textFill>
                  <w14:solidFill>
                    <w14:schemeClr w14:val="tx1"/>
                  </w14:solidFill>
                </w14:textFill>
              </w:rPr>
              <w:t>28</w:t>
            </w:r>
            <w:r>
              <w:rPr>
                <w:rFonts w:hint="eastAsia" w:asciiTheme="minorEastAsia" w:hAnsiTheme="minorEastAsia" w:eastAsiaTheme="minorEastAsia" w:cstheme="minorEastAsia"/>
                <w:b/>
                <w:bCs/>
                <w:color w:val="000000" w:themeColor="text1"/>
                <w:szCs w:val="21"/>
                <w:highlight w:val="none"/>
                <w:u w:val="none"/>
                <w14:textFill>
                  <w14:solidFill>
                    <w14:schemeClr w14:val="tx1"/>
                  </w14:solidFill>
                </w14:textFill>
              </w:rPr>
              <w:t>分）</w:t>
            </w:r>
          </w:p>
        </w:tc>
        <w:tc>
          <w:tcPr>
            <w:tcW w:w="3499" w:type="pc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14:paraId="5E487E3B">
            <w:pPr>
              <w:spacing w:line="360" w:lineRule="exact"/>
              <w:jc w:val="left"/>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1.投标文件的技术要求中无负偏离的</w:t>
            </w:r>
            <w:r>
              <w:rPr>
                <w:rFonts w:hint="eastAsia" w:asciiTheme="minorEastAsia" w:hAnsiTheme="minorEastAsia" w:cstheme="minorEastAsia"/>
                <w:bCs/>
                <w:color w:val="000000" w:themeColor="text1"/>
                <w:szCs w:val="21"/>
                <w:lang w:val="en-US" w:eastAsia="zh-CN"/>
                <w14:textFill>
                  <w14:solidFill>
                    <w14:schemeClr w14:val="tx1"/>
                  </w14:solidFill>
                </w14:textFill>
              </w:rPr>
              <w:t>10</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分，满分</w:t>
            </w:r>
            <w:r>
              <w:rPr>
                <w:rFonts w:hint="eastAsia" w:asciiTheme="minorEastAsia" w:hAnsiTheme="minorEastAsia" w:cstheme="minorEastAsia"/>
                <w:bCs/>
                <w:color w:val="000000" w:themeColor="text1"/>
                <w:szCs w:val="21"/>
                <w:lang w:val="en-US" w:eastAsia="zh-CN"/>
                <w14:textFill>
                  <w14:solidFill>
                    <w14:schemeClr w14:val="tx1"/>
                  </w14:solidFill>
                </w14:textFill>
              </w:rPr>
              <w:t>10</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分。</w:t>
            </w:r>
          </w:p>
          <w:p w14:paraId="5366CB49">
            <w:pPr>
              <w:spacing w:line="36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szCs w:val="21"/>
                <w14:textFill>
                  <w14:solidFill>
                    <w14:schemeClr w14:val="tx1"/>
                  </w14:solidFill>
                </w14:textFill>
              </w:rPr>
              <w:t>根据《技术参数及配置》中各项技术参数的响应情况由</w:t>
            </w:r>
            <w:r>
              <w:rPr>
                <w:rFonts w:hint="eastAsia" w:asciiTheme="minorEastAsia" w:hAnsiTheme="minorEastAsia" w:eastAsiaTheme="minorEastAsia" w:cstheme="minorEastAsia"/>
                <w:color w:val="000000" w:themeColor="text1"/>
                <w:kern w:val="0"/>
                <w:szCs w:val="21"/>
                <w14:textFill>
                  <w14:solidFill>
                    <w14:schemeClr w14:val="tx1"/>
                  </w14:solidFill>
                </w14:textFill>
              </w:rPr>
              <w:t>评标委员会</w:t>
            </w:r>
            <w:r>
              <w:rPr>
                <w:rFonts w:hint="eastAsia" w:asciiTheme="minorEastAsia" w:hAnsiTheme="minorEastAsia" w:eastAsiaTheme="minorEastAsia" w:cstheme="minorEastAsia"/>
                <w:bCs/>
                <w:color w:val="000000" w:themeColor="text1"/>
                <w:szCs w:val="21"/>
                <w14:textFill>
                  <w14:solidFill>
                    <w14:schemeClr w14:val="tx1"/>
                  </w14:solidFill>
                </w14:textFill>
              </w:rPr>
              <w:t>进行评分。标注“</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bCs/>
                <w:color w:val="000000" w:themeColor="text1"/>
                <w:szCs w:val="21"/>
                <w14:textFill>
                  <w14:solidFill>
                    <w14:schemeClr w14:val="tx1"/>
                  </w14:solidFill>
                </w14:textFill>
              </w:rPr>
              <w:t>”条款为重要技术参数，完全满足或优于招标文件要求的，且在投标文件中提供相关证明材料的（投标产品</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功能截图</w:t>
            </w:r>
            <w:r>
              <w:rPr>
                <w:rFonts w:hint="eastAsia" w:asciiTheme="minorEastAsia" w:hAnsiTheme="minorEastAsia" w:eastAsiaTheme="minorEastAsia" w:cstheme="minorEastAsia"/>
                <w:bCs/>
                <w:color w:val="000000" w:themeColor="text1"/>
                <w:szCs w:val="21"/>
                <w14:textFill>
                  <w14:solidFill>
                    <w14:schemeClr w14:val="tx1"/>
                  </w14:solidFill>
                </w14:textFill>
              </w:rPr>
              <w:t>或第三方检测机构出具的检测报告复印件）每项得</w:t>
            </w:r>
            <w:r>
              <w:rPr>
                <w:rFonts w:hint="eastAsia" w:asciiTheme="minorEastAsia" w:hAnsiTheme="minorEastAsia" w:eastAsiaTheme="minorEastAsia" w:cstheme="minorEastAsia"/>
                <w:b/>
                <w:color w:val="000000" w:themeColor="text1"/>
                <w:szCs w:val="21"/>
                <w14:textFill>
                  <w14:solidFill>
                    <w14:schemeClr w14:val="tx1"/>
                  </w14:solidFill>
                </w14:textFill>
              </w:rPr>
              <w:t>2</w:t>
            </w:r>
            <w:r>
              <w:rPr>
                <w:rFonts w:hint="eastAsia" w:asciiTheme="minorEastAsia" w:hAnsiTheme="minorEastAsia" w:eastAsiaTheme="minorEastAsia" w:cstheme="minorEastAsia"/>
                <w:bCs/>
                <w:color w:val="000000" w:themeColor="text1"/>
                <w:szCs w:val="21"/>
                <w14:textFill>
                  <w14:solidFill>
                    <w14:schemeClr w14:val="tx1"/>
                  </w14:solidFill>
                </w14:textFill>
              </w:rPr>
              <w:t>分，满分</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1</w:t>
            </w:r>
            <w:r>
              <w:rPr>
                <w:rFonts w:hint="eastAsia" w:asciiTheme="minorEastAsia" w:hAnsiTheme="minorEastAsia" w:cstheme="minorEastAsia"/>
                <w:bCs/>
                <w:color w:val="000000" w:themeColor="text1"/>
                <w:szCs w:val="21"/>
                <w:lang w:val="en-US" w:eastAsia="zh-CN"/>
                <w14:textFill>
                  <w14:solidFill>
                    <w14:schemeClr w14:val="tx1"/>
                  </w14:solidFill>
                </w14:textFill>
              </w:rPr>
              <w:t>8</w:t>
            </w:r>
            <w:r>
              <w:rPr>
                <w:rFonts w:hint="eastAsia" w:asciiTheme="minorEastAsia" w:hAnsiTheme="minorEastAsia" w:eastAsiaTheme="minorEastAsia" w:cstheme="minorEastAsia"/>
                <w:bCs/>
                <w:color w:val="000000" w:themeColor="text1"/>
                <w:szCs w:val="21"/>
                <w14:textFill>
                  <w14:solidFill>
                    <w14:schemeClr w14:val="tx1"/>
                  </w14:solidFill>
                </w14:textFill>
              </w:rPr>
              <w:t>分，不提供证明材料不加分。</w:t>
            </w:r>
          </w:p>
        </w:tc>
      </w:tr>
      <w:tr w14:paraId="54B3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pct"/>
            <w:vMerge w:val="continue"/>
            <w:tcBorders>
              <w:left w:val="single" w:color="000000" w:sz="2" w:space="0"/>
              <w:right w:val="single" w:color="000000" w:sz="2" w:space="0"/>
            </w:tcBorders>
            <w:tcMar>
              <w:top w:w="100" w:type="dxa"/>
              <w:bottom w:w="100" w:type="dxa"/>
            </w:tcMar>
            <w:vAlign w:val="center"/>
          </w:tcPr>
          <w:p w14:paraId="2142C9D2">
            <w:pPr>
              <w:pStyle w:val="20"/>
              <w:spacing w:line="360" w:lineRule="exact"/>
              <w:rPr>
                <w:rFonts w:hint="eastAsia" w:asciiTheme="minorEastAsia" w:hAnsiTheme="minorEastAsia" w:eastAsiaTheme="minorEastAsia" w:cstheme="minorEastAsia"/>
                <w:b/>
                <w:kern w:val="2"/>
                <w:sz w:val="21"/>
                <w:szCs w:val="21"/>
              </w:rPr>
            </w:pPr>
          </w:p>
        </w:tc>
        <w:tc>
          <w:tcPr>
            <w:tcW w:w="665" w:type="pc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14:paraId="3B5FDF28">
            <w:pPr>
              <w:spacing w:line="36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b/>
                <w:bCs/>
                <w:szCs w:val="21"/>
                <w:lang w:val="en-US" w:eastAsia="zh-CN"/>
              </w:rPr>
              <w:t>2.2项目实施分（15分）</w:t>
            </w:r>
          </w:p>
        </w:tc>
        <w:tc>
          <w:tcPr>
            <w:tcW w:w="3499" w:type="pc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14:paraId="7FE08247">
            <w:pPr>
              <w:spacing w:line="36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评委根据投标人所提供的实施方案（包括不限于技术实施方案、实施</w:t>
            </w:r>
          </w:p>
          <w:p w14:paraId="1B5CCE51">
            <w:pPr>
              <w:spacing w:line="36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进度计划、实施人员安排、到货检验措施、实施过程风险控制措施、质量保障措施、故障处理措施、定期维护方案、培训方案、验收方案等内容）进行独立评审并独立打分。</w:t>
            </w:r>
          </w:p>
          <w:p w14:paraId="7E2E09C4">
            <w:pPr>
              <w:spacing w:line="36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一档（</w:t>
            </w:r>
            <w:r>
              <w:rPr>
                <w:rFonts w:hint="eastAsia" w:asciiTheme="minorEastAsia" w:hAnsiTheme="minorEastAsia" w:cstheme="minorEastAsia"/>
                <w:szCs w:val="21"/>
                <w:lang w:val="en-US" w:eastAsia="zh-CN"/>
              </w:rPr>
              <w:t>9</w:t>
            </w:r>
            <w:r>
              <w:rPr>
                <w:rFonts w:hint="eastAsia" w:asciiTheme="minorEastAsia" w:hAnsiTheme="minorEastAsia" w:eastAsiaTheme="minorEastAsia" w:cstheme="minorEastAsia"/>
                <w:szCs w:val="21"/>
              </w:rPr>
              <w:t>分）：提供的实施方案基本满足项目需求，项目名称、采购人信息、采购内容等关键内容无明显错误；</w:t>
            </w:r>
          </w:p>
          <w:p w14:paraId="5BD4A2DE">
            <w:pPr>
              <w:spacing w:line="36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二档（</w:t>
            </w:r>
            <w:r>
              <w:rPr>
                <w:rFonts w:hint="eastAsia" w:asciiTheme="minorEastAsia" w:hAnsiTheme="minorEastAsia" w:cstheme="minorEastAsia"/>
                <w:szCs w:val="21"/>
                <w:lang w:val="en-US" w:eastAsia="zh-CN"/>
              </w:rPr>
              <w:t>12</w:t>
            </w:r>
            <w:r>
              <w:rPr>
                <w:rFonts w:hint="eastAsia" w:asciiTheme="minorEastAsia" w:hAnsiTheme="minorEastAsia" w:eastAsiaTheme="minorEastAsia" w:cstheme="minorEastAsia"/>
                <w:szCs w:val="21"/>
              </w:rPr>
              <w:t>分）：项目实施方案满足采购项目实际情况和需求，项目名</w:t>
            </w:r>
          </w:p>
          <w:p w14:paraId="3E87D5D9">
            <w:pPr>
              <w:spacing w:line="36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称、采购人信息、采购内容等关键内容无明显错误，整体实施方案流</w:t>
            </w:r>
          </w:p>
          <w:p w14:paraId="667AB80C">
            <w:pPr>
              <w:spacing w:line="36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程、工序基本合理，项目实施方案内容包含有项目整体实施进度计划</w:t>
            </w:r>
          </w:p>
          <w:p w14:paraId="63BF4CE9">
            <w:pPr>
              <w:spacing w:line="360" w:lineRule="exact"/>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表</w:t>
            </w:r>
            <w:r>
              <w:rPr>
                <w:rFonts w:hint="eastAsia" w:asciiTheme="minorEastAsia" w:hAnsiTheme="minorEastAsia" w:eastAsiaTheme="minorEastAsia" w:cstheme="minorEastAsia"/>
                <w:szCs w:val="21"/>
              </w:rPr>
              <w:t>；</w:t>
            </w:r>
          </w:p>
          <w:p w14:paraId="00BF6741">
            <w:pPr>
              <w:spacing w:line="36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三档（15分）：项目实施方案满足采购项目实际情况和需求，项目名</w:t>
            </w:r>
          </w:p>
          <w:p w14:paraId="49E6AC68">
            <w:pPr>
              <w:spacing w:line="36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称、采购人信息、采购内容等关键内容无明显错误，整体实施方案流</w:t>
            </w:r>
          </w:p>
          <w:p w14:paraId="7803084E">
            <w:pPr>
              <w:spacing w:line="36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程、工序基本合理，项目实施方案内容包含有项目整体实施进度计划</w:t>
            </w:r>
          </w:p>
          <w:p w14:paraId="55C545CB">
            <w:pPr>
              <w:spacing w:line="36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表、结合本项目实际情况，</w:t>
            </w:r>
            <w:r>
              <w:rPr>
                <w:rFonts w:hint="eastAsia" w:asciiTheme="minorEastAsia" w:hAnsiTheme="minorEastAsia" w:cstheme="minorEastAsia"/>
                <w:szCs w:val="21"/>
                <w:lang w:val="en-US" w:eastAsia="zh-CN"/>
              </w:rPr>
              <w:t>根据现场实际情况提供</w:t>
            </w:r>
            <w:r>
              <w:rPr>
                <w:rFonts w:hint="eastAsia" w:asciiTheme="minorEastAsia" w:hAnsiTheme="minorEastAsia" w:eastAsiaTheme="minorEastAsia" w:cstheme="minorEastAsia"/>
                <w:szCs w:val="21"/>
                <w:lang w:val="en-US" w:eastAsia="zh-CN"/>
              </w:rPr>
              <w:t>详细点位设计图。</w:t>
            </w:r>
          </w:p>
          <w:p w14:paraId="15D614CA">
            <w:pPr>
              <w:spacing w:line="36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注：未提供或不符合最低入档条件的按不入档计0分处理。</w:t>
            </w:r>
          </w:p>
        </w:tc>
      </w:tr>
      <w:tr w14:paraId="35E7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pct"/>
            <w:vMerge w:val="continue"/>
            <w:tcBorders>
              <w:left w:val="single" w:color="000000" w:sz="2" w:space="0"/>
              <w:bottom w:val="single" w:color="000000" w:sz="2" w:space="0"/>
              <w:right w:val="single" w:color="000000" w:sz="2" w:space="0"/>
            </w:tcBorders>
            <w:tcMar>
              <w:top w:w="100" w:type="dxa"/>
              <w:bottom w:w="100" w:type="dxa"/>
            </w:tcMar>
            <w:vAlign w:val="center"/>
          </w:tcPr>
          <w:p w14:paraId="532D748D">
            <w:pPr>
              <w:pStyle w:val="20"/>
              <w:spacing w:line="360" w:lineRule="exact"/>
              <w:rPr>
                <w:rFonts w:hint="eastAsia" w:asciiTheme="minorEastAsia" w:hAnsiTheme="minorEastAsia" w:eastAsiaTheme="minorEastAsia" w:cstheme="minorEastAsia"/>
                <w:b/>
                <w:kern w:val="2"/>
                <w:sz w:val="21"/>
                <w:szCs w:val="21"/>
              </w:rPr>
            </w:pPr>
          </w:p>
        </w:tc>
        <w:tc>
          <w:tcPr>
            <w:tcW w:w="665" w:type="pc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14:paraId="7DF5EE20">
            <w:pPr>
              <w:spacing w:line="36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b/>
                <w:bCs/>
                <w:szCs w:val="21"/>
                <w:lang w:val="en-US" w:eastAsia="zh-CN"/>
              </w:rPr>
              <w:t>2.3售后服务分（9分）</w:t>
            </w:r>
          </w:p>
        </w:tc>
        <w:tc>
          <w:tcPr>
            <w:tcW w:w="3499" w:type="pc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14:paraId="26FD0A72">
            <w:pPr>
              <w:spacing w:line="36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一档（</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 xml:space="preserve"> 分）：售后服务方案满足招标文件要求；</w:t>
            </w:r>
          </w:p>
          <w:p w14:paraId="19E4AD00">
            <w:pPr>
              <w:spacing w:line="36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二档（</w:t>
            </w: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 xml:space="preserve"> 分）：售后服务方案内容完整，可行，并提供拟投入本项目</w:t>
            </w:r>
          </w:p>
          <w:p w14:paraId="767BACBC">
            <w:pPr>
              <w:spacing w:line="36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的售后服务人员清单，对设备在使用过程中可能出现的问题进行分析</w:t>
            </w:r>
          </w:p>
          <w:p w14:paraId="2AC67F41">
            <w:pPr>
              <w:spacing w:line="36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并提出针对性解决办法。故障响应时间不超过30 分钟、到达故障现场</w:t>
            </w:r>
          </w:p>
          <w:p w14:paraId="129E3C49">
            <w:pPr>
              <w:spacing w:line="36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时间不超过1 小时、定期维护每年不少于2 次、故障修复时间不超过</w:t>
            </w:r>
          </w:p>
          <w:p w14:paraId="3F52F870">
            <w:pPr>
              <w:spacing w:line="36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24 小时。</w:t>
            </w:r>
          </w:p>
          <w:p w14:paraId="2765791C">
            <w:pPr>
              <w:spacing w:line="36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三档（</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 xml:space="preserve"> 分）：满足二档要求基础上，售后服务方案内容完善，售后</w:t>
            </w:r>
          </w:p>
          <w:p w14:paraId="7EECAE82">
            <w:pPr>
              <w:spacing w:line="36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服务人员落实，岗位职责明确，提供保修期内的紧急情况下的售后预</w:t>
            </w:r>
          </w:p>
          <w:p w14:paraId="3DA004F7">
            <w:pPr>
              <w:spacing w:line="36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案和保修期满后的服务方案。故障响应时间不超过10 分钟、到达故障现场时间不超过30 分钟、定期维护每年不少于2 次、故障修复时间不超过12 小时。</w:t>
            </w:r>
          </w:p>
          <w:p w14:paraId="39AB87BC">
            <w:pPr>
              <w:spacing w:line="36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注：未提供或不符合最低入档条件的按不入档计0 分处理。</w:t>
            </w:r>
          </w:p>
        </w:tc>
      </w:tr>
      <w:tr w14:paraId="40E1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pct"/>
            <w:vMerge w:val="restart"/>
            <w:tcBorders>
              <w:top w:val="single" w:color="000000" w:sz="2" w:space="0"/>
              <w:left w:val="single" w:color="000000" w:sz="2" w:space="0"/>
              <w:right w:val="single" w:color="000000" w:sz="2" w:space="0"/>
            </w:tcBorders>
            <w:tcMar>
              <w:top w:w="100" w:type="dxa"/>
              <w:bottom w:w="100" w:type="dxa"/>
            </w:tcMar>
            <w:vAlign w:val="center"/>
          </w:tcPr>
          <w:p w14:paraId="01D3C214">
            <w:pPr>
              <w:pStyle w:val="20"/>
              <w:spacing w:line="360" w:lineRule="exact"/>
              <w:rPr>
                <w:rFonts w:hint="eastAsia" w:asciiTheme="minorEastAsia" w:hAnsiTheme="minorEastAsia" w:eastAsiaTheme="minorEastAsia" w:cstheme="minorEastAsia"/>
                <w:b/>
                <w:kern w:val="2"/>
                <w:sz w:val="21"/>
                <w:szCs w:val="21"/>
                <w:lang w:val="en-US" w:eastAsia="zh-CN"/>
              </w:rPr>
            </w:pPr>
            <w:r>
              <w:rPr>
                <w:rFonts w:hint="eastAsia" w:asciiTheme="minorEastAsia" w:hAnsiTheme="minorEastAsia" w:eastAsiaTheme="minorEastAsia" w:cstheme="minorEastAsia"/>
                <w:b/>
                <w:kern w:val="2"/>
                <w:sz w:val="21"/>
                <w:szCs w:val="21"/>
                <w:lang w:val="en-US" w:eastAsia="zh-CN"/>
              </w:rPr>
              <w:t>3.商务分（18分）</w:t>
            </w:r>
          </w:p>
        </w:tc>
        <w:tc>
          <w:tcPr>
            <w:tcW w:w="665" w:type="pc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14:paraId="66D39013">
            <w:pPr>
              <w:spacing w:line="36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b/>
                <w:bCs/>
                <w:szCs w:val="21"/>
                <w:lang w:val="en-US" w:eastAsia="zh-CN"/>
              </w:rPr>
              <w:t>3.1资质分（1</w:t>
            </w:r>
            <w:r>
              <w:rPr>
                <w:rFonts w:hint="eastAsia" w:asciiTheme="minorEastAsia" w:hAnsiTheme="minorEastAsia" w:cstheme="minorEastAsia"/>
                <w:b/>
                <w:bCs/>
                <w:szCs w:val="21"/>
                <w:lang w:val="en-US" w:eastAsia="zh-CN"/>
              </w:rPr>
              <w:t>0</w:t>
            </w:r>
            <w:r>
              <w:rPr>
                <w:rFonts w:hint="eastAsia" w:asciiTheme="minorEastAsia" w:hAnsiTheme="minorEastAsia" w:eastAsiaTheme="minorEastAsia" w:cstheme="minorEastAsia"/>
                <w:b/>
                <w:bCs/>
                <w:szCs w:val="21"/>
                <w:lang w:val="en-US" w:eastAsia="zh-CN"/>
              </w:rPr>
              <w:t>分）</w:t>
            </w:r>
          </w:p>
        </w:tc>
        <w:tc>
          <w:tcPr>
            <w:tcW w:w="3499" w:type="pc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14:paraId="00774E12">
            <w:pP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投标产品制造商具有符合GB/T45001标准或ISO45001标准的《职业健康安全管理体系认证证书》、 具有符合GB/T24001标准或ISO14001标准的《环境管理体系认证证书》、具有符合GB/T22080标准或ISO/IEC27001标准的《信息安全管理体系认证证书》（提供第三方认证机构颁发的在有效期内的证书复印件及证书编号在全国认证认可信息公共服务平台的查询结果截图作为证明材料）在投标文件中每提供一项得2分，满分</w:t>
            </w:r>
            <w:r>
              <w:rPr>
                <w:rFonts w:hint="eastAsia" w:asciiTheme="minorEastAsia" w:hAnsiTheme="minorEastAsia" w:cstheme="minorEastAsia"/>
                <w:i w:val="0"/>
                <w:iCs w:val="0"/>
                <w:color w:val="000000"/>
                <w:kern w:val="0"/>
                <w:sz w:val="21"/>
                <w:szCs w:val="21"/>
                <w:u w:val="none"/>
                <w:lang w:val="en-US" w:eastAsia="zh-CN" w:bidi="ar"/>
              </w:rPr>
              <w:t>6</w:t>
            </w:r>
            <w:r>
              <w:rPr>
                <w:rFonts w:hint="eastAsia" w:asciiTheme="minorEastAsia" w:hAnsiTheme="minorEastAsia" w:eastAsiaTheme="minorEastAsia" w:cstheme="minorEastAsia"/>
                <w:i w:val="0"/>
                <w:iCs w:val="0"/>
                <w:color w:val="000000"/>
                <w:kern w:val="0"/>
                <w:sz w:val="21"/>
                <w:szCs w:val="21"/>
                <w:u w:val="none"/>
                <w:lang w:val="en-US" w:eastAsia="zh-CN" w:bidi="ar"/>
              </w:rPr>
              <w:t>分。</w:t>
            </w:r>
          </w:p>
          <w:p w14:paraId="1D548CD4">
            <w:pP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2、提供序号1“</w:t>
            </w:r>
            <w:r>
              <w:rPr>
                <w:rFonts w:hint="eastAsia" w:asciiTheme="minorEastAsia" w:hAnsiTheme="minorEastAsia" w:eastAsiaTheme="minorEastAsia" w:cstheme="minorEastAsia"/>
                <w:i w:val="0"/>
                <w:iCs w:val="0"/>
                <w:color w:val="000000"/>
                <w:kern w:val="0"/>
                <w:sz w:val="21"/>
                <w:szCs w:val="21"/>
                <w:u w:val="none"/>
                <w:lang w:val="en-US" w:eastAsia="zh-CN" w:bidi="ar"/>
              </w:rPr>
              <w:t>32路录像机</w:t>
            </w:r>
            <w:r>
              <w:rPr>
                <w:rFonts w:hint="eastAsia" w:asciiTheme="minorEastAsia" w:hAnsiTheme="minorEastAsia" w:cstheme="minorEastAsia"/>
                <w:i w:val="0"/>
                <w:iCs w:val="0"/>
                <w:color w:val="000000"/>
                <w:kern w:val="0"/>
                <w:sz w:val="21"/>
                <w:szCs w:val="21"/>
                <w:u w:val="none"/>
                <w:lang w:val="en-US" w:eastAsia="zh-CN" w:bidi="ar"/>
              </w:rPr>
              <w:t>”、序号28“</w:t>
            </w:r>
            <w:r>
              <w:rPr>
                <w:rFonts w:hint="eastAsia" w:asciiTheme="minorEastAsia" w:hAnsiTheme="minorEastAsia" w:eastAsiaTheme="minorEastAsia" w:cstheme="minorEastAsia"/>
                <w:i w:val="0"/>
                <w:iCs w:val="0"/>
                <w:color w:val="000000"/>
                <w:kern w:val="0"/>
                <w:sz w:val="21"/>
                <w:szCs w:val="21"/>
                <w:u w:val="none"/>
                <w:lang w:val="en-US" w:eastAsia="zh-CN" w:bidi="ar"/>
              </w:rPr>
              <w:t>控制</w:t>
            </w:r>
            <w:r>
              <w:rPr>
                <w:rFonts w:hint="eastAsia" w:asciiTheme="minorEastAsia" w:hAnsiTheme="minorEastAsia" w:cstheme="minorEastAsia"/>
                <w:i w:val="0"/>
                <w:iCs w:val="0"/>
                <w:color w:val="000000"/>
                <w:kern w:val="0"/>
                <w:sz w:val="21"/>
                <w:szCs w:val="21"/>
                <w:u w:val="none"/>
                <w:lang w:val="en-US" w:eastAsia="zh-CN" w:bidi="ar"/>
              </w:rPr>
              <w:t>系统设备”厂家出具的授权书及售后服务承诺书并加盖厂家公章，每项得2分，满分4分。</w:t>
            </w:r>
          </w:p>
        </w:tc>
      </w:tr>
      <w:tr w14:paraId="6BD1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pct"/>
            <w:vMerge w:val="continue"/>
            <w:tcBorders>
              <w:left w:val="single" w:color="000000" w:sz="2" w:space="0"/>
              <w:bottom w:val="single" w:color="000000" w:sz="2" w:space="0"/>
              <w:right w:val="single" w:color="000000" w:sz="2" w:space="0"/>
            </w:tcBorders>
            <w:tcMar>
              <w:top w:w="100" w:type="dxa"/>
              <w:bottom w:w="100" w:type="dxa"/>
            </w:tcMar>
            <w:vAlign w:val="center"/>
          </w:tcPr>
          <w:p w14:paraId="5A3C58AF">
            <w:pPr>
              <w:pStyle w:val="20"/>
              <w:spacing w:line="360" w:lineRule="exact"/>
              <w:rPr>
                <w:rFonts w:hint="eastAsia" w:asciiTheme="minorEastAsia" w:hAnsiTheme="minorEastAsia" w:eastAsiaTheme="minorEastAsia" w:cstheme="minorEastAsia"/>
                <w:b/>
                <w:kern w:val="2"/>
                <w:sz w:val="21"/>
                <w:szCs w:val="21"/>
                <w:highlight w:val="none"/>
              </w:rPr>
            </w:pPr>
          </w:p>
        </w:tc>
        <w:tc>
          <w:tcPr>
            <w:tcW w:w="665" w:type="pc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14:paraId="31FFF6EA">
            <w:pPr>
              <w:spacing w:line="360" w:lineRule="exact"/>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b/>
                <w:szCs w:val="21"/>
                <w:highlight w:val="none"/>
                <w:lang w:val="en-US" w:eastAsia="zh-CN"/>
              </w:rPr>
              <w:t>3.2</w:t>
            </w:r>
            <w:r>
              <w:rPr>
                <w:rFonts w:hint="eastAsia" w:asciiTheme="minorEastAsia" w:hAnsiTheme="minorEastAsia" w:eastAsiaTheme="minorEastAsia" w:cstheme="minorEastAsia"/>
                <w:b/>
                <w:szCs w:val="21"/>
                <w:highlight w:val="none"/>
              </w:rPr>
              <w:t>业绩</w:t>
            </w:r>
            <w:r>
              <w:rPr>
                <w:rFonts w:hint="eastAsia" w:asciiTheme="minorEastAsia" w:hAnsiTheme="minorEastAsia" w:eastAsiaTheme="minorEastAsia" w:cstheme="minorEastAsia"/>
                <w:b/>
                <w:szCs w:val="21"/>
                <w:highlight w:val="none"/>
                <w:lang w:val="en-US" w:eastAsia="zh-CN"/>
              </w:rPr>
              <w:t>分</w:t>
            </w:r>
            <w:r>
              <w:rPr>
                <w:rFonts w:hint="eastAsia" w:asciiTheme="minorEastAsia" w:hAnsiTheme="minorEastAsia" w:eastAsiaTheme="minorEastAsia" w:cstheme="minorEastAsia"/>
                <w:b/>
                <w:szCs w:val="21"/>
                <w:highlight w:val="none"/>
              </w:rPr>
              <w:t>（</w:t>
            </w:r>
            <w:r>
              <w:rPr>
                <w:rFonts w:hint="eastAsia" w:asciiTheme="minorEastAsia" w:hAnsiTheme="minorEastAsia" w:cstheme="minorEastAsia"/>
                <w:b/>
                <w:szCs w:val="21"/>
                <w:highlight w:val="none"/>
                <w:lang w:val="en-US" w:eastAsia="zh-CN"/>
              </w:rPr>
              <w:t>8</w:t>
            </w:r>
            <w:r>
              <w:rPr>
                <w:rFonts w:hint="eastAsia" w:asciiTheme="minorEastAsia" w:hAnsiTheme="minorEastAsia" w:eastAsiaTheme="minorEastAsia" w:cstheme="minorEastAsia"/>
                <w:b/>
                <w:szCs w:val="21"/>
                <w:highlight w:val="none"/>
              </w:rPr>
              <w:t>分</w:t>
            </w:r>
            <w:r>
              <w:rPr>
                <w:rFonts w:hint="eastAsia" w:asciiTheme="minorEastAsia" w:hAnsiTheme="minorEastAsia" w:eastAsiaTheme="minorEastAsia" w:cstheme="minorEastAsia"/>
                <w:b/>
                <w:szCs w:val="21"/>
                <w:highlight w:val="none"/>
                <w:lang w:eastAsia="zh-CN"/>
              </w:rPr>
              <w:t>）</w:t>
            </w:r>
          </w:p>
        </w:tc>
        <w:tc>
          <w:tcPr>
            <w:tcW w:w="3499" w:type="pc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14:paraId="3A52CA66">
            <w:pPr>
              <w:widowControl/>
              <w:adjustRightInd w:val="0"/>
              <w:snapToGrid w:val="0"/>
              <w:spacing w:line="40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自2022年1月1日至投标文件递交截止之日，供应商承担并完成一个类似项目业绩</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，每个得</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分，满分</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分。</w:t>
            </w:r>
          </w:p>
          <w:p w14:paraId="480AB025">
            <w:pPr>
              <w:spacing w:line="360" w:lineRule="exact"/>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投标文件中须提供中标</w:t>
            </w:r>
            <w:r>
              <w:rPr>
                <w:rFonts w:hint="eastAsia" w:asciiTheme="minorEastAsia" w:hAnsiTheme="minorEastAsia" w:eastAsiaTheme="minorEastAsia" w:cstheme="minorEastAsia"/>
                <w:color w:val="000000" w:themeColor="text1"/>
                <w:highlight w:val="none"/>
                <w14:textFill>
                  <w14:solidFill>
                    <w14:schemeClr w14:val="tx1"/>
                  </w14:solidFill>
                </w14:textFill>
              </w:rPr>
              <w:t>（成交）</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通知书或合同关键页（应包含合同签署方、合同内容、签章页）等证明材料复印件并加盖供应商公章否则不予计分。同一项目不能累积得分。</w:t>
            </w:r>
          </w:p>
        </w:tc>
      </w:tr>
    </w:tbl>
    <w:p w14:paraId="7599594F">
      <w:pPr>
        <w:pStyle w:val="5"/>
        <w:rPr>
          <w:rFonts w:hint="eastAsia" w:asciiTheme="minorEastAsia" w:hAnsiTheme="minorEastAsia" w:eastAsiaTheme="minorEastAsia" w:cstheme="minorEastAsia"/>
        </w:rPr>
      </w:pPr>
    </w:p>
    <w:p w14:paraId="7A8E69E6">
      <w:pPr>
        <w:pStyle w:val="5"/>
        <w:rPr>
          <w:rFonts w:hint="eastAsia" w:asciiTheme="minorEastAsia" w:hAnsiTheme="minorEastAsia" w:eastAsiaTheme="minorEastAsia" w:cstheme="minorEastAsia"/>
          <w:bCs/>
          <w:color w:val="000000" w:themeColor="text1"/>
          <w14:textFill>
            <w14:solidFill>
              <w14:schemeClr w14:val="tx1"/>
            </w14:solidFill>
          </w14:textFill>
        </w:rPr>
      </w:pPr>
    </w:p>
    <w:p w14:paraId="3AA11C59">
      <w:pPr>
        <w:pStyle w:val="3"/>
        <w:spacing w:before="0" w:after="0" w:line="360" w:lineRule="auto"/>
        <w:jc w:val="center"/>
        <w:rPr>
          <w:rFonts w:hint="eastAsia" w:asciiTheme="minorEastAsia" w:hAnsiTheme="minorEastAsia" w:eastAsiaTheme="minorEastAsia" w:cstheme="minorEastAsia"/>
          <w:b w:val="0"/>
          <w:color w:val="000000" w:themeColor="text1"/>
          <w:sz w:val="30"/>
          <w:szCs w:val="30"/>
          <w14:textFill>
            <w14:solidFill>
              <w14:schemeClr w14:val="tx1"/>
            </w14:solidFill>
          </w14:textFill>
        </w:rPr>
      </w:pPr>
      <w:r>
        <w:rPr>
          <w:rFonts w:hint="eastAsia" w:asciiTheme="minorEastAsia" w:hAnsiTheme="minorEastAsia" w:eastAsiaTheme="minorEastAsia" w:cstheme="minorEastAsia"/>
          <w:b w:val="0"/>
          <w:color w:val="000000" w:themeColor="text1"/>
          <w:sz w:val="30"/>
          <w:szCs w:val="30"/>
          <w14:textFill>
            <w14:solidFill>
              <w14:schemeClr w14:val="tx1"/>
            </w14:solidFill>
          </w14:textFill>
        </w:rPr>
        <w:t xml:space="preserve"> 中标候选人推荐原则</w:t>
      </w:r>
      <w:bookmarkEnd w:id="0"/>
      <w:bookmarkEnd w:id="1"/>
      <w:bookmarkEnd w:id="2"/>
      <w:bookmarkEnd w:id="3"/>
      <w:bookmarkEnd w:id="4"/>
    </w:p>
    <w:p w14:paraId="61EC4B2E">
      <w:pPr>
        <w:pStyle w:val="8"/>
        <w:numPr>
          <w:ilvl w:val="0"/>
          <w:numId w:val="8"/>
        </w:numPr>
        <w:spacing w:line="360" w:lineRule="auto"/>
        <w:contextualSpacing/>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综合评分法</w:t>
      </w:r>
    </w:p>
    <w:p w14:paraId="0678AEBB">
      <w:pPr>
        <w:pStyle w:val="8"/>
        <w:spacing w:line="360" w:lineRule="auto"/>
        <w:ind w:firstLine="420" w:firstLineChars="2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评标委员会将根据评审后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08869984">
      <w:pPr>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待签订的合同文本（参考格式，本合同内容条款在正式签署前可具体补充细化，仅作参考，最终合同以采购人审查通过的版本为准）</w:t>
      </w:r>
    </w:p>
    <w:p w14:paraId="768E4BA0">
      <w:pPr>
        <w:jc w:val="center"/>
        <w:rPr>
          <w:rFonts w:hint="eastAsia" w:asciiTheme="minorEastAsia" w:hAnsiTheme="minorEastAsia" w:eastAsiaTheme="minorEastAsia" w:cstheme="minorEastAsia"/>
          <w:b/>
          <w:bCs/>
          <w:sz w:val="32"/>
          <w:szCs w:val="32"/>
        </w:rPr>
      </w:pPr>
    </w:p>
    <w:p w14:paraId="42F37D16">
      <w:pPr>
        <w:pStyle w:val="11"/>
        <w:widowControl/>
        <w:numPr>
          <w:ilvl w:val="0"/>
          <w:numId w:val="1"/>
        </w:numPr>
        <w:shd w:val="clear" w:color="auto" w:fill="FFFFFF"/>
        <w:spacing w:before="0" w:beforeAutospacing="0" w:after="0" w:afterAutospacing="0"/>
        <w:jc w:val="center"/>
        <w:rPr>
          <w:rFonts w:hint="eastAsia" w:asciiTheme="minorEastAsia" w:hAnsiTheme="minorEastAsia" w:eastAsiaTheme="minorEastAsia" w:cstheme="minorEastAsia"/>
          <w:b/>
          <w:bCs/>
          <w:color w:val="auto"/>
          <w:sz w:val="36"/>
          <w:szCs w:val="36"/>
          <w:shd w:val="clear" w:color="auto" w:fill="FFFFFF"/>
          <w:lang w:val="en-US" w:eastAsia="zh-CN"/>
        </w:rPr>
      </w:pPr>
      <w:r>
        <w:rPr>
          <w:rFonts w:hint="eastAsia" w:asciiTheme="minorEastAsia" w:hAnsiTheme="minorEastAsia" w:eastAsiaTheme="minorEastAsia" w:cstheme="minorEastAsia"/>
          <w:b/>
          <w:bCs/>
          <w:color w:val="auto"/>
          <w:sz w:val="36"/>
          <w:szCs w:val="36"/>
          <w:shd w:val="clear" w:color="auto" w:fill="FFFFFF"/>
          <w:lang w:val="en-US" w:eastAsia="zh-CN"/>
        </w:rPr>
        <w:t xml:space="preserve"> 采购合同</w:t>
      </w:r>
    </w:p>
    <w:p w14:paraId="1B2B97AF">
      <w:pPr>
        <w:jc w:val="center"/>
        <w:rPr>
          <w:rFonts w:hint="eastAsia" w:asciiTheme="minorEastAsia" w:hAnsiTheme="minorEastAsia" w:eastAsiaTheme="minorEastAsia" w:cstheme="minorEastAsia"/>
          <w:b/>
          <w:bCs/>
          <w:sz w:val="32"/>
          <w:szCs w:val="32"/>
        </w:rPr>
      </w:pPr>
    </w:p>
    <w:p w14:paraId="0C405E18">
      <w:pPr>
        <w:jc w:val="center"/>
        <w:rPr>
          <w:rFonts w:hint="eastAsia" w:asciiTheme="minorEastAsia" w:hAnsiTheme="minorEastAsia" w:eastAsiaTheme="minorEastAsia" w:cstheme="minorEastAsia"/>
          <w:b/>
          <w:bCs/>
          <w:sz w:val="32"/>
          <w:szCs w:val="32"/>
        </w:rPr>
      </w:pPr>
    </w:p>
    <w:p w14:paraId="272DB90D">
      <w:pP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采购合同</w:t>
      </w:r>
    </w:p>
    <w:p w14:paraId="5ADD2110">
      <w:pPr>
        <w:spacing w:line="480" w:lineRule="auto"/>
        <w:rPr>
          <w:rFonts w:hint="eastAsia" w:asciiTheme="minorEastAsia" w:hAnsiTheme="minorEastAsia" w:eastAsiaTheme="minorEastAsia" w:cstheme="minorEastAsia"/>
          <w:sz w:val="24"/>
        </w:rPr>
      </w:pPr>
    </w:p>
    <w:p w14:paraId="55E1D79D">
      <w:pPr>
        <w:spacing w:line="480" w:lineRule="auto"/>
        <w:rPr>
          <w:rFonts w:hint="eastAsia" w:asciiTheme="minorEastAsia" w:hAnsiTheme="minorEastAsia" w:eastAsiaTheme="minorEastAsia" w:cstheme="minorEastAsia"/>
          <w:sz w:val="24"/>
        </w:rPr>
      </w:pPr>
    </w:p>
    <w:p w14:paraId="15A19F15">
      <w:pPr>
        <w:spacing w:line="480" w:lineRule="auto"/>
        <w:rPr>
          <w:rFonts w:hint="eastAsia" w:asciiTheme="minorEastAsia" w:hAnsiTheme="minorEastAsia" w:eastAsiaTheme="minorEastAsia" w:cstheme="minorEastAsia"/>
          <w:sz w:val="24"/>
        </w:rPr>
      </w:pPr>
    </w:p>
    <w:p w14:paraId="3AA8E7C7">
      <w:pPr>
        <w:spacing w:line="720" w:lineRule="auto"/>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项目名称：</w:t>
      </w:r>
      <w:r>
        <w:rPr>
          <w:rFonts w:hint="eastAsia" w:asciiTheme="minorEastAsia" w:hAnsiTheme="minorEastAsia" w:eastAsiaTheme="minorEastAsia" w:cstheme="minorEastAsia"/>
          <w:b/>
          <w:bCs/>
          <w:sz w:val="30"/>
          <w:szCs w:val="30"/>
          <w:u w:val="single"/>
        </w:rPr>
        <w:t>广西艺术学院桂林校区监控及广播系统安装工程项目</w:t>
      </w:r>
    </w:p>
    <w:p w14:paraId="3AC9462F">
      <w:pPr>
        <w:spacing w:line="720" w:lineRule="auto"/>
        <w:ind w:right="-313" w:rightChars="-149"/>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合同编号：</w:t>
      </w:r>
      <w:r>
        <w:rPr>
          <w:rFonts w:hint="eastAsia" w:asciiTheme="minorEastAsia" w:hAnsiTheme="minorEastAsia" w:eastAsiaTheme="minorEastAsia" w:cstheme="minorEastAsia"/>
          <w:b/>
          <w:bCs/>
          <w:sz w:val="30"/>
          <w:szCs w:val="30"/>
          <w:u w:val="single"/>
        </w:rPr>
        <w:t xml:space="preserve">                                   </w:t>
      </w:r>
    </w:p>
    <w:p w14:paraId="4AE95E09">
      <w:pPr>
        <w:spacing w:line="720" w:lineRule="auto"/>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采购单位（甲方）：</w:t>
      </w:r>
      <w:r>
        <w:rPr>
          <w:rFonts w:hint="eastAsia" w:asciiTheme="minorEastAsia" w:hAnsiTheme="minorEastAsia" w:eastAsiaTheme="minorEastAsia" w:cstheme="minorEastAsia"/>
          <w:b/>
          <w:bCs/>
          <w:sz w:val="30"/>
          <w:szCs w:val="30"/>
          <w:u w:val="single"/>
        </w:rPr>
        <w:t xml:space="preserve">广西艺术学院 </w:t>
      </w:r>
    </w:p>
    <w:p w14:paraId="0CB7ACCB">
      <w:pPr>
        <w:spacing w:line="720" w:lineRule="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30"/>
          <w:szCs w:val="30"/>
        </w:rPr>
        <w:t>供 应 商（乙方）：</w:t>
      </w:r>
      <w:r>
        <w:rPr>
          <w:rFonts w:hint="eastAsia" w:asciiTheme="minorEastAsia" w:hAnsiTheme="minorEastAsia" w:eastAsiaTheme="minorEastAsia" w:cstheme="minorEastAsia"/>
          <w:b/>
          <w:bCs/>
          <w:sz w:val="30"/>
          <w:szCs w:val="30"/>
          <w:u w:val="single"/>
        </w:rPr>
        <w:t xml:space="preserve"> </w:t>
      </w:r>
      <w:r>
        <w:rPr>
          <w:rFonts w:hint="eastAsia" w:asciiTheme="minorEastAsia" w:hAnsiTheme="minorEastAsia" w:eastAsiaTheme="minorEastAsia" w:cstheme="minorEastAsia"/>
          <w:b/>
          <w:bCs/>
          <w:sz w:val="30"/>
          <w:szCs w:val="30"/>
          <w:u w:val="single"/>
          <w:lang w:val="en-US" w:eastAsia="zh-CN"/>
        </w:rPr>
        <w:t xml:space="preserve">                           </w:t>
      </w:r>
    </w:p>
    <w:p w14:paraId="2D183C39">
      <w:pPr>
        <w:rPr>
          <w:rFonts w:hint="eastAsia" w:asciiTheme="minorEastAsia" w:hAnsiTheme="minorEastAsia" w:eastAsiaTheme="minorEastAsia" w:cstheme="minorEastAsia"/>
          <w:b/>
          <w:bCs/>
          <w:sz w:val="28"/>
          <w:szCs w:val="28"/>
        </w:rPr>
      </w:pPr>
    </w:p>
    <w:p w14:paraId="649E1C53">
      <w:pPr>
        <w:rPr>
          <w:rFonts w:hint="eastAsia" w:asciiTheme="minorEastAsia" w:hAnsiTheme="minorEastAsia" w:eastAsiaTheme="minorEastAsia" w:cstheme="minorEastAsia"/>
          <w:b/>
          <w:bCs/>
          <w:sz w:val="28"/>
          <w:szCs w:val="28"/>
        </w:rPr>
      </w:pPr>
    </w:p>
    <w:p w14:paraId="72AC449B">
      <w:pPr>
        <w:rPr>
          <w:rFonts w:hint="eastAsia" w:asciiTheme="minorEastAsia" w:hAnsiTheme="minorEastAsia" w:eastAsiaTheme="minorEastAsia" w:cstheme="minorEastAsia"/>
          <w:b/>
          <w:bCs/>
          <w:sz w:val="28"/>
          <w:szCs w:val="28"/>
        </w:rPr>
      </w:pPr>
    </w:p>
    <w:p w14:paraId="4E4B3C30">
      <w:pPr>
        <w:rPr>
          <w:rFonts w:hint="eastAsia" w:asciiTheme="minorEastAsia" w:hAnsiTheme="minorEastAsia" w:eastAsiaTheme="minorEastAsia" w:cstheme="minorEastAsia"/>
          <w:b/>
          <w:bCs/>
          <w:sz w:val="28"/>
          <w:szCs w:val="28"/>
        </w:rPr>
      </w:pPr>
    </w:p>
    <w:p w14:paraId="28DA9BC8">
      <w:pPr>
        <w:rPr>
          <w:rFonts w:hint="eastAsia" w:asciiTheme="minorEastAsia" w:hAnsiTheme="minorEastAsia" w:eastAsiaTheme="minorEastAsia" w:cstheme="minorEastAsia"/>
          <w:b/>
          <w:bCs/>
          <w:sz w:val="28"/>
          <w:szCs w:val="28"/>
        </w:rPr>
      </w:pPr>
    </w:p>
    <w:p w14:paraId="7087AE65">
      <w:pP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签订合同地点：    广西南宁市</w:t>
      </w:r>
    </w:p>
    <w:p w14:paraId="0D100BD4">
      <w:pP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签订合同时间：</w:t>
      </w:r>
      <w:r>
        <w:rPr>
          <w:rFonts w:hint="eastAsia" w:asciiTheme="minorEastAsia" w:hAnsiTheme="minorEastAsia" w:eastAsiaTheme="minorEastAsia" w:cstheme="minorEastAsia"/>
          <w:b/>
          <w:bCs/>
          <w:sz w:val="30"/>
          <w:szCs w:val="30"/>
          <w:lang w:val="en-US" w:eastAsia="zh-CN"/>
        </w:rPr>
        <w:t xml:space="preserve">     </w:t>
      </w:r>
      <w:r>
        <w:rPr>
          <w:rFonts w:hint="eastAsia" w:asciiTheme="minorEastAsia" w:hAnsiTheme="minorEastAsia" w:eastAsiaTheme="minorEastAsia" w:cstheme="minorEastAsia"/>
          <w:b/>
          <w:bCs/>
          <w:sz w:val="30"/>
          <w:szCs w:val="30"/>
        </w:rPr>
        <w:t>年    月    日</w:t>
      </w:r>
    </w:p>
    <w:p w14:paraId="3343261E">
      <w:pPr>
        <w:rPr>
          <w:rFonts w:hint="eastAsia" w:asciiTheme="minorEastAsia" w:hAnsiTheme="minorEastAsia" w:eastAsiaTheme="minorEastAsia" w:cstheme="minorEastAsia"/>
          <w:b/>
          <w:bCs/>
        </w:rPr>
      </w:pPr>
    </w:p>
    <w:p w14:paraId="499A1509">
      <w:pPr>
        <w:rPr>
          <w:rFonts w:hint="eastAsia" w:asciiTheme="minorEastAsia" w:hAnsiTheme="minorEastAsia" w:eastAsiaTheme="minorEastAsia" w:cstheme="minorEastAsia"/>
        </w:rPr>
      </w:pPr>
    </w:p>
    <w:p w14:paraId="05350C30">
      <w:pPr>
        <w:snapToGrid w:val="0"/>
        <w:spacing w:line="400" w:lineRule="exact"/>
        <w:jc w:val="center"/>
        <w:rPr>
          <w:rFonts w:hint="eastAsia" w:asciiTheme="minorEastAsia" w:hAnsiTheme="minorEastAsia" w:eastAsiaTheme="minorEastAsia" w:cstheme="minorEastAsia"/>
          <w:b/>
          <w:bCs/>
          <w:color w:val="000000"/>
          <w:sz w:val="32"/>
          <w:szCs w:val="32"/>
        </w:rPr>
        <w:sectPr>
          <w:pgSz w:w="11906" w:h="16838"/>
          <w:pgMar w:top="1440" w:right="1686" w:bottom="1440" w:left="1600" w:header="851" w:footer="992" w:gutter="0"/>
          <w:cols w:space="720" w:num="1"/>
          <w:docGrid w:type="lines" w:linePitch="312" w:charSpace="0"/>
        </w:sectPr>
      </w:pPr>
    </w:p>
    <w:p w14:paraId="79BA4873">
      <w:pPr>
        <w:snapToGrid w:val="0"/>
        <w:spacing w:line="400" w:lineRule="exact"/>
        <w:jc w:val="center"/>
        <w:rPr>
          <w:rFonts w:hint="eastAsia" w:asciiTheme="minorEastAsia" w:hAnsiTheme="minorEastAsia" w:eastAsiaTheme="minorEastAsia" w:cstheme="minorEastAsia"/>
          <w:b/>
          <w:bCs/>
          <w:color w:val="000000"/>
          <w:sz w:val="32"/>
          <w:szCs w:val="32"/>
        </w:rPr>
      </w:pPr>
      <w:r>
        <w:rPr>
          <w:rFonts w:hint="eastAsia" w:asciiTheme="minorEastAsia" w:hAnsiTheme="minorEastAsia" w:eastAsiaTheme="minorEastAsia" w:cstheme="minorEastAsia"/>
          <w:b/>
          <w:bCs/>
          <w:color w:val="000000"/>
          <w:sz w:val="32"/>
          <w:szCs w:val="32"/>
        </w:rPr>
        <w:t>采购合同</w:t>
      </w:r>
      <w:r>
        <w:rPr>
          <w:rFonts w:hint="eastAsia" w:asciiTheme="minorEastAsia" w:hAnsiTheme="minorEastAsia" w:eastAsiaTheme="minorEastAsia" w:cstheme="minorEastAsia"/>
          <w:b/>
          <w:color w:val="000000"/>
          <w:sz w:val="32"/>
          <w:szCs w:val="32"/>
        </w:rPr>
        <w:t>文本</w:t>
      </w:r>
    </w:p>
    <w:p w14:paraId="5A675C7B">
      <w:pPr>
        <w:snapToGrid w:val="0"/>
        <w:spacing w:line="400" w:lineRule="exact"/>
        <w:ind w:right="480" w:firstLine="5460" w:firstLineChars="2600"/>
        <w:rPr>
          <w:rFonts w:hint="eastAsia" w:asciiTheme="minorEastAsia" w:hAnsiTheme="minorEastAsia" w:eastAsiaTheme="minorEastAsia" w:cstheme="minorEastAsia"/>
          <w:bCs/>
          <w:color w:val="000000"/>
          <w:szCs w:val="21"/>
          <w:u w:val="single"/>
        </w:rPr>
      </w:pPr>
      <w:r>
        <w:rPr>
          <w:rFonts w:hint="eastAsia" w:asciiTheme="minorEastAsia" w:hAnsiTheme="minorEastAsia" w:eastAsiaTheme="minorEastAsia" w:cstheme="minorEastAsia"/>
          <w:bCs/>
          <w:color w:val="000000"/>
          <w:szCs w:val="21"/>
        </w:rPr>
        <w:t>合同编号：</w:t>
      </w:r>
      <w:r>
        <w:rPr>
          <w:rFonts w:hint="eastAsia" w:asciiTheme="minorEastAsia" w:hAnsiTheme="minorEastAsia" w:eastAsiaTheme="minorEastAsia" w:cstheme="minorEastAsia"/>
          <w:bCs/>
          <w:color w:val="000000"/>
          <w:szCs w:val="21"/>
          <w:u w:val="single"/>
        </w:rPr>
        <w:t xml:space="preserve">                 </w:t>
      </w:r>
    </w:p>
    <w:p w14:paraId="74EFBF14">
      <w:pPr>
        <w:snapToGrid w:val="0"/>
        <w:spacing w:line="240" w:lineRule="atLeas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采购单位（甲方）：</w:t>
      </w:r>
      <w:r>
        <w:rPr>
          <w:rFonts w:hint="eastAsia" w:asciiTheme="minorEastAsia" w:hAnsiTheme="minorEastAsia" w:eastAsiaTheme="minorEastAsia" w:cstheme="minorEastAsia"/>
          <w:color w:val="000000"/>
          <w:sz w:val="24"/>
          <w:u w:val="single"/>
        </w:rPr>
        <w:t>广西艺术学院</w:t>
      </w:r>
      <w:r>
        <w:rPr>
          <w:rFonts w:hint="eastAsia" w:asciiTheme="minorEastAsia" w:hAnsiTheme="minorEastAsia" w:eastAsiaTheme="minorEastAsia" w:cstheme="minorEastAsia"/>
          <w:color w:val="000000"/>
          <w:sz w:val="24"/>
        </w:rPr>
        <w:t xml:space="preserve">  </w:t>
      </w:r>
    </w:p>
    <w:p w14:paraId="7C183317">
      <w:pPr>
        <w:snapToGrid w:val="0"/>
        <w:spacing w:line="240" w:lineRule="atLeas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供 应 商（乙方）：</w:t>
      </w:r>
      <w:r>
        <w:rPr>
          <w:rFonts w:hint="eastAsia" w:asciiTheme="minorEastAsia" w:hAnsiTheme="minorEastAsia" w:eastAsiaTheme="minorEastAsia" w:cstheme="minorEastAsia"/>
          <w:color w:val="000000"/>
          <w:sz w:val="24"/>
          <w:u w:val="single"/>
          <w:lang w:val="en-US" w:eastAsia="zh-CN"/>
        </w:rPr>
        <w:t xml:space="preserve">                    </w:t>
      </w:r>
      <w:r>
        <w:rPr>
          <w:rFonts w:hint="eastAsia" w:asciiTheme="minorEastAsia" w:hAnsiTheme="minorEastAsia" w:eastAsiaTheme="minorEastAsia" w:cstheme="minorEastAsia"/>
          <w:color w:val="000000"/>
          <w:sz w:val="24"/>
        </w:rPr>
        <w:t xml:space="preserve">  </w:t>
      </w:r>
    </w:p>
    <w:p w14:paraId="051E1DDF">
      <w:pPr>
        <w:spacing w:line="24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r>
        <w:rPr>
          <w:rFonts w:hint="eastAsia" w:asciiTheme="minorEastAsia" w:hAnsiTheme="minorEastAsia" w:eastAsiaTheme="minorEastAsia" w:cstheme="minorEastAsia"/>
          <w:sz w:val="24"/>
          <w:u w:val="single"/>
        </w:rPr>
        <w:t>广西艺术学院桂林校区监控及广播系统安装工程项目目</w:t>
      </w:r>
    </w:p>
    <w:p w14:paraId="2DC96CEA">
      <w:pPr>
        <w:snapToGrid w:val="0"/>
        <w:spacing w:line="240" w:lineRule="atLeast"/>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rPr>
        <w:t>签订地点：</w:t>
      </w:r>
      <w:r>
        <w:rPr>
          <w:rFonts w:hint="eastAsia" w:asciiTheme="minorEastAsia" w:hAnsiTheme="minorEastAsia" w:eastAsiaTheme="minorEastAsia" w:cstheme="minorEastAsia"/>
          <w:color w:val="000000"/>
          <w:sz w:val="24"/>
          <w:u w:val="single"/>
        </w:rPr>
        <w:t>广西</w:t>
      </w:r>
      <w:r>
        <w:rPr>
          <w:rFonts w:hint="eastAsia" w:asciiTheme="minorEastAsia" w:hAnsiTheme="minorEastAsia" w:cstheme="minorEastAsia"/>
          <w:color w:val="000000"/>
          <w:sz w:val="24"/>
          <w:u w:val="single"/>
          <w:lang w:eastAsia="zh-CN"/>
        </w:rPr>
        <w:t>桂林</w:t>
      </w:r>
      <w:r>
        <w:rPr>
          <w:rFonts w:hint="eastAsia" w:asciiTheme="minorEastAsia" w:hAnsiTheme="minorEastAsia" w:eastAsiaTheme="minorEastAsia" w:cstheme="minorEastAsia"/>
          <w:color w:val="000000"/>
          <w:sz w:val="24"/>
          <w:u w:val="single"/>
        </w:rPr>
        <w:t>市</w:t>
      </w:r>
      <w:r>
        <w:rPr>
          <w:rFonts w:hint="eastAsia" w:asciiTheme="minorEastAsia" w:hAnsiTheme="minorEastAsia" w:eastAsiaTheme="minorEastAsia" w:cstheme="minorEastAsia"/>
          <w:color w:val="000000"/>
          <w:sz w:val="24"/>
        </w:rPr>
        <w:t xml:space="preserve">                      签订时间：</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u w:val="single"/>
          <w:lang w:val="en-US" w:eastAsia="zh-CN"/>
        </w:rPr>
        <w:t xml:space="preserve">     </w:t>
      </w:r>
      <w:r>
        <w:rPr>
          <w:rFonts w:hint="eastAsia" w:asciiTheme="minorEastAsia" w:hAnsiTheme="minorEastAsia" w:eastAsiaTheme="minorEastAsia" w:cstheme="minorEastAsia"/>
          <w:color w:val="000000"/>
          <w:sz w:val="24"/>
          <w:u w:val="single"/>
        </w:rPr>
        <w:t>年  月    日</w:t>
      </w:r>
    </w:p>
    <w:p w14:paraId="5E41E6A2">
      <w:pPr>
        <w:snapToGrid w:val="0"/>
        <w:spacing w:line="360" w:lineRule="auto"/>
        <w:ind w:firstLine="480" w:firstLineChars="200"/>
        <w:rPr>
          <w:rFonts w:hint="eastAsia" w:asciiTheme="minorEastAsia" w:hAnsiTheme="minorEastAsia" w:eastAsiaTheme="minorEastAsia" w:cstheme="minorEastAsia"/>
          <w:color w:val="000000"/>
          <w:sz w:val="24"/>
        </w:rPr>
      </w:pPr>
    </w:p>
    <w:p w14:paraId="15AABEE2">
      <w:pPr>
        <w:snapToGrid w:val="0"/>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根据《中华人民共和国政府采购法》、《中华人民共和国民法典》等法律、法规规定，按照</w:t>
      </w:r>
      <w:r>
        <w:rPr>
          <w:rFonts w:hint="eastAsia" w:asciiTheme="minorEastAsia" w:hAnsiTheme="minorEastAsia" w:cstheme="minorEastAsia"/>
          <w:color w:val="000000"/>
          <w:sz w:val="24"/>
          <w:lang w:val="en-US" w:eastAsia="zh-CN"/>
        </w:rPr>
        <w:t>采购</w:t>
      </w:r>
      <w:r>
        <w:rPr>
          <w:rFonts w:hint="eastAsia" w:asciiTheme="minorEastAsia" w:hAnsiTheme="minorEastAsia" w:eastAsiaTheme="minorEastAsia" w:cstheme="minorEastAsia"/>
          <w:color w:val="000000"/>
          <w:sz w:val="24"/>
        </w:rPr>
        <w:t>文件规定条款和成交供应商承诺，甲乙双方签订本合同。</w:t>
      </w:r>
    </w:p>
    <w:p w14:paraId="7CC2E2F4">
      <w:pPr>
        <w:snapToGrid w:val="0"/>
        <w:spacing w:line="360" w:lineRule="auto"/>
        <w:ind w:firstLine="482" w:firstLineChars="200"/>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第一条</w:t>
      </w:r>
      <w:r>
        <w:rPr>
          <w:rFonts w:hint="eastAsia" w:asciiTheme="minorEastAsia" w:hAnsiTheme="minorEastAsia" w:eastAsiaTheme="minorEastAsia" w:cstheme="minorEastAsia"/>
          <w:b/>
          <w:color w:val="000000"/>
          <w:sz w:val="24"/>
          <w:lang w:val="en-US" w:eastAsia="zh-CN"/>
        </w:rPr>
        <w:t xml:space="preserve"> </w:t>
      </w:r>
      <w:r>
        <w:rPr>
          <w:rFonts w:hint="eastAsia" w:asciiTheme="minorEastAsia" w:hAnsiTheme="minorEastAsia" w:eastAsiaTheme="minorEastAsia" w:cstheme="minorEastAsia"/>
          <w:b/>
          <w:color w:val="000000"/>
          <w:sz w:val="24"/>
        </w:rPr>
        <w:t>合同标的</w:t>
      </w:r>
    </w:p>
    <w:p w14:paraId="18F195B2">
      <w:pPr>
        <w:snapToGrid w:val="0"/>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1.供货一览表</w:t>
      </w:r>
    </w:p>
    <w:tbl>
      <w:tblPr>
        <w:tblStyle w:val="12"/>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776"/>
        <w:gridCol w:w="2720"/>
        <w:gridCol w:w="690"/>
        <w:gridCol w:w="705"/>
        <w:gridCol w:w="1215"/>
        <w:gridCol w:w="1504"/>
      </w:tblGrid>
      <w:tr w14:paraId="1B12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673" w:type="dxa"/>
            <w:noWrap w:val="0"/>
            <w:vAlign w:val="center"/>
          </w:tcPr>
          <w:p w14:paraId="0AD15325">
            <w:pPr>
              <w:snapToGrid w:val="0"/>
              <w:jc w:val="center"/>
              <w:rPr>
                <w:rFonts w:hint="eastAsia"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序号</w:t>
            </w:r>
          </w:p>
        </w:tc>
        <w:tc>
          <w:tcPr>
            <w:tcW w:w="1776" w:type="dxa"/>
            <w:noWrap w:val="0"/>
            <w:vAlign w:val="center"/>
          </w:tcPr>
          <w:p w14:paraId="00FB0700">
            <w:pPr>
              <w:snapToGrid w:val="0"/>
              <w:jc w:val="center"/>
              <w:rPr>
                <w:rFonts w:hint="eastAsia"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设备名称</w:t>
            </w:r>
          </w:p>
        </w:tc>
        <w:tc>
          <w:tcPr>
            <w:tcW w:w="2720" w:type="dxa"/>
            <w:noWrap w:val="0"/>
            <w:vAlign w:val="center"/>
          </w:tcPr>
          <w:p w14:paraId="26296B60">
            <w:pPr>
              <w:snapToGrid w:val="0"/>
              <w:jc w:val="center"/>
              <w:rPr>
                <w:rFonts w:hint="eastAsia"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品牌、规格型号</w:t>
            </w:r>
          </w:p>
        </w:tc>
        <w:tc>
          <w:tcPr>
            <w:tcW w:w="690" w:type="dxa"/>
            <w:noWrap w:val="0"/>
            <w:vAlign w:val="center"/>
          </w:tcPr>
          <w:p w14:paraId="33F35DCC">
            <w:pPr>
              <w:snapToGrid w:val="0"/>
              <w:jc w:val="center"/>
              <w:rPr>
                <w:rFonts w:hint="eastAsia"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数量</w:t>
            </w:r>
          </w:p>
        </w:tc>
        <w:tc>
          <w:tcPr>
            <w:tcW w:w="705" w:type="dxa"/>
            <w:noWrap w:val="0"/>
            <w:vAlign w:val="center"/>
          </w:tcPr>
          <w:p w14:paraId="63750563">
            <w:pPr>
              <w:snapToGrid w:val="0"/>
              <w:jc w:val="center"/>
              <w:rPr>
                <w:rFonts w:hint="eastAsia"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单位</w:t>
            </w:r>
          </w:p>
        </w:tc>
        <w:tc>
          <w:tcPr>
            <w:tcW w:w="1215" w:type="dxa"/>
            <w:noWrap w:val="0"/>
            <w:vAlign w:val="center"/>
          </w:tcPr>
          <w:p w14:paraId="77E25147">
            <w:pPr>
              <w:snapToGrid w:val="0"/>
              <w:jc w:val="center"/>
              <w:rPr>
                <w:rFonts w:hint="eastAsia"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单价（元）</w:t>
            </w:r>
          </w:p>
        </w:tc>
        <w:tc>
          <w:tcPr>
            <w:tcW w:w="1504" w:type="dxa"/>
            <w:noWrap w:val="0"/>
            <w:vAlign w:val="center"/>
          </w:tcPr>
          <w:p w14:paraId="73A843DE">
            <w:pPr>
              <w:snapToGrid w:val="0"/>
              <w:jc w:val="center"/>
              <w:rPr>
                <w:rFonts w:hint="eastAsia"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金额（元）</w:t>
            </w:r>
          </w:p>
        </w:tc>
      </w:tr>
      <w:tr w14:paraId="752D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jc w:val="center"/>
        </w:trPr>
        <w:tc>
          <w:tcPr>
            <w:tcW w:w="673" w:type="dxa"/>
            <w:noWrap w:val="0"/>
            <w:vAlign w:val="center"/>
          </w:tcPr>
          <w:p w14:paraId="435F416F">
            <w:pPr>
              <w:pStyle w:val="9"/>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1</w:t>
            </w:r>
          </w:p>
        </w:tc>
        <w:tc>
          <w:tcPr>
            <w:tcW w:w="1776" w:type="dxa"/>
            <w:noWrap w:val="0"/>
            <w:vAlign w:val="center"/>
          </w:tcPr>
          <w:p w14:paraId="3968D215">
            <w:pPr>
              <w:widowControl/>
              <w:jc w:val="center"/>
              <w:rPr>
                <w:rFonts w:hint="eastAsia" w:asciiTheme="minorEastAsia" w:hAnsiTheme="minorEastAsia" w:eastAsiaTheme="minorEastAsia" w:cstheme="minorEastAsia"/>
                <w:color w:val="000000"/>
                <w:szCs w:val="21"/>
              </w:rPr>
            </w:pPr>
          </w:p>
        </w:tc>
        <w:tc>
          <w:tcPr>
            <w:tcW w:w="2720" w:type="dxa"/>
            <w:noWrap w:val="0"/>
            <w:vAlign w:val="center"/>
          </w:tcPr>
          <w:p w14:paraId="4277131D">
            <w:pPr>
              <w:widowControl/>
              <w:jc w:val="center"/>
              <w:rPr>
                <w:rFonts w:hint="eastAsia" w:asciiTheme="minorEastAsia" w:hAnsiTheme="minorEastAsia" w:eastAsiaTheme="minorEastAsia" w:cstheme="minorEastAsia"/>
                <w:szCs w:val="21"/>
              </w:rPr>
            </w:pPr>
          </w:p>
        </w:tc>
        <w:tc>
          <w:tcPr>
            <w:tcW w:w="690" w:type="dxa"/>
            <w:noWrap w:val="0"/>
            <w:vAlign w:val="center"/>
          </w:tcPr>
          <w:p w14:paraId="61332F51">
            <w:pPr>
              <w:widowControl/>
              <w:jc w:val="center"/>
              <w:rPr>
                <w:rFonts w:hint="eastAsia" w:asciiTheme="minorEastAsia" w:hAnsiTheme="minorEastAsia" w:eastAsiaTheme="minorEastAsia" w:cstheme="minorEastAsia"/>
                <w:color w:val="000000"/>
                <w:szCs w:val="21"/>
              </w:rPr>
            </w:pPr>
          </w:p>
        </w:tc>
        <w:tc>
          <w:tcPr>
            <w:tcW w:w="705" w:type="dxa"/>
            <w:noWrap w:val="0"/>
            <w:vAlign w:val="center"/>
          </w:tcPr>
          <w:p w14:paraId="759DD8DE">
            <w:pPr>
              <w:widowControl/>
              <w:jc w:val="center"/>
              <w:rPr>
                <w:rFonts w:hint="eastAsia" w:asciiTheme="minorEastAsia" w:hAnsiTheme="minorEastAsia" w:eastAsiaTheme="minorEastAsia" w:cstheme="minorEastAsia"/>
                <w:color w:val="000000"/>
                <w:szCs w:val="21"/>
              </w:rPr>
            </w:pPr>
          </w:p>
        </w:tc>
        <w:tc>
          <w:tcPr>
            <w:tcW w:w="1215" w:type="dxa"/>
            <w:noWrap w:val="0"/>
            <w:vAlign w:val="center"/>
          </w:tcPr>
          <w:p w14:paraId="0693956B">
            <w:pPr>
              <w:widowControl/>
              <w:jc w:val="right"/>
              <w:textAlignment w:val="center"/>
              <w:rPr>
                <w:rFonts w:hint="eastAsia" w:asciiTheme="minorEastAsia" w:hAnsiTheme="minorEastAsia" w:eastAsiaTheme="minorEastAsia" w:cstheme="minorEastAsia"/>
                <w:szCs w:val="21"/>
              </w:rPr>
            </w:pPr>
          </w:p>
        </w:tc>
        <w:tc>
          <w:tcPr>
            <w:tcW w:w="1504" w:type="dxa"/>
            <w:noWrap w:val="0"/>
            <w:vAlign w:val="center"/>
          </w:tcPr>
          <w:p w14:paraId="5173061B">
            <w:pPr>
              <w:widowControl/>
              <w:jc w:val="right"/>
              <w:textAlignment w:val="center"/>
              <w:rPr>
                <w:rFonts w:hint="eastAsia" w:asciiTheme="minorEastAsia" w:hAnsiTheme="minorEastAsia" w:eastAsiaTheme="minorEastAsia" w:cstheme="minorEastAsia"/>
                <w:szCs w:val="21"/>
              </w:rPr>
            </w:pPr>
          </w:p>
        </w:tc>
      </w:tr>
      <w:tr w14:paraId="2C7A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673" w:type="dxa"/>
            <w:noWrap w:val="0"/>
            <w:vAlign w:val="center"/>
          </w:tcPr>
          <w:p w14:paraId="65FD9917">
            <w:pPr>
              <w:pStyle w:val="9"/>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2</w:t>
            </w:r>
          </w:p>
        </w:tc>
        <w:tc>
          <w:tcPr>
            <w:tcW w:w="1776" w:type="dxa"/>
            <w:noWrap w:val="0"/>
            <w:vAlign w:val="center"/>
          </w:tcPr>
          <w:p w14:paraId="2075A79C">
            <w:pPr>
              <w:widowControl/>
              <w:jc w:val="center"/>
              <w:rPr>
                <w:rFonts w:hint="eastAsia" w:asciiTheme="minorEastAsia" w:hAnsiTheme="minorEastAsia" w:eastAsiaTheme="minorEastAsia" w:cstheme="minorEastAsia"/>
                <w:color w:val="000000"/>
                <w:szCs w:val="21"/>
              </w:rPr>
            </w:pPr>
          </w:p>
        </w:tc>
        <w:tc>
          <w:tcPr>
            <w:tcW w:w="2720" w:type="dxa"/>
            <w:noWrap w:val="0"/>
            <w:vAlign w:val="center"/>
          </w:tcPr>
          <w:p w14:paraId="1BEC2E88">
            <w:pPr>
              <w:widowControl/>
              <w:jc w:val="center"/>
              <w:rPr>
                <w:rFonts w:hint="eastAsia" w:asciiTheme="minorEastAsia" w:hAnsiTheme="minorEastAsia" w:eastAsiaTheme="minorEastAsia" w:cstheme="minorEastAsia"/>
                <w:szCs w:val="21"/>
              </w:rPr>
            </w:pPr>
          </w:p>
        </w:tc>
        <w:tc>
          <w:tcPr>
            <w:tcW w:w="690" w:type="dxa"/>
            <w:noWrap w:val="0"/>
            <w:vAlign w:val="center"/>
          </w:tcPr>
          <w:p w14:paraId="63DEBE14">
            <w:pPr>
              <w:widowControl/>
              <w:jc w:val="center"/>
              <w:rPr>
                <w:rFonts w:hint="eastAsia" w:asciiTheme="minorEastAsia" w:hAnsiTheme="minorEastAsia" w:eastAsiaTheme="minorEastAsia" w:cstheme="minorEastAsia"/>
                <w:color w:val="000000"/>
                <w:szCs w:val="21"/>
              </w:rPr>
            </w:pPr>
          </w:p>
        </w:tc>
        <w:tc>
          <w:tcPr>
            <w:tcW w:w="705" w:type="dxa"/>
            <w:noWrap w:val="0"/>
            <w:vAlign w:val="center"/>
          </w:tcPr>
          <w:p w14:paraId="71BDA3F1">
            <w:pPr>
              <w:widowControl/>
              <w:jc w:val="center"/>
              <w:rPr>
                <w:rFonts w:hint="eastAsia" w:asciiTheme="minorEastAsia" w:hAnsiTheme="minorEastAsia" w:eastAsiaTheme="minorEastAsia" w:cstheme="minorEastAsia"/>
                <w:color w:val="000000"/>
                <w:szCs w:val="21"/>
              </w:rPr>
            </w:pPr>
          </w:p>
        </w:tc>
        <w:tc>
          <w:tcPr>
            <w:tcW w:w="1215" w:type="dxa"/>
            <w:noWrap w:val="0"/>
            <w:vAlign w:val="center"/>
          </w:tcPr>
          <w:p w14:paraId="7C50DEB4">
            <w:pPr>
              <w:widowControl/>
              <w:jc w:val="right"/>
              <w:textAlignment w:val="center"/>
              <w:rPr>
                <w:rFonts w:hint="eastAsia" w:asciiTheme="minorEastAsia" w:hAnsiTheme="minorEastAsia" w:eastAsiaTheme="minorEastAsia" w:cstheme="minorEastAsia"/>
                <w:szCs w:val="21"/>
              </w:rPr>
            </w:pPr>
          </w:p>
        </w:tc>
        <w:tc>
          <w:tcPr>
            <w:tcW w:w="1504" w:type="dxa"/>
            <w:noWrap w:val="0"/>
            <w:vAlign w:val="center"/>
          </w:tcPr>
          <w:p w14:paraId="6C2E639C">
            <w:pPr>
              <w:widowControl/>
              <w:jc w:val="right"/>
              <w:textAlignment w:val="center"/>
              <w:rPr>
                <w:rFonts w:hint="eastAsia" w:asciiTheme="minorEastAsia" w:hAnsiTheme="minorEastAsia" w:eastAsiaTheme="minorEastAsia" w:cstheme="minorEastAsia"/>
                <w:szCs w:val="21"/>
              </w:rPr>
            </w:pPr>
          </w:p>
        </w:tc>
      </w:tr>
      <w:tr w14:paraId="38D7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673" w:type="dxa"/>
            <w:noWrap w:val="0"/>
            <w:vAlign w:val="center"/>
          </w:tcPr>
          <w:p w14:paraId="53AB6043">
            <w:pPr>
              <w:pStyle w:val="9"/>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3</w:t>
            </w:r>
          </w:p>
        </w:tc>
        <w:tc>
          <w:tcPr>
            <w:tcW w:w="1776" w:type="dxa"/>
            <w:noWrap w:val="0"/>
            <w:vAlign w:val="center"/>
          </w:tcPr>
          <w:p w14:paraId="7CBDF71C">
            <w:pPr>
              <w:widowControl/>
              <w:jc w:val="center"/>
              <w:rPr>
                <w:rFonts w:hint="eastAsia" w:asciiTheme="minorEastAsia" w:hAnsiTheme="minorEastAsia" w:eastAsiaTheme="minorEastAsia" w:cstheme="minorEastAsia"/>
                <w:color w:val="000000"/>
                <w:szCs w:val="21"/>
              </w:rPr>
            </w:pPr>
          </w:p>
        </w:tc>
        <w:tc>
          <w:tcPr>
            <w:tcW w:w="2720" w:type="dxa"/>
            <w:noWrap w:val="0"/>
            <w:vAlign w:val="center"/>
          </w:tcPr>
          <w:p w14:paraId="6AE3AB28">
            <w:pPr>
              <w:widowControl/>
              <w:jc w:val="center"/>
              <w:rPr>
                <w:rFonts w:hint="eastAsia" w:asciiTheme="minorEastAsia" w:hAnsiTheme="minorEastAsia" w:eastAsiaTheme="minorEastAsia" w:cstheme="minorEastAsia"/>
                <w:szCs w:val="21"/>
              </w:rPr>
            </w:pPr>
          </w:p>
        </w:tc>
        <w:tc>
          <w:tcPr>
            <w:tcW w:w="690" w:type="dxa"/>
            <w:noWrap w:val="0"/>
            <w:vAlign w:val="center"/>
          </w:tcPr>
          <w:p w14:paraId="2DBE3ED8">
            <w:pPr>
              <w:widowControl/>
              <w:jc w:val="center"/>
              <w:rPr>
                <w:rFonts w:hint="eastAsia" w:asciiTheme="minorEastAsia" w:hAnsiTheme="minorEastAsia" w:eastAsiaTheme="minorEastAsia" w:cstheme="minorEastAsia"/>
                <w:color w:val="000000"/>
                <w:szCs w:val="21"/>
              </w:rPr>
            </w:pPr>
          </w:p>
        </w:tc>
        <w:tc>
          <w:tcPr>
            <w:tcW w:w="705" w:type="dxa"/>
            <w:noWrap w:val="0"/>
            <w:vAlign w:val="center"/>
          </w:tcPr>
          <w:p w14:paraId="6D9B1FBB">
            <w:pPr>
              <w:widowControl/>
              <w:jc w:val="center"/>
              <w:rPr>
                <w:rFonts w:hint="eastAsia" w:asciiTheme="minorEastAsia" w:hAnsiTheme="minorEastAsia" w:eastAsiaTheme="minorEastAsia" w:cstheme="minorEastAsia"/>
                <w:color w:val="000000"/>
                <w:szCs w:val="21"/>
              </w:rPr>
            </w:pPr>
          </w:p>
        </w:tc>
        <w:tc>
          <w:tcPr>
            <w:tcW w:w="1215" w:type="dxa"/>
            <w:noWrap w:val="0"/>
            <w:vAlign w:val="center"/>
          </w:tcPr>
          <w:p w14:paraId="4CA4F860">
            <w:pPr>
              <w:widowControl/>
              <w:jc w:val="right"/>
              <w:textAlignment w:val="center"/>
              <w:rPr>
                <w:rFonts w:hint="eastAsia" w:asciiTheme="minorEastAsia" w:hAnsiTheme="minorEastAsia" w:eastAsiaTheme="minorEastAsia" w:cstheme="minorEastAsia"/>
                <w:szCs w:val="21"/>
              </w:rPr>
            </w:pPr>
          </w:p>
        </w:tc>
        <w:tc>
          <w:tcPr>
            <w:tcW w:w="1504" w:type="dxa"/>
            <w:noWrap w:val="0"/>
            <w:vAlign w:val="center"/>
          </w:tcPr>
          <w:p w14:paraId="3669C561">
            <w:pPr>
              <w:widowControl/>
              <w:jc w:val="right"/>
              <w:textAlignment w:val="center"/>
              <w:rPr>
                <w:rFonts w:hint="eastAsia" w:asciiTheme="minorEastAsia" w:hAnsiTheme="minorEastAsia" w:eastAsiaTheme="minorEastAsia" w:cstheme="minorEastAsia"/>
                <w:szCs w:val="21"/>
              </w:rPr>
            </w:pPr>
          </w:p>
        </w:tc>
      </w:tr>
      <w:tr w14:paraId="04055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673" w:type="dxa"/>
            <w:noWrap w:val="0"/>
            <w:vAlign w:val="center"/>
          </w:tcPr>
          <w:p w14:paraId="76F6D1DD">
            <w:pPr>
              <w:pStyle w:val="9"/>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4</w:t>
            </w:r>
          </w:p>
        </w:tc>
        <w:tc>
          <w:tcPr>
            <w:tcW w:w="1776" w:type="dxa"/>
            <w:noWrap w:val="0"/>
            <w:vAlign w:val="center"/>
          </w:tcPr>
          <w:p w14:paraId="29E3C8A8">
            <w:pPr>
              <w:widowControl/>
              <w:jc w:val="center"/>
              <w:rPr>
                <w:rFonts w:hint="eastAsia" w:asciiTheme="minorEastAsia" w:hAnsiTheme="minorEastAsia" w:eastAsiaTheme="minorEastAsia" w:cstheme="minorEastAsia"/>
                <w:color w:val="000000"/>
                <w:szCs w:val="21"/>
              </w:rPr>
            </w:pPr>
          </w:p>
        </w:tc>
        <w:tc>
          <w:tcPr>
            <w:tcW w:w="2720" w:type="dxa"/>
            <w:noWrap w:val="0"/>
            <w:vAlign w:val="center"/>
          </w:tcPr>
          <w:p w14:paraId="510F945C">
            <w:pPr>
              <w:pStyle w:val="9"/>
              <w:jc w:val="center"/>
              <w:rPr>
                <w:rFonts w:hint="eastAsia" w:asciiTheme="minorEastAsia" w:hAnsiTheme="minorEastAsia" w:eastAsiaTheme="minorEastAsia" w:cstheme="minorEastAsia"/>
                <w:sz w:val="21"/>
                <w:szCs w:val="21"/>
              </w:rPr>
            </w:pPr>
          </w:p>
        </w:tc>
        <w:tc>
          <w:tcPr>
            <w:tcW w:w="690" w:type="dxa"/>
            <w:noWrap w:val="0"/>
            <w:vAlign w:val="center"/>
          </w:tcPr>
          <w:p w14:paraId="6F268803">
            <w:pPr>
              <w:widowControl/>
              <w:jc w:val="center"/>
              <w:rPr>
                <w:rFonts w:hint="eastAsia" w:asciiTheme="minorEastAsia" w:hAnsiTheme="minorEastAsia" w:eastAsiaTheme="minorEastAsia" w:cstheme="minorEastAsia"/>
                <w:color w:val="000000"/>
                <w:szCs w:val="21"/>
              </w:rPr>
            </w:pPr>
          </w:p>
        </w:tc>
        <w:tc>
          <w:tcPr>
            <w:tcW w:w="705" w:type="dxa"/>
            <w:noWrap w:val="0"/>
            <w:vAlign w:val="center"/>
          </w:tcPr>
          <w:p w14:paraId="0895836E">
            <w:pPr>
              <w:widowControl/>
              <w:jc w:val="center"/>
              <w:rPr>
                <w:rFonts w:hint="eastAsia" w:asciiTheme="minorEastAsia" w:hAnsiTheme="minorEastAsia" w:eastAsiaTheme="minorEastAsia" w:cstheme="minorEastAsia"/>
                <w:color w:val="000000"/>
                <w:szCs w:val="21"/>
              </w:rPr>
            </w:pPr>
          </w:p>
        </w:tc>
        <w:tc>
          <w:tcPr>
            <w:tcW w:w="1215" w:type="dxa"/>
            <w:noWrap w:val="0"/>
            <w:vAlign w:val="center"/>
          </w:tcPr>
          <w:p w14:paraId="1673A07C">
            <w:pPr>
              <w:widowControl/>
              <w:jc w:val="right"/>
              <w:textAlignment w:val="center"/>
              <w:rPr>
                <w:rFonts w:hint="eastAsia" w:asciiTheme="minorEastAsia" w:hAnsiTheme="minorEastAsia" w:eastAsiaTheme="minorEastAsia" w:cstheme="minorEastAsia"/>
                <w:szCs w:val="21"/>
              </w:rPr>
            </w:pPr>
          </w:p>
        </w:tc>
        <w:tc>
          <w:tcPr>
            <w:tcW w:w="1504" w:type="dxa"/>
            <w:noWrap w:val="0"/>
            <w:vAlign w:val="center"/>
          </w:tcPr>
          <w:p w14:paraId="0D556426">
            <w:pPr>
              <w:widowControl/>
              <w:jc w:val="right"/>
              <w:textAlignment w:val="center"/>
              <w:rPr>
                <w:rFonts w:hint="eastAsia" w:asciiTheme="minorEastAsia" w:hAnsiTheme="minorEastAsia" w:eastAsiaTheme="minorEastAsia" w:cstheme="minorEastAsia"/>
                <w:szCs w:val="21"/>
              </w:rPr>
            </w:pPr>
          </w:p>
        </w:tc>
      </w:tr>
      <w:tr w14:paraId="4CAC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673" w:type="dxa"/>
            <w:noWrap w:val="0"/>
            <w:vAlign w:val="center"/>
          </w:tcPr>
          <w:p w14:paraId="49C44615">
            <w:pPr>
              <w:pStyle w:val="9"/>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5</w:t>
            </w:r>
          </w:p>
        </w:tc>
        <w:tc>
          <w:tcPr>
            <w:tcW w:w="1776" w:type="dxa"/>
            <w:noWrap w:val="0"/>
            <w:vAlign w:val="center"/>
          </w:tcPr>
          <w:p w14:paraId="2B018050">
            <w:pPr>
              <w:widowControl/>
              <w:jc w:val="center"/>
              <w:rPr>
                <w:rFonts w:hint="eastAsia" w:asciiTheme="minorEastAsia" w:hAnsiTheme="minorEastAsia" w:eastAsiaTheme="minorEastAsia" w:cstheme="minorEastAsia"/>
                <w:color w:val="000000"/>
                <w:szCs w:val="21"/>
              </w:rPr>
            </w:pPr>
          </w:p>
        </w:tc>
        <w:tc>
          <w:tcPr>
            <w:tcW w:w="2720" w:type="dxa"/>
            <w:noWrap w:val="0"/>
            <w:vAlign w:val="center"/>
          </w:tcPr>
          <w:p w14:paraId="254C8B2B">
            <w:pPr>
              <w:widowControl/>
              <w:jc w:val="center"/>
              <w:rPr>
                <w:rFonts w:hint="eastAsia" w:asciiTheme="minorEastAsia" w:hAnsiTheme="minorEastAsia" w:eastAsiaTheme="minorEastAsia" w:cstheme="minorEastAsia"/>
                <w:szCs w:val="21"/>
              </w:rPr>
            </w:pPr>
          </w:p>
        </w:tc>
        <w:tc>
          <w:tcPr>
            <w:tcW w:w="690" w:type="dxa"/>
            <w:noWrap w:val="0"/>
            <w:vAlign w:val="center"/>
          </w:tcPr>
          <w:p w14:paraId="5605B5BF">
            <w:pPr>
              <w:widowControl/>
              <w:jc w:val="center"/>
              <w:rPr>
                <w:rFonts w:hint="eastAsia" w:asciiTheme="minorEastAsia" w:hAnsiTheme="minorEastAsia" w:eastAsiaTheme="minorEastAsia" w:cstheme="minorEastAsia"/>
                <w:color w:val="000000"/>
                <w:szCs w:val="21"/>
              </w:rPr>
            </w:pPr>
          </w:p>
        </w:tc>
        <w:tc>
          <w:tcPr>
            <w:tcW w:w="705" w:type="dxa"/>
            <w:noWrap w:val="0"/>
            <w:vAlign w:val="center"/>
          </w:tcPr>
          <w:p w14:paraId="3F002A27">
            <w:pPr>
              <w:widowControl/>
              <w:jc w:val="center"/>
              <w:rPr>
                <w:rFonts w:hint="eastAsia" w:asciiTheme="minorEastAsia" w:hAnsiTheme="minorEastAsia" w:eastAsiaTheme="minorEastAsia" w:cstheme="minorEastAsia"/>
                <w:color w:val="000000"/>
                <w:szCs w:val="21"/>
              </w:rPr>
            </w:pPr>
          </w:p>
        </w:tc>
        <w:tc>
          <w:tcPr>
            <w:tcW w:w="1215" w:type="dxa"/>
            <w:noWrap w:val="0"/>
            <w:vAlign w:val="center"/>
          </w:tcPr>
          <w:p w14:paraId="0949C240">
            <w:pPr>
              <w:widowControl/>
              <w:jc w:val="right"/>
              <w:textAlignment w:val="center"/>
              <w:rPr>
                <w:rFonts w:hint="eastAsia" w:asciiTheme="minorEastAsia" w:hAnsiTheme="minorEastAsia" w:eastAsiaTheme="minorEastAsia" w:cstheme="minorEastAsia"/>
                <w:szCs w:val="21"/>
              </w:rPr>
            </w:pPr>
          </w:p>
        </w:tc>
        <w:tc>
          <w:tcPr>
            <w:tcW w:w="1504" w:type="dxa"/>
            <w:noWrap w:val="0"/>
            <w:vAlign w:val="center"/>
          </w:tcPr>
          <w:p w14:paraId="4DADC26E">
            <w:pPr>
              <w:widowControl/>
              <w:jc w:val="right"/>
              <w:textAlignment w:val="center"/>
              <w:rPr>
                <w:rFonts w:hint="eastAsia" w:asciiTheme="minorEastAsia" w:hAnsiTheme="minorEastAsia" w:eastAsiaTheme="minorEastAsia" w:cstheme="minorEastAsia"/>
                <w:szCs w:val="21"/>
              </w:rPr>
            </w:pPr>
          </w:p>
        </w:tc>
      </w:tr>
      <w:tr w14:paraId="1053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673" w:type="dxa"/>
            <w:noWrap w:val="0"/>
            <w:vAlign w:val="center"/>
          </w:tcPr>
          <w:p w14:paraId="3B53DB41">
            <w:pPr>
              <w:pStyle w:val="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合计</w:t>
            </w:r>
          </w:p>
        </w:tc>
        <w:tc>
          <w:tcPr>
            <w:tcW w:w="8610" w:type="dxa"/>
            <w:gridSpan w:val="6"/>
            <w:noWrap w:val="0"/>
            <w:vAlign w:val="center"/>
          </w:tcPr>
          <w:p w14:paraId="2BEA8C4B">
            <w:pPr>
              <w:pStyle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总金额：人民币大写：</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 xml:space="preserve">    （小写：</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元）</w:t>
            </w:r>
          </w:p>
        </w:tc>
      </w:tr>
    </w:tbl>
    <w:p w14:paraId="0A01F520">
      <w:pPr>
        <w:snapToGrid w:val="0"/>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合同合计金额为到甲方指定地点的现场交货价，包括：（1）货物及标准附件、备品备件、专用工具的价格；（2）运输、装卸、调试、培训、技术支持、售后服务等费用；（3）必要的保险费用，安全施工费和各项税费；（4）包括安装费用。</w:t>
      </w:r>
    </w:p>
    <w:p w14:paraId="42675AD9">
      <w:pPr>
        <w:snapToGrid w:val="0"/>
        <w:spacing w:line="360" w:lineRule="auto"/>
        <w:ind w:firstLine="482"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b/>
          <w:color w:val="000000"/>
          <w:sz w:val="24"/>
        </w:rPr>
        <w:t>第二条</w:t>
      </w:r>
      <w:r>
        <w:rPr>
          <w:rFonts w:hint="eastAsia" w:asciiTheme="minorEastAsia" w:hAnsiTheme="minorEastAsia" w:eastAsiaTheme="minorEastAsia" w:cstheme="minorEastAsia"/>
          <w:b/>
          <w:color w:val="000000"/>
          <w:sz w:val="24"/>
          <w:lang w:eastAsia="zh-CN"/>
        </w:rPr>
        <w:t xml:space="preserve"> </w:t>
      </w:r>
      <w:r>
        <w:rPr>
          <w:rFonts w:hint="eastAsia" w:asciiTheme="minorEastAsia" w:hAnsiTheme="minorEastAsia" w:eastAsiaTheme="minorEastAsia" w:cstheme="minorEastAsia"/>
          <w:b/>
          <w:color w:val="000000"/>
          <w:sz w:val="24"/>
        </w:rPr>
        <w:t>质量要求</w:t>
      </w:r>
    </w:p>
    <w:p w14:paraId="3D6192EB">
      <w:pPr>
        <w:snapToGrid w:val="0"/>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1.乙方所提供的产品名称、商标品牌、生产厂家、规格型号、技术参数等质量必须与采购文件规定及投标文件承诺相一致。</w:t>
      </w:r>
    </w:p>
    <w:p w14:paraId="1458E2B3">
      <w:pPr>
        <w:snapToGrid w:val="0"/>
        <w:spacing w:line="360" w:lineRule="auto"/>
        <w:ind w:firstLine="480" w:firstLineChars="200"/>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rPr>
        <w:t>2.乙方所提供的货物必须是全新、未使用的原装产品，且在正常安装、使用和保养条件下，其使用寿命期内各项指标均达到招标文件规定或者投标文件承诺的质量要求。</w:t>
      </w:r>
    </w:p>
    <w:p w14:paraId="2635D201">
      <w:pPr>
        <w:snapToGrid w:val="0"/>
        <w:spacing w:line="360" w:lineRule="auto"/>
        <w:ind w:firstLine="482"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b/>
          <w:color w:val="000000"/>
          <w:sz w:val="24"/>
        </w:rPr>
        <w:t>第三条</w:t>
      </w:r>
      <w:r>
        <w:rPr>
          <w:rFonts w:hint="eastAsia" w:asciiTheme="minorEastAsia" w:hAnsiTheme="minorEastAsia" w:eastAsiaTheme="minorEastAsia" w:cstheme="minorEastAsia"/>
          <w:b/>
          <w:color w:val="000000"/>
          <w:sz w:val="24"/>
          <w:lang w:eastAsia="zh-CN"/>
        </w:rPr>
        <w:t xml:space="preserve"> </w:t>
      </w:r>
      <w:r>
        <w:rPr>
          <w:rFonts w:hint="eastAsia" w:asciiTheme="minorEastAsia" w:hAnsiTheme="minorEastAsia" w:eastAsiaTheme="minorEastAsia" w:cstheme="minorEastAsia"/>
          <w:b/>
          <w:color w:val="000000"/>
          <w:sz w:val="24"/>
        </w:rPr>
        <w:t>权利保证</w:t>
      </w:r>
    </w:p>
    <w:p w14:paraId="6A34FA06">
      <w:pPr>
        <w:snapToGrid w:val="0"/>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1.乙方应保证所提供货物在使用时不会侵犯任何第三方的专利权、商标权、工业设计权或者其他权利。</w:t>
      </w:r>
    </w:p>
    <w:p w14:paraId="7BB90AD4">
      <w:pPr>
        <w:snapToGrid w:val="0"/>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2.乙方应按招标文件规定或者投标文件承诺的时间向甲方提供使用货物的有关技术资料。</w:t>
      </w:r>
    </w:p>
    <w:p w14:paraId="58EEF4DB">
      <w:pPr>
        <w:snapToGrid w:val="0"/>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507EED4C">
      <w:pPr>
        <w:snapToGrid w:val="0"/>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4.乙方保证将要交付的货物的所有权完全属于乙方且无任何抵押、质押、查封等产权瑕疵。</w:t>
      </w:r>
    </w:p>
    <w:p w14:paraId="72D1386A">
      <w:pPr>
        <w:snapToGrid w:val="0"/>
        <w:spacing w:line="360" w:lineRule="auto"/>
        <w:ind w:firstLine="482" w:firstLineChars="200"/>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第四条</w:t>
      </w:r>
      <w:r>
        <w:rPr>
          <w:rFonts w:hint="eastAsia" w:asciiTheme="minorEastAsia" w:hAnsiTheme="minorEastAsia" w:eastAsiaTheme="minorEastAsia" w:cstheme="minorEastAsia"/>
          <w:b/>
          <w:color w:val="000000"/>
          <w:sz w:val="24"/>
          <w:lang w:eastAsia="zh-CN"/>
        </w:rPr>
        <w:t xml:space="preserve"> </w:t>
      </w:r>
      <w:r>
        <w:rPr>
          <w:rFonts w:hint="eastAsia" w:asciiTheme="minorEastAsia" w:hAnsiTheme="minorEastAsia" w:eastAsiaTheme="minorEastAsia" w:cstheme="minorEastAsia"/>
          <w:b/>
          <w:color w:val="000000"/>
          <w:sz w:val="24"/>
        </w:rPr>
        <w:t>包装和运输</w:t>
      </w:r>
    </w:p>
    <w:p w14:paraId="00B1D3E2">
      <w:pPr>
        <w:snapToGrid w:val="0"/>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1.乙方提供的货物均应按招标文件规定或者投标文件承诺的要求的包装材料、包装标准、包装方式进行包装，每一包装单元内应附详细的装箱单和质量合格证。</w:t>
      </w:r>
    </w:p>
    <w:p w14:paraId="507F5076">
      <w:pPr>
        <w:snapToGrid w:val="0"/>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2.货物的运输方式：</w:t>
      </w:r>
      <w:r>
        <w:rPr>
          <w:rFonts w:hint="eastAsia" w:asciiTheme="minorEastAsia" w:hAnsiTheme="minorEastAsia" w:eastAsiaTheme="minorEastAsia" w:cstheme="minorEastAsia"/>
          <w:b/>
          <w:bCs/>
          <w:color w:val="000000"/>
          <w:sz w:val="24"/>
          <w:u w:val="single"/>
        </w:rPr>
        <w:t>乙方负责将所有合同货物运送至甲方指定收货地址。乙方承担运费</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w:t>
      </w:r>
    </w:p>
    <w:p w14:paraId="08A45398">
      <w:pPr>
        <w:snapToGrid w:val="0"/>
        <w:spacing w:line="360" w:lineRule="auto"/>
        <w:ind w:firstLine="482"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b/>
          <w:color w:val="000000"/>
          <w:sz w:val="24"/>
        </w:rPr>
        <w:t>第五条</w:t>
      </w:r>
      <w:r>
        <w:rPr>
          <w:rFonts w:hint="eastAsia" w:asciiTheme="minorEastAsia" w:hAnsiTheme="minorEastAsia" w:eastAsiaTheme="minorEastAsia" w:cstheme="minorEastAsia"/>
          <w:b/>
          <w:color w:val="000000"/>
          <w:sz w:val="24"/>
          <w:lang w:eastAsia="zh-CN"/>
        </w:rPr>
        <w:t xml:space="preserve"> </w:t>
      </w:r>
      <w:r>
        <w:rPr>
          <w:rFonts w:hint="eastAsia" w:asciiTheme="minorEastAsia" w:hAnsiTheme="minorEastAsia" w:eastAsiaTheme="minorEastAsia" w:cstheme="minorEastAsia"/>
          <w:b/>
          <w:color w:val="000000"/>
          <w:sz w:val="24"/>
        </w:rPr>
        <w:t>交付和验收</w:t>
      </w:r>
    </w:p>
    <w:p w14:paraId="2B036138">
      <w:pPr>
        <w:snapToGrid w:val="0"/>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1.交付时间：</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b/>
          <w:bCs/>
          <w:color w:val="000000"/>
          <w:sz w:val="24"/>
          <w:u w:val="single"/>
        </w:rPr>
        <w:t>项目结果公布</w:t>
      </w:r>
      <w:r>
        <w:rPr>
          <w:rFonts w:hint="eastAsia" w:asciiTheme="minorEastAsia" w:hAnsiTheme="minorEastAsia" w:cstheme="minorEastAsia"/>
          <w:b/>
          <w:bCs/>
          <w:color w:val="000000"/>
          <w:sz w:val="24"/>
          <w:u w:val="single"/>
          <w:lang w:val="en-US" w:eastAsia="zh-CN"/>
        </w:rPr>
        <w:t>3天</w:t>
      </w:r>
      <w:r>
        <w:rPr>
          <w:rFonts w:hint="eastAsia" w:asciiTheme="minorEastAsia" w:hAnsiTheme="minorEastAsia" w:eastAsiaTheme="minorEastAsia" w:cstheme="minorEastAsia"/>
          <w:b/>
          <w:bCs/>
          <w:color w:val="000000"/>
          <w:sz w:val="24"/>
          <w:u w:val="single"/>
        </w:rPr>
        <w:t>日内签订合同，乙方在合同签订后</w:t>
      </w:r>
      <w:r>
        <w:rPr>
          <w:rFonts w:hint="eastAsia" w:asciiTheme="minorEastAsia" w:hAnsiTheme="minorEastAsia" w:cstheme="minorEastAsia"/>
          <w:b/>
          <w:bCs/>
          <w:color w:val="000000"/>
          <w:sz w:val="24"/>
          <w:u w:val="single"/>
          <w:lang w:val="en-US" w:eastAsia="zh-CN"/>
        </w:rPr>
        <w:t>20天</w:t>
      </w:r>
      <w:r>
        <w:rPr>
          <w:rFonts w:hint="eastAsia" w:asciiTheme="minorEastAsia" w:hAnsiTheme="minorEastAsia" w:eastAsiaTheme="minorEastAsia" w:cstheme="minorEastAsia"/>
          <w:b/>
          <w:bCs/>
          <w:color w:val="000000"/>
          <w:sz w:val="24"/>
          <w:u w:val="single"/>
        </w:rPr>
        <w:t xml:space="preserve">内完成全部货物安装及调试 </w:t>
      </w:r>
      <w:r>
        <w:rPr>
          <w:rFonts w:hint="eastAsia" w:asciiTheme="minorEastAsia" w:hAnsiTheme="minorEastAsia" w:eastAsiaTheme="minorEastAsia" w:cstheme="minorEastAsia"/>
          <w:color w:val="000000"/>
          <w:sz w:val="24"/>
        </w:rPr>
        <w:t>；</w:t>
      </w:r>
    </w:p>
    <w:p w14:paraId="3C0B0AE0">
      <w:pPr>
        <w:snapToGrid w:val="0"/>
        <w:spacing w:line="360" w:lineRule="auto"/>
        <w:ind w:firstLine="720" w:firstLineChars="3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交付地点：</w:t>
      </w:r>
      <w:r>
        <w:rPr>
          <w:rFonts w:hint="eastAsia" w:asciiTheme="minorEastAsia" w:hAnsiTheme="minorEastAsia" w:eastAsiaTheme="minorEastAsia" w:cstheme="minorEastAsia"/>
          <w:b/>
          <w:bCs/>
          <w:color w:val="000000"/>
          <w:sz w:val="24"/>
          <w:u w:val="single"/>
        </w:rPr>
        <w:t>甲方指定地点。</w:t>
      </w:r>
    </w:p>
    <w:p w14:paraId="58391764">
      <w:pPr>
        <w:snapToGrid w:val="0"/>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2.乙方提供不符合招标文件规定或者投标文件承诺的和本合同规定的货物，甲方有权拒绝接受。</w:t>
      </w:r>
    </w:p>
    <w:p w14:paraId="3505BDD5">
      <w:pPr>
        <w:snapToGrid w:val="0"/>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42A4353B">
      <w:pPr>
        <w:snapToGrid w:val="0"/>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甲方应当在到货（安装、调试完）后七个工作日内进行验收，逾期不验收的，乙方可视同验收合格。验收合格后由甲乙双方签署货物验收单并加盖双方公章，甲乙双方各执一份。在验收过程中发现乙方有违约问题，可暂缓资金结算，待违约问题解决后，方可办理资金结算事宜。</w:t>
      </w:r>
    </w:p>
    <w:p w14:paraId="0D96D5AA">
      <w:pPr>
        <w:snapToGrid w:val="0"/>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5.甲方对验收有异议的，在验收后五个工作日内以书面形式向乙方提出，乙方应自收到甲方书面异议后</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b/>
          <w:bCs/>
          <w:color w:val="000000"/>
          <w:sz w:val="24"/>
          <w:u w:val="single"/>
        </w:rPr>
        <w:t xml:space="preserve"> 5  </w:t>
      </w:r>
      <w:r>
        <w:rPr>
          <w:rFonts w:hint="eastAsia" w:asciiTheme="minorEastAsia" w:hAnsiTheme="minorEastAsia" w:eastAsiaTheme="minorEastAsia" w:cstheme="minorEastAsia"/>
          <w:color w:val="000000"/>
          <w:sz w:val="24"/>
        </w:rPr>
        <w:t>日内及时予以解决。</w:t>
      </w:r>
    </w:p>
    <w:p w14:paraId="35F4F1E5">
      <w:pPr>
        <w:snapToGrid w:val="0"/>
        <w:spacing w:line="360" w:lineRule="auto"/>
        <w:ind w:firstLine="482" w:firstLineChars="200"/>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第六条</w:t>
      </w:r>
      <w:r>
        <w:rPr>
          <w:rFonts w:hint="eastAsia" w:asciiTheme="minorEastAsia" w:hAnsiTheme="minorEastAsia" w:eastAsiaTheme="minorEastAsia" w:cstheme="minorEastAsia"/>
          <w:b/>
          <w:color w:val="000000"/>
          <w:sz w:val="24"/>
          <w:lang w:eastAsia="zh-CN"/>
        </w:rPr>
        <w:t xml:space="preserve"> </w:t>
      </w:r>
      <w:r>
        <w:rPr>
          <w:rFonts w:hint="eastAsia" w:asciiTheme="minorEastAsia" w:hAnsiTheme="minorEastAsia" w:eastAsiaTheme="minorEastAsia" w:cstheme="minorEastAsia"/>
          <w:b/>
          <w:color w:val="000000"/>
          <w:sz w:val="24"/>
        </w:rPr>
        <w:t>安装和培训</w:t>
      </w:r>
    </w:p>
    <w:p w14:paraId="4B5222CF">
      <w:pPr>
        <w:snapToGrid w:val="0"/>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1.甲方应提供必要安装条件（如场地、电源、水源等）。</w:t>
      </w:r>
    </w:p>
    <w:p w14:paraId="0A079078">
      <w:pPr>
        <w:snapToGrid w:val="0"/>
        <w:spacing w:line="360" w:lineRule="auto"/>
        <w:ind w:firstLine="480" w:firstLineChars="200"/>
        <w:rPr>
          <w:rFonts w:hint="eastAsia" w:asciiTheme="minorEastAsia" w:hAnsiTheme="minorEastAsia" w:eastAsiaTheme="minorEastAsia" w:cstheme="minorEastAsia"/>
          <w:b/>
          <w:bCs/>
          <w:color w:val="000000"/>
          <w:sz w:val="24"/>
          <w:u w:val="single"/>
        </w:rPr>
      </w:pPr>
      <w:r>
        <w:rPr>
          <w:rFonts w:hint="eastAsia" w:asciiTheme="minorEastAsia" w:hAnsiTheme="minorEastAsia" w:eastAsiaTheme="minorEastAsia" w:cstheme="minorEastAsia"/>
          <w:color w:val="000000"/>
          <w:sz w:val="24"/>
        </w:rPr>
        <w:t>2.乙方投标文件承诺负责甲方有关人员的培训：</w:t>
      </w:r>
      <w:r>
        <w:rPr>
          <w:rFonts w:hint="eastAsia" w:asciiTheme="minorEastAsia" w:hAnsiTheme="minorEastAsia" w:eastAsiaTheme="minorEastAsia" w:cstheme="minorEastAsia"/>
          <w:b/>
          <w:bCs/>
          <w:color w:val="000000"/>
          <w:sz w:val="24"/>
          <w:u w:val="single"/>
        </w:rPr>
        <w:t>培训时间、地点、内容由双方根据实际需要另行商定</w:t>
      </w:r>
      <w:r>
        <w:rPr>
          <w:rFonts w:hint="eastAsia" w:asciiTheme="minorEastAsia" w:hAnsiTheme="minorEastAsia" w:eastAsiaTheme="minorEastAsia" w:cstheme="minorEastAsia"/>
          <w:b/>
          <w:bCs/>
          <w:color w:val="000000"/>
          <w:sz w:val="24"/>
        </w:rPr>
        <w:t>。</w:t>
      </w:r>
    </w:p>
    <w:p w14:paraId="363621C2">
      <w:pPr>
        <w:snapToGrid w:val="0"/>
        <w:spacing w:line="360" w:lineRule="auto"/>
        <w:ind w:firstLine="482" w:firstLineChars="200"/>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第七条  售后服务、质保期</w:t>
      </w:r>
    </w:p>
    <w:p w14:paraId="74E68965">
      <w:pPr>
        <w:snapToGrid w:val="0"/>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1.乙方应按照国家有关法律法规和“三包”规定以及本合同所附的《服务承诺》，为甲方提供售后服务。</w:t>
      </w:r>
    </w:p>
    <w:p w14:paraId="5354EF2F">
      <w:pPr>
        <w:snapToGrid w:val="0"/>
        <w:spacing w:line="360" w:lineRule="auto"/>
        <w:ind w:firstLine="480" w:firstLineChars="200"/>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rPr>
        <w:t>2.货物质保期：</w:t>
      </w:r>
      <w:r>
        <w:rPr>
          <w:rFonts w:hint="eastAsia" w:asciiTheme="minorEastAsia" w:hAnsiTheme="minorEastAsia" w:cstheme="minorEastAsia"/>
          <w:color w:val="000000"/>
          <w:sz w:val="24"/>
          <w:lang w:val="en-US" w:eastAsia="zh-CN"/>
        </w:rPr>
        <w:t>1</w:t>
      </w:r>
      <w:r>
        <w:rPr>
          <w:rFonts w:hint="eastAsia" w:asciiTheme="minorEastAsia" w:hAnsiTheme="minorEastAsia" w:eastAsiaTheme="minorEastAsia" w:cstheme="minorEastAsia"/>
          <w:b/>
          <w:bCs/>
          <w:color w:val="000000"/>
          <w:sz w:val="24"/>
          <w:u w:val="none"/>
        </w:rPr>
        <w:t>年</w:t>
      </w:r>
      <w:r>
        <w:rPr>
          <w:rFonts w:hint="eastAsia" w:ascii="仿宋" w:hAnsi="仿宋" w:eastAsia="仿宋" w:cs="仿宋"/>
          <w:b w:val="0"/>
          <w:bCs w:val="0"/>
          <w:color w:val="000000"/>
          <w:sz w:val="28"/>
          <w:szCs w:val="28"/>
          <w:u w:val="none"/>
          <w:lang w:val="en-US" w:eastAsia="zh-CN"/>
        </w:rPr>
        <w:t>或成交供应商承诺的更长质保期（下同）</w:t>
      </w:r>
      <w:r>
        <w:rPr>
          <w:rFonts w:hint="eastAsia" w:asciiTheme="minorEastAsia" w:hAnsiTheme="minorEastAsia" w:eastAsiaTheme="minorEastAsia" w:cstheme="minorEastAsia"/>
          <w:color w:val="000000"/>
          <w:sz w:val="24"/>
        </w:rPr>
        <w:t>。</w:t>
      </w:r>
    </w:p>
    <w:p w14:paraId="46C1FEA4">
      <w:pPr>
        <w:snapToGrid w:val="0"/>
        <w:spacing w:line="360" w:lineRule="auto"/>
        <w:ind w:firstLine="480" w:firstLineChars="200"/>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rPr>
        <w:t>3.乙方提供的服务承诺和售后服务及保修期责任等其它具体约定事项。（见合同附件）</w:t>
      </w:r>
    </w:p>
    <w:p w14:paraId="15FBDCD5">
      <w:pPr>
        <w:snapToGrid w:val="0"/>
        <w:spacing w:line="360" w:lineRule="auto"/>
        <w:ind w:firstLine="482"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b/>
          <w:color w:val="000000"/>
          <w:sz w:val="24"/>
        </w:rPr>
        <w:t>第八条</w:t>
      </w:r>
      <w:r>
        <w:rPr>
          <w:rFonts w:hint="eastAsia" w:asciiTheme="minorEastAsia" w:hAnsiTheme="minorEastAsia" w:eastAsiaTheme="minorEastAsia" w:cstheme="minorEastAsia"/>
          <w:b/>
          <w:color w:val="000000"/>
          <w:sz w:val="24"/>
          <w:lang w:eastAsia="zh-CN"/>
        </w:rPr>
        <w:t xml:space="preserve"> </w:t>
      </w:r>
      <w:r>
        <w:rPr>
          <w:rFonts w:hint="eastAsia" w:asciiTheme="minorEastAsia" w:hAnsiTheme="minorEastAsia" w:eastAsiaTheme="minorEastAsia" w:cstheme="minorEastAsia"/>
          <w:b/>
          <w:color w:val="000000"/>
          <w:sz w:val="24"/>
        </w:rPr>
        <w:t>付款方式</w:t>
      </w:r>
    </w:p>
    <w:p w14:paraId="5E2A5268">
      <w:pPr>
        <w:pStyle w:val="8"/>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1</w:t>
      </w:r>
      <w:r>
        <w:rPr>
          <w:rFonts w:hint="eastAsia" w:asciiTheme="minorEastAsia" w:hAnsiTheme="minorEastAsia" w:eastAsiaTheme="minorEastAsia" w:cstheme="minorEastAsia"/>
          <w:color w:val="000000"/>
          <w:sz w:val="24"/>
          <w:szCs w:val="24"/>
        </w:rPr>
        <w:t>.当采购数量与实际使用数量不一致时，乙方应根据实际使用量供货，合同的最终结算金</w:t>
      </w:r>
      <w:r>
        <w:rPr>
          <w:rFonts w:hint="eastAsia" w:asciiTheme="minorEastAsia" w:hAnsiTheme="minorEastAsia" w:eastAsiaTheme="minorEastAsia" w:cstheme="minorEastAsia"/>
          <w:sz w:val="24"/>
          <w:szCs w:val="24"/>
        </w:rPr>
        <w:t>额按实际使用量乘以成交单价进行计算，但不得超出合同价的1</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0%。</w:t>
      </w:r>
    </w:p>
    <w:p w14:paraId="52A25B71">
      <w:pPr>
        <w:pStyle w:val="8"/>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2.</w:t>
      </w:r>
      <w:r>
        <w:rPr>
          <w:rFonts w:hint="eastAsia" w:asciiTheme="minorEastAsia" w:hAnsiTheme="minorEastAsia" w:eastAsiaTheme="minorEastAsia" w:cstheme="minorEastAsia"/>
          <w:sz w:val="24"/>
          <w:szCs w:val="24"/>
        </w:rPr>
        <w:t>付款方式：</w:t>
      </w:r>
      <w:r>
        <w:rPr>
          <w:rFonts w:hint="eastAsia" w:asciiTheme="minorEastAsia" w:hAnsiTheme="minorEastAsia" w:eastAsiaTheme="minorEastAsia" w:cstheme="minorEastAsia"/>
          <w:b/>
          <w:bCs/>
          <w:color w:val="000000"/>
          <w:kern w:val="2"/>
          <w:sz w:val="24"/>
          <w:szCs w:val="24"/>
          <w:u w:val="single"/>
        </w:rPr>
        <w:t>本项目无预付款，验收</w:t>
      </w:r>
      <w:r>
        <w:rPr>
          <w:rFonts w:hint="eastAsia" w:asciiTheme="minorEastAsia" w:hAnsiTheme="minorEastAsia" w:eastAsiaTheme="minorEastAsia" w:cstheme="minorEastAsia"/>
          <w:b/>
          <w:bCs/>
          <w:color w:val="auto"/>
          <w:kern w:val="2"/>
          <w:sz w:val="24"/>
          <w:szCs w:val="24"/>
          <w:u w:val="single"/>
          <w:lang w:eastAsia="zh-CN"/>
        </w:rPr>
        <w:t>合格</w:t>
      </w:r>
      <w:r>
        <w:rPr>
          <w:rFonts w:hint="eastAsia" w:asciiTheme="minorEastAsia" w:hAnsiTheme="minorEastAsia" w:eastAsiaTheme="minorEastAsia" w:cstheme="minorEastAsia"/>
          <w:b/>
          <w:bCs/>
          <w:color w:val="000000"/>
          <w:kern w:val="2"/>
          <w:sz w:val="24"/>
          <w:szCs w:val="24"/>
          <w:u w:val="single"/>
        </w:rPr>
        <w:t>后一次性支付全部货款。</w:t>
      </w:r>
    </w:p>
    <w:p w14:paraId="322B060C">
      <w:pPr>
        <w:snapToGrid w:val="0"/>
        <w:spacing w:line="360" w:lineRule="auto"/>
        <w:ind w:left="-61" w:leftChars="-29" w:firstLine="590" w:firstLineChars="245"/>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第九条</w:t>
      </w:r>
      <w:r>
        <w:rPr>
          <w:rFonts w:hint="eastAsia" w:asciiTheme="minorEastAsia" w:hAnsiTheme="minorEastAsia" w:eastAsiaTheme="minorEastAsia" w:cstheme="minorEastAsia"/>
          <w:b/>
          <w:sz w:val="24"/>
          <w:lang w:eastAsia="zh-CN"/>
        </w:rPr>
        <w:t xml:space="preserve"> </w:t>
      </w:r>
      <w:r>
        <w:rPr>
          <w:rFonts w:hint="eastAsia" w:asciiTheme="minorEastAsia" w:hAnsiTheme="minorEastAsia" w:eastAsiaTheme="minorEastAsia" w:cstheme="minorEastAsia"/>
          <w:b/>
          <w:sz w:val="24"/>
        </w:rPr>
        <w:t>履约保证金</w:t>
      </w:r>
    </w:p>
    <w:p w14:paraId="4A014F34">
      <w:pPr>
        <w:autoSpaceDE w:val="0"/>
        <w:autoSpaceDN w:val="0"/>
        <w:snapToGrid w:val="0"/>
        <w:spacing w:line="360" w:lineRule="auto"/>
        <w:ind w:firstLine="484" w:firstLineChars="202"/>
        <w:textAlignment w:val="bottom"/>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履约保证金金额：</w:t>
      </w:r>
      <w:r>
        <w:rPr>
          <w:rFonts w:hint="eastAsia" w:asciiTheme="minorEastAsia" w:hAnsiTheme="minorEastAsia" w:eastAsiaTheme="minorEastAsia" w:cstheme="minorEastAsia"/>
          <w:b/>
          <w:bCs/>
          <w:sz w:val="24"/>
          <w:u w:val="single"/>
        </w:rPr>
        <w:t xml:space="preserve"> 无，本项目不需要提交履约保证金，乙方应按照</w:t>
      </w:r>
      <w:r>
        <w:rPr>
          <w:rFonts w:hint="eastAsia" w:asciiTheme="minorEastAsia" w:hAnsiTheme="minorEastAsia" w:cstheme="minorEastAsia"/>
          <w:b/>
          <w:bCs/>
          <w:sz w:val="24"/>
          <w:u w:val="single"/>
          <w:lang w:val="en-US" w:eastAsia="zh-CN"/>
        </w:rPr>
        <w:t>采购</w:t>
      </w:r>
      <w:r>
        <w:rPr>
          <w:rFonts w:hint="eastAsia" w:asciiTheme="minorEastAsia" w:hAnsiTheme="minorEastAsia" w:eastAsiaTheme="minorEastAsia" w:cstheme="minorEastAsia"/>
          <w:b/>
          <w:bCs/>
          <w:sz w:val="24"/>
          <w:u w:val="single"/>
        </w:rPr>
        <w:t>文件要求以及</w:t>
      </w:r>
      <w:r>
        <w:rPr>
          <w:rFonts w:hint="eastAsia" w:asciiTheme="minorEastAsia" w:hAnsiTheme="minorEastAsia" w:cstheme="minorEastAsia"/>
          <w:b/>
          <w:bCs/>
          <w:sz w:val="24"/>
          <w:u w:val="single"/>
          <w:lang w:val="en-US" w:eastAsia="zh-CN"/>
        </w:rPr>
        <w:t>响应</w:t>
      </w:r>
      <w:r>
        <w:rPr>
          <w:rFonts w:hint="eastAsia" w:asciiTheme="minorEastAsia" w:hAnsiTheme="minorEastAsia" w:eastAsiaTheme="minorEastAsia" w:cstheme="minorEastAsia"/>
          <w:b/>
          <w:bCs/>
          <w:sz w:val="24"/>
          <w:u w:val="single"/>
        </w:rPr>
        <w:t>承诺对本项目提供全面的、合格的售后服务内容</w:t>
      </w:r>
      <w:r>
        <w:rPr>
          <w:rFonts w:hint="eastAsia" w:asciiTheme="minorEastAsia" w:hAnsiTheme="minorEastAsia" w:eastAsiaTheme="minorEastAsia" w:cstheme="minorEastAsia"/>
          <w:sz w:val="24"/>
        </w:rPr>
        <w:t>。</w:t>
      </w:r>
    </w:p>
    <w:p w14:paraId="534332EB">
      <w:pPr>
        <w:snapToGrid w:val="0"/>
        <w:spacing w:line="360" w:lineRule="auto"/>
        <w:ind w:left="-61" w:firstLine="514"/>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第十条  税费</w:t>
      </w:r>
    </w:p>
    <w:p w14:paraId="6AFB4D1A">
      <w:pPr>
        <w:snapToGrid w:val="0"/>
        <w:spacing w:line="360" w:lineRule="auto"/>
        <w:ind w:left="-61" w:firstLine="514"/>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本合同执行中相关的一切税费均由乙方负担，合</w:t>
      </w:r>
      <w:r>
        <w:rPr>
          <w:rFonts w:hint="eastAsia" w:asciiTheme="minorEastAsia" w:hAnsiTheme="minorEastAsia" w:eastAsiaTheme="minorEastAsia" w:cstheme="minorEastAsia"/>
          <w:color w:val="000000"/>
          <w:sz w:val="24"/>
        </w:rPr>
        <w:t>同另有约定的除外。</w:t>
      </w:r>
    </w:p>
    <w:p w14:paraId="17919A20">
      <w:pPr>
        <w:snapToGrid w:val="0"/>
        <w:spacing w:line="360" w:lineRule="auto"/>
        <w:ind w:left="-61" w:firstLine="514"/>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b/>
          <w:color w:val="000000"/>
          <w:sz w:val="24"/>
        </w:rPr>
        <w:t>第十一条  质量保证及售后服务</w:t>
      </w:r>
    </w:p>
    <w:p w14:paraId="7ABFB0CF">
      <w:pPr>
        <w:pStyle w:val="8"/>
        <w:snapToGrid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Cs/>
          <w:color w:val="000000"/>
          <w:sz w:val="24"/>
          <w:szCs w:val="24"/>
        </w:rPr>
        <w:t>1.</w:t>
      </w:r>
      <w:r>
        <w:rPr>
          <w:rFonts w:hint="eastAsia" w:asciiTheme="minorEastAsia" w:hAnsiTheme="minorEastAsia" w:eastAsiaTheme="minorEastAsia" w:cstheme="minorEastAsia"/>
          <w:color w:val="000000"/>
          <w:sz w:val="24"/>
          <w:szCs w:val="24"/>
        </w:rPr>
        <w:t>乙方应按招标文件规定的产品名称、商标品牌、生产厂家、规格型号、技术参数、质量标准向甲方提供未经使用的全新产品。不符合要求的，根据实际情况，甲方有权按以下办法处理：</w:t>
      </w:r>
    </w:p>
    <w:p w14:paraId="3B4463EE">
      <w:pPr>
        <w:pStyle w:val="8"/>
        <w:snapToGrid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⑴更换：由乙方承担所发生的全部费用。</w:t>
      </w:r>
    </w:p>
    <w:p w14:paraId="63A86280">
      <w:pPr>
        <w:pStyle w:val="8"/>
        <w:snapToGrid w:val="0"/>
        <w:spacing w:line="360" w:lineRule="auto"/>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⑵贬值处理：由甲乙双方合议定价。</w:t>
      </w:r>
    </w:p>
    <w:p w14:paraId="602D9106">
      <w:pPr>
        <w:pStyle w:val="8"/>
        <w:snapToGrid w:val="0"/>
        <w:spacing w:line="360" w:lineRule="auto"/>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⑶退货处理：乙方应退还甲方支付的合同款，同时应承担该货物的直接费用（运输、保险、检验、货款利息及银行手续费等）。</w:t>
      </w:r>
    </w:p>
    <w:p w14:paraId="6AE6F01D">
      <w:pPr>
        <w:pStyle w:val="8"/>
        <w:snapToGrid w:val="0"/>
        <w:spacing w:line="360" w:lineRule="auto"/>
        <w:ind w:firstLine="480" w:firstLineChars="200"/>
        <w:rPr>
          <w:rFonts w:hint="eastAsia" w:asciiTheme="minorEastAsia" w:hAnsiTheme="minorEastAsia" w:eastAsiaTheme="minorEastAsia" w:cstheme="minorEastAsia"/>
          <w:b/>
          <w:bCs/>
          <w:kern w:val="2"/>
          <w:sz w:val="24"/>
          <w:szCs w:val="24"/>
          <w:u w:val="single"/>
        </w:rPr>
      </w:pPr>
      <w:r>
        <w:rPr>
          <w:rFonts w:hint="eastAsia" w:asciiTheme="minorEastAsia" w:hAnsiTheme="minorEastAsia" w:eastAsiaTheme="minorEastAsia" w:cstheme="minorEastAsia"/>
          <w:color w:val="000000"/>
          <w:sz w:val="24"/>
          <w:szCs w:val="24"/>
        </w:rPr>
        <w:t>2.如在使用过程中发生质量问题，</w:t>
      </w:r>
      <w:r>
        <w:rPr>
          <w:rFonts w:hint="eastAsia" w:asciiTheme="minorEastAsia" w:hAnsiTheme="minorEastAsia" w:eastAsiaTheme="minorEastAsia" w:cstheme="minorEastAsia"/>
          <w:b/>
          <w:bCs/>
          <w:kern w:val="2"/>
          <w:sz w:val="24"/>
          <w:szCs w:val="24"/>
          <w:u w:val="single"/>
        </w:rPr>
        <w:t>乙方在接到故障通知后在</w:t>
      </w:r>
      <w:r>
        <w:rPr>
          <w:rFonts w:hint="eastAsia" w:asciiTheme="minorEastAsia" w:hAnsiTheme="minorEastAsia" w:eastAsiaTheme="minorEastAsia" w:cstheme="minorEastAsia"/>
          <w:b/>
          <w:bCs/>
          <w:kern w:val="2"/>
          <w:sz w:val="24"/>
          <w:szCs w:val="24"/>
          <w:u w:val="single"/>
          <w:lang w:val="en-US" w:eastAsia="zh-CN"/>
        </w:rPr>
        <w:t>1</w:t>
      </w:r>
      <w:r>
        <w:rPr>
          <w:rFonts w:hint="eastAsia" w:asciiTheme="minorEastAsia" w:hAnsiTheme="minorEastAsia" w:eastAsiaTheme="minorEastAsia" w:cstheme="minorEastAsia"/>
          <w:b/>
          <w:bCs/>
          <w:kern w:val="2"/>
          <w:sz w:val="24"/>
          <w:szCs w:val="24"/>
          <w:u w:val="single"/>
        </w:rPr>
        <w:t>2小时内到达甲方指定现场；对于故障处理，乙方在质保期内提供免费维</w:t>
      </w:r>
      <w:r>
        <w:rPr>
          <w:rFonts w:hint="eastAsia" w:asciiTheme="minorEastAsia" w:hAnsiTheme="minorEastAsia" w:eastAsiaTheme="minorEastAsia" w:cstheme="minorEastAsia"/>
          <w:b/>
          <w:bCs/>
          <w:kern w:val="2"/>
          <w:sz w:val="24"/>
          <w:szCs w:val="24"/>
          <w:u w:val="single"/>
          <w:lang w:val="en-US" w:eastAsia="zh-CN"/>
        </w:rPr>
        <w:t>修</w:t>
      </w:r>
      <w:r>
        <w:rPr>
          <w:rFonts w:hint="eastAsia" w:asciiTheme="minorEastAsia" w:hAnsiTheme="minorEastAsia" w:eastAsiaTheme="minorEastAsia" w:cstheme="minorEastAsia"/>
          <w:b/>
          <w:bCs/>
          <w:kern w:val="2"/>
          <w:sz w:val="24"/>
          <w:szCs w:val="24"/>
          <w:u w:val="single"/>
        </w:rPr>
        <w:t>服务，24小时无法排除故障时，提供相同型号备用设备，以保证正常使用。</w:t>
      </w:r>
      <w:r>
        <w:rPr>
          <w:rFonts w:hint="eastAsia" w:asciiTheme="minorEastAsia" w:hAnsiTheme="minorEastAsia" w:eastAsiaTheme="minorEastAsia" w:cstheme="minorEastAsia"/>
          <w:sz w:val="24"/>
          <w:szCs w:val="24"/>
          <w:u w:val="single"/>
        </w:rPr>
        <w:t>乙方在接到甲方通知后拒不响应或解决故障的，甲方有权聘请第三方进行维修，由此产生的费用由乙方承担。</w:t>
      </w:r>
    </w:p>
    <w:p w14:paraId="029629B1">
      <w:pPr>
        <w:pStyle w:val="8"/>
        <w:snapToGrid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3.在质保期内，乙方应对货物出现的质量及安全问题负责处理解决并承担一切费用。</w:t>
      </w:r>
    </w:p>
    <w:p w14:paraId="67694C59">
      <w:pPr>
        <w:snapToGrid w:val="0"/>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4.上述的货物质保期为</w:t>
      </w:r>
      <w:r>
        <w:rPr>
          <w:rFonts w:hint="eastAsia" w:asciiTheme="minorEastAsia" w:hAnsiTheme="minorEastAsia" w:eastAsiaTheme="minorEastAsia" w:cstheme="minorEastAsia"/>
          <w:b/>
          <w:bCs/>
          <w:color w:val="000000"/>
          <w:sz w:val="24"/>
          <w:u w:val="single"/>
        </w:rPr>
        <w:t xml:space="preserve"> </w:t>
      </w:r>
      <w:r>
        <w:rPr>
          <w:rFonts w:hint="eastAsia" w:asciiTheme="minorEastAsia" w:hAnsiTheme="minorEastAsia" w:cstheme="minorEastAsia"/>
          <w:b/>
          <w:bCs/>
          <w:color w:val="000000"/>
          <w:sz w:val="24"/>
          <w:u w:val="single"/>
          <w:lang w:val="en-US" w:eastAsia="zh-CN"/>
        </w:rPr>
        <w:t>1</w:t>
      </w:r>
      <w:r>
        <w:rPr>
          <w:rFonts w:hint="eastAsia" w:asciiTheme="minorEastAsia" w:hAnsiTheme="minorEastAsia" w:eastAsiaTheme="minorEastAsia" w:cstheme="minorEastAsia"/>
          <w:b/>
          <w:bCs/>
          <w:color w:val="000000"/>
          <w:sz w:val="24"/>
          <w:u w:val="single"/>
        </w:rPr>
        <w:t xml:space="preserve"> </w:t>
      </w:r>
      <w:r>
        <w:rPr>
          <w:rFonts w:hint="eastAsia" w:asciiTheme="minorEastAsia" w:hAnsiTheme="minorEastAsia" w:eastAsiaTheme="minorEastAsia" w:cstheme="minorEastAsia"/>
          <w:color w:val="000000"/>
          <w:sz w:val="24"/>
        </w:rPr>
        <w:t>年，因人为因素出现的故障不在免费保修范围内。超过保修期的机器设备，终生维修，维修时只收部件成本费。</w:t>
      </w:r>
    </w:p>
    <w:p w14:paraId="1CA3DD20">
      <w:pPr>
        <w:snapToGrid w:val="0"/>
        <w:spacing w:line="360" w:lineRule="auto"/>
        <w:ind w:left="-61" w:firstLine="514"/>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b/>
          <w:color w:val="000000"/>
          <w:sz w:val="24"/>
        </w:rPr>
        <w:t>第十二条  调试和验收（本条款适用于甲方自行验收，委托第三方验收的另行规定）</w:t>
      </w:r>
    </w:p>
    <w:p w14:paraId="3283F4BF">
      <w:pPr>
        <w:pStyle w:val="8"/>
        <w:snapToGrid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00AEB7F3">
      <w:pPr>
        <w:pStyle w:val="8"/>
        <w:snapToGrid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2.乙方交货前应对产品作出全面检查和对验收文件进行整理，并列出清单，作为甲方收货验收和使用的技术条件依据，检验的结果应随货物交甲方。</w:t>
      </w:r>
    </w:p>
    <w:p w14:paraId="4066BBB4">
      <w:pPr>
        <w:pStyle w:val="8"/>
        <w:snapToGrid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3.甲方对乙方提供的货物在使用前进行调试时，乙方需负责安装并培训甲方的使用操作人员，并协助甲方一起调试，直到符合技术要求，甲方才做最终验收。</w:t>
      </w:r>
    </w:p>
    <w:p w14:paraId="310C9DF5">
      <w:pPr>
        <w:pStyle w:val="8"/>
        <w:snapToGrid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4.对技术复杂的货物，甲方可请国家认可的专业检测机构参与初步验收及最终验收，并由其出具质量检测报告。</w:t>
      </w:r>
    </w:p>
    <w:p w14:paraId="435EF334">
      <w:pPr>
        <w:snapToGrid w:val="0"/>
        <w:spacing w:line="360" w:lineRule="auto"/>
        <w:ind w:left="-61" w:firstLine="514"/>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5.验收时乙方必须在现场，验收完毕后作出验收结果报告；验收费用按招标文件约定承担方负责。</w:t>
      </w:r>
    </w:p>
    <w:p w14:paraId="1A5CD2D6">
      <w:pPr>
        <w:pStyle w:val="8"/>
        <w:snapToGrid w:val="0"/>
        <w:spacing w:line="360" w:lineRule="auto"/>
        <w:ind w:firstLine="472" w:firstLineChars="196"/>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第十三条  货物包装、发运及运输</w:t>
      </w:r>
    </w:p>
    <w:p w14:paraId="4BB99F43">
      <w:pPr>
        <w:pStyle w:val="8"/>
        <w:snapToGrid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1.乙方应在货物发运前对其进行满足运输距离、防潮、防震、防锈和防破损装卸等要求包装，以保证货物安全运达甲方指定地点。</w:t>
      </w:r>
    </w:p>
    <w:p w14:paraId="0F504602">
      <w:pPr>
        <w:pStyle w:val="8"/>
        <w:snapToGrid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2.使用说明书（货物属于进口产品的，供货时应同时附上中文使用说明书）、质量检验证明书、随配附件和工具以及清单一并附于货物内。</w:t>
      </w:r>
    </w:p>
    <w:p w14:paraId="12402D26">
      <w:pPr>
        <w:pStyle w:val="8"/>
        <w:snapToGrid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3.乙方在货物发运手续办理完毕后24小时内或者货到甲方48小时前通知甲方，以准备接货。</w:t>
      </w:r>
    </w:p>
    <w:p w14:paraId="59533985">
      <w:pPr>
        <w:pStyle w:val="8"/>
        <w:snapToGrid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4.货物在交付甲方前发生的风险均由乙方负责。</w:t>
      </w:r>
    </w:p>
    <w:p w14:paraId="6E6BD320">
      <w:pPr>
        <w:pStyle w:val="8"/>
        <w:snapToGrid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5.货物在规定的交付期限内由乙方送达甲方指定的地点视为交付，乙方同时需通知甲方货物已送达。</w:t>
      </w:r>
    </w:p>
    <w:p w14:paraId="47EB1B11">
      <w:pPr>
        <w:suppressAutoHyphens/>
        <w:snapToGrid w:val="0"/>
        <w:spacing w:line="360" w:lineRule="exact"/>
        <w:ind w:firstLine="482" w:firstLineChars="200"/>
        <w:rPr>
          <w:rFonts w:hint="eastAsia" w:asciiTheme="minorEastAsia" w:hAnsiTheme="minorEastAsia" w:eastAsiaTheme="minorEastAsia" w:cstheme="minorEastAsia"/>
          <w:b/>
          <w:color w:val="000000"/>
          <w:sz w:val="24"/>
          <w:lang w:val="en-US" w:eastAsia="zh-CN"/>
        </w:rPr>
      </w:pPr>
      <w:r>
        <w:rPr>
          <w:rFonts w:hint="eastAsia" w:asciiTheme="minorEastAsia" w:hAnsiTheme="minorEastAsia" w:eastAsiaTheme="minorEastAsia" w:cstheme="minorEastAsia"/>
          <w:b/>
          <w:color w:val="000000"/>
          <w:sz w:val="24"/>
        </w:rPr>
        <w:t>第十四条</w:t>
      </w:r>
      <w:r>
        <w:rPr>
          <w:rFonts w:hint="eastAsia" w:asciiTheme="minorEastAsia" w:hAnsiTheme="minorEastAsia" w:eastAsiaTheme="minorEastAsia" w:cstheme="minorEastAsia"/>
          <w:b/>
          <w:color w:val="000000"/>
          <w:sz w:val="24"/>
          <w:lang w:val="en-US" w:eastAsia="zh-CN"/>
        </w:rPr>
        <w:t xml:space="preserve">  违约责任</w:t>
      </w:r>
    </w:p>
    <w:p w14:paraId="641B9676">
      <w:pPr>
        <w:suppressAutoHyphens/>
        <w:snapToGrid w:val="0"/>
        <w:spacing w:line="360" w:lineRule="exact"/>
        <w:ind w:firstLine="480" w:firstLineChars="20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lang w:val="en-US" w:eastAsia="zh-CN"/>
        </w:rPr>
        <w:t xml:space="preserve">1. </w:t>
      </w:r>
      <w:r>
        <w:rPr>
          <w:rFonts w:hint="eastAsia" w:asciiTheme="minorEastAsia" w:hAnsiTheme="minorEastAsia" w:eastAsiaTheme="minorEastAsia" w:cstheme="minorEastAsia"/>
          <w:kern w:val="1"/>
          <w:sz w:val="24"/>
          <w:szCs w:val="24"/>
          <w:lang w:eastAsia="ar-SA"/>
        </w:rPr>
        <w:t>乙方所提供的货物规格、技术标准、材料</w:t>
      </w:r>
      <w:r>
        <w:rPr>
          <w:rFonts w:hint="eastAsia" w:asciiTheme="minorEastAsia" w:hAnsiTheme="minorEastAsia" w:eastAsiaTheme="minorEastAsia" w:cstheme="minorEastAsia"/>
          <w:kern w:val="1"/>
          <w:sz w:val="24"/>
          <w:szCs w:val="24"/>
        </w:rPr>
        <w:t>、品牌</w:t>
      </w:r>
      <w:r>
        <w:rPr>
          <w:rFonts w:hint="eastAsia" w:asciiTheme="minorEastAsia" w:hAnsiTheme="minorEastAsia" w:eastAsiaTheme="minorEastAsia" w:cstheme="minorEastAsia"/>
          <w:kern w:val="1"/>
          <w:sz w:val="24"/>
          <w:szCs w:val="24"/>
          <w:lang w:eastAsia="ar-SA"/>
        </w:rPr>
        <w:t>等</w:t>
      </w:r>
      <w:r>
        <w:rPr>
          <w:rFonts w:hint="eastAsia" w:asciiTheme="minorEastAsia" w:hAnsiTheme="minorEastAsia" w:eastAsiaTheme="minorEastAsia" w:cstheme="minorEastAsia"/>
          <w:kern w:val="1"/>
          <w:sz w:val="24"/>
          <w:szCs w:val="24"/>
        </w:rPr>
        <w:t>不符合采购文件</w:t>
      </w:r>
      <w:r>
        <w:rPr>
          <w:rFonts w:hint="eastAsia" w:asciiTheme="minorEastAsia" w:hAnsiTheme="minorEastAsia" w:eastAsiaTheme="minorEastAsia" w:cstheme="minorEastAsia"/>
          <w:kern w:val="1"/>
          <w:sz w:val="24"/>
          <w:szCs w:val="24"/>
          <w:lang w:eastAsia="ar-SA"/>
        </w:rPr>
        <w:t>、响应文件</w:t>
      </w:r>
      <w:r>
        <w:rPr>
          <w:rFonts w:hint="eastAsia" w:asciiTheme="minorEastAsia" w:hAnsiTheme="minorEastAsia" w:eastAsiaTheme="minorEastAsia" w:cstheme="minorEastAsia"/>
          <w:kern w:val="1"/>
          <w:sz w:val="24"/>
          <w:szCs w:val="24"/>
        </w:rPr>
        <w:t>、</w:t>
      </w:r>
      <w:r>
        <w:rPr>
          <w:rFonts w:hint="eastAsia" w:asciiTheme="minorEastAsia" w:hAnsiTheme="minorEastAsia" w:eastAsiaTheme="minorEastAsia" w:cstheme="minorEastAsia"/>
          <w:kern w:val="1"/>
          <w:sz w:val="24"/>
          <w:szCs w:val="24"/>
          <w:lang w:eastAsia="ar-SA"/>
        </w:rPr>
        <w:t>国家</w:t>
      </w:r>
      <w:r>
        <w:rPr>
          <w:rFonts w:hint="eastAsia" w:asciiTheme="minorEastAsia" w:hAnsiTheme="minorEastAsia" w:eastAsiaTheme="minorEastAsia" w:cstheme="minorEastAsia"/>
          <w:kern w:val="1"/>
          <w:sz w:val="24"/>
          <w:szCs w:val="24"/>
        </w:rPr>
        <w:t>质量标准</w:t>
      </w:r>
      <w:r>
        <w:rPr>
          <w:rFonts w:hint="eastAsia" w:asciiTheme="minorEastAsia" w:hAnsiTheme="minorEastAsia" w:eastAsiaTheme="minorEastAsia" w:cstheme="minorEastAsia"/>
          <w:kern w:val="1"/>
          <w:sz w:val="24"/>
          <w:szCs w:val="24"/>
          <w:lang w:eastAsia="ar-SA"/>
        </w:rPr>
        <w:t>、行业质量标准的，应在15 个工作日内更换，换货期间计入乙方交货时间，</w:t>
      </w:r>
      <w:r>
        <w:rPr>
          <w:rFonts w:hint="eastAsia" w:asciiTheme="minorEastAsia" w:hAnsiTheme="minorEastAsia" w:eastAsiaTheme="minorEastAsia" w:cstheme="minorEastAsia"/>
          <w:kern w:val="1"/>
          <w:sz w:val="24"/>
          <w:szCs w:val="24"/>
        </w:rPr>
        <w:t>如因换货导致</w:t>
      </w:r>
      <w:r>
        <w:rPr>
          <w:rFonts w:hint="eastAsia" w:asciiTheme="minorEastAsia" w:hAnsiTheme="minorEastAsia" w:eastAsiaTheme="minorEastAsia" w:cstheme="minorEastAsia"/>
          <w:kern w:val="1"/>
          <w:sz w:val="24"/>
          <w:szCs w:val="24"/>
          <w:lang w:eastAsia="ar-SA"/>
        </w:rPr>
        <w:t>逾期交货的</w:t>
      </w:r>
      <w:r>
        <w:rPr>
          <w:rFonts w:hint="eastAsia" w:asciiTheme="minorEastAsia" w:hAnsiTheme="minorEastAsia" w:eastAsiaTheme="minorEastAsia" w:cstheme="minorEastAsia"/>
          <w:kern w:val="1"/>
          <w:sz w:val="24"/>
          <w:szCs w:val="24"/>
        </w:rPr>
        <w:t>，</w:t>
      </w:r>
      <w:r>
        <w:rPr>
          <w:rFonts w:hint="eastAsia" w:asciiTheme="minorEastAsia" w:hAnsiTheme="minorEastAsia" w:eastAsiaTheme="minorEastAsia" w:cstheme="minorEastAsia"/>
          <w:kern w:val="1"/>
          <w:sz w:val="24"/>
          <w:szCs w:val="24"/>
          <w:lang w:eastAsia="ar-SA"/>
        </w:rPr>
        <w:t>乙方应承担相应违约责任。乙方拒绝更换或更换货物后仍不符合本合同约定的，该货物的价款不计入结算金额</w:t>
      </w:r>
      <w:r>
        <w:rPr>
          <w:rFonts w:hint="eastAsia" w:asciiTheme="minorEastAsia" w:hAnsiTheme="minorEastAsia" w:eastAsiaTheme="minorEastAsia" w:cstheme="minorEastAsia"/>
          <w:kern w:val="1"/>
          <w:sz w:val="24"/>
          <w:szCs w:val="24"/>
        </w:rPr>
        <w:t>（或从合同合计金额中扣除）</w:t>
      </w:r>
      <w:r>
        <w:rPr>
          <w:rFonts w:hint="eastAsia" w:asciiTheme="minorEastAsia" w:hAnsiTheme="minorEastAsia" w:eastAsiaTheme="minorEastAsia" w:cstheme="minorEastAsia"/>
          <w:kern w:val="1"/>
          <w:sz w:val="24"/>
          <w:szCs w:val="24"/>
          <w:lang w:eastAsia="ar-SA"/>
        </w:rPr>
        <w:t>，且乙方应按合同合计金额的</w:t>
      </w:r>
      <w:r>
        <w:rPr>
          <w:rFonts w:hint="eastAsia" w:asciiTheme="minorEastAsia" w:hAnsiTheme="minorEastAsia" w:eastAsiaTheme="minorEastAsia" w:cstheme="minorEastAsia"/>
          <w:kern w:val="1"/>
          <w:sz w:val="24"/>
          <w:szCs w:val="24"/>
        </w:rPr>
        <w:t>3</w:t>
      </w:r>
      <w:r>
        <w:rPr>
          <w:rFonts w:hint="eastAsia" w:asciiTheme="minorEastAsia" w:hAnsiTheme="minorEastAsia" w:eastAsiaTheme="minorEastAsia" w:cstheme="minorEastAsia"/>
          <w:kern w:val="1"/>
          <w:sz w:val="24"/>
          <w:szCs w:val="24"/>
          <w:lang w:eastAsia="ar-SA"/>
        </w:rPr>
        <w:t>0%向甲方支付违约金</w:t>
      </w:r>
      <w:r>
        <w:rPr>
          <w:rFonts w:hint="eastAsia" w:asciiTheme="minorEastAsia" w:hAnsiTheme="minorEastAsia" w:eastAsiaTheme="minorEastAsia" w:cstheme="minorEastAsia"/>
          <w:kern w:val="1"/>
          <w:sz w:val="24"/>
          <w:szCs w:val="24"/>
        </w:rPr>
        <w:t>；</w:t>
      </w:r>
      <w:r>
        <w:rPr>
          <w:rFonts w:hint="eastAsia" w:asciiTheme="minorEastAsia" w:hAnsiTheme="minorEastAsia" w:eastAsiaTheme="minorEastAsia" w:cstheme="minorEastAsia"/>
          <w:kern w:val="1"/>
          <w:sz w:val="24"/>
          <w:szCs w:val="24"/>
          <w:lang w:eastAsia="ar-SA"/>
        </w:rPr>
        <w:t>乙方所提供的货物仅存在不影响使用的质量瑕疵且特殊情况下甲方同意接收的，乙方应向甲方支付违约货款额</w:t>
      </w:r>
      <w:r>
        <w:rPr>
          <w:rFonts w:hint="eastAsia" w:asciiTheme="minorEastAsia" w:hAnsiTheme="minorEastAsia" w:eastAsiaTheme="minorEastAsia" w:cstheme="minorEastAsia"/>
          <w:kern w:val="1"/>
          <w:sz w:val="24"/>
          <w:szCs w:val="24"/>
          <w:u w:val="single"/>
          <w:lang w:eastAsia="ar-SA"/>
        </w:rPr>
        <w:t>5%</w:t>
      </w:r>
      <w:r>
        <w:rPr>
          <w:rFonts w:hint="eastAsia" w:asciiTheme="minorEastAsia" w:hAnsiTheme="minorEastAsia" w:eastAsiaTheme="minorEastAsia" w:cstheme="minorEastAsia"/>
          <w:kern w:val="1"/>
          <w:sz w:val="24"/>
          <w:szCs w:val="24"/>
        </w:rPr>
        <w:t>的</w:t>
      </w:r>
      <w:r>
        <w:rPr>
          <w:rFonts w:hint="eastAsia" w:asciiTheme="minorEastAsia" w:hAnsiTheme="minorEastAsia" w:eastAsiaTheme="minorEastAsia" w:cstheme="minorEastAsia"/>
          <w:kern w:val="1"/>
          <w:sz w:val="24"/>
          <w:szCs w:val="24"/>
          <w:lang w:eastAsia="ar-SA"/>
        </w:rPr>
        <w:t>违约金。</w:t>
      </w:r>
    </w:p>
    <w:p w14:paraId="4DC7F222">
      <w:pPr>
        <w:suppressAutoHyphens/>
        <w:snapToGrid w:val="0"/>
        <w:spacing w:line="360" w:lineRule="exact"/>
        <w:ind w:firstLine="480" w:firstLineChars="20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lang w:eastAsia="ar-SA"/>
        </w:rPr>
        <w:t>2.乙方提供的货物如侵犯了第三方合法权益（包括但不限于知识产权、所有权、用益权物、担保物权等）而引发的任何纠纷或诉讼，均由乙方负责交涉并承担全部责任。在处理纠纷或诉讼的过程中，乙方应为甲方取得继续使用该</w:t>
      </w:r>
      <w:r>
        <w:rPr>
          <w:rFonts w:hint="eastAsia" w:asciiTheme="minorEastAsia" w:hAnsiTheme="minorEastAsia" w:eastAsiaTheme="minorEastAsia" w:cstheme="minorEastAsia"/>
          <w:kern w:val="1"/>
          <w:sz w:val="24"/>
          <w:szCs w:val="24"/>
        </w:rPr>
        <w:t>货物</w:t>
      </w:r>
      <w:r>
        <w:rPr>
          <w:rFonts w:hint="eastAsia" w:asciiTheme="minorEastAsia" w:hAnsiTheme="minorEastAsia" w:eastAsiaTheme="minorEastAsia" w:cstheme="minorEastAsia"/>
          <w:kern w:val="1"/>
          <w:sz w:val="24"/>
          <w:szCs w:val="24"/>
          <w:lang w:eastAsia="ar-SA"/>
        </w:rPr>
        <w:t>的权利，或者将该</w:t>
      </w:r>
      <w:r>
        <w:rPr>
          <w:rFonts w:hint="eastAsia" w:asciiTheme="minorEastAsia" w:hAnsiTheme="minorEastAsia" w:eastAsiaTheme="minorEastAsia" w:cstheme="minorEastAsia"/>
          <w:kern w:val="1"/>
          <w:sz w:val="24"/>
          <w:szCs w:val="24"/>
        </w:rPr>
        <w:t>货物</w:t>
      </w:r>
      <w:r>
        <w:rPr>
          <w:rFonts w:hint="eastAsia" w:asciiTheme="minorEastAsia" w:hAnsiTheme="minorEastAsia" w:eastAsiaTheme="minorEastAsia" w:cstheme="minorEastAsia"/>
          <w:kern w:val="1"/>
          <w:sz w:val="24"/>
          <w:szCs w:val="24"/>
          <w:lang w:eastAsia="ar-SA"/>
        </w:rPr>
        <w:t>替换或修改，以便使用该</w:t>
      </w:r>
      <w:r>
        <w:rPr>
          <w:rFonts w:hint="eastAsia" w:asciiTheme="minorEastAsia" w:hAnsiTheme="minorEastAsia" w:eastAsiaTheme="minorEastAsia" w:cstheme="minorEastAsia"/>
          <w:kern w:val="1"/>
          <w:sz w:val="24"/>
          <w:szCs w:val="24"/>
        </w:rPr>
        <w:t>货物</w:t>
      </w:r>
      <w:r>
        <w:rPr>
          <w:rFonts w:hint="eastAsia" w:asciiTheme="minorEastAsia" w:hAnsiTheme="minorEastAsia" w:eastAsiaTheme="minorEastAsia" w:cstheme="minorEastAsia"/>
          <w:kern w:val="1"/>
          <w:sz w:val="24"/>
          <w:szCs w:val="24"/>
          <w:lang w:eastAsia="ar-SA"/>
        </w:rPr>
        <w:t>不再侵权。如果乙方不能合理地完成这些补救措施，并且甲方必须停止使用侵权的</w:t>
      </w:r>
      <w:r>
        <w:rPr>
          <w:rFonts w:hint="eastAsia" w:asciiTheme="minorEastAsia" w:hAnsiTheme="minorEastAsia" w:eastAsiaTheme="minorEastAsia" w:cstheme="minorEastAsia"/>
          <w:kern w:val="1"/>
          <w:sz w:val="24"/>
          <w:szCs w:val="24"/>
        </w:rPr>
        <w:t>货物</w:t>
      </w:r>
      <w:r>
        <w:rPr>
          <w:rFonts w:hint="eastAsia" w:asciiTheme="minorEastAsia" w:hAnsiTheme="minorEastAsia" w:eastAsiaTheme="minorEastAsia" w:cstheme="minorEastAsia"/>
          <w:kern w:val="1"/>
          <w:sz w:val="24"/>
          <w:szCs w:val="24"/>
          <w:lang w:eastAsia="ar-SA"/>
        </w:rPr>
        <w:t>，甲方有权解除合同，要求乙方需退还甲方已付价款，没收</w:t>
      </w:r>
      <w:r>
        <w:rPr>
          <w:rFonts w:hint="eastAsia" w:asciiTheme="minorEastAsia" w:hAnsiTheme="minorEastAsia" w:eastAsiaTheme="minorEastAsia" w:cstheme="minorEastAsia"/>
          <w:kern w:val="1"/>
          <w:sz w:val="24"/>
          <w:szCs w:val="24"/>
        </w:rPr>
        <w:t>履约</w:t>
      </w:r>
      <w:r>
        <w:rPr>
          <w:rFonts w:hint="eastAsia" w:asciiTheme="minorEastAsia" w:hAnsiTheme="minorEastAsia" w:eastAsiaTheme="minorEastAsia" w:cstheme="minorEastAsia"/>
          <w:kern w:val="1"/>
          <w:sz w:val="24"/>
          <w:szCs w:val="24"/>
          <w:lang w:eastAsia="ar-SA"/>
        </w:rPr>
        <w:t>保证金，并有权要求</w:t>
      </w:r>
      <w:r>
        <w:rPr>
          <w:rFonts w:hint="eastAsia" w:asciiTheme="minorEastAsia" w:hAnsiTheme="minorEastAsia" w:eastAsiaTheme="minorEastAsia" w:cstheme="minorEastAsia"/>
          <w:kern w:val="1"/>
          <w:sz w:val="24"/>
          <w:szCs w:val="24"/>
        </w:rPr>
        <w:t>乙方</w:t>
      </w:r>
      <w:r>
        <w:rPr>
          <w:rFonts w:hint="eastAsia" w:asciiTheme="minorEastAsia" w:hAnsiTheme="minorEastAsia" w:eastAsiaTheme="minorEastAsia" w:cstheme="minorEastAsia"/>
          <w:kern w:val="1"/>
          <w:sz w:val="24"/>
          <w:szCs w:val="24"/>
          <w:lang w:eastAsia="ar-SA"/>
        </w:rPr>
        <w:t>按合同合计金额</w:t>
      </w:r>
      <w:r>
        <w:rPr>
          <w:rFonts w:hint="eastAsia" w:asciiTheme="minorEastAsia" w:hAnsiTheme="minorEastAsia" w:eastAsiaTheme="minorEastAsia" w:cstheme="minorEastAsia"/>
          <w:kern w:val="1"/>
          <w:sz w:val="24"/>
          <w:szCs w:val="24"/>
        </w:rPr>
        <w:t>的</w:t>
      </w:r>
      <w:r>
        <w:rPr>
          <w:rFonts w:hint="eastAsia" w:asciiTheme="minorEastAsia" w:hAnsiTheme="minorEastAsia" w:eastAsiaTheme="minorEastAsia" w:cstheme="minorEastAsia"/>
          <w:kern w:val="1"/>
          <w:sz w:val="24"/>
          <w:szCs w:val="24"/>
          <w:lang w:eastAsia="ar-SA"/>
        </w:rPr>
        <w:t xml:space="preserve">30% </w:t>
      </w:r>
      <w:r>
        <w:rPr>
          <w:rFonts w:hint="eastAsia" w:asciiTheme="minorEastAsia" w:hAnsiTheme="minorEastAsia" w:eastAsiaTheme="minorEastAsia" w:cstheme="minorEastAsia"/>
          <w:kern w:val="1"/>
          <w:sz w:val="24"/>
          <w:szCs w:val="24"/>
        </w:rPr>
        <w:t>支付违约金</w:t>
      </w:r>
      <w:r>
        <w:rPr>
          <w:rFonts w:hint="eastAsia" w:asciiTheme="minorEastAsia" w:hAnsiTheme="minorEastAsia" w:eastAsiaTheme="minorEastAsia" w:cstheme="minorEastAsia"/>
          <w:kern w:val="1"/>
          <w:sz w:val="24"/>
          <w:szCs w:val="24"/>
          <w:lang w:eastAsia="ar-SA"/>
        </w:rPr>
        <w:t>。</w:t>
      </w:r>
    </w:p>
    <w:p w14:paraId="2BA6CE41">
      <w:pPr>
        <w:suppressAutoHyphens/>
        <w:snapToGrid w:val="0"/>
        <w:spacing w:line="360" w:lineRule="exact"/>
        <w:ind w:firstLine="480" w:firstLineChars="20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lang w:eastAsia="ar-SA"/>
        </w:rPr>
        <w:t>3.因包装、运输引起的货物损坏，</w:t>
      </w:r>
      <w:r>
        <w:rPr>
          <w:rFonts w:hint="eastAsia" w:asciiTheme="minorEastAsia" w:hAnsiTheme="minorEastAsia" w:eastAsiaTheme="minorEastAsia" w:cstheme="minorEastAsia"/>
          <w:kern w:val="1"/>
          <w:sz w:val="24"/>
          <w:szCs w:val="24"/>
          <w:lang w:eastAsia="zh-Hans"/>
        </w:rPr>
        <w:t>甲方有权选择不予接收或</w:t>
      </w:r>
      <w:r>
        <w:rPr>
          <w:rFonts w:hint="eastAsia" w:asciiTheme="minorEastAsia" w:hAnsiTheme="minorEastAsia" w:eastAsiaTheme="minorEastAsia" w:cstheme="minorEastAsia"/>
          <w:kern w:val="1"/>
          <w:sz w:val="24"/>
          <w:szCs w:val="24"/>
          <w:lang w:eastAsia="ar-SA"/>
        </w:rPr>
        <w:t>按质量不合格</w:t>
      </w:r>
      <w:r>
        <w:rPr>
          <w:rFonts w:hint="eastAsia" w:asciiTheme="minorEastAsia" w:hAnsiTheme="minorEastAsia" w:eastAsiaTheme="minorEastAsia" w:cstheme="minorEastAsia"/>
          <w:kern w:val="1"/>
          <w:sz w:val="24"/>
          <w:szCs w:val="24"/>
        </w:rPr>
        <w:t>要求乙方承担相应违约责任</w:t>
      </w:r>
      <w:r>
        <w:rPr>
          <w:rFonts w:hint="eastAsia" w:asciiTheme="minorEastAsia" w:hAnsiTheme="minorEastAsia" w:eastAsiaTheme="minorEastAsia" w:cstheme="minorEastAsia"/>
          <w:kern w:val="1"/>
          <w:sz w:val="24"/>
          <w:szCs w:val="24"/>
          <w:lang w:eastAsia="ar-SA"/>
        </w:rPr>
        <w:t>。</w:t>
      </w:r>
    </w:p>
    <w:p w14:paraId="20873DCA">
      <w:pPr>
        <w:suppressAutoHyphens/>
        <w:snapToGrid w:val="0"/>
        <w:spacing w:line="360" w:lineRule="exact"/>
        <w:ind w:firstLine="480" w:firstLineChars="20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lang w:eastAsia="ar-SA"/>
        </w:rPr>
        <w:t>4.甲方无故延期接收货物</w:t>
      </w:r>
      <w:r>
        <w:rPr>
          <w:rFonts w:hint="eastAsia" w:asciiTheme="minorEastAsia" w:hAnsiTheme="minorEastAsia" w:eastAsiaTheme="minorEastAsia" w:cstheme="minorEastAsia"/>
          <w:kern w:val="1"/>
          <w:sz w:val="24"/>
          <w:szCs w:val="24"/>
        </w:rPr>
        <w:t>的</w:t>
      </w:r>
      <w:r>
        <w:rPr>
          <w:rFonts w:hint="eastAsia" w:asciiTheme="minorEastAsia" w:hAnsiTheme="minorEastAsia" w:eastAsiaTheme="minorEastAsia" w:cstheme="minorEastAsia"/>
          <w:sz w:val="24"/>
          <w:szCs w:val="24"/>
        </w:rPr>
        <w:t>，需补偿乙方因此增加的直接成本。</w:t>
      </w:r>
      <w:r>
        <w:rPr>
          <w:rFonts w:hint="eastAsia" w:asciiTheme="minorEastAsia" w:hAnsiTheme="minorEastAsia" w:eastAsiaTheme="minorEastAsia" w:cstheme="minorEastAsia"/>
          <w:kern w:val="1"/>
          <w:sz w:val="24"/>
          <w:szCs w:val="24"/>
          <w:lang w:eastAsia="ar-SA"/>
        </w:rPr>
        <w:t>乙方逾期交货的，每天向</w:t>
      </w:r>
      <w:r>
        <w:rPr>
          <w:rFonts w:hint="eastAsia" w:asciiTheme="minorEastAsia" w:hAnsiTheme="minorEastAsia" w:eastAsiaTheme="minorEastAsia" w:cstheme="minorEastAsia"/>
          <w:kern w:val="1"/>
          <w:sz w:val="24"/>
          <w:szCs w:val="24"/>
        </w:rPr>
        <w:t>甲</w:t>
      </w:r>
      <w:r>
        <w:rPr>
          <w:rFonts w:hint="eastAsia" w:asciiTheme="minorEastAsia" w:hAnsiTheme="minorEastAsia" w:eastAsiaTheme="minorEastAsia" w:cstheme="minorEastAsia"/>
          <w:kern w:val="1"/>
          <w:sz w:val="24"/>
          <w:szCs w:val="24"/>
          <w:lang w:eastAsia="ar-SA"/>
        </w:rPr>
        <w:t>方偿付违约货款额</w:t>
      </w:r>
      <w:r>
        <w:rPr>
          <w:rFonts w:hint="eastAsia" w:asciiTheme="minorEastAsia" w:hAnsiTheme="minorEastAsia" w:eastAsiaTheme="minorEastAsia" w:cstheme="minorEastAsia"/>
          <w:kern w:val="1"/>
          <w:sz w:val="24"/>
          <w:szCs w:val="24"/>
        </w:rPr>
        <w:t>0.4</w:t>
      </w:r>
      <w:r>
        <w:rPr>
          <w:rFonts w:hint="eastAsia" w:asciiTheme="minorEastAsia" w:hAnsiTheme="minorEastAsia" w:eastAsiaTheme="minorEastAsia" w:cstheme="minorEastAsia"/>
          <w:kern w:val="1"/>
          <w:sz w:val="24"/>
          <w:szCs w:val="24"/>
          <w:lang w:eastAsia="ar-SA"/>
        </w:rPr>
        <w:t>‰</w:t>
      </w:r>
      <w:r>
        <w:rPr>
          <w:rFonts w:hint="eastAsia" w:asciiTheme="minorEastAsia" w:hAnsiTheme="minorEastAsia" w:eastAsiaTheme="minorEastAsia" w:cstheme="minorEastAsia"/>
          <w:kern w:val="1"/>
          <w:sz w:val="24"/>
          <w:szCs w:val="24"/>
        </w:rPr>
        <w:t>的</w:t>
      </w:r>
      <w:r>
        <w:rPr>
          <w:rFonts w:hint="eastAsia" w:asciiTheme="minorEastAsia" w:hAnsiTheme="minorEastAsia" w:eastAsiaTheme="minorEastAsia" w:cstheme="minorEastAsia"/>
          <w:kern w:val="1"/>
          <w:sz w:val="24"/>
          <w:szCs w:val="24"/>
          <w:lang w:eastAsia="ar-SA"/>
        </w:rPr>
        <w:t>违约金，超过</w:t>
      </w:r>
      <w:r>
        <w:rPr>
          <w:rFonts w:hint="eastAsia" w:asciiTheme="minorEastAsia" w:hAnsiTheme="minorEastAsia" w:eastAsiaTheme="minorEastAsia" w:cstheme="minorEastAsia"/>
          <w:kern w:val="1"/>
          <w:sz w:val="24"/>
          <w:szCs w:val="24"/>
          <w:u w:val="single"/>
          <w:lang w:eastAsia="ar-SA"/>
        </w:rPr>
        <w:t>30</w:t>
      </w:r>
      <w:r>
        <w:rPr>
          <w:rFonts w:hint="eastAsia" w:asciiTheme="minorEastAsia" w:hAnsiTheme="minorEastAsia" w:eastAsiaTheme="minorEastAsia" w:cstheme="minorEastAsia"/>
          <w:kern w:val="1"/>
          <w:sz w:val="24"/>
          <w:szCs w:val="24"/>
          <w:lang w:eastAsia="ar-SA"/>
        </w:rPr>
        <w:t>天</w:t>
      </w:r>
      <w:r>
        <w:rPr>
          <w:rFonts w:hint="eastAsia" w:asciiTheme="minorEastAsia" w:hAnsiTheme="minorEastAsia" w:eastAsiaTheme="minorEastAsia" w:cstheme="minorEastAsia"/>
          <w:kern w:val="1"/>
          <w:sz w:val="24"/>
          <w:szCs w:val="24"/>
        </w:rPr>
        <w:t>甲</w:t>
      </w:r>
      <w:r>
        <w:rPr>
          <w:rFonts w:hint="eastAsia" w:asciiTheme="minorEastAsia" w:hAnsiTheme="minorEastAsia" w:eastAsiaTheme="minorEastAsia" w:cstheme="minorEastAsia"/>
          <w:kern w:val="1"/>
          <w:sz w:val="24"/>
          <w:szCs w:val="24"/>
          <w:lang w:eastAsia="ar-SA"/>
        </w:rPr>
        <w:t>方有权解除合同；甲方延期</w:t>
      </w:r>
      <w:r>
        <w:rPr>
          <w:rFonts w:hint="eastAsia" w:asciiTheme="minorEastAsia" w:hAnsiTheme="minorEastAsia" w:eastAsiaTheme="minorEastAsia" w:cstheme="minorEastAsia"/>
          <w:kern w:val="1"/>
          <w:sz w:val="24"/>
          <w:szCs w:val="24"/>
        </w:rPr>
        <w:t>支付</w:t>
      </w:r>
      <w:r>
        <w:rPr>
          <w:rFonts w:hint="eastAsia" w:asciiTheme="minorEastAsia" w:hAnsiTheme="minorEastAsia" w:eastAsiaTheme="minorEastAsia" w:cstheme="minorEastAsia"/>
          <w:kern w:val="1"/>
          <w:sz w:val="24"/>
          <w:szCs w:val="24"/>
          <w:lang w:eastAsia="ar-SA"/>
        </w:rPr>
        <w:t>货款的，每天向乙方偿付延期货款额</w:t>
      </w:r>
      <w:r>
        <w:rPr>
          <w:rFonts w:hint="eastAsia" w:asciiTheme="minorEastAsia" w:hAnsiTheme="minorEastAsia" w:eastAsiaTheme="minorEastAsia" w:cstheme="minorEastAsia"/>
          <w:kern w:val="1"/>
          <w:sz w:val="24"/>
          <w:szCs w:val="24"/>
          <w:u w:val="single"/>
        </w:rPr>
        <w:t>0.1</w:t>
      </w:r>
      <w:r>
        <w:rPr>
          <w:rFonts w:hint="eastAsia" w:asciiTheme="minorEastAsia" w:hAnsiTheme="minorEastAsia" w:eastAsiaTheme="minorEastAsia" w:cstheme="minorEastAsia"/>
          <w:kern w:val="1"/>
          <w:sz w:val="24"/>
          <w:szCs w:val="24"/>
          <w:u w:val="single"/>
          <w:lang w:eastAsia="ar-SA"/>
        </w:rPr>
        <w:t xml:space="preserve">‰ </w:t>
      </w:r>
      <w:bookmarkStart w:id="5" w:name="_Hlk148991641"/>
      <w:r>
        <w:rPr>
          <w:rFonts w:hint="eastAsia" w:asciiTheme="minorEastAsia" w:hAnsiTheme="minorEastAsia" w:eastAsiaTheme="minorEastAsia" w:cstheme="minorEastAsia"/>
          <w:kern w:val="1"/>
          <w:sz w:val="24"/>
          <w:szCs w:val="24"/>
          <w:lang w:eastAsia="ar-SA"/>
        </w:rPr>
        <w:t>迟延履行金</w:t>
      </w:r>
      <w:bookmarkEnd w:id="5"/>
      <w:r>
        <w:rPr>
          <w:rFonts w:hint="eastAsia" w:asciiTheme="minorEastAsia" w:hAnsiTheme="minorEastAsia" w:eastAsiaTheme="minorEastAsia" w:cstheme="minorEastAsia"/>
          <w:kern w:val="1"/>
          <w:sz w:val="24"/>
          <w:szCs w:val="24"/>
          <w:lang w:eastAsia="ar-SA"/>
        </w:rPr>
        <w:t>，但迟延履行金累计不得超过延期货款额</w:t>
      </w:r>
      <w:r>
        <w:rPr>
          <w:rFonts w:hint="eastAsia" w:asciiTheme="minorEastAsia" w:hAnsiTheme="minorEastAsia" w:eastAsiaTheme="minorEastAsia" w:cstheme="minorEastAsia"/>
          <w:kern w:val="1"/>
          <w:sz w:val="24"/>
          <w:szCs w:val="24"/>
          <w:u w:val="single"/>
          <w:lang w:eastAsia="ar-SA"/>
        </w:rPr>
        <w:t>5%</w:t>
      </w:r>
      <w:r>
        <w:rPr>
          <w:rFonts w:hint="eastAsia" w:asciiTheme="minorEastAsia" w:hAnsiTheme="minorEastAsia" w:eastAsiaTheme="minorEastAsia" w:cstheme="minorEastAsia"/>
          <w:kern w:val="1"/>
          <w:sz w:val="24"/>
          <w:szCs w:val="24"/>
          <w:lang w:eastAsia="ar-SA"/>
        </w:rPr>
        <w:t>。乙方逾期交付货物核心部件导致货物无法使用的，乙方须赔偿甲方所受到的全部损失（包括但不限于：替代物购置及安装费用等）并按本合同合计金额的</w:t>
      </w:r>
      <w:r>
        <w:rPr>
          <w:rFonts w:hint="eastAsia" w:asciiTheme="minorEastAsia" w:hAnsiTheme="minorEastAsia" w:eastAsiaTheme="minorEastAsia" w:cstheme="minorEastAsia"/>
          <w:kern w:val="1"/>
          <w:sz w:val="24"/>
          <w:szCs w:val="24"/>
        </w:rPr>
        <w:t>3</w:t>
      </w:r>
      <w:r>
        <w:rPr>
          <w:rFonts w:hint="eastAsia" w:asciiTheme="minorEastAsia" w:hAnsiTheme="minorEastAsia" w:eastAsiaTheme="minorEastAsia" w:cstheme="minorEastAsia"/>
          <w:kern w:val="1"/>
          <w:sz w:val="24"/>
          <w:szCs w:val="24"/>
          <w:lang w:eastAsia="ar-SA"/>
        </w:rPr>
        <w:t>0%支付违约金。</w:t>
      </w:r>
    </w:p>
    <w:p w14:paraId="1A7548D0">
      <w:pPr>
        <w:suppressAutoHyphens/>
        <w:snapToGrid w:val="0"/>
        <w:spacing w:line="360" w:lineRule="exact"/>
        <w:ind w:firstLine="480" w:firstLineChars="20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lang w:eastAsia="ar-SA"/>
        </w:rPr>
        <w:t>5.乙方未按本合同和投标</w:t>
      </w:r>
      <w:r>
        <w:rPr>
          <w:rFonts w:hint="eastAsia" w:asciiTheme="minorEastAsia" w:hAnsiTheme="minorEastAsia" w:eastAsiaTheme="minorEastAsia" w:cstheme="minorEastAsia"/>
          <w:kern w:val="1"/>
          <w:sz w:val="24"/>
          <w:szCs w:val="24"/>
        </w:rPr>
        <w:t>/响应</w:t>
      </w:r>
      <w:r>
        <w:rPr>
          <w:rFonts w:hint="eastAsia" w:asciiTheme="minorEastAsia" w:hAnsiTheme="minorEastAsia" w:eastAsiaTheme="minorEastAsia" w:cstheme="minorEastAsia"/>
          <w:kern w:val="1"/>
          <w:sz w:val="24"/>
          <w:szCs w:val="24"/>
          <w:lang w:eastAsia="ar-SA"/>
        </w:rPr>
        <w:t>文件中规定的服务承诺提供售后服务的，</w:t>
      </w:r>
      <w:r>
        <w:rPr>
          <w:rFonts w:hint="eastAsia" w:asciiTheme="minorEastAsia" w:hAnsiTheme="minorEastAsia" w:eastAsiaTheme="minorEastAsia" w:cstheme="minorEastAsia"/>
          <w:kern w:val="1"/>
          <w:sz w:val="24"/>
          <w:szCs w:val="24"/>
        </w:rPr>
        <w:t>每出现一次，</w:t>
      </w:r>
      <w:r>
        <w:rPr>
          <w:rFonts w:hint="eastAsia" w:asciiTheme="minorEastAsia" w:hAnsiTheme="minorEastAsia" w:eastAsiaTheme="minorEastAsia" w:cstheme="minorEastAsia"/>
          <w:kern w:val="1"/>
          <w:sz w:val="24"/>
          <w:szCs w:val="24"/>
          <w:lang w:eastAsia="ar-SA"/>
        </w:rPr>
        <w:t>乙方应按本合同合计金额</w:t>
      </w:r>
      <w:r>
        <w:rPr>
          <w:rFonts w:hint="eastAsia" w:asciiTheme="minorEastAsia" w:hAnsiTheme="minorEastAsia" w:eastAsiaTheme="minorEastAsia" w:cstheme="minorEastAsia"/>
          <w:kern w:val="1"/>
          <w:sz w:val="24"/>
          <w:szCs w:val="24"/>
        </w:rPr>
        <w:t>的</w:t>
      </w:r>
      <w:r>
        <w:rPr>
          <w:rFonts w:hint="eastAsia" w:asciiTheme="minorEastAsia" w:hAnsiTheme="minorEastAsia" w:eastAsiaTheme="minorEastAsia" w:cstheme="minorEastAsia"/>
          <w:kern w:val="1"/>
          <w:sz w:val="24"/>
          <w:szCs w:val="24"/>
          <w:u w:val="single"/>
          <w:lang w:eastAsia="ar-SA"/>
        </w:rPr>
        <w:t xml:space="preserve"> 5%</w:t>
      </w:r>
      <w:r>
        <w:rPr>
          <w:rFonts w:hint="eastAsia" w:asciiTheme="minorEastAsia" w:hAnsiTheme="minorEastAsia" w:eastAsiaTheme="minorEastAsia" w:cstheme="minorEastAsia"/>
          <w:kern w:val="1"/>
          <w:sz w:val="24"/>
          <w:szCs w:val="24"/>
          <w:lang w:eastAsia="ar-SA"/>
        </w:rPr>
        <w:t>向甲方支付违约金</w:t>
      </w:r>
      <w:r>
        <w:rPr>
          <w:rFonts w:hint="eastAsia" w:asciiTheme="minorEastAsia" w:hAnsiTheme="minorEastAsia" w:eastAsiaTheme="minorEastAsia" w:cstheme="minorEastAsia"/>
          <w:kern w:val="1"/>
          <w:sz w:val="24"/>
          <w:szCs w:val="24"/>
        </w:rPr>
        <w:t>，同时甲方有权根据本合同第十一条第2</w:t>
      </w:r>
      <w:r>
        <w:rPr>
          <w:rFonts w:hint="eastAsia" w:asciiTheme="minorEastAsia" w:hAnsiTheme="minorEastAsia" w:eastAsiaTheme="minorEastAsia" w:cstheme="minorEastAsia"/>
          <w:kern w:val="1"/>
          <w:sz w:val="24"/>
          <w:szCs w:val="24"/>
          <w:lang w:val="en-US" w:eastAsia="zh-CN"/>
        </w:rPr>
        <w:t>款</w:t>
      </w:r>
      <w:r>
        <w:rPr>
          <w:rFonts w:hint="eastAsia" w:asciiTheme="minorEastAsia" w:hAnsiTheme="minorEastAsia" w:eastAsiaTheme="minorEastAsia" w:cstheme="minorEastAsia"/>
          <w:kern w:val="1"/>
          <w:sz w:val="24"/>
          <w:szCs w:val="24"/>
        </w:rPr>
        <w:t>的约定</w:t>
      </w:r>
      <w:r>
        <w:rPr>
          <w:rFonts w:hint="eastAsia" w:asciiTheme="minorEastAsia" w:hAnsiTheme="minorEastAsia" w:eastAsiaTheme="minorEastAsia" w:cstheme="minorEastAsia"/>
          <w:kern w:val="1"/>
          <w:sz w:val="24"/>
          <w:szCs w:val="24"/>
          <w:lang w:eastAsia="ar-SA"/>
        </w:rPr>
        <w:t>自行交由第三方提供售后服务，乙方</w:t>
      </w:r>
      <w:r>
        <w:rPr>
          <w:rFonts w:hint="eastAsia" w:asciiTheme="minorEastAsia" w:hAnsiTheme="minorEastAsia" w:eastAsiaTheme="minorEastAsia" w:cstheme="minorEastAsia"/>
          <w:kern w:val="1"/>
          <w:sz w:val="24"/>
          <w:szCs w:val="24"/>
        </w:rPr>
        <w:t>每次除向甲方支付违约金外，还需</w:t>
      </w:r>
      <w:r>
        <w:rPr>
          <w:rFonts w:hint="eastAsia" w:asciiTheme="minorEastAsia" w:hAnsiTheme="minorEastAsia" w:eastAsiaTheme="minorEastAsia" w:cstheme="minorEastAsia"/>
          <w:kern w:val="1"/>
          <w:sz w:val="24"/>
          <w:szCs w:val="24"/>
          <w:lang w:eastAsia="ar-SA"/>
        </w:rPr>
        <w:t>承担</w:t>
      </w:r>
      <w:r>
        <w:rPr>
          <w:rFonts w:hint="eastAsia" w:asciiTheme="minorEastAsia" w:hAnsiTheme="minorEastAsia" w:eastAsiaTheme="minorEastAsia" w:cstheme="minorEastAsia"/>
          <w:kern w:val="1"/>
          <w:sz w:val="24"/>
          <w:szCs w:val="24"/>
        </w:rPr>
        <w:t>甲方为此支出的配件费、工时费等</w:t>
      </w:r>
      <w:r>
        <w:rPr>
          <w:rFonts w:hint="eastAsia" w:asciiTheme="minorEastAsia" w:hAnsiTheme="minorEastAsia" w:eastAsiaTheme="minorEastAsia" w:cstheme="minorEastAsia"/>
          <w:kern w:val="1"/>
          <w:sz w:val="24"/>
          <w:szCs w:val="24"/>
          <w:lang w:eastAsia="ar-SA"/>
        </w:rPr>
        <w:t>一切</w:t>
      </w:r>
      <w:r>
        <w:rPr>
          <w:rFonts w:hint="eastAsia" w:asciiTheme="minorEastAsia" w:hAnsiTheme="minorEastAsia" w:eastAsiaTheme="minorEastAsia" w:cstheme="minorEastAsia"/>
          <w:kern w:val="1"/>
          <w:sz w:val="24"/>
          <w:szCs w:val="24"/>
        </w:rPr>
        <w:t>售后服务相关</w:t>
      </w:r>
      <w:r>
        <w:rPr>
          <w:rFonts w:hint="eastAsia" w:asciiTheme="minorEastAsia" w:hAnsiTheme="minorEastAsia" w:eastAsiaTheme="minorEastAsia" w:cstheme="minorEastAsia"/>
          <w:kern w:val="1"/>
          <w:sz w:val="24"/>
          <w:szCs w:val="24"/>
          <w:lang w:eastAsia="ar-SA"/>
        </w:rPr>
        <w:t>费用。</w:t>
      </w:r>
    </w:p>
    <w:p w14:paraId="01C33DB6">
      <w:pPr>
        <w:suppressAutoHyphens/>
        <w:snapToGrid w:val="0"/>
        <w:spacing w:line="360" w:lineRule="exact"/>
        <w:ind w:firstLine="480" w:firstLineChars="20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lang w:eastAsia="ar-SA"/>
        </w:rPr>
        <w:t>6.乙方提供的货物在质量保证期内，因设计、工艺或材料的缺陷</w:t>
      </w:r>
      <w:r>
        <w:rPr>
          <w:rFonts w:hint="eastAsia" w:asciiTheme="minorEastAsia" w:hAnsiTheme="minorEastAsia" w:eastAsiaTheme="minorEastAsia" w:cstheme="minorEastAsia"/>
          <w:kern w:val="1"/>
          <w:sz w:val="24"/>
          <w:szCs w:val="24"/>
        </w:rPr>
        <w:t>和其他</w:t>
      </w:r>
      <w:r>
        <w:rPr>
          <w:rFonts w:hint="eastAsia" w:asciiTheme="minorEastAsia" w:hAnsiTheme="minorEastAsia" w:eastAsiaTheme="minorEastAsia" w:cstheme="minorEastAsia"/>
          <w:kern w:val="1"/>
          <w:sz w:val="24"/>
          <w:szCs w:val="24"/>
          <w:lang w:eastAsia="ar-SA"/>
        </w:rPr>
        <w:t>质量原因造成甲方人员（含经允许进入甲方场地的第三人）、该货物之外的其他物品受到伤害（损坏）的，由乙方负责承担由此产生的一切赔偿责任。</w:t>
      </w:r>
    </w:p>
    <w:p w14:paraId="604A7A25">
      <w:pPr>
        <w:suppressAutoHyphens/>
        <w:snapToGrid w:val="0"/>
        <w:spacing w:line="360" w:lineRule="exact"/>
        <w:ind w:firstLine="480" w:firstLineChars="20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lang w:eastAsia="ar-SA"/>
        </w:rPr>
        <w:t>7.未经甲方书面许可，乙方擅自将本合同项下义务交由第三方完成的，视为乙方根本违约，甲方有权解除本合同。</w:t>
      </w:r>
    </w:p>
    <w:p w14:paraId="306DD507">
      <w:pPr>
        <w:suppressAutoHyphens/>
        <w:snapToGrid w:val="0"/>
        <w:spacing w:line="360" w:lineRule="exact"/>
        <w:ind w:firstLine="480" w:firstLineChars="20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lang w:eastAsia="ar-SA"/>
        </w:rPr>
        <w:t>8.乙方未按约提供</w:t>
      </w:r>
      <w:r>
        <w:rPr>
          <w:rFonts w:hint="eastAsia" w:asciiTheme="minorEastAsia" w:hAnsiTheme="minorEastAsia" w:eastAsiaTheme="minorEastAsia" w:cstheme="minorEastAsia"/>
          <w:kern w:val="1"/>
          <w:sz w:val="24"/>
          <w:szCs w:val="24"/>
        </w:rPr>
        <w:t>合法有效的足额</w:t>
      </w:r>
      <w:r>
        <w:rPr>
          <w:rFonts w:hint="eastAsia" w:asciiTheme="minorEastAsia" w:hAnsiTheme="minorEastAsia" w:eastAsiaTheme="minorEastAsia" w:cstheme="minorEastAsia"/>
          <w:kern w:val="1"/>
          <w:sz w:val="24"/>
          <w:szCs w:val="24"/>
          <w:lang w:eastAsia="ar-SA"/>
        </w:rPr>
        <w:t>发票的，除</w:t>
      </w:r>
      <w:r>
        <w:rPr>
          <w:rFonts w:hint="eastAsia" w:asciiTheme="minorEastAsia" w:hAnsiTheme="minorEastAsia" w:eastAsiaTheme="minorEastAsia" w:cstheme="minorEastAsia"/>
          <w:kern w:val="1"/>
          <w:sz w:val="24"/>
          <w:szCs w:val="24"/>
        </w:rPr>
        <w:t>须</w:t>
      </w:r>
      <w:r>
        <w:rPr>
          <w:rFonts w:hint="eastAsia" w:asciiTheme="minorEastAsia" w:hAnsiTheme="minorEastAsia" w:eastAsiaTheme="minorEastAsia" w:cstheme="minorEastAsia"/>
          <w:kern w:val="1"/>
          <w:sz w:val="24"/>
          <w:szCs w:val="24"/>
          <w:lang w:eastAsia="ar-SA"/>
        </w:rPr>
        <w:t>向甲方补开发票外，</w:t>
      </w:r>
      <w:r>
        <w:rPr>
          <w:rFonts w:hint="eastAsia" w:asciiTheme="minorEastAsia" w:hAnsiTheme="minorEastAsia" w:eastAsiaTheme="minorEastAsia" w:cstheme="minorEastAsia"/>
          <w:kern w:val="1"/>
          <w:sz w:val="24"/>
          <w:szCs w:val="24"/>
        </w:rPr>
        <w:t>还</w:t>
      </w:r>
      <w:r>
        <w:rPr>
          <w:rFonts w:hint="eastAsia" w:asciiTheme="minorEastAsia" w:hAnsiTheme="minorEastAsia" w:eastAsiaTheme="minorEastAsia" w:cstheme="minorEastAsia"/>
          <w:kern w:val="1"/>
          <w:sz w:val="24"/>
          <w:szCs w:val="24"/>
          <w:lang w:eastAsia="ar-SA"/>
        </w:rPr>
        <w:t>须</w:t>
      </w:r>
      <w:r>
        <w:rPr>
          <w:rFonts w:hint="eastAsia" w:asciiTheme="minorEastAsia" w:hAnsiTheme="minorEastAsia" w:eastAsiaTheme="minorEastAsia" w:cstheme="minorEastAsia"/>
          <w:kern w:val="1"/>
          <w:sz w:val="24"/>
          <w:szCs w:val="24"/>
        </w:rPr>
        <w:t>向甲方支付相当于不符合合同约定的发票票面金额30%的违约金。</w:t>
      </w:r>
    </w:p>
    <w:p w14:paraId="37DE12AC">
      <w:pPr>
        <w:snapToGrid w:val="0"/>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1"/>
          <w:sz w:val="24"/>
          <w:szCs w:val="24"/>
        </w:rPr>
        <w:t>9</w:t>
      </w:r>
      <w:r>
        <w:rPr>
          <w:rFonts w:hint="eastAsia" w:asciiTheme="minorEastAsia" w:hAnsiTheme="minorEastAsia" w:eastAsiaTheme="minorEastAsia" w:cstheme="minorEastAsia"/>
          <w:kern w:val="1"/>
          <w:sz w:val="24"/>
          <w:szCs w:val="24"/>
          <w:lang w:eastAsia="ar-SA"/>
        </w:rPr>
        <w:t>.</w:t>
      </w:r>
      <w:r>
        <w:rPr>
          <w:rFonts w:hint="eastAsia" w:asciiTheme="minorEastAsia" w:hAnsiTheme="minorEastAsia" w:eastAsiaTheme="minorEastAsia" w:cstheme="minorEastAsia"/>
          <w:sz w:val="24"/>
          <w:szCs w:val="24"/>
        </w:rPr>
        <w:t>乙方违反</w:t>
      </w:r>
      <w:r>
        <w:rPr>
          <w:rFonts w:hint="eastAsia" w:asciiTheme="minorEastAsia" w:hAnsiTheme="minorEastAsia" w:eastAsiaTheme="minorEastAsia" w:cstheme="minorEastAsia"/>
          <w:kern w:val="1"/>
          <w:sz w:val="24"/>
          <w:szCs w:val="24"/>
        </w:rPr>
        <w:t>第三条第3款</w:t>
      </w:r>
      <w:r>
        <w:rPr>
          <w:rFonts w:hint="eastAsia" w:asciiTheme="minorEastAsia" w:hAnsiTheme="minorEastAsia" w:eastAsiaTheme="minorEastAsia" w:cstheme="minorEastAsia"/>
          <w:sz w:val="24"/>
          <w:szCs w:val="24"/>
        </w:rPr>
        <w:t>约定的，应向甲方一次性支付合同合计金额30%的违约金。</w:t>
      </w:r>
    </w:p>
    <w:p w14:paraId="254C336D">
      <w:pPr>
        <w:suppressAutoHyphens/>
        <w:snapToGrid w:val="0"/>
        <w:spacing w:line="360" w:lineRule="exact"/>
        <w:ind w:firstLine="480" w:firstLineChars="20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rPr>
        <w:t>10.乙方的其他</w:t>
      </w:r>
      <w:r>
        <w:rPr>
          <w:rFonts w:hint="eastAsia" w:asciiTheme="minorEastAsia" w:hAnsiTheme="minorEastAsia" w:eastAsiaTheme="minorEastAsia" w:cstheme="minorEastAsia"/>
          <w:kern w:val="1"/>
          <w:sz w:val="24"/>
          <w:szCs w:val="24"/>
          <w:lang w:eastAsia="ar-SA"/>
        </w:rPr>
        <w:t>违约行为</w:t>
      </w:r>
      <w:r>
        <w:rPr>
          <w:rFonts w:hint="eastAsia" w:asciiTheme="minorEastAsia" w:hAnsiTheme="minorEastAsia" w:eastAsiaTheme="minorEastAsia" w:cstheme="minorEastAsia"/>
          <w:kern w:val="1"/>
          <w:sz w:val="24"/>
          <w:szCs w:val="24"/>
        </w:rPr>
        <w:t>，</w:t>
      </w:r>
      <w:r>
        <w:rPr>
          <w:rFonts w:hint="eastAsia" w:asciiTheme="minorEastAsia" w:hAnsiTheme="minorEastAsia" w:eastAsiaTheme="minorEastAsia" w:cstheme="minorEastAsia"/>
          <w:kern w:val="1"/>
          <w:sz w:val="24"/>
          <w:szCs w:val="24"/>
          <w:lang w:eastAsia="ar-SA"/>
        </w:rPr>
        <w:t>按违约货款额5%收取违约金。</w:t>
      </w:r>
    </w:p>
    <w:p w14:paraId="73634B2B">
      <w:pPr>
        <w:suppressAutoHyphens/>
        <w:snapToGrid w:val="0"/>
        <w:spacing w:line="360" w:lineRule="exact"/>
        <w:ind w:firstLine="480" w:firstLineChars="200"/>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11</w:t>
      </w:r>
      <w:r>
        <w:rPr>
          <w:rFonts w:hint="eastAsia" w:asciiTheme="minorEastAsia" w:hAnsiTheme="minorEastAsia" w:eastAsiaTheme="minorEastAsia" w:cstheme="minorEastAsia"/>
          <w:kern w:val="1"/>
          <w:sz w:val="24"/>
          <w:szCs w:val="24"/>
          <w:lang w:eastAsia="ar-SA"/>
        </w:rPr>
        <w:t>.</w:t>
      </w:r>
      <w:r>
        <w:rPr>
          <w:rFonts w:hint="eastAsia" w:asciiTheme="minorEastAsia" w:hAnsiTheme="minorEastAsia" w:eastAsiaTheme="minorEastAsia" w:cstheme="minorEastAsia"/>
          <w:kern w:val="1"/>
          <w:sz w:val="24"/>
          <w:szCs w:val="24"/>
        </w:rPr>
        <w:t>甲方解除合同的，除有权要求乙方按相应违约条款承担违约责任外，还有权要求乙方按</w:t>
      </w:r>
      <w:r>
        <w:rPr>
          <w:rFonts w:hint="eastAsia" w:asciiTheme="minorEastAsia" w:hAnsiTheme="minorEastAsia" w:eastAsiaTheme="minorEastAsia" w:cstheme="minorEastAsia"/>
          <w:kern w:val="1"/>
          <w:sz w:val="24"/>
          <w:szCs w:val="24"/>
          <w:lang w:eastAsia="ar-SA"/>
        </w:rPr>
        <w:t>本合同合计金额的</w:t>
      </w:r>
      <w:r>
        <w:rPr>
          <w:rFonts w:hint="eastAsia" w:asciiTheme="minorEastAsia" w:hAnsiTheme="minorEastAsia" w:eastAsiaTheme="minorEastAsia" w:cstheme="minorEastAsia"/>
          <w:kern w:val="1"/>
          <w:sz w:val="24"/>
          <w:szCs w:val="24"/>
        </w:rPr>
        <w:t>3</w:t>
      </w:r>
      <w:r>
        <w:rPr>
          <w:rFonts w:hint="eastAsia" w:asciiTheme="minorEastAsia" w:hAnsiTheme="minorEastAsia" w:eastAsiaTheme="minorEastAsia" w:cstheme="minorEastAsia"/>
          <w:kern w:val="1"/>
          <w:sz w:val="24"/>
          <w:szCs w:val="24"/>
          <w:lang w:eastAsia="ar-SA"/>
        </w:rPr>
        <w:t>0%支付违约金</w:t>
      </w:r>
      <w:r>
        <w:rPr>
          <w:rFonts w:hint="eastAsia" w:asciiTheme="minorEastAsia" w:hAnsiTheme="minorEastAsia" w:eastAsiaTheme="minorEastAsia" w:cstheme="minorEastAsia"/>
          <w:kern w:val="1"/>
          <w:sz w:val="24"/>
          <w:szCs w:val="24"/>
        </w:rPr>
        <w:t>。</w:t>
      </w:r>
    </w:p>
    <w:p w14:paraId="7B75B77B">
      <w:pPr>
        <w:suppressAutoHyphens/>
        <w:snapToGrid w:val="0"/>
        <w:spacing w:line="360" w:lineRule="exact"/>
        <w:ind w:firstLine="480" w:firstLineChars="200"/>
        <w:rPr>
          <w:rFonts w:hint="eastAsia" w:asciiTheme="minorEastAsia" w:hAnsiTheme="minorEastAsia" w:eastAsiaTheme="minorEastAsia" w:cstheme="minorEastAsia"/>
          <w:kern w:val="1"/>
          <w:sz w:val="24"/>
          <w:szCs w:val="24"/>
          <w:lang w:eastAsia="zh-Hans"/>
        </w:rPr>
      </w:pPr>
      <w:r>
        <w:rPr>
          <w:rFonts w:hint="eastAsia" w:asciiTheme="minorEastAsia" w:hAnsiTheme="minorEastAsia" w:eastAsiaTheme="minorEastAsia" w:cstheme="minorEastAsia"/>
          <w:kern w:val="1"/>
          <w:sz w:val="24"/>
          <w:szCs w:val="24"/>
        </w:rPr>
        <w:t>12.</w:t>
      </w:r>
      <w:r>
        <w:rPr>
          <w:rFonts w:hint="eastAsia" w:asciiTheme="minorEastAsia" w:hAnsiTheme="minorEastAsia" w:eastAsiaTheme="minorEastAsia" w:cstheme="minorEastAsia"/>
          <w:kern w:val="1"/>
          <w:sz w:val="24"/>
          <w:szCs w:val="24"/>
          <w:lang w:eastAsia="zh-Hans"/>
        </w:rPr>
        <w:t>任何一方存在任何违约行为的，除按合同约定承担</w:t>
      </w:r>
      <w:r>
        <w:rPr>
          <w:rFonts w:hint="eastAsia" w:asciiTheme="minorEastAsia" w:hAnsiTheme="minorEastAsia" w:eastAsiaTheme="minorEastAsia" w:cstheme="minorEastAsia"/>
          <w:kern w:val="1"/>
          <w:sz w:val="24"/>
          <w:szCs w:val="24"/>
        </w:rPr>
        <w:t>违约</w:t>
      </w:r>
      <w:r>
        <w:rPr>
          <w:rFonts w:hint="eastAsia" w:asciiTheme="minorEastAsia" w:hAnsiTheme="minorEastAsia" w:eastAsiaTheme="minorEastAsia" w:cstheme="minorEastAsia"/>
          <w:kern w:val="1"/>
          <w:sz w:val="24"/>
          <w:szCs w:val="24"/>
          <w:lang w:eastAsia="zh-Hans"/>
        </w:rPr>
        <w:t>责任外，还应赔偿守约方的一切</w:t>
      </w:r>
      <w:r>
        <w:rPr>
          <w:rFonts w:hint="eastAsia" w:asciiTheme="minorEastAsia" w:hAnsiTheme="minorEastAsia" w:eastAsiaTheme="minorEastAsia" w:cstheme="minorEastAsia"/>
          <w:kern w:val="1"/>
          <w:sz w:val="24"/>
          <w:szCs w:val="24"/>
        </w:rPr>
        <w:t>经济</w:t>
      </w:r>
      <w:r>
        <w:rPr>
          <w:rFonts w:hint="eastAsia" w:asciiTheme="minorEastAsia" w:hAnsiTheme="minorEastAsia" w:eastAsiaTheme="minorEastAsia" w:cstheme="minorEastAsia"/>
          <w:kern w:val="1"/>
          <w:sz w:val="24"/>
          <w:szCs w:val="24"/>
          <w:lang w:eastAsia="zh-Hans"/>
        </w:rPr>
        <w:t>损失</w:t>
      </w:r>
      <w:bookmarkStart w:id="6" w:name="_Hlk148991659"/>
      <w:r>
        <w:rPr>
          <w:rFonts w:hint="eastAsia" w:asciiTheme="minorEastAsia" w:hAnsiTheme="minorEastAsia" w:eastAsiaTheme="minorEastAsia" w:cstheme="minorEastAsia"/>
          <w:kern w:val="1"/>
          <w:sz w:val="24"/>
          <w:szCs w:val="24"/>
          <w:lang w:eastAsia="zh-Hans"/>
        </w:rPr>
        <w:t>，包括直接的财产损失，以及因违约造成的可能产生的预期经济损失以及守约为应对相关处罚、纠纷、诉讼支出的全部费用（包括但不限于守约方因此承担的处罚、赔偿责任、发生的当事人以及代理人差旅费、诉讼费、公告费、律师费、公证费、保全费、诉讼保全保险费、评估费、鉴定费及其他损失等）</w:t>
      </w:r>
      <w:bookmarkEnd w:id="6"/>
      <w:r>
        <w:rPr>
          <w:rFonts w:hint="eastAsia" w:asciiTheme="minorEastAsia" w:hAnsiTheme="minorEastAsia" w:eastAsiaTheme="minorEastAsia" w:cstheme="minorEastAsia"/>
          <w:kern w:val="1"/>
          <w:sz w:val="24"/>
          <w:szCs w:val="24"/>
          <w:lang w:eastAsia="zh-Hans"/>
        </w:rPr>
        <w:t>。</w:t>
      </w:r>
    </w:p>
    <w:p w14:paraId="3B516B50">
      <w:pPr>
        <w:snapToGrid w:val="0"/>
        <w:spacing w:line="360" w:lineRule="exact"/>
        <w:ind w:firstLine="480" w:firstLineChars="200"/>
        <w:rPr>
          <w:rFonts w:hint="eastAsia" w:asciiTheme="minorEastAsia" w:hAnsiTheme="minorEastAsia" w:eastAsiaTheme="minorEastAsia" w:cstheme="minorEastAsia"/>
          <w:color w:val="000000"/>
          <w:sz w:val="24"/>
          <w:szCs w:val="24"/>
        </w:rPr>
      </w:pPr>
      <w:bookmarkStart w:id="7" w:name="_Hlk148991669"/>
      <w:r>
        <w:rPr>
          <w:rFonts w:hint="eastAsia" w:asciiTheme="minorEastAsia" w:hAnsiTheme="minorEastAsia" w:eastAsiaTheme="minorEastAsia" w:cstheme="minorEastAsia"/>
          <w:kern w:val="1"/>
          <w:sz w:val="24"/>
          <w:szCs w:val="24"/>
        </w:rPr>
        <w:t>13. 按本合同约定或法律规定，甲方主张解除合同的，自甲方解除合同的书面通知送达乙方之日起合同解除，乙方应赔偿由此给甲方造成的全部损失。甲方不支付乙方任何费用，乙方对解除合同有异议的异议期为叁日。乙方应当在合同解除后伍日内退还甲方支付的所有费用（如有），自费运回所交付的货物，付清违约金、赔偿金。</w:t>
      </w:r>
      <w:bookmarkEnd w:id="7"/>
    </w:p>
    <w:p w14:paraId="6F126D6C">
      <w:pPr>
        <w:pStyle w:val="8"/>
        <w:snapToGrid w:val="0"/>
        <w:spacing w:line="360" w:lineRule="auto"/>
        <w:ind w:firstLine="354" w:firstLineChars="196"/>
        <w:rPr>
          <w:rFonts w:hint="eastAsia" w:asciiTheme="minorEastAsia" w:hAnsiTheme="minorEastAsia" w:eastAsiaTheme="minorEastAsia" w:cstheme="minorEastAsia"/>
          <w:b/>
          <w:color w:val="000000"/>
          <w:sz w:val="18"/>
          <w:szCs w:val="18"/>
        </w:rPr>
      </w:pPr>
    </w:p>
    <w:p w14:paraId="5396A525">
      <w:pPr>
        <w:pStyle w:val="8"/>
        <w:snapToGrid w:val="0"/>
        <w:spacing w:line="360" w:lineRule="auto"/>
        <w:ind w:firstLine="472" w:firstLineChars="196"/>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第十五条  不可抗力事件处理</w:t>
      </w:r>
    </w:p>
    <w:p w14:paraId="498F8E7C">
      <w:pPr>
        <w:pStyle w:val="8"/>
        <w:snapToGrid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1.在合同有效期内，任何一方因不可抗力事件导致不能履行合同，则合同履行期可延长，其延长期与不可抗力影响期相同。</w:t>
      </w:r>
    </w:p>
    <w:p w14:paraId="56F87C96">
      <w:pPr>
        <w:pStyle w:val="8"/>
        <w:snapToGrid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2.不可抗力事件发生后，应立即通知对方，并寄送有关权威机构出具的证明。</w:t>
      </w:r>
    </w:p>
    <w:p w14:paraId="4F8A6BCE">
      <w:pPr>
        <w:snapToGrid w:val="0"/>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3.不可抗力事件延续一百二十天以上，双方应通过友好协商，确定是否继续履行合同。</w:t>
      </w:r>
    </w:p>
    <w:p w14:paraId="5B81D848">
      <w:pPr>
        <w:snapToGrid w:val="0"/>
        <w:spacing w:line="360" w:lineRule="auto"/>
        <w:ind w:firstLine="301" w:firstLineChars="200"/>
        <w:rPr>
          <w:rFonts w:hint="eastAsia" w:asciiTheme="minorEastAsia" w:hAnsiTheme="minorEastAsia" w:eastAsiaTheme="minorEastAsia" w:cstheme="minorEastAsia"/>
          <w:b/>
          <w:color w:val="000000"/>
          <w:sz w:val="15"/>
          <w:szCs w:val="15"/>
        </w:rPr>
      </w:pPr>
    </w:p>
    <w:p w14:paraId="2A58643F">
      <w:pPr>
        <w:snapToGrid w:val="0"/>
        <w:spacing w:line="360" w:lineRule="auto"/>
        <w:ind w:firstLine="482"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b/>
          <w:color w:val="000000"/>
          <w:sz w:val="24"/>
        </w:rPr>
        <w:t>第十六条  合同争议解决</w:t>
      </w:r>
    </w:p>
    <w:p w14:paraId="6B2A8355">
      <w:pPr>
        <w:snapToGrid w:val="0"/>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1.因货物质量问题发生争议的，应邀请国家认可的质量检测机构对货物质量进行鉴定。货物符合标准的，鉴定费由甲方承担；货物不符合标准的，鉴定费由乙方承担。</w:t>
      </w:r>
    </w:p>
    <w:p w14:paraId="7ED78AD7">
      <w:pPr>
        <w:snapToGrid w:val="0"/>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2.因履行本合同引起的或者与本合同有关的争议，甲乙双方应首先通过友好协商解决，如果协商不能解决，可向甲方所在地人民法院提起诉讼。</w:t>
      </w:r>
    </w:p>
    <w:p w14:paraId="7468F5AB">
      <w:pPr>
        <w:snapToGrid w:val="0"/>
        <w:spacing w:line="360" w:lineRule="auto"/>
        <w:ind w:left="-61" w:firstLine="514"/>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3.诉讼期间，本合同继续履行。</w:t>
      </w:r>
    </w:p>
    <w:p w14:paraId="60F759D1">
      <w:pPr>
        <w:pStyle w:val="9"/>
        <w:rPr>
          <w:rFonts w:hint="eastAsia" w:asciiTheme="minorEastAsia" w:hAnsiTheme="minorEastAsia" w:eastAsiaTheme="minorEastAsia" w:cstheme="minorEastAsia"/>
        </w:rPr>
      </w:pPr>
    </w:p>
    <w:p w14:paraId="4ED5F7C2">
      <w:pPr>
        <w:pStyle w:val="8"/>
        <w:snapToGrid w:val="0"/>
        <w:spacing w:line="360" w:lineRule="auto"/>
        <w:ind w:firstLine="472" w:firstLineChars="196"/>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第十七条  合同生效及其它</w:t>
      </w:r>
    </w:p>
    <w:p w14:paraId="5B5A1359">
      <w:pPr>
        <w:pStyle w:val="8"/>
        <w:snapToGrid w:val="0"/>
        <w:spacing w:line="480" w:lineRule="auto"/>
        <w:ind w:firstLine="480" w:firstLineChars="20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1.本合同一式伍份，甲方执四份，乙方执壹份，具有同等法律效力；合同经双方法定代表人或者委托代理人签字并加盖单位公章后生效。</w:t>
      </w:r>
    </w:p>
    <w:p w14:paraId="18200C74">
      <w:pPr>
        <w:pStyle w:val="8"/>
        <w:snapToGrid w:val="0"/>
        <w:spacing w:line="480" w:lineRule="auto"/>
        <w:ind w:firstLine="480" w:firstLineChars="20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2.合同执行中涉及采购资金和采购内容修改或者补充的，须经甲方相关部门审批，并签书面补充协议备案，方可作为主合同不可分割的一部分。</w:t>
      </w:r>
    </w:p>
    <w:p w14:paraId="77996B1A">
      <w:pPr>
        <w:pStyle w:val="8"/>
        <w:snapToGrid w:val="0"/>
        <w:spacing w:line="480" w:lineRule="auto"/>
        <w:ind w:left="283" w:leftChars="135" w:firstLine="143"/>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3.本合同未尽事宜，</w:t>
      </w:r>
      <w:r>
        <w:rPr>
          <w:rFonts w:hint="eastAsia" w:asciiTheme="minorEastAsia" w:hAnsiTheme="minorEastAsia" w:eastAsiaTheme="minorEastAsia" w:cstheme="minorEastAsia"/>
          <w:bCs/>
          <w:color w:val="000000"/>
          <w:sz w:val="24"/>
          <w:szCs w:val="24"/>
          <w:lang w:val="en-US" w:eastAsia="zh-CN"/>
        </w:rPr>
        <w:t>按采购文件的要求和投标/响应文件的承诺执行，采购文件和投标/响应文件均不涉及的，</w:t>
      </w:r>
      <w:r>
        <w:rPr>
          <w:rFonts w:hint="eastAsia" w:asciiTheme="minorEastAsia" w:hAnsiTheme="minorEastAsia" w:eastAsiaTheme="minorEastAsia" w:cstheme="minorEastAsia"/>
          <w:bCs/>
          <w:color w:val="000000"/>
          <w:sz w:val="24"/>
          <w:szCs w:val="24"/>
        </w:rPr>
        <w:t>遵照《民法典》有关条文执行。</w:t>
      </w:r>
    </w:p>
    <w:p w14:paraId="7E66327C">
      <w:pPr>
        <w:rPr>
          <w:rFonts w:hint="eastAsia" w:asciiTheme="minorEastAsia" w:hAnsiTheme="minorEastAsia" w:eastAsiaTheme="minorEastAsia" w:cstheme="minorEastAsia"/>
        </w:rPr>
      </w:pPr>
    </w:p>
    <w:tbl>
      <w:tblPr>
        <w:tblStyle w:val="12"/>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443D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4516" w:type="dxa"/>
            <w:noWrap w:val="0"/>
            <w:vAlign w:val="center"/>
          </w:tcPr>
          <w:p w14:paraId="308FBF3F">
            <w:pPr>
              <w:snapToGrid w:val="0"/>
              <w:spacing w:line="360" w:lineRule="auto"/>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 xml:space="preserve">甲方（章）           </w:t>
            </w:r>
          </w:p>
          <w:p w14:paraId="36075587">
            <w:pPr>
              <w:snapToGrid w:val="0"/>
              <w:spacing w:line="360" w:lineRule="auto"/>
              <w:rPr>
                <w:rFonts w:hint="eastAsia" w:asciiTheme="minorEastAsia" w:hAnsiTheme="minorEastAsia" w:eastAsiaTheme="minorEastAsia" w:cstheme="minorEastAsia"/>
                <w:b/>
                <w:bCs/>
                <w:color w:val="000000"/>
                <w:sz w:val="24"/>
              </w:rPr>
            </w:pPr>
          </w:p>
          <w:p w14:paraId="7AC438E1">
            <w:pPr>
              <w:snapToGrid w:val="0"/>
              <w:spacing w:line="360" w:lineRule="auto"/>
              <w:ind w:firstLine="1084" w:firstLineChars="450"/>
              <w:jc w:val="right"/>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年   月   日</w:t>
            </w:r>
          </w:p>
        </w:tc>
        <w:tc>
          <w:tcPr>
            <w:tcW w:w="4517" w:type="dxa"/>
            <w:noWrap w:val="0"/>
            <w:vAlign w:val="center"/>
          </w:tcPr>
          <w:p w14:paraId="495C7364">
            <w:pPr>
              <w:snapToGrid w:val="0"/>
              <w:spacing w:line="360" w:lineRule="auto"/>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 xml:space="preserve">乙方（章）              </w:t>
            </w:r>
          </w:p>
          <w:p w14:paraId="045147E0">
            <w:pPr>
              <w:snapToGrid w:val="0"/>
              <w:spacing w:line="360" w:lineRule="auto"/>
              <w:rPr>
                <w:rFonts w:hint="eastAsia" w:asciiTheme="minorEastAsia" w:hAnsiTheme="minorEastAsia" w:eastAsiaTheme="minorEastAsia" w:cstheme="minorEastAsia"/>
                <w:b/>
                <w:bCs/>
                <w:color w:val="000000"/>
                <w:sz w:val="24"/>
              </w:rPr>
            </w:pPr>
          </w:p>
          <w:p w14:paraId="3DB386C1">
            <w:pPr>
              <w:snapToGrid w:val="0"/>
              <w:spacing w:line="360" w:lineRule="auto"/>
              <w:jc w:val="right"/>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 xml:space="preserve"> 年   月   日</w:t>
            </w:r>
          </w:p>
        </w:tc>
      </w:tr>
      <w:tr w14:paraId="5346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trPr>
        <w:tc>
          <w:tcPr>
            <w:tcW w:w="4516" w:type="dxa"/>
            <w:noWrap w:val="0"/>
            <w:vAlign w:val="center"/>
          </w:tcPr>
          <w:p w14:paraId="26F65695">
            <w:pPr>
              <w:snapToGrid w:val="0"/>
              <w:spacing w:line="36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单位地址：</w:t>
            </w:r>
          </w:p>
        </w:tc>
        <w:tc>
          <w:tcPr>
            <w:tcW w:w="4517" w:type="dxa"/>
            <w:noWrap w:val="0"/>
            <w:vAlign w:val="center"/>
          </w:tcPr>
          <w:p w14:paraId="4DAB3309">
            <w:pPr>
              <w:snapToGrid w:val="0"/>
              <w:spacing w:line="36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单位地址：</w:t>
            </w:r>
          </w:p>
        </w:tc>
      </w:tr>
      <w:tr w14:paraId="44E3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4516" w:type="dxa"/>
            <w:noWrap w:val="0"/>
            <w:vAlign w:val="top"/>
          </w:tcPr>
          <w:p w14:paraId="06C68ABE">
            <w:pPr>
              <w:snapToGrid w:val="0"/>
              <w:spacing w:line="36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法定代表人或者委托代理人：</w:t>
            </w:r>
          </w:p>
        </w:tc>
        <w:tc>
          <w:tcPr>
            <w:tcW w:w="4517" w:type="dxa"/>
            <w:noWrap w:val="0"/>
            <w:vAlign w:val="top"/>
          </w:tcPr>
          <w:p w14:paraId="76DE7714">
            <w:pPr>
              <w:snapToGrid w:val="0"/>
              <w:spacing w:line="36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法定代表人或者委托代理人：</w:t>
            </w:r>
          </w:p>
        </w:tc>
      </w:tr>
      <w:tr w14:paraId="6142A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4516" w:type="dxa"/>
            <w:noWrap w:val="0"/>
            <w:vAlign w:val="center"/>
          </w:tcPr>
          <w:p w14:paraId="0BA7A930">
            <w:pPr>
              <w:snapToGrid w:val="0"/>
              <w:spacing w:line="36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电话：</w:t>
            </w:r>
          </w:p>
        </w:tc>
        <w:tc>
          <w:tcPr>
            <w:tcW w:w="4517" w:type="dxa"/>
            <w:noWrap w:val="0"/>
            <w:vAlign w:val="center"/>
          </w:tcPr>
          <w:p w14:paraId="12FABFB1">
            <w:pPr>
              <w:snapToGrid w:val="0"/>
              <w:spacing w:line="36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电话：</w:t>
            </w:r>
          </w:p>
        </w:tc>
      </w:tr>
      <w:tr w14:paraId="1873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58B1EE07">
            <w:pPr>
              <w:snapToGrid w:val="0"/>
              <w:spacing w:line="36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纳税人识别号：</w:t>
            </w:r>
          </w:p>
        </w:tc>
        <w:tc>
          <w:tcPr>
            <w:tcW w:w="4517" w:type="dxa"/>
            <w:noWrap w:val="0"/>
            <w:vAlign w:val="center"/>
          </w:tcPr>
          <w:p w14:paraId="61E84F62">
            <w:pPr>
              <w:snapToGrid w:val="0"/>
              <w:spacing w:line="36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纳税人识别号：</w:t>
            </w:r>
          </w:p>
        </w:tc>
      </w:tr>
      <w:tr w14:paraId="29B8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48F577A5">
            <w:pPr>
              <w:snapToGrid w:val="0"/>
              <w:spacing w:line="36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注册地址：</w:t>
            </w:r>
          </w:p>
        </w:tc>
        <w:tc>
          <w:tcPr>
            <w:tcW w:w="4517" w:type="dxa"/>
            <w:noWrap w:val="0"/>
            <w:vAlign w:val="center"/>
          </w:tcPr>
          <w:p w14:paraId="5D671A17">
            <w:pPr>
              <w:snapToGrid w:val="0"/>
              <w:spacing w:line="36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注册地址：</w:t>
            </w:r>
          </w:p>
        </w:tc>
      </w:tr>
      <w:tr w14:paraId="2BB5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4307C0BE">
            <w:pPr>
              <w:snapToGrid w:val="0"/>
              <w:spacing w:line="36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开户银行：</w:t>
            </w:r>
          </w:p>
        </w:tc>
        <w:tc>
          <w:tcPr>
            <w:tcW w:w="4517" w:type="dxa"/>
            <w:noWrap w:val="0"/>
            <w:vAlign w:val="center"/>
          </w:tcPr>
          <w:p w14:paraId="6DED0B39">
            <w:pPr>
              <w:snapToGrid w:val="0"/>
              <w:spacing w:line="36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开户银行：</w:t>
            </w:r>
          </w:p>
        </w:tc>
      </w:tr>
      <w:tr w14:paraId="684A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6249F964">
            <w:pPr>
              <w:snapToGrid w:val="0"/>
              <w:spacing w:line="36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银行账号：</w:t>
            </w:r>
          </w:p>
        </w:tc>
        <w:tc>
          <w:tcPr>
            <w:tcW w:w="4517" w:type="dxa"/>
            <w:noWrap w:val="0"/>
            <w:vAlign w:val="center"/>
          </w:tcPr>
          <w:p w14:paraId="43AB026F">
            <w:pPr>
              <w:snapToGrid w:val="0"/>
              <w:spacing w:line="36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银行账号：</w:t>
            </w:r>
          </w:p>
        </w:tc>
      </w:tr>
      <w:tr w14:paraId="6F26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48285799">
            <w:pPr>
              <w:snapToGrid w:val="0"/>
              <w:spacing w:line="36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签订时间：    年   月   日</w:t>
            </w:r>
          </w:p>
        </w:tc>
        <w:tc>
          <w:tcPr>
            <w:tcW w:w="4517" w:type="dxa"/>
            <w:noWrap w:val="0"/>
            <w:vAlign w:val="center"/>
          </w:tcPr>
          <w:p w14:paraId="5441B4E4">
            <w:pPr>
              <w:snapToGrid w:val="0"/>
              <w:spacing w:line="36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签订时间：    年   月   日</w:t>
            </w:r>
          </w:p>
        </w:tc>
      </w:tr>
    </w:tbl>
    <w:p w14:paraId="728426E8">
      <w:pPr>
        <w:pStyle w:val="9"/>
        <w:rPr>
          <w:rFonts w:hint="eastAsia" w:asciiTheme="minorEastAsia" w:hAnsiTheme="minorEastAsia" w:eastAsiaTheme="minorEastAsia" w:cstheme="minorEastAsia"/>
        </w:rPr>
      </w:pPr>
    </w:p>
    <w:p w14:paraId="1FC2B11E">
      <w:pPr>
        <w:pStyle w:val="11"/>
        <w:widowControl/>
        <w:numPr>
          <w:ilvl w:val="0"/>
          <w:numId w:val="0"/>
        </w:numPr>
        <w:shd w:val="clear" w:color="auto" w:fill="FFFFFF"/>
        <w:spacing w:before="0" w:beforeAutospacing="0" w:after="0" w:afterAutospacing="0"/>
        <w:ind w:right="0" w:rightChars="0"/>
        <w:jc w:val="left"/>
        <w:rPr>
          <w:rFonts w:hint="eastAsia" w:asciiTheme="minorEastAsia" w:hAnsiTheme="minorEastAsia" w:eastAsiaTheme="minorEastAsia" w:cstheme="minorEastAsia"/>
          <w:szCs w:val="21"/>
          <w:lang w:val="en-US" w:eastAsia="zh-CN"/>
        </w:rPr>
      </w:pPr>
    </w:p>
    <w:p w14:paraId="7F8692E4">
      <w:pPr>
        <w:bidi w:val="0"/>
        <w:rPr>
          <w:rFonts w:hint="eastAsia" w:asciiTheme="minorEastAsia" w:hAnsiTheme="minorEastAsia" w:eastAsiaTheme="minorEastAsia" w:cstheme="minorEastAsia"/>
          <w:lang w:val="en-US" w:eastAsia="zh-CN"/>
        </w:rPr>
      </w:pPr>
    </w:p>
    <w:p w14:paraId="2F04CEED">
      <w:pPr>
        <w:tabs>
          <w:tab w:val="left" w:pos="1862"/>
        </w:tabs>
        <w:bidi w:val="0"/>
        <w:jc w:val="left"/>
        <w:rPr>
          <w:rFonts w:hint="eastAsia" w:asciiTheme="minorEastAsia" w:hAnsiTheme="minorEastAsia" w:eastAsiaTheme="minorEastAsia" w:cstheme="minorEastAsia"/>
          <w:lang w:val="en-US" w:eastAsia="zh-CN"/>
        </w:rPr>
        <w:sectPr>
          <w:pgSz w:w="11906" w:h="16838"/>
          <w:pgMar w:top="720" w:right="720" w:bottom="720" w:left="720" w:header="851" w:footer="992" w:gutter="0"/>
          <w:cols w:space="425" w:num="1"/>
          <w:docGrid w:type="lines" w:linePitch="312" w:charSpace="0"/>
        </w:sectPr>
      </w:pPr>
    </w:p>
    <w:p w14:paraId="029DC2C9">
      <w:pPr>
        <w:rPr>
          <w:rFonts w:hint="eastAsia" w:asciiTheme="minorEastAsia" w:hAnsiTheme="minorEastAsia" w:eastAsiaTheme="minorEastAsia" w:cstheme="minorEastAsia"/>
          <w:color w:val="auto"/>
          <w:lang w:val="en-US" w:eastAsia="zh-CN"/>
        </w:rPr>
      </w:pPr>
    </w:p>
    <w:p w14:paraId="2C176328">
      <w:pPr>
        <w:rPr>
          <w:rFonts w:hint="eastAsia" w:asciiTheme="minorEastAsia" w:hAnsiTheme="minorEastAsia" w:eastAsiaTheme="minorEastAsia" w:cstheme="minorEastAsia"/>
          <w:color w:val="auto"/>
        </w:rPr>
      </w:pPr>
    </w:p>
    <w:p w14:paraId="6CBB22CB">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附件2：</w:t>
      </w:r>
    </w:p>
    <w:p w14:paraId="14A7B0A7">
      <w:pPr>
        <w:snapToGrid w:val="0"/>
        <w:spacing w:before="50" w:after="156" w:afterLines="50" w:line="360" w:lineRule="auto"/>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投标人直接控股、管理关系信息表</w:t>
      </w:r>
    </w:p>
    <w:tbl>
      <w:tblPr>
        <w:tblStyle w:val="12"/>
        <w:tblW w:w="12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09"/>
        <w:gridCol w:w="1384"/>
        <w:gridCol w:w="4163"/>
        <w:gridCol w:w="4536"/>
      </w:tblGrid>
      <w:tr w14:paraId="6B5D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73" w:type="dxa"/>
            <w:gridSpan w:val="4"/>
            <w:shd w:val="clear" w:color="auto" w:fill="F2DBDB"/>
            <w:noWrap w:val="0"/>
            <w:vAlign w:val="center"/>
          </w:tcPr>
          <w:p w14:paraId="7B605525">
            <w:pPr>
              <w:snapToGrid w:val="0"/>
              <w:spacing w:before="156" w:beforeLines="50" w:after="50"/>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投标人直接控股股东信息表</w:t>
            </w:r>
          </w:p>
        </w:tc>
        <w:tc>
          <w:tcPr>
            <w:tcW w:w="4536" w:type="dxa"/>
            <w:shd w:val="clear" w:color="auto" w:fill="F2DBDB"/>
            <w:noWrap w:val="0"/>
            <w:vAlign w:val="center"/>
          </w:tcPr>
          <w:p w14:paraId="79DB757A">
            <w:pPr>
              <w:snapToGrid w:val="0"/>
              <w:spacing w:before="156" w:beforeLines="50" w:after="50"/>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说明</w:t>
            </w:r>
          </w:p>
        </w:tc>
      </w:tr>
      <w:tr w14:paraId="5D21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463E447E">
            <w:pPr>
              <w:spacing w:line="360" w:lineRule="exact"/>
              <w:jc w:val="center"/>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序号</w:t>
            </w:r>
          </w:p>
        </w:tc>
        <w:tc>
          <w:tcPr>
            <w:tcW w:w="1309" w:type="dxa"/>
            <w:noWrap w:val="0"/>
            <w:vAlign w:val="center"/>
          </w:tcPr>
          <w:p w14:paraId="43FFC6E5">
            <w:pPr>
              <w:spacing w:line="360" w:lineRule="exact"/>
              <w:jc w:val="center"/>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直接控股股东名称</w:t>
            </w:r>
          </w:p>
        </w:tc>
        <w:tc>
          <w:tcPr>
            <w:tcW w:w="1384" w:type="dxa"/>
            <w:noWrap w:val="0"/>
            <w:vAlign w:val="center"/>
          </w:tcPr>
          <w:p w14:paraId="74F847EF">
            <w:pPr>
              <w:spacing w:line="360" w:lineRule="exact"/>
              <w:jc w:val="center"/>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出资比例</w:t>
            </w:r>
          </w:p>
        </w:tc>
        <w:tc>
          <w:tcPr>
            <w:tcW w:w="4163" w:type="dxa"/>
            <w:noWrap w:val="0"/>
            <w:vAlign w:val="center"/>
          </w:tcPr>
          <w:p w14:paraId="235077EF">
            <w:pPr>
              <w:spacing w:line="360" w:lineRule="exact"/>
              <w:jc w:val="center"/>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身份证号码或者统一社会信用代码</w:t>
            </w:r>
          </w:p>
        </w:tc>
        <w:tc>
          <w:tcPr>
            <w:tcW w:w="4536" w:type="dxa"/>
            <w:vMerge w:val="restart"/>
            <w:noWrap w:val="0"/>
            <w:vAlign w:val="center"/>
          </w:tcPr>
          <w:p w14:paraId="30677715">
            <w:pPr>
              <w:snapToGrid w:val="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BA4FE84">
            <w:pPr>
              <w:snapToGrid w:val="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2.本表所指的控股关系仅限于直接控股关系，不包括间接的控股关系。公司实际控制人与公司之间的关系不属于本表所指的直接控股关系。</w:t>
            </w:r>
          </w:p>
          <w:p w14:paraId="4F02FDDE">
            <w:pPr>
              <w:snapToGrid w:val="0"/>
              <w:jc w:val="left"/>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color w:val="auto"/>
                <w:szCs w:val="21"/>
              </w:rPr>
              <w:t>3.供应商不存在直接控股股东的，则填“无”。</w:t>
            </w:r>
          </w:p>
        </w:tc>
      </w:tr>
      <w:tr w14:paraId="1863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5FAF252D">
            <w:pPr>
              <w:snapToGrid w:val="0"/>
              <w:spacing w:before="156" w:beforeLines="50" w:after="50"/>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w:t>
            </w:r>
          </w:p>
        </w:tc>
        <w:tc>
          <w:tcPr>
            <w:tcW w:w="1309" w:type="dxa"/>
            <w:noWrap w:val="0"/>
            <w:vAlign w:val="top"/>
          </w:tcPr>
          <w:p w14:paraId="4CB76A6E">
            <w:pPr>
              <w:snapToGrid w:val="0"/>
              <w:spacing w:before="156" w:beforeLines="50" w:after="50"/>
              <w:jc w:val="left"/>
              <w:rPr>
                <w:rFonts w:hint="eastAsia" w:asciiTheme="minorEastAsia" w:hAnsiTheme="minorEastAsia" w:eastAsiaTheme="minorEastAsia" w:cstheme="minorEastAsia"/>
                <w:b/>
                <w:color w:val="auto"/>
                <w:szCs w:val="21"/>
              </w:rPr>
            </w:pPr>
          </w:p>
        </w:tc>
        <w:tc>
          <w:tcPr>
            <w:tcW w:w="1384" w:type="dxa"/>
            <w:noWrap w:val="0"/>
            <w:vAlign w:val="top"/>
          </w:tcPr>
          <w:p w14:paraId="6677D9CC">
            <w:pPr>
              <w:snapToGrid w:val="0"/>
              <w:spacing w:before="156" w:beforeLines="50" w:after="50"/>
              <w:jc w:val="left"/>
              <w:rPr>
                <w:rFonts w:hint="eastAsia" w:asciiTheme="minorEastAsia" w:hAnsiTheme="minorEastAsia" w:eastAsiaTheme="minorEastAsia" w:cstheme="minorEastAsia"/>
                <w:b/>
                <w:color w:val="auto"/>
                <w:szCs w:val="21"/>
              </w:rPr>
            </w:pPr>
          </w:p>
        </w:tc>
        <w:tc>
          <w:tcPr>
            <w:tcW w:w="4163" w:type="dxa"/>
            <w:noWrap w:val="0"/>
            <w:vAlign w:val="top"/>
          </w:tcPr>
          <w:p w14:paraId="7471893F">
            <w:pPr>
              <w:snapToGrid w:val="0"/>
              <w:spacing w:before="156" w:beforeLines="50" w:after="50"/>
              <w:jc w:val="left"/>
              <w:rPr>
                <w:rFonts w:hint="eastAsia" w:asciiTheme="minorEastAsia" w:hAnsiTheme="minorEastAsia" w:eastAsiaTheme="minorEastAsia" w:cstheme="minorEastAsia"/>
                <w:b/>
                <w:color w:val="auto"/>
                <w:szCs w:val="21"/>
              </w:rPr>
            </w:pPr>
          </w:p>
        </w:tc>
        <w:tc>
          <w:tcPr>
            <w:tcW w:w="4536" w:type="dxa"/>
            <w:vMerge w:val="continue"/>
            <w:noWrap w:val="0"/>
            <w:vAlign w:val="top"/>
          </w:tcPr>
          <w:p w14:paraId="6E223151">
            <w:pPr>
              <w:snapToGrid w:val="0"/>
              <w:jc w:val="left"/>
              <w:rPr>
                <w:rFonts w:hint="eastAsia" w:asciiTheme="minorEastAsia" w:hAnsiTheme="minorEastAsia" w:eastAsiaTheme="minorEastAsia" w:cstheme="minorEastAsia"/>
                <w:color w:val="auto"/>
                <w:szCs w:val="21"/>
              </w:rPr>
            </w:pPr>
          </w:p>
        </w:tc>
      </w:tr>
      <w:tr w14:paraId="0E15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2045C714">
            <w:pPr>
              <w:snapToGrid w:val="0"/>
              <w:spacing w:before="156" w:beforeLines="50" w:after="50"/>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2</w:t>
            </w:r>
          </w:p>
        </w:tc>
        <w:tc>
          <w:tcPr>
            <w:tcW w:w="1309" w:type="dxa"/>
            <w:noWrap w:val="0"/>
            <w:vAlign w:val="top"/>
          </w:tcPr>
          <w:p w14:paraId="459F22F6">
            <w:pPr>
              <w:snapToGrid w:val="0"/>
              <w:spacing w:before="156" w:beforeLines="50" w:after="50"/>
              <w:jc w:val="left"/>
              <w:rPr>
                <w:rFonts w:hint="eastAsia" w:asciiTheme="minorEastAsia" w:hAnsiTheme="minorEastAsia" w:eastAsiaTheme="minorEastAsia" w:cstheme="minorEastAsia"/>
                <w:b/>
                <w:color w:val="auto"/>
                <w:szCs w:val="21"/>
              </w:rPr>
            </w:pPr>
          </w:p>
        </w:tc>
        <w:tc>
          <w:tcPr>
            <w:tcW w:w="1384" w:type="dxa"/>
            <w:noWrap w:val="0"/>
            <w:vAlign w:val="top"/>
          </w:tcPr>
          <w:p w14:paraId="41683AF1">
            <w:pPr>
              <w:snapToGrid w:val="0"/>
              <w:spacing w:before="156" w:beforeLines="50" w:after="50"/>
              <w:jc w:val="left"/>
              <w:rPr>
                <w:rFonts w:hint="eastAsia" w:asciiTheme="minorEastAsia" w:hAnsiTheme="minorEastAsia" w:eastAsiaTheme="minorEastAsia" w:cstheme="minorEastAsia"/>
                <w:b/>
                <w:color w:val="auto"/>
                <w:szCs w:val="21"/>
              </w:rPr>
            </w:pPr>
          </w:p>
        </w:tc>
        <w:tc>
          <w:tcPr>
            <w:tcW w:w="4163" w:type="dxa"/>
            <w:noWrap w:val="0"/>
            <w:vAlign w:val="top"/>
          </w:tcPr>
          <w:p w14:paraId="31A3DD7E">
            <w:pPr>
              <w:snapToGrid w:val="0"/>
              <w:spacing w:before="156" w:beforeLines="50" w:after="50"/>
              <w:jc w:val="left"/>
              <w:rPr>
                <w:rFonts w:hint="eastAsia" w:asciiTheme="minorEastAsia" w:hAnsiTheme="minorEastAsia" w:eastAsiaTheme="minorEastAsia" w:cstheme="minorEastAsia"/>
                <w:b/>
                <w:color w:val="auto"/>
                <w:szCs w:val="21"/>
              </w:rPr>
            </w:pPr>
          </w:p>
        </w:tc>
        <w:tc>
          <w:tcPr>
            <w:tcW w:w="4536" w:type="dxa"/>
            <w:vMerge w:val="continue"/>
            <w:noWrap w:val="0"/>
            <w:vAlign w:val="top"/>
          </w:tcPr>
          <w:p w14:paraId="4278126A">
            <w:pPr>
              <w:snapToGrid w:val="0"/>
              <w:spacing w:before="156" w:beforeLines="50" w:after="50"/>
              <w:jc w:val="left"/>
              <w:rPr>
                <w:rFonts w:hint="eastAsia" w:asciiTheme="minorEastAsia" w:hAnsiTheme="minorEastAsia" w:eastAsiaTheme="minorEastAsia" w:cstheme="minorEastAsia"/>
                <w:b/>
                <w:color w:val="auto"/>
                <w:szCs w:val="21"/>
              </w:rPr>
            </w:pPr>
          </w:p>
        </w:tc>
      </w:tr>
      <w:tr w14:paraId="5601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Borders>
              <w:bottom w:val="single" w:color="auto" w:sz="4" w:space="0"/>
            </w:tcBorders>
            <w:noWrap w:val="0"/>
            <w:vAlign w:val="top"/>
          </w:tcPr>
          <w:p w14:paraId="6F308D51">
            <w:pPr>
              <w:snapToGrid w:val="0"/>
              <w:spacing w:before="156" w:beforeLines="50" w:after="50"/>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kern w:val="0"/>
                <w:szCs w:val="21"/>
              </w:rPr>
              <w:t>……</w:t>
            </w:r>
          </w:p>
        </w:tc>
        <w:tc>
          <w:tcPr>
            <w:tcW w:w="1309" w:type="dxa"/>
            <w:tcBorders>
              <w:bottom w:val="single" w:color="auto" w:sz="4" w:space="0"/>
            </w:tcBorders>
            <w:noWrap w:val="0"/>
            <w:vAlign w:val="top"/>
          </w:tcPr>
          <w:p w14:paraId="11FB19EA">
            <w:pPr>
              <w:snapToGrid w:val="0"/>
              <w:spacing w:before="156" w:beforeLines="50" w:after="50"/>
              <w:jc w:val="left"/>
              <w:rPr>
                <w:rFonts w:hint="eastAsia" w:asciiTheme="minorEastAsia" w:hAnsiTheme="minorEastAsia" w:eastAsiaTheme="minorEastAsia" w:cstheme="minorEastAsia"/>
                <w:b/>
                <w:color w:val="auto"/>
                <w:szCs w:val="21"/>
              </w:rPr>
            </w:pPr>
          </w:p>
        </w:tc>
        <w:tc>
          <w:tcPr>
            <w:tcW w:w="1384" w:type="dxa"/>
            <w:tcBorders>
              <w:bottom w:val="single" w:color="auto" w:sz="4" w:space="0"/>
            </w:tcBorders>
            <w:noWrap w:val="0"/>
            <w:vAlign w:val="top"/>
          </w:tcPr>
          <w:p w14:paraId="161784AA">
            <w:pPr>
              <w:snapToGrid w:val="0"/>
              <w:spacing w:before="156" w:beforeLines="50" w:after="50"/>
              <w:jc w:val="left"/>
              <w:rPr>
                <w:rFonts w:hint="eastAsia" w:asciiTheme="minorEastAsia" w:hAnsiTheme="minorEastAsia" w:eastAsiaTheme="minorEastAsia" w:cstheme="minorEastAsia"/>
                <w:b/>
                <w:color w:val="auto"/>
                <w:szCs w:val="21"/>
              </w:rPr>
            </w:pPr>
          </w:p>
        </w:tc>
        <w:tc>
          <w:tcPr>
            <w:tcW w:w="4163" w:type="dxa"/>
            <w:tcBorders>
              <w:bottom w:val="single" w:color="auto" w:sz="4" w:space="0"/>
            </w:tcBorders>
            <w:noWrap w:val="0"/>
            <w:vAlign w:val="top"/>
          </w:tcPr>
          <w:p w14:paraId="4C98F250">
            <w:pPr>
              <w:snapToGrid w:val="0"/>
              <w:spacing w:before="156" w:beforeLines="50" w:after="50"/>
              <w:jc w:val="left"/>
              <w:rPr>
                <w:rFonts w:hint="eastAsia" w:asciiTheme="minorEastAsia" w:hAnsiTheme="minorEastAsia" w:eastAsiaTheme="minorEastAsia" w:cstheme="minorEastAsia"/>
                <w:b/>
                <w:color w:val="auto"/>
                <w:szCs w:val="21"/>
              </w:rPr>
            </w:pPr>
          </w:p>
        </w:tc>
        <w:tc>
          <w:tcPr>
            <w:tcW w:w="4536" w:type="dxa"/>
            <w:vMerge w:val="continue"/>
            <w:tcBorders>
              <w:bottom w:val="single" w:color="auto" w:sz="4" w:space="0"/>
            </w:tcBorders>
            <w:noWrap w:val="0"/>
            <w:vAlign w:val="top"/>
          </w:tcPr>
          <w:p w14:paraId="25E36D15">
            <w:pPr>
              <w:snapToGrid w:val="0"/>
              <w:spacing w:before="156" w:beforeLines="50" w:after="50"/>
              <w:jc w:val="left"/>
              <w:rPr>
                <w:rFonts w:hint="eastAsia" w:asciiTheme="minorEastAsia" w:hAnsiTheme="minorEastAsia" w:eastAsiaTheme="minorEastAsia" w:cstheme="minorEastAsia"/>
                <w:b/>
                <w:color w:val="auto"/>
                <w:szCs w:val="21"/>
              </w:rPr>
            </w:pPr>
          </w:p>
        </w:tc>
      </w:tr>
      <w:tr w14:paraId="63AD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73" w:type="dxa"/>
            <w:gridSpan w:val="4"/>
            <w:shd w:val="clear" w:color="auto" w:fill="F2DBDB"/>
            <w:noWrap w:val="0"/>
            <w:vAlign w:val="center"/>
          </w:tcPr>
          <w:p w14:paraId="72061FF8">
            <w:pPr>
              <w:snapToGrid w:val="0"/>
              <w:spacing w:before="156" w:beforeLines="50" w:after="50"/>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投标人直接管理关系信息表</w:t>
            </w:r>
          </w:p>
        </w:tc>
        <w:tc>
          <w:tcPr>
            <w:tcW w:w="4536" w:type="dxa"/>
            <w:shd w:val="clear" w:color="auto" w:fill="F2DBDB"/>
            <w:noWrap w:val="0"/>
            <w:vAlign w:val="center"/>
          </w:tcPr>
          <w:p w14:paraId="4B889ED3">
            <w:pPr>
              <w:snapToGrid w:val="0"/>
              <w:spacing w:before="156" w:beforeLines="50" w:after="50"/>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说明</w:t>
            </w:r>
          </w:p>
        </w:tc>
      </w:tr>
      <w:tr w14:paraId="130D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318EEAC5">
            <w:pPr>
              <w:snapToGrid w:val="0"/>
              <w:spacing w:before="156" w:beforeLines="50" w:after="50"/>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kern w:val="0"/>
                <w:szCs w:val="21"/>
              </w:rPr>
              <w:t>序号</w:t>
            </w:r>
          </w:p>
        </w:tc>
        <w:tc>
          <w:tcPr>
            <w:tcW w:w="2693" w:type="dxa"/>
            <w:gridSpan w:val="2"/>
            <w:noWrap w:val="0"/>
            <w:vAlign w:val="center"/>
          </w:tcPr>
          <w:p w14:paraId="3B62DEF5">
            <w:pPr>
              <w:snapToGrid w:val="0"/>
              <w:spacing w:before="156" w:beforeLines="50" w:after="50"/>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kern w:val="0"/>
                <w:szCs w:val="21"/>
              </w:rPr>
              <w:t>直接管理关系单位名称</w:t>
            </w:r>
          </w:p>
        </w:tc>
        <w:tc>
          <w:tcPr>
            <w:tcW w:w="4163" w:type="dxa"/>
            <w:noWrap w:val="0"/>
            <w:vAlign w:val="center"/>
          </w:tcPr>
          <w:p w14:paraId="6CAD11EF">
            <w:pPr>
              <w:snapToGrid w:val="0"/>
              <w:spacing w:before="156" w:beforeLines="50" w:after="50"/>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kern w:val="0"/>
                <w:szCs w:val="21"/>
              </w:rPr>
              <w:t>统一社会信用代码</w:t>
            </w:r>
          </w:p>
        </w:tc>
        <w:tc>
          <w:tcPr>
            <w:tcW w:w="4536" w:type="dxa"/>
            <w:vMerge w:val="restart"/>
            <w:noWrap w:val="0"/>
            <w:vAlign w:val="center"/>
          </w:tcPr>
          <w:p w14:paraId="28A57631">
            <w:pPr>
              <w:snapToGrid w:val="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1.管理关系：是指不具有出资持股关系的其他单位之间存在的管理与被管理关系，如一些上下级关系的事业单位和团体组织。</w:t>
            </w:r>
          </w:p>
          <w:p w14:paraId="2F1DD5E1">
            <w:pPr>
              <w:snapToGrid w:val="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2.本表所指的管理关系仅限于直接管理关系，不包括间接的管理关系。</w:t>
            </w:r>
          </w:p>
          <w:p w14:paraId="4CD8F99D">
            <w:pPr>
              <w:snapToGrid w:val="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3.供应商不存在直接管理关系的，则填“无”。</w:t>
            </w:r>
          </w:p>
        </w:tc>
      </w:tr>
      <w:tr w14:paraId="49BA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60545E59">
            <w:pPr>
              <w:snapToGrid w:val="0"/>
              <w:spacing w:before="156" w:beforeLines="50" w:after="50"/>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w:t>
            </w:r>
          </w:p>
        </w:tc>
        <w:tc>
          <w:tcPr>
            <w:tcW w:w="2693" w:type="dxa"/>
            <w:gridSpan w:val="2"/>
            <w:noWrap w:val="0"/>
            <w:vAlign w:val="center"/>
          </w:tcPr>
          <w:p w14:paraId="566F4D5B">
            <w:pPr>
              <w:snapToGrid w:val="0"/>
              <w:spacing w:before="156" w:beforeLines="50" w:after="50"/>
              <w:jc w:val="center"/>
              <w:rPr>
                <w:rFonts w:hint="eastAsia" w:asciiTheme="minorEastAsia" w:hAnsiTheme="minorEastAsia" w:eastAsiaTheme="minorEastAsia" w:cstheme="minorEastAsia"/>
                <w:b/>
                <w:bCs/>
                <w:color w:val="auto"/>
                <w:kern w:val="0"/>
                <w:szCs w:val="21"/>
              </w:rPr>
            </w:pPr>
          </w:p>
        </w:tc>
        <w:tc>
          <w:tcPr>
            <w:tcW w:w="4163" w:type="dxa"/>
            <w:noWrap w:val="0"/>
            <w:vAlign w:val="center"/>
          </w:tcPr>
          <w:p w14:paraId="3D236EA3">
            <w:pPr>
              <w:snapToGrid w:val="0"/>
              <w:spacing w:before="156" w:beforeLines="50" w:after="50"/>
              <w:jc w:val="center"/>
              <w:rPr>
                <w:rFonts w:hint="eastAsia" w:asciiTheme="minorEastAsia" w:hAnsiTheme="minorEastAsia" w:eastAsiaTheme="minorEastAsia" w:cstheme="minorEastAsia"/>
                <w:b/>
                <w:bCs/>
                <w:color w:val="auto"/>
                <w:kern w:val="0"/>
                <w:szCs w:val="21"/>
              </w:rPr>
            </w:pPr>
          </w:p>
        </w:tc>
        <w:tc>
          <w:tcPr>
            <w:tcW w:w="4536" w:type="dxa"/>
            <w:vMerge w:val="continue"/>
            <w:noWrap w:val="0"/>
            <w:vAlign w:val="center"/>
          </w:tcPr>
          <w:p w14:paraId="713196E9">
            <w:pPr>
              <w:snapToGrid w:val="0"/>
              <w:jc w:val="left"/>
              <w:rPr>
                <w:rFonts w:hint="eastAsia" w:asciiTheme="minorEastAsia" w:hAnsiTheme="minorEastAsia" w:eastAsiaTheme="minorEastAsia" w:cstheme="minorEastAsia"/>
                <w:color w:val="auto"/>
                <w:szCs w:val="21"/>
              </w:rPr>
            </w:pPr>
          </w:p>
        </w:tc>
      </w:tr>
      <w:tr w14:paraId="060A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2F83240D">
            <w:pPr>
              <w:snapToGrid w:val="0"/>
              <w:spacing w:before="156" w:beforeLines="50" w:after="50"/>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2</w:t>
            </w:r>
          </w:p>
        </w:tc>
        <w:tc>
          <w:tcPr>
            <w:tcW w:w="2693" w:type="dxa"/>
            <w:gridSpan w:val="2"/>
            <w:noWrap w:val="0"/>
            <w:vAlign w:val="center"/>
          </w:tcPr>
          <w:p w14:paraId="01D518E8">
            <w:pPr>
              <w:snapToGrid w:val="0"/>
              <w:spacing w:before="156" w:beforeLines="50" w:after="50"/>
              <w:jc w:val="center"/>
              <w:rPr>
                <w:rFonts w:hint="eastAsia" w:asciiTheme="minorEastAsia" w:hAnsiTheme="minorEastAsia" w:eastAsiaTheme="minorEastAsia" w:cstheme="minorEastAsia"/>
                <w:b/>
                <w:bCs/>
                <w:color w:val="auto"/>
                <w:kern w:val="0"/>
                <w:szCs w:val="21"/>
              </w:rPr>
            </w:pPr>
          </w:p>
        </w:tc>
        <w:tc>
          <w:tcPr>
            <w:tcW w:w="4163" w:type="dxa"/>
            <w:noWrap w:val="0"/>
            <w:vAlign w:val="center"/>
          </w:tcPr>
          <w:p w14:paraId="1587044B">
            <w:pPr>
              <w:snapToGrid w:val="0"/>
              <w:spacing w:before="156" w:beforeLines="50" w:after="50"/>
              <w:jc w:val="center"/>
              <w:rPr>
                <w:rFonts w:hint="eastAsia" w:asciiTheme="minorEastAsia" w:hAnsiTheme="minorEastAsia" w:eastAsiaTheme="minorEastAsia" w:cstheme="minorEastAsia"/>
                <w:b/>
                <w:bCs/>
                <w:color w:val="auto"/>
                <w:kern w:val="0"/>
                <w:szCs w:val="21"/>
              </w:rPr>
            </w:pPr>
          </w:p>
        </w:tc>
        <w:tc>
          <w:tcPr>
            <w:tcW w:w="4536" w:type="dxa"/>
            <w:vMerge w:val="continue"/>
            <w:noWrap w:val="0"/>
            <w:vAlign w:val="center"/>
          </w:tcPr>
          <w:p w14:paraId="299029C1">
            <w:pPr>
              <w:snapToGrid w:val="0"/>
              <w:jc w:val="left"/>
              <w:rPr>
                <w:rFonts w:hint="eastAsia" w:asciiTheme="minorEastAsia" w:hAnsiTheme="minorEastAsia" w:eastAsiaTheme="minorEastAsia" w:cstheme="minorEastAsia"/>
                <w:color w:val="auto"/>
                <w:szCs w:val="21"/>
              </w:rPr>
            </w:pPr>
          </w:p>
        </w:tc>
      </w:tr>
      <w:tr w14:paraId="5CDC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5120B8BF">
            <w:pPr>
              <w:snapToGrid w:val="0"/>
              <w:spacing w:before="156" w:beforeLines="50" w:after="50"/>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kern w:val="0"/>
                <w:szCs w:val="21"/>
              </w:rPr>
              <w:t>……</w:t>
            </w:r>
          </w:p>
        </w:tc>
        <w:tc>
          <w:tcPr>
            <w:tcW w:w="2693" w:type="dxa"/>
            <w:gridSpan w:val="2"/>
            <w:noWrap w:val="0"/>
            <w:vAlign w:val="center"/>
          </w:tcPr>
          <w:p w14:paraId="17FD4101">
            <w:pPr>
              <w:snapToGrid w:val="0"/>
              <w:spacing w:before="156" w:beforeLines="50" w:after="50"/>
              <w:jc w:val="center"/>
              <w:rPr>
                <w:rFonts w:hint="eastAsia" w:asciiTheme="minorEastAsia" w:hAnsiTheme="minorEastAsia" w:eastAsiaTheme="minorEastAsia" w:cstheme="minorEastAsia"/>
                <w:b/>
                <w:bCs/>
                <w:color w:val="auto"/>
                <w:kern w:val="0"/>
                <w:szCs w:val="21"/>
              </w:rPr>
            </w:pPr>
          </w:p>
        </w:tc>
        <w:tc>
          <w:tcPr>
            <w:tcW w:w="4163" w:type="dxa"/>
            <w:noWrap w:val="0"/>
            <w:vAlign w:val="center"/>
          </w:tcPr>
          <w:p w14:paraId="689AA734">
            <w:pPr>
              <w:snapToGrid w:val="0"/>
              <w:spacing w:before="156" w:beforeLines="50" w:after="50"/>
              <w:jc w:val="center"/>
              <w:rPr>
                <w:rFonts w:hint="eastAsia" w:asciiTheme="minorEastAsia" w:hAnsiTheme="minorEastAsia" w:eastAsiaTheme="minorEastAsia" w:cstheme="minorEastAsia"/>
                <w:b/>
                <w:bCs/>
                <w:color w:val="auto"/>
                <w:kern w:val="0"/>
                <w:szCs w:val="21"/>
              </w:rPr>
            </w:pPr>
          </w:p>
        </w:tc>
        <w:tc>
          <w:tcPr>
            <w:tcW w:w="4536" w:type="dxa"/>
            <w:vMerge w:val="continue"/>
            <w:noWrap w:val="0"/>
            <w:vAlign w:val="center"/>
          </w:tcPr>
          <w:p w14:paraId="6DE108A1">
            <w:pPr>
              <w:snapToGrid w:val="0"/>
              <w:jc w:val="left"/>
              <w:rPr>
                <w:rFonts w:hint="eastAsia" w:asciiTheme="minorEastAsia" w:hAnsiTheme="minorEastAsia" w:eastAsiaTheme="minorEastAsia" w:cstheme="minorEastAsia"/>
                <w:color w:val="auto"/>
                <w:szCs w:val="21"/>
              </w:rPr>
            </w:pPr>
          </w:p>
        </w:tc>
      </w:tr>
    </w:tbl>
    <w:p w14:paraId="281EA2AE">
      <w:pPr>
        <w:snapToGrid w:val="0"/>
        <w:spacing w:line="360" w:lineRule="auto"/>
        <w:jc w:val="left"/>
        <w:rPr>
          <w:rFonts w:hint="eastAsia" w:asciiTheme="minorEastAsia" w:hAnsiTheme="minorEastAsia" w:eastAsiaTheme="minorEastAsia" w:cstheme="minorEastAsia"/>
          <w:color w:val="auto"/>
          <w:sz w:val="24"/>
        </w:rPr>
      </w:pPr>
    </w:p>
    <w:p w14:paraId="7BA66D78">
      <w:pPr>
        <w:snapToGrid w:val="0"/>
        <w:spacing w:line="360" w:lineRule="auto"/>
        <w:ind w:firstLine="4840" w:firstLineChars="2200"/>
        <w:rPr>
          <w:rFonts w:hint="eastAsia" w:asciiTheme="minorEastAsia" w:hAnsiTheme="minorEastAsia" w:eastAsiaTheme="minorEastAsia" w:cstheme="minorEastAsia"/>
          <w:color w:val="auto"/>
          <w:kern w:val="0"/>
          <w:sz w:val="22"/>
          <w:u w:val="single"/>
        </w:rPr>
      </w:pPr>
      <w:r>
        <w:rPr>
          <w:rFonts w:hint="eastAsia" w:asciiTheme="minorEastAsia" w:hAnsiTheme="minorEastAsia" w:eastAsiaTheme="minorEastAsia" w:cstheme="minorEastAsia"/>
          <w:color w:val="auto"/>
          <w:kern w:val="0"/>
          <w:sz w:val="22"/>
          <w:lang w:val="zh-CN"/>
        </w:rPr>
        <w:t>投标人名称(</w:t>
      </w:r>
      <w:r>
        <w:rPr>
          <w:rFonts w:hint="eastAsia" w:asciiTheme="minorEastAsia" w:hAnsiTheme="minorEastAsia" w:eastAsiaTheme="minorEastAsia" w:cstheme="minorEastAsia"/>
          <w:color w:val="auto"/>
          <w:kern w:val="0"/>
          <w:sz w:val="22"/>
          <w:lang w:val="en-US" w:eastAsia="zh-CN"/>
        </w:rPr>
        <w:t>公章</w:t>
      </w:r>
      <w:r>
        <w:rPr>
          <w:rFonts w:hint="eastAsia" w:asciiTheme="minorEastAsia" w:hAnsiTheme="minorEastAsia" w:eastAsiaTheme="minorEastAsia" w:cstheme="minorEastAsia"/>
          <w:color w:val="auto"/>
          <w:kern w:val="0"/>
          <w:sz w:val="22"/>
          <w:lang w:val="zh-CN"/>
        </w:rPr>
        <w:t>)：</w:t>
      </w:r>
      <w:r>
        <w:rPr>
          <w:rFonts w:hint="eastAsia" w:asciiTheme="minorEastAsia" w:hAnsiTheme="minorEastAsia" w:eastAsiaTheme="minorEastAsia" w:cstheme="minorEastAsia"/>
          <w:color w:val="auto"/>
          <w:kern w:val="0"/>
          <w:sz w:val="22"/>
          <w:u w:val="single"/>
          <w:lang w:val="zh-CN"/>
        </w:rPr>
        <w:t xml:space="preserve">          </w:t>
      </w:r>
    </w:p>
    <w:p w14:paraId="6D1234EA">
      <w:pPr>
        <w:snapToGrid w:val="0"/>
        <w:spacing w:line="360" w:lineRule="auto"/>
        <w:ind w:firstLine="4730" w:firstLineChars="215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kern w:val="0"/>
          <w:sz w:val="22"/>
          <w:lang w:val="zh-CN"/>
        </w:rPr>
        <w:t>日期</w:t>
      </w:r>
      <w:r>
        <w:rPr>
          <w:rFonts w:hint="eastAsia" w:asciiTheme="minorEastAsia" w:hAnsiTheme="minorEastAsia" w:eastAsiaTheme="minorEastAsia" w:cstheme="minorEastAsia"/>
          <w:color w:val="auto"/>
          <w:kern w:val="0"/>
          <w:sz w:val="22"/>
        </w:rPr>
        <w:t xml:space="preserve">：  年  </w:t>
      </w:r>
      <w:r>
        <w:rPr>
          <w:rFonts w:hint="eastAsia" w:asciiTheme="minorEastAsia" w:hAnsiTheme="minorEastAsia" w:eastAsiaTheme="minorEastAsia" w:cstheme="minorEastAsia"/>
          <w:color w:val="auto"/>
          <w:kern w:val="0"/>
          <w:sz w:val="22"/>
          <w:lang w:val="zh-CN"/>
        </w:rPr>
        <w:t>月</w:t>
      </w:r>
      <w:r>
        <w:rPr>
          <w:rFonts w:hint="eastAsia" w:asciiTheme="minorEastAsia" w:hAnsiTheme="minorEastAsia" w:eastAsiaTheme="minorEastAsia" w:cstheme="minorEastAsia"/>
          <w:color w:val="auto"/>
          <w:kern w:val="0"/>
          <w:sz w:val="22"/>
        </w:rPr>
        <w:t xml:space="preserve">   </w:t>
      </w:r>
      <w:r>
        <w:rPr>
          <w:rFonts w:hint="eastAsia" w:asciiTheme="minorEastAsia" w:hAnsiTheme="minorEastAsia" w:eastAsiaTheme="minorEastAsia" w:cstheme="minorEastAsia"/>
          <w:color w:val="auto"/>
          <w:kern w:val="0"/>
          <w:sz w:val="22"/>
          <w:lang w:val="zh-CN"/>
        </w:rPr>
        <w:t>日</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7D25E8"/>
    <w:multiLevelType w:val="singleLevel"/>
    <w:tmpl w:val="AD7D25E8"/>
    <w:lvl w:ilvl="0" w:tentative="0">
      <w:start w:val="1"/>
      <w:numFmt w:val="chineseCounting"/>
      <w:suff w:val="space"/>
      <w:lvlText w:val="第%1章"/>
      <w:lvlJc w:val="left"/>
      <w:rPr>
        <w:rFonts w:hint="eastAsia"/>
      </w:rPr>
    </w:lvl>
  </w:abstractNum>
  <w:abstractNum w:abstractNumId="1">
    <w:nsid w:val="DD70CA63"/>
    <w:multiLevelType w:val="singleLevel"/>
    <w:tmpl w:val="DD70CA63"/>
    <w:lvl w:ilvl="0" w:tentative="0">
      <w:start w:val="5"/>
      <w:numFmt w:val="decimal"/>
      <w:suff w:val="nothing"/>
      <w:lvlText w:val="%1、"/>
      <w:lvlJc w:val="left"/>
    </w:lvl>
  </w:abstractNum>
  <w:abstractNum w:abstractNumId="2">
    <w:nsid w:val="EA9C1680"/>
    <w:multiLevelType w:val="singleLevel"/>
    <w:tmpl w:val="EA9C1680"/>
    <w:lvl w:ilvl="0" w:tentative="0">
      <w:start w:val="1"/>
      <w:numFmt w:val="decimal"/>
      <w:suff w:val="nothing"/>
      <w:lvlText w:val="%1、"/>
      <w:lvlJc w:val="left"/>
    </w:lvl>
  </w:abstractNum>
  <w:abstractNum w:abstractNumId="3">
    <w:nsid w:val="00000001"/>
    <w:multiLevelType w:val="multilevel"/>
    <w:tmpl w:val="00000001"/>
    <w:lvl w:ilvl="0" w:tentative="0">
      <w:start w:val="1"/>
      <w:numFmt w:val="japaneseCounting"/>
      <w:lvlText w:val="（%1）"/>
      <w:lvlJc w:val="left"/>
      <w:pPr>
        <w:tabs>
          <w:tab w:val="left" w:pos="0"/>
        </w:tabs>
        <w:ind w:left="1237" w:hanging="765"/>
      </w:pPr>
      <w:rPr>
        <w:rFonts w:hint="default"/>
      </w:rPr>
    </w:lvl>
    <w:lvl w:ilvl="1" w:tentative="0">
      <w:start w:val="1"/>
      <w:numFmt w:val="lowerLetter"/>
      <w:lvlText w:val="%2)"/>
      <w:lvlJc w:val="left"/>
      <w:pPr>
        <w:tabs>
          <w:tab w:val="left" w:pos="0"/>
        </w:tabs>
        <w:ind w:left="1312" w:hanging="420"/>
      </w:pPr>
    </w:lvl>
    <w:lvl w:ilvl="2" w:tentative="0">
      <w:start w:val="1"/>
      <w:numFmt w:val="lowerRoman"/>
      <w:lvlText w:val="%3."/>
      <w:lvlJc w:val="right"/>
      <w:pPr>
        <w:tabs>
          <w:tab w:val="left" w:pos="0"/>
        </w:tabs>
        <w:ind w:left="1732" w:hanging="420"/>
      </w:pPr>
    </w:lvl>
    <w:lvl w:ilvl="3" w:tentative="0">
      <w:start w:val="1"/>
      <w:numFmt w:val="decimal"/>
      <w:lvlText w:val="%4."/>
      <w:lvlJc w:val="left"/>
      <w:pPr>
        <w:tabs>
          <w:tab w:val="left" w:pos="0"/>
        </w:tabs>
        <w:ind w:left="2152" w:hanging="420"/>
      </w:pPr>
    </w:lvl>
    <w:lvl w:ilvl="4" w:tentative="0">
      <w:start w:val="1"/>
      <w:numFmt w:val="lowerLetter"/>
      <w:lvlText w:val="%5)"/>
      <w:lvlJc w:val="left"/>
      <w:pPr>
        <w:tabs>
          <w:tab w:val="left" w:pos="0"/>
        </w:tabs>
        <w:ind w:left="2572" w:hanging="420"/>
      </w:pPr>
    </w:lvl>
    <w:lvl w:ilvl="5" w:tentative="0">
      <w:start w:val="1"/>
      <w:numFmt w:val="lowerRoman"/>
      <w:lvlText w:val="%6."/>
      <w:lvlJc w:val="right"/>
      <w:pPr>
        <w:tabs>
          <w:tab w:val="left" w:pos="0"/>
        </w:tabs>
        <w:ind w:left="2992" w:hanging="420"/>
      </w:pPr>
    </w:lvl>
    <w:lvl w:ilvl="6" w:tentative="0">
      <w:start w:val="1"/>
      <w:numFmt w:val="decimal"/>
      <w:lvlText w:val="%7."/>
      <w:lvlJc w:val="left"/>
      <w:pPr>
        <w:tabs>
          <w:tab w:val="left" w:pos="0"/>
        </w:tabs>
        <w:ind w:left="3412" w:hanging="420"/>
      </w:pPr>
    </w:lvl>
    <w:lvl w:ilvl="7" w:tentative="0">
      <w:start w:val="1"/>
      <w:numFmt w:val="lowerLetter"/>
      <w:lvlText w:val="%8)"/>
      <w:lvlJc w:val="left"/>
      <w:pPr>
        <w:tabs>
          <w:tab w:val="left" w:pos="0"/>
        </w:tabs>
        <w:ind w:left="3832" w:hanging="420"/>
      </w:pPr>
    </w:lvl>
    <w:lvl w:ilvl="8" w:tentative="0">
      <w:start w:val="1"/>
      <w:numFmt w:val="lowerRoman"/>
      <w:lvlText w:val="%9."/>
      <w:lvlJc w:val="right"/>
      <w:pPr>
        <w:tabs>
          <w:tab w:val="left" w:pos="0"/>
        </w:tabs>
        <w:ind w:left="4252" w:hanging="420"/>
      </w:pPr>
    </w:lvl>
  </w:abstractNum>
  <w:abstractNum w:abstractNumId="4">
    <w:nsid w:val="262DC56C"/>
    <w:multiLevelType w:val="singleLevel"/>
    <w:tmpl w:val="262DC56C"/>
    <w:lvl w:ilvl="0" w:tentative="0">
      <w:start w:val="1"/>
      <w:numFmt w:val="decimal"/>
      <w:suff w:val="nothing"/>
      <w:lvlText w:val="%1、"/>
      <w:lvlJc w:val="left"/>
    </w:lvl>
  </w:abstractNum>
  <w:abstractNum w:abstractNumId="5">
    <w:nsid w:val="38B7E3FE"/>
    <w:multiLevelType w:val="singleLevel"/>
    <w:tmpl w:val="38B7E3FE"/>
    <w:lvl w:ilvl="0" w:tentative="0">
      <w:start w:val="1"/>
      <w:numFmt w:val="chineseCounting"/>
      <w:suff w:val="nothing"/>
      <w:lvlText w:val="%1、"/>
      <w:lvlJc w:val="left"/>
      <w:rPr>
        <w:rFonts w:hint="eastAsia"/>
      </w:rPr>
    </w:lvl>
  </w:abstractNum>
  <w:abstractNum w:abstractNumId="6">
    <w:nsid w:val="3C15C605"/>
    <w:multiLevelType w:val="singleLevel"/>
    <w:tmpl w:val="3C15C605"/>
    <w:lvl w:ilvl="0" w:tentative="0">
      <w:start w:val="1"/>
      <w:numFmt w:val="decimal"/>
      <w:suff w:val="space"/>
      <w:lvlText w:val="%1、"/>
      <w:lvlJc w:val="left"/>
    </w:lvl>
  </w:abstractNum>
  <w:abstractNum w:abstractNumId="7">
    <w:nsid w:val="5044B299"/>
    <w:multiLevelType w:val="singleLevel"/>
    <w:tmpl w:val="5044B299"/>
    <w:lvl w:ilvl="0" w:tentative="0">
      <w:start w:val="7"/>
      <w:numFmt w:val="chineseCounting"/>
      <w:suff w:val="nothing"/>
      <w:lvlText w:val="%1、"/>
      <w:lvlJc w:val="left"/>
      <w:rPr>
        <w:rFonts w:hint="eastAsia"/>
      </w:rPr>
    </w:lvl>
  </w:abstractNum>
  <w:num w:numId="1">
    <w:abstractNumId w:val="0"/>
  </w:num>
  <w:num w:numId="2">
    <w:abstractNumId w:val="5"/>
  </w:num>
  <w:num w:numId="3">
    <w:abstractNumId w:val="7"/>
  </w:num>
  <w:num w:numId="4">
    <w:abstractNumId w:val="1"/>
  </w:num>
  <w:num w:numId="5">
    <w:abstractNumId w:val="6"/>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393C70"/>
    <w:rsid w:val="00E84A89"/>
    <w:rsid w:val="01351F84"/>
    <w:rsid w:val="01883901"/>
    <w:rsid w:val="018D750F"/>
    <w:rsid w:val="01D54D98"/>
    <w:rsid w:val="03471AD6"/>
    <w:rsid w:val="036D3F63"/>
    <w:rsid w:val="04F721DD"/>
    <w:rsid w:val="05393C70"/>
    <w:rsid w:val="059F00D7"/>
    <w:rsid w:val="06003DFE"/>
    <w:rsid w:val="07A2371F"/>
    <w:rsid w:val="08053EFD"/>
    <w:rsid w:val="08397703"/>
    <w:rsid w:val="08927C62"/>
    <w:rsid w:val="08E7353A"/>
    <w:rsid w:val="09906355"/>
    <w:rsid w:val="09B63701"/>
    <w:rsid w:val="09C60A17"/>
    <w:rsid w:val="0AAA2B3A"/>
    <w:rsid w:val="0B1B7594"/>
    <w:rsid w:val="0B3D1979"/>
    <w:rsid w:val="0BFB4241"/>
    <w:rsid w:val="0C6F55EB"/>
    <w:rsid w:val="0CA85443"/>
    <w:rsid w:val="0CDA7428"/>
    <w:rsid w:val="0E26793E"/>
    <w:rsid w:val="0E294EE7"/>
    <w:rsid w:val="0E745939"/>
    <w:rsid w:val="0F2C397B"/>
    <w:rsid w:val="0F5D3091"/>
    <w:rsid w:val="11763776"/>
    <w:rsid w:val="11847C41"/>
    <w:rsid w:val="120518FF"/>
    <w:rsid w:val="138C756E"/>
    <w:rsid w:val="14786413"/>
    <w:rsid w:val="14A66120"/>
    <w:rsid w:val="14C10AEB"/>
    <w:rsid w:val="1585667E"/>
    <w:rsid w:val="15A73801"/>
    <w:rsid w:val="1651030E"/>
    <w:rsid w:val="166B13D0"/>
    <w:rsid w:val="168C23B2"/>
    <w:rsid w:val="16B5089D"/>
    <w:rsid w:val="17F04282"/>
    <w:rsid w:val="18356139"/>
    <w:rsid w:val="18631AFF"/>
    <w:rsid w:val="188B440E"/>
    <w:rsid w:val="19142B27"/>
    <w:rsid w:val="19510D51"/>
    <w:rsid w:val="1980050B"/>
    <w:rsid w:val="19E140B3"/>
    <w:rsid w:val="19FF59D9"/>
    <w:rsid w:val="1A7B777F"/>
    <w:rsid w:val="1AFE6CB6"/>
    <w:rsid w:val="1B0767FF"/>
    <w:rsid w:val="1B5B65FA"/>
    <w:rsid w:val="1B7C05B7"/>
    <w:rsid w:val="1C073948"/>
    <w:rsid w:val="1C0D4CD7"/>
    <w:rsid w:val="1C227AB3"/>
    <w:rsid w:val="1C9A0C60"/>
    <w:rsid w:val="1D44297A"/>
    <w:rsid w:val="1D492A09"/>
    <w:rsid w:val="1DD65CC8"/>
    <w:rsid w:val="1E0579F7"/>
    <w:rsid w:val="1E2D15D1"/>
    <w:rsid w:val="1EAA2CB1"/>
    <w:rsid w:val="1F325180"/>
    <w:rsid w:val="1F576995"/>
    <w:rsid w:val="1F6D7D97"/>
    <w:rsid w:val="1F8F19C9"/>
    <w:rsid w:val="1FD516E8"/>
    <w:rsid w:val="1FD73F8E"/>
    <w:rsid w:val="20452C91"/>
    <w:rsid w:val="20C4005A"/>
    <w:rsid w:val="23845BBE"/>
    <w:rsid w:val="23FD2236"/>
    <w:rsid w:val="240C253C"/>
    <w:rsid w:val="244F4A4B"/>
    <w:rsid w:val="24E077C8"/>
    <w:rsid w:val="250F3889"/>
    <w:rsid w:val="25B032A3"/>
    <w:rsid w:val="264E75FD"/>
    <w:rsid w:val="270C62B7"/>
    <w:rsid w:val="275D3E3F"/>
    <w:rsid w:val="277D26EF"/>
    <w:rsid w:val="278E3170"/>
    <w:rsid w:val="28137B19"/>
    <w:rsid w:val="28335AC5"/>
    <w:rsid w:val="28933E11"/>
    <w:rsid w:val="2898485C"/>
    <w:rsid w:val="29287E5B"/>
    <w:rsid w:val="293E5AF5"/>
    <w:rsid w:val="2A874F90"/>
    <w:rsid w:val="2BC76C50"/>
    <w:rsid w:val="2CAA1EBF"/>
    <w:rsid w:val="2D785A73"/>
    <w:rsid w:val="2D850B71"/>
    <w:rsid w:val="2DDA214A"/>
    <w:rsid w:val="2F030E59"/>
    <w:rsid w:val="300D56D9"/>
    <w:rsid w:val="30554A51"/>
    <w:rsid w:val="30C410AE"/>
    <w:rsid w:val="3123652A"/>
    <w:rsid w:val="31600228"/>
    <w:rsid w:val="324A3ED3"/>
    <w:rsid w:val="32C30428"/>
    <w:rsid w:val="33303667"/>
    <w:rsid w:val="33AE1983"/>
    <w:rsid w:val="33D62126"/>
    <w:rsid w:val="342B073F"/>
    <w:rsid w:val="3463451F"/>
    <w:rsid w:val="34A51AF9"/>
    <w:rsid w:val="34F82570"/>
    <w:rsid w:val="35947BB2"/>
    <w:rsid w:val="367D4318"/>
    <w:rsid w:val="381A5444"/>
    <w:rsid w:val="386E2B7F"/>
    <w:rsid w:val="396C0E37"/>
    <w:rsid w:val="39AD3929"/>
    <w:rsid w:val="3A091B3E"/>
    <w:rsid w:val="3B4E4C98"/>
    <w:rsid w:val="3B716BD9"/>
    <w:rsid w:val="3DFD1951"/>
    <w:rsid w:val="3E1C72D0"/>
    <w:rsid w:val="3ED34097"/>
    <w:rsid w:val="3F0A56DE"/>
    <w:rsid w:val="3F397EC5"/>
    <w:rsid w:val="3FE200A5"/>
    <w:rsid w:val="40880523"/>
    <w:rsid w:val="40C23701"/>
    <w:rsid w:val="40D6477D"/>
    <w:rsid w:val="40DB7B51"/>
    <w:rsid w:val="41727207"/>
    <w:rsid w:val="424457BE"/>
    <w:rsid w:val="42472441"/>
    <w:rsid w:val="425C5EED"/>
    <w:rsid w:val="433F7F28"/>
    <w:rsid w:val="43FF374A"/>
    <w:rsid w:val="443F72DA"/>
    <w:rsid w:val="444851B1"/>
    <w:rsid w:val="44935E12"/>
    <w:rsid w:val="44E96952"/>
    <w:rsid w:val="44EC0A24"/>
    <w:rsid w:val="44F468B0"/>
    <w:rsid w:val="45322D99"/>
    <w:rsid w:val="45824B8F"/>
    <w:rsid w:val="461C7089"/>
    <w:rsid w:val="463B2A6B"/>
    <w:rsid w:val="46EE37D3"/>
    <w:rsid w:val="484F02A2"/>
    <w:rsid w:val="48677399"/>
    <w:rsid w:val="48D019C0"/>
    <w:rsid w:val="49357497"/>
    <w:rsid w:val="49792496"/>
    <w:rsid w:val="49A347B9"/>
    <w:rsid w:val="49D70608"/>
    <w:rsid w:val="4B5D43C3"/>
    <w:rsid w:val="4B8B0C5A"/>
    <w:rsid w:val="4B8B74BE"/>
    <w:rsid w:val="4C9635CE"/>
    <w:rsid w:val="4C9F512B"/>
    <w:rsid w:val="4CC00BC3"/>
    <w:rsid w:val="4CCF20E6"/>
    <w:rsid w:val="4CEC71D0"/>
    <w:rsid w:val="4D07114B"/>
    <w:rsid w:val="4D7F6F33"/>
    <w:rsid w:val="4E5478DD"/>
    <w:rsid w:val="4E6D720C"/>
    <w:rsid w:val="4EB96475"/>
    <w:rsid w:val="4EC512BE"/>
    <w:rsid w:val="4F4C22BB"/>
    <w:rsid w:val="4F642884"/>
    <w:rsid w:val="4F8C3B89"/>
    <w:rsid w:val="4FA03191"/>
    <w:rsid w:val="4FF309CB"/>
    <w:rsid w:val="512848E2"/>
    <w:rsid w:val="51A85ED4"/>
    <w:rsid w:val="51CA4B7E"/>
    <w:rsid w:val="535914C6"/>
    <w:rsid w:val="53961129"/>
    <w:rsid w:val="547E0B3E"/>
    <w:rsid w:val="54996B2C"/>
    <w:rsid w:val="54CD6ABD"/>
    <w:rsid w:val="54E91699"/>
    <w:rsid w:val="55AB3D04"/>
    <w:rsid w:val="55B97641"/>
    <w:rsid w:val="563C3BC3"/>
    <w:rsid w:val="566120F7"/>
    <w:rsid w:val="566B25B3"/>
    <w:rsid w:val="56A969EF"/>
    <w:rsid w:val="576C100D"/>
    <w:rsid w:val="57853648"/>
    <w:rsid w:val="57AF597B"/>
    <w:rsid w:val="57CD0516"/>
    <w:rsid w:val="587255D7"/>
    <w:rsid w:val="592B2D58"/>
    <w:rsid w:val="5B5A4B3C"/>
    <w:rsid w:val="5BCB6EF1"/>
    <w:rsid w:val="5BD53BAC"/>
    <w:rsid w:val="5CEE19DF"/>
    <w:rsid w:val="5D5B48F8"/>
    <w:rsid w:val="5D846F70"/>
    <w:rsid w:val="5DB93D9B"/>
    <w:rsid w:val="5DE3706A"/>
    <w:rsid w:val="5E941F0C"/>
    <w:rsid w:val="5E9A1E1F"/>
    <w:rsid w:val="5EA514C3"/>
    <w:rsid w:val="5F3D500E"/>
    <w:rsid w:val="5FF56776"/>
    <w:rsid w:val="601335C0"/>
    <w:rsid w:val="6016117F"/>
    <w:rsid w:val="60F35816"/>
    <w:rsid w:val="61AB4343"/>
    <w:rsid w:val="6230589F"/>
    <w:rsid w:val="62A56734"/>
    <w:rsid w:val="62AB377A"/>
    <w:rsid w:val="62D812B9"/>
    <w:rsid w:val="630F7768"/>
    <w:rsid w:val="63546551"/>
    <w:rsid w:val="63EF01E7"/>
    <w:rsid w:val="63FD65B7"/>
    <w:rsid w:val="64AC3E47"/>
    <w:rsid w:val="65DD0A8E"/>
    <w:rsid w:val="665735C8"/>
    <w:rsid w:val="66E300DB"/>
    <w:rsid w:val="67A23AF2"/>
    <w:rsid w:val="67F72090"/>
    <w:rsid w:val="68CC5107"/>
    <w:rsid w:val="693410C2"/>
    <w:rsid w:val="695232F6"/>
    <w:rsid w:val="6BA90EC9"/>
    <w:rsid w:val="6BBA3B00"/>
    <w:rsid w:val="6C9E6F7E"/>
    <w:rsid w:val="6CCE7137"/>
    <w:rsid w:val="6D0A561B"/>
    <w:rsid w:val="6D340587"/>
    <w:rsid w:val="6E3A0F28"/>
    <w:rsid w:val="6E9B70E5"/>
    <w:rsid w:val="6F7C731F"/>
    <w:rsid w:val="6F8E3370"/>
    <w:rsid w:val="6FCF1767"/>
    <w:rsid w:val="70030B0E"/>
    <w:rsid w:val="70C060C6"/>
    <w:rsid w:val="722E4900"/>
    <w:rsid w:val="727426EF"/>
    <w:rsid w:val="73224CD1"/>
    <w:rsid w:val="736762F1"/>
    <w:rsid w:val="744908B9"/>
    <w:rsid w:val="749B5239"/>
    <w:rsid w:val="74B03CF2"/>
    <w:rsid w:val="74BE4494"/>
    <w:rsid w:val="74E97AAC"/>
    <w:rsid w:val="75137DDD"/>
    <w:rsid w:val="75504D5D"/>
    <w:rsid w:val="76A809F9"/>
    <w:rsid w:val="76BA0FB6"/>
    <w:rsid w:val="76BD7B8E"/>
    <w:rsid w:val="78626B1A"/>
    <w:rsid w:val="78A43B6E"/>
    <w:rsid w:val="78CF4963"/>
    <w:rsid w:val="79053EE1"/>
    <w:rsid w:val="7956473D"/>
    <w:rsid w:val="7A0B185B"/>
    <w:rsid w:val="7A6D1D3E"/>
    <w:rsid w:val="7CD518F9"/>
    <w:rsid w:val="7D2E7EAA"/>
    <w:rsid w:val="7D512FB7"/>
    <w:rsid w:val="7DC0381A"/>
    <w:rsid w:val="7DE1196E"/>
    <w:rsid w:val="7E1318DE"/>
    <w:rsid w:val="7E64676E"/>
    <w:rsid w:val="7F166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index 8"/>
    <w:basedOn w:val="1"/>
    <w:next w:val="1"/>
    <w:qFormat/>
    <w:uiPriority w:val="0"/>
    <w:pPr>
      <w:ind w:left="2940"/>
    </w:pPr>
  </w:style>
  <w:style w:type="paragraph" w:styleId="6">
    <w:name w:val="annotation text"/>
    <w:basedOn w:val="1"/>
    <w:qFormat/>
    <w:uiPriority w:val="0"/>
    <w:pPr>
      <w:jc w:val="left"/>
    </w:pPr>
  </w:style>
  <w:style w:type="paragraph" w:styleId="7">
    <w:name w:val="Body Text"/>
    <w:basedOn w:val="1"/>
    <w:qFormat/>
    <w:uiPriority w:val="99"/>
    <w:pPr>
      <w:adjustRightInd w:val="0"/>
      <w:spacing w:after="60" w:line="360" w:lineRule="atLeast"/>
      <w:ind w:left="72" w:leftChars="30" w:right="30" w:rightChars="30"/>
      <w:jc w:val="center"/>
      <w:textAlignment w:val="baseline"/>
    </w:pPr>
    <w:rPr>
      <w:sz w:val="22"/>
      <w:szCs w:val="22"/>
    </w:rPr>
  </w:style>
  <w:style w:type="paragraph" w:styleId="8">
    <w:name w:val="Plain Text"/>
    <w:basedOn w:val="1"/>
    <w:next w:val="5"/>
    <w:qFormat/>
    <w:uiPriority w:val="0"/>
    <w:rPr>
      <w:rFonts w:ascii="宋体" w:hAnsi="Courier New"/>
      <w:kern w:val="0"/>
      <w:sz w:val="20"/>
      <w:szCs w:val="21"/>
    </w:rPr>
  </w:style>
  <w:style w:type="paragraph" w:styleId="9">
    <w:name w:val="footer"/>
    <w:basedOn w:val="1"/>
    <w:next w:val="1"/>
    <w:unhideWhenUsed/>
    <w:qFormat/>
    <w:uiPriority w:val="99"/>
    <w:pPr>
      <w:tabs>
        <w:tab w:val="center" w:pos="4153"/>
        <w:tab w:val="right" w:pos="8306"/>
      </w:tabs>
      <w:snapToGrid w:val="0"/>
      <w:jc w:val="left"/>
    </w:pPr>
    <w:rPr>
      <w:kern w:val="0"/>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4">
    <w:name w:val="Strong"/>
    <w:qFormat/>
    <w:uiPriority w:val="0"/>
    <w:rPr>
      <w:b/>
    </w:rPr>
  </w:style>
  <w:style w:type="character" w:styleId="15">
    <w:name w:val="Hyperlink"/>
    <w:qFormat/>
    <w:uiPriority w:val="0"/>
    <w:rPr>
      <w:color w:val="0000FF"/>
      <w:u w:val="single"/>
    </w:rPr>
  </w:style>
  <w:style w:type="character" w:customStyle="1" w:styleId="16">
    <w:name w:val="font31"/>
    <w:basedOn w:val="13"/>
    <w:qFormat/>
    <w:uiPriority w:val="0"/>
    <w:rPr>
      <w:rFonts w:hint="eastAsia" w:ascii="宋体" w:hAnsi="宋体" w:eastAsia="宋体" w:cs="宋体"/>
      <w:color w:val="000000"/>
      <w:sz w:val="21"/>
      <w:szCs w:val="21"/>
      <w:u w:val="none"/>
    </w:rPr>
  </w:style>
  <w:style w:type="character" w:customStyle="1" w:styleId="17">
    <w:name w:val="font51"/>
    <w:basedOn w:val="13"/>
    <w:qFormat/>
    <w:uiPriority w:val="0"/>
    <w:rPr>
      <w:rFonts w:hint="eastAsia" w:ascii="宋体" w:hAnsi="宋体" w:eastAsia="宋体" w:cs="宋体"/>
      <w:b/>
      <w:bCs/>
      <w:color w:val="FF0000"/>
      <w:sz w:val="21"/>
      <w:szCs w:val="21"/>
      <w:u w:val="none"/>
    </w:rPr>
  </w:style>
  <w:style w:type="character" w:customStyle="1" w:styleId="18">
    <w:name w:val="font01"/>
    <w:basedOn w:val="13"/>
    <w:qFormat/>
    <w:uiPriority w:val="0"/>
    <w:rPr>
      <w:rFonts w:hint="eastAsia" w:ascii="宋体" w:hAnsi="宋体" w:eastAsia="宋体" w:cs="宋体"/>
      <w:color w:val="000000"/>
      <w:sz w:val="22"/>
      <w:szCs w:val="22"/>
      <w:u w:val="none"/>
    </w:rPr>
  </w:style>
  <w:style w:type="character" w:customStyle="1" w:styleId="19">
    <w:name w:val="font61"/>
    <w:basedOn w:val="13"/>
    <w:qFormat/>
    <w:uiPriority w:val="0"/>
    <w:rPr>
      <w:rFonts w:hint="eastAsia" w:ascii="宋体" w:hAnsi="宋体" w:eastAsia="宋体" w:cs="宋体"/>
      <w:b/>
      <w:bCs/>
      <w:color w:val="FF0000"/>
      <w:sz w:val="22"/>
      <w:szCs w:val="22"/>
      <w:u w:val="none"/>
    </w:rPr>
  </w:style>
  <w:style w:type="paragraph" w:customStyle="1" w:styleId="20">
    <w:name w:val="Normal_0"/>
    <w:qFormat/>
    <w:uiPriority w:val="0"/>
    <w:rPr>
      <w:rFonts w:ascii="Times New Roman" w:hAnsi="Times New Roman" w:eastAsia="Times New Roman" w:cs="Times New Roman"/>
      <w:sz w:val="24"/>
      <w:szCs w:val="24"/>
      <w:lang w:val="en-US" w:eastAsia="zh-CN" w:bidi="ar-SA"/>
    </w:rPr>
  </w:style>
  <w:style w:type="paragraph" w:customStyle="1" w:styleId="21">
    <w:name w:val="正文2"/>
    <w:basedOn w:val="1"/>
    <w:autoRedefine/>
    <w:qFormat/>
    <w:uiPriority w:val="0"/>
    <w:pPr>
      <w:adjustRightInd w:val="0"/>
      <w:spacing w:before="156" w:line="360" w:lineRule="auto"/>
      <w:ind w:firstLine="200" w:firstLineChars="200"/>
    </w:pPr>
    <w:rPr>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16239</Words>
  <Characters>19663</Characters>
  <Lines>0</Lines>
  <Paragraphs>0</Paragraphs>
  <TotalTime>17</TotalTime>
  <ScaleCrop>false</ScaleCrop>
  <LinksUpToDate>false</LinksUpToDate>
  <CharactersWithSpaces>20062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2025-05-06T09:03:00Z</dcterms:created>
  <dc:creator>Dell</dc:creator>
  <cp:lastModifiedBy>李建波</cp:lastModifiedBy>
  <cp:lastPrinted>2025-05-16T07:28:00Z</cp:lastPrinted>
  <dcterms:modified xsi:type="dcterms:W3CDTF">2025-10-31T04:02:27Z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D00C69D376914C4083119F28E03C224A_11</vt:lpwstr>
  </property>
  <property fmtid="{D5CDD505-2E9C-101B-9397-08002B2CF9AE}" pid="4" name="KSOTemplateDocerSaveRecord">
    <vt:lpwstr>eyJoZGlkIjoiMTUyNDhmOWU4ZDRkMzNmMmFkYWMwMmFjZTJmOGM4YjgiLCJ1c2VySWQiOiI3MTkzODkwMDUifQ==</vt:lpwstr>
  </property>
</Properties>
</file>