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40290">
      <w:pPr>
        <w:jc w:val="center"/>
        <w:rPr>
          <w:rFonts w:ascii="仿宋" w:hAnsi="仿宋" w:eastAsia="仿宋"/>
          <w:color w:val="auto"/>
          <w:highlight w:val="none"/>
        </w:rPr>
      </w:pPr>
    </w:p>
    <w:p w14:paraId="71733842">
      <w:pPr>
        <w:jc w:val="center"/>
        <w:rPr>
          <w:rFonts w:ascii="仿宋" w:hAnsi="仿宋" w:eastAsia="仿宋"/>
          <w:color w:val="auto"/>
          <w:highlight w:val="none"/>
        </w:rPr>
      </w:pPr>
    </w:p>
    <w:p w14:paraId="360AB7E7">
      <w:pPr>
        <w:jc w:val="center"/>
        <w:rPr>
          <w:rFonts w:ascii="仿宋" w:hAnsi="仿宋" w:eastAsia="仿宋"/>
          <w:color w:val="auto"/>
          <w:sz w:val="84"/>
          <w:szCs w:val="84"/>
          <w:highlight w:val="none"/>
        </w:rPr>
      </w:pPr>
      <w:r>
        <w:rPr>
          <w:rFonts w:hint="eastAsia" w:ascii="仿宋" w:hAnsi="仿宋" w:eastAsia="仿宋"/>
          <w:color w:val="auto"/>
          <w:sz w:val="84"/>
          <w:szCs w:val="84"/>
          <w:highlight w:val="none"/>
        </w:rPr>
        <w:t xml:space="preserve"> </w:t>
      </w:r>
    </w:p>
    <w:p w14:paraId="676BB016">
      <w:pPr>
        <w:rPr>
          <w:rFonts w:ascii="仿宋" w:hAnsi="仿宋" w:eastAsia="仿宋"/>
          <w:color w:val="auto"/>
          <w:sz w:val="28"/>
          <w:highlight w:val="none"/>
        </w:rPr>
      </w:pPr>
    </w:p>
    <w:p w14:paraId="294F2CD6">
      <w:pPr>
        <w:rPr>
          <w:rFonts w:ascii="仿宋" w:hAnsi="仿宋" w:eastAsia="仿宋"/>
          <w:color w:val="auto"/>
          <w:sz w:val="28"/>
          <w:highlight w:val="none"/>
        </w:rPr>
      </w:pPr>
    </w:p>
    <w:p w14:paraId="5D77D659">
      <w:pPr>
        <w:ind w:right="913"/>
        <w:rPr>
          <w:rFonts w:ascii="仿宋" w:hAnsi="仿宋" w:eastAsia="仿宋"/>
          <w:b/>
          <w:color w:val="auto"/>
          <w:sz w:val="32"/>
          <w:szCs w:val="32"/>
          <w:highlight w:val="none"/>
        </w:rPr>
      </w:pPr>
    </w:p>
    <w:p w14:paraId="5966EE8B">
      <w:pPr>
        <w:pStyle w:val="16"/>
        <w:ind w:left="63" w:right="63"/>
        <w:rPr>
          <w:color w:val="auto"/>
          <w:highlight w:val="none"/>
        </w:rPr>
      </w:pPr>
    </w:p>
    <w:p w14:paraId="4833D330">
      <w:pPr>
        <w:jc w:val="center"/>
        <w:rPr>
          <w:rFonts w:hint="eastAsia" w:ascii="仿宋" w:hAnsi="仿宋" w:eastAsia="仿宋" w:cs="宋体"/>
          <w:b/>
          <w:color w:val="auto"/>
          <w:sz w:val="36"/>
          <w:szCs w:val="36"/>
          <w:highlight w:val="none"/>
        </w:rPr>
      </w:pPr>
      <w:r>
        <w:rPr>
          <w:rFonts w:hint="eastAsia" w:ascii="仿宋" w:hAnsi="仿宋" w:eastAsia="仿宋" w:cs="宋体"/>
          <w:b/>
          <w:color w:val="auto"/>
          <w:sz w:val="36"/>
          <w:szCs w:val="36"/>
          <w:highlight w:val="none"/>
        </w:rPr>
        <w:t>广西艺术学院桂林校区食堂维修改造工程</w:t>
      </w:r>
    </w:p>
    <w:p w14:paraId="4BA25F8B">
      <w:pPr>
        <w:jc w:val="center"/>
        <w:rPr>
          <w:rFonts w:hint="eastAsia" w:ascii="仿宋" w:hAnsi="仿宋" w:eastAsia="仿宋" w:cs="宋体"/>
          <w:b/>
          <w:color w:val="auto"/>
          <w:sz w:val="36"/>
          <w:szCs w:val="36"/>
          <w:highlight w:val="none"/>
        </w:rPr>
      </w:pPr>
      <w:r>
        <w:rPr>
          <w:rFonts w:hint="eastAsia" w:ascii="仿宋" w:hAnsi="仿宋" w:eastAsia="仿宋" w:cs="宋体"/>
          <w:b/>
          <w:color w:val="auto"/>
          <w:sz w:val="36"/>
          <w:szCs w:val="36"/>
          <w:highlight w:val="none"/>
        </w:rPr>
        <w:t>采购文件</w:t>
      </w:r>
    </w:p>
    <w:p w14:paraId="1D277932">
      <w:pPr>
        <w:spacing w:line="360" w:lineRule="auto"/>
        <w:ind w:left="567" w:leftChars="270" w:right="422" w:rightChars="201" w:firstLine="281" w:firstLineChars="100"/>
        <w:jc w:val="left"/>
        <w:rPr>
          <w:rFonts w:ascii="仿宋" w:hAnsi="仿宋" w:eastAsia="仿宋" w:cs="宋体"/>
          <w:b/>
          <w:color w:val="auto"/>
          <w:sz w:val="28"/>
          <w:szCs w:val="32"/>
          <w:highlight w:val="none"/>
          <w:u w:val="single"/>
          <w:lang w:val="zh-CN"/>
        </w:rPr>
      </w:pPr>
    </w:p>
    <w:p w14:paraId="6E03D379">
      <w:pPr>
        <w:ind w:right="913" w:firstLine="803" w:firstLineChars="250"/>
        <w:rPr>
          <w:rFonts w:ascii="仿宋" w:hAnsi="仿宋" w:eastAsia="仿宋"/>
          <w:b/>
          <w:color w:val="auto"/>
          <w:sz w:val="32"/>
          <w:szCs w:val="32"/>
          <w:highlight w:val="none"/>
        </w:rPr>
      </w:pPr>
    </w:p>
    <w:p w14:paraId="23D4A977">
      <w:pPr>
        <w:pStyle w:val="16"/>
        <w:ind w:left="63" w:right="63"/>
        <w:rPr>
          <w:color w:val="auto"/>
          <w:highlight w:val="none"/>
        </w:rPr>
      </w:pPr>
    </w:p>
    <w:p w14:paraId="30761246">
      <w:pPr>
        <w:pStyle w:val="16"/>
        <w:ind w:left="63" w:right="63"/>
        <w:rPr>
          <w:color w:val="auto"/>
          <w:highlight w:val="none"/>
        </w:rPr>
      </w:pPr>
    </w:p>
    <w:p w14:paraId="5E0F7BEA">
      <w:pPr>
        <w:pStyle w:val="22"/>
        <w:spacing w:line="360" w:lineRule="auto"/>
        <w:jc w:val="center"/>
        <w:rPr>
          <w:rFonts w:ascii="仿宋" w:hAnsi="仿宋" w:eastAsia="仿宋"/>
          <w:color w:val="auto"/>
          <w:sz w:val="36"/>
          <w:highlight w:val="none"/>
        </w:rPr>
      </w:pPr>
      <w:r>
        <w:rPr>
          <w:rFonts w:ascii="仿宋" w:hAnsi="仿宋" w:eastAsia="仿宋"/>
          <w:color w:val="auto"/>
          <w:sz w:val="36"/>
          <w:highlight w:val="none"/>
        </w:rPr>
        <w:br w:type="page"/>
      </w:r>
    </w:p>
    <w:p w14:paraId="13E2EAE1">
      <w:pPr>
        <w:pStyle w:val="2"/>
        <w:spacing w:line="240" w:lineRule="atLeast"/>
        <w:jc w:val="center"/>
        <w:rPr>
          <w:rFonts w:ascii="仿宋" w:hAnsi="仿宋" w:eastAsia="仿宋"/>
          <w:color w:val="auto"/>
          <w:sz w:val="40"/>
          <w:highlight w:val="none"/>
        </w:rPr>
      </w:pPr>
      <w:bookmarkStart w:id="0" w:name="_Toc21723"/>
      <w:bookmarkStart w:id="1" w:name="_Toc108836044"/>
      <w:bookmarkStart w:id="2" w:name="_Toc108835633"/>
      <w:r>
        <w:rPr>
          <w:rFonts w:hint="eastAsia" w:ascii="仿宋" w:hAnsi="仿宋" w:eastAsia="仿宋"/>
          <w:color w:val="auto"/>
          <w:sz w:val="40"/>
          <w:highlight w:val="none"/>
        </w:rPr>
        <w:t xml:space="preserve">第一章  </w:t>
      </w:r>
      <w:r>
        <w:rPr>
          <w:rFonts w:hint="eastAsia" w:ascii="仿宋" w:hAnsi="仿宋" w:eastAsia="仿宋"/>
          <w:color w:val="auto"/>
          <w:sz w:val="40"/>
          <w:highlight w:val="none"/>
          <w:lang w:val="en-US" w:eastAsia="zh-CN"/>
        </w:rPr>
        <w:t>采购</w:t>
      </w:r>
      <w:r>
        <w:rPr>
          <w:rFonts w:hint="eastAsia" w:ascii="仿宋" w:hAnsi="仿宋" w:eastAsia="仿宋"/>
          <w:color w:val="auto"/>
          <w:sz w:val="40"/>
          <w:highlight w:val="none"/>
        </w:rPr>
        <w:t>公告</w:t>
      </w:r>
      <w:bookmarkEnd w:id="0"/>
    </w:p>
    <w:p w14:paraId="0359862B">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color w:val="auto"/>
          <w:sz w:val="22"/>
          <w:highlight w:val="none"/>
        </w:rPr>
      </w:pPr>
      <w:bookmarkStart w:id="3" w:name="OLE_LINK15"/>
      <w:bookmarkStart w:id="4" w:name="OLE_LINK8"/>
      <w:r>
        <w:rPr>
          <w:rFonts w:hint="eastAsia" w:ascii="仿宋" w:hAnsi="仿宋" w:eastAsia="仿宋"/>
          <w:b/>
          <w:color w:val="auto"/>
          <w:sz w:val="22"/>
          <w:highlight w:val="none"/>
        </w:rPr>
        <w:t>广西艺术学院</w:t>
      </w:r>
      <w:r>
        <w:rPr>
          <w:rFonts w:hint="eastAsia" w:ascii="仿宋" w:hAnsi="仿宋" w:eastAsia="仿宋"/>
          <w:color w:val="auto"/>
          <w:sz w:val="22"/>
          <w:highlight w:val="none"/>
        </w:rPr>
        <w:t>对</w:t>
      </w:r>
      <w:r>
        <w:rPr>
          <w:rFonts w:hint="eastAsia" w:ascii="仿宋" w:hAnsi="仿宋" w:eastAsia="仿宋"/>
          <w:b/>
          <w:bCs/>
          <w:color w:val="auto"/>
          <w:sz w:val="22"/>
          <w:highlight w:val="none"/>
        </w:rPr>
        <w:t>桂林校区食堂维修改造工程</w:t>
      </w:r>
      <w:r>
        <w:rPr>
          <w:rFonts w:hint="eastAsia" w:ascii="仿宋" w:hAnsi="仿宋" w:eastAsia="仿宋"/>
          <w:color w:val="auto"/>
          <w:sz w:val="22"/>
          <w:highlight w:val="none"/>
        </w:rPr>
        <w:t>进行采购，现将有关事项公告如下：</w:t>
      </w:r>
    </w:p>
    <w:p w14:paraId="7D4DA5A5">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color w:val="auto"/>
          <w:sz w:val="22"/>
          <w:highlight w:val="none"/>
        </w:rPr>
      </w:pPr>
      <w:r>
        <w:rPr>
          <w:rFonts w:hint="eastAsia" w:ascii="仿宋" w:hAnsi="仿宋" w:eastAsia="仿宋"/>
          <w:b/>
          <w:bCs/>
          <w:color w:val="auto"/>
          <w:sz w:val="22"/>
          <w:highlight w:val="none"/>
        </w:rPr>
        <w:t>一、项目</w:t>
      </w:r>
      <w:r>
        <w:rPr>
          <w:rFonts w:hint="eastAsia" w:ascii="仿宋" w:hAnsi="仿宋" w:eastAsia="仿宋"/>
          <w:b/>
          <w:color w:val="auto"/>
          <w:sz w:val="22"/>
          <w:highlight w:val="none"/>
        </w:rPr>
        <w:t>名称：</w:t>
      </w:r>
      <w:r>
        <w:rPr>
          <w:rFonts w:hint="eastAsia" w:ascii="仿宋" w:hAnsi="仿宋" w:eastAsia="仿宋" w:cs="宋体"/>
          <w:bCs/>
          <w:color w:val="auto"/>
          <w:sz w:val="22"/>
          <w:szCs w:val="21"/>
          <w:highlight w:val="none"/>
        </w:rPr>
        <w:t>广西艺术学院桂林校区食堂维修改造工程</w:t>
      </w:r>
      <w:r>
        <w:rPr>
          <w:rFonts w:ascii="仿宋" w:hAnsi="仿宋" w:eastAsia="仿宋"/>
          <w:color w:val="auto"/>
          <w:sz w:val="22"/>
          <w:highlight w:val="none"/>
        </w:rPr>
        <w:tab/>
      </w:r>
    </w:p>
    <w:p w14:paraId="60DFBF8D">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snapToGrid w:val="0"/>
          <w:color w:val="auto"/>
          <w:kern w:val="0"/>
          <w:sz w:val="22"/>
          <w:szCs w:val="21"/>
          <w:highlight w:val="none"/>
        </w:rPr>
      </w:pPr>
      <w:r>
        <w:rPr>
          <w:rFonts w:hint="eastAsia" w:ascii="仿宋" w:hAnsi="仿宋" w:eastAsia="仿宋"/>
          <w:b/>
          <w:color w:val="auto"/>
          <w:sz w:val="22"/>
          <w:szCs w:val="21"/>
          <w:highlight w:val="none"/>
        </w:rPr>
        <w:t>建设地点：</w:t>
      </w:r>
      <w:r>
        <w:rPr>
          <w:rFonts w:hint="eastAsia" w:ascii="仿宋" w:hAnsi="仿宋" w:eastAsia="仿宋"/>
          <w:b w:val="0"/>
          <w:bCs/>
          <w:color w:val="auto"/>
          <w:sz w:val="22"/>
          <w:szCs w:val="21"/>
          <w:highlight w:val="none"/>
        </w:rPr>
        <w:t>广西艺术学院桂林校区</w:t>
      </w:r>
    </w:p>
    <w:p w14:paraId="02C45CA4">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b/>
          <w:color w:val="auto"/>
          <w:sz w:val="22"/>
          <w:highlight w:val="none"/>
        </w:rPr>
      </w:pPr>
      <w:r>
        <w:rPr>
          <w:rFonts w:hint="eastAsia" w:ascii="仿宋" w:hAnsi="仿宋" w:eastAsia="仿宋"/>
          <w:b/>
          <w:color w:val="auto"/>
          <w:sz w:val="22"/>
          <w:highlight w:val="none"/>
        </w:rPr>
        <w:t>项目控制价：</w:t>
      </w:r>
      <w:r>
        <w:rPr>
          <w:rFonts w:hint="eastAsia" w:ascii="仿宋" w:hAnsi="仿宋" w:eastAsia="仿宋"/>
          <w:b w:val="0"/>
          <w:bCs/>
          <w:color w:val="auto"/>
          <w:sz w:val="22"/>
          <w:highlight w:val="none"/>
          <w:lang w:val="en-US" w:eastAsia="zh-CN"/>
        </w:rPr>
        <w:t>378536.23</w:t>
      </w:r>
      <w:r>
        <w:rPr>
          <w:rFonts w:hint="eastAsia" w:ascii="仿宋" w:hAnsi="仿宋" w:eastAsia="仿宋"/>
          <w:b w:val="0"/>
          <w:bCs/>
          <w:color w:val="auto"/>
          <w:sz w:val="22"/>
          <w:highlight w:val="none"/>
        </w:rPr>
        <w:t>元</w:t>
      </w:r>
    </w:p>
    <w:p w14:paraId="4222BFF1">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eastAsia" w:ascii="仿宋" w:hAnsi="仿宋" w:eastAsia="仿宋"/>
          <w:color w:val="auto"/>
          <w:sz w:val="22"/>
          <w:highlight w:val="none"/>
          <w:lang w:eastAsia="zh-CN"/>
        </w:rPr>
      </w:pPr>
      <w:r>
        <w:rPr>
          <w:rFonts w:hint="eastAsia" w:ascii="仿宋" w:hAnsi="仿宋" w:eastAsia="仿宋"/>
          <w:b/>
          <w:bCs/>
          <w:color w:val="auto"/>
          <w:sz w:val="22"/>
          <w:highlight w:val="none"/>
        </w:rPr>
        <w:t>二、工程范围及内容：</w:t>
      </w:r>
      <w:r>
        <w:rPr>
          <w:rFonts w:hint="eastAsia" w:ascii="仿宋" w:hAnsi="仿宋" w:eastAsia="仿宋"/>
          <w:color w:val="auto"/>
          <w:sz w:val="22"/>
          <w:highlight w:val="none"/>
        </w:rPr>
        <w:t>建筑面积为892.19㎡，地上1层，主要工程内容：“拆除工程、装饰装修工程、地面工程、吊顶工程、门窗工程、隔断工程、电气工程、给排水工程，详见工程量清单。</w:t>
      </w:r>
    </w:p>
    <w:p w14:paraId="4A2A5B84">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eastAsia" w:ascii="仿宋" w:hAnsi="仿宋" w:eastAsia="仿宋"/>
          <w:b/>
          <w:color w:val="auto"/>
          <w:sz w:val="22"/>
          <w:highlight w:val="none"/>
        </w:rPr>
      </w:pPr>
      <w:r>
        <w:rPr>
          <w:rFonts w:hint="eastAsia" w:ascii="仿宋" w:hAnsi="仿宋" w:eastAsia="仿宋"/>
          <w:b/>
          <w:bCs/>
          <w:color w:val="auto"/>
          <w:sz w:val="22"/>
          <w:highlight w:val="none"/>
        </w:rPr>
        <w:t>三、施</w:t>
      </w:r>
      <w:r>
        <w:rPr>
          <w:rFonts w:hint="eastAsia" w:ascii="仿宋" w:hAnsi="仿宋" w:eastAsia="仿宋"/>
          <w:b/>
          <w:color w:val="auto"/>
          <w:sz w:val="22"/>
          <w:highlight w:val="none"/>
        </w:rPr>
        <w:t>工工期：</w:t>
      </w:r>
      <w:r>
        <w:rPr>
          <w:rFonts w:hint="eastAsia" w:ascii="仿宋" w:hAnsi="仿宋" w:eastAsia="仿宋"/>
          <w:b/>
          <w:color w:val="auto"/>
          <w:sz w:val="22"/>
          <w:highlight w:val="none"/>
        </w:rPr>
        <w:t>45天(日历天）</w:t>
      </w:r>
    </w:p>
    <w:p w14:paraId="034B6291">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b w:val="0"/>
          <w:bCs w:val="0"/>
          <w:color w:val="auto"/>
          <w:highlight w:val="none"/>
        </w:rPr>
      </w:pPr>
      <w:r>
        <w:rPr>
          <w:rFonts w:hint="eastAsia" w:ascii="仿宋" w:hAnsi="仿宋" w:eastAsia="仿宋"/>
          <w:b/>
          <w:bCs/>
          <w:color w:val="auto"/>
          <w:sz w:val="22"/>
          <w:highlight w:val="none"/>
          <w:lang w:eastAsia="zh-CN"/>
        </w:rPr>
        <w:t>四</w:t>
      </w:r>
      <w:r>
        <w:rPr>
          <w:rFonts w:hint="eastAsia" w:ascii="仿宋" w:hAnsi="仿宋" w:eastAsia="仿宋"/>
          <w:b/>
          <w:bCs/>
          <w:color w:val="auto"/>
          <w:sz w:val="22"/>
          <w:highlight w:val="none"/>
        </w:rPr>
        <w:t>、工程质量要求：</w:t>
      </w:r>
      <w:r>
        <w:rPr>
          <w:rFonts w:hint="eastAsia" w:ascii="仿宋" w:hAnsi="仿宋" w:eastAsia="仿宋"/>
          <w:b w:val="0"/>
          <w:bCs w:val="0"/>
          <w:color w:val="auto"/>
          <w:sz w:val="22"/>
          <w:highlight w:val="none"/>
        </w:rPr>
        <w:t>本项目工程质量需严格按照国家现行《建筑工程施工质量验收统一标准》（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p>
    <w:p w14:paraId="5605B510">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b/>
          <w:color w:val="auto"/>
          <w:sz w:val="22"/>
          <w:highlight w:val="none"/>
        </w:rPr>
      </w:pPr>
      <w:r>
        <w:rPr>
          <w:rFonts w:hint="eastAsia" w:ascii="仿宋" w:hAnsi="仿宋" w:eastAsia="仿宋"/>
          <w:b/>
          <w:bCs/>
          <w:color w:val="auto"/>
          <w:sz w:val="22"/>
          <w:highlight w:val="none"/>
        </w:rPr>
        <w:t>四、供应</w:t>
      </w:r>
      <w:r>
        <w:rPr>
          <w:rFonts w:hint="eastAsia" w:ascii="仿宋" w:hAnsi="仿宋" w:eastAsia="仿宋"/>
          <w:b/>
          <w:color w:val="auto"/>
          <w:sz w:val="22"/>
          <w:highlight w:val="none"/>
        </w:rPr>
        <w:t>商</w:t>
      </w:r>
      <w:r>
        <w:rPr>
          <w:rFonts w:hint="eastAsia" w:ascii="仿宋" w:hAnsi="仿宋" w:eastAsia="仿宋"/>
          <w:b/>
          <w:color w:val="auto"/>
          <w:sz w:val="22"/>
          <w:highlight w:val="none"/>
          <w:lang w:val="en-US" w:eastAsia="zh-CN"/>
        </w:rPr>
        <w:t>投标</w:t>
      </w:r>
      <w:r>
        <w:rPr>
          <w:rFonts w:hint="eastAsia" w:ascii="仿宋" w:hAnsi="仿宋" w:eastAsia="仿宋"/>
          <w:b/>
          <w:color w:val="auto"/>
          <w:sz w:val="22"/>
          <w:highlight w:val="none"/>
        </w:rPr>
        <w:t>资格：</w:t>
      </w:r>
    </w:p>
    <w:p w14:paraId="3400060C">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ascii="仿宋" w:hAnsi="仿宋" w:eastAsia="仿宋" w:cs="宋体"/>
          <w:color w:val="auto"/>
          <w:sz w:val="22"/>
          <w:highlight w:val="none"/>
        </w:rPr>
      </w:pPr>
      <w:r>
        <w:rPr>
          <w:rFonts w:hint="eastAsia" w:ascii="仿宋" w:hAnsi="仿宋" w:eastAsia="仿宋" w:cs="宋体"/>
          <w:color w:val="auto"/>
          <w:sz w:val="22"/>
          <w:highlight w:val="none"/>
        </w:rPr>
        <w:t>1.供应商须符合《中华人民共和国政府采购法》第二十二条之规定；</w:t>
      </w:r>
    </w:p>
    <w:p w14:paraId="3E9F4FA4">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rPr>
        <w:t>2.具备建筑装修装饰工程专业承包二级及以上资质，并具备有效的安全生产许可证；</w:t>
      </w:r>
    </w:p>
    <w:p w14:paraId="14E7C013">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3.</w:t>
      </w:r>
      <w:r>
        <w:rPr>
          <w:rFonts w:hint="eastAsia" w:ascii="仿宋" w:hAnsi="仿宋" w:eastAsia="仿宋" w:cs="宋体"/>
          <w:color w:val="auto"/>
          <w:sz w:val="22"/>
          <w:highlight w:val="none"/>
        </w:rPr>
        <w:t>拟派项目经理具备建筑工程专业二级及以上注册建造师执业资格，具备有效的安全生产考核合格证书（B类），且建造师须无在建项目。</w:t>
      </w:r>
    </w:p>
    <w:p w14:paraId="1F2D04F4">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4</w:t>
      </w:r>
      <w:r>
        <w:rPr>
          <w:rFonts w:hint="eastAsia" w:ascii="仿宋" w:hAnsi="仿宋" w:eastAsia="仿宋" w:cs="宋体"/>
          <w:color w:val="auto"/>
          <w:sz w:val="22"/>
          <w:highlight w:val="none"/>
        </w:rPr>
        <w:t>.参加采购活动期间未被列入“信用中国”网站(www.creditchina.gov.cn)、中国政府采购网(www.ccgp.gov.cn)渠道信用记录失信被执行人、重大税收违法案件当事人名单、政府采购严重违法失信行为记录名单的供应商</w:t>
      </w:r>
      <w:r>
        <w:rPr>
          <w:rFonts w:hint="eastAsia" w:ascii="仿宋" w:hAnsi="仿宋" w:eastAsia="仿宋" w:cs="宋体"/>
          <w:color w:val="auto"/>
          <w:sz w:val="22"/>
          <w:highlight w:val="none"/>
          <w:lang w:eastAsia="zh-CN"/>
        </w:rPr>
        <w:t>，</w:t>
      </w:r>
      <w:r>
        <w:rPr>
          <w:rFonts w:hint="eastAsia" w:ascii="仿宋" w:hAnsi="仿宋" w:eastAsia="仿宋" w:cs="宋体"/>
          <w:color w:val="auto"/>
          <w:sz w:val="22"/>
          <w:highlight w:val="none"/>
          <w:lang w:val="en-US" w:eastAsia="zh-CN"/>
        </w:rPr>
        <w:t>请提供相关截图证明材料</w:t>
      </w:r>
      <w:r>
        <w:rPr>
          <w:rFonts w:hint="eastAsia" w:ascii="仿宋" w:hAnsi="仿宋" w:eastAsia="仿宋" w:cs="宋体"/>
          <w:color w:val="auto"/>
          <w:sz w:val="22"/>
          <w:highlight w:val="none"/>
        </w:rPr>
        <w:t>；“信用中国”网站查询方法：投标人在本项目投标截止时间前10日内,进入投标人基本信息页面，点击“下载信用报告”后点击“下载”。“中国政府采购网”的查询方法：点击“政府采购严重违法失信行为记录名单”进行查询，提供相关截图证明材料。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13F27A97">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5</w:t>
      </w:r>
      <w:r>
        <w:rPr>
          <w:rFonts w:hint="eastAsia" w:ascii="仿宋" w:hAnsi="仿宋" w:eastAsia="仿宋" w:cs="宋体"/>
          <w:color w:val="auto"/>
          <w:sz w:val="22"/>
          <w:highlight w:val="none"/>
        </w:rPr>
        <w:t>.单位负责人为同一人或者存在控股、管理关系的不同单位，不得参加同一项目的采购活动。</w:t>
      </w:r>
    </w:p>
    <w:p w14:paraId="25CB458A">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6.</w:t>
      </w:r>
      <w:r>
        <w:rPr>
          <w:rFonts w:hint="eastAsia" w:ascii="仿宋" w:hAnsi="仿宋" w:eastAsia="仿宋" w:cs="宋体"/>
          <w:color w:val="auto"/>
          <w:sz w:val="22"/>
          <w:highlight w:val="none"/>
        </w:rPr>
        <w:t>本项目不接受联合体投标。</w:t>
      </w:r>
    </w:p>
    <w:p w14:paraId="55D64CFB">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default" w:ascii="仿宋" w:hAnsi="仿宋" w:eastAsia="仿宋"/>
          <w:b/>
          <w:bCs/>
          <w:color w:val="auto"/>
          <w:sz w:val="22"/>
          <w:highlight w:val="none"/>
          <w:lang w:val="en-US" w:eastAsia="zh-CN"/>
        </w:rPr>
      </w:pPr>
      <w:r>
        <w:rPr>
          <w:rFonts w:hint="eastAsia" w:ascii="仿宋" w:hAnsi="仿宋" w:eastAsia="仿宋"/>
          <w:b/>
          <w:bCs/>
          <w:color w:val="auto"/>
          <w:sz w:val="22"/>
          <w:highlight w:val="none"/>
          <w:lang w:val="en-US" w:eastAsia="zh-CN"/>
        </w:rPr>
        <w:t>五、投标资料要求</w:t>
      </w:r>
    </w:p>
    <w:p w14:paraId="747088B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（1）企业资质证书及投标资格要求的相关证明材料；</w:t>
      </w:r>
    </w:p>
    <w:p w14:paraId="1E77586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（2）营业执照（三证合一）；</w:t>
      </w:r>
    </w:p>
    <w:p w14:paraId="05A7A83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（3）法人授权书（格式自拟）；</w:t>
      </w:r>
    </w:p>
    <w:p w14:paraId="6C3F603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（4）法人身份证复印件、被授权人身份证复印件；</w:t>
      </w:r>
    </w:p>
    <w:p w14:paraId="21641E6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（5）报价单（需按工程量清单提供报价，含纸质版和电子档，电子档以U盘形式提供）。</w:t>
      </w:r>
    </w:p>
    <w:p w14:paraId="6E5918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（6）提供工程质量承诺。</w:t>
      </w:r>
    </w:p>
    <w:p w14:paraId="4F31CD5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（7）根据评分办法准备的相关材料。</w:t>
      </w:r>
    </w:p>
    <w:p w14:paraId="4FBAF21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  注：所有投标材料一正一副，必须密封并加盖公章提供。</w:t>
      </w:r>
    </w:p>
    <w:p w14:paraId="41D8EBE9">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eastAsia" w:ascii="仿宋" w:hAnsi="仿宋" w:eastAsia="仿宋"/>
          <w:b/>
          <w:bCs/>
          <w:color w:val="auto"/>
          <w:sz w:val="22"/>
          <w:highlight w:val="none"/>
          <w:lang w:val="en-US" w:eastAsia="zh-CN"/>
        </w:rPr>
      </w:pPr>
      <w:r>
        <w:rPr>
          <w:rFonts w:hint="eastAsia" w:ascii="仿宋" w:hAnsi="仿宋" w:eastAsia="仿宋"/>
          <w:b/>
          <w:bCs/>
          <w:color w:val="auto"/>
          <w:sz w:val="22"/>
          <w:highlight w:val="none"/>
          <w:lang w:val="en-US" w:eastAsia="zh-CN"/>
        </w:rPr>
        <w:t>六、投标时间与地点：</w:t>
      </w:r>
    </w:p>
    <w:p w14:paraId="1BA5FDF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各投标人须在</w:t>
      </w:r>
      <w:r>
        <w:rPr>
          <w:rFonts w:hint="eastAsia" w:ascii="仿宋" w:hAnsi="仿宋" w:eastAsia="仿宋" w:cs="宋体"/>
          <w:color w:val="auto"/>
          <w:kern w:val="2"/>
          <w:sz w:val="22"/>
          <w:szCs w:val="20"/>
          <w:highlight w:val="none"/>
          <w:lang w:val="en-US" w:eastAsia="zh-CN" w:bidi="ar-SA"/>
        </w:rPr>
        <w:t>2025年11 月6日上午9:00-11:00之间</w:t>
      </w:r>
      <w:r>
        <w:rPr>
          <w:rFonts w:hint="eastAsia" w:ascii="仿宋" w:hAnsi="仿宋" w:eastAsia="仿宋" w:cs="宋体"/>
          <w:color w:val="auto"/>
          <w:kern w:val="2"/>
          <w:sz w:val="22"/>
          <w:szCs w:val="20"/>
          <w:highlight w:val="none"/>
          <w:lang w:val="en-US" w:eastAsia="zh-CN" w:bidi="ar-SA"/>
        </w:rPr>
        <w:t>自带投标文件到南宁市青秀区教育路7号广西艺术学院雕塑楼107室，联系人：高老师，朱老师，李老师，联系电话：0771-5327987，逾期者被视为放弃投标资格。</w:t>
      </w:r>
    </w:p>
    <w:p w14:paraId="343C3F3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七、本次采购的相关信息（包括但不限于采购公告与附件及其修改、补充、澄清等，下同）在广西艺术学院主页的“机构设置-财务资产处-招标公告”栏（网址：</w:t>
      </w:r>
      <w:r>
        <w:rPr>
          <w:rFonts w:hint="eastAsia" w:ascii="仿宋" w:hAnsi="仿宋" w:eastAsia="仿宋" w:cs="宋体"/>
          <w:color w:val="auto"/>
          <w:kern w:val="2"/>
          <w:sz w:val="22"/>
          <w:szCs w:val="20"/>
          <w:highlight w:val="none"/>
          <w:lang w:val="en-US" w:eastAsia="zh-CN" w:bidi="ar-SA"/>
        </w:rPr>
        <w:fldChar w:fldCharType="begin"/>
      </w:r>
      <w:r>
        <w:rPr>
          <w:rFonts w:hint="eastAsia" w:ascii="仿宋" w:hAnsi="仿宋" w:eastAsia="仿宋" w:cs="宋体"/>
          <w:color w:val="auto"/>
          <w:kern w:val="2"/>
          <w:sz w:val="22"/>
          <w:szCs w:val="20"/>
          <w:highlight w:val="none"/>
          <w:lang w:val="en-US" w:eastAsia="zh-CN" w:bidi="ar-SA"/>
        </w:rP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rPr>
          <w:rFonts w:hint="eastAsia" w:ascii="仿宋" w:hAnsi="仿宋" w:eastAsia="仿宋" w:cs="宋体"/>
          <w:color w:val="auto"/>
          <w:kern w:val="2"/>
          <w:sz w:val="22"/>
          <w:szCs w:val="20"/>
          <w:highlight w:val="none"/>
          <w:lang w:val="en-US" w:eastAsia="zh-CN" w:bidi="ar-SA"/>
        </w:rPr>
        <w:fldChar w:fldCharType="separate"/>
      </w:r>
      <w:r>
        <w:rPr>
          <w:rFonts w:hint="eastAsia" w:ascii="仿宋" w:hAnsi="仿宋" w:eastAsia="仿宋" w:cs="宋体"/>
          <w:color w:val="auto"/>
          <w:kern w:val="2"/>
          <w:sz w:val="22"/>
          <w:szCs w:val="20"/>
          <w:highlight w:val="none"/>
          <w:lang w:val="en-US" w:eastAsia="zh-CN" w:bidi="ar-SA"/>
        </w:rPr>
        <w:t>https://cwc.gxau.edu.cn/zbgg2）上发布，本次采购的相关信息一经在上述网站发布，即视为已发送给投标人。投标人据此参与本次采购活动，即视为对本次采购的相关信息、内容及规则没有异议。</w:t>
      </w:r>
      <w:r>
        <w:rPr>
          <w:rFonts w:hint="eastAsia" w:ascii="仿宋" w:hAnsi="仿宋" w:eastAsia="仿宋" w:cs="宋体"/>
          <w:color w:val="auto"/>
          <w:kern w:val="2"/>
          <w:sz w:val="22"/>
          <w:szCs w:val="20"/>
          <w:highlight w:val="none"/>
          <w:lang w:val="en-US" w:eastAsia="zh-CN" w:bidi="ar-SA"/>
        </w:rPr>
        <w:fldChar w:fldCharType="end"/>
      </w:r>
    </w:p>
    <w:p w14:paraId="2B984E02">
      <w:pPr>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br w:type="page"/>
      </w:r>
    </w:p>
    <w:p w14:paraId="24B9C1B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440" w:firstLineChars="200"/>
        <w:jc w:val="left"/>
        <w:rPr>
          <w:rFonts w:hint="eastAsia" w:ascii="仿宋" w:hAnsi="仿宋" w:eastAsia="仿宋" w:cs="宋体"/>
          <w:color w:val="auto"/>
          <w:kern w:val="2"/>
          <w:sz w:val="22"/>
          <w:szCs w:val="20"/>
          <w:highlight w:val="none"/>
          <w:lang w:val="en-US" w:eastAsia="zh-CN" w:bidi="ar-SA"/>
        </w:rPr>
      </w:pPr>
    </w:p>
    <w:bookmarkEnd w:id="1"/>
    <w:bookmarkEnd w:id="2"/>
    <w:bookmarkEnd w:id="3"/>
    <w:bookmarkEnd w:id="4"/>
    <w:p w14:paraId="5CAF4631">
      <w:pPr>
        <w:pStyle w:val="2"/>
        <w:spacing w:line="500" w:lineRule="exact"/>
        <w:ind w:firstLine="3092" w:firstLineChars="700"/>
        <w:jc w:val="both"/>
        <w:rPr>
          <w:color w:val="auto"/>
          <w:highlight w:val="none"/>
        </w:rPr>
      </w:pPr>
      <w:bookmarkStart w:id="5" w:name="_Toc593"/>
      <w:bookmarkStart w:id="6" w:name="_Toc108836086"/>
      <w:bookmarkStart w:id="7" w:name="_Toc108835675"/>
      <w:r>
        <w:rPr>
          <w:rFonts w:hint="eastAsia" w:ascii="仿宋" w:hAnsi="仿宋" w:eastAsia="仿宋"/>
          <w:color w:val="auto"/>
          <w:highlight w:val="none"/>
        </w:rPr>
        <w:t>第</w:t>
      </w:r>
      <w:r>
        <w:rPr>
          <w:rFonts w:hint="eastAsia" w:ascii="仿宋" w:hAnsi="仿宋" w:eastAsia="仿宋"/>
          <w:color w:val="auto"/>
          <w:highlight w:val="none"/>
          <w:lang w:val="en-US" w:eastAsia="zh-CN"/>
        </w:rPr>
        <w:t>二</w:t>
      </w:r>
      <w:r>
        <w:rPr>
          <w:rFonts w:hint="eastAsia" w:ascii="仿宋" w:hAnsi="仿宋" w:eastAsia="仿宋"/>
          <w:color w:val="auto"/>
          <w:highlight w:val="none"/>
        </w:rPr>
        <w:t xml:space="preserve">章 </w:t>
      </w:r>
      <w:bookmarkEnd w:id="5"/>
      <w:bookmarkStart w:id="8" w:name="_Toc9645"/>
      <w:r>
        <w:rPr>
          <w:rFonts w:hint="eastAsia" w:ascii="仿宋" w:hAnsi="仿宋" w:eastAsia="仿宋"/>
          <w:color w:val="auto"/>
          <w:highlight w:val="none"/>
        </w:rPr>
        <w:t xml:space="preserve"> </w:t>
      </w:r>
      <w:bookmarkEnd w:id="8"/>
      <w:r>
        <w:rPr>
          <w:rFonts w:hint="eastAsia" w:ascii="仿宋" w:hAnsi="仿宋" w:eastAsia="仿宋"/>
          <w:color w:val="auto"/>
          <w:highlight w:val="none"/>
        </w:rPr>
        <w:t>采购需求</w:t>
      </w:r>
    </w:p>
    <w:p w14:paraId="3D0506CC">
      <w:pPr>
        <w:adjustRightInd w:val="0"/>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说明：</w:t>
      </w:r>
    </w:p>
    <w:p w14:paraId="1081F946">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color w:val="auto"/>
          <w:sz w:val="21"/>
          <w:szCs w:val="21"/>
          <w:highlight w:val="none"/>
        </w:rPr>
        <w:t>本采购需求一览表中标注★号的部分为实质性要求和条件。</w:t>
      </w:r>
    </w:p>
    <w:p w14:paraId="60AD78B3">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采购需求中出现的品牌、型号或者生产供应商仅起参考作用，不属于指定品牌、型号或者生产供应商的情形。供应商可参照或者选用其他相当的品牌、型号或者生产供应商替代。</w:t>
      </w:r>
    </w:p>
    <w:p w14:paraId="7807429F">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供应商必须自行为其竞标产品侵犯他人的知识产权或者专利成果的行为承担相应法律责任。</w:t>
      </w:r>
    </w:p>
    <w:p w14:paraId="02BCC597">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本采购需求一览表中内容如与“合同条款及格式”相关条款不一致的，以采购人最终确认的为准。</w:t>
      </w:r>
    </w:p>
    <w:tbl>
      <w:tblPr>
        <w:tblStyle w:val="40"/>
        <w:tblW w:w="9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1258"/>
        <w:gridCol w:w="995"/>
        <w:gridCol w:w="6763"/>
      </w:tblGrid>
      <w:tr w14:paraId="38F95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62BC888">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D685D31">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F64CC83">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数量及单位</w:t>
            </w:r>
          </w:p>
        </w:tc>
        <w:tc>
          <w:tcPr>
            <w:tcW w:w="6763" w:type="dxa"/>
            <w:tcBorders>
              <w:top w:val="single" w:color="auto" w:sz="4" w:space="0"/>
              <w:left w:val="single" w:color="auto" w:sz="4" w:space="0"/>
              <w:bottom w:val="single" w:color="auto" w:sz="4" w:space="0"/>
              <w:right w:val="single" w:color="auto" w:sz="4" w:space="0"/>
            </w:tcBorders>
            <w:noWrap w:val="0"/>
            <w:vAlign w:val="center"/>
          </w:tcPr>
          <w:p w14:paraId="12969FD6">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技术参数要求</w:t>
            </w:r>
          </w:p>
        </w:tc>
      </w:tr>
      <w:tr w14:paraId="1BA93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2226D93">
            <w:pPr>
              <w:adjustRightInd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6091DDF">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广西艺术学院桂林校区食堂维修改造工程</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9EB46FA">
            <w:pPr>
              <w:adjustRightInd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6763" w:type="dxa"/>
            <w:tcBorders>
              <w:top w:val="single" w:color="auto" w:sz="4" w:space="0"/>
              <w:left w:val="single" w:color="auto" w:sz="4" w:space="0"/>
              <w:bottom w:val="single" w:color="auto" w:sz="4" w:space="0"/>
              <w:right w:val="single" w:color="auto" w:sz="4" w:space="0"/>
            </w:tcBorders>
            <w:noWrap w:val="0"/>
            <w:vAlign w:val="center"/>
          </w:tcPr>
          <w:p w14:paraId="0844909F">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一、项目概况</w:t>
            </w:r>
          </w:p>
          <w:p w14:paraId="3FCA6139">
            <w:pPr>
              <w:pStyle w:val="12"/>
              <w:snapToGrid w:val="0"/>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工程范围及内容：建筑面积为892.19㎡，地上1层，主要工程内容：建筑面积为892.19㎡，地上1层，主要工程内容：拆除工程、装饰装修工程、地面工程、吊顶工程、门窗工程、隔断工程、电气工程、给排水工程，详见工程量清单。</w:t>
            </w:r>
          </w:p>
          <w:p w14:paraId="77409E1A">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拆除工程。拆除食堂内原有破损墙面装饰层（如乳胶漆、瓷砖等）、老化地面铺装（如地砖、水泥地面等）。拆除废弃或损坏的厨房设备基础、旧隔断、门窗及附属构件。拆除老化、不符合安全标准的电气线路、开关插座、灯具及给排水管道、阀门、洁具等。拆除过程中需做好现场防护，避免对周边建筑结构、设施及环境造成损坏，同时对可回收利用的材料进行分类整理，交由采购人统一处理。</w:t>
            </w:r>
          </w:p>
          <w:p w14:paraId="68CC7B6C">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装饰装修工程。墙面工程：对拆除后的墙面基层进行清理、修补、找平处理，采用符合国家环保标准及食堂使用要求的耐擦洗、防油污涂料或瓷砖进行装饰，颜色搭配需与食堂整体风格协调，营造整洁、明亮的就餐环境。</w:t>
            </w:r>
          </w:p>
          <w:p w14:paraId="48C33606">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（3）地面工程：清理地面基层，修补裂缝、凹陷处，铺设防滑、耐磨、易清洁的地砖或环氧地坪，地面坡度设计需合理，确保排水顺畅，无积水现象。</w:t>
            </w:r>
          </w:p>
          <w:p w14:paraId="2190B972">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（4）吊顶工程：根据食堂空间高度及使用需求，选用防火、防潮、易清洁的吊顶材料（如铝扣板、PVC 扣板等）进行吊顶安装，吊顶内管线排布需整齐有序，预留检修口，方便后期维护。</w:t>
            </w:r>
          </w:p>
          <w:p w14:paraId="3F4C7F25">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（5）门窗工程：更换老化、损坏的门窗，新门窗需选用节能、隔音、防盗性能良好的材质，窗户玻璃需采用安全玻璃，门窗安装需牢固、密封性能良好，开启灵活。</w:t>
            </w:r>
          </w:p>
          <w:p w14:paraId="424D59B5">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（6）隔断工程：如需划分食堂功能区域（如就餐区、取餐区、厨房操作区等），采用符合要求的隔断材料进行隔断施工，隔断设计需兼顾实用性与美观性，保证各区域功能独立且通行顺畅。</w:t>
            </w:r>
          </w:p>
          <w:p w14:paraId="215DAA44">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（7）电气工程</w:t>
            </w:r>
          </w:p>
          <w:p w14:paraId="34140E63">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线路改造：根据食堂用电需求及相关规范，重新规划电气线路，更换老化、不符合安全标准的电线、电缆，采用阻燃、防老化的线管进行穿线保护，线路敷设需整齐、规范，避免交叉、缠绕。</w:t>
            </w:r>
          </w:p>
          <w:p w14:paraId="1316435C">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（8）给排水工程</w:t>
            </w:r>
          </w:p>
          <w:p w14:paraId="2F3170C9">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管道改造：更换老化、锈蚀、漏水的给水管、排水管，给水管选用卫生、无毒、耐腐蚀的材质（如 PPR 管、不锈钢管等），排水管选用排水通畅、耐冲击的材质（如 UPVC 管、铸铁管等），管道安装需横平竖直，坡度合理，接口密封严密，无渗漏现象。</w:t>
            </w:r>
          </w:p>
          <w:p w14:paraId="66DFF889">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2.上限控制价：378536.23元。</w:t>
            </w:r>
          </w:p>
          <w:p w14:paraId="145DDF0F">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3.资金来源：财政资金。</w:t>
            </w:r>
          </w:p>
          <w:p w14:paraId="4C1459F3">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二、工程地点：</w:t>
            </w:r>
            <w:r>
              <w:rPr>
                <w:rFonts w:hint="eastAsia" w:ascii="仿宋" w:hAnsi="仿宋" w:eastAsia="仿宋" w:cs="仿宋"/>
                <w:color w:val="auto"/>
                <w:kern w:val="0"/>
                <w:sz w:val="21"/>
                <w:szCs w:val="21"/>
                <w:highlight w:val="none"/>
                <w:lang w:eastAsia="zh-CN"/>
              </w:rPr>
              <w:t>广西艺术学院桂林校区。</w:t>
            </w:r>
          </w:p>
          <w:p w14:paraId="185B5825">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三、工期要求：</w:t>
            </w:r>
          </w:p>
          <w:p w14:paraId="3D06ED45">
            <w:pPr>
              <w:pStyle w:val="12"/>
              <w:widowControl/>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1.本项目计划工期为45日历天，具体开工日期以采购人书面通知为准</w:t>
            </w:r>
            <w:r>
              <w:rPr>
                <w:rFonts w:hint="eastAsia" w:ascii="仿宋" w:hAnsi="仿宋" w:eastAsia="仿宋" w:cs="仿宋"/>
                <w:color w:val="auto"/>
                <w:kern w:val="0"/>
                <w:sz w:val="21"/>
                <w:szCs w:val="21"/>
                <w:highlight w:val="none"/>
                <w:lang w:eastAsia="zh-CN"/>
              </w:rPr>
              <w:t>。</w:t>
            </w:r>
          </w:p>
          <w:p w14:paraId="325019D2">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2.成交人应制定详细的施工进度计划，确保在规定时间内完成全部工程内容，并通过验收交付使用。如因成交人原因导致工期延误，每延误一天，按照合同价款的[5‰]向采购人支付违约金。</w:t>
            </w:r>
          </w:p>
          <w:p w14:paraId="088AF8DE">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color w:val="auto"/>
                <w:kern w:val="0"/>
                <w:sz w:val="21"/>
                <w:szCs w:val="21"/>
                <w:highlight w:val="none"/>
              </w:rPr>
              <w:t>五、质量要求：</w:t>
            </w:r>
          </w:p>
          <w:p w14:paraId="0582F941">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本项目工程质量需严格按照国家现行《建筑工程施工质量验收统一标准》（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p>
          <w:p w14:paraId="75C739CB">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成交人需建立完善的质量管理体系，明确质量责任人，制定质量控制措施，对工程施工全过程进行质量监督与管理。施工前需对施工人员进行技术交底和质量培训，确保施工人员熟悉施工工艺及质量要求；施工过程中需严格执行“三检制”（自检、互检、专检），对每道工序进行质量检查，合格后方可进入下道工序施工；对关键部位、关键工序需设置质量控制点，加强监督检查力度。</w:t>
            </w:r>
          </w:p>
          <w:p w14:paraId="144927B7">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工程所用材料、设备需符合国家相关质量标准及设计要求，具有产品合格证、质量检验报告等相关证明文件。成交人需在材料、设备进场前向采购人及监理单位（如有）提交样品及相关证明文件，经审核确认合格后方可进场使用。严禁使用假冒伪劣、不合格的材料、设备，如发现成交人使用不合格材料、设备，采购人有权要求成交人立即更换，并承担由此造成的工期延误及一切经济损失。</w:t>
            </w:r>
          </w:p>
          <w:p w14:paraId="624A383E">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工程完工后，成交人需按照相关规范要求进行自检，自检合格后向采购人提交竣工验收申请，并提供完整的工程质量验收资料。如工程质量不符合要求，成交人需按照采购人及监理单位（如有）提出的整改意见及时进行整改，直至达到合格标准，整改费用由成交人承担，工期不予顺延。</w:t>
            </w:r>
          </w:p>
          <w:p w14:paraId="143F91EF">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六、安全文明施工要求</w:t>
            </w:r>
            <w:r>
              <w:rPr>
                <w:rFonts w:hint="eastAsia" w:ascii="仿宋" w:hAnsi="仿宋" w:eastAsia="仿宋" w:cs="仿宋"/>
                <w:color w:val="auto"/>
                <w:sz w:val="21"/>
                <w:szCs w:val="21"/>
                <w:highlight w:val="none"/>
              </w:rPr>
              <w:t>：</w:t>
            </w:r>
          </w:p>
          <w:p w14:paraId="4049B6F3">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1.成交人</w:t>
            </w:r>
            <w:r>
              <w:rPr>
                <w:rFonts w:hint="eastAsia" w:ascii="仿宋" w:hAnsi="仿宋" w:eastAsia="仿宋" w:cs="仿宋"/>
                <w:color w:val="auto"/>
                <w:sz w:val="21"/>
                <w:szCs w:val="21"/>
                <w:highlight w:val="none"/>
              </w:rPr>
              <w:t>需严格遵守国家《中华人民共和国安全生产法》、《建设工程安全生产管理条例》等相关法律法规及采购人关于校园安全管理的规定，建立健全安全生产责任制，制定完善的安全生产规章制度和操作规程，配备专职安全生产管理人员，负责施工现场的安全管理工作。</w:t>
            </w:r>
          </w:p>
          <w:p w14:paraId="227431D9">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施工前需对施工人员进行全面的安全教育培训和安全技术交底，特种作业人员（如电工、焊工、架子工等）必须持有效特种作业操作证上岗，严禁无证操作。</w:t>
            </w:r>
          </w:p>
          <w:p w14:paraId="4E139F8C">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施工现场需设置明显的安全警示标志（如禁止标志、警告标志、指令标志、提示标志等），在危险区域（如高空作业区、电气设备区、材料堆放区等）需采取有效的防护措施，如设置防护栏杆、安全网、警示灯等，防止发生安全事故。</w:t>
            </w:r>
          </w:p>
          <w:p w14:paraId="479C0AAC">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4.成交人</w:t>
            </w:r>
            <w:r>
              <w:rPr>
                <w:rFonts w:hint="eastAsia" w:ascii="仿宋" w:hAnsi="仿宋" w:eastAsia="仿宋" w:cs="仿宋"/>
                <w:color w:val="auto"/>
                <w:sz w:val="21"/>
                <w:szCs w:val="21"/>
                <w:highlight w:val="none"/>
              </w:rPr>
              <w:t>需加强施工现场消防安全管理，配备足够的消防器材（如灭火器、消防栓、消防水桶等），并定期检查消防器材的完好性和有效性；严禁在施工现场违规动火、吸烟，动火作业需办理动火审批手续，并采取相应的防火措施。</w:t>
            </w:r>
          </w:p>
          <w:p w14:paraId="56344C0D">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施工过程中需确保施工机械设备的安全运行，定期对机械设备进行维护保养和安全检查，发现问题及时维修或更换，严禁机械设备带故障运行。</w:t>
            </w:r>
          </w:p>
          <w:p w14:paraId="4B764A26">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如施工现场发生安全事故，</w:t>
            </w:r>
            <w:r>
              <w:rPr>
                <w:rFonts w:hint="eastAsia" w:ascii="仿宋" w:hAnsi="仿宋" w:eastAsia="仿宋" w:cs="仿宋"/>
                <w:color w:val="auto"/>
                <w:sz w:val="21"/>
                <w:szCs w:val="21"/>
                <w:highlight w:val="none"/>
                <w:lang w:val="en-US" w:eastAsia="zh-CN"/>
              </w:rPr>
              <w:t>成交人</w:t>
            </w:r>
            <w:r>
              <w:rPr>
                <w:rFonts w:hint="eastAsia" w:ascii="仿宋" w:hAnsi="仿宋" w:eastAsia="仿宋" w:cs="仿宋"/>
                <w:color w:val="auto"/>
                <w:sz w:val="21"/>
                <w:szCs w:val="21"/>
                <w:highlight w:val="none"/>
              </w:rPr>
              <w:t>需立即启动应急预案，采取有效措施抢救伤员、控制事故扩大，并在 1 小时内向采购人及相关主管部门报告，同时按照事故调查处理程序配合做好事故调查处理工作。</w:t>
            </w:r>
          </w:p>
          <w:p w14:paraId="0206FA0E">
            <w:pPr>
              <w:adjustRightInd w:val="0"/>
              <w:snapToGrid w:val="0"/>
              <w:spacing w:line="360" w:lineRule="auto"/>
              <w:ind w:firstLine="420" w:firstLineChars="200"/>
              <w:jc w:val="both"/>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七、验收标准与方式：</w:t>
            </w:r>
          </w:p>
          <w:p w14:paraId="2A6A966B">
            <w:pPr>
              <w:adjustRightInd w:val="0"/>
              <w:snapToGrid w:val="0"/>
              <w:spacing w:line="360" w:lineRule="auto"/>
              <w:ind w:firstLine="420" w:firstLineChars="20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本项目验收需严格按照国家现行相关工程质量验收规范、技术标准、设计文件、工程量清单及本采购需求中的要求执行，确保工程质量符合合格等级标准</w:t>
            </w:r>
            <w:r>
              <w:rPr>
                <w:rFonts w:hint="eastAsia" w:ascii="仿宋" w:hAnsi="仿宋" w:eastAsia="仿宋" w:cs="仿宋"/>
                <w:color w:val="auto"/>
                <w:kern w:val="0"/>
                <w:sz w:val="21"/>
                <w:szCs w:val="21"/>
                <w:highlight w:val="none"/>
                <w:lang w:eastAsia="zh-CN"/>
              </w:rPr>
              <w:t>。</w:t>
            </w:r>
          </w:p>
        </w:tc>
      </w:tr>
      <w:tr w14:paraId="53EBD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793A9E8">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商务条款</w:t>
            </w:r>
          </w:p>
        </w:tc>
        <w:tc>
          <w:tcPr>
            <w:tcW w:w="9016" w:type="dxa"/>
            <w:gridSpan w:val="3"/>
            <w:tcBorders>
              <w:top w:val="single" w:color="auto" w:sz="4" w:space="0"/>
              <w:left w:val="single" w:color="auto" w:sz="4" w:space="0"/>
              <w:bottom w:val="single" w:color="auto" w:sz="4" w:space="0"/>
              <w:right w:val="single" w:color="auto" w:sz="4" w:space="0"/>
            </w:tcBorders>
            <w:noWrap w:val="0"/>
            <w:vAlign w:val="top"/>
          </w:tcPr>
          <w:p w14:paraId="015F8AF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★一、合同签订期：自成交通知书发出之日起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日内</w:t>
            </w:r>
          </w:p>
          <w:p w14:paraId="36A0FBE5">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要求：</w:t>
            </w:r>
          </w:p>
          <w:p w14:paraId="353ECB18">
            <w:pPr>
              <w:adjustRightInd w:val="0"/>
              <w:spacing w:line="360" w:lineRule="auto"/>
              <w:ind w:left="6"/>
              <w:jc w:val="left"/>
              <w:rPr>
                <w:rFonts w:hint="eastAsia" w:ascii="仿宋" w:hAnsi="仿宋" w:eastAsia="仿宋" w:cs="仿宋"/>
                <w:color w:val="auto"/>
                <w:sz w:val="21"/>
                <w:szCs w:val="21"/>
                <w:highlight w:val="none"/>
                <w:lang w:bidi="ar"/>
              </w:rPr>
            </w:pPr>
            <w:bookmarkStart w:id="9" w:name="_Toc106794704"/>
            <w:bookmarkStart w:id="10" w:name="_Toc115277798"/>
            <w:r>
              <w:rPr>
                <w:rFonts w:hint="eastAsia" w:ascii="仿宋" w:hAnsi="仿宋" w:eastAsia="仿宋" w:cs="仿宋"/>
                <w:color w:val="auto"/>
                <w:sz w:val="21"/>
                <w:szCs w:val="21"/>
                <w:highlight w:val="none"/>
              </w:rPr>
              <w:t>1.报价形式：</w:t>
            </w:r>
            <w:bookmarkEnd w:id="9"/>
            <w:bookmarkEnd w:id="10"/>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固定综合单价</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且</w:t>
            </w:r>
            <w:r>
              <w:rPr>
                <w:rFonts w:hint="eastAsia" w:ascii="仿宋" w:hAnsi="仿宋" w:eastAsia="仿宋" w:cs="仿宋"/>
                <w:b/>
                <w:color w:val="auto"/>
                <w:sz w:val="21"/>
                <w:szCs w:val="21"/>
                <w:highlight w:val="none"/>
              </w:rPr>
              <w:t>响应报价不得超过公布的</w:t>
            </w:r>
            <w:r>
              <w:rPr>
                <w:rFonts w:hint="eastAsia" w:ascii="仿宋" w:hAnsi="仿宋" w:eastAsia="仿宋" w:cs="仿宋"/>
                <w:b/>
                <w:color w:val="auto"/>
                <w:sz w:val="21"/>
                <w:szCs w:val="21"/>
                <w:highlight w:val="none"/>
                <w:lang w:val="en-US" w:eastAsia="zh-CN"/>
              </w:rPr>
              <w:t>最高限价</w:t>
            </w:r>
            <w:r>
              <w:rPr>
                <w:rFonts w:hint="eastAsia" w:ascii="仿宋" w:hAnsi="仿宋" w:eastAsia="仿宋" w:cs="仿宋"/>
                <w:color w:val="auto"/>
                <w:sz w:val="21"/>
                <w:szCs w:val="21"/>
                <w:highlight w:val="none"/>
              </w:rPr>
              <w:t>，否则作无效响应处理。</w:t>
            </w:r>
            <w:r>
              <w:rPr>
                <w:rFonts w:hint="eastAsia" w:ascii="仿宋" w:hAnsi="仿宋" w:eastAsia="仿宋" w:cs="仿宋"/>
                <w:color w:val="auto"/>
                <w:sz w:val="21"/>
                <w:szCs w:val="21"/>
                <w:highlight w:val="none"/>
                <w:lang w:bidi="ar"/>
              </w:rPr>
              <w:t>报价必须包含以下部分：</w:t>
            </w:r>
          </w:p>
          <w:p w14:paraId="642CBA66">
            <w:pPr>
              <w:adjustRightInd w:val="0"/>
              <w:spacing w:line="360" w:lineRule="auto"/>
              <w:ind w:left="6"/>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1</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bidi="ar"/>
              </w:rPr>
              <w:t>满足本项目全部采购需求，</w:t>
            </w:r>
            <w:r>
              <w:rPr>
                <w:rFonts w:hint="eastAsia" w:ascii="仿宋" w:hAnsi="仿宋" w:eastAsia="仿宋" w:cs="仿宋"/>
                <w:color w:val="auto"/>
                <w:sz w:val="21"/>
                <w:szCs w:val="21"/>
                <w:highlight w:val="none"/>
              </w:rPr>
              <w:t>包含完成整个工程所有费用。</w:t>
            </w:r>
          </w:p>
          <w:p w14:paraId="37B1F08A">
            <w:pPr>
              <w:adjustRightInd w:val="0"/>
              <w:spacing w:line="360" w:lineRule="auto"/>
              <w:ind w:left="6"/>
              <w:jc w:val="lef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2</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bidi="ar"/>
              </w:rPr>
              <w:t>必要的保险费和各项税金（成交</w:t>
            </w:r>
            <w:r>
              <w:rPr>
                <w:rFonts w:hint="eastAsia" w:ascii="仿宋" w:hAnsi="仿宋" w:eastAsia="仿宋" w:cs="仿宋"/>
                <w:color w:val="auto"/>
                <w:sz w:val="21"/>
                <w:szCs w:val="21"/>
                <w:highlight w:val="none"/>
                <w:lang w:val="en-US" w:eastAsia="zh-CN" w:bidi="ar"/>
              </w:rPr>
              <w:t>人</w:t>
            </w:r>
            <w:r>
              <w:rPr>
                <w:rFonts w:hint="eastAsia" w:ascii="仿宋" w:hAnsi="仿宋" w:eastAsia="仿宋" w:cs="仿宋"/>
                <w:color w:val="auto"/>
                <w:sz w:val="21"/>
                <w:szCs w:val="21"/>
                <w:highlight w:val="none"/>
                <w:lang w:bidi="ar"/>
              </w:rPr>
              <w:t>需为该工程购买工程一切险）。</w:t>
            </w:r>
          </w:p>
          <w:p w14:paraId="764B029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.其他要求按合同要求执行。</w:t>
            </w:r>
          </w:p>
          <w:p w14:paraId="7AE4C69B">
            <w:pPr>
              <w:spacing w:line="360" w:lineRule="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w:t>
            </w:r>
            <w:r>
              <w:rPr>
                <w:rFonts w:hint="eastAsia" w:ascii="仿宋" w:hAnsi="仿宋" w:eastAsia="仿宋" w:cs="仿宋"/>
                <w:color w:val="auto"/>
                <w:sz w:val="21"/>
                <w:szCs w:val="21"/>
                <w:highlight w:val="none"/>
              </w:rPr>
              <w:t>六、付款方式：</w:t>
            </w:r>
          </w:p>
          <w:p w14:paraId="2FE2B11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1.预付款：合同签订后[</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]个工作日内，采购人向</w:t>
            </w:r>
            <w:r>
              <w:rPr>
                <w:rFonts w:hint="eastAsia" w:ascii="仿宋" w:hAnsi="仿宋" w:eastAsia="仿宋" w:cs="仿宋"/>
                <w:color w:val="auto"/>
                <w:sz w:val="21"/>
                <w:szCs w:val="21"/>
                <w:highlight w:val="none"/>
                <w:lang w:val="en-US" w:eastAsia="zh-CN"/>
              </w:rPr>
              <w:t>成交人</w:t>
            </w:r>
            <w:r>
              <w:rPr>
                <w:rFonts w:hint="eastAsia" w:ascii="仿宋" w:hAnsi="仿宋" w:eastAsia="仿宋" w:cs="仿宋"/>
                <w:color w:val="auto"/>
                <w:sz w:val="21"/>
                <w:szCs w:val="21"/>
                <w:highlight w:val="none"/>
              </w:rPr>
              <w:t>支付合同价款的[</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%]作为预付款，用于工程前期准备和材料采购。</w:t>
            </w:r>
          </w:p>
          <w:p w14:paraId="4FAEC06C">
            <w:pPr>
              <w:spacing w:line="36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2.进度款一：完成工作量50%时，支付至合同价的50%。（含预付款）</w:t>
            </w:r>
          </w:p>
          <w:p w14:paraId="0977A640">
            <w:pPr>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2.进度款二</w:t>
            </w:r>
            <w:r>
              <w:rPr>
                <w:rFonts w:hint="eastAsia" w:ascii="仿宋" w:hAnsi="仿宋" w:eastAsia="仿宋" w:cs="仿宋"/>
                <w:color w:val="auto"/>
                <w:sz w:val="21"/>
                <w:szCs w:val="21"/>
                <w:highlight w:val="none"/>
              </w:rPr>
              <w:t>：工程竣工验收合格后，支付</w:t>
            </w:r>
            <w:r>
              <w:rPr>
                <w:rFonts w:hint="eastAsia" w:ascii="仿宋" w:hAnsi="仿宋" w:eastAsia="仿宋" w:cs="仿宋"/>
                <w:color w:val="auto"/>
                <w:sz w:val="21"/>
                <w:szCs w:val="21"/>
                <w:highlight w:val="none"/>
                <w:lang w:val="en-US" w:eastAsia="zh-CN"/>
              </w:rPr>
              <w:t>至</w:t>
            </w:r>
            <w:r>
              <w:rPr>
                <w:rFonts w:hint="eastAsia" w:ascii="仿宋" w:hAnsi="仿宋" w:eastAsia="仿宋" w:cs="仿宋"/>
                <w:color w:val="auto"/>
                <w:sz w:val="21"/>
                <w:szCs w:val="21"/>
                <w:highlight w:val="none"/>
              </w:rPr>
              <w:t>合同价的</w:t>
            </w:r>
            <w:r>
              <w:rPr>
                <w:rFonts w:hint="eastAsia" w:ascii="仿宋" w:hAnsi="仿宋" w:eastAsia="仿宋" w:cs="仿宋"/>
                <w:color w:val="auto"/>
                <w:sz w:val="21"/>
                <w:szCs w:val="21"/>
                <w:highlight w:val="none"/>
                <w:lang w:val="en-US" w:eastAsia="zh-CN"/>
              </w:rPr>
              <w:t>85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含预付款</w:t>
            </w:r>
            <w:r>
              <w:rPr>
                <w:rFonts w:hint="eastAsia" w:ascii="仿宋" w:hAnsi="仿宋" w:eastAsia="仿宋" w:cs="仿宋"/>
                <w:color w:val="auto"/>
                <w:sz w:val="21"/>
                <w:szCs w:val="21"/>
                <w:highlight w:val="none"/>
                <w:lang w:eastAsia="zh-CN"/>
              </w:rPr>
              <w:t>）。</w:t>
            </w:r>
          </w:p>
          <w:p w14:paraId="5A8FE40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竣工验收款：</w:t>
            </w:r>
            <w:r>
              <w:rPr>
                <w:rFonts w:hint="eastAsia" w:ascii="仿宋" w:hAnsi="仿宋" w:eastAsia="仿宋" w:cs="仿宋"/>
                <w:color w:val="auto"/>
                <w:sz w:val="21"/>
                <w:szCs w:val="21"/>
                <w:highlight w:val="none"/>
                <w:lang w:val="en-US" w:eastAsia="zh-CN"/>
              </w:rPr>
              <w:t>成交人</w:t>
            </w:r>
            <w:r>
              <w:rPr>
                <w:rFonts w:hint="eastAsia" w:ascii="仿宋" w:hAnsi="仿宋" w:eastAsia="仿宋" w:cs="仿宋"/>
                <w:color w:val="auto"/>
                <w:sz w:val="21"/>
                <w:szCs w:val="21"/>
                <w:highlight w:val="none"/>
              </w:rPr>
              <w:t>提交竣工结算报告及完整的结算资料经采购人审核或审计（如有）后，支付至工程结算价款的[</w:t>
            </w:r>
            <w:r>
              <w:rPr>
                <w:rFonts w:hint="eastAsia" w:ascii="仿宋" w:hAnsi="仿宋" w:eastAsia="仿宋" w:cs="仿宋"/>
                <w:color w:val="auto"/>
                <w:sz w:val="21"/>
                <w:szCs w:val="21"/>
                <w:highlight w:val="none"/>
                <w:lang w:val="en-US" w:eastAsia="zh-CN"/>
              </w:rPr>
              <w:t>97</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3%作为质保金。</w:t>
            </w:r>
          </w:p>
        </w:tc>
      </w:tr>
      <w:tr w14:paraId="7632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3B885FA">
            <w:pPr>
              <w:adjustRightInd w:val="0"/>
              <w:snapToGrid w:val="0"/>
              <w:spacing w:line="360" w:lineRule="auto"/>
              <w:jc w:val="center"/>
              <w:rPr>
                <w:rFonts w:hint="eastAsia" w:ascii="仿宋" w:hAnsi="仿宋" w:eastAsia="仿宋" w:cs="仿宋"/>
                <w:color w:val="auto"/>
                <w:sz w:val="21"/>
                <w:szCs w:val="21"/>
                <w:highlight w:val="none"/>
              </w:rPr>
            </w:pPr>
            <w:bookmarkStart w:id="11" w:name="_Toc108835677"/>
            <w:bookmarkStart w:id="12" w:name="_Toc5884"/>
            <w:bookmarkStart w:id="13" w:name="_Toc108836088"/>
            <w:r>
              <w:rPr>
                <w:rFonts w:hint="eastAsia" w:ascii="仿宋" w:hAnsi="仿宋" w:eastAsia="仿宋" w:cs="仿宋"/>
                <w:color w:val="auto"/>
                <w:sz w:val="21"/>
                <w:szCs w:val="21"/>
                <w:highlight w:val="none"/>
              </w:rPr>
              <w:t>履约保证金</w:t>
            </w:r>
          </w:p>
        </w:tc>
        <w:tc>
          <w:tcPr>
            <w:tcW w:w="9016" w:type="dxa"/>
            <w:gridSpan w:val="3"/>
            <w:tcBorders>
              <w:top w:val="single" w:color="auto" w:sz="4" w:space="0"/>
              <w:left w:val="single" w:color="auto" w:sz="4" w:space="0"/>
              <w:bottom w:val="single" w:color="auto" w:sz="4" w:space="0"/>
              <w:right w:val="single" w:color="auto" w:sz="4" w:space="0"/>
            </w:tcBorders>
            <w:noWrap w:val="0"/>
            <w:vAlign w:val="top"/>
          </w:tcPr>
          <w:p w14:paraId="00470F7C">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否 </w:t>
            </w:r>
          </w:p>
          <w:p w14:paraId="64994A37">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是 </w:t>
            </w:r>
          </w:p>
          <w:p w14:paraId="52A0AC48">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履约保证金的方式：</w:t>
            </w:r>
            <w:bookmarkStart w:id="14" w:name="EBa1a3fa7a636047ba9bd424a3ec3ebf1f"/>
            <w:r>
              <w:rPr>
                <w:rFonts w:hint="eastAsia" w:ascii="仿宋" w:hAnsi="仿宋" w:eastAsia="仿宋"/>
                <w:color w:val="auto"/>
                <w:szCs w:val="21"/>
                <w:highlight w:val="none"/>
              </w:rPr>
              <w:t>转账或电汇等非现金形式。</w:t>
            </w:r>
            <w:bookmarkEnd w:id="14"/>
          </w:p>
          <w:p w14:paraId="698F0A1C">
            <w:pPr>
              <w:spacing w:line="360" w:lineRule="exact"/>
              <w:rPr>
                <w:rFonts w:ascii="仿宋" w:hAnsi="仿宋" w:eastAsia="仿宋"/>
                <w:color w:val="auto"/>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履约保证金的金额：合同价款的</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u w:val="single"/>
                <w:lang w:val="en-US" w:eastAsia="zh-CN"/>
              </w:rPr>
              <w:t xml:space="preserve">3% </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r>
              <w:rPr>
                <w:rFonts w:hint="eastAsia" w:ascii="仿宋" w:hAnsi="仿宋" w:eastAsia="仿宋"/>
                <w:color w:val="auto"/>
                <w:szCs w:val="21"/>
                <w:highlight w:val="none"/>
              </w:rPr>
              <w:t>在收到成交通知书或任务委托书后须在3日内交至指定账户，否则视同放弃成交（履约保证金缴纳时须备注项目名称+项目编号。）</w:t>
            </w:r>
          </w:p>
          <w:p w14:paraId="7FAFECA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履约保证金退付方式、时间及条件：成交供应商</w:t>
            </w:r>
            <w:r>
              <w:rPr>
                <w:rFonts w:hint="eastAsia" w:ascii="仿宋" w:hAnsi="仿宋" w:eastAsia="仿宋" w:cs="仿宋"/>
                <w:color w:val="auto"/>
                <w:kern w:val="0"/>
                <w:sz w:val="21"/>
                <w:szCs w:val="21"/>
                <w:highlight w:val="none"/>
                <w:lang w:val="en-US" w:eastAsia="zh-CN"/>
              </w:rPr>
              <w:t>向采购人完成（施工）竣工资料移交手续（配合完成城建档案馆资料移交、接管单位移交），并提交完整的竣工结算资料后，可向采购人申请退还履约保证金，采购人应在收到申请之日起28个日历天内扣减</w:t>
            </w:r>
            <w:r>
              <w:rPr>
                <w:rFonts w:hint="eastAsia" w:ascii="仿宋" w:hAnsi="仿宋" w:eastAsia="仿宋" w:cs="仿宋"/>
                <w:color w:val="auto"/>
                <w:kern w:val="0"/>
                <w:sz w:val="21"/>
                <w:szCs w:val="21"/>
                <w:highlight w:val="none"/>
              </w:rPr>
              <w:t>成交供应商</w:t>
            </w:r>
            <w:r>
              <w:rPr>
                <w:rFonts w:hint="eastAsia" w:ascii="仿宋" w:hAnsi="仿宋" w:eastAsia="仿宋" w:cs="仿宋"/>
                <w:color w:val="auto"/>
                <w:kern w:val="0"/>
                <w:sz w:val="21"/>
                <w:szCs w:val="21"/>
                <w:highlight w:val="none"/>
                <w:lang w:val="en-US" w:eastAsia="zh-CN"/>
              </w:rPr>
              <w:t>赔偿金和其他应从</w:t>
            </w:r>
            <w:r>
              <w:rPr>
                <w:rFonts w:hint="eastAsia" w:ascii="仿宋" w:hAnsi="仿宋" w:eastAsia="仿宋" w:cs="仿宋"/>
                <w:color w:val="auto"/>
                <w:kern w:val="0"/>
                <w:sz w:val="21"/>
                <w:szCs w:val="21"/>
                <w:highlight w:val="none"/>
              </w:rPr>
              <w:t>成交供应商</w:t>
            </w:r>
            <w:r>
              <w:rPr>
                <w:rFonts w:hint="eastAsia" w:ascii="仿宋" w:hAnsi="仿宋" w:eastAsia="仿宋" w:cs="仿宋"/>
                <w:color w:val="auto"/>
                <w:kern w:val="0"/>
                <w:sz w:val="21"/>
                <w:szCs w:val="21"/>
                <w:highlight w:val="none"/>
                <w:lang w:val="en-US" w:eastAsia="zh-CN"/>
              </w:rPr>
              <w:t>扣回的款项后，将履约金的余额无息退还给</w:t>
            </w:r>
            <w:r>
              <w:rPr>
                <w:rFonts w:hint="eastAsia" w:ascii="仿宋" w:hAnsi="仿宋" w:eastAsia="仿宋" w:cs="仿宋"/>
                <w:color w:val="auto"/>
                <w:kern w:val="0"/>
                <w:sz w:val="21"/>
                <w:szCs w:val="21"/>
                <w:highlight w:val="none"/>
              </w:rPr>
              <w:t>成交供应商。</w:t>
            </w:r>
          </w:p>
          <w:p w14:paraId="056082F5">
            <w:pPr>
              <w:spacing w:line="360" w:lineRule="exact"/>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4.</w:t>
            </w:r>
            <w:r>
              <w:rPr>
                <w:rFonts w:hint="eastAsia" w:ascii="仿宋" w:hAnsi="仿宋" w:eastAsia="仿宋"/>
                <w:color w:val="auto"/>
                <w:szCs w:val="21"/>
                <w:highlight w:val="none"/>
              </w:rPr>
              <w:t>履约保证金指定账户：</w:t>
            </w:r>
          </w:p>
          <w:p w14:paraId="30157323">
            <w:pPr>
              <w:autoSpaceDE w:val="0"/>
              <w:autoSpaceDN w:val="0"/>
              <w:snapToGrid w:val="0"/>
              <w:spacing w:line="360" w:lineRule="exact"/>
              <w:textAlignment w:val="bottom"/>
              <w:rPr>
                <w:rFonts w:ascii="仿宋" w:hAnsi="仿宋" w:eastAsia="仿宋"/>
                <w:color w:val="auto"/>
                <w:szCs w:val="21"/>
                <w:highlight w:val="none"/>
              </w:rPr>
            </w:pPr>
            <w:r>
              <w:rPr>
                <w:rFonts w:hint="eastAsia" w:ascii="仿宋" w:hAnsi="仿宋" w:eastAsia="仿宋"/>
                <w:color w:val="auto"/>
                <w:szCs w:val="21"/>
                <w:highlight w:val="none"/>
              </w:rPr>
              <w:t xml:space="preserve">开户名称：广西艺术学院    </w:t>
            </w:r>
          </w:p>
          <w:p w14:paraId="275DBDD6">
            <w:pPr>
              <w:autoSpaceDE w:val="0"/>
              <w:autoSpaceDN w:val="0"/>
              <w:snapToGrid w:val="0"/>
              <w:spacing w:line="360" w:lineRule="exact"/>
              <w:textAlignment w:val="bottom"/>
              <w:rPr>
                <w:rFonts w:ascii="仿宋" w:hAnsi="仿宋" w:eastAsia="仿宋"/>
                <w:color w:val="auto"/>
                <w:szCs w:val="21"/>
                <w:highlight w:val="none"/>
              </w:rPr>
            </w:pPr>
            <w:r>
              <w:rPr>
                <w:rFonts w:hint="eastAsia" w:ascii="仿宋" w:hAnsi="仿宋" w:eastAsia="仿宋"/>
                <w:color w:val="auto"/>
                <w:szCs w:val="21"/>
                <w:highlight w:val="none"/>
              </w:rPr>
              <w:t xml:space="preserve">开户银行：建行南宁市桃源支行    </w:t>
            </w:r>
          </w:p>
          <w:p w14:paraId="392AE5E6">
            <w:pPr>
              <w:spacing w:line="36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olor w:val="auto"/>
                <w:szCs w:val="21"/>
                <w:highlight w:val="none"/>
              </w:rPr>
              <w:t xml:space="preserve">银行账号：45001604559050500909   </w:t>
            </w:r>
          </w:p>
        </w:tc>
      </w:tr>
      <w:bookmarkEnd w:id="6"/>
      <w:bookmarkEnd w:id="7"/>
    </w:tbl>
    <w:p w14:paraId="129C9F61">
      <w:pPr>
        <w:rPr>
          <w:rFonts w:hint="eastAsia" w:ascii="仿宋" w:hAnsi="仿宋" w:eastAsia="仿宋"/>
          <w:color w:val="auto"/>
          <w:highlight w:val="none"/>
        </w:rPr>
      </w:pPr>
      <w:r>
        <w:rPr>
          <w:rFonts w:hint="eastAsia" w:ascii="仿宋" w:hAnsi="仿宋" w:eastAsia="仿宋"/>
          <w:color w:val="auto"/>
          <w:highlight w:val="none"/>
        </w:rPr>
        <w:br w:type="page"/>
      </w:r>
    </w:p>
    <w:p w14:paraId="6D740E44">
      <w:pPr>
        <w:pStyle w:val="2"/>
        <w:spacing w:line="360" w:lineRule="auto"/>
        <w:jc w:val="center"/>
        <w:rPr>
          <w:rFonts w:ascii="仿宋" w:hAnsi="仿宋" w:eastAsia="仿宋"/>
          <w:color w:val="auto"/>
          <w:highlight w:val="none"/>
        </w:rPr>
      </w:pPr>
      <w:r>
        <w:rPr>
          <w:rFonts w:hint="eastAsia" w:ascii="仿宋" w:hAnsi="仿宋" w:eastAsia="仿宋"/>
          <w:color w:val="auto"/>
          <w:highlight w:val="none"/>
        </w:rPr>
        <w:t>第</w:t>
      </w:r>
      <w:r>
        <w:rPr>
          <w:rFonts w:hint="eastAsia" w:ascii="仿宋" w:hAnsi="仿宋" w:eastAsia="仿宋"/>
          <w:color w:val="auto"/>
          <w:highlight w:val="none"/>
          <w:lang w:val="en-US" w:eastAsia="zh-CN"/>
        </w:rPr>
        <w:t>三</w:t>
      </w:r>
      <w:r>
        <w:rPr>
          <w:rFonts w:hint="eastAsia" w:ascii="仿宋" w:hAnsi="仿宋" w:eastAsia="仿宋"/>
          <w:color w:val="auto"/>
          <w:highlight w:val="none"/>
        </w:rPr>
        <w:t xml:space="preserve">章 </w:t>
      </w:r>
      <w:bookmarkEnd w:id="11"/>
      <w:bookmarkEnd w:id="12"/>
      <w:bookmarkEnd w:id="13"/>
      <w:r>
        <w:rPr>
          <w:rFonts w:hint="eastAsia" w:ascii="仿宋" w:hAnsi="仿宋" w:eastAsia="仿宋"/>
          <w:color w:val="auto"/>
          <w:highlight w:val="none"/>
        </w:rPr>
        <w:t>工程量清单</w:t>
      </w:r>
    </w:p>
    <w:p w14:paraId="18542710">
      <w:pPr>
        <w:jc w:val="center"/>
        <w:rPr>
          <w:rFonts w:ascii="仿宋" w:hAnsi="仿宋" w:eastAsia="仿宋"/>
          <w:color w:val="auto"/>
          <w:sz w:val="44"/>
          <w:highlight w:val="none"/>
        </w:rPr>
      </w:pPr>
      <w:r>
        <w:rPr>
          <w:rFonts w:hint="eastAsia" w:ascii="仿宋" w:hAnsi="仿宋" w:eastAsia="仿宋"/>
          <w:color w:val="auto"/>
          <w:sz w:val="44"/>
          <w:highlight w:val="none"/>
        </w:rPr>
        <w:t>(另附</w:t>
      </w:r>
      <w:r>
        <w:rPr>
          <w:rFonts w:ascii="仿宋" w:hAnsi="仿宋" w:eastAsia="仿宋"/>
          <w:color w:val="auto"/>
          <w:sz w:val="44"/>
          <w:highlight w:val="none"/>
        </w:rPr>
        <w:t>)</w:t>
      </w:r>
    </w:p>
    <w:p w14:paraId="6F6B5B10">
      <w:pPr>
        <w:rPr>
          <w:color w:val="auto"/>
          <w:highlight w:val="none"/>
        </w:rPr>
      </w:pPr>
    </w:p>
    <w:p w14:paraId="7A19556A">
      <w:pPr>
        <w:spacing w:line="360" w:lineRule="auto"/>
        <w:ind w:firstLine="562" w:firstLineChars="20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特别说明：本项目发布的工程量清单等材料的项目名称与本项目采购文件项目名称均不一致，各竞标人在编制清单报价及相关文件时，请统一使用本项目采购文件的项目名称进行编制，其他不变。</w:t>
      </w:r>
    </w:p>
    <w:p w14:paraId="5B4B8BE3">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br w:type="page"/>
      </w:r>
    </w:p>
    <w:p w14:paraId="14D8D9B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olor w:val="auto"/>
          <w:highlight w:val="none"/>
        </w:rPr>
      </w:pPr>
      <w:bookmarkStart w:id="15" w:name="_Toc26313"/>
      <w:r>
        <w:rPr>
          <w:rFonts w:hint="eastAsia" w:ascii="仿宋" w:hAnsi="仿宋" w:eastAsia="仿宋"/>
          <w:color w:val="auto"/>
          <w:highlight w:val="none"/>
        </w:rPr>
        <w:t>第</w:t>
      </w:r>
      <w:r>
        <w:rPr>
          <w:rFonts w:hint="eastAsia" w:ascii="仿宋" w:hAnsi="仿宋" w:eastAsia="仿宋"/>
          <w:color w:val="auto"/>
          <w:highlight w:val="none"/>
          <w:lang w:val="en-US" w:eastAsia="zh-CN"/>
        </w:rPr>
        <w:t>四</w:t>
      </w:r>
      <w:r>
        <w:rPr>
          <w:rFonts w:hint="eastAsia" w:ascii="仿宋" w:hAnsi="仿宋" w:eastAsia="仿宋"/>
          <w:color w:val="auto"/>
          <w:highlight w:val="none"/>
        </w:rPr>
        <w:t>章   评标办法</w:t>
      </w:r>
      <w:bookmarkEnd w:id="15"/>
    </w:p>
    <w:p w14:paraId="7A15E014">
      <w:pPr>
        <w:pStyle w:val="22"/>
        <w:tabs>
          <w:tab w:val="left" w:pos="2472"/>
        </w:tabs>
        <w:spacing w:line="360" w:lineRule="auto"/>
        <w:ind w:firstLine="566"/>
        <w:jc w:val="center"/>
        <w:rPr>
          <w:rFonts w:hAnsi="宋体" w:cs="宋体"/>
          <w:b/>
          <w:bCs/>
          <w:color w:val="auto"/>
          <w:sz w:val="28"/>
          <w:szCs w:val="28"/>
          <w:highlight w:val="none"/>
        </w:rPr>
      </w:pPr>
      <w:r>
        <w:rPr>
          <w:rFonts w:hAnsi="宋体" w:cs="宋体"/>
          <w:b/>
          <w:bCs/>
          <w:color w:val="auto"/>
          <w:sz w:val="28"/>
          <w:szCs w:val="28"/>
          <w:highlight w:val="none"/>
        </w:rPr>
        <w:t>(</w:t>
      </w:r>
      <w:r>
        <w:rPr>
          <w:rFonts w:hint="eastAsia" w:hAnsi="宋体" w:cs="宋体"/>
          <w:b/>
          <w:bCs/>
          <w:color w:val="auto"/>
          <w:sz w:val="28"/>
          <w:szCs w:val="28"/>
          <w:highlight w:val="none"/>
        </w:rPr>
        <w:t>综合评分法</w:t>
      </w:r>
      <w:r>
        <w:rPr>
          <w:rFonts w:hAnsi="宋体" w:cs="宋体"/>
          <w:b/>
          <w:bCs/>
          <w:color w:val="auto"/>
          <w:sz w:val="28"/>
          <w:szCs w:val="28"/>
          <w:highlight w:val="none"/>
        </w:rPr>
        <w:t>)</w:t>
      </w:r>
    </w:p>
    <w:tbl>
      <w:tblPr>
        <w:tblStyle w:val="40"/>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860"/>
        <w:gridCol w:w="1104"/>
        <w:gridCol w:w="1050"/>
        <w:gridCol w:w="5687"/>
      </w:tblGrid>
      <w:tr w14:paraId="0F0E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Align w:val="center"/>
          </w:tcPr>
          <w:p w14:paraId="25849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860" w:type="dxa"/>
            <w:vAlign w:val="center"/>
          </w:tcPr>
          <w:p w14:paraId="290FA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价格分（满分</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7841" w:type="dxa"/>
            <w:gridSpan w:val="3"/>
            <w:vAlign w:val="center"/>
          </w:tcPr>
          <w:p w14:paraId="5DC13A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基准值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有效报价的最低值。</w:t>
            </w:r>
          </w:p>
          <w:p w14:paraId="5A5DE4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（2）计算得分</w:t>
            </w:r>
            <w:r>
              <w:rPr>
                <w:rFonts w:hint="eastAsia" w:ascii="仿宋" w:hAnsi="仿宋" w:eastAsia="仿宋" w:cs="仿宋"/>
                <w:color w:val="auto"/>
                <w:sz w:val="21"/>
                <w:szCs w:val="21"/>
                <w:highlight w:val="none"/>
                <w:lang w:eastAsia="zh-CN"/>
              </w:rPr>
              <w:t>：报价得分=（基准</w:t>
            </w:r>
            <w:r>
              <w:rPr>
                <w:rFonts w:hint="eastAsia" w:ascii="仿宋" w:hAnsi="仿宋" w:eastAsia="仿宋" w:cs="仿宋"/>
                <w:color w:val="auto"/>
                <w:sz w:val="21"/>
                <w:szCs w:val="21"/>
                <w:highlight w:val="none"/>
                <w:lang w:val="en-US" w:eastAsia="zh-CN"/>
              </w:rPr>
              <w:t>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某供应商有效报价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分。</w:t>
            </w:r>
          </w:p>
        </w:tc>
      </w:tr>
      <w:tr w14:paraId="2A35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restart"/>
            <w:vAlign w:val="center"/>
          </w:tcPr>
          <w:p w14:paraId="19B8D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860" w:type="dxa"/>
            <w:vMerge w:val="restart"/>
            <w:vAlign w:val="center"/>
          </w:tcPr>
          <w:p w14:paraId="64201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技术分（满分60分）</w:t>
            </w:r>
          </w:p>
        </w:tc>
        <w:tc>
          <w:tcPr>
            <w:tcW w:w="1104" w:type="dxa"/>
            <w:vMerge w:val="restart"/>
            <w:vAlign w:val="center"/>
          </w:tcPr>
          <w:p w14:paraId="7ECE9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施工组织设计（满分50分）</w:t>
            </w:r>
          </w:p>
        </w:tc>
        <w:tc>
          <w:tcPr>
            <w:tcW w:w="1050" w:type="dxa"/>
            <w:vAlign w:val="center"/>
          </w:tcPr>
          <w:p w14:paraId="6DCF5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（1）主要施工方法（满分10分）</w:t>
            </w:r>
          </w:p>
        </w:tc>
        <w:tc>
          <w:tcPr>
            <w:tcW w:w="5687" w:type="dxa"/>
            <w:vAlign w:val="center"/>
          </w:tcPr>
          <w:p w14:paraId="701895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一档（10分）：各主要分部施工方法符合项目实际，须有详尽的施工技术方案，工艺先进，方法科学合理、可行，能指导具体施工并确保安全。</w:t>
            </w:r>
          </w:p>
          <w:p w14:paraId="47624F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二档（7分）：各主要分部施工方法符合项目实际，须有详尽的施工技术方案，工艺一般，方法可行，能指导具体施工并确保安全。</w:t>
            </w:r>
          </w:p>
          <w:p w14:paraId="7D3445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三档（5分）：各主要分部施工方法符合项目实际，须有详尽的施工技术方案，工艺一般，方法基本可行，能指导具体施工并确保安全。</w:t>
            </w:r>
          </w:p>
        </w:tc>
      </w:tr>
      <w:tr w14:paraId="79CC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0E4D4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78E83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6F0FD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3ECEB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（2）确保工程质量的技术组织措施（满分10分）</w:t>
            </w:r>
          </w:p>
        </w:tc>
        <w:tc>
          <w:tcPr>
            <w:tcW w:w="5687" w:type="dxa"/>
            <w:vAlign w:val="center"/>
          </w:tcPr>
          <w:p w14:paraId="59F52B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一档（10分）：有专门的质量技术管理班子和制度，且人员配备合理，制度健全。主要工序质量技术保证措施和手段科学合理，自控体系完整，能较好保证技术质量，达到承诺的质量标准。</w:t>
            </w:r>
          </w:p>
          <w:p w14:paraId="2022F8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二档（7分）：有专门的质量技术管理班子和制度，且人员配备合理，制度健全。主要工序的质量技术保证措施和手段一般，自控体系一般，能有效保证技术质量，达到承诺的质量标准。</w:t>
            </w:r>
          </w:p>
          <w:p w14:paraId="26543E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三档（5分）：有专门的质量技术管理班子和制度，且人员配备合理，制度健全。主要工序的质量技术保证措施和手段一般，自控体系一般，能基本保证技术质量，基本达到承诺的质量标准。</w:t>
            </w:r>
          </w:p>
        </w:tc>
      </w:tr>
      <w:tr w14:paraId="55DA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18D3A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2BED9D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1F07E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4921F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（3）确保安全生产的技术组织措施（满分10分）</w:t>
            </w:r>
          </w:p>
        </w:tc>
        <w:tc>
          <w:tcPr>
            <w:tcW w:w="5687" w:type="dxa"/>
            <w:vAlign w:val="center"/>
          </w:tcPr>
          <w:p w14:paraId="3951B4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有专门的安全管理人员和制度，且人员配备合理，制度健全，各道工序安全技术措施针对性强，确保工程质量的技术组织措施符合实际且完全满足有关安全技术标准要求。现场防火、应急救援、社会治安安全措施得力。</w:t>
            </w:r>
          </w:p>
          <w:p w14:paraId="7811FB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有专门的安全管理人员和制度，且人员配备合理，制度健全，各道工序安全技术措施有针对性，确保工程质量的技术组织措施符合实际且满足有关安全技术标准要求。现场防火、应急救援、社会治安安全措施一般。</w:t>
            </w:r>
          </w:p>
          <w:p w14:paraId="267C60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tc>
      </w:tr>
      <w:tr w14:paraId="4B37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32206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553D5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0F611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13647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（4）确保工期的技术组织措施（满分10分）</w:t>
            </w:r>
          </w:p>
        </w:tc>
        <w:tc>
          <w:tcPr>
            <w:tcW w:w="5687" w:type="dxa"/>
            <w:vAlign w:val="center"/>
          </w:tcPr>
          <w:p w14:paraId="74C937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在施工工艺、施工方法、材料选用、劳动力安排、技术等方面有保证工期的具体措施且措施得当。有控制工期的施工进度计划。有施工总进度表或施工网络图，各项计划图表编制完善，安排科学合理，完全符合本项目施工实际要求。</w:t>
            </w:r>
          </w:p>
          <w:p w14:paraId="634B17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在施工工艺、施工方法、材料选用、劳动力安排、技术等方面有保证工期的措施但措施一般。有控制工期的施工进度计划。有施工总进度表或施工网络图，各项计划图表编制一般，安排合理，符合本项目施工实际要求。</w:t>
            </w:r>
          </w:p>
          <w:p w14:paraId="3A05F5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在施工工艺、施工方法、材料选用、劳动力安排、技术等方面有保证工期的措施但措施一般。有控制工期的施工进度计划。有施工总进度表或施工网络图，各项计划图表编制一般，安排基本合理，基本符合本项目施工实际要求。</w:t>
            </w:r>
          </w:p>
        </w:tc>
      </w:tr>
      <w:tr w14:paraId="1C7E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3A0AE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18773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32CB8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660A3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（5）确保文明施工的技术组织措施（满分10分）</w:t>
            </w:r>
          </w:p>
        </w:tc>
        <w:tc>
          <w:tcPr>
            <w:tcW w:w="5687" w:type="dxa"/>
            <w:vAlign w:val="center"/>
          </w:tcPr>
          <w:p w14:paraId="641CB8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w:t>
            </w:r>
          </w:p>
          <w:p w14:paraId="431625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针对本工程项目特点，有现场文明施工、环境保护措施，且措施内容达到《建筑施工安全生产检查标准》（JGJ59-2011）合格标准并符合《广西壮族自治区建筑工程文明施工导则》要求。各项措施具体、有效。有具体实现现场文明施工目标的承诺。</w:t>
            </w:r>
          </w:p>
          <w:p w14:paraId="70CFCA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针对本工程项目特点，有现场文明施工、环境保护措施，且措施内容达到《建筑施工安全生产检查标准》（JGJ59-2011）合格标准并基本符合《广西壮族自治区建筑工程文明施工导则》要求。各项措施一般。有具体实现现场文明施工目标的承诺。</w:t>
            </w:r>
          </w:p>
        </w:tc>
      </w:tr>
      <w:tr w14:paraId="60E4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2FFAF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4B0B0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restart"/>
            <w:vAlign w:val="center"/>
          </w:tcPr>
          <w:p w14:paraId="18017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项目管理机构（满分10分）</w:t>
            </w:r>
          </w:p>
        </w:tc>
        <w:tc>
          <w:tcPr>
            <w:tcW w:w="1050" w:type="dxa"/>
            <w:vAlign w:val="center"/>
          </w:tcPr>
          <w:p w14:paraId="12A50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（1）项目经理任职资格（满分5分）</w:t>
            </w:r>
          </w:p>
        </w:tc>
        <w:tc>
          <w:tcPr>
            <w:tcW w:w="5687" w:type="dxa"/>
            <w:vAlign w:val="center"/>
          </w:tcPr>
          <w:p w14:paraId="37D039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拟派任项目经理（或注册建造师）必须与资格审查合格通过的项目经理（或注册建造师）在名称、专业、资格等级等方面一致。项目</w:t>
            </w:r>
            <w:r>
              <w:rPr>
                <w:rFonts w:hint="eastAsia" w:ascii="仿宋" w:hAnsi="仿宋" w:eastAsia="仿宋" w:cs="仿宋"/>
                <w:color w:val="auto"/>
                <w:sz w:val="21"/>
                <w:szCs w:val="21"/>
                <w:highlight w:val="none"/>
                <w:lang w:val="en-US" w:eastAsia="zh-CN"/>
              </w:rPr>
              <w:t>经理具有建筑工程专业二级及以上注册建造师执业资格，具备有效的安全生产考核合格证书（B类），且有中级及以上职称的得5分；具有建筑工程专业二级及以上注册建造师</w:t>
            </w:r>
            <w:r>
              <w:rPr>
                <w:rFonts w:hint="eastAsia" w:ascii="仿宋" w:hAnsi="仿宋" w:eastAsia="仿宋" w:cs="仿宋"/>
                <w:color w:val="auto"/>
                <w:sz w:val="21"/>
                <w:szCs w:val="21"/>
                <w:highlight w:val="none"/>
                <w:lang w:val="en-US" w:eastAsia="zh-CN"/>
              </w:rPr>
              <w:t>且具备有效的安全生产考核合格证书（B类）3分。</w:t>
            </w:r>
          </w:p>
        </w:tc>
      </w:tr>
      <w:tr w14:paraId="4923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16C90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5FD20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0F9BD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329DE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（2）其他主要人员（满分5分）</w:t>
            </w:r>
          </w:p>
        </w:tc>
        <w:tc>
          <w:tcPr>
            <w:tcW w:w="5687" w:type="dxa"/>
            <w:vAlign w:val="center"/>
          </w:tcPr>
          <w:p w14:paraId="2AAC0F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人员齐备、专业配套，具备相关岗位证书：拟派驻本项目的技术负责人应具有工程类相关专业中级及以上职称证件，</w:t>
            </w:r>
            <w:r>
              <w:rPr>
                <w:rFonts w:hint="eastAsia" w:ascii="仿宋" w:hAnsi="仿宋" w:eastAsia="仿宋" w:cs="仿宋"/>
                <w:bCs/>
                <w:color w:val="auto"/>
                <w:sz w:val="21"/>
                <w:szCs w:val="21"/>
                <w:highlight w:val="none"/>
                <w:lang w:val="en-US" w:eastAsia="zh-CN"/>
              </w:rPr>
              <w:t>施工员、质量员、安全员、材料员、造价员、劳务员、资料员</w:t>
            </w:r>
            <w:r>
              <w:rPr>
                <w:rFonts w:hint="eastAsia" w:ascii="仿宋" w:hAnsi="仿宋" w:eastAsia="仿宋" w:cs="仿宋"/>
                <w:color w:val="auto"/>
                <w:sz w:val="21"/>
                <w:szCs w:val="21"/>
                <w:highlight w:val="none"/>
                <w:lang w:val="en-US" w:eastAsia="zh-CN"/>
              </w:rPr>
              <w:t>应具有相应岗位资格证书，安全员须具备安全生产考核合格证书（C类），且拟投入的项目管理人员符合国家及广西壮族自治区的规定。</w:t>
            </w:r>
          </w:p>
          <w:p w14:paraId="3C4636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（1）技术负责人具有工程类相关专业高级及以上职称的得2分，具有工程类相关专业中级职称的得1分。</w:t>
            </w:r>
          </w:p>
          <w:p w14:paraId="331786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（2）拟投入项目管理机构按以下标准评分：</w:t>
            </w:r>
          </w:p>
          <w:p w14:paraId="329C88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一档（3分）：拟投入本工程主要管理人员完全满足施工需要，管理人员配备齐全且有经验及综合素质优秀。</w:t>
            </w:r>
          </w:p>
          <w:p w14:paraId="0CF088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二档（2分）：拟投入本工程主要管理人员满足施工需要，管理人员配备齐全且部分人员有经验。</w:t>
            </w:r>
          </w:p>
          <w:p w14:paraId="730F1D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三档（1分）：拟投入本工程主要管理人员基本满足施工需要，管理人员配备齐全。</w:t>
            </w:r>
          </w:p>
        </w:tc>
      </w:tr>
      <w:tr w14:paraId="5457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Align w:val="center"/>
          </w:tcPr>
          <w:p w14:paraId="1FB93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860" w:type="dxa"/>
            <w:vAlign w:val="center"/>
          </w:tcPr>
          <w:p w14:paraId="2E3EE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商务</w:t>
            </w:r>
            <w:r>
              <w:rPr>
                <w:rFonts w:hint="eastAsia" w:ascii="仿宋" w:hAnsi="仿宋" w:eastAsia="仿宋" w:cs="仿宋"/>
                <w:color w:val="auto"/>
                <w:sz w:val="21"/>
                <w:szCs w:val="21"/>
                <w:highlight w:val="none"/>
                <w:lang w:val="en-US" w:eastAsia="zh-CN"/>
              </w:rPr>
              <w:t>分</w:t>
            </w:r>
          </w:p>
          <w:p w14:paraId="3E723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（满分</w:t>
            </w:r>
            <w:r>
              <w:rPr>
                <w:rFonts w:hint="eastAsia" w:ascii="仿宋" w:hAnsi="仿宋" w:eastAsia="仿宋" w:cs="仿宋"/>
                <w:color w:val="auto"/>
                <w:sz w:val="21"/>
                <w:szCs w:val="21"/>
                <w:highlight w:val="none"/>
                <w:lang w:val="en-US" w:eastAsia="zh-CN"/>
              </w:rPr>
              <w:t>10分</w:t>
            </w:r>
            <w:r>
              <w:rPr>
                <w:rFonts w:hint="eastAsia" w:ascii="仿宋" w:hAnsi="仿宋" w:eastAsia="仿宋" w:cs="仿宋"/>
                <w:color w:val="auto"/>
                <w:sz w:val="21"/>
                <w:szCs w:val="21"/>
                <w:highlight w:val="none"/>
              </w:rPr>
              <w:t>）</w:t>
            </w:r>
          </w:p>
        </w:tc>
        <w:tc>
          <w:tcPr>
            <w:tcW w:w="1104" w:type="dxa"/>
            <w:vAlign w:val="center"/>
          </w:tcPr>
          <w:p w14:paraId="43241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类似项目业绩（满分</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6737" w:type="dxa"/>
            <w:gridSpan w:val="2"/>
            <w:vAlign w:val="top"/>
          </w:tcPr>
          <w:p w14:paraId="032320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在满足资格要求的基础上，供应商2023年1月1日至提交响应文件截止时间止已完成过类似装饰装修工程业绩（需提供合同首页、合同金额页、签字盖章页以及验收文件）。每完成1个得2.5分，满分10分。</w:t>
            </w:r>
          </w:p>
        </w:tc>
      </w:tr>
      <w:tr w14:paraId="57B2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3" w:type="dxa"/>
            <w:gridSpan w:val="5"/>
            <w:vAlign w:val="center"/>
          </w:tcPr>
          <w:p w14:paraId="534231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供应商汇总得分=该供应商的</w:t>
            </w:r>
            <w:r>
              <w:rPr>
                <w:rFonts w:hint="eastAsia" w:ascii="仿宋" w:hAnsi="仿宋" w:eastAsia="仿宋" w:cs="仿宋"/>
                <w:color w:val="auto"/>
                <w:sz w:val="21"/>
                <w:szCs w:val="21"/>
                <w:highlight w:val="none"/>
                <w:lang w:val="en-US" w:eastAsia="zh-CN"/>
              </w:rPr>
              <w:t>价格分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技术分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商务分</w:t>
            </w:r>
          </w:p>
          <w:p w14:paraId="3EDE5D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olor w:val="auto"/>
                <w:highlight w:val="none"/>
                <w:lang w:eastAsia="zh-CN"/>
              </w:rPr>
              <w:t>评审小组</w:t>
            </w:r>
            <w:r>
              <w:rPr>
                <w:rFonts w:hint="eastAsia" w:ascii="仿宋" w:hAnsi="仿宋" w:eastAsia="仿宋"/>
                <w:color w:val="auto"/>
                <w:highlight w:val="none"/>
              </w:rPr>
              <w:t>按总得分从高到低的顺序排列，推荐三名成交候选人；若总得分相同，按价格分由高到低排列；若价格分相同的，按技术方案分由高到低排列；若技术方案分相同的，按信誉分由高到底排列。排名第一的成交候选人的放弃成交，或者因不可抗力提出不能履行合同，采购人可以确定排名第二的成交候选人为成交人，依此类推。</w:t>
            </w:r>
          </w:p>
        </w:tc>
      </w:tr>
    </w:tbl>
    <w:p w14:paraId="40A2B79D">
      <w:pPr>
        <w:rPr>
          <w:rFonts w:hint="eastAsia" w:ascii="仿宋" w:hAnsi="仿宋" w:eastAsia="仿宋" w:cs="仿宋"/>
          <w:color w:val="auto"/>
          <w:sz w:val="21"/>
          <w:szCs w:val="21"/>
          <w:highlight w:val="none"/>
        </w:rPr>
      </w:pPr>
      <w:bookmarkStart w:id="16" w:name="_Toc27002"/>
      <w:r>
        <w:rPr>
          <w:rFonts w:hint="eastAsia" w:ascii="仿宋" w:hAnsi="仿宋" w:eastAsia="仿宋" w:cs="仿宋"/>
          <w:color w:val="auto"/>
          <w:sz w:val="21"/>
          <w:szCs w:val="21"/>
          <w:highlight w:val="none"/>
        </w:rPr>
        <w:br w:type="page"/>
      </w:r>
    </w:p>
    <w:p w14:paraId="779D17C9">
      <w:pPr>
        <w:rPr>
          <w:rFonts w:hint="eastAsia" w:ascii="仿宋" w:hAnsi="仿宋" w:eastAsia="仿宋" w:cs="仿宋"/>
          <w:color w:val="auto"/>
          <w:sz w:val="21"/>
          <w:szCs w:val="21"/>
          <w:highlight w:val="none"/>
        </w:rPr>
      </w:pPr>
    </w:p>
    <w:p w14:paraId="43BC4EA8">
      <w:pPr>
        <w:spacing w:after="100" w:afterAutospacing="1" w:line="460" w:lineRule="exact"/>
        <w:ind w:firstLine="803" w:firstLineChars="200"/>
        <w:jc w:val="center"/>
        <w:outlineLvl w:val="0"/>
        <w:rPr>
          <w:rFonts w:ascii="仿宋" w:hAnsi="仿宋" w:eastAsia="仿宋"/>
          <w:b/>
          <w:color w:val="auto"/>
          <w:sz w:val="40"/>
          <w:szCs w:val="32"/>
          <w:highlight w:val="none"/>
        </w:rPr>
      </w:pPr>
      <w:r>
        <w:rPr>
          <w:rFonts w:hint="eastAsia" w:ascii="仿宋" w:hAnsi="仿宋" w:eastAsia="仿宋"/>
          <w:b/>
          <w:color w:val="auto"/>
          <w:sz w:val="40"/>
          <w:szCs w:val="32"/>
          <w:highlight w:val="none"/>
        </w:rPr>
        <w:t>第</w:t>
      </w:r>
      <w:r>
        <w:rPr>
          <w:rFonts w:hint="eastAsia" w:ascii="仿宋" w:hAnsi="仿宋" w:eastAsia="仿宋"/>
          <w:b/>
          <w:color w:val="auto"/>
          <w:sz w:val="40"/>
          <w:szCs w:val="32"/>
          <w:highlight w:val="none"/>
          <w:lang w:val="en-US" w:eastAsia="zh-CN"/>
        </w:rPr>
        <w:t>五</w:t>
      </w:r>
      <w:r>
        <w:rPr>
          <w:rFonts w:hint="eastAsia" w:ascii="仿宋" w:hAnsi="仿宋" w:eastAsia="仿宋"/>
          <w:b/>
          <w:color w:val="auto"/>
          <w:sz w:val="40"/>
          <w:szCs w:val="32"/>
          <w:highlight w:val="none"/>
        </w:rPr>
        <w:t xml:space="preserve">章  </w:t>
      </w:r>
      <w:bookmarkEnd w:id="16"/>
      <w:r>
        <w:rPr>
          <w:rFonts w:hint="eastAsia" w:ascii="仿宋" w:hAnsi="仿宋" w:eastAsia="仿宋"/>
          <w:b/>
          <w:color w:val="auto"/>
          <w:sz w:val="40"/>
          <w:szCs w:val="32"/>
          <w:highlight w:val="none"/>
        </w:rPr>
        <w:t>合同文本</w:t>
      </w:r>
    </w:p>
    <w:p w14:paraId="0CAC5A56">
      <w:pPr>
        <w:rPr>
          <w:color w:val="auto"/>
          <w:highlight w:val="none"/>
        </w:rPr>
      </w:pPr>
      <w:bookmarkStart w:id="17" w:name="EB74da5610214c49f4826c7f9c9a56dddd"/>
      <w:r>
        <w:rPr>
          <w:rFonts w:hint="eastAsia"/>
          <w:color w:val="auto"/>
          <w:highlight w:val="none"/>
        </w:rPr>
        <w:t>合同编号：</w:t>
      </w:r>
      <w:r>
        <w:rPr>
          <w:color w:val="auto"/>
          <w:highlight w:val="none"/>
          <w:u w:val="single"/>
        </w:rPr>
        <w:t xml:space="preserve">                 </w:t>
      </w:r>
    </w:p>
    <w:p w14:paraId="65AB5F25">
      <w:pPr>
        <w:spacing w:line="360" w:lineRule="auto"/>
        <w:jc w:val="center"/>
        <w:rPr>
          <w:color w:val="auto"/>
          <w:sz w:val="32"/>
          <w:szCs w:val="32"/>
          <w:highlight w:val="none"/>
          <w:u w:val="single"/>
        </w:rPr>
      </w:pPr>
    </w:p>
    <w:p w14:paraId="5CA75CD4">
      <w:pPr>
        <w:pStyle w:val="27"/>
        <w:rPr>
          <w:color w:val="auto"/>
          <w:sz w:val="32"/>
          <w:szCs w:val="32"/>
          <w:highlight w:val="none"/>
          <w:u w:val="single"/>
        </w:rPr>
      </w:pPr>
    </w:p>
    <w:p w14:paraId="63D13553">
      <w:pPr>
        <w:rPr>
          <w:color w:val="auto"/>
          <w:sz w:val="32"/>
          <w:szCs w:val="32"/>
          <w:highlight w:val="none"/>
          <w:u w:val="single"/>
        </w:rPr>
      </w:pPr>
    </w:p>
    <w:p w14:paraId="1F566A4C">
      <w:pPr>
        <w:pStyle w:val="27"/>
        <w:rPr>
          <w:color w:val="auto"/>
          <w:highlight w:val="none"/>
        </w:rPr>
      </w:pPr>
    </w:p>
    <w:bookmarkEnd w:id="17"/>
    <w:p w14:paraId="4C9FC813">
      <w:pPr>
        <w:pStyle w:val="37"/>
        <w:rPr>
          <w:rFonts w:ascii="宋体" w:hAnsi="宋体"/>
          <w:bCs w:val="0"/>
          <w:color w:val="auto"/>
          <w:highlight w:val="none"/>
        </w:rPr>
      </w:pPr>
      <w:r>
        <w:rPr>
          <w:rFonts w:hint="eastAsia" w:ascii="宋体" w:hAnsi="宋体"/>
          <w:bCs w:val="0"/>
          <w:color w:val="auto"/>
          <w:highlight w:val="none"/>
        </w:rPr>
        <w:t>合同主要条款格式</w:t>
      </w:r>
    </w:p>
    <w:p w14:paraId="5DAFFE19">
      <w:pPr>
        <w:spacing w:line="560" w:lineRule="exact"/>
        <w:ind w:firstLine="880" w:firstLineChars="200"/>
        <w:rPr>
          <w:rFonts w:ascii="宋体" w:hAnsi="宋体"/>
          <w:color w:val="auto"/>
          <w:sz w:val="44"/>
          <w:highlight w:val="none"/>
        </w:rPr>
      </w:pPr>
    </w:p>
    <w:p w14:paraId="60594AC7">
      <w:pPr>
        <w:spacing w:line="560" w:lineRule="exact"/>
        <w:ind w:firstLine="880" w:firstLineChars="200"/>
        <w:rPr>
          <w:rFonts w:ascii="宋体" w:hAnsi="宋体"/>
          <w:color w:val="auto"/>
          <w:sz w:val="44"/>
          <w:highlight w:val="none"/>
        </w:rPr>
      </w:pPr>
    </w:p>
    <w:p w14:paraId="1FFA2BB0">
      <w:pPr>
        <w:spacing w:line="560" w:lineRule="exact"/>
        <w:jc w:val="center"/>
        <w:rPr>
          <w:rFonts w:ascii="宋体" w:hAnsi="宋体"/>
          <w:b/>
          <w:bCs/>
          <w:color w:val="auto"/>
          <w:sz w:val="52"/>
          <w:highlight w:val="none"/>
        </w:rPr>
      </w:pPr>
    </w:p>
    <w:p w14:paraId="3C53817D">
      <w:pPr>
        <w:spacing w:line="560" w:lineRule="exact"/>
        <w:ind w:firstLine="420" w:firstLineChars="200"/>
        <w:rPr>
          <w:rFonts w:ascii="宋体" w:hAnsi="宋体"/>
          <w:color w:val="auto"/>
          <w:highlight w:val="none"/>
        </w:rPr>
      </w:pPr>
    </w:p>
    <w:p w14:paraId="233832D5">
      <w:pPr>
        <w:spacing w:line="560" w:lineRule="exact"/>
        <w:jc w:val="center"/>
        <w:rPr>
          <w:rFonts w:ascii="宋体" w:hAnsi="宋体"/>
          <w:b/>
          <w:bCs/>
          <w:color w:val="auto"/>
          <w:sz w:val="44"/>
          <w:highlight w:val="none"/>
        </w:rPr>
      </w:pPr>
      <w:r>
        <w:rPr>
          <w:rFonts w:hint="eastAsia" w:ascii="宋体" w:hAnsi="宋体"/>
          <w:b/>
          <w:bCs/>
          <w:color w:val="auto"/>
          <w:sz w:val="44"/>
          <w:highlight w:val="none"/>
          <w:u w:val="single"/>
        </w:rPr>
        <w:t xml:space="preserve">         （项目名称）         </w:t>
      </w:r>
      <w:r>
        <w:rPr>
          <w:rFonts w:hint="eastAsia" w:ascii="宋体" w:hAnsi="宋体"/>
          <w:b/>
          <w:bCs/>
          <w:color w:val="auto"/>
          <w:sz w:val="44"/>
          <w:highlight w:val="none"/>
        </w:rPr>
        <w:t>合同</w:t>
      </w:r>
    </w:p>
    <w:p w14:paraId="76402A47">
      <w:pPr>
        <w:spacing w:line="560" w:lineRule="exact"/>
        <w:jc w:val="center"/>
        <w:rPr>
          <w:rFonts w:ascii="宋体" w:hAnsi="宋体"/>
          <w:b/>
          <w:bCs/>
          <w:color w:val="auto"/>
          <w:sz w:val="44"/>
          <w:highlight w:val="none"/>
        </w:rPr>
      </w:pPr>
    </w:p>
    <w:p w14:paraId="1699654B">
      <w:pPr>
        <w:spacing w:line="560" w:lineRule="exact"/>
        <w:jc w:val="center"/>
        <w:rPr>
          <w:rFonts w:ascii="宋体" w:hAnsi="宋体"/>
          <w:b/>
          <w:bCs/>
          <w:color w:val="auto"/>
          <w:sz w:val="44"/>
          <w:highlight w:val="none"/>
        </w:rPr>
      </w:pPr>
    </w:p>
    <w:p w14:paraId="74E429E5">
      <w:pPr>
        <w:spacing w:line="560" w:lineRule="exact"/>
        <w:ind w:firstLine="3507" w:firstLineChars="794"/>
        <w:rPr>
          <w:rFonts w:ascii="宋体" w:hAnsi="宋体"/>
          <w:b/>
          <w:bCs/>
          <w:color w:val="auto"/>
          <w:sz w:val="44"/>
          <w:highlight w:val="none"/>
        </w:rPr>
      </w:pPr>
    </w:p>
    <w:p w14:paraId="0B8696F6">
      <w:pPr>
        <w:spacing w:line="460" w:lineRule="exact"/>
        <w:ind w:firstLine="3507" w:firstLineChars="794"/>
        <w:rPr>
          <w:rFonts w:ascii="宋体" w:hAnsi="宋体"/>
          <w:b/>
          <w:bCs/>
          <w:color w:val="auto"/>
          <w:sz w:val="44"/>
          <w:highlight w:val="none"/>
        </w:rPr>
      </w:pPr>
    </w:p>
    <w:p w14:paraId="773AD9A0">
      <w:pPr>
        <w:tabs>
          <w:tab w:val="left" w:pos="7200"/>
        </w:tabs>
        <w:spacing w:line="360" w:lineRule="auto"/>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甲方：</w:t>
      </w:r>
      <w:r>
        <w:rPr>
          <w:rFonts w:hint="eastAsia" w:ascii="宋体" w:hAnsi="宋体"/>
          <w:b/>
          <w:color w:val="auto"/>
          <w:sz w:val="36"/>
          <w:szCs w:val="36"/>
          <w:highlight w:val="none"/>
          <w:u w:val="single"/>
        </w:rPr>
        <w:t xml:space="preserve">                   </w:t>
      </w:r>
    </w:p>
    <w:p w14:paraId="3BD63ED2">
      <w:pPr>
        <w:tabs>
          <w:tab w:val="left" w:pos="7380"/>
        </w:tabs>
        <w:spacing w:line="360" w:lineRule="auto"/>
        <w:ind w:firstLine="1995" w:firstLineChars="552"/>
        <w:rPr>
          <w:rFonts w:ascii="宋体" w:hAnsi="宋体"/>
          <w:b/>
          <w:bCs/>
          <w:color w:val="auto"/>
          <w:sz w:val="44"/>
          <w:highlight w:val="none"/>
        </w:rPr>
      </w:pPr>
      <w:r>
        <w:rPr>
          <w:rFonts w:hint="eastAsia" w:ascii="宋体" w:hAnsi="宋体"/>
          <w:b/>
          <w:color w:val="auto"/>
          <w:sz w:val="36"/>
          <w:szCs w:val="36"/>
          <w:highlight w:val="none"/>
        </w:rPr>
        <w:t>乙方：</w:t>
      </w:r>
      <w:r>
        <w:rPr>
          <w:rFonts w:hint="eastAsia" w:ascii="宋体" w:hAnsi="宋体"/>
          <w:b/>
          <w:color w:val="auto"/>
          <w:sz w:val="36"/>
          <w:szCs w:val="36"/>
          <w:highlight w:val="none"/>
          <w:u w:val="single"/>
        </w:rPr>
        <w:t xml:space="preserve">                   </w:t>
      </w:r>
    </w:p>
    <w:p w14:paraId="0D0F6C90">
      <w:pPr>
        <w:tabs>
          <w:tab w:val="left" w:pos="7380"/>
        </w:tabs>
        <w:spacing w:line="460" w:lineRule="exact"/>
        <w:ind w:firstLine="2438" w:firstLineChars="552"/>
        <w:rPr>
          <w:rFonts w:ascii="宋体" w:hAnsi="宋体"/>
          <w:b/>
          <w:bCs/>
          <w:color w:val="auto"/>
          <w:sz w:val="44"/>
          <w:highlight w:val="none"/>
        </w:rPr>
      </w:pPr>
    </w:p>
    <w:p w14:paraId="085E9E4E">
      <w:pPr>
        <w:tabs>
          <w:tab w:val="left" w:pos="7380"/>
        </w:tabs>
        <w:spacing w:line="460" w:lineRule="exact"/>
        <w:ind w:firstLine="2438" w:firstLineChars="552"/>
        <w:rPr>
          <w:rFonts w:ascii="宋体" w:hAnsi="宋体"/>
          <w:b/>
          <w:bCs/>
          <w:color w:val="auto"/>
          <w:sz w:val="44"/>
          <w:highlight w:val="none"/>
        </w:rPr>
      </w:pPr>
    </w:p>
    <w:p w14:paraId="3380E176">
      <w:pPr>
        <w:snapToGrid w:val="0"/>
        <w:spacing w:line="540" w:lineRule="exact"/>
        <w:ind w:firstLine="1120" w:firstLineChars="400"/>
        <w:rPr>
          <w:b/>
          <w:bCs/>
          <w:color w:val="auto"/>
          <w:sz w:val="28"/>
          <w:szCs w:val="28"/>
          <w:highlight w:val="none"/>
        </w:rPr>
      </w:pPr>
      <w:r>
        <w:rPr>
          <w:rFonts w:ascii="宋体" w:hAnsi="宋体"/>
          <w:bCs/>
          <w:color w:val="auto"/>
          <w:sz w:val="28"/>
          <w:highlight w:val="none"/>
        </w:rPr>
        <w:br w:type="page"/>
      </w:r>
    </w:p>
    <w:p w14:paraId="3273429A">
      <w:pPr>
        <w:spacing w:before="240" w:beforeLines="100" w:after="240" w:afterLines="100" w:line="50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合同条款及格式</w:t>
      </w:r>
    </w:p>
    <w:p w14:paraId="47B04860">
      <w:pPr>
        <w:pStyle w:val="202"/>
        <w:snapToGrid w:val="0"/>
        <w:spacing w:before="240" w:beforeLines="100" w:after="240" w:afterLines="100" w:line="360" w:lineRule="auto"/>
        <w:jc w:val="center"/>
        <w:rPr>
          <w:rFonts w:hint="eastAsia" w:ascii="宋体" w:eastAsia="宋体" w:cs="宋体"/>
          <w:color w:val="auto"/>
          <w:sz w:val="32"/>
          <w:szCs w:val="32"/>
          <w:highlight w:val="none"/>
          <w:lang w:eastAsia="zh-CN"/>
        </w:rPr>
      </w:pPr>
      <w:bookmarkStart w:id="18" w:name="_Toc520505654"/>
      <w:bookmarkStart w:id="19" w:name="_Toc185770405"/>
      <w:r>
        <w:rPr>
          <w:rFonts w:hint="eastAsia" w:ascii="宋体" w:eastAsia="宋体" w:cs="宋体"/>
          <w:color w:val="auto"/>
          <w:sz w:val="32"/>
          <w:szCs w:val="32"/>
          <w:highlight w:val="none"/>
        </w:rPr>
        <w:t>第一部分 合同协议书</w:t>
      </w:r>
      <w:bookmarkEnd w:id="18"/>
      <w:bookmarkEnd w:id="19"/>
    </w:p>
    <w:p w14:paraId="0FCF067D">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232A21DF">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3189C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根据《中华人民共和国民法典》、《中华人民共和国建筑法》及有关法律规定，遵循平等、自愿、公平和诚实信用的原则，双方就项目名称：</w:t>
      </w:r>
      <w:r>
        <w:rPr>
          <w:rFonts w:hint="eastAsia" w:ascii="宋体" w:hAnsi="宋体" w:eastAsia="宋体" w:cs="宋体"/>
          <w:color w:val="auto"/>
          <w:sz w:val="24"/>
          <w:szCs w:val="24"/>
          <w:highlight w:val="none"/>
          <w:u w:val="single"/>
        </w:rPr>
        <w:t xml:space="preserve"> </w:t>
      </w:r>
      <w:r>
        <w:rPr>
          <w:rFonts w:hint="eastAsia" w:ascii="宋体" w:hAnsi="宋体" w:cs="宋体"/>
          <w:bCs/>
          <w:color w:val="auto"/>
          <w:sz w:val="24"/>
          <w:szCs w:val="24"/>
          <w:highlight w:val="none"/>
          <w:u w:val="single"/>
          <w:lang w:eastAsia="zh-CN"/>
        </w:rPr>
        <w:t>广西艺术学院桂林校区食堂维修改造工程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施工及有关事项协商一致，共同达成如下协议：</w:t>
      </w:r>
      <w:bookmarkStart w:id="20" w:name="_Toc351203481"/>
    </w:p>
    <w:p w14:paraId="105BEBAF">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21" w:name="_Toc185770406"/>
      <w:bookmarkStart w:id="22" w:name="_Toc406419153"/>
      <w:bookmarkStart w:id="23" w:name="_Toc406522028"/>
      <w:bookmarkStart w:id="24" w:name="_Toc520505655"/>
      <w:bookmarkStart w:id="25" w:name="_Toc173253153"/>
      <w:r>
        <w:rPr>
          <w:rFonts w:hint="eastAsia" w:ascii="宋体" w:hAnsi="宋体" w:eastAsia="宋体" w:cs="宋体"/>
          <w:b/>
          <w:color w:val="auto"/>
          <w:sz w:val="24"/>
          <w:szCs w:val="24"/>
          <w:highlight w:val="none"/>
        </w:rPr>
        <w:t>一、工程概况</w:t>
      </w:r>
      <w:bookmarkEnd w:id="20"/>
      <w:bookmarkEnd w:id="21"/>
      <w:bookmarkEnd w:id="22"/>
      <w:bookmarkEnd w:id="23"/>
      <w:bookmarkEnd w:id="24"/>
      <w:bookmarkEnd w:id="25"/>
    </w:p>
    <w:p w14:paraId="12CA214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 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BB3D43">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BE228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工程立项批准文号：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AD4A55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资金来源：</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743F70F">
      <w:pPr>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5. </w:t>
      </w:r>
      <w:r>
        <w:rPr>
          <w:rFonts w:hint="eastAsia" w:ascii="宋体" w:hAnsi="宋体" w:eastAsia="宋体" w:cs="宋体"/>
          <w:bCs/>
          <w:color w:val="auto"/>
          <w:sz w:val="24"/>
          <w:szCs w:val="24"/>
          <w:highlight w:val="none"/>
          <w:lang w:val="en-US" w:eastAsia="zh-CN"/>
        </w:rPr>
        <w:t>工程范围及内容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建筑面积为892.19㎡，地上1层，主要工程内容：建筑面积为892.19㎡，地上1层，主要工程内容：拆除工程、装饰装修工程、地面工程、吊顶工程、门窗工程、隔断工程、电气工程、给排水工程，详见工程量清单。</w:t>
      </w:r>
    </w:p>
    <w:p w14:paraId="1C560052">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26" w:name="_Toc185770407"/>
      <w:bookmarkStart w:id="27" w:name="_Toc520505656"/>
      <w:bookmarkStart w:id="28" w:name="_Toc406419154"/>
      <w:bookmarkStart w:id="29" w:name="_Toc406522029"/>
      <w:bookmarkStart w:id="30" w:name="_Toc351203482"/>
      <w:bookmarkStart w:id="31" w:name="_Toc173253154"/>
      <w:r>
        <w:rPr>
          <w:rFonts w:hint="eastAsia" w:ascii="宋体" w:hAnsi="宋体" w:eastAsia="宋体" w:cs="宋体"/>
          <w:b/>
          <w:color w:val="auto"/>
          <w:sz w:val="24"/>
          <w:szCs w:val="24"/>
          <w:highlight w:val="none"/>
        </w:rPr>
        <w:t>二、合同工期</w:t>
      </w:r>
      <w:bookmarkEnd w:id="26"/>
      <w:bookmarkEnd w:id="27"/>
      <w:bookmarkEnd w:id="28"/>
      <w:bookmarkEnd w:id="29"/>
      <w:bookmarkEnd w:id="30"/>
      <w:bookmarkEnd w:id="31"/>
    </w:p>
    <w:p w14:paraId="72C4C4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4F1839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F416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08E4B30E">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32" w:name="_Toc173253155"/>
      <w:bookmarkStart w:id="33" w:name="_Toc406522030"/>
      <w:bookmarkStart w:id="34" w:name="_Toc351203483"/>
      <w:bookmarkStart w:id="35" w:name="_Toc406419155"/>
      <w:bookmarkStart w:id="36" w:name="_Toc185770408"/>
      <w:bookmarkStart w:id="37" w:name="_Toc520505657"/>
      <w:r>
        <w:rPr>
          <w:rFonts w:hint="eastAsia" w:ascii="宋体" w:hAnsi="宋体" w:eastAsia="宋体" w:cs="宋体"/>
          <w:b/>
          <w:color w:val="auto"/>
          <w:sz w:val="24"/>
          <w:szCs w:val="24"/>
          <w:highlight w:val="none"/>
        </w:rPr>
        <w:t>三、质量标准</w:t>
      </w:r>
      <w:bookmarkEnd w:id="32"/>
      <w:bookmarkEnd w:id="33"/>
      <w:bookmarkEnd w:id="34"/>
      <w:bookmarkEnd w:id="35"/>
      <w:bookmarkEnd w:id="36"/>
      <w:bookmarkEnd w:id="37"/>
    </w:p>
    <w:p w14:paraId="65F3E7B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工程质量需严格按照国家现行《建筑工程施工质量验收统一标准》（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p>
    <w:p w14:paraId="1D45682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建立完善的质量管理体系，明确质量责任人，制定质量控制措施，对工程施工全过程进行质量监督与管理。施工前需对施工人员进行技术交底和质量培训，确保施工人员熟悉施工工艺及质量要求；施工过程中需严格执行“三检制”（自检、互检、专检），对每道工序进行质量检查，合格后方可进入下道工序施工；对关键部位、关键工序需设置质量控制点，加强监督检查力度。</w:t>
      </w:r>
    </w:p>
    <w:p w14:paraId="0E36175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3.工程所用材料、设备需符合国家相关质量标准及设计要求，具有产品合格证、质量检验报告等相关证明文件。</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需在材料、设备进场前向采购人及监理单位（如有）提交样品及相关证明文件，经审核确认合格后方可进场使用。严禁使用假冒伪劣、不合格的材料、设备，如发现</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使用不合格材料、设备，采购人有权要求</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立即更换，并承担由此造成的工期延误及一切经济损失。</w:t>
      </w:r>
    </w:p>
    <w:p w14:paraId="54F092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4.工程完工后，</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需按照相关规范要求进行自检，自检合格后向采购人提交竣工验收申请，并提供完整的工程质量验收资料。如工程质量不符合要求，</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需按照采购人及监理单位（如有）提出的整改意见及时进行整改，直至达到合格标准，整改费用由承包人承担，工期不予顺延</w:t>
      </w:r>
      <w:r>
        <w:rPr>
          <w:rFonts w:hint="eastAsia" w:ascii="宋体" w:hAnsi="宋体" w:cs="宋体"/>
          <w:color w:val="auto"/>
          <w:sz w:val="24"/>
          <w:szCs w:val="24"/>
          <w:highlight w:val="none"/>
          <w:lang w:val="en-US" w:eastAsia="zh-CN"/>
        </w:rPr>
        <w:t>。</w:t>
      </w:r>
    </w:p>
    <w:p w14:paraId="151F7EE4">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38" w:name="_Toc406522031"/>
      <w:bookmarkStart w:id="39" w:name="_Toc351203484"/>
      <w:bookmarkStart w:id="40" w:name="_Toc406419156"/>
      <w:bookmarkStart w:id="41" w:name="_Toc520505658"/>
      <w:bookmarkStart w:id="42" w:name="_Toc173253156"/>
      <w:bookmarkStart w:id="43" w:name="_Toc185770409"/>
      <w:r>
        <w:rPr>
          <w:rFonts w:hint="eastAsia" w:ascii="宋体" w:hAnsi="宋体" w:eastAsia="宋体" w:cs="宋体"/>
          <w:b/>
          <w:color w:val="auto"/>
          <w:sz w:val="24"/>
          <w:szCs w:val="24"/>
          <w:highlight w:val="none"/>
        </w:rPr>
        <w:t>四、签约合同价与合同价格形式</w:t>
      </w:r>
      <w:bookmarkEnd w:id="38"/>
      <w:bookmarkEnd w:id="39"/>
      <w:bookmarkEnd w:id="40"/>
      <w:bookmarkEnd w:id="41"/>
      <w:bookmarkEnd w:id="42"/>
      <w:bookmarkEnd w:id="43"/>
    </w:p>
    <w:p w14:paraId="3735FC4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3B2029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（含税价格） (¥     元)；</w:t>
      </w:r>
    </w:p>
    <w:p w14:paraId="70DBAAD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06B04D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70D0782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元)；</w:t>
      </w:r>
    </w:p>
    <w:p w14:paraId="40F1D6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75EF6D1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   /  元)；</w:t>
      </w:r>
    </w:p>
    <w:p w14:paraId="2697FA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367D2F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    /  元)；</w:t>
      </w:r>
    </w:p>
    <w:p w14:paraId="1058248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39FB38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    /  元)。</w:t>
      </w:r>
    </w:p>
    <w:p w14:paraId="4F3A7FA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2.合同价格形式：固定综合单价 。</w:t>
      </w:r>
    </w:p>
    <w:p w14:paraId="228FE0BE">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44" w:name="_Toc351203485"/>
      <w:bookmarkStart w:id="45" w:name="_Toc173253157"/>
      <w:bookmarkStart w:id="46" w:name="_Toc185770410"/>
      <w:bookmarkStart w:id="47" w:name="_Toc520505659"/>
      <w:bookmarkStart w:id="48" w:name="_Toc406419157"/>
      <w:bookmarkStart w:id="49" w:name="_Toc406522032"/>
      <w:r>
        <w:rPr>
          <w:rFonts w:hint="eastAsia" w:ascii="宋体" w:hAnsi="宋体" w:eastAsia="宋体" w:cs="宋体"/>
          <w:b/>
          <w:color w:val="auto"/>
          <w:sz w:val="24"/>
          <w:szCs w:val="24"/>
          <w:highlight w:val="none"/>
        </w:rPr>
        <w:t>五、</w:t>
      </w:r>
      <w:bookmarkEnd w:id="44"/>
      <w:r>
        <w:rPr>
          <w:rFonts w:hint="eastAsia" w:ascii="宋体" w:hAnsi="宋体" w:eastAsia="宋体" w:cs="宋体"/>
          <w:b/>
          <w:color w:val="auto"/>
          <w:sz w:val="24"/>
          <w:szCs w:val="24"/>
          <w:highlight w:val="none"/>
        </w:rPr>
        <w:t>项目经理</w:t>
      </w:r>
      <w:bookmarkEnd w:id="45"/>
      <w:bookmarkEnd w:id="46"/>
      <w:bookmarkEnd w:id="47"/>
      <w:bookmarkEnd w:id="48"/>
      <w:bookmarkEnd w:id="49"/>
    </w:p>
    <w:p w14:paraId="6356C9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271B11">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50" w:name="_Toc185770411"/>
      <w:bookmarkStart w:id="51" w:name="_Toc406522033"/>
      <w:bookmarkStart w:id="52" w:name="_Toc351203486"/>
      <w:bookmarkStart w:id="53" w:name="_Toc173253158"/>
      <w:bookmarkStart w:id="54" w:name="_Toc406419158"/>
      <w:bookmarkStart w:id="55" w:name="_Toc520505660"/>
      <w:r>
        <w:rPr>
          <w:rFonts w:hint="eastAsia" w:ascii="宋体" w:hAnsi="宋体" w:eastAsia="宋体" w:cs="宋体"/>
          <w:b/>
          <w:color w:val="auto"/>
          <w:sz w:val="24"/>
          <w:szCs w:val="24"/>
          <w:highlight w:val="none"/>
        </w:rPr>
        <w:t>六、合同文件构成</w:t>
      </w:r>
      <w:bookmarkEnd w:id="50"/>
      <w:bookmarkEnd w:id="51"/>
      <w:bookmarkEnd w:id="52"/>
      <w:bookmarkEnd w:id="53"/>
      <w:bookmarkEnd w:id="54"/>
      <w:bookmarkEnd w:id="55"/>
    </w:p>
    <w:p w14:paraId="606D3D6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3370F42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（1）成交通知书；</w:t>
      </w:r>
    </w:p>
    <w:p w14:paraId="18E70D6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磋商函</w:t>
      </w:r>
      <w:r>
        <w:rPr>
          <w:rFonts w:hint="eastAsia" w:ascii="宋体" w:hAnsi="宋体" w:eastAsia="宋体" w:cs="宋体"/>
          <w:color w:val="auto"/>
          <w:sz w:val="24"/>
          <w:szCs w:val="24"/>
          <w:highlight w:val="none"/>
        </w:rPr>
        <w:t xml:space="preserve">及其附录； </w:t>
      </w:r>
    </w:p>
    <w:p w14:paraId="04056E4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6C2D23E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4DB9020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750F7B0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（6）已标价工程量清单或预算书； </w:t>
      </w:r>
    </w:p>
    <w:p w14:paraId="263F6B2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）其他合同文件。</w:t>
      </w:r>
    </w:p>
    <w:p w14:paraId="5BC53F8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07EF304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D7428FF">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56" w:name="_Toc520505661"/>
      <w:bookmarkStart w:id="57" w:name="_Toc406522034"/>
      <w:bookmarkStart w:id="58" w:name="_Toc173253159"/>
      <w:bookmarkStart w:id="59" w:name="_Toc406419159"/>
      <w:bookmarkStart w:id="60" w:name="_Toc185770412"/>
      <w:bookmarkStart w:id="61" w:name="_Toc351203487"/>
      <w:r>
        <w:rPr>
          <w:rFonts w:hint="eastAsia" w:ascii="宋体" w:hAnsi="宋体" w:eastAsia="宋体" w:cs="宋体"/>
          <w:b/>
          <w:color w:val="auto"/>
          <w:sz w:val="24"/>
          <w:szCs w:val="24"/>
          <w:highlight w:val="none"/>
        </w:rPr>
        <w:t>七、承诺</w:t>
      </w:r>
      <w:bookmarkEnd w:id="56"/>
      <w:bookmarkEnd w:id="57"/>
      <w:bookmarkEnd w:id="58"/>
      <w:bookmarkEnd w:id="59"/>
      <w:bookmarkEnd w:id="60"/>
      <w:bookmarkEnd w:id="61"/>
    </w:p>
    <w:p w14:paraId="40DA5B6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6A2223B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F82134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bookmarkStart w:id="62" w:name="_Toc351203488"/>
    </w:p>
    <w:p w14:paraId="09405E43">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63" w:name="_Toc173253160"/>
      <w:bookmarkStart w:id="64" w:name="_Toc406419160"/>
      <w:bookmarkStart w:id="65" w:name="_Toc520505662"/>
      <w:bookmarkStart w:id="66" w:name="_Toc185770413"/>
      <w:bookmarkStart w:id="67" w:name="_Toc406522035"/>
      <w:r>
        <w:rPr>
          <w:rFonts w:hint="eastAsia" w:ascii="宋体" w:hAnsi="宋体" w:eastAsia="宋体" w:cs="宋体"/>
          <w:b/>
          <w:color w:val="auto"/>
          <w:sz w:val="24"/>
          <w:szCs w:val="24"/>
          <w:highlight w:val="none"/>
        </w:rPr>
        <w:t>八、词语含义</w:t>
      </w:r>
      <w:bookmarkEnd w:id="62"/>
      <w:bookmarkEnd w:id="63"/>
      <w:bookmarkEnd w:id="64"/>
      <w:bookmarkEnd w:id="65"/>
      <w:bookmarkEnd w:id="66"/>
      <w:bookmarkEnd w:id="67"/>
    </w:p>
    <w:p w14:paraId="60EBE65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57ED0006">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68" w:name="_Toc173253161"/>
      <w:bookmarkStart w:id="69" w:name="_Toc406419161"/>
      <w:bookmarkStart w:id="70" w:name="_Toc185770414"/>
      <w:bookmarkStart w:id="71" w:name="_Toc406522036"/>
      <w:bookmarkStart w:id="72" w:name="_Toc351203489"/>
      <w:bookmarkStart w:id="73" w:name="_Toc520505663"/>
      <w:r>
        <w:rPr>
          <w:rFonts w:hint="eastAsia" w:ascii="宋体" w:hAnsi="宋体" w:eastAsia="宋体" w:cs="宋体"/>
          <w:b/>
          <w:color w:val="auto"/>
          <w:sz w:val="24"/>
          <w:szCs w:val="24"/>
          <w:highlight w:val="none"/>
        </w:rPr>
        <w:t>九、签订时间</w:t>
      </w:r>
      <w:bookmarkEnd w:id="68"/>
      <w:bookmarkEnd w:id="69"/>
      <w:bookmarkEnd w:id="70"/>
      <w:bookmarkEnd w:id="71"/>
      <w:bookmarkEnd w:id="72"/>
      <w:bookmarkEnd w:id="73"/>
    </w:p>
    <w:p w14:paraId="7013D8A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2C8993CE">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74" w:name="_Toc173253162"/>
      <w:bookmarkStart w:id="75" w:name="_Toc520505664"/>
      <w:bookmarkStart w:id="76" w:name="_Toc406419162"/>
      <w:bookmarkStart w:id="77" w:name="_Toc185770415"/>
      <w:bookmarkStart w:id="78" w:name="_Toc351203490"/>
      <w:bookmarkStart w:id="79" w:name="_Toc406522037"/>
      <w:r>
        <w:rPr>
          <w:rFonts w:hint="eastAsia" w:ascii="宋体" w:hAnsi="宋体" w:eastAsia="宋体" w:cs="宋体"/>
          <w:b/>
          <w:color w:val="auto"/>
          <w:sz w:val="24"/>
          <w:szCs w:val="24"/>
          <w:highlight w:val="none"/>
        </w:rPr>
        <w:t>十、签订地点</w:t>
      </w:r>
      <w:bookmarkEnd w:id="74"/>
      <w:bookmarkEnd w:id="75"/>
      <w:bookmarkEnd w:id="76"/>
      <w:bookmarkEnd w:id="77"/>
      <w:bookmarkEnd w:id="78"/>
      <w:bookmarkEnd w:id="79"/>
    </w:p>
    <w:p w14:paraId="25D2466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0D8F10DA">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80" w:name="_Toc406419163"/>
      <w:bookmarkStart w:id="81" w:name="_Toc520505665"/>
      <w:bookmarkStart w:id="82" w:name="_Toc351203491"/>
      <w:bookmarkStart w:id="83" w:name="_Toc173253163"/>
      <w:bookmarkStart w:id="84" w:name="_Toc185770416"/>
      <w:bookmarkStart w:id="85" w:name="_Toc406522038"/>
      <w:r>
        <w:rPr>
          <w:rFonts w:hint="eastAsia" w:ascii="宋体" w:hAnsi="宋体" w:eastAsia="宋体" w:cs="宋体"/>
          <w:b/>
          <w:color w:val="auto"/>
          <w:sz w:val="24"/>
          <w:szCs w:val="24"/>
          <w:highlight w:val="none"/>
        </w:rPr>
        <w:t>十一、补充协议</w:t>
      </w:r>
      <w:bookmarkEnd w:id="80"/>
      <w:bookmarkEnd w:id="81"/>
      <w:bookmarkEnd w:id="82"/>
      <w:bookmarkEnd w:id="83"/>
      <w:bookmarkEnd w:id="84"/>
      <w:bookmarkEnd w:id="85"/>
    </w:p>
    <w:p w14:paraId="7D0453A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297D969">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86" w:name="_Toc520505666"/>
      <w:bookmarkStart w:id="87" w:name="_Toc406522039"/>
      <w:bookmarkStart w:id="88" w:name="_Toc173253164"/>
      <w:bookmarkStart w:id="89" w:name="_Toc185770417"/>
      <w:bookmarkStart w:id="90" w:name="_Toc406419164"/>
      <w:bookmarkStart w:id="91" w:name="_Toc351203492"/>
      <w:r>
        <w:rPr>
          <w:rFonts w:hint="eastAsia" w:ascii="宋体" w:hAnsi="宋体" w:eastAsia="宋体" w:cs="宋体"/>
          <w:b/>
          <w:color w:val="auto"/>
          <w:sz w:val="24"/>
          <w:szCs w:val="24"/>
          <w:highlight w:val="none"/>
        </w:rPr>
        <w:t>十二、合同生效</w:t>
      </w:r>
      <w:bookmarkEnd w:id="86"/>
      <w:bookmarkEnd w:id="87"/>
      <w:bookmarkEnd w:id="88"/>
      <w:bookmarkEnd w:id="89"/>
      <w:bookmarkEnd w:id="90"/>
      <w:bookmarkEnd w:id="91"/>
    </w:p>
    <w:p w14:paraId="7F8A59B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经各方法定代表人或授权委托人签字盖章后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065F381B">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92" w:name="_Toc406419165"/>
      <w:bookmarkStart w:id="93" w:name="_Toc406522040"/>
      <w:bookmarkStart w:id="94" w:name="_Toc185770418"/>
      <w:bookmarkStart w:id="95" w:name="_Toc351203493"/>
      <w:bookmarkStart w:id="96" w:name="_Toc173253165"/>
      <w:bookmarkStart w:id="97" w:name="_Toc520505667"/>
      <w:r>
        <w:rPr>
          <w:rFonts w:hint="eastAsia" w:ascii="宋体" w:hAnsi="宋体" w:eastAsia="宋体" w:cs="宋体"/>
          <w:b/>
          <w:color w:val="auto"/>
          <w:sz w:val="24"/>
          <w:szCs w:val="24"/>
          <w:highlight w:val="none"/>
        </w:rPr>
        <w:t>十三、合同份数</w:t>
      </w:r>
      <w:bookmarkEnd w:id="92"/>
      <w:bookmarkEnd w:id="93"/>
      <w:bookmarkEnd w:id="94"/>
      <w:bookmarkEnd w:id="95"/>
      <w:bookmarkEnd w:id="96"/>
      <w:bookmarkEnd w:id="97"/>
    </w:p>
    <w:p w14:paraId="17EFAE1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七  </w:t>
      </w:r>
      <w:r>
        <w:rPr>
          <w:rFonts w:hint="eastAsia" w:ascii="宋体" w:hAnsi="宋体" w:eastAsia="宋体" w:cs="宋体"/>
          <w:bCs/>
          <w:color w:val="auto"/>
          <w:sz w:val="24"/>
          <w:szCs w:val="24"/>
          <w:highlight w:val="none"/>
        </w:rPr>
        <w:t>份，均具有同等法律效力，正本</w:t>
      </w:r>
      <w:r>
        <w:rPr>
          <w:rFonts w:hint="eastAsia" w:ascii="宋体" w:hAnsi="宋体" w:eastAsia="宋体" w:cs="宋体"/>
          <w:bCs/>
          <w:color w:val="auto"/>
          <w:sz w:val="24"/>
          <w:szCs w:val="24"/>
          <w:highlight w:val="none"/>
          <w:u w:val="single"/>
        </w:rPr>
        <w:t xml:space="preserve"> 二 </w:t>
      </w:r>
      <w:r>
        <w:rPr>
          <w:rFonts w:hint="eastAsia" w:ascii="宋体" w:hAnsi="宋体" w:eastAsia="宋体" w:cs="宋体"/>
          <w:bCs/>
          <w:color w:val="auto"/>
          <w:sz w:val="24"/>
          <w:szCs w:val="24"/>
          <w:highlight w:val="none"/>
        </w:rPr>
        <w:t>份，发包人、承包人各执</w:t>
      </w:r>
      <w:r>
        <w:rPr>
          <w:rFonts w:hint="eastAsia" w:ascii="宋体" w:hAnsi="宋体" w:eastAsia="宋体" w:cs="宋体"/>
          <w:bCs/>
          <w:color w:val="auto"/>
          <w:sz w:val="24"/>
          <w:szCs w:val="24"/>
          <w:highlight w:val="none"/>
          <w:u w:val="single"/>
        </w:rPr>
        <w:t xml:space="preserve">  一  </w:t>
      </w:r>
      <w:r>
        <w:rPr>
          <w:rFonts w:hint="eastAsia" w:ascii="宋体" w:hAnsi="宋体" w:eastAsia="宋体" w:cs="宋体"/>
          <w:bCs/>
          <w:color w:val="auto"/>
          <w:sz w:val="24"/>
          <w:szCs w:val="24"/>
          <w:highlight w:val="none"/>
        </w:rPr>
        <w:t>份，副本发包人执</w:t>
      </w:r>
      <w:r>
        <w:rPr>
          <w:rFonts w:hint="eastAsia" w:ascii="宋体" w:hAnsi="宋体" w:eastAsia="宋体" w:cs="宋体"/>
          <w:bCs/>
          <w:color w:val="auto"/>
          <w:sz w:val="24"/>
          <w:szCs w:val="24"/>
          <w:highlight w:val="none"/>
          <w:u w:val="single"/>
        </w:rPr>
        <w:t xml:space="preserve"> 二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二  </w:t>
      </w:r>
      <w:r>
        <w:rPr>
          <w:rFonts w:hint="eastAsia" w:ascii="宋体" w:hAnsi="宋体" w:eastAsia="宋体" w:cs="宋体"/>
          <w:bCs/>
          <w:color w:val="auto"/>
          <w:sz w:val="24"/>
          <w:szCs w:val="24"/>
          <w:highlight w:val="none"/>
        </w:rPr>
        <w:t>份，采购代理机构执</w:t>
      </w:r>
      <w:r>
        <w:rPr>
          <w:rFonts w:hint="eastAsia" w:ascii="宋体" w:hAnsi="宋体" w:eastAsia="宋体" w:cs="宋体"/>
          <w:bCs/>
          <w:color w:val="auto"/>
          <w:sz w:val="24"/>
          <w:szCs w:val="24"/>
          <w:highlight w:val="none"/>
          <w:u w:val="single"/>
        </w:rPr>
        <w:t xml:space="preserve">  一  </w:t>
      </w:r>
      <w:r>
        <w:rPr>
          <w:rFonts w:hint="eastAsia" w:ascii="宋体" w:hAnsi="宋体" w:eastAsia="宋体" w:cs="宋体"/>
          <w:bCs/>
          <w:color w:val="auto"/>
          <w:sz w:val="24"/>
          <w:szCs w:val="24"/>
          <w:highlight w:val="none"/>
        </w:rPr>
        <w:t>份。</w:t>
      </w:r>
    </w:p>
    <w:p w14:paraId="5E70FC4B">
      <w:pPr>
        <w:adjustRightInd w:val="0"/>
        <w:snapToGrid w:val="0"/>
        <w:spacing w:line="360" w:lineRule="auto"/>
        <w:rPr>
          <w:rFonts w:hint="eastAsia" w:ascii="宋体" w:hAnsi="宋体" w:eastAsia="宋体" w:cs="宋体"/>
          <w:bCs/>
          <w:color w:val="auto"/>
          <w:sz w:val="24"/>
          <w:szCs w:val="24"/>
          <w:highlight w:val="none"/>
        </w:rPr>
      </w:pPr>
    </w:p>
    <w:p w14:paraId="6E647797">
      <w:pPr>
        <w:adjustRightInd w:val="0"/>
        <w:snapToGrid w:val="0"/>
        <w:spacing w:line="360" w:lineRule="auto"/>
        <w:rPr>
          <w:rFonts w:hint="eastAsia" w:ascii="宋体" w:hAnsi="宋体" w:eastAsia="宋体" w:cs="宋体"/>
          <w:bCs/>
          <w:color w:val="auto"/>
          <w:sz w:val="24"/>
          <w:szCs w:val="24"/>
          <w:highlight w:val="none"/>
        </w:rPr>
      </w:pPr>
    </w:p>
    <w:p w14:paraId="5695C6E4">
      <w:pPr>
        <w:adjustRightInd w:val="0"/>
        <w:snapToGrid w:val="0"/>
        <w:spacing w:line="360" w:lineRule="auto"/>
        <w:rPr>
          <w:rFonts w:hint="eastAsia" w:ascii="宋体" w:hAnsi="宋体" w:eastAsia="宋体" w:cs="宋体"/>
          <w:bCs/>
          <w:color w:val="auto"/>
          <w:sz w:val="24"/>
          <w:szCs w:val="24"/>
          <w:highlight w:val="none"/>
        </w:rPr>
      </w:pPr>
    </w:p>
    <w:p w14:paraId="6EBF65BE">
      <w:pPr>
        <w:adjustRightInd w:val="0"/>
        <w:snapToGrid w:val="0"/>
        <w:spacing w:line="360" w:lineRule="auto"/>
        <w:rPr>
          <w:rFonts w:hint="eastAsia" w:ascii="宋体" w:hAnsi="宋体" w:eastAsia="宋体" w:cs="宋体"/>
          <w:color w:val="auto"/>
          <w:sz w:val="24"/>
          <w:szCs w:val="24"/>
          <w:highlight w:val="none"/>
        </w:rPr>
      </w:pPr>
    </w:p>
    <w:p w14:paraId="68277D9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529B3400">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503CE28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172BF23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66274D7F">
      <w:pPr>
        <w:adjustRightInd w:val="0"/>
        <w:snapToGrid w:val="0"/>
        <w:spacing w:line="360" w:lineRule="auto"/>
        <w:rPr>
          <w:rFonts w:hint="eastAsia" w:ascii="宋体" w:hAnsi="宋体" w:eastAsia="宋体" w:cs="宋体"/>
          <w:color w:val="auto"/>
          <w:sz w:val="24"/>
          <w:szCs w:val="24"/>
          <w:highlight w:val="none"/>
          <w:u w:val="single"/>
        </w:rPr>
      </w:pPr>
    </w:p>
    <w:p w14:paraId="478EFD9C">
      <w:pPr>
        <w:tabs>
          <w:tab w:val="left" w:pos="441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bCs/>
          <w:color w:val="auto"/>
          <w:sz w:val="24"/>
          <w:szCs w:val="24"/>
          <w:highlight w:val="none"/>
          <w:u w:val="single"/>
        </w:rPr>
        <w:t xml:space="preserve">              </w:t>
      </w:r>
    </w:p>
    <w:p w14:paraId="6F2D221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bCs/>
          <w:color w:val="auto"/>
          <w:sz w:val="24"/>
          <w:szCs w:val="24"/>
          <w:highlight w:val="none"/>
          <w:u w:val="single"/>
        </w:rPr>
        <w:t xml:space="preserve">                    </w:t>
      </w:r>
    </w:p>
    <w:p w14:paraId="19F3915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bCs/>
          <w:color w:val="auto"/>
          <w:sz w:val="24"/>
          <w:szCs w:val="24"/>
          <w:highlight w:val="none"/>
          <w:u w:val="single"/>
        </w:rPr>
        <w:t xml:space="preserve">                  </w:t>
      </w:r>
    </w:p>
    <w:p w14:paraId="77E3FB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w:t>
      </w:r>
    </w:p>
    <w:p w14:paraId="3CE23FB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bCs/>
          <w:color w:val="auto"/>
          <w:sz w:val="24"/>
          <w:szCs w:val="24"/>
          <w:highlight w:val="none"/>
          <w:u w:val="single"/>
        </w:rPr>
        <w:t xml:space="preserve">                </w:t>
      </w:r>
    </w:p>
    <w:p w14:paraId="31A724D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bCs/>
          <w:color w:val="auto"/>
          <w:sz w:val="24"/>
          <w:szCs w:val="24"/>
          <w:highlight w:val="none"/>
          <w:u w:val="single"/>
        </w:rPr>
        <w:t xml:space="preserve">                    </w:t>
      </w:r>
    </w:p>
    <w:p w14:paraId="68176BD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bCs/>
          <w:color w:val="auto"/>
          <w:sz w:val="24"/>
          <w:szCs w:val="24"/>
          <w:highlight w:val="none"/>
          <w:u w:val="single"/>
        </w:rPr>
        <w:t xml:space="preserve">                    </w:t>
      </w:r>
    </w:p>
    <w:p w14:paraId="3A4B6FF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bCs/>
          <w:color w:val="auto"/>
          <w:sz w:val="24"/>
          <w:szCs w:val="24"/>
          <w:highlight w:val="none"/>
          <w:u w:val="single"/>
        </w:rPr>
        <w:t xml:space="preserve">                  </w:t>
      </w:r>
    </w:p>
    <w:p w14:paraId="46F5F0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23C4AF16">
      <w:pPr>
        <w:adjustRightInd w:val="0"/>
        <w:snapToGrid w:val="0"/>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账  号：</w:t>
      </w:r>
      <w:r>
        <w:rPr>
          <w:rFonts w:hint="eastAsia" w:ascii="宋体" w:hAnsi="宋体" w:eastAsia="宋体" w:cs="宋体"/>
          <w:bCs/>
          <w:color w:val="auto"/>
          <w:sz w:val="24"/>
          <w:szCs w:val="24"/>
          <w:highlight w:val="none"/>
          <w:u w:val="single"/>
        </w:rPr>
        <w:t xml:space="preserve">                    </w:t>
      </w:r>
    </w:p>
    <w:p w14:paraId="0177EE87">
      <w:pPr>
        <w:adjustRightInd w:val="0"/>
        <w:snapToGrid w:val="0"/>
        <w:spacing w:line="372" w:lineRule="auto"/>
        <w:rPr>
          <w:rFonts w:ascii="宋体" w:hAnsi="宋体"/>
          <w:bCs/>
          <w:color w:val="auto"/>
          <w:szCs w:val="21"/>
          <w:highlight w:val="none"/>
          <w:u w:val="single"/>
        </w:rPr>
      </w:pPr>
    </w:p>
    <w:p w14:paraId="2B0B2C53">
      <w:pPr>
        <w:adjustRightInd w:val="0"/>
        <w:snapToGrid w:val="0"/>
        <w:spacing w:line="372" w:lineRule="auto"/>
        <w:rPr>
          <w:rFonts w:ascii="宋体" w:hAnsi="宋体"/>
          <w:bCs/>
          <w:color w:val="auto"/>
          <w:szCs w:val="21"/>
          <w:highlight w:val="none"/>
          <w:u w:val="single"/>
        </w:rPr>
      </w:pPr>
    </w:p>
    <w:p w14:paraId="095E3470">
      <w:pPr>
        <w:numPr>
          <w:ilvl w:val="-1"/>
          <w:numId w:val="0"/>
        </w:numPr>
        <w:spacing w:before="0" w:beforeLines="-2147483648" w:after="0" w:afterLines="-2147483648" w:line="240" w:lineRule="auto"/>
        <w:jc w:val="left"/>
        <w:rPr>
          <w:rStyle w:val="205"/>
          <w:rFonts w:hint="eastAsia"/>
          <w:color w:val="auto"/>
          <w:sz w:val="32"/>
          <w:highlight w:val="none"/>
          <w:lang w:val="en-US" w:eastAsia="zh-CN"/>
        </w:rPr>
      </w:pPr>
      <w:bookmarkStart w:id="98" w:name="_Toc185770419"/>
      <w:bookmarkStart w:id="99" w:name="_Toc520505668"/>
      <w:bookmarkStart w:id="100" w:name="_Toc351203494"/>
      <w:bookmarkStart w:id="101" w:name="_Toc406522041"/>
      <w:r>
        <w:rPr>
          <w:rStyle w:val="205"/>
          <w:rFonts w:hint="eastAsia"/>
          <w:color w:val="auto"/>
          <w:sz w:val="32"/>
          <w:highlight w:val="none"/>
          <w:lang w:val="en-US" w:eastAsia="zh-CN"/>
        </w:rPr>
        <w:br w:type="page"/>
      </w:r>
    </w:p>
    <w:p w14:paraId="4EA74F2D">
      <w:pPr>
        <w:pStyle w:val="202"/>
        <w:snapToGrid w:val="0"/>
        <w:spacing w:before="240" w:beforeLines="100" w:after="240" w:afterLines="10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第二部分 </w:t>
      </w:r>
      <w:r>
        <w:rPr>
          <w:rFonts w:hint="eastAsia" w:ascii="宋体" w:hAnsi="宋体" w:eastAsia="宋体" w:cs="宋体"/>
          <w:color w:val="auto"/>
          <w:sz w:val="32"/>
          <w:szCs w:val="32"/>
          <w:highlight w:val="none"/>
        </w:rPr>
        <w:t>通用合同条款</w:t>
      </w:r>
      <w:bookmarkEnd w:id="98"/>
      <w:bookmarkEnd w:id="99"/>
      <w:bookmarkEnd w:id="100"/>
      <w:bookmarkEnd w:id="101"/>
      <w:bookmarkStart w:id="102" w:name="_Toc337558727"/>
    </w:p>
    <w:bookmarkEnd w:id="102"/>
    <w:p w14:paraId="58A4D3C0">
      <w:pPr>
        <w:spacing w:line="360" w:lineRule="exact"/>
        <w:jc w:val="center"/>
        <w:rPr>
          <w:rFonts w:hint="eastAsia" w:ascii="宋体" w:hAnsi="宋体" w:eastAsia="宋体" w:cs="宋体"/>
          <w:bCs/>
          <w:color w:val="auto"/>
          <w:sz w:val="24"/>
          <w:highlight w:val="none"/>
        </w:rPr>
      </w:pPr>
      <w:bookmarkStart w:id="103" w:name="_Toc173253167"/>
      <w:r>
        <w:rPr>
          <w:rFonts w:hint="eastAsia" w:ascii="宋体" w:hAnsi="宋体" w:eastAsia="宋体" w:cs="宋体"/>
          <w:bCs/>
          <w:color w:val="auto"/>
          <w:sz w:val="24"/>
          <w:highlight w:val="none"/>
        </w:rPr>
        <w:t>采用《建设工程施工合同（示范文本）》（GF—2017—0201）</w:t>
      </w:r>
      <w:bookmarkEnd w:id="103"/>
    </w:p>
    <w:p w14:paraId="62E8020C">
      <w:pPr>
        <w:spacing w:line="360" w:lineRule="exact"/>
        <w:jc w:val="center"/>
        <w:rPr>
          <w:rFonts w:ascii="宋体" w:hAnsi="宋体"/>
          <w:b/>
          <w:bCs/>
          <w:color w:val="auto"/>
          <w:highlight w:val="none"/>
        </w:rPr>
      </w:pPr>
    </w:p>
    <w:p w14:paraId="2613AC80">
      <w:pPr>
        <w:spacing w:line="360" w:lineRule="exact"/>
        <w:jc w:val="center"/>
        <w:rPr>
          <w:rFonts w:ascii="宋体" w:hAnsi="宋体"/>
          <w:b/>
          <w:bCs/>
          <w:color w:val="auto"/>
          <w:highlight w:val="none"/>
        </w:rPr>
      </w:pPr>
    </w:p>
    <w:p w14:paraId="0322DD4C">
      <w:pPr>
        <w:pStyle w:val="202"/>
        <w:spacing w:before="240" w:beforeLines="100" w:after="240" w:afterLines="100"/>
        <w:jc w:val="center"/>
        <w:outlineLvl w:val="9"/>
        <w:rPr>
          <w:rFonts w:hint="eastAsia" w:ascii="宋体"/>
          <w:color w:val="auto"/>
          <w:sz w:val="32"/>
          <w:szCs w:val="32"/>
          <w:highlight w:val="none"/>
          <w:lang w:eastAsia="zh-CN"/>
        </w:rPr>
      </w:pPr>
      <w:bookmarkStart w:id="104" w:name="_Toc32437"/>
    </w:p>
    <w:p w14:paraId="5EFF17D1">
      <w:pPr>
        <w:rPr>
          <w:rFonts w:ascii="宋体"/>
          <w:color w:val="auto"/>
          <w:sz w:val="32"/>
          <w:szCs w:val="32"/>
          <w:highlight w:val="none"/>
        </w:rPr>
      </w:pPr>
      <w:r>
        <w:rPr>
          <w:rFonts w:ascii="宋体"/>
          <w:color w:val="auto"/>
          <w:sz w:val="32"/>
          <w:szCs w:val="32"/>
          <w:highlight w:val="none"/>
        </w:rPr>
        <w:br w:type="page"/>
      </w:r>
    </w:p>
    <w:p w14:paraId="242DB54D">
      <w:pPr>
        <w:pStyle w:val="202"/>
        <w:spacing w:before="240" w:beforeLines="100" w:after="240" w:afterLines="100" w:line="360" w:lineRule="auto"/>
        <w:jc w:val="center"/>
        <w:rPr>
          <w:rFonts w:hint="eastAsia" w:ascii="宋体" w:eastAsia="宋体" w:cs="宋体"/>
          <w:color w:val="auto"/>
          <w:sz w:val="32"/>
          <w:szCs w:val="32"/>
          <w:highlight w:val="none"/>
        </w:rPr>
      </w:pPr>
      <w:r>
        <w:rPr>
          <w:rFonts w:hint="eastAsia" w:ascii="宋体" w:eastAsia="宋体" w:cs="宋体"/>
          <w:color w:val="auto"/>
          <w:sz w:val="32"/>
          <w:szCs w:val="32"/>
          <w:highlight w:val="none"/>
        </w:rPr>
        <w:t>第三部分 专用合同条款</w:t>
      </w:r>
      <w:bookmarkEnd w:id="104"/>
    </w:p>
    <w:p w14:paraId="269031D9">
      <w:pPr>
        <w:pStyle w:val="202"/>
        <w:spacing w:before="0" w:line="360" w:lineRule="auto"/>
        <w:rPr>
          <w:rFonts w:hint="eastAsia" w:ascii="宋体" w:hAnsi="宋体" w:eastAsia="宋体" w:cs="宋体"/>
          <w:color w:val="auto"/>
          <w:sz w:val="24"/>
          <w:szCs w:val="24"/>
          <w:highlight w:val="none"/>
        </w:rPr>
      </w:pPr>
      <w:bookmarkStart w:id="105" w:name="_Toc417904268"/>
      <w:bookmarkStart w:id="106" w:name="_Toc351203633"/>
      <w:bookmarkStart w:id="107" w:name="_Toc9067"/>
      <w:bookmarkStart w:id="108" w:name="_Toc454283095"/>
      <w:r>
        <w:rPr>
          <w:rFonts w:hint="eastAsia" w:ascii="宋体" w:hAnsi="宋体" w:eastAsia="宋体" w:cs="宋体"/>
          <w:color w:val="auto"/>
          <w:sz w:val="24"/>
          <w:szCs w:val="24"/>
          <w:highlight w:val="none"/>
        </w:rPr>
        <w:t>1</w:t>
      </w:r>
      <w:bookmarkStart w:id="109" w:name="_Toc297120456"/>
      <w:bookmarkStart w:id="110" w:name="_Toc297048342"/>
      <w:bookmarkStart w:id="111" w:name="_Toc292559866"/>
      <w:bookmarkStart w:id="112" w:name="_Toc296503156"/>
      <w:bookmarkStart w:id="113" w:name="_Toc296346657"/>
      <w:bookmarkStart w:id="114" w:name="_Toc296891196"/>
      <w:bookmarkStart w:id="115" w:name="_Toc296890984"/>
      <w:bookmarkStart w:id="116" w:name="_Toc296944495"/>
      <w:bookmarkStart w:id="117" w:name="_Toc296347155"/>
      <w:bookmarkStart w:id="118" w:name="_Toc292559361"/>
      <w:r>
        <w:rPr>
          <w:rFonts w:hint="eastAsia" w:ascii="宋体" w:hAnsi="宋体" w:eastAsia="宋体" w:cs="宋体"/>
          <w:color w:val="auto"/>
          <w:sz w:val="24"/>
          <w:szCs w:val="24"/>
          <w:highlight w:val="none"/>
        </w:rPr>
        <w:t>. 一般约定</w:t>
      </w:r>
      <w:bookmarkEnd w:id="105"/>
      <w:bookmarkEnd w:id="106"/>
      <w:bookmarkEnd w:id="107"/>
      <w:bookmarkEnd w:id="108"/>
    </w:p>
    <w:bookmarkEnd w:id="109"/>
    <w:bookmarkEnd w:id="110"/>
    <w:bookmarkEnd w:id="111"/>
    <w:bookmarkEnd w:id="112"/>
    <w:bookmarkEnd w:id="113"/>
    <w:bookmarkEnd w:id="114"/>
    <w:bookmarkEnd w:id="115"/>
    <w:bookmarkEnd w:id="116"/>
    <w:bookmarkEnd w:id="117"/>
    <w:bookmarkEnd w:id="118"/>
    <w:p w14:paraId="41940537">
      <w:pPr>
        <w:pStyle w:val="202"/>
        <w:spacing w:before="0" w:line="360" w:lineRule="auto"/>
        <w:rPr>
          <w:rFonts w:hint="eastAsia" w:ascii="宋体" w:hAnsi="宋体" w:eastAsia="宋体" w:cs="宋体"/>
          <w:color w:val="auto"/>
          <w:sz w:val="24"/>
          <w:szCs w:val="24"/>
          <w:highlight w:val="none"/>
        </w:rPr>
      </w:pPr>
      <w:bookmarkStart w:id="119" w:name="_Toc4091"/>
      <w:bookmarkStart w:id="120" w:name="_Toc454283096"/>
      <w:bookmarkStart w:id="121" w:name="_Toc417904269"/>
      <w:r>
        <w:rPr>
          <w:rFonts w:hint="eastAsia" w:ascii="宋体" w:hAnsi="宋体" w:eastAsia="宋体" w:cs="宋体"/>
          <w:color w:val="auto"/>
          <w:sz w:val="24"/>
          <w:szCs w:val="24"/>
          <w:highlight w:val="none"/>
        </w:rPr>
        <w:t>1.1 词语定义</w:t>
      </w:r>
      <w:bookmarkEnd w:id="119"/>
      <w:bookmarkEnd w:id="120"/>
      <w:bookmarkEnd w:id="121"/>
    </w:p>
    <w:p w14:paraId="46FBA1A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21202C0C">
      <w:pPr>
        <w:pStyle w:val="1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（1）成交通知书；（2）</w:t>
      </w:r>
      <w:r>
        <w:rPr>
          <w:rFonts w:hint="eastAsia" w:ascii="宋体" w:hAnsi="宋体" w:eastAsia="宋体" w:cs="宋体"/>
          <w:color w:val="auto"/>
          <w:sz w:val="24"/>
          <w:szCs w:val="24"/>
          <w:highlight w:val="none"/>
          <w:u w:val="single"/>
          <w:lang w:eastAsia="zh-CN"/>
        </w:rPr>
        <w:t>磋商函</w:t>
      </w:r>
      <w:r>
        <w:rPr>
          <w:rFonts w:hint="eastAsia" w:ascii="宋体" w:hAnsi="宋体" w:eastAsia="宋体" w:cs="宋体"/>
          <w:color w:val="auto"/>
          <w:sz w:val="24"/>
          <w:szCs w:val="24"/>
          <w:highlight w:val="none"/>
          <w:u w:val="single"/>
        </w:rPr>
        <w:t>及其附录；（3）专用合同条款及其附件；（4）通用合同条款；（5）标准、规范及有关技术文件；（</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）已标价工程量清单或预算书；（</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）响应文件及竞争性磋商文件（</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）会议纪要、设计变更、现场签证、双方签署的其他补充文件等。</w:t>
      </w:r>
    </w:p>
    <w:p w14:paraId="0DEFEA9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22EC8FF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7DB48BA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5CB9D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3F278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EEA625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7E094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92215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2D5F841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881B9C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33F32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DA35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DC6F9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80EB4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7E62155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临时设施和临时用地 </w:t>
      </w:r>
      <w:r>
        <w:rPr>
          <w:rFonts w:hint="eastAsia" w:ascii="宋体" w:hAnsi="宋体" w:eastAsia="宋体" w:cs="宋体"/>
          <w:color w:val="auto"/>
          <w:sz w:val="24"/>
          <w:szCs w:val="24"/>
          <w:highlight w:val="none"/>
        </w:rPr>
        <w:t>。</w:t>
      </w:r>
    </w:p>
    <w:p w14:paraId="6E20473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永久占地包括：</w:t>
      </w:r>
      <w:r>
        <w:rPr>
          <w:rFonts w:hint="eastAsia" w:ascii="宋体" w:hAnsi="宋体" w:eastAsia="宋体" w:cs="宋体"/>
          <w:color w:val="auto"/>
          <w:sz w:val="24"/>
          <w:szCs w:val="24"/>
          <w:highlight w:val="none"/>
          <w:u w:val="single"/>
        </w:rPr>
        <w:t xml:space="preserve">   为实施工程需永久占用的土地（建、构筑物用地）   </w:t>
      </w:r>
      <w:r>
        <w:rPr>
          <w:rFonts w:hint="eastAsia" w:ascii="宋体" w:hAnsi="宋体" w:eastAsia="宋体" w:cs="宋体"/>
          <w:color w:val="auto"/>
          <w:sz w:val="24"/>
          <w:szCs w:val="24"/>
          <w:highlight w:val="none"/>
        </w:rPr>
        <w:t>。</w:t>
      </w:r>
    </w:p>
    <w:p w14:paraId="18DF494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 xml:space="preserve">为实施工程需临时占用的土地（临时设施和临时用地所占位置）   </w:t>
      </w:r>
      <w:r>
        <w:rPr>
          <w:rFonts w:hint="eastAsia" w:ascii="宋体" w:hAnsi="宋体" w:eastAsia="宋体" w:cs="宋体"/>
          <w:color w:val="auto"/>
          <w:sz w:val="24"/>
          <w:szCs w:val="24"/>
          <w:highlight w:val="none"/>
        </w:rPr>
        <w:t>。</w:t>
      </w:r>
    </w:p>
    <w:p w14:paraId="5FB8118B">
      <w:pPr>
        <w:pStyle w:val="202"/>
        <w:spacing w:before="0" w:line="360" w:lineRule="auto"/>
        <w:rPr>
          <w:rFonts w:hint="eastAsia" w:ascii="宋体" w:hAnsi="宋体" w:eastAsia="宋体" w:cs="宋体"/>
          <w:color w:val="auto"/>
          <w:sz w:val="24"/>
          <w:szCs w:val="24"/>
          <w:highlight w:val="none"/>
        </w:rPr>
      </w:pPr>
      <w:bookmarkStart w:id="122" w:name="_Toc32032"/>
      <w:bookmarkStart w:id="123" w:name="_Toc454283097"/>
      <w:bookmarkStart w:id="124" w:name="_Toc417904270"/>
      <w:r>
        <w:rPr>
          <w:rFonts w:hint="eastAsia" w:ascii="宋体" w:hAnsi="宋体" w:eastAsia="宋体" w:cs="宋体"/>
          <w:color w:val="auto"/>
          <w:sz w:val="24"/>
          <w:szCs w:val="24"/>
          <w:highlight w:val="none"/>
        </w:rPr>
        <w:t>1.3法律</w:t>
      </w:r>
      <w:bookmarkEnd w:id="122"/>
      <w:bookmarkEnd w:id="123"/>
      <w:bookmarkEnd w:id="124"/>
      <w:r>
        <w:rPr>
          <w:rFonts w:hint="eastAsia" w:ascii="宋体" w:hAnsi="宋体" w:eastAsia="宋体" w:cs="宋体"/>
          <w:color w:val="auto"/>
          <w:sz w:val="24"/>
          <w:szCs w:val="24"/>
          <w:highlight w:val="none"/>
        </w:rPr>
        <w:t xml:space="preserve"> </w:t>
      </w:r>
    </w:p>
    <w:p w14:paraId="735736B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国家、广西壮族自治区、</w:t>
      </w:r>
      <w:r>
        <w:rPr>
          <w:rFonts w:hint="eastAsia" w:ascii="宋体" w:hAnsi="宋体" w:cs="宋体"/>
          <w:color w:val="auto"/>
          <w:sz w:val="24"/>
          <w:szCs w:val="24"/>
          <w:highlight w:val="none"/>
          <w:u w:val="single"/>
          <w:lang w:val="en-US" w:eastAsia="zh-CN"/>
        </w:rPr>
        <w:t>桂林市</w:t>
      </w:r>
      <w:r>
        <w:rPr>
          <w:rFonts w:hint="eastAsia" w:ascii="宋体" w:hAnsi="宋体" w:eastAsia="宋体" w:cs="宋体"/>
          <w:color w:val="auto"/>
          <w:sz w:val="24"/>
          <w:szCs w:val="24"/>
          <w:highlight w:val="none"/>
          <w:u w:val="single"/>
        </w:rPr>
        <w:t>有关工程建设、文物保护的法规及规范性文件</w:t>
      </w:r>
      <w:r>
        <w:rPr>
          <w:rFonts w:hint="eastAsia" w:ascii="宋体" w:hAnsi="宋体" w:eastAsia="宋体" w:cs="宋体"/>
          <w:color w:val="auto"/>
          <w:sz w:val="24"/>
          <w:szCs w:val="24"/>
          <w:highlight w:val="none"/>
        </w:rPr>
        <w:t>。</w:t>
      </w:r>
    </w:p>
    <w:p w14:paraId="662A0723">
      <w:pPr>
        <w:pStyle w:val="202"/>
        <w:spacing w:before="0" w:line="360" w:lineRule="auto"/>
        <w:rPr>
          <w:rFonts w:hint="eastAsia" w:ascii="宋体" w:hAnsi="宋体" w:eastAsia="宋体" w:cs="宋体"/>
          <w:color w:val="auto"/>
          <w:sz w:val="24"/>
          <w:szCs w:val="24"/>
          <w:highlight w:val="none"/>
        </w:rPr>
      </w:pPr>
      <w:bookmarkStart w:id="125" w:name="_Toc417904271"/>
      <w:bookmarkStart w:id="126" w:name="_Toc5221"/>
      <w:bookmarkStart w:id="127" w:name="_Toc454283098"/>
      <w:r>
        <w:rPr>
          <w:rFonts w:hint="eastAsia" w:ascii="宋体" w:hAnsi="宋体" w:eastAsia="宋体" w:cs="宋体"/>
          <w:color w:val="auto"/>
          <w:sz w:val="24"/>
          <w:szCs w:val="24"/>
          <w:highlight w:val="none"/>
        </w:rPr>
        <w:t>1.4 标准和规范</w:t>
      </w:r>
      <w:bookmarkEnd w:id="125"/>
      <w:bookmarkEnd w:id="126"/>
      <w:bookmarkEnd w:id="127"/>
    </w:p>
    <w:p w14:paraId="7112A30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4D8C65A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EB7B83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DF5B72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59E169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699D61A0">
      <w:pPr>
        <w:pStyle w:val="202"/>
        <w:spacing w:before="0" w:line="360" w:lineRule="auto"/>
        <w:rPr>
          <w:rFonts w:hint="eastAsia" w:ascii="宋体" w:hAnsi="宋体" w:eastAsia="宋体" w:cs="宋体"/>
          <w:color w:val="auto"/>
          <w:sz w:val="24"/>
          <w:szCs w:val="24"/>
          <w:highlight w:val="none"/>
        </w:rPr>
      </w:pPr>
      <w:bookmarkStart w:id="128" w:name="_Toc417904272"/>
      <w:bookmarkStart w:id="129" w:name="_Toc3307"/>
      <w:bookmarkStart w:id="130" w:name="_Toc454283099"/>
      <w:r>
        <w:rPr>
          <w:rFonts w:hint="eastAsia" w:ascii="宋体" w:hAnsi="宋体" w:eastAsia="宋体" w:cs="宋体"/>
          <w:color w:val="auto"/>
          <w:sz w:val="24"/>
          <w:szCs w:val="24"/>
          <w:highlight w:val="none"/>
        </w:rPr>
        <w:t>1.5 合同文件的优先顺序</w:t>
      </w:r>
      <w:bookmarkEnd w:id="128"/>
      <w:bookmarkEnd w:id="129"/>
      <w:bookmarkEnd w:id="130"/>
    </w:p>
    <w:p w14:paraId="7B6D133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（1）本合同协议书；（2）</w:t>
      </w:r>
      <w:r>
        <w:rPr>
          <w:rFonts w:hint="eastAsia" w:ascii="宋体" w:hAnsi="宋体" w:eastAsia="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rPr>
        <w:t>通知书；（3）</w:t>
      </w:r>
      <w:r>
        <w:rPr>
          <w:rFonts w:hint="eastAsia" w:ascii="宋体" w:hAnsi="宋体" w:eastAsia="宋体" w:cs="宋体"/>
          <w:color w:val="auto"/>
          <w:sz w:val="24"/>
          <w:szCs w:val="24"/>
          <w:highlight w:val="none"/>
          <w:u w:val="single"/>
          <w:lang w:eastAsia="zh-CN"/>
        </w:rPr>
        <w:t>磋商函</w:t>
      </w:r>
      <w:r>
        <w:rPr>
          <w:rFonts w:hint="eastAsia" w:ascii="宋体" w:hAnsi="宋体" w:eastAsia="宋体" w:cs="宋体"/>
          <w:color w:val="auto"/>
          <w:sz w:val="24"/>
          <w:szCs w:val="24"/>
          <w:highlight w:val="none"/>
          <w:u w:val="single"/>
        </w:rPr>
        <w:t>及其附录；（4）专用合同条款及其附件；（5）本合同通用条款；（6）标准、规范及有关技术文件；（</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）已标价工程量清单或预算书；（</w:t>
      </w:r>
      <w:r>
        <w:rPr>
          <w:rFonts w:hint="eastAsia"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）响应文件及竞争性磋商文件（</w:t>
      </w:r>
      <w:r>
        <w:rPr>
          <w:rFonts w:hint="eastAsia"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）会议纪要、设计变更、现场签证、双方签署的其他补充文件等。</w:t>
      </w:r>
    </w:p>
    <w:p w14:paraId="77D3C4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与技术标准和要求之间有矛盾或者不一致的，以其中要求较严格的标准为准。</w:t>
      </w:r>
    </w:p>
    <w:p w14:paraId="14DE1CB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合同双方在合同履行过程中签订的补充协议亦构成合同文件的组成部分，其解释顺序视其内容与其他合同文件的相互关系而定。</w:t>
      </w:r>
    </w:p>
    <w:p w14:paraId="040880FE">
      <w:pPr>
        <w:pStyle w:val="202"/>
        <w:spacing w:before="0" w:line="360" w:lineRule="auto"/>
        <w:rPr>
          <w:rFonts w:hint="eastAsia" w:ascii="宋体" w:hAnsi="宋体" w:eastAsia="宋体" w:cs="宋体"/>
          <w:color w:val="auto"/>
          <w:sz w:val="24"/>
          <w:szCs w:val="24"/>
          <w:highlight w:val="none"/>
        </w:rPr>
      </w:pPr>
      <w:bookmarkStart w:id="131" w:name="_Toc6412"/>
      <w:bookmarkStart w:id="132" w:name="_Toc417904273"/>
      <w:bookmarkStart w:id="133" w:name="_Toc454283100"/>
      <w:r>
        <w:rPr>
          <w:rFonts w:hint="eastAsia" w:ascii="宋体" w:hAnsi="宋体" w:eastAsia="宋体" w:cs="宋体"/>
          <w:color w:val="auto"/>
          <w:sz w:val="24"/>
          <w:szCs w:val="24"/>
          <w:highlight w:val="none"/>
        </w:rPr>
        <w:t>1.6 承包人文件</w:t>
      </w:r>
      <w:bookmarkEnd w:id="131"/>
      <w:bookmarkEnd w:id="132"/>
      <w:bookmarkEnd w:id="133"/>
      <w:r>
        <w:rPr>
          <w:rFonts w:hint="eastAsia" w:ascii="宋体" w:hAnsi="宋体" w:eastAsia="宋体" w:cs="宋体"/>
          <w:color w:val="auto"/>
          <w:sz w:val="24"/>
          <w:szCs w:val="24"/>
          <w:highlight w:val="none"/>
        </w:rPr>
        <w:tab/>
      </w:r>
    </w:p>
    <w:p w14:paraId="1C9A35D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承包人文件</w:t>
      </w:r>
    </w:p>
    <w:p w14:paraId="48A7563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施工图以外的大样图、加工图、标准图、以及建筑装饰 深化设计图纸设计优化建议等。但设计成果文件需经原设计单位审核及认可。最终设计成果归发包人所有</w:t>
      </w:r>
      <w:r>
        <w:rPr>
          <w:rFonts w:hint="eastAsia" w:ascii="宋体" w:hAnsi="宋体" w:eastAsia="宋体" w:cs="宋体"/>
          <w:color w:val="auto"/>
          <w:sz w:val="24"/>
          <w:szCs w:val="24"/>
          <w:highlight w:val="none"/>
        </w:rPr>
        <w:t>；</w:t>
      </w:r>
    </w:p>
    <w:p w14:paraId="1A01038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xml:space="preserve">  构件开始施工前7天内  </w:t>
      </w:r>
      <w:r>
        <w:rPr>
          <w:rFonts w:hint="eastAsia" w:ascii="宋体" w:hAnsi="宋体" w:eastAsia="宋体" w:cs="宋体"/>
          <w:color w:val="auto"/>
          <w:sz w:val="24"/>
          <w:szCs w:val="24"/>
          <w:highlight w:val="none"/>
        </w:rPr>
        <w:t>；</w:t>
      </w:r>
    </w:p>
    <w:p w14:paraId="3A20241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 xml:space="preserve">      5份              </w:t>
      </w:r>
      <w:r>
        <w:rPr>
          <w:rFonts w:hint="eastAsia" w:ascii="宋体" w:hAnsi="宋体" w:eastAsia="宋体" w:cs="宋体"/>
          <w:color w:val="auto"/>
          <w:sz w:val="24"/>
          <w:szCs w:val="24"/>
          <w:highlight w:val="none"/>
        </w:rPr>
        <w:t>；</w:t>
      </w:r>
    </w:p>
    <w:p w14:paraId="48BED43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251F81A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xml:space="preserve">     收到承包人文件后15天内    </w:t>
      </w:r>
      <w:r>
        <w:rPr>
          <w:rFonts w:hint="eastAsia" w:ascii="宋体" w:hAnsi="宋体" w:eastAsia="宋体" w:cs="宋体"/>
          <w:color w:val="auto"/>
          <w:sz w:val="24"/>
          <w:szCs w:val="24"/>
          <w:highlight w:val="none"/>
        </w:rPr>
        <w:t>。</w:t>
      </w:r>
    </w:p>
    <w:p w14:paraId="0BFB44A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现场图纸准备</w:t>
      </w:r>
    </w:p>
    <w:p w14:paraId="3C38CF1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承包人在施工现场保存至少</w:t>
      </w:r>
      <w:r>
        <w:rPr>
          <w:rFonts w:hint="eastAsia" w:ascii="宋体" w:hAnsi="宋体" w:eastAsia="宋体" w:cs="宋体"/>
          <w:color w:val="auto"/>
          <w:sz w:val="24"/>
          <w:szCs w:val="24"/>
          <w:highlight w:val="none"/>
          <w:u w:val="single"/>
          <w:lang w:eastAsia="zh-CN"/>
        </w:rPr>
        <w:t>四套</w:t>
      </w:r>
      <w:r>
        <w:rPr>
          <w:rFonts w:hint="eastAsia" w:ascii="宋体" w:hAnsi="宋体" w:eastAsia="宋体" w:cs="宋体"/>
          <w:color w:val="auto"/>
          <w:sz w:val="24"/>
          <w:szCs w:val="24"/>
          <w:highlight w:val="none"/>
          <w:u w:val="single"/>
        </w:rPr>
        <w:t xml:space="preserve">完整施工图   </w:t>
      </w:r>
      <w:r>
        <w:rPr>
          <w:rFonts w:hint="eastAsia" w:ascii="宋体" w:hAnsi="宋体" w:eastAsia="宋体" w:cs="宋体"/>
          <w:color w:val="auto"/>
          <w:sz w:val="24"/>
          <w:szCs w:val="24"/>
          <w:highlight w:val="none"/>
        </w:rPr>
        <w:t>。</w:t>
      </w:r>
    </w:p>
    <w:p w14:paraId="1F96584B">
      <w:pPr>
        <w:pStyle w:val="202"/>
        <w:spacing w:before="0" w:line="360" w:lineRule="auto"/>
        <w:rPr>
          <w:rFonts w:hint="eastAsia" w:ascii="宋体" w:hAnsi="宋体" w:eastAsia="宋体" w:cs="宋体"/>
          <w:color w:val="auto"/>
          <w:sz w:val="24"/>
          <w:szCs w:val="24"/>
          <w:highlight w:val="none"/>
        </w:rPr>
      </w:pPr>
      <w:bookmarkStart w:id="134" w:name="_Toc417904274"/>
      <w:bookmarkStart w:id="135" w:name="_Toc454283101"/>
      <w:bookmarkStart w:id="136" w:name="_Toc16769"/>
      <w:r>
        <w:rPr>
          <w:rFonts w:hint="eastAsia" w:ascii="宋体" w:hAnsi="宋体" w:eastAsia="宋体" w:cs="宋体"/>
          <w:color w:val="auto"/>
          <w:sz w:val="24"/>
          <w:szCs w:val="24"/>
          <w:highlight w:val="none"/>
        </w:rPr>
        <w:t>1.7 联络</w:t>
      </w:r>
      <w:bookmarkEnd w:id="134"/>
      <w:bookmarkEnd w:id="135"/>
      <w:bookmarkEnd w:id="136"/>
    </w:p>
    <w:p w14:paraId="44BBFFD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6D3A278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发包人接收文件的地点：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南宁市</w:t>
      </w:r>
      <w:r>
        <w:rPr>
          <w:rFonts w:hint="eastAsia" w:ascii="宋体" w:hAnsi="宋体" w:eastAsia="宋体" w:cs="宋体"/>
          <w:color w:val="auto"/>
          <w:sz w:val="24"/>
          <w:szCs w:val="24"/>
          <w:highlight w:val="none"/>
          <w:u w:val="single"/>
        </w:rPr>
        <w:t>区内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E582E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 xml:space="preserve">   双方按实际情况现场约定  </w:t>
      </w:r>
      <w:r>
        <w:rPr>
          <w:rFonts w:hint="eastAsia" w:ascii="宋体" w:hAnsi="宋体" w:eastAsia="宋体" w:cs="宋体"/>
          <w:color w:val="auto"/>
          <w:sz w:val="24"/>
          <w:szCs w:val="24"/>
          <w:highlight w:val="none"/>
        </w:rPr>
        <w:t>。</w:t>
      </w:r>
    </w:p>
    <w:p w14:paraId="57CBEE6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 xml:space="preserve">     发包人资料室          </w:t>
      </w:r>
      <w:r>
        <w:rPr>
          <w:rFonts w:hint="eastAsia" w:ascii="宋体" w:hAnsi="宋体" w:eastAsia="宋体" w:cs="宋体"/>
          <w:color w:val="auto"/>
          <w:sz w:val="24"/>
          <w:szCs w:val="24"/>
          <w:highlight w:val="none"/>
        </w:rPr>
        <w:t>；</w:t>
      </w:r>
    </w:p>
    <w:p w14:paraId="11DB8AB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F7E6B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 xml:space="preserve">     发包人资料室          </w:t>
      </w:r>
      <w:r>
        <w:rPr>
          <w:rFonts w:hint="eastAsia" w:ascii="宋体" w:hAnsi="宋体" w:eastAsia="宋体" w:cs="宋体"/>
          <w:color w:val="auto"/>
          <w:sz w:val="24"/>
          <w:szCs w:val="24"/>
          <w:highlight w:val="none"/>
        </w:rPr>
        <w:t>；</w:t>
      </w:r>
    </w:p>
    <w:p w14:paraId="748960D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D307C0">
      <w:pPr>
        <w:pStyle w:val="202"/>
        <w:spacing w:before="0" w:line="360" w:lineRule="auto"/>
        <w:rPr>
          <w:rFonts w:hint="eastAsia" w:ascii="宋体" w:hAnsi="宋体" w:eastAsia="宋体" w:cs="宋体"/>
          <w:color w:val="auto"/>
          <w:sz w:val="24"/>
          <w:szCs w:val="24"/>
          <w:highlight w:val="none"/>
        </w:rPr>
      </w:pPr>
      <w:bookmarkStart w:id="137" w:name="_Toc6090"/>
      <w:bookmarkStart w:id="138" w:name="_Toc417904275"/>
      <w:bookmarkStart w:id="139" w:name="_Toc454283102"/>
      <w:r>
        <w:rPr>
          <w:rFonts w:hint="eastAsia" w:ascii="宋体" w:hAnsi="宋体" w:eastAsia="宋体" w:cs="宋体"/>
          <w:color w:val="auto"/>
          <w:sz w:val="24"/>
          <w:szCs w:val="24"/>
          <w:highlight w:val="none"/>
        </w:rPr>
        <w:t>1.10 交通运输</w:t>
      </w:r>
      <w:bookmarkEnd w:id="137"/>
      <w:bookmarkEnd w:id="138"/>
      <w:bookmarkEnd w:id="139"/>
    </w:p>
    <w:p w14:paraId="4FB384A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40" w:name="_Toc300934943"/>
      <w:bookmarkStart w:id="141" w:name="_Toc312677986"/>
      <w:bookmarkStart w:id="142" w:name="_Toc304295521"/>
      <w:bookmarkStart w:id="143" w:name="_Toc318581155"/>
      <w:bookmarkStart w:id="144" w:name="_Toc303539100"/>
      <w:r>
        <w:rPr>
          <w:rFonts w:hint="eastAsia" w:ascii="宋体" w:hAnsi="宋体" w:eastAsia="宋体" w:cs="宋体"/>
          <w:color w:val="auto"/>
          <w:sz w:val="24"/>
          <w:szCs w:val="24"/>
          <w:highlight w:val="none"/>
        </w:rPr>
        <w:t>.10.1 出入现场的权利</w:t>
      </w:r>
    </w:p>
    <w:p w14:paraId="7A9983A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40"/>
    <w:bookmarkEnd w:id="141"/>
    <w:bookmarkEnd w:id="142"/>
    <w:bookmarkEnd w:id="143"/>
    <w:bookmarkEnd w:id="144"/>
    <w:p w14:paraId="75CD979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45" w:name="_Toc312677987"/>
      <w:bookmarkStart w:id="146" w:name="_Toc300934944"/>
      <w:bookmarkStart w:id="147" w:name="_Toc303539101"/>
      <w:bookmarkStart w:id="148" w:name="_Toc304295522"/>
      <w:bookmarkStart w:id="149" w:name="_Toc318581156"/>
      <w:r>
        <w:rPr>
          <w:rFonts w:hint="eastAsia" w:ascii="宋体" w:hAnsi="宋体" w:eastAsia="宋体" w:cs="宋体"/>
          <w:color w:val="auto"/>
          <w:sz w:val="24"/>
          <w:szCs w:val="24"/>
          <w:highlight w:val="none"/>
        </w:rPr>
        <w:t>.10.3 场内交通</w:t>
      </w:r>
    </w:p>
    <w:p w14:paraId="73327C6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以本工程</w:t>
      </w:r>
      <w:r>
        <w:rPr>
          <w:rFonts w:hint="eastAsia" w:ascii="宋体" w:hAnsi="宋体" w:eastAsia="宋体" w:cs="宋体"/>
          <w:color w:val="auto"/>
          <w:sz w:val="24"/>
          <w:szCs w:val="24"/>
          <w:highlight w:val="none"/>
          <w:u w:val="single"/>
          <w:lang w:eastAsia="zh-CN"/>
        </w:rPr>
        <w:t>施工</w:t>
      </w:r>
      <w:r>
        <w:rPr>
          <w:rFonts w:hint="eastAsia" w:ascii="宋体" w:hAnsi="宋体" w:eastAsia="宋体" w:cs="宋体"/>
          <w:color w:val="auto"/>
          <w:sz w:val="24"/>
          <w:szCs w:val="24"/>
          <w:highlight w:val="none"/>
          <w:u w:val="single"/>
        </w:rPr>
        <w:t>红线范围及桩号界定</w:t>
      </w:r>
      <w:r>
        <w:rPr>
          <w:rFonts w:hint="eastAsia" w:ascii="宋体" w:hAnsi="宋体" w:eastAsia="宋体" w:cs="宋体"/>
          <w:color w:val="auto"/>
          <w:sz w:val="24"/>
          <w:szCs w:val="24"/>
          <w:highlight w:val="none"/>
        </w:rPr>
        <w:t>。</w:t>
      </w:r>
    </w:p>
    <w:p w14:paraId="5E0A799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承包人负责场内道路和交通设施的修建并承担相应费用</w:t>
      </w:r>
      <w:r>
        <w:rPr>
          <w:rFonts w:hint="eastAsia" w:ascii="宋体" w:hAnsi="宋体" w:eastAsia="宋体" w:cs="宋体"/>
          <w:color w:val="auto"/>
          <w:sz w:val="24"/>
          <w:szCs w:val="24"/>
          <w:highlight w:val="none"/>
        </w:rPr>
        <w:t>。</w:t>
      </w:r>
      <w:bookmarkEnd w:id="145"/>
      <w:bookmarkEnd w:id="146"/>
      <w:bookmarkEnd w:id="147"/>
      <w:bookmarkEnd w:id="148"/>
      <w:bookmarkEnd w:id="149"/>
      <w:r>
        <w:rPr>
          <w:rFonts w:hint="eastAsia" w:ascii="宋体" w:hAnsi="宋体" w:eastAsia="宋体" w:cs="宋体"/>
          <w:color w:val="auto"/>
          <w:sz w:val="24"/>
          <w:szCs w:val="24"/>
          <w:highlight w:val="none"/>
        </w:rPr>
        <w:t xml:space="preserve">  </w:t>
      </w:r>
      <w:bookmarkStart w:id="150" w:name="_Toc318581157"/>
    </w:p>
    <w:p w14:paraId="0E394FA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2A905D5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bookmarkEnd w:id="150"/>
    <w:p w14:paraId="0FC44D03">
      <w:pPr>
        <w:pStyle w:val="202"/>
        <w:spacing w:before="0" w:line="360" w:lineRule="auto"/>
        <w:rPr>
          <w:rFonts w:hint="eastAsia" w:ascii="宋体" w:hAnsi="宋体" w:eastAsia="宋体" w:cs="宋体"/>
          <w:color w:val="auto"/>
          <w:sz w:val="24"/>
          <w:szCs w:val="24"/>
          <w:highlight w:val="none"/>
        </w:rPr>
      </w:pPr>
      <w:bookmarkStart w:id="151" w:name="_Toc454283103"/>
      <w:bookmarkStart w:id="152" w:name="_Toc17253"/>
      <w:bookmarkStart w:id="153" w:name="_Toc417904276"/>
      <w:r>
        <w:rPr>
          <w:rFonts w:hint="eastAsia" w:ascii="宋体" w:hAnsi="宋体" w:eastAsia="宋体" w:cs="宋体"/>
          <w:color w:val="auto"/>
          <w:sz w:val="24"/>
          <w:szCs w:val="24"/>
          <w:highlight w:val="none"/>
        </w:rPr>
        <w:t>1.11 知识产权</w:t>
      </w:r>
      <w:bookmarkEnd w:id="151"/>
      <w:bookmarkEnd w:id="152"/>
      <w:bookmarkEnd w:id="153"/>
    </w:p>
    <w:p w14:paraId="0B026A8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发包人   </w:t>
      </w:r>
      <w:r>
        <w:rPr>
          <w:rFonts w:hint="eastAsia" w:ascii="宋体" w:hAnsi="宋体" w:eastAsia="宋体" w:cs="宋体"/>
          <w:color w:val="auto"/>
          <w:sz w:val="24"/>
          <w:szCs w:val="24"/>
          <w:highlight w:val="none"/>
        </w:rPr>
        <w:t>。</w:t>
      </w:r>
    </w:p>
    <w:p w14:paraId="5E1AA36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未经发包人书面同意，承包人不得为了合同以外的目的而复制、使用上述文件或将之提供给任何第三方</w:t>
      </w:r>
      <w:r>
        <w:rPr>
          <w:rFonts w:hint="eastAsia" w:ascii="宋体" w:hAnsi="宋体" w:eastAsia="宋体" w:cs="宋体"/>
          <w:color w:val="auto"/>
          <w:sz w:val="24"/>
          <w:szCs w:val="24"/>
          <w:highlight w:val="none"/>
        </w:rPr>
        <w:t>。</w:t>
      </w:r>
    </w:p>
    <w:p w14:paraId="206D561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发包人  </w:t>
      </w:r>
      <w:r>
        <w:rPr>
          <w:rFonts w:hint="eastAsia" w:ascii="宋体" w:hAnsi="宋体" w:eastAsia="宋体" w:cs="宋体"/>
          <w:color w:val="auto"/>
          <w:sz w:val="24"/>
          <w:szCs w:val="24"/>
          <w:highlight w:val="none"/>
        </w:rPr>
        <w:t>。</w:t>
      </w:r>
    </w:p>
    <w:p w14:paraId="43A98B0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  未经发包人书面同意，承包人不得为了合同以外的目的而复制、使用上述文件或将之提供给任何第三方  </w:t>
      </w:r>
      <w:r>
        <w:rPr>
          <w:rFonts w:hint="eastAsia" w:ascii="宋体" w:hAnsi="宋体" w:eastAsia="宋体" w:cs="宋体"/>
          <w:color w:val="auto"/>
          <w:sz w:val="24"/>
          <w:szCs w:val="24"/>
          <w:highlight w:val="none"/>
        </w:rPr>
        <w:t>。</w:t>
      </w:r>
    </w:p>
    <w:p w14:paraId="0BCF5B0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承包人施工过程中所采用的专利、专有技术、技术秘密使用费的承担方式：</w:t>
      </w:r>
      <w:r>
        <w:rPr>
          <w:rFonts w:hint="eastAsia" w:ascii="宋体" w:hAnsi="宋体" w:eastAsia="宋体" w:cs="宋体"/>
          <w:color w:val="auto"/>
          <w:sz w:val="24"/>
          <w:szCs w:val="24"/>
          <w:highlight w:val="none"/>
          <w:u w:val="single"/>
        </w:rPr>
        <w:t>承包人承担</w:t>
      </w:r>
      <w:r>
        <w:rPr>
          <w:rFonts w:hint="eastAsia" w:ascii="宋体" w:hAnsi="宋体" w:eastAsia="宋体" w:cs="宋体"/>
          <w:color w:val="auto"/>
          <w:sz w:val="24"/>
          <w:szCs w:val="24"/>
          <w:highlight w:val="none"/>
        </w:rPr>
        <w:t>。</w:t>
      </w:r>
    </w:p>
    <w:p w14:paraId="2079A8C0">
      <w:pPr>
        <w:pStyle w:val="203"/>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1.13工程量清单错误的修正</w:t>
      </w:r>
    </w:p>
    <w:p w14:paraId="50FC57D4">
      <w:pPr>
        <w:pStyle w:val="206"/>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允许调整合同价格。</w:t>
      </w:r>
    </w:p>
    <w:p w14:paraId="5A446266">
      <w:pPr>
        <w:pStyle w:val="8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允许调整合同价格的工程量偏差范围及其调整办法：</w:t>
      </w:r>
    </w:p>
    <w:p w14:paraId="7AA83335">
      <w:pPr>
        <w:pStyle w:val="206"/>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量清单存在缺项、漏项的，工程量按实际发生计量，其结算综合单价按下列方法进行确定：（1）已标价工程量清单中有适用的子目，采用该子目的单价。（2）已标价工程量清单中无适用于变更工作的子目，但有类似子目的，可在合理范围内参照类似子目的单价。（3）已标价工程量清单中无适用或类似子目的单价，执行</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eastAsia="zh-CN"/>
        </w:rPr>
        <w:t>①</w:t>
      </w:r>
      <w:r>
        <w:rPr>
          <w:rFonts w:ascii="宋体" w:hAnsi="宋体" w:eastAsia="宋体" w:cs="宋体"/>
          <w:color w:val="auto"/>
          <w:sz w:val="24"/>
          <w:szCs w:val="24"/>
          <w:highlight w:val="none"/>
        </w:rPr>
        <w:t>2024年《广西壮族自治区建筑装修装饰工程消耗量定额》及配套费用定额。</w:t>
      </w:r>
      <w:r>
        <w:rPr>
          <w:rFonts w:hint="eastAsia" w:ascii="宋体" w:hAnsi="宋体" w:eastAsia="宋体" w:cs="宋体"/>
          <w:color w:val="auto"/>
          <w:sz w:val="24"/>
          <w:szCs w:val="24"/>
          <w:highlight w:val="none"/>
          <w:lang w:eastAsia="zh-CN"/>
        </w:rPr>
        <w:t>②</w:t>
      </w:r>
      <w:r>
        <w:rPr>
          <w:rFonts w:ascii="宋体" w:hAnsi="宋体" w:eastAsia="宋体" w:cs="宋体"/>
          <w:color w:val="auto"/>
          <w:sz w:val="24"/>
          <w:szCs w:val="24"/>
          <w:highlight w:val="none"/>
        </w:rPr>
        <w:t>2023年《广西壮族自治区安装工程消耗量定额》及配套费用定额。</w:t>
      </w:r>
      <w:r>
        <w:rPr>
          <w:rFonts w:hint="eastAsia" w:ascii="宋体" w:hAnsi="宋体" w:eastAsia="宋体" w:cs="宋体"/>
          <w:color w:val="auto"/>
          <w:sz w:val="24"/>
          <w:szCs w:val="24"/>
          <w:highlight w:val="none"/>
          <w:lang w:eastAsia="zh-CN"/>
        </w:rPr>
        <w:t>③</w:t>
      </w:r>
      <w:r>
        <w:rPr>
          <w:rFonts w:ascii="宋体" w:hAnsi="宋体" w:eastAsia="宋体" w:cs="宋体"/>
          <w:color w:val="auto"/>
          <w:sz w:val="24"/>
          <w:szCs w:val="24"/>
          <w:highlight w:val="none"/>
        </w:rPr>
        <w:t>2024年版《广西壮族自治区房屋建筑拆除工程消耗量定额》及配套费用定额。</w:t>
      </w:r>
      <w:r>
        <w:rPr>
          <w:rFonts w:hint="eastAsia" w:ascii="宋体" w:hAnsi="宋体" w:eastAsia="宋体" w:cs="宋体"/>
          <w:color w:val="auto"/>
          <w:sz w:val="24"/>
          <w:szCs w:val="24"/>
          <w:highlight w:val="none"/>
          <w:lang w:eastAsia="zh-CN"/>
        </w:rPr>
        <w:t>④</w:t>
      </w:r>
      <w:r>
        <w:rPr>
          <w:rFonts w:ascii="宋体" w:hAnsi="宋体" w:eastAsia="宋体" w:cs="宋体"/>
          <w:color w:val="auto"/>
          <w:sz w:val="24"/>
          <w:szCs w:val="24"/>
          <w:highlight w:val="none"/>
        </w:rPr>
        <w:t>2013年《广西壮族自治区安装拆除工程消耗量定额》及配套费用定额。</w:t>
      </w:r>
      <w:r>
        <w:rPr>
          <w:rFonts w:hint="eastAsia" w:ascii="宋体" w:hAnsi="宋体" w:eastAsia="宋体" w:cs="宋体"/>
          <w:color w:val="auto"/>
          <w:sz w:val="24"/>
          <w:szCs w:val="24"/>
          <w:highlight w:val="none"/>
          <w:lang w:eastAsia="zh-CN"/>
        </w:rPr>
        <w:t>⑤</w:t>
      </w:r>
      <w:r>
        <w:rPr>
          <w:rFonts w:ascii="宋体" w:hAnsi="宋体" w:eastAsia="宋体" w:cs="宋体"/>
          <w:color w:val="auto"/>
          <w:sz w:val="24"/>
          <w:szCs w:val="24"/>
          <w:highlight w:val="none"/>
        </w:rPr>
        <w:t>《自治区住房城乡建设厅关于调整建设工程定额人工费及有关费率的通知》(桂建标(2023〕7号)。</w:t>
      </w:r>
      <w:r>
        <w:rPr>
          <w:rFonts w:hint="eastAsia" w:ascii="宋体" w:hAnsi="宋体" w:eastAsia="宋体" w:cs="宋体"/>
          <w:color w:val="auto"/>
          <w:sz w:val="24"/>
          <w:szCs w:val="24"/>
          <w:highlight w:val="none"/>
          <w:lang w:eastAsia="zh-CN"/>
        </w:rPr>
        <w:t>⑥</w:t>
      </w:r>
      <w:r>
        <w:rPr>
          <w:rFonts w:ascii="宋体" w:hAnsi="宋体" w:eastAsia="宋体" w:cs="宋体"/>
          <w:color w:val="auto"/>
          <w:sz w:val="24"/>
          <w:szCs w:val="24"/>
          <w:highlight w:val="none"/>
        </w:rPr>
        <w:t>《关于调整建设工程计价增值税税率的通知》(桂建标〔2019]12号)。</w:t>
      </w:r>
      <w:r>
        <w:rPr>
          <w:rFonts w:hint="eastAsia" w:ascii="宋体" w:hAnsi="宋体" w:eastAsia="宋体" w:cs="宋体"/>
          <w:color w:val="auto"/>
          <w:sz w:val="24"/>
          <w:szCs w:val="24"/>
          <w:highlight w:val="none"/>
          <w:lang w:eastAsia="zh-CN"/>
        </w:rPr>
        <w:t>⑦</w:t>
      </w:r>
      <w:r>
        <w:rPr>
          <w:rFonts w:ascii="宋体" w:hAnsi="宋体" w:eastAsia="宋体" w:cs="宋体"/>
          <w:color w:val="auto"/>
          <w:sz w:val="24"/>
          <w:szCs w:val="24"/>
          <w:highlight w:val="none"/>
        </w:rPr>
        <w:t>《自治区住房城乡建设厅关于印发广西壮族自治区房屋建筑和市政基础设施工程安全生产责任保险计价规定的通知》桂建发(2023]6号)</w:t>
      </w:r>
      <w:r>
        <w:rPr>
          <w:rFonts w:hint="eastAsia" w:ascii="宋体" w:hAnsi="宋体" w:eastAsia="宋体" w:cs="宋体"/>
          <w:color w:val="auto"/>
          <w:sz w:val="24"/>
          <w:szCs w:val="24"/>
          <w:highlight w:val="none"/>
          <w:lang w:eastAsia="zh-CN"/>
        </w:rPr>
        <w:t>。⑧</w:t>
      </w:r>
      <w:r>
        <w:rPr>
          <w:rFonts w:ascii="宋体" w:hAnsi="宋体" w:eastAsia="宋体" w:cs="宋体"/>
          <w:color w:val="auto"/>
          <w:sz w:val="24"/>
          <w:szCs w:val="24"/>
          <w:highlight w:val="none"/>
        </w:rPr>
        <w:t>材料价格参考 2025年第9月《桂林市建设工程造价信息》的除税价计取，工程造价信息中没有发布的，参照市场询卜除税计算。</w:t>
      </w:r>
      <w:r>
        <w:rPr>
          <w:rFonts w:hint="eastAsia" w:ascii="宋体" w:hAnsi="宋体" w:eastAsia="宋体" w:cs="宋体"/>
          <w:color w:val="auto"/>
          <w:sz w:val="24"/>
          <w:szCs w:val="24"/>
          <w:highlight w:val="none"/>
          <w:lang w:eastAsia="zh-CN"/>
        </w:rPr>
        <w:t>⑨</w:t>
      </w:r>
      <w:r>
        <w:rPr>
          <w:rFonts w:ascii="宋体" w:hAnsi="宋体" w:eastAsia="宋体" w:cs="宋体"/>
          <w:color w:val="auto"/>
          <w:sz w:val="24"/>
          <w:szCs w:val="24"/>
          <w:highlight w:val="none"/>
        </w:rPr>
        <w:t>本工程设计图及相关资料。</w:t>
      </w:r>
      <w:r>
        <w:rPr>
          <w:rFonts w:hint="eastAsia" w:ascii="宋体" w:hAnsi="宋体" w:eastAsia="宋体" w:cs="宋体"/>
          <w:color w:val="auto"/>
          <w:sz w:val="24"/>
          <w:szCs w:val="24"/>
          <w:highlight w:val="none"/>
          <w:u w:val="single"/>
        </w:rPr>
        <w:t>按定额计算后按照投标时的响应报价与标底价下浮比例计算（4）材料价格根据《桂林建设工程造价信息》公布的市场材料信息价，在施工期间的平均价格，无信息价的由发包人和承包人双方市场询价协商确定。</w:t>
      </w:r>
    </w:p>
    <w:p w14:paraId="2823911A">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国家和自治区及工程所在地政府或行政主管部门颁发文件调整人工、材料、机械台班及其它有关费用标准的，按文件规定之日起进行调整。</w:t>
      </w:r>
    </w:p>
    <w:p w14:paraId="7550E35F">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允许调整合同价格的工程量偏差范围：工程量按实际完成的工程量计量，其综合单价不随工程量变化而变化。</w:t>
      </w:r>
    </w:p>
    <w:p w14:paraId="7315D000">
      <w:pPr>
        <w:pStyle w:val="202"/>
        <w:spacing w:before="0" w:line="360" w:lineRule="auto"/>
        <w:rPr>
          <w:rFonts w:hint="eastAsia" w:ascii="宋体" w:hAnsi="宋体" w:eastAsia="宋体" w:cs="宋体"/>
          <w:color w:val="auto"/>
          <w:sz w:val="24"/>
          <w:szCs w:val="24"/>
          <w:highlight w:val="none"/>
        </w:rPr>
      </w:pPr>
      <w:bookmarkStart w:id="154" w:name="_Toc7393"/>
      <w:bookmarkStart w:id="155" w:name="_Toc351203634"/>
      <w:bookmarkStart w:id="156" w:name="_Toc454283104"/>
      <w:bookmarkStart w:id="157" w:name="_Toc417904277"/>
      <w:r>
        <w:rPr>
          <w:rFonts w:hint="eastAsia" w:ascii="宋体" w:hAnsi="宋体" w:eastAsia="宋体" w:cs="宋体"/>
          <w:color w:val="auto"/>
          <w:sz w:val="24"/>
          <w:szCs w:val="24"/>
          <w:highlight w:val="none"/>
        </w:rPr>
        <w:t>2</w:t>
      </w:r>
      <w:bookmarkStart w:id="158" w:name="_Toc296944496"/>
      <w:bookmarkStart w:id="159" w:name="_Toc296503157"/>
      <w:bookmarkStart w:id="160" w:name="_Toc296347156"/>
      <w:bookmarkStart w:id="161" w:name="_Toc296890985"/>
      <w:bookmarkStart w:id="162" w:name="_Toc296891197"/>
      <w:bookmarkStart w:id="163" w:name="_Toc296346658"/>
      <w:bookmarkStart w:id="164" w:name="_Toc297048343"/>
      <w:bookmarkStart w:id="165" w:name="_Toc292559362"/>
      <w:bookmarkStart w:id="166" w:name="_Toc292559867"/>
      <w:bookmarkStart w:id="167" w:name="_Toc297120457"/>
      <w:r>
        <w:rPr>
          <w:rFonts w:hint="eastAsia" w:ascii="宋体" w:hAnsi="宋体" w:eastAsia="宋体" w:cs="宋体"/>
          <w:color w:val="auto"/>
          <w:sz w:val="24"/>
          <w:szCs w:val="24"/>
          <w:highlight w:val="none"/>
        </w:rPr>
        <w:t>. 发包人</w:t>
      </w:r>
      <w:bookmarkEnd w:id="154"/>
      <w:bookmarkEnd w:id="155"/>
      <w:bookmarkEnd w:id="156"/>
      <w:bookmarkEnd w:id="157"/>
    </w:p>
    <w:bookmarkEnd w:id="158"/>
    <w:bookmarkEnd w:id="159"/>
    <w:bookmarkEnd w:id="160"/>
    <w:bookmarkEnd w:id="161"/>
    <w:bookmarkEnd w:id="162"/>
    <w:bookmarkEnd w:id="163"/>
    <w:bookmarkEnd w:id="164"/>
    <w:bookmarkEnd w:id="165"/>
    <w:bookmarkEnd w:id="166"/>
    <w:bookmarkEnd w:id="167"/>
    <w:p w14:paraId="4602E33A">
      <w:pPr>
        <w:pStyle w:val="202"/>
        <w:spacing w:before="0" w:line="360" w:lineRule="auto"/>
        <w:rPr>
          <w:rFonts w:hint="eastAsia" w:ascii="宋体" w:hAnsi="宋体" w:eastAsia="宋体" w:cs="宋体"/>
          <w:color w:val="auto"/>
          <w:sz w:val="24"/>
          <w:szCs w:val="24"/>
          <w:highlight w:val="none"/>
        </w:rPr>
      </w:pPr>
      <w:bookmarkStart w:id="168" w:name="_Toc417904278"/>
      <w:bookmarkStart w:id="169" w:name="_Toc1142"/>
      <w:bookmarkStart w:id="170" w:name="_Toc454283105"/>
      <w:r>
        <w:rPr>
          <w:rFonts w:hint="eastAsia" w:ascii="宋体" w:hAnsi="宋体" w:eastAsia="宋体" w:cs="宋体"/>
          <w:color w:val="auto"/>
          <w:sz w:val="24"/>
          <w:szCs w:val="24"/>
          <w:highlight w:val="none"/>
        </w:rPr>
        <w:t>2.2 发包人代表</w:t>
      </w:r>
      <w:bookmarkEnd w:id="168"/>
      <w:bookmarkEnd w:id="169"/>
      <w:bookmarkEnd w:id="170"/>
    </w:p>
    <w:p w14:paraId="5B8BACC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5717A01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32280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2A576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1AC9D7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FC3D7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1CCB8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AE8F1C">
      <w:pPr>
        <w:pStyle w:val="203"/>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主持该项目施工过程中及保修阶段的全过程管理。负责安全、质量、进度，监督材料、设备的定样，材料价格的确认，以及代表发包人对工程量造价的核算和工程结算、工程安全、质量、进度、变更、认价、工程量的增减等所有相关文件的签字确认</w:t>
      </w:r>
      <w:r>
        <w:rPr>
          <w:rFonts w:hint="eastAsia" w:ascii="宋体" w:hAnsi="宋体" w:eastAsia="宋体" w:cs="宋体"/>
          <w:color w:val="auto"/>
          <w:sz w:val="24"/>
          <w:szCs w:val="24"/>
          <w:highlight w:val="none"/>
        </w:rPr>
        <w:t>。</w:t>
      </w:r>
    </w:p>
    <w:p w14:paraId="271413F6">
      <w:pPr>
        <w:pStyle w:val="202"/>
        <w:spacing w:before="0" w:line="360" w:lineRule="auto"/>
        <w:rPr>
          <w:rFonts w:hint="eastAsia" w:ascii="宋体" w:hAnsi="宋体" w:eastAsia="宋体" w:cs="宋体"/>
          <w:color w:val="auto"/>
          <w:sz w:val="24"/>
          <w:szCs w:val="24"/>
          <w:highlight w:val="none"/>
        </w:rPr>
      </w:pPr>
      <w:bookmarkStart w:id="171" w:name="_Toc5839"/>
      <w:bookmarkStart w:id="172" w:name="_Toc417904279"/>
      <w:bookmarkStart w:id="173" w:name="_Toc454283106"/>
      <w:r>
        <w:rPr>
          <w:rFonts w:hint="eastAsia" w:ascii="宋体" w:hAnsi="宋体" w:eastAsia="宋体" w:cs="宋体"/>
          <w:color w:val="auto"/>
          <w:sz w:val="24"/>
          <w:szCs w:val="24"/>
          <w:highlight w:val="none"/>
        </w:rPr>
        <w:t>2.4 施工现场、施工条件和基础资料的提供</w:t>
      </w:r>
      <w:bookmarkEnd w:id="171"/>
      <w:bookmarkEnd w:id="172"/>
      <w:bookmarkEnd w:id="173"/>
    </w:p>
    <w:p w14:paraId="03271B5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1F2D4345">
      <w:pPr>
        <w:pStyle w:val="20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xml:space="preserve">  以发包人发出的开工令为准　</w:t>
      </w:r>
      <w:r>
        <w:rPr>
          <w:rFonts w:hint="eastAsia" w:ascii="宋体" w:hAnsi="宋体" w:eastAsia="宋体" w:cs="宋体"/>
          <w:color w:val="auto"/>
          <w:sz w:val="24"/>
          <w:szCs w:val="24"/>
          <w:highlight w:val="none"/>
        </w:rPr>
        <w:t>。</w:t>
      </w:r>
    </w:p>
    <w:p w14:paraId="602AAF0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1D209D4F">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lang w:val="zh-CN"/>
        </w:rPr>
        <w:t>发包人按承包人的施工现场总平面布置图的要</w:t>
      </w:r>
      <w:r>
        <w:rPr>
          <w:rFonts w:hint="eastAsia" w:ascii="宋体" w:hAnsi="宋体" w:eastAsia="宋体" w:cs="宋体"/>
          <w:color w:val="auto"/>
          <w:sz w:val="24"/>
          <w:szCs w:val="24"/>
          <w:highlight w:val="none"/>
          <w:u w:val="single"/>
        </w:rPr>
        <w:t>求于开工7日前达到三通一平的施工要求，</w:t>
      </w:r>
      <w:r>
        <w:rPr>
          <w:rFonts w:hint="eastAsia" w:ascii="宋体" w:hAnsi="宋体" w:eastAsia="宋体" w:cs="宋体"/>
          <w:color w:val="auto"/>
          <w:sz w:val="24"/>
          <w:szCs w:val="24"/>
          <w:highlight w:val="none"/>
          <w:u w:val="single"/>
          <w:lang w:val="zh-CN"/>
        </w:rPr>
        <w:t>将水、电接至距拟建建筑物外墙（或构筑物外边线）200米范围内。电讯线路的接通由承包人自费解决</w:t>
      </w:r>
      <w:r>
        <w:rPr>
          <w:rFonts w:hint="eastAsia" w:ascii="宋体" w:hAnsi="宋体" w:eastAsia="宋体" w:cs="宋体"/>
          <w:color w:val="auto"/>
          <w:sz w:val="24"/>
          <w:szCs w:val="24"/>
          <w:highlight w:val="none"/>
          <w:u w:val="single" w:color="0000FF"/>
          <w:lang w:val="zh-CN"/>
        </w:rPr>
        <w:t>；</w:t>
      </w:r>
      <w:r>
        <w:rPr>
          <w:rFonts w:hint="eastAsia" w:ascii="宋体" w:hAnsi="宋体" w:eastAsia="宋体" w:cs="宋体"/>
          <w:color w:val="auto"/>
          <w:sz w:val="24"/>
          <w:szCs w:val="24"/>
          <w:highlight w:val="none"/>
          <w:u w:val="single"/>
        </w:rPr>
        <w:t>电气管线</w:t>
      </w:r>
      <w:r>
        <w:rPr>
          <w:rFonts w:hint="eastAsia" w:ascii="宋体" w:hAnsi="宋体" w:eastAsia="宋体" w:cs="宋体"/>
          <w:color w:val="auto"/>
          <w:sz w:val="24"/>
          <w:szCs w:val="24"/>
          <w:highlight w:val="none"/>
          <w:u w:val="single"/>
          <w:lang w:val="zh-CN"/>
        </w:rPr>
        <w:t>的接通由承包人自费解决；承包人施工期间的生活用水、电、电讯、</w:t>
      </w:r>
      <w:r>
        <w:rPr>
          <w:rFonts w:hint="eastAsia" w:ascii="宋体" w:hAnsi="宋体" w:eastAsia="宋体" w:cs="宋体"/>
          <w:color w:val="auto"/>
          <w:sz w:val="24"/>
          <w:szCs w:val="24"/>
          <w:highlight w:val="none"/>
          <w:u w:val="single"/>
        </w:rPr>
        <w:t>电气</w:t>
      </w:r>
      <w:r>
        <w:rPr>
          <w:rFonts w:hint="eastAsia" w:ascii="宋体" w:hAnsi="宋体" w:eastAsia="宋体" w:cs="宋体"/>
          <w:color w:val="auto"/>
          <w:sz w:val="24"/>
          <w:szCs w:val="24"/>
          <w:highlight w:val="none"/>
          <w:u w:val="single"/>
          <w:lang w:val="zh-CN"/>
        </w:rPr>
        <w:t>费用由承包人支付；承包人负责在发包人指定部位安装计量表，水电费按表计量度数</w:t>
      </w:r>
      <w:r>
        <w:rPr>
          <w:rFonts w:hint="eastAsia" w:ascii="宋体" w:hAnsi="宋体" w:eastAsia="宋体" w:cs="宋体"/>
          <w:color w:val="auto"/>
          <w:sz w:val="24"/>
          <w:szCs w:val="24"/>
          <w:highlight w:val="none"/>
        </w:rPr>
        <w:t>。</w:t>
      </w:r>
    </w:p>
    <w:p w14:paraId="4A6AE3E2">
      <w:pPr>
        <w:pStyle w:val="202"/>
        <w:spacing w:before="0" w:line="360" w:lineRule="auto"/>
        <w:rPr>
          <w:rFonts w:hint="eastAsia" w:ascii="宋体" w:hAnsi="宋体" w:eastAsia="宋体" w:cs="宋体"/>
          <w:color w:val="auto"/>
          <w:sz w:val="24"/>
          <w:szCs w:val="24"/>
          <w:highlight w:val="none"/>
        </w:rPr>
      </w:pPr>
      <w:bookmarkStart w:id="174" w:name="_Toc454283107"/>
      <w:bookmarkStart w:id="175" w:name="_Toc417904280"/>
      <w:bookmarkStart w:id="176" w:name="_Toc21735"/>
      <w:r>
        <w:rPr>
          <w:rFonts w:hint="eastAsia" w:ascii="宋体" w:hAnsi="宋体" w:eastAsia="宋体" w:cs="宋体"/>
          <w:color w:val="auto"/>
          <w:sz w:val="24"/>
          <w:szCs w:val="24"/>
          <w:highlight w:val="none"/>
        </w:rPr>
        <w:t>2.5 资金来源证明及支付担保</w:t>
      </w:r>
      <w:bookmarkEnd w:id="174"/>
      <w:bookmarkEnd w:id="175"/>
      <w:bookmarkEnd w:id="176"/>
    </w:p>
    <w:p w14:paraId="6955B0CD">
      <w:pPr>
        <w:pStyle w:val="203"/>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3B55A49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不提供</w:t>
      </w:r>
      <w:r>
        <w:rPr>
          <w:rFonts w:hint="eastAsia" w:ascii="宋体" w:hAnsi="宋体" w:eastAsia="宋体" w:cs="宋体"/>
          <w:color w:val="auto"/>
          <w:sz w:val="24"/>
          <w:szCs w:val="24"/>
          <w:highlight w:val="none"/>
        </w:rPr>
        <w:t>。</w:t>
      </w:r>
    </w:p>
    <w:p w14:paraId="3E166620">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CBE3716">
      <w:pPr>
        <w:pStyle w:val="202"/>
        <w:spacing w:before="0" w:line="360" w:lineRule="auto"/>
        <w:rPr>
          <w:rFonts w:hint="eastAsia" w:ascii="宋体" w:hAnsi="宋体" w:eastAsia="宋体" w:cs="宋体"/>
          <w:color w:val="auto"/>
          <w:sz w:val="24"/>
          <w:szCs w:val="24"/>
          <w:highlight w:val="none"/>
        </w:rPr>
      </w:pPr>
      <w:bookmarkStart w:id="177" w:name="_Toc2531"/>
      <w:bookmarkStart w:id="178" w:name="_Toc454283108"/>
      <w:bookmarkStart w:id="179" w:name="_Toc351203635"/>
      <w:bookmarkStart w:id="180" w:name="_Toc417904281"/>
      <w:r>
        <w:rPr>
          <w:rFonts w:hint="eastAsia" w:ascii="宋体" w:hAnsi="宋体" w:eastAsia="宋体" w:cs="宋体"/>
          <w:color w:val="auto"/>
          <w:sz w:val="24"/>
          <w:szCs w:val="24"/>
          <w:highlight w:val="none"/>
        </w:rPr>
        <w:t>3</w:t>
      </w:r>
      <w:bookmarkStart w:id="181" w:name="_Toc297120458"/>
      <w:bookmarkStart w:id="182" w:name="_Toc296891198"/>
      <w:bookmarkStart w:id="183" w:name="_Toc296890986"/>
      <w:bookmarkStart w:id="184" w:name="_Toc296503158"/>
      <w:bookmarkStart w:id="185" w:name="_Toc296346659"/>
      <w:bookmarkStart w:id="186" w:name="_Toc296347157"/>
      <w:bookmarkStart w:id="187" w:name="_Toc296944497"/>
      <w:bookmarkStart w:id="188" w:name="_Toc297048344"/>
      <w:bookmarkStart w:id="189" w:name="_Toc292559363"/>
      <w:bookmarkStart w:id="190" w:name="_Toc292559868"/>
      <w:r>
        <w:rPr>
          <w:rFonts w:hint="eastAsia" w:ascii="宋体" w:hAnsi="宋体" w:eastAsia="宋体" w:cs="宋体"/>
          <w:color w:val="auto"/>
          <w:sz w:val="24"/>
          <w:szCs w:val="24"/>
          <w:highlight w:val="none"/>
        </w:rPr>
        <w:t>. 承包人</w:t>
      </w:r>
      <w:bookmarkEnd w:id="177"/>
      <w:bookmarkEnd w:id="178"/>
      <w:bookmarkEnd w:id="179"/>
      <w:bookmarkEnd w:id="180"/>
    </w:p>
    <w:bookmarkEnd w:id="181"/>
    <w:bookmarkEnd w:id="182"/>
    <w:bookmarkEnd w:id="183"/>
    <w:bookmarkEnd w:id="184"/>
    <w:bookmarkEnd w:id="185"/>
    <w:bookmarkEnd w:id="186"/>
    <w:bookmarkEnd w:id="187"/>
    <w:bookmarkEnd w:id="188"/>
    <w:bookmarkEnd w:id="189"/>
    <w:bookmarkEnd w:id="190"/>
    <w:p w14:paraId="40AF86A8">
      <w:pPr>
        <w:pStyle w:val="202"/>
        <w:spacing w:before="0" w:line="360" w:lineRule="auto"/>
        <w:rPr>
          <w:rFonts w:hint="eastAsia" w:ascii="宋体" w:hAnsi="宋体" w:eastAsia="宋体" w:cs="宋体"/>
          <w:color w:val="auto"/>
          <w:sz w:val="24"/>
          <w:szCs w:val="24"/>
          <w:highlight w:val="none"/>
        </w:rPr>
      </w:pPr>
      <w:bookmarkStart w:id="191" w:name="_Toc28947"/>
      <w:bookmarkStart w:id="192" w:name="_Toc454283109"/>
      <w:bookmarkStart w:id="193" w:name="_Toc417904282"/>
      <w:r>
        <w:rPr>
          <w:rFonts w:hint="eastAsia" w:ascii="宋体" w:hAnsi="宋体" w:eastAsia="宋体" w:cs="宋体"/>
          <w:color w:val="auto"/>
          <w:sz w:val="24"/>
          <w:szCs w:val="24"/>
          <w:highlight w:val="none"/>
        </w:rPr>
        <w:t>3.1 承包人的一般义务</w:t>
      </w:r>
      <w:bookmarkEnd w:id="191"/>
      <w:bookmarkEnd w:id="192"/>
      <w:bookmarkEnd w:id="193"/>
    </w:p>
    <w:p w14:paraId="10D9F79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（9）承包人提交的竣工资料的内容：</w:t>
      </w:r>
      <w:r>
        <w:rPr>
          <w:rFonts w:hint="eastAsia" w:ascii="宋体" w:hAnsi="宋体" w:eastAsia="宋体" w:cs="宋体"/>
          <w:color w:val="auto"/>
          <w:sz w:val="24"/>
          <w:szCs w:val="24"/>
          <w:highlight w:val="none"/>
          <w:u w:val="single"/>
        </w:rPr>
        <w:t>按相关规定</w:t>
      </w:r>
      <w:r>
        <w:rPr>
          <w:rFonts w:hint="eastAsia" w:ascii="宋体" w:hAnsi="宋体" w:eastAsia="宋体" w:cs="宋体"/>
          <w:color w:val="auto"/>
          <w:sz w:val="24"/>
          <w:szCs w:val="24"/>
          <w:highlight w:val="none"/>
        </w:rPr>
        <w:t>。</w:t>
      </w:r>
    </w:p>
    <w:p w14:paraId="5BD7269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全套竣工资料 5 份  </w:t>
      </w:r>
      <w:r>
        <w:rPr>
          <w:rFonts w:hint="eastAsia" w:ascii="宋体" w:hAnsi="宋体" w:eastAsia="宋体" w:cs="宋体"/>
          <w:color w:val="auto"/>
          <w:sz w:val="24"/>
          <w:szCs w:val="24"/>
          <w:highlight w:val="none"/>
        </w:rPr>
        <w:t>。</w:t>
      </w:r>
    </w:p>
    <w:p w14:paraId="6F941B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由承包人自行承担     </w:t>
      </w:r>
      <w:r>
        <w:rPr>
          <w:rFonts w:hint="eastAsia" w:ascii="宋体" w:hAnsi="宋体" w:eastAsia="宋体" w:cs="宋体"/>
          <w:color w:val="auto"/>
          <w:sz w:val="24"/>
          <w:szCs w:val="24"/>
          <w:highlight w:val="none"/>
        </w:rPr>
        <w:t>。</w:t>
      </w:r>
    </w:p>
    <w:p w14:paraId="4A26EC3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竣工验收合格后15天内       </w:t>
      </w:r>
      <w:r>
        <w:rPr>
          <w:rFonts w:hint="eastAsia" w:ascii="宋体" w:hAnsi="宋体" w:eastAsia="宋体" w:cs="宋体"/>
          <w:color w:val="auto"/>
          <w:sz w:val="24"/>
          <w:szCs w:val="24"/>
          <w:highlight w:val="none"/>
        </w:rPr>
        <w:t>。</w:t>
      </w:r>
    </w:p>
    <w:p w14:paraId="71DC2D8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纸质和电子文档    </w:t>
      </w:r>
      <w:r>
        <w:rPr>
          <w:rFonts w:hint="eastAsia" w:ascii="宋体" w:hAnsi="宋体" w:eastAsia="宋体" w:cs="宋体"/>
          <w:color w:val="auto"/>
          <w:sz w:val="24"/>
          <w:szCs w:val="24"/>
          <w:highlight w:val="none"/>
        </w:rPr>
        <w:t>。</w:t>
      </w:r>
    </w:p>
    <w:p w14:paraId="0FB5E1E4">
      <w:pPr>
        <w:pStyle w:val="9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（10）承包人应履行的其他义务：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对开工的项目，须组建项目工会。</w:t>
      </w:r>
      <w:r>
        <w:rPr>
          <w:rFonts w:hint="eastAsia" w:ascii="宋体" w:hAnsi="宋体" w:eastAsia="宋体" w:cs="宋体"/>
          <w:color w:val="auto"/>
          <w:position w:val="-2"/>
          <w:sz w:val="24"/>
          <w:szCs w:val="24"/>
          <w:highlight w:val="none"/>
          <w:u w:val="single"/>
        </w:rPr>
        <w:t>①、承包人应协调与施工现场周边社区及居民的关系，确保项目施工顺利进行；②、农民工工资</w:t>
      </w:r>
      <w:r>
        <w:rPr>
          <w:rFonts w:hint="eastAsia" w:ascii="宋体" w:hAnsi="宋体" w:cs="宋体"/>
          <w:color w:val="auto"/>
          <w:sz w:val="24"/>
          <w:szCs w:val="24"/>
          <w:highlight w:val="none"/>
        </w:rPr>
        <w:t>按上级主管部门及业主关于农民工工资发放的相关要求</w:t>
      </w:r>
      <w:r>
        <w:rPr>
          <w:rFonts w:hint="eastAsia" w:ascii="宋体" w:hAnsi="宋体" w:eastAsia="宋体" w:cs="宋体"/>
          <w:color w:val="auto"/>
          <w:position w:val="-2"/>
          <w:sz w:val="24"/>
          <w:szCs w:val="24"/>
          <w:highlight w:val="none"/>
          <w:u w:val="single"/>
        </w:rPr>
        <w:t>文件执行，</w:t>
      </w:r>
      <w:r>
        <w:rPr>
          <w:rFonts w:hint="eastAsia" w:ascii="宋体" w:hAnsi="宋体" w:eastAsia="宋体" w:cs="宋体"/>
          <w:color w:val="auto"/>
          <w:position w:val="-2"/>
          <w:sz w:val="24"/>
          <w:szCs w:val="24"/>
          <w:highlight w:val="none"/>
          <w:u w:val="single"/>
          <w:lang w:val="en-US" w:eastAsia="zh-CN"/>
        </w:rPr>
        <w:t>承包人</w:t>
      </w:r>
      <w:r>
        <w:rPr>
          <w:rFonts w:hint="eastAsia" w:ascii="宋体" w:hAnsi="宋体" w:eastAsia="宋体" w:cs="宋体"/>
          <w:color w:val="auto"/>
          <w:position w:val="-2"/>
          <w:sz w:val="24"/>
          <w:szCs w:val="24"/>
          <w:highlight w:val="none"/>
          <w:u w:val="single"/>
        </w:rPr>
        <w:t>应按时支付农民工工资③</w:t>
      </w:r>
      <w:r>
        <w:rPr>
          <w:rFonts w:hint="eastAsia" w:ascii="宋体" w:hAnsi="宋体" w:eastAsia="宋体" w:cs="宋体"/>
          <w:color w:val="auto"/>
          <w:sz w:val="24"/>
          <w:szCs w:val="24"/>
          <w:highlight w:val="none"/>
          <w:u w:val="single"/>
        </w:rPr>
        <w:t>应按监理人的指示为他人在施工场地或附近实施与工程有关的其他各项工作提供可能的条件并配合发包人做好安全文明工程、领导检查、宣传等工作</w:t>
      </w:r>
      <w:r>
        <w:rPr>
          <w:rFonts w:hint="eastAsia" w:ascii="宋体" w:hAnsi="宋体" w:eastAsia="宋体" w:cs="宋体"/>
          <w:color w:val="auto"/>
          <w:position w:val="-2"/>
          <w:sz w:val="24"/>
          <w:szCs w:val="24"/>
          <w:highlight w:val="none"/>
          <w:u w:val="single"/>
        </w:rPr>
        <w:t>；④发包人另行发包的</w:t>
      </w:r>
      <w:r>
        <w:rPr>
          <w:rFonts w:hint="eastAsia" w:ascii="宋体" w:hAnsi="宋体" w:eastAsia="宋体" w:cs="宋体"/>
          <w:color w:val="auto"/>
          <w:position w:val="-2"/>
          <w:sz w:val="24"/>
          <w:szCs w:val="24"/>
          <w:highlight w:val="none"/>
          <w:u w:val="single"/>
          <w:lang w:val="en-US" w:eastAsia="zh-CN"/>
        </w:rPr>
        <w:t>采购</w:t>
      </w:r>
      <w:r>
        <w:rPr>
          <w:rFonts w:hint="eastAsia" w:ascii="宋体" w:hAnsi="宋体" w:eastAsia="宋体" w:cs="宋体"/>
          <w:color w:val="auto"/>
          <w:position w:val="-2"/>
          <w:sz w:val="24"/>
          <w:szCs w:val="24"/>
          <w:highlight w:val="none"/>
          <w:u w:val="single"/>
        </w:rPr>
        <w:t>范围以外的工程，承包人必须无条件配合；⑤承包人在承包工程施工期间所发生的一切责任事故，全部由承包人承担经济责任和法律责任。</w:t>
      </w:r>
      <w:r>
        <w:rPr>
          <w:rFonts w:hint="eastAsia" w:ascii="宋体" w:hAnsi="宋体" w:eastAsia="宋体" w:cs="宋体"/>
          <w:color w:val="auto"/>
          <w:sz w:val="24"/>
          <w:szCs w:val="24"/>
          <w:highlight w:val="none"/>
          <w:u w:val="single"/>
        </w:rPr>
        <w:t>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承包管理与协调服务，并为专业工程承包商提供一切施工方便。⑨为发包人和监理人在施工现场提供必要的办公室和办公桌椅等设备。⑩配合发包人以及设计单位的深化设计或设计变更，并按深化设计或设计变更后的施工图施工。⑪按建设行政主管部门有关规定配合发包人其他工程的施工等。</w:t>
      </w:r>
    </w:p>
    <w:p w14:paraId="0C942899">
      <w:pPr>
        <w:pStyle w:val="202"/>
        <w:spacing w:before="0" w:line="360" w:lineRule="auto"/>
        <w:rPr>
          <w:rFonts w:hint="eastAsia" w:ascii="宋体" w:hAnsi="宋体" w:eastAsia="宋体" w:cs="宋体"/>
          <w:color w:val="auto"/>
          <w:sz w:val="24"/>
          <w:szCs w:val="24"/>
          <w:highlight w:val="none"/>
        </w:rPr>
      </w:pPr>
      <w:bookmarkStart w:id="194" w:name="_Toc417904283"/>
      <w:bookmarkStart w:id="195" w:name="_Toc27977"/>
      <w:bookmarkStart w:id="196" w:name="_Toc454283110"/>
      <w:r>
        <w:rPr>
          <w:rFonts w:hint="eastAsia" w:ascii="宋体" w:hAnsi="宋体" w:eastAsia="宋体" w:cs="宋体"/>
          <w:color w:val="auto"/>
          <w:sz w:val="24"/>
          <w:szCs w:val="24"/>
          <w:highlight w:val="none"/>
        </w:rPr>
        <w:t>3.2 项目经理</w:t>
      </w:r>
      <w:bookmarkEnd w:id="194"/>
      <w:bookmarkEnd w:id="195"/>
      <w:bookmarkEnd w:id="196"/>
    </w:p>
    <w:p w14:paraId="47A7A06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3.2.1项目经理： </w:t>
      </w:r>
    </w:p>
    <w:p w14:paraId="5710FF3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Start w:id="918" w:name="_GoBack"/>
      <w:bookmarkEnd w:id="918"/>
    </w:p>
    <w:p w14:paraId="1CEBFBE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84886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32EFD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241A3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1A6DB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3708F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D7647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A796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w:t>
      </w:r>
    </w:p>
    <w:p w14:paraId="6B3BA1EE">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全权处理本项目的一切施工事宜。但未经承包人盖章同意不得以承包人名义向外融资、采购材料设备、租用建筑周转材料、雇佣劳动力、签订分包合同等从事一切为承包人设立义务或责任的行为：</w:t>
      </w:r>
    </w:p>
    <w:p w14:paraId="32DDC7FE">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1.对本工程的建设进行全面管理，行使合同约定的权利，履行合同约定的义务；</w:t>
      </w:r>
    </w:p>
    <w:p w14:paraId="3125D3C4">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2.负责本工程的施工组织、劳动力组织、机械设备组织；</w:t>
      </w:r>
    </w:p>
    <w:p w14:paraId="5205C9DC">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3.在授权范围内协调与项目有关的内、外部关系；</w:t>
      </w:r>
    </w:p>
    <w:p w14:paraId="0597D0BA">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4.负责与发包人、监理人办理设计变更、现场签证等手续；</w:t>
      </w:r>
    </w:p>
    <w:p w14:paraId="7468643C">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5.代表承包人接受监理工程或发包人现场代表发出的指示和指令；</w:t>
      </w:r>
    </w:p>
    <w:p w14:paraId="6BE0FC8C">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6.未经承包人盖章同意不得以承包人名义向外融资、采购材料设备、租用件数周转材料、雇佣劳动力、签订分包合同等从事一切为承包人设立义务或责任的行为。</w:t>
      </w:r>
    </w:p>
    <w:p w14:paraId="2D631178">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 xml:space="preserve">  22天  </w:t>
      </w:r>
    </w:p>
    <w:p w14:paraId="5062DF29">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 xml:space="preserve">项目经理每月在岗不得少于22天/月，在岗每天不少于6小时。未经发包人同意或正当理由，项目经理每月在岗少于22天，每缺勤一天，发包人有权处违约金1000元/日（人民币）  </w:t>
      </w:r>
      <w:r>
        <w:rPr>
          <w:rFonts w:hint="eastAsia" w:ascii="宋体" w:hAnsi="宋体" w:eastAsia="宋体" w:cs="宋体"/>
          <w:color w:val="auto"/>
          <w:sz w:val="24"/>
          <w:szCs w:val="24"/>
          <w:highlight w:val="none"/>
        </w:rPr>
        <w:t>。</w:t>
      </w:r>
    </w:p>
    <w:p w14:paraId="473D250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发包人有权要求承包人支付1000元违约金，责令期限提交劳</w:t>
      </w:r>
      <w:r>
        <w:rPr>
          <w:rFonts w:hint="eastAsia" w:ascii="宋体" w:hAnsi="宋体" w:eastAsia="宋体" w:cs="宋体"/>
          <w:color w:val="auto"/>
          <w:sz w:val="24"/>
          <w:szCs w:val="24"/>
          <w:highlight w:val="none"/>
          <w:u w:val="single"/>
          <w:lang w:val="en-US" w:eastAsia="zh-CN"/>
        </w:rPr>
        <w:t>动</w:t>
      </w:r>
      <w:r>
        <w:rPr>
          <w:rFonts w:hint="eastAsia" w:ascii="宋体" w:hAnsi="宋体" w:eastAsia="宋体" w:cs="宋体"/>
          <w:color w:val="auto"/>
          <w:sz w:val="24"/>
          <w:szCs w:val="24"/>
          <w:highlight w:val="none"/>
          <w:u w:val="single"/>
        </w:rPr>
        <w:t>合同并补缴社会保险。如因承包人此项行为造成发包人支出相应费用或产生损失的，由承包人向发包人赔偿。”</w:t>
      </w:r>
      <w:r>
        <w:rPr>
          <w:rFonts w:hint="eastAsia" w:ascii="宋体" w:hAnsi="宋体" w:eastAsia="宋体" w:cs="宋体"/>
          <w:color w:val="auto"/>
          <w:sz w:val="24"/>
          <w:szCs w:val="24"/>
          <w:highlight w:val="none"/>
        </w:rPr>
        <w:t>。</w:t>
      </w:r>
    </w:p>
    <w:p w14:paraId="7BBF995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3.2.3承包人擅自更换项目经理的违约责任：</w:t>
      </w:r>
      <w:r>
        <w:rPr>
          <w:rFonts w:hint="eastAsia" w:ascii="宋体" w:hAnsi="宋体" w:eastAsia="宋体" w:cs="宋体"/>
          <w:color w:val="auto"/>
          <w:sz w:val="24"/>
          <w:szCs w:val="24"/>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20000.00元/人•次（人民币）</w:t>
      </w:r>
      <w:r>
        <w:rPr>
          <w:rFonts w:hint="eastAsia" w:ascii="宋体" w:hAnsi="宋体" w:eastAsia="宋体" w:cs="宋体"/>
          <w:color w:val="auto"/>
          <w:sz w:val="24"/>
          <w:szCs w:val="24"/>
          <w:highlight w:val="none"/>
        </w:rPr>
        <w:t>。</w:t>
      </w:r>
    </w:p>
    <w:p w14:paraId="0A44E4A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3.2.4承包人无正当理由拒绝更换项目经理的违约责任：</w:t>
      </w:r>
      <w:r>
        <w:rPr>
          <w:rFonts w:hint="eastAsia" w:ascii="宋体" w:hAnsi="宋体" w:eastAsia="宋体" w:cs="宋体"/>
          <w:color w:val="auto"/>
          <w:sz w:val="24"/>
          <w:szCs w:val="24"/>
          <w:highlight w:val="none"/>
          <w:u w:val="single"/>
        </w:rPr>
        <w:t>因承包人项目经理不称职，发包人要求调换而未及时调换的，视为承包人违约，必须向发包人交纳处罚金5000.00元/人•次（人民币）</w:t>
      </w:r>
      <w:r>
        <w:rPr>
          <w:rFonts w:hint="eastAsia" w:ascii="宋体" w:hAnsi="宋体" w:eastAsia="宋体" w:cs="宋体"/>
          <w:color w:val="auto"/>
          <w:sz w:val="24"/>
          <w:szCs w:val="24"/>
          <w:highlight w:val="none"/>
        </w:rPr>
        <w:t>。</w:t>
      </w:r>
    </w:p>
    <w:p w14:paraId="2E4EDF83">
      <w:pPr>
        <w:pStyle w:val="202"/>
        <w:spacing w:before="0" w:line="360" w:lineRule="auto"/>
        <w:rPr>
          <w:rFonts w:hint="eastAsia" w:ascii="宋体" w:hAnsi="宋体" w:eastAsia="宋体" w:cs="宋体"/>
          <w:color w:val="auto"/>
          <w:sz w:val="24"/>
          <w:szCs w:val="24"/>
          <w:highlight w:val="none"/>
        </w:rPr>
      </w:pPr>
      <w:bookmarkStart w:id="197" w:name="_Toc417904284"/>
      <w:bookmarkStart w:id="198" w:name="_Toc373227709"/>
      <w:bookmarkStart w:id="199" w:name="_Toc454283111"/>
      <w:bookmarkStart w:id="200" w:name="_Toc389065275"/>
      <w:bookmarkStart w:id="201" w:name="_Toc373478356"/>
      <w:bookmarkStart w:id="202" w:name="_Toc395382511"/>
      <w:r>
        <w:rPr>
          <w:rFonts w:hint="eastAsia" w:ascii="宋体" w:hAnsi="宋体" w:eastAsia="宋体" w:cs="宋体"/>
          <w:color w:val="auto"/>
          <w:sz w:val="24"/>
          <w:szCs w:val="24"/>
          <w:highlight w:val="none"/>
        </w:rPr>
        <w:t>3.3 承包人人员</w:t>
      </w:r>
      <w:bookmarkEnd w:id="197"/>
      <w:bookmarkEnd w:id="198"/>
      <w:bookmarkEnd w:id="199"/>
      <w:bookmarkEnd w:id="200"/>
      <w:bookmarkEnd w:id="201"/>
      <w:bookmarkEnd w:id="202"/>
    </w:p>
    <w:p w14:paraId="0EC9504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承包人提交项目管理机构及施工现场管理人员安排报告（格式见合同附件）的期限：</w:t>
      </w:r>
      <w:r>
        <w:rPr>
          <w:rFonts w:hint="eastAsia" w:ascii="宋体" w:hAnsi="宋体" w:eastAsia="宋体" w:cs="宋体"/>
          <w:color w:val="auto"/>
          <w:sz w:val="24"/>
          <w:szCs w:val="24"/>
          <w:highlight w:val="none"/>
          <w:u w:val="single"/>
        </w:rPr>
        <w:t xml:space="preserve"> 合同签订后5天内  </w:t>
      </w:r>
      <w:r>
        <w:rPr>
          <w:rFonts w:hint="eastAsia" w:ascii="宋体" w:hAnsi="宋体" w:eastAsia="宋体" w:cs="宋体"/>
          <w:color w:val="auto"/>
          <w:sz w:val="24"/>
          <w:szCs w:val="24"/>
          <w:highlight w:val="none"/>
        </w:rPr>
        <w:t>。</w:t>
      </w:r>
    </w:p>
    <w:p w14:paraId="1EC1B0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3.3.3承包人无正当理由拒绝撤换主要施工管理人员的违约责任：</w:t>
      </w:r>
      <w:r>
        <w:rPr>
          <w:rFonts w:hint="eastAsia" w:ascii="宋体" w:hAnsi="宋体" w:eastAsia="宋体" w:cs="宋体"/>
          <w:color w:val="auto"/>
          <w:sz w:val="24"/>
          <w:szCs w:val="24"/>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4"/>
          <w:szCs w:val="24"/>
          <w:highlight w:val="none"/>
          <w:u w:val="single"/>
          <w:lang w:val="en-US" w:eastAsia="zh-CN"/>
        </w:rPr>
        <w:t>缴纳</w:t>
      </w:r>
      <w:r>
        <w:rPr>
          <w:rFonts w:hint="eastAsia" w:ascii="宋体" w:hAnsi="宋体" w:eastAsia="宋体" w:cs="宋体"/>
          <w:color w:val="auto"/>
          <w:sz w:val="24"/>
          <w:szCs w:val="24"/>
          <w:highlight w:val="none"/>
          <w:u w:val="single"/>
        </w:rPr>
        <w:t>处罚金，处罚标准：技术负责人5000元/人•次（人民币）；专业工程师2000元/人•次（人民币）</w:t>
      </w:r>
      <w:r>
        <w:rPr>
          <w:rFonts w:hint="eastAsia" w:ascii="宋体" w:hAnsi="宋体" w:eastAsia="宋体" w:cs="宋体"/>
          <w:color w:val="auto"/>
          <w:sz w:val="24"/>
          <w:szCs w:val="24"/>
          <w:highlight w:val="none"/>
        </w:rPr>
        <w:t>。</w:t>
      </w:r>
    </w:p>
    <w:p w14:paraId="6DD5CC32">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 承包人主要施工管理人员离开施工现场的批准要求：</w:t>
      </w:r>
      <w:r>
        <w:rPr>
          <w:rFonts w:hint="eastAsia" w:ascii="宋体" w:hAnsi="宋体" w:eastAsia="宋体" w:cs="宋体"/>
          <w:color w:val="auto"/>
          <w:sz w:val="24"/>
          <w:szCs w:val="24"/>
          <w:highlight w:val="none"/>
          <w:u w:val="single"/>
        </w:rPr>
        <w:t>应事先通知监理人，并取得发包人的同意</w:t>
      </w:r>
      <w:r>
        <w:rPr>
          <w:rFonts w:hint="eastAsia" w:ascii="宋体" w:hAnsi="宋体" w:eastAsia="宋体" w:cs="宋体"/>
          <w:color w:val="auto"/>
          <w:sz w:val="24"/>
          <w:szCs w:val="24"/>
          <w:highlight w:val="none"/>
        </w:rPr>
        <w:t>。</w:t>
      </w:r>
    </w:p>
    <w:p w14:paraId="1965D03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项目技术负责人、专职安全员及其承诺的其它在场管理人员未经发包人书面同意不准擅自更换，擅自更换项目技术负责人处5000元/人•次（人民币）违约金；擅自更换专职安全员处2000元/人•次（人民币）违约金；擅自更换其它在场管理人员处1000元/人•次（人民币）违约金</w:t>
      </w:r>
      <w:r>
        <w:rPr>
          <w:rFonts w:hint="eastAsia" w:ascii="宋体" w:hAnsi="宋体" w:eastAsia="宋体" w:cs="宋体"/>
          <w:color w:val="auto"/>
          <w:sz w:val="24"/>
          <w:szCs w:val="24"/>
          <w:highlight w:val="none"/>
        </w:rPr>
        <w:t>。</w:t>
      </w:r>
    </w:p>
    <w:p w14:paraId="54C2081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ascii="宋体" w:hAnsi="宋体" w:eastAsia="宋体" w:cs="宋体"/>
          <w:color w:val="auto"/>
          <w:sz w:val="24"/>
          <w:szCs w:val="24"/>
          <w:highlight w:val="none"/>
        </w:rPr>
        <w:t xml:space="preserve">。    </w:t>
      </w:r>
    </w:p>
    <w:p w14:paraId="13E698A3">
      <w:pPr>
        <w:pStyle w:val="202"/>
        <w:spacing w:before="0" w:line="360" w:lineRule="auto"/>
        <w:rPr>
          <w:rFonts w:hint="eastAsia" w:ascii="宋体" w:hAnsi="宋体" w:eastAsia="宋体" w:cs="宋体"/>
          <w:color w:val="auto"/>
          <w:sz w:val="24"/>
          <w:szCs w:val="24"/>
          <w:highlight w:val="none"/>
        </w:rPr>
      </w:pPr>
      <w:bookmarkStart w:id="203" w:name="_Toc417904285"/>
      <w:bookmarkStart w:id="204" w:name="_Toc26023"/>
      <w:bookmarkStart w:id="205" w:name="_Toc454283112"/>
      <w:r>
        <w:rPr>
          <w:rFonts w:hint="eastAsia" w:ascii="宋体" w:hAnsi="宋体" w:eastAsia="宋体" w:cs="宋体"/>
          <w:color w:val="auto"/>
          <w:sz w:val="24"/>
          <w:szCs w:val="24"/>
          <w:highlight w:val="none"/>
        </w:rPr>
        <w:t>3</w:t>
      </w:r>
      <w:bookmarkStart w:id="206" w:name="_Toc297120459"/>
      <w:bookmarkStart w:id="207" w:name="_Toc312677988"/>
      <w:bookmarkStart w:id="208" w:name="_Toc297048345"/>
      <w:bookmarkStart w:id="209" w:name="_Toc297216151"/>
      <w:bookmarkStart w:id="210" w:name="_Toc303539102"/>
      <w:bookmarkStart w:id="211" w:name="_Toc296503159"/>
      <w:bookmarkStart w:id="212" w:name="_Toc296891199"/>
      <w:bookmarkStart w:id="213" w:name="_Toc296890987"/>
      <w:bookmarkStart w:id="214" w:name="_Toc292559869"/>
      <w:bookmarkStart w:id="215" w:name="_Toc300934945"/>
      <w:bookmarkStart w:id="216" w:name="_Toc296944498"/>
      <w:bookmarkStart w:id="217" w:name="_Toc296346660"/>
      <w:bookmarkStart w:id="218" w:name="_Toc304295523"/>
      <w:bookmarkStart w:id="219" w:name="_Toc296347158"/>
      <w:bookmarkStart w:id="220" w:name="_Toc292559364"/>
      <w:bookmarkStart w:id="221" w:name="_Toc297123492"/>
      <w:r>
        <w:rPr>
          <w:rFonts w:hint="eastAsia" w:ascii="宋体" w:hAnsi="宋体" w:eastAsia="宋体" w:cs="宋体"/>
          <w:color w:val="auto"/>
          <w:sz w:val="24"/>
          <w:szCs w:val="24"/>
          <w:highlight w:val="none"/>
        </w:rPr>
        <w:t>.5 分包</w:t>
      </w:r>
      <w:bookmarkEnd w:id="203"/>
      <w:bookmarkEnd w:id="204"/>
      <w:bookmarkEnd w:id="205"/>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14:paraId="472F974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22" w:name="_Toc292559365"/>
      <w:bookmarkStart w:id="223" w:name="_Toc296944499"/>
      <w:bookmarkStart w:id="224" w:name="_Toc297123493"/>
      <w:bookmarkStart w:id="225" w:name="_Toc304295524"/>
      <w:bookmarkStart w:id="226" w:name="_Toc297048346"/>
      <w:bookmarkStart w:id="227" w:name="_Toc296890988"/>
      <w:bookmarkStart w:id="228" w:name="_Toc296347159"/>
      <w:bookmarkStart w:id="229" w:name="_Toc297216152"/>
      <w:bookmarkStart w:id="230" w:name="_Toc300934946"/>
      <w:bookmarkStart w:id="231" w:name="_Toc297120460"/>
      <w:bookmarkStart w:id="232" w:name="_Toc296503160"/>
      <w:bookmarkStart w:id="233" w:name="_Toc303539103"/>
      <w:bookmarkStart w:id="234" w:name="_Toc296346661"/>
      <w:bookmarkStart w:id="235" w:name="_Toc296891200"/>
      <w:bookmarkStart w:id="236" w:name="_Toc292559870"/>
      <w:bookmarkStart w:id="237" w:name="_Toc318581158"/>
      <w:bookmarkStart w:id="238" w:name="_Toc312677989"/>
      <w:r>
        <w:rPr>
          <w:rFonts w:hint="eastAsia" w:ascii="宋体" w:hAnsi="宋体" w:eastAsia="宋体" w:cs="宋体"/>
          <w:color w:val="auto"/>
          <w:sz w:val="24"/>
          <w:szCs w:val="24"/>
          <w:highlight w:val="none"/>
        </w:rPr>
        <w:t>.5.1 分包的一般约定</w:t>
      </w:r>
    </w:p>
    <w:p w14:paraId="33D9154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按国家规定及招标要求   </w:t>
      </w:r>
      <w:r>
        <w:rPr>
          <w:rFonts w:hint="eastAsia" w:ascii="宋体" w:hAnsi="宋体" w:eastAsia="宋体" w:cs="宋体"/>
          <w:color w:val="auto"/>
          <w:sz w:val="24"/>
          <w:szCs w:val="24"/>
          <w:highlight w:val="none"/>
        </w:rPr>
        <w:t>。</w:t>
      </w:r>
    </w:p>
    <w:p w14:paraId="31E92DF5">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不允许分包 </w:t>
      </w:r>
      <w:r>
        <w:rPr>
          <w:rFonts w:hint="eastAsia" w:ascii="宋体" w:hAnsi="宋体" w:eastAsia="宋体" w:cs="宋体"/>
          <w:color w:val="auto"/>
          <w:sz w:val="24"/>
          <w:szCs w:val="24"/>
          <w:highlight w:val="none"/>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Start w:id="239" w:name="_Toc300934947"/>
      <w:bookmarkStart w:id="240" w:name="_Toc297216153"/>
      <w:bookmarkStart w:id="241" w:name="_Toc297120461"/>
      <w:bookmarkStart w:id="242" w:name="_Toc303539104"/>
      <w:bookmarkStart w:id="243" w:name="_Toc304295525"/>
      <w:bookmarkStart w:id="244" w:name="_Toc297123494"/>
      <w:bookmarkStart w:id="245" w:name="_Toc296503161"/>
      <w:bookmarkStart w:id="246" w:name="_Toc296347160"/>
      <w:bookmarkStart w:id="247" w:name="_Toc296891201"/>
      <w:bookmarkStart w:id="248" w:name="_Toc296346662"/>
      <w:bookmarkStart w:id="249" w:name="_Toc296890989"/>
      <w:bookmarkStart w:id="250" w:name="_Toc296944500"/>
      <w:bookmarkStart w:id="251" w:name="_Toc297048347"/>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66A916E1">
      <w:pPr>
        <w:pStyle w:val="202"/>
        <w:spacing w:before="0" w:line="360" w:lineRule="auto"/>
        <w:rPr>
          <w:rFonts w:hint="eastAsia" w:ascii="宋体" w:hAnsi="宋体" w:eastAsia="宋体" w:cs="宋体"/>
          <w:color w:val="auto"/>
          <w:sz w:val="24"/>
          <w:szCs w:val="24"/>
          <w:highlight w:val="none"/>
        </w:rPr>
      </w:pPr>
      <w:bookmarkStart w:id="252" w:name="_Toc417904286"/>
      <w:bookmarkStart w:id="253" w:name="_Toc454283113"/>
      <w:bookmarkStart w:id="254" w:name="_Toc26094"/>
      <w:r>
        <w:rPr>
          <w:rFonts w:hint="eastAsia" w:ascii="宋体" w:hAnsi="宋体" w:eastAsia="宋体" w:cs="宋体"/>
          <w:color w:val="auto"/>
          <w:sz w:val="24"/>
          <w:szCs w:val="24"/>
          <w:highlight w:val="none"/>
        </w:rPr>
        <w:t>3.6 工程照管与成品、半成品保护</w:t>
      </w:r>
      <w:bookmarkEnd w:id="252"/>
      <w:bookmarkEnd w:id="253"/>
      <w:bookmarkEnd w:id="254"/>
    </w:p>
    <w:p w14:paraId="7B1A222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承包人负责照管工程及工程相关的材料、工程设备的时间：</w:t>
      </w:r>
      <w:r>
        <w:rPr>
          <w:rFonts w:hint="eastAsia" w:ascii="宋体" w:hAnsi="宋体" w:eastAsia="宋体" w:cs="宋体"/>
          <w:color w:val="auto"/>
          <w:kern w:val="0"/>
          <w:sz w:val="24"/>
          <w:szCs w:val="24"/>
          <w:highlight w:val="none"/>
          <w:u w:val="single"/>
        </w:rPr>
        <w:t>自发包人向承包人移交施工现场之日起，到颁发工程接收证书之日止</w:t>
      </w:r>
      <w:r>
        <w:rPr>
          <w:rFonts w:hint="eastAsia" w:ascii="宋体" w:hAnsi="宋体" w:eastAsia="宋体" w:cs="宋体"/>
          <w:color w:val="auto"/>
          <w:sz w:val="24"/>
          <w:szCs w:val="24"/>
          <w:highlight w:val="none"/>
        </w:rPr>
        <w:t>。</w:t>
      </w:r>
    </w:p>
    <w:p w14:paraId="64E51F93">
      <w:pPr>
        <w:pStyle w:val="202"/>
        <w:spacing w:before="0" w:line="360" w:lineRule="auto"/>
        <w:rPr>
          <w:rFonts w:hint="eastAsia" w:ascii="宋体" w:hAnsi="宋体" w:eastAsia="宋体" w:cs="宋体"/>
          <w:color w:val="auto"/>
          <w:sz w:val="24"/>
          <w:szCs w:val="24"/>
          <w:highlight w:val="none"/>
        </w:rPr>
      </w:pPr>
      <w:bookmarkStart w:id="255" w:name="_Toc417904287"/>
      <w:bookmarkStart w:id="256" w:name="_Toc454283114"/>
      <w:bookmarkStart w:id="257" w:name="_Toc29063"/>
      <w:r>
        <w:rPr>
          <w:rFonts w:hint="eastAsia" w:ascii="宋体" w:hAnsi="宋体" w:eastAsia="宋体" w:cs="宋体"/>
          <w:color w:val="auto"/>
          <w:sz w:val="24"/>
          <w:szCs w:val="24"/>
          <w:highlight w:val="none"/>
        </w:rPr>
        <w:t>3.7 履约保证金</w:t>
      </w:r>
      <w:bookmarkEnd w:id="255"/>
      <w:bookmarkEnd w:id="256"/>
      <w:bookmarkEnd w:id="257"/>
    </w:p>
    <w:p w14:paraId="65E313C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承包人是否提供履约保证金：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w:t>
      </w:r>
    </w:p>
    <w:p w14:paraId="58A1725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承包人提供履约保证金的形式、金额及期限的：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5CECC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承包人在中标后7个工作日内，按</w:t>
      </w:r>
      <w:r>
        <w:rPr>
          <w:rFonts w:hint="eastAsia" w:ascii="宋体" w:hAnsi="宋体" w:cs="宋体"/>
          <w:color w:val="auto"/>
          <w:sz w:val="24"/>
          <w:szCs w:val="24"/>
          <w:highlight w:val="none"/>
          <w:u w:val="single"/>
        </w:rPr>
        <w:t>上级主管部门及业主关于农民工工资发放的相关要求</w:t>
      </w:r>
      <w:r>
        <w:rPr>
          <w:rFonts w:hint="eastAsia" w:ascii="宋体" w:hAnsi="宋体" w:eastAsia="宋体" w:cs="宋体"/>
          <w:color w:val="auto"/>
          <w:sz w:val="24"/>
          <w:szCs w:val="24"/>
          <w:highlight w:val="none"/>
          <w:u w:val="single"/>
        </w:rPr>
        <w:t>将农民工工资保障金存入账户。工程竣工验收结算经审定后，按照规定程序，将农民工工资保障金没有使用或剩余的金额退还给承包人。</w:t>
      </w:r>
    </w:p>
    <w:p w14:paraId="2549AAD7">
      <w:pPr>
        <w:pStyle w:val="202"/>
        <w:spacing w:before="0" w:line="360" w:lineRule="auto"/>
        <w:rPr>
          <w:rFonts w:hint="eastAsia" w:ascii="宋体" w:hAnsi="宋体" w:eastAsia="宋体" w:cs="宋体"/>
          <w:color w:val="auto"/>
          <w:sz w:val="24"/>
          <w:szCs w:val="24"/>
          <w:highlight w:val="none"/>
        </w:rPr>
      </w:pPr>
      <w:bookmarkStart w:id="258" w:name="_Toc351203636"/>
      <w:bookmarkStart w:id="259" w:name="_Toc454283115"/>
      <w:bookmarkStart w:id="260" w:name="_Toc12255"/>
      <w:bookmarkStart w:id="261" w:name="_Toc417904288"/>
      <w:r>
        <w:rPr>
          <w:rFonts w:hint="eastAsia" w:ascii="宋体" w:hAnsi="宋体" w:eastAsia="宋体" w:cs="宋体"/>
          <w:color w:val="auto"/>
          <w:sz w:val="24"/>
          <w:szCs w:val="24"/>
          <w:highlight w:val="none"/>
        </w:rPr>
        <w:t>4</w:t>
      </w:r>
      <w:bookmarkStart w:id="262" w:name="_Toc296346663"/>
      <w:bookmarkStart w:id="263" w:name="_Toc297048348"/>
      <w:bookmarkStart w:id="264" w:name="_Toc296891202"/>
      <w:bookmarkStart w:id="265" w:name="_Toc267251413"/>
      <w:bookmarkStart w:id="266" w:name="_Toc296503162"/>
      <w:bookmarkStart w:id="267" w:name="_Toc296890990"/>
      <w:bookmarkStart w:id="268" w:name="_Toc292559366"/>
      <w:bookmarkStart w:id="269" w:name="_Toc296944501"/>
      <w:bookmarkStart w:id="270" w:name="_Toc292559871"/>
      <w:bookmarkStart w:id="271" w:name="_Toc297120462"/>
      <w:bookmarkStart w:id="272" w:name="_Toc296347161"/>
      <w:r>
        <w:rPr>
          <w:rFonts w:hint="eastAsia" w:ascii="宋体" w:hAnsi="宋体" w:eastAsia="宋体" w:cs="宋体"/>
          <w:color w:val="auto"/>
          <w:sz w:val="24"/>
          <w:szCs w:val="24"/>
          <w:highlight w:val="none"/>
        </w:rPr>
        <w:t>. 监</w:t>
      </w:r>
      <w:bookmarkEnd w:id="262"/>
      <w:bookmarkEnd w:id="263"/>
      <w:bookmarkEnd w:id="264"/>
      <w:bookmarkEnd w:id="265"/>
      <w:bookmarkEnd w:id="266"/>
      <w:bookmarkEnd w:id="267"/>
      <w:bookmarkEnd w:id="268"/>
      <w:bookmarkEnd w:id="269"/>
      <w:bookmarkEnd w:id="270"/>
      <w:bookmarkEnd w:id="271"/>
      <w:bookmarkEnd w:id="272"/>
      <w:r>
        <w:rPr>
          <w:rFonts w:hint="eastAsia" w:ascii="宋体" w:hAnsi="宋体" w:eastAsia="宋体" w:cs="宋体"/>
          <w:color w:val="auto"/>
          <w:sz w:val="24"/>
          <w:szCs w:val="24"/>
          <w:highlight w:val="none"/>
        </w:rPr>
        <w:t>理人</w:t>
      </w:r>
      <w:bookmarkEnd w:id="258"/>
      <w:bookmarkEnd w:id="259"/>
      <w:bookmarkEnd w:id="260"/>
      <w:bookmarkEnd w:id="261"/>
    </w:p>
    <w:p w14:paraId="751245D9">
      <w:pPr>
        <w:pStyle w:val="202"/>
        <w:spacing w:before="0" w:line="360" w:lineRule="auto"/>
        <w:rPr>
          <w:rFonts w:hint="eastAsia" w:ascii="宋体" w:hAnsi="宋体" w:eastAsia="宋体" w:cs="宋体"/>
          <w:color w:val="auto"/>
          <w:sz w:val="24"/>
          <w:szCs w:val="24"/>
          <w:highlight w:val="none"/>
        </w:rPr>
      </w:pPr>
      <w:bookmarkStart w:id="273" w:name="_Toc417904289"/>
      <w:bookmarkStart w:id="274" w:name="_Toc32285"/>
      <w:bookmarkStart w:id="275" w:name="_Toc454283116"/>
      <w:r>
        <w:rPr>
          <w:rFonts w:hint="eastAsia" w:ascii="宋体" w:hAnsi="宋体" w:eastAsia="宋体" w:cs="宋体"/>
          <w:color w:val="auto"/>
          <w:sz w:val="24"/>
          <w:szCs w:val="24"/>
          <w:highlight w:val="none"/>
        </w:rPr>
        <w:t>4.1监理人的一般规定</w:t>
      </w:r>
      <w:bookmarkEnd w:id="273"/>
      <w:bookmarkEnd w:id="274"/>
      <w:bookmarkEnd w:id="275"/>
    </w:p>
    <w:p w14:paraId="7E77708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112629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145AA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发包人与监理人约定 </w:t>
      </w:r>
      <w:r>
        <w:rPr>
          <w:rFonts w:hint="eastAsia" w:ascii="宋体" w:hAnsi="宋体" w:eastAsia="宋体" w:cs="宋体"/>
          <w:color w:val="auto"/>
          <w:sz w:val="24"/>
          <w:szCs w:val="24"/>
          <w:highlight w:val="none"/>
        </w:rPr>
        <w:t>。</w:t>
      </w:r>
    </w:p>
    <w:p w14:paraId="1224CC14">
      <w:pPr>
        <w:pStyle w:val="202"/>
        <w:spacing w:before="0" w:line="360" w:lineRule="auto"/>
        <w:rPr>
          <w:rFonts w:hint="eastAsia" w:ascii="宋体" w:hAnsi="宋体" w:eastAsia="宋体" w:cs="宋体"/>
          <w:color w:val="auto"/>
          <w:sz w:val="24"/>
          <w:szCs w:val="24"/>
          <w:highlight w:val="none"/>
        </w:rPr>
      </w:pPr>
      <w:bookmarkStart w:id="276" w:name="_Toc417904290"/>
      <w:bookmarkStart w:id="277" w:name="_Toc12673"/>
      <w:bookmarkStart w:id="278" w:name="_Toc454283117"/>
      <w:r>
        <w:rPr>
          <w:rFonts w:hint="eastAsia" w:ascii="宋体" w:hAnsi="宋体" w:eastAsia="宋体" w:cs="宋体"/>
          <w:color w:val="auto"/>
          <w:sz w:val="24"/>
          <w:szCs w:val="24"/>
          <w:highlight w:val="none"/>
        </w:rPr>
        <w:t>4.2 监理人员</w:t>
      </w:r>
      <w:bookmarkEnd w:id="276"/>
      <w:bookmarkEnd w:id="277"/>
      <w:bookmarkEnd w:id="278"/>
    </w:p>
    <w:p w14:paraId="5D984BA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0AFBEA4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5B2B1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E71AAF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E772ED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F36B6D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9E441C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AC971E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8704B31">
      <w:pPr>
        <w:pStyle w:val="202"/>
        <w:spacing w:before="0" w:line="360" w:lineRule="auto"/>
        <w:rPr>
          <w:rFonts w:hint="eastAsia" w:ascii="宋体" w:hAnsi="宋体" w:eastAsia="宋体" w:cs="宋体"/>
          <w:color w:val="auto"/>
          <w:sz w:val="24"/>
          <w:szCs w:val="24"/>
          <w:highlight w:val="none"/>
        </w:rPr>
      </w:pPr>
      <w:bookmarkStart w:id="279" w:name="_Toc20266"/>
      <w:bookmarkStart w:id="280" w:name="_Toc454283118"/>
      <w:bookmarkStart w:id="281" w:name="_Toc417904291"/>
      <w:r>
        <w:rPr>
          <w:rFonts w:hint="eastAsia" w:ascii="宋体" w:hAnsi="宋体" w:eastAsia="宋体" w:cs="宋体"/>
          <w:color w:val="auto"/>
          <w:sz w:val="24"/>
          <w:szCs w:val="24"/>
          <w:highlight w:val="none"/>
        </w:rPr>
        <w:t>4.4 商定或确定</w:t>
      </w:r>
      <w:bookmarkEnd w:id="279"/>
      <w:bookmarkEnd w:id="280"/>
      <w:bookmarkEnd w:id="281"/>
    </w:p>
    <w:p w14:paraId="70AD1F39">
      <w:pPr>
        <w:pStyle w:val="203"/>
        <w:spacing w:line="360" w:lineRule="auto"/>
        <w:rPr>
          <w:rFonts w:hint="eastAsia" w:ascii="宋体" w:hAnsi="宋体" w:eastAsia="宋体" w:cs="宋体"/>
          <w:color w:val="auto"/>
          <w:sz w:val="24"/>
          <w:szCs w:val="24"/>
          <w:highlight w:val="none"/>
        </w:rPr>
      </w:pPr>
      <w:bookmarkStart w:id="282"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1DF83BF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C879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14F84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3E0BD8">
      <w:pPr>
        <w:pStyle w:val="202"/>
        <w:spacing w:before="0" w:line="360" w:lineRule="auto"/>
        <w:rPr>
          <w:rFonts w:hint="eastAsia" w:ascii="宋体" w:hAnsi="宋体" w:eastAsia="宋体" w:cs="宋体"/>
          <w:color w:val="auto"/>
          <w:sz w:val="24"/>
          <w:szCs w:val="24"/>
          <w:highlight w:val="none"/>
        </w:rPr>
      </w:pPr>
      <w:bookmarkStart w:id="283" w:name="_Toc417904292"/>
      <w:bookmarkStart w:id="284" w:name="_Toc22562"/>
      <w:bookmarkStart w:id="285" w:name="_Toc454283119"/>
      <w:bookmarkStart w:id="286" w:name="_Toc351203637"/>
      <w:r>
        <w:rPr>
          <w:rFonts w:hint="eastAsia" w:ascii="宋体" w:hAnsi="宋体" w:eastAsia="宋体" w:cs="宋体"/>
          <w:color w:val="auto"/>
          <w:sz w:val="24"/>
          <w:szCs w:val="24"/>
          <w:highlight w:val="none"/>
        </w:rPr>
        <w:t>5</w:t>
      </w:r>
      <w:bookmarkEnd w:id="282"/>
      <w:bookmarkStart w:id="287" w:name="_Toc296891203"/>
      <w:bookmarkStart w:id="288" w:name="_Toc296890991"/>
      <w:bookmarkStart w:id="289" w:name="_Toc296346664"/>
      <w:bookmarkStart w:id="290" w:name="_Toc296944502"/>
      <w:bookmarkStart w:id="291" w:name="_Toc296503163"/>
      <w:bookmarkStart w:id="292" w:name="_Toc297048349"/>
      <w:bookmarkStart w:id="293" w:name="_Toc292559367"/>
      <w:bookmarkStart w:id="294" w:name="_Toc296347162"/>
      <w:bookmarkStart w:id="295" w:name="_Toc297120463"/>
      <w:bookmarkStart w:id="296" w:name="_Toc292559872"/>
      <w:r>
        <w:rPr>
          <w:rFonts w:hint="eastAsia" w:ascii="宋体" w:hAnsi="宋体" w:eastAsia="宋体" w:cs="宋体"/>
          <w:color w:val="auto"/>
          <w:sz w:val="24"/>
          <w:szCs w:val="24"/>
          <w:highlight w:val="none"/>
        </w:rPr>
        <w:t>. 工程质量</w:t>
      </w:r>
      <w:bookmarkEnd w:id="283"/>
      <w:bookmarkEnd w:id="284"/>
      <w:bookmarkEnd w:id="285"/>
      <w:bookmarkEnd w:id="286"/>
    </w:p>
    <w:p w14:paraId="2E2D2F8B">
      <w:pPr>
        <w:pStyle w:val="202"/>
        <w:spacing w:before="0" w:line="360" w:lineRule="auto"/>
        <w:rPr>
          <w:rFonts w:hint="eastAsia" w:ascii="宋体" w:hAnsi="宋体" w:eastAsia="宋体" w:cs="宋体"/>
          <w:color w:val="auto"/>
          <w:sz w:val="24"/>
          <w:szCs w:val="24"/>
          <w:highlight w:val="none"/>
        </w:rPr>
      </w:pPr>
      <w:bookmarkStart w:id="297" w:name="_Toc417904293"/>
      <w:bookmarkStart w:id="298" w:name="_Toc15115"/>
      <w:bookmarkStart w:id="299" w:name="_Toc454283120"/>
      <w:r>
        <w:rPr>
          <w:rFonts w:hint="eastAsia" w:ascii="宋体" w:hAnsi="宋体" w:eastAsia="宋体" w:cs="宋体"/>
          <w:color w:val="auto"/>
          <w:sz w:val="24"/>
          <w:szCs w:val="24"/>
          <w:highlight w:val="none"/>
        </w:rPr>
        <w:t>5.1 质量要求</w:t>
      </w:r>
      <w:bookmarkEnd w:id="297"/>
      <w:bookmarkEnd w:id="298"/>
      <w:bookmarkEnd w:id="299"/>
    </w:p>
    <w:p w14:paraId="7191D55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300" w:name="_Toc312677997"/>
      <w:bookmarkStart w:id="301" w:name="_Toc303539106"/>
      <w:bookmarkStart w:id="302" w:name="_Toc304295527"/>
      <w:bookmarkStart w:id="303" w:name="_Toc300934949"/>
      <w:bookmarkStart w:id="304" w:name="_Toc318581164"/>
      <w:bookmarkStart w:id="305" w:name="_Toc297216155"/>
      <w:bookmarkStart w:id="306" w:name="_Toc297123496"/>
      <w:r>
        <w:rPr>
          <w:rFonts w:hint="eastAsia" w:ascii="宋体" w:hAnsi="宋体" w:eastAsia="宋体" w:cs="宋体"/>
          <w:color w:val="auto"/>
          <w:sz w:val="24"/>
          <w:szCs w:val="24"/>
          <w:highlight w:val="none"/>
        </w:rPr>
        <w:t>.1.1 特殊质量标准和要求：</w:t>
      </w:r>
      <w:r>
        <w:rPr>
          <w:rFonts w:hint="eastAsia" w:ascii="宋体" w:hAnsi="宋体" w:eastAsia="宋体" w:cs="宋体"/>
          <w:color w:val="auto"/>
          <w:sz w:val="24"/>
          <w:szCs w:val="24"/>
          <w:highlight w:val="none"/>
          <w:u w:val="single"/>
        </w:rPr>
        <w:t xml:space="preserve">   按国家及相关行业主管部门的规定   </w:t>
      </w:r>
      <w:r>
        <w:rPr>
          <w:rFonts w:hint="eastAsia" w:ascii="宋体" w:hAnsi="宋体" w:eastAsia="宋体" w:cs="宋体"/>
          <w:color w:val="auto"/>
          <w:sz w:val="24"/>
          <w:szCs w:val="24"/>
          <w:highlight w:val="none"/>
        </w:rPr>
        <w:t>。</w:t>
      </w:r>
    </w:p>
    <w:p w14:paraId="5FA4A93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8A94256">
      <w:pPr>
        <w:pStyle w:val="202"/>
        <w:spacing w:before="0" w:line="360" w:lineRule="auto"/>
        <w:rPr>
          <w:rFonts w:hint="eastAsia" w:ascii="宋体" w:hAnsi="宋体" w:eastAsia="宋体" w:cs="宋体"/>
          <w:color w:val="auto"/>
          <w:sz w:val="24"/>
          <w:szCs w:val="24"/>
          <w:highlight w:val="none"/>
        </w:rPr>
      </w:pPr>
      <w:bookmarkStart w:id="307" w:name="_Toc454283121"/>
      <w:bookmarkStart w:id="308" w:name="_Toc28111"/>
      <w:bookmarkStart w:id="309" w:name="_Toc417904294"/>
      <w:r>
        <w:rPr>
          <w:rFonts w:hint="eastAsia" w:ascii="宋体" w:hAnsi="宋体" w:eastAsia="宋体" w:cs="宋体"/>
          <w:color w:val="auto"/>
          <w:sz w:val="24"/>
          <w:szCs w:val="24"/>
          <w:highlight w:val="none"/>
        </w:rPr>
        <w:t>5.3 隐蔽工程检查</w:t>
      </w:r>
      <w:bookmarkEnd w:id="307"/>
      <w:bookmarkEnd w:id="308"/>
      <w:bookmarkEnd w:id="309"/>
    </w:p>
    <w:p w14:paraId="295DBE0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共同检查前48小时书面通知监理人，通知中应载明隐蔽检查的内容、时间、地点，并应附有自检记录和必要的检查资料</w:t>
      </w:r>
      <w:r>
        <w:rPr>
          <w:rFonts w:hint="eastAsia" w:ascii="宋体" w:hAnsi="宋体" w:eastAsia="宋体" w:cs="宋体"/>
          <w:color w:val="auto"/>
          <w:sz w:val="24"/>
          <w:szCs w:val="24"/>
          <w:highlight w:val="none"/>
        </w:rPr>
        <w:t>。</w:t>
      </w:r>
    </w:p>
    <w:p w14:paraId="140E2B1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263996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06AD4129">
      <w:pPr>
        <w:pStyle w:val="202"/>
        <w:spacing w:before="0" w:line="360" w:lineRule="auto"/>
        <w:rPr>
          <w:rFonts w:hint="eastAsia" w:ascii="宋体" w:hAnsi="宋体" w:eastAsia="宋体" w:cs="宋体"/>
          <w:color w:val="auto"/>
          <w:sz w:val="24"/>
          <w:szCs w:val="24"/>
          <w:highlight w:val="none"/>
        </w:rPr>
      </w:pPr>
      <w:bookmarkStart w:id="310" w:name="_Toc454283122"/>
      <w:bookmarkStart w:id="311" w:name="_Toc351203638"/>
      <w:bookmarkStart w:id="312" w:name="_Toc417904295"/>
      <w:bookmarkStart w:id="313" w:name="_Toc1079"/>
      <w:r>
        <w:rPr>
          <w:rFonts w:hint="eastAsia" w:ascii="宋体" w:hAnsi="宋体" w:eastAsia="宋体" w:cs="宋体"/>
          <w:color w:val="auto"/>
          <w:sz w:val="24"/>
          <w:szCs w:val="24"/>
          <w:highlight w:val="none"/>
        </w:rPr>
        <w:t>6. 安全文明施工与环境保护</w:t>
      </w:r>
      <w:bookmarkEnd w:id="310"/>
      <w:bookmarkEnd w:id="311"/>
      <w:bookmarkEnd w:id="312"/>
      <w:bookmarkEnd w:id="313"/>
    </w:p>
    <w:p w14:paraId="245D29DD">
      <w:pPr>
        <w:pStyle w:val="202"/>
        <w:spacing w:before="0" w:line="360" w:lineRule="auto"/>
        <w:rPr>
          <w:rFonts w:hint="eastAsia" w:ascii="宋体" w:hAnsi="宋体" w:eastAsia="宋体" w:cs="宋体"/>
          <w:color w:val="auto"/>
          <w:sz w:val="24"/>
          <w:szCs w:val="24"/>
          <w:highlight w:val="none"/>
        </w:rPr>
      </w:pPr>
      <w:bookmarkStart w:id="314" w:name="_Toc12626"/>
      <w:bookmarkStart w:id="315" w:name="_Toc417904296"/>
      <w:bookmarkStart w:id="316" w:name="_Toc454283123"/>
      <w:r>
        <w:rPr>
          <w:rFonts w:hint="eastAsia" w:ascii="宋体" w:hAnsi="宋体" w:eastAsia="宋体" w:cs="宋体"/>
          <w:color w:val="auto"/>
          <w:sz w:val="24"/>
          <w:szCs w:val="24"/>
          <w:highlight w:val="none"/>
        </w:rPr>
        <w:t>6.1安全文明施工</w:t>
      </w:r>
      <w:bookmarkEnd w:id="314"/>
      <w:bookmarkEnd w:id="315"/>
      <w:bookmarkEnd w:id="316"/>
    </w:p>
    <w:p w14:paraId="15E906B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r>
        <w:rPr>
          <w:rFonts w:hint="eastAsia" w:ascii="宋体" w:hAnsi="宋体" w:eastAsia="宋体" w:cs="宋体"/>
          <w:color w:val="auto"/>
          <w:sz w:val="24"/>
          <w:szCs w:val="24"/>
          <w:highlight w:val="none"/>
        </w:rPr>
        <w:t>。</w:t>
      </w:r>
    </w:p>
    <w:p w14:paraId="55BF80F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6.1.4关于治安保卫的特别约定：</w:t>
      </w:r>
      <w:r>
        <w:rPr>
          <w:rFonts w:hint="eastAsia" w:ascii="宋体" w:hAnsi="宋体" w:eastAsia="宋体" w:cs="宋体"/>
          <w:color w:val="auto"/>
          <w:sz w:val="24"/>
          <w:szCs w:val="24"/>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592022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开工后7天内由承包人编制施工场地治安管理计划，并制定应对突发治安事件紧急预案</w:t>
      </w:r>
      <w:r>
        <w:rPr>
          <w:rFonts w:hint="eastAsia" w:ascii="宋体" w:hAnsi="宋体" w:eastAsia="宋体" w:cs="宋体"/>
          <w:color w:val="auto"/>
          <w:sz w:val="24"/>
          <w:szCs w:val="24"/>
          <w:highlight w:val="none"/>
        </w:rPr>
        <w:t>。</w:t>
      </w:r>
    </w:p>
    <w:p w14:paraId="66CE90E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7FBE1F3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承包人应遵守工程建设安全生产有关管理规定，严格按安全标准组织施工，并随时接受行业安全检查人员依法实施的监督检查，采取必要的安全防护措施，消除事故隐患。如承包</w:t>
      </w:r>
      <w:r>
        <w:rPr>
          <w:rFonts w:hint="eastAsia" w:ascii="宋体" w:hAnsi="宋体" w:eastAsia="宋体" w:cs="宋体"/>
          <w:strike w:val="0"/>
          <w:color w:val="auto"/>
          <w:sz w:val="24"/>
          <w:szCs w:val="24"/>
          <w:highlight w:val="none"/>
          <w:u w:val="single"/>
        </w:rPr>
        <w:t>人</w:t>
      </w:r>
      <w:r>
        <w:rPr>
          <w:rFonts w:hint="eastAsia" w:ascii="宋体" w:hAnsi="宋体" w:eastAsia="宋体" w:cs="宋体"/>
          <w:color w:val="auto"/>
          <w:sz w:val="24"/>
          <w:szCs w:val="24"/>
          <w:highlight w:val="none"/>
          <w:u w:val="single"/>
        </w:rPr>
        <w:t>造成工程、财产和人身伤害，由承包人承担责任及所发生的费用。因承包人施工现场安全措施不力而引起的第三方事故，其责任应由承包人承担。安全生产文明施工管理目标要求严格执行《广西壮族自治区建筑工程文明施工导则》，达到合格工地。若被有关监督部门查到本工程的文明施工未达标，承包人自行出资修改并达到文明施工要求若文明施工三次未达标，按监督部门意见处理</w:t>
      </w:r>
      <w:r>
        <w:rPr>
          <w:rFonts w:hint="eastAsia" w:ascii="宋体" w:hAnsi="宋体" w:eastAsia="宋体" w:cs="宋体"/>
          <w:color w:val="auto"/>
          <w:sz w:val="24"/>
          <w:szCs w:val="24"/>
          <w:highlight w:val="none"/>
        </w:rPr>
        <w:t>。</w:t>
      </w:r>
    </w:p>
    <w:p w14:paraId="21C8783A">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6.1.6关于安全文明施工费支付比例和支付期限的约定：</w:t>
      </w:r>
      <w:r>
        <w:rPr>
          <w:rFonts w:hint="eastAsia" w:ascii="宋体" w:hAnsi="宋体" w:eastAsia="宋体" w:cs="宋体"/>
          <w:color w:val="auto"/>
          <w:sz w:val="24"/>
          <w:szCs w:val="24"/>
          <w:highlight w:val="none"/>
          <w:u w:val="single"/>
        </w:rPr>
        <w:t>使用要求：专款专用。具体按桂建质</w:t>
      </w:r>
      <w:r>
        <w:rPr>
          <w:rFonts w:hint="eastAsia" w:ascii="宋体" w:hAnsi="宋体" w:eastAsia="宋体" w:cs="宋体"/>
          <w:color w:val="auto"/>
          <w:sz w:val="24"/>
          <w:szCs w:val="24"/>
          <w:highlight w:val="none"/>
          <w:u w:val="single"/>
          <w:lang w:eastAsia="zh-CN"/>
        </w:rPr>
        <w:t>〔2015〕16号</w:t>
      </w:r>
      <w:r>
        <w:rPr>
          <w:rFonts w:hint="eastAsia" w:ascii="宋体" w:hAnsi="宋体" w:eastAsia="宋体" w:cs="宋体"/>
          <w:color w:val="auto"/>
          <w:sz w:val="24"/>
          <w:szCs w:val="24"/>
          <w:highlight w:val="none"/>
          <w:u w:val="single"/>
        </w:rPr>
        <w:t>文《广西壮族自治区建设工程安全文明施工费使用管理细则》和相关规定执行。</w:t>
      </w:r>
    </w:p>
    <w:p w14:paraId="3F7EF7D4">
      <w:pPr>
        <w:pStyle w:val="202"/>
        <w:spacing w:before="0" w:line="360" w:lineRule="auto"/>
        <w:rPr>
          <w:rFonts w:hint="eastAsia" w:ascii="宋体" w:hAnsi="宋体" w:eastAsia="宋体" w:cs="宋体"/>
          <w:color w:val="auto"/>
          <w:sz w:val="24"/>
          <w:szCs w:val="24"/>
          <w:highlight w:val="none"/>
        </w:rPr>
      </w:pPr>
      <w:bookmarkStart w:id="317" w:name="_Toc373478368"/>
      <w:bookmarkStart w:id="318" w:name="_Toc9146"/>
      <w:bookmarkStart w:id="319" w:name="_Toc373227721"/>
      <w:bookmarkStart w:id="320" w:name="_Toc389065287"/>
      <w:bookmarkStart w:id="321" w:name="_Toc395382523"/>
      <w:r>
        <w:rPr>
          <w:rFonts w:hint="eastAsia" w:ascii="宋体" w:hAnsi="宋体" w:eastAsia="宋体" w:cs="宋体"/>
          <w:color w:val="auto"/>
          <w:sz w:val="24"/>
          <w:szCs w:val="24"/>
          <w:highlight w:val="none"/>
        </w:rPr>
        <w:t>6.3 环境保护</w:t>
      </w:r>
      <w:bookmarkEnd w:id="317"/>
      <w:bookmarkEnd w:id="318"/>
      <w:bookmarkEnd w:id="319"/>
      <w:bookmarkEnd w:id="320"/>
      <w:bookmarkEnd w:id="321"/>
    </w:p>
    <w:p w14:paraId="46786E8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因施工需要，经发包人批准，由承包人办理有关施工场地交通、环卫和施工噪音管理等手续，费用由承包人负责。</w:t>
      </w:r>
    </w:p>
    <w:p w14:paraId="4BA9AAA2">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经过城市道路的施工车辆，必须按交警、城管、运输等部门相关规定执行。由于施工车辆造成的道路、环境等污染，其责任和费用均由承包人承担。</w:t>
      </w:r>
    </w:p>
    <w:bookmarkEnd w:id="300"/>
    <w:bookmarkEnd w:id="301"/>
    <w:bookmarkEnd w:id="302"/>
    <w:bookmarkEnd w:id="303"/>
    <w:bookmarkEnd w:id="304"/>
    <w:bookmarkEnd w:id="305"/>
    <w:bookmarkEnd w:id="306"/>
    <w:p w14:paraId="6EFCBCA2">
      <w:pPr>
        <w:pStyle w:val="202"/>
        <w:spacing w:before="0" w:line="360" w:lineRule="auto"/>
        <w:rPr>
          <w:rFonts w:hint="eastAsia" w:ascii="宋体" w:hAnsi="宋体" w:eastAsia="宋体" w:cs="宋体"/>
          <w:color w:val="auto"/>
          <w:sz w:val="24"/>
          <w:szCs w:val="24"/>
          <w:highlight w:val="none"/>
        </w:rPr>
      </w:pPr>
      <w:bookmarkStart w:id="322" w:name="_Toc417904297"/>
      <w:bookmarkStart w:id="323" w:name="_Toc16203"/>
      <w:bookmarkStart w:id="324" w:name="_Toc351203639"/>
      <w:bookmarkStart w:id="325" w:name="_Toc454283124"/>
      <w:r>
        <w:rPr>
          <w:rFonts w:hint="eastAsia" w:ascii="宋体" w:hAnsi="宋体" w:eastAsia="宋体" w:cs="宋体"/>
          <w:color w:val="auto"/>
          <w:sz w:val="24"/>
          <w:szCs w:val="24"/>
          <w:highlight w:val="none"/>
        </w:rPr>
        <w:t>7. 工期和进度</w:t>
      </w:r>
      <w:bookmarkEnd w:id="322"/>
      <w:bookmarkEnd w:id="323"/>
      <w:bookmarkEnd w:id="324"/>
      <w:bookmarkEnd w:id="325"/>
    </w:p>
    <w:p w14:paraId="254BE57B">
      <w:pPr>
        <w:pStyle w:val="202"/>
        <w:spacing w:before="0" w:line="360" w:lineRule="auto"/>
        <w:rPr>
          <w:rFonts w:hint="eastAsia" w:ascii="宋体" w:hAnsi="宋体" w:eastAsia="宋体" w:cs="宋体"/>
          <w:color w:val="auto"/>
          <w:sz w:val="24"/>
          <w:szCs w:val="24"/>
          <w:highlight w:val="none"/>
        </w:rPr>
      </w:pPr>
      <w:bookmarkStart w:id="326" w:name="_Toc417904298"/>
      <w:bookmarkStart w:id="327" w:name="_Toc454283125"/>
      <w:bookmarkStart w:id="328" w:name="_Toc13419"/>
      <w:r>
        <w:rPr>
          <w:rFonts w:hint="eastAsia" w:ascii="宋体" w:hAnsi="宋体" w:eastAsia="宋体" w:cs="宋体"/>
          <w:color w:val="auto"/>
          <w:sz w:val="24"/>
          <w:szCs w:val="24"/>
          <w:highlight w:val="none"/>
        </w:rPr>
        <w:t>7.1 施工组织设计</w:t>
      </w:r>
      <w:bookmarkEnd w:id="326"/>
      <w:bookmarkEnd w:id="327"/>
      <w:bookmarkEnd w:id="328"/>
    </w:p>
    <w:p w14:paraId="09374BF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F65748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7C7B4AA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合同签订后7天内。因承包人原因未能按时提交，承包人向发包人交纳处罚金1000元（人民币）</w:t>
      </w:r>
      <w:r>
        <w:rPr>
          <w:rFonts w:hint="eastAsia" w:ascii="宋体" w:hAnsi="宋体" w:eastAsia="宋体" w:cs="宋体"/>
          <w:color w:val="auto"/>
          <w:sz w:val="24"/>
          <w:szCs w:val="24"/>
          <w:highlight w:val="none"/>
        </w:rPr>
        <w:t>。</w:t>
      </w:r>
    </w:p>
    <w:p w14:paraId="785239A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  7天内 </w:t>
      </w:r>
      <w:r>
        <w:rPr>
          <w:rFonts w:hint="eastAsia" w:ascii="宋体" w:hAnsi="宋体" w:eastAsia="宋体" w:cs="宋体"/>
          <w:color w:val="auto"/>
          <w:sz w:val="24"/>
          <w:szCs w:val="24"/>
          <w:highlight w:val="none"/>
        </w:rPr>
        <w:t>。</w:t>
      </w:r>
    </w:p>
    <w:p w14:paraId="0138271E">
      <w:pPr>
        <w:pStyle w:val="202"/>
        <w:spacing w:before="0" w:line="360" w:lineRule="auto"/>
        <w:rPr>
          <w:rFonts w:hint="eastAsia" w:ascii="宋体" w:hAnsi="宋体" w:eastAsia="宋体" w:cs="宋体"/>
          <w:color w:val="auto"/>
          <w:sz w:val="24"/>
          <w:szCs w:val="24"/>
          <w:highlight w:val="none"/>
        </w:rPr>
      </w:pPr>
      <w:bookmarkStart w:id="329" w:name="_Toc23814"/>
      <w:bookmarkStart w:id="330" w:name="_Toc454283126"/>
      <w:bookmarkStart w:id="331" w:name="_Toc417904299"/>
      <w:r>
        <w:rPr>
          <w:rFonts w:hint="eastAsia" w:ascii="宋体" w:hAnsi="宋体" w:eastAsia="宋体" w:cs="宋体"/>
          <w:color w:val="auto"/>
          <w:sz w:val="24"/>
          <w:szCs w:val="24"/>
          <w:highlight w:val="none"/>
        </w:rPr>
        <w:t>7</w:t>
      </w:r>
      <w:bookmarkStart w:id="332" w:name="_Toc303539123"/>
      <w:bookmarkStart w:id="333" w:name="_Toc297216173"/>
      <w:bookmarkStart w:id="334" w:name="_Toc297123514"/>
      <w:bookmarkStart w:id="335" w:name="_Toc312677479"/>
      <w:bookmarkStart w:id="336" w:name="_Toc312678005"/>
      <w:bookmarkStart w:id="337" w:name="_Toc300934966"/>
      <w:bookmarkStart w:id="338" w:name="_Toc304295541"/>
      <w:r>
        <w:rPr>
          <w:rFonts w:hint="eastAsia" w:ascii="宋体" w:hAnsi="宋体" w:eastAsia="宋体" w:cs="宋体"/>
          <w:color w:val="auto"/>
          <w:sz w:val="24"/>
          <w:szCs w:val="24"/>
          <w:highlight w:val="none"/>
        </w:rPr>
        <w:t>.2 施工进度计划</w:t>
      </w:r>
      <w:bookmarkEnd w:id="329"/>
      <w:bookmarkEnd w:id="330"/>
      <w:bookmarkEnd w:id="331"/>
    </w:p>
    <w:p w14:paraId="70D4804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7D64CD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收到修订合同进度计划后7天</w:t>
      </w:r>
      <w:r>
        <w:rPr>
          <w:rFonts w:hint="eastAsia" w:ascii="宋体" w:hAnsi="宋体" w:eastAsia="宋体" w:cs="宋体"/>
          <w:color w:val="auto"/>
          <w:sz w:val="24"/>
          <w:szCs w:val="24"/>
          <w:highlight w:val="none"/>
        </w:rPr>
        <w:t>。</w:t>
      </w:r>
    </w:p>
    <w:p w14:paraId="54BEF130">
      <w:pPr>
        <w:pStyle w:val="202"/>
        <w:spacing w:before="0" w:line="360" w:lineRule="auto"/>
        <w:rPr>
          <w:rFonts w:hint="eastAsia" w:ascii="宋体" w:hAnsi="宋体" w:eastAsia="宋体" w:cs="宋体"/>
          <w:color w:val="auto"/>
          <w:sz w:val="24"/>
          <w:szCs w:val="24"/>
          <w:highlight w:val="none"/>
        </w:rPr>
      </w:pPr>
      <w:bookmarkStart w:id="339" w:name="_Toc454283127"/>
      <w:bookmarkStart w:id="340" w:name="_Toc417904300"/>
      <w:bookmarkStart w:id="341" w:name="_Toc27888"/>
      <w:r>
        <w:rPr>
          <w:rFonts w:hint="eastAsia" w:ascii="宋体" w:hAnsi="宋体" w:eastAsia="宋体" w:cs="宋体"/>
          <w:color w:val="auto"/>
          <w:sz w:val="24"/>
          <w:szCs w:val="24"/>
          <w:highlight w:val="none"/>
        </w:rPr>
        <w:t>7.3 开工</w:t>
      </w:r>
      <w:bookmarkEnd w:id="339"/>
      <w:bookmarkEnd w:id="340"/>
      <w:bookmarkEnd w:id="341"/>
    </w:p>
    <w:p w14:paraId="67E3FB3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066BA350">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合同签订后7天  </w:t>
      </w:r>
      <w:r>
        <w:rPr>
          <w:rFonts w:hint="eastAsia" w:ascii="宋体" w:hAnsi="宋体" w:eastAsia="宋体" w:cs="宋体"/>
          <w:color w:val="auto"/>
          <w:sz w:val="24"/>
          <w:szCs w:val="24"/>
          <w:highlight w:val="none"/>
        </w:rPr>
        <w:t>。</w:t>
      </w:r>
    </w:p>
    <w:p w14:paraId="7AF6AAD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合同签订后7天   </w:t>
      </w:r>
      <w:r>
        <w:rPr>
          <w:rFonts w:hint="eastAsia" w:ascii="宋体" w:hAnsi="宋体" w:eastAsia="宋体" w:cs="宋体"/>
          <w:color w:val="auto"/>
          <w:sz w:val="24"/>
          <w:szCs w:val="24"/>
          <w:highlight w:val="none"/>
        </w:rPr>
        <w:t>。</w:t>
      </w:r>
    </w:p>
    <w:p w14:paraId="5711179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合同签订后7天   </w:t>
      </w:r>
      <w:r>
        <w:rPr>
          <w:rFonts w:hint="eastAsia" w:ascii="宋体" w:hAnsi="宋体" w:eastAsia="宋体" w:cs="宋体"/>
          <w:color w:val="auto"/>
          <w:sz w:val="24"/>
          <w:szCs w:val="24"/>
          <w:highlight w:val="none"/>
        </w:rPr>
        <w:t>。</w:t>
      </w:r>
    </w:p>
    <w:p w14:paraId="3C361C7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18AF472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180</w:t>
      </w:r>
      <w:r>
        <w:rPr>
          <w:rFonts w:hint="eastAsia" w:ascii="宋体" w:hAnsi="宋体" w:eastAsia="宋体" w:cs="宋体"/>
          <w:color w:val="auto"/>
          <w:sz w:val="24"/>
          <w:szCs w:val="24"/>
          <w:highlight w:val="none"/>
        </w:rPr>
        <w:t>天内发出开工通知的，承包人有权提出价格调整要求，或者解除合同。</w:t>
      </w:r>
    </w:p>
    <w:bookmarkEnd w:id="332"/>
    <w:bookmarkEnd w:id="333"/>
    <w:bookmarkEnd w:id="334"/>
    <w:bookmarkEnd w:id="335"/>
    <w:bookmarkEnd w:id="336"/>
    <w:bookmarkEnd w:id="337"/>
    <w:bookmarkEnd w:id="338"/>
    <w:p w14:paraId="5A13BCC8">
      <w:pPr>
        <w:pStyle w:val="202"/>
        <w:spacing w:before="0" w:line="360" w:lineRule="auto"/>
        <w:rPr>
          <w:rFonts w:hint="eastAsia" w:ascii="宋体" w:hAnsi="宋体" w:eastAsia="宋体" w:cs="宋体"/>
          <w:color w:val="auto"/>
          <w:sz w:val="24"/>
          <w:szCs w:val="24"/>
          <w:highlight w:val="none"/>
        </w:rPr>
      </w:pPr>
      <w:bookmarkStart w:id="342" w:name="_Toc454283128"/>
      <w:bookmarkStart w:id="343" w:name="_Toc417904301"/>
      <w:bookmarkStart w:id="344" w:name="_Toc31477"/>
      <w:r>
        <w:rPr>
          <w:rFonts w:hint="eastAsia" w:ascii="宋体" w:hAnsi="宋体" w:eastAsia="宋体" w:cs="宋体"/>
          <w:color w:val="auto"/>
          <w:sz w:val="24"/>
          <w:szCs w:val="24"/>
          <w:highlight w:val="none"/>
        </w:rPr>
        <w:t>7.4 测量放线</w:t>
      </w:r>
      <w:bookmarkEnd w:id="342"/>
      <w:bookmarkEnd w:id="343"/>
      <w:bookmarkEnd w:id="344"/>
    </w:p>
    <w:p w14:paraId="39BB28D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合同签订后14天 </w:t>
      </w:r>
      <w:r>
        <w:rPr>
          <w:rFonts w:hint="eastAsia" w:ascii="宋体" w:hAnsi="宋体" w:eastAsia="宋体" w:cs="宋体"/>
          <w:color w:val="auto"/>
          <w:sz w:val="24"/>
          <w:szCs w:val="24"/>
          <w:highlight w:val="none"/>
        </w:rPr>
        <w:t>。</w:t>
      </w:r>
    </w:p>
    <w:p w14:paraId="19401B63">
      <w:pPr>
        <w:pStyle w:val="202"/>
        <w:spacing w:before="0" w:line="360" w:lineRule="auto"/>
        <w:rPr>
          <w:rFonts w:hint="eastAsia" w:ascii="宋体" w:hAnsi="宋体" w:eastAsia="宋体" w:cs="宋体"/>
          <w:color w:val="auto"/>
          <w:sz w:val="24"/>
          <w:szCs w:val="24"/>
          <w:highlight w:val="none"/>
        </w:rPr>
      </w:pPr>
      <w:bookmarkStart w:id="345" w:name="_Toc417904302"/>
      <w:bookmarkStart w:id="346" w:name="_Toc18127"/>
      <w:bookmarkStart w:id="347" w:name="_Toc454283129"/>
      <w:r>
        <w:rPr>
          <w:rFonts w:hint="eastAsia" w:ascii="宋体" w:hAnsi="宋体" w:eastAsia="宋体" w:cs="宋体"/>
          <w:color w:val="auto"/>
          <w:sz w:val="24"/>
          <w:szCs w:val="24"/>
          <w:highlight w:val="none"/>
        </w:rPr>
        <w:t>7</w:t>
      </w:r>
      <w:bookmarkStart w:id="348" w:name="_Toc303539125"/>
      <w:bookmarkStart w:id="349" w:name="_Toc300934968"/>
      <w:bookmarkStart w:id="350" w:name="_Toc312677484"/>
      <w:bookmarkStart w:id="351" w:name="_Toc304295546"/>
      <w:bookmarkStart w:id="352" w:name="_Toc297123516"/>
      <w:bookmarkStart w:id="353" w:name="_Toc312678010"/>
      <w:bookmarkStart w:id="354" w:name="_Toc297216175"/>
      <w:r>
        <w:rPr>
          <w:rFonts w:hint="eastAsia" w:ascii="宋体" w:hAnsi="宋体" w:eastAsia="宋体" w:cs="宋体"/>
          <w:color w:val="auto"/>
          <w:sz w:val="24"/>
          <w:szCs w:val="24"/>
          <w:highlight w:val="none"/>
        </w:rPr>
        <w:t>.5 工期延误</w:t>
      </w:r>
      <w:bookmarkEnd w:id="345"/>
      <w:bookmarkEnd w:id="346"/>
      <w:bookmarkEnd w:id="347"/>
    </w:p>
    <w:bookmarkEnd w:id="348"/>
    <w:bookmarkEnd w:id="349"/>
    <w:bookmarkEnd w:id="350"/>
    <w:bookmarkEnd w:id="351"/>
    <w:bookmarkEnd w:id="352"/>
    <w:bookmarkEnd w:id="353"/>
    <w:bookmarkEnd w:id="354"/>
    <w:p w14:paraId="1560CD32">
      <w:pPr>
        <w:pStyle w:val="203"/>
        <w:spacing w:line="360" w:lineRule="auto"/>
        <w:outlineLvl w:val="0"/>
        <w:rPr>
          <w:rFonts w:hint="eastAsia" w:ascii="宋体" w:hAnsi="宋体" w:eastAsia="宋体" w:cs="宋体"/>
          <w:color w:val="auto"/>
          <w:sz w:val="24"/>
          <w:szCs w:val="24"/>
          <w:highlight w:val="none"/>
        </w:rPr>
      </w:pPr>
      <w:bookmarkStart w:id="355" w:name="_Toc13300"/>
      <w:bookmarkStart w:id="356" w:name="_Toc417904303"/>
      <w:bookmarkStart w:id="357" w:name="_Toc454283130"/>
      <w:r>
        <w:rPr>
          <w:rFonts w:hint="eastAsia" w:ascii="宋体" w:hAnsi="宋体" w:eastAsia="宋体" w:cs="宋体"/>
          <w:color w:val="auto"/>
          <w:sz w:val="24"/>
          <w:szCs w:val="24"/>
          <w:highlight w:val="none"/>
        </w:rPr>
        <w:t>7.5.1 因发包人原因导致工期延误</w:t>
      </w:r>
      <w:bookmarkEnd w:id="355"/>
      <w:bookmarkEnd w:id="356"/>
      <w:bookmarkEnd w:id="357"/>
    </w:p>
    <w:p w14:paraId="536F1112">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sz w:val="24"/>
          <w:szCs w:val="24"/>
          <w:highlight w:val="none"/>
        </w:rPr>
        <w:t>。</w:t>
      </w:r>
    </w:p>
    <w:p w14:paraId="6AE4F3E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58" w:name="_Toc312677486"/>
      <w:bookmarkStart w:id="359" w:name="_Toc318581169"/>
      <w:bookmarkStart w:id="360" w:name="_Toc312678012"/>
      <w:bookmarkStart w:id="361" w:name="_Toc297216177"/>
      <w:bookmarkStart w:id="362" w:name="_Toc303539127"/>
      <w:bookmarkStart w:id="363" w:name="_Toc300934970"/>
      <w:bookmarkStart w:id="364" w:name="_Toc304295548"/>
      <w:bookmarkStart w:id="365" w:name="_Toc297123518"/>
      <w:r>
        <w:rPr>
          <w:rFonts w:hint="eastAsia" w:ascii="宋体" w:hAnsi="宋体" w:eastAsia="宋体" w:cs="宋体"/>
          <w:color w:val="auto"/>
          <w:sz w:val="24"/>
          <w:szCs w:val="24"/>
          <w:highlight w:val="none"/>
        </w:rPr>
        <w:t>.5.2 因承包人原因导致工期延误</w:t>
      </w:r>
    </w:p>
    <w:bookmarkEnd w:id="358"/>
    <w:bookmarkEnd w:id="359"/>
    <w:bookmarkEnd w:id="360"/>
    <w:p w14:paraId="458B359F">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366" w:name="_Toc312677487"/>
      <w:bookmarkStart w:id="367" w:name="_Toc312678013"/>
      <w:bookmarkStart w:id="368" w:name="_Toc318581170"/>
      <w:r>
        <w:rPr>
          <w:rFonts w:hint="eastAsia" w:ascii="宋体" w:hAnsi="宋体" w:eastAsia="宋体" w:cs="宋体"/>
          <w:color w:val="auto"/>
          <w:sz w:val="24"/>
          <w:szCs w:val="24"/>
          <w:highlight w:val="none"/>
        </w:rPr>
        <w:t>承包人原因造成工期延误，逾期竣工违约金的计算方法为：</w:t>
      </w:r>
      <w:r>
        <w:rPr>
          <w:rFonts w:hint="eastAsia" w:ascii="宋体" w:hAnsi="宋体" w:eastAsia="宋体" w:cs="宋体"/>
          <w:color w:val="auto"/>
          <w:sz w:val="24"/>
          <w:szCs w:val="24"/>
          <w:highlight w:val="none"/>
          <w:u w:val="single"/>
        </w:rPr>
        <w:t xml:space="preserve">非上述原因，承包人不能按合同约定的时间竣工，承包人应承担违约责任。应向发包人支付误期赔偿费（每天赔偿金额为合同价款扣除建安劳保费、发包人材料价款、暂估专业工程款、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0FDC947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bookmarkEnd w:id="361"/>
      <w:bookmarkEnd w:id="362"/>
      <w:bookmarkEnd w:id="363"/>
      <w:bookmarkEnd w:id="364"/>
      <w:bookmarkEnd w:id="365"/>
      <w:bookmarkEnd w:id="366"/>
      <w:bookmarkEnd w:id="367"/>
    </w:p>
    <w:bookmarkEnd w:id="368"/>
    <w:p w14:paraId="425AB856">
      <w:pPr>
        <w:pStyle w:val="202"/>
        <w:spacing w:before="0" w:line="360" w:lineRule="auto"/>
        <w:rPr>
          <w:rFonts w:hint="eastAsia" w:ascii="宋体" w:hAnsi="宋体" w:eastAsia="宋体" w:cs="宋体"/>
          <w:color w:val="auto"/>
          <w:sz w:val="24"/>
          <w:szCs w:val="24"/>
          <w:highlight w:val="none"/>
        </w:rPr>
      </w:pPr>
      <w:bookmarkStart w:id="369" w:name="_Toc417904304"/>
      <w:bookmarkStart w:id="370" w:name="_Toc8989"/>
      <w:bookmarkStart w:id="371" w:name="_Toc454283131"/>
      <w:r>
        <w:rPr>
          <w:rFonts w:hint="eastAsia" w:ascii="宋体" w:hAnsi="宋体" w:eastAsia="宋体" w:cs="宋体"/>
          <w:color w:val="auto"/>
          <w:sz w:val="24"/>
          <w:szCs w:val="24"/>
          <w:highlight w:val="none"/>
        </w:rPr>
        <w:t>7</w:t>
      </w:r>
      <w:bookmarkStart w:id="372" w:name="_Toc312678015"/>
      <w:bookmarkStart w:id="373" w:name="_Toc297123519"/>
      <w:bookmarkStart w:id="374" w:name="_Toc304295549"/>
      <w:bookmarkStart w:id="375" w:name="_Toc300934971"/>
      <w:bookmarkStart w:id="376" w:name="_Toc297216178"/>
      <w:bookmarkStart w:id="377" w:name="_Toc303539128"/>
      <w:r>
        <w:rPr>
          <w:rFonts w:hint="eastAsia" w:ascii="宋体" w:hAnsi="宋体" w:eastAsia="宋体" w:cs="宋体"/>
          <w:color w:val="auto"/>
          <w:sz w:val="24"/>
          <w:szCs w:val="24"/>
          <w:highlight w:val="none"/>
        </w:rPr>
        <w:t>.6 不</w:t>
      </w:r>
      <w:bookmarkEnd w:id="372"/>
      <w:bookmarkEnd w:id="373"/>
      <w:bookmarkEnd w:id="374"/>
      <w:bookmarkEnd w:id="375"/>
      <w:bookmarkEnd w:id="376"/>
      <w:bookmarkEnd w:id="377"/>
      <w:r>
        <w:rPr>
          <w:rFonts w:hint="eastAsia" w:ascii="宋体" w:hAnsi="宋体" w:eastAsia="宋体" w:cs="宋体"/>
          <w:color w:val="auto"/>
          <w:sz w:val="24"/>
          <w:szCs w:val="24"/>
          <w:highlight w:val="none"/>
        </w:rPr>
        <w:t>利物质条件</w:t>
      </w:r>
      <w:bookmarkEnd w:id="369"/>
      <w:bookmarkEnd w:id="370"/>
      <w:bookmarkEnd w:id="371"/>
    </w:p>
    <w:p w14:paraId="608ACEF7">
      <w:pPr>
        <w:pStyle w:val="203"/>
        <w:spacing w:line="360" w:lineRule="auto"/>
        <w:rPr>
          <w:rFonts w:hint="eastAsia" w:ascii="宋体" w:hAnsi="宋体" w:eastAsia="宋体" w:cs="宋体"/>
          <w:color w:val="auto"/>
          <w:sz w:val="24"/>
          <w:szCs w:val="24"/>
          <w:highlight w:val="none"/>
        </w:rPr>
      </w:pPr>
      <w:bookmarkStart w:id="378" w:name="_Toc300934972"/>
      <w:bookmarkStart w:id="379" w:name="_Toc297216179"/>
      <w:bookmarkStart w:id="380" w:name="_Toc297123520"/>
      <w:bookmarkStart w:id="381" w:name="_Toc303539129"/>
      <w:bookmarkStart w:id="382" w:name="_Toc304295550"/>
      <w:bookmarkStart w:id="383" w:name="_Toc318581172"/>
      <w:bookmarkStart w:id="384" w:name="_Toc312678016"/>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 </w:t>
      </w:r>
    </w:p>
    <w:bookmarkEnd w:id="378"/>
    <w:bookmarkEnd w:id="379"/>
    <w:bookmarkEnd w:id="380"/>
    <w:bookmarkEnd w:id="381"/>
    <w:bookmarkEnd w:id="382"/>
    <w:bookmarkEnd w:id="383"/>
    <w:bookmarkEnd w:id="384"/>
    <w:p w14:paraId="5BD31C62">
      <w:pPr>
        <w:pStyle w:val="202"/>
        <w:spacing w:before="0" w:line="360" w:lineRule="auto"/>
        <w:rPr>
          <w:rFonts w:hint="eastAsia" w:ascii="宋体" w:hAnsi="宋体" w:eastAsia="宋体" w:cs="宋体"/>
          <w:color w:val="auto"/>
          <w:sz w:val="24"/>
          <w:szCs w:val="24"/>
          <w:highlight w:val="none"/>
        </w:rPr>
      </w:pPr>
      <w:bookmarkStart w:id="385" w:name="_Toc30662"/>
      <w:bookmarkStart w:id="386" w:name="_Toc454283132"/>
      <w:bookmarkStart w:id="387" w:name="_Toc417904305"/>
      <w:r>
        <w:rPr>
          <w:rFonts w:hint="eastAsia" w:ascii="宋体" w:hAnsi="宋体" w:eastAsia="宋体" w:cs="宋体"/>
          <w:color w:val="auto"/>
          <w:sz w:val="24"/>
          <w:szCs w:val="24"/>
          <w:highlight w:val="none"/>
        </w:rPr>
        <w:t>7</w:t>
      </w:r>
      <w:bookmarkStart w:id="388" w:name="_Toc297123521"/>
      <w:bookmarkStart w:id="389" w:name="_Toc297216180"/>
      <w:bookmarkStart w:id="390" w:name="_Toc300934973"/>
      <w:bookmarkStart w:id="391" w:name="_Toc303539130"/>
      <w:bookmarkStart w:id="392" w:name="_Toc304295551"/>
      <w:bookmarkStart w:id="393" w:name="_Toc312678017"/>
      <w:r>
        <w:rPr>
          <w:rFonts w:hint="eastAsia" w:ascii="宋体" w:hAnsi="宋体" w:eastAsia="宋体" w:cs="宋体"/>
          <w:color w:val="auto"/>
          <w:sz w:val="24"/>
          <w:szCs w:val="24"/>
          <w:highlight w:val="none"/>
        </w:rPr>
        <w:t>.7异常恶劣的气候条件</w:t>
      </w:r>
      <w:bookmarkEnd w:id="385"/>
      <w:bookmarkEnd w:id="386"/>
      <w:bookmarkEnd w:id="387"/>
    </w:p>
    <w:bookmarkEnd w:id="388"/>
    <w:bookmarkEnd w:id="389"/>
    <w:bookmarkEnd w:id="390"/>
    <w:bookmarkEnd w:id="391"/>
    <w:bookmarkEnd w:id="392"/>
    <w:bookmarkEnd w:id="393"/>
    <w:p w14:paraId="38FE9821">
      <w:pPr>
        <w:pStyle w:val="203"/>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color w:val="auto"/>
          <w:sz w:val="24"/>
          <w:szCs w:val="24"/>
          <w:highlight w:val="none"/>
          <w:u w:val="single"/>
          <w:lang w:val="zh-CN"/>
        </w:rPr>
        <w:t>（1）</w:t>
      </w:r>
      <w:r>
        <w:rPr>
          <w:rFonts w:hint="eastAsia" w:ascii="宋体" w:hAnsi="宋体" w:eastAsia="宋体" w:cs="宋体"/>
          <w:color w:val="auto"/>
          <w:sz w:val="24"/>
          <w:szCs w:val="24"/>
          <w:highlight w:val="none"/>
          <w:u w:val="single"/>
        </w:rPr>
        <w:t>当地6级以上的破坏性地震</w:t>
      </w:r>
      <w:r>
        <w:rPr>
          <w:rFonts w:hint="eastAsia" w:ascii="宋体" w:hAnsi="宋体" w:eastAsia="宋体" w:cs="宋体"/>
          <w:color w:val="auto"/>
          <w:sz w:val="24"/>
          <w:szCs w:val="24"/>
          <w:highlight w:val="none"/>
          <w:u w:val="single"/>
          <w:lang w:val="zh-CN"/>
        </w:rPr>
        <w:t>；（2）暴雨级以上持续3天的大雨天</w:t>
      </w:r>
      <w:r>
        <w:rPr>
          <w:rFonts w:hint="eastAsia" w:ascii="宋体" w:hAnsi="宋体" w:cs="宋体"/>
          <w:color w:val="auto"/>
          <w:sz w:val="24"/>
          <w:szCs w:val="24"/>
          <w:highlight w:val="none"/>
          <w:u w:val="single"/>
          <w:lang w:val="en-US" w:eastAsia="zh-CN"/>
        </w:rPr>
        <w:t>气</w:t>
      </w:r>
      <w:r>
        <w:rPr>
          <w:rFonts w:hint="eastAsia" w:ascii="宋体" w:hAnsi="宋体" w:eastAsia="宋体" w:cs="宋体"/>
          <w:color w:val="auto"/>
          <w:sz w:val="24"/>
          <w:szCs w:val="24"/>
          <w:highlight w:val="none"/>
          <w:u w:val="single"/>
          <w:lang w:val="zh-CN"/>
        </w:rPr>
        <w:t>；（3）5年及以上未发生过，持续2天的高温天气；（4）5年及以上未发生过，持续2天的低温天气  。</w:t>
      </w:r>
    </w:p>
    <w:p w14:paraId="192DBE2D">
      <w:pPr>
        <w:pStyle w:val="202"/>
        <w:spacing w:before="0" w:line="360" w:lineRule="auto"/>
        <w:rPr>
          <w:rFonts w:hint="eastAsia" w:ascii="宋体" w:hAnsi="宋体" w:eastAsia="宋体" w:cs="宋体"/>
          <w:color w:val="auto"/>
          <w:sz w:val="24"/>
          <w:szCs w:val="24"/>
          <w:highlight w:val="none"/>
        </w:rPr>
      </w:pPr>
      <w:bookmarkStart w:id="394" w:name="_Toc417904306"/>
      <w:bookmarkStart w:id="395" w:name="_Toc454283133"/>
      <w:bookmarkStart w:id="396" w:name="_Toc396"/>
      <w:r>
        <w:rPr>
          <w:rFonts w:hint="eastAsia" w:ascii="宋体" w:hAnsi="宋体" w:eastAsia="宋体" w:cs="宋体"/>
          <w:color w:val="auto"/>
          <w:sz w:val="24"/>
          <w:szCs w:val="24"/>
          <w:highlight w:val="none"/>
        </w:rPr>
        <w:t>7.9 提前竣工的奖励</w:t>
      </w:r>
      <w:bookmarkEnd w:id="394"/>
      <w:bookmarkEnd w:id="395"/>
      <w:bookmarkEnd w:id="396"/>
    </w:p>
    <w:p w14:paraId="65B777C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25109ED">
      <w:pPr>
        <w:pStyle w:val="202"/>
        <w:spacing w:before="0" w:line="360" w:lineRule="auto"/>
        <w:rPr>
          <w:rFonts w:hint="eastAsia" w:ascii="宋体" w:hAnsi="宋体" w:eastAsia="宋体" w:cs="宋体"/>
          <w:color w:val="auto"/>
          <w:sz w:val="24"/>
          <w:szCs w:val="24"/>
          <w:highlight w:val="none"/>
        </w:rPr>
      </w:pPr>
      <w:bookmarkStart w:id="397" w:name="_Toc351203640"/>
      <w:bookmarkStart w:id="398" w:name="_Toc454283134"/>
      <w:bookmarkStart w:id="399" w:name="_Toc17006"/>
      <w:bookmarkStart w:id="400" w:name="_Toc417904307"/>
      <w:r>
        <w:rPr>
          <w:rFonts w:hint="eastAsia" w:ascii="宋体" w:hAnsi="宋体" w:eastAsia="宋体" w:cs="宋体"/>
          <w:color w:val="auto"/>
          <w:sz w:val="24"/>
          <w:szCs w:val="24"/>
          <w:highlight w:val="none"/>
        </w:rPr>
        <w:t>8. 材料与设备</w:t>
      </w:r>
      <w:bookmarkEnd w:id="397"/>
      <w:bookmarkEnd w:id="398"/>
      <w:bookmarkEnd w:id="399"/>
      <w:bookmarkEnd w:id="400"/>
    </w:p>
    <w:bookmarkEnd w:id="287"/>
    <w:bookmarkEnd w:id="288"/>
    <w:bookmarkEnd w:id="289"/>
    <w:bookmarkEnd w:id="290"/>
    <w:bookmarkEnd w:id="291"/>
    <w:bookmarkEnd w:id="292"/>
    <w:bookmarkEnd w:id="293"/>
    <w:bookmarkEnd w:id="294"/>
    <w:bookmarkEnd w:id="295"/>
    <w:bookmarkEnd w:id="296"/>
    <w:p w14:paraId="2665C26C">
      <w:pPr>
        <w:pStyle w:val="202"/>
        <w:spacing w:before="0" w:line="360" w:lineRule="auto"/>
        <w:rPr>
          <w:rFonts w:hint="eastAsia" w:ascii="宋体" w:hAnsi="宋体" w:eastAsia="宋体" w:cs="宋体"/>
          <w:color w:val="auto"/>
          <w:sz w:val="24"/>
          <w:szCs w:val="24"/>
          <w:highlight w:val="none"/>
        </w:rPr>
      </w:pPr>
      <w:bookmarkStart w:id="401" w:name="_Toc17625"/>
      <w:bookmarkStart w:id="402" w:name="_Toc454283135"/>
      <w:bookmarkStart w:id="403" w:name="_Toc417904308"/>
      <w:r>
        <w:rPr>
          <w:rFonts w:hint="eastAsia" w:ascii="宋体" w:hAnsi="宋体" w:eastAsia="宋体" w:cs="宋体"/>
          <w:color w:val="auto"/>
          <w:sz w:val="24"/>
          <w:szCs w:val="24"/>
          <w:highlight w:val="none"/>
        </w:rPr>
        <w:t>8</w:t>
      </w:r>
      <w:bookmarkStart w:id="404" w:name="_Toc312677493"/>
      <w:bookmarkStart w:id="405" w:name="_Toc292559372"/>
      <w:bookmarkStart w:id="406" w:name="_Toc292559877"/>
      <w:bookmarkStart w:id="407" w:name="_Toc296347166"/>
      <w:bookmarkStart w:id="408" w:name="_Toc312678019"/>
      <w:bookmarkStart w:id="409" w:name="_Toc296890995"/>
      <w:bookmarkStart w:id="410" w:name="_Toc297120467"/>
      <w:bookmarkStart w:id="411" w:name="_Toc297123527"/>
      <w:bookmarkStart w:id="412" w:name="_Toc296944506"/>
      <w:bookmarkStart w:id="413" w:name="_Toc303539136"/>
      <w:bookmarkStart w:id="414" w:name="_Toc296891207"/>
      <w:bookmarkStart w:id="415" w:name="_Toc304295556"/>
      <w:bookmarkStart w:id="416" w:name="_Toc296346668"/>
      <w:bookmarkStart w:id="417" w:name="_Toc300934979"/>
      <w:bookmarkStart w:id="418" w:name="_Toc297216186"/>
      <w:bookmarkStart w:id="419" w:name="_Toc296503167"/>
      <w:bookmarkStart w:id="420" w:name="_Toc297048353"/>
      <w:bookmarkStart w:id="421" w:name="_Toc280868654"/>
      <w:bookmarkStart w:id="422" w:name="_Toc280868655"/>
      <w:bookmarkStart w:id="423" w:name="_Toc267251424"/>
      <w:bookmarkStart w:id="424" w:name="_Toc280868656"/>
      <w:r>
        <w:rPr>
          <w:rFonts w:hint="eastAsia" w:ascii="宋体" w:hAnsi="宋体" w:eastAsia="宋体" w:cs="宋体"/>
          <w:color w:val="auto"/>
          <w:sz w:val="24"/>
          <w:szCs w:val="24"/>
          <w:highlight w:val="none"/>
        </w:rPr>
        <w:t>.4材料与工程设备的保管与使用</w:t>
      </w:r>
      <w:bookmarkEnd w:id="401"/>
      <w:bookmarkEnd w:id="402"/>
      <w:bookmarkEnd w:id="403"/>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0A08588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25" w:name="_Toc292559373"/>
      <w:bookmarkStart w:id="426" w:name="_Toc292559878"/>
      <w:bookmarkStart w:id="427" w:name="_Toc296891208"/>
      <w:bookmarkStart w:id="428" w:name="_Toc312678020"/>
      <w:bookmarkStart w:id="429" w:name="_Toc297123528"/>
      <w:bookmarkStart w:id="430" w:name="_Toc296890996"/>
      <w:bookmarkStart w:id="431" w:name="_Toc297216187"/>
      <w:bookmarkStart w:id="432" w:name="_Toc296346669"/>
      <w:bookmarkStart w:id="433" w:name="_Toc297048354"/>
      <w:bookmarkStart w:id="434" w:name="_Toc296944507"/>
      <w:bookmarkStart w:id="435" w:name="_Toc318581173"/>
      <w:bookmarkStart w:id="436" w:name="_Toc312677494"/>
      <w:bookmarkStart w:id="437" w:name="_Toc304295557"/>
      <w:bookmarkStart w:id="438" w:name="_Toc296347167"/>
      <w:bookmarkStart w:id="439" w:name="_Toc303539137"/>
      <w:bookmarkStart w:id="440" w:name="_Toc300934980"/>
      <w:bookmarkStart w:id="441" w:name="_Toc296503168"/>
      <w:bookmarkStart w:id="442" w:name="_Toc297120468"/>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承包人承担 </w:t>
      </w:r>
      <w:r>
        <w:rPr>
          <w:rFonts w:hint="eastAsia" w:ascii="宋体" w:hAnsi="宋体" w:eastAsia="宋体" w:cs="宋体"/>
          <w:color w:val="auto"/>
          <w:sz w:val="24"/>
          <w:szCs w:val="24"/>
          <w:highlight w:val="none"/>
        </w:rPr>
        <w:t>。</w:t>
      </w:r>
      <w:bookmarkEnd w:id="425"/>
      <w:bookmarkEnd w:id="426"/>
    </w:p>
    <w:p w14:paraId="37B354EE">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 样品的报送与封存</w:t>
      </w:r>
    </w:p>
    <w:p w14:paraId="17AE015B">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主</w:t>
      </w:r>
      <w:bookmarkStart w:id="443" w:name="_Toc389065300"/>
      <w:bookmarkStart w:id="444" w:name="_Toc373478381"/>
      <w:bookmarkStart w:id="445" w:name="_Toc395382536"/>
      <w:bookmarkStart w:id="446" w:name="_Toc373227734"/>
      <w:r>
        <w:rPr>
          <w:rFonts w:hint="eastAsia" w:ascii="宋体" w:hAnsi="宋体" w:eastAsia="宋体" w:cs="宋体"/>
          <w:color w:val="auto"/>
          <w:sz w:val="24"/>
          <w:szCs w:val="24"/>
          <w:highlight w:val="none"/>
          <w:u w:val="single"/>
        </w:rPr>
        <w:t>材料或工程设备的品牌、规格、型号、颜色、质感等方面的内容，承包人应在计划采购前将材料样品报送监理人，并经发包人确认后方能采购，</w:t>
      </w:r>
      <w:r>
        <w:rPr>
          <w:rFonts w:hint="eastAsia" w:ascii="宋体" w:hAnsi="宋体" w:eastAsia="宋体" w:cs="宋体"/>
          <w:color w:val="auto"/>
          <w:kern w:val="0"/>
          <w:sz w:val="24"/>
          <w:szCs w:val="24"/>
          <w:highlight w:val="none"/>
        </w:rPr>
        <w:t>包括但不限于工程所需使用的主要材料</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承包人使用的上述主要材料的品牌应从工程量清单中给定的品牌中选定。承包人因特殊原因需要从工程量清单以外选择品牌时，必须选择相当于或优于工程量清单中参考品牌且需征得发包人书面批准，如发包人与承包人不能达成更改品牌一致意见的，承包人必须从工程量清单中给定的参考品牌中选定材料品牌，否则按不合格材料处理并不予计量计价</w:t>
      </w:r>
      <w:r>
        <w:rPr>
          <w:rFonts w:hint="eastAsia" w:ascii="宋体" w:hAnsi="宋体" w:eastAsia="宋体" w:cs="宋体"/>
          <w:color w:val="auto"/>
          <w:sz w:val="24"/>
          <w:szCs w:val="24"/>
          <w:highlight w:val="none"/>
        </w:rPr>
        <w:t>。</w:t>
      </w:r>
    </w:p>
    <w:p w14:paraId="7FE992E7">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bookmarkEnd w:id="443"/>
      <w:bookmarkEnd w:id="444"/>
      <w:bookmarkEnd w:id="445"/>
      <w:bookmarkEnd w:id="446"/>
    </w:p>
    <w:p w14:paraId="58CD61DE">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 样品的报送与封存</w:t>
      </w:r>
    </w:p>
    <w:p w14:paraId="21DA24C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主要材料涉及品种、款式、颜色等方面内容的，承包人应提交准备合格的材料样品送发包人选定。</w:t>
      </w:r>
    </w:p>
    <w:p w14:paraId="6AB85099">
      <w:pPr>
        <w:pStyle w:val="202"/>
        <w:spacing w:before="0" w:line="360" w:lineRule="auto"/>
        <w:rPr>
          <w:rFonts w:hint="eastAsia" w:ascii="宋体" w:hAnsi="宋体" w:eastAsia="宋体" w:cs="宋体"/>
          <w:color w:val="auto"/>
          <w:sz w:val="24"/>
          <w:szCs w:val="24"/>
          <w:highlight w:val="none"/>
        </w:rPr>
      </w:pPr>
      <w:bookmarkStart w:id="447" w:name="_Toc454283137"/>
      <w:bookmarkStart w:id="448" w:name="_Toc3918"/>
      <w:bookmarkStart w:id="449" w:name="_Toc417904310"/>
      <w:r>
        <w:rPr>
          <w:rFonts w:hint="eastAsia" w:ascii="宋体" w:hAnsi="宋体" w:eastAsia="宋体" w:cs="宋体"/>
          <w:color w:val="auto"/>
          <w:sz w:val="24"/>
          <w:szCs w:val="24"/>
          <w:highlight w:val="none"/>
        </w:rPr>
        <w:t>8.8 施工设备和临时设施</w:t>
      </w:r>
      <w:bookmarkEnd w:id="447"/>
      <w:bookmarkEnd w:id="448"/>
      <w:bookmarkEnd w:id="449"/>
    </w:p>
    <w:p w14:paraId="4EE8FD6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8B56D5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关于修建临时设施费用承担的约定： </w:t>
      </w:r>
    </w:p>
    <w:p w14:paraId="7D26F6F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894D8ED">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②承包人负责合同实施期间其合同段内临时交通道路（含场内外连接公共交通道路）和交通设施的修建、维修、养护和交通管理工作，并承担一切费用。</w:t>
      </w:r>
    </w:p>
    <w:p w14:paraId="7975896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AEBE8C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8.8.2 发包人提供的施工设备和临时设施</w:t>
      </w:r>
    </w:p>
    <w:p w14:paraId="2943C5F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4E9B31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发包人提供的施工设备和临时设施的运行、维护、拆除、清运费用的承担人：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63D5B790">
      <w:pPr>
        <w:pStyle w:val="202"/>
        <w:spacing w:before="0" w:line="360" w:lineRule="auto"/>
        <w:rPr>
          <w:rFonts w:hint="eastAsia" w:ascii="宋体" w:hAnsi="宋体" w:eastAsia="宋体" w:cs="宋体"/>
          <w:color w:val="auto"/>
          <w:sz w:val="24"/>
          <w:szCs w:val="24"/>
          <w:highlight w:val="none"/>
        </w:rPr>
      </w:pPr>
      <w:bookmarkStart w:id="450" w:name="_Toc454283138"/>
      <w:bookmarkStart w:id="451" w:name="_Toc351203641"/>
      <w:bookmarkStart w:id="452" w:name="_Toc417904311"/>
      <w:bookmarkStart w:id="453" w:name="_Toc6143"/>
      <w:r>
        <w:rPr>
          <w:rFonts w:hint="eastAsia" w:ascii="宋体" w:hAnsi="宋体" w:eastAsia="宋体" w:cs="宋体"/>
          <w:color w:val="auto"/>
          <w:sz w:val="24"/>
          <w:szCs w:val="24"/>
          <w:highlight w:val="none"/>
        </w:rPr>
        <w:t>9</w:t>
      </w:r>
      <w:bookmarkEnd w:id="422"/>
      <w:bookmarkEnd w:id="423"/>
      <w:bookmarkEnd w:id="424"/>
      <w:bookmarkStart w:id="454" w:name="_Toc312678021"/>
      <w:bookmarkStart w:id="455" w:name="_Toc297123533"/>
      <w:bookmarkStart w:id="456" w:name="_Toc300934982"/>
      <w:bookmarkStart w:id="457" w:name="_Toc297216192"/>
      <w:bookmarkStart w:id="458" w:name="_Toc303539139"/>
      <w:bookmarkStart w:id="459" w:name="_Toc304295559"/>
      <w:bookmarkStart w:id="460" w:name="_Toc312677495"/>
      <w:bookmarkStart w:id="461" w:name="_Toc292559378"/>
      <w:bookmarkStart w:id="462" w:name="_Toc297048359"/>
      <w:bookmarkStart w:id="463" w:name="_Toc296891001"/>
      <w:bookmarkStart w:id="464" w:name="_Toc296503173"/>
      <w:bookmarkStart w:id="465" w:name="_Toc297120473"/>
      <w:bookmarkStart w:id="466" w:name="_Toc267251428"/>
      <w:bookmarkStart w:id="467" w:name="_Toc296346674"/>
      <w:bookmarkStart w:id="468" w:name="_Toc267251427"/>
      <w:bookmarkStart w:id="469" w:name="_Toc292559883"/>
      <w:bookmarkStart w:id="470" w:name="_Toc296944512"/>
      <w:bookmarkStart w:id="471" w:name="_Toc296891213"/>
      <w:bookmarkStart w:id="472" w:name="_Toc296347172"/>
      <w:r>
        <w:rPr>
          <w:rFonts w:hint="eastAsia" w:ascii="宋体" w:hAnsi="宋体" w:eastAsia="宋体" w:cs="宋体"/>
          <w:color w:val="auto"/>
          <w:sz w:val="24"/>
          <w:szCs w:val="24"/>
          <w:highlight w:val="none"/>
        </w:rPr>
        <w:t>. 试验与检验</w:t>
      </w:r>
      <w:bookmarkEnd w:id="450"/>
      <w:bookmarkEnd w:id="451"/>
      <w:bookmarkEnd w:id="452"/>
      <w:bookmarkEnd w:id="453"/>
    </w:p>
    <w:bookmarkEnd w:id="454"/>
    <w:bookmarkEnd w:id="455"/>
    <w:bookmarkEnd w:id="456"/>
    <w:bookmarkEnd w:id="457"/>
    <w:bookmarkEnd w:id="458"/>
    <w:bookmarkEnd w:id="459"/>
    <w:bookmarkEnd w:id="460"/>
    <w:p w14:paraId="24DC764A">
      <w:pPr>
        <w:pStyle w:val="202"/>
        <w:spacing w:before="0" w:line="360" w:lineRule="auto"/>
        <w:rPr>
          <w:rFonts w:hint="eastAsia" w:ascii="宋体" w:hAnsi="宋体" w:eastAsia="宋体" w:cs="宋体"/>
          <w:color w:val="auto"/>
          <w:sz w:val="24"/>
          <w:szCs w:val="24"/>
          <w:highlight w:val="none"/>
        </w:rPr>
      </w:pPr>
      <w:bookmarkStart w:id="473" w:name="_Toc454283139"/>
      <w:bookmarkStart w:id="474" w:name="_Toc28205"/>
      <w:bookmarkStart w:id="475" w:name="_Toc417904312"/>
      <w:r>
        <w:rPr>
          <w:rFonts w:hint="eastAsia" w:ascii="宋体" w:hAnsi="宋体" w:eastAsia="宋体" w:cs="宋体"/>
          <w:color w:val="auto"/>
          <w:sz w:val="24"/>
          <w:szCs w:val="24"/>
          <w:highlight w:val="none"/>
        </w:rPr>
        <w:t>9</w:t>
      </w:r>
      <w:bookmarkStart w:id="476" w:name="_Toc312677496"/>
      <w:bookmarkStart w:id="477" w:name="_Toc297123534"/>
      <w:bookmarkStart w:id="478" w:name="_Toc304295560"/>
      <w:bookmarkStart w:id="479" w:name="_Toc303539140"/>
      <w:bookmarkStart w:id="480" w:name="_Toc300934983"/>
      <w:bookmarkStart w:id="481" w:name="_Toc312678022"/>
      <w:bookmarkStart w:id="482" w:name="_Toc297216193"/>
      <w:r>
        <w:rPr>
          <w:rFonts w:hint="eastAsia" w:ascii="宋体" w:hAnsi="宋体" w:eastAsia="宋体" w:cs="宋体"/>
          <w:color w:val="auto"/>
          <w:sz w:val="24"/>
          <w:szCs w:val="24"/>
          <w:highlight w:val="none"/>
        </w:rPr>
        <w:t>.1试验设备与试验人员</w:t>
      </w:r>
      <w:bookmarkEnd w:id="473"/>
      <w:bookmarkEnd w:id="474"/>
      <w:bookmarkEnd w:id="475"/>
    </w:p>
    <w:bookmarkEnd w:id="476"/>
    <w:bookmarkEnd w:id="477"/>
    <w:bookmarkEnd w:id="478"/>
    <w:bookmarkEnd w:id="479"/>
    <w:bookmarkEnd w:id="480"/>
    <w:bookmarkEnd w:id="481"/>
    <w:bookmarkEnd w:id="482"/>
    <w:p w14:paraId="6AEE59E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83" w:name="_Toc304295561"/>
      <w:bookmarkStart w:id="484" w:name="_Toc312678023"/>
      <w:bookmarkStart w:id="485" w:name="_Toc297216194"/>
      <w:bookmarkStart w:id="486" w:name="_Toc300934984"/>
      <w:bookmarkStart w:id="487" w:name="_Toc303539141"/>
      <w:bookmarkStart w:id="488" w:name="_Toc297123535"/>
      <w:bookmarkStart w:id="489" w:name="_Toc312677497"/>
      <w:bookmarkStart w:id="490" w:name="_Toc318581174"/>
      <w:r>
        <w:rPr>
          <w:rFonts w:hint="eastAsia" w:ascii="宋体" w:hAnsi="宋体" w:eastAsia="宋体" w:cs="宋体"/>
          <w:color w:val="auto"/>
          <w:sz w:val="24"/>
          <w:szCs w:val="24"/>
          <w:highlight w:val="none"/>
        </w:rPr>
        <w:t>.1.2 试验设备</w:t>
      </w:r>
    </w:p>
    <w:p w14:paraId="255322B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483"/>
      <w:bookmarkEnd w:id="484"/>
      <w:bookmarkEnd w:id="485"/>
      <w:bookmarkEnd w:id="486"/>
      <w:bookmarkEnd w:id="487"/>
      <w:bookmarkEnd w:id="488"/>
      <w:bookmarkEnd w:id="489"/>
      <w:bookmarkStart w:id="491" w:name="_Toc300934985"/>
      <w:bookmarkStart w:id="492" w:name="_Toc297216195"/>
      <w:bookmarkStart w:id="493" w:name="_Toc312678024"/>
      <w:bookmarkStart w:id="494" w:name="_Toc303539142"/>
      <w:bookmarkStart w:id="495" w:name="_Toc304295562"/>
      <w:bookmarkStart w:id="496" w:name="_Toc312677498"/>
      <w:bookmarkStart w:id="497" w:name="_Toc297123536"/>
      <w:r>
        <w:rPr>
          <w:rFonts w:hint="eastAsia" w:ascii="宋体" w:hAnsi="宋体" w:eastAsia="宋体" w:cs="宋体"/>
          <w:color w:val="auto"/>
          <w:sz w:val="24"/>
          <w:szCs w:val="24"/>
          <w:highlight w:val="none"/>
          <w:u w:val="single"/>
        </w:rPr>
        <w:t xml:space="preserve">   按实际需要和国家、地方有关规定 </w:t>
      </w:r>
      <w:r>
        <w:rPr>
          <w:rFonts w:hint="eastAsia" w:ascii="宋体" w:hAnsi="宋体" w:eastAsia="宋体" w:cs="宋体"/>
          <w:color w:val="auto"/>
          <w:sz w:val="24"/>
          <w:szCs w:val="24"/>
          <w:highlight w:val="none"/>
        </w:rPr>
        <w:t xml:space="preserve">。 </w:t>
      </w:r>
    </w:p>
    <w:p w14:paraId="5445666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按实际需要和国家、地方有关规定   </w:t>
      </w:r>
      <w:r>
        <w:rPr>
          <w:rFonts w:hint="eastAsia" w:ascii="宋体" w:hAnsi="宋体" w:eastAsia="宋体" w:cs="宋体"/>
          <w:color w:val="auto"/>
          <w:sz w:val="24"/>
          <w:szCs w:val="24"/>
          <w:highlight w:val="none"/>
        </w:rPr>
        <w:t>。</w:t>
      </w:r>
    </w:p>
    <w:p w14:paraId="0138544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按实际需要和国家、地方有关规定</w:t>
      </w:r>
      <w:r>
        <w:rPr>
          <w:rFonts w:hint="eastAsia" w:ascii="宋体" w:hAnsi="宋体" w:eastAsia="宋体" w:cs="宋体"/>
          <w:color w:val="auto"/>
          <w:sz w:val="24"/>
          <w:szCs w:val="24"/>
          <w:highlight w:val="none"/>
        </w:rPr>
        <w:t>。</w:t>
      </w:r>
    </w:p>
    <w:p w14:paraId="11E18A76">
      <w:pPr>
        <w:pStyle w:val="202"/>
        <w:spacing w:before="0" w:line="360" w:lineRule="auto"/>
        <w:rPr>
          <w:rFonts w:hint="eastAsia" w:ascii="宋体" w:hAnsi="宋体" w:eastAsia="宋体" w:cs="宋体"/>
          <w:color w:val="auto"/>
          <w:sz w:val="24"/>
          <w:szCs w:val="24"/>
          <w:highlight w:val="none"/>
        </w:rPr>
      </w:pPr>
      <w:bookmarkStart w:id="498" w:name="_Toc454283140"/>
      <w:bookmarkStart w:id="499" w:name="_Toc417904313"/>
      <w:bookmarkStart w:id="500" w:name="_Toc24974"/>
      <w:r>
        <w:rPr>
          <w:rFonts w:hint="eastAsia" w:ascii="宋体" w:hAnsi="宋体" w:eastAsia="宋体" w:cs="宋体"/>
          <w:color w:val="auto"/>
          <w:sz w:val="24"/>
          <w:szCs w:val="24"/>
          <w:highlight w:val="none"/>
        </w:rPr>
        <w:t>9.4 现场工艺试验</w:t>
      </w:r>
      <w:bookmarkEnd w:id="498"/>
      <w:bookmarkEnd w:id="499"/>
      <w:bookmarkEnd w:id="500"/>
      <w:r>
        <w:rPr>
          <w:rFonts w:hint="eastAsia" w:ascii="宋体" w:hAnsi="宋体" w:eastAsia="宋体" w:cs="宋体"/>
          <w:color w:val="auto"/>
          <w:sz w:val="24"/>
          <w:szCs w:val="24"/>
          <w:highlight w:val="none"/>
        </w:rPr>
        <w:t xml:space="preserve"> </w:t>
      </w:r>
    </w:p>
    <w:p w14:paraId="1081033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按实际需要和国家、地方有关规定  </w:t>
      </w:r>
      <w:r>
        <w:rPr>
          <w:rFonts w:hint="eastAsia" w:ascii="宋体" w:hAnsi="宋体" w:eastAsia="宋体" w:cs="宋体"/>
          <w:color w:val="auto"/>
          <w:sz w:val="24"/>
          <w:szCs w:val="24"/>
          <w:highlight w:val="none"/>
        </w:rPr>
        <w:t>。</w:t>
      </w:r>
    </w:p>
    <w:p w14:paraId="6086DB22">
      <w:pPr>
        <w:pStyle w:val="202"/>
        <w:spacing w:before="0" w:line="360" w:lineRule="auto"/>
        <w:rPr>
          <w:rFonts w:hint="eastAsia" w:ascii="宋体" w:hAnsi="宋体" w:eastAsia="宋体" w:cs="宋体"/>
          <w:color w:val="auto"/>
          <w:sz w:val="24"/>
          <w:szCs w:val="24"/>
          <w:highlight w:val="none"/>
        </w:rPr>
      </w:pPr>
      <w:bookmarkStart w:id="501" w:name="_Toc454283141"/>
      <w:bookmarkStart w:id="502" w:name="_Toc406420990"/>
      <w:bookmarkStart w:id="503" w:name="_Toc395382541"/>
      <w:bookmarkStart w:id="504" w:name="_Toc4508"/>
      <w:bookmarkStart w:id="505" w:name="_Toc417904314"/>
      <w:r>
        <w:rPr>
          <w:rFonts w:hint="eastAsia" w:ascii="宋体" w:hAnsi="宋体" w:eastAsia="宋体" w:cs="宋体"/>
          <w:color w:val="auto"/>
          <w:sz w:val="24"/>
          <w:szCs w:val="24"/>
          <w:highlight w:val="none"/>
        </w:rPr>
        <w:t>9.5 检验费用</w:t>
      </w:r>
      <w:bookmarkEnd w:id="501"/>
      <w:bookmarkEnd w:id="502"/>
      <w:bookmarkEnd w:id="503"/>
      <w:bookmarkEnd w:id="504"/>
      <w:bookmarkEnd w:id="505"/>
    </w:p>
    <w:p w14:paraId="7E23421C">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工程质量检测业务由</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委托有相应资质的检测机构检测。费用从</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的项目建设经费中支出并直接支付给检测机构，不计入合同价款内。</w:t>
      </w:r>
    </w:p>
    <w:bookmarkEnd w:id="490"/>
    <w:bookmarkEnd w:id="491"/>
    <w:bookmarkEnd w:id="492"/>
    <w:bookmarkEnd w:id="493"/>
    <w:bookmarkEnd w:id="494"/>
    <w:bookmarkEnd w:id="495"/>
    <w:bookmarkEnd w:id="496"/>
    <w:bookmarkEnd w:id="497"/>
    <w:p w14:paraId="719BF055">
      <w:pPr>
        <w:pStyle w:val="202"/>
        <w:spacing w:before="0" w:line="360" w:lineRule="auto"/>
        <w:rPr>
          <w:rFonts w:hint="eastAsia" w:ascii="宋体" w:hAnsi="宋体" w:eastAsia="宋体" w:cs="宋体"/>
          <w:color w:val="auto"/>
          <w:sz w:val="24"/>
          <w:szCs w:val="24"/>
          <w:highlight w:val="none"/>
        </w:rPr>
      </w:pPr>
      <w:bookmarkStart w:id="506" w:name="_Toc351203642"/>
      <w:bookmarkStart w:id="507" w:name="_Toc417904315"/>
      <w:bookmarkStart w:id="508" w:name="_Toc454283142"/>
      <w:bookmarkStart w:id="509" w:name="_Toc24336"/>
      <w:r>
        <w:rPr>
          <w:rFonts w:hint="eastAsia" w:ascii="宋体" w:hAnsi="宋体" w:eastAsia="宋体" w:cs="宋体"/>
          <w:color w:val="auto"/>
          <w:sz w:val="24"/>
          <w:szCs w:val="24"/>
          <w:highlight w:val="none"/>
        </w:rPr>
        <w:t>1</w:t>
      </w:r>
      <w:bookmarkEnd w:id="461"/>
      <w:bookmarkEnd w:id="462"/>
      <w:bookmarkEnd w:id="463"/>
      <w:bookmarkEnd w:id="464"/>
      <w:bookmarkEnd w:id="465"/>
      <w:bookmarkEnd w:id="466"/>
      <w:bookmarkEnd w:id="467"/>
      <w:bookmarkEnd w:id="468"/>
      <w:bookmarkEnd w:id="469"/>
      <w:bookmarkEnd w:id="470"/>
      <w:bookmarkEnd w:id="471"/>
      <w:bookmarkEnd w:id="472"/>
      <w:bookmarkStart w:id="510" w:name="_Toc292559398"/>
      <w:bookmarkStart w:id="511" w:name="_Toc304295566"/>
      <w:bookmarkStart w:id="512" w:name="_Toc296346694"/>
      <w:bookmarkStart w:id="513" w:name="_Toc296944532"/>
      <w:bookmarkStart w:id="514" w:name="_Toc296891021"/>
      <w:bookmarkStart w:id="515" w:name="_Toc292559903"/>
      <w:bookmarkStart w:id="516" w:name="_Toc303539146"/>
      <w:bookmarkStart w:id="517" w:name="_Toc297120493"/>
      <w:bookmarkStart w:id="518" w:name="_Toc297048379"/>
      <w:bookmarkStart w:id="519" w:name="_Toc296347192"/>
      <w:bookmarkStart w:id="520" w:name="_Toc296891233"/>
      <w:bookmarkStart w:id="521" w:name="_Toc297123540"/>
      <w:bookmarkStart w:id="522" w:name="_Toc300934989"/>
      <w:bookmarkStart w:id="523" w:name="_Toc297216199"/>
      <w:bookmarkStart w:id="524" w:name="_Toc296503193"/>
      <w:bookmarkStart w:id="525" w:name="_Toc312678025"/>
      <w:bookmarkStart w:id="526" w:name="_Toc312677499"/>
      <w:bookmarkStart w:id="527" w:name="_Toc267251435"/>
      <w:bookmarkStart w:id="528" w:name="_Toc267251433"/>
      <w:bookmarkStart w:id="529" w:name="_Toc267251441"/>
      <w:bookmarkStart w:id="530" w:name="_Toc267251439"/>
      <w:bookmarkStart w:id="531" w:name="_Toc267251437"/>
      <w:bookmarkStart w:id="532" w:name="_Toc267251440"/>
      <w:bookmarkStart w:id="533" w:name="_Toc267251442"/>
      <w:r>
        <w:rPr>
          <w:rFonts w:hint="eastAsia" w:ascii="宋体" w:hAnsi="宋体" w:eastAsia="宋体" w:cs="宋体"/>
          <w:color w:val="auto"/>
          <w:sz w:val="24"/>
          <w:szCs w:val="24"/>
          <w:highlight w:val="none"/>
        </w:rPr>
        <w:t>0. 变更</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bookmarkEnd w:id="525"/>
    <w:bookmarkEnd w:id="526"/>
    <w:p w14:paraId="6B57FBD7">
      <w:pPr>
        <w:pStyle w:val="202"/>
        <w:spacing w:before="0" w:line="360" w:lineRule="auto"/>
        <w:rPr>
          <w:rFonts w:hint="eastAsia" w:ascii="宋体" w:hAnsi="宋体" w:eastAsia="宋体" w:cs="宋体"/>
          <w:color w:val="auto"/>
          <w:sz w:val="24"/>
          <w:szCs w:val="24"/>
          <w:highlight w:val="none"/>
        </w:rPr>
      </w:pPr>
      <w:bookmarkStart w:id="534" w:name="_Toc454283143"/>
      <w:bookmarkStart w:id="535" w:name="_Toc417904316"/>
      <w:bookmarkStart w:id="536" w:name="_Toc10574"/>
      <w:r>
        <w:rPr>
          <w:rFonts w:hint="eastAsia" w:ascii="宋体" w:hAnsi="宋体" w:eastAsia="宋体" w:cs="宋体"/>
          <w:color w:val="auto"/>
          <w:sz w:val="24"/>
          <w:szCs w:val="24"/>
          <w:highlight w:val="none"/>
        </w:rPr>
        <w:t>1</w:t>
      </w:r>
      <w:bookmarkStart w:id="537" w:name="_Toc296347193"/>
      <w:bookmarkStart w:id="538" w:name="_Toc304295567"/>
      <w:bookmarkStart w:id="539" w:name="_Toc297048380"/>
      <w:bookmarkStart w:id="540" w:name="_Toc303539147"/>
      <w:bookmarkStart w:id="541" w:name="_Toc296503194"/>
      <w:bookmarkStart w:id="542" w:name="_Toc300934990"/>
      <w:bookmarkStart w:id="543" w:name="_Toc312678026"/>
      <w:bookmarkStart w:id="544" w:name="_Toc296346695"/>
      <w:bookmarkStart w:id="545" w:name="_Toc292559904"/>
      <w:bookmarkStart w:id="546" w:name="_Toc297120494"/>
      <w:bookmarkStart w:id="547" w:name="_Toc297123541"/>
      <w:bookmarkStart w:id="548" w:name="_Toc312677500"/>
      <w:bookmarkStart w:id="549" w:name="_Toc292559399"/>
      <w:bookmarkStart w:id="550" w:name="_Toc296944533"/>
      <w:bookmarkStart w:id="551" w:name="_Toc296891234"/>
      <w:bookmarkStart w:id="552" w:name="_Toc296891022"/>
      <w:bookmarkStart w:id="553" w:name="_Toc297216200"/>
      <w:r>
        <w:rPr>
          <w:rFonts w:hint="eastAsia" w:ascii="宋体" w:hAnsi="宋体" w:eastAsia="宋体" w:cs="宋体"/>
          <w:color w:val="auto"/>
          <w:sz w:val="24"/>
          <w:szCs w:val="24"/>
          <w:highlight w:val="none"/>
        </w:rPr>
        <w:t>0.1变更的范围</w:t>
      </w:r>
      <w:bookmarkEnd w:id="534"/>
      <w:bookmarkEnd w:id="535"/>
      <w:bookmarkEnd w:id="536"/>
    </w:p>
    <w:p w14:paraId="2E4C6B22">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①施工期间因不可预见因素或发包人要求所发生的工程量增减（由变更、签证产生），其工程量按实际发生并经监理工程师及发包人签证认可，工程变更综合单价按专用条款第 10.4 点规定执行；②签证资料提交时间：完成现场收方后 5 个工作日内提交监理人和发包人审核，逾期提交的不予签认，损失由承包人自行承担。</w:t>
      </w:r>
    </w:p>
    <w:p w14:paraId="110594F1">
      <w:pPr>
        <w:pStyle w:val="202"/>
        <w:spacing w:before="0" w:line="360" w:lineRule="auto"/>
        <w:rPr>
          <w:rFonts w:hint="eastAsia" w:ascii="宋体" w:hAnsi="宋体" w:eastAsia="宋体" w:cs="宋体"/>
          <w:color w:val="auto"/>
          <w:sz w:val="24"/>
          <w:szCs w:val="24"/>
          <w:highlight w:val="none"/>
        </w:rPr>
      </w:pPr>
      <w:bookmarkStart w:id="554" w:name="_Toc373478388"/>
      <w:bookmarkStart w:id="555" w:name="_Toc454283144"/>
      <w:bookmarkStart w:id="556" w:name="_Toc389065307"/>
      <w:bookmarkStart w:id="557" w:name="_Toc373227741"/>
      <w:bookmarkStart w:id="558" w:name="_Toc4210"/>
      <w:bookmarkStart w:id="559" w:name="_Toc417904317"/>
      <w:bookmarkStart w:id="560" w:name="_Toc395382544"/>
      <w:r>
        <w:rPr>
          <w:rFonts w:hint="eastAsia" w:ascii="宋体" w:hAnsi="宋体" w:eastAsia="宋体" w:cs="宋体"/>
          <w:color w:val="auto"/>
          <w:sz w:val="24"/>
          <w:szCs w:val="24"/>
          <w:highlight w:val="none"/>
        </w:rPr>
        <w:t>10.3 变更程序</w:t>
      </w:r>
      <w:bookmarkEnd w:id="554"/>
      <w:bookmarkEnd w:id="555"/>
      <w:bookmarkEnd w:id="556"/>
      <w:bookmarkEnd w:id="557"/>
      <w:bookmarkEnd w:id="558"/>
      <w:bookmarkEnd w:id="559"/>
      <w:bookmarkEnd w:id="560"/>
    </w:p>
    <w:p w14:paraId="4D1E8C8D">
      <w:pPr>
        <w:pStyle w:val="91"/>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10.3.1国有投资项目：</w:t>
      </w:r>
    </w:p>
    <w:p w14:paraId="5358C813">
      <w:pPr>
        <w:pStyle w:val="91"/>
        <w:spacing w:line="360" w:lineRule="auto"/>
        <w:ind w:firstLine="504" w:firstLineChars="21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⑴设计变更和工程签证，按各市政府或相关部门的规定办理。属不可抗力（自然灾害、突发事件等）造成变更的，按特事特办原则予以办理。</w:t>
      </w:r>
    </w:p>
    <w:p w14:paraId="0D059E40">
      <w:pPr>
        <w:pStyle w:val="91"/>
        <w:spacing w:line="360" w:lineRule="auto"/>
        <w:ind w:firstLine="504" w:firstLineChars="21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⑵建设单位在实施项目过程中，若发生单价变动，由发包人、承包人、监理或造价咨询等单位共同商定并签字确认。</w:t>
      </w:r>
    </w:p>
    <w:p w14:paraId="57CCE2C0">
      <w:pPr>
        <w:pStyle w:val="91"/>
        <w:spacing w:line="360" w:lineRule="auto"/>
        <w:ind w:firstLine="504" w:firstLineChars="21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26A34C8">
      <w:pPr>
        <w:pStyle w:val="89"/>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非国有投资项目：</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79CEB06E">
      <w:pPr>
        <w:pStyle w:val="202"/>
        <w:spacing w:before="0" w:line="360" w:lineRule="auto"/>
        <w:rPr>
          <w:rFonts w:hint="eastAsia" w:ascii="宋体" w:hAnsi="宋体" w:eastAsia="宋体" w:cs="宋体"/>
          <w:color w:val="auto"/>
          <w:sz w:val="24"/>
          <w:szCs w:val="24"/>
          <w:highlight w:val="none"/>
        </w:rPr>
      </w:pPr>
      <w:bookmarkStart w:id="561" w:name="_Toc417904318"/>
      <w:bookmarkStart w:id="562" w:name="_Toc12382"/>
      <w:bookmarkStart w:id="563" w:name="_Toc454283145"/>
      <w:r>
        <w:rPr>
          <w:rFonts w:hint="eastAsia" w:ascii="宋体" w:hAnsi="宋体" w:eastAsia="宋体" w:cs="宋体"/>
          <w:color w:val="auto"/>
          <w:sz w:val="24"/>
          <w:szCs w:val="24"/>
          <w:highlight w:val="none"/>
        </w:rPr>
        <w:t>10.4 变更估价</w:t>
      </w:r>
      <w:bookmarkEnd w:id="561"/>
      <w:bookmarkEnd w:id="562"/>
      <w:bookmarkEnd w:id="563"/>
    </w:p>
    <w:p w14:paraId="03BE35F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10.4.1变更估价原则</w:t>
      </w:r>
      <w:bookmarkStart w:id="564" w:name="_Toc251051742"/>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计算，其中材料价格按施工期间的《</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bCs/>
          <w:color w:val="auto"/>
          <w:sz w:val="24"/>
          <w:szCs w:val="24"/>
          <w:highlight w:val="none"/>
          <w:u w:val="single"/>
        </w:rPr>
        <w:t>》相应价格信息进行计算；《</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bCs/>
          <w:color w:val="auto"/>
          <w:sz w:val="24"/>
          <w:szCs w:val="24"/>
          <w:highlight w:val="none"/>
          <w:u w:val="single"/>
        </w:rPr>
        <w:t>》没有相应价格信息的按市场价计算；无定额可套的，根据市场价格协商确定综合价格；对于国有资产投资的项目，新增项目的单价必须经发包人委托的第三方审核机构审定</w:t>
      </w:r>
      <w:bookmarkEnd w:id="564"/>
      <w:r>
        <w:rPr>
          <w:rFonts w:hint="eastAsia" w:ascii="宋体" w:hAnsi="宋体" w:eastAsia="宋体" w:cs="宋体"/>
          <w:color w:val="auto"/>
          <w:sz w:val="24"/>
          <w:szCs w:val="24"/>
          <w:highlight w:val="none"/>
        </w:rPr>
        <w:t>。</w:t>
      </w:r>
    </w:p>
    <w:p w14:paraId="3C8315F6">
      <w:pPr>
        <w:pStyle w:val="89"/>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cs="宋体"/>
          <w:color w:val="auto"/>
          <w:sz w:val="24"/>
          <w:szCs w:val="24"/>
          <w:highlight w:val="none"/>
          <w:u w:val="single"/>
          <w:lang w:eastAsia="zh-CN"/>
        </w:rPr>
        <w:t>【</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乘以下浮系数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lang w:eastAsia="zh-CN"/>
        </w:rPr>
        <w:t>价</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上限</w:t>
      </w:r>
      <w:r>
        <w:rPr>
          <w:rFonts w:hint="eastAsia" w:ascii="宋体" w:hAnsi="宋体" w:eastAsia="宋体" w:cs="宋体"/>
          <w:color w:val="auto"/>
          <w:sz w:val="24"/>
          <w:szCs w:val="24"/>
          <w:highlight w:val="none"/>
          <w:u w:val="single"/>
          <w:lang w:eastAsia="zh-CN"/>
        </w:rPr>
        <w:t>价）</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rPr>
        <w:t>不乘下浮系数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计算，其中：材料设备价格按施工期间的《</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color w:val="auto"/>
          <w:sz w:val="24"/>
          <w:szCs w:val="24"/>
          <w:highlight w:val="none"/>
          <w:u w:val="single"/>
        </w:rPr>
        <w:t>》相应信息价的加权平均值计算，《</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color w:val="auto"/>
          <w:sz w:val="24"/>
          <w:szCs w:val="24"/>
          <w:highlight w:val="none"/>
          <w:u w:val="single"/>
        </w:rPr>
        <w:t>》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eastAsia="宋体" w:cs="宋体"/>
          <w:color w:val="auto"/>
          <w:sz w:val="24"/>
          <w:szCs w:val="24"/>
          <w:highlight w:val="none"/>
        </w:rPr>
        <w:t>。以上约定同时适用于招标工程量清单缺项以及工程量清单项目特征与图纸不符时的价款确定。</w:t>
      </w:r>
    </w:p>
    <w:p w14:paraId="4B7437B6">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工程变更导致实际完成的变更工程量与已标价清单或预算书中列明的该项目工程量有偏差时，其综合单价的确定按专用条款“1.13工程量清单错误的修正”执行</w:t>
      </w:r>
      <w:r>
        <w:rPr>
          <w:rFonts w:hint="eastAsia" w:ascii="宋体" w:hAnsi="宋体" w:eastAsia="宋体" w:cs="宋体"/>
          <w:color w:val="auto"/>
          <w:sz w:val="24"/>
          <w:szCs w:val="24"/>
          <w:highlight w:val="none"/>
        </w:rPr>
        <w:t>。</w:t>
      </w:r>
    </w:p>
    <w:p w14:paraId="3881E203">
      <w:pPr>
        <w:pStyle w:val="202"/>
        <w:spacing w:before="0" w:line="360" w:lineRule="auto"/>
        <w:rPr>
          <w:rFonts w:hint="eastAsia" w:ascii="宋体" w:hAnsi="宋体" w:eastAsia="宋体" w:cs="宋体"/>
          <w:color w:val="auto"/>
          <w:sz w:val="24"/>
          <w:szCs w:val="24"/>
          <w:highlight w:val="none"/>
        </w:rPr>
      </w:pPr>
      <w:bookmarkStart w:id="565" w:name="_Toc417904319"/>
      <w:bookmarkStart w:id="566" w:name="_Toc454283146"/>
      <w:bookmarkStart w:id="567" w:name="_Toc7104"/>
      <w:r>
        <w:rPr>
          <w:rFonts w:hint="eastAsia" w:ascii="宋体" w:hAnsi="宋体" w:eastAsia="宋体" w:cs="宋体"/>
          <w:color w:val="auto"/>
          <w:sz w:val="24"/>
          <w:szCs w:val="24"/>
          <w:highlight w:val="none"/>
        </w:rPr>
        <w:t>1</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Start w:id="568" w:name="_Toc297120497"/>
      <w:bookmarkStart w:id="569" w:name="_Toc300934993"/>
      <w:bookmarkStart w:id="570" w:name="_Toc296346698"/>
      <w:bookmarkStart w:id="571" w:name="_Toc296503197"/>
      <w:bookmarkStart w:id="572" w:name="_Toc296891025"/>
      <w:bookmarkStart w:id="573" w:name="_Toc297216203"/>
      <w:bookmarkStart w:id="574" w:name="_Toc303539150"/>
      <w:bookmarkStart w:id="575" w:name="_Toc297123544"/>
      <w:bookmarkStart w:id="576" w:name="_Toc296347196"/>
      <w:bookmarkStart w:id="577" w:name="_Toc296944536"/>
      <w:bookmarkStart w:id="578" w:name="_Toc292559402"/>
      <w:bookmarkStart w:id="579" w:name="_Toc292559907"/>
      <w:bookmarkStart w:id="580" w:name="_Toc296891237"/>
      <w:bookmarkStart w:id="581" w:name="_Toc297048383"/>
      <w:bookmarkStart w:id="582" w:name="_Toc312678029"/>
      <w:bookmarkStart w:id="583" w:name="_Toc304295570"/>
      <w:bookmarkStart w:id="584" w:name="_Toc312677503"/>
      <w:r>
        <w:rPr>
          <w:rFonts w:hint="eastAsia" w:ascii="宋体" w:hAnsi="宋体" w:eastAsia="宋体" w:cs="宋体"/>
          <w:color w:val="auto"/>
          <w:sz w:val="24"/>
          <w:szCs w:val="24"/>
          <w:highlight w:val="none"/>
        </w:rPr>
        <w:t>0.5承</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Start w:id="585" w:name="_Toc297120503"/>
      <w:bookmarkStart w:id="586" w:name="_Toc296891243"/>
      <w:bookmarkStart w:id="587" w:name="_Toc292559913"/>
      <w:bookmarkStart w:id="588" w:name="_Toc296503203"/>
      <w:bookmarkStart w:id="589" w:name="_Toc297048389"/>
      <w:bookmarkStart w:id="590" w:name="_Toc296891031"/>
      <w:bookmarkStart w:id="591" w:name="_Toc300934994"/>
      <w:bookmarkStart w:id="592" w:name="_Toc297123545"/>
      <w:bookmarkStart w:id="593" w:name="_Toc296346704"/>
      <w:bookmarkStart w:id="594" w:name="_Toc292559408"/>
      <w:bookmarkStart w:id="595" w:name="_Toc297216204"/>
      <w:bookmarkStart w:id="596" w:name="_Toc296944542"/>
      <w:bookmarkStart w:id="597" w:name="_Toc303539151"/>
      <w:bookmarkStart w:id="598" w:name="_Toc296347202"/>
      <w:r>
        <w:rPr>
          <w:rFonts w:hint="eastAsia" w:ascii="宋体" w:hAnsi="宋体" w:eastAsia="宋体" w:cs="宋体"/>
          <w:color w:val="auto"/>
          <w:sz w:val="24"/>
          <w:szCs w:val="24"/>
          <w:highlight w:val="none"/>
        </w:rPr>
        <w:t>包人的合理化建议</w:t>
      </w:r>
      <w:bookmarkEnd w:id="565"/>
      <w:bookmarkEnd w:id="566"/>
      <w:bookmarkEnd w:id="567"/>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4E6B6FF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12B7E37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752A06B3">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599" w:name="_Toc297216205"/>
      <w:bookmarkStart w:id="600" w:name="_Toc303539152"/>
      <w:bookmarkStart w:id="601" w:name="_Toc296347203"/>
      <w:bookmarkStart w:id="602" w:name="_Toc297048390"/>
      <w:bookmarkStart w:id="603" w:name="_Toc296944543"/>
      <w:bookmarkStart w:id="604" w:name="_Toc296503204"/>
      <w:bookmarkStart w:id="605" w:name="_Toc296891244"/>
      <w:bookmarkStart w:id="606" w:name="_Toc300934995"/>
      <w:bookmarkStart w:id="607" w:name="_Toc312677504"/>
      <w:bookmarkStart w:id="608" w:name="_Toc296891032"/>
      <w:bookmarkStart w:id="609" w:name="_Toc292559409"/>
      <w:bookmarkStart w:id="610" w:name="_Toc304295571"/>
      <w:bookmarkStart w:id="611" w:name="_Toc297123546"/>
      <w:bookmarkStart w:id="612" w:name="_Toc297120504"/>
      <w:bookmarkStart w:id="613" w:name="_Toc292559914"/>
      <w:bookmarkStart w:id="614" w:name="_Toc318581175"/>
      <w:bookmarkStart w:id="615" w:name="_Toc296346705"/>
      <w:bookmarkStart w:id="616" w:name="_Toc312678030"/>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49290241">
      <w:pPr>
        <w:pStyle w:val="202"/>
        <w:spacing w:before="0" w:line="360" w:lineRule="auto"/>
        <w:rPr>
          <w:rFonts w:hint="eastAsia" w:ascii="宋体" w:hAnsi="宋体" w:eastAsia="宋体" w:cs="宋体"/>
          <w:color w:val="auto"/>
          <w:sz w:val="24"/>
          <w:szCs w:val="24"/>
          <w:highlight w:val="none"/>
        </w:rPr>
      </w:pPr>
      <w:bookmarkStart w:id="617" w:name="_Toc22170"/>
      <w:bookmarkStart w:id="618" w:name="_Toc417904320"/>
      <w:bookmarkStart w:id="619" w:name="_Toc454283147"/>
      <w:r>
        <w:rPr>
          <w:rFonts w:hint="eastAsia" w:ascii="宋体" w:hAnsi="宋体" w:eastAsia="宋体" w:cs="宋体"/>
          <w:color w:val="auto"/>
          <w:sz w:val="24"/>
          <w:szCs w:val="24"/>
          <w:highlight w:val="none"/>
        </w:rPr>
        <w:t>1</w:t>
      </w:r>
      <w:bookmarkStart w:id="620" w:name="_Toc296891239"/>
      <w:bookmarkStart w:id="621" w:name="_Toc292559404"/>
      <w:bookmarkStart w:id="622" w:name="_Toc297123548"/>
      <w:bookmarkStart w:id="623" w:name="_Toc292559909"/>
      <w:bookmarkStart w:id="624" w:name="_Toc303539154"/>
      <w:bookmarkStart w:id="625" w:name="_Toc297216207"/>
      <w:bookmarkStart w:id="626" w:name="_Toc312677507"/>
      <w:bookmarkStart w:id="627" w:name="_Toc296346700"/>
      <w:bookmarkStart w:id="628" w:name="_Toc296944538"/>
      <w:bookmarkStart w:id="629" w:name="_Toc297120499"/>
      <w:bookmarkStart w:id="630" w:name="_Toc296347198"/>
      <w:bookmarkStart w:id="631" w:name="_Toc296503199"/>
      <w:bookmarkStart w:id="632" w:name="_Toc297048385"/>
      <w:bookmarkStart w:id="633" w:name="_Toc300934997"/>
      <w:bookmarkStart w:id="634" w:name="_Toc304295574"/>
      <w:bookmarkStart w:id="635" w:name="_Toc296891027"/>
      <w:bookmarkStart w:id="636" w:name="_Toc312678033"/>
      <w:r>
        <w:rPr>
          <w:rFonts w:hint="eastAsia" w:ascii="宋体" w:hAnsi="宋体" w:eastAsia="宋体" w:cs="宋体"/>
          <w:color w:val="auto"/>
          <w:sz w:val="24"/>
          <w:szCs w:val="24"/>
          <w:highlight w:val="none"/>
        </w:rPr>
        <w:t>0.7 暂估价</w:t>
      </w:r>
      <w:bookmarkEnd w:id="617"/>
      <w:bookmarkEnd w:id="618"/>
      <w:bookmarkEnd w:id="619"/>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61CCF48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暂估价材料和工程设备的明细详见附件11：《暂估价一览表》。</w:t>
      </w:r>
    </w:p>
    <w:p w14:paraId="443E08EF">
      <w:pPr>
        <w:pStyle w:val="203"/>
        <w:spacing w:line="360" w:lineRule="auto"/>
        <w:outlineLvl w:val="0"/>
        <w:rPr>
          <w:rFonts w:hint="eastAsia" w:ascii="宋体" w:hAnsi="宋体" w:eastAsia="宋体" w:cs="宋体"/>
          <w:color w:val="auto"/>
          <w:sz w:val="24"/>
          <w:szCs w:val="24"/>
          <w:highlight w:val="none"/>
        </w:rPr>
      </w:pPr>
      <w:bookmarkStart w:id="637" w:name="_Toc417904321"/>
      <w:bookmarkStart w:id="638" w:name="_Toc21433"/>
      <w:bookmarkStart w:id="639" w:name="_Toc406522266"/>
      <w:bookmarkStart w:id="640" w:name="_Toc454283148"/>
      <w:bookmarkStart w:id="641" w:name="_Toc406419390"/>
      <w:r>
        <w:rPr>
          <w:rFonts w:hint="eastAsia" w:ascii="宋体" w:hAnsi="宋体" w:eastAsia="宋体" w:cs="宋体"/>
          <w:color w:val="auto"/>
          <w:sz w:val="24"/>
          <w:szCs w:val="24"/>
          <w:highlight w:val="none"/>
        </w:rPr>
        <w:t>1</w:t>
      </w:r>
      <w:bookmarkStart w:id="642" w:name="_Toc318581177"/>
      <w:bookmarkStart w:id="643" w:name="_Toc312677509"/>
      <w:bookmarkStart w:id="644" w:name="_Toc312678035"/>
      <w:r>
        <w:rPr>
          <w:rFonts w:hint="eastAsia" w:ascii="宋体" w:hAnsi="宋体" w:eastAsia="宋体" w:cs="宋体"/>
          <w:color w:val="auto"/>
          <w:sz w:val="24"/>
          <w:szCs w:val="24"/>
          <w:highlight w:val="none"/>
        </w:rPr>
        <w:t>0.7.1 依法必须招标的暂估价项目</w:t>
      </w:r>
      <w:bookmarkEnd w:id="637"/>
      <w:bookmarkEnd w:id="638"/>
      <w:bookmarkEnd w:id="639"/>
      <w:bookmarkEnd w:id="640"/>
      <w:bookmarkEnd w:id="641"/>
    </w:p>
    <w:bookmarkEnd w:id="642"/>
    <w:bookmarkEnd w:id="643"/>
    <w:bookmarkEnd w:id="644"/>
    <w:p w14:paraId="43D9076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w:t>
      </w:r>
      <w:r>
        <w:rPr>
          <w:rFonts w:hint="eastAsia" w:ascii="宋体" w:hAnsi="宋体" w:eastAsia="宋体" w:cs="宋体"/>
          <w:color w:val="auto"/>
          <w:sz w:val="24"/>
          <w:szCs w:val="24"/>
          <w:highlight w:val="none"/>
          <w:u w:val="single"/>
        </w:rPr>
        <w:t xml:space="preserve">  双方协定  </w:t>
      </w:r>
      <w:r>
        <w:rPr>
          <w:rFonts w:hint="eastAsia" w:ascii="宋体" w:hAnsi="宋体" w:eastAsia="宋体" w:cs="宋体"/>
          <w:color w:val="auto"/>
          <w:sz w:val="24"/>
          <w:szCs w:val="24"/>
          <w:highlight w:val="none"/>
        </w:rPr>
        <w:t>方式确定。</w:t>
      </w:r>
    </w:p>
    <w:p w14:paraId="1DC3154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6D2E1C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种方式确定。</w:t>
      </w:r>
    </w:p>
    <w:p w14:paraId="308C86B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14:paraId="50402D21">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按市场价格由发包人、承包人、发包人代表、发包人委托的造价咨询机构、现场监管代表及监理协商确定材料价  </w:t>
      </w:r>
      <w:r>
        <w:rPr>
          <w:rFonts w:hint="eastAsia" w:ascii="宋体" w:hAnsi="宋体" w:eastAsia="宋体" w:cs="宋体"/>
          <w:color w:val="auto"/>
          <w:sz w:val="24"/>
          <w:szCs w:val="24"/>
          <w:highlight w:val="none"/>
        </w:rPr>
        <w:t>。</w:t>
      </w:r>
    </w:p>
    <w:p w14:paraId="1274048E">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10.7.3 安全生产责任保险费计入暂估价， 发包人在合同签订之日起 7 日内支付合同约定的安全生产责任保险费用， 最终以结算时按实际情况确认的安全生产责任保险费为准。</w:t>
      </w:r>
    </w:p>
    <w:p w14:paraId="6166A3E2">
      <w:pPr>
        <w:pStyle w:val="202"/>
        <w:spacing w:before="0" w:line="360" w:lineRule="auto"/>
        <w:rPr>
          <w:rFonts w:hint="eastAsia" w:ascii="宋体" w:hAnsi="宋体" w:eastAsia="宋体" w:cs="宋体"/>
          <w:color w:val="auto"/>
          <w:sz w:val="24"/>
          <w:szCs w:val="24"/>
          <w:highlight w:val="none"/>
        </w:rPr>
      </w:pPr>
      <w:bookmarkStart w:id="645" w:name="_Toc417904322"/>
      <w:bookmarkStart w:id="646" w:name="_Toc454283149"/>
      <w:bookmarkStart w:id="647" w:name="_Toc9545"/>
      <w:r>
        <w:rPr>
          <w:rFonts w:hint="eastAsia" w:ascii="宋体" w:hAnsi="宋体" w:eastAsia="宋体" w:cs="宋体"/>
          <w:color w:val="auto"/>
          <w:sz w:val="24"/>
          <w:szCs w:val="24"/>
          <w:highlight w:val="none"/>
        </w:rPr>
        <w:t>10.8 暂列金额</w:t>
      </w:r>
      <w:bookmarkEnd w:id="645"/>
      <w:bookmarkEnd w:id="646"/>
      <w:bookmarkEnd w:id="647"/>
    </w:p>
    <w:p w14:paraId="445200D2">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按市场价格由发包人、承包人、发包人建房代表、发包人委托的造价咨询机构、现场监管代表及监理协商确定材料价</w:t>
      </w:r>
      <w:r>
        <w:rPr>
          <w:rFonts w:hint="eastAsia" w:ascii="宋体" w:hAnsi="宋体" w:eastAsia="宋体" w:cs="宋体"/>
          <w:color w:val="auto"/>
          <w:sz w:val="24"/>
          <w:szCs w:val="24"/>
          <w:highlight w:val="none"/>
        </w:rPr>
        <w:t>。</w:t>
      </w:r>
    </w:p>
    <w:p w14:paraId="2806C598">
      <w:pPr>
        <w:pStyle w:val="202"/>
        <w:spacing w:before="0" w:line="360" w:lineRule="auto"/>
        <w:rPr>
          <w:rFonts w:hint="eastAsia" w:ascii="宋体" w:hAnsi="宋体" w:eastAsia="宋体" w:cs="宋体"/>
          <w:color w:val="auto"/>
          <w:sz w:val="24"/>
          <w:szCs w:val="24"/>
          <w:highlight w:val="none"/>
        </w:rPr>
      </w:pPr>
      <w:bookmarkStart w:id="648" w:name="_Toc8194"/>
      <w:bookmarkStart w:id="649" w:name="_Toc417904323"/>
      <w:bookmarkStart w:id="650" w:name="_Toc454283150"/>
      <w:bookmarkStart w:id="651" w:name="_Toc351203643"/>
      <w:r>
        <w:rPr>
          <w:rFonts w:hint="eastAsia" w:ascii="宋体" w:hAnsi="宋体" w:eastAsia="宋体" w:cs="宋体"/>
          <w:color w:val="auto"/>
          <w:sz w:val="24"/>
          <w:szCs w:val="24"/>
          <w:highlight w:val="none"/>
        </w:rPr>
        <w:t>11. 价格调整</w:t>
      </w:r>
      <w:bookmarkEnd w:id="648"/>
      <w:bookmarkEnd w:id="649"/>
      <w:bookmarkEnd w:id="650"/>
      <w:bookmarkEnd w:id="651"/>
    </w:p>
    <w:p w14:paraId="6D81AF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不调整    </w:t>
      </w:r>
      <w:r>
        <w:rPr>
          <w:rFonts w:hint="eastAsia" w:ascii="宋体" w:hAnsi="宋体" w:eastAsia="宋体" w:cs="宋体"/>
          <w:color w:val="auto"/>
          <w:sz w:val="24"/>
          <w:szCs w:val="24"/>
          <w:highlight w:val="none"/>
        </w:rPr>
        <w:t>。</w:t>
      </w:r>
    </w:p>
    <w:bookmarkEnd w:id="527"/>
    <w:bookmarkEnd w:id="528"/>
    <w:bookmarkEnd w:id="529"/>
    <w:bookmarkEnd w:id="530"/>
    <w:bookmarkEnd w:id="531"/>
    <w:bookmarkEnd w:id="532"/>
    <w:p w14:paraId="542FF618">
      <w:pPr>
        <w:spacing w:line="360" w:lineRule="auto"/>
        <w:ind w:firstLine="480" w:firstLineChars="200"/>
        <w:jc w:val="left"/>
        <w:rPr>
          <w:rFonts w:hint="eastAsia" w:ascii="宋体" w:hAnsi="宋体" w:eastAsia="宋体" w:cs="宋体"/>
          <w:color w:val="auto"/>
          <w:sz w:val="24"/>
          <w:szCs w:val="24"/>
          <w:highlight w:val="none"/>
        </w:rPr>
      </w:pPr>
      <w:bookmarkStart w:id="652" w:name="_Toc297048391"/>
      <w:bookmarkStart w:id="653" w:name="_Toc296944544"/>
      <w:bookmarkStart w:id="654" w:name="_Toc296346706"/>
      <w:bookmarkStart w:id="655" w:name="_Toc296503205"/>
      <w:bookmarkStart w:id="656" w:name="_Toc297120505"/>
      <w:bookmarkStart w:id="657" w:name="_Toc296891245"/>
      <w:bookmarkStart w:id="658" w:name="_Toc296891033"/>
      <w:bookmarkStart w:id="659" w:name="_Toc296347204"/>
      <w:bookmarkStart w:id="660" w:name="_Toc292559410"/>
      <w:bookmarkStart w:id="661" w:name="_Toc292559915"/>
      <w:bookmarkStart w:id="662" w:name="_Toc417904325"/>
      <w:bookmarkStart w:id="663" w:name="_Toc454283151"/>
      <w:bookmarkStart w:id="664" w:name="_Toc351203644"/>
      <w:bookmarkStart w:id="665" w:name="_Toc297123552"/>
      <w:bookmarkStart w:id="666" w:name="_Toc304295579"/>
      <w:bookmarkStart w:id="667" w:name="_Toc312678040"/>
      <w:bookmarkStart w:id="668" w:name="_Toc297216211"/>
      <w:bookmarkStart w:id="669" w:name="_Toc303539159"/>
      <w:bookmarkStart w:id="670" w:name="_Toc300935002"/>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4E64F3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264C4A9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54CE7E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6FD65E7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73D6E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21D853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21DDB46D">
      <w:pPr>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EFD65D0">
      <w:pPr>
        <w:spacing w:line="360" w:lineRule="auto"/>
        <w:ind w:firstLine="64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60C5FB">
      <w:pPr>
        <w:pStyle w:val="202"/>
        <w:spacing w:before="0" w:line="360" w:lineRule="auto"/>
        <w:rPr>
          <w:rFonts w:hint="eastAsia" w:ascii="宋体" w:hAnsi="宋体" w:eastAsia="宋体" w:cs="宋体"/>
          <w:color w:val="auto"/>
          <w:sz w:val="24"/>
          <w:szCs w:val="24"/>
          <w:highlight w:val="none"/>
        </w:rPr>
      </w:pPr>
      <w:bookmarkStart w:id="671" w:name="_Toc17162"/>
      <w:r>
        <w:rPr>
          <w:rFonts w:hint="eastAsia" w:ascii="宋体" w:hAnsi="宋体" w:eastAsia="宋体" w:cs="宋体"/>
          <w:color w:val="auto"/>
          <w:sz w:val="24"/>
          <w:szCs w:val="24"/>
          <w:highlight w:val="none"/>
        </w:rPr>
        <w:t xml:space="preserve">12. </w:t>
      </w:r>
      <w:bookmarkEnd w:id="652"/>
      <w:bookmarkEnd w:id="653"/>
      <w:bookmarkEnd w:id="654"/>
      <w:bookmarkEnd w:id="655"/>
      <w:bookmarkEnd w:id="656"/>
      <w:bookmarkEnd w:id="657"/>
      <w:bookmarkEnd w:id="658"/>
      <w:bookmarkEnd w:id="659"/>
      <w:bookmarkEnd w:id="660"/>
      <w:bookmarkEnd w:id="661"/>
      <w:r>
        <w:rPr>
          <w:rFonts w:hint="eastAsia" w:ascii="宋体" w:hAnsi="宋体" w:eastAsia="宋体" w:cs="宋体"/>
          <w:color w:val="auto"/>
          <w:sz w:val="24"/>
          <w:szCs w:val="24"/>
          <w:highlight w:val="none"/>
        </w:rPr>
        <w:t>合同价格、计量与支付</w:t>
      </w:r>
      <w:bookmarkEnd w:id="662"/>
      <w:bookmarkEnd w:id="663"/>
      <w:bookmarkEnd w:id="664"/>
      <w:bookmarkEnd w:id="671"/>
    </w:p>
    <w:bookmarkEnd w:id="665"/>
    <w:bookmarkEnd w:id="666"/>
    <w:bookmarkEnd w:id="667"/>
    <w:bookmarkEnd w:id="668"/>
    <w:bookmarkEnd w:id="669"/>
    <w:bookmarkEnd w:id="670"/>
    <w:p w14:paraId="7275CA6F">
      <w:pPr>
        <w:pStyle w:val="202"/>
        <w:spacing w:before="0" w:line="360" w:lineRule="auto"/>
        <w:rPr>
          <w:rFonts w:hint="eastAsia" w:ascii="宋体" w:hAnsi="宋体" w:eastAsia="宋体" w:cs="宋体"/>
          <w:color w:val="auto"/>
          <w:sz w:val="24"/>
          <w:szCs w:val="24"/>
          <w:highlight w:val="none"/>
        </w:rPr>
      </w:pPr>
      <w:bookmarkStart w:id="672" w:name="_Toc292559916"/>
      <w:bookmarkStart w:id="673" w:name="_Toc267251461"/>
      <w:bookmarkStart w:id="674" w:name="_Toc292559411"/>
      <w:bookmarkStart w:id="675" w:name="_Toc296503206"/>
      <w:bookmarkStart w:id="676" w:name="_Toc296944545"/>
      <w:bookmarkStart w:id="677" w:name="_Toc297120506"/>
      <w:bookmarkStart w:id="678" w:name="_Toc296891246"/>
      <w:bookmarkStart w:id="679" w:name="_Toc297048392"/>
      <w:bookmarkStart w:id="680" w:name="_Toc296347205"/>
      <w:bookmarkStart w:id="681" w:name="_Toc296891034"/>
      <w:bookmarkStart w:id="682" w:name="_Toc296346707"/>
      <w:bookmarkStart w:id="683" w:name="_Toc373227749"/>
      <w:bookmarkStart w:id="684" w:name="_Toc406421001"/>
      <w:bookmarkStart w:id="685" w:name="_Toc417904326"/>
      <w:bookmarkStart w:id="686" w:name="_Toc395382552"/>
      <w:bookmarkStart w:id="687" w:name="_Toc373478396"/>
      <w:bookmarkStart w:id="688" w:name="_Toc15368"/>
      <w:bookmarkStart w:id="689" w:name="_Toc389065314"/>
      <w:bookmarkStart w:id="690" w:name="_Toc454283152"/>
      <w:bookmarkStart w:id="691" w:name="_Toc300935003"/>
      <w:bookmarkStart w:id="692" w:name="_Toc303539160"/>
      <w:bookmarkStart w:id="693" w:name="_Toc297216212"/>
      <w:bookmarkStart w:id="694" w:name="_Toc304295580"/>
      <w:bookmarkStart w:id="695" w:name="_Toc312678041"/>
      <w:bookmarkStart w:id="696" w:name="_Toc297123553"/>
      <w:bookmarkStart w:id="697" w:name="_Toc300935004"/>
      <w:bookmarkStart w:id="698" w:name="_Toc297216213"/>
      <w:bookmarkStart w:id="699" w:name="_Toc297123554"/>
      <w:bookmarkStart w:id="700" w:name="_Toc312678042"/>
      <w:bookmarkStart w:id="701" w:name="_Toc304295581"/>
      <w:bookmarkStart w:id="702" w:name="_Toc303539161"/>
      <w:bookmarkStart w:id="703" w:name="_Toc296347206"/>
      <w:bookmarkStart w:id="704" w:name="_Toc296944546"/>
      <w:bookmarkStart w:id="705" w:name="_Toc292559917"/>
      <w:bookmarkStart w:id="706" w:name="_Toc296891247"/>
      <w:bookmarkStart w:id="707" w:name="_Toc297120507"/>
      <w:bookmarkStart w:id="708" w:name="_Toc292559412"/>
      <w:bookmarkStart w:id="709" w:name="_Toc296346708"/>
      <w:bookmarkStart w:id="710" w:name="_Toc297048393"/>
      <w:bookmarkStart w:id="711" w:name="_Toc296891035"/>
      <w:bookmarkStart w:id="712" w:name="_Toc296503207"/>
      <w:r>
        <w:rPr>
          <w:rFonts w:hint="eastAsia" w:ascii="宋体" w:hAnsi="宋体" w:eastAsia="宋体" w:cs="宋体"/>
          <w:color w:val="auto"/>
          <w:sz w:val="24"/>
          <w:szCs w:val="24"/>
          <w:highlight w:val="none"/>
        </w:rPr>
        <w:t>12.1 合</w:t>
      </w:r>
      <w:bookmarkEnd w:id="672"/>
      <w:bookmarkEnd w:id="673"/>
      <w:bookmarkEnd w:id="674"/>
      <w:r>
        <w:rPr>
          <w:rFonts w:hint="eastAsia" w:ascii="宋体" w:hAnsi="宋体" w:eastAsia="宋体" w:cs="宋体"/>
          <w:color w:val="auto"/>
          <w:sz w:val="24"/>
          <w:szCs w:val="24"/>
          <w:highlight w:val="none"/>
        </w:rPr>
        <w:t>同价</w:t>
      </w:r>
      <w:bookmarkEnd w:id="675"/>
      <w:bookmarkEnd w:id="676"/>
      <w:bookmarkEnd w:id="677"/>
      <w:bookmarkEnd w:id="678"/>
      <w:bookmarkEnd w:id="679"/>
      <w:bookmarkEnd w:id="680"/>
      <w:bookmarkEnd w:id="681"/>
      <w:bookmarkEnd w:id="682"/>
      <w:r>
        <w:rPr>
          <w:rFonts w:hint="eastAsia" w:ascii="宋体" w:hAnsi="宋体" w:eastAsia="宋体" w:cs="宋体"/>
          <w:color w:val="auto"/>
          <w:sz w:val="24"/>
          <w:szCs w:val="24"/>
          <w:highlight w:val="none"/>
        </w:rPr>
        <w:t>格形式</w:t>
      </w:r>
      <w:bookmarkEnd w:id="683"/>
      <w:bookmarkEnd w:id="684"/>
      <w:bookmarkEnd w:id="685"/>
      <w:bookmarkEnd w:id="686"/>
      <w:bookmarkEnd w:id="687"/>
      <w:bookmarkEnd w:id="688"/>
      <w:bookmarkEnd w:id="689"/>
      <w:bookmarkEnd w:id="690"/>
    </w:p>
    <w:bookmarkEnd w:id="691"/>
    <w:bookmarkEnd w:id="692"/>
    <w:bookmarkEnd w:id="693"/>
    <w:bookmarkEnd w:id="694"/>
    <w:bookmarkEnd w:id="695"/>
    <w:bookmarkEnd w:id="696"/>
    <w:p w14:paraId="7821F3E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2A95056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本合同价款采用固定综合单价方式确定。</w:t>
      </w:r>
    </w:p>
    <w:p w14:paraId="6A87B1BC">
      <w:pPr>
        <w:pStyle w:val="89"/>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采用综合单价合同方式时，工程量按建设单位、监理单位、施工单位三方确认的竣工图结算。</w:t>
      </w:r>
    </w:p>
    <w:p w14:paraId="5A038390">
      <w:pPr>
        <w:adjustRightInd w:val="0"/>
        <w:snapToGrid w:val="0"/>
        <w:spacing w:line="360" w:lineRule="auto"/>
        <w:ind w:firstLine="504" w:firstLineChars="21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除工程变更、项目特征不符、工程量清单缺项、工程量偏差、政策性调整、市场价格波动</w:t>
      </w:r>
    </w:p>
    <w:p w14:paraId="2EA63F13">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风险范围以外合同价格的调整方法： </w:t>
      </w:r>
    </w:p>
    <w:p w14:paraId="45664507">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①工程变更：按10.4.1变更估价原则的约定调整。</w:t>
      </w:r>
    </w:p>
    <w:p w14:paraId="64FCEAC6">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②政策性调整：按自治区建设行政主管部门颁布的文件执行。</w:t>
      </w:r>
    </w:p>
    <w:p w14:paraId="7725F432">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③材料价格风险：按11.1的约定调整。</w:t>
      </w:r>
    </w:p>
    <w:p w14:paraId="5B590141">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④其它：</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bookmarkEnd w:id="697"/>
      <w:bookmarkEnd w:id="698"/>
      <w:bookmarkEnd w:id="699"/>
      <w:bookmarkEnd w:id="700"/>
      <w:bookmarkEnd w:id="701"/>
      <w:bookmarkEnd w:id="702"/>
    </w:p>
    <w:bookmarkEnd w:id="703"/>
    <w:bookmarkEnd w:id="704"/>
    <w:bookmarkEnd w:id="705"/>
    <w:bookmarkEnd w:id="706"/>
    <w:bookmarkEnd w:id="707"/>
    <w:bookmarkEnd w:id="708"/>
    <w:bookmarkEnd w:id="709"/>
    <w:bookmarkEnd w:id="710"/>
    <w:bookmarkEnd w:id="711"/>
    <w:bookmarkEnd w:id="712"/>
    <w:p w14:paraId="0E6E9429">
      <w:pPr>
        <w:pStyle w:val="202"/>
        <w:spacing w:before="0" w:line="360" w:lineRule="auto"/>
        <w:rPr>
          <w:rFonts w:hint="eastAsia" w:ascii="宋体" w:hAnsi="宋体" w:eastAsia="宋体" w:cs="宋体"/>
          <w:color w:val="auto"/>
          <w:sz w:val="24"/>
          <w:szCs w:val="24"/>
          <w:highlight w:val="none"/>
        </w:rPr>
      </w:pPr>
      <w:bookmarkStart w:id="713" w:name="_Toc22666"/>
      <w:bookmarkStart w:id="714" w:name="_Toc417904329"/>
      <w:bookmarkStart w:id="715" w:name="_Toc454283155"/>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计量</w:t>
      </w:r>
      <w:bookmarkEnd w:id="713"/>
      <w:bookmarkEnd w:id="714"/>
      <w:bookmarkEnd w:id="715"/>
    </w:p>
    <w:p w14:paraId="13E15714">
      <w:pPr>
        <w:spacing w:line="360" w:lineRule="auto"/>
        <w:ind w:firstLine="480" w:firstLineChars="200"/>
        <w:jc w:val="left"/>
        <w:rPr>
          <w:rFonts w:hint="eastAsia" w:ascii="宋体" w:hAnsi="宋体" w:eastAsia="宋体" w:cs="宋体"/>
          <w:color w:val="auto"/>
          <w:sz w:val="24"/>
          <w:szCs w:val="24"/>
          <w:highlight w:val="none"/>
        </w:rPr>
      </w:pPr>
      <w:bookmarkStart w:id="716" w:name="_Toc406419399"/>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 计量原则</w:t>
      </w:r>
    </w:p>
    <w:p w14:paraId="3A15F86F">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工程的计量均以《建设工程工程量清单计价规范》（GB50500－2013）及广西壮族自治区实施细则、《建设工程工程量清单计算规范》（GB50854~50862－2013）及广西实施细则、本工程补充项目清单为准。</w:t>
      </w:r>
    </w:p>
    <w:p w14:paraId="5E203CB8">
      <w:pPr>
        <w:pStyle w:val="203"/>
        <w:spacing w:line="360" w:lineRule="auto"/>
        <w:outlineLvl w:val="0"/>
        <w:rPr>
          <w:rFonts w:hint="eastAsia" w:ascii="宋体" w:hAnsi="宋体" w:eastAsia="宋体" w:cs="宋体"/>
          <w:color w:val="auto"/>
          <w:sz w:val="24"/>
          <w:szCs w:val="24"/>
          <w:highlight w:val="none"/>
        </w:rPr>
      </w:pPr>
      <w:bookmarkStart w:id="717" w:name="_Toc417904330"/>
      <w:bookmarkStart w:id="718" w:name="_Toc24620"/>
      <w:bookmarkStart w:id="719" w:name="_Toc454283156"/>
      <w:bookmarkStart w:id="720" w:name="_Toc406522275"/>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计量周期</w:t>
      </w:r>
      <w:bookmarkEnd w:id="716"/>
      <w:bookmarkEnd w:id="717"/>
      <w:bookmarkEnd w:id="718"/>
      <w:bookmarkEnd w:id="719"/>
      <w:bookmarkEnd w:id="720"/>
    </w:p>
    <w:p w14:paraId="3C0483D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本合同的计量周期为月，每月25日为当月计量截止日期（不含当日）和下月计量起始日期（含当日）。</w:t>
      </w:r>
    </w:p>
    <w:p w14:paraId="4C493FE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 单价合同的计量</w:t>
      </w:r>
    </w:p>
    <w:p w14:paraId="6BB58749">
      <w:pPr>
        <w:pStyle w:val="89"/>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(1) 工程量清单所列的工程量，不能作为承包人按合同履行其责任</w:t>
      </w:r>
      <w:r>
        <w:rPr>
          <w:rFonts w:hint="eastAsia" w:ascii="宋体" w:hAnsi="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rPr>
        <w:t>依据，实际施工中发生的工程量增加或减少并不影响承包人履行合同的责任，工程结算以完成的实际工程量为准。（2） 除另有规定外，工程师应按照合同通过计量来核实确定已完成的工程量和价款，承包人应得到该价款扣除保留金后的金额。当工程师要对已完工的工程量进行计量时，应适时地通知承包人参加。</w:t>
      </w:r>
    </w:p>
    <w:p w14:paraId="7F0C73F5">
      <w:pPr>
        <w:pStyle w:val="203"/>
        <w:spacing w:line="360" w:lineRule="auto"/>
        <w:outlineLvl w:val="0"/>
        <w:rPr>
          <w:rFonts w:hint="eastAsia" w:ascii="宋体" w:hAnsi="宋体" w:eastAsia="宋体" w:cs="宋体"/>
          <w:color w:val="auto"/>
          <w:sz w:val="24"/>
          <w:szCs w:val="24"/>
          <w:highlight w:val="none"/>
        </w:rPr>
      </w:pPr>
      <w:bookmarkStart w:id="721" w:name="_Toc406522276"/>
      <w:bookmarkStart w:id="722" w:name="_Toc454283157"/>
      <w:bookmarkStart w:id="723" w:name="_Toc417904331"/>
      <w:bookmarkStart w:id="724" w:name="_Toc406419400"/>
      <w:bookmarkStart w:id="725" w:name="_Toc1439"/>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 总价合同的计量</w:t>
      </w:r>
      <w:bookmarkEnd w:id="721"/>
      <w:bookmarkEnd w:id="722"/>
      <w:bookmarkEnd w:id="723"/>
      <w:bookmarkEnd w:id="724"/>
      <w:bookmarkEnd w:id="725"/>
    </w:p>
    <w:p w14:paraId="34C7094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3DEFB7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.5总价合同采用支付分解表计量支付的，是否适用第12.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.4项〔总价合同的计量〕约定进行计量：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DB09DC1">
      <w:pPr>
        <w:pStyle w:val="203"/>
        <w:spacing w:line="360" w:lineRule="auto"/>
        <w:outlineLvl w:val="0"/>
        <w:rPr>
          <w:rFonts w:hint="eastAsia" w:ascii="宋体" w:hAnsi="宋体" w:eastAsia="宋体" w:cs="宋体"/>
          <w:color w:val="auto"/>
          <w:sz w:val="24"/>
          <w:szCs w:val="24"/>
          <w:highlight w:val="none"/>
        </w:rPr>
      </w:pPr>
      <w:bookmarkStart w:id="726" w:name="_Toc417904332"/>
      <w:bookmarkStart w:id="727" w:name="_Toc454283158"/>
      <w:bookmarkStart w:id="728" w:name="_Toc406522277"/>
      <w:bookmarkStart w:id="729" w:name="_Toc406419401"/>
      <w:bookmarkStart w:id="730" w:name="_Toc14445"/>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.6 其他价格形式合同的计量</w:t>
      </w:r>
      <w:bookmarkEnd w:id="726"/>
      <w:bookmarkEnd w:id="727"/>
      <w:bookmarkEnd w:id="728"/>
      <w:bookmarkEnd w:id="729"/>
      <w:bookmarkEnd w:id="730"/>
    </w:p>
    <w:p w14:paraId="08392E7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C9640F9">
      <w:pPr>
        <w:pStyle w:val="202"/>
        <w:spacing w:before="0" w:line="360" w:lineRule="auto"/>
        <w:rPr>
          <w:rFonts w:hint="eastAsia" w:ascii="宋体" w:hAnsi="宋体" w:eastAsia="宋体" w:cs="宋体"/>
          <w:color w:val="auto"/>
          <w:sz w:val="24"/>
          <w:szCs w:val="24"/>
          <w:highlight w:val="none"/>
        </w:rPr>
      </w:pPr>
      <w:bookmarkStart w:id="731" w:name="_Toc28158"/>
      <w:bookmarkStart w:id="732" w:name="_Toc454283159"/>
      <w:bookmarkStart w:id="733" w:name="_Toc417904333"/>
      <w:r>
        <w:rPr>
          <w:rFonts w:hint="eastAsia" w:ascii="宋体" w:hAnsi="宋体" w:eastAsia="宋体" w:cs="宋体"/>
          <w:color w:val="auto"/>
          <w:sz w:val="24"/>
          <w:szCs w:val="24"/>
          <w:highlight w:val="none"/>
        </w:rPr>
        <w:t>12.</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工程进度款支付</w:t>
      </w:r>
      <w:bookmarkEnd w:id="731"/>
      <w:bookmarkEnd w:id="732"/>
      <w:bookmarkEnd w:id="733"/>
    </w:p>
    <w:p w14:paraId="76F4CF3C">
      <w:pPr>
        <w:pStyle w:val="203"/>
        <w:spacing w:line="360" w:lineRule="auto"/>
        <w:rPr>
          <w:rFonts w:hint="eastAsia" w:ascii="宋体" w:hAnsi="宋体" w:eastAsia="宋体" w:cs="宋体"/>
          <w:color w:val="auto"/>
          <w:sz w:val="24"/>
          <w:szCs w:val="24"/>
          <w:highlight w:val="none"/>
        </w:rPr>
      </w:pPr>
      <w:bookmarkStart w:id="734" w:name="_Toc292559921"/>
      <w:bookmarkStart w:id="735" w:name="_Toc296503211"/>
      <w:bookmarkStart w:id="736" w:name="_Toc303539163"/>
      <w:bookmarkStart w:id="737" w:name="_Toc297123556"/>
      <w:bookmarkStart w:id="738" w:name="_Toc297216215"/>
      <w:bookmarkStart w:id="739" w:name="_Toc296347210"/>
      <w:bookmarkStart w:id="740" w:name="_Toc297048397"/>
      <w:bookmarkStart w:id="741" w:name="_Toc296891039"/>
      <w:bookmarkStart w:id="742" w:name="_Toc296346712"/>
      <w:bookmarkStart w:id="743" w:name="_Toc296944550"/>
      <w:bookmarkStart w:id="744" w:name="_Toc300935006"/>
      <w:bookmarkStart w:id="745" w:name="_Toc292559416"/>
      <w:bookmarkStart w:id="746" w:name="_Toc297120511"/>
      <w:bookmarkStart w:id="747" w:name="_Toc296891251"/>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 付款周期</w:t>
      </w:r>
    </w:p>
    <w:p w14:paraId="1F65A16A">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工程款支付方式：</w:t>
      </w:r>
      <w:r>
        <w:rPr>
          <w:rFonts w:hint="eastAsia" w:ascii="宋体" w:hAnsi="宋体" w:eastAsia="宋体" w:cs="宋体"/>
          <w:b/>
          <w:color w:val="auto"/>
          <w:sz w:val="24"/>
          <w:szCs w:val="24"/>
          <w:highlight w:val="none"/>
          <w:u w:val="single"/>
        </w:rPr>
        <w:t>发包人以银行转账的方式将所有工程款转入承包人在本合同中指定的开户银行及账号内。</w:t>
      </w:r>
    </w:p>
    <w:p w14:paraId="64925AD9">
      <w:pPr>
        <w:pStyle w:val="203"/>
        <w:spacing w:line="360" w:lineRule="auto"/>
        <w:outlineLvl w:val="0"/>
        <w:rPr>
          <w:rFonts w:hint="eastAsia" w:ascii="宋体" w:hAnsi="宋体" w:eastAsia="宋体" w:cs="宋体"/>
          <w:color w:val="auto"/>
          <w:sz w:val="24"/>
          <w:szCs w:val="24"/>
          <w:highlight w:val="none"/>
        </w:rPr>
      </w:pPr>
      <w:bookmarkStart w:id="748" w:name="_Toc32012"/>
      <w:bookmarkStart w:id="749" w:name="_Toc406419403"/>
      <w:bookmarkStart w:id="750" w:name="_Toc454283160"/>
      <w:bookmarkStart w:id="751" w:name="_Toc417904334"/>
      <w:bookmarkStart w:id="752" w:name="_Toc406522279"/>
      <w:r>
        <w:rPr>
          <w:rFonts w:hint="eastAsia" w:ascii="宋体" w:hAnsi="宋体" w:eastAsia="宋体" w:cs="宋体"/>
          <w:color w:val="auto"/>
          <w:sz w:val="24"/>
          <w:szCs w:val="24"/>
          <w:highlight w:val="none"/>
        </w:rPr>
        <w:t>本工程通过整体竣工验收合格后，按以下方式结算并支付工程款：</w:t>
      </w:r>
    </w:p>
    <w:p w14:paraId="7086D5F6">
      <w:pPr>
        <w:pStyle w:val="203"/>
        <w:numPr>
          <w:ilvl w:val="0"/>
          <w:numId w:val="3"/>
        </w:num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rPr>
        <w:t>支付合同价款的[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%]作为预付款，用于工程前期准备和材料采购。</w:t>
      </w:r>
    </w:p>
    <w:p w14:paraId="33A49386">
      <w:pPr>
        <w:pStyle w:val="203"/>
        <w:numPr>
          <w:ilvl w:val="0"/>
          <w:numId w:val="3"/>
        </w:num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进度款：工程竣工验收合格后，支付合同价的85%</w:t>
      </w:r>
      <w:r>
        <w:rPr>
          <w:rFonts w:hint="eastAsia" w:ascii="宋体" w:hAnsi="宋体" w:cs="宋体"/>
          <w:color w:val="auto"/>
          <w:sz w:val="24"/>
          <w:szCs w:val="24"/>
          <w:highlight w:val="none"/>
          <w:lang w:eastAsia="zh-CN"/>
        </w:rPr>
        <w:t>。</w:t>
      </w:r>
    </w:p>
    <w:p w14:paraId="517CDD81">
      <w:pPr>
        <w:pStyle w:val="203"/>
        <w:spacing w:line="360" w:lineRule="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竣工验收款：工程竣工验收合格后，</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rPr>
        <w:t>提交竣工结算报告及完整的结算资料，经</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rPr>
        <w:t>审核或审计（如有）后，支付至工程结算价款的[</w:t>
      </w:r>
      <w:r>
        <w:rPr>
          <w:rFonts w:hint="eastAsia" w:ascii="宋体" w:hAnsi="宋体" w:eastAsia="宋体" w:cs="宋体"/>
          <w:color w:val="auto"/>
          <w:sz w:val="24"/>
          <w:szCs w:val="24"/>
          <w:highlight w:val="none"/>
          <w:lang w:val="en-US" w:eastAsia="zh-CN"/>
        </w:rPr>
        <w:t>97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3%作为质保金</w:t>
      </w:r>
      <w:r>
        <w:rPr>
          <w:rFonts w:hint="eastAsia" w:ascii="宋体" w:hAnsi="宋体" w:cs="宋体"/>
          <w:color w:val="auto"/>
          <w:sz w:val="24"/>
          <w:szCs w:val="24"/>
          <w:highlight w:val="none"/>
          <w:lang w:val="en-US" w:eastAsia="zh-CN"/>
        </w:rPr>
        <w:t>。</w:t>
      </w:r>
    </w:p>
    <w:p w14:paraId="79E7D004">
      <w:pPr>
        <w:pStyle w:val="203"/>
        <w:spacing w:line="360" w:lineRule="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付款前，</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应开具足额的合法有效的增值税专用发票（质量保修金金额与</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支付的结算金额余款合计开具发票），否则</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有权拒绝付款且无须承担任何违约责任。若因</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开具发票本身之问题或原因造成</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日后发生相关税收、法律或经济责任或损失，应由</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进行追偿，或向工程所在地法院提起诉讼。</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提供的发票上的付款单位名称须与合同上的</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单位名称一致，发票上的收款单位名称须与合同上的</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单位名称一致。</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bookmarkEnd w:id="533"/>
    <w:p w14:paraId="1B22EA0A">
      <w:pPr>
        <w:pStyle w:val="202"/>
        <w:spacing w:before="0" w:line="360" w:lineRule="auto"/>
        <w:rPr>
          <w:rFonts w:hint="eastAsia" w:ascii="宋体" w:hAnsi="宋体" w:eastAsia="宋体" w:cs="宋体"/>
          <w:color w:val="auto"/>
          <w:sz w:val="24"/>
          <w:szCs w:val="24"/>
          <w:highlight w:val="none"/>
        </w:rPr>
      </w:pPr>
      <w:bookmarkStart w:id="753" w:name="_Toc417904336"/>
      <w:bookmarkStart w:id="754" w:name="_Toc454283162"/>
      <w:bookmarkStart w:id="755" w:name="_Toc351203645"/>
      <w:bookmarkStart w:id="756" w:name="_Toc19489"/>
      <w:bookmarkStart w:id="757" w:name="_Toc300935015"/>
      <w:bookmarkStart w:id="758" w:name="_Toc296944558"/>
      <w:bookmarkStart w:id="759" w:name="_Toc296346720"/>
      <w:bookmarkStart w:id="760" w:name="_Toc292559929"/>
      <w:bookmarkStart w:id="761" w:name="_Toc296347218"/>
      <w:bookmarkStart w:id="762" w:name="_Toc292559424"/>
      <w:bookmarkStart w:id="763" w:name="_Toc296891047"/>
      <w:bookmarkStart w:id="764" w:name="_Toc297048405"/>
      <w:bookmarkStart w:id="765" w:name="_Toc312678053"/>
      <w:bookmarkStart w:id="766" w:name="_Toc303539172"/>
      <w:bookmarkStart w:id="767" w:name="_Toc296503219"/>
      <w:bookmarkStart w:id="768" w:name="_Toc296891259"/>
      <w:bookmarkStart w:id="769" w:name="_Toc297216223"/>
      <w:bookmarkStart w:id="770" w:name="_Toc297123564"/>
      <w:bookmarkStart w:id="771" w:name="_Toc304295593"/>
      <w:bookmarkStart w:id="772" w:name="_Toc297120519"/>
      <w:r>
        <w:rPr>
          <w:rFonts w:hint="eastAsia" w:ascii="宋体" w:hAnsi="宋体" w:eastAsia="宋体" w:cs="宋体"/>
          <w:color w:val="auto"/>
          <w:sz w:val="24"/>
          <w:szCs w:val="24"/>
          <w:highlight w:val="none"/>
        </w:rPr>
        <w:t>13. 验收</w:t>
      </w:r>
      <w:bookmarkEnd w:id="753"/>
      <w:bookmarkEnd w:id="754"/>
      <w:bookmarkEnd w:id="755"/>
      <w:bookmarkEnd w:id="756"/>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374A1506">
      <w:pPr>
        <w:pStyle w:val="202"/>
        <w:spacing w:before="0" w:line="360" w:lineRule="auto"/>
        <w:rPr>
          <w:rFonts w:hint="eastAsia" w:ascii="宋体" w:hAnsi="宋体" w:eastAsia="宋体" w:cs="宋体"/>
          <w:color w:val="auto"/>
          <w:sz w:val="24"/>
          <w:szCs w:val="24"/>
          <w:highlight w:val="none"/>
        </w:rPr>
      </w:pPr>
      <w:bookmarkStart w:id="773" w:name="_Toc22659"/>
      <w:bookmarkStart w:id="774" w:name="_Toc417904337"/>
      <w:bookmarkStart w:id="775" w:name="_Toc454283163"/>
      <w:r>
        <w:rPr>
          <w:rFonts w:hint="eastAsia" w:ascii="宋体" w:hAnsi="宋体" w:eastAsia="宋体" w:cs="宋体"/>
          <w:color w:val="auto"/>
          <w:sz w:val="24"/>
          <w:szCs w:val="24"/>
          <w:highlight w:val="none"/>
        </w:rPr>
        <w:t>13.1 分部分项工程验收</w:t>
      </w:r>
      <w:bookmarkEnd w:id="773"/>
      <w:bookmarkEnd w:id="774"/>
      <w:bookmarkEnd w:id="775"/>
    </w:p>
    <w:p w14:paraId="462C704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BCD77A1">
      <w:pPr>
        <w:pStyle w:val="203"/>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3E41F16">
      <w:pPr>
        <w:pStyle w:val="202"/>
        <w:spacing w:before="0" w:line="360" w:lineRule="auto"/>
        <w:rPr>
          <w:rFonts w:hint="eastAsia" w:ascii="宋体" w:hAnsi="宋体" w:eastAsia="宋体" w:cs="宋体"/>
          <w:color w:val="auto"/>
          <w:sz w:val="24"/>
          <w:szCs w:val="24"/>
          <w:highlight w:val="none"/>
        </w:rPr>
      </w:pPr>
      <w:bookmarkStart w:id="776" w:name="_Toc20956"/>
      <w:bookmarkStart w:id="777" w:name="_Toc417904338"/>
      <w:bookmarkStart w:id="778" w:name="_Toc454283164"/>
      <w:bookmarkStart w:id="779" w:name="_Toc292559428"/>
      <w:bookmarkStart w:id="780" w:name="_Toc303539173"/>
      <w:bookmarkStart w:id="781" w:name="_Toc296503223"/>
      <w:bookmarkStart w:id="782" w:name="_Toc296944562"/>
      <w:bookmarkStart w:id="783" w:name="_Toc292559933"/>
      <w:bookmarkStart w:id="784" w:name="_Toc300935016"/>
      <w:bookmarkStart w:id="785" w:name="_Toc304295596"/>
      <w:bookmarkStart w:id="786" w:name="_Toc312678056"/>
      <w:bookmarkStart w:id="787" w:name="_Toc297216224"/>
      <w:bookmarkStart w:id="788" w:name="_Toc297120523"/>
      <w:bookmarkStart w:id="789" w:name="_Toc296891051"/>
      <w:bookmarkStart w:id="790" w:name="_Toc296891263"/>
      <w:bookmarkStart w:id="791" w:name="_Toc296347222"/>
      <w:bookmarkStart w:id="792" w:name="_Toc297123565"/>
      <w:bookmarkStart w:id="793" w:name="_Toc296346724"/>
      <w:bookmarkStart w:id="794" w:name="_Toc297048409"/>
      <w:bookmarkStart w:id="795" w:name="_Toc267251476"/>
      <w:bookmarkStart w:id="796" w:name="_Toc267251471"/>
      <w:bookmarkStart w:id="797" w:name="_Toc267251473"/>
      <w:bookmarkStart w:id="798" w:name="_Toc267251472"/>
      <w:bookmarkStart w:id="799" w:name="_Toc267251475"/>
      <w:bookmarkStart w:id="800" w:name="_Toc267251474"/>
      <w:bookmarkStart w:id="801" w:name="_Toc267251470"/>
      <w:r>
        <w:rPr>
          <w:rFonts w:hint="eastAsia" w:ascii="宋体" w:hAnsi="宋体" w:eastAsia="宋体" w:cs="宋体"/>
          <w:color w:val="auto"/>
          <w:sz w:val="24"/>
          <w:szCs w:val="24"/>
          <w:highlight w:val="none"/>
        </w:rPr>
        <w:t>13.2 竣工验收</w:t>
      </w:r>
      <w:bookmarkEnd w:id="776"/>
      <w:bookmarkEnd w:id="777"/>
      <w:bookmarkEnd w:id="778"/>
    </w:p>
    <w:p w14:paraId="42AE180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13.2.1竣工验收条件</w:t>
      </w:r>
    </w:p>
    <w:p w14:paraId="05FC30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（3）承包人负责整理和提交的竣工验收资料应当符合工程所在地建设行政主管部门和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行政管理机构有关施工资料的要求，具体内容包括：</w:t>
      </w:r>
      <w:r>
        <w:rPr>
          <w:rFonts w:hint="eastAsia" w:ascii="宋体" w:hAnsi="宋体" w:eastAsia="宋体" w:cs="宋体"/>
          <w:color w:val="auto"/>
          <w:sz w:val="24"/>
          <w:szCs w:val="24"/>
          <w:highlight w:val="none"/>
          <w:u w:val="single"/>
        </w:rPr>
        <w:t>①工程具备竣工验收条件，承包人按工程竣工验收有关规定，向发包人提交符合行业标准归档要求内容装订成册的完整竣工资料及竣工验收报告、工程竣工图；②承包人所提交的竣工资料必须符合《建设工程文件归档整理规范》要求</w:t>
      </w:r>
      <w:r>
        <w:rPr>
          <w:rFonts w:hint="eastAsia" w:ascii="宋体" w:hAnsi="宋体" w:eastAsia="宋体" w:cs="宋体"/>
          <w:color w:val="auto"/>
          <w:sz w:val="24"/>
          <w:szCs w:val="24"/>
          <w:highlight w:val="none"/>
        </w:rPr>
        <w:t>。</w:t>
      </w:r>
    </w:p>
    <w:p w14:paraId="3FCC6B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竣工验收资料的份数：</w:t>
      </w:r>
      <w:r>
        <w:rPr>
          <w:rFonts w:hint="eastAsia" w:ascii="宋体" w:hAnsi="宋体" w:eastAsia="宋体" w:cs="宋体"/>
          <w:color w:val="auto"/>
          <w:sz w:val="24"/>
          <w:szCs w:val="24"/>
          <w:highlight w:val="none"/>
          <w:u w:val="single"/>
        </w:rPr>
        <w:t xml:space="preserve">   4份   </w:t>
      </w:r>
      <w:r>
        <w:rPr>
          <w:rFonts w:hint="eastAsia" w:ascii="宋体" w:hAnsi="宋体" w:eastAsia="宋体" w:cs="宋体"/>
          <w:color w:val="auto"/>
          <w:sz w:val="24"/>
          <w:szCs w:val="24"/>
          <w:highlight w:val="none"/>
        </w:rPr>
        <w:t>。</w:t>
      </w:r>
    </w:p>
    <w:p w14:paraId="68C2C64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承包人提供竣工图的约定：</w:t>
      </w:r>
      <w:r>
        <w:rPr>
          <w:rFonts w:hint="eastAsia" w:ascii="宋体" w:hAnsi="宋体" w:eastAsia="宋体" w:cs="宋体"/>
          <w:bCs/>
          <w:color w:val="auto"/>
          <w:sz w:val="24"/>
          <w:szCs w:val="24"/>
          <w:highlight w:val="none"/>
          <w:u w:val="single"/>
        </w:rPr>
        <w:t>竣工验收正式通过后5天，提供竣工图的数量分别为</w:t>
      </w:r>
      <w:r>
        <w:rPr>
          <w:rFonts w:hint="eastAsia" w:ascii="宋体" w:hAnsi="宋体" w:eastAsia="宋体" w:cs="宋体"/>
          <w:bCs/>
          <w:color w:val="auto"/>
          <w:sz w:val="24"/>
          <w:szCs w:val="24"/>
          <w:highlight w:val="none"/>
          <w:u w:val="single"/>
          <w:lang w:eastAsia="zh-CN"/>
        </w:rPr>
        <w:t>6</w:t>
      </w:r>
      <w:r>
        <w:rPr>
          <w:rFonts w:hint="eastAsia" w:ascii="宋体" w:hAnsi="宋体" w:eastAsia="宋体" w:cs="宋体"/>
          <w:bCs/>
          <w:color w:val="auto"/>
          <w:sz w:val="24"/>
          <w:szCs w:val="24"/>
          <w:highlight w:val="none"/>
          <w:u w:val="single"/>
        </w:rPr>
        <w:t>套。</w:t>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09E54958">
      <w:pPr>
        <w:pStyle w:val="203"/>
        <w:spacing w:line="360" w:lineRule="auto"/>
        <w:rPr>
          <w:rFonts w:hint="eastAsia" w:ascii="宋体" w:hAnsi="宋体" w:eastAsia="宋体" w:cs="宋体"/>
          <w:color w:val="auto"/>
          <w:sz w:val="24"/>
          <w:szCs w:val="24"/>
          <w:highlight w:val="none"/>
        </w:rPr>
      </w:pPr>
      <w:bookmarkStart w:id="802" w:name="_Toc280868704"/>
      <w:bookmarkStart w:id="803" w:name="_Toc280868705"/>
      <w:bookmarkStart w:id="804" w:name="_Toc280868706"/>
      <w:bookmarkStart w:id="805" w:name="_Toc280868707"/>
      <w:bookmarkStart w:id="806" w:name="_Toc280868708"/>
      <w:bookmarkStart w:id="807" w:name="_Toc280868709"/>
      <w:r>
        <w:rPr>
          <w:rFonts w:hint="eastAsia" w:ascii="宋体" w:hAnsi="宋体" w:eastAsia="宋体" w:cs="宋体"/>
          <w:color w:val="auto"/>
          <w:sz w:val="24"/>
          <w:szCs w:val="24"/>
          <w:highlight w:val="none"/>
        </w:rPr>
        <w:t>13.2.2竣工验收程序</w:t>
      </w:r>
    </w:p>
    <w:bookmarkEnd w:id="802"/>
    <w:p w14:paraId="67A4B5F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按通用条款执行  </w:t>
      </w:r>
      <w:r>
        <w:rPr>
          <w:rFonts w:hint="eastAsia" w:ascii="宋体" w:hAnsi="宋体" w:eastAsia="宋体" w:cs="宋体"/>
          <w:color w:val="auto"/>
          <w:sz w:val="24"/>
          <w:szCs w:val="24"/>
          <w:highlight w:val="none"/>
        </w:rPr>
        <w:t>。</w:t>
      </w:r>
    </w:p>
    <w:p w14:paraId="3920F8C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rPr>
        <w:t>。</w:t>
      </w:r>
    </w:p>
    <w:bookmarkEnd w:id="803"/>
    <w:p w14:paraId="070070D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804"/>
    <w:p w14:paraId="7367B19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竣工验收后7天内   </w:t>
      </w:r>
      <w:r>
        <w:rPr>
          <w:rFonts w:hint="eastAsia" w:ascii="宋体" w:hAnsi="宋体" w:eastAsia="宋体" w:cs="宋体"/>
          <w:color w:val="auto"/>
          <w:sz w:val="24"/>
          <w:szCs w:val="24"/>
          <w:highlight w:val="none"/>
        </w:rPr>
        <w:t>。</w:t>
      </w:r>
    </w:p>
    <w:p w14:paraId="64350848">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cs="宋体"/>
          <w:color w:val="auto"/>
          <w:sz w:val="24"/>
          <w:szCs w:val="24"/>
          <w:highlight w:val="none"/>
          <w:lang w:val="en-US" w:eastAsia="zh-CN"/>
        </w:rPr>
        <w:t xml:space="preserve">无 </w:t>
      </w:r>
      <w:r>
        <w:rPr>
          <w:rFonts w:hint="eastAsia" w:ascii="宋体" w:hAnsi="宋体" w:eastAsia="宋体" w:cs="宋体"/>
          <w:color w:val="auto"/>
          <w:sz w:val="24"/>
          <w:szCs w:val="24"/>
          <w:highlight w:val="none"/>
        </w:rPr>
        <w:t>。</w:t>
      </w:r>
    </w:p>
    <w:bookmarkEnd w:id="805"/>
    <w:p w14:paraId="3CABE15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cs="宋体"/>
          <w:color w:val="auto"/>
          <w:sz w:val="24"/>
          <w:szCs w:val="24"/>
          <w:highlight w:val="none"/>
          <w:u w:val="single"/>
          <w:lang w:val="en-US" w:eastAsia="zh-CN"/>
        </w:rPr>
        <w:t>按专用合同</w:t>
      </w:r>
      <w:r>
        <w:rPr>
          <w:rFonts w:hint="eastAsia" w:ascii="宋体" w:hAnsi="宋体" w:eastAsia="宋体" w:cs="宋体"/>
          <w:color w:val="auto"/>
          <w:sz w:val="24"/>
          <w:szCs w:val="24"/>
          <w:highlight w:val="none"/>
          <w:u w:val="single"/>
        </w:rPr>
        <w:t>条款</w:t>
      </w:r>
      <w:r>
        <w:rPr>
          <w:rFonts w:hint="eastAsia" w:ascii="宋体" w:hAnsi="宋体" w:cs="宋体"/>
          <w:color w:val="auto"/>
          <w:sz w:val="24"/>
          <w:szCs w:val="24"/>
          <w:highlight w:val="none"/>
          <w:u w:val="single"/>
          <w:lang w:val="en-US" w:eastAsia="zh-CN"/>
        </w:rPr>
        <w:t>7.5.2</w:t>
      </w:r>
      <w:r>
        <w:rPr>
          <w:rFonts w:hint="eastAsia" w:ascii="宋体" w:hAnsi="宋体" w:eastAsia="宋体" w:cs="宋体"/>
          <w:color w:val="auto"/>
          <w:sz w:val="24"/>
          <w:szCs w:val="24"/>
          <w:highlight w:val="none"/>
          <w:u w:val="single"/>
        </w:rPr>
        <w:t>执行 。</w:t>
      </w:r>
    </w:p>
    <w:bookmarkEnd w:id="806"/>
    <w:p w14:paraId="327488D5">
      <w:pPr>
        <w:pStyle w:val="202"/>
        <w:spacing w:before="0" w:line="360" w:lineRule="auto"/>
        <w:rPr>
          <w:rFonts w:hint="eastAsia" w:ascii="宋体" w:hAnsi="宋体" w:eastAsia="宋体" w:cs="宋体"/>
          <w:color w:val="auto"/>
          <w:sz w:val="24"/>
          <w:szCs w:val="24"/>
          <w:highlight w:val="none"/>
        </w:rPr>
      </w:pPr>
      <w:bookmarkStart w:id="808" w:name="_Toc26691"/>
      <w:bookmarkStart w:id="809" w:name="_Toc454283165"/>
      <w:bookmarkStart w:id="810" w:name="_Toc417904342"/>
      <w:r>
        <w:rPr>
          <w:rFonts w:hint="eastAsia" w:ascii="宋体" w:hAnsi="宋体" w:eastAsia="宋体" w:cs="宋体"/>
          <w:color w:val="auto"/>
          <w:sz w:val="24"/>
          <w:szCs w:val="24"/>
          <w:highlight w:val="none"/>
        </w:rPr>
        <w:t>13.6 竣工退场</w:t>
      </w:r>
      <w:bookmarkEnd w:id="808"/>
      <w:bookmarkEnd w:id="809"/>
      <w:bookmarkEnd w:id="810"/>
    </w:p>
    <w:p w14:paraId="2B9DD71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43B3E7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rPr>
        <w:t>承包人按照通用合同条款约定撤离施工场地（现场）时，监理人和承包人应当办理永久工程和施工场地移交手续，移交手续以书面方式出具，并分别经过发包人、监理人和承包人的签认。</w:t>
      </w:r>
    </w:p>
    <w:p w14:paraId="7098296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缺陷责任期满时，承包人可以继续在施工场地保留的人员和施工设备以及最终撤离的期限：</w:t>
      </w:r>
      <w:r>
        <w:rPr>
          <w:rFonts w:hint="eastAsia" w:ascii="宋体" w:hAnsi="宋体" w:eastAsia="宋体" w:cs="宋体"/>
          <w:color w:val="auto"/>
          <w:sz w:val="24"/>
          <w:szCs w:val="24"/>
          <w:highlight w:val="none"/>
          <w:u w:val="single"/>
        </w:rPr>
        <w:t xml:space="preserve">同通用条款 </w:t>
      </w:r>
      <w:r>
        <w:rPr>
          <w:rFonts w:hint="eastAsia" w:ascii="宋体" w:hAnsi="宋体" w:eastAsia="宋体" w:cs="宋体"/>
          <w:color w:val="auto"/>
          <w:sz w:val="24"/>
          <w:szCs w:val="24"/>
          <w:highlight w:val="none"/>
        </w:rPr>
        <w:t>。</w:t>
      </w:r>
    </w:p>
    <w:p w14:paraId="462FBD3A">
      <w:pPr>
        <w:pStyle w:val="202"/>
        <w:spacing w:before="0" w:line="360" w:lineRule="auto"/>
        <w:rPr>
          <w:rFonts w:hint="eastAsia" w:ascii="宋体" w:hAnsi="宋体" w:eastAsia="宋体" w:cs="宋体"/>
          <w:color w:val="auto"/>
          <w:sz w:val="24"/>
          <w:szCs w:val="24"/>
          <w:highlight w:val="none"/>
        </w:rPr>
      </w:pPr>
      <w:bookmarkStart w:id="811" w:name="_Toc417904343"/>
      <w:bookmarkStart w:id="812" w:name="_Toc17379"/>
      <w:bookmarkStart w:id="813" w:name="_Toc351203646"/>
      <w:bookmarkStart w:id="814" w:name="_Toc454283166"/>
      <w:r>
        <w:rPr>
          <w:rFonts w:hint="eastAsia" w:ascii="宋体" w:hAnsi="宋体" w:eastAsia="宋体" w:cs="宋体"/>
          <w:color w:val="auto"/>
          <w:sz w:val="24"/>
          <w:szCs w:val="24"/>
          <w:highlight w:val="none"/>
        </w:rPr>
        <w:t>14. 竣工结算</w:t>
      </w:r>
      <w:bookmarkEnd w:id="811"/>
      <w:bookmarkEnd w:id="812"/>
      <w:bookmarkEnd w:id="813"/>
      <w:bookmarkEnd w:id="814"/>
    </w:p>
    <w:p w14:paraId="6A2A4316">
      <w:pPr>
        <w:pStyle w:val="202"/>
        <w:spacing w:before="0" w:line="360" w:lineRule="auto"/>
        <w:rPr>
          <w:rFonts w:hint="eastAsia" w:ascii="宋体" w:hAnsi="宋体" w:eastAsia="宋体" w:cs="宋体"/>
          <w:color w:val="auto"/>
          <w:sz w:val="24"/>
          <w:szCs w:val="24"/>
          <w:highlight w:val="none"/>
        </w:rPr>
      </w:pPr>
      <w:bookmarkStart w:id="815" w:name="_Toc8695"/>
      <w:bookmarkStart w:id="816" w:name="_Toc454283167"/>
      <w:bookmarkStart w:id="817" w:name="_Toc417904344"/>
      <w:r>
        <w:rPr>
          <w:rFonts w:hint="eastAsia" w:ascii="宋体" w:hAnsi="宋体" w:eastAsia="宋体" w:cs="宋体"/>
          <w:color w:val="auto"/>
          <w:sz w:val="24"/>
          <w:szCs w:val="24"/>
          <w:highlight w:val="none"/>
        </w:rPr>
        <w:t>14.1 竣工结算申请</w:t>
      </w:r>
      <w:bookmarkEnd w:id="815"/>
      <w:bookmarkEnd w:id="816"/>
      <w:bookmarkEnd w:id="817"/>
    </w:p>
    <w:p w14:paraId="09EFFEA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28天内 </w:t>
      </w:r>
      <w:r>
        <w:rPr>
          <w:rFonts w:hint="eastAsia" w:ascii="宋体" w:hAnsi="宋体" w:eastAsia="宋体" w:cs="宋体"/>
          <w:color w:val="auto"/>
          <w:sz w:val="24"/>
          <w:szCs w:val="24"/>
          <w:highlight w:val="none"/>
        </w:rPr>
        <w:t>。</w:t>
      </w:r>
    </w:p>
    <w:p w14:paraId="59694C0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竣工结算由承包人提交相关结算资料（主要包括合同、竣工图、设计变更通知、签证单、有关技术资料、双方往来函件（上述资料均为原件）、工程结算书、工程量（含钢筋）计算底稿等）齐全后经监理人初审，发包人审</w:t>
      </w:r>
      <w:r>
        <w:rPr>
          <w:rFonts w:hint="eastAsia" w:ascii="宋体" w:hAnsi="宋体" w:eastAsia="宋体" w:cs="宋体"/>
          <w:color w:val="auto"/>
          <w:spacing w:val="-2"/>
          <w:sz w:val="24"/>
          <w:szCs w:val="24"/>
          <w:highlight w:val="none"/>
          <w:u w:val="single"/>
        </w:rPr>
        <w:t>定</w:t>
      </w:r>
      <w:r>
        <w:rPr>
          <w:rFonts w:hint="eastAsia" w:ascii="宋体" w:hAnsi="宋体" w:eastAsia="宋体" w:cs="宋体"/>
          <w:color w:val="auto"/>
          <w:sz w:val="24"/>
          <w:szCs w:val="24"/>
          <w:highlight w:val="none"/>
          <w:u w:val="single"/>
        </w:rPr>
        <w:t>后，方可办理工程结算或竣工决算</w:t>
      </w:r>
      <w:r>
        <w:rPr>
          <w:rFonts w:hint="eastAsia" w:ascii="宋体" w:hAnsi="宋体" w:eastAsia="宋体" w:cs="宋体"/>
          <w:color w:val="auto"/>
          <w:sz w:val="24"/>
          <w:szCs w:val="24"/>
          <w:highlight w:val="none"/>
        </w:rPr>
        <w:t>。</w:t>
      </w:r>
    </w:p>
    <w:p w14:paraId="5D5ECF69">
      <w:pPr>
        <w:pStyle w:val="202"/>
        <w:spacing w:before="0" w:line="360" w:lineRule="auto"/>
        <w:rPr>
          <w:rFonts w:hint="eastAsia" w:ascii="宋体" w:hAnsi="宋体" w:eastAsia="宋体" w:cs="宋体"/>
          <w:color w:val="auto"/>
          <w:sz w:val="24"/>
          <w:szCs w:val="24"/>
          <w:highlight w:val="none"/>
        </w:rPr>
      </w:pPr>
      <w:bookmarkStart w:id="818" w:name="_Toc3220"/>
      <w:bookmarkStart w:id="819" w:name="_Toc417904345"/>
      <w:bookmarkStart w:id="820" w:name="_Toc454283168"/>
      <w:r>
        <w:rPr>
          <w:rFonts w:hint="eastAsia" w:ascii="宋体" w:hAnsi="宋体" w:eastAsia="宋体" w:cs="宋体"/>
          <w:color w:val="auto"/>
          <w:sz w:val="24"/>
          <w:szCs w:val="24"/>
          <w:highlight w:val="none"/>
        </w:rPr>
        <w:t>14.2 竣工结算审核</w:t>
      </w:r>
      <w:bookmarkEnd w:id="818"/>
      <w:bookmarkEnd w:id="819"/>
      <w:bookmarkEnd w:id="820"/>
    </w:p>
    <w:p w14:paraId="7763B350">
      <w:pPr>
        <w:pStyle w:val="211"/>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工程最终竣工结算需报财政部门或审计部门或第三方审定机构审定，承包人所编制的工程竣工资料经发包人审核后，送到财政部门或审计部门或第三方审定机构之日起，承包人所遗漏的与工程造价有关的资料不再作为结算审核依据，按自动放弃处理。</w:t>
      </w:r>
    </w:p>
    <w:p w14:paraId="02829271">
      <w:pPr>
        <w:pStyle w:val="211"/>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2B6656A3">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（3）结算审查约定：</w:t>
      </w:r>
      <w:r>
        <w:rPr>
          <w:rFonts w:hint="eastAsia" w:ascii="宋体" w:hAnsi="宋体" w:eastAsia="宋体" w:cs="宋体"/>
          <w:bCs/>
          <w:color w:val="auto"/>
          <w:sz w:val="24"/>
          <w:szCs w:val="24"/>
          <w:highlight w:val="none"/>
          <w:u w:val="single"/>
        </w:rPr>
        <w:t>1、工程竣工验收报告经发包人认可后7天内，承包人向发包人递交竣工验收合格资料及完整的结算资料和报告，双方按照协议书约定的合同价款及专用条款约定的合同价调整内容，进行工程竣工结算。2、发包人收到承包人递交的竣工结算报告及结算资料之日起60天内进行审核，给予确认或者提出初审意见。发包人逾期不予审定结算的视为发包人已同意上述竣工结算报告及结算资料，并以此作为最终结算的依据。发包人初审竣工结算完毕之日起30天内，按审定后的结算价款，通知经办银行向承包人支付工程竣工结算价款。承包人应根据发包人的需要随时将竣工工程交付发包人。</w:t>
      </w:r>
    </w:p>
    <w:p w14:paraId="124A25A8">
      <w:pPr>
        <w:pStyle w:val="20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因承包人提供的结算资料不完整而需要补充或承包人不按时对账耽误时间时，审查时间应相应顺延；</w:t>
      </w:r>
    </w:p>
    <w:p w14:paraId="474CE14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承包人提出书面申请</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u w:val="single"/>
        </w:rPr>
        <w:t xml:space="preserve">日内   </w:t>
      </w:r>
      <w:r>
        <w:rPr>
          <w:rFonts w:hint="eastAsia" w:ascii="宋体" w:hAnsi="宋体" w:eastAsia="宋体" w:cs="宋体"/>
          <w:color w:val="auto"/>
          <w:sz w:val="24"/>
          <w:szCs w:val="24"/>
          <w:highlight w:val="none"/>
        </w:rPr>
        <w:t>。</w:t>
      </w:r>
    </w:p>
    <w:p w14:paraId="56B2FD5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承包人提出书面申请</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u w:val="single"/>
        </w:rPr>
        <w:t xml:space="preserve">日内报财政部门　    </w:t>
      </w:r>
      <w:r>
        <w:rPr>
          <w:rFonts w:hint="eastAsia" w:ascii="宋体" w:hAnsi="宋体" w:eastAsia="宋体" w:cs="宋体"/>
          <w:color w:val="auto"/>
          <w:sz w:val="24"/>
          <w:szCs w:val="24"/>
          <w:highlight w:val="none"/>
        </w:rPr>
        <w:t>。</w:t>
      </w:r>
    </w:p>
    <w:p w14:paraId="65CDFA6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36D7D19">
      <w:pPr>
        <w:pStyle w:val="202"/>
        <w:spacing w:before="0" w:line="360" w:lineRule="auto"/>
        <w:rPr>
          <w:rFonts w:hint="eastAsia" w:ascii="宋体" w:hAnsi="宋体" w:eastAsia="宋体" w:cs="宋体"/>
          <w:color w:val="auto"/>
          <w:sz w:val="24"/>
          <w:szCs w:val="24"/>
          <w:highlight w:val="none"/>
        </w:rPr>
      </w:pPr>
      <w:bookmarkStart w:id="821" w:name="_Toc417904346"/>
      <w:bookmarkStart w:id="822" w:name="_Toc30496"/>
      <w:bookmarkStart w:id="823" w:name="_Toc454283169"/>
      <w:r>
        <w:rPr>
          <w:rFonts w:hint="eastAsia" w:ascii="宋体" w:hAnsi="宋体" w:eastAsia="宋体" w:cs="宋体"/>
          <w:color w:val="auto"/>
          <w:sz w:val="24"/>
          <w:szCs w:val="24"/>
          <w:highlight w:val="none"/>
        </w:rPr>
        <w:t>14.4 最终结清</w:t>
      </w:r>
      <w:bookmarkEnd w:id="821"/>
      <w:bookmarkEnd w:id="822"/>
      <w:bookmarkEnd w:id="823"/>
    </w:p>
    <w:p w14:paraId="092D70C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091BB80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四份   </w:t>
      </w:r>
      <w:r>
        <w:rPr>
          <w:rFonts w:hint="eastAsia" w:ascii="宋体" w:hAnsi="宋体" w:eastAsia="宋体" w:cs="宋体"/>
          <w:color w:val="auto"/>
          <w:sz w:val="24"/>
          <w:szCs w:val="24"/>
          <w:highlight w:val="none"/>
        </w:rPr>
        <w:t>。</w:t>
      </w:r>
    </w:p>
    <w:p w14:paraId="762F10D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从接到竣工结算报告</w:t>
      </w:r>
      <w:r>
        <w:rPr>
          <w:rFonts w:hint="eastAsia" w:ascii="宋体" w:hAnsi="宋体" w:eastAsia="宋体" w:cs="宋体"/>
          <w:color w:val="auto"/>
          <w:sz w:val="24"/>
          <w:szCs w:val="24"/>
          <w:highlight w:val="none"/>
          <w:u w:val="single"/>
        </w:rPr>
        <w:t xml:space="preserve">14天内    </w:t>
      </w:r>
      <w:r>
        <w:rPr>
          <w:rFonts w:hint="eastAsia" w:ascii="宋体" w:hAnsi="宋体" w:eastAsia="宋体" w:cs="宋体"/>
          <w:color w:val="auto"/>
          <w:sz w:val="24"/>
          <w:szCs w:val="24"/>
          <w:highlight w:val="none"/>
        </w:rPr>
        <w:t xml:space="preserve">。 </w:t>
      </w:r>
    </w:p>
    <w:p w14:paraId="3235185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1668363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承包人提出书面申请14天内  </w:t>
      </w:r>
      <w:r>
        <w:rPr>
          <w:rFonts w:hint="eastAsia" w:ascii="宋体" w:hAnsi="宋体" w:eastAsia="宋体" w:cs="宋体"/>
          <w:color w:val="auto"/>
          <w:sz w:val="24"/>
          <w:szCs w:val="24"/>
          <w:highlight w:val="none"/>
        </w:rPr>
        <w:t>。</w:t>
      </w:r>
    </w:p>
    <w:p w14:paraId="54101C2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承包人提出书面申请14天内    </w:t>
      </w:r>
      <w:r>
        <w:rPr>
          <w:rFonts w:hint="eastAsia" w:ascii="宋体" w:hAnsi="宋体" w:eastAsia="宋体" w:cs="宋体"/>
          <w:color w:val="auto"/>
          <w:sz w:val="24"/>
          <w:szCs w:val="24"/>
          <w:highlight w:val="none"/>
        </w:rPr>
        <w:t>。</w:t>
      </w:r>
    </w:p>
    <w:bookmarkEnd w:id="795"/>
    <w:bookmarkEnd w:id="796"/>
    <w:bookmarkEnd w:id="797"/>
    <w:bookmarkEnd w:id="798"/>
    <w:bookmarkEnd w:id="799"/>
    <w:bookmarkEnd w:id="800"/>
    <w:bookmarkEnd w:id="801"/>
    <w:bookmarkEnd w:id="807"/>
    <w:p w14:paraId="220AC5E2">
      <w:pPr>
        <w:pStyle w:val="202"/>
        <w:spacing w:before="0" w:line="360" w:lineRule="auto"/>
        <w:rPr>
          <w:rFonts w:hint="eastAsia" w:ascii="宋体" w:hAnsi="宋体" w:eastAsia="宋体" w:cs="宋体"/>
          <w:color w:val="auto"/>
          <w:sz w:val="24"/>
          <w:szCs w:val="24"/>
          <w:highlight w:val="none"/>
        </w:rPr>
      </w:pPr>
      <w:bookmarkStart w:id="824" w:name="_Toc417904347"/>
      <w:bookmarkStart w:id="825" w:name="_Toc351203647"/>
      <w:bookmarkStart w:id="826" w:name="_Toc454283170"/>
      <w:bookmarkStart w:id="827" w:name="_Toc19842"/>
      <w:bookmarkStart w:id="828" w:name="_Toc267251483"/>
      <w:bookmarkStart w:id="829" w:name="_Toc267251484"/>
      <w:bookmarkStart w:id="830" w:name="_Toc267251482"/>
      <w:bookmarkStart w:id="831" w:name="_Toc267251485"/>
      <w:bookmarkStart w:id="832" w:name="_Toc267251488"/>
      <w:bookmarkStart w:id="833" w:name="_Toc267251489"/>
      <w:bookmarkStart w:id="834" w:name="_Toc267251490"/>
      <w:bookmarkStart w:id="835" w:name="_Toc267251486"/>
      <w:bookmarkStart w:id="836" w:name="_Toc267251492"/>
      <w:bookmarkStart w:id="837" w:name="_Toc267251491"/>
      <w:bookmarkStart w:id="838" w:name="_Toc267251503"/>
      <w:bookmarkStart w:id="839" w:name="_Toc267251495"/>
      <w:bookmarkStart w:id="840" w:name="_Toc267251502"/>
      <w:bookmarkStart w:id="841" w:name="_Toc267251494"/>
      <w:bookmarkStart w:id="842" w:name="_Toc267251497"/>
      <w:bookmarkStart w:id="843" w:name="_Toc267251498"/>
      <w:bookmarkStart w:id="844" w:name="_Toc267251493"/>
      <w:bookmarkStart w:id="845" w:name="_Toc267251501"/>
      <w:bookmarkStart w:id="846" w:name="_Toc267251499"/>
      <w:bookmarkStart w:id="847" w:name="_Toc267251496"/>
      <w:bookmarkStart w:id="848" w:name="_Toc267251506"/>
      <w:bookmarkStart w:id="849" w:name="_Toc267251504"/>
      <w:bookmarkStart w:id="850" w:name="_Toc267251507"/>
      <w:bookmarkStart w:id="851" w:name="_Toc267251508"/>
      <w:bookmarkStart w:id="852" w:name="_Toc267251515"/>
      <w:bookmarkStart w:id="853" w:name="_Toc267251509"/>
      <w:bookmarkStart w:id="854" w:name="_Toc267251514"/>
      <w:bookmarkStart w:id="855" w:name="_Toc267251511"/>
      <w:bookmarkStart w:id="856" w:name="_Toc267251510"/>
      <w:bookmarkStart w:id="857" w:name="_Toc267251513"/>
      <w:r>
        <w:rPr>
          <w:rFonts w:hint="eastAsia" w:ascii="宋体" w:hAnsi="宋体" w:eastAsia="宋体" w:cs="宋体"/>
          <w:color w:val="auto"/>
          <w:sz w:val="24"/>
          <w:szCs w:val="24"/>
          <w:highlight w:val="none"/>
        </w:rPr>
        <w:t>15. 缺陷责任期与保修</w:t>
      </w:r>
      <w:bookmarkEnd w:id="824"/>
      <w:bookmarkEnd w:id="825"/>
      <w:bookmarkEnd w:id="826"/>
      <w:bookmarkEnd w:id="827"/>
    </w:p>
    <w:p w14:paraId="6D08B60B">
      <w:pPr>
        <w:pStyle w:val="202"/>
        <w:spacing w:before="0" w:line="360" w:lineRule="auto"/>
        <w:rPr>
          <w:rFonts w:hint="eastAsia" w:ascii="宋体" w:hAnsi="宋体" w:eastAsia="宋体" w:cs="宋体"/>
          <w:color w:val="auto"/>
          <w:sz w:val="24"/>
          <w:szCs w:val="24"/>
          <w:highlight w:val="none"/>
        </w:rPr>
      </w:pPr>
      <w:bookmarkStart w:id="858" w:name="_Toc417904348"/>
      <w:bookmarkStart w:id="859" w:name="_Toc454283171"/>
      <w:bookmarkStart w:id="860" w:name="_Toc2235"/>
      <w:r>
        <w:rPr>
          <w:rFonts w:hint="eastAsia" w:ascii="宋体" w:hAnsi="宋体" w:eastAsia="宋体" w:cs="宋体"/>
          <w:color w:val="auto"/>
          <w:sz w:val="24"/>
          <w:szCs w:val="24"/>
          <w:highlight w:val="none"/>
        </w:rPr>
        <w:t>15.2缺陷责任期</w:t>
      </w:r>
      <w:bookmarkEnd w:id="828"/>
      <w:bookmarkEnd w:id="858"/>
      <w:bookmarkEnd w:id="859"/>
      <w:bookmarkEnd w:id="860"/>
    </w:p>
    <w:p w14:paraId="6616578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24个月</w:t>
      </w:r>
    </w:p>
    <w:p w14:paraId="52EEB1BE">
      <w:pPr>
        <w:pStyle w:val="202"/>
        <w:spacing w:before="0" w:line="360" w:lineRule="auto"/>
        <w:rPr>
          <w:rFonts w:hint="eastAsia" w:ascii="宋体" w:hAnsi="宋体" w:eastAsia="宋体" w:cs="宋体"/>
          <w:color w:val="auto"/>
          <w:sz w:val="24"/>
          <w:szCs w:val="24"/>
          <w:highlight w:val="none"/>
        </w:rPr>
      </w:pPr>
      <w:bookmarkStart w:id="861" w:name="_Toc454283172"/>
      <w:bookmarkStart w:id="862" w:name="_Toc417904349"/>
      <w:bookmarkStart w:id="863" w:name="_Toc23201"/>
      <w:r>
        <w:rPr>
          <w:rFonts w:hint="eastAsia" w:ascii="宋体" w:hAnsi="宋体" w:eastAsia="宋体" w:cs="宋体"/>
          <w:color w:val="auto"/>
          <w:sz w:val="24"/>
          <w:szCs w:val="24"/>
          <w:highlight w:val="none"/>
        </w:rPr>
        <w:t>15.3 质量保证金</w:t>
      </w:r>
      <w:bookmarkEnd w:id="861"/>
      <w:bookmarkEnd w:id="862"/>
      <w:bookmarkEnd w:id="863"/>
    </w:p>
    <w:p w14:paraId="11A4282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118B53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3F0C157D">
      <w:pPr>
        <w:pStyle w:val="203"/>
        <w:spacing w:line="360" w:lineRule="auto"/>
        <w:ind w:firstLine="42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质量保证金采用以下第</w:t>
      </w:r>
      <w:r>
        <w:rPr>
          <w:rFonts w:hint="eastAsia" w:ascii="宋体" w:hAnsi="宋体" w:eastAsia="宋体" w:cs="宋体"/>
          <w:b/>
          <w:color w:val="auto"/>
          <w:sz w:val="24"/>
          <w:szCs w:val="24"/>
          <w:highlight w:val="none"/>
          <w:u w:val="single"/>
        </w:rPr>
        <w:t xml:space="preserve"> 2 </w:t>
      </w:r>
      <w:r>
        <w:rPr>
          <w:rFonts w:hint="eastAsia" w:ascii="宋体" w:hAnsi="宋体" w:eastAsia="宋体" w:cs="宋体"/>
          <w:b/>
          <w:color w:val="auto"/>
          <w:sz w:val="24"/>
          <w:szCs w:val="24"/>
          <w:highlight w:val="none"/>
        </w:rPr>
        <w:t>种方式：</w:t>
      </w:r>
    </w:p>
    <w:p w14:paraId="3B6967D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rPr>
        <w:t xml:space="preserve">； </w:t>
      </w:r>
    </w:p>
    <w:p w14:paraId="0492EB93">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b/>
          <w:bCs/>
          <w:color w:val="auto"/>
          <w:sz w:val="24"/>
          <w:szCs w:val="24"/>
          <w:highlight w:val="none"/>
        </w:rPr>
        <w:t>发包人按</w:t>
      </w:r>
      <w:r>
        <w:rPr>
          <w:rFonts w:hint="eastAsia" w:ascii="宋体" w:hAnsi="宋体" w:eastAsia="宋体" w:cs="宋体"/>
          <w:b/>
          <w:bCs/>
          <w:color w:val="auto"/>
          <w:sz w:val="24"/>
          <w:szCs w:val="24"/>
          <w:highlight w:val="none"/>
          <w:u w:val="single"/>
        </w:rPr>
        <w:t>工程价款结算总额</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u w:val="single"/>
        </w:rPr>
        <w:t xml:space="preserve"> 3 </w:t>
      </w:r>
      <w:r>
        <w:rPr>
          <w:rFonts w:hint="eastAsia" w:ascii="宋体" w:hAnsi="宋体" w:eastAsia="宋体" w:cs="宋体"/>
          <w:b/>
          <w:bCs/>
          <w:color w:val="auto"/>
          <w:sz w:val="24"/>
          <w:szCs w:val="24"/>
          <w:highlight w:val="none"/>
        </w:rPr>
        <w:t>%预留工程质量保修金，待缺陷责任期满后返还</w:t>
      </w:r>
      <w:r>
        <w:rPr>
          <w:rFonts w:hint="eastAsia" w:ascii="宋体" w:hAnsi="宋体" w:eastAsia="宋体" w:cs="宋体"/>
          <w:b/>
          <w:color w:val="auto"/>
          <w:kern w:val="0"/>
          <w:sz w:val="24"/>
          <w:szCs w:val="24"/>
          <w:highlight w:val="none"/>
        </w:rPr>
        <w:t>；</w:t>
      </w:r>
    </w:p>
    <w:p w14:paraId="468C9A9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6CA5F968">
      <w:pPr>
        <w:pStyle w:val="203"/>
        <w:spacing w:line="360" w:lineRule="auto"/>
        <w:ind w:firstLine="42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质量保证金的扣留采取以下第</w:t>
      </w:r>
      <w:r>
        <w:rPr>
          <w:rFonts w:hint="eastAsia" w:ascii="宋体" w:hAnsi="宋体" w:eastAsia="宋体" w:cs="宋体"/>
          <w:b/>
          <w:color w:val="auto"/>
          <w:sz w:val="24"/>
          <w:szCs w:val="24"/>
          <w:highlight w:val="none"/>
          <w:u w:val="single"/>
        </w:rPr>
        <w:t xml:space="preserve"> 2  </w:t>
      </w:r>
      <w:r>
        <w:rPr>
          <w:rFonts w:hint="eastAsia" w:ascii="宋体" w:hAnsi="宋体" w:eastAsia="宋体" w:cs="宋体"/>
          <w:b/>
          <w:color w:val="auto"/>
          <w:sz w:val="24"/>
          <w:szCs w:val="24"/>
          <w:highlight w:val="none"/>
        </w:rPr>
        <w:t>种方式：</w:t>
      </w:r>
    </w:p>
    <w:p w14:paraId="5336476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372D7EB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14:paraId="7944E8E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2771EE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p>
    <w:p w14:paraId="500E1A46">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质量保证金分一次返还承包人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发包人在工程竣工验收合格之日起满两年后承包人提出申请14天内将</w:t>
      </w:r>
      <w:r>
        <w:rPr>
          <w:rFonts w:hint="eastAsia" w:ascii="宋体" w:hAnsi="宋体" w:cs="宋体"/>
          <w:color w:val="auto"/>
          <w:sz w:val="24"/>
          <w:szCs w:val="24"/>
          <w:highlight w:val="none"/>
          <w:u w:val="single"/>
          <w:lang w:val="en-US" w:eastAsia="zh-CN"/>
        </w:rPr>
        <w:t>质保</w:t>
      </w:r>
      <w:r>
        <w:rPr>
          <w:rFonts w:hint="eastAsia" w:ascii="宋体" w:hAnsi="宋体" w:eastAsia="宋体" w:cs="宋体"/>
          <w:color w:val="auto"/>
          <w:sz w:val="24"/>
          <w:szCs w:val="24"/>
          <w:highlight w:val="none"/>
          <w:u w:val="single"/>
        </w:rPr>
        <w:t>金</w:t>
      </w:r>
      <w:r>
        <w:rPr>
          <w:rFonts w:hint="eastAsia" w:ascii="宋体" w:hAnsi="宋体" w:eastAsia="宋体" w:cs="宋体"/>
          <w:color w:val="auto"/>
          <w:sz w:val="24"/>
          <w:szCs w:val="24"/>
          <w:highlight w:val="none"/>
          <w:u w:val="single"/>
          <w:lang w:eastAsia="zh-CN"/>
        </w:rPr>
        <w:t>返还</w:t>
      </w:r>
      <w:r>
        <w:rPr>
          <w:rFonts w:hint="eastAsia" w:ascii="宋体" w:hAnsi="宋体" w:eastAsia="宋体" w:cs="宋体"/>
          <w:color w:val="auto"/>
          <w:sz w:val="24"/>
          <w:szCs w:val="24"/>
          <w:highlight w:val="none"/>
          <w:u w:val="single"/>
        </w:rPr>
        <w:t>给承包人（无息）。质量保证金的返还，并不能免除承包人按照合同约定应承担的质量保修责任和应履行的质量保修义务。</w:t>
      </w:r>
    </w:p>
    <w:bookmarkEnd w:id="829"/>
    <w:bookmarkEnd w:id="830"/>
    <w:p w14:paraId="562A0595">
      <w:pPr>
        <w:pStyle w:val="202"/>
        <w:spacing w:before="0" w:line="360" w:lineRule="auto"/>
        <w:rPr>
          <w:rFonts w:hint="eastAsia" w:ascii="宋体" w:hAnsi="宋体" w:eastAsia="宋体" w:cs="宋体"/>
          <w:color w:val="auto"/>
          <w:sz w:val="24"/>
          <w:szCs w:val="24"/>
          <w:highlight w:val="none"/>
        </w:rPr>
      </w:pPr>
      <w:bookmarkStart w:id="864" w:name="_Toc24111"/>
      <w:bookmarkStart w:id="865" w:name="_Toc417904350"/>
      <w:bookmarkStart w:id="866" w:name="_Toc454283173"/>
      <w:r>
        <w:rPr>
          <w:rFonts w:hint="eastAsia" w:ascii="宋体" w:hAnsi="宋体" w:eastAsia="宋体" w:cs="宋体"/>
          <w:color w:val="auto"/>
          <w:sz w:val="24"/>
          <w:szCs w:val="24"/>
          <w:highlight w:val="none"/>
        </w:rPr>
        <w:t>15.4保修</w:t>
      </w:r>
      <w:bookmarkEnd w:id="864"/>
      <w:bookmarkEnd w:id="865"/>
      <w:bookmarkEnd w:id="866"/>
    </w:p>
    <w:bookmarkEnd w:id="831"/>
    <w:p w14:paraId="2633A50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113B4F5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1）地基基础工程和主体结构工程为设计文件规定的该工程合理使用年限；（2）屋面防水工程、有防水要求的卫生间、房间和外墙面的防渗漏为5年；（3）装修工程为2年；（4）电气管线、给排水管道、设备安装工程为2年；（5）供热与供冷系统为2个采暖期、供冷期；（6）给排水设施、道路等配套工程为2年。</w:t>
      </w:r>
    </w:p>
    <w:p w14:paraId="5F713C3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30773E5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行政主管部门报告，采取安全防范措施；由原设计单位或者具有相应资质等级的设计单位提出保修方案，承包人实施保修。4、质量保修完成后，由发包人组织验收。5、保修费用由造成质量缺陷的责任方承担。  </w:t>
      </w:r>
    </w:p>
    <w:bookmarkEnd w:id="832"/>
    <w:bookmarkEnd w:id="833"/>
    <w:bookmarkEnd w:id="834"/>
    <w:bookmarkEnd w:id="835"/>
    <w:p w14:paraId="0338B94F">
      <w:pPr>
        <w:pStyle w:val="202"/>
        <w:spacing w:before="0" w:line="360" w:lineRule="auto"/>
        <w:rPr>
          <w:rFonts w:hint="eastAsia" w:ascii="宋体" w:hAnsi="宋体" w:eastAsia="宋体" w:cs="宋体"/>
          <w:color w:val="auto"/>
          <w:sz w:val="24"/>
          <w:szCs w:val="24"/>
          <w:highlight w:val="none"/>
        </w:rPr>
      </w:pPr>
      <w:bookmarkStart w:id="867" w:name="_Toc454283174"/>
      <w:bookmarkStart w:id="868" w:name="_Toc351203648"/>
      <w:bookmarkStart w:id="869" w:name="_Toc7159"/>
      <w:bookmarkStart w:id="870" w:name="_Toc417904351"/>
      <w:bookmarkStart w:id="871" w:name="_Toc280868717"/>
      <w:bookmarkStart w:id="872" w:name="_Toc280868718"/>
      <w:r>
        <w:rPr>
          <w:rFonts w:hint="eastAsia" w:ascii="宋体" w:hAnsi="宋体" w:eastAsia="宋体" w:cs="宋体"/>
          <w:color w:val="auto"/>
          <w:sz w:val="24"/>
          <w:szCs w:val="24"/>
          <w:highlight w:val="none"/>
        </w:rPr>
        <w:t>16. 违约</w:t>
      </w:r>
      <w:bookmarkEnd w:id="867"/>
      <w:bookmarkEnd w:id="868"/>
      <w:bookmarkEnd w:id="869"/>
      <w:bookmarkEnd w:id="870"/>
    </w:p>
    <w:p w14:paraId="6A5D6AF7">
      <w:pPr>
        <w:pStyle w:val="202"/>
        <w:spacing w:before="0" w:line="360" w:lineRule="auto"/>
        <w:rPr>
          <w:rFonts w:hint="eastAsia" w:ascii="宋体" w:hAnsi="宋体" w:eastAsia="宋体" w:cs="宋体"/>
          <w:color w:val="auto"/>
          <w:sz w:val="24"/>
          <w:szCs w:val="24"/>
          <w:highlight w:val="none"/>
        </w:rPr>
      </w:pPr>
      <w:bookmarkStart w:id="873" w:name="_Toc454283175"/>
      <w:bookmarkStart w:id="874" w:name="_Toc11447"/>
      <w:bookmarkStart w:id="875" w:name="_Toc417904352"/>
      <w:r>
        <w:rPr>
          <w:rFonts w:hint="eastAsia" w:ascii="宋体" w:hAnsi="宋体" w:eastAsia="宋体" w:cs="宋体"/>
          <w:color w:val="auto"/>
          <w:sz w:val="24"/>
          <w:szCs w:val="24"/>
          <w:highlight w:val="none"/>
        </w:rPr>
        <w:t>16.1 发包人违约</w:t>
      </w:r>
      <w:bookmarkEnd w:id="873"/>
      <w:bookmarkEnd w:id="874"/>
      <w:bookmarkEnd w:id="875"/>
    </w:p>
    <w:p w14:paraId="1D3360B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4C0C056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9729CC4">
      <w:pPr>
        <w:pStyle w:val="203"/>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876" w:name="_Toc406522298"/>
      <w:bookmarkStart w:id="877" w:name="_Toc417904353"/>
      <w:bookmarkStart w:id="878" w:name="_Toc454283176"/>
      <w:bookmarkStart w:id="879" w:name="_Toc406419422"/>
      <w:bookmarkStart w:id="880" w:name="_Toc29146"/>
      <w:r>
        <w:rPr>
          <w:rFonts w:hint="eastAsia" w:ascii="宋体" w:hAnsi="宋体" w:eastAsia="宋体" w:cs="宋体"/>
          <w:color w:val="auto"/>
          <w:sz w:val="24"/>
          <w:szCs w:val="24"/>
          <w:highlight w:val="none"/>
        </w:rPr>
        <w:t>16.1.2 发包人违约的责任</w:t>
      </w:r>
      <w:bookmarkEnd w:id="876"/>
      <w:bookmarkEnd w:id="877"/>
      <w:bookmarkEnd w:id="878"/>
      <w:bookmarkEnd w:id="879"/>
      <w:bookmarkEnd w:id="880"/>
    </w:p>
    <w:p w14:paraId="205015E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66EB8920">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工期顺延</w:t>
      </w:r>
      <w:r>
        <w:rPr>
          <w:rFonts w:hint="eastAsia" w:ascii="宋体" w:hAnsi="宋体" w:eastAsia="宋体" w:cs="宋体"/>
          <w:color w:val="auto"/>
          <w:sz w:val="24"/>
          <w:szCs w:val="24"/>
          <w:highlight w:val="none"/>
        </w:rPr>
        <w:t>。</w:t>
      </w:r>
    </w:p>
    <w:p w14:paraId="43F961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3738489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F52C6B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D2AE08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094C46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1DEA65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14A685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5827E66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承包人按16.1.1项〔发包人违约的情形〕约定暂停施工满180天后发包人仍不纠正其违约行为并致使合同目的不能实现的，承包人有权解除合同。</w:t>
      </w:r>
    </w:p>
    <w:p w14:paraId="20C668DB">
      <w:pPr>
        <w:pStyle w:val="202"/>
        <w:spacing w:before="0" w:line="360" w:lineRule="auto"/>
        <w:rPr>
          <w:rFonts w:hint="eastAsia" w:ascii="宋体" w:hAnsi="宋体" w:eastAsia="宋体" w:cs="宋体"/>
          <w:color w:val="auto"/>
          <w:sz w:val="24"/>
          <w:szCs w:val="24"/>
          <w:highlight w:val="none"/>
        </w:rPr>
      </w:pPr>
      <w:bookmarkStart w:id="881" w:name="_Toc31545"/>
      <w:bookmarkStart w:id="882" w:name="_Toc454283177"/>
      <w:bookmarkStart w:id="883" w:name="_Toc417904354"/>
      <w:r>
        <w:rPr>
          <w:rFonts w:hint="eastAsia" w:ascii="宋体" w:hAnsi="宋体" w:eastAsia="宋体" w:cs="宋体"/>
          <w:color w:val="auto"/>
          <w:sz w:val="24"/>
          <w:szCs w:val="24"/>
          <w:highlight w:val="none"/>
        </w:rPr>
        <w:t>16.2 承包人违约</w:t>
      </w:r>
      <w:bookmarkEnd w:id="881"/>
      <w:bookmarkEnd w:id="882"/>
      <w:bookmarkEnd w:id="883"/>
    </w:p>
    <w:p w14:paraId="1ADA42F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14:paraId="12262EE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同通用条款以及专用条款约定的情形</w:t>
      </w:r>
      <w:r>
        <w:rPr>
          <w:rFonts w:hint="eastAsia" w:ascii="宋体" w:hAnsi="宋体" w:eastAsia="宋体" w:cs="宋体"/>
          <w:color w:val="auto"/>
          <w:sz w:val="24"/>
          <w:szCs w:val="24"/>
          <w:highlight w:val="none"/>
        </w:rPr>
        <w:t>。</w:t>
      </w:r>
    </w:p>
    <w:p w14:paraId="3E31DA4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14:paraId="7A3A440B">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14:paraId="7D14684E">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1）承包人未按本合同通用条款第一款第16.2.1（2）、（3）项内容完成的，承包人无条件返工处理，直到达到工程质量要求并承担相关的费用；若未能</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发包人规定的时间内完成返工，发包人有权不予支付返工部分的工程款，并且另行委托他人进行返工。如返工产生的费用超过发包人扣减承包人工程款的，承包人应承担发包人为返工该部分工程产生的实际费用，此外发包人还有权要求承包人支付该部分工程返工费用数额10%的违约金。</w:t>
      </w:r>
    </w:p>
    <w:p w14:paraId="30ACDEA1">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存在本合同通用条款第一款第16.2.1（6）项情形的，或经监理人检验返工修复质量不合格承包人拒绝再次返工的，发包人将不返还承包人所有的质量保修金。发包人有权另行委托他人进行返工。如返工产生的费用超过质量保修数额的，承包人应承担发包人为返工该部分工程产生的实际费用，此外发包人还有权要求承包人支付该部分工程返工费用数额10%的违约金。</w:t>
      </w:r>
    </w:p>
    <w:p w14:paraId="37C3BC8F">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3）承包人存在本专用合同条款第3.2、3.3条违约责任的、发包人将扣除承包人的违约金。</w:t>
      </w:r>
    </w:p>
    <w:p w14:paraId="77B18A4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79EFADBD">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 xml:space="preserve"> 承包人有违反以下情况之一的，发包人有权解除合同；1）承包人无正当理由不按开工通知的要求及时进场组织施工和不按签订协议书的时间</w:t>
      </w:r>
      <w:r>
        <w:rPr>
          <w:rFonts w:hint="eastAsia" w:ascii="宋体" w:hAnsi="宋体" w:cs="宋体"/>
          <w:color w:val="auto"/>
          <w:sz w:val="24"/>
          <w:szCs w:val="24"/>
          <w:highlight w:val="none"/>
          <w:u w:val="single"/>
          <w:lang w:val="en-US" w:eastAsia="zh-CN"/>
        </w:rPr>
        <w:t>规</w:t>
      </w:r>
      <w:r>
        <w:rPr>
          <w:rFonts w:hint="eastAsia" w:ascii="宋体" w:hAnsi="宋体" w:eastAsia="宋体" w:cs="宋体"/>
          <w:color w:val="auto"/>
          <w:sz w:val="24"/>
          <w:szCs w:val="24"/>
          <w:highlight w:val="none"/>
          <w:u w:val="single"/>
        </w:rPr>
        <w:t>定的进度计划有效地开展施工准备，造成延期开工超过30天的；2）承包人违反本合同通用条款第3.5条规定私自将合同或合同的任何部分或任何权利转移给其他人，或私自将工程或工程的一部分分包出去的。3）未经监理人批准，承包人私自将已按投标文件承诺进入工地现场的工程施工设备、材料等调离施工现场的</w:t>
      </w:r>
      <w:r>
        <w:rPr>
          <w:rFonts w:hint="eastAsia" w:ascii="宋体" w:hAnsi="宋体" w:eastAsia="宋体" w:cs="宋体"/>
          <w:color w:val="auto"/>
          <w:sz w:val="24"/>
          <w:szCs w:val="24"/>
          <w:highlight w:val="none"/>
        </w:rPr>
        <w:t>。</w:t>
      </w:r>
    </w:p>
    <w:p w14:paraId="597E91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承包人承担   </w:t>
      </w:r>
      <w:r>
        <w:rPr>
          <w:rFonts w:hint="eastAsia" w:ascii="宋体" w:hAnsi="宋体" w:eastAsia="宋体" w:cs="宋体"/>
          <w:color w:val="auto"/>
          <w:sz w:val="24"/>
          <w:szCs w:val="24"/>
          <w:highlight w:val="none"/>
        </w:rPr>
        <w:t>。</w:t>
      </w:r>
    </w:p>
    <w:p w14:paraId="362A6794">
      <w:pPr>
        <w:pStyle w:val="202"/>
        <w:spacing w:before="0" w:line="360" w:lineRule="auto"/>
        <w:rPr>
          <w:rFonts w:hint="eastAsia" w:ascii="宋体" w:hAnsi="宋体" w:eastAsia="宋体" w:cs="宋体"/>
          <w:color w:val="auto"/>
          <w:sz w:val="24"/>
          <w:szCs w:val="24"/>
          <w:highlight w:val="none"/>
        </w:rPr>
      </w:pPr>
      <w:bookmarkStart w:id="884" w:name="_Toc454283178"/>
      <w:bookmarkStart w:id="885" w:name="_Toc22518"/>
      <w:bookmarkStart w:id="886" w:name="_Toc351203649"/>
      <w:bookmarkStart w:id="887" w:name="_Toc417904355"/>
      <w:r>
        <w:rPr>
          <w:rFonts w:hint="eastAsia" w:ascii="宋体" w:hAnsi="宋体" w:eastAsia="宋体" w:cs="宋体"/>
          <w:color w:val="auto"/>
          <w:sz w:val="24"/>
          <w:szCs w:val="24"/>
          <w:highlight w:val="none"/>
        </w:rPr>
        <w:t>17. 不可抗力</w:t>
      </w:r>
      <w:bookmarkEnd w:id="884"/>
      <w:bookmarkEnd w:id="885"/>
      <w:bookmarkEnd w:id="886"/>
      <w:bookmarkEnd w:id="887"/>
      <w:r>
        <w:rPr>
          <w:rFonts w:hint="eastAsia" w:ascii="宋体" w:hAnsi="宋体" w:eastAsia="宋体" w:cs="宋体"/>
          <w:color w:val="auto"/>
          <w:sz w:val="24"/>
          <w:szCs w:val="24"/>
          <w:highlight w:val="none"/>
        </w:rPr>
        <w:t xml:space="preserve"> </w:t>
      </w:r>
      <w:bookmarkEnd w:id="871"/>
    </w:p>
    <w:p w14:paraId="7C8F14BC">
      <w:pPr>
        <w:pStyle w:val="202"/>
        <w:spacing w:before="0" w:line="360" w:lineRule="auto"/>
        <w:rPr>
          <w:rFonts w:hint="eastAsia" w:ascii="宋体" w:hAnsi="宋体" w:eastAsia="宋体" w:cs="宋体"/>
          <w:color w:val="auto"/>
          <w:sz w:val="24"/>
          <w:szCs w:val="24"/>
          <w:highlight w:val="none"/>
        </w:rPr>
      </w:pPr>
      <w:bookmarkStart w:id="888" w:name="_Toc417904356"/>
      <w:bookmarkStart w:id="889" w:name="_Toc454283179"/>
      <w:bookmarkStart w:id="890" w:name="_Toc3487"/>
      <w:r>
        <w:rPr>
          <w:rFonts w:hint="eastAsia" w:ascii="宋体" w:hAnsi="宋体" w:eastAsia="宋体" w:cs="宋体"/>
          <w:color w:val="auto"/>
          <w:sz w:val="24"/>
          <w:szCs w:val="24"/>
          <w:highlight w:val="none"/>
        </w:rPr>
        <w:t>17.1 不可抗力的确认</w:t>
      </w:r>
      <w:bookmarkEnd w:id="888"/>
      <w:bookmarkEnd w:id="889"/>
      <w:bookmarkEnd w:id="890"/>
    </w:p>
    <w:p w14:paraId="2B73236A">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sz w:val="24"/>
          <w:szCs w:val="24"/>
          <w:highlight w:val="none"/>
          <w:u w:val="single"/>
        </w:rPr>
        <w:t xml:space="preserve"> 不可抗力包括（1）恐怖主义、动乱、空中飞行整体坠落；（2）非发包人、承包人责任造成的爆炸、停工、火灾；（3）当地气象部门规定的情形；（4）当地地震部门规定的情形；（5）当地卫生部门规定的情形；（6）当地政府相关部门提供的对不可抗力的证明材料 </w:t>
      </w:r>
      <w:r>
        <w:rPr>
          <w:rFonts w:hint="eastAsia" w:ascii="宋体" w:hAnsi="宋体" w:eastAsia="宋体" w:cs="宋体"/>
          <w:color w:val="auto"/>
          <w:sz w:val="24"/>
          <w:szCs w:val="24"/>
          <w:highlight w:val="none"/>
        </w:rPr>
        <w:t>。</w:t>
      </w:r>
    </w:p>
    <w:p w14:paraId="5CF4613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4D9B8B9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承包人提出书面申请14  </w:t>
      </w:r>
      <w:r>
        <w:rPr>
          <w:rFonts w:hint="eastAsia" w:ascii="宋体" w:hAnsi="宋体" w:eastAsia="宋体" w:cs="宋体"/>
          <w:color w:val="auto"/>
          <w:sz w:val="24"/>
          <w:szCs w:val="24"/>
          <w:highlight w:val="none"/>
        </w:rPr>
        <w:t>天内完成款项的支付。</w:t>
      </w:r>
    </w:p>
    <w:p w14:paraId="0FEF9598">
      <w:pPr>
        <w:pStyle w:val="202"/>
        <w:spacing w:before="0" w:line="360" w:lineRule="auto"/>
        <w:rPr>
          <w:rFonts w:hint="eastAsia" w:ascii="宋体" w:hAnsi="宋体" w:eastAsia="宋体" w:cs="宋体"/>
          <w:color w:val="auto"/>
          <w:sz w:val="24"/>
          <w:szCs w:val="24"/>
          <w:highlight w:val="none"/>
        </w:rPr>
      </w:pPr>
      <w:bookmarkStart w:id="891" w:name="_Toc454283180"/>
      <w:bookmarkStart w:id="892" w:name="_Toc351203650"/>
      <w:bookmarkStart w:id="893" w:name="_Toc9653"/>
      <w:bookmarkStart w:id="894" w:name="_Toc417904357"/>
      <w:r>
        <w:rPr>
          <w:rFonts w:hint="eastAsia" w:ascii="宋体" w:hAnsi="宋体" w:eastAsia="宋体" w:cs="宋体"/>
          <w:color w:val="auto"/>
          <w:sz w:val="24"/>
          <w:szCs w:val="24"/>
          <w:highlight w:val="none"/>
        </w:rPr>
        <w:t>18. 保险</w:t>
      </w:r>
      <w:bookmarkEnd w:id="891"/>
      <w:bookmarkEnd w:id="892"/>
      <w:bookmarkEnd w:id="893"/>
      <w:bookmarkEnd w:id="894"/>
    </w:p>
    <w:bookmarkEnd w:id="872"/>
    <w:p w14:paraId="78B8EDED">
      <w:pPr>
        <w:pStyle w:val="202"/>
        <w:spacing w:before="0" w:line="360" w:lineRule="auto"/>
        <w:rPr>
          <w:rFonts w:hint="eastAsia" w:ascii="宋体" w:hAnsi="宋体" w:eastAsia="宋体" w:cs="宋体"/>
          <w:color w:val="auto"/>
          <w:sz w:val="24"/>
          <w:szCs w:val="24"/>
          <w:highlight w:val="none"/>
        </w:rPr>
      </w:pPr>
      <w:bookmarkStart w:id="895" w:name="_Toc417904358"/>
      <w:bookmarkStart w:id="896" w:name="_Toc7214"/>
      <w:bookmarkStart w:id="897" w:name="_Toc454283181"/>
      <w:r>
        <w:rPr>
          <w:rFonts w:hint="eastAsia" w:ascii="宋体" w:hAnsi="宋体" w:eastAsia="宋体" w:cs="宋体"/>
          <w:color w:val="auto"/>
          <w:sz w:val="24"/>
          <w:szCs w:val="24"/>
          <w:highlight w:val="none"/>
        </w:rPr>
        <w:t>18.1 工程保险</w:t>
      </w:r>
      <w:bookmarkEnd w:id="895"/>
      <w:bookmarkEnd w:id="896"/>
      <w:bookmarkEnd w:id="897"/>
    </w:p>
    <w:p w14:paraId="3013A7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承包人应投保建筑工程一切险并承担与之相关的所有费用</w:t>
      </w:r>
      <w:r>
        <w:rPr>
          <w:rFonts w:hint="eastAsia" w:ascii="宋体" w:hAnsi="宋体" w:eastAsia="宋体" w:cs="宋体"/>
          <w:color w:val="auto"/>
          <w:sz w:val="24"/>
          <w:szCs w:val="24"/>
          <w:highlight w:val="none"/>
        </w:rPr>
        <w:t>。</w:t>
      </w:r>
    </w:p>
    <w:p w14:paraId="69C85BB8">
      <w:pPr>
        <w:pStyle w:val="202"/>
        <w:spacing w:before="0" w:line="360" w:lineRule="auto"/>
        <w:rPr>
          <w:rFonts w:hint="eastAsia" w:ascii="宋体" w:hAnsi="宋体" w:eastAsia="宋体" w:cs="宋体"/>
          <w:color w:val="auto"/>
          <w:sz w:val="24"/>
          <w:szCs w:val="24"/>
          <w:highlight w:val="none"/>
        </w:rPr>
      </w:pPr>
      <w:bookmarkStart w:id="898" w:name="_Toc32451"/>
      <w:bookmarkStart w:id="899" w:name="_Toc417904359"/>
      <w:bookmarkStart w:id="900" w:name="_Toc454283182"/>
      <w:r>
        <w:rPr>
          <w:rFonts w:hint="eastAsia" w:ascii="宋体" w:hAnsi="宋体" w:eastAsia="宋体" w:cs="宋体"/>
          <w:color w:val="auto"/>
          <w:sz w:val="24"/>
          <w:szCs w:val="24"/>
          <w:highlight w:val="none"/>
        </w:rPr>
        <w:t>18.3 其他保险</w:t>
      </w:r>
      <w:bookmarkEnd w:id="898"/>
      <w:bookmarkEnd w:id="899"/>
      <w:bookmarkEnd w:id="900"/>
    </w:p>
    <w:p w14:paraId="757DA07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rPr>
        <w:t>承包人应为施工现场从事施工的所有作业人员和管理人员办理意外伤害保险，必须按规定为本工程参保房屋建筑和市政基础设施工程安全生产责任保险，并支付保险费</w:t>
      </w:r>
      <w:r>
        <w:rPr>
          <w:rFonts w:hint="eastAsia" w:ascii="宋体" w:hAnsi="宋体" w:eastAsia="宋体" w:cs="宋体"/>
          <w:color w:val="auto"/>
          <w:sz w:val="24"/>
          <w:szCs w:val="24"/>
          <w:highlight w:val="none"/>
        </w:rPr>
        <w:t>。</w:t>
      </w:r>
    </w:p>
    <w:p w14:paraId="4D8AC1D5">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同通用条款</w:t>
      </w:r>
      <w:r>
        <w:rPr>
          <w:rFonts w:hint="eastAsia" w:ascii="宋体" w:hAnsi="宋体" w:eastAsia="宋体" w:cs="宋体"/>
          <w:color w:val="auto"/>
          <w:sz w:val="24"/>
          <w:szCs w:val="24"/>
          <w:highlight w:val="none"/>
        </w:rPr>
        <w:t>。</w:t>
      </w:r>
    </w:p>
    <w:p w14:paraId="39081BCB">
      <w:pPr>
        <w:pStyle w:val="202"/>
        <w:spacing w:before="0" w:line="360" w:lineRule="auto"/>
        <w:rPr>
          <w:rFonts w:hint="eastAsia" w:ascii="宋体" w:hAnsi="宋体" w:eastAsia="宋体" w:cs="宋体"/>
          <w:color w:val="auto"/>
          <w:sz w:val="24"/>
          <w:szCs w:val="24"/>
          <w:highlight w:val="none"/>
        </w:rPr>
      </w:pPr>
      <w:bookmarkStart w:id="901" w:name="_Toc417904360"/>
      <w:bookmarkStart w:id="902" w:name="_Toc15989"/>
      <w:bookmarkStart w:id="903" w:name="_Toc454283183"/>
      <w:r>
        <w:rPr>
          <w:rFonts w:hint="eastAsia" w:ascii="宋体" w:hAnsi="宋体" w:eastAsia="宋体" w:cs="宋体"/>
          <w:color w:val="auto"/>
          <w:sz w:val="24"/>
          <w:szCs w:val="24"/>
          <w:highlight w:val="none"/>
        </w:rPr>
        <w:t>18.7 通知义务</w:t>
      </w:r>
      <w:bookmarkEnd w:id="901"/>
      <w:bookmarkEnd w:id="902"/>
      <w:bookmarkEnd w:id="903"/>
    </w:p>
    <w:p w14:paraId="312E5584">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同通用条款</w:t>
      </w:r>
      <w:r>
        <w:rPr>
          <w:rFonts w:hint="eastAsia" w:ascii="宋体" w:hAnsi="宋体" w:eastAsia="宋体" w:cs="宋体"/>
          <w:color w:val="auto"/>
          <w:sz w:val="24"/>
          <w:szCs w:val="24"/>
          <w:highlight w:val="none"/>
        </w:rPr>
        <w:t>。</w:t>
      </w:r>
    </w:p>
    <w:bookmarkEnd w:id="836"/>
    <w:bookmarkEnd w:id="837"/>
    <w:bookmarkEnd w:id="838"/>
    <w:bookmarkEnd w:id="839"/>
    <w:bookmarkEnd w:id="840"/>
    <w:bookmarkEnd w:id="841"/>
    <w:bookmarkEnd w:id="842"/>
    <w:bookmarkEnd w:id="843"/>
    <w:bookmarkEnd w:id="844"/>
    <w:bookmarkEnd w:id="845"/>
    <w:bookmarkEnd w:id="846"/>
    <w:bookmarkEnd w:id="847"/>
    <w:p w14:paraId="4C6F968F">
      <w:pPr>
        <w:pStyle w:val="202"/>
        <w:spacing w:before="0" w:line="360" w:lineRule="auto"/>
        <w:rPr>
          <w:rFonts w:hint="eastAsia" w:ascii="宋体" w:hAnsi="宋体" w:eastAsia="宋体" w:cs="宋体"/>
          <w:color w:val="auto"/>
          <w:sz w:val="24"/>
          <w:szCs w:val="24"/>
          <w:highlight w:val="none"/>
        </w:rPr>
      </w:pPr>
      <w:bookmarkStart w:id="904" w:name="_Toc23739"/>
      <w:bookmarkStart w:id="905" w:name="_Toc454283184"/>
      <w:bookmarkStart w:id="906" w:name="_Toc417904361"/>
      <w:bookmarkStart w:id="907" w:name="_Toc351203651"/>
      <w:r>
        <w:rPr>
          <w:rFonts w:hint="eastAsia" w:ascii="宋体" w:hAnsi="宋体" w:eastAsia="宋体" w:cs="宋体"/>
          <w:color w:val="auto"/>
          <w:sz w:val="24"/>
          <w:szCs w:val="24"/>
          <w:highlight w:val="none"/>
        </w:rPr>
        <w:t>20. 争议解决</w:t>
      </w:r>
      <w:bookmarkEnd w:id="904"/>
      <w:bookmarkEnd w:id="905"/>
      <w:bookmarkEnd w:id="906"/>
      <w:bookmarkEnd w:id="907"/>
    </w:p>
    <w:bookmarkEnd w:id="848"/>
    <w:bookmarkEnd w:id="849"/>
    <w:p w14:paraId="2651CE8E">
      <w:pPr>
        <w:pStyle w:val="202"/>
        <w:spacing w:before="0" w:line="360" w:lineRule="auto"/>
        <w:rPr>
          <w:rFonts w:hint="eastAsia" w:ascii="宋体" w:hAnsi="宋体" w:eastAsia="宋体" w:cs="宋体"/>
          <w:color w:val="auto"/>
          <w:sz w:val="24"/>
          <w:szCs w:val="24"/>
          <w:highlight w:val="none"/>
        </w:rPr>
      </w:pPr>
      <w:bookmarkStart w:id="908" w:name="_Toc454283185"/>
      <w:bookmarkStart w:id="909" w:name="_Toc417904362"/>
      <w:bookmarkStart w:id="910" w:name="_Toc28357"/>
      <w:r>
        <w:rPr>
          <w:rFonts w:hint="eastAsia" w:ascii="宋体" w:hAnsi="宋体" w:eastAsia="宋体" w:cs="宋体"/>
          <w:color w:val="auto"/>
          <w:sz w:val="24"/>
          <w:szCs w:val="24"/>
          <w:highlight w:val="none"/>
        </w:rPr>
        <w:t>20.3 争</w:t>
      </w:r>
      <w:bookmarkEnd w:id="850"/>
      <w:r>
        <w:rPr>
          <w:rFonts w:hint="eastAsia" w:ascii="宋体" w:hAnsi="宋体" w:eastAsia="宋体" w:cs="宋体"/>
          <w:color w:val="auto"/>
          <w:sz w:val="24"/>
          <w:szCs w:val="24"/>
          <w:highlight w:val="none"/>
        </w:rPr>
        <w:t>议评审</w:t>
      </w:r>
      <w:bookmarkEnd w:id="908"/>
      <w:bookmarkEnd w:id="909"/>
      <w:bookmarkEnd w:id="910"/>
    </w:p>
    <w:p w14:paraId="0348909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p>
    <w:p w14:paraId="3CB0B85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5A88A38C">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19F8C1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A0D474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DC61EC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387767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争议评审小组的决定</w:t>
      </w:r>
    </w:p>
    <w:p w14:paraId="0E7E0B8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w:t>
      </w:r>
      <w:r>
        <w:rPr>
          <w:rFonts w:hint="eastAsia" w:ascii="宋体" w:hAnsi="宋体" w:cs="宋体"/>
          <w:color w:val="auto"/>
          <w:sz w:val="24"/>
          <w:szCs w:val="24"/>
          <w:highlight w:val="none"/>
          <w:lang w:val="en-US" w:eastAsia="zh-CN"/>
        </w:rPr>
        <w:t>事</w:t>
      </w:r>
      <w:r>
        <w:rPr>
          <w:rFonts w:hint="eastAsia" w:ascii="宋体" w:hAnsi="宋体" w:eastAsia="宋体" w:cs="宋体"/>
          <w:color w:val="auto"/>
          <w:sz w:val="24"/>
          <w:szCs w:val="24"/>
          <w:highlight w:val="none"/>
        </w:rPr>
        <w:t>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9BC95F0">
      <w:pPr>
        <w:pStyle w:val="202"/>
        <w:spacing w:before="0" w:line="360" w:lineRule="auto"/>
        <w:rPr>
          <w:rFonts w:hint="eastAsia" w:ascii="宋体" w:hAnsi="宋体" w:eastAsia="宋体" w:cs="宋体"/>
          <w:color w:val="auto"/>
          <w:sz w:val="24"/>
          <w:szCs w:val="24"/>
          <w:highlight w:val="none"/>
        </w:rPr>
      </w:pPr>
      <w:bookmarkStart w:id="911" w:name="_Toc454283186"/>
      <w:bookmarkStart w:id="912" w:name="_Toc417904363"/>
      <w:bookmarkStart w:id="913" w:name="_Toc9031"/>
      <w:r>
        <w:rPr>
          <w:rFonts w:hint="eastAsia" w:ascii="宋体" w:hAnsi="宋体" w:eastAsia="宋体" w:cs="宋体"/>
          <w:color w:val="auto"/>
          <w:sz w:val="24"/>
          <w:szCs w:val="24"/>
          <w:highlight w:val="none"/>
        </w:rPr>
        <w:t>20.4仲裁或诉讼</w:t>
      </w:r>
      <w:bookmarkEnd w:id="851"/>
      <w:bookmarkEnd w:id="911"/>
      <w:bookmarkEnd w:id="912"/>
      <w:bookmarkEnd w:id="913"/>
    </w:p>
    <w:p w14:paraId="3776A1C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bookmarkEnd w:id="852"/>
    <w:bookmarkEnd w:id="853"/>
    <w:bookmarkEnd w:id="854"/>
    <w:bookmarkEnd w:id="855"/>
    <w:bookmarkEnd w:id="856"/>
    <w:bookmarkEnd w:id="857"/>
    <w:p w14:paraId="36095B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仲裁委员会按照该会仲裁规则进行仲裁，仲裁裁决是终局的，对合同双方均有约束力。</w:t>
      </w:r>
    </w:p>
    <w:p w14:paraId="62CC9F1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p>
    <w:p w14:paraId="0B6A4F83">
      <w:pPr>
        <w:pStyle w:val="2"/>
        <w:tabs>
          <w:tab w:val="left" w:pos="360"/>
        </w:tabs>
        <w:spacing w:before="0" w:after="0" w:line="360" w:lineRule="auto"/>
        <w:rPr>
          <w:rFonts w:hint="eastAsia" w:ascii="宋体" w:hAnsi="宋体" w:eastAsia="宋体" w:cs="宋体"/>
          <w:color w:val="auto"/>
          <w:sz w:val="24"/>
          <w:szCs w:val="24"/>
          <w:highlight w:val="none"/>
        </w:rPr>
      </w:pPr>
      <w:bookmarkStart w:id="914" w:name="_Toc29264"/>
      <w:bookmarkStart w:id="915" w:name="_Toc417904364"/>
      <w:bookmarkStart w:id="916" w:name="_Toc454283187"/>
      <w:r>
        <w:rPr>
          <w:rFonts w:hint="eastAsia" w:ascii="宋体" w:hAnsi="宋体" w:eastAsia="宋体" w:cs="宋体"/>
          <w:color w:val="auto"/>
          <w:sz w:val="24"/>
          <w:szCs w:val="24"/>
          <w:highlight w:val="none"/>
        </w:rPr>
        <w:t>21、补充条款</w:t>
      </w:r>
      <w:bookmarkEnd w:id="914"/>
      <w:bookmarkEnd w:id="915"/>
      <w:bookmarkEnd w:id="916"/>
    </w:p>
    <w:p w14:paraId="007590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承包人应积极提供有关承包人应提供的资料，以配合发包人办理施工许可证（如需）。</w:t>
      </w:r>
    </w:p>
    <w:p w14:paraId="0079FB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本工程必须是承包人独立完成，不得转包。如经发现转包，甲方有权终止合同，另行选择施工队伍</w:t>
      </w:r>
    </w:p>
    <w:p w14:paraId="2DDDBE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变更、工程签证、隐蔽工程验收等所发生的工程量、综合单价、合价的确认步骤如下：（1）承包人提出；（2）现场监理工程师认可；（3）发包人派驻现场工程师（含发包人建房代表、造价咨询机构）认可；（4）发包人综合部审核。</w:t>
      </w:r>
    </w:p>
    <w:p w14:paraId="2C408F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承包人配合竣工资料归档、协调验收及收尾工程，并配合按照建设行政主管部门和（或）行业管理机构的规定，收集、整理、立卷、归档工程资料，并协助发包人按规定时间向建设行政主管部门或者行政管理机构移交规定的工程档案；配合完成竣工备案及行业项目综合验收。不及时整理移交竣工资料以及不配合各项验收工作的，不予进行结算及支付结算款。</w:t>
      </w:r>
    </w:p>
    <w:p w14:paraId="0302E9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若在施工期间遇有政策性调整按相关规定执行。</w:t>
      </w:r>
    </w:p>
    <w:p w14:paraId="56C9304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21.6 </w:t>
      </w:r>
      <w:r>
        <w:rPr>
          <w:rFonts w:hint="eastAsia" w:ascii="宋体" w:hAnsi="宋体" w:eastAsia="宋体" w:cs="宋体"/>
          <w:color w:val="auto"/>
          <w:sz w:val="24"/>
          <w:szCs w:val="24"/>
          <w:highlight w:val="none"/>
        </w:rPr>
        <w:t>因任何一方违约致使相对方采取诉讼方式实现债权的，违约方应承担相对方为此支付的合理费用，包括但不限于诉讼费、律师费、差旅费等。</w:t>
      </w:r>
    </w:p>
    <w:p w14:paraId="0459D443">
      <w:pPr>
        <w:pStyle w:val="203"/>
        <w:spacing w:line="360" w:lineRule="auto"/>
        <w:ind w:firstLine="422"/>
        <w:rPr>
          <w:rFonts w:hint="eastAsia" w:ascii="宋体" w:hAnsi="宋体" w:eastAsia="宋体" w:cs="宋体"/>
          <w:b/>
          <w:color w:val="auto"/>
          <w:sz w:val="24"/>
          <w:szCs w:val="24"/>
          <w:highlight w:val="none"/>
        </w:rPr>
      </w:pPr>
      <w:bookmarkStart w:id="917" w:name="_Toc351203652"/>
      <w:r>
        <w:rPr>
          <w:rFonts w:hint="eastAsia" w:ascii="宋体" w:hAnsi="宋体" w:eastAsia="宋体" w:cs="宋体"/>
          <w:b/>
          <w:color w:val="auto"/>
          <w:sz w:val="24"/>
          <w:szCs w:val="24"/>
          <w:highlight w:val="none"/>
        </w:rPr>
        <w:t>附件</w:t>
      </w:r>
      <w:bookmarkEnd w:id="917"/>
    </w:p>
    <w:p w14:paraId="0336493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：工程质量保修书</w:t>
      </w:r>
    </w:p>
    <w:p w14:paraId="0F712B8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：发包人供应材料设备一览表</w:t>
      </w:r>
    </w:p>
    <w:p w14:paraId="4233BD6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：承包人用于本工程施工的机械设备表</w:t>
      </w:r>
    </w:p>
    <w:p w14:paraId="0E618DA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：承包人主要施工管理人员表</w:t>
      </w:r>
    </w:p>
    <w:p w14:paraId="6208BFB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：暂估价一览表</w:t>
      </w:r>
    </w:p>
    <w:p w14:paraId="18716191">
      <w:pPr>
        <w:snapToGrid w:val="0"/>
        <w:spacing w:line="360" w:lineRule="auto"/>
        <w:ind w:firstLine="480" w:firstLineChars="200"/>
        <w:rPr>
          <w:rFonts w:hint="eastAsia" w:ascii="宋体" w:hAnsi="宋体" w:eastAsia="宋体" w:cs="宋体"/>
          <w:b w:val="0"/>
          <w:color w:val="auto"/>
          <w:sz w:val="24"/>
          <w:szCs w:val="24"/>
          <w:highlight w:val="none"/>
          <w:lang w:val="en-US" w:eastAsia="zh-CN" w:bidi="ar"/>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bidi="ar"/>
        </w:rPr>
        <w:t>廉政责任书</w:t>
      </w:r>
    </w:p>
    <w:p w14:paraId="5C68FC54">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安全协议书</w:t>
      </w:r>
    </w:p>
    <w:p w14:paraId="6D887F9C">
      <w:pPr>
        <w:spacing w:line="360" w:lineRule="auto"/>
        <w:ind w:firstLine="0" w:firstLineChars="0"/>
        <w:rPr>
          <w:rFonts w:hint="eastAsia" w:ascii="宋体" w:hAnsi="宋体" w:eastAsia="宋体" w:cs="宋体"/>
          <w:color w:val="auto"/>
          <w:sz w:val="24"/>
          <w:szCs w:val="24"/>
          <w:highlight w:val="none"/>
        </w:rPr>
        <w:sectPr>
          <w:footerReference r:id="rId3" w:type="even"/>
          <w:pgSz w:w="11906" w:h="16838"/>
          <w:pgMar w:top="1440" w:right="1440" w:bottom="1440" w:left="1440" w:header="851" w:footer="992" w:gutter="0"/>
          <w:cols w:space="720" w:num="1"/>
          <w:docGrid w:linePitch="312" w:charSpace="0"/>
        </w:sectPr>
      </w:pPr>
    </w:p>
    <w:p w14:paraId="567D6B89">
      <w:pPr>
        <w:pStyle w:val="203"/>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1</w:t>
      </w:r>
      <w:r>
        <w:rPr>
          <w:rFonts w:hint="eastAsia" w:ascii="宋体" w:hAnsi="宋体" w:eastAsia="宋体" w:cs="宋体"/>
          <w:color w:val="auto"/>
          <w:sz w:val="30"/>
          <w:szCs w:val="30"/>
          <w:highlight w:val="none"/>
        </w:rPr>
        <w:t xml:space="preserve">：    </w:t>
      </w:r>
    </w:p>
    <w:p w14:paraId="34BCBAA2">
      <w:pPr>
        <w:pStyle w:val="203"/>
        <w:ind w:firstLine="419" w:firstLineChars="139"/>
        <w:jc w:val="center"/>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工程质量保修书</w:t>
      </w:r>
    </w:p>
    <w:p w14:paraId="48277D69">
      <w:pPr>
        <w:pStyle w:val="203"/>
        <w:ind w:firstLine="602"/>
        <w:jc w:val="center"/>
        <w:rPr>
          <w:rFonts w:ascii="宋体" w:hAnsi="宋体"/>
          <w:b/>
          <w:color w:val="auto"/>
          <w:sz w:val="30"/>
          <w:szCs w:val="30"/>
          <w:highlight w:val="none"/>
        </w:rPr>
      </w:pPr>
    </w:p>
    <w:p w14:paraId="449D481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14:paraId="05D0A6B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47AA2584">
      <w:pPr>
        <w:pStyle w:val="203"/>
        <w:spacing w:line="360" w:lineRule="auto"/>
        <w:ind w:firstLine="0" w:firstLineChars="0"/>
        <w:rPr>
          <w:rFonts w:hint="eastAsia" w:ascii="宋体" w:hAnsi="宋体" w:eastAsia="宋体" w:cs="宋体"/>
          <w:color w:val="auto"/>
          <w:sz w:val="24"/>
          <w:szCs w:val="24"/>
          <w:highlight w:val="none"/>
        </w:rPr>
      </w:pPr>
    </w:p>
    <w:p w14:paraId="521E7DAE">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发包人和承包人根据《中华人民共和国建筑法》和《建设工程质量管理条例》，经协商一致就</w:t>
      </w:r>
      <w:r>
        <w:rPr>
          <w:rFonts w:hint="eastAsia" w:ascii="宋体" w:hAnsi="宋体" w:eastAsia="宋体" w:cs="宋体"/>
          <w:bCs/>
          <w:color w:val="auto"/>
          <w:sz w:val="24"/>
          <w:szCs w:val="24"/>
          <w:highlight w:val="none"/>
          <w:u w:val="single"/>
          <w:lang w:eastAsia="zh-CN"/>
        </w:rPr>
        <w:t xml:space="preserve">    工程</w:t>
      </w:r>
      <w:r>
        <w:rPr>
          <w:rFonts w:hint="eastAsia" w:ascii="宋体" w:hAnsi="宋体" w:eastAsia="宋体" w:cs="宋体"/>
          <w:color w:val="auto"/>
          <w:sz w:val="24"/>
          <w:szCs w:val="24"/>
          <w:highlight w:val="none"/>
        </w:rPr>
        <w:t>签订工程质量保修书。</w:t>
      </w:r>
    </w:p>
    <w:p w14:paraId="30A4BB5D">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一、工程质量保修范围和内容</w:t>
      </w:r>
    </w:p>
    <w:p w14:paraId="4D4FB587">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承包人在质量保修期内，按照有关法律规定和合同约定，承担工程质量保修责任。</w:t>
      </w:r>
    </w:p>
    <w:p w14:paraId="40438636">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85F7911">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val="zh-CN"/>
        </w:rPr>
        <w:t>在承包人承包范围内，属承包人责任造成的工程质量问题，由承包人承担质量保修责任</w:t>
      </w:r>
      <w:r>
        <w:rPr>
          <w:rFonts w:hint="eastAsia" w:ascii="宋体" w:hAnsi="宋体" w:eastAsia="宋体" w:cs="宋体"/>
          <w:color w:val="auto"/>
          <w:sz w:val="24"/>
          <w:szCs w:val="24"/>
          <w:highlight w:val="none"/>
        </w:rPr>
        <w:t>。</w:t>
      </w:r>
    </w:p>
    <w:p w14:paraId="390725AE">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w:t>
      </w:r>
      <w:r>
        <w:rPr>
          <w:rFonts w:hint="eastAsia" w:ascii="宋体" w:hAnsi="宋体" w:eastAsia="宋体" w:cs="宋体"/>
          <w:color w:val="auto"/>
          <w:sz w:val="24"/>
          <w:szCs w:val="24"/>
          <w:highlight w:val="none"/>
        </w:rPr>
        <w:t>二、质量保修期</w:t>
      </w:r>
    </w:p>
    <w:p w14:paraId="524FCEC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1B78F05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1．地基基础工程和主体结构工程为设计文件规定的工程合理使用年限；</w:t>
      </w:r>
    </w:p>
    <w:p w14:paraId="0CE8C9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w:t>
      </w:r>
      <w:r>
        <w:rPr>
          <w:rFonts w:hint="eastAsia" w:ascii="宋体" w:hAnsi="宋体" w:eastAsia="宋体" w:cs="宋体"/>
          <w:color w:val="auto"/>
          <w:sz w:val="24"/>
          <w:szCs w:val="24"/>
          <w:highlight w:val="none"/>
          <w:u w:val="single"/>
        </w:rPr>
        <w:t>五</w:t>
      </w:r>
      <w:r>
        <w:rPr>
          <w:rFonts w:hint="eastAsia" w:ascii="宋体" w:hAnsi="宋体" w:eastAsia="宋体" w:cs="宋体"/>
          <w:color w:val="auto"/>
          <w:sz w:val="24"/>
          <w:szCs w:val="24"/>
          <w:highlight w:val="none"/>
        </w:rPr>
        <w:t>年；</w:t>
      </w:r>
    </w:p>
    <w:p w14:paraId="05D6652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年；</w:t>
      </w:r>
    </w:p>
    <w:p w14:paraId="3935AA9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4．电气管线、给排水管道、设备安装工程为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年；</w:t>
      </w:r>
    </w:p>
    <w:p w14:paraId="0F584CA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5．供热与供冷系统为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个采暖期、供冷期；</w:t>
      </w:r>
    </w:p>
    <w:p w14:paraId="7C6E629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6．住宅小区内的给排水设施、道路等配套工程为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年；</w:t>
      </w:r>
    </w:p>
    <w:p w14:paraId="7C51BE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419A82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质量保修期自工程竣工验收合格之日起计算。</w:t>
      </w:r>
    </w:p>
    <w:p w14:paraId="1B6AE66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三、缺陷责任期</w:t>
      </w:r>
    </w:p>
    <w:p w14:paraId="7D29882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个月，缺陷责任期自工程实际竣工之日起计算。单位工程先于全部工程进行验收，单位工程缺陷责任期自单位工程验收合格之日起算。</w:t>
      </w:r>
    </w:p>
    <w:p w14:paraId="2C8382BC">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14:paraId="26203855">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四、质量保修责任</w:t>
      </w:r>
    </w:p>
    <w:p w14:paraId="62150D9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4421C76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001BEE2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53417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616DD917">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五、保修费用</w:t>
      </w:r>
    </w:p>
    <w:p w14:paraId="44AB216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保修费用由造成质量缺陷的责任方承担。</w:t>
      </w:r>
    </w:p>
    <w:p w14:paraId="5C6C247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六、双方约定的其他工程质量保修事项：</w:t>
      </w:r>
      <w:r>
        <w:rPr>
          <w:rFonts w:hint="eastAsia" w:ascii="宋体" w:hAnsi="宋体" w:eastAsia="宋体" w:cs="宋体"/>
          <w:color w:val="auto"/>
          <w:sz w:val="24"/>
          <w:szCs w:val="24"/>
          <w:highlight w:val="none"/>
          <w:u w:val="single"/>
        </w:rPr>
        <w:t>双方约定，发包人预留本工程最终结算总价的3%作为工程质量保修金。本工程保修期以工程竣工综合验收合格交付发包人之日起计算。质量保修金在工程竣工验收合格之日起满两年后14天内将保修金返回给承包人。质量保证金的返还，并不能免除承包人按照合同约定应承担的质量保修责任和应履行的质量保修义务</w:t>
      </w:r>
      <w:r>
        <w:rPr>
          <w:rFonts w:hint="eastAsia" w:ascii="宋体" w:hAnsi="宋体" w:eastAsia="宋体" w:cs="宋体"/>
          <w:color w:val="auto"/>
          <w:sz w:val="24"/>
          <w:szCs w:val="24"/>
          <w:highlight w:val="none"/>
        </w:rPr>
        <w:t>。</w:t>
      </w:r>
    </w:p>
    <w:p w14:paraId="541124F3">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0FCE05E2">
      <w:pPr>
        <w:pStyle w:val="203"/>
        <w:spacing w:line="360" w:lineRule="auto"/>
        <w:rPr>
          <w:rFonts w:hint="eastAsia" w:ascii="宋体" w:hAnsi="宋体" w:eastAsia="宋体" w:cs="宋体"/>
          <w:color w:val="auto"/>
          <w:sz w:val="24"/>
          <w:szCs w:val="24"/>
          <w:highlight w:val="none"/>
          <w:lang w:eastAsia="zh-CN"/>
        </w:rPr>
      </w:pPr>
    </w:p>
    <w:p w14:paraId="0C5AC3D9">
      <w:pPr>
        <w:pStyle w:val="203"/>
        <w:spacing w:line="360" w:lineRule="auto"/>
        <w:rPr>
          <w:rFonts w:hint="eastAsia" w:ascii="宋体" w:hAnsi="宋体" w:eastAsia="宋体" w:cs="宋体"/>
          <w:color w:val="auto"/>
          <w:sz w:val="24"/>
          <w:szCs w:val="24"/>
          <w:highlight w:val="none"/>
          <w:lang w:eastAsia="zh-CN"/>
        </w:rPr>
      </w:pPr>
    </w:p>
    <w:p w14:paraId="535908F3">
      <w:pPr>
        <w:pStyle w:val="203"/>
        <w:spacing w:line="360" w:lineRule="auto"/>
        <w:rPr>
          <w:rFonts w:hint="eastAsia" w:ascii="宋体" w:hAnsi="宋体" w:eastAsia="宋体" w:cs="宋体"/>
          <w:color w:val="auto"/>
          <w:sz w:val="24"/>
          <w:szCs w:val="24"/>
          <w:highlight w:val="none"/>
          <w:lang w:eastAsia="zh-CN"/>
        </w:rPr>
      </w:pPr>
    </w:p>
    <w:p w14:paraId="0BFBF67C">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eastAsia="zh-CN"/>
        </w:rPr>
        <w:t xml:space="preserve">            </w:t>
      </w:r>
    </w:p>
    <w:p w14:paraId="7313B333">
      <w:pPr>
        <w:pStyle w:val="203"/>
        <w:spacing w:line="360" w:lineRule="auto"/>
        <w:rPr>
          <w:rFonts w:hint="eastAsia" w:ascii="宋体" w:hAnsi="宋体" w:eastAsia="宋体" w:cs="宋体"/>
          <w:color w:val="auto"/>
          <w:sz w:val="24"/>
          <w:szCs w:val="24"/>
          <w:highlight w:val="none"/>
          <w:lang w:eastAsia="zh-CN"/>
        </w:rPr>
      </w:pPr>
    </w:p>
    <w:p w14:paraId="77ACBD50">
      <w:pPr>
        <w:pStyle w:val="203"/>
        <w:spacing w:line="360" w:lineRule="auto"/>
        <w:rPr>
          <w:rFonts w:hint="eastAsia" w:ascii="宋体" w:hAnsi="宋体"/>
          <w:color w:val="auto"/>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lang w:eastAsia="zh-CN"/>
        </w:rPr>
        <w:t xml:space="preserve"> </w:t>
      </w:r>
    </w:p>
    <w:p w14:paraId="16FFD747">
      <w:pPr>
        <w:pStyle w:val="203"/>
        <w:ind w:firstLine="301" w:firstLineChars="100"/>
        <w:rPr>
          <w:rFonts w:hint="eastAsia" w:ascii="宋体" w:hAnsi="宋体" w:eastAsia="宋体" w:cs="宋体"/>
          <w:color w:val="auto"/>
          <w:sz w:val="30"/>
          <w:szCs w:val="30"/>
          <w:highlight w:val="none"/>
        </w:rPr>
      </w:pPr>
      <w:r>
        <w:rPr>
          <w:rFonts w:ascii="宋体" w:hAnsi="宋体"/>
          <w:b/>
          <w:color w:val="auto"/>
          <w:sz w:val="30"/>
          <w:szCs w:val="30"/>
          <w:highlight w:val="none"/>
        </w:rPr>
        <w:br w:type="page"/>
      </w: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2</w:t>
      </w:r>
      <w:r>
        <w:rPr>
          <w:rFonts w:hint="eastAsia" w:ascii="宋体" w:hAnsi="宋体" w:eastAsia="宋体" w:cs="宋体"/>
          <w:color w:val="auto"/>
          <w:sz w:val="30"/>
          <w:szCs w:val="30"/>
          <w:highlight w:val="none"/>
        </w:rPr>
        <w:t>：</w:t>
      </w:r>
    </w:p>
    <w:p w14:paraId="250F4633">
      <w:pPr>
        <w:pStyle w:val="203"/>
        <w:ind w:firstLine="6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发包人供应材料设备一览表</w:t>
      </w:r>
    </w:p>
    <w:tbl>
      <w:tblPr>
        <w:tblStyle w:val="40"/>
        <w:tblW w:w="100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127"/>
        <w:gridCol w:w="940"/>
        <w:gridCol w:w="851"/>
        <w:gridCol w:w="1044"/>
        <w:gridCol w:w="992"/>
        <w:gridCol w:w="851"/>
        <w:gridCol w:w="1085"/>
        <w:gridCol w:w="992"/>
      </w:tblGrid>
      <w:tr w14:paraId="5F7E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410F42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76" w:type="dxa"/>
            <w:tcBorders>
              <w:top w:val="single" w:color="auto" w:sz="12" w:space="0"/>
              <w:bottom w:val="double" w:color="auto" w:sz="6" w:space="0"/>
            </w:tcBorders>
            <w:noWrap w:val="0"/>
            <w:vAlign w:val="center"/>
          </w:tcPr>
          <w:p w14:paraId="245599EB">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w:t>
            </w:r>
          </w:p>
          <w:p w14:paraId="1F6E8AE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设备品种</w:t>
            </w:r>
          </w:p>
        </w:tc>
        <w:tc>
          <w:tcPr>
            <w:tcW w:w="1127" w:type="dxa"/>
            <w:tcBorders>
              <w:top w:val="single" w:color="auto" w:sz="12" w:space="0"/>
              <w:bottom w:val="double" w:color="auto" w:sz="6" w:space="0"/>
            </w:tcBorders>
            <w:noWrap w:val="0"/>
            <w:vAlign w:val="center"/>
          </w:tcPr>
          <w:p w14:paraId="264CFB19">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规格型号</w:t>
            </w:r>
          </w:p>
        </w:tc>
        <w:tc>
          <w:tcPr>
            <w:tcW w:w="940" w:type="dxa"/>
            <w:tcBorders>
              <w:top w:val="single" w:color="auto" w:sz="12" w:space="0"/>
              <w:bottom w:val="double" w:color="auto" w:sz="6" w:space="0"/>
            </w:tcBorders>
            <w:noWrap w:val="0"/>
            <w:vAlign w:val="center"/>
          </w:tcPr>
          <w:p w14:paraId="7C743695">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1" w:type="dxa"/>
            <w:tcBorders>
              <w:top w:val="single" w:color="auto" w:sz="12" w:space="0"/>
              <w:bottom w:val="double" w:color="auto" w:sz="6" w:space="0"/>
            </w:tcBorders>
            <w:noWrap w:val="0"/>
            <w:vAlign w:val="center"/>
          </w:tcPr>
          <w:p w14:paraId="6315043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044" w:type="dxa"/>
            <w:tcBorders>
              <w:top w:val="single" w:color="auto" w:sz="12" w:space="0"/>
              <w:bottom w:val="double" w:color="auto" w:sz="6" w:space="0"/>
            </w:tcBorders>
            <w:noWrap w:val="0"/>
            <w:vAlign w:val="center"/>
          </w:tcPr>
          <w:p w14:paraId="3F3A87C5">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992" w:type="dxa"/>
            <w:tcBorders>
              <w:top w:val="single" w:color="auto" w:sz="12" w:space="0"/>
              <w:bottom w:val="double" w:color="auto" w:sz="6" w:space="0"/>
            </w:tcBorders>
            <w:noWrap w:val="0"/>
            <w:vAlign w:val="center"/>
          </w:tcPr>
          <w:p w14:paraId="0B4F531B">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p w14:paraId="1889B3A3">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等级</w:t>
            </w:r>
          </w:p>
        </w:tc>
        <w:tc>
          <w:tcPr>
            <w:tcW w:w="851" w:type="dxa"/>
            <w:tcBorders>
              <w:top w:val="single" w:color="auto" w:sz="12" w:space="0"/>
              <w:bottom w:val="double" w:color="auto" w:sz="6" w:space="0"/>
            </w:tcBorders>
            <w:noWrap w:val="0"/>
            <w:vAlign w:val="center"/>
          </w:tcPr>
          <w:p w14:paraId="70CC76EF">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w:t>
            </w:r>
          </w:p>
          <w:p w14:paraId="7BC7DE84">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p>
        </w:tc>
        <w:tc>
          <w:tcPr>
            <w:tcW w:w="1085" w:type="dxa"/>
            <w:tcBorders>
              <w:top w:val="single" w:color="auto" w:sz="12" w:space="0"/>
              <w:bottom w:val="double" w:color="auto" w:sz="6" w:space="0"/>
            </w:tcBorders>
            <w:noWrap w:val="0"/>
            <w:vAlign w:val="center"/>
          </w:tcPr>
          <w:p w14:paraId="295A6F2B">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送达地点</w:t>
            </w:r>
          </w:p>
        </w:tc>
        <w:tc>
          <w:tcPr>
            <w:tcW w:w="992" w:type="dxa"/>
            <w:tcBorders>
              <w:top w:val="single" w:color="auto" w:sz="12" w:space="0"/>
              <w:bottom w:val="double" w:color="auto" w:sz="6" w:space="0"/>
            </w:tcBorders>
            <w:noWrap w:val="0"/>
            <w:vAlign w:val="center"/>
          </w:tcPr>
          <w:p w14:paraId="21AA002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3D9D3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1FF54336">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tcBorders>
              <w:top w:val="double" w:color="auto" w:sz="6" w:space="0"/>
            </w:tcBorders>
            <w:noWrap w:val="0"/>
            <w:vAlign w:val="center"/>
          </w:tcPr>
          <w:p w14:paraId="0CC7C425">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tcBorders>
              <w:top w:val="double" w:color="auto" w:sz="6" w:space="0"/>
            </w:tcBorders>
            <w:noWrap w:val="0"/>
            <w:vAlign w:val="center"/>
          </w:tcPr>
          <w:p w14:paraId="629793CB">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tcBorders>
              <w:top w:val="double" w:color="auto" w:sz="6" w:space="0"/>
            </w:tcBorders>
            <w:noWrap w:val="0"/>
            <w:vAlign w:val="center"/>
          </w:tcPr>
          <w:p w14:paraId="1F78D27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double" w:color="auto" w:sz="6" w:space="0"/>
            </w:tcBorders>
            <w:noWrap w:val="0"/>
            <w:vAlign w:val="center"/>
          </w:tcPr>
          <w:p w14:paraId="100AC4B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tcBorders>
              <w:top w:val="double" w:color="auto" w:sz="6" w:space="0"/>
            </w:tcBorders>
            <w:noWrap w:val="0"/>
            <w:vAlign w:val="center"/>
          </w:tcPr>
          <w:p w14:paraId="69319490">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double" w:color="auto" w:sz="6" w:space="0"/>
            </w:tcBorders>
            <w:noWrap w:val="0"/>
            <w:vAlign w:val="center"/>
          </w:tcPr>
          <w:p w14:paraId="7D8C9F4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double" w:color="auto" w:sz="6" w:space="0"/>
            </w:tcBorders>
            <w:noWrap w:val="0"/>
            <w:vAlign w:val="center"/>
          </w:tcPr>
          <w:p w14:paraId="2E10A7D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tcBorders>
              <w:top w:val="double" w:color="auto" w:sz="6" w:space="0"/>
            </w:tcBorders>
            <w:noWrap w:val="0"/>
            <w:vAlign w:val="center"/>
          </w:tcPr>
          <w:p w14:paraId="0A9EDEE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double" w:color="auto" w:sz="6" w:space="0"/>
            </w:tcBorders>
            <w:noWrap w:val="0"/>
            <w:vAlign w:val="center"/>
          </w:tcPr>
          <w:p w14:paraId="3374B33E">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698EE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13E344A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tcBorders>
              <w:top w:val="nil"/>
            </w:tcBorders>
            <w:noWrap w:val="0"/>
            <w:vAlign w:val="center"/>
          </w:tcPr>
          <w:p w14:paraId="7E51D277">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tcBorders>
              <w:top w:val="nil"/>
            </w:tcBorders>
            <w:noWrap w:val="0"/>
            <w:vAlign w:val="center"/>
          </w:tcPr>
          <w:p w14:paraId="25A48C4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tcBorders>
              <w:top w:val="nil"/>
            </w:tcBorders>
            <w:noWrap w:val="0"/>
            <w:vAlign w:val="center"/>
          </w:tcPr>
          <w:p w14:paraId="787BE03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6C405BC0">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tcBorders>
              <w:top w:val="nil"/>
            </w:tcBorders>
            <w:noWrap w:val="0"/>
            <w:vAlign w:val="center"/>
          </w:tcPr>
          <w:p w14:paraId="30A7461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nil"/>
            </w:tcBorders>
            <w:noWrap w:val="0"/>
            <w:vAlign w:val="center"/>
          </w:tcPr>
          <w:p w14:paraId="170829F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7930E217">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tcBorders>
              <w:top w:val="nil"/>
            </w:tcBorders>
            <w:noWrap w:val="0"/>
            <w:vAlign w:val="center"/>
          </w:tcPr>
          <w:p w14:paraId="535C79F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nil"/>
            </w:tcBorders>
            <w:noWrap w:val="0"/>
            <w:vAlign w:val="center"/>
          </w:tcPr>
          <w:p w14:paraId="45FFFD3D">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13241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45044A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2719A625">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78252D7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7392E26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2AC111F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54C857F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47CE902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390E7B22">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40C869B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518B0B9B">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57E26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907127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2DFE09B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5ABBCCD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6188D982">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32D372EE">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2B155232">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58F6C23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08EF679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6E70690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1CA78D48">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5DCBE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07C64E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0E7EC1AE">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6B6BECEB">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770FF83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3481AE56">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2170326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0E8BE30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486EB82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0D789C4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68AD13CA">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42F6E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989E0D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1568E8B8">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3FF2B0F7">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4FEA008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5AB45F3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1BB4F6F8">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04A7090B">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434EB3B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76BF2CA8">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691B2FD5">
            <w:pPr>
              <w:pStyle w:val="203"/>
              <w:adjustRightInd w:val="0"/>
              <w:ind w:firstLine="0" w:firstLineChars="0"/>
              <w:rPr>
                <w:rFonts w:hint="eastAsia" w:ascii="宋体" w:hAnsi="宋体" w:eastAsia="宋体" w:cs="宋体"/>
                <w:color w:val="auto"/>
                <w:sz w:val="24"/>
                <w:szCs w:val="24"/>
                <w:highlight w:val="none"/>
                <w:lang w:val="en-US" w:eastAsia="zh-CN"/>
              </w:rPr>
            </w:pPr>
          </w:p>
        </w:tc>
      </w:tr>
    </w:tbl>
    <w:p w14:paraId="308CEA49">
      <w:pPr>
        <w:pStyle w:val="203"/>
        <w:ind w:firstLine="600"/>
        <w:rPr>
          <w:rFonts w:ascii="宋体" w:hAnsi="宋体"/>
          <w:color w:val="auto"/>
          <w:sz w:val="30"/>
          <w:szCs w:val="30"/>
          <w:highlight w:val="none"/>
        </w:rPr>
      </w:pPr>
    </w:p>
    <w:p w14:paraId="3B59B455">
      <w:pPr>
        <w:spacing w:line="440" w:lineRule="exact"/>
        <w:rPr>
          <w:rFonts w:ascii="宋体" w:hAnsi="宋体"/>
          <w:color w:val="auto"/>
          <w:sz w:val="30"/>
          <w:szCs w:val="30"/>
          <w:highlight w:val="none"/>
        </w:rPr>
      </w:pPr>
    </w:p>
    <w:p w14:paraId="2ABAF847">
      <w:pPr>
        <w:spacing w:line="240" w:lineRule="auto"/>
        <w:ind w:firstLine="0" w:firstLineChars="0"/>
        <w:rPr>
          <w:rFonts w:hint="eastAsia" w:ascii="宋体" w:hAnsi="宋体"/>
          <w:color w:val="auto"/>
          <w:sz w:val="30"/>
          <w:szCs w:val="30"/>
          <w:highlight w:val="none"/>
        </w:rPr>
      </w:pPr>
      <w:r>
        <w:rPr>
          <w:rFonts w:hint="eastAsia" w:ascii="宋体" w:hAnsi="宋体"/>
          <w:color w:val="auto"/>
          <w:sz w:val="30"/>
          <w:szCs w:val="30"/>
          <w:highlight w:val="none"/>
        </w:rPr>
        <w:br w:type="page"/>
      </w:r>
    </w:p>
    <w:p w14:paraId="6DB16245">
      <w:pPr>
        <w:spacing w:line="440" w:lineRule="exact"/>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附件3：</w:t>
      </w:r>
    </w:p>
    <w:p w14:paraId="5623E79B">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4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5B42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31B7BB8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8" w:type="dxa"/>
            <w:tcBorders>
              <w:top w:val="single" w:color="auto" w:sz="12" w:space="0"/>
              <w:bottom w:val="double" w:color="auto" w:sz="6" w:space="0"/>
            </w:tcBorders>
            <w:noWrap w:val="0"/>
            <w:vAlign w:val="center"/>
          </w:tcPr>
          <w:p w14:paraId="20B941CE">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14:paraId="7A4761A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058" w:type="dxa"/>
            <w:tcBorders>
              <w:top w:val="single" w:color="auto" w:sz="12" w:space="0"/>
              <w:bottom w:val="double" w:color="auto" w:sz="6" w:space="0"/>
            </w:tcBorders>
            <w:noWrap w:val="0"/>
            <w:vAlign w:val="center"/>
          </w:tcPr>
          <w:p w14:paraId="0D87717C">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80" w:type="dxa"/>
            <w:tcBorders>
              <w:top w:val="single" w:color="auto" w:sz="12" w:space="0"/>
              <w:bottom w:val="double" w:color="auto" w:sz="6" w:space="0"/>
            </w:tcBorders>
            <w:noWrap w:val="0"/>
            <w:vAlign w:val="center"/>
          </w:tcPr>
          <w:p w14:paraId="6CB3DCD9">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20" w:type="dxa"/>
            <w:tcBorders>
              <w:top w:val="single" w:color="auto" w:sz="12" w:space="0"/>
              <w:bottom w:val="double" w:color="auto" w:sz="6" w:space="0"/>
            </w:tcBorders>
            <w:noWrap w:val="0"/>
            <w:vAlign w:val="center"/>
          </w:tcPr>
          <w:p w14:paraId="6F8EA79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制造年份</w:t>
            </w:r>
          </w:p>
        </w:tc>
        <w:tc>
          <w:tcPr>
            <w:tcW w:w="1480" w:type="dxa"/>
            <w:tcBorders>
              <w:top w:val="single" w:color="auto" w:sz="12" w:space="0"/>
              <w:bottom w:val="double" w:color="auto" w:sz="6" w:space="0"/>
            </w:tcBorders>
            <w:noWrap w:val="0"/>
            <w:vAlign w:val="center"/>
          </w:tcPr>
          <w:p w14:paraId="4830A6A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1020" w:type="dxa"/>
            <w:tcBorders>
              <w:top w:val="single" w:color="auto" w:sz="12" w:space="0"/>
              <w:bottom w:val="double" w:color="auto" w:sz="6" w:space="0"/>
            </w:tcBorders>
            <w:noWrap w:val="0"/>
            <w:vAlign w:val="center"/>
          </w:tcPr>
          <w:p w14:paraId="0FB8DFE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921" w:type="dxa"/>
            <w:tcBorders>
              <w:top w:val="single" w:color="auto" w:sz="12" w:space="0"/>
              <w:bottom w:val="double" w:color="auto" w:sz="6" w:space="0"/>
            </w:tcBorders>
            <w:noWrap w:val="0"/>
            <w:vAlign w:val="center"/>
          </w:tcPr>
          <w:p w14:paraId="32D87CB2">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CECD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noWrap w:val="0"/>
            <w:vAlign w:val="center"/>
          </w:tcPr>
          <w:p w14:paraId="2B4C1C52">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tcBorders>
              <w:top w:val="double" w:color="auto" w:sz="6" w:space="0"/>
            </w:tcBorders>
            <w:noWrap w:val="0"/>
            <w:vAlign w:val="center"/>
          </w:tcPr>
          <w:p w14:paraId="4456FEA8">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tcBorders>
              <w:top w:val="double" w:color="auto" w:sz="6" w:space="0"/>
            </w:tcBorders>
            <w:noWrap w:val="0"/>
            <w:vAlign w:val="center"/>
          </w:tcPr>
          <w:p w14:paraId="16DE6C9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tcBorders>
              <w:top w:val="double" w:color="auto" w:sz="6" w:space="0"/>
            </w:tcBorders>
            <w:noWrap w:val="0"/>
            <w:vAlign w:val="center"/>
          </w:tcPr>
          <w:p w14:paraId="25FC1C79">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tcBorders>
              <w:top w:val="double" w:color="auto" w:sz="6" w:space="0"/>
            </w:tcBorders>
            <w:noWrap w:val="0"/>
            <w:vAlign w:val="center"/>
          </w:tcPr>
          <w:p w14:paraId="5A90AEBA">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double" w:color="auto" w:sz="6" w:space="0"/>
            </w:tcBorders>
            <w:noWrap w:val="0"/>
            <w:vAlign w:val="center"/>
          </w:tcPr>
          <w:p w14:paraId="42DDBB8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tcBorders>
              <w:top w:val="double" w:color="auto" w:sz="6" w:space="0"/>
            </w:tcBorders>
            <w:noWrap w:val="0"/>
            <w:vAlign w:val="center"/>
          </w:tcPr>
          <w:p w14:paraId="282598AB">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double" w:color="auto" w:sz="6" w:space="0"/>
            </w:tcBorders>
            <w:noWrap w:val="0"/>
            <w:vAlign w:val="center"/>
          </w:tcPr>
          <w:p w14:paraId="3C47587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tcBorders>
              <w:top w:val="double" w:color="auto" w:sz="6" w:space="0"/>
            </w:tcBorders>
            <w:noWrap w:val="0"/>
            <w:vAlign w:val="center"/>
          </w:tcPr>
          <w:p w14:paraId="4779A45B">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1C96F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335983E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tcBorders>
              <w:top w:val="nil"/>
            </w:tcBorders>
            <w:noWrap w:val="0"/>
            <w:vAlign w:val="center"/>
          </w:tcPr>
          <w:p w14:paraId="3035004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tcBorders>
              <w:top w:val="nil"/>
            </w:tcBorders>
            <w:noWrap w:val="0"/>
            <w:vAlign w:val="center"/>
          </w:tcPr>
          <w:p w14:paraId="3307D038">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tcBorders>
              <w:top w:val="nil"/>
            </w:tcBorders>
            <w:noWrap w:val="0"/>
            <w:vAlign w:val="center"/>
          </w:tcPr>
          <w:p w14:paraId="364E63B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tcBorders>
              <w:top w:val="nil"/>
            </w:tcBorders>
            <w:noWrap w:val="0"/>
            <w:vAlign w:val="center"/>
          </w:tcPr>
          <w:p w14:paraId="6F692F7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nil"/>
            </w:tcBorders>
            <w:noWrap w:val="0"/>
            <w:vAlign w:val="center"/>
          </w:tcPr>
          <w:p w14:paraId="6329810E">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tcBorders>
              <w:top w:val="nil"/>
            </w:tcBorders>
            <w:noWrap w:val="0"/>
            <w:vAlign w:val="center"/>
          </w:tcPr>
          <w:p w14:paraId="60C123E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nil"/>
            </w:tcBorders>
            <w:noWrap w:val="0"/>
            <w:vAlign w:val="center"/>
          </w:tcPr>
          <w:p w14:paraId="3B5A226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tcBorders>
              <w:top w:val="nil"/>
            </w:tcBorders>
            <w:noWrap w:val="0"/>
            <w:vAlign w:val="center"/>
          </w:tcPr>
          <w:p w14:paraId="5528406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2C89A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B2B12A">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noWrap w:val="0"/>
            <w:vAlign w:val="center"/>
          </w:tcPr>
          <w:p w14:paraId="64058FE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4DB116A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noWrap w:val="0"/>
            <w:vAlign w:val="center"/>
          </w:tcPr>
          <w:p w14:paraId="7D312FC9">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noWrap w:val="0"/>
            <w:vAlign w:val="center"/>
          </w:tcPr>
          <w:p w14:paraId="6532077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60357E5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noWrap w:val="0"/>
            <w:vAlign w:val="center"/>
          </w:tcPr>
          <w:p w14:paraId="1AB03C2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755C59AC">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noWrap w:val="0"/>
            <w:vAlign w:val="center"/>
          </w:tcPr>
          <w:p w14:paraId="39555BE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61DF9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B6171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noWrap w:val="0"/>
            <w:vAlign w:val="center"/>
          </w:tcPr>
          <w:p w14:paraId="2D6B7D3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4000EB32">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noWrap w:val="0"/>
            <w:vAlign w:val="center"/>
          </w:tcPr>
          <w:p w14:paraId="56F67DA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noWrap w:val="0"/>
            <w:vAlign w:val="center"/>
          </w:tcPr>
          <w:p w14:paraId="596C8D2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1DE48F85">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noWrap w:val="0"/>
            <w:vAlign w:val="center"/>
          </w:tcPr>
          <w:p w14:paraId="19B9BFD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2AEF981A">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noWrap w:val="0"/>
            <w:vAlign w:val="center"/>
          </w:tcPr>
          <w:p w14:paraId="0F80A2A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3684F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D1A83A6">
            <w:pPr>
              <w:rPr>
                <w:rFonts w:hint="eastAsia" w:ascii="宋体" w:hAnsi="宋体" w:eastAsia="宋体" w:cs="宋体"/>
                <w:color w:val="auto"/>
                <w:sz w:val="24"/>
                <w:szCs w:val="24"/>
                <w:highlight w:val="none"/>
              </w:rPr>
            </w:pPr>
          </w:p>
        </w:tc>
        <w:tc>
          <w:tcPr>
            <w:tcW w:w="1418" w:type="dxa"/>
            <w:noWrap w:val="0"/>
            <w:vAlign w:val="top"/>
          </w:tcPr>
          <w:p w14:paraId="572E9450">
            <w:pPr>
              <w:rPr>
                <w:rFonts w:hint="eastAsia" w:ascii="宋体" w:hAnsi="宋体" w:eastAsia="宋体" w:cs="宋体"/>
                <w:color w:val="auto"/>
                <w:sz w:val="24"/>
                <w:szCs w:val="24"/>
                <w:highlight w:val="none"/>
              </w:rPr>
            </w:pPr>
          </w:p>
        </w:tc>
        <w:tc>
          <w:tcPr>
            <w:tcW w:w="850" w:type="dxa"/>
            <w:noWrap w:val="0"/>
            <w:vAlign w:val="top"/>
          </w:tcPr>
          <w:p w14:paraId="5A8F3787">
            <w:pPr>
              <w:rPr>
                <w:rFonts w:hint="eastAsia" w:ascii="宋体" w:hAnsi="宋体" w:eastAsia="宋体" w:cs="宋体"/>
                <w:color w:val="auto"/>
                <w:sz w:val="24"/>
                <w:szCs w:val="24"/>
                <w:highlight w:val="none"/>
              </w:rPr>
            </w:pPr>
          </w:p>
        </w:tc>
        <w:tc>
          <w:tcPr>
            <w:tcW w:w="1058" w:type="dxa"/>
            <w:noWrap w:val="0"/>
            <w:vAlign w:val="top"/>
          </w:tcPr>
          <w:p w14:paraId="116CC020">
            <w:pPr>
              <w:rPr>
                <w:rFonts w:hint="eastAsia" w:ascii="宋体" w:hAnsi="宋体" w:eastAsia="宋体" w:cs="宋体"/>
                <w:color w:val="auto"/>
                <w:sz w:val="24"/>
                <w:szCs w:val="24"/>
                <w:highlight w:val="none"/>
              </w:rPr>
            </w:pPr>
          </w:p>
        </w:tc>
        <w:tc>
          <w:tcPr>
            <w:tcW w:w="880" w:type="dxa"/>
            <w:noWrap w:val="0"/>
            <w:vAlign w:val="top"/>
          </w:tcPr>
          <w:p w14:paraId="4EFDAD33">
            <w:pPr>
              <w:rPr>
                <w:rFonts w:hint="eastAsia" w:ascii="宋体" w:hAnsi="宋体" w:eastAsia="宋体" w:cs="宋体"/>
                <w:color w:val="auto"/>
                <w:sz w:val="24"/>
                <w:szCs w:val="24"/>
                <w:highlight w:val="none"/>
              </w:rPr>
            </w:pPr>
          </w:p>
        </w:tc>
        <w:tc>
          <w:tcPr>
            <w:tcW w:w="1020" w:type="dxa"/>
            <w:noWrap w:val="0"/>
            <w:vAlign w:val="top"/>
          </w:tcPr>
          <w:p w14:paraId="07F757A4">
            <w:pPr>
              <w:rPr>
                <w:rFonts w:hint="eastAsia" w:ascii="宋体" w:hAnsi="宋体" w:eastAsia="宋体" w:cs="宋体"/>
                <w:color w:val="auto"/>
                <w:sz w:val="24"/>
                <w:szCs w:val="24"/>
                <w:highlight w:val="none"/>
              </w:rPr>
            </w:pPr>
          </w:p>
        </w:tc>
        <w:tc>
          <w:tcPr>
            <w:tcW w:w="1480" w:type="dxa"/>
            <w:noWrap w:val="0"/>
            <w:vAlign w:val="top"/>
          </w:tcPr>
          <w:p w14:paraId="7FE27712">
            <w:pPr>
              <w:rPr>
                <w:rFonts w:hint="eastAsia" w:ascii="宋体" w:hAnsi="宋体" w:eastAsia="宋体" w:cs="宋体"/>
                <w:color w:val="auto"/>
                <w:sz w:val="24"/>
                <w:szCs w:val="24"/>
                <w:highlight w:val="none"/>
              </w:rPr>
            </w:pPr>
          </w:p>
        </w:tc>
        <w:tc>
          <w:tcPr>
            <w:tcW w:w="1020" w:type="dxa"/>
            <w:noWrap w:val="0"/>
            <w:vAlign w:val="top"/>
          </w:tcPr>
          <w:p w14:paraId="7ABB7C1F">
            <w:pPr>
              <w:rPr>
                <w:rFonts w:hint="eastAsia" w:ascii="宋体" w:hAnsi="宋体" w:eastAsia="宋体" w:cs="宋体"/>
                <w:color w:val="auto"/>
                <w:sz w:val="24"/>
                <w:szCs w:val="24"/>
                <w:highlight w:val="none"/>
              </w:rPr>
            </w:pPr>
          </w:p>
        </w:tc>
        <w:tc>
          <w:tcPr>
            <w:tcW w:w="921" w:type="dxa"/>
            <w:noWrap w:val="0"/>
            <w:vAlign w:val="top"/>
          </w:tcPr>
          <w:p w14:paraId="27AAA9FD">
            <w:pPr>
              <w:rPr>
                <w:rFonts w:hint="eastAsia" w:ascii="宋体" w:hAnsi="宋体" w:eastAsia="宋体" w:cs="宋体"/>
                <w:color w:val="auto"/>
                <w:sz w:val="24"/>
                <w:szCs w:val="24"/>
                <w:highlight w:val="none"/>
              </w:rPr>
            </w:pPr>
          </w:p>
        </w:tc>
      </w:tr>
      <w:tr w14:paraId="4A62A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6825E8C">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noWrap w:val="0"/>
            <w:vAlign w:val="center"/>
          </w:tcPr>
          <w:p w14:paraId="07FDB84B">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73032E3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noWrap w:val="0"/>
            <w:vAlign w:val="center"/>
          </w:tcPr>
          <w:p w14:paraId="0B834AF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noWrap w:val="0"/>
            <w:vAlign w:val="center"/>
          </w:tcPr>
          <w:p w14:paraId="30872BA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2CF3234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noWrap w:val="0"/>
            <w:vAlign w:val="center"/>
          </w:tcPr>
          <w:p w14:paraId="658E1A7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772D10A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noWrap w:val="0"/>
            <w:vAlign w:val="center"/>
          </w:tcPr>
          <w:p w14:paraId="620093C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74B79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7220CA1">
            <w:pPr>
              <w:rPr>
                <w:rFonts w:hint="eastAsia" w:ascii="宋体" w:hAnsi="宋体" w:eastAsia="宋体" w:cs="宋体"/>
                <w:color w:val="auto"/>
                <w:sz w:val="24"/>
                <w:szCs w:val="24"/>
                <w:highlight w:val="none"/>
              </w:rPr>
            </w:pPr>
          </w:p>
        </w:tc>
        <w:tc>
          <w:tcPr>
            <w:tcW w:w="1418" w:type="dxa"/>
            <w:noWrap w:val="0"/>
            <w:vAlign w:val="top"/>
          </w:tcPr>
          <w:p w14:paraId="389F498C">
            <w:pPr>
              <w:rPr>
                <w:rFonts w:hint="eastAsia" w:ascii="宋体" w:hAnsi="宋体" w:eastAsia="宋体" w:cs="宋体"/>
                <w:color w:val="auto"/>
                <w:sz w:val="24"/>
                <w:szCs w:val="24"/>
                <w:highlight w:val="none"/>
              </w:rPr>
            </w:pPr>
          </w:p>
        </w:tc>
        <w:tc>
          <w:tcPr>
            <w:tcW w:w="850" w:type="dxa"/>
            <w:noWrap w:val="0"/>
            <w:vAlign w:val="top"/>
          </w:tcPr>
          <w:p w14:paraId="24EB7729">
            <w:pPr>
              <w:rPr>
                <w:rFonts w:hint="eastAsia" w:ascii="宋体" w:hAnsi="宋体" w:eastAsia="宋体" w:cs="宋体"/>
                <w:color w:val="auto"/>
                <w:sz w:val="24"/>
                <w:szCs w:val="24"/>
                <w:highlight w:val="none"/>
              </w:rPr>
            </w:pPr>
          </w:p>
        </w:tc>
        <w:tc>
          <w:tcPr>
            <w:tcW w:w="1058" w:type="dxa"/>
            <w:noWrap w:val="0"/>
            <w:vAlign w:val="top"/>
          </w:tcPr>
          <w:p w14:paraId="267D5F99">
            <w:pPr>
              <w:rPr>
                <w:rFonts w:hint="eastAsia" w:ascii="宋体" w:hAnsi="宋体" w:eastAsia="宋体" w:cs="宋体"/>
                <w:color w:val="auto"/>
                <w:sz w:val="24"/>
                <w:szCs w:val="24"/>
                <w:highlight w:val="none"/>
              </w:rPr>
            </w:pPr>
          </w:p>
        </w:tc>
        <w:tc>
          <w:tcPr>
            <w:tcW w:w="880" w:type="dxa"/>
            <w:noWrap w:val="0"/>
            <w:vAlign w:val="top"/>
          </w:tcPr>
          <w:p w14:paraId="6AF28076">
            <w:pPr>
              <w:rPr>
                <w:rFonts w:hint="eastAsia" w:ascii="宋体" w:hAnsi="宋体" w:eastAsia="宋体" w:cs="宋体"/>
                <w:color w:val="auto"/>
                <w:sz w:val="24"/>
                <w:szCs w:val="24"/>
                <w:highlight w:val="none"/>
              </w:rPr>
            </w:pPr>
          </w:p>
        </w:tc>
        <w:tc>
          <w:tcPr>
            <w:tcW w:w="1020" w:type="dxa"/>
            <w:noWrap w:val="0"/>
            <w:vAlign w:val="top"/>
          </w:tcPr>
          <w:p w14:paraId="48F14F99">
            <w:pPr>
              <w:rPr>
                <w:rFonts w:hint="eastAsia" w:ascii="宋体" w:hAnsi="宋体" w:eastAsia="宋体" w:cs="宋体"/>
                <w:color w:val="auto"/>
                <w:sz w:val="24"/>
                <w:szCs w:val="24"/>
                <w:highlight w:val="none"/>
              </w:rPr>
            </w:pPr>
          </w:p>
        </w:tc>
        <w:tc>
          <w:tcPr>
            <w:tcW w:w="1480" w:type="dxa"/>
            <w:noWrap w:val="0"/>
            <w:vAlign w:val="top"/>
          </w:tcPr>
          <w:p w14:paraId="45B98FAD">
            <w:pPr>
              <w:rPr>
                <w:rFonts w:hint="eastAsia" w:ascii="宋体" w:hAnsi="宋体" w:eastAsia="宋体" w:cs="宋体"/>
                <w:color w:val="auto"/>
                <w:sz w:val="24"/>
                <w:szCs w:val="24"/>
                <w:highlight w:val="none"/>
              </w:rPr>
            </w:pPr>
          </w:p>
        </w:tc>
        <w:tc>
          <w:tcPr>
            <w:tcW w:w="1020" w:type="dxa"/>
            <w:noWrap w:val="0"/>
            <w:vAlign w:val="top"/>
          </w:tcPr>
          <w:p w14:paraId="7FC11229">
            <w:pPr>
              <w:rPr>
                <w:rFonts w:hint="eastAsia" w:ascii="宋体" w:hAnsi="宋体" w:eastAsia="宋体" w:cs="宋体"/>
                <w:color w:val="auto"/>
                <w:sz w:val="24"/>
                <w:szCs w:val="24"/>
                <w:highlight w:val="none"/>
              </w:rPr>
            </w:pPr>
          </w:p>
        </w:tc>
        <w:tc>
          <w:tcPr>
            <w:tcW w:w="921" w:type="dxa"/>
            <w:noWrap w:val="0"/>
            <w:vAlign w:val="top"/>
          </w:tcPr>
          <w:p w14:paraId="6C2CBC3A">
            <w:pPr>
              <w:rPr>
                <w:rFonts w:hint="eastAsia" w:ascii="宋体" w:hAnsi="宋体" w:eastAsia="宋体" w:cs="宋体"/>
                <w:color w:val="auto"/>
                <w:sz w:val="24"/>
                <w:szCs w:val="24"/>
                <w:highlight w:val="none"/>
              </w:rPr>
            </w:pPr>
          </w:p>
        </w:tc>
      </w:tr>
    </w:tbl>
    <w:p w14:paraId="125F51A2">
      <w:pPr>
        <w:spacing w:line="440" w:lineRule="exact"/>
        <w:rPr>
          <w:rFonts w:ascii="宋体" w:hAnsi="宋体"/>
          <w:color w:val="auto"/>
          <w:sz w:val="30"/>
          <w:szCs w:val="30"/>
          <w:highlight w:val="none"/>
        </w:rPr>
      </w:pPr>
    </w:p>
    <w:p w14:paraId="10836437">
      <w:pPr>
        <w:spacing w:line="440" w:lineRule="exact"/>
        <w:rPr>
          <w:rFonts w:ascii="宋体" w:hAnsi="宋体"/>
          <w:color w:val="auto"/>
          <w:sz w:val="30"/>
          <w:szCs w:val="30"/>
          <w:highlight w:val="none"/>
        </w:rPr>
      </w:pPr>
    </w:p>
    <w:p w14:paraId="3DE89628">
      <w:pPr>
        <w:pStyle w:val="172"/>
        <w:rPr>
          <w:rFonts w:hint="eastAsia" w:hAnsi="宋体"/>
          <w:color w:val="auto"/>
          <w:sz w:val="30"/>
          <w:szCs w:val="30"/>
          <w:highlight w:val="none"/>
        </w:rPr>
      </w:pPr>
    </w:p>
    <w:p w14:paraId="46755166">
      <w:pPr>
        <w:spacing w:line="440" w:lineRule="exact"/>
        <w:rPr>
          <w:rFonts w:hint="eastAsia" w:ascii="宋体" w:hAnsi="宋体"/>
          <w:color w:val="auto"/>
          <w:sz w:val="30"/>
          <w:szCs w:val="30"/>
          <w:highlight w:val="none"/>
        </w:rPr>
      </w:pPr>
    </w:p>
    <w:p w14:paraId="4B5132D0">
      <w:pPr>
        <w:spacing w:line="440" w:lineRule="exact"/>
        <w:ind w:firstLine="300" w:firstLineChars="100"/>
        <w:rPr>
          <w:rFonts w:hint="eastAsia" w:ascii="宋体" w:hAnsi="宋体"/>
          <w:color w:val="auto"/>
          <w:sz w:val="30"/>
          <w:szCs w:val="30"/>
          <w:highlight w:val="none"/>
        </w:rPr>
      </w:pPr>
    </w:p>
    <w:p w14:paraId="7869AC55">
      <w:pPr>
        <w:spacing w:line="240" w:lineRule="auto"/>
        <w:ind w:firstLine="0" w:firstLineChars="0"/>
        <w:rPr>
          <w:rFonts w:hint="eastAsia" w:ascii="宋体" w:hAnsi="宋体"/>
          <w:color w:val="auto"/>
          <w:sz w:val="30"/>
          <w:szCs w:val="30"/>
          <w:highlight w:val="none"/>
        </w:rPr>
      </w:pPr>
      <w:r>
        <w:rPr>
          <w:rFonts w:hint="eastAsia" w:ascii="宋体" w:hAnsi="宋体"/>
          <w:color w:val="auto"/>
          <w:sz w:val="30"/>
          <w:szCs w:val="30"/>
          <w:highlight w:val="none"/>
        </w:rPr>
        <w:br w:type="page"/>
      </w:r>
    </w:p>
    <w:p w14:paraId="742B8173">
      <w:pPr>
        <w:spacing w:line="440" w:lineRule="exact"/>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附件4：</w:t>
      </w:r>
    </w:p>
    <w:p w14:paraId="4F0D0BB5">
      <w:pPr>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26B0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9DEF02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tcBorders>
              <w:top w:val="single" w:color="auto" w:sz="12" w:space="0"/>
              <w:bottom w:val="double" w:color="auto" w:sz="6" w:space="0"/>
            </w:tcBorders>
            <w:noWrap w:val="0"/>
            <w:vAlign w:val="center"/>
          </w:tcPr>
          <w:p w14:paraId="22D0E68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tcBorders>
              <w:top w:val="single" w:color="auto" w:sz="12" w:space="0"/>
              <w:bottom w:val="double" w:color="auto" w:sz="6" w:space="0"/>
            </w:tcBorders>
            <w:noWrap w:val="0"/>
            <w:vAlign w:val="center"/>
          </w:tcPr>
          <w:p w14:paraId="20A5043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tcBorders>
              <w:top w:val="single" w:color="auto" w:sz="12" w:space="0"/>
              <w:bottom w:val="double" w:color="auto" w:sz="6" w:space="0"/>
            </w:tcBorders>
            <w:noWrap w:val="0"/>
            <w:vAlign w:val="center"/>
          </w:tcPr>
          <w:p w14:paraId="21EE7F8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4252" w:type="dxa"/>
            <w:tcBorders>
              <w:top w:val="single" w:color="auto" w:sz="12" w:space="0"/>
              <w:bottom w:val="double" w:color="auto" w:sz="6" w:space="0"/>
            </w:tcBorders>
            <w:noWrap w:val="0"/>
            <w:vAlign w:val="center"/>
          </w:tcPr>
          <w:p w14:paraId="35C9B073">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14:paraId="10B54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14:paraId="4BE320E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0D2B2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30BA594">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tcBorders>
              <w:top w:val="nil"/>
            </w:tcBorders>
            <w:noWrap w:val="0"/>
            <w:vAlign w:val="center"/>
          </w:tcPr>
          <w:p w14:paraId="278EDBC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top w:val="nil"/>
            </w:tcBorders>
            <w:noWrap w:val="0"/>
            <w:vAlign w:val="center"/>
          </w:tcPr>
          <w:p w14:paraId="0F5B871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top w:val="nil"/>
            </w:tcBorders>
            <w:noWrap w:val="0"/>
            <w:vAlign w:val="center"/>
          </w:tcPr>
          <w:p w14:paraId="10D5D22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tcBorders>
              <w:top w:val="nil"/>
            </w:tcBorders>
            <w:noWrap w:val="0"/>
            <w:vAlign w:val="center"/>
          </w:tcPr>
          <w:p w14:paraId="653D2C0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1C30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14:paraId="07B77E29">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noWrap w:val="0"/>
            <w:vAlign w:val="center"/>
          </w:tcPr>
          <w:p w14:paraId="62C1228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6DEF73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88B42F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12F80C6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05C56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6776459">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noWrap w:val="0"/>
            <w:vAlign w:val="center"/>
          </w:tcPr>
          <w:p w14:paraId="7ED94298">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710A85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64F64788">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3F0C743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C5E1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14:paraId="68161BF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13B51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15DAE73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418" w:type="dxa"/>
            <w:noWrap w:val="0"/>
            <w:vAlign w:val="center"/>
          </w:tcPr>
          <w:p w14:paraId="17044653">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3B5237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1356A10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51B1A3C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376DA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461E178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项目副经理</w:t>
            </w:r>
          </w:p>
        </w:tc>
        <w:tc>
          <w:tcPr>
            <w:tcW w:w="1418" w:type="dxa"/>
            <w:noWrap w:val="0"/>
            <w:vAlign w:val="center"/>
          </w:tcPr>
          <w:p w14:paraId="68D2D0A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09BBD8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21E727E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6095BA2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0A282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380B32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noWrap w:val="0"/>
            <w:vAlign w:val="center"/>
          </w:tcPr>
          <w:p w14:paraId="0D2CF5B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63344F2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A99013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708EA9A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46328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17DCAA9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noWrap w:val="0"/>
            <w:vAlign w:val="center"/>
          </w:tcPr>
          <w:p w14:paraId="18D41DD8">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6505A06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C014EA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1831323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2FC2B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38AF9D7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noWrap w:val="0"/>
            <w:vAlign w:val="center"/>
          </w:tcPr>
          <w:p w14:paraId="5C5FE65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6EB18C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18260649">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12C38FB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4B212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7CA9DA2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noWrap w:val="0"/>
            <w:vAlign w:val="center"/>
          </w:tcPr>
          <w:p w14:paraId="3769276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002AF41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2D6B37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08943EE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0EF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67D8098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418" w:type="dxa"/>
            <w:noWrap w:val="0"/>
            <w:vAlign w:val="center"/>
          </w:tcPr>
          <w:p w14:paraId="66E19F9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3D1F28D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9FA600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76D492A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67455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62F2E3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noWrap w:val="0"/>
            <w:vAlign w:val="center"/>
          </w:tcPr>
          <w:p w14:paraId="5B5096E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3C51235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49736C8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71B4D84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BCDE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14:paraId="036A3C6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noWrap w:val="0"/>
            <w:vAlign w:val="center"/>
          </w:tcPr>
          <w:p w14:paraId="706233F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0EC68D5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2550F3A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36EB8F1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332A5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39201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tcBorders>
              <w:bottom w:val="nil"/>
            </w:tcBorders>
            <w:noWrap w:val="0"/>
            <w:vAlign w:val="center"/>
          </w:tcPr>
          <w:p w14:paraId="0ECBD93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bottom w:val="nil"/>
            </w:tcBorders>
            <w:noWrap w:val="0"/>
            <w:vAlign w:val="center"/>
          </w:tcPr>
          <w:p w14:paraId="7FA67A3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bottom w:val="nil"/>
            </w:tcBorders>
            <w:noWrap w:val="0"/>
            <w:vAlign w:val="center"/>
          </w:tcPr>
          <w:p w14:paraId="0544AC93">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tcBorders>
              <w:bottom w:val="nil"/>
            </w:tcBorders>
            <w:noWrap w:val="0"/>
            <w:vAlign w:val="center"/>
          </w:tcPr>
          <w:p w14:paraId="2431F15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20292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126A2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noWrap w:val="0"/>
            <w:vAlign w:val="center"/>
          </w:tcPr>
          <w:p w14:paraId="0BB81124">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424B90E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1B47662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0AF14884">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49F01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E71EE2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noWrap w:val="0"/>
            <w:vAlign w:val="center"/>
          </w:tcPr>
          <w:p w14:paraId="1302F5D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0C2BCBE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455A188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03B4D7D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bl>
    <w:p w14:paraId="75D20431">
      <w:pPr>
        <w:spacing w:line="440" w:lineRule="exact"/>
        <w:ind w:firstLine="0" w:firstLineChars="0"/>
        <w:outlineLvl w:val="9"/>
        <w:rPr>
          <w:rFonts w:hAnsi="宋体" w:cs="宋体"/>
          <w:color w:val="auto"/>
          <w:sz w:val="28"/>
          <w:szCs w:val="28"/>
          <w:highlight w:val="none"/>
        </w:rPr>
      </w:pPr>
      <w:r>
        <w:rPr>
          <w:rFonts w:hAnsi="宋体" w:cs="宋体"/>
          <w:color w:val="auto"/>
          <w:sz w:val="28"/>
          <w:szCs w:val="28"/>
          <w:highlight w:val="none"/>
        </w:rPr>
        <w:br w:type="page"/>
      </w:r>
    </w:p>
    <w:p w14:paraId="337E2927">
      <w:pPr>
        <w:spacing w:line="440" w:lineRule="exact"/>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5</w:t>
      </w:r>
      <w:r>
        <w:rPr>
          <w:rFonts w:hint="eastAsia" w:ascii="宋体" w:hAnsi="宋体" w:eastAsia="宋体" w:cs="宋体"/>
          <w:color w:val="auto"/>
          <w:sz w:val="30"/>
          <w:szCs w:val="30"/>
          <w:highlight w:val="none"/>
        </w:rPr>
        <w:t>：暂估价一览表</w:t>
      </w:r>
    </w:p>
    <w:p w14:paraId="5DA67ADD">
      <w:pPr>
        <w:snapToGrid/>
        <w:spacing w:line="240" w:lineRule="auto"/>
        <w:ind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0EF8099A">
      <w:pPr>
        <w:snapToGrid/>
        <w:spacing w:line="440" w:lineRule="exact"/>
        <w:ind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val="en-US" w:eastAsia="zh-CN"/>
        </w:rPr>
        <w:t>6</w:t>
      </w:r>
      <w:r>
        <w:rPr>
          <w:rFonts w:hint="eastAsia" w:ascii="宋体" w:hAnsi="宋体" w:eastAsia="宋体" w:cs="宋体"/>
          <w:color w:val="auto"/>
          <w:sz w:val="30"/>
          <w:szCs w:val="30"/>
          <w:highlight w:val="none"/>
        </w:rPr>
        <w:t>：廉政责任书</w:t>
      </w:r>
    </w:p>
    <w:p w14:paraId="5EBF1A49">
      <w:pPr>
        <w:snapToGrid w:val="0"/>
        <w:spacing w:line="360" w:lineRule="auto"/>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廉政责任书</w:t>
      </w:r>
    </w:p>
    <w:p w14:paraId="282969E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国家有关项目建设廉政建设的规定，为做好过程中的党风廉政建设保证服务过程中高效优质，保证项目资金的安全和有效使用以及投资效益，采购人(以下简称“甲方”)与服务单位(以下简称“乙方”)，特订立如下合同。     </w:t>
      </w:r>
    </w:p>
    <w:p w14:paraId="5CAA08C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甲乙双方的权利和义务</w:t>
      </w:r>
    </w:p>
    <w:p w14:paraId="015570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严格遵守党和国家的有关法律法规及中纪委监察部的有关规定。</w:t>
      </w:r>
    </w:p>
    <w:p w14:paraId="78654A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严格执行工程的合同文件，自觉按合同办事。</w:t>
      </w:r>
    </w:p>
    <w:p w14:paraId="3A137A6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双方的业务活动坚持公开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诚信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透明的原则(法律认定的商业秘密和合同文件另有规定除外)，不得损害国家和集体利益，违反工程建设管理规章制度。</w:t>
      </w:r>
    </w:p>
    <w:p w14:paraId="11E37C3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建立健全廉政制度，开展廉政教育，设立廉政告示牌，公布举报电话，监督并认真查处违法违纪行为。</w:t>
      </w:r>
    </w:p>
    <w:p w14:paraId="364AC3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发现对方在业务活动中有违反廉政规定的行为，有及时提醒对方纠正的权利及义务。</w:t>
      </w:r>
    </w:p>
    <w:p w14:paraId="2A20C1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发现对方严重违反本合同义务条款的行为，有向其上级有关部门举报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建议给予处理并要求告知处理结果的权利。</w:t>
      </w:r>
    </w:p>
    <w:p w14:paraId="432248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甲方的义务</w:t>
      </w:r>
    </w:p>
    <w:p w14:paraId="0D347E8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甲方及其工作人员不得索要或接受乙方的礼金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有价证券和贵重物品，不得在乙方报销任何应由甲方或甲方工作人员个人支付的费用等。</w:t>
      </w:r>
    </w:p>
    <w:p w14:paraId="72D496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甲方工作人员不得参加乙方安排的超标准宴请和娱乐活动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不得接受乙方提供的通讯工具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交通工具和高档办公用品等。</w:t>
      </w:r>
    </w:p>
    <w:p w14:paraId="19004EA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甲方及其工作人员不得要求或者接受乙方为其住房装修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婚丧嫁娶活动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配偶子女的工作安排以及出国出境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旅游等提供方便等。</w:t>
      </w:r>
    </w:p>
    <w:p w14:paraId="51B733A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甲方工作人</w:t>
      </w:r>
      <w:r>
        <w:rPr>
          <w:rFonts w:hint="eastAsia" w:ascii="宋体" w:hAnsi="宋体" w:cs="宋体"/>
          <w:color w:val="auto"/>
          <w:sz w:val="24"/>
          <w:szCs w:val="24"/>
          <w:highlight w:val="none"/>
          <w:lang w:val="en-US" w:eastAsia="zh-CN"/>
        </w:rPr>
        <w:t>员</w:t>
      </w:r>
      <w:r>
        <w:rPr>
          <w:rFonts w:hint="eastAsia" w:ascii="宋体" w:hAnsi="宋体" w:eastAsia="宋体" w:cs="宋体"/>
          <w:color w:val="auto"/>
          <w:sz w:val="24"/>
          <w:szCs w:val="24"/>
          <w:highlight w:val="none"/>
        </w:rPr>
        <w:t>及其配偶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子女不得从事与甲方工程有关的材料设备供应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工程分包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劳务等经济活动等。</w:t>
      </w:r>
    </w:p>
    <w:p w14:paraId="5B59787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甲方及其工作人员不得以任何理由向乙方推荐分包单位或推销材料，不得要求乙方购买合同规定</w:t>
      </w:r>
      <w:r>
        <w:rPr>
          <w:rFonts w:hint="eastAsia" w:ascii="宋体" w:hAnsi="宋体" w:cs="宋体"/>
          <w:color w:val="auto"/>
          <w:sz w:val="24"/>
          <w:szCs w:val="24"/>
          <w:highlight w:val="none"/>
          <w:lang w:val="en-US" w:eastAsia="zh-CN"/>
        </w:rPr>
        <w:t>以</w:t>
      </w:r>
      <w:r>
        <w:rPr>
          <w:rFonts w:hint="eastAsia" w:ascii="宋体" w:hAnsi="宋体" w:eastAsia="宋体" w:cs="宋体"/>
          <w:color w:val="auto"/>
          <w:sz w:val="24"/>
          <w:szCs w:val="24"/>
          <w:highlight w:val="none"/>
        </w:rPr>
        <w:t>外的材料和设备。</w:t>
      </w:r>
    </w:p>
    <w:p w14:paraId="657204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甲方工作人员要秉公办事，不准营私舞弊，不准利用职权从事各种个人有偿中介活动和安排个人施工队伍。</w:t>
      </w:r>
    </w:p>
    <w:p w14:paraId="7E9F16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乙方的义务</w:t>
      </w:r>
    </w:p>
    <w:p w14:paraId="2A8D50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乙方不得以任何理由向甲方及其工作人员行贿或馈赠礼金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有价证券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贵重礼品。</w:t>
      </w:r>
    </w:p>
    <w:p w14:paraId="1E8049D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乙方不得以任何名义为甲方及其工作人员报销应由甲方单位或个人支付的任何费用。</w:t>
      </w:r>
    </w:p>
    <w:p w14:paraId="25AD92B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乙方不得以任何理由安排甲方工作人员参加超标准宴请及娱乐活动。</w:t>
      </w:r>
    </w:p>
    <w:p w14:paraId="423606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乙方不得为甲方单位和个人购置或提供通讯工具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交通工具和高档办公用品等。</w:t>
      </w:r>
    </w:p>
    <w:p w14:paraId="3C324D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违约责任</w:t>
      </w:r>
    </w:p>
    <w:p w14:paraId="665539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甲方及其工作人员违反本合同，按管理权限，依据有关规定给予党纪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政纪或组织处理;涉嫌犯罪的，移交司法机关追究刑事责任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给乙方单位造成经济损失的，应予以赔偿。</w:t>
      </w:r>
    </w:p>
    <w:p w14:paraId="74E37B7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乙方及其工作人员违反本合同，按管理权限，依据有关规定给予党纪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政纪或组织处理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给甲方单位造成经济损失的，应予以赔偿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情节严重的，甲方建议工程建设主管部门给予乙方一至三年内不得进入其主管的工程建设市场的</w:t>
      </w:r>
      <w:r>
        <w:rPr>
          <w:rFonts w:hint="eastAsia" w:ascii="宋体" w:hAnsi="宋体" w:cs="宋体"/>
          <w:color w:val="auto"/>
          <w:sz w:val="24"/>
          <w:szCs w:val="24"/>
          <w:highlight w:val="none"/>
          <w:lang w:val="en-US" w:eastAsia="zh-CN"/>
        </w:rPr>
        <w:t>处</w:t>
      </w:r>
      <w:r>
        <w:rPr>
          <w:rFonts w:hint="eastAsia" w:ascii="宋体" w:hAnsi="宋体" w:eastAsia="宋体" w:cs="宋体"/>
          <w:color w:val="auto"/>
          <w:sz w:val="24"/>
          <w:szCs w:val="24"/>
          <w:highlight w:val="none"/>
        </w:rPr>
        <w:t>罚。</w:t>
      </w:r>
    </w:p>
    <w:p w14:paraId="12CAF02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双方约定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0F7033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本合同有效期为甲乙双</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rPr>
        <w:t>签署之日起至该项目服务期满后止。</w:t>
      </w:r>
    </w:p>
    <w:p w14:paraId="2D3FF1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4175"/>
      </w:tblGrid>
      <w:tr w14:paraId="2C16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2" w:type="dxa"/>
            <w:shd w:val="clear" w:color="auto" w:fill="auto"/>
          </w:tcPr>
          <w:p w14:paraId="3EC2FB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w:t>
            </w:r>
          </w:p>
          <w:p w14:paraId="6CE774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2F29F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14:paraId="75E382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p>
          <w:p w14:paraId="69DD46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5C2C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DAF7E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750653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p>
          <w:p w14:paraId="49A4CC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tc>
        <w:tc>
          <w:tcPr>
            <w:tcW w:w="4770" w:type="dxa"/>
            <w:shd w:val="clear" w:color="auto" w:fill="auto"/>
          </w:tcPr>
          <w:p w14:paraId="4EA814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乙方（签章）：</w:t>
            </w:r>
          </w:p>
          <w:p w14:paraId="6749A8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12D12D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14:paraId="5C9C9E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p>
          <w:p w14:paraId="04459E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364B6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6B6E8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12CF85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p>
          <w:p w14:paraId="1DFD67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tc>
      </w:tr>
    </w:tbl>
    <w:p w14:paraId="3652A849">
      <w:pPr>
        <w:autoSpaceDE/>
        <w:autoSpaceDN/>
        <w:snapToGrid/>
        <w:spacing w:line="440" w:lineRule="exact"/>
        <w:ind w:firstLine="240" w:firstLineChars="100"/>
        <w:rPr>
          <w:rFonts w:hint="eastAsia" w:ascii="宋体" w:hAnsi="宋体" w:eastAsia="宋体" w:cs="宋体"/>
          <w:b w:val="0"/>
          <w:bCs w:val="0"/>
          <w:color w:val="auto"/>
          <w:sz w:val="30"/>
          <w:szCs w:val="30"/>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30"/>
          <w:szCs w:val="30"/>
          <w:highlight w:val="none"/>
          <w:lang w:val="en-US" w:eastAsia="zh-CN"/>
        </w:rPr>
        <w:t>附件7.</w:t>
      </w:r>
      <w:r>
        <w:rPr>
          <w:rFonts w:hint="eastAsia" w:ascii="宋体" w:hAnsi="宋体" w:eastAsia="宋体" w:cs="宋体"/>
          <w:b w:val="0"/>
          <w:bCs w:val="0"/>
          <w:color w:val="auto"/>
          <w:sz w:val="30"/>
          <w:szCs w:val="30"/>
          <w:highlight w:val="none"/>
        </w:rPr>
        <w:t>安全协议书</w:t>
      </w:r>
    </w:p>
    <w:p w14:paraId="34713D36">
      <w:pPr>
        <w:autoSpaceDE/>
        <w:autoSpaceDN/>
        <w:snapToGrid w:val="0"/>
        <w:spacing w:after="0" w:line="360" w:lineRule="auto"/>
        <w:ind w:firstLine="42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安全协议书</w:t>
      </w:r>
    </w:p>
    <w:p w14:paraId="2576435D">
      <w:pPr>
        <w:snapToGrid w:val="0"/>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p>
    <w:p w14:paraId="08BA9CA8">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4359123F">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工程项目名称：</w:t>
      </w:r>
    </w:p>
    <w:p w14:paraId="58766988">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工程范围：</w:t>
      </w:r>
    </w:p>
    <w:p w14:paraId="271BDFF9">
      <w:pPr>
        <w:snapToGrid w:val="0"/>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工程地址：</w:t>
      </w:r>
    </w:p>
    <w:p w14:paraId="6D84ADC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国家安全生产法律法规、条例、规章以及“安全第一，预防为主，综合治理”的安全生产方针，明确双方的安全生产管理目标及责任，确保施工安全，杜绝安全事故的发生，双方在签订工程施工合同的同时，签订现场施工安全协议书，具体责任条款如下:</w:t>
      </w:r>
    </w:p>
    <w:p w14:paraId="3B08D89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一、甲方责任：</w:t>
      </w:r>
    </w:p>
    <w:p w14:paraId="55875AD6">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认真贯彻执行国家颁布的《中华人民共和国安全生产法》《中华人民共和国消防法》《中华人民共和国环境保护法》《中华人民共和国职业病防治法》《劳动法》等各项劳动保护、安全生产的法律法规，并督促乙方贯彻执行。</w:t>
      </w:r>
    </w:p>
    <w:p w14:paraId="2A2472B7">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开工前甲方对乙方进行施工安全技术交底，并应有书面记录或资料。</w:t>
      </w:r>
    </w:p>
    <w:p w14:paraId="7E371B55">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甲方应要求乙方制定施工安全</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措施，在开始施工前报甲方备案。</w:t>
      </w:r>
    </w:p>
    <w:p w14:paraId="2584073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甲方有协助乙方搞好安全生产、</w:t>
      </w:r>
      <w:r>
        <w:rPr>
          <w:rFonts w:hint="eastAsia" w:ascii="宋体" w:hAnsi="宋体" w:eastAsia="宋体" w:cs="宋体"/>
          <w:color w:val="auto"/>
          <w:sz w:val="24"/>
          <w:szCs w:val="24"/>
          <w:highlight w:val="none"/>
          <w:lang w:eastAsia="zh-CN"/>
        </w:rPr>
        <w:t>消防</w:t>
      </w:r>
      <w:r>
        <w:rPr>
          <w:rFonts w:hint="eastAsia" w:ascii="宋体" w:hAnsi="宋体" w:eastAsia="宋体" w:cs="宋体"/>
          <w:color w:val="auto"/>
          <w:sz w:val="24"/>
          <w:szCs w:val="24"/>
          <w:highlight w:val="none"/>
        </w:rPr>
        <w:t>管理以及督促</w:t>
      </w:r>
      <w:r>
        <w:rPr>
          <w:rFonts w:hint="eastAsia" w:ascii="宋体" w:hAnsi="宋体" w:eastAsia="宋体" w:cs="宋体"/>
          <w:color w:val="auto"/>
          <w:sz w:val="24"/>
          <w:szCs w:val="24"/>
          <w:highlight w:val="none"/>
          <w:lang w:eastAsia="zh-CN"/>
        </w:rPr>
        <w:t>安全</w:t>
      </w:r>
      <w:r>
        <w:rPr>
          <w:rFonts w:hint="eastAsia" w:ascii="宋体" w:hAnsi="宋体" w:eastAsia="宋体" w:cs="宋体"/>
          <w:color w:val="auto"/>
          <w:sz w:val="24"/>
          <w:szCs w:val="24"/>
          <w:highlight w:val="none"/>
        </w:rPr>
        <w:t>检查</w:t>
      </w:r>
      <w:r>
        <w:rPr>
          <w:rFonts w:hint="eastAsia" w:ascii="宋体" w:hAnsi="宋体" w:eastAsia="宋体" w:cs="宋体"/>
          <w:color w:val="auto"/>
          <w:sz w:val="24"/>
          <w:szCs w:val="24"/>
          <w:highlight w:val="none"/>
          <w:lang w:eastAsia="zh-CN"/>
        </w:rPr>
        <w:t>整改</w:t>
      </w:r>
      <w:r>
        <w:rPr>
          <w:rFonts w:hint="eastAsia" w:ascii="宋体" w:hAnsi="宋体" w:eastAsia="宋体" w:cs="宋体"/>
          <w:color w:val="auto"/>
          <w:sz w:val="24"/>
          <w:szCs w:val="24"/>
          <w:highlight w:val="none"/>
        </w:rPr>
        <w:t>的义务。甲方有权检查督促乙方执行有关安全生产方面的工作规定，对乙方不符合安全文明施工的行为进行制止、纠正并发出安全整改通知书，直至清退出场。</w:t>
      </w:r>
    </w:p>
    <w:p w14:paraId="6130FDD0">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二、乙方责任</w:t>
      </w:r>
    </w:p>
    <w:p w14:paraId="7836734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乙方作为工程项目的承包单位，对工程施工过程中发生的人身伤害、设备损坏事故承担安全责任。乙方应切实履行以下安全责任:</w:t>
      </w:r>
    </w:p>
    <w:p w14:paraId="127D770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1.乙方所提供的承包工程要求的相关资质证明材料应真实、合法、有效。</w:t>
      </w:r>
    </w:p>
    <w:p w14:paraId="58FDB7E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2.乙方必须贯彻执行国家有关安全生产的法律法规，必须制定相应的安全管理制度;严格执行《中华人民共和国安全生产法》《国家建设工程安全生产管理条例》等有关其他安全施工规定、制度。</w:t>
      </w:r>
    </w:p>
    <w:p w14:paraId="2807080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3.现场施工应遵守国家和地方关于劳动安全，劳务用工法律法规及规章制度，保证其用工的合法性。乙方必须按国家有关规定，为施工人员进行人身保险，配备合格的劳动防护用品、安全用具。</w:t>
      </w:r>
    </w:p>
    <w:p w14:paraId="306702B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4.开工前，乙方应组织全体施工人员进行安全教育。特种作业人员必须</w:t>
      </w:r>
      <w:r>
        <w:rPr>
          <w:rFonts w:hint="eastAsia" w:ascii="宋体" w:hAnsi="宋体" w:cs="宋体"/>
          <w:color w:val="auto"/>
          <w:sz w:val="24"/>
          <w:szCs w:val="24"/>
          <w:highlight w:val="none"/>
          <w:lang w:val="en-US" w:eastAsia="zh-CN"/>
        </w:rPr>
        <w:t>持</w:t>
      </w:r>
      <w:r>
        <w:rPr>
          <w:rFonts w:hint="eastAsia" w:ascii="宋体" w:hAnsi="宋体" w:eastAsia="宋体" w:cs="宋体"/>
          <w:color w:val="auto"/>
          <w:sz w:val="24"/>
          <w:szCs w:val="24"/>
          <w:highlight w:val="none"/>
          <w:lang w:val="en-US" w:eastAsia="zh-CN"/>
        </w:rPr>
        <w:t>有有关部门核发的合格有效的上岗资格证书。</w:t>
      </w:r>
    </w:p>
    <w:p w14:paraId="7B6ECD5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5.乙方必须接受甲方的监督、检查，对甲方提出的安全整改意见必须及时整改。</w:t>
      </w:r>
    </w:p>
    <w:p w14:paraId="4FFDF44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在施工期内，要爱护甲方的各种设施、设备。严禁偷盗、挪用、破坏施工现场的安全防护设施、警示标志、材料、机械设备以及消防器材等。凡乙方人员违反本条款，一经发现加倍处罚，严肃处理，情节严重的移送公安机关处理。</w:t>
      </w:r>
    </w:p>
    <w:p w14:paraId="6E7C7CF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7.乙方应将施工方案及安全措施提供给甲方备案，并向甲方提供施工人员名单及各相关工种的从业资格证件等。</w:t>
      </w:r>
    </w:p>
    <w:p w14:paraId="3AA0AF51">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8.乙方应明确施工现场安全负责人一名，负责对施工人员安全教育及施工培训，确保施工现场安全，做好文明施工、消防治安安全管理及高空作业安全管理的监督检查和协调工作。</w:t>
      </w:r>
    </w:p>
    <w:p w14:paraId="06FF9AF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9.乙方应确保所使用材料均符合国家相关检测标准。</w:t>
      </w:r>
    </w:p>
    <w:p w14:paraId="41325307">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10.乙方不得雇佣精神病患者、呆傻人员等人员进行施工。</w:t>
      </w:r>
    </w:p>
    <w:p w14:paraId="043A73B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11.确保在施工现场全员佩戴安全帽，在施工中杜绝赤膊光脚等不文明现象，施工人员要做好个人卫生。</w:t>
      </w:r>
    </w:p>
    <w:p w14:paraId="15D64D15">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12.施工过程中的施工人员安全责任均由乙方负责。</w:t>
      </w:r>
    </w:p>
    <w:p w14:paraId="733A78E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在施工范围内如对第三方（人、物）造成伤害，其后果由乙方负责，并承担全部责任；如对甲方原有设备及成品等物品造成损坏的，由乙方负责对损毁物品进行赔偿。</w:t>
      </w:r>
    </w:p>
    <w:p w14:paraId="248743D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乙方在施工时不得随意动用明火作业或私自存放易燃、易爆物品，如因施工需要，需动用明火作业，乙方应事先</w:t>
      </w:r>
      <w:r>
        <w:rPr>
          <w:rFonts w:hint="eastAsia" w:ascii="宋体" w:hAnsi="宋体" w:eastAsia="宋体" w:cs="宋体"/>
          <w:color w:val="auto"/>
          <w:sz w:val="24"/>
          <w:szCs w:val="24"/>
          <w:highlight w:val="none"/>
          <w:lang w:eastAsia="zh-CN"/>
        </w:rPr>
        <w:t>征</w:t>
      </w:r>
      <w:r>
        <w:rPr>
          <w:rFonts w:hint="eastAsia" w:ascii="宋体" w:hAnsi="宋体" w:eastAsia="宋体" w:cs="宋体"/>
          <w:color w:val="auto"/>
          <w:sz w:val="24"/>
          <w:szCs w:val="24"/>
          <w:highlight w:val="none"/>
        </w:rPr>
        <w:t>得甲方同意，并提出书面申请批准后，方可明火作业。并由乙方派专人负责现场施工安全，</w:t>
      </w:r>
      <w:r>
        <w:rPr>
          <w:rFonts w:hint="eastAsia" w:ascii="宋体" w:hAnsi="宋体" w:eastAsia="宋体" w:cs="宋体"/>
          <w:color w:val="auto"/>
          <w:sz w:val="24"/>
          <w:szCs w:val="24"/>
          <w:highlight w:val="none"/>
          <w:lang w:eastAsia="zh-CN"/>
        </w:rPr>
        <w:t>配备灭火器材，清理</w:t>
      </w:r>
      <w:r>
        <w:rPr>
          <w:rFonts w:hint="eastAsia" w:ascii="宋体" w:hAnsi="宋体" w:eastAsia="宋体" w:cs="宋体"/>
          <w:color w:val="auto"/>
          <w:sz w:val="24"/>
          <w:szCs w:val="24"/>
          <w:highlight w:val="none"/>
        </w:rPr>
        <w:t>明火作业</w:t>
      </w:r>
      <w:r>
        <w:rPr>
          <w:rFonts w:hint="eastAsia" w:ascii="宋体" w:hAnsi="宋体" w:eastAsia="宋体" w:cs="宋体"/>
          <w:color w:val="auto"/>
          <w:sz w:val="24"/>
          <w:szCs w:val="24"/>
          <w:highlight w:val="none"/>
          <w:lang w:eastAsia="zh-CN"/>
        </w:rPr>
        <w:t>影响范围内的易燃物，</w:t>
      </w:r>
      <w:r>
        <w:rPr>
          <w:rFonts w:hint="eastAsia" w:ascii="宋体" w:hAnsi="宋体" w:eastAsia="宋体" w:cs="宋体"/>
          <w:color w:val="auto"/>
          <w:sz w:val="24"/>
          <w:szCs w:val="24"/>
          <w:highlight w:val="none"/>
        </w:rPr>
        <w:t>保证安全无事故。如乙方私用明火、私存放易燃易爆等物品，产生的一切后果均由乙方负责。</w:t>
      </w:r>
    </w:p>
    <w:p w14:paraId="4E9E61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乙方在施工中，不得随意扩大施工占地面积，严禁堵塞交通及楼宇安全疏散通道，各种施工材料，设备不得乱堆乱</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rPr>
        <w:t>。对施工中遗留的各种废料及物品，应做到当天施工当天清理，保证施工现场的清洁卫生。</w:t>
      </w:r>
    </w:p>
    <w:p w14:paraId="1CEDC79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乙方在施工中要确保用电安全，严防发生触电事故，杜绝一切安全隐患，定期对现场进行安全检查，不得随意拉、接临时电源线、裸线或直接插在电源插座上，如因乙方用电不慎所造成的一切后果由乙方负责。</w:t>
      </w:r>
    </w:p>
    <w:p w14:paraId="460AE04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乙方在施工过程中不得随意拆改移动消防专用设施设备。</w:t>
      </w:r>
    </w:p>
    <w:p w14:paraId="397255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乙方如因管理不善等原因，导致施工现场混乱、发生事故等产生的后果均由乙方承担全部责任并负责赔偿。事情严重的，甲方有权令其停工整顿。</w:t>
      </w:r>
    </w:p>
    <w:p w14:paraId="5E70D6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乙方在施工中人员凡在离地面两米以上进行的作业，都属于高空作业。所有高空作业者，不论什么工种，进行作业的时间、地点，也不论专业或临时，均应执行高空作业安全管理规定。</w:t>
      </w:r>
    </w:p>
    <w:p w14:paraId="331A4A5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从事高空作业的施工人员，必须进行身体检查。凡患有高血压、心脏病、癫痫病、恐高症及其他不适应高空作业的人员，一律不准从事高空作业的施工。</w:t>
      </w:r>
    </w:p>
    <w:p w14:paraId="2F136BB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凡遇有下列情况之一时，应停止露天高空作业：</w:t>
      </w:r>
    </w:p>
    <w:p w14:paraId="13A7C52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（1）闪电、打雷、暴雨；</w:t>
      </w:r>
    </w:p>
    <w:p w14:paraId="6789D46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（2）六级以上大风；</w:t>
      </w:r>
    </w:p>
    <w:p w14:paraId="22FFBF1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（3）钢管上雨水未干；</w:t>
      </w:r>
    </w:p>
    <w:p w14:paraId="434E97B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（4）可能发生危险的其他情况。</w:t>
      </w:r>
    </w:p>
    <w:p w14:paraId="0EF32D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w:t>
      </w:r>
      <w:r>
        <w:rPr>
          <w:rFonts w:hint="eastAsia" w:ascii="宋体" w:hAnsi="宋体" w:eastAsia="宋体" w:cs="宋体"/>
          <w:color w:val="auto"/>
          <w:sz w:val="24"/>
          <w:szCs w:val="24"/>
          <w:highlight w:val="none"/>
          <w:lang w:eastAsia="zh-CN"/>
        </w:rPr>
        <w:t>不存在</w:t>
      </w:r>
      <w:r>
        <w:rPr>
          <w:rFonts w:hint="eastAsia" w:ascii="宋体" w:hAnsi="宋体" w:eastAsia="宋体" w:cs="宋体"/>
          <w:color w:val="auto"/>
          <w:sz w:val="24"/>
          <w:szCs w:val="24"/>
          <w:highlight w:val="none"/>
        </w:rPr>
        <w:t>上述情况后，必须经安全员和有关技术人员检查各种作业设备，确认无问题后，才能恢复施工。</w:t>
      </w:r>
    </w:p>
    <w:p w14:paraId="3E04BF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高空作业现场，应划出危险禁区，设置明显</w:t>
      </w:r>
      <w:r>
        <w:rPr>
          <w:rFonts w:hint="eastAsia" w:ascii="宋体" w:hAnsi="宋体" w:cs="宋体"/>
          <w:color w:val="auto"/>
          <w:sz w:val="24"/>
          <w:szCs w:val="24"/>
          <w:highlight w:val="none"/>
          <w:lang w:eastAsia="zh-CN"/>
        </w:rPr>
        <w:t>警示标志</w:t>
      </w:r>
      <w:r>
        <w:rPr>
          <w:rFonts w:hint="eastAsia" w:ascii="宋体" w:hAnsi="宋体" w:eastAsia="宋体" w:cs="宋体"/>
          <w:color w:val="auto"/>
          <w:sz w:val="24"/>
          <w:szCs w:val="24"/>
          <w:highlight w:val="none"/>
        </w:rPr>
        <w:t>，严禁无关人员进入。</w:t>
      </w:r>
    </w:p>
    <w:p w14:paraId="5A43C14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凡经常高空作业的施工人员，应配备工具袋，高空作业使用的小型工具，均应装入工具袋内，不准在钢管上或脚手架乱放工具。</w:t>
      </w:r>
    </w:p>
    <w:p w14:paraId="008E64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登高作业前，应仔细检查登高工具和安全用具，如安全帽、安全带、梯子、跳板、脚手架等，如有不符合要求的应立即改进或停止登高作业。</w:t>
      </w:r>
    </w:p>
    <w:p w14:paraId="1B63FD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所有高空作业人员，不准穿硬底鞋，一律使用安全带。安全带应高挂低用，即将安全带绳端挂钩挂在高处，施工人员在较低处进行作业。</w:t>
      </w:r>
    </w:p>
    <w:p w14:paraId="239A82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电焊工在两米以上高空进行焊接时，必须找适当位置挂好安全带。确实无处挂安全带，又无其他方法解决安全带时，则应做好其他防护措施，确保安全操作。</w:t>
      </w:r>
    </w:p>
    <w:p w14:paraId="07D7A65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进行高空焊接</w:t>
      </w:r>
      <w:r>
        <w:rPr>
          <w:rFonts w:hint="eastAsia" w:ascii="宋体" w:hAnsi="宋体" w:eastAsia="宋体" w:cs="宋体"/>
          <w:color w:val="auto"/>
          <w:sz w:val="24"/>
          <w:szCs w:val="24"/>
          <w:highlight w:val="none"/>
          <w:lang w:eastAsia="zh-CN"/>
        </w:rPr>
        <w:t>作业时</w:t>
      </w:r>
      <w:r>
        <w:rPr>
          <w:rFonts w:hint="eastAsia" w:ascii="宋体" w:hAnsi="宋体" w:eastAsia="宋体" w:cs="宋体"/>
          <w:color w:val="auto"/>
          <w:sz w:val="24"/>
          <w:szCs w:val="24"/>
          <w:highlight w:val="none"/>
        </w:rPr>
        <w:t>必须先将下方的易燃、易爆物品转移至安全地带，还要采取相应措施，确保割下的金属或火花不</w:t>
      </w:r>
      <w:r>
        <w:rPr>
          <w:rFonts w:hint="eastAsia" w:ascii="宋体" w:hAnsi="宋体" w:cs="宋体"/>
          <w:color w:val="auto"/>
          <w:sz w:val="24"/>
          <w:szCs w:val="24"/>
          <w:highlight w:val="none"/>
          <w:lang w:val="en-US" w:eastAsia="zh-CN"/>
        </w:rPr>
        <w:t>致</w:t>
      </w:r>
      <w:r>
        <w:rPr>
          <w:rFonts w:hint="eastAsia" w:ascii="宋体" w:hAnsi="宋体" w:eastAsia="宋体" w:cs="宋体"/>
          <w:color w:val="auto"/>
          <w:sz w:val="24"/>
          <w:szCs w:val="24"/>
          <w:highlight w:val="none"/>
        </w:rPr>
        <w:t>伤人或引起火灾事故。</w:t>
      </w:r>
    </w:p>
    <w:p w14:paraId="042FB0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电焊工所用焊条，应装在焊条桶内，随用随取。用剩的焊条头，应装在铁盒内或找适当的地方放好，待工作完毕后一同带下。</w:t>
      </w:r>
    </w:p>
    <w:p w14:paraId="50C9C26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14:paraId="193F660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高空作业所用小型设备（如葫芦、千斤顶等）应找适当位置放好，并用绳索</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铁丝捆绑牢。</w:t>
      </w:r>
    </w:p>
    <w:p w14:paraId="276C515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站在跳板上工作时，不应站在跳板的端头。同一跳板上站立作业人员不能超过两人。</w:t>
      </w:r>
    </w:p>
    <w:p w14:paraId="5BBE53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应尽量避免上、下同时进行作业。如无法避免时，上下层之间必须设专用防护棚或其他隔离措施，上层不准堆放工具和物件。否则，应保证工人不在同一垂直线的下方进行施工。</w:t>
      </w:r>
    </w:p>
    <w:p w14:paraId="6825890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高空作业区的沿口、洞孔处，应设置护栏和标志，以防止失足踏空。</w:t>
      </w:r>
    </w:p>
    <w:p w14:paraId="0A01C1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高空作业区的下方地面，严禁堆放脚手架、跳板或其他杂物，地面人员应禁止在高空作业区的正下方停留或通行。</w:t>
      </w:r>
    </w:p>
    <w:p w14:paraId="6EA78B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高空进行清洗工作时，应采取相应防范措施，防止工具、器具跌落，确保清洗液和污物不对下面建筑物、道路造成污染或损坏。</w:t>
      </w:r>
    </w:p>
    <w:p w14:paraId="40D97EF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严禁在高空作业时嬉戏打闹，严禁在高空作业区睡觉。</w:t>
      </w:r>
    </w:p>
    <w:p w14:paraId="5461484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37.乙方施工过程中发生人</w:t>
      </w:r>
      <w:r>
        <w:rPr>
          <w:rFonts w:hint="eastAsia" w:ascii="宋体" w:hAnsi="宋体" w:cs="宋体"/>
          <w:color w:val="auto"/>
          <w:sz w:val="24"/>
          <w:szCs w:val="24"/>
          <w:highlight w:val="none"/>
          <w:lang w:val="en-US" w:eastAsia="zh-CN"/>
        </w:rPr>
        <w:t>身</w:t>
      </w:r>
      <w:r>
        <w:rPr>
          <w:rFonts w:hint="eastAsia" w:ascii="宋体" w:hAnsi="宋体" w:eastAsia="宋体" w:cs="宋体"/>
          <w:color w:val="auto"/>
          <w:sz w:val="24"/>
          <w:szCs w:val="24"/>
          <w:highlight w:val="none"/>
          <w:lang w:val="en-US" w:eastAsia="zh-CN"/>
        </w:rPr>
        <w:t>伤亡、设备事故或危及生产运行的不安全情况，应立即报告甲方，并积极配合调查。</w:t>
      </w:r>
    </w:p>
    <w:p w14:paraId="03E98284">
      <w:pPr>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38.乙方应将事故调查组的事故调查报告及乙方事故处理意见提交甲方备案。</w:t>
      </w:r>
    </w:p>
    <w:p w14:paraId="67AC55F2">
      <w:pPr>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176"/>
      </w:tblGrid>
      <w:tr w14:paraId="641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2" w:type="dxa"/>
            <w:shd w:val="clear" w:color="auto" w:fill="auto"/>
          </w:tcPr>
          <w:p w14:paraId="1A603A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甲方（签章）：</w:t>
            </w:r>
          </w:p>
          <w:p w14:paraId="0ECF9B25">
            <w:pPr>
              <w:spacing w:line="360" w:lineRule="auto"/>
              <w:rPr>
                <w:rFonts w:hint="eastAsia" w:ascii="宋体" w:hAnsi="宋体" w:eastAsia="宋体" w:cs="宋体"/>
                <w:color w:val="auto"/>
                <w:sz w:val="24"/>
                <w:szCs w:val="24"/>
                <w:highlight w:val="none"/>
              </w:rPr>
            </w:pPr>
          </w:p>
          <w:p w14:paraId="40F0D4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14:paraId="3E7FB7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p>
          <w:p w14:paraId="7E5EB2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3A189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4F15D3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14:paraId="01ABAC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p>
          <w:p w14:paraId="1979E7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c>
          <w:tcPr>
            <w:tcW w:w="4770" w:type="dxa"/>
            <w:shd w:val="clear" w:color="auto" w:fill="auto"/>
          </w:tcPr>
          <w:p w14:paraId="4F81A3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乙方（签章）：</w:t>
            </w:r>
          </w:p>
          <w:p w14:paraId="2893E625">
            <w:pPr>
              <w:spacing w:line="360" w:lineRule="auto"/>
              <w:rPr>
                <w:rFonts w:hint="eastAsia" w:ascii="宋体" w:hAnsi="宋体" w:eastAsia="宋体" w:cs="宋体"/>
                <w:color w:val="auto"/>
                <w:sz w:val="24"/>
                <w:szCs w:val="24"/>
                <w:highlight w:val="none"/>
              </w:rPr>
            </w:pPr>
          </w:p>
          <w:p w14:paraId="03373B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14:paraId="7EF78F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p>
          <w:p w14:paraId="2FCB17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A2867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6F53DE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14:paraId="67968D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p>
          <w:p w14:paraId="183B83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r>
    </w:tbl>
    <w:p w14:paraId="0554B256">
      <w:pPr>
        <w:spacing w:line="360" w:lineRule="auto"/>
        <w:rPr>
          <w:color w:val="auto"/>
          <w:highlight w:val="none"/>
        </w:rPr>
      </w:pPr>
    </w:p>
    <w:sectPr>
      <w:footerReference r:id="rId7" w:type="first"/>
      <w:headerReference r:id="rId4" w:type="defaul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8DAE">
    <w:pPr>
      <w:pStyle w:val="27"/>
      <w:framePr w:wrap="around" w:vAnchor="text" w:hAnchor="margin" w:xAlign="center" w:y="1"/>
      <w:rPr>
        <w:rStyle w:val="44"/>
      </w:rPr>
    </w:pPr>
    <w:r>
      <w:fldChar w:fldCharType="begin"/>
    </w:r>
    <w:r>
      <w:rPr>
        <w:rStyle w:val="44"/>
      </w:rPr>
      <w:instrText xml:space="preserve">PAGE  </w:instrText>
    </w:r>
    <w:r>
      <w:fldChar w:fldCharType="end"/>
    </w:r>
  </w:p>
  <w:p w14:paraId="5A4697C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906762"/>
      <w:docPartObj>
        <w:docPartGallery w:val="autotext"/>
      </w:docPartObj>
    </w:sdtPr>
    <w:sdtContent>
      <w:p w14:paraId="0346E050">
        <w:pPr>
          <w:pStyle w:val="27"/>
          <w:jc w:val="center"/>
        </w:pPr>
        <w:r>
          <w:fldChar w:fldCharType="begin"/>
        </w:r>
        <w:r>
          <w:instrText xml:space="preserve">PAGE   \* MERGEFORMAT</w:instrText>
        </w:r>
        <w:r>
          <w:fldChar w:fldCharType="separate"/>
        </w:r>
        <w:r>
          <w:rPr>
            <w:lang w:val="zh-CN"/>
          </w:rPr>
          <w:t>64</w:t>
        </w:r>
        <w:r>
          <w:fldChar w:fldCharType="end"/>
        </w:r>
      </w:p>
    </w:sdtContent>
  </w:sdt>
  <w:p w14:paraId="5118201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8559">
    <w:pPr>
      <w:pStyle w:val="27"/>
      <w:framePr w:wrap="around" w:vAnchor="text" w:hAnchor="margin" w:xAlign="center" w:y="1"/>
      <w:rPr>
        <w:rStyle w:val="44"/>
      </w:rPr>
    </w:pPr>
    <w:r>
      <w:fldChar w:fldCharType="begin"/>
    </w:r>
    <w:r>
      <w:rPr>
        <w:rStyle w:val="44"/>
      </w:rPr>
      <w:instrText xml:space="preserve">PAGE  </w:instrText>
    </w:r>
    <w:r>
      <w:fldChar w:fldCharType="end"/>
    </w:r>
  </w:p>
  <w:p w14:paraId="3F417FAC">
    <w:pPr>
      <w:pStyle w:val="27"/>
    </w:pPr>
  </w:p>
  <w:p w14:paraId="4ECBC9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DD68">
    <w:pPr>
      <w:pStyle w:val="27"/>
      <w:jc w:val="center"/>
    </w:pPr>
    <w:r>
      <w:fldChar w:fldCharType="begin"/>
    </w:r>
    <w:r>
      <w:instrText xml:space="preserve">PAGE   \* MERGEFORMAT</w:instrText>
    </w:r>
    <w:r>
      <w:fldChar w:fldCharType="separate"/>
    </w:r>
    <w:r>
      <w:rPr>
        <w:lang w:val="zh-CN"/>
      </w:rPr>
      <w:t>56</w:t>
    </w:r>
    <w:r>
      <w:fldChar w:fldCharType="end"/>
    </w:r>
  </w:p>
  <w:p w14:paraId="76B6A43D">
    <w:pPr>
      <w:pStyle w:val="27"/>
    </w:pPr>
  </w:p>
  <w:p w14:paraId="57C7A09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DE86">
    <w:pPr>
      <w:pStyle w:val="28"/>
    </w:pPr>
  </w:p>
  <w:p w14:paraId="414696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44EF6"/>
    <w:multiLevelType w:val="singleLevel"/>
    <w:tmpl w:val="36A44EF6"/>
    <w:lvl w:ilvl="0" w:tentative="0">
      <w:start w:val="1"/>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34A2ED7"/>
    <w:multiLevelType w:val="multilevel"/>
    <w:tmpl w:val="734A2ED7"/>
    <w:lvl w:ilvl="0" w:tentative="0">
      <w:start w:val="1"/>
      <w:numFmt w:val="ideographDigital"/>
      <w:pStyle w:val="80"/>
      <w:suff w:val="nothing"/>
      <w:lvlText w:val="%1、"/>
      <w:lvlJc w:val="left"/>
      <w:pPr>
        <w:ind w:left="1360" w:firstLine="0"/>
      </w:pPr>
      <w:rPr>
        <w:rFonts w:hint="eastAsia"/>
      </w:rPr>
    </w:lvl>
    <w:lvl w:ilvl="1" w:tentative="0">
      <w:start w:val="1"/>
      <w:numFmt w:val="decimal"/>
      <w:isLgl/>
      <w:suff w:val="nothing"/>
      <w:lvlText w:val="%2."/>
      <w:lvlJc w:val="left"/>
      <w:pPr>
        <w:ind w:left="1360" w:firstLine="403"/>
      </w:pPr>
      <w:rPr>
        <w:rFonts w:hint="eastAsia"/>
      </w:rPr>
    </w:lvl>
    <w:lvl w:ilvl="2" w:tentative="0">
      <w:start w:val="1"/>
      <w:numFmt w:val="decimal"/>
      <w:isLgl/>
      <w:suff w:val="nothing"/>
      <w:lvlText w:val="%2.%3"/>
      <w:lvlJc w:val="left"/>
      <w:pPr>
        <w:ind w:left="1360" w:firstLine="403"/>
      </w:pPr>
      <w:rPr>
        <w:rFonts w:hint="eastAsia"/>
      </w:rPr>
    </w:lvl>
    <w:lvl w:ilvl="3" w:tentative="0">
      <w:start w:val="1"/>
      <w:numFmt w:val="decimal"/>
      <w:isLgl/>
      <w:suff w:val="nothing"/>
      <w:lvlText w:val="%2.%3.%4"/>
      <w:lvlJc w:val="left"/>
      <w:pPr>
        <w:ind w:left="1360" w:firstLine="403"/>
      </w:pPr>
      <w:rPr>
        <w:rFonts w:hint="eastAsia"/>
      </w:rPr>
    </w:lvl>
    <w:lvl w:ilvl="4" w:tentative="0">
      <w:start w:val="1"/>
      <w:numFmt w:val="decimal"/>
      <w:isLgl/>
      <w:suff w:val="nothing"/>
      <w:lvlText w:val="(%5)"/>
      <w:lvlJc w:val="left"/>
      <w:pPr>
        <w:ind w:left="1360" w:firstLine="403"/>
      </w:pPr>
      <w:rPr>
        <w:rFonts w:hint="eastAsia"/>
      </w:rPr>
    </w:lvl>
    <w:lvl w:ilvl="5" w:tentative="0">
      <w:start w:val="1"/>
      <w:numFmt w:val="decimal"/>
      <w:isLgl/>
      <w:suff w:val="nothing"/>
      <w:lvlText w:val="&lt;%6&gt;"/>
      <w:lvlJc w:val="left"/>
      <w:pPr>
        <w:ind w:left="1360" w:firstLine="403"/>
      </w:pPr>
      <w:rPr>
        <w:rFonts w:hint="eastAsia"/>
      </w:rPr>
    </w:lvl>
    <w:lvl w:ilvl="6" w:tentative="0">
      <w:start w:val="1"/>
      <w:numFmt w:val="decimal"/>
      <w:suff w:val="nothing"/>
      <w:lvlText w:val="%1.%2.%3.%4.%5.%6.%7."/>
      <w:lvlJc w:val="left"/>
      <w:pPr>
        <w:ind w:left="1360" w:firstLine="397"/>
      </w:pPr>
      <w:rPr>
        <w:rFonts w:hint="eastAsia"/>
      </w:rPr>
    </w:lvl>
    <w:lvl w:ilvl="7" w:tentative="0">
      <w:start w:val="1"/>
      <w:numFmt w:val="decimal"/>
      <w:suff w:val="nothing"/>
      <w:lvlText w:val="%1.%2.%3.%4.%5.%6.%7.%8."/>
      <w:lvlJc w:val="left"/>
      <w:pPr>
        <w:ind w:left="1360" w:firstLine="403"/>
      </w:pPr>
      <w:rPr>
        <w:rFonts w:hint="eastAsia"/>
      </w:rPr>
    </w:lvl>
    <w:lvl w:ilvl="8" w:tentative="0">
      <w:start w:val="1"/>
      <w:numFmt w:val="decimal"/>
      <w:lvlText w:val="%1.%2.%3.%4.%5.%6.%7.%8.%9."/>
      <w:lvlJc w:val="left"/>
      <w:pPr>
        <w:tabs>
          <w:tab w:val="left" w:pos="2919"/>
        </w:tabs>
        <w:ind w:left="1360" w:firstLine="40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0Njc2ZjA1ZjZkNDRlZDlmZDJiZmU4ZDY4NGUzMWEifQ=="/>
  </w:docVars>
  <w:rsids>
    <w:rsidRoot w:val="004736A3"/>
    <w:rsid w:val="000030EF"/>
    <w:rsid w:val="00003B8A"/>
    <w:rsid w:val="00004DC6"/>
    <w:rsid w:val="00006997"/>
    <w:rsid w:val="000079C9"/>
    <w:rsid w:val="0001094A"/>
    <w:rsid w:val="00015FC2"/>
    <w:rsid w:val="000160C1"/>
    <w:rsid w:val="00016817"/>
    <w:rsid w:val="00016F7B"/>
    <w:rsid w:val="000173F9"/>
    <w:rsid w:val="000175B6"/>
    <w:rsid w:val="00017CCD"/>
    <w:rsid w:val="00020FB7"/>
    <w:rsid w:val="0002355F"/>
    <w:rsid w:val="000236FA"/>
    <w:rsid w:val="00024355"/>
    <w:rsid w:val="000250F6"/>
    <w:rsid w:val="000254A5"/>
    <w:rsid w:val="00025E05"/>
    <w:rsid w:val="0002673C"/>
    <w:rsid w:val="0002737C"/>
    <w:rsid w:val="0003265F"/>
    <w:rsid w:val="00035E1A"/>
    <w:rsid w:val="00035FBF"/>
    <w:rsid w:val="00036240"/>
    <w:rsid w:val="0003653E"/>
    <w:rsid w:val="000366E4"/>
    <w:rsid w:val="00040060"/>
    <w:rsid w:val="00043988"/>
    <w:rsid w:val="0004597F"/>
    <w:rsid w:val="00046081"/>
    <w:rsid w:val="00046821"/>
    <w:rsid w:val="00047E27"/>
    <w:rsid w:val="0005585C"/>
    <w:rsid w:val="000568F5"/>
    <w:rsid w:val="00057226"/>
    <w:rsid w:val="00057CDB"/>
    <w:rsid w:val="00061A5D"/>
    <w:rsid w:val="00061C6D"/>
    <w:rsid w:val="000632BB"/>
    <w:rsid w:val="000638B9"/>
    <w:rsid w:val="00063FB2"/>
    <w:rsid w:val="00064A0F"/>
    <w:rsid w:val="000664BE"/>
    <w:rsid w:val="00066A93"/>
    <w:rsid w:val="0006750A"/>
    <w:rsid w:val="000707C0"/>
    <w:rsid w:val="000709ED"/>
    <w:rsid w:val="00073478"/>
    <w:rsid w:val="00073D7A"/>
    <w:rsid w:val="0007672C"/>
    <w:rsid w:val="000773BD"/>
    <w:rsid w:val="00080401"/>
    <w:rsid w:val="00080A6D"/>
    <w:rsid w:val="00080F36"/>
    <w:rsid w:val="000816C6"/>
    <w:rsid w:val="00081FB9"/>
    <w:rsid w:val="000829E5"/>
    <w:rsid w:val="00083BF8"/>
    <w:rsid w:val="00084474"/>
    <w:rsid w:val="00084F54"/>
    <w:rsid w:val="00086280"/>
    <w:rsid w:val="00090359"/>
    <w:rsid w:val="00090986"/>
    <w:rsid w:val="00093FF0"/>
    <w:rsid w:val="00094E31"/>
    <w:rsid w:val="00095D73"/>
    <w:rsid w:val="00097392"/>
    <w:rsid w:val="000A3099"/>
    <w:rsid w:val="000A3764"/>
    <w:rsid w:val="000A4F3C"/>
    <w:rsid w:val="000A7467"/>
    <w:rsid w:val="000B39BC"/>
    <w:rsid w:val="000B3BEE"/>
    <w:rsid w:val="000B6C08"/>
    <w:rsid w:val="000B7318"/>
    <w:rsid w:val="000B7A40"/>
    <w:rsid w:val="000C2150"/>
    <w:rsid w:val="000C2532"/>
    <w:rsid w:val="000C2D41"/>
    <w:rsid w:val="000C3443"/>
    <w:rsid w:val="000C51BA"/>
    <w:rsid w:val="000C6A10"/>
    <w:rsid w:val="000D0DF7"/>
    <w:rsid w:val="000D2451"/>
    <w:rsid w:val="000D2ABA"/>
    <w:rsid w:val="000D508D"/>
    <w:rsid w:val="000D5EA8"/>
    <w:rsid w:val="000D5FED"/>
    <w:rsid w:val="000D65E8"/>
    <w:rsid w:val="000E0279"/>
    <w:rsid w:val="000E0996"/>
    <w:rsid w:val="000E2BCD"/>
    <w:rsid w:val="000E2DC5"/>
    <w:rsid w:val="000E4174"/>
    <w:rsid w:val="000E45BA"/>
    <w:rsid w:val="000E4E4E"/>
    <w:rsid w:val="000F1A65"/>
    <w:rsid w:val="000F22BE"/>
    <w:rsid w:val="000F25E7"/>
    <w:rsid w:val="000F4273"/>
    <w:rsid w:val="000F72F2"/>
    <w:rsid w:val="00100884"/>
    <w:rsid w:val="00100943"/>
    <w:rsid w:val="00100C78"/>
    <w:rsid w:val="00101BED"/>
    <w:rsid w:val="00103A66"/>
    <w:rsid w:val="0010677A"/>
    <w:rsid w:val="00106911"/>
    <w:rsid w:val="00106B77"/>
    <w:rsid w:val="001070B2"/>
    <w:rsid w:val="001073B1"/>
    <w:rsid w:val="0011126C"/>
    <w:rsid w:val="0011266D"/>
    <w:rsid w:val="00112F10"/>
    <w:rsid w:val="00113F61"/>
    <w:rsid w:val="0011495B"/>
    <w:rsid w:val="00115961"/>
    <w:rsid w:val="00115BE6"/>
    <w:rsid w:val="00116D9C"/>
    <w:rsid w:val="00120646"/>
    <w:rsid w:val="001210FA"/>
    <w:rsid w:val="001241DA"/>
    <w:rsid w:val="0012536B"/>
    <w:rsid w:val="00126B61"/>
    <w:rsid w:val="00127777"/>
    <w:rsid w:val="00130A1E"/>
    <w:rsid w:val="00131D29"/>
    <w:rsid w:val="00135F1E"/>
    <w:rsid w:val="0013638D"/>
    <w:rsid w:val="00140A19"/>
    <w:rsid w:val="00140C12"/>
    <w:rsid w:val="001416D3"/>
    <w:rsid w:val="0014384A"/>
    <w:rsid w:val="001439A5"/>
    <w:rsid w:val="00143F3F"/>
    <w:rsid w:val="001446AE"/>
    <w:rsid w:val="0014513B"/>
    <w:rsid w:val="001457E3"/>
    <w:rsid w:val="00146E5A"/>
    <w:rsid w:val="001514DA"/>
    <w:rsid w:val="00151FCC"/>
    <w:rsid w:val="0015275B"/>
    <w:rsid w:val="00155C0C"/>
    <w:rsid w:val="00156F09"/>
    <w:rsid w:val="00157D6C"/>
    <w:rsid w:val="00160998"/>
    <w:rsid w:val="00160C82"/>
    <w:rsid w:val="00160F32"/>
    <w:rsid w:val="00160FE5"/>
    <w:rsid w:val="00161DDB"/>
    <w:rsid w:val="0016342D"/>
    <w:rsid w:val="0016505F"/>
    <w:rsid w:val="0016550A"/>
    <w:rsid w:val="00166A47"/>
    <w:rsid w:val="00171C32"/>
    <w:rsid w:val="001759BD"/>
    <w:rsid w:val="00180BA4"/>
    <w:rsid w:val="001816F2"/>
    <w:rsid w:val="00182484"/>
    <w:rsid w:val="00183809"/>
    <w:rsid w:val="00183ADB"/>
    <w:rsid w:val="00183D73"/>
    <w:rsid w:val="00184FBB"/>
    <w:rsid w:val="001864F2"/>
    <w:rsid w:val="00190748"/>
    <w:rsid w:val="00190B32"/>
    <w:rsid w:val="00193A72"/>
    <w:rsid w:val="001968D0"/>
    <w:rsid w:val="001971A4"/>
    <w:rsid w:val="0019763A"/>
    <w:rsid w:val="001A18E1"/>
    <w:rsid w:val="001A4420"/>
    <w:rsid w:val="001A4809"/>
    <w:rsid w:val="001A4924"/>
    <w:rsid w:val="001A6602"/>
    <w:rsid w:val="001A7726"/>
    <w:rsid w:val="001B1D54"/>
    <w:rsid w:val="001B1D60"/>
    <w:rsid w:val="001B2B39"/>
    <w:rsid w:val="001B3FB6"/>
    <w:rsid w:val="001B4372"/>
    <w:rsid w:val="001B4785"/>
    <w:rsid w:val="001B5877"/>
    <w:rsid w:val="001B73FA"/>
    <w:rsid w:val="001B7715"/>
    <w:rsid w:val="001C068C"/>
    <w:rsid w:val="001C454B"/>
    <w:rsid w:val="001C49B2"/>
    <w:rsid w:val="001C5B4B"/>
    <w:rsid w:val="001C61DF"/>
    <w:rsid w:val="001C6B30"/>
    <w:rsid w:val="001C6F1A"/>
    <w:rsid w:val="001C7C4B"/>
    <w:rsid w:val="001D18A7"/>
    <w:rsid w:val="001D25C7"/>
    <w:rsid w:val="001D5709"/>
    <w:rsid w:val="001D57CF"/>
    <w:rsid w:val="001D7AB8"/>
    <w:rsid w:val="001D7B3F"/>
    <w:rsid w:val="001E04A4"/>
    <w:rsid w:val="001E141F"/>
    <w:rsid w:val="001E2023"/>
    <w:rsid w:val="001E2819"/>
    <w:rsid w:val="001E4D2E"/>
    <w:rsid w:val="001E4F23"/>
    <w:rsid w:val="001E55BE"/>
    <w:rsid w:val="001E5A2B"/>
    <w:rsid w:val="001E65AD"/>
    <w:rsid w:val="001E6D40"/>
    <w:rsid w:val="001F0387"/>
    <w:rsid w:val="001F16CE"/>
    <w:rsid w:val="001F3D82"/>
    <w:rsid w:val="001F3E52"/>
    <w:rsid w:val="00201852"/>
    <w:rsid w:val="00202EEF"/>
    <w:rsid w:val="00203A19"/>
    <w:rsid w:val="00203DBF"/>
    <w:rsid w:val="002103AB"/>
    <w:rsid w:val="00210BD4"/>
    <w:rsid w:val="0021133D"/>
    <w:rsid w:val="00214D51"/>
    <w:rsid w:val="00214E27"/>
    <w:rsid w:val="00215674"/>
    <w:rsid w:val="00217444"/>
    <w:rsid w:val="00217774"/>
    <w:rsid w:val="002211D0"/>
    <w:rsid w:val="00223049"/>
    <w:rsid w:val="00223D00"/>
    <w:rsid w:val="00226939"/>
    <w:rsid w:val="00227561"/>
    <w:rsid w:val="00230377"/>
    <w:rsid w:val="00230643"/>
    <w:rsid w:val="0023067D"/>
    <w:rsid w:val="00231840"/>
    <w:rsid w:val="00231C1D"/>
    <w:rsid w:val="00231C79"/>
    <w:rsid w:val="002326AE"/>
    <w:rsid w:val="00233886"/>
    <w:rsid w:val="002338EA"/>
    <w:rsid w:val="00233E13"/>
    <w:rsid w:val="0023452A"/>
    <w:rsid w:val="002345D2"/>
    <w:rsid w:val="00236262"/>
    <w:rsid w:val="0023730B"/>
    <w:rsid w:val="0024028F"/>
    <w:rsid w:val="00242915"/>
    <w:rsid w:val="00243377"/>
    <w:rsid w:val="002437C2"/>
    <w:rsid w:val="00244738"/>
    <w:rsid w:val="00244A13"/>
    <w:rsid w:val="002458D4"/>
    <w:rsid w:val="00246663"/>
    <w:rsid w:val="00246F71"/>
    <w:rsid w:val="002473E9"/>
    <w:rsid w:val="00247958"/>
    <w:rsid w:val="0025163B"/>
    <w:rsid w:val="0025164C"/>
    <w:rsid w:val="00254380"/>
    <w:rsid w:val="0025444B"/>
    <w:rsid w:val="002555C8"/>
    <w:rsid w:val="0025607A"/>
    <w:rsid w:val="00257E7E"/>
    <w:rsid w:val="0026108A"/>
    <w:rsid w:val="002613F5"/>
    <w:rsid w:val="00263388"/>
    <w:rsid w:val="0026372E"/>
    <w:rsid w:val="00264826"/>
    <w:rsid w:val="00265B7F"/>
    <w:rsid w:val="002663DA"/>
    <w:rsid w:val="00271BE0"/>
    <w:rsid w:val="00274984"/>
    <w:rsid w:val="00275A4A"/>
    <w:rsid w:val="0027622D"/>
    <w:rsid w:val="00276646"/>
    <w:rsid w:val="00277DD8"/>
    <w:rsid w:val="0028337A"/>
    <w:rsid w:val="002841C8"/>
    <w:rsid w:val="00285DD5"/>
    <w:rsid w:val="00285E73"/>
    <w:rsid w:val="002874B9"/>
    <w:rsid w:val="0029395E"/>
    <w:rsid w:val="00294579"/>
    <w:rsid w:val="00294674"/>
    <w:rsid w:val="002949D7"/>
    <w:rsid w:val="002A125A"/>
    <w:rsid w:val="002A232D"/>
    <w:rsid w:val="002A3D8E"/>
    <w:rsid w:val="002A5080"/>
    <w:rsid w:val="002A5800"/>
    <w:rsid w:val="002A5888"/>
    <w:rsid w:val="002A6A14"/>
    <w:rsid w:val="002A6E91"/>
    <w:rsid w:val="002A787D"/>
    <w:rsid w:val="002A7AA3"/>
    <w:rsid w:val="002B0F10"/>
    <w:rsid w:val="002B1511"/>
    <w:rsid w:val="002B202C"/>
    <w:rsid w:val="002B2E34"/>
    <w:rsid w:val="002B307B"/>
    <w:rsid w:val="002B3942"/>
    <w:rsid w:val="002B39F6"/>
    <w:rsid w:val="002B495D"/>
    <w:rsid w:val="002B4E47"/>
    <w:rsid w:val="002B54D2"/>
    <w:rsid w:val="002B5EE3"/>
    <w:rsid w:val="002B65B0"/>
    <w:rsid w:val="002B65BD"/>
    <w:rsid w:val="002B7A3C"/>
    <w:rsid w:val="002C058F"/>
    <w:rsid w:val="002C06B6"/>
    <w:rsid w:val="002C3229"/>
    <w:rsid w:val="002C3269"/>
    <w:rsid w:val="002C38F7"/>
    <w:rsid w:val="002C3D00"/>
    <w:rsid w:val="002C5704"/>
    <w:rsid w:val="002C5FA7"/>
    <w:rsid w:val="002C6B1B"/>
    <w:rsid w:val="002C71C0"/>
    <w:rsid w:val="002C7F2E"/>
    <w:rsid w:val="002D2D46"/>
    <w:rsid w:val="002D3FA1"/>
    <w:rsid w:val="002D4DA3"/>
    <w:rsid w:val="002D54EF"/>
    <w:rsid w:val="002D599F"/>
    <w:rsid w:val="002E1043"/>
    <w:rsid w:val="002E1715"/>
    <w:rsid w:val="002E20BB"/>
    <w:rsid w:val="002E2C12"/>
    <w:rsid w:val="002E3021"/>
    <w:rsid w:val="002E3B53"/>
    <w:rsid w:val="002E7C99"/>
    <w:rsid w:val="002F06E4"/>
    <w:rsid w:val="002F1F37"/>
    <w:rsid w:val="002F2A3E"/>
    <w:rsid w:val="002F2D90"/>
    <w:rsid w:val="002F3DE9"/>
    <w:rsid w:val="002F4749"/>
    <w:rsid w:val="002F5C30"/>
    <w:rsid w:val="002F6A74"/>
    <w:rsid w:val="002F6C76"/>
    <w:rsid w:val="002F7733"/>
    <w:rsid w:val="002F7AB2"/>
    <w:rsid w:val="002F7C64"/>
    <w:rsid w:val="002F7E33"/>
    <w:rsid w:val="00300EA5"/>
    <w:rsid w:val="00302997"/>
    <w:rsid w:val="00303067"/>
    <w:rsid w:val="0030342A"/>
    <w:rsid w:val="0030364F"/>
    <w:rsid w:val="00307ECA"/>
    <w:rsid w:val="003104E5"/>
    <w:rsid w:val="0031062B"/>
    <w:rsid w:val="00311429"/>
    <w:rsid w:val="0031323F"/>
    <w:rsid w:val="0031507C"/>
    <w:rsid w:val="00315C5A"/>
    <w:rsid w:val="003170E1"/>
    <w:rsid w:val="00317A54"/>
    <w:rsid w:val="00320777"/>
    <w:rsid w:val="00320AC9"/>
    <w:rsid w:val="003217C3"/>
    <w:rsid w:val="00322E78"/>
    <w:rsid w:val="00324620"/>
    <w:rsid w:val="003254CC"/>
    <w:rsid w:val="00326283"/>
    <w:rsid w:val="00326774"/>
    <w:rsid w:val="00326ADF"/>
    <w:rsid w:val="00326E9F"/>
    <w:rsid w:val="00326EB2"/>
    <w:rsid w:val="0032773C"/>
    <w:rsid w:val="00327D1E"/>
    <w:rsid w:val="00330C7E"/>
    <w:rsid w:val="003315CC"/>
    <w:rsid w:val="00333C90"/>
    <w:rsid w:val="00334280"/>
    <w:rsid w:val="00335DAB"/>
    <w:rsid w:val="00336029"/>
    <w:rsid w:val="00337925"/>
    <w:rsid w:val="00337D19"/>
    <w:rsid w:val="003407AD"/>
    <w:rsid w:val="00341350"/>
    <w:rsid w:val="00342AD2"/>
    <w:rsid w:val="00344782"/>
    <w:rsid w:val="0034499F"/>
    <w:rsid w:val="00344BAB"/>
    <w:rsid w:val="00346E2D"/>
    <w:rsid w:val="00347429"/>
    <w:rsid w:val="00347F94"/>
    <w:rsid w:val="00351669"/>
    <w:rsid w:val="003517AA"/>
    <w:rsid w:val="00351B4C"/>
    <w:rsid w:val="0035206E"/>
    <w:rsid w:val="00352358"/>
    <w:rsid w:val="003534C9"/>
    <w:rsid w:val="00355CEC"/>
    <w:rsid w:val="003564B3"/>
    <w:rsid w:val="00356AA7"/>
    <w:rsid w:val="00365E8A"/>
    <w:rsid w:val="003666F4"/>
    <w:rsid w:val="003670B3"/>
    <w:rsid w:val="003677C3"/>
    <w:rsid w:val="00370338"/>
    <w:rsid w:val="003715A4"/>
    <w:rsid w:val="003730FD"/>
    <w:rsid w:val="00376133"/>
    <w:rsid w:val="00380CA0"/>
    <w:rsid w:val="00380EA6"/>
    <w:rsid w:val="00380FE8"/>
    <w:rsid w:val="0038135D"/>
    <w:rsid w:val="0038141F"/>
    <w:rsid w:val="003834D0"/>
    <w:rsid w:val="00384034"/>
    <w:rsid w:val="0038517D"/>
    <w:rsid w:val="003925B7"/>
    <w:rsid w:val="003926B1"/>
    <w:rsid w:val="00392DC2"/>
    <w:rsid w:val="0039395E"/>
    <w:rsid w:val="00395801"/>
    <w:rsid w:val="0039773D"/>
    <w:rsid w:val="003A3628"/>
    <w:rsid w:val="003A4E6F"/>
    <w:rsid w:val="003A70C5"/>
    <w:rsid w:val="003A7405"/>
    <w:rsid w:val="003A7E83"/>
    <w:rsid w:val="003B0DD4"/>
    <w:rsid w:val="003B23D3"/>
    <w:rsid w:val="003B46DC"/>
    <w:rsid w:val="003B6740"/>
    <w:rsid w:val="003B7998"/>
    <w:rsid w:val="003B79EF"/>
    <w:rsid w:val="003C045C"/>
    <w:rsid w:val="003C047F"/>
    <w:rsid w:val="003C04F7"/>
    <w:rsid w:val="003C502F"/>
    <w:rsid w:val="003C5718"/>
    <w:rsid w:val="003C5916"/>
    <w:rsid w:val="003C734A"/>
    <w:rsid w:val="003D0D53"/>
    <w:rsid w:val="003D2025"/>
    <w:rsid w:val="003D26F2"/>
    <w:rsid w:val="003D2D76"/>
    <w:rsid w:val="003D3DDA"/>
    <w:rsid w:val="003D4B3C"/>
    <w:rsid w:val="003D711A"/>
    <w:rsid w:val="003E0826"/>
    <w:rsid w:val="003E3DC6"/>
    <w:rsid w:val="003E4AB9"/>
    <w:rsid w:val="003E4EE5"/>
    <w:rsid w:val="003E5919"/>
    <w:rsid w:val="003E5A2A"/>
    <w:rsid w:val="003E76A1"/>
    <w:rsid w:val="003F0761"/>
    <w:rsid w:val="003F28CB"/>
    <w:rsid w:val="003F5938"/>
    <w:rsid w:val="003F61E8"/>
    <w:rsid w:val="003F66EE"/>
    <w:rsid w:val="003F6B00"/>
    <w:rsid w:val="003F6DC9"/>
    <w:rsid w:val="003F713A"/>
    <w:rsid w:val="003F7CA8"/>
    <w:rsid w:val="00400272"/>
    <w:rsid w:val="00400465"/>
    <w:rsid w:val="00403321"/>
    <w:rsid w:val="00403416"/>
    <w:rsid w:val="0040479A"/>
    <w:rsid w:val="00405603"/>
    <w:rsid w:val="00405A2C"/>
    <w:rsid w:val="004142C7"/>
    <w:rsid w:val="004142E5"/>
    <w:rsid w:val="00414570"/>
    <w:rsid w:val="004148A4"/>
    <w:rsid w:val="004155AE"/>
    <w:rsid w:val="00415633"/>
    <w:rsid w:val="00416F77"/>
    <w:rsid w:val="0041797C"/>
    <w:rsid w:val="00420A63"/>
    <w:rsid w:val="004221E8"/>
    <w:rsid w:val="00422681"/>
    <w:rsid w:val="00423B9E"/>
    <w:rsid w:val="00423C23"/>
    <w:rsid w:val="00424054"/>
    <w:rsid w:val="00426186"/>
    <w:rsid w:val="00426580"/>
    <w:rsid w:val="00427ACB"/>
    <w:rsid w:val="00427EBB"/>
    <w:rsid w:val="004301A0"/>
    <w:rsid w:val="00431787"/>
    <w:rsid w:val="00432015"/>
    <w:rsid w:val="00433C14"/>
    <w:rsid w:val="0043623E"/>
    <w:rsid w:val="004367A7"/>
    <w:rsid w:val="004372AE"/>
    <w:rsid w:val="00437944"/>
    <w:rsid w:val="00440848"/>
    <w:rsid w:val="00440BD3"/>
    <w:rsid w:val="00441E4C"/>
    <w:rsid w:val="00444F28"/>
    <w:rsid w:val="00445AE0"/>
    <w:rsid w:val="00451900"/>
    <w:rsid w:val="00451F62"/>
    <w:rsid w:val="004536C5"/>
    <w:rsid w:val="00454E08"/>
    <w:rsid w:val="004554DA"/>
    <w:rsid w:val="0045671D"/>
    <w:rsid w:val="004602A7"/>
    <w:rsid w:val="004619E5"/>
    <w:rsid w:val="004622EF"/>
    <w:rsid w:val="0046297A"/>
    <w:rsid w:val="0046408A"/>
    <w:rsid w:val="0046446E"/>
    <w:rsid w:val="00465C80"/>
    <w:rsid w:val="0046752B"/>
    <w:rsid w:val="00467939"/>
    <w:rsid w:val="00471215"/>
    <w:rsid w:val="004736A3"/>
    <w:rsid w:val="004767DE"/>
    <w:rsid w:val="00476C78"/>
    <w:rsid w:val="00476F2B"/>
    <w:rsid w:val="00477322"/>
    <w:rsid w:val="00477A02"/>
    <w:rsid w:val="00477C70"/>
    <w:rsid w:val="0048040C"/>
    <w:rsid w:val="004805DE"/>
    <w:rsid w:val="00481FC0"/>
    <w:rsid w:val="004831B8"/>
    <w:rsid w:val="004847B2"/>
    <w:rsid w:val="00491906"/>
    <w:rsid w:val="00492F2F"/>
    <w:rsid w:val="004950BA"/>
    <w:rsid w:val="00495E40"/>
    <w:rsid w:val="004A0F8A"/>
    <w:rsid w:val="004A61B9"/>
    <w:rsid w:val="004A79FA"/>
    <w:rsid w:val="004A7A44"/>
    <w:rsid w:val="004A7FCB"/>
    <w:rsid w:val="004B1040"/>
    <w:rsid w:val="004B145E"/>
    <w:rsid w:val="004B1C3C"/>
    <w:rsid w:val="004B378A"/>
    <w:rsid w:val="004B393E"/>
    <w:rsid w:val="004B4193"/>
    <w:rsid w:val="004B677A"/>
    <w:rsid w:val="004B68F0"/>
    <w:rsid w:val="004B6B26"/>
    <w:rsid w:val="004B6F84"/>
    <w:rsid w:val="004B7EA2"/>
    <w:rsid w:val="004C1264"/>
    <w:rsid w:val="004C1621"/>
    <w:rsid w:val="004C1ADB"/>
    <w:rsid w:val="004C2BA6"/>
    <w:rsid w:val="004C50E3"/>
    <w:rsid w:val="004C6375"/>
    <w:rsid w:val="004C6789"/>
    <w:rsid w:val="004C6BAC"/>
    <w:rsid w:val="004C768E"/>
    <w:rsid w:val="004C7B0B"/>
    <w:rsid w:val="004D2E73"/>
    <w:rsid w:val="004D3814"/>
    <w:rsid w:val="004D3BC0"/>
    <w:rsid w:val="004D3C74"/>
    <w:rsid w:val="004D4177"/>
    <w:rsid w:val="004D4395"/>
    <w:rsid w:val="004D528D"/>
    <w:rsid w:val="004D55DC"/>
    <w:rsid w:val="004D5C4E"/>
    <w:rsid w:val="004D5ECB"/>
    <w:rsid w:val="004D6458"/>
    <w:rsid w:val="004D6C26"/>
    <w:rsid w:val="004E012B"/>
    <w:rsid w:val="004E357D"/>
    <w:rsid w:val="004E3EBC"/>
    <w:rsid w:val="004E51BB"/>
    <w:rsid w:val="004F2F74"/>
    <w:rsid w:val="004F3C38"/>
    <w:rsid w:val="004F6481"/>
    <w:rsid w:val="00500206"/>
    <w:rsid w:val="00500728"/>
    <w:rsid w:val="005013A6"/>
    <w:rsid w:val="005013DA"/>
    <w:rsid w:val="00502E05"/>
    <w:rsid w:val="005032BB"/>
    <w:rsid w:val="0050338B"/>
    <w:rsid w:val="00507819"/>
    <w:rsid w:val="00507F77"/>
    <w:rsid w:val="005111CE"/>
    <w:rsid w:val="00511F5F"/>
    <w:rsid w:val="00512F2F"/>
    <w:rsid w:val="00513194"/>
    <w:rsid w:val="0051375A"/>
    <w:rsid w:val="00513932"/>
    <w:rsid w:val="0051405F"/>
    <w:rsid w:val="005149BB"/>
    <w:rsid w:val="00516754"/>
    <w:rsid w:val="00516BC1"/>
    <w:rsid w:val="00516DDE"/>
    <w:rsid w:val="0051777A"/>
    <w:rsid w:val="00517917"/>
    <w:rsid w:val="0052077C"/>
    <w:rsid w:val="0052207B"/>
    <w:rsid w:val="00522C6C"/>
    <w:rsid w:val="00523255"/>
    <w:rsid w:val="0052495C"/>
    <w:rsid w:val="005251FD"/>
    <w:rsid w:val="00525637"/>
    <w:rsid w:val="00525ED6"/>
    <w:rsid w:val="00525FAB"/>
    <w:rsid w:val="00527FDA"/>
    <w:rsid w:val="00531612"/>
    <w:rsid w:val="00532614"/>
    <w:rsid w:val="00532A8B"/>
    <w:rsid w:val="00533D27"/>
    <w:rsid w:val="00535F33"/>
    <w:rsid w:val="00536771"/>
    <w:rsid w:val="005372C0"/>
    <w:rsid w:val="005412DD"/>
    <w:rsid w:val="00542ACF"/>
    <w:rsid w:val="00543161"/>
    <w:rsid w:val="00543479"/>
    <w:rsid w:val="0054395F"/>
    <w:rsid w:val="00543F19"/>
    <w:rsid w:val="00544452"/>
    <w:rsid w:val="00544A0B"/>
    <w:rsid w:val="00544F2B"/>
    <w:rsid w:val="005454EE"/>
    <w:rsid w:val="0054593C"/>
    <w:rsid w:val="00547B54"/>
    <w:rsid w:val="00550E13"/>
    <w:rsid w:val="00552963"/>
    <w:rsid w:val="00553AD2"/>
    <w:rsid w:val="00555E10"/>
    <w:rsid w:val="005571E0"/>
    <w:rsid w:val="005604A3"/>
    <w:rsid w:val="00561D03"/>
    <w:rsid w:val="00562085"/>
    <w:rsid w:val="0056274D"/>
    <w:rsid w:val="005632D4"/>
    <w:rsid w:val="00563741"/>
    <w:rsid w:val="0056514B"/>
    <w:rsid w:val="0056585E"/>
    <w:rsid w:val="00567AE4"/>
    <w:rsid w:val="00570E16"/>
    <w:rsid w:val="005711D2"/>
    <w:rsid w:val="005715C0"/>
    <w:rsid w:val="00573E3E"/>
    <w:rsid w:val="00574287"/>
    <w:rsid w:val="00575F5F"/>
    <w:rsid w:val="00576384"/>
    <w:rsid w:val="00576B0D"/>
    <w:rsid w:val="0057707D"/>
    <w:rsid w:val="00577236"/>
    <w:rsid w:val="00580FB2"/>
    <w:rsid w:val="00583F8A"/>
    <w:rsid w:val="00584A64"/>
    <w:rsid w:val="00585378"/>
    <w:rsid w:val="00585C6D"/>
    <w:rsid w:val="00587265"/>
    <w:rsid w:val="005917E2"/>
    <w:rsid w:val="00591A7D"/>
    <w:rsid w:val="00591B1E"/>
    <w:rsid w:val="005920A3"/>
    <w:rsid w:val="00593FE0"/>
    <w:rsid w:val="00594C99"/>
    <w:rsid w:val="00595C23"/>
    <w:rsid w:val="005975AD"/>
    <w:rsid w:val="005A2918"/>
    <w:rsid w:val="005A3BAD"/>
    <w:rsid w:val="005A472B"/>
    <w:rsid w:val="005A4A04"/>
    <w:rsid w:val="005A6AB9"/>
    <w:rsid w:val="005A6B0C"/>
    <w:rsid w:val="005A729D"/>
    <w:rsid w:val="005B120F"/>
    <w:rsid w:val="005B42D8"/>
    <w:rsid w:val="005B4585"/>
    <w:rsid w:val="005B45C7"/>
    <w:rsid w:val="005B5001"/>
    <w:rsid w:val="005B5C60"/>
    <w:rsid w:val="005B6336"/>
    <w:rsid w:val="005C0305"/>
    <w:rsid w:val="005C170D"/>
    <w:rsid w:val="005C1B58"/>
    <w:rsid w:val="005C1F99"/>
    <w:rsid w:val="005C2F47"/>
    <w:rsid w:val="005C485A"/>
    <w:rsid w:val="005C4EDA"/>
    <w:rsid w:val="005C747E"/>
    <w:rsid w:val="005C76BB"/>
    <w:rsid w:val="005C7771"/>
    <w:rsid w:val="005D0117"/>
    <w:rsid w:val="005D0615"/>
    <w:rsid w:val="005D0DC3"/>
    <w:rsid w:val="005D15B2"/>
    <w:rsid w:val="005D2387"/>
    <w:rsid w:val="005D2407"/>
    <w:rsid w:val="005D4439"/>
    <w:rsid w:val="005D4C0E"/>
    <w:rsid w:val="005D5D18"/>
    <w:rsid w:val="005D6327"/>
    <w:rsid w:val="005D6690"/>
    <w:rsid w:val="005D6F5B"/>
    <w:rsid w:val="005E0A12"/>
    <w:rsid w:val="005E4B9C"/>
    <w:rsid w:val="005E5B59"/>
    <w:rsid w:val="005F2FCB"/>
    <w:rsid w:val="005F356F"/>
    <w:rsid w:val="005F3764"/>
    <w:rsid w:val="005F402C"/>
    <w:rsid w:val="005F68B5"/>
    <w:rsid w:val="005F6D6D"/>
    <w:rsid w:val="00601442"/>
    <w:rsid w:val="006015F9"/>
    <w:rsid w:val="00601D28"/>
    <w:rsid w:val="006027E1"/>
    <w:rsid w:val="00603425"/>
    <w:rsid w:val="00603638"/>
    <w:rsid w:val="00603953"/>
    <w:rsid w:val="006051C4"/>
    <w:rsid w:val="00605885"/>
    <w:rsid w:val="00610986"/>
    <w:rsid w:val="00610ABD"/>
    <w:rsid w:val="006123B0"/>
    <w:rsid w:val="00614289"/>
    <w:rsid w:val="00615C52"/>
    <w:rsid w:val="00615E10"/>
    <w:rsid w:val="00616439"/>
    <w:rsid w:val="00617075"/>
    <w:rsid w:val="006170B1"/>
    <w:rsid w:val="00617621"/>
    <w:rsid w:val="006200AF"/>
    <w:rsid w:val="00620B94"/>
    <w:rsid w:val="00621231"/>
    <w:rsid w:val="00621D4D"/>
    <w:rsid w:val="0062201E"/>
    <w:rsid w:val="00622443"/>
    <w:rsid w:val="00623030"/>
    <w:rsid w:val="00623B10"/>
    <w:rsid w:val="00625192"/>
    <w:rsid w:val="006252D9"/>
    <w:rsid w:val="00626625"/>
    <w:rsid w:val="00626F04"/>
    <w:rsid w:val="00627951"/>
    <w:rsid w:val="006300BC"/>
    <w:rsid w:val="00632091"/>
    <w:rsid w:val="006338DE"/>
    <w:rsid w:val="00634C7E"/>
    <w:rsid w:val="0064286A"/>
    <w:rsid w:val="00646127"/>
    <w:rsid w:val="006512DC"/>
    <w:rsid w:val="0065297D"/>
    <w:rsid w:val="006531AD"/>
    <w:rsid w:val="00653DF0"/>
    <w:rsid w:val="0065520E"/>
    <w:rsid w:val="0065701D"/>
    <w:rsid w:val="00657601"/>
    <w:rsid w:val="006576B8"/>
    <w:rsid w:val="00657F4F"/>
    <w:rsid w:val="006600DA"/>
    <w:rsid w:val="006624E1"/>
    <w:rsid w:val="00662DA1"/>
    <w:rsid w:val="00664261"/>
    <w:rsid w:val="00667D86"/>
    <w:rsid w:val="0067014A"/>
    <w:rsid w:val="00670FBC"/>
    <w:rsid w:val="006714CC"/>
    <w:rsid w:val="00671C9D"/>
    <w:rsid w:val="00671DC8"/>
    <w:rsid w:val="006727FF"/>
    <w:rsid w:val="00674148"/>
    <w:rsid w:val="00674FD4"/>
    <w:rsid w:val="00675D5B"/>
    <w:rsid w:val="006768D3"/>
    <w:rsid w:val="00681831"/>
    <w:rsid w:val="006831FA"/>
    <w:rsid w:val="006836D0"/>
    <w:rsid w:val="00684CF1"/>
    <w:rsid w:val="00685C8A"/>
    <w:rsid w:val="00690AED"/>
    <w:rsid w:val="0069291D"/>
    <w:rsid w:val="00694AB9"/>
    <w:rsid w:val="00695064"/>
    <w:rsid w:val="00695262"/>
    <w:rsid w:val="00695EB1"/>
    <w:rsid w:val="0069703E"/>
    <w:rsid w:val="00697078"/>
    <w:rsid w:val="006A1DA4"/>
    <w:rsid w:val="006A3C7C"/>
    <w:rsid w:val="006A5F65"/>
    <w:rsid w:val="006A695D"/>
    <w:rsid w:val="006A774F"/>
    <w:rsid w:val="006A787D"/>
    <w:rsid w:val="006B005F"/>
    <w:rsid w:val="006B2708"/>
    <w:rsid w:val="006B362A"/>
    <w:rsid w:val="006B3902"/>
    <w:rsid w:val="006B4A9A"/>
    <w:rsid w:val="006B6ACC"/>
    <w:rsid w:val="006C0306"/>
    <w:rsid w:val="006C2CB5"/>
    <w:rsid w:val="006C5E5E"/>
    <w:rsid w:val="006D0102"/>
    <w:rsid w:val="006D0F52"/>
    <w:rsid w:val="006D3C9D"/>
    <w:rsid w:val="006D3CB7"/>
    <w:rsid w:val="006D43EB"/>
    <w:rsid w:val="006D5162"/>
    <w:rsid w:val="006D5229"/>
    <w:rsid w:val="006D5261"/>
    <w:rsid w:val="006D5294"/>
    <w:rsid w:val="006D55C0"/>
    <w:rsid w:val="006D600B"/>
    <w:rsid w:val="006D624E"/>
    <w:rsid w:val="006D62E6"/>
    <w:rsid w:val="006D6A33"/>
    <w:rsid w:val="006D70CC"/>
    <w:rsid w:val="006D7450"/>
    <w:rsid w:val="006E0224"/>
    <w:rsid w:val="006E2702"/>
    <w:rsid w:val="006E2EC4"/>
    <w:rsid w:val="006E47A2"/>
    <w:rsid w:val="006E5FD8"/>
    <w:rsid w:val="006E6037"/>
    <w:rsid w:val="006E60A2"/>
    <w:rsid w:val="006F010E"/>
    <w:rsid w:val="006F1335"/>
    <w:rsid w:val="006F3229"/>
    <w:rsid w:val="006F3A93"/>
    <w:rsid w:val="006F3ACA"/>
    <w:rsid w:val="006F45D1"/>
    <w:rsid w:val="006F47AA"/>
    <w:rsid w:val="006F4BAE"/>
    <w:rsid w:val="006F4F4A"/>
    <w:rsid w:val="006F5323"/>
    <w:rsid w:val="006F5467"/>
    <w:rsid w:val="006F6293"/>
    <w:rsid w:val="00700E87"/>
    <w:rsid w:val="007036B6"/>
    <w:rsid w:val="00704A33"/>
    <w:rsid w:val="007078DE"/>
    <w:rsid w:val="00712706"/>
    <w:rsid w:val="0071304D"/>
    <w:rsid w:val="00714BA9"/>
    <w:rsid w:val="00716F0F"/>
    <w:rsid w:val="00717741"/>
    <w:rsid w:val="0072090E"/>
    <w:rsid w:val="00721308"/>
    <w:rsid w:val="007215F9"/>
    <w:rsid w:val="00724389"/>
    <w:rsid w:val="007244BB"/>
    <w:rsid w:val="00724CDE"/>
    <w:rsid w:val="00725AF6"/>
    <w:rsid w:val="0072608E"/>
    <w:rsid w:val="00730E24"/>
    <w:rsid w:val="00732C01"/>
    <w:rsid w:val="0073742B"/>
    <w:rsid w:val="007408B1"/>
    <w:rsid w:val="00740CC7"/>
    <w:rsid w:val="00742430"/>
    <w:rsid w:val="00742489"/>
    <w:rsid w:val="00744B9C"/>
    <w:rsid w:val="00745A45"/>
    <w:rsid w:val="00746705"/>
    <w:rsid w:val="007471FF"/>
    <w:rsid w:val="0074722D"/>
    <w:rsid w:val="00750541"/>
    <w:rsid w:val="00752C6E"/>
    <w:rsid w:val="00753048"/>
    <w:rsid w:val="007538D4"/>
    <w:rsid w:val="00753BBC"/>
    <w:rsid w:val="0075523C"/>
    <w:rsid w:val="00756FAA"/>
    <w:rsid w:val="00757F2F"/>
    <w:rsid w:val="00765EED"/>
    <w:rsid w:val="00765FAE"/>
    <w:rsid w:val="0076774D"/>
    <w:rsid w:val="00767C9B"/>
    <w:rsid w:val="00772AAF"/>
    <w:rsid w:val="007731AE"/>
    <w:rsid w:val="00776EA7"/>
    <w:rsid w:val="00781B21"/>
    <w:rsid w:val="00782F1B"/>
    <w:rsid w:val="00786BA1"/>
    <w:rsid w:val="00790CA0"/>
    <w:rsid w:val="00792190"/>
    <w:rsid w:val="00792B0D"/>
    <w:rsid w:val="007938EC"/>
    <w:rsid w:val="0079435B"/>
    <w:rsid w:val="007973FE"/>
    <w:rsid w:val="007974AB"/>
    <w:rsid w:val="007A167B"/>
    <w:rsid w:val="007A21FF"/>
    <w:rsid w:val="007A379A"/>
    <w:rsid w:val="007A5D90"/>
    <w:rsid w:val="007A5DC7"/>
    <w:rsid w:val="007B1296"/>
    <w:rsid w:val="007B1D93"/>
    <w:rsid w:val="007B232C"/>
    <w:rsid w:val="007B3363"/>
    <w:rsid w:val="007B3DA4"/>
    <w:rsid w:val="007B4130"/>
    <w:rsid w:val="007B46BA"/>
    <w:rsid w:val="007B569D"/>
    <w:rsid w:val="007B594E"/>
    <w:rsid w:val="007B7A33"/>
    <w:rsid w:val="007C108B"/>
    <w:rsid w:val="007C1958"/>
    <w:rsid w:val="007C1ADE"/>
    <w:rsid w:val="007C227D"/>
    <w:rsid w:val="007C424F"/>
    <w:rsid w:val="007C46FA"/>
    <w:rsid w:val="007C6AD1"/>
    <w:rsid w:val="007C70FA"/>
    <w:rsid w:val="007C7DEC"/>
    <w:rsid w:val="007D1FE0"/>
    <w:rsid w:val="007D64F5"/>
    <w:rsid w:val="007D6B2D"/>
    <w:rsid w:val="007D6FBC"/>
    <w:rsid w:val="007E1105"/>
    <w:rsid w:val="007E2BAA"/>
    <w:rsid w:val="007E38D5"/>
    <w:rsid w:val="007E3941"/>
    <w:rsid w:val="007E39A3"/>
    <w:rsid w:val="007E3D2C"/>
    <w:rsid w:val="007E5371"/>
    <w:rsid w:val="007E600D"/>
    <w:rsid w:val="007E77DA"/>
    <w:rsid w:val="007F0618"/>
    <w:rsid w:val="007F1B67"/>
    <w:rsid w:val="007F2FA6"/>
    <w:rsid w:val="007F5158"/>
    <w:rsid w:val="007F544E"/>
    <w:rsid w:val="007F73FD"/>
    <w:rsid w:val="0080042A"/>
    <w:rsid w:val="00801508"/>
    <w:rsid w:val="008023A1"/>
    <w:rsid w:val="00802D29"/>
    <w:rsid w:val="00803FE1"/>
    <w:rsid w:val="00807FBB"/>
    <w:rsid w:val="00810832"/>
    <w:rsid w:val="00810A3E"/>
    <w:rsid w:val="00811085"/>
    <w:rsid w:val="0081124D"/>
    <w:rsid w:val="008114C6"/>
    <w:rsid w:val="008115D9"/>
    <w:rsid w:val="00812758"/>
    <w:rsid w:val="00813B2C"/>
    <w:rsid w:val="00813C96"/>
    <w:rsid w:val="00814466"/>
    <w:rsid w:val="008148F6"/>
    <w:rsid w:val="00814D0A"/>
    <w:rsid w:val="00821FB6"/>
    <w:rsid w:val="00822C25"/>
    <w:rsid w:val="00822D4F"/>
    <w:rsid w:val="00823A73"/>
    <w:rsid w:val="008246B5"/>
    <w:rsid w:val="008247A7"/>
    <w:rsid w:val="00824FFA"/>
    <w:rsid w:val="00825445"/>
    <w:rsid w:val="0082548F"/>
    <w:rsid w:val="00825B93"/>
    <w:rsid w:val="00826262"/>
    <w:rsid w:val="0082727D"/>
    <w:rsid w:val="008309DB"/>
    <w:rsid w:val="00833644"/>
    <w:rsid w:val="0083446C"/>
    <w:rsid w:val="0083512E"/>
    <w:rsid w:val="008351B3"/>
    <w:rsid w:val="008361EE"/>
    <w:rsid w:val="00836CA3"/>
    <w:rsid w:val="008377D1"/>
    <w:rsid w:val="0084101B"/>
    <w:rsid w:val="00842FEE"/>
    <w:rsid w:val="00843456"/>
    <w:rsid w:val="0084440B"/>
    <w:rsid w:val="00847BE2"/>
    <w:rsid w:val="008529C0"/>
    <w:rsid w:val="00853D64"/>
    <w:rsid w:val="00854DA4"/>
    <w:rsid w:val="008576FD"/>
    <w:rsid w:val="00860D97"/>
    <w:rsid w:val="00861DAB"/>
    <w:rsid w:val="00862933"/>
    <w:rsid w:val="008636BA"/>
    <w:rsid w:val="00863B79"/>
    <w:rsid w:val="00863FAA"/>
    <w:rsid w:val="00867CCE"/>
    <w:rsid w:val="00867F2A"/>
    <w:rsid w:val="00872442"/>
    <w:rsid w:val="00872ADC"/>
    <w:rsid w:val="008759BB"/>
    <w:rsid w:val="00876303"/>
    <w:rsid w:val="00881B60"/>
    <w:rsid w:val="00881E87"/>
    <w:rsid w:val="008828C7"/>
    <w:rsid w:val="00883CDF"/>
    <w:rsid w:val="00885A07"/>
    <w:rsid w:val="0088704A"/>
    <w:rsid w:val="00887915"/>
    <w:rsid w:val="00887E7A"/>
    <w:rsid w:val="0089338C"/>
    <w:rsid w:val="00893861"/>
    <w:rsid w:val="0089597B"/>
    <w:rsid w:val="0089752D"/>
    <w:rsid w:val="008A12AA"/>
    <w:rsid w:val="008A1EA6"/>
    <w:rsid w:val="008A3844"/>
    <w:rsid w:val="008A586B"/>
    <w:rsid w:val="008A59CE"/>
    <w:rsid w:val="008A633E"/>
    <w:rsid w:val="008A670C"/>
    <w:rsid w:val="008A6E9E"/>
    <w:rsid w:val="008B012A"/>
    <w:rsid w:val="008B100B"/>
    <w:rsid w:val="008B2C4D"/>
    <w:rsid w:val="008B3A01"/>
    <w:rsid w:val="008B45E5"/>
    <w:rsid w:val="008B65E5"/>
    <w:rsid w:val="008B7BA5"/>
    <w:rsid w:val="008B7CD1"/>
    <w:rsid w:val="008C0D87"/>
    <w:rsid w:val="008C106B"/>
    <w:rsid w:val="008C2833"/>
    <w:rsid w:val="008C488C"/>
    <w:rsid w:val="008C4932"/>
    <w:rsid w:val="008C502A"/>
    <w:rsid w:val="008C588A"/>
    <w:rsid w:val="008C5928"/>
    <w:rsid w:val="008D0973"/>
    <w:rsid w:val="008D2724"/>
    <w:rsid w:val="008D2B54"/>
    <w:rsid w:val="008D4EF7"/>
    <w:rsid w:val="008E1F89"/>
    <w:rsid w:val="008E2A26"/>
    <w:rsid w:val="008E31C2"/>
    <w:rsid w:val="008E5725"/>
    <w:rsid w:val="008E5860"/>
    <w:rsid w:val="008E72B5"/>
    <w:rsid w:val="008E7670"/>
    <w:rsid w:val="008F2B49"/>
    <w:rsid w:val="008F513C"/>
    <w:rsid w:val="008F5AFE"/>
    <w:rsid w:val="008F7720"/>
    <w:rsid w:val="008F78DC"/>
    <w:rsid w:val="00900EAC"/>
    <w:rsid w:val="00903667"/>
    <w:rsid w:val="0090418E"/>
    <w:rsid w:val="00905137"/>
    <w:rsid w:val="009056D6"/>
    <w:rsid w:val="00905919"/>
    <w:rsid w:val="00905BC6"/>
    <w:rsid w:val="00905C4F"/>
    <w:rsid w:val="0090724E"/>
    <w:rsid w:val="00914976"/>
    <w:rsid w:val="00914C5A"/>
    <w:rsid w:val="00914E93"/>
    <w:rsid w:val="0091512B"/>
    <w:rsid w:val="00917F69"/>
    <w:rsid w:val="009236D8"/>
    <w:rsid w:val="00923C2D"/>
    <w:rsid w:val="00924E18"/>
    <w:rsid w:val="0092533E"/>
    <w:rsid w:val="00925CAB"/>
    <w:rsid w:val="0092659B"/>
    <w:rsid w:val="00926D56"/>
    <w:rsid w:val="00927CD4"/>
    <w:rsid w:val="00934D3E"/>
    <w:rsid w:val="00935CCC"/>
    <w:rsid w:val="009363A7"/>
    <w:rsid w:val="00936B56"/>
    <w:rsid w:val="00943F06"/>
    <w:rsid w:val="009440B6"/>
    <w:rsid w:val="00946CB5"/>
    <w:rsid w:val="00946E03"/>
    <w:rsid w:val="00947847"/>
    <w:rsid w:val="00947A56"/>
    <w:rsid w:val="00947D84"/>
    <w:rsid w:val="00950E05"/>
    <w:rsid w:val="00951622"/>
    <w:rsid w:val="00951D44"/>
    <w:rsid w:val="00951ED0"/>
    <w:rsid w:val="00953001"/>
    <w:rsid w:val="00953561"/>
    <w:rsid w:val="00953B04"/>
    <w:rsid w:val="009547D8"/>
    <w:rsid w:val="00957122"/>
    <w:rsid w:val="00957AB7"/>
    <w:rsid w:val="00957D61"/>
    <w:rsid w:val="0096427A"/>
    <w:rsid w:val="00964E54"/>
    <w:rsid w:val="00966B67"/>
    <w:rsid w:val="00966EB9"/>
    <w:rsid w:val="00967350"/>
    <w:rsid w:val="009678AF"/>
    <w:rsid w:val="00970234"/>
    <w:rsid w:val="00971298"/>
    <w:rsid w:val="00971BA5"/>
    <w:rsid w:val="00973D06"/>
    <w:rsid w:val="009744D7"/>
    <w:rsid w:val="009745F4"/>
    <w:rsid w:val="009747B0"/>
    <w:rsid w:val="009753AC"/>
    <w:rsid w:val="00975DB2"/>
    <w:rsid w:val="009766A1"/>
    <w:rsid w:val="00976CE0"/>
    <w:rsid w:val="009808DD"/>
    <w:rsid w:val="009816A6"/>
    <w:rsid w:val="009816E6"/>
    <w:rsid w:val="00982847"/>
    <w:rsid w:val="00984F9D"/>
    <w:rsid w:val="009869EE"/>
    <w:rsid w:val="00987269"/>
    <w:rsid w:val="009879C1"/>
    <w:rsid w:val="009905FA"/>
    <w:rsid w:val="0099092E"/>
    <w:rsid w:val="009926BF"/>
    <w:rsid w:val="009947C2"/>
    <w:rsid w:val="00995B4F"/>
    <w:rsid w:val="00995EE2"/>
    <w:rsid w:val="009A02AE"/>
    <w:rsid w:val="009A14D8"/>
    <w:rsid w:val="009A175C"/>
    <w:rsid w:val="009A2276"/>
    <w:rsid w:val="009A416A"/>
    <w:rsid w:val="009A56EE"/>
    <w:rsid w:val="009A5C09"/>
    <w:rsid w:val="009B06FD"/>
    <w:rsid w:val="009B087B"/>
    <w:rsid w:val="009B2062"/>
    <w:rsid w:val="009B20FC"/>
    <w:rsid w:val="009B27F0"/>
    <w:rsid w:val="009B2958"/>
    <w:rsid w:val="009B358B"/>
    <w:rsid w:val="009B53D7"/>
    <w:rsid w:val="009B581C"/>
    <w:rsid w:val="009B6FD3"/>
    <w:rsid w:val="009B71F7"/>
    <w:rsid w:val="009C191E"/>
    <w:rsid w:val="009C197B"/>
    <w:rsid w:val="009C1A73"/>
    <w:rsid w:val="009C2039"/>
    <w:rsid w:val="009C3151"/>
    <w:rsid w:val="009C3494"/>
    <w:rsid w:val="009C52BB"/>
    <w:rsid w:val="009C5B9D"/>
    <w:rsid w:val="009C72F7"/>
    <w:rsid w:val="009D0870"/>
    <w:rsid w:val="009D1E35"/>
    <w:rsid w:val="009D271D"/>
    <w:rsid w:val="009D3484"/>
    <w:rsid w:val="009D3A3C"/>
    <w:rsid w:val="009D44C8"/>
    <w:rsid w:val="009D4B0F"/>
    <w:rsid w:val="009D5339"/>
    <w:rsid w:val="009D6701"/>
    <w:rsid w:val="009D79FA"/>
    <w:rsid w:val="009E052C"/>
    <w:rsid w:val="009E09EF"/>
    <w:rsid w:val="009E0C71"/>
    <w:rsid w:val="009E2785"/>
    <w:rsid w:val="009E2A09"/>
    <w:rsid w:val="009E5B7C"/>
    <w:rsid w:val="009F00FF"/>
    <w:rsid w:val="009F090F"/>
    <w:rsid w:val="009F0D95"/>
    <w:rsid w:val="009F1776"/>
    <w:rsid w:val="009F6955"/>
    <w:rsid w:val="009F7270"/>
    <w:rsid w:val="009F7D63"/>
    <w:rsid w:val="00A009F3"/>
    <w:rsid w:val="00A0197C"/>
    <w:rsid w:val="00A03EE1"/>
    <w:rsid w:val="00A0471F"/>
    <w:rsid w:val="00A0524C"/>
    <w:rsid w:val="00A07BD4"/>
    <w:rsid w:val="00A10BF4"/>
    <w:rsid w:val="00A11BC0"/>
    <w:rsid w:val="00A13EAA"/>
    <w:rsid w:val="00A155D4"/>
    <w:rsid w:val="00A16C06"/>
    <w:rsid w:val="00A174A2"/>
    <w:rsid w:val="00A17CCF"/>
    <w:rsid w:val="00A20BDF"/>
    <w:rsid w:val="00A236CC"/>
    <w:rsid w:val="00A240AE"/>
    <w:rsid w:val="00A254C8"/>
    <w:rsid w:val="00A2555E"/>
    <w:rsid w:val="00A257CC"/>
    <w:rsid w:val="00A33484"/>
    <w:rsid w:val="00A33B19"/>
    <w:rsid w:val="00A33FB7"/>
    <w:rsid w:val="00A378B2"/>
    <w:rsid w:val="00A41CF9"/>
    <w:rsid w:val="00A423A6"/>
    <w:rsid w:val="00A423C4"/>
    <w:rsid w:val="00A42D81"/>
    <w:rsid w:val="00A42F35"/>
    <w:rsid w:val="00A438AA"/>
    <w:rsid w:val="00A43E12"/>
    <w:rsid w:val="00A43F8B"/>
    <w:rsid w:val="00A44539"/>
    <w:rsid w:val="00A45293"/>
    <w:rsid w:val="00A45A45"/>
    <w:rsid w:val="00A461AD"/>
    <w:rsid w:val="00A46208"/>
    <w:rsid w:val="00A50A06"/>
    <w:rsid w:val="00A511F4"/>
    <w:rsid w:val="00A52E17"/>
    <w:rsid w:val="00A52E58"/>
    <w:rsid w:val="00A538A8"/>
    <w:rsid w:val="00A53EDA"/>
    <w:rsid w:val="00A5729C"/>
    <w:rsid w:val="00A62EE7"/>
    <w:rsid w:val="00A63570"/>
    <w:rsid w:val="00A64A2E"/>
    <w:rsid w:val="00A64D7F"/>
    <w:rsid w:val="00A7254B"/>
    <w:rsid w:val="00A7385E"/>
    <w:rsid w:val="00A76130"/>
    <w:rsid w:val="00A76D2A"/>
    <w:rsid w:val="00A76FFF"/>
    <w:rsid w:val="00A7759B"/>
    <w:rsid w:val="00A77952"/>
    <w:rsid w:val="00A81564"/>
    <w:rsid w:val="00A82740"/>
    <w:rsid w:val="00A8527C"/>
    <w:rsid w:val="00A85A4F"/>
    <w:rsid w:val="00A85B4F"/>
    <w:rsid w:val="00A86805"/>
    <w:rsid w:val="00A87E97"/>
    <w:rsid w:val="00A87F80"/>
    <w:rsid w:val="00A918B1"/>
    <w:rsid w:val="00A92243"/>
    <w:rsid w:val="00A9304D"/>
    <w:rsid w:val="00A9353A"/>
    <w:rsid w:val="00A957A1"/>
    <w:rsid w:val="00A971B6"/>
    <w:rsid w:val="00A971C2"/>
    <w:rsid w:val="00A97829"/>
    <w:rsid w:val="00AA008F"/>
    <w:rsid w:val="00AA0A6E"/>
    <w:rsid w:val="00AA19AD"/>
    <w:rsid w:val="00AA22A0"/>
    <w:rsid w:val="00AA7E86"/>
    <w:rsid w:val="00AB0BE4"/>
    <w:rsid w:val="00AB1E6D"/>
    <w:rsid w:val="00AB237F"/>
    <w:rsid w:val="00AB2A0D"/>
    <w:rsid w:val="00AB4378"/>
    <w:rsid w:val="00AB4469"/>
    <w:rsid w:val="00AB5BC8"/>
    <w:rsid w:val="00AB7071"/>
    <w:rsid w:val="00AC0833"/>
    <w:rsid w:val="00AC117C"/>
    <w:rsid w:val="00AC3A24"/>
    <w:rsid w:val="00AC427A"/>
    <w:rsid w:val="00AC6BC0"/>
    <w:rsid w:val="00AC7EDF"/>
    <w:rsid w:val="00AD0937"/>
    <w:rsid w:val="00AD0F60"/>
    <w:rsid w:val="00AD163B"/>
    <w:rsid w:val="00AD3FA6"/>
    <w:rsid w:val="00AD50BD"/>
    <w:rsid w:val="00AD643F"/>
    <w:rsid w:val="00AD6919"/>
    <w:rsid w:val="00AE0C31"/>
    <w:rsid w:val="00AE1304"/>
    <w:rsid w:val="00AE168E"/>
    <w:rsid w:val="00AE297B"/>
    <w:rsid w:val="00AE2D98"/>
    <w:rsid w:val="00AE3A2E"/>
    <w:rsid w:val="00AE3C12"/>
    <w:rsid w:val="00AE42B7"/>
    <w:rsid w:val="00AE4C09"/>
    <w:rsid w:val="00AF0563"/>
    <w:rsid w:val="00AF0C0E"/>
    <w:rsid w:val="00AF1301"/>
    <w:rsid w:val="00AF17FF"/>
    <w:rsid w:val="00AF1EEA"/>
    <w:rsid w:val="00AF3D6C"/>
    <w:rsid w:val="00AF41E3"/>
    <w:rsid w:val="00AF5AF9"/>
    <w:rsid w:val="00AF60F4"/>
    <w:rsid w:val="00AF67C2"/>
    <w:rsid w:val="00AF71C1"/>
    <w:rsid w:val="00AF7825"/>
    <w:rsid w:val="00B00617"/>
    <w:rsid w:val="00B00FA0"/>
    <w:rsid w:val="00B01039"/>
    <w:rsid w:val="00B02352"/>
    <w:rsid w:val="00B0331F"/>
    <w:rsid w:val="00B04EBA"/>
    <w:rsid w:val="00B1018E"/>
    <w:rsid w:val="00B10E00"/>
    <w:rsid w:val="00B10F74"/>
    <w:rsid w:val="00B12C0B"/>
    <w:rsid w:val="00B1349D"/>
    <w:rsid w:val="00B13595"/>
    <w:rsid w:val="00B14A7A"/>
    <w:rsid w:val="00B14C5C"/>
    <w:rsid w:val="00B164D9"/>
    <w:rsid w:val="00B16BB9"/>
    <w:rsid w:val="00B1726B"/>
    <w:rsid w:val="00B17C42"/>
    <w:rsid w:val="00B2184D"/>
    <w:rsid w:val="00B21EB5"/>
    <w:rsid w:val="00B22336"/>
    <w:rsid w:val="00B233CB"/>
    <w:rsid w:val="00B2428C"/>
    <w:rsid w:val="00B24CD7"/>
    <w:rsid w:val="00B32723"/>
    <w:rsid w:val="00B32DC4"/>
    <w:rsid w:val="00B33663"/>
    <w:rsid w:val="00B33A4F"/>
    <w:rsid w:val="00B34C19"/>
    <w:rsid w:val="00B35A0D"/>
    <w:rsid w:val="00B40DF1"/>
    <w:rsid w:val="00B4245F"/>
    <w:rsid w:val="00B4259A"/>
    <w:rsid w:val="00B42790"/>
    <w:rsid w:val="00B431C8"/>
    <w:rsid w:val="00B43DC5"/>
    <w:rsid w:val="00B43E4A"/>
    <w:rsid w:val="00B47448"/>
    <w:rsid w:val="00B477E3"/>
    <w:rsid w:val="00B50602"/>
    <w:rsid w:val="00B52E95"/>
    <w:rsid w:val="00B543AB"/>
    <w:rsid w:val="00B5619E"/>
    <w:rsid w:val="00B56437"/>
    <w:rsid w:val="00B56AB9"/>
    <w:rsid w:val="00B571A5"/>
    <w:rsid w:val="00B5741E"/>
    <w:rsid w:val="00B600E4"/>
    <w:rsid w:val="00B60132"/>
    <w:rsid w:val="00B6161B"/>
    <w:rsid w:val="00B61B90"/>
    <w:rsid w:val="00B62A2D"/>
    <w:rsid w:val="00B661E7"/>
    <w:rsid w:val="00B66624"/>
    <w:rsid w:val="00B67FFE"/>
    <w:rsid w:val="00B71B4D"/>
    <w:rsid w:val="00B729FA"/>
    <w:rsid w:val="00B75D55"/>
    <w:rsid w:val="00B813F0"/>
    <w:rsid w:val="00B81850"/>
    <w:rsid w:val="00B81939"/>
    <w:rsid w:val="00B828CA"/>
    <w:rsid w:val="00B85F2F"/>
    <w:rsid w:val="00B865DE"/>
    <w:rsid w:val="00B87CD6"/>
    <w:rsid w:val="00B90F01"/>
    <w:rsid w:val="00B9127C"/>
    <w:rsid w:val="00B91700"/>
    <w:rsid w:val="00B9188B"/>
    <w:rsid w:val="00B92253"/>
    <w:rsid w:val="00B928BF"/>
    <w:rsid w:val="00B932FA"/>
    <w:rsid w:val="00B93554"/>
    <w:rsid w:val="00B9506A"/>
    <w:rsid w:val="00B9703A"/>
    <w:rsid w:val="00BA0568"/>
    <w:rsid w:val="00BA0DDB"/>
    <w:rsid w:val="00BA1178"/>
    <w:rsid w:val="00BA18CC"/>
    <w:rsid w:val="00BA2356"/>
    <w:rsid w:val="00BA4101"/>
    <w:rsid w:val="00BA5D72"/>
    <w:rsid w:val="00BA612A"/>
    <w:rsid w:val="00BB059E"/>
    <w:rsid w:val="00BB0675"/>
    <w:rsid w:val="00BB3D79"/>
    <w:rsid w:val="00BB4E9A"/>
    <w:rsid w:val="00BB5456"/>
    <w:rsid w:val="00BC167F"/>
    <w:rsid w:val="00BC26BA"/>
    <w:rsid w:val="00BC2957"/>
    <w:rsid w:val="00BC4217"/>
    <w:rsid w:val="00BC51E0"/>
    <w:rsid w:val="00BC5A08"/>
    <w:rsid w:val="00BC79EA"/>
    <w:rsid w:val="00BD376E"/>
    <w:rsid w:val="00BD3B50"/>
    <w:rsid w:val="00BD67AB"/>
    <w:rsid w:val="00BE14BF"/>
    <w:rsid w:val="00BE1A11"/>
    <w:rsid w:val="00BE1E52"/>
    <w:rsid w:val="00BE210D"/>
    <w:rsid w:val="00BE2A8C"/>
    <w:rsid w:val="00BE2FCB"/>
    <w:rsid w:val="00BE514B"/>
    <w:rsid w:val="00BE75A5"/>
    <w:rsid w:val="00BF0A04"/>
    <w:rsid w:val="00BF2C60"/>
    <w:rsid w:val="00BF2C9C"/>
    <w:rsid w:val="00BF31D6"/>
    <w:rsid w:val="00BF46D8"/>
    <w:rsid w:val="00C029F2"/>
    <w:rsid w:val="00C02A7C"/>
    <w:rsid w:val="00C04E54"/>
    <w:rsid w:val="00C0617E"/>
    <w:rsid w:val="00C06A21"/>
    <w:rsid w:val="00C111C7"/>
    <w:rsid w:val="00C11A1C"/>
    <w:rsid w:val="00C11D4A"/>
    <w:rsid w:val="00C13005"/>
    <w:rsid w:val="00C132D0"/>
    <w:rsid w:val="00C1338A"/>
    <w:rsid w:val="00C147E9"/>
    <w:rsid w:val="00C1665C"/>
    <w:rsid w:val="00C168A3"/>
    <w:rsid w:val="00C1752C"/>
    <w:rsid w:val="00C22D60"/>
    <w:rsid w:val="00C24031"/>
    <w:rsid w:val="00C247BB"/>
    <w:rsid w:val="00C25C49"/>
    <w:rsid w:val="00C2720C"/>
    <w:rsid w:val="00C302C7"/>
    <w:rsid w:val="00C30C0D"/>
    <w:rsid w:val="00C32DF7"/>
    <w:rsid w:val="00C34776"/>
    <w:rsid w:val="00C36366"/>
    <w:rsid w:val="00C36A7D"/>
    <w:rsid w:val="00C37767"/>
    <w:rsid w:val="00C41208"/>
    <w:rsid w:val="00C459C2"/>
    <w:rsid w:val="00C46458"/>
    <w:rsid w:val="00C46616"/>
    <w:rsid w:val="00C46BE3"/>
    <w:rsid w:val="00C47E11"/>
    <w:rsid w:val="00C47E96"/>
    <w:rsid w:val="00C50625"/>
    <w:rsid w:val="00C50706"/>
    <w:rsid w:val="00C52AFD"/>
    <w:rsid w:val="00C5343E"/>
    <w:rsid w:val="00C537B8"/>
    <w:rsid w:val="00C539C5"/>
    <w:rsid w:val="00C53C13"/>
    <w:rsid w:val="00C54B30"/>
    <w:rsid w:val="00C55673"/>
    <w:rsid w:val="00C55761"/>
    <w:rsid w:val="00C56389"/>
    <w:rsid w:val="00C6061C"/>
    <w:rsid w:val="00C6081F"/>
    <w:rsid w:val="00C62BD9"/>
    <w:rsid w:val="00C639C8"/>
    <w:rsid w:val="00C63E11"/>
    <w:rsid w:val="00C64646"/>
    <w:rsid w:val="00C6500B"/>
    <w:rsid w:val="00C73AF6"/>
    <w:rsid w:val="00C75D0B"/>
    <w:rsid w:val="00C7706B"/>
    <w:rsid w:val="00C80758"/>
    <w:rsid w:val="00C80DDA"/>
    <w:rsid w:val="00C810F0"/>
    <w:rsid w:val="00C81F4B"/>
    <w:rsid w:val="00C83AB8"/>
    <w:rsid w:val="00C8407E"/>
    <w:rsid w:val="00C86052"/>
    <w:rsid w:val="00C86828"/>
    <w:rsid w:val="00C873AD"/>
    <w:rsid w:val="00C87C67"/>
    <w:rsid w:val="00C90806"/>
    <w:rsid w:val="00C91925"/>
    <w:rsid w:val="00C93752"/>
    <w:rsid w:val="00C93D41"/>
    <w:rsid w:val="00C94936"/>
    <w:rsid w:val="00C957D1"/>
    <w:rsid w:val="00C95AB2"/>
    <w:rsid w:val="00C9779F"/>
    <w:rsid w:val="00C97FC6"/>
    <w:rsid w:val="00CA0C3A"/>
    <w:rsid w:val="00CA1976"/>
    <w:rsid w:val="00CA1C00"/>
    <w:rsid w:val="00CA23DF"/>
    <w:rsid w:val="00CA27D3"/>
    <w:rsid w:val="00CA2E91"/>
    <w:rsid w:val="00CA32A5"/>
    <w:rsid w:val="00CA3C7F"/>
    <w:rsid w:val="00CA48B1"/>
    <w:rsid w:val="00CA5ECD"/>
    <w:rsid w:val="00CB18F9"/>
    <w:rsid w:val="00CB1A63"/>
    <w:rsid w:val="00CB1E67"/>
    <w:rsid w:val="00CB2229"/>
    <w:rsid w:val="00CB34AC"/>
    <w:rsid w:val="00CB3E37"/>
    <w:rsid w:val="00CB7113"/>
    <w:rsid w:val="00CC0077"/>
    <w:rsid w:val="00CC049C"/>
    <w:rsid w:val="00CC0ACF"/>
    <w:rsid w:val="00CC0E21"/>
    <w:rsid w:val="00CC39FC"/>
    <w:rsid w:val="00CC433A"/>
    <w:rsid w:val="00CC53F6"/>
    <w:rsid w:val="00CC6A5A"/>
    <w:rsid w:val="00CC76DD"/>
    <w:rsid w:val="00CC786B"/>
    <w:rsid w:val="00CC7E28"/>
    <w:rsid w:val="00CD2ECA"/>
    <w:rsid w:val="00CD42CC"/>
    <w:rsid w:val="00CD4D8A"/>
    <w:rsid w:val="00CD509E"/>
    <w:rsid w:val="00CD5820"/>
    <w:rsid w:val="00CD5DE6"/>
    <w:rsid w:val="00CD70F7"/>
    <w:rsid w:val="00CE2701"/>
    <w:rsid w:val="00CE28AD"/>
    <w:rsid w:val="00CE405D"/>
    <w:rsid w:val="00CE5F4A"/>
    <w:rsid w:val="00CE656D"/>
    <w:rsid w:val="00CE688F"/>
    <w:rsid w:val="00CE73DD"/>
    <w:rsid w:val="00CF1F0B"/>
    <w:rsid w:val="00CF2760"/>
    <w:rsid w:val="00CF3B72"/>
    <w:rsid w:val="00CF4AC3"/>
    <w:rsid w:val="00CF62A0"/>
    <w:rsid w:val="00CF6473"/>
    <w:rsid w:val="00D01419"/>
    <w:rsid w:val="00D01536"/>
    <w:rsid w:val="00D0211A"/>
    <w:rsid w:val="00D02440"/>
    <w:rsid w:val="00D025FB"/>
    <w:rsid w:val="00D06950"/>
    <w:rsid w:val="00D07DF8"/>
    <w:rsid w:val="00D10A32"/>
    <w:rsid w:val="00D11583"/>
    <w:rsid w:val="00D14DD5"/>
    <w:rsid w:val="00D15816"/>
    <w:rsid w:val="00D15934"/>
    <w:rsid w:val="00D1612A"/>
    <w:rsid w:val="00D17863"/>
    <w:rsid w:val="00D204BB"/>
    <w:rsid w:val="00D20EFB"/>
    <w:rsid w:val="00D2154E"/>
    <w:rsid w:val="00D221B0"/>
    <w:rsid w:val="00D22D61"/>
    <w:rsid w:val="00D24A23"/>
    <w:rsid w:val="00D24D4A"/>
    <w:rsid w:val="00D3010B"/>
    <w:rsid w:val="00D301C2"/>
    <w:rsid w:val="00D30748"/>
    <w:rsid w:val="00D3459D"/>
    <w:rsid w:val="00D34FA8"/>
    <w:rsid w:val="00D363C5"/>
    <w:rsid w:val="00D36F7C"/>
    <w:rsid w:val="00D3742D"/>
    <w:rsid w:val="00D41858"/>
    <w:rsid w:val="00D41B97"/>
    <w:rsid w:val="00D431B3"/>
    <w:rsid w:val="00D43D64"/>
    <w:rsid w:val="00D44771"/>
    <w:rsid w:val="00D45143"/>
    <w:rsid w:val="00D472BA"/>
    <w:rsid w:val="00D47E86"/>
    <w:rsid w:val="00D5211B"/>
    <w:rsid w:val="00D526E8"/>
    <w:rsid w:val="00D52E95"/>
    <w:rsid w:val="00D56081"/>
    <w:rsid w:val="00D56FF5"/>
    <w:rsid w:val="00D57415"/>
    <w:rsid w:val="00D57AC5"/>
    <w:rsid w:val="00D57FB5"/>
    <w:rsid w:val="00D6145B"/>
    <w:rsid w:val="00D61507"/>
    <w:rsid w:val="00D61F39"/>
    <w:rsid w:val="00D6464B"/>
    <w:rsid w:val="00D64D60"/>
    <w:rsid w:val="00D6514B"/>
    <w:rsid w:val="00D655E0"/>
    <w:rsid w:val="00D67782"/>
    <w:rsid w:val="00D678D4"/>
    <w:rsid w:val="00D70AAC"/>
    <w:rsid w:val="00D7123C"/>
    <w:rsid w:val="00D71507"/>
    <w:rsid w:val="00D74F33"/>
    <w:rsid w:val="00D75962"/>
    <w:rsid w:val="00D76FF3"/>
    <w:rsid w:val="00D804F2"/>
    <w:rsid w:val="00D80AE7"/>
    <w:rsid w:val="00D81285"/>
    <w:rsid w:val="00D81541"/>
    <w:rsid w:val="00D81940"/>
    <w:rsid w:val="00D81E95"/>
    <w:rsid w:val="00D82259"/>
    <w:rsid w:val="00D8288B"/>
    <w:rsid w:val="00D82F48"/>
    <w:rsid w:val="00D83966"/>
    <w:rsid w:val="00D83C41"/>
    <w:rsid w:val="00D8492F"/>
    <w:rsid w:val="00D84F8C"/>
    <w:rsid w:val="00D87F65"/>
    <w:rsid w:val="00D90A26"/>
    <w:rsid w:val="00D90B21"/>
    <w:rsid w:val="00D916A3"/>
    <w:rsid w:val="00D91ADB"/>
    <w:rsid w:val="00D91E67"/>
    <w:rsid w:val="00D923B3"/>
    <w:rsid w:val="00D9488D"/>
    <w:rsid w:val="00D9526B"/>
    <w:rsid w:val="00D96043"/>
    <w:rsid w:val="00D97D20"/>
    <w:rsid w:val="00DA0B40"/>
    <w:rsid w:val="00DA6003"/>
    <w:rsid w:val="00DB133F"/>
    <w:rsid w:val="00DB27CB"/>
    <w:rsid w:val="00DB2821"/>
    <w:rsid w:val="00DB2C38"/>
    <w:rsid w:val="00DB2DAD"/>
    <w:rsid w:val="00DB2EA9"/>
    <w:rsid w:val="00DB43DC"/>
    <w:rsid w:val="00DB4520"/>
    <w:rsid w:val="00DB50DD"/>
    <w:rsid w:val="00DB5E5D"/>
    <w:rsid w:val="00DC39A7"/>
    <w:rsid w:val="00DD068D"/>
    <w:rsid w:val="00DD1ADD"/>
    <w:rsid w:val="00DD1C83"/>
    <w:rsid w:val="00DD1F95"/>
    <w:rsid w:val="00DD2067"/>
    <w:rsid w:val="00DD23F5"/>
    <w:rsid w:val="00DD3C4D"/>
    <w:rsid w:val="00DE050A"/>
    <w:rsid w:val="00DE0FA6"/>
    <w:rsid w:val="00DE37FB"/>
    <w:rsid w:val="00DE4BBF"/>
    <w:rsid w:val="00DE5F81"/>
    <w:rsid w:val="00DF04D0"/>
    <w:rsid w:val="00DF20F9"/>
    <w:rsid w:val="00DF4B5B"/>
    <w:rsid w:val="00DF4F52"/>
    <w:rsid w:val="00E0492F"/>
    <w:rsid w:val="00E04E23"/>
    <w:rsid w:val="00E06211"/>
    <w:rsid w:val="00E074BD"/>
    <w:rsid w:val="00E1004E"/>
    <w:rsid w:val="00E17870"/>
    <w:rsid w:val="00E17A45"/>
    <w:rsid w:val="00E21B2F"/>
    <w:rsid w:val="00E2207A"/>
    <w:rsid w:val="00E226E3"/>
    <w:rsid w:val="00E227C8"/>
    <w:rsid w:val="00E26AF4"/>
    <w:rsid w:val="00E277B6"/>
    <w:rsid w:val="00E30519"/>
    <w:rsid w:val="00E32926"/>
    <w:rsid w:val="00E33570"/>
    <w:rsid w:val="00E34A12"/>
    <w:rsid w:val="00E34DE0"/>
    <w:rsid w:val="00E35166"/>
    <w:rsid w:val="00E3543A"/>
    <w:rsid w:val="00E35E86"/>
    <w:rsid w:val="00E360D4"/>
    <w:rsid w:val="00E37253"/>
    <w:rsid w:val="00E377A6"/>
    <w:rsid w:val="00E37E8D"/>
    <w:rsid w:val="00E4259B"/>
    <w:rsid w:val="00E425EA"/>
    <w:rsid w:val="00E42F85"/>
    <w:rsid w:val="00E433C4"/>
    <w:rsid w:val="00E44D65"/>
    <w:rsid w:val="00E459BC"/>
    <w:rsid w:val="00E47296"/>
    <w:rsid w:val="00E5091C"/>
    <w:rsid w:val="00E513F0"/>
    <w:rsid w:val="00E52DC6"/>
    <w:rsid w:val="00E54A36"/>
    <w:rsid w:val="00E553DB"/>
    <w:rsid w:val="00E5579A"/>
    <w:rsid w:val="00E55F43"/>
    <w:rsid w:val="00E60D56"/>
    <w:rsid w:val="00E62106"/>
    <w:rsid w:val="00E62C76"/>
    <w:rsid w:val="00E65951"/>
    <w:rsid w:val="00E66161"/>
    <w:rsid w:val="00E67924"/>
    <w:rsid w:val="00E70E5B"/>
    <w:rsid w:val="00E713DA"/>
    <w:rsid w:val="00E72F3D"/>
    <w:rsid w:val="00E72FA1"/>
    <w:rsid w:val="00E73428"/>
    <w:rsid w:val="00E738D0"/>
    <w:rsid w:val="00E73C02"/>
    <w:rsid w:val="00E80724"/>
    <w:rsid w:val="00E81169"/>
    <w:rsid w:val="00E81B9B"/>
    <w:rsid w:val="00E82F2B"/>
    <w:rsid w:val="00E8431D"/>
    <w:rsid w:val="00E90494"/>
    <w:rsid w:val="00E918F3"/>
    <w:rsid w:val="00E9717B"/>
    <w:rsid w:val="00E974D2"/>
    <w:rsid w:val="00E97522"/>
    <w:rsid w:val="00E97F4F"/>
    <w:rsid w:val="00EA0B52"/>
    <w:rsid w:val="00EA4C6C"/>
    <w:rsid w:val="00EA5478"/>
    <w:rsid w:val="00EA5526"/>
    <w:rsid w:val="00EA620B"/>
    <w:rsid w:val="00EA65FF"/>
    <w:rsid w:val="00EA6E40"/>
    <w:rsid w:val="00EB048B"/>
    <w:rsid w:val="00EB1CB0"/>
    <w:rsid w:val="00EB2D7C"/>
    <w:rsid w:val="00EB3711"/>
    <w:rsid w:val="00EB50EB"/>
    <w:rsid w:val="00EB5CEC"/>
    <w:rsid w:val="00EB6597"/>
    <w:rsid w:val="00EC012D"/>
    <w:rsid w:val="00EC0D5D"/>
    <w:rsid w:val="00EC171A"/>
    <w:rsid w:val="00EC1729"/>
    <w:rsid w:val="00EC172A"/>
    <w:rsid w:val="00EC2137"/>
    <w:rsid w:val="00EC38F6"/>
    <w:rsid w:val="00EC3EBD"/>
    <w:rsid w:val="00EC5197"/>
    <w:rsid w:val="00EC6219"/>
    <w:rsid w:val="00EC6AD3"/>
    <w:rsid w:val="00ED1BC8"/>
    <w:rsid w:val="00ED4549"/>
    <w:rsid w:val="00ED5C4E"/>
    <w:rsid w:val="00ED60DE"/>
    <w:rsid w:val="00ED614F"/>
    <w:rsid w:val="00ED696F"/>
    <w:rsid w:val="00ED6F8F"/>
    <w:rsid w:val="00ED7C96"/>
    <w:rsid w:val="00EE0059"/>
    <w:rsid w:val="00EE0E23"/>
    <w:rsid w:val="00EE1602"/>
    <w:rsid w:val="00EE3419"/>
    <w:rsid w:val="00EE34FE"/>
    <w:rsid w:val="00EE5240"/>
    <w:rsid w:val="00EE6A2C"/>
    <w:rsid w:val="00EE7EAC"/>
    <w:rsid w:val="00EF0470"/>
    <w:rsid w:val="00EF0629"/>
    <w:rsid w:val="00EF1FA3"/>
    <w:rsid w:val="00EF2900"/>
    <w:rsid w:val="00EF5577"/>
    <w:rsid w:val="00EF63A0"/>
    <w:rsid w:val="00EF6D51"/>
    <w:rsid w:val="00EF7162"/>
    <w:rsid w:val="00EF724F"/>
    <w:rsid w:val="00F01C81"/>
    <w:rsid w:val="00F03414"/>
    <w:rsid w:val="00F0372D"/>
    <w:rsid w:val="00F102BF"/>
    <w:rsid w:val="00F10361"/>
    <w:rsid w:val="00F10E2D"/>
    <w:rsid w:val="00F11B94"/>
    <w:rsid w:val="00F1226E"/>
    <w:rsid w:val="00F127BA"/>
    <w:rsid w:val="00F12977"/>
    <w:rsid w:val="00F146AF"/>
    <w:rsid w:val="00F16BE0"/>
    <w:rsid w:val="00F2043E"/>
    <w:rsid w:val="00F20853"/>
    <w:rsid w:val="00F210BC"/>
    <w:rsid w:val="00F21F25"/>
    <w:rsid w:val="00F22B2B"/>
    <w:rsid w:val="00F24128"/>
    <w:rsid w:val="00F24A36"/>
    <w:rsid w:val="00F260F3"/>
    <w:rsid w:val="00F2631D"/>
    <w:rsid w:val="00F26434"/>
    <w:rsid w:val="00F279F5"/>
    <w:rsid w:val="00F30316"/>
    <w:rsid w:val="00F305E3"/>
    <w:rsid w:val="00F32C00"/>
    <w:rsid w:val="00F32CF2"/>
    <w:rsid w:val="00F34CBA"/>
    <w:rsid w:val="00F35D60"/>
    <w:rsid w:val="00F368D0"/>
    <w:rsid w:val="00F36B8F"/>
    <w:rsid w:val="00F37735"/>
    <w:rsid w:val="00F40712"/>
    <w:rsid w:val="00F40A77"/>
    <w:rsid w:val="00F40D08"/>
    <w:rsid w:val="00F420D1"/>
    <w:rsid w:val="00F42144"/>
    <w:rsid w:val="00F428BC"/>
    <w:rsid w:val="00F44342"/>
    <w:rsid w:val="00F44E0B"/>
    <w:rsid w:val="00F453A9"/>
    <w:rsid w:val="00F45B17"/>
    <w:rsid w:val="00F47065"/>
    <w:rsid w:val="00F50D12"/>
    <w:rsid w:val="00F513A8"/>
    <w:rsid w:val="00F53C8A"/>
    <w:rsid w:val="00F5513A"/>
    <w:rsid w:val="00F55299"/>
    <w:rsid w:val="00F56578"/>
    <w:rsid w:val="00F605DE"/>
    <w:rsid w:val="00F6060D"/>
    <w:rsid w:val="00F60A9E"/>
    <w:rsid w:val="00F6190A"/>
    <w:rsid w:val="00F6194A"/>
    <w:rsid w:val="00F63C8C"/>
    <w:rsid w:val="00F6426F"/>
    <w:rsid w:val="00F6431C"/>
    <w:rsid w:val="00F64BFA"/>
    <w:rsid w:val="00F6542B"/>
    <w:rsid w:val="00F65B84"/>
    <w:rsid w:val="00F70AE6"/>
    <w:rsid w:val="00F719DA"/>
    <w:rsid w:val="00F725BF"/>
    <w:rsid w:val="00F75615"/>
    <w:rsid w:val="00F75FAE"/>
    <w:rsid w:val="00F76C93"/>
    <w:rsid w:val="00F77773"/>
    <w:rsid w:val="00F809F9"/>
    <w:rsid w:val="00F81076"/>
    <w:rsid w:val="00F810E1"/>
    <w:rsid w:val="00F818EA"/>
    <w:rsid w:val="00F81C77"/>
    <w:rsid w:val="00F81F55"/>
    <w:rsid w:val="00F839B1"/>
    <w:rsid w:val="00F84998"/>
    <w:rsid w:val="00F85A1E"/>
    <w:rsid w:val="00F85C9F"/>
    <w:rsid w:val="00F8684F"/>
    <w:rsid w:val="00F87151"/>
    <w:rsid w:val="00F87EFE"/>
    <w:rsid w:val="00F90561"/>
    <w:rsid w:val="00F90773"/>
    <w:rsid w:val="00F908DF"/>
    <w:rsid w:val="00F92AA5"/>
    <w:rsid w:val="00F931EB"/>
    <w:rsid w:val="00F93703"/>
    <w:rsid w:val="00F9410B"/>
    <w:rsid w:val="00F96D21"/>
    <w:rsid w:val="00FA067A"/>
    <w:rsid w:val="00FA27B6"/>
    <w:rsid w:val="00FA294B"/>
    <w:rsid w:val="00FA47B1"/>
    <w:rsid w:val="00FA5215"/>
    <w:rsid w:val="00FB0C70"/>
    <w:rsid w:val="00FB0E31"/>
    <w:rsid w:val="00FB133D"/>
    <w:rsid w:val="00FB23D5"/>
    <w:rsid w:val="00FB2E8F"/>
    <w:rsid w:val="00FB3900"/>
    <w:rsid w:val="00FB3B8D"/>
    <w:rsid w:val="00FB7FDF"/>
    <w:rsid w:val="00FC1894"/>
    <w:rsid w:val="00FC254F"/>
    <w:rsid w:val="00FC36AE"/>
    <w:rsid w:val="00FC38BF"/>
    <w:rsid w:val="00FC3A59"/>
    <w:rsid w:val="00FC504B"/>
    <w:rsid w:val="00FC6327"/>
    <w:rsid w:val="00FC6B6F"/>
    <w:rsid w:val="00FC6E85"/>
    <w:rsid w:val="00FC73B6"/>
    <w:rsid w:val="00FD13CA"/>
    <w:rsid w:val="00FD1785"/>
    <w:rsid w:val="00FD5D44"/>
    <w:rsid w:val="00FD5F54"/>
    <w:rsid w:val="00FD633B"/>
    <w:rsid w:val="00FE13B3"/>
    <w:rsid w:val="00FE1F5C"/>
    <w:rsid w:val="00FE4B78"/>
    <w:rsid w:val="00FE5DE9"/>
    <w:rsid w:val="00FE67B1"/>
    <w:rsid w:val="00FE7FCF"/>
    <w:rsid w:val="00FF1D7D"/>
    <w:rsid w:val="00FF35C3"/>
    <w:rsid w:val="00FF35EB"/>
    <w:rsid w:val="00FF381D"/>
    <w:rsid w:val="00FF3F9A"/>
    <w:rsid w:val="00FF46AA"/>
    <w:rsid w:val="00FF7628"/>
    <w:rsid w:val="011765F0"/>
    <w:rsid w:val="013F4481"/>
    <w:rsid w:val="01406411"/>
    <w:rsid w:val="019B3329"/>
    <w:rsid w:val="01FE7359"/>
    <w:rsid w:val="021F49DD"/>
    <w:rsid w:val="0253431E"/>
    <w:rsid w:val="02551A35"/>
    <w:rsid w:val="028B13F2"/>
    <w:rsid w:val="02B47B04"/>
    <w:rsid w:val="02C8491D"/>
    <w:rsid w:val="02C95BBE"/>
    <w:rsid w:val="032F2286"/>
    <w:rsid w:val="038D16A3"/>
    <w:rsid w:val="03905ED0"/>
    <w:rsid w:val="03A344EE"/>
    <w:rsid w:val="03AF1619"/>
    <w:rsid w:val="03D472D2"/>
    <w:rsid w:val="04966312"/>
    <w:rsid w:val="05456B2E"/>
    <w:rsid w:val="05717ADD"/>
    <w:rsid w:val="058F5D88"/>
    <w:rsid w:val="05962A91"/>
    <w:rsid w:val="05965063"/>
    <w:rsid w:val="05AD343D"/>
    <w:rsid w:val="0625127A"/>
    <w:rsid w:val="06560FD3"/>
    <w:rsid w:val="066D6CA3"/>
    <w:rsid w:val="068E0D52"/>
    <w:rsid w:val="06BF7A00"/>
    <w:rsid w:val="06C367C0"/>
    <w:rsid w:val="07000E6B"/>
    <w:rsid w:val="079D7363"/>
    <w:rsid w:val="07B9377C"/>
    <w:rsid w:val="07C82B59"/>
    <w:rsid w:val="07EF6488"/>
    <w:rsid w:val="083174A0"/>
    <w:rsid w:val="0840264C"/>
    <w:rsid w:val="085F6661"/>
    <w:rsid w:val="08FA5050"/>
    <w:rsid w:val="09620AED"/>
    <w:rsid w:val="096411BD"/>
    <w:rsid w:val="09B01C47"/>
    <w:rsid w:val="09F558AC"/>
    <w:rsid w:val="0A1977EC"/>
    <w:rsid w:val="0A315DDC"/>
    <w:rsid w:val="0A5375CB"/>
    <w:rsid w:val="0A97429D"/>
    <w:rsid w:val="0AA204E5"/>
    <w:rsid w:val="0AC94259"/>
    <w:rsid w:val="0ACE5B34"/>
    <w:rsid w:val="0B0F1B08"/>
    <w:rsid w:val="0B2E58C9"/>
    <w:rsid w:val="0B6F26B2"/>
    <w:rsid w:val="0B7471AC"/>
    <w:rsid w:val="0B7D21B8"/>
    <w:rsid w:val="0BC403AC"/>
    <w:rsid w:val="0BEB711B"/>
    <w:rsid w:val="0C1666D9"/>
    <w:rsid w:val="0C1C24D5"/>
    <w:rsid w:val="0C3A60B3"/>
    <w:rsid w:val="0C6759A0"/>
    <w:rsid w:val="0C756953"/>
    <w:rsid w:val="0CA67CFF"/>
    <w:rsid w:val="0CC37E20"/>
    <w:rsid w:val="0CFD37AF"/>
    <w:rsid w:val="0D406D52"/>
    <w:rsid w:val="0DB37994"/>
    <w:rsid w:val="0DDE3CB5"/>
    <w:rsid w:val="0E150EC1"/>
    <w:rsid w:val="0E154545"/>
    <w:rsid w:val="0E2D50B5"/>
    <w:rsid w:val="0E6D302D"/>
    <w:rsid w:val="0E8D2557"/>
    <w:rsid w:val="0EA81EEE"/>
    <w:rsid w:val="0EBA12E7"/>
    <w:rsid w:val="0ECC1CB8"/>
    <w:rsid w:val="0ED24AE4"/>
    <w:rsid w:val="0EEF1D7E"/>
    <w:rsid w:val="0EFB3B40"/>
    <w:rsid w:val="0F2441FF"/>
    <w:rsid w:val="0F3B2B0B"/>
    <w:rsid w:val="0F4C17AA"/>
    <w:rsid w:val="0F4E327F"/>
    <w:rsid w:val="0F566DED"/>
    <w:rsid w:val="0F615EBD"/>
    <w:rsid w:val="0F6B54BA"/>
    <w:rsid w:val="0F79431A"/>
    <w:rsid w:val="0FA21A66"/>
    <w:rsid w:val="0FD61A9A"/>
    <w:rsid w:val="105E1169"/>
    <w:rsid w:val="106500EE"/>
    <w:rsid w:val="10922199"/>
    <w:rsid w:val="10AC3DA7"/>
    <w:rsid w:val="10BF5F17"/>
    <w:rsid w:val="10C4148F"/>
    <w:rsid w:val="10C77FE7"/>
    <w:rsid w:val="10C91CFD"/>
    <w:rsid w:val="10D80401"/>
    <w:rsid w:val="1101739D"/>
    <w:rsid w:val="11646FA6"/>
    <w:rsid w:val="11DF5D71"/>
    <w:rsid w:val="127B4131"/>
    <w:rsid w:val="129B7A17"/>
    <w:rsid w:val="12B37ACD"/>
    <w:rsid w:val="12E92F5F"/>
    <w:rsid w:val="136D36C4"/>
    <w:rsid w:val="137F242D"/>
    <w:rsid w:val="139525D9"/>
    <w:rsid w:val="13E404B8"/>
    <w:rsid w:val="14155180"/>
    <w:rsid w:val="144E0EE5"/>
    <w:rsid w:val="14731C47"/>
    <w:rsid w:val="14AD5701"/>
    <w:rsid w:val="14D54E13"/>
    <w:rsid w:val="14D56A06"/>
    <w:rsid w:val="14F41582"/>
    <w:rsid w:val="15116FE2"/>
    <w:rsid w:val="151B2223"/>
    <w:rsid w:val="1540013C"/>
    <w:rsid w:val="15AF1BFE"/>
    <w:rsid w:val="15B953F1"/>
    <w:rsid w:val="15F64EC1"/>
    <w:rsid w:val="160F3CA2"/>
    <w:rsid w:val="166444E5"/>
    <w:rsid w:val="166E5F26"/>
    <w:rsid w:val="16977793"/>
    <w:rsid w:val="16A13B24"/>
    <w:rsid w:val="16C76C77"/>
    <w:rsid w:val="16ED60A9"/>
    <w:rsid w:val="17115E39"/>
    <w:rsid w:val="177469AA"/>
    <w:rsid w:val="179A04A4"/>
    <w:rsid w:val="17C3313F"/>
    <w:rsid w:val="17ED528B"/>
    <w:rsid w:val="17F43864"/>
    <w:rsid w:val="183C314A"/>
    <w:rsid w:val="18503CF4"/>
    <w:rsid w:val="18695DE3"/>
    <w:rsid w:val="18797F15"/>
    <w:rsid w:val="1888270D"/>
    <w:rsid w:val="18992EA4"/>
    <w:rsid w:val="18BE612E"/>
    <w:rsid w:val="18C339F7"/>
    <w:rsid w:val="18D42281"/>
    <w:rsid w:val="18E944FB"/>
    <w:rsid w:val="197E766C"/>
    <w:rsid w:val="199848F7"/>
    <w:rsid w:val="19CA6B54"/>
    <w:rsid w:val="1A1B1825"/>
    <w:rsid w:val="1A3277AA"/>
    <w:rsid w:val="1A9A6727"/>
    <w:rsid w:val="1AE17DBC"/>
    <w:rsid w:val="1B0A0003"/>
    <w:rsid w:val="1B61706E"/>
    <w:rsid w:val="1B950C9D"/>
    <w:rsid w:val="1BAC363F"/>
    <w:rsid w:val="1BDF0F9A"/>
    <w:rsid w:val="1C5F12AB"/>
    <w:rsid w:val="1C6061C5"/>
    <w:rsid w:val="1C704376"/>
    <w:rsid w:val="1C8615F4"/>
    <w:rsid w:val="1C8E7C18"/>
    <w:rsid w:val="1C9F1DD3"/>
    <w:rsid w:val="1D175FD5"/>
    <w:rsid w:val="1D1E3640"/>
    <w:rsid w:val="1D316E76"/>
    <w:rsid w:val="1D3A5FA0"/>
    <w:rsid w:val="1D5436A2"/>
    <w:rsid w:val="1DB82C20"/>
    <w:rsid w:val="1DD057B6"/>
    <w:rsid w:val="1DE41195"/>
    <w:rsid w:val="1DEA1CA3"/>
    <w:rsid w:val="1DEA4B88"/>
    <w:rsid w:val="1DF536D9"/>
    <w:rsid w:val="1E16006B"/>
    <w:rsid w:val="1E4C09F8"/>
    <w:rsid w:val="1E7B4CD5"/>
    <w:rsid w:val="1E8E0161"/>
    <w:rsid w:val="1F6E53CE"/>
    <w:rsid w:val="202A5556"/>
    <w:rsid w:val="202C47E6"/>
    <w:rsid w:val="20861AE0"/>
    <w:rsid w:val="20971013"/>
    <w:rsid w:val="20B41BC5"/>
    <w:rsid w:val="20DA2D38"/>
    <w:rsid w:val="21321F9E"/>
    <w:rsid w:val="213928BD"/>
    <w:rsid w:val="214D099D"/>
    <w:rsid w:val="218A53D8"/>
    <w:rsid w:val="21CD6568"/>
    <w:rsid w:val="21F67FBA"/>
    <w:rsid w:val="22020BAA"/>
    <w:rsid w:val="22525B39"/>
    <w:rsid w:val="22733866"/>
    <w:rsid w:val="22D60418"/>
    <w:rsid w:val="22FF60ED"/>
    <w:rsid w:val="232F19D7"/>
    <w:rsid w:val="233D5EA2"/>
    <w:rsid w:val="236D0705"/>
    <w:rsid w:val="23EF1BD0"/>
    <w:rsid w:val="23F56E4D"/>
    <w:rsid w:val="240115C5"/>
    <w:rsid w:val="2412376E"/>
    <w:rsid w:val="2421612D"/>
    <w:rsid w:val="24220B45"/>
    <w:rsid w:val="246670DB"/>
    <w:rsid w:val="24795A13"/>
    <w:rsid w:val="248068BD"/>
    <w:rsid w:val="24CE3170"/>
    <w:rsid w:val="24FF09C2"/>
    <w:rsid w:val="25057987"/>
    <w:rsid w:val="2555706B"/>
    <w:rsid w:val="25867FD4"/>
    <w:rsid w:val="25C76722"/>
    <w:rsid w:val="25CC1B2E"/>
    <w:rsid w:val="261C1D85"/>
    <w:rsid w:val="262F39A6"/>
    <w:rsid w:val="266A2C93"/>
    <w:rsid w:val="26922772"/>
    <w:rsid w:val="26947E9A"/>
    <w:rsid w:val="269C4C6F"/>
    <w:rsid w:val="26AA74A2"/>
    <w:rsid w:val="27693709"/>
    <w:rsid w:val="27BB65FF"/>
    <w:rsid w:val="27F61B98"/>
    <w:rsid w:val="28143F94"/>
    <w:rsid w:val="281801B7"/>
    <w:rsid w:val="28577A06"/>
    <w:rsid w:val="28B161C5"/>
    <w:rsid w:val="28B21963"/>
    <w:rsid w:val="28C07CB7"/>
    <w:rsid w:val="29550029"/>
    <w:rsid w:val="297F513A"/>
    <w:rsid w:val="29A6389C"/>
    <w:rsid w:val="29F46D44"/>
    <w:rsid w:val="2A3B4711"/>
    <w:rsid w:val="2A5B741F"/>
    <w:rsid w:val="2A992557"/>
    <w:rsid w:val="2ACD241C"/>
    <w:rsid w:val="2B0A0F29"/>
    <w:rsid w:val="2B8E1ECF"/>
    <w:rsid w:val="2B98307B"/>
    <w:rsid w:val="2B9E2322"/>
    <w:rsid w:val="2C275941"/>
    <w:rsid w:val="2C3426FF"/>
    <w:rsid w:val="2C477D91"/>
    <w:rsid w:val="2D2F208D"/>
    <w:rsid w:val="2D340315"/>
    <w:rsid w:val="2D4F57A2"/>
    <w:rsid w:val="2D8A262B"/>
    <w:rsid w:val="2DB56F41"/>
    <w:rsid w:val="2DC139AE"/>
    <w:rsid w:val="2DC55A7A"/>
    <w:rsid w:val="2DCC4BE5"/>
    <w:rsid w:val="2DCE2518"/>
    <w:rsid w:val="2DE076DA"/>
    <w:rsid w:val="2DF35193"/>
    <w:rsid w:val="2DF857E7"/>
    <w:rsid w:val="2E1E6D5D"/>
    <w:rsid w:val="2E2563D8"/>
    <w:rsid w:val="2EB53B34"/>
    <w:rsid w:val="2EE60974"/>
    <w:rsid w:val="2F740BAF"/>
    <w:rsid w:val="2FB07150"/>
    <w:rsid w:val="2FEE3CE1"/>
    <w:rsid w:val="300246FB"/>
    <w:rsid w:val="300D3996"/>
    <w:rsid w:val="306D5511"/>
    <w:rsid w:val="30C97F88"/>
    <w:rsid w:val="31731188"/>
    <w:rsid w:val="31946022"/>
    <w:rsid w:val="31BE6EC7"/>
    <w:rsid w:val="3263432F"/>
    <w:rsid w:val="328164FD"/>
    <w:rsid w:val="32E20814"/>
    <w:rsid w:val="331A61FF"/>
    <w:rsid w:val="33670EBB"/>
    <w:rsid w:val="33701D1E"/>
    <w:rsid w:val="33A32FF7"/>
    <w:rsid w:val="33AA18D0"/>
    <w:rsid w:val="33D77C4D"/>
    <w:rsid w:val="33FA01F9"/>
    <w:rsid w:val="341C4AB4"/>
    <w:rsid w:val="344030C1"/>
    <w:rsid w:val="34764B89"/>
    <w:rsid w:val="349819FA"/>
    <w:rsid w:val="349F517E"/>
    <w:rsid w:val="354037C7"/>
    <w:rsid w:val="35476555"/>
    <w:rsid w:val="355A6B32"/>
    <w:rsid w:val="357E56A0"/>
    <w:rsid w:val="35810AB0"/>
    <w:rsid w:val="358C1762"/>
    <w:rsid w:val="362058DB"/>
    <w:rsid w:val="36C5169A"/>
    <w:rsid w:val="371C4D15"/>
    <w:rsid w:val="382E7150"/>
    <w:rsid w:val="38392669"/>
    <w:rsid w:val="38650DED"/>
    <w:rsid w:val="38950995"/>
    <w:rsid w:val="38966832"/>
    <w:rsid w:val="38B73952"/>
    <w:rsid w:val="38C904AC"/>
    <w:rsid w:val="38DE43E8"/>
    <w:rsid w:val="39BC5500"/>
    <w:rsid w:val="39E50A21"/>
    <w:rsid w:val="3A1C6EF4"/>
    <w:rsid w:val="3A452B22"/>
    <w:rsid w:val="3A634C41"/>
    <w:rsid w:val="3A641457"/>
    <w:rsid w:val="3A752CAA"/>
    <w:rsid w:val="3A8472F0"/>
    <w:rsid w:val="3B4A2B77"/>
    <w:rsid w:val="3B4A6367"/>
    <w:rsid w:val="3B5C5050"/>
    <w:rsid w:val="3B945144"/>
    <w:rsid w:val="3BB23479"/>
    <w:rsid w:val="3BF02017"/>
    <w:rsid w:val="3BFA738A"/>
    <w:rsid w:val="3C0C6249"/>
    <w:rsid w:val="3C181910"/>
    <w:rsid w:val="3CF8127D"/>
    <w:rsid w:val="3CFE449C"/>
    <w:rsid w:val="3D146656"/>
    <w:rsid w:val="3D160C84"/>
    <w:rsid w:val="3D4520CB"/>
    <w:rsid w:val="3DAB3B79"/>
    <w:rsid w:val="3DCA1869"/>
    <w:rsid w:val="3E0446D4"/>
    <w:rsid w:val="3E5A711F"/>
    <w:rsid w:val="3E810EE1"/>
    <w:rsid w:val="3EFC2ED5"/>
    <w:rsid w:val="3F095A31"/>
    <w:rsid w:val="3F14042B"/>
    <w:rsid w:val="3F29672C"/>
    <w:rsid w:val="3F4A2A85"/>
    <w:rsid w:val="3F6251D2"/>
    <w:rsid w:val="3FE26EEE"/>
    <w:rsid w:val="404849AF"/>
    <w:rsid w:val="40502E5A"/>
    <w:rsid w:val="407F76A2"/>
    <w:rsid w:val="40A16AF0"/>
    <w:rsid w:val="40B62EB1"/>
    <w:rsid w:val="412A5860"/>
    <w:rsid w:val="418101F8"/>
    <w:rsid w:val="42054A48"/>
    <w:rsid w:val="42585BF1"/>
    <w:rsid w:val="428818AF"/>
    <w:rsid w:val="42B645EF"/>
    <w:rsid w:val="42BD1273"/>
    <w:rsid w:val="42BD62B9"/>
    <w:rsid w:val="42CF573F"/>
    <w:rsid w:val="42D36EF7"/>
    <w:rsid w:val="42F31381"/>
    <w:rsid w:val="4336587D"/>
    <w:rsid w:val="433D6302"/>
    <w:rsid w:val="43434B66"/>
    <w:rsid w:val="4348021F"/>
    <w:rsid w:val="43C83F79"/>
    <w:rsid w:val="43F71E24"/>
    <w:rsid w:val="43FB7987"/>
    <w:rsid w:val="440D1C8A"/>
    <w:rsid w:val="442E7879"/>
    <w:rsid w:val="44967995"/>
    <w:rsid w:val="45475DB6"/>
    <w:rsid w:val="45A41B10"/>
    <w:rsid w:val="4621669E"/>
    <w:rsid w:val="463C0EAF"/>
    <w:rsid w:val="46617C6D"/>
    <w:rsid w:val="46780E1B"/>
    <w:rsid w:val="469F45FA"/>
    <w:rsid w:val="46DB329A"/>
    <w:rsid w:val="474E276E"/>
    <w:rsid w:val="47543636"/>
    <w:rsid w:val="47820D9E"/>
    <w:rsid w:val="47BC5D8B"/>
    <w:rsid w:val="47F715FE"/>
    <w:rsid w:val="48B325DE"/>
    <w:rsid w:val="48E256B4"/>
    <w:rsid w:val="48E94B53"/>
    <w:rsid w:val="48EC3A47"/>
    <w:rsid w:val="48F31334"/>
    <w:rsid w:val="495C085D"/>
    <w:rsid w:val="495F62C2"/>
    <w:rsid w:val="49D414EC"/>
    <w:rsid w:val="49D7699E"/>
    <w:rsid w:val="4A08743D"/>
    <w:rsid w:val="4A4445DD"/>
    <w:rsid w:val="4A805329"/>
    <w:rsid w:val="4A9B21BD"/>
    <w:rsid w:val="4AA43C97"/>
    <w:rsid w:val="4AF41AFB"/>
    <w:rsid w:val="4AFF6093"/>
    <w:rsid w:val="4BAA0DFD"/>
    <w:rsid w:val="4BCF5428"/>
    <w:rsid w:val="4BD52D54"/>
    <w:rsid w:val="4BEB0850"/>
    <w:rsid w:val="4BED324A"/>
    <w:rsid w:val="4C3728B3"/>
    <w:rsid w:val="4C417136"/>
    <w:rsid w:val="4C4E23F3"/>
    <w:rsid w:val="4D0657FF"/>
    <w:rsid w:val="4D317F76"/>
    <w:rsid w:val="4DBE7026"/>
    <w:rsid w:val="4E157897"/>
    <w:rsid w:val="4E517E06"/>
    <w:rsid w:val="4E7D65CB"/>
    <w:rsid w:val="4EE20D93"/>
    <w:rsid w:val="4EF04BBA"/>
    <w:rsid w:val="4EF668BB"/>
    <w:rsid w:val="4EFB4CDF"/>
    <w:rsid w:val="4F034F89"/>
    <w:rsid w:val="4F2A0355"/>
    <w:rsid w:val="4F6C7B94"/>
    <w:rsid w:val="4FE446EF"/>
    <w:rsid w:val="509412E5"/>
    <w:rsid w:val="50BF468F"/>
    <w:rsid w:val="51075159"/>
    <w:rsid w:val="51654CE0"/>
    <w:rsid w:val="51D95052"/>
    <w:rsid w:val="522E6441"/>
    <w:rsid w:val="524451D1"/>
    <w:rsid w:val="52610D42"/>
    <w:rsid w:val="52A948A1"/>
    <w:rsid w:val="52BB134F"/>
    <w:rsid w:val="52BC73B9"/>
    <w:rsid w:val="52E11DA1"/>
    <w:rsid w:val="52F816B3"/>
    <w:rsid w:val="53111189"/>
    <w:rsid w:val="5330469C"/>
    <w:rsid w:val="53777174"/>
    <w:rsid w:val="538117E0"/>
    <w:rsid w:val="53896F6C"/>
    <w:rsid w:val="53BF45D8"/>
    <w:rsid w:val="53D85EEA"/>
    <w:rsid w:val="53FF492A"/>
    <w:rsid w:val="54565FC4"/>
    <w:rsid w:val="54AB2F52"/>
    <w:rsid w:val="54C71127"/>
    <w:rsid w:val="54E401A1"/>
    <w:rsid w:val="55213EA5"/>
    <w:rsid w:val="55243EC1"/>
    <w:rsid w:val="556829A3"/>
    <w:rsid w:val="557516AE"/>
    <w:rsid w:val="557931EE"/>
    <w:rsid w:val="557B2E4B"/>
    <w:rsid w:val="55950777"/>
    <w:rsid w:val="55A56BD9"/>
    <w:rsid w:val="55C55FE9"/>
    <w:rsid w:val="55EE16B3"/>
    <w:rsid w:val="56153B0D"/>
    <w:rsid w:val="561676D3"/>
    <w:rsid w:val="56B50C2C"/>
    <w:rsid w:val="56D22AC6"/>
    <w:rsid w:val="56D641A9"/>
    <w:rsid w:val="56F06BEF"/>
    <w:rsid w:val="57144FFB"/>
    <w:rsid w:val="572208C4"/>
    <w:rsid w:val="573C2AAB"/>
    <w:rsid w:val="575602BF"/>
    <w:rsid w:val="577B3BB7"/>
    <w:rsid w:val="57EC78BB"/>
    <w:rsid w:val="57F41633"/>
    <w:rsid w:val="589954AA"/>
    <w:rsid w:val="589C42A4"/>
    <w:rsid w:val="58E24B1C"/>
    <w:rsid w:val="58F7449D"/>
    <w:rsid w:val="594B7846"/>
    <w:rsid w:val="598031DF"/>
    <w:rsid w:val="59867DBA"/>
    <w:rsid w:val="59881395"/>
    <w:rsid w:val="599A68B8"/>
    <w:rsid w:val="59B40150"/>
    <w:rsid w:val="59D61514"/>
    <w:rsid w:val="59E20AC7"/>
    <w:rsid w:val="5A1A7243"/>
    <w:rsid w:val="5A1B45C8"/>
    <w:rsid w:val="5A6279C1"/>
    <w:rsid w:val="5AAB75B9"/>
    <w:rsid w:val="5B113B5C"/>
    <w:rsid w:val="5B2611DA"/>
    <w:rsid w:val="5B5B0FE0"/>
    <w:rsid w:val="5B6F6BAA"/>
    <w:rsid w:val="5BED062E"/>
    <w:rsid w:val="5C4D6EF0"/>
    <w:rsid w:val="5CB76B7B"/>
    <w:rsid w:val="5D103E78"/>
    <w:rsid w:val="5D4635C9"/>
    <w:rsid w:val="5D7D1D76"/>
    <w:rsid w:val="5D9A78DC"/>
    <w:rsid w:val="5DAF39C2"/>
    <w:rsid w:val="5DB963EE"/>
    <w:rsid w:val="5DDA007F"/>
    <w:rsid w:val="5E0525B7"/>
    <w:rsid w:val="5E30618D"/>
    <w:rsid w:val="5E954808"/>
    <w:rsid w:val="5E9658E6"/>
    <w:rsid w:val="5E9860CF"/>
    <w:rsid w:val="5EF3680A"/>
    <w:rsid w:val="5F2913F5"/>
    <w:rsid w:val="5F636E7A"/>
    <w:rsid w:val="5F9F3465"/>
    <w:rsid w:val="5FB76877"/>
    <w:rsid w:val="5FBD7747"/>
    <w:rsid w:val="608D150F"/>
    <w:rsid w:val="60A24E29"/>
    <w:rsid w:val="611319A3"/>
    <w:rsid w:val="61AA44FA"/>
    <w:rsid w:val="61DF09B0"/>
    <w:rsid w:val="623A1223"/>
    <w:rsid w:val="625645D6"/>
    <w:rsid w:val="626D3A4B"/>
    <w:rsid w:val="628E1C9B"/>
    <w:rsid w:val="62957F69"/>
    <w:rsid w:val="62D9460B"/>
    <w:rsid w:val="62E13C90"/>
    <w:rsid w:val="631832A3"/>
    <w:rsid w:val="635E10C5"/>
    <w:rsid w:val="63892462"/>
    <w:rsid w:val="63A7537B"/>
    <w:rsid w:val="63BA0667"/>
    <w:rsid w:val="640B2E77"/>
    <w:rsid w:val="64137854"/>
    <w:rsid w:val="64283A29"/>
    <w:rsid w:val="64505227"/>
    <w:rsid w:val="64597B90"/>
    <w:rsid w:val="64CA7100"/>
    <w:rsid w:val="64ED6F68"/>
    <w:rsid w:val="64F61622"/>
    <w:rsid w:val="6513782E"/>
    <w:rsid w:val="653D68A2"/>
    <w:rsid w:val="655E0C5C"/>
    <w:rsid w:val="657C3F13"/>
    <w:rsid w:val="65BC6C78"/>
    <w:rsid w:val="660A3036"/>
    <w:rsid w:val="666E79EF"/>
    <w:rsid w:val="669B093E"/>
    <w:rsid w:val="66C87CEE"/>
    <w:rsid w:val="674955E6"/>
    <w:rsid w:val="67DF08A2"/>
    <w:rsid w:val="67FA1B80"/>
    <w:rsid w:val="685C103F"/>
    <w:rsid w:val="687651BB"/>
    <w:rsid w:val="68B31046"/>
    <w:rsid w:val="68C301C4"/>
    <w:rsid w:val="69167590"/>
    <w:rsid w:val="696F4DA9"/>
    <w:rsid w:val="697D0373"/>
    <w:rsid w:val="6A364041"/>
    <w:rsid w:val="6A437F38"/>
    <w:rsid w:val="6A503CD9"/>
    <w:rsid w:val="6A6F7A9B"/>
    <w:rsid w:val="6A786D8C"/>
    <w:rsid w:val="6A8E035E"/>
    <w:rsid w:val="6AB065A0"/>
    <w:rsid w:val="6AC73057"/>
    <w:rsid w:val="6AD53FE7"/>
    <w:rsid w:val="6B0D721B"/>
    <w:rsid w:val="6B241853"/>
    <w:rsid w:val="6B2C2123"/>
    <w:rsid w:val="6B51202B"/>
    <w:rsid w:val="6B53539D"/>
    <w:rsid w:val="6C327B3B"/>
    <w:rsid w:val="6C956734"/>
    <w:rsid w:val="6CC664D5"/>
    <w:rsid w:val="6CEB38BC"/>
    <w:rsid w:val="6CEC05FE"/>
    <w:rsid w:val="6D6F26C8"/>
    <w:rsid w:val="6D7F1A66"/>
    <w:rsid w:val="6D8475BB"/>
    <w:rsid w:val="6D871E19"/>
    <w:rsid w:val="6DFF469C"/>
    <w:rsid w:val="6E056AD4"/>
    <w:rsid w:val="6E367006"/>
    <w:rsid w:val="6E686B66"/>
    <w:rsid w:val="6EC835DD"/>
    <w:rsid w:val="6EE90507"/>
    <w:rsid w:val="6EEC6B5E"/>
    <w:rsid w:val="6EF05EA9"/>
    <w:rsid w:val="6F044831"/>
    <w:rsid w:val="6F0511FC"/>
    <w:rsid w:val="6F285B20"/>
    <w:rsid w:val="6F832E4D"/>
    <w:rsid w:val="6F8C57B4"/>
    <w:rsid w:val="6FF91046"/>
    <w:rsid w:val="70237B77"/>
    <w:rsid w:val="70542388"/>
    <w:rsid w:val="709F617F"/>
    <w:rsid w:val="70AE765F"/>
    <w:rsid w:val="70D14C08"/>
    <w:rsid w:val="713219B3"/>
    <w:rsid w:val="71A713DE"/>
    <w:rsid w:val="71C4399A"/>
    <w:rsid w:val="71DE194B"/>
    <w:rsid w:val="71F6142C"/>
    <w:rsid w:val="723A4456"/>
    <w:rsid w:val="724B5733"/>
    <w:rsid w:val="728B57EA"/>
    <w:rsid w:val="73010267"/>
    <w:rsid w:val="735F601E"/>
    <w:rsid w:val="736C302F"/>
    <w:rsid w:val="736F3422"/>
    <w:rsid w:val="7443665D"/>
    <w:rsid w:val="74BE4B48"/>
    <w:rsid w:val="74D223B0"/>
    <w:rsid w:val="74F606B7"/>
    <w:rsid w:val="752829FC"/>
    <w:rsid w:val="752D6263"/>
    <w:rsid w:val="75443BD8"/>
    <w:rsid w:val="757278A1"/>
    <w:rsid w:val="75A337CE"/>
    <w:rsid w:val="75E04BE0"/>
    <w:rsid w:val="75E875DD"/>
    <w:rsid w:val="762542BE"/>
    <w:rsid w:val="76312C11"/>
    <w:rsid w:val="76732844"/>
    <w:rsid w:val="76D33B27"/>
    <w:rsid w:val="77905069"/>
    <w:rsid w:val="78166E6B"/>
    <w:rsid w:val="781E71C5"/>
    <w:rsid w:val="78B4534C"/>
    <w:rsid w:val="78FC3F76"/>
    <w:rsid w:val="792C472A"/>
    <w:rsid w:val="793243FE"/>
    <w:rsid w:val="79641346"/>
    <w:rsid w:val="79A51DAA"/>
    <w:rsid w:val="7A3558AF"/>
    <w:rsid w:val="7A675595"/>
    <w:rsid w:val="7A685F2A"/>
    <w:rsid w:val="7A897144"/>
    <w:rsid w:val="7A9F759C"/>
    <w:rsid w:val="7AB507DE"/>
    <w:rsid w:val="7AB72892"/>
    <w:rsid w:val="7ACB5A87"/>
    <w:rsid w:val="7B727F44"/>
    <w:rsid w:val="7BB6078E"/>
    <w:rsid w:val="7BDA6924"/>
    <w:rsid w:val="7C5C0940"/>
    <w:rsid w:val="7C63183F"/>
    <w:rsid w:val="7CAA7279"/>
    <w:rsid w:val="7CBB5C5B"/>
    <w:rsid w:val="7CF05812"/>
    <w:rsid w:val="7CFB1883"/>
    <w:rsid w:val="7D1312C2"/>
    <w:rsid w:val="7D3975E5"/>
    <w:rsid w:val="7D741909"/>
    <w:rsid w:val="7D7E2388"/>
    <w:rsid w:val="7D8C4185"/>
    <w:rsid w:val="7D997D96"/>
    <w:rsid w:val="7E2E5C88"/>
    <w:rsid w:val="7E5231E0"/>
    <w:rsid w:val="7E6C229A"/>
    <w:rsid w:val="7E9B7DB8"/>
    <w:rsid w:val="7E9D731E"/>
    <w:rsid w:val="7EA63A70"/>
    <w:rsid w:val="7EE11365"/>
    <w:rsid w:val="7FA7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9"/>
    <w:pPr>
      <w:keepNext/>
      <w:keepLines/>
      <w:spacing w:before="260" w:after="260" w:line="24" w:lineRule="auto"/>
      <w:outlineLvl w:val="2"/>
    </w:pPr>
    <w:rPr>
      <w:rFonts w:hint="eastAsia" w:hAnsi="宋体"/>
      <w:b/>
      <w:bCs/>
      <w:kern w:val="0"/>
      <w:sz w:val="24"/>
      <w:szCs w:val="32"/>
    </w:rPr>
  </w:style>
  <w:style w:type="paragraph" w:styleId="5">
    <w:name w:val="heading 4"/>
    <w:basedOn w:val="1"/>
    <w:next w:val="1"/>
    <w:link w:val="54"/>
    <w:qFormat/>
    <w:uiPriority w:val="99"/>
    <w:pPr>
      <w:keepNext/>
      <w:keepLines/>
      <w:numPr>
        <w:ilvl w:val="3"/>
        <w:numId w:val="1"/>
      </w:numPr>
      <w:spacing w:before="280" w:after="290" w:line="376" w:lineRule="auto"/>
      <w:outlineLvl w:val="3"/>
    </w:pPr>
    <w:rPr>
      <w:rFonts w:hAnsi="Arial" w:eastAsia="黑体"/>
      <w:b/>
      <w:sz w:val="24"/>
    </w:rPr>
  </w:style>
  <w:style w:type="paragraph" w:styleId="6">
    <w:name w:val="heading 5"/>
    <w:basedOn w:val="1"/>
    <w:next w:val="1"/>
    <w:link w:val="55"/>
    <w:qFormat/>
    <w:uiPriority w:val="99"/>
    <w:pPr>
      <w:keepNext/>
      <w:keepLines/>
      <w:spacing w:before="280" w:after="290" w:line="376" w:lineRule="auto"/>
      <w:outlineLvl w:val="4"/>
    </w:pPr>
    <w:rPr>
      <w:rFonts w:ascii="Calibri" w:hAnsi="Calibri"/>
      <w:b/>
      <w:bCs/>
      <w:sz w:val="28"/>
      <w:szCs w:val="28"/>
    </w:rPr>
  </w:style>
  <w:style w:type="paragraph" w:styleId="7">
    <w:name w:val="heading 6"/>
    <w:basedOn w:val="1"/>
    <w:next w:val="1"/>
    <w:link w:val="56"/>
    <w:qFormat/>
    <w:uiPriority w:val="9"/>
    <w:pPr>
      <w:keepNext/>
      <w:keepLines/>
      <w:spacing w:before="240" w:after="64" w:line="317" w:lineRule="auto"/>
      <w:outlineLvl w:val="5"/>
    </w:pPr>
    <w:rPr>
      <w:rFonts w:ascii="Cambria" w:hAnsi="Cambria"/>
      <w:b/>
      <w:bCs/>
      <w:kern w:val="0"/>
      <w:sz w:val="24"/>
      <w:szCs w:val="24"/>
      <w:lang w:val="zh-CN"/>
    </w:rPr>
  </w:style>
  <w:style w:type="paragraph" w:styleId="8">
    <w:name w:val="heading 7"/>
    <w:basedOn w:val="1"/>
    <w:next w:val="1"/>
    <w:link w:val="57"/>
    <w:qFormat/>
    <w:uiPriority w:val="9"/>
    <w:pPr>
      <w:keepNext/>
      <w:keepLines/>
      <w:spacing w:before="240" w:after="64" w:line="317" w:lineRule="auto"/>
      <w:outlineLvl w:val="6"/>
    </w:pPr>
    <w:rPr>
      <w:rFonts w:ascii="Calibri" w:hAnsi="Calibri"/>
      <w:b/>
      <w:bCs/>
      <w:kern w:val="0"/>
      <w:sz w:val="24"/>
      <w:szCs w:val="24"/>
      <w:lang w:val="zh-CN"/>
    </w:rPr>
  </w:style>
  <w:style w:type="paragraph" w:styleId="9">
    <w:name w:val="heading 8"/>
    <w:basedOn w:val="1"/>
    <w:next w:val="1"/>
    <w:link w:val="58"/>
    <w:qFormat/>
    <w:uiPriority w:val="9"/>
    <w:pPr>
      <w:keepNext/>
      <w:keepLines/>
      <w:spacing w:before="240" w:after="64" w:line="317" w:lineRule="auto"/>
      <w:outlineLvl w:val="7"/>
    </w:pPr>
    <w:rPr>
      <w:rFonts w:ascii="Cambria" w:hAnsi="Cambria"/>
      <w:kern w:val="0"/>
      <w:sz w:val="24"/>
      <w:szCs w:val="24"/>
      <w:lang w:val="zh-CN"/>
    </w:rPr>
  </w:style>
  <w:style w:type="paragraph" w:styleId="10">
    <w:name w:val="heading 9"/>
    <w:basedOn w:val="1"/>
    <w:next w:val="1"/>
    <w:link w:val="59"/>
    <w:qFormat/>
    <w:uiPriority w:val="9"/>
    <w:pPr>
      <w:keepNext/>
      <w:keepLines/>
      <w:spacing w:before="240" w:after="64" w:line="317" w:lineRule="auto"/>
      <w:outlineLvl w:val="8"/>
    </w:pPr>
    <w:rPr>
      <w:rFonts w:ascii="Cambria" w:hAnsi="Cambria"/>
      <w:kern w:val="0"/>
      <w:sz w:val="20"/>
      <w:szCs w:val="22"/>
      <w:lang w:val="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rmal Indent"/>
    <w:basedOn w:val="1"/>
    <w:qFormat/>
    <w:uiPriority w:val="99"/>
    <w:pPr>
      <w:widowControl/>
      <w:spacing w:line="357" w:lineRule="atLeast"/>
      <w:ind w:firstLine="420"/>
      <w:textAlignment w:val="baseline"/>
    </w:pPr>
    <w:rPr>
      <w:rFonts w:ascii="Times New Roman" w:hAnsi="Times New Roman"/>
      <w:color w:val="000000"/>
      <w:kern w:val="0"/>
      <w:u w:color="000000"/>
    </w:rPr>
  </w:style>
  <w:style w:type="paragraph" w:styleId="13">
    <w:name w:val="caption"/>
    <w:basedOn w:val="1"/>
    <w:next w:val="1"/>
    <w:qFormat/>
    <w:uiPriority w:val="99"/>
    <w:rPr>
      <w:rFonts w:ascii="Cambria" w:hAnsi="Cambria" w:eastAsia="黑体" w:cs="Cambria"/>
      <w:sz w:val="20"/>
    </w:rPr>
  </w:style>
  <w:style w:type="paragraph" w:styleId="14">
    <w:name w:val="Document Map"/>
    <w:basedOn w:val="1"/>
    <w:link w:val="60"/>
    <w:semiHidden/>
    <w:qFormat/>
    <w:uiPriority w:val="99"/>
    <w:pPr>
      <w:shd w:val="clear" w:color="auto" w:fill="000080"/>
    </w:pPr>
  </w:style>
  <w:style w:type="paragraph" w:styleId="15">
    <w:name w:val="annotation text"/>
    <w:basedOn w:val="1"/>
    <w:link w:val="61"/>
    <w:qFormat/>
    <w:uiPriority w:val="99"/>
    <w:pPr>
      <w:jc w:val="left"/>
    </w:pPr>
  </w:style>
  <w:style w:type="paragraph" w:styleId="16">
    <w:name w:val="Body Text"/>
    <w:basedOn w:val="1"/>
    <w:link w:val="50"/>
    <w:qFormat/>
    <w:uiPriority w:val="99"/>
    <w:pPr>
      <w:adjustRightInd w:val="0"/>
      <w:spacing w:after="60" w:line="360" w:lineRule="atLeast"/>
      <w:ind w:left="72" w:leftChars="30" w:right="30" w:rightChars="30"/>
      <w:jc w:val="center"/>
      <w:textAlignment w:val="baseline"/>
    </w:pPr>
    <w:rPr>
      <w:sz w:val="22"/>
      <w:szCs w:val="22"/>
    </w:rPr>
  </w:style>
  <w:style w:type="paragraph" w:styleId="17">
    <w:name w:val="Body Text Indent"/>
    <w:basedOn w:val="1"/>
    <w:link w:val="62"/>
    <w:qFormat/>
    <w:uiPriority w:val="99"/>
    <w:pPr>
      <w:spacing w:line="520" w:lineRule="exact"/>
      <w:ind w:firstLine="525"/>
    </w:pPr>
    <w:rPr>
      <w:sz w:val="24"/>
    </w:rPr>
  </w:style>
  <w:style w:type="paragraph" w:styleId="18">
    <w:name w:val="Block Text"/>
    <w:basedOn w:val="1"/>
    <w:next w:val="5"/>
    <w:qFormat/>
    <w:uiPriority w:val="0"/>
    <w:pPr>
      <w:adjustRightInd w:val="0"/>
      <w:ind w:left="420" w:right="33"/>
      <w:jc w:val="left"/>
      <w:textAlignment w:val="baseline"/>
    </w:pPr>
    <w:rPr>
      <w:rFonts w:ascii="Times New Roman" w:hAnsi="Times New Roman"/>
      <w:kern w:val="0"/>
      <w:sz w:val="24"/>
    </w:rPr>
  </w:style>
  <w:style w:type="paragraph" w:styleId="19">
    <w:name w:val="index 4"/>
    <w:basedOn w:val="1"/>
    <w:next w:val="1"/>
    <w:qFormat/>
    <w:uiPriority w:val="99"/>
    <w:pPr>
      <w:ind w:left="600" w:leftChars="600"/>
    </w:pPr>
    <w:rPr>
      <w:rFonts w:ascii="Calibri" w:hAnsi="Calibri"/>
      <w:szCs w:val="22"/>
    </w:rPr>
  </w:style>
  <w:style w:type="paragraph" w:styleId="20">
    <w:name w:val="toc 5"/>
    <w:basedOn w:val="1"/>
    <w:next w:val="1"/>
    <w:qFormat/>
    <w:uiPriority w:val="39"/>
    <w:pPr>
      <w:ind w:left="1680" w:leftChars="800"/>
    </w:pPr>
  </w:style>
  <w:style w:type="paragraph" w:styleId="21">
    <w:name w:val="toc 3"/>
    <w:basedOn w:val="1"/>
    <w:next w:val="1"/>
    <w:qFormat/>
    <w:uiPriority w:val="39"/>
    <w:pPr>
      <w:ind w:left="840" w:leftChars="400"/>
    </w:pPr>
  </w:style>
  <w:style w:type="paragraph" w:styleId="22">
    <w:name w:val="Plain Text"/>
    <w:basedOn w:val="1"/>
    <w:link w:val="63"/>
    <w:qFormat/>
    <w:uiPriority w:val="0"/>
  </w:style>
  <w:style w:type="paragraph" w:styleId="23">
    <w:name w:val="toc 8"/>
    <w:basedOn w:val="1"/>
    <w:next w:val="1"/>
    <w:qFormat/>
    <w:uiPriority w:val="39"/>
    <w:pPr>
      <w:ind w:left="2940" w:leftChars="1400"/>
    </w:pPr>
  </w:style>
  <w:style w:type="paragraph" w:styleId="24">
    <w:name w:val="Date"/>
    <w:basedOn w:val="1"/>
    <w:next w:val="1"/>
    <w:link w:val="64"/>
    <w:qFormat/>
    <w:uiPriority w:val="99"/>
    <w:pPr>
      <w:ind w:left="100" w:leftChars="2500"/>
    </w:pPr>
    <w:rPr>
      <w:bCs/>
    </w:rPr>
  </w:style>
  <w:style w:type="paragraph" w:styleId="25">
    <w:name w:val="Body Text Indent 2"/>
    <w:basedOn w:val="1"/>
    <w:link w:val="65"/>
    <w:qFormat/>
    <w:uiPriority w:val="99"/>
    <w:pPr>
      <w:spacing w:after="120" w:line="480" w:lineRule="auto"/>
      <w:ind w:left="420" w:leftChars="200"/>
    </w:pPr>
    <w:rPr>
      <w:rFonts w:ascii="Calibri" w:hAnsi="Calibri"/>
      <w:kern w:val="0"/>
      <w:sz w:val="24"/>
      <w:szCs w:val="24"/>
    </w:rPr>
  </w:style>
  <w:style w:type="paragraph" w:styleId="26">
    <w:name w:val="Balloon Text"/>
    <w:basedOn w:val="1"/>
    <w:link w:val="66"/>
    <w:semiHidden/>
    <w:qFormat/>
    <w:uiPriority w:val="99"/>
    <w:rPr>
      <w:sz w:val="18"/>
      <w:szCs w:val="18"/>
    </w:rPr>
  </w:style>
  <w:style w:type="paragraph" w:styleId="27">
    <w:name w:val="footer"/>
    <w:basedOn w:val="1"/>
    <w:link w:val="67"/>
    <w:qFormat/>
    <w:uiPriority w:val="99"/>
    <w:pPr>
      <w:tabs>
        <w:tab w:val="center" w:pos="4153"/>
        <w:tab w:val="right" w:pos="8306"/>
      </w:tabs>
      <w:snapToGrid w:val="0"/>
      <w:jc w:val="left"/>
    </w:pPr>
    <w:rPr>
      <w:sz w:val="18"/>
    </w:rPr>
  </w:style>
  <w:style w:type="paragraph" w:styleId="28">
    <w:name w:val="header"/>
    <w:basedOn w:val="1"/>
    <w:link w:val="68"/>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tabs>
        <w:tab w:val="right" w:leader="dot" w:pos="9030"/>
      </w:tabs>
    </w:pPr>
    <w:rPr>
      <w:color w:val="000000"/>
      <w:sz w:val="28"/>
    </w:rPr>
  </w:style>
  <w:style w:type="paragraph" w:styleId="30">
    <w:name w:val="toc 4"/>
    <w:basedOn w:val="1"/>
    <w:next w:val="1"/>
    <w:qFormat/>
    <w:uiPriority w:val="39"/>
    <w:pPr>
      <w:ind w:left="1260" w:leftChars="600"/>
    </w:pPr>
  </w:style>
  <w:style w:type="paragraph" w:styleId="31">
    <w:name w:val="Subtitle"/>
    <w:basedOn w:val="1"/>
    <w:next w:val="1"/>
    <w:link w:val="69"/>
    <w:qFormat/>
    <w:uiPriority w:val="11"/>
    <w:pPr>
      <w:spacing w:before="240" w:after="60" w:line="312" w:lineRule="auto"/>
      <w:jc w:val="center"/>
      <w:outlineLvl w:val="1"/>
    </w:pPr>
    <w:rPr>
      <w:rFonts w:ascii="Cambria" w:hAnsi="Cambria"/>
      <w:b/>
      <w:bCs/>
      <w:kern w:val="28"/>
      <w:sz w:val="32"/>
      <w:szCs w:val="32"/>
    </w:rPr>
  </w:style>
  <w:style w:type="paragraph" w:styleId="32">
    <w:name w:val="footnote text"/>
    <w:basedOn w:val="1"/>
    <w:link w:val="70"/>
    <w:qFormat/>
    <w:uiPriority w:val="99"/>
    <w:pPr>
      <w:adjustRightInd w:val="0"/>
      <w:spacing w:line="312" w:lineRule="atLeast"/>
      <w:jc w:val="left"/>
      <w:textAlignment w:val="baseline"/>
    </w:pPr>
    <w:rPr>
      <w:rFonts w:ascii="Calibri" w:hAnsi="Calibri"/>
      <w:kern w:val="0"/>
      <w:sz w:val="18"/>
      <w:szCs w:val="18"/>
    </w:rPr>
  </w:style>
  <w:style w:type="paragraph" w:styleId="33">
    <w:name w:val="toc 6"/>
    <w:basedOn w:val="1"/>
    <w:next w:val="1"/>
    <w:qFormat/>
    <w:uiPriority w:val="39"/>
    <w:pPr>
      <w:ind w:left="2100" w:leftChars="1000"/>
    </w:pPr>
  </w:style>
  <w:style w:type="paragraph" w:styleId="34">
    <w:name w:val="toc 2"/>
    <w:basedOn w:val="1"/>
    <w:next w:val="1"/>
    <w:qFormat/>
    <w:uiPriority w:val="39"/>
    <w:pPr>
      <w:tabs>
        <w:tab w:val="right" w:leader="dot" w:pos="8810"/>
      </w:tabs>
      <w:ind w:left="420" w:leftChars="200"/>
    </w:pPr>
    <w:rPr>
      <w:rFonts w:hAnsi="宋体"/>
      <w:color w:val="000000"/>
    </w:rPr>
  </w:style>
  <w:style w:type="paragraph" w:styleId="35">
    <w:name w:val="toc 9"/>
    <w:basedOn w:val="1"/>
    <w:next w:val="1"/>
    <w:qFormat/>
    <w:uiPriority w:val="39"/>
    <w:pPr>
      <w:ind w:left="3360" w:leftChars="1600"/>
    </w:pPr>
  </w:style>
  <w:style w:type="paragraph" w:styleId="36">
    <w:name w:val="Normal (Web)"/>
    <w:basedOn w:val="1"/>
    <w:qFormat/>
    <w:uiPriority w:val="0"/>
    <w:pPr>
      <w:widowControl/>
      <w:spacing w:before="100" w:beforeAutospacing="1" w:after="100" w:afterAutospacing="1"/>
      <w:jc w:val="left"/>
    </w:pPr>
    <w:rPr>
      <w:rFonts w:hAnsi="宋体" w:cs="宋体"/>
      <w:kern w:val="0"/>
      <w:sz w:val="24"/>
      <w:szCs w:val="24"/>
    </w:rPr>
  </w:style>
  <w:style w:type="paragraph" w:styleId="37">
    <w:name w:val="Title"/>
    <w:basedOn w:val="1"/>
    <w:next w:val="1"/>
    <w:link w:val="71"/>
    <w:qFormat/>
    <w:uiPriority w:val="99"/>
    <w:pPr>
      <w:spacing w:before="240" w:after="60"/>
      <w:jc w:val="center"/>
      <w:outlineLvl w:val="0"/>
    </w:pPr>
    <w:rPr>
      <w:rFonts w:ascii="Cambria" w:hAnsi="Cambria" w:cs="Cambria"/>
      <w:b/>
      <w:bCs/>
      <w:kern w:val="0"/>
      <w:sz w:val="32"/>
      <w:szCs w:val="32"/>
    </w:rPr>
  </w:style>
  <w:style w:type="paragraph" w:styleId="38">
    <w:name w:val="annotation subject"/>
    <w:basedOn w:val="15"/>
    <w:next w:val="15"/>
    <w:link w:val="72"/>
    <w:qFormat/>
    <w:uiPriority w:val="99"/>
    <w:rPr>
      <w:b/>
      <w:bCs/>
    </w:rPr>
  </w:style>
  <w:style w:type="paragraph" w:styleId="39">
    <w:name w:val="Body Text First Indent 2"/>
    <w:basedOn w:val="17"/>
    <w:qFormat/>
    <w:uiPriority w:val="0"/>
    <w:pPr>
      <w:spacing w:after="120" w:line="240" w:lineRule="auto"/>
      <w:ind w:left="420" w:leftChars="200" w:firstLine="420" w:firstLineChars="200"/>
    </w:pPr>
    <w:rPr>
      <w:szCs w:val="24"/>
    </w:rPr>
  </w:style>
  <w:style w:type="table" w:styleId="41">
    <w:name w:val="Table Grid"/>
    <w:basedOn w:val="40"/>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basedOn w:val="42"/>
    <w:qFormat/>
    <w:uiPriority w:val="99"/>
  </w:style>
  <w:style w:type="character" w:styleId="45">
    <w:name w:val="FollowedHyperlink"/>
    <w:qFormat/>
    <w:uiPriority w:val="99"/>
    <w:rPr>
      <w:color w:val="000000"/>
      <w:u w:val="none"/>
    </w:rPr>
  </w:style>
  <w:style w:type="character" w:styleId="46">
    <w:name w:val="Emphasis"/>
    <w:qFormat/>
    <w:uiPriority w:val="99"/>
    <w:rPr>
      <w:i/>
      <w:iCs/>
    </w:rPr>
  </w:style>
  <w:style w:type="character" w:styleId="47">
    <w:name w:val="Hyperlink"/>
    <w:qFormat/>
    <w:uiPriority w:val="99"/>
    <w:rPr>
      <w:color w:val="000000"/>
      <w:u w:val="none"/>
    </w:rPr>
  </w:style>
  <w:style w:type="character" w:styleId="48">
    <w:name w:val="HTML Code"/>
    <w:qFormat/>
    <w:uiPriority w:val="0"/>
    <w:rPr>
      <w:rFonts w:ascii="Courier New" w:hAnsi="Courier New"/>
      <w:sz w:val="20"/>
    </w:rPr>
  </w:style>
  <w:style w:type="character" w:styleId="49">
    <w:name w:val="annotation reference"/>
    <w:qFormat/>
    <w:uiPriority w:val="99"/>
    <w:rPr>
      <w:sz w:val="21"/>
      <w:szCs w:val="21"/>
    </w:rPr>
  </w:style>
  <w:style w:type="character" w:customStyle="1" w:styleId="50">
    <w:name w:val="正文文本 字符"/>
    <w:link w:val="16"/>
    <w:qFormat/>
    <w:uiPriority w:val="99"/>
    <w:rPr>
      <w:rFonts w:ascii="宋体" w:hAnsi="Courier New"/>
      <w:kern w:val="2"/>
      <w:sz w:val="22"/>
      <w:szCs w:val="22"/>
    </w:rPr>
  </w:style>
  <w:style w:type="character" w:customStyle="1" w:styleId="51">
    <w:name w:val="标题 1 字符"/>
    <w:link w:val="2"/>
    <w:qFormat/>
    <w:uiPriority w:val="9"/>
    <w:rPr>
      <w:rFonts w:ascii="宋体" w:hAnsi="Courier New" w:eastAsia="宋体"/>
      <w:b/>
      <w:bCs/>
      <w:kern w:val="44"/>
      <w:sz w:val="44"/>
      <w:szCs w:val="44"/>
      <w:lang w:val="en-US" w:eastAsia="zh-CN" w:bidi="ar-SA"/>
    </w:rPr>
  </w:style>
  <w:style w:type="character" w:customStyle="1" w:styleId="52">
    <w:name w:val="标题 2 字符"/>
    <w:link w:val="3"/>
    <w:qFormat/>
    <w:uiPriority w:val="9"/>
    <w:rPr>
      <w:rFonts w:ascii="Arial" w:hAnsi="Arial" w:eastAsia="黑体"/>
      <w:b/>
      <w:bCs/>
      <w:kern w:val="2"/>
      <w:sz w:val="32"/>
      <w:szCs w:val="32"/>
      <w:lang w:val="en-US" w:eastAsia="zh-CN" w:bidi="ar-SA"/>
    </w:rPr>
  </w:style>
  <w:style w:type="character" w:customStyle="1" w:styleId="53">
    <w:name w:val="标题 3 字符"/>
    <w:link w:val="4"/>
    <w:qFormat/>
    <w:uiPriority w:val="9"/>
    <w:rPr>
      <w:rFonts w:ascii="宋体" w:hAnsi="宋体"/>
      <w:b/>
      <w:bCs/>
      <w:sz w:val="24"/>
      <w:szCs w:val="32"/>
    </w:rPr>
  </w:style>
  <w:style w:type="character" w:customStyle="1" w:styleId="54">
    <w:name w:val="标题 4 字符"/>
    <w:link w:val="5"/>
    <w:qFormat/>
    <w:uiPriority w:val="99"/>
    <w:rPr>
      <w:rFonts w:ascii="宋体" w:hAnsi="Arial" w:eastAsia="黑体"/>
      <w:b/>
      <w:kern w:val="2"/>
      <w:sz w:val="24"/>
    </w:rPr>
  </w:style>
  <w:style w:type="character" w:customStyle="1" w:styleId="55">
    <w:name w:val="标题 5 字符"/>
    <w:link w:val="6"/>
    <w:qFormat/>
    <w:uiPriority w:val="99"/>
    <w:rPr>
      <w:rFonts w:ascii="Calibri" w:hAnsi="Calibri"/>
      <w:b/>
      <w:bCs/>
      <w:kern w:val="2"/>
      <w:sz w:val="28"/>
      <w:szCs w:val="28"/>
    </w:rPr>
  </w:style>
  <w:style w:type="character" w:customStyle="1" w:styleId="56">
    <w:name w:val="标题 6 字符"/>
    <w:link w:val="7"/>
    <w:qFormat/>
    <w:uiPriority w:val="9"/>
    <w:rPr>
      <w:rFonts w:ascii="Cambria" w:hAnsi="Cambria"/>
      <w:b/>
      <w:bCs/>
      <w:sz w:val="24"/>
      <w:szCs w:val="24"/>
      <w:lang w:val="zh-CN"/>
    </w:rPr>
  </w:style>
  <w:style w:type="character" w:customStyle="1" w:styleId="57">
    <w:name w:val="标题 7 字符"/>
    <w:link w:val="8"/>
    <w:qFormat/>
    <w:uiPriority w:val="9"/>
    <w:rPr>
      <w:rFonts w:ascii="Calibri" w:hAnsi="Calibri"/>
      <w:b/>
      <w:bCs/>
      <w:sz w:val="24"/>
      <w:szCs w:val="24"/>
      <w:lang w:val="zh-CN"/>
    </w:rPr>
  </w:style>
  <w:style w:type="character" w:customStyle="1" w:styleId="58">
    <w:name w:val="标题 8 字符"/>
    <w:link w:val="9"/>
    <w:qFormat/>
    <w:uiPriority w:val="9"/>
    <w:rPr>
      <w:rFonts w:ascii="Cambria" w:hAnsi="Cambria"/>
      <w:sz w:val="24"/>
      <w:szCs w:val="24"/>
      <w:lang w:val="zh-CN"/>
    </w:rPr>
  </w:style>
  <w:style w:type="character" w:customStyle="1" w:styleId="59">
    <w:name w:val="标题 9 字符"/>
    <w:link w:val="10"/>
    <w:qFormat/>
    <w:uiPriority w:val="9"/>
    <w:rPr>
      <w:rFonts w:ascii="Cambria" w:hAnsi="Cambria"/>
      <w:szCs w:val="22"/>
      <w:lang w:val="zh-CN"/>
    </w:rPr>
  </w:style>
  <w:style w:type="character" w:customStyle="1" w:styleId="60">
    <w:name w:val="文档结构图 字符"/>
    <w:link w:val="14"/>
    <w:semiHidden/>
    <w:qFormat/>
    <w:locked/>
    <w:uiPriority w:val="99"/>
    <w:rPr>
      <w:rFonts w:ascii="宋体" w:hAnsi="Courier New"/>
      <w:kern w:val="2"/>
      <w:sz w:val="21"/>
      <w:shd w:val="clear" w:color="auto" w:fill="000080"/>
    </w:rPr>
  </w:style>
  <w:style w:type="character" w:customStyle="1" w:styleId="61">
    <w:name w:val="批注文字 字符"/>
    <w:link w:val="15"/>
    <w:qFormat/>
    <w:uiPriority w:val="99"/>
    <w:rPr>
      <w:rFonts w:ascii="宋体" w:hAnsi="Courier New"/>
      <w:kern w:val="2"/>
      <w:sz w:val="21"/>
    </w:rPr>
  </w:style>
  <w:style w:type="character" w:customStyle="1" w:styleId="62">
    <w:name w:val="正文文本缩进 字符"/>
    <w:link w:val="17"/>
    <w:qFormat/>
    <w:locked/>
    <w:uiPriority w:val="99"/>
    <w:rPr>
      <w:rFonts w:ascii="宋体" w:hAnsi="Courier New"/>
      <w:kern w:val="2"/>
      <w:sz w:val="24"/>
    </w:rPr>
  </w:style>
  <w:style w:type="character" w:customStyle="1" w:styleId="63">
    <w:name w:val="纯文本 字符"/>
    <w:link w:val="22"/>
    <w:qFormat/>
    <w:uiPriority w:val="0"/>
    <w:rPr>
      <w:rFonts w:ascii="宋体" w:hAnsi="Courier New" w:eastAsia="宋体"/>
      <w:kern w:val="2"/>
      <w:sz w:val="21"/>
      <w:lang w:val="en-US" w:eastAsia="zh-CN" w:bidi="ar-SA"/>
    </w:rPr>
  </w:style>
  <w:style w:type="character" w:customStyle="1" w:styleId="64">
    <w:name w:val="日期 字符"/>
    <w:link w:val="24"/>
    <w:qFormat/>
    <w:locked/>
    <w:uiPriority w:val="99"/>
    <w:rPr>
      <w:rFonts w:ascii="宋体" w:hAnsi="Courier New"/>
      <w:bCs/>
      <w:kern w:val="2"/>
      <w:sz w:val="21"/>
    </w:rPr>
  </w:style>
  <w:style w:type="character" w:customStyle="1" w:styleId="65">
    <w:name w:val="正文文本缩进 2 字符"/>
    <w:link w:val="25"/>
    <w:qFormat/>
    <w:uiPriority w:val="99"/>
    <w:rPr>
      <w:rFonts w:ascii="Calibri" w:hAnsi="Calibri"/>
      <w:sz w:val="24"/>
      <w:szCs w:val="24"/>
    </w:rPr>
  </w:style>
  <w:style w:type="character" w:customStyle="1" w:styleId="66">
    <w:name w:val="批注框文本 字符"/>
    <w:link w:val="26"/>
    <w:semiHidden/>
    <w:qFormat/>
    <w:uiPriority w:val="99"/>
    <w:rPr>
      <w:rFonts w:ascii="宋体" w:hAnsi="Courier New"/>
      <w:kern w:val="2"/>
      <w:sz w:val="18"/>
      <w:szCs w:val="18"/>
    </w:rPr>
  </w:style>
  <w:style w:type="character" w:customStyle="1" w:styleId="67">
    <w:name w:val="页脚 字符"/>
    <w:link w:val="27"/>
    <w:qFormat/>
    <w:uiPriority w:val="99"/>
    <w:rPr>
      <w:rFonts w:ascii="宋体" w:hAnsi="Courier New"/>
      <w:kern w:val="2"/>
      <w:sz w:val="18"/>
    </w:rPr>
  </w:style>
  <w:style w:type="character" w:customStyle="1" w:styleId="68">
    <w:name w:val="页眉 字符"/>
    <w:link w:val="28"/>
    <w:qFormat/>
    <w:uiPriority w:val="99"/>
    <w:rPr>
      <w:rFonts w:ascii="宋体" w:hAnsi="Courier New"/>
      <w:kern w:val="2"/>
      <w:sz w:val="18"/>
    </w:rPr>
  </w:style>
  <w:style w:type="character" w:customStyle="1" w:styleId="69">
    <w:name w:val="副标题 字符"/>
    <w:link w:val="31"/>
    <w:qFormat/>
    <w:uiPriority w:val="11"/>
    <w:rPr>
      <w:rFonts w:ascii="Cambria" w:hAnsi="Cambria"/>
      <w:b/>
      <w:bCs/>
      <w:kern w:val="28"/>
      <w:sz w:val="32"/>
      <w:szCs w:val="32"/>
    </w:rPr>
  </w:style>
  <w:style w:type="character" w:customStyle="1" w:styleId="70">
    <w:name w:val="脚注文本 字符"/>
    <w:link w:val="32"/>
    <w:qFormat/>
    <w:uiPriority w:val="99"/>
    <w:rPr>
      <w:rFonts w:ascii="Calibri" w:hAnsi="Calibri"/>
      <w:sz w:val="18"/>
      <w:szCs w:val="18"/>
    </w:rPr>
  </w:style>
  <w:style w:type="character" w:customStyle="1" w:styleId="71">
    <w:name w:val="标题 字符"/>
    <w:link w:val="37"/>
    <w:qFormat/>
    <w:uiPriority w:val="99"/>
    <w:rPr>
      <w:rFonts w:ascii="Cambria" w:hAnsi="Cambria" w:cs="Cambria"/>
      <w:b/>
      <w:bCs/>
      <w:sz w:val="32"/>
      <w:szCs w:val="32"/>
    </w:rPr>
  </w:style>
  <w:style w:type="character" w:customStyle="1" w:styleId="72">
    <w:name w:val="批注主题 字符"/>
    <w:link w:val="38"/>
    <w:qFormat/>
    <w:uiPriority w:val="99"/>
    <w:rPr>
      <w:b/>
      <w:bCs/>
    </w:rPr>
  </w:style>
  <w:style w:type="paragraph" w:customStyle="1" w:styleId="73">
    <w:name w:val="表格文字"/>
    <w:basedOn w:val="1"/>
    <w:qFormat/>
    <w:uiPriority w:val="0"/>
    <w:pPr>
      <w:adjustRightInd w:val="0"/>
      <w:snapToGrid w:val="0"/>
      <w:jc w:val="center"/>
    </w:pPr>
    <w:rPr>
      <w:kern w:val="0"/>
      <w:sz w:val="24"/>
    </w:rPr>
  </w:style>
  <w:style w:type="character" w:customStyle="1" w:styleId="74">
    <w:name w:val="bds_more2"/>
    <w:qFormat/>
    <w:uiPriority w:val="0"/>
  </w:style>
  <w:style w:type="character" w:customStyle="1" w:styleId="75">
    <w:name w:val="bds_nopic1"/>
    <w:qFormat/>
    <w:uiPriority w:val="0"/>
    <w:rPr>
      <w:rFonts w:ascii="宋体 ! important" w:hAnsi="宋体 ! important" w:eastAsia="宋体 ! important" w:cs="宋体 ! important"/>
      <w:color w:val="454545"/>
      <w:sz w:val="21"/>
      <w:szCs w:val="21"/>
    </w:rPr>
  </w:style>
  <w:style w:type="character" w:customStyle="1" w:styleId="76">
    <w:name w:val="bds_more1"/>
    <w:qFormat/>
    <w:uiPriority w:val="0"/>
  </w:style>
  <w:style w:type="character" w:customStyle="1" w:styleId="77">
    <w:name w:val="bds_nopic"/>
    <w:qFormat/>
    <w:uiPriority w:val="0"/>
  </w:style>
  <w:style w:type="character" w:customStyle="1" w:styleId="78">
    <w:name w:val="bds_more"/>
    <w:qFormat/>
    <w:uiPriority w:val="0"/>
    <w:rPr>
      <w:rFonts w:hint="eastAsia" w:ascii="宋体" w:hAnsi="宋体" w:eastAsia="宋体" w:cs="宋体"/>
    </w:rPr>
  </w:style>
  <w:style w:type="character" w:customStyle="1" w:styleId="79">
    <w:name w:val="bds_nopic2"/>
    <w:qFormat/>
    <w:uiPriority w:val="0"/>
    <w:rPr>
      <w:rFonts w:hint="default" w:ascii="宋体 ! important" w:hAnsi="宋体 ! important" w:eastAsia="宋体 ! important" w:cs="宋体 ! important"/>
      <w:color w:val="454545"/>
      <w:sz w:val="18"/>
      <w:szCs w:val="18"/>
    </w:rPr>
  </w:style>
  <w:style w:type="paragraph" w:customStyle="1" w:styleId="80">
    <w:name w:val="Char Char Char Char Char Char Char Char Char Char"/>
    <w:basedOn w:val="14"/>
    <w:qFormat/>
    <w:uiPriority w:val="0"/>
    <w:pPr>
      <w:keepNext/>
      <w:numPr>
        <w:ilvl w:val="0"/>
        <w:numId w:val="2"/>
      </w:numPr>
      <w:spacing w:before="100" w:beforeLines="100"/>
      <w:ind w:left="0"/>
    </w:pPr>
    <w:rPr>
      <w:rFonts w:ascii="Tahoma" w:hAnsi="Tahoma"/>
      <w:sz w:val="24"/>
      <w:szCs w:val="24"/>
    </w:rPr>
  </w:style>
  <w:style w:type="paragraph" w:customStyle="1" w:styleId="81">
    <w:name w:val="1"/>
    <w:basedOn w:val="1"/>
    <w:next w:val="22"/>
    <w:qFormat/>
    <w:uiPriority w:val="99"/>
  </w:style>
  <w:style w:type="paragraph" w:customStyle="1" w:styleId="82">
    <w:name w:val="列出段落1"/>
    <w:basedOn w:val="1"/>
    <w:qFormat/>
    <w:uiPriority w:val="0"/>
    <w:pPr>
      <w:widowControl/>
      <w:ind w:firstLine="420" w:firstLineChars="200"/>
    </w:pPr>
    <w:rPr>
      <w:rFonts w:ascii="Times New Roman" w:hAnsi="Times New Roman"/>
    </w:rPr>
  </w:style>
  <w:style w:type="paragraph" w:customStyle="1" w:styleId="83">
    <w:name w:val="t11"/>
    <w:basedOn w:val="2"/>
    <w:qFormat/>
    <w:uiPriority w:val="0"/>
    <w:pPr>
      <w:spacing w:line="400" w:lineRule="exact"/>
      <w:jc w:val="center"/>
    </w:pPr>
    <w:rPr>
      <w:rFonts w:hAnsi="宋体"/>
      <w:bCs w:val="0"/>
      <w:sz w:val="32"/>
      <w:szCs w:val="32"/>
    </w:rPr>
  </w:style>
  <w:style w:type="paragraph" w:customStyle="1" w:styleId="84">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85">
    <w:name w:val="默认段落字体 Para Char Char Char Char Char Char Char Char Char Char"/>
    <w:basedOn w:val="1"/>
    <w:qFormat/>
    <w:uiPriority w:val="0"/>
    <w:rPr>
      <w:rFonts w:ascii="Tahoma" w:hAnsi="Tahoma"/>
      <w:sz w:val="24"/>
      <w:szCs w:val="24"/>
      <w:u w:val="single"/>
    </w:rPr>
  </w:style>
  <w:style w:type="character" w:customStyle="1" w:styleId="86">
    <w:name w:val="NormalCharacter"/>
    <w:qFormat/>
    <w:uiPriority w:val="0"/>
    <w:rPr>
      <w:rFonts w:ascii="Calibri" w:hAnsi="Calibri" w:eastAsia="宋体"/>
    </w:rPr>
  </w:style>
  <w:style w:type="character" w:customStyle="1" w:styleId="87">
    <w:name w:val="10"/>
    <w:qFormat/>
    <w:uiPriority w:val="0"/>
    <w:rPr>
      <w:rFonts w:hint="default" w:ascii="Times New Roman" w:hAnsi="Times New Roman" w:cs="Times New Roman"/>
    </w:rPr>
  </w:style>
  <w:style w:type="paragraph" w:customStyle="1" w:styleId="8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2"/>
    <w:basedOn w:val="88"/>
    <w:qFormat/>
    <w:uiPriority w:val="0"/>
    <w:rPr>
      <w:szCs w:val="24"/>
    </w:rPr>
  </w:style>
  <w:style w:type="paragraph" w:customStyle="1" w:styleId="90">
    <w:name w:val="正文_2_0"/>
    <w:basedOn w:val="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纯文本_0"/>
    <w:basedOn w:val="90"/>
    <w:qFormat/>
    <w:uiPriority w:val="99"/>
    <w:rPr>
      <w:rFonts w:ascii="宋体" w:hAnsi="Courier New"/>
    </w:rPr>
  </w:style>
  <w:style w:type="paragraph" w:customStyle="1" w:styleId="92">
    <w:name w:val="正文_4_0"/>
    <w:basedOn w:val="1"/>
    <w:qFormat/>
    <w:uiPriority w:val="0"/>
    <w:rPr>
      <w:rFonts w:ascii="Calibri" w:hAnsi="Calibri"/>
    </w:rPr>
  </w:style>
  <w:style w:type="paragraph" w:customStyle="1" w:styleId="93">
    <w:name w:val="标题 3_0"/>
    <w:basedOn w:val="1"/>
    <w:next w:val="89"/>
    <w:link w:val="94"/>
    <w:qFormat/>
    <w:uiPriority w:val="9"/>
    <w:pPr>
      <w:keepNext/>
      <w:keepLines/>
      <w:spacing w:before="260" w:after="260" w:line="415" w:lineRule="auto"/>
      <w:outlineLvl w:val="2"/>
    </w:pPr>
    <w:rPr>
      <w:rFonts w:ascii="Calibri" w:hAnsi="Calibri"/>
      <w:b/>
      <w:bCs/>
      <w:sz w:val="32"/>
      <w:szCs w:val="32"/>
    </w:rPr>
  </w:style>
  <w:style w:type="character" w:customStyle="1" w:styleId="94">
    <w:name w:val="标题 3 Char_0"/>
    <w:link w:val="93"/>
    <w:qFormat/>
    <w:uiPriority w:val="9"/>
    <w:rPr>
      <w:rFonts w:ascii="Calibri" w:hAnsi="Calibri"/>
      <w:b/>
      <w:bCs/>
      <w:kern w:val="2"/>
      <w:sz w:val="32"/>
      <w:szCs w:val="32"/>
    </w:rPr>
  </w:style>
  <w:style w:type="paragraph" w:customStyle="1" w:styleId="9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0"/>
    <w:qFormat/>
    <w:uiPriority w:val="0"/>
    <w:rPr>
      <w:rFonts w:ascii="Times New Roman" w:hAnsi="Times New Roman" w:eastAsia="Times New Roman" w:cs="Times New Roman"/>
      <w:sz w:val="24"/>
      <w:szCs w:val="24"/>
      <w:lang w:val="en-US" w:eastAsia="zh-CN" w:bidi="ar-SA"/>
    </w:rPr>
  </w:style>
  <w:style w:type="paragraph" w:styleId="97">
    <w:name w:val="List Paragraph"/>
    <w:basedOn w:val="1"/>
    <w:qFormat/>
    <w:uiPriority w:val="34"/>
    <w:pPr>
      <w:autoSpaceDE w:val="0"/>
      <w:autoSpaceDN w:val="0"/>
      <w:ind w:left="386" w:firstLine="480"/>
      <w:jc w:val="left"/>
    </w:pPr>
    <w:rPr>
      <w:rFonts w:hAnsi="宋体" w:cs="宋体"/>
      <w:kern w:val="0"/>
      <w:sz w:val="22"/>
      <w:szCs w:val="22"/>
      <w:lang w:val="zh-CN" w:bidi="zh-CN"/>
    </w:rPr>
  </w:style>
  <w:style w:type="character" w:customStyle="1" w:styleId="98">
    <w:name w:val="10_1"/>
    <w:qFormat/>
    <w:uiPriority w:val="0"/>
    <w:rPr>
      <w:rFonts w:hint="default" w:ascii="Times New Roman" w:hAnsi="Times New Roman" w:cs="Times New Roman"/>
    </w:rPr>
  </w:style>
  <w:style w:type="table" w:customStyle="1" w:styleId="99">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批注文字 Char2"/>
    <w:qFormat/>
    <w:locked/>
    <w:uiPriority w:val="99"/>
    <w:rPr>
      <w:rFonts w:eastAsia="宋体"/>
      <w:kern w:val="2"/>
      <w:sz w:val="24"/>
      <w:szCs w:val="24"/>
      <w:lang w:val="en-US" w:eastAsia="zh-CN"/>
    </w:rPr>
  </w:style>
  <w:style w:type="paragraph" w:customStyle="1" w:styleId="103">
    <w:name w:val="修订1"/>
    <w:qFormat/>
    <w:uiPriority w:val="99"/>
    <w:rPr>
      <w:rFonts w:ascii="Calibri" w:hAnsi="Calibri" w:eastAsia="宋体" w:cs="Times New Roman"/>
      <w:kern w:val="2"/>
      <w:sz w:val="21"/>
      <w:szCs w:val="22"/>
      <w:lang w:val="en-US" w:eastAsia="zh-CN" w:bidi="ar-SA"/>
    </w:rPr>
  </w:style>
  <w:style w:type="paragraph" w:customStyle="1" w:styleId="104">
    <w:name w:val="修订2"/>
    <w:semiHidden/>
    <w:qFormat/>
    <w:uiPriority w:val="99"/>
    <w:rPr>
      <w:rFonts w:ascii="Calibri" w:hAnsi="Calibri" w:eastAsia="宋体" w:cs="Times New Roman"/>
      <w:kern w:val="2"/>
      <w:sz w:val="21"/>
      <w:szCs w:val="22"/>
      <w:lang w:val="en-US" w:eastAsia="zh-CN" w:bidi="ar-SA"/>
    </w:rPr>
  </w:style>
  <w:style w:type="paragraph" w:customStyle="1" w:styleId="10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批注文字 Char Char"/>
    <w:qFormat/>
    <w:uiPriority w:val="99"/>
    <w:rPr>
      <w:rFonts w:ascii="宋体" w:hAnsi="Times New Roman" w:eastAsia="宋体" w:cs="宋体"/>
      <w:sz w:val="20"/>
      <w:szCs w:val="20"/>
    </w:rPr>
  </w:style>
  <w:style w:type="character" w:customStyle="1" w:styleId="108">
    <w:name w:val="Heading 3 Char"/>
    <w:qFormat/>
    <w:uiPriority w:val="99"/>
    <w:rPr>
      <w:b/>
      <w:bCs/>
      <w:kern w:val="2"/>
      <w:sz w:val="32"/>
      <w:szCs w:val="32"/>
    </w:rPr>
  </w:style>
  <w:style w:type="character" w:customStyle="1" w:styleId="109">
    <w:name w:val="Heading 2 Char"/>
    <w:qFormat/>
    <w:uiPriority w:val="99"/>
    <w:rPr>
      <w:rFonts w:ascii="Arial" w:hAnsi="Arial" w:eastAsia="黑体" w:cs="Arial"/>
      <w:b/>
      <w:bCs/>
      <w:kern w:val="2"/>
      <w:sz w:val="32"/>
      <w:szCs w:val="32"/>
      <w:lang w:val="en-US" w:eastAsia="zh-CN"/>
    </w:rPr>
  </w:style>
  <w:style w:type="character" w:customStyle="1" w:styleId="110">
    <w:name w:val="Balloon Text Char"/>
    <w:qFormat/>
    <w:uiPriority w:val="99"/>
    <w:rPr>
      <w:sz w:val="18"/>
      <w:szCs w:val="18"/>
    </w:rPr>
  </w:style>
  <w:style w:type="character" w:customStyle="1" w:styleId="111">
    <w:name w:val="文档结构图 Char1"/>
    <w:qFormat/>
    <w:uiPriority w:val="99"/>
    <w:rPr>
      <w:rFonts w:ascii="宋体" w:hAnsi="Times New Roman" w:eastAsia="宋体" w:cs="宋体"/>
      <w:sz w:val="18"/>
      <w:szCs w:val="18"/>
    </w:rPr>
  </w:style>
  <w:style w:type="character" w:customStyle="1" w:styleId="112">
    <w:name w:val="文档结构图 Char2"/>
    <w:semiHidden/>
    <w:qFormat/>
    <w:uiPriority w:val="99"/>
    <w:rPr>
      <w:rFonts w:ascii="Microsoft YaHei UI" w:eastAsia="Microsoft YaHei UI"/>
      <w:kern w:val="2"/>
      <w:sz w:val="18"/>
      <w:szCs w:val="18"/>
    </w:rPr>
  </w:style>
  <w:style w:type="character" w:customStyle="1" w:styleId="113">
    <w:name w:val="Footnote Text Char"/>
    <w:qFormat/>
    <w:uiPriority w:val="99"/>
    <w:rPr>
      <w:rFonts w:eastAsia="宋体"/>
      <w:sz w:val="18"/>
      <w:szCs w:val="18"/>
      <w:lang w:val="en-US" w:eastAsia="zh-CN"/>
    </w:rPr>
  </w:style>
  <w:style w:type="character" w:customStyle="1" w:styleId="114">
    <w:name w:val="Char Char21"/>
    <w:qFormat/>
    <w:uiPriority w:val="99"/>
    <w:rPr>
      <w:rFonts w:ascii="Arial" w:hAnsi="Arial" w:eastAsia="黑体" w:cs="Arial"/>
      <w:b/>
      <w:bCs/>
      <w:sz w:val="32"/>
      <w:szCs w:val="32"/>
    </w:rPr>
  </w:style>
  <w:style w:type="character" w:customStyle="1" w:styleId="115">
    <w:name w:val="批注文字 Char1"/>
    <w:qFormat/>
    <w:uiPriority w:val="99"/>
    <w:rPr>
      <w:rFonts w:ascii="Times New Roman" w:hAnsi="Times New Roman" w:eastAsia="宋体" w:cs="Times New Roman"/>
      <w:sz w:val="24"/>
      <w:szCs w:val="24"/>
    </w:rPr>
  </w:style>
  <w:style w:type="character" w:customStyle="1" w:styleId="116">
    <w:name w:val="Body Text Indent Char"/>
    <w:qFormat/>
    <w:uiPriority w:val="99"/>
    <w:rPr>
      <w:rFonts w:ascii="宋体" w:hAnsi="宋体" w:eastAsia="宋体" w:cs="宋体"/>
      <w:kern w:val="2"/>
      <w:sz w:val="21"/>
      <w:szCs w:val="21"/>
      <w:lang w:val="en-US" w:eastAsia="zh-CN"/>
    </w:rPr>
  </w:style>
  <w:style w:type="character" w:customStyle="1" w:styleId="117">
    <w:name w:val="不明显参考1"/>
    <w:qFormat/>
    <w:uiPriority w:val="99"/>
    <w:rPr>
      <w:smallCaps/>
      <w:color w:val="auto"/>
      <w:u w:val="single"/>
    </w:rPr>
  </w:style>
  <w:style w:type="character" w:customStyle="1" w:styleId="118">
    <w:name w:val="Heading 4 Char"/>
    <w:qFormat/>
    <w:uiPriority w:val="99"/>
    <w:rPr>
      <w:rFonts w:ascii="Arial" w:hAnsi="Arial" w:eastAsia="宋体" w:cs="Arial"/>
      <w:b/>
      <w:bCs/>
      <w:kern w:val="2"/>
      <w:sz w:val="28"/>
      <w:szCs w:val="28"/>
      <w:lang w:val="en-US" w:eastAsia="zh-CN"/>
    </w:rPr>
  </w:style>
  <w:style w:type="character" w:customStyle="1" w:styleId="119">
    <w:name w:val="Char Char20"/>
    <w:qFormat/>
    <w:uiPriority w:val="99"/>
    <w:rPr>
      <w:rFonts w:ascii="Times New Roman" w:hAnsi="Times New Roman" w:eastAsia="宋体" w:cs="Times New Roman"/>
      <w:b/>
      <w:bCs/>
      <w:sz w:val="32"/>
      <w:szCs w:val="32"/>
    </w:rPr>
  </w:style>
  <w:style w:type="character" w:customStyle="1" w:styleId="120">
    <w:name w:val="Comment Subject Char"/>
    <w:qFormat/>
    <w:uiPriority w:val="99"/>
    <w:rPr>
      <w:b/>
      <w:bCs/>
      <w:sz w:val="24"/>
      <w:szCs w:val="24"/>
    </w:rPr>
  </w:style>
  <w:style w:type="character" w:customStyle="1" w:styleId="121">
    <w:name w:val="Heading 1 Char"/>
    <w:qFormat/>
    <w:uiPriority w:val="99"/>
    <w:rPr>
      <w:rFonts w:eastAsia="宋体"/>
      <w:b/>
      <w:bCs/>
      <w:kern w:val="44"/>
      <w:sz w:val="44"/>
      <w:szCs w:val="44"/>
      <w:lang w:val="en-US" w:eastAsia="zh-CN"/>
    </w:rPr>
  </w:style>
  <w:style w:type="character" w:customStyle="1" w:styleId="122">
    <w:name w:val="批注框文本 Char1"/>
    <w:qFormat/>
    <w:uiPriority w:val="99"/>
    <w:rPr>
      <w:rFonts w:ascii="Times New Roman" w:hAnsi="Times New Roman" w:eastAsia="宋体" w:cs="Times New Roman"/>
      <w:sz w:val="18"/>
      <w:szCs w:val="18"/>
    </w:rPr>
  </w:style>
  <w:style w:type="character" w:customStyle="1" w:styleId="123">
    <w:name w:val="标题 Char1"/>
    <w:qFormat/>
    <w:uiPriority w:val="99"/>
    <w:rPr>
      <w:rFonts w:ascii="Calibri Light" w:hAnsi="Calibri Light" w:eastAsia="宋体" w:cs="Times New Roman"/>
      <w:b/>
      <w:bCs/>
      <w:kern w:val="2"/>
      <w:sz w:val="32"/>
      <w:szCs w:val="32"/>
    </w:rPr>
  </w:style>
  <w:style w:type="character" w:customStyle="1" w:styleId="124">
    <w:name w:val="Char Char6"/>
    <w:qFormat/>
    <w:uiPriority w:val="99"/>
    <w:rPr>
      <w:rFonts w:eastAsia="宋体"/>
      <w:b/>
      <w:bCs/>
      <w:kern w:val="44"/>
      <w:sz w:val="44"/>
      <w:szCs w:val="44"/>
      <w:lang w:val="en-US" w:eastAsia="zh-CN"/>
    </w:rPr>
  </w:style>
  <w:style w:type="character" w:customStyle="1" w:styleId="125">
    <w:name w:val="Char Char18"/>
    <w:qFormat/>
    <w:uiPriority w:val="99"/>
    <w:rPr>
      <w:rFonts w:ascii="Times New Roman" w:hAnsi="Times New Roman" w:eastAsia="宋体" w:cs="Times New Roman"/>
      <w:b/>
      <w:bCs/>
      <w:sz w:val="28"/>
      <w:szCs w:val="28"/>
    </w:rPr>
  </w:style>
  <w:style w:type="character" w:customStyle="1" w:styleId="126">
    <w:name w:val="Body Text Indent 2 Char"/>
    <w:qFormat/>
    <w:uiPriority w:val="99"/>
    <w:rPr>
      <w:rFonts w:eastAsia="宋体"/>
      <w:kern w:val="2"/>
      <w:sz w:val="24"/>
      <w:szCs w:val="24"/>
      <w:lang w:val="en-US" w:eastAsia="zh-CN"/>
    </w:rPr>
  </w:style>
  <w:style w:type="character" w:customStyle="1" w:styleId="127">
    <w:name w:val="Comment Text Char1"/>
    <w:qFormat/>
    <w:uiPriority w:val="99"/>
    <w:rPr>
      <w:sz w:val="24"/>
      <w:szCs w:val="24"/>
    </w:rPr>
  </w:style>
  <w:style w:type="character" w:customStyle="1" w:styleId="128">
    <w:name w:val="正文文本 Char1"/>
    <w:qFormat/>
    <w:uiPriority w:val="99"/>
    <w:rPr>
      <w:kern w:val="2"/>
      <w:sz w:val="22"/>
      <w:szCs w:val="22"/>
    </w:rPr>
  </w:style>
  <w:style w:type="character" w:customStyle="1" w:styleId="129">
    <w:name w:val="标题5 Char Char"/>
    <w:link w:val="130"/>
    <w:qFormat/>
    <w:locked/>
    <w:uiPriority w:val="99"/>
    <w:rPr>
      <w:rFonts w:ascii="Arial" w:hAnsi="Arial" w:cs="Arial"/>
      <w:b/>
      <w:bCs/>
      <w:sz w:val="32"/>
      <w:szCs w:val="32"/>
    </w:rPr>
  </w:style>
  <w:style w:type="paragraph" w:customStyle="1" w:styleId="130">
    <w:name w:val="标题5"/>
    <w:basedOn w:val="4"/>
    <w:link w:val="129"/>
    <w:qFormat/>
    <w:uiPriority w:val="99"/>
    <w:pPr>
      <w:spacing w:line="413" w:lineRule="auto"/>
    </w:pPr>
    <w:rPr>
      <w:rFonts w:hint="default" w:ascii="Arial" w:hAnsi="Arial" w:cs="Arial"/>
      <w:sz w:val="32"/>
    </w:rPr>
  </w:style>
  <w:style w:type="character" w:customStyle="1" w:styleId="131">
    <w:name w:val="批注主题 Char1"/>
    <w:qFormat/>
    <w:uiPriority w:val="99"/>
    <w:rPr>
      <w:rFonts w:ascii="Times New Roman" w:hAnsi="Times New Roman" w:eastAsia="宋体" w:cs="Times New Roman"/>
      <w:b/>
      <w:bCs/>
      <w:sz w:val="24"/>
      <w:szCs w:val="24"/>
    </w:rPr>
  </w:style>
  <w:style w:type="character" w:customStyle="1" w:styleId="132">
    <w:name w:val="Char Char24"/>
    <w:qFormat/>
    <w:uiPriority w:val="99"/>
    <w:rPr>
      <w:rFonts w:eastAsia="宋体"/>
      <w:b/>
      <w:bCs/>
      <w:kern w:val="44"/>
      <w:sz w:val="44"/>
      <w:szCs w:val="44"/>
      <w:lang w:val="en-US" w:eastAsia="zh-CN"/>
    </w:rPr>
  </w:style>
  <w:style w:type="character" w:customStyle="1" w:styleId="133">
    <w:name w:val="Footer Char"/>
    <w:qFormat/>
    <w:uiPriority w:val="99"/>
    <w:rPr>
      <w:rFonts w:eastAsia="宋体"/>
      <w:kern w:val="2"/>
      <w:sz w:val="18"/>
      <w:szCs w:val="18"/>
      <w:lang w:val="en-US" w:eastAsia="zh-CN"/>
    </w:rPr>
  </w:style>
  <w:style w:type="character" w:customStyle="1" w:styleId="134">
    <w:name w:val="Char Char9"/>
    <w:qFormat/>
    <w:uiPriority w:val="99"/>
    <w:rPr>
      <w:rFonts w:eastAsia="宋体"/>
      <w:b/>
      <w:bCs/>
      <w:kern w:val="44"/>
      <w:sz w:val="44"/>
      <w:szCs w:val="44"/>
      <w:lang w:val="en-US" w:eastAsia="zh-CN"/>
    </w:rPr>
  </w:style>
  <w:style w:type="character" w:customStyle="1" w:styleId="135">
    <w:name w:val="正文文本 Char2"/>
    <w:semiHidden/>
    <w:qFormat/>
    <w:uiPriority w:val="99"/>
    <w:rPr>
      <w:kern w:val="2"/>
      <w:sz w:val="21"/>
      <w:szCs w:val="22"/>
    </w:rPr>
  </w:style>
  <w:style w:type="character" w:customStyle="1" w:styleId="136">
    <w:name w:val="Heading 3 Char1"/>
    <w:qFormat/>
    <w:uiPriority w:val="99"/>
    <w:rPr>
      <w:rFonts w:eastAsia="宋体"/>
      <w:b/>
      <w:bCs/>
      <w:kern w:val="2"/>
      <w:sz w:val="32"/>
      <w:szCs w:val="32"/>
      <w:lang w:val="en-US" w:eastAsia="zh-CN"/>
    </w:rPr>
  </w:style>
  <w:style w:type="character" w:customStyle="1" w:styleId="137">
    <w:name w:val="Document Map Char"/>
    <w:qFormat/>
    <w:uiPriority w:val="99"/>
    <w:rPr>
      <w:rFonts w:eastAsia="宋体"/>
      <w:kern w:val="2"/>
      <w:sz w:val="24"/>
      <w:szCs w:val="24"/>
      <w:lang w:val="en-US" w:eastAsia="zh-CN"/>
    </w:rPr>
  </w:style>
  <w:style w:type="character" w:customStyle="1" w:styleId="138">
    <w:name w:val="副标题 Char1"/>
    <w:qFormat/>
    <w:uiPriority w:val="11"/>
    <w:rPr>
      <w:rFonts w:ascii="Calibri Light" w:hAnsi="Calibri Light" w:eastAsia="宋体" w:cs="Times New Roman"/>
      <w:b/>
      <w:bCs/>
      <w:kern w:val="28"/>
      <w:sz w:val="32"/>
      <w:szCs w:val="32"/>
    </w:rPr>
  </w:style>
  <w:style w:type="character" w:customStyle="1" w:styleId="139">
    <w:name w:val="Char Char22"/>
    <w:qFormat/>
    <w:uiPriority w:val="99"/>
    <w:rPr>
      <w:rFonts w:ascii="Times New Roman" w:hAnsi="Times New Roman" w:eastAsia="宋体" w:cs="Times New Roman"/>
      <w:b/>
      <w:bCs/>
      <w:kern w:val="44"/>
      <w:sz w:val="44"/>
      <w:szCs w:val="44"/>
    </w:rPr>
  </w:style>
  <w:style w:type="character" w:customStyle="1" w:styleId="140">
    <w:name w:val="明显引用 Char"/>
    <w:link w:val="141"/>
    <w:qFormat/>
    <w:locked/>
    <w:uiPriority w:val="99"/>
    <w:rPr>
      <w:b/>
      <w:bCs/>
      <w:i/>
      <w:iCs/>
      <w:color w:val="4F81BD"/>
    </w:rPr>
  </w:style>
  <w:style w:type="paragraph" w:customStyle="1" w:styleId="141">
    <w:name w:val="明显引用1"/>
    <w:basedOn w:val="1"/>
    <w:next w:val="1"/>
    <w:link w:val="140"/>
    <w:qFormat/>
    <w:uiPriority w:val="99"/>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2">
    <w:name w:val="标题4 Char Char"/>
    <w:link w:val="143"/>
    <w:qFormat/>
    <w:locked/>
    <w:uiPriority w:val="99"/>
    <w:rPr>
      <w:rFonts w:ascii="Arial" w:hAnsi="Arial" w:cs="Arial"/>
      <w:b/>
      <w:bCs/>
      <w:sz w:val="32"/>
      <w:szCs w:val="32"/>
    </w:rPr>
  </w:style>
  <w:style w:type="paragraph" w:customStyle="1" w:styleId="143">
    <w:name w:val="标题4"/>
    <w:basedOn w:val="3"/>
    <w:next w:val="19"/>
    <w:link w:val="142"/>
    <w:qFormat/>
    <w:uiPriority w:val="99"/>
    <w:pPr>
      <w:spacing w:before="60" w:after="60" w:line="413" w:lineRule="auto"/>
    </w:pPr>
    <w:rPr>
      <w:rFonts w:eastAsia="宋体" w:cs="Arial"/>
      <w:kern w:val="0"/>
    </w:rPr>
  </w:style>
  <w:style w:type="character" w:customStyle="1" w:styleId="144">
    <w:name w:val="Header Char"/>
    <w:qFormat/>
    <w:uiPriority w:val="99"/>
    <w:rPr>
      <w:rFonts w:eastAsia="宋体"/>
      <w:kern w:val="2"/>
      <w:sz w:val="18"/>
      <w:szCs w:val="18"/>
      <w:lang w:val="en-US" w:eastAsia="zh-CN"/>
    </w:rPr>
  </w:style>
  <w:style w:type="character" w:customStyle="1" w:styleId="145">
    <w:name w:val="明显引用 Char1"/>
    <w:qFormat/>
    <w:uiPriority w:val="99"/>
    <w:rPr>
      <w:rFonts w:ascii="Times New Roman" w:hAnsi="Times New Roman" w:eastAsia="宋体" w:cs="Times New Roman"/>
      <w:b/>
      <w:bCs/>
      <w:i/>
      <w:iCs/>
      <w:color w:val="4F81BD"/>
      <w:sz w:val="24"/>
      <w:szCs w:val="24"/>
    </w:rPr>
  </w:style>
  <w:style w:type="character" w:customStyle="1" w:styleId="146">
    <w:name w:val="Comment Text Char"/>
    <w:qFormat/>
    <w:uiPriority w:val="99"/>
    <w:rPr>
      <w:sz w:val="24"/>
      <w:szCs w:val="24"/>
    </w:rPr>
  </w:style>
  <w:style w:type="character" w:customStyle="1" w:styleId="147">
    <w:name w:val="明显参考1"/>
    <w:qFormat/>
    <w:uiPriority w:val="99"/>
    <w:rPr>
      <w:b/>
      <w:bCs/>
      <w:smallCaps/>
      <w:color w:val="auto"/>
      <w:spacing w:val="5"/>
      <w:u w:val="single"/>
    </w:rPr>
  </w:style>
  <w:style w:type="character" w:customStyle="1" w:styleId="148">
    <w:name w:val="明显强调1"/>
    <w:qFormat/>
    <w:uiPriority w:val="99"/>
    <w:rPr>
      <w:b/>
      <w:bCs/>
      <w:i/>
      <w:iCs/>
      <w:color w:val="4F81BD"/>
    </w:rPr>
  </w:style>
  <w:style w:type="character" w:customStyle="1" w:styleId="149">
    <w:name w:val="引用 Char1"/>
    <w:qFormat/>
    <w:uiPriority w:val="99"/>
    <w:rPr>
      <w:rFonts w:ascii="Times New Roman" w:hAnsi="Times New Roman" w:eastAsia="宋体" w:cs="Times New Roman"/>
      <w:i/>
      <w:iCs/>
      <w:color w:val="000000"/>
      <w:sz w:val="24"/>
      <w:szCs w:val="24"/>
    </w:rPr>
  </w:style>
  <w:style w:type="character" w:customStyle="1" w:styleId="150">
    <w:name w:val="引用 Char"/>
    <w:link w:val="151"/>
    <w:qFormat/>
    <w:locked/>
    <w:uiPriority w:val="99"/>
    <w:rPr>
      <w:i/>
      <w:iCs/>
      <w:color w:val="000000"/>
    </w:rPr>
  </w:style>
  <w:style w:type="paragraph" w:customStyle="1" w:styleId="151">
    <w:name w:val="引用1"/>
    <w:basedOn w:val="1"/>
    <w:next w:val="1"/>
    <w:link w:val="150"/>
    <w:qFormat/>
    <w:uiPriority w:val="99"/>
    <w:rPr>
      <w:rFonts w:ascii="Times New Roman" w:hAnsi="Times New Roman"/>
      <w:i/>
      <w:iCs/>
      <w:color w:val="000000"/>
      <w:kern w:val="0"/>
      <w:sz w:val="20"/>
    </w:rPr>
  </w:style>
  <w:style w:type="character" w:customStyle="1" w:styleId="152">
    <w:name w:val="标题 Char2"/>
    <w:qFormat/>
    <w:uiPriority w:val="99"/>
    <w:rPr>
      <w:rFonts w:ascii="Cambria" w:hAnsi="Cambria" w:eastAsia="宋体" w:cs="Cambria"/>
      <w:b/>
      <w:bCs/>
      <w:sz w:val="32"/>
      <w:szCs w:val="32"/>
    </w:rPr>
  </w:style>
  <w:style w:type="character" w:customStyle="1" w:styleId="153">
    <w:name w:val="Char Char23"/>
    <w:qFormat/>
    <w:uiPriority w:val="99"/>
    <w:rPr>
      <w:rFonts w:eastAsia="宋体"/>
      <w:b/>
      <w:bCs/>
      <w:kern w:val="44"/>
      <w:sz w:val="44"/>
      <w:szCs w:val="44"/>
      <w:lang w:val="en-US" w:eastAsia="zh-CN"/>
    </w:rPr>
  </w:style>
  <w:style w:type="character" w:customStyle="1" w:styleId="154">
    <w:name w:val="Plain Text Char"/>
    <w:qFormat/>
    <w:uiPriority w:val="99"/>
    <w:rPr>
      <w:rFonts w:ascii="宋体" w:hAnsi="Courier New" w:eastAsia="宋体" w:cs="宋体"/>
      <w:sz w:val="24"/>
      <w:szCs w:val="24"/>
    </w:rPr>
  </w:style>
  <w:style w:type="character" w:customStyle="1" w:styleId="155">
    <w:name w:val="Char Char91"/>
    <w:qFormat/>
    <w:uiPriority w:val="99"/>
    <w:rPr>
      <w:rFonts w:eastAsia="宋体"/>
      <w:b/>
      <w:bCs/>
      <w:kern w:val="44"/>
      <w:sz w:val="44"/>
      <w:szCs w:val="44"/>
      <w:lang w:val="en-US" w:eastAsia="zh-CN"/>
    </w:rPr>
  </w:style>
  <w:style w:type="character" w:customStyle="1" w:styleId="156">
    <w:name w:val="纯文本 Char1"/>
    <w:qFormat/>
    <w:uiPriority w:val="99"/>
    <w:rPr>
      <w:rFonts w:ascii="宋体" w:hAnsi="Courier New" w:eastAsia="宋体" w:cs="宋体"/>
      <w:sz w:val="21"/>
      <w:szCs w:val="21"/>
    </w:rPr>
  </w:style>
  <w:style w:type="character" w:customStyle="1" w:styleId="157">
    <w:name w:val="Char Char181"/>
    <w:qFormat/>
    <w:uiPriority w:val="99"/>
    <w:rPr>
      <w:b/>
      <w:bCs/>
      <w:kern w:val="44"/>
      <w:sz w:val="44"/>
      <w:szCs w:val="44"/>
    </w:rPr>
  </w:style>
  <w:style w:type="character" w:customStyle="1" w:styleId="158">
    <w:name w:val="Heading 5 Char"/>
    <w:qFormat/>
    <w:uiPriority w:val="99"/>
    <w:rPr>
      <w:rFonts w:eastAsia="宋体"/>
      <w:b/>
      <w:bCs/>
      <w:kern w:val="2"/>
      <w:sz w:val="28"/>
      <w:szCs w:val="28"/>
      <w:lang w:val="en-US" w:eastAsia="zh-CN"/>
    </w:rPr>
  </w:style>
  <w:style w:type="character" w:customStyle="1" w:styleId="159">
    <w:name w:val="Char Char19"/>
    <w:qFormat/>
    <w:uiPriority w:val="99"/>
    <w:rPr>
      <w:rFonts w:ascii="Arial" w:hAnsi="Arial" w:eastAsia="宋体" w:cs="Arial"/>
      <w:b/>
      <w:bCs/>
      <w:sz w:val="28"/>
      <w:szCs w:val="28"/>
    </w:rPr>
  </w:style>
  <w:style w:type="character" w:customStyle="1" w:styleId="160">
    <w:name w:val="纯文本 Char2"/>
    <w:semiHidden/>
    <w:qFormat/>
    <w:uiPriority w:val="0"/>
    <w:rPr>
      <w:rFonts w:ascii="宋体" w:hAnsi="Courier New" w:eastAsia="宋体" w:cs="Courier New"/>
      <w:kern w:val="2"/>
      <w:sz w:val="21"/>
      <w:szCs w:val="21"/>
    </w:rPr>
  </w:style>
  <w:style w:type="character" w:customStyle="1" w:styleId="161">
    <w:name w:val="日期 Char1"/>
    <w:qFormat/>
    <w:uiPriority w:val="99"/>
    <w:rPr>
      <w:rFonts w:ascii="Times New Roman" w:hAnsi="Times New Roman" w:eastAsia="宋体" w:cs="Times New Roman"/>
      <w:sz w:val="24"/>
      <w:szCs w:val="24"/>
    </w:rPr>
  </w:style>
  <w:style w:type="character" w:customStyle="1" w:styleId="162">
    <w:name w:val="脚注文本 Char1"/>
    <w:semiHidden/>
    <w:qFormat/>
    <w:uiPriority w:val="99"/>
    <w:rPr>
      <w:kern w:val="2"/>
      <w:sz w:val="18"/>
      <w:szCs w:val="18"/>
    </w:rPr>
  </w:style>
  <w:style w:type="character" w:customStyle="1" w:styleId="163">
    <w:name w:val="正文文本缩进 2 Char1"/>
    <w:semiHidden/>
    <w:qFormat/>
    <w:uiPriority w:val="99"/>
    <w:rPr>
      <w:kern w:val="2"/>
      <w:sz w:val="21"/>
      <w:szCs w:val="22"/>
    </w:rPr>
  </w:style>
  <w:style w:type="character" w:customStyle="1" w:styleId="164">
    <w:name w:val="Date Char"/>
    <w:qFormat/>
    <w:uiPriority w:val="99"/>
    <w:rPr>
      <w:rFonts w:eastAsia="宋体"/>
      <w:kern w:val="2"/>
      <w:sz w:val="24"/>
      <w:szCs w:val="24"/>
      <w:lang w:val="en-US" w:eastAsia="zh-CN"/>
    </w:rPr>
  </w:style>
  <w:style w:type="character" w:customStyle="1" w:styleId="165">
    <w:name w:val="Title Char"/>
    <w:qFormat/>
    <w:uiPriority w:val="99"/>
    <w:rPr>
      <w:rFonts w:ascii="Cambria" w:hAnsi="Cambria" w:cs="Cambria"/>
      <w:b/>
      <w:bCs/>
      <w:sz w:val="32"/>
      <w:szCs w:val="32"/>
    </w:rPr>
  </w:style>
  <w:style w:type="character" w:customStyle="1" w:styleId="166">
    <w:name w:val="正文文本缩进 Char1"/>
    <w:semiHidden/>
    <w:qFormat/>
    <w:uiPriority w:val="99"/>
    <w:rPr>
      <w:kern w:val="2"/>
      <w:sz w:val="21"/>
      <w:szCs w:val="22"/>
    </w:rPr>
  </w:style>
  <w:style w:type="character" w:customStyle="1" w:styleId="167">
    <w:name w:val="书籍标题1"/>
    <w:qFormat/>
    <w:uiPriority w:val="99"/>
    <w:rPr>
      <w:b/>
      <w:bCs/>
      <w:smallCaps/>
      <w:spacing w:val="5"/>
    </w:rPr>
  </w:style>
  <w:style w:type="character" w:customStyle="1" w:styleId="168">
    <w:name w:val="不明显强调1"/>
    <w:qFormat/>
    <w:uiPriority w:val="99"/>
    <w:rPr>
      <w:i/>
      <w:iCs/>
      <w:color w:val="808080"/>
    </w:rPr>
  </w:style>
  <w:style w:type="character" w:customStyle="1" w:styleId="169">
    <w:name w:val="日期 Char2"/>
    <w:semiHidden/>
    <w:qFormat/>
    <w:uiPriority w:val="99"/>
    <w:rPr>
      <w:kern w:val="2"/>
      <w:sz w:val="21"/>
      <w:szCs w:val="22"/>
    </w:rPr>
  </w:style>
  <w:style w:type="character" w:customStyle="1" w:styleId="170">
    <w:name w:val="textcontents"/>
    <w:qFormat/>
    <w:uiPriority w:val="99"/>
  </w:style>
  <w:style w:type="paragraph" w:customStyle="1" w:styleId="171">
    <w:name w:val="样式1"/>
    <w:basedOn w:val="1"/>
    <w:next w:val="5"/>
    <w:qFormat/>
    <w:uiPriority w:val="99"/>
    <w:pPr>
      <w:spacing w:line="360" w:lineRule="auto"/>
      <w:ind w:firstLine="420" w:firstLineChars="200"/>
    </w:pPr>
    <w:rPr>
      <w:rFonts w:hAnsi="宋体" w:cs="宋体"/>
      <w:szCs w:val="22"/>
    </w:rPr>
  </w:style>
  <w:style w:type="paragraph" w:customStyle="1" w:styleId="172">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73">
    <w:name w:val="Char Char Char Char Char Char Char"/>
    <w:basedOn w:val="1"/>
    <w:qFormat/>
    <w:uiPriority w:val="99"/>
    <w:pPr>
      <w:widowControl/>
      <w:spacing w:after="160" w:line="240" w:lineRule="exact"/>
      <w:jc w:val="left"/>
    </w:pPr>
    <w:rPr>
      <w:rFonts w:ascii="Calibri" w:hAnsi="Calibri"/>
      <w:szCs w:val="22"/>
    </w:rPr>
  </w:style>
  <w:style w:type="paragraph" w:customStyle="1" w:styleId="1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TOC 标题1"/>
    <w:basedOn w:val="2"/>
    <w:next w:val="1"/>
    <w:qFormat/>
    <w:uiPriority w:val="99"/>
    <w:pPr>
      <w:spacing w:line="576" w:lineRule="auto"/>
      <w:outlineLvl w:val="9"/>
    </w:pPr>
    <w:rPr>
      <w:rFonts w:ascii="Calibri" w:hAnsi="Calibri" w:eastAsia="黑体" w:cs="Calibri"/>
      <w:lang w:val="zh-CN"/>
    </w:rPr>
  </w:style>
  <w:style w:type="paragraph" w:customStyle="1" w:styleId="177">
    <w:name w:val="空半行"/>
    <w:basedOn w:val="1"/>
    <w:qFormat/>
    <w:uiPriority w:val="99"/>
    <w:pPr>
      <w:adjustRightInd w:val="0"/>
      <w:spacing w:line="120" w:lineRule="exact"/>
      <w:textAlignment w:val="baseline"/>
    </w:pPr>
    <w:rPr>
      <w:rFonts w:ascii="Calibri" w:hAnsi="Calibri" w:eastAsia="仿宋_GB2312"/>
      <w:color w:val="FFFFFF"/>
      <w:kern w:val="0"/>
      <w:sz w:val="30"/>
      <w:szCs w:val="30"/>
    </w:rPr>
  </w:style>
  <w:style w:type="paragraph" w:customStyle="1" w:styleId="178">
    <w:name w:val="p0"/>
    <w:basedOn w:val="1"/>
    <w:qFormat/>
    <w:uiPriority w:val="99"/>
    <w:pPr>
      <w:widowControl/>
    </w:pPr>
    <w:rPr>
      <w:rFonts w:ascii="Calibri" w:hAnsi="Calibri" w:cs="Calibri"/>
      <w:kern w:val="0"/>
      <w:szCs w:val="22"/>
    </w:rPr>
  </w:style>
  <w:style w:type="paragraph" w:customStyle="1" w:styleId="179">
    <w:name w:val="列出段落2"/>
    <w:basedOn w:val="1"/>
    <w:qFormat/>
    <w:uiPriority w:val="99"/>
    <w:pPr>
      <w:ind w:firstLine="420" w:firstLineChars="200"/>
    </w:pPr>
    <w:rPr>
      <w:rFonts w:ascii="Calibri" w:hAnsi="Calibri" w:cs="Calibri"/>
      <w:szCs w:val="22"/>
    </w:rPr>
  </w:style>
  <w:style w:type="paragraph" w:customStyle="1" w:styleId="180">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样式 标题 2 + Times New Roman 四号 非加粗 段前: 5 磅 段后: 0 磅 行距: 固定值 20..."/>
    <w:basedOn w:val="3"/>
    <w:qFormat/>
    <w:uiPriority w:val="99"/>
    <w:pPr>
      <w:spacing w:before="100" w:after="0" w:line="400" w:lineRule="exact"/>
    </w:pPr>
    <w:rPr>
      <w:rFonts w:ascii="Times New Roman" w:hAnsi="Times New Roman"/>
      <w:b w:val="0"/>
      <w:bCs w:val="0"/>
      <w:kern w:val="0"/>
      <w:sz w:val="28"/>
      <w:szCs w:val="28"/>
      <w:lang w:val="zh-CN"/>
    </w:rPr>
  </w:style>
  <w:style w:type="paragraph" w:customStyle="1" w:styleId="182">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83">
    <w:name w:val="reader-word-layer"/>
    <w:basedOn w:val="1"/>
    <w:qFormat/>
    <w:uiPriority w:val="99"/>
    <w:pPr>
      <w:widowControl/>
      <w:spacing w:before="100" w:beforeAutospacing="1" w:after="100" w:afterAutospacing="1"/>
      <w:jc w:val="left"/>
    </w:pPr>
    <w:rPr>
      <w:rFonts w:hAnsi="宋体" w:cs="宋体"/>
      <w:kern w:val="0"/>
      <w:sz w:val="24"/>
      <w:szCs w:val="24"/>
    </w:rPr>
  </w:style>
  <w:style w:type="character" w:customStyle="1" w:styleId="184">
    <w:name w:val="标题 Char3"/>
    <w:qFormat/>
    <w:uiPriority w:val="99"/>
    <w:rPr>
      <w:rFonts w:ascii="Calibri Light" w:hAnsi="Calibri Light" w:eastAsia="宋体" w:cs="Times New Roman"/>
      <w:b/>
      <w:bCs/>
      <w:sz w:val="32"/>
      <w:szCs w:val="32"/>
    </w:rPr>
  </w:style>
  <w:style w:type="paragraph" w:customStyle="1" w:styleId="185">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customStyle="1" w:styleId="186">
    <w:name w:val="列出段落11"/>
    <w:basedOn w:val="1"/>
    <w:qFormat/>
    <w:uiPriority w:val="99"/>
    <w:pPr>
      <w:ind w:firstLine="420" w:firstLineChars="200"/>
    </w:pPr>
    <w:rPr>
      <w:rFonts w:ascii="Calibri" w:hAnsi="Calibri" w:cs="Calibri"/>
      <w:szCs w:val="22"/>
    </w:rPr>
  </w:style>
  <w:style w:type="paragraph" w:customStyle="1" w:styleId="187">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88">
    <w:name w:val="Char1"/>
    <w:basedOn w:val="1"/>
    <w:qFormat/>
    <w:uiPriority w:val="99"/>
    <w:pPr>
      <w:widowControl/>
      <w:spacing w:after="160" w:line="240" w:lineRule="exact"/>
      <w:jc w:val="left"/>
    </w:pPr>
    <w:rPr>
      <w:rFonts w:ascii="Calibri" w:hAnsi="Calibri"/>
      <w:szCs w:val="22"/>
    </w:rPr>
  </w:style>
  <w:style w:type="paragraph" w:customStyle="1" w:styleId="189">
    <w:name w:val="_Style 37"/>
    <w:basedOn w:val="1"/>
    <w:next w:val="1"/>
    <w:qFormat/>
    <w:uiPriority w:val="99"/>
    <w:rPr>
      <w:rFonts w:ascii="Calibri" w:hAnsi="Calibri"/>
      <w:szCs w:val="22"/>
    </w:rPr>
  </w:style>
  <w:style w:type="paragraph" w:customStyle="1" w:styleId="190">
    <w:name w:val="样式 标题 3 + (中文) 黑体 小四 非加粗 段前: 7.8 磅 段后: 0 磅 行距: 固定值 20 磅"/>
    <w:basedOn w:val="4"/>
    <w:qFormat/>
    <w:uiPriority w:val="99"/>
    <w:pPr>
      <w:spacing w:before="0" w:after="0" w:line="400" w:lineRule="exact"/>
    </w:pPr>
    <w:rPr>
      <w:rFonts w:hint="default" w:ascii="Calibri" w:hAnsi="Calibri" w:eastAsia="黑体"/>
      <w:b w:val="0"/>
      <w:bCs w:val="0"/>
      <w:kern w:val="2"/>
      <w:sz w:val="32"/>
      <w:lang w:val="zh-CN"/>
    </w:rPr>
  </w:style>
  <w:style w:type="character" w:customStyle="1" w:styleId="191">
    <w:name w:val="fontstyle01"/>
    <w:qFormat/>
    <w:uiPriority w:val="0"/>
    <w:rPr>
      <w:rFonts w:hint="eastAsia" w:ascii="宋体" w:hAnsi="宋体" w:eastAsia="宋体"/>
      <w:color w:val="000000"/>
      <w:sz w:val="22"/>
      <w:szCs w:val="22"/>
    </w:rPr>
  </w:style>
  <w:style w:type="character" w:customStyle="1" w:styleId="192">
    <w:name w:val="fontstyle21"/>
    <w:qFormat/>
    <w:uiPriority w:val="0"/>
    <w:rPr>
      <w:rFonts w:hint="default" w:ascii="Times New Roman" w:hAnsi="Times New Roman" w:cs="Times New Roman"/>
      <w:b/>
      <w:bCs/>
      <w:color w:val="000000"/>
      <w:sz w:val="22"/>
      <w:szCs w:val="22"/>
    </w:rPr>
  </w:style>
  <w:style w:type="character" w:customStyle="1" w:styleId="193">
    <w:name w:val="fontstyle31"/>
    <w:qFormat/>
    <w:uiPriority w:val="0"/>
    <w:rPr>
      <w:rFonts w:hint="eastAsia" w:ascii="黑体" w:hAnsi="黑体" w:eastAsia="黑体"/>
      <w:color w:val="000000"/>
      <w:sz w:val="28"/>
      <w:szCs w:val="28"/>
    </w:rPr>
  </w:style>
  <w:style w:type="character" w:customStyle="1" w:styleId="194">
    <w:name w:val="fontstyle41"/>
    <w:qFormat/>
    <w:uiPriority w:val="0"/>
    <w:rPr>
      <w:rFonts w:hint="default" w:ascii="Times New Roman" w:hAnsi="Times New Roman" w:cs="Times New Roman"/>
      <w:color w:val="000000"/>
      <w:sz w:val="18"/>
      <w:szCs w:val="18"/>
    </w:rPr>
  </w:style>
  <w:style w:type="character" w:customStyle="1" w:styleId="195">
    <w:name w:val="fontstyle51"/>
    <w:qFormat/>
    <w:uiPriority w:val="0"/>
    <w:rPr>
      <w:rFonts w:hint="eastAsia" w:ascii="楷体" w:hAnsi="楷体" w:eastAsia="楷体"/>
      <w:color w:val="000000"/>
      <w:sz w:val="22"/>
      <w:szCs w:val="22"/>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超链接_0"/>
    <w:qFormat/>
    <w:uiPriority w:val="99"/>
    <w:rPr>
      <w:rFonts w:ascii="Calibri" w:hAnsi="Calibri"/>
      <w:color w:val="0000FF"/>
      <w:u w:val="single"/>
    </w:rPr>
  </w:style>
  <w:style w:type="paragraph" w:customStyle="1" w:styleId="198">
    <w:name w:val="标题 2_0"/>
    <w:basedOn w:val="89"/>
    <w:next w:val="89"/>
    <w:link w:val="199"/>
    <w:qFormat/>
    <w:uiPriority w:val="9"/>
    <w:pPr>
      <w:keepNext/>
      <w:keepLines/>
      <w:spacing w:before="260" w:after="260" w:line="412" w:lineRule="auto"/>
      <w:outlineLvl w:val="1"/>
    </w:pPr>
    <w:rPr>
      <w:rFonts w:ascii="Arial" w:hAnsi="Arial" w:eastAsia="黑体"/>
      <w:b/>
      <w:sz w:val="32"/>
      <w:szCs w:val="20"/>
    </w:rPr>
  </w:style>
  <w:style w:type="character" w:customStyle="1" w:styleId="199">
    <w:name w:val="标题 2 Char_0"/>
    <w:link w:val="198"/>
    <w:qFormat/>
    <w:uiPriority w:val="9"/>
    <w:rPr>
      <w:rFonts w:ascii="Arial" w:hAnsi="Arial" w:eastAsia="黑体"/>
      <w:b/>
      <w:kern w:val="2"/>
      <w:sz w:val="32"/>
    </w:rPr>
  </w:style>
  <w:style w:type="paragraph" w:customStyle="1" w:styleId="2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修订3"/>
    <w:semiHidden/>
    <w:qFormat/>
    <w:uiPriority w:val="99"/>
    <w:rPr>
      <w:rFonts w:ascii="Calibri" w:hAnsi="Calibri" w:eastAsia="宋体" w:cs="Times New Roman"/>
      <w:kern w:val="2"/>
      <w:sz w:val="21"/>
      <w:szCs w:val="22"/>
      <w:lang w:val="en-US" w:eastAsia="zh-CN" w:bidi="ar-SA"/>
    </w:rPr>
  </w:style>
  <w:style w:type="paragraph" w:customStyle="1" w:styleId="202">
    <w:name w:val="正文小标题"/>
    <w:basedOn w:val="2"/>
    <w:link w:val="205"/>
    <w:qFormat/>
    <w:uiPriority w:val="0"/>
    <w:pPr>
      <w:tabs>
        <w:tab w:val="left" w:pos="360"/>
      </w:tabs>
      <w:spacing w:before="480" w:after="0" w:line="420" w:lineRule="exact"/>
    </w:pPr>
    <w:rPr>
      <w:rFonts w:hAnsi="宋体"/>
      <w:sz w:val="20"/>
      <w:szCs w:val="21"/>
    </w:rPr>
  </w:style>
  <w:style w:type="paragraph" w:customStyle="1" w:styleId="203">
    <w:name w:val="正文呀2"/>
    <w:basedOn w:val="204"/>
    <w:qFormat/>
    <w:uiPriority w:val="0"/>
    <w:rPr>
      <w:rFonts w:ascii="Times New Roman" w:hAnsi="Times New Roman"/>
    </w:rPr>
  </w:style>
  <w:style w:type="paragraph" w:customStyle="1" w:styleId="204">
    <w:name w:val="正文呀"/>
    <w:basedOn w:val="1"/>
    <w:qFormat/>
    <w:uiPriority w:val="0"/>
    <w:pPr>
      <w:spacing w:line="420" w:lineRule="exact"/>
      <w:ind w:firstLine="420" w:firstLineChars="200"/>
    </w:pPr>
    <w:rPr>
      <w:rFonts w:ascii="宋体" w:hAnsi="宋体"/>
    </w:rPr>
  </w:style>
  <w:style w:type="character" w:customStyle="1" w:styleId="205">
    <w:name w:val="正文小标题 Char"/>
    <w:link w:val="202"/>
    <w:qFormat/>
    <w:uiPriority w:val="0"/>
    <w:rPr>
      <w:rFonts w:hAnsi="宋体"/>
      <w:sz w:val="20"/>
      <w:szCs w:val="21"/>
    </w:rPr>
  </w:style>
  <w:style w:type="paragraph" w:customStyle="1" w:styleId="206">
    <w:name w:val="正文呀2_1"/>
    <w:basedOn w:val="207"/>
    <w:qFormat/>
    <w:uiPriority w:val="0"/>
    <w:rPr>
      <w:rFonts w:ascii="Times New Roman" w:hAnsi="Times New Roman"/>
    </w:rPr>
  </w:style>
  <w:style w:type="paragraph" w:customStyle="1" w:styleId="207">
    <w:name w:val="正文呀_1"/>
    <w:basedOn w:val="105"/>
    <w:qFormat/>
    <w:uiPriority w:val="0"/>
    <w:pPr>
      <w:spacing w:line="420" w:lineRule="exact"/>
      <w:ind w:firstLine="420" w:firstLineChars="200"/>
    </w:pPr>
    <w:rPr>
      <w:rFonts w:ascii="宋体" w:hAnsi="宋体"/>
      <w:kern w:val="0"/>
      <w:sz w:val="20"/>
      <w:szCs w:val="21"/>
      <w:lang w:val="zh-CN"/>
    </w:rPr>
  </w:style>
  <w:style w:type="paragraph" w:customStyle="1" w:styleId="208">
    <w:name w:val="正文呀2_0"/>
    <w:basedOn w:val="209"/>
    <w:qFormat/>
    <w:uiPriority w:val="0"/>
    <w:pPr>
      <w:spacing w:line="420" w:lineRule="exact"/>
      <w:ind w:firstLine="420" w:firstLineChars="200"/>
    </w:pPr>
    <w:rPr>
      <w:szCs w:val="21"/>
    </w:rPr>
  </w:style>
  <w:style w:type="paragraph" w:customStyle="1" w:styleId="209">
    <w:name w:val="正文呀_0"/>
    <w:basedOn w:val="210"/>
    <w:qFormat/>
    <w:uiPriority w:val="0"/>
    <w:pPr>
      <w:spacing w:line="420" w:lineRule="exact"/>
      <w:ind w:firstLine="420" w:firstLineChars="200"/>
    </w:pPr>
    <w:rPr>
      <w:rFonts w:ascii="宋体" w:hAnsi="宋体"/>
      <w:szCs w:val="21"/>
    </w:rPr>
  </w:style>
  <w:style w:type="paragraph" w:customStyle="1" w:styleId="210">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1">
    <w:name w:val="正文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广西建设工程机电设备招标中心</Company>
  <Pages>53</Pages>
  <Words>21321</Words>
  <Characters>22355</Characters>
  <Lines>308</Lines>
  <Paragraphs>86</Paragraphs>
  <TotalTime>1</TotalTime>
  <ScaleCrop>false</ScaleCrop>
  <LinksUpToDate>false</LinksUpToDate>
  <CharactersWithSpaces>24895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2025-09-01T04:54:00Z</dcterms:created>
  <dc:creator>科文招标</dc:creator>
  <cp:lastModifiedBy>高静</cp:lastModifiedBy>
  <cp:lastPrinted>2025-09-08T10:12:00Z</cp:lastPrinted>
  <dcterms:modified xsi:type="dcterms:W3CDTF">2025-10-31T07:53:42Z</dcterms:modified>
  <dc:title>科文招标</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4F5595984DBC4D4EBA765FB24D0600B1_13</vt:lpwstr>
  </property>
  <property fmtid="{D5CDD505-2E9C-101B-9397-08002B2CF9AE}" pid="4" name="KSOTemplateDocerSaveRecord">
    <vt:lpwstr>eyJoZGlkIjoiMTIxZGQ1ODBlY2Y2NDQ0N2IzNTdiMzVmMTQ4MmQ3MGEiLCJ1c2VySWQiOiIyOTc5NjgzMzQifQ==</vt:lpwstr>
  </property>
</Properties>
</file>