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5D951">
      <w:pPr>
        <w:keepNext w:val="0"/>
        <w:keepLines w:val="0"/>
        <w:pageBreakBefore w:val="0"/>
        <w:widowControl/>
        <w:shd w:val="clear"/>
        <w:kinsoku w:val="0"/>
        <w:wordWrap/>
        <w:overflowPunct/>
        <w:topLinePunct w:val="0"/>
        <w:autoSpaceDE w:val="0"/>
        <w:autoSpaceDN w:val="0"/>
        <w:bidi w:val="0"/>
        <w:adjustRightInd w:val="0"/>
        <w:snapToGrid w:val="0"/>
        <w:spacing w:beforeAutospacing="0" w:afterAutospacing="0" w:line="520" w:lineRule="exact"/>
        <w:ind w:left="0" w:firstLine="0" w:firstLineChars="0"/>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36"/>
          <w:szCs w:val="36"/>
          <w:highlight w:val="none"/>
          <w:lang w:val="en-US" w:eastAsia="zh-CN"/>
        </w:rPr>
        <w:t>广西艺术学院2026年社会需求与专业诊断报告项目采购</w:t>
      </w:r>
      <w:r>
        <w:rPr>
          <w:rFonts w:hint="eastAsia" w:ascii="宋体" w:hAnsi="宋体" w:eastAsia="宋体" w:cs="宋体"/>
          <w:b w:val="0"/>
          <w:bCs w:val="0"/>
          <w:color w:val="auto"/>
          <w:sz w:val="36"/>
          <w:szCs w:val="36"/>
          <w:highlight w:val="none"/>
        </w:rPr>
        <w:t>公告</w:t>
      </w:r>
    </w:p>
    <w:p w14:paraId="13D058DD">
      <w:pPr>
        <w:keepNext w:val="0"/>
        <w:keepLines w:val="0"/>
        <w:pageBreakBefore w:val="0"/>
        <w:widowControl/>
        <w:shd w:val="clear"/>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eastAsia" w:ascii="宋体" w:hAnsi="宋体" w:eastAsia="宋体" w:cs="宋体"/>
          <w:b w:val="0"/>
          <w:bCs w:val="0"/>
          <w:color w:val="auto"/>
          <w:sz w:val="24"/>
          <w:szCs w:val="24"/>
          <w:highlight w:val="none"/>
        </w:rPr>
      </w:pPr>
    </w:p>
    <w:p w14:paraId="3D188EB9">
      <w:pPr>
        <w:keepNext w:val="0"/>
        <w:keepLines w:val="0"/>
        <w:pageBreakBefore w:val="0"/>
        <w:widowControl/>
        <w:shd w:val="clear"/>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eastAsia" w:ascii="宋体" w:hAnsi="宋体" w:eastAsia="宋体" w:cs="宋体"/>
          <w:b w:val="0"/>
          <w:bCs w:val="0"/>
          <w:color w:val="auto"/>
          <w:sz w:val="24"/>
          <w:szCs w:val="24"/>
          <w:highlight w:val="none"/>
        </w:rPr>
      </w:pPr>
    </w:p>
    <w:p w14:paraId="6EC5ACF0">
      <w:pPr>
        <w:pStyle w:val="1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right="0"/>
        <w:jc w:val="both"/>
        <w:rPr>
          <w:rFonts w:hint="eastAsia" w:ascii="宋体" w:hAnsi="宋体" w:eastAsia="宋体" w:cs="宋体"/>
          <w:b w:val="0"/>
          <w:bCs w:val="0"/>
          <w:i w:val="0"/>
          <w:iCs w:val="0"/>
          <w:caps w:val="0"/>
          <w:color w:val="auto"/>
          <w:spacing w:val="0"/>
          <w:sz w:val="24"/>
          <w:szCs w:val="24"/>
          <w:highlight w:val="none"/>
          <w:shd w:val="clear" w:fill="FFFFFF"/>
        </w:rPr>
      </w:pPr>
      <w:r>
        <w:rPr>
          <w:rFonts w:hint="eastAsia" w:ascii="宋体" w:hAnsi="宋体" w:eastAsia="宋体" w:cs="宋体"/>
          <w:b w:val="0"/>
          <w:bCs w:val="0"/>
          <w:i w:val="0"/>
          <w:iCs w:val="0"/>
          <w:caps w:val="0"/>
          <w:color w:val="auto"/>
          <w:spacing w:val="0"/>
          <w:sz w:val="24"/>
          <w:szCs w:val="24"/>
          <w:highlight w:val="none"/>
          <w:shd w:val="clear" w:fill="FFFFFF"/>
        </w:rPr>
        <w:t>采购单位：广西艺术学院 </w:t>
      </w:r>
    </w:p>
    <w:p w14:paraId="26266BF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right="0" w:rightChars="0"/>
        <w:jc w:val="both"/>
        <w:rPr>
          <w:rFonts w:hint="default" w:ascii="宋体" w:hAnsi="宋体" w:eastAsia="宋体" w:cs="宋体"/>
          <w:b w:val="0"/>
          <w:bCs w:val="0"/>
          <w:i w:val="0"/>
          <w:iCs w:val="0"/>
          <w:caps w:val="0"/>
          <w:color w:val="auto"/>
          <w:spacing w:val="0"/>
          <w:sz w:val="24"/>
          <w:szCs w:val="24"/>
          <w:highlight w:val="none"/>
          <w:lang w:val="en-US" w:eastAsia="zh-CN"/>
        </w:rPr>
      </w:pPr>
      <w:r>
        <w:rPr>
          <w:rFonts w:hint="eastAsia" w:ascii="宋体" w:hAnsi="宋体" w:cs="宋体"/>
          <w:b w:val="0"/>
          <w:bCs w:val="0"/>
          <w:i w:val="0"/>
          <w:iCs w:val="0"/>
          <w:caps w:val="0"/>
          <w:color w:val="auto"/>
          <w:spacing w:val="0"/>
          <w:sz w:val="24"/>
          <w:szCs w:val="24"/>
          <w:highlight w:val="none"/>
          <w:shd w:val="clear" w:fill="FFFFFF"/>
          <w:lang w:eastAsia="zh-CN"/>
        </w:rPr>
        <w:t>二</w:t>
      </w:r>
      <w:r>
        <w:rPr>
          <w:rFonts w:hint="eastAsia" w:ascii="宋体" w:hAnsi="宋体" w:eastAsia="宋体" w:cs="宋体"/>
          <w:b w:val="0"/>
          <w:bCs w:val="0"/>
          <w:i w:val="0"/>
          <w:iCs w:val="0"/>
          <w:caps w:val="0"/>
          <w:color w:val="auto"/>
          <w:spacing w:val="0"/>
          <w:sz w:val="24"/>
          <w:szCs w:val="24"/>
          <w:highlight w:val="none"/>
          <w:shd w:val="clear" w:fill="FFFFFF"/>
        </w:rPr>
        <w:t>、控制价：</w:t>
      </w:r>
      <w:r>
        <w:rPr>
          <w:rFonts w:hint="eastAsia" w:ascii="宋体" w:hAnsi="宋体" w:cs="宋体"/>
          <w:b w:val="0"/>
          <w:bCs w:val="0"/>
          <w:i w:val="0"/>
          <w:iCs w:val="0"/>
          <w:caps w:val="0"/>
          <w:color w:val="auto"/>
          <w:spacing w:val="0"/>
          <w:sz w:val="24"/>
          <w:szCs w:val="24"/>
          <w:highlight w:val="none"/>
          <w:shd w:val="clear" w:fill="FFFFFF"/>
          <w:lang w:val="en-US" w:eastAsia="zh-CN"/>
        </w:rPr>
        <w:t>187000</w:t>
      </w:r>
      <w:r>
        <w:rPr>
          <w:rFonts w:hint="eastAsia" w:ascii="宋体" w:hAnsi="宋体" w:eastAsia="宋体" w:cs="宋体"/>
          <w:b w:val="0"/>
          <w:bCs w:val="0"/>
          <w:i w:val="0"/>
          <w:iCs w:val="0"/>
          <w:caps w:val="0"/>
          <w:color w:val="auto"/>
          <w:spacing w:val="0"/>
          <w:sz w:val="24"/>
          <w:szCs w:val="24"/>
          <w:highlight w:val="none"/>
          <w:shd w:val="clear" w:fill="FFFFFF"/>
        </w:rPr>
        <w:t>元，总价超过控制价的投标文件视为无效文件。</w:t>
      </w:r>
    </w:p>
    <w:p w14:paraId="02E6E25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right="0"/>
        <w:jc w:val="both"/>
        <w:rPr>
          <w:rFonts w:hint="eastAsia" w:ascii="宋体" w:hAnsi="宋体" w:eastAsia="宋体" w:cs="宋体"/>
          <w:b w:val="0"/>
          <w:bCs w:val="0"/>
          <w:i w:val="0"/>
          <w:iCs w:val="0"/>
          <w:caps w:val="0"/>
          <w:color w:val="auto"/>
          <w:spacing w:val="0"/>
          <w:sz w:val="24"/>
          <w:szCs w:val="24"/>
          <w:highlight w:val="none"/>
        </w:rPr>
      </w:pPr>
      <w:r>
        <w:rPr>
          <w:rFonts w:hint="eastAsia" w:ascii="宋体" w:hAnsi="宋体" w:cs="宋体"/>
          <w:b w:val="0"/>
          <w:bCs w:val="0"/>
          <w:i w:val="0"/>
          <w:iCs w:val="0"/>
          <w:caps w:val="0"/>
          <w:color w:val="auto"/>
          <w:spacing w:val="0"/>
          <w:sz w:val="24"/>
          <w:szCs w:val="24"/>
          <w:highlight w:val="none"/>
          <w:shd w:val="clear" w:fill="FFFFFF"/>
          <w:lang w:eastAsia="zh-CN"/>
        </w:rPr>
        <w:t>三</w:t>
      </w:r>
      <w:r>
        <w:rPr>
          <w:rFonts w:hint="eastAsia" w:ascii="宋体" w:hAnsi="宋体" w:eastAsia="宋体" w:cs="宋体"/>
          <w:b w:val="0"/>
          <w:bCs w:val="0"/>
          <w:i w:val="0"/>
          <w:iCs w:val="0"/>
          <w:caps w:val="0"/>
          <w:color w:val="auto"/>
          <w:spacing w:val="0"/>
          <w:sz w:val="24"/>
          <w:szCs w:val="24"/>
          <w:highlight w:val="none"/>
          <w:shd w:val="clear" w:fill="FFFFFF"/>
        </w:rPr>
        <w:t>、服务采购需求</w:t>
      </w:r>
    </w:p>
    <w:p w14:paraId="5D2585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见</w:t>
      </w:r>
      <w:r>
        <w:rPr>
          <w:rFonts w:hint="eastAsia" w:ascii="宋体" w:hAnsi="宋体" w:cs="宋体"/>
          <w:b w:val="0"/>
          <w:bCs w:val="0"/>
          <w:i w:val="0"/>
          <w:iCs w:val="0"/>
          <w:caps w:val="0"/>
          <w:color w:val="auto"/>
          <w:spacing w:val="0"/>
          <w:sz w:val="24"/>
          <w:szCs w:val="24"/>
          <w:highlight w:val="none"/>
          <w:shd w:val="clear" w:fill="FFFFFF"/>
          <w:lang w:eastAsia="zh-CN"/>
        </w:rPr>
        <w:t>附件</w:t>
      </w:r>
      <w:r>
        <w:rPr>
          <w:rFonts w:hint="eastAsia" w:ascii="宋体" w:hAnsi="宋体" w:eastAsia="宋体" w:cs="宋体"/>
          <w:b w:val="0"/>
          <w:bCs w:val="0"/>
          <w:i w:val="0"/>
          <w:iCs w:val="0"/>
          <w:caps w:val="0"/>
          <w:color w:val="auto"/>
          <w:spacing w:val="0"/>
          <w:sz w:val="24"/>
          <w:szCs w:val="24"/>
          <w:highlight w:val="none"/>
          <w:shd w:val="clear" w:fill="FFFFFF"/>
        </w:rPr>
        <w:t>。本项目要求服务需求必须全部满足，不允许负偏离。</w:t>
      </w:r>
    </w:p>
    <w:p w14:paraId="7A8F854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right="0"/>
        <w:jc w:val="both"/>
        <w:rPr>
          <w:rFonts w:hint="eastAsia" w:ascii="宋体" w:hAnsi="宋体" w:eastAsia="宋体" w:cs="宋体"/>
          <w:b w:val="0"/>
          <w:bCs w:val="0"/>
          <w:i w:val="0"/>
          <w:iCs w:val="0"/>
          <w:caps w:val="0"/>
          <w:color w:val="auto"/>
          <w:spacing w:val="0"/>
          <w:sz w:val="24"/>
          <w:szCs w:val="24"/>
          <w:highlight w:val="none"/>
        </w:rPr>
      </w:pPr>
      <w:r>
        <w:rPr>
          <w:rFonts w:hint="eastAsia" w:ascii="宋体" w:hAnsi="宋体" w:cs="宋体"/>
          <w:b w:val="0"/>
          <w:bCs w:val="0"/>
          <w:i w:val="0"/>
          <w:iCs w:val="0"/>
          <w:caps w:val="0"/>
          <w:color w:val="auto"/>
          <w:spacing w:val="0"/>
          <w:sz w:val="24"/>
          <w:szCs w:val="24"/>
          <w:highlight w:val="none"/>
          <w:shd w:val="clear" w:fill="FFFFFF"/>
          <w:lang w:eastAsia="zh-CN"/>
        </w:rPr>
        <w:t>四</w:t>
      </w:r>
      <w:r>
        <w:rPr>
          <w:rFonts w:hint="eastAsia" w:ascii="宋体" w:hAnsi="宋体" w:eastAsia="宋体" w:cs="宋体"/>
          <w:b w:val="0"/>
          <w:bCs w:val="0"/>
          <w:i w:val="0"/>
          <w:iCs w:val="0"/>
          <w:caps w:val="0"/>
          <w:color w:val="auto"/>
          <w:spacing w:val="0"/>
          <w:sz w:val="24"/>
          <w:szCs w:val="24"/>
          <w:highlight w:val="none"/>
          <w:shd w:val="clear" w:fill="FFFFFF"/>
        </w:rPr>
        <w:t>、投标供应商资格要求</w:t>
      </w:r>
    </w:p>
    <w:p w14:paraId="1BAF01B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rPr>
          <w:rFonts w:ascii="仿宋" w:hAnsi="仿宋" w:eastAsia="仿宋" w:cs="仿宋"/>
          <w:i w:val="0"/>
          <w:iCs w:val="0"/>
          <w:caps w:val="0"/>
          <w:color w:val="auto"/>
          <w:spacing w:val="0"/>
          <w:sz w:val="30"/>
          <w:szCs w:val="30"/>
          <w:highlight w:val="none"/>
          <w:shd w:val="clear" w:fill="FFFFFF"/>
        </w:rPr>
      </w:pPr>
      <w:r>
        <w:rPr>
          <w:rFonts w:hint="eastAsia" w:ascii="宋体" w:hAnsi="宋体" w:eastAsia="宋体" w:cs="宋体"/>
          <w:b w:val="0"/>
          <w:bCs w:val="0"/>
          <w:i w:val="0"/>
          <w:iCs w:val="0"/>
          <w:caps w:val="0"/>
          <w:color w:val="auto"/>
          <w:spacing w:val="0"/>
          <w:sz w:val="24"/>
          <w:szCs w:val="24"/>
          <w:highlight w:val="none"/>
          <w:shd w:val="clear" w:fill="FFFFFF"/>
        </w:rPr>
        <w:t>（一）</w:t>
      </w:r>
      <w:r>
        <w:rPr>
          <w:rFonts w:hint="eastAsia" w:ascii="宋体" w:hAnsi="宋体" w:eastAsia="宋体" w:cs="宋体"/>
          <w:i w:val="0"/>
          <w:iCs w:val="0"/>
          <w:caps w:val="0"/>
          <w:color w:val="auto"/>
          <w:spacing w:val="0"/>
          <w:sz w:val="24"/>
          <w:szCs w:val="24"/>
          <w:highlight w:val="none"/>
          <w:shd w:val="clear" w:fill="FFFFFF"/>
        </w:rPr>
        <w:t>必须是在中华人民共和国境内注册，具有独立法人，并持有工商行政管理部门核发的法人营业执照。</w:t>
      </w:r>
    </w:p>
    <w:p w14:paraId="402F55F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val="0"/>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（二）未被列入失信被执行人名单、重大税收违法案件当事人名单、政府采购严重违法失信行为记录名单，信用信息以最新的信用中国网站和中国政府采购网公布为准</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请提供</w:t>
      </w:r>
      <w:r>
        <w:rPr>
          <w:rFonts w:hint="eastAsia" w:ascii="宋体" w:hAnsi="宋体" w:eastAsia="宋体" w:cs="宋体"/>
          <w:i w:val="0"/>
          <w:iCs w:val="0"/>
          <w:caps w:val="0"/>
          <w:color w:val="auto"/>
          <w:spacing w:val="0"/>
          <w:sz w:val="24"/>
          <w:szCs w:val="24"/>
          <w:highlight w:val="none"/>
          <w:shd w:val="clear" w:fill="FFFFFF"/>
        </w:rPr>
        <w:t>最新的信用中国网站和中国政府采购网</w:t>
      </w:r>
      <w:r>
        <w:rPr>
          <w:rFonts w:hint="eastAsia" w:ascii="宋体" w:hAnsi="宋体" w:eastAsia="宋体" w:cs="宋体"/>
          <w:i w:val="0"/>
          <w:iCs w:val="0"/>
          <w:caps w:val="0"/>
          <w:color w:val="auto"/>
          <w:spacing w:val="0"/>
          <w:sz w:val="24"/>
          <w:szCs w:val="24"/>
          <w:highlight w:val="none"/>
          <w:shd w:val="clear" w:fill="FFFFFF"/>
          <w:lang w:eastAsia="zh-CN"/>
        </w:rPr>
        <w:t>的</w:t>
      </w:r>
      <w:r>
        <w:rPr>
          <w:rFonts w:hint="eastAsia" w:ascii="宋体" w:hAnsi="宋体" w:eastAsia="宋体" w:cs="宋体"/>
          <w:i w:val="0"/>
          <w:iCs w:val="0"/>
          <w:caps w:val="0"/>
          <w:color w:val="auto"/>
          <w:spacing w:val="0"/>
          <w:sz w:val="24"/>
          <w:szCs w:val="24"/>
          <w:highlight w:val="none"/>
          <w:shd w:val="clear" w:fill="FFFFFF"/>
          <w:lang w:val="en-US" w:eastAsia="zh-CN"/>
        </w:rPr>
        <w:t>截图证明信息</w:t>
      </w:r>
      <w:r>
        <w:rPr>
          <w:rFonts w:hint="eastAsia" w:ascii="宋体" w:hAnsi="宋体" w:eastAsia="宋体" w:cs="宋体"/>
          <w:i w:val="0"/>
          <w:iCs w:val="0"/>
          <w:caps w:val="0"/>
          <w:color w:val="auto"/>
          <w:spacing w:val="0"/>
          <w:sz w:val="24"/>
          <w:szCs w:val="24"/>
          <w:highlight w:val="none"/>
          <w:shd w:val="clear" w:fill="FFFFFF"/>
        </w:rPr>
        <w:t>。</w:t>
      </w:r>
    </w:p>
    <w:p w14:paraId="190E63C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信用中国”网站查询方法：投标人在本项目投标截止时间前10日内,进入投标人基本信息页面，点击“下载信用报告”后点击“下载”。“中国政府采购网”的查询方法：点击“政府采购严重违法失信行为记录名单”进行查询。</w:t>
      </w:r>
      <w:bookmarkStart w:id="24" w:name="_GoBack"/>
      <w:bookmarkEnd w:id="24"/>
      <w:r>
        <w:rPr>
          <w:rFonts w:hint="eastAsia" w:ascii="宋体" w:hAnsi="宋体" w:eastAsia="宋体" w:cs="宋体"/>
          <w:i w:val="0"/>
          <w:iCs w:val="0"/>
          <w:caps w:val="0"/>
          <w:color w:val="auto"/>
          <w:spacing w:val="0"/>
          <w:sz w:val="24"/>
          <w:szCs w:val="24"/>
          <w:highlight w:val="none"/>
          <w:shd w:val="clear" w:fill="FFFFFF"/>
        </w:rPr>
        <w:t>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7A937E17">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textAlignment w:val="baseline"/>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单位负责人为同一人或者存在直接控股、管理关系的不同供应商，不得参加同一合同项下的采购活动。本项目不接受联合体。</w:t>
      </w:r>
      <w:r>
        <w:rPr>
          <w:rFonts w:hint="eastAsia" w:ascii="宋体" w:hAnsi="宋体" w:cs="宋体"/>
          <w:i w:val="0"/>
          <w:iCs w:val="0"/>
          <w:caps w:val="0"/>
          <w:color w:val="auto"/>
          <w:spacing w:val="0"/>
          <w:sz w:val="24"/>
          <w:szCs w:val="24"/>
          <w:highlight w:val="none"/>
          <w:shd w:val="clear" w:fill="FFFFFF"/>
          <w:lang w:val="en-US" w:eastAsia="zh-CN"/>
        </w:rPr>
        <w:t>提供附件：投标人直接控股、管理关系信息表。</w:t>
      </w:r>
    </w:p>
    <w:p w14:paraId="31978A9B">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rPr>
          <w:rFonts w:hint="default" w:ascii="宋体" w:hAnsi="宋体" w:cs="宋体"/>
          <w:i w:val="0"/>
          <w:iCs w:val="0"/>
          <w:caps w:val="0"/>
          <w:color w:val="auto"/>
          <w:spacing w:val="0"/>
          <w:sz w:val="24"/>
          <w:szCs w:val="24"/>
          <w:highlight w:val="none"/>
          <w:shd w:val="clear" w:fill="FFFFFF"/>
          <w:lang w:val="en-US" w:eastAsia="zh-CN"/>
        </w:rPr>
      </w:pPr>
      <w:r>
        <w:rPr>
          <w:rFonts w:hint="default" w:ascii="宋体" w:hAnsi="宋体" w:cs="宋体"/>
          <w:b w:val="0"/>
          <w:bCs w:val="0"/>
          <w:color w:val="auto"/>
          <w:sz w:val="24"/>
          <w:szCs w:val="24"/>
          <w:highlight w:val="none"/>
          <w:lang w:val="en-US" w:eastAsia="zh-CN"/>
        </w:rPr>
        <w:t>项目实施过程中安排至少一名项目管理专员协助学校进行项目过程中的管理与维护工作。</w:t>
      </w:r>
    </w:p>
    <w:p w14:paraId="4F93B13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right="0"/>
        <w:jc w:val="both"/>
        <w:rPr>
          <w:rFonts w:hint="eastAsia" w:ascii="宋体" w:hAnsi="宋体" w:eastAsia="宋体" w:cs="宋体"/>
          <w:b w:val="0"/>
          <w:bCs w:val="0"/>
          <w:i w:val="0"/>
          <w:iCs w:val="0"/>
          <w:caps w:val="0"/>
          <w:color w:val="auto"/>
          <w:spacing w:val="0"/>
          <w:sz w:val="24"/>
          <w:szCs w:val="24"/>
          <w:highlight w:val="none"/>
        </w:rPr>
      </w:pPr>
      <w:r>
        <w:rPr>
          <w:rFonts w:hint="eastAsia" w:ascii="宋体" w:hAnsi="宋体" w:cs="宋体"/>
          <w:b w:val="0"/>
          <w:bCs w:val="0"/>
          <w:i w:val="0"/>
          <w:iCs w:val="0"/>
          <w:caps w:val="0"/>
          <w:color w:val="auto"/>
          <w:spacing w:val="0"/>
          <w:sz w:val="24"/>
          <w:szCs w:val="24"/>
          <w:highlight w:val="none"/>
          <w:shd w:val="clear" w:fill="FFFFFF"/>
          <w:lang w:eastAsia="zh-CN"/>
        </w:rPr>
        <w:t>五</w:t>
      </w:r>
      <w:r>
        <w:rPr>
          <w:rFonts w:hint="eastAsia" w:ascii="宋体" w:hAnsi="宋体" w:eastAsia="宋体" w:cs="宋体"/>
          <w:b w:val="0"/>
          <w:bCs w:val="0"/>
          <w:i w:val="0"/>
          <w:iCs w:val="0"/>
          <w:caps w:val="0"/>
          <w:color w:val="auto"/>
          <w:spacing w:val="0"/>
          <w:sz w:val="24"/>
          <w:szCs w:val="24"/>
          <w:highlight w:val="none"/>
          <w:shd w:val="clear" w:fill="FFFFFF"/>
        </w:rPr>
        <w:t>、投标提供资料</w:t>
      </w:r>
    </w:p>
    <w:p w14:paraId="6B7BE25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报名时请携带以下有效证件的原件及加盖公章的复印件（复印件留存,原件备查），所有材料一正二副。</w:t>
      </w:r>
    </w:p>
    <w:p w14:paraId="0BFAD6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1、根据第</w:t>
      </w:r>
      <w:r>
        <w:rPr>
          <w:rFonts w:hint="eastAsia" w:ascii="宋体" w:hAnsi="宋体" w:cs="宋体"/>
          <w:b w:val="0"/>
          <w:bCs w:val="0"/>
          <w:i w:val="0"/>
          <w:iCs w:val="0"/>
          <w:caps w:val="0"/>
          <w:color w:val="auto"/>
          <w:spacing w:val="0"/>
          <w:sz w:val="24"/>
          <w:szCs w:val="24"/>
          <w:highlight w:val="none"/>
          <w:shd w:val="clear" w:fill="FFFFFF"/>
          <w:lang w:eastAsia="zh-CN"/>
        </w:rPr>
        <w:t>四</w:t>
      </w:r>
      <w:r>
        <w:rPr>
          <w:rFonts w:hint="eastAsia" w:ascii="宋体" w:hAnsi="宋体" w:eastAsia="宋体" w:cs="宋体"/>
          <w:b w:val="0"/>
          <w:bCs w:val="0"/>
          <w:i w:val="0"/>
          <w:iCs w:val="0"/>
          <w:caps w:val="0"/>
          <w:color w:val="auto"/>
          <w:spacing w:val="0"/>
          <w:sz w:val="24"/>
          <w:szCs w:val="24"/>
          <w:highlight w:val="none"/>
          <w:shd w:val="clear" w:fill="FFFFFF"/>
        </w:rPr>
        <w:t>大点资格要求里列明的相关证明材料</w:t>
      </w:r>
      <w:r>
        <w:rPr>
          <w:rFonts w:hint="eastAsia" w:ascii="宋体" w:hAnsi="宋体" w:cs="宋体"/>
          <w:b w:val="0"/>
          <w:bCs w:val="0"/>
          <w:i w:val="0"/>
          <w:iCs w:val="0"/>
          <w:caps w:val="0"/>
          <w:color w:val="auto"/>
          <w:spacing w:val="0"/>
          <w:sz w:val="24"/>
          <w:szCs w:val="24"/>
          <w:highlight w:val="none"/>
          <w:shd w:val="clear" w:fill="FFFFFF"/>
          <w:lang w:val="en-US" w:eastAsia="zh-CN"/>
        </w:rPr>
        <w:t>。</w:t>
      </w:r>
    </w:p>
    <w:p w14:paraId="5B4579A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rPr>
          <w:rFonts w:hint="eastAsia" w:ascii="宋体" w:hAnsi="宋体" w:eastAsia="宋体" w:cs="宋体"/>
          <w:b w:val="0"/>
          <w:bCs w:val="0"/>
          <w:i w:val="0"/>
          <w:iCs w:val="0"/>
          <w:caps w:val="0"/>
          <w:color w:val="auto"/>
          <w:spacing w:val="0"/>
          <w:sz w:val="24"/>
          <w:szCs w:val="24"/>
          <w:highlight w:val="none"/>
          <w:lang w:eastAsia="zh-CN"/>
        </w:rPr>
      </w:pPr>
      <w:r>
        <w:rPr>
          <w:rFonts w:hint="eastAsia" w:ascii="宋体" w:hAnsi="宋体" w:eastAsia="宋体" w:cs="宋体"/>
          <w:b w:val="0"/>
          <w:bCs w:val="0"/>
          <w:i w:val="0"/>
          <w:iCs w:val="0"/>
          <w:caps w:val="0"/>
          <w:color w:val="auto"/>
          <w:spacing w:val="0"/>
          <w:sz w:val="24"/>
          <w:szCs w:val="24"/>
          <w:highlight w:val="none"/>
          <w:shd w:val="clear" w:fill="FFFFFF"/>
        </w:rPr>
        <w:t>2、营业执照（三证合一）</w:t>
      </w:r>
      <w:r>
        <w:rPr>
          <w:rFonts w:hint="eastAsia" w:ascii="宋体" w:hAnsi="宋体" w:cs="宋体"/>
          <w:b w:val="0"/>
          <w:bCs w:val="0"/>
          <w:i w:val="0"/>
          <w:iCs w:val="0"/>
          <w:caps w:val="0"/>
          <w:color w:val="auto"/>
          <w:spacing w:val="0"/>
          <w:sz w:val="24"/>
          <w:szCs w:val="24"/>
          <w:highlight w:val="none"/>
          <w:shd w:val="clear" w:fill="FFFFFF"/>
          <w:lang w:eastAsia="zh-CN"/>
        </w:rPr>
        <w:t>。</w:t>
      </w:r>
    </w:p>
    <w:p w14:paraId="10107CE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rPr>
          <w:rFonts w:hint="eastAsia" w:ascii="宋体" w:hAnsi="宋体" w:eastAsia="宋体" w:cs="宋体"/>
          <w:b w:val="0"/>
          <w:bCs w:val="0"/>
          <w:i w:val="0"/>
          <w:iCs w:val="0"/>
          <w:caps w:val="0"/>
          <w:color w:val="auto"/>
          <w:spacing w:val="0"/>
          <w:sz w:val="24"/>
          <w:szCs w:val="24"/>
          <w:highlight w:val="none"/>
          <w:lang w:eastAsia="zh-CN"/>
        </w:rPr>
      </w:pPr>
      <w:r>
        <w:rPr>
          <w:rFonts w:hint="eastAsia" w:ascii="宋体" w:hAnsi="宋体" w:eastAsia="宋体" w:cs="宋体"/>
          <w:b w:val="0"/>
          <w:bCs w:val="0"/>
          <w:i w:val="0"/>
          <w:iCs w:val="0"/>
          <w:caps w:val="0"/>
          <w:color w:val="auto"/>
          <w:spacing w:val="0"/>
          <w:sz w:val="24"/>
          <w:szCs w:val="24"/>
          <w:highlight w:val="none"/>
          <w:shd w:val="clear" w:fill="FFFFFF"/>
        </w:rPr>
        <w:t>3、法人代表授权书、法人代表身份证复印件</w:t>
      </w:r>
      <w:r>
        <w:rPr>
          <w:rFonts w:hint="eastAsia" w:ascii="宋体" w:hAnsi="宋体" w:cs="宋体"/>
          <w:b w:val="0"/>
          <w:bCs w:val="0"/>
          <w:i w:val="0"/>
          <w:iCs w:val="0"/>
          <w:caps w:val="0"/>
          <w:color w:val="auto"/>
          <w:spacing w:val="0"/>
          <w:sz w:val="24"/>
          <w:szCs w:val="24"/>
          <w:highlight w:val="none"/>
          <w:shd w:val="clear" w:fill="FFFFFF"/>
          <w:lang w:eastAsia="zh-CN"/>
        </w:rPr>
        <w:t>，</w:t>
      </w:r>
      <w:r>
        <w:rPr>
          <w:rFonts w:hint="eastAsia" w:ascii="宋体" w:hAnsi="宋体" w:eastAsia="宋体" w:cs="宋体"/>
          <w:b w:val="0"/>
          <w:bCs w:val="0"/>
          <w:i w:val="0"/>
          <w:iCs w:val="0"/>
          <w:caps w:val="0"/>
          <w:color w:val="auto"/>
          <w:spacing w:val="0"/>
          <w:sz w:val="24"/>
          <w:szCs w:val="24"/>
          <w:highlight w:val="none"/>
          <w:shd w:val="clear" w:fill="FFFFFF"/>
        </w:rPr>
        <w:t>被授权人身份证</w:t>
      </w:r>
      <w:r>
        <w:rPr>
          <w:rFonts w:hint="eastAsia" w:ascii="宋体" w:hAnsi="宋体" w:cs="宋体"/>
          <w:b w:val="0"/>
          <w:bCs w:val="0"/>
          <w:i w:val="0"/>
          <w:iCs w:val="0"/>
          <w:caps w:val="0"/>
          <w:color w:val="auto"/>
          <w:spacing w:val="0"/>
          <w:sz w:val="24"/>
          <w:szCs w:val="24"/>
          <w:highlight w:val="none"/>
          <w:shd w:val="clear" w:fill="FFFFFF"/>
          <w:lang w:eastAsia="zh-CN"/>
        </w:rPr>
        <w:t>。</w:t>
      </w:r>
    </w:p>
    <w:p w14:paraId="2388EFF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rPr>
          <w:rFonts w:hint="eastAsia" w:ascii="宋体" w:hAnsi="宋体" w:eastAsia="宋体" w:cs="宋体"/>
          <w:b w:val="0"/>
          <w:bCs w:val="0"/>
          <w:i w:val="0"/>
          <w:iCs w:val="0"/>
          <w:caps w:val="0"/>
          <w:color w:val="auto"/>
          <w:spacing w:val="0"/>
          <w:sz w:val="24"/>
          <w:szCs w:val="24"/>
          <w:highlight w:val="none"/>
          <w:shd w:val="clear" w:fill="FFFFFF"/>
        </w:rPr>
      </w:pPr>
      <w:r>
        <w:rPr>
          <w:rFonts w:hint="eastAsia" w:ascii="宋体" w:hAnsi="宋体" w:cs="宋体"/>
          <w:b w:val="0"/>
          <w:bCs w:val="0"/>
          <w:i w:val="0"/>
          <w:iCs w:val="0"/>
          <w:caps w:val="0"/>
          <w:color w:val="auto"/>
          <w:spacing w:val="0"/>
          <w:sz w:val="24"/>
          <w:szCs w:val="24"/>
          <w:highlight w:val="none"/>
          <w:shd w:val="clear" w:fill="FFFFFF"/>
          <w:lang w:val="en-US" w:eastAsia="zh-CN"/>
        </w:rPr>
        <w:t>4</w:t>
      </w:r>
      <w:r>
        <w:rPr>
          <w:rFonts w:hint="eastAsia" w:ascii="宋体" w:hAnsi="宋体" w:eastAsia="宋体" w:cs="宋体"/>
          <w:b w:val="0"/>
          <w:bCs w:val="0"/>
          <w:i w:val="0"/>
          <w:iCs w:val="0"/>
          <w:caps w:val="0"/>
          <w:color w:val="auto"/>
          <w:spacing w:val="0"/>
          <w:sz w:val="24"/>
          <w:szCs w:val="24"/>
          <w:highlight w:val="none"/>
          <w:shd w:val="clear" w:fill="FFFFFF"/>
        </w:rPr>
        <w:t>、根据评分办法准备的相关材料（密封，加盖公章）。</w:t>
      </w:r>
    </w:p>
    <w:p w14:paraId="41A92E58">
      <w:pPr>
        <w:pStyle w:val="4"/>
        <w:keepNext w:val="0"/>
        <w:keepLines w:val="0"/>
        <w:pageBreakBefore w:val="0"/>
        <w:widowControl/>
        <w:numPr>
          <w:ilvl w:val="-1"/>
          <w:numId w:val="0"/>
        </w:numPr>
        <w:suppressLineNumbers w:val="0"/>
        <w:pBdr>
          <w:top w:val="none" w:color="auto" w:sz="0" w:space="0"/>
          <w:left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rPr>
          <w:rFonts w:hint="default" w:ascii="宋体" w:hAnsi="宋体" w:cs="宋体"/>
          <w:b w:val="0"/>
          <w:bCs w:val="0"/>
          <w:i w:val="0"/>
          <w:iCs w:val="0"/>
          <w:caps w:val="0"/>
          <w:color w:val="auto"/>
          <w:spacing w:val="0"/>
          <w:sz w:val="24"/>
          <w:szCs w:val="24"/>
          <w:highlight w:val="none"/>
          <w:shd w:val="clear" w:fill="FFFFFF"/>
          <w:lang w:val="en-US" w:eastAsia="zh-CN"/>
        </w:rPr>
      </w:pPr>
      <w:r>
        <w:rPr>
          <w:rFonts w:hint="eastAsia" w:ascii="宋体" w:hAnsi="宋体" w:cs="宋体"/>
          <w:b w:val="0"/>
          <w:bCs w:val="0"/>
          <w:i w:val="0"/>
          <w:iCs w:val="0"/>
          <w:caps w:val="0"/>
          <w:color w:val="auto"/>
          <w:spacing w:val="0"/>
          <w:sz w:val="24"/>
          <w:szCs w:val="24"/>
          <w:highlight w:val="none"/>
          <w:shd w:val="clear" w:fill="FFFFFF"/>
          <w:lang w:val="en-US" w:eastAsia="zh-CN"/>
        </w:rPr>
        <w:t>5、报价单（密封，并加盖公章）及技术、商务需求表（格式自拟）。</w:t>
      </w:r>
    </w:p>
    <w:p w14:paraId="1DFB9A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rPr>
          <w:rFonts w:hint="eastAsia" w:ascii="宋体" w:hAnsi="宋体" w:eastAsia="宋体" w:cs="宋体"/>
          <w:b w:val="0"/>
          <w:bCs w:val="0"/>
          <w:i w:val="0"/>
          <w:iCs w:val="0"/>
          <w:caps w:val="0"/>
          <w:color w:val="auto"/>
          <w:spacing w:val="0"/>
          <w:sz w:val="24"/>
          <w:szCs w:val="24"/>
          <w:highlight w:val="none"/>
        </w:rPr>
      </w:pPr>
      <w:r>
        <w:rPr>
          <w:rStyle w:val="18"/>
          <w:rFonts w:hint="eastAsia" w:ascii="宋体" w:hAnsi="宋体" w:eastAsia="宋体" w:cs="宋体"/>
          <w:b w:val="0"/>
          <w:bCs w:val="0"/>
          <w:i w:val="0"/>
          <w:iCs w:val="0"/>
          <w:caps w:val="0"/>
          <w:color w:val="auto"/>
          <w:spacing w:val="0"/>
          <w:sz w:val="24"/>
          <w:szCs w:val="24"/>
          <w:highlight w:val="none"/>
          <w:shd w:val="clear" w:fill="FFFFFF"/>
        </w:rPr>
        <w:t>注：所有投标材料均需要密封并加盖公章。投标文件里投标资格要求审查部分与评分办法材料请分开装订并列明对应的目录与页码。</w:t>
      </w:r>
    </w:p>
    <w:p w14:paraId="6755BA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right="0"/>
        <w:jc w:val="both"/>
        <w:rPr>
          <w:rFonts w:hint="eastAsia" w:ascii="宋体" w:hAnsi="宋体" w:eastAsia="宋体" w:cs="宋体"/>
          <w:b w:val="0"/>
          <w:bCs w:val="0"/>
          <w:i w:val="0"/>
          <w:iCs w:val="0"/>
          <w:caps w:val="0"/>
          <w:color w:val="auto"/>
          <w:spacing w:val="0"/>
          <w:sz w:val="24"/>
          <w:szCs w:val="24"/>
          <w:highlight w:val="none"/>
        </w:rPr>
      </w:pPr>
      <w:r>
        <w:rPr>
          <w:rFonts w:hint="eastAsia" w:ascii="宋体" w:hAnsi="宋体" w:cs="宋体"/>
          <w:b w:val="0"/>
          <w:bCs w:val="0"/>
          <w:i w:val="0"/>
          <w:iCs w:val="0"/>
          <w:caps w:val="0"/>
          <w:color w:val="auto"/>
          <w:spacing w:val="0"/>
          <w:sz w:val="24"/>
          <w:szCs w:val="24"/>
          <w:highlight w:val="none"/>
          <w:shd w:val="clear" w:fill="FFFFFF"/>
          <w:lang w:eastAsia="zh-CN"/>
        </w:rPr>
        <w:t>六</w:t>
      </w:r>
      <w:r>
        <w:rPr>
          <w:rFonts w:hint="eastAsia" w:ascii="宋体" w:hAnsi="宋体" w:eastAsia="宋体" w:cs="宋体"/>
          <w:b w:val="0"/>
          <w:bCs w:val="0"/>
          <w:i w:val="0"/>
          <w:iCs w:val="0"/>
          <w:caps w:val="0"/>
          <w:color w:val="auto"/>
          <w:spacing w:val="0"/>
          <w:sz w:val="24"/>
          <w:szCs w:val="24"/>
          <w:highlight w:val="none"/>
          <w:shd w:val="clear" w:fill="FFFFFF"/>
        </w:rPr>
        <w:t>、评标办法</w:t>
      </w:r>
    </w:p>
    <w:p w14:paraId="3F0ECF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rPr>
          <w:rFonts w:hint="eastAsia" w:ascii="宋体" w:hAnsi="宋体" w:eastAsia="宋体" w:cs="宋体"/>
          <w:b w:val="0"/>
          <w:bCs w:val="0"/>
          <w:i w:val="0"/>
          <w:iCs w:val="0"/>
          <w:caps w:val="0"/>
          <w:color w:val="auto"/>
          <w:spacing w:val="0"/>
          <w:sz w:val="24"/>
          <w:szCs w:val="24"/>
          <w:highlight w:val="none"/>
          <w:shd w:val="clear" w:fill="FFFFFF"/>
        </w:rPr>
      </w:pPr>
      <w:r>
        <w:rPr>
          <w:rFonts w:hint="eastAsia" w:ascii="宋体" w:hAnsi="宋体" w:eastAsia="宋体" w:cs="宋体"/>
          <w:b w:val="0"/>
          <w:bCs w:val="0"/>
          <w:i w:val="0"/>
          <w:iCs w:val="0"/>
          <w:caps w:val="0"/>
          <w:color w:val="auto"/>
          <w:spacing w:val="0"/>
          <w:sz w:val="24"/>
          <w:szCs w:val="24"/>
          <w:highlight w:val="none"/>
          <w:shd w:val="clear" w:fill="FFFFFF"/>
        </w:rPr>
        <w:t>见附件</w:t>
      </w:r>
      <w:r>
        <w:rPr>
          <w:rFonts w:hint="eastAsia" w:ascii="宋体" w:hAnsi="宋体" w:cs="宋体"/>
          <w:b w:val="0"/>
          <w:bCs w:val="0"/>
          <w:i w:val="0"/>
          <w:iCs w:val="0"/>
          <w:caps w:val="0"/>
          <w:color w:val="auto"/>
          <w:spacing w:val="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sz w:val="24"/>
          <w:szCs w:val="24"/>
          <w:highlight w:val="none"/>
          <w:shd w:val="clear" w:fill="FFFFFF"/>
        </w:rPr>
        <w:t>：评分办法。</w:t>
      </w:r>
    </w:p>
    <w:p w14:paraId="57CFB0D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right="0"/>
        <w:jc w:val="both"/>
        <w:rPr>
          <w:rFonts w:hint="eastAsia" w:ascii="宋体" w:hAnsi="宋体" w:eastAsia="宋体" w:cs="宋体"/>
          <w:b w:val="0"/>
          <w:bCs w:val="0"/>
          <w:i w:val="0"/>
          <w:iCs w:val="0"/>
          <w:caps w:val="0"/>
          <w:color w:val="auto"/>
          <w:spacing w:val="0"/>
          <w:sz w:val="24"/>
          <w:szCs w:val="24"/>
          <w:highlight w:val="none"/>
        </w:rPr>
      </w:pPr>
      <w:r>
        <w:rPr>
          <w:rFonts w:hint="eastAsia" w:ascii="宋体" w:hAnsi="宋体" w:cs="宋体"/>
          <w:b w:val="0"/>
          <w:bCs w:val="0"/>
          <w:i w:val="0"/>
          <w:iCs w:val="0"/>
          <w:caps w:val="0"/>
          <w:color w:val="auto"/>
          <w:spacing w:val="0"/>
          <w:sz w:val="24"/>
          <w:szCs w:val="24"/>
          <w:highlight w:val="none"/>
          <w:shd w:val="clear" w:fill="FFFFFF"/>
          <w:lang w:val="en-US" w:eastAsia="zh-CN"/>
        </w:rPr>
        <w:t>七</w:t>
      </w:r>
      <w:r>
        <w:rPr>
          <w:rFonts w:hint="eastAsia" w:ascii="宋体" w:hAnsi="宋体" w:eastAsia="宋体" w:cs="宋体"/>
          <w:b w:val="0"/>
          <w:bCs w:val="0"/>
          <w:i w:val="0"/>
          <w:iCs w:val="0"/>
          <w:caps w:val="0"/>
          <w:color w:val="auto"/>
          <w:spacing w:val="0"/>
          <w:sz w:val="24"/>
          <w:szCs w:val="24"/>
          <w:highlight w:val="none"/>
          <w:shd w:val="clear" w:fill="FFFFFF"/>
        </w:rPr>
        <w:t>、投标时间与地点</w:t>
      </w:r>
    </w:p>
    <w:p w14:paraId="18B6739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rPr>
          <w:rFonts w:hint="eastAsia" w:ascii="宋体" w:hAnsi="宋体" w:eastAsia="宋体" w:cs="宋体"/>
          <w:b w:val="0"/>
          <w:bCs w:val="0"/>
          <w:i w:val="0"/>
          <w:iCs w:val="0"/>
          <w:caps w:val="0"/>
          <w:color w:val="auto"/>
          <w:spacing w:val="0"/>
          <w:sz w:val="24"/>
          <w:szCs w:val="24"/>
          <w:highlight w:val="none"/>
          <w:lang w:eastAsia="zh-CN"/>
        </w:rPr>
      </w:pPr>
      <w:r>
        <w:rPr>
          <w:rFonts w:hint="eastAsia" w:ascii="宋体" w:hAnsi="宋体" w:eastAsia="宋体" w:cs="宋体"/>
          <w:b w:val="0"/>
          <w:bCs w:val="0"/>
          <w:i w:val="0"/>
          <w:iCs w:val="0"/>
          <w:caps w:val="0"/>
          <w:color w:val="auto"/>
          <w:spacing w:val="0"/>
          <w:sz w:val="24"/>
          <w:szCs w:val="24"/>
          <w:highlight w:val="none"/>
          <w:shd w:val="clear" w:fill="FFFFFF"/>
        </w:rPr>
        <w:t>1、投标时间：</w:t>
      </w:r>
      <w:r>
        <w:rPr>
          <w:rStyle w:val="18"/>
          <w:rFonts w:hint="eastAsia" w:ascii="宋体" w:hAnsi="宋体" w:eastAsia="宋体" w:cs="宋体"/>
          <w:b w:val="0"/>
          <w:bCs w:val="0"/>
          <w:i w:val="0"/>
          <w:iCs w:val="0"/>
          <w:caps w:val="0"/>
          <w:color w:val="auto"/>
          <w:spacing w:val="0"/>
          <w:sz w:val="24"/>
          <w:szCs w:val="24"/>
          <w:highlight w:val="none"/>
          <w:shd w:val="clear" w:fill="FFFFFF"/>
        </w:rPr>
        <w:t>202</w:t>
      </w:r>
      <w:r>
        <w:rPr>
          <w:rStyle w:val="18"/>
          <w:rFonts w:hint="eastAsia" w:ascii="宋体" w:hAnsi="宋体" w:cs="宋体"/>
          <w:b w:val="0"/>
          <w:bCs w:val="0"/>
          <w:i w:val="0"/>
          <w:iCs w:val="0"/>
          <w:caps w:val="0"/>
          <w:color w:val="auto"/>
          <w:spacing w:val="0"/>
          <w:sz w:val="24"/>
          <w:szCs w:val="24"/>
          <w:highlight w:val="none"/>
          <w:shd w:val="clear" w:fill="FFFFFF"/>
          <w:lang w:val="en-US" w:eastAsia="zh-CN"/>
        </w:rPr>
        <w:t>5</w:t>
      </w:r>
      <w:r>
        <w:rPr>
          <w:rStyle w:val="18"/>
          <w:rFonts w:hint="eastAsia" w:ascii="宋体" w:hAnsi="宋体" w:eastAsia="宋体" w:cs="宋体"/>
          <w:b w:val="0"/>
          <w:bCs w:val="0"/>
          <w:i w:val="0"/>
          <w:iCs w:val="0"/>
          <w:caps w:val="0"/>
          <w:color w:val="auto"/>
          <w:spacing w:val="0"/>
          <w:sz w:val="24"/>
          <w:szCs w:val="24"/>
          <w:highlight w:val="none"/>
          <w:shd w:val="clear" w:fill="FFFFFF"/>
        </w:rPr>
        <w:t>年</w:t>
      </w:r>
      <w:r>
        <w:rPr>
          <w:rStyle w:val="18"/>
          <w:rFonts w:hint="eastAsia" w:ascii="宋体" w:hAnsi="宋体" w:cs="宋体"/>
          <w:b w:val="0"/>
          <w:bCs w:val="0"/>
          <w:i w:val="0"/>
          <w:iCs w:val="0"/>
          <w:caps w:val="0"/>
          <w:color w:val="auto"/>
          <w:spacing w:val="0"/>
          <w:sz w:val="24"/>
          <w:szCs w:val="24"/>
          <w:highlight w:val="none"/>
          <w:shd w:val="clear" w:fill="FFFFFF"/>
          <w:lang w:val="en-US" w:eastAsia="zh-CN"/>
        </w:rPr>
        <w:t xml:space="preserve">10 </w:t>
      </w:r>
      <w:r>
        <w:rPr>
          <w:rStyle w:val="18"/>
          <w:rFonts w:hint="eastAsia" w:ascii="宋体" w:hAnsi="宋体" w:eastAsia="宋体" w:cs="宋体"/>
          <w:b w:val="0"/>
          <w:bCs w:val="0"/>
          <w:i w:val="0"/>
          <w:iCs w:val="0"/>
          <w:caps w:val="0"/>
          <w:color w:val="auto"/>
          <w:spacing w:val="0"/>
          <w:sz w:val="24"/>
          <w:szCs w:val="24"/>
          <w:highlight w:val="none"/>
          <w:shd w:val="clear" w:fill="FFFFFF"/>
        </w:rPr>
        <w:t>月</w:t>
      </w:r>
      <w:r>
        <w:rPr>
          <w:rStyle w:val="18"/>
          <w:rFonts w:hint="eastAsia" w:ascii="宋体" w:hAnsi="宋体" w:cs="宋体"/>
          <w:b w:val="0"/>
          <w:bCs w:val="0"/>
          <w:i w:val="0"/>
          <w:iCs w:val="0"/>
          <w:caps w:val="0"/>
          <w:color w:val="auto"/>
          <w:spacing w:val="0"/>
          <w:sz w:val="24"/>
          <w:szCs w:val="24"/>
          <w:highlight w:val="none"/>
          <w:shd w:val="clear" w:fill="FFFFFF"/>
          <w:lang w:val="en-US" w:eastAsia="zh-CN"/>
        </w:rPr>
        <w:t xml:space="preserve"> 17</w:t>
      </w:r>
      <w:r>
        <w:rPr>
          <w:rStyle w:val="18"/>
          <w:rFonts w:hint="eastAsia" w:ascii="宋体" w:hAnsi="宋体" w:eastAsia="宋体" w:cs="宋体"/>
          <w:b w:val="0"/>
          <w:bCs w:val="0"/>
          <w:i w:val="0"/>
          <w:iCs w:val="0"/>
          <w:caps w:val="0"/>
          <w:color w:val="auto"/>
          <w:spacing w:val="0"/>
          <w:sz w:val="24"/>
          <w:szCs w:val="24"/>
          <w:highlight w:val="none"/>
          <w:shd w:val="clear" w:fill="FFFFFF"/>
        </w:rPr>
        <w:t>日</w:t>
      </w:r>
      <w:r>
        <w:rPr>
          <w:rStyle w:val="18"/>
          <w:rFonts w:hint="eastAsia" w:ascii="宋体" w:hAnsi="宋体" w:cs="宋体"/>
          <w:b w:val="0"/>
          <w:bCs w:val="0"/>
          <w:i w:val="0"/>
          <w:iCs w:val="0"/>
          <w:caps w:val="0"/>
          <w:color w:val="auto"/>
          <w:spacing w:val="0"/>
          <w:sz w:val="24"/>
          <w:szCs w:val="24"/>
          <w:highlight w:val="none"/>
          <w:shd w:val="clear" w:fill="FFFFFF"/>
          <w:lang w:val="en-US" w:eastAsia="zh-CN"/>
        </w:rPr>
        <w:t>上</w:t>
      </w:r>
      <w:r>
        <w:rPr>
          <w:rStyle w:val="18"/>
          <w:rFonts w:hint="eastAsia" w:ascii="宋体" w:hAnsi="宋体" w:eastAsia="宋体" w:cs="宋体"/>
          <w:b w:val="0"/>
          <w:bCs w:val="0"/>
          <w:i w:val="0"/>
          <w:iCs w:val="0"/>
          <w:caps w:val="0"/>
          <w:color w:val="auto"/>
          <w:spacing w:val="0"/>
          <w:sz w:val="24"/>
          <w:szCs w:val="24"/>
          <w:highlight w:val="none"/>
          <w:shd w:val="clear" w:fill="FFFFFF"/>
        </w:rPr>
        <w:t>午</w:t>
      </w:r>
      <w:r>
        <w:rPr>
          <w:rStyle w:val="18"/>
          <w:rFonts w:hint="eastAsia" w:ascii="宋体" w:hAnsi="宋体" w:cs="宋体"/>
          <w:b w:val="0"/>
          <w:bCs w:val="0"/>
          <w:i w:val="0"/>
          <w:iCs w:val="0"/>
          <w:caps w:val="0"/>
          <w:color w:val="auto"/>
          <w:spacing w:val="0"/>
          <w:sz w:val="24"/>
          <w:szCs w:val="24"/>
          <w:highlight w:val="none"/>
          <w:shd w:val="clear" w:fill="FFFFFF"/>
          <w:lang w:val="en-US" w:eastAsia="zh-CN"/>
        </w:rPr>
        <w:t>9</w:t>
      </w:r>
      <w:r>
        <w:rPr>
          <w:rStyle w:val="18"/>
          <w:rFonts w:hint="eastAsia" w:ascii="宋体" w:hAnsi="宋体" w:eastAsia="宋体" w:cs="宋体"/>
          <w:b w:val="0"/>
          <w:bCs w:val="0"/>
          <w:i w:val="0"/>
          <w:iCs w:val="0"/>
          <w:caps w:val="0"/>
          <w:color w:val="auto"/>
          <w:spacing w:val="0"/>
          <w:sz w:val="24"/>
          <w:szCs w:val="24"/>
          <w:highlight w:val="none"/>
          <w:shd w:val="clear" w:fill="FFFFFF"/>
        </w:rPr>
        <w:t>:00至1</w:t>
      </w:r>
      <w:r>
        <w:rPr>
          <w:rStyle w:val="18"/>
          <w:rFonts w:hint="eastAsia" w:ascii="宋体" w:hAnsi="宋体" w:cs="宋体"/>
          <w:b w:val="0"/>
          <w:bCs w:val="0"/>
          <w:i w:val="0"/>
          <w:iCs w:val="0"/>
          <w:caps w:val="0"/>
          <w:color w:val="auto"/>
          <w:spacing w:val="0"/>
          <w:sz w:val="24"/>
          <w:szCs w:val="24"/>
          <w:highlight w:val="none"/>
          <w:shd w:val="clear" w:fill="FFFFFF"/>
          <w:lang w:val="en-US" w:eastAsia="zh-CN"/>
        </w:rPr>
        <w:t>1</w:t>
      </w:r>
      <w:r>
        <w:rPr>
          <w:rStyle w:val="18"/>
          <w:rFonts w:hint="eastAsia" w:ascii="宋体" w:hAnsi="宋体" w:eastAsia="宋体" w:cs="宋体"/>
          <w:b w:val="0"/>
          <w:bCs w:val="0"/>
          <w:i w:val="0"/>
          <w:iCs w:val="0"/>
          <w:caps w:val="0"/>
          <w:color w:val="auto"/>
          <w:spacing w:val="0"/>
          <w:sz w:val="24"/>
          <w:szCs w:val="24"/>
          <w:highlight w:val="none"/>
          <w:shd w:val="clear" w:fill="FFFFFF"/>
        </w:rPr>
        <w:t>:00之间</w:t>
      </w:r>
      <w:r>
        <w:rPr>
          <w:rFonts w:hint="eastAsia" w:ascii="宋体" w:hAnsi="宋体" w:eastAsia="宋体" w:cs="宋体"/>
          <w:b w:val="0"/>
          <w:bCs w:val="0"/>
          <w:i w:val="0"/>
          <w:iCs w:val="0"/>
          <w:caps w:val="0"/>
          <w:color w:val="auto"/>
          <w:spacing w:val="0"/>
          <w:sz w:val="24"/>
          <w:szCs w:val="24"/>
          <w:highlight w:val="none"/>
          <w:shd w:val="clear" w:fill="FFFFFF"/>
        </w:rPr>
        <w:t>，其他时间不接收投标材料，在规定时间内未投标者视为自动弃权</w:t>
      </w:r>
      <w:r>
        <w:rPr>
          <w:rFonts w:hint="eastAsia" w:ascii="宋体" w:hAnsi="宋体" w:cs="宋体"/>
          <w:b w:val="0"/>
          <w:bCs w:val="0"/>
          <w:i w:val="0"/>
          <w:iCs w:val="0"/>
          <w:caps w:val="0"/>
          <w:color w:val="auto"/>
          <w:spacing w:val="0"/>
          <w:sz w:val="24"/>
          <w:szCs w:val="24"/>
          <w:highlight w:val="none"/>
          <w:shd w:val="clear" w:fill="FFFFFF"/>
          <w:lang w:eastAsia="zh-CN"/>
        </w:rPr>
        <w:t>。</w:t>
      </w:r>
    </w:p>
    <w:p w14:paraId="230E7A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left="0" w:right="0" w:firstLine="480" w:firstLineChars="200"/>
        <w:jc w:val="both"/>
        <w:rPr>
          <w:rFonts w:hint="eastAsia" w:ascii="宋体" w:hAnsi="宋体" w:eastAsia="宋体" w:cs="宋体"/>
          <w:b w:val="0"/>
          <w:bCs w:val="0"/>
          <w:i w:val="0"/>
          <w:iCs w:val="0"/>
          <w:caps w:val="0"/>
          <w:color w:val="auto"/>
          <w:spacing w:val="0"/>
          <w:sz w:val="24"/>
          <w:szCs w:val="24"/>
          <w:highlight w:val="none"/>
          <w:shd w:val="clear" w:fill="FFFFFF"/>
        </w:rPr>
      </w:pPr>
      <w:r>
        <w:rPr>
          <w:rFonts w:hint="eastAsia" w:ascii="宋体" w:hAnsi="宋体" w:eastAsia="宋体" w:cs="宋体"/>
          <w:b w:val="0"/>
          <w:bCs w:val="0"/>
          <w:i w:val="0"/>
          <w:iCs w:val="0"/>
          <w:caps w:val="0"/>
          <w:color w:val="auto"/>
          <w:spacing w:val="0"/>
          <w:sz w:val="24"/>
          <w:szCs w:val="24"/>
          <w:highlight w:val="none"/>
          <w:shd w:val="clear" w:fill="FFFFFF"/>
        </w:rPr>
        <w:t>2、投标地点：南宁市</w:t>
      </w:r>
      <w:r>
        <w:rPr>
          <w:rFonts w:hint="eastAsia" w:ascii="宋体" w:hAnsi="宋体" w:cs="宋体"/>
          <w:b w:val="0"/>
          <w:bCs w:val="0"/>
          <w:i w:val="0"/>
          <w:iCs w:val="0"/>
          <w:caps w:val="0"/>
          <w:color w:val="auto"/>
          <w:spacing w:val="0"/>
          <w:sz w:val="24"/>
          <w:szCs w:val="24"/>
          <w:highlight w:val="none"/>
          <w:shd w:val="clear" w:fill="FFFFFF"/>
          <w:lang w:val="en-US" w:eastAsia="zh-CN"/>
        </w:rPr>
        <w:t>青秀区</w:t>
      </w:r>
      <w:r>
        <w:rPr>
          <w:rFonts w:hint="eastAsia" w:ascii="宋体" w:hAnsi="宋体" w:eastAsia="宋体" w:cs="宋体"/>
          <w:b w:val="0"/>
          <w:bCs w:val="0"/>
          <w:i w:val="0"/>
          <w:iCs w:val="0"/>
          <w:caps w:val="0"/>
          <w:color w:val="auto"/>
          <w:spacing w:val="0"/>
          <w:sz w:val="24"/>
          <w:szCs w:val="24"/>
          <w:highlight w:val="none"/>
          <w:shd w:val="clear" w:fill="FFFFFF"/>
        </w:rPr>
        <w:t>教育路7号广西艺术学院雕塑楼107室，联系人：李老师</w:t>
      </w:r>
      <w:r>
        <w:rPr>
          <w:rFonts w:hint="eastAsia" w:ascii="宋体" w:hAnsi="宋体" w:cs="宋体"/>
          <w:b w:val="0"/>
          <w:bCs w:val="0"/>
          <w:i w:val="0"/>
          <w:iCs w:val="0"/>
          <w:caps w:val="0"/>
          <w:color w:val="auto"/>
          <w:spacing w:val="0"/>
          <w:sz w:val="24"/>
          <w:szCs w:val="24"/>
          <w:highlight w:val="none"/>
          <w:shd w:val="clear" w:fill="FFFFFF"/>
          <w:lang w:eastAsia="zh-CN"/>
        </w:rPr>
        <w:t>，</w:t>
      </w:r>
      <w:r>
        <w:rPr>
          <w:rFonts w:hint="eastAsia" w:ascii="宋体" w:hAnsi="宋体" w:cs="宋体"/>
          <w:b w:val="0"/>
          <w:bCs w:val="0"/>
          <w:i w:val="0"/>
          <w:iCs w:val="0"/>
          <w:caps w:val="0"/>
          <w:color w:val="auto"/>
          <w:spacing w:val="0"/>
          <w:sz w:val="24"/>
          <w:szCs w:val="24"/>
          <w:highlight w:val="none"/>
          <w:shd w:val="clear" w:fill="FFFFFF"/>
          <w:lang w:val="en-US" w:eastAsia="zh-CN"/>
        </w:rPr>
        <w:t>朱老师，高老师</w:t>
      </w:r>
      <w:r>
        <w:rPr>
          <w:rFonts w:hint="eastAsia" w:ascii="宋体" w:hAnsi="宋体" w:eastAsia="宋体" w:cs="宋体"/>
          <w:b w:val="0"/>
          <w:bCs w:val="0"/>
          <w:i w:val="0"/>
          <w:iCs w:val="0"/>
          <w:caps w:val="0"/>
          <w:color w:val="auto"/>
          <w:spacing w:val="0"/>
          <w:sz w:val="24"/>
          <w:szCs w:val="24"/>
          <w:highlight w:val="none"/>
          <w:shd w:val="clear" w:fill="FFFFFF"/>
        </w:rPr>
        <w:t>，联系电话：0771-5327987. </w:t>
      </w:r>
    </w:p>
    <w:p w14:paraId="2B4EF0B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520" w:lineRule="exact"/>
        <w:ind w:right="0"/>
        <w:jc w:val="both"/>
        <w:rPr>
          <w:rFonts w:hint="eastAsia" w:ascii="宋体" w:hAnsi="宋体" w:eastAsia="宋体" w:cs="宋体"/>
          <w:b w:val="0"/>
          <w:bCs w:val="0"/>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九、</w:t>
      </w:r>
      <w:r>
        <w:rPr>
          <w:rFonts w:hint="eastAsia" w:ascii="宋体" w:hAnsi="宋体" w:eastAsia="宋体" w:cs="宋体"/>
          <w:i w:val="0"/>
          <w:iCs w:val="0"/>
          <w:caps w:val="0"/>
          <w:color w:val="auto"/>
          <w:spacing w:val="0"/>
          <w:sz w:val="24"/>
          <w:szCs w:val="24"/>
          <w:highlight w:val="none"/>
          <w:shd w:val="clear" w:fill="FFFFFF"/>
        </w:rPr>
        <w:t>本次采购的相关信息（包括但不限于采购公告与附件及其修改、补充、澄清等，下同）在广西艺术学院主页的“机构设置-财务资产处-招标公告”栏（网址：</w:t>
      </w:r>
      <w:r>
        <w:rPr>
          <w:rFonts w:hint="eastAsia" w:ascii="宋体" w:hAnsi="宋体" w:eastAsia="宋体" w:cs="宋体"/>
          <w:i w:val="0"/>
          <w:iCs w:val="0"/>
          <w:caps w:val="0"/>
          <w:color w:val="auto"/>
          <w:spacing w:val="0"/>
          <w:sz w:val="24"/>
          <w:szCs w:val="24"/>
          <w:highlight w:val="none"/>
          <w:u w:val="none"/>
          <w:shd w:val="clear" w:fill="FFFFFF"/>
        </w:rPr>
        <w:fldChar w:fldCharType="begin"/>
      </w:r>
      <w:r>
        <w:rPr>
          <w:rFonts w:hint="eastAsia" w:ascii="宋体" w:hAnsi="宋体" w:eastAsia="宋体" w:cs="宋体"/>
          <w:i w:val="0"/>
          <w:iCs w:val="0"/>
          <w:caps w:val="0"/>
          <w:color w:val="auto"/>
          <w:spacing w:val="0"/>
          <w:sz w:val="24"/>
          <w:szCs w:val="24"/>
          <w:highlight w:val="none"/>
          <w:u w:val="none"/>
          <w:shd w:val="clear" w:fill="FFFFFF"/>
        </w:rPr>
        <w:instrText xml:space="preserve"> HYPERLINK "https://cwc.gxau.edu.cn/zbgg2%EF%BC%89%E4%B8%8A%E5%8F%91%E5%B8%83%EF%BC%8C%E6%9C%AC%E6%AC%A1%E9%87%87%E8%B4%AD%E7%9A%84%E7%9B%B8%E5%85%B3%E4%BF%A1%E6%81%AF%E4%B8%80%E7%BB%8F%E5%9C%A8%E4%B8%8A%E8%BF%B0%E7%BD%91%E7%AB%99%E5%8F%91%E5%B8%83%EF%BC%8C%E5%8D%B3%E8%A7%86%E4%B8%BA%E5%B7%B2%E5%8F%91%E9%80%81%E7%BB%99%E6%8A%95%E6%A0%87%E4%BA%BA%E3%80%82%E6%8A%95%E6%A0%87%E4%BA%BA%E6%8D%AE%E6%AD%A4%E5%8F%82%E4%B8%8E%E6%9C%AC%E6%AC%A1%E9%87%87%E8%B4%AD%E6%B4%BB%E5%8A%A8%EF%BC%8C%E5%8D%B3%E8%A7%86%E4%B8%BA%E5%AF%B9%E6%9C%AC%E6%AC%A1%E9%87%87%E8%B4%AD%E7%9A%84%E7%9B%B8%E5%85%B3%E4%BF%A1%E6%81%AF%E3%80%81%E5%86%85%E5%AE%B9%E5%8F%8A%E8%A7%84%E5%88%99%E6%B2%A1%E6%9C%89%E5%BC%82%E8%AE%AE%E3%80%82" </w:instrText>
      </w:r>
      <w:r>
        <w:rPr>
          <w:rFonts w:hint="eastAsia" w:ascii="宋体" w:hAnsi="宋体" w:eastAsia="宋体" w:cs="宋体"/>
          <w:i w:val="0"/>
          <w:iCs w:val="0"/>
          <w:caps w:val="0"/>
          <w:color w:val="auto"/>
          <w:spacing w:val="0"/>
          <w:sz w:val="24"/>
          <w:szCs w:val="24"/>
          <w:highlight w:val="none"/>
          <w:u w:val="none"/>
          <w:shd w:val="clear" w:fill="FFFFFF"/>
        </w:rPr>
        <w:fldChar w:fldCharType="separate"/>
      </w:r>
      <w:r>
        <w:rPr>
          <w:rFonts w:hint="eastAsia" w:ascii="宋体" w:hAnsi="宋体" w:eastAsia="宋体" w:cs="宋体"/>
          <w:i w:val="0"/>
          <w:iCs w:val="0"/>
          <w:caps w:val="0"/>
          <w:color w:val="auto"/>
          <w:spacing w:val="0"/>
          <w:sz w:val="24"/>
          <w:szCs w:val="24"/>
          <w:highlight w:val="none"/>
          <w:u w:val="none"/>
          <w:shd w:val="clear" w:fill="FFFFFF"/>
        </w:rPr>
        <w:t>https://cwc.gxau.edu.cn/zbgg2）上发布，本次采购的相关信息一经在上述网站发布，即视为已发送给投标人。投标人据此参与本次采购活动，即视为对本次采购的相关信息、内容及规则没有异议。</w:t>
      </w:r>
      <w:r>
        <w:rPr>
          <w:rFonts w:hint="eastAsia" w:ascii="宋体" w:hAnsi="宋体" w:eastAsia="宋体" w:cs="宋体"/>
          <w:i w:val="0"/>
          <w:iCs w:val="0"/>
          <w:caps w:val="0"/>
          <w:color w:val="auto"/>
          <w:spacing w:val="0"/>
          <w:sz w:val="24"/>
          <w:szCs w:val="24"/>
          <w:highlight w:val="none"/>
          <w:u w:val="none"/>
          <w:shd w:val="clear" w:fill="FFFFFF"/>
        </w:rPr>
        <w:fldChar w:fldCharType="end"/>
      </w:r>
    </w:p>
    <w:p w14:paraId="6E68DD7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eastAsia"/>
          <w:color w:val="auto"/>
          <w:highlight w:val="none"/>
          <w:lang w:val="en-US" w:eastAsia="zh-CN"/>
        </w:rPr>
      </w:pPr>
    </w:p>
    <w:p w14:paraId="1F3E5C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eastAsia" w:ascii="宋体" w:hAnsi="宋体" w:cs="宋体"/>
          <w:b/>
          <w:bCs/>
          <w:color w:val="auto"/>
          <w:sz w:val="24"/>
          <w:szCs w:val="24"/>
          <w:highlight w:val="none"/>
          <w:lang w:val="en-US" w:eastAsia="zh-CN"/>
        </w:rPr>
      </w:pPr>
    </w:p>
    <w:p w14:paraId="36B0E16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eastAsia" w:ascii="宋体" w:hAnsi="宋体" w:cs="宋体"/>
          <w:b/>
          <w:bCs/>
          <w:color w:val="auto"/>
          <w:sz w:val="24"/>
          <w:szCs w:val="24"/>
          <w:highlight w:val="none"/>
          <w:lang w:val="en-US" w:eastAsia="zh-CN"/>
        </w:rPr>
      </w:pPr>
    </w:p>
    <w:p w14:paraId="38A6F0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eastAsia" w:ascii="宋体" w:hAnsi="宋体" w:cs="宋体"/>
          <w:b/>
          <w:bCs/>
          <w:color w:val="auto"/>
          <w:sz w:val="24"/>
          <w:szCs w:val="24"/>
          <w:highlight w:val="none"/>
          <w:lang w:val="en-US" w:eastAsia="zh-CN"/>
        </w:rPr>
      </w:pPr>
    </w:p>
    <w:p w14:paraId="3050BC1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jc w:val="both"/>
        <w:rPr>
          <w:rFonts w:hint="default" w:ascii="宋体" w:hAnsi="宋体" w:cs="宋体"/>
          <w:b/>
          <w:bCs/>
          <w:color w:val="auto"/>
          <w:sz w:val="24"/>
          <w:szCs w:val="24"/>
          <w:highlight w:val="none"/>
          <w:lang w:val="en-US" w:eastAsia="zh-CN"/>
        </w:rPr>
      </w:pPr>
    </w:p>
    <w:p w14:paraId="7DDC8DE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jc w:val="both"/>
        <w:rPr>
          <w:rFonts w:hint="default" w:ascii="宋体" w:hAnsi="宋体" w:cs="宋体"/>
          <w:b/>
          <w:bCs/>
          <w:color w:val="auto"/>
          <w:sz w:val="24"/>
          <w:szCs w:val="24"/>
          <w:highlight w:val="none"/>
          <w:lang w:val="en-US" w:eastAsia="zh-CN"/>
        </w:rPr>
        <w:sectPr>
          <w:headerReference r:id="rId5" w:type="default"/>
          <w:footerReference r:id="rId6" w:type="default"/>
          <w:footerReference r:id="rId7" w:type="even"/>
          <w:pgSz w:w="11906" w:h="16838"/>
          <w:pgMar w:top="1418" w:right="1418" w:bottom="1418" w:left="1418" w:header="851" w:footer="850" w:gutter="0"/>
          <w:pgNumType w:fmt="upperRoman" w:start="1"/>
          <w:cols w:space="425" w:num="1"/>
          <w:docGrid w:type="linesAndChars" w:linePitch="326" w:charSpace="0"/>
        </w:sectPr>
      </w:pPr>
      <w:bookmarkStart w:id="0" w:name="_Toc20532"/>
    </w:p>
    <w:p w14:paraId="3E82AEF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jc w:val="both"/>
        <w:rPr>
          <w:rFonts w:hint="default" w:ascii="宋体" w:hAnsi="宋体" w:cs="宋体"/>
          <w:b/>
          <w:bCs/>
          <w:color w:val="auto"/>
          <w:sz w:val="24"/>
          <w:szCs w:val="24"/>
          <w:highlight w:val="none"/>
          <w:lang w:val="en-US" w:eastAsia="zh-CN"/>
        </w:rPr>
      </w:pPr>
      <w:bookmarkStart w:id="1" w:name="_Toc8158"/>
      <w:r>
        <w:rPr>
          <w:rFonts w:hint="eastAsia" w:ascii="宋体" w:hAnsi="宋体" w:cs="宋体"/>
          <w:b/>
          <w:bCs/>
          <w:color w:val="auto"/>
          <w:sz w:val="24"/>
          <w:szCs w:val="24"/>
          <w:highlight w:val="none"/>
          <w:lang w:val="en-US" w:eastAsia="zh-CN"/>
        </w:rPr>
        <w:t>附件1：采购需求</w:t>
      </w:r>
    </w:p>
    <w:p w14:paraId="6DE8197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一、</w:t>
      </w:r>
      <w:bookmarkEnd w:id="0"/>
      <w:r>
        <w:rPr>
          <w:rFonts w:hint="default" w:ascii="宋体" w:hAnsi="宋体" w:cs="宋体"/>
          <w:b w:val="0"/>
          <w:bCs w:val="0"/>
          <w:color w:val="auto"/>
          <w:sz w:val="24"/>
          <w:szCs w:val="24"/>
          <w:highlight w:val="none"/>
          <w:lang w:val="en-US" w:eastAsia="zh-CN"/>
        </w:rPr>
        <w:t>技术服务采购目标</w:t>
      </w:r>
      <w:bookmarkEnd w:id="1"/>
    </w:p>
    <w:p w14:paraId="3E11128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广西艺术学院作为华南地区唯一一所综合性普通本科高等艺术院校，是文化和旅游部与广西壮族自治区人民政府共建高校。学校现有艺术学、设计学、新闻传播学3个一级学科硕士学位授权点，以及美术与书法、音乐、设计等7个硕士专业学位授权点，40个本科专业，形成了完备的高等艺术教育体系。其中美术学、音乐与舞蹈学为广西一流学科，有国家级一流本科专业建设点10个、广西一流本科专业建设点4个、国家级实验教学示范中心1个、省级研究中心（基地）18个。下设音乐学院等16个教学单位，1所艺术研究院。坐落于南湖校区的广西民族音乐博物馆是民族地区第一家民族音乐博物馆，已成为展示广西民族音乐文化、东南亚音乐文化的重要平台。</w:t>
      </w:r>
    </w:p>
    <w:p w14:paraId="53A3529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2023年4月，教育部等五部门印发了《普通高等教育学科专业设置调整优化改革方案》（以下简称《改革方案》）。《改革方案》要求高校要科学制定学科专业发展中长期规划，主动适应国家和区域经济社会发展、知识创新、科技进步、产业升级需要，做好学科专业优化、调整、升级、换代和新建工作。要建立健全工作制度，每年根据社会人才需求、学校办学定位、办学条件等，对本校学科专业设置调整进行专题研究。同时要求学校完善学科专业建设质量保障机制，定期开展学科专业自评工作，建立健全学科专业建设质量年度报告制度，系统报告学科专业建设与调整整体情况、分专业建设情况、服务经济社会发展情况等。根据政策要求，学校需了解社会和产业的发展趋势及人才需求，并结合学校实际情况，诊断专业情况，优化资源配置，促进专业内涵建设，实现人才供给与需求之间的结构平衡和良性循环。基于以上情况，学校拟采购一份社会需求与专业诊断报告。</w:t>
      </w:r>
    </w:p>
    <w:p w14:paraId="4591F9D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社会需求与专业诊断报告服务采购需实现以下目标：</w:t>
      </w:r>
    </w:p>
    <w:p w14:paraId="17B417F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2" w:name="_Toc12276"/>
      <w:r>
        <w:rPr>
          <w:rFonts w:hint="default" w:ascii="宋体" w:hAnsi="宋体" w:cs="宋体"/>
          <w:b w:val="0"/>
          <w:bCs w:val="0"/>
          <w:color w:val="auto"/>
          <w:sz w:val="24"/>
          <w:szCs w:val="24"/>
          <w:highlight w:val="none"/>
          <w:lang w:val="en-US" w:eastAsia="zh-CN"/>
        </w:rPr>
        <w:t>1.为学校学科专业设置优化调整提供数据及诊断支撑</w:t>
      </w:r>
      <w:bookmarkEnd w:id="2"/>
    </w:p>
    <w:p w14:paraId="0308E42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通过对区域及产业发展规划和需求趋势的分析，帮助学校了解产业发展趋势及人才需求情况，为学校新专业开设提供参考，对于需求下降的专业及时预警。同时结合办学条件、教学质量、就业质量及生源报考情况，综合分析诊断学科专业建设情况。</w:t>
      </w:r>
    </w:p>
    <w:p w14:paraId="29603E7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锁定优势专业，为学校集中力量办好优势学科专业及深化学科交叉融合提供依据；</w:t>
      </w:r>
    </w:p>
    <w:p w14:paraId="4692245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预警劣势专业，特别是对于外部需求下降、办学条件严重不足、教学质量低下、就业率过低的专业实时预警；</w:t>
      </w:r>
    </w:p>
    <w:p w14:paraId="74C9221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分析专业对产业的适应性，从产业需求的角度，结合人才培养现状，服务专业培养方案修订工作，促进专业设置培养匹配产业发展需要。</w:t>
      </w:r>
    </w:p>
    <w:p w14:paraId="6FEE2EA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3" w:name="_Toc160"/>
      <w:r>
        <w:rPr>
          <w:rFonts w:hint="default" w:ascii="宋体" w:hAnsi="宋体" w:cs="宋体"/>
          <w:b w:val="0"/>
          <w:bCs w:val="0"/>
          <w:color w:val="auto"/>
          <w:sz w:val="24"/>
          <w:szCs w:val="24"/>
          <w:highlight w:val="none"/>
          <w:lang w:val="en-US" w:eastAsia="zh-CN"/>
        </w:rPr>
        <w:t>2.支撑学校专业建设质量保障机制建设，为学校专业建设自评工作提供依据</w:t>
      </w:r>
      <w:bookmarkEnd w:id="3"/>
    </w:p>
    <w:p w14:paraId="5C2926A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（1）通过招生、培养、就业全链条联动分析，系统了解学科专业建设情况，为专业建设自评工作提供数据依据，确保自评结果客观精准；</w:t>
      </w:r>
    </w:p>
    <w:p w14:paraId="577F87E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（2）通过数据，发现专业建设过程中存在的问题，为专业建设持续改进提供依据；</w:t>
      </w:r>
    </w:p>
    <w:p w14:paraId="4381D5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（3）助力学校形成“评价-改进-反馈”的质量闭环，推动专业建设及教育教学改革不断纵深发展。</w:t>
      </w:r>
    </w:p>
    <w:p w14:paraId="47A40F2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4" w:name="_Toc30080"/>
      <w:r>
        <w:rPr>
          <w:rFonts w:hint="default" w:ascii="宋体" w:hAnsi="宋体" w:cs="宋体"/>
          <w:b w:val="0"/>
          <w:bCs w:val="0"/>
          <w:color w:val="auto"/>
          <w:sz w:val="24"/>
          <w:szCs w:val="24"/>
          <w:highlight w:val="none"/>
          <w:lang w:val="en-US" w:eastAsia="zh-CN"/>
        </w:rPr>
        <w:t>3.为人才培养优化提供方向与支撑</w:t>
      </w:r>
      <w:bookmarkEnd w:id="4"/>
    </w:p>
    <w:p w14:paraId="466FFDE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（1）结合产业需求分析与专业诊断结果，明确人才培养的目标定位；</w:t>
      </w:r>
    </w:p>
    <w:p w14:paraId="5BDF7B3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（2）依托招生、培养、就业全链条联动数据，跟踪人才培养成效（如毕业生专业相关度、职业吻合度、就业现状满意度等指标），持续调整人才培养策略，助力培养出符合产业发展需要的高质量人才。</w:t>
      </w:r>
    </w:p>
    <w:p w14:paraId="7D4497C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5" w:name="_Toc29769"/>
      <w:bookmarkStart w:id="6" w:name="_Toc25893"/>
      <w:r>
        <w:rPr>
          <w:rFonts w:hint="default" w:ascii="宋体" w:hAnsi="宋体" w:cs="宋体"/>
          <w:b w:val="0"/>
          <w:bCs w:val="0"/>
          <w:color w:val="auto"/>
          <w:sz w:val="24"/>
          <w:szCs w:val="24"/>
          <w:highlight w:val="none"/>
          <w:lang w:val="en-US" w:eastAsia="zh-CN"/>
        </w:rPr>
        <w:t>二、参数指标要求</w:t>
      </w:r>
      <w:bookmarkEnd w:id="5"/>
      <w:bookmarkEnd w:id="6"/>
    </w:p>
    <w:p w14:paraId="5B6DCB9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7" w:name="_Toc25243"/>
      <w:r>
        <w:rPr>
          <w:rFonts w:hint="default" w:ascii="宋体" w:hAnsi="宋体" w:cs="宋体"/>
          <w:b w:val="0"/>
          <w:bCs w:val="0"/>
          <w:color w:val="auto"/>
          <w:sz w:val="24"/>
          <w:szCs w:val="24"/>
          <w:highlight w:val="none"/>
          <w:lang w:val="en-US" w:eastAsia="zh-CN"/>
        </w:rPr>
        <w:t>（一）指标内容要求</w:t>
      </w:r>
      <w:bookmarkEnd w:id="7"/>
    </w:p>
    <w:p w14:paraId="63F6650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基于产业发展规划和需求趋势，通过专业供给、社会需求、专业诊断、招生、培养、就业等联动分析，系统了解专业开设情况，对高校专业进行优化诊断评价，实现专业设置的动态优化与资源精准配置。分析内容应包括但不限于以下内容：</w:t>
      </w:r>
    </w:p>
    <w:p w14:paraId="216307A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1.专业供给分析：了解不同区域、不同艺术类高校专业布局情况。</w:t>
      </w:r>
    </w:p>
    <w:p w14:paraId="34FC166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2.社会需求分析：分析学校所在区域的产业发展规划以及用人单位的人才需求趋势，了解区域产业的发展情况以及人才需求情况，为高校整体发展方向提供参考。</w:t>
      </w:r>
    </w:p>
    <w:p w14:paraId="61840D2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3.专业综合评估：基于学校（各专业）的办学条件优势和劣势专业，分别从就业竞争力、招生竞争力以及培养过程竞争力等方面做细化的跟踪反馈。</w:t>
      </w:r>
    </w:p>
    <w:p w14:paraId="1CC6C99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4.就业竞争力：就业状况是专业人才培养成效的重要成果指标。通过对应届毕业生就业数据（包含就业率、月收入、工作与专业相关度等指标）、中期职业发展数据（晋升、收入等）进行综合分析，定位专业的就业竞争力。</w:t>
      </w:r>
    </w:p>
    <w:p w14:paraId="6F8FD69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5.招生竞争力：生源质量是专业吸引力的直观表现。通过对专业的招生计划完成情况、第一志愿率、生源优劣势专业指标等进行综合分析，定位各专业的生源质量优劣势。</w:t>
      </w:r>
    </w:p>
    <w:p w14:paraId="0E110E4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6.培养过程竞争力：办学条件是制约专业发展的重要因素，培养过程是专业改进的重要抓手。通过综合专业的师资条件、课程条件、实践条件等办学条件指标以及教学满意度、专业相关度、职业吻合度、就业现状满意度等教学效果指标，共同定位各专业的培养过程竞争力。</w:t>
      </w:r>
    </w:p>
    <w:p w14:paraId="1F46988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7.多元数据综合评价：能够综合外部公开数据、校本数据、多个利益相关方调研数据，综合外部产业需求和专业多角度开办质量共同分析和定位。</w:t>
      </w:r>
    </w:p>
    <w:p w14:paraId="516DE7E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8" w:name="_Toc26194"/>
      <w:r>
        <w:rPr>
          <w:rFonts w:hint="default" w:ascii="宋体" w:hAnsi="宋体" w:cs="宋体"/>
          <w:b w:val="0"/>
          <w:bCs w:val="0"/>
          <w:color w:val="auto"/>
          <w:sz w:val="24"/>
          <w:szCs w:val="24"/>
          <w:highlight w:val="none"/>
          <w:lang w:val="en-US" w:eastAsia="zh-CN"/>
        </w:rPr>
        <w:t>（二）技术参数要求</w:t>
      </w:r>
      <w:bookmarkEnd w:id="8"/>
    </w:p>
    <w:p w14:paraId="12DBB00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1.项目进度查询系统：须提供一套数据查询系统，学校在调研过程中以及调研完成后，能够通过该系统实时了解项目进展以及查看样本回收情况。包含系统维护、功能升级。</w:t>
      </w:r>
    </w:p>
    <w:p w14:paraId="4E6F2DD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2.调研要求：为学校提供后台监控系统账号，以便学校随时了解项目进展。</w:t>
      </w:r>
    </w:p>
    <w:p w14:paraId="53D88A4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3.保障数据真实性：须在调研完成后提供此次调研所有原始数据库，学校可通过数据库内容抽查毕业生真实答题情况。</w:t>
      </w:r>
    </w:p>
    <w:p w14:paraId="7DEB876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4.数据安全性：应保障相关信息安全。整体项目能够保证数据安全性，有专用邮件服务器进行数据交换，确保原始数据的保密。学生信息、调研数据等关键信息须加密存储，做到不丢失，不损坏，不被窃取，不被篡改，数据有备份，出错可恢复。系统数据不得非法访问，用户操作轨迹可查询。</w:t>
      </w:r>
    </w:p>
    <w:p w14:paraId="3B44EBC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5.分析要求：分析报告内容需细化到每个专业（方向）。</w:t>
      </w:r>
    </w:p>
    <w:p w14:paraId="7F739A4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9" w:name="_Toc25819"/>
      <w:r>
        <w:rPr>
          <w:rFonts w:hint="default" w:ascii="宋体" w:hAnsi="宋体" w:cs="宋体"/>
          <w:b w:val="0"/>
          <w:bCs w:val="0"/>
          <w:color w:val="auto"/>
          <w:sz w:val="24"/>
          <w:szCs w:val="24"/>
          <w:highlight w:val="none"/>
          <w:lang w:val="en-US" w:eastAsia="zh-CN"/>
        </w:rPr>
        <w:t>（三）交付成果</w:t>
      </w:r>
      <w:bookmarkEnd w:id="9"/>
    </w:p>
    <w:p w14:paraId="2980ABD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1.《广西艺术学院2026年社会需求与专业诊断报告》；</w:t>
      </w:r>
    </w:p>
    <w:p w14:paraId="233636E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2.项目进度查询系统；</w:t>
      </w:r>
    </w:p>
    <w:p w14:paraId="1AC2FC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3.调研原始数据库。</w:t>
      </w:r>
    </w:p>
    <w:p w14:paraId="6FA2BBF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注：项目执行过程中如因学校工作需求、项目升级等原因导致的大纲调整，则以最终实际执行大纲为准。</w:t>
      </w:r>
    </w:p>
    <w:p w14:paraId="1E296A6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10" w:name="_Toc14759"/>
      <w:r>
        <w:rPr>
          <w:rFonts w:hint="default" w:ascii="宋体" w:hAnsi="宋体" w:cs="宋体"/>
          <w:b w:val="0"/>
          <w:bCs w:val="0"/>
          <w:color w:val="auto"/>
          <w:sz w:val="24"/>
          <w:szCs w:val="24"/>
          <w:highlight w:val="none"/>
          <w:lang w:val="en-US" w:eastAsia="zh-CN"/>
        </w:rPr>
        <w:t>三、功能需求</w:t>
      </w:r>
      <w:bookmarkEnd w:id="10"/>
    </w:p>
    <w:p w14:paraId="504FE44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根据需求，建设内容如下（包含但不限于）：</w:t>
      </w:r>
    </w:p>
    <w:p w14:paraId="330CE58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主要结论</w:t>
      </w:r>
    </w:p>
    <w:p w14:paraId="2018E41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一、现有专业综合定位</w:t>
      </w:r>
    </w:p>
    <w:p w14:paraId="090997C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二、未来新设专业方向</w:t>
      </w:r>
    </w:p>
    <w:p w14:paraId="027BE80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三、各学院综合定位与建议</w:t>
      </w:r>
    </w:p>
    <w:p w14:paraId="2A27A9E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11" w:name="_Toc29120"/>
      <w:r>
        <w:rPr>
          <w:rFonts w:hint="default" w:ascii="宋体" w:hAnsi="宋体" w:cs="宋体"/>
          <w:b w:val="0"/>
          <w:bCs w:val="0"/>
          <w:color w:val="auto"/>
          <w:sz w:val="24"/>
          <w:szCs w:val="24"/>
          <w:highlight w:val="none"/>
          <w:lang w:val="en-US" w:eastAsia="zh-CN"/>
        </w:rPr>
        <w:t>第一部分 专业供给分析</w:t>
      </w:r>
      <w:bookmarkEnd w:id="11"/>
    </w:p>
    <w:p w14:paraId="3984F38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一、学校当前专业设置情况</w:t>
      </w:r>
    </w:p>
    <w:p w14:paraId="0EBB1FF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二、区域新增专业布点特点</w:t>
      </w:r>
    </w:p>
    <w:p w14:paraId="304E760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三、同类院校新增专业特点</w:t>
      </w:r>
    </w:p>
    <w:p w14:paraId="6E3B83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12" w:name="_Toc28396"/>
      <w:r>
        <w:rPr>
          <w:rFonts w:hint="default" w:ascii="宋体" w:hAnsi="宋体" w:cs="宋体"/>
          <w:b w:val="0"/>
          <w:bCs w:val="0"/>
          <w:color w:val="auto"/>
          <w:sz w:val="24"/>
          <w:szCs w:val="24"/>
          <w:highlight w:val="none"/>
          <w:lang w:val="en-US" w:eastAsia="zh-CN"/>
        </w:rPr>
        <w:t>第二部分 社会需求分析</w:t>
      </w:r>
      <w:bookmarkEnd w:id="12"/>
    </w:p>
    <w:p w14:paraId="6617233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一、学校当前专业服务产业情况</w:t>
      </w:r>
    </w:p>
    <w:p w14:paraId="43F3AEF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1.各专业就业的主要地区</w:t>
      </w:r>
    </w:p>
    <w:p w14:paraId="16E71C1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2.各专业就业的主要领域</w:t>
      </w:r>
    </w:p>
    <w:p w14:paraId="48483E9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二、区域重点产业基本情况</w:t>
      </w:r>
    </w:p>
    <w:p w14:paraId="1E8395F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（一）产业人才需求趋势</w:t>
      </w:r>
    </w:p>
    <w:p w14:paraId="740BD69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（根据区域产业特点和学校主要服务面向选取分析的产业）</w:t>
      </w:r>
    </w:p>
    <w:p w14:paraId="12DF046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1.产业发展规划</w:t>
      </w:r>
    </w:p>
    <w:p w14:paraId="6FD5133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   如：十四五规划、产业发展目标等要求的发展方向</w:t>
      </w:r>
    </w:p>
    <w:p w14:paraId="6931EC3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 产业发展概况和特点</w:t>
      </w:r>
    </w:p>
    <w:p w14:paraId="7D3DAF5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   如：产业产值、产业利润额、从业人员数趋势</w:t>
      </w:r>
    </w:p>
    <w:p w14:paraId="6E8ADC1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3. 典型单位招聘要求</w:t>
      </w:r>
    </w:p>
    <w:p w14:paraId="206C40B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   如：岗位要求、能力要求趋势</w:t>
      </w:r>
    </w:p>
    <w:p w14:paraId="1ACFC24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（二）装备制造产业产业人才需求趋势</w:t>
      </w:r>
    </w:p>
    <w:p w14:paraId="44AA662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（三）新一代信息技术产业人才需求趋势</w:t>
      </w:r>
    </w:p>
    <w:p w14:paraId="012AE87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三、主要服务用人单位的人才需求变化</w:t>
      </w:r>
    </w:p>
    <w:p w14:paraId="3EDE5F4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1.行业、岗位人才需求趋势</w:t>
      </w:r>
    </w:p>
    <w:p w14:paraId="307051F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2.能力知识需求：主要服务的用人单位对毕业生的通用能力和知识（注:如需调研专业能力和专业知识，需学校协助提供能力知识)</w:t>
      </w:r>
    </w:p>
    <w:p w14:paraId="0278442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四、主要产业未来人才需求趋势和增长点分析</w:t>
      </w:r>
    </w:p>
    <w:p w14:paraId="6713240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13" w:name="_Toc27696"/>
      <w:r>
        <w:rPr>
          <w:rFonts w:hint="default" w:ascii="宋体" w:hAnsi="宋体" w:cs="宋体"/>
          <w:b w:val="0"/>
          <w:bCs w:val="0"/>
          <w:color w:val="auto"/>
          <w:sz w:val="24"/>
          <w:szCs w:val="24"/>
          <w:highlight w:val="none"/>
          <w:lang w:val="en-US" w:eastAsia="zh-CN"/>
        </w:rPr>
        <w:t>第三部分 专业综合评估</w:t>
      </w:r>
      <w:bookmarkEnd w:id="13"/>
    </w:p>
    <w:p w14:paraId="297B612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一、办学条件优势和劣势专业</w:t>
      </w:r>
    </w:p>
    <w:p w14:paraId="4841005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（一）各专业办学条件指标</w:t>
      </w:r>
    </w:p>
    <w:p w14:paraId="2CADB6E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1.师资队伍：生师比、教师学历、教师职称、“双师双能型”专任教师比例</w:t>
      </w:r>
    </w:p>
    <w:p w14:paraId="7637553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2.实践条件：校内实践基地数量、校外实践基地数量</w:t>
      </w:r>
    </w:p>
    <w:p w14:paraId="114308C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3.课程与教学资源：精品课程数量、编写教材数量</w:t>
      </w:r>
    </w:p>
    <w:p w14:paraId="19943E4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（二）办学条件优势和劣势专业</w:t>
      </w:r>
    </w:p>
    <w:p w14:paraId="729CD38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1.本校办学条件优势专业及优势指标</w:t>
      </w:r>
    </w:p>
    <w:p w14:paraId="50AC391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2.本校办学条件薄弱专业及需要关注的指标</w:t>
      </w:r>
    </w:p>
    <w:p w14:paraId="3C40811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二、应届就业竞争力优势和劣势专业</w:t>
      </w:r>
    </w:p>
    <w:p w14:paraId="2CD6710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（一）各专业应届就业竞争力指标</w:t>
      </w:r>
    </w:p>
    <w:p w14:paraId="5B8B6A3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1.各专业毕业去向落实率</w:t>
      </w:r>
    </w:p>
    <w:p w14:paraId="1612F70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2.各专业工作与专业相关度</w:t>
      </w:r>
    </w:p>
    <w:p w14:paraId="1AB2AA8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3.各专业收入水平</w:t>
      </w:r>
    </w:p>
    <w:p w14:paraId="4A0029F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4.各专业就业满意度</w:t>
      </w:r>
    </w:p>
    <w:p w14:paraId="728B150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（二）应届就业优势和劣势专业</w:t>
      </w:r>
    </w:p>
    <w:p w14:paraId="421A1A5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1.本校应届就业竞争力优势专业及优势指标</w:t>
      </w:r>
    </w:p>
    <w:p w14:paraId="4CD53EF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2.本校应届就业竞争力薄弱专业及需要关注的指标</w:t>
      </w:r>
    </w:p>
    <w:p w14:paraId="3B44621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三、毕业中期职业发展优势和劣势专业</w:t>
      </w:r>
    </w:p>
    <w:p w14:paraId="12489D0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（一）各专业毕业中期职业发展指标</w:t>
      </w:r>
    </w:p>
    <w:p w14:paraId="48F25F3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1.各专业中期收入及涨幅</w:t>
      </w:r>
    </w:p>
    <w:p w14:paraId="32E1405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2.各专业就业满意度</w:t>
      </w:r>
    </w:p>
    <w:p w14:paraId="7B1358C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3.各专业职位晋升</w:t>
      </w:r>
    </w:p>
    <w:p w14:paraId="6E1C143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（二）毕业中期职业发展优势和劣势专业</w:t>
      </w:r>
    </w:p>
    <w:p w14:paraId="53CC6CE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1.本校职业发展优势专业及优势指标</w:t>
      </w:r>
    </w:p>
    <w:p w14:paraId="418CB18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2.本校职业发展薄弱专业及需要关注的指标</w:t>
      </w:r>
    </w:p>
    <w:p w14:paraId="7C07A20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四、招生与生源优势和劣势专业</w:t>
      </w:r>
    </w:p>
    <w:p w14:paraId="15F3ADB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（一）各专业招生状况与生源质量指标</w:t>
      </w:r>
    </w:p>
    <w:p w14:paraId="21E13CB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1.各专业招生计划完成情况</w:t>
      </w:r>
    </w:p>
    <w:p w14:paraId="01A7D4A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2.各专业第一志愿报考率</w:t>
      </w:r>
    </w:p>
    <w:p w14:paraId="294C4E3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3.各专业高考分</w:t>
      </w:r>
    </w:p>
    <w:p w14:paraId="109237D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（二）招生与生源优势和劣势专业</w:t>
      </w:r>
    </w:p>
    <w:p w14:paraId="6DCBF4A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1.本校生源优势专业及优势指标</w:t>
      </w:r>
    </w:p>
    <w:p w14:paraId="05227A7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2.本校生源薄弱专业及需要关注的指标</w:t>
      </w:r>
    </w:p>
    <w:p w14:paraId="088BF30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五、培养过程优势和劣势专业</w:t>
      </w:r>
    </w:p>
    <w:p w14:paraId="0A6DD04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（一）各专业培养过程指标</w:t>
      </w:r>
    </w:p>
    <w:p w14:paraId="7A2939F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1.各专业教学满意度</w:t>
      </w:r>
    </w:p>
    <w:p w14:paraId="6156464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2.各专业核心课程评价及预警</w:t>
      </w:r>
    </w:p>
    <w:p w14:paraId="3DA1191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3.各专业实践教学评价</w:t>
      </w:r>
    </w:p>
    <w:p w14:paraId="624A475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4.各专业教师指导满足度</w:t>
      </w:r>
    </w:p>
    <w:p w14:paraId="0F4ABD1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（二）培养过程优势和劣势专业</w:t>
      </w:r>
    </w:p>
    <w:p w14:paraId="5D36A4E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1.本校培养过程优势专业及优势指标</w:t>
      </w:r>
    </w:p>
    <w:p w14:paraId="3F3B50E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2.本校培养过程薄弱专业及需要关注的指标</w:t>
      </w:r>
    </w:p>
    <w:p w14:paraId="4681C03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（三）专业培养过程</w:t>
      </w:r>
    </w:p>
    <w:p w14:paraId="7F6ADF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1.本专业课程总体重要度和满足度（与对比群体对比）</w:t>
      </w:r>
    </w:p>
    <w:p w14:paraId="2487443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2.本专业核心课程评价及预警</w:t>
      </w:r>
    </w:p>
    <w:p w14:paraId="4F08C3E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3.专业相关毕业生的课程重要度和满足度 </w:t>
      </w:r>
    </w:p>
    <w:p w14:paraId="619CDAF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4.就业最多的职业（类）的毕业生的课程重要度和满足度 </w:t>
      </w:r>
    </w:p>
    <w:p w14:paraId="6BFDCC1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5.就业最多的行业（类）的毕业生的课程重要度和满足度 </w:t>
      </w:r>
    </w:p>
    <w:p w14:paraId="120405E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6.本专业教学中最需要改进的地方（与对比群体对比） </w:t>
      </w:r>
    </w:p>
    <w:p w14:paraId="297C6AC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7.本专业最重要的三项基本工作能力、三项核心知识 </w:t>
      </w:r>
    </w:p>
    <w:p w14:paraId="0EA479D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六、专业培养结果</w:t>
      </w:r>
    </w:p>
    <w:p w14:paraId="5ABEF7D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（一）专业相关度</w:t>
      </w:r>
    </w:p>
    <w:p w14:paraId="3B2BDE8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1.专业相关度（与本专业往届、对比群体对比） </w:t>
      </w:r>
    </w:p>
    <w:p w14:paraId="0CAD168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2.毕业生选择专业无关工作的原因（专业相关度较低时） </w:t>
      </w:r>
    </w:p>
    <w:p w14:paraId="18711DD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3.不同成绩群体毕业生的专业相关度（分析形式：总体） </w:t>
      </w:r>
    </w:p>
    <w:p w14:paraId="505232F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（二）职业吻合度</w:t>
      </w:r>
    </w:p>
    <w:p w14:paraId="578EF51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1.职业吻合度（与本专业往届、对比群体对比） </w:t>
      </w:r>
    </w:p>
    <w:p w14:paraId="723B384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2.毕业生职业不符合期待的原因 </w:t>
      </w:r>
    </w:p>
    <w:p w14:paraId="26C833F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3.不同成绩群体毕业生的职业吻合度（分析形式：总体） </w:t>
      </w:r>
    </w:p>
    <w:p w14:paraId="2B72511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（三）就业现状满意度</w:t>
      </w:r>
    </w:p>
    <w:p w14:paraId="08F8E22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1.就业现状满意度（与本专业往届、对比群体对比） </w:t>
      </w:r>
    </w:p>
    <w:p w14:paraId="44BF17A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2.毕业生对就业现状不满意的原因 </w:t>
      </w:r>
    </w:p>
    <w:p w14:paraId="19FD612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 xml:space="preserve">3.不同成绩群体毕业生的就业现状满意度（分析形式：总体） </w:t>
      </w:r>
    </w:p>
    <w:p w14:paraId="4212410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14" w:name="_Toc9849"/>
      <w:r>
        <w:rPr>
          <w:rFonts w:hint="default" w:ascii="宋体" w:hAnsi="宋体" w:cs="宋体"/>
          <w:b w:val="0"/>
          <w:bCs w:val="0"/>
          <w:color w:val="auto"/>
          <w:sz w:val="24"/>
          <w:szCs w:val="24"/>
          <w:highlight w:val="none"/>
          <w:lang w:val="en-US" w:eastAsia="zh-CN"/>
        </w:rPr>
        <w:t>第四部分 技术报告</w:t>
      </w:r>
      <w:bookmarkEnd w:id="14"/>
    </w:p>
    <w:p w14:paraId="27522F4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说明：大纲中指标为举例，最终指标体系将与学校协商后确定。</w:t>
      </w:r>
    </w:p>
    <w:p w14:paraId="68A8BAF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15" w:name="_Toc28691"/>
      <w:r>
        <w:rPr>
          <w:rFonts w:hint="default" w:ascii="宋体" w:hAnsi="宋体" w:cs="宋体"/>
          <w:b w:val="0"/>
          <w:bCs w:val="0"/>
          <w:color w:val="auto"/>
          <w:sz w:val="24"/>
          <w:szCs w:val="24"/>
          <w:highlight w:val="none"/>
          <w:lang w:val="en-US" w:eastAsia="zh-CN"/>
        </w:rPr>
        <w:t>四、其他需求</w:t>
      </w:r>
      <w:bookmarkEnd w:id="15"/>
    </w:p>
    <w:p w14:paraId="150CF0A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16" w:name="_Toc15832"/>
      <w:r>
        <w:rPr>
          <w:rFonts w:hint="default" w:ascii="宋体" w:hAnsi="宋体" w:cs="宋体"/>
          <w:b w:val="0"/>
          <w:bCs w:val="0"/>
          <w:color w:val="auto"/>
          <w:sz w:val="24"/>
          <w:szCs w:val="24"/>
          <w:highlight w:val="none"/>
          <w:lang w:val="en-US" w:eastAsia="zh-CN"/>
        </w:rPr>
        <w:t>1.服务要求</w:t>
      </w:r>
      <w:bookmarkEnd w:id="16"/>
    </w:p>
    <w:p w14:paraId="43669A8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（1）问卷的总体设计，数据收集的技术支持，数据整理，研究分析和形成报告。</w:t>
      </w:r>
    </w:p>
    <w:p w14:paraId="2809E09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（2）项目实施过程中安排至少一名项目管理专员协助学校进行项目过程中的管理与维护工作。</w:t>
      </w:r>
    </w:p>
    <w:p w14:paraId="333244B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（3）调研结束后，向学校提供有针对性的诊断分析。通过科学的指标体系，监测社会需求情况，并且返回完整的原始数据库。</w:t>
      </w:r>
    </w:p>
    <w:p w14:paraId="0862AC4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（4）数据报告出来后，学校遇到指标不清晰的地方，须提供相关说明。</w:t>
      </w:r>
    </w:p>
    <w:p w14:paraId="14D3AA8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17" w:name="_Toc22783"/>
      <w:r>
        <w:rPr>
          <w:rFonts w:hint="default" w:ascii="宋体" w:hAnsi="宋体" w:cs="宋体"/>
          <w:b w:val="0"/>
          <w:bCs w:val="0"/>
          <w:color w:val="auto"/>
          <w:sz w:val="24"/>
          <w:szCs w:val="24"/>
          <w:highlight w:val="none"/>
          <w:lang w:val="en-US" w:eastAsia="zh-CN"/>
        </w:rPr>
        <w:t>2.产业分析模型</w:t>
      </w:r>
      <w:bookmarkEnd w:id="17"/>
    </w:p>
    <w:p w14:paraId="417377A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协助梳理政策规划、统计局数据、招聘数据、毕业生就业趋势数据。</w:t>
      </w:r>
    </w:p>
    <w:p w14:paraId="5F7E6F7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18" w:name="_Toc11672"/>
      <w:r>
        <w:rPr>
          <w:rFonts w:hint="default" w:ascii="宋体" w:hAnsi="宋体" w:cs="宋体"/>
          <w:b w:val="0"/>
          <w:bCs w:val="0"/>
          <w:color w:val="auto"/>
          <w:sz w:val="24"/>
          <w:szCs w:val="24"/>
          <w:highlight w:val="none"/>
          <w:lang w:val="en-US" w:eastAsia="zh-CN"/>
        </w:rPr>
        <w:t>3.多维数据定位</w:t>
      </w:r>
      <w:bookmarkEnd w:id="18"/>
    </w:p>
    <w:p w14:paraId="196B556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从办学条件、招生质量、就业质量、培养质量等多维数据定位专业。</w:t>
      </w:r>
    </w:p>
    <w:p w14:paraId="445535F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bookmarkStart w:id="19" w:name="_Toc25428"/>
      <w:r>
        <w:rPr>
          <w:rFonts w:hint="default" w:ascii="宋体" w:hAnsi="宋体" w:cs="宋体"/>
          <w:b w:val="0"/>
          <w:bCs w:val="0"/>
          <w:color w:val="auto"/>
          <w:sz w:val="24"/>
          <w:szCs w:val="24"/>
          <w:highlight w:val="none"/>
          <w:lang w:val="en-US" w:eastAsia="zh-CN"/>
        </w:rPr>
        <w:t>4.指标科学性、准确性</w:t>
      </w:r>
      <w:bookmarkEnd w:id="19"/>
    </w:p>
    <w:p w14:paraId="31F86DD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确保相关数据、指标的科学性和准确性。</w:t>
      </w:r>
    </w:p>
    <w:p w14:paraId="35AC796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val="0"/>
          <w:bCs w:val="0"/>
          <w:color w:val="auto"/>
          <w:sz w:val="24"/>
          <w:szCs w:val="24"/>
          <w:highlight w:val="none"/>
          <w:lang w:val="en-US" w:eastAsia="zh-CN"/>
        </w:rPr>
      </w:pPr>
    </w:p>
    <w:p w14:paraId="11E4658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35DA2D4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3B2FE3B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7D3B2D2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257C02B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3E6D1C2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16BE949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2467517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47DB66A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65AC693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48FB5DA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64B2A37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4F8D61A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2B4C043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146CD23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76E8B41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3F305C8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4EC3391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3930EA7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1CDD82F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173F720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3629793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default" w:ascii="宋体" w:hAnsi="宋体" w:cs="宋体"/>
          <w:b/>
          <w:bCs/>
          <w:color w:val="auto"/>
          <w:sz w:val="24"/>
          <w:szCs w:val="24"/>
          <w:highlight w:val="none"/>
          <w:lang w:val="en-US" w:eastAsia="zh-CN"/>
        </w:rPr>
      </w:pPr>
    </w:p>
    <w:p w14:paraId="3DF3CA0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jc w:val="both"/>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附件2：</w:t>
      </w:r>
    </w:p>
    <w:p w14:paraId="65D489B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jc w:val="both"/>
        <w:rPr>
          <w:color w:val="auto"/>
          <w:highlight w:val="none"/>
        </w:rPr>
      </w:pPr>
      <w:r>
        <w:rPr>
          <w:rFonts w:hint="eastAsia" w:ascii="宋体" w:hAnsi="宋体" w:cs="宋体"/>
          <w:b/>
          <w:bCs/>
          <w:color w:val="auto"/>
          <w:sz w:val="24"/>
          <w:szCs w:val="24"/>
          <w:highlight w:val="none"/>
          <w:lang w:val="en-US" w:eastAsia="zh-CN"/>
        </w:rPr>
        <w:t>评分办法</w:t>
      </w:r>
    </w:p>
    <w:tbl>
      <w:tblPr>
        <w:tblStyle w:val="15"/>
        <w:tblW w:w="5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47"/>
        <w:gridCol w:w="538"/>
        <w:gridCol w:w="5806"/>
        <w:gridCol w:w="1214"/>
      </w:tblGrid>
      <w:tr w14:paraId="50D1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79" w:type="pct"/>
            <w:vAlign w:val="center"/>
          </w:tcPr>
          <w:p w14:paraId="6040372B">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714" w:type="pct"/>
            <w:vAlign w:val="center"/>
          </w:tcPr>
          <w:p w14:paraId="78F0E0B8">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评分因素及权重</w:t>
            </w:r>
          </w:p>
        </w:tc>
        <w:tc>
          <w:tcPr>
            <w:tcW w:w="285" w:type="pct"/>
            <w:vAlign w:val="center"/>
          </w:tcPr>
          <w:p w14:paraId="0314CD42">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分　值</w:t>
            </w:r>
          </w:p>
        </w:tc>
        <w:tc>
          <w:tcPr>
            <w:tcW w:w="3076" w:type="pct"/>
            <w:vAlign w:val="center"/>
          </w:tcPr>
          <w:p w14:paraId="36B66250">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评分标准</w:t>
            </w:r>
          </w:p>
        </w:tc>
        <w:tc>
          <w:tcPr>
            <w:tcW w:w="643" w:type="pct"/>
            <w:vAlign w:val="center"/>
          </w:tcPr>
          <w:p w14:paraId="54D13F8F">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说明</w:t>
            </w:r>
          </w:p>
        </w:tc>
      </w:tr>
      <w:tr w14:paraId="5BF8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279" w:type="pct"/>
            <w:vAlign w:val="center"/>
          </w:tcPr>
          <w:p w14:paraId="2E85CD3F">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714" w:type="pct"/>
            <w:vAlign w:val="center"/>
          </w:tcPr>
          <w:p w14:paraId="2200F97D">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w:t>
            </w:r>
            <w:r>
              <w:rPr>
                <w:rFonts w:hint="eastAsia" w:asciiTheme="minorEastAsia" w:hAnsi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0%</w:t>
            </w:r>
          </w:p>
        </w:tc>
        <w:tc>
          <w:tcPr>
            <w:tcW w:w="285" w:type="pct"/>
            <w:vAlign w:val="center"/>
          </w:tcPr>
          <w:p w14:paraId="542F00E0">
            <w:pPr>
              <w:jc w:val="center"/>
              <w:rPr>
                <w:rFonts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0</w:t>
            </w:r>
          </w:p>
        </w:tc>
        <w:tc>
          <w:tcPr>
            <w:tcW w:w="3076" w:type="pct"/>
            <w:vAlign w:val="center"/>
          </w:tcPr>
          <w:p w14:paraId="08168895">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有效的投标报价中的最低价为评标基准价，其价格分为满分。其他投标人的价格分统一按照下列公式计算：</w:t>
            </w:r>
          </w:p>
          <w:p w14:paraId="67A6EEAA">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投标报价得分＝（评审基准价/响应报价）×20分。</w:t>
            </w:r>
          </w:p>
          <w:p w14:paraId="7386AE69">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小组认为投标人的报价低于采购预算的50%或者低于其他有效比选申请人报价算术平均价的40%，有可能影响产品质量或者不能诚信履约的，评审小组应当要求其在采购现场合理的时间内提供书面说明，并提交相关证明材料，投标人不能证明其报价合理性的，评审小组应当将其作为无效处理。</w:t>
            </w:r>
          </w:p>
          <w:p w14:paraId="313EDCB8">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投标人的书面说明材料应当按照国家财务会计制度的规定要求，逐项就投标人提供的货物、工程和服务的主营业务成本、税金及附加、销售费用、管理费用、财务费用等成本构成事项详细陈述）</w:t>
            </w:r>
          </w:p>
        </w:tc>
        <w:tc>
          <w:tcPr>
            <w:tcW w:w="643" w:type="pct"/>
            <w:vAlign w:val="center"/>
          </w:tcPr>
          <w:p w14:paraId="6389F507">
            <w:pPr>
              <w:widowControl/>
              <w:jc w:val="left"/>
              <w:rPr>
                <w:rFonts w:asciiTheme="minorEastAsia" w:hAnsiTheme="minorEastAsia" w:eastAsiaTheme="minorEastAsia" w:cstheme="minorEastAsia"/>
                <w:b/>
                <w:color w:val="auto"/>
                <w:sz w:val="24"/>
                <w:highlight w:val="none"/>
              </w:rPr>
            </w:pPr>
          </w:p>
        </w:tc>
      </w:tr>
      <w:tr w14:paraId="38DA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5" w:hRule="atLeast"/>
          <w:jc w:val="center"/>
        </w:trPr>
        <w:tc>
          <w:tcPr>
            <w:tcW w:w="279" w:type="pct"/>
            <w:vAlign w:val="center"/>
          </w:tcPr>
          <w:p w14:paraId="070370FA">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2</w:t>
            </w:r>
          </w:p>
        </w:tc>
        <w:tc>
          <w:tcPr>
            <w:tcW w:w="714" w:type="pct"/>
            <w:vAlign w:val="center"/>
          </w:tcPr>
          <w:p w14:paraId="7239F483">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技术、服务方案4</w:t>
            </w:r>
            <w:r>
              <w:rPr>
                <w:rFonts w:hint="eastAsia" w:asciiTheme="minorEastAsia" w:hAnsi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w:t>
            </w:r>
          </w:p>
        </w:tc>
        <w:tc>
          <w:tcPr>
            <w:tcW w:w="285" w:type="pct"/>
            <w:vAlign w:val="center"/>
          </w:tcPr>
          <w:p w14:paraId="233B7E8F">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cstheme="minorEastAsia"/>
                <w:color w:val="auto"/>
                <w:szCs w:val="21"/>
                <w:highlight w:val="none"/>
                <w:lang w:val="en-US" w:eastAsia="zh-CN"/>
              </w:rPr>
              <w:t>3</w:t>
            </w:r>
          </w:p>
        </w:tc>
        <w:tc>
          <w:tcPr>
            <w:tcW w:w="3076" w:type="pct"/>
            <w:vAlign w:val="center"/>
          </w:tcPr>
          <w:p w14:paraId="54C61C69">
            <w:pPr>
              <w:numPr>
                <w:ilvl w:val="0"/>
                <w:numId w:val="3"/>
              </w:numPr>
              <w:jc w:val="left"/>
              <w:rPr>
                <w:rFonts w:hint="eastAsia" w:asciiTheme="minorEastAsia" w:hAnsi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项目要求响应性</w:t>
            </w:r>
            <w:r>
              <w:rPr>
                <w:rFonts w:hint="eastAsia" w:asciiTheme="minorEastAsia" w:hAnsiTheme="minorEastAsia" w:cstheme="minorEastAsia"/>
                <w:color w:val="auto"/>
                <w:szCs w:val="21"/>
                <w:highlight w:val="none"/>
                <w:lang w:eastAsia="zh-CN"/>
              </w:rPr>
              <w:t>（</w:t>
            </w:r>
            <w:r>
              <w:rPr>
                <w:rFonts w:hint="eastAsia" w:asciiTheme="minorEastAsia" w:hAnsiTheme="minorEastAsia" w:cstheme="minorEastAsia"/>
                <w:color w:val="auto"/>
                <w:szCs w:val="21"/>
                <w:highlight w:val="none"/>
                <w:lang w:val="en-US" w:eastAsia="zh-CN"/>
              </w:rPr>
              <w:t>8分</w:t>
            </w:r>
            <w:r>
              <w:rPr>
                <w:rFonts w:hint="eastAsia" w:asciiTheme="minorEastAsia" w:hAnsiTheme="minorEastAsia" w:cstheme="minorEastAsia"/>
                <w:color w:val="auto"/>
                <w:szCs w:val="21"/>
                <w:highlight w:val="none"/>
                <w:lang w:eastAsia="zh-CN"/>
              </w:rPr>
              <w:t>）</w:t>
            </w:r>
          </w:p>
          <w:p w14:paraId="002481CE">
            <w:pPr>
              <w:numPr>
                <w:ilvl w:val="0"/>
                <w:numId w:val="0"/>
              </w:numPr>
              <w:ind w:firstLine="480" w:firstLineChars="200"/>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Cs w:val="21"/>
                <w:highlight w:val="none"/>
                <w:lang w:eastAsia="zh-CN"/>
              </w:rPr>
              <w:t>投标人</w:t>
            </w:r>
            <w:r>
              <w:rPr>
                <w:rFonts w:hint="eastAsia" w:asciiTheme="minorEastAsia" w:hAnsiTheme="minorEastAsia" w:eastAsiaTheme="minorEastAsia" w:cstheme="minorEastAsia"/>
                <w:color w:val="auto"/>
                <w:szCs w:val="21"/>
                <w:highlight w:val="none"/>
              </w:rPr>
              <w:t>完全满足招标文件中商务服务要求和技术需求的得</w:t>
            </w:r>
            <w:r>
              <w:rPr>
                <w:rFonts w:hint="eastAsia" w:asciiTheme="minorEastAsia" w:hAnsi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分，有一条不满足扣2分，扣完为止。</w:t>
            </w:r>
          </w:p>
          <w:p w14:paraId="5B9C434E">
            <w:pPr>
              <w:pStyle w:val="6"/>
              <w:spacing w:after="0"/>
              <w:jc w:val="left"/>
              <w:rPr>
                <w:rFonts w:asciiTheme="minorEastAsia" w:hAnsiTheme="minorEastAsia" w:eastAsiaTheme="minorEastAsia" w:cstheme="minorEastAsia"/>
                <w:b w:val="0"/>
                <w:bCs w:val="0"/>
                <w:color w:val="auto"/>
                <w:highlight w:val="none"/>
              </w:rPr>
            </w:pPr>
            <w:r>
              <w:rPr>
                <w:rFonts w:hint="eastAsia" w:asciiTheme="minorEastAsia" w:hAnsiTheme="minorEastAsia" w:cstheme="minorEastAsia"/>
                <w:b w:val="0"/>
                <w:bCs w:val="0"/>
                <w:color w:val="auto"/>
                <w:highlight w:val="none"/>
                <w:lang w:val="en-US" w:eastAsia="zh-CN"/>
              </w:rPr>
              <w:t>2.</w:t>
            </w:r>
            <w:r>
              <w:rPr>
                <w:rFonts w:hint="eastAsia" w:asciiTheme="minorEastAsia" w:hAnsiTheme="minorEastAsia" w:eastAsiaTheme="minorEastAsia" w:cstheme="minorEastAsia"/>
                <w:b w:val="0"/>
                <w:bCs w:val="0"/>
                <w:color w:val="auto"/>
                <w:highlight w:val="none"/>
              </w:rPr>
              <w:t>项目技术方案（</w:t>
            </w:r>
            <w:r>
              <w:rPr>
                <w:rFonts w:hint="eastAsia" w:asciiTheme="minorEastAsia" w:hAnsiTheme="minorEastAsia" w:cstheme="minorEastAsia"/>
                <w:b w:val="0"/>
                <w:bCs w:val="0"/>
                <w:color w:val="auto"/>
                <w:highlight w:val="none"/>
                <w:lang w:val="en-US" w:eastAsia="zh-CN"/>
              </w:rPr>
              <w:t>25</w:t>
            </w:r>
            <w:r>
              <w:rPr>
                <w:rFonts w:hint="eastAsia" w:asciiTheme="minorEastAsia" w:hAnsiTheme="minorEastAsia" w:eastAsiaTheme="minorEastAsia" w:cstheme="minorEastAsia"/>
                <w:b w:val="0"/>
                <w:bCs w:val="0"/>
                <w:color w:val="auto"/>
                <w:highlight w:val="none"/>
              </w:rPr>
              <w:t>分）</w:t>
            </w:r>
          </w:p>
          <w:p w14:paraId="68CEB05F">
            <w:pPr>
              <w:pStyle w:val="6"/>
              <w:spacing w:after="0"/>
              <w:jc w:val="lef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（1）供应商提供项目方案，内容包括：①项目背景；②概况；③项目服务目标和范围；④项目风险分析；</w:t>
            </w:r>
            <w:r>
              <w:rPr>
                <w:rFonts w:hint="eastAsia" w:asciiTheme="minorEastAsia" w:hAnsiTheme="minorEastAsia" w:cstheme="minorEastAsia"/>
                <w:color w:val="auto"/>
                <w:highlight w:val="none"/>
                <w:lang w:val="en-US" w:eastAsia="zh-CN"/>
              </w:rPr>
              <w:t>⑤</w:t>
            </w:r>
            <w:r>
              <w:rPr>
                <w:rFonts w:hint="eastAsia" w:asciiTheme="minorEastAsia" w:hAnsiTheme="minorEastAsia" w:eastAsiaTheme="minorEastAsia" w:cstheme="minorEastAsia"/>
                <w:color w:val="auto"/>
                <w:highlight w:val="none"/>
              </w:rPr>
              <w:t>控制措施</w:t>
            </w:r>
            <w:r>
              <w:rPr>
                <w:rFonts w:hint="eastAsia" w:asciiTheme="minorEastAsia" w:hAnsiTheme="minorEastAsia" w:cstheme="minorEastAsia"/>
                <w:color w:val="auto"/>
                <w:highlight w:val="none"/>
                <w:lang w:eastAsia="zh-CN"/>
              </w:rPr>
              <w:t>。</w:t>
            </w:r>
          </w:p>
          <w:p w14:paraId="1BE89826">
            <w:pPr>
              <w:ind w:firstLine="480" w:firstLineChars="200"/>
              <w:rPr>
                <w:rFonts w:hint="eastAsia"/>
                <w:color w:val="auto"/>
                <w:highlight w:val="none"/>
              </w:rPr>
            </w:pPr>
            <w:r>
              <w:rPr>
                <w:rFonts w:hint="eastAsia"/>
                <w:color w:val="auto"/>
                <w:highlight w:val="none"/>
              </w:rPr>
              <w:t>（1档）5分：项目方案总体设计内容内容全面、功能叙述详尽，总体架构思路清晰；</w:t>
            </w:r>
          </w:p>
          <w:p w14:paraId="505DB263">
            <w:pPr>
              <w:ind w:firstLine="480" w:firstLineChars="200"/>
              <w:rPr>
                <w:rFonts w:hint="eastAsia"/>
                <w:color w:val="auto"/>
                <w:highlight w:val="none"/>
              </w:rPr>
            </w:pPr>
            <w:r>
              <w:rPr>
                <w:rFonts w:hint="eastAsia"/>
                <w:color w:val="auto"/>
                <w:highlight w:val="none"/>
              </w:rPr>
              <w:t>（2档）3分：项目方案总体设计内容较全面、功能叙述详尽，总体架构思路清晰；</w:t>
            </w:r>
          </w:p>
          <w:p w14:paraId="15EDA0B1">
            <w:pPr>
              <w:ind w:firstLine="480" w:firstLineChars="200"/>
              <w:rPr>
                <w:color w:val="auto"/>
                <w:highlight w:val="none"/>
              </w:rPr>
            </w:pPr>
            <w:r>
              <w:rPr>
                <w:rFonts w:hint="eastAsia"/>
                <w:color w:val="auto"/>
                <w:highlight w:val="none"/>
              </w:rPr>
              <w:t>（3档）0分：项目方案总体设计内容不全面、功能叙述不详尽，总体架构思路不清晰；</w:t>
            </w:r>
          </w:p>
          <w:p w14:paraId="2208B092">
            <w:pPr>
              <w:pStyle w:val="6"/>
              <w:numPr>
                <w:ilvl w:val="0"/>
                <w:numId w:val="4"/>
              </w:numPr>
              <w:spacing w:after="0"/>
              <w:jc w:val="left"/>
              <w:rPr>
                <w:color w:val="auto"/>
                <w:highlight w:val="none"/>
              </w:rPr>
            </w:pPr>
            <w:r>
              <w:rPr>
                <w:rFonts w:hint="eastAsia" w:asciiTheme="minorEastAsia" w:hAnsiTheme="minorEastAsia" w:eastAsiaTheme="minorEastAsia" w:cstheme="minorEastAsia"/>
                <w:color w:val="auto"/>
                <w:highlight w:val="none"/>
              </w:rPr>
              <w:t>供应商提供项目报告大纲，内容包括：①</w:t>
            </w:r>
            <w:r>
              <w:rPr>
                <w:rFonts w:hint="eastAsia" w:asciiTheme="minorEastAsia" w:hAnsiTheme="minorEastAsia" w:cstheme="minorEastAsia"/>
                <w:color w:val="auto"/>
                <w:highlight w:val="none"/>
                <w:lang w:val="en-US" w:eastAsia="zh-CN"/>
              </w:rPr>
              <w:t>专业供给</w:t>
            </w:r>
            <w:r>
              <w:rPr>
                <w:rFonts w:hint="eastAsia" w:asciiTheme="minorEastAsia" w:hAnsiTheme="minorEastAsia" w:eastAsiaTheme="minorEastAsia" w:cstheme="minorEastAsia"/>
                <w:color w:val="auto"/>
                <w:highlight w:val="none"/>
              </w:rPr>
              <w:t>分析</w:t>
            </w:r>
            <w:r>
              <w:rPr>
                <w:rFonts w:hint="eastAsia" w:asciiTheme="minorEastAsia" w:hAnsiTheme="minorEastAsia" w:cstheme="minorEastAsia"/>
                <w:color w:val="auto"/>
                <w:highlight w:val="none"/>
                <w:lang w:eastAsia="zh-CN"/>
              </w:rPr>
              <w:t>（</w:t>
            </w:r>
            <w:r>
              <w:rPr>
                <w:rFonts w:hint="eastAsia" w:asciiTheme="minorEastAsia" w:hAnsiTheme="minorEastAsia" w:cstheme="minorEastAsia"/>
                <w:color w:val="auto"/>
                <w:highlight w:val="none"/>
                <w:lang w:val="en-US" w:eastAsia="zh-CN"/>
              </w:rPr>
              <w:t>包含但不限于专业设置）</w:t>
            </w:r>
            <w:r>
              <w:rPr>
                <w:rFonts w:hint="eastAsia" w:asciiTheme="minorEastAsia" w:hAnsiTheme="minorEastAsia" w:eastAsiaTheme="minorEastAsia" w:cstheme="minorEastAsia"/>
                <w:color w:val="auto"/>
                <w:highlight w:val="none"/>
              </w:rPr>
              <w:t>；②</w:t>
            </w:r>
            <w:r>
              <w:rPr>
                <w:rFonts w:hint="eastAsia" w:asciiTheme="minorEastAsia" w:hAnsiTheme="minorEastAsia" w:cstheme="minorEastAsia"/>
                <w:color w:val="auto"/>
                <w:highlight w:val="none"/>
                <w:lang w:val="en-US" w:eastAsia="zh-CN"/>
              </w:rPr>
              <w:t>社会需求分析（专业服务产业情况、用人单位的人才需求变化、未来人才需求趋势等）</w:t>
            </w:r>
            <w:r>
              <w:rPr>
                <w:rFonts w:hint="eastAsia" w:asciiTheme="minorEastAsia" w:hAnsiTheme="minorEastAsia" w:eastAsiaTheme="minorEastAsia" w:cstheme="minorEastAsia"/>
                <w:color w:val="auto"/>
                <w:highlight w:val="none"/>
              </w:rPr>
              <w:t>；③</w:t>
            </w:r>
            <w:r>
              <w:rPr>
                <w:rFonts w:hint="eastAsia" w:asciiTheme="minorEastAsia" w:hAnsiTheme="minorEastAsia" w:cstheme="minorEastAsia"/>
                <w:color w:val="auto"/>
                <w:highlight w:val="none"/>
                <w:lang w:val="en-US" w:eastAsia="zh-CN"/>
              </w:rPr>
              <w:t>专业综合评估（包含但不限于办学条件、就业竞争力、招生竞争力、培养竞争力等）</w:t>
            </w:r>
            <w:r>
              <w:rPr>
                <w:rFonts w:hint="eastAsia" w:asciiTheme="minorEastAsia" w:hAnsiTheme="minorEastAsia" w:eastAsiaTheme="minorEastAsia" w:cstheme="minorEastAsia"/>
                <w:color w:val="auto"/>
                <w:highlight w:val="none"/>
              </w:rPr>
              <w:t>；④</w:t>
            </w:r>
            <w:r>
              <w:rPr>
                <w:rFonts w:hint="eastAsia" w:asciiTheme="minorEastAsia" w:hAnsiTheme="minorEastAsia" w:cstheme="minorEastAsia"/>
                <w:color w:val="auto"/>
                <w:highlight w:val="none"/>
                <w:lang w:val="en-US" w:eastAsia="zh-CN"/>
              </w:rPr>
              <w:t>满</w:t>
            </w:r>
            <w:r>
              <w:rPr>
                <w:rFonts w:hint="eastAsia" w:asciiTheme="minorEastAsia" w:hAnsiTheme="minorEastAsia" w:eastAsiaTheme="minorEastAsia" w:cstheme="minorEastAsia"/>
                <w:color w:val="auto"/>
                <w:highlight w:val="none"/>
              </w:rPr>
              <w:t>足采购人需求。与采购文件中的调研内容目录相比每增加一个一级目录得1分，增加一个二级目录得1分，增加一个三级目录得1分，最多得1</w:t>
            </w:r>
            <w:r>
              <w:rPr>
                <w:rFonts w:hint="eastAsia" w:asciiTheme="minorEastAsia" w:hAnsiTheme="minorEastAsia" w:cstheme="minorEastAsia"/>
                <w:color w:val="auto"/>
                <w:highlight w:val="none"/>
                <w:lang w:val="en-US" w:eastAsia="zh-CN"/>
              </w:rPr>
              <w:t>0</w:t>
            </w:r>
            <w:r>
              <w:rPr>
                <w:rFonts w:hint="eastAsia" w:asciiTheme="minorEastAsia" w:hAnsiTheme="minorEastAsia" w:eastAsiaTheme="minorEastAsia" w:cstheme="minorEastAsia"/>
                <w:color w:val="auto"/>
                <w:highlight w:val="none"/>
              </w:rPr>
              <w:t>分。</w:t>
            </w:r>
            <w:r>
              <w:rPr>
                <w:rFonts w:hint="eastAsia" w:asciiTheme="minorEastAsia" w:hAnsiTheme="minorEastAsia" w:cstheme="minorEastAsia"/>
                <w:color w:val="auto"/>
                <w:highlight w:val="none"/>
                <w:lang w:val="en-US" w:eastAsia="zh-CN"/>
              </w:rPr>
              <w:t>注：为便于评审，投标人提供的调研大纲目录如有增加，请突出显示或标注。</w:t>
            </w:r>
          </w:p>
          <w:p w14:paraId="6F352E27">
            <w:pPr>
              <w:pStyle w:val="6"/>
              <w:numPr>
                <w:ilvl w:val="0"/>
                <w:numId w:val="4"/>
              </w:numPr>
              <w:spacing w:after="0"/>
              <w:ind w:left="0" w:leftChars="0"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供应商提供项目技术支持方案，内容包括：①项目的整体设计；②问卷调查；③数据清理；④数据分析；⑤报告撰写。</w:t>
            </w:r>
          </w:p>
          <w:p w14:paraId="11BB9866">
            <w:pPr>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1档</w:t>
            </w:r>
            <w:r>
              <w:rPr>
                <w:rFonts w:hint="eastAsia"/>
                <w:color w:val="auto"/>
                <w:highlight w:val="none"/>
                <w:lang w:eastAsia="zh-CN"/>
              </w:rPr>
              <w:t>）</w:t>
            </w:r>
            <w:r>
              <w:rPr>
                <w:rFonts w:hint="eastAsia"/>
                <w:color w:val="auto"/>
                <w:highlight w:val="none"/>
                <w:lang w:val="en-US" w:eastAsia="zh-CN"/>
              </w:rPr>
              <w:t>5分：</w:t>
            </w:r>
            <w:r>
              <w:rPr>
                <w:rFonts w:hint="eastAsia" w:asciiTheme="minorEastAsia" w:hAnsiTheme="minorEastAsia" w:eastAsiaTheme="minorEastAsia" w:cstheme="minorEastAsia"/>
                <w:color w:val="auto"/>
                <w:highlight w:val="none"/>
              </w:rPr>
              <w:t>项目技术支持方案</w:t>
            </w:r>
            <w:r>
              <w:rPr>
                <w:rFonts w:hint="eastAsia"/>
                <w:color w:val="auto"/>
                <w:highlight w:val="none"/>
              </w:rPr>
              <w:t>内容完整规范、具体可行，服务响应时间快，各项服务内容好；</w:t>
            </w:r>
          </w:p>
          <w:p w14:paraId="3231D955">
            <w:pPr>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2档</w:t>
            </w:r>
            <w:r>
              <w:rPr>
                <w:rFonts w:hint="eastAsia"/>
                <w:color w:val="auto"/>
                <w:highlight w:val="none"/>
                <w:lang w:eastAsia="zh-CN"/>
              </w:rPr>
              <w:t>）</w:t>
            </w:r>
            <w:r>
              <w:rPr>
                <w:rFonts w:hint="eastAsia"/>
                <w:color w:val="auto"/>
                <w:highlight w:val="none"/>
                <w:lang w:val="en-US" w:eastAsia="zh-CN"/>
              </w:rPr>
              <w:t>3分：</w:t>
            </w:r>
            <w:r>
              <w:rPr>
                <w:rFonts w:hint="eastAsia" w:asciiTheme="minorEastAsia" w:hAnsiTheme="minorEastAsia" w:eastAsiaTheme="minorEastAsia" w:cstheme="minorEastAsia"/>
                <w:color w:val="auto"/>
                <w:highlight w:val="none"/>
              </w:rPr>
              <w:t>项目技术支持方案</w:t>
            </w:r>
            <w:r>
              <w:rPr>
                <w:rFonts w:hint="eastAsia"/>
                <w:color w:val="auto"/>
                <w:highlight w:val="none"/>
              </w:rPr>
              <w:t>内容基本可行，服务响应时间较快，其他各项服务内容一般，得3分；</w:t>
            </w:r>
          </w:p>
          <w:p w14:paraId="40CF0286">
            <w:pPr>
              <w:ind w:firstLine="480" w:firstLineChars="200"/>
              <w:rPr>
                <w:color w:val="auto"/>
                <w:highlight w:val="none"/>
              </w:rPr>
            </w:pPr>
            <w:r>
              <w:rPr>
                <w:rFonts w:hint="eastAsia"/>
                <w:color w:val="auto"/>
                <w:highlight w:val="none"/>
                <w:lang w:eastAsia="zh-CN"/>
              </w:rPr>
              <w:t>（</w:t>
            </w:r>
            <w:r>
              <w:rPr>
                <w:rFonts w:hint="eastAsia"/>
                <w:color w:val="auto"/>
                <w:highlight w:val="none"/>
                <w:lang w:val="en-US" w:eastAsia="zh-CN"/>
              </w:rPr>
              <w:t>3档</w:t>
            </w:r>
            <w:r>
              <w:rPr>
                <w:rFonts w:hint="eastAsia"/>
                <w:color w:val="auto"/>
                <w:highlight w:val="none"/>
                <w:lang w:eastAsia="zh-CN"/>
              </w:rPr>
              <w:t>）</w:t>
            </w:r>
            <w:r>
              <w:rPr>
                <w:rFonts w:hint="eastAsia"/>
                <w:color w:val="auto"/>
                <w:highlight w:val="none"/>
                <w:lang w:val="en-US" w:eastAsia="zh-CN"/>
              </w:rPr>
              <w:t>0分：</w:t>
            </w:r>
            <w:r>
              <w:rPr>
                <w:rFonts w:hint="eastAsia" w:asciiTheme="minorEastAsia" w:hAnsiTheme="minorEastAsia" w:eastAsiaTheme="minorEastAsia" w:cstheme="minorEastAsia"/>
                <w:color w:val="auto"/>
                <w:highlight w:val="none"/>
              </w:rPr>
              <w:t>项目技术支持方案</w:t>
            </w:r>
            <w:r>
              <w:rPr>
                <w:rFonts w:hint="eastAsia"/>
                <w:color w:val="auto"/>
                <w:highlight w:val="none"/>
              </w:rPr>
              <w:t>内容缺漏，可行性较差，服务响应时间一般，无其他服务内容，得</w:t>
            </w:r>
            <w:r>
              <w:rPr>
                <w:rFonts w:hint="eastAsia"/>
                <w:color w:val="auto"/>
                <w:highlight w:val="none"/>
                <w:lang w:val="en-US" w:eastAsia="zh-CN"/>
              </w:rPr>
              <w:t>0</w:t>
            </w:r>
            <w:r>
              <w:rPr>
                <w:rFonts w:hint="eastAsia"/>
                <w:color w:val="auto"/>
                <w:highlight w:val="none"/>
              </w:rPr>
              <w:t>分。</w:t>
            </w:r>
          </w:p>
          <w:p w14:paraId="0066C966">
            <w:pPr>
              <w:pStyle w:val="6"/>
              <w:spacing w:after="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（4）供应商提供项目实施方案，内容包括：①进度计划、②组织计划、③实施计划、④验收等工作的整体解决方案。</w:t>
            </w:r>
          </w:p>
          <w:p w14:paraId="749304E9">
            <w:pPr>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1档</w:t>
            </w:r>
            <w:r>
              <w:rPr>
                <w:rFonts w:hint="eastAsia"/>
                <w:color w:val="auto"/>
                <w:highlight w:val="none"/>
                <w:lang w:eastAsia="zh-CN"/>
              </w:rPr>
              <w:t>）</w:t>
            </w:r>
            <w:r>
              <w:rPr>
                <w:rFonts w:hint="eastAsia"/>
                <w:color w:val="auto"/>
                <w:highlight w:val="none"/>
                <w:lang w:val="en-US" w:eastAsia="zh-CN"/>
              </w:rPr>
              <w:t>5分：</w:t>
            </w:r>
            <w:r>
              <w:rPr>
                <w:rFonts w:hint="eastAsia"/>
                <w:color w:val="auto"/>
                <w:highlight w:val="none"/>
              </w:rPr>
              <w:t>实施方案内容完整规范、具体可行，服务响应时间快，各项服务内容好；</w:t>
            </w:r>
          </w:p>
          <w:p w14:paraId="5F0B021B">
            <w:pPr>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2档</w:t>
            </w:r>
            <w:r>
              <w:rPr>
                <w:rFonts w:hint="eastAsia"/>
                <w:color w:val="auto"/>
                <w:highlight w:val="none"/>
                <w:lang w:eastAsia="zh-CN"/>
              </w:rPr>
              <w:t>）</w:t>
            </w:r>
            <w:r>
              <w:rPr>
                <w:rFonts w:hint="eastAsia"/>
                <w:color w:val="auto"/>
                <w:highlight w:val="none"/>
                <w:lang w:val="en-US" w:eastAsia="zh-CN"/>
              </w:rPr>
              <w:t>3分：</w:t>
            </w:r>
            <w:r>
              <w:rPr>
                <w:rFonts w:hint="eastAsia"/>
                <w:color w:val="auto"/>
                <w:highlight w:val="none"/>
              </w:rPr>
              <w:t>实施方案内容基本可行，服务响应时间较快，其他各项服务内容一般，得3分；</w:t>
            </w:r>
          </w:p>
          <w:p w14:paraId="4A6009B9">
            <w:pPr>
              <w:ind w:firstLine="480" w:firstLineChars="200"/>
              <w:rPr>
                <w:rFonts w:asciiTheme="minorEastAsia" w:hAnsiTheme="minorEastAsia" w:eastAsiaTheme="minorEastAsia" w:cstheme="minorEastAsia"/>
                <w:color w:val="auto"/>
                <w:highlight w:val="none"/>
              </w:rPr>
            </w:pPr>
            <w:r>
              <w:rPr>
                <w:rFonts w:hint="eastAsia"/>
                <w:color w:val="auto"/>
                <w:highlight w:val="none"/>
                <w:lang w:eastAsia="zh-CN"/>
              </w:rPr>
              <w:t>（</w:t>
            </w:r>
            <w:r>
              <w:rPr>
                <w:rFonts w:hint="eastAsia"/>
                <w:color w:val="auto"/>
                <w:highlight w:val="none"/>
                <w:lang w:val="en-US" w:eastAsia="zh-CN"/>
              </w:rPr>
              <w:t>3档</w:t>
            </w:r>
            <w:r>
              <w:rPr>
                <w:rFonts w:hint="eastAsia"/>
                <w:color w:val="auto"/>
                <w:highlight w:val="none"/>
                <w:lang w:eastAsia="zh-CN"/>
              </w:rPr>
              <w:t>）</w:t>
            </w:r>
            <w:r>
              <w:rPr>
                <w:rFonts w:hint="eastAsia"/>
                <w:color w:val="auto"/>
                <w:highlight w:val="none"/>
                <w:lang w:val="en-US" w:eastAsia="zh-CN"/>
              </w:rPr>
              <w:t>0分：</w:t>
            </w:r>
            <w:r>
              <w:rPr>
                <w:rFonts w:hint="eastAsia"/>
                <w:color w:val="auto"/>
                <w:highlight w:val="none"/>
              </w:rPr>
              <w:t>实施方案内容缺漏，可行性较差，服务响应时间一般，无其他服务内容，得</w:t>
            </w:r>
            <w:r>
              <w:rPr>
                <w:rFonts w:hint="eastAsia"/>
                <w:color w:val="auto"/>
                <w:highlight w:val="none"/>
                <w:lang w:val="en-US" w:eastAsia="zh-CN"/>
              </w:rPr>
              <w:t>0</w:t>
            </w:r>
            <w:r>
              <w:rPr>
                <w:rFonts w:hint="eastAsia"/>
                <w:color w:val="auto"/>
                <w:highlight w:val="none"/>
              </w:rPr>
              <w:t>分。</w:t>
            </w:r>
          </w:p>
          <w:p w14:paraId="2EFA8ED3">
            <w:pPr>
              <w:pStyle w:val="6"/>
              <w:spacing w:after="0"/>
              <w:ind w:firstLine="24" w:firstLineChars="10"/>
              <w:jc w:val="left"/>
              <w:rPr>
                <w:rFonts w:asciiTheme="minorEastAsia" w:hAnsiTheme="minorEastAsia" w:eastAsiaTheme="minorEastAsia" w:cstheme="minorEastAsia"/>
                <w:b/>
                <w:bCs/>
                <w:color w:val="auto"/>
                <w:highlight w:val="none"/>
              </w:rPr>
            </w:pPr>
            <w:r>
              <w:rPr>
                <w:rFonts w:hint="eastAsia" w:asciiTheme="minorEastAsia" w:hAnsiTheme="minorEastAsia" w:cstheme="minorEastAsia"/>
                <w:b/>
                <w:bCs/>
                <w:color w:val="auto"/>
                <w:highlight w:val="none"/>
                <w:lang w:val="en-US" w:eastAsia="zh-CN"/>
              </w:rPr>
              <w:t>3</w:t>
            </w:r>
            <w:r>
              <w:rPr>
                <w:rFonts w:hint="eastAsia" w:asciiTheme="minorEastAsia" w:hAnsiTheme="minorEastAsia" w:eastAsiaTheme="minorEastAsia" w:cstheme="minorEastAsia"/>
                <w:b/>
                <w:bCs/>
                <w:color w:val="auto"/>
                <w:highlight w:val="none"/>
              </w:rPr>
              <w:t>.项目进度查询系统（</w:t>
            </w:r>
            <w:r>
              <w:rPr>
                <w:rFonts w:hint="eastAsia" w:asciiTheme="minorEastAsia" w:hAnsiTheme="minorEastAsia" w:cstheme="minorEastAsia"/>
                <w:b/>
                <w:bCs/>
                <w:color w:val="auto"/>
                <w:highlight w:val="none"/>
                <w:lang w:val="en-US" w:eastAsia="zh-CN"/>
              </w:rPr>
              <w:t>4</w:t>
            </w:r>
            <w:r>
              <w:rPr>
                <w:rFonts w:hint="eastAsia" w:asciiTheme="minorEastAsia" w:hAnsiTheme="minorEastAsia" w:eastAsiaTheme="minorEastAsia" w:cstheme="minorEastAsia"/>
                <w:b/>
                <w:bCs/>
                <w:color w:val="auto"/>
                <w:highlight w:val="none"/>
              </w:rPr>
              <w:t>分）</w:t>
            </w:r>
          </w:p>
          <w:p w14:paraId="6D2C2A43">
            <w:pPr>
              <w:pStyle w:val="6"/>
              <w:spacing w:after="0"/>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供应商提供项目进度查询系统，在数据调研与分析项目进行过程中，要求调研项目过程透明化，能够为采购人提供后台监测系统（能够查询项目进度及答题率）：</w:t>
            </w:r>
            <w:r>
              <w:rPr>
                <w:rFonts w:hint="eastAsia" w:asciiTheme="minorEastAsia" w:hAnsiTheme="minorEastAsia" w:cstheme="minorEastAsia"/>
                <w:color w:val="auto"/>
                <w:highlight w:val="none"/>
                <w:lang w:eastAsia="zh-CN"/>
              </w:rPr>
              <w:t>（</w:t>
            </w:r>
            <w:r>
              <w:rPr>
                <w:rFonts w:hint="eastAsia" w:asciiTheme="minorEastAsia" w:hAnsiTheme="minorEastAsia" w:cstheme="minorEastAsia"/>
                <w:color w:val="auto"/>
                <w:highlight w:val="none"/>
                <w:lang w:val="en-US" w:eastAsia="zh-CN"/>
              </w:rPr>
              <w:t>1</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查询系统可以查看本校所有合作项目答题情况，且具备项目进展通知系统计算机软件著作权证书；</w:t>
            </w:r>
          </w:p>
          <w:p w14:paraId="611BE1B9">
            <w:pPr>
              <w:pStyle w:val="6"/>
              <w:spacing w:after="0"/>
              <w:jc w:val="left"/>
              <w:rPr>
                <w:rFonts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w:t>
            </w:r>
            <w:r>
              <w:rPr>
                <w:rFonts w:hint="eastAsia" w:asciiTheme="minorEastAsia" w:hAnsiTheme="minorEastAsia" w:cstheme="minorEastAsia"/>
                <w:color w:val="auto"/>
                <w:highlight w:val="none"/>
                <w:lang w:val="en-US" w:eastAsia="zh-CN"/>
              </w:rPr>
              <w:t>2</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查询系统可以查看本校所有合作项目的项目进度（需包含项目启动、</w:t>
            </w:r>
            <w:r>
              <w:rPr>
                <w:rFonts w:hint="eastAsia" w:asciiTheme="minorEastAsia" w:hAnsiTheme="minorEastAsia" w:cstheme="minorEastAsia"/>
                <w:color w:val="auto"/>
                <w:highlight w:val="none"/>
                <w:lang w:val="en-US" w:eastAsia="zh-CN"/>
              </w:rPr>
              <w:t>数据采集、</w:t>
            </w:r>
            <w:r>
              <w:rPr>
                <w:rFonts w:hint="eastAsia" w:asciiTheme="minorEastAsia" w:hAnsiTheme="minorEastAsia" w:eastAsiaTheme="minorEastAsia" w:cstheme="minorEastAsia"/>
                <w:color w:val="auto"/>
                <w:highlight w:val="none"/>
              </w:rPr>
              <w:t>报告撰写、报告</w:t>
            </w:r>
            <w:r>
              <w:rPr>
                <w:rFonts w:hint="eastAsia" w:asciiTheme="minorEastAsia" w:hAnsiTheme="minorEastAsia" w:cstheme="minorEastAsia"/>
                <w:color w:val="auto"/>
                <w:highlight w:val="none"/>
                <w:lang w:val="en-US" w:eastAsia="zh-CN"/>
              </w:rPr>
              <w:t>完成</w:t>
            </w:r>
            <w:r>
              <w:rPr>
                <w:rFonts w:hint="eastAsia" w:asciiTheme="minorEastAsia" w:hAnsiTheme="minorEastAsia" w:eastAsiaTheme="minorEastAsia" w:cstheme="minorEastAsia"/>
                <w:color w:val="auto"/>
                <w:highlight w:val="none"/>
              </w:rPr>
              <w:t>等）。</w:t>
            </w:r>
          </w:p>
          <w:p w14:paraId="04931F0B">
            <w:pPr>
              <w:pStyle w:val="6"/>
              <w:spacing w:after="0"/>
              <w:ind w:firstLine="48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以上内容完全满足项目要求且逻辑清晰，条理严谨，阐述全面，覆盖点广且具备可行性得</w:t>
            </w:r>
            <w:r>
              <w:rPr>
                <w:rFonts w:hint="eastAsia" w:asciiTheme="minorEastAsia" w:hAnsi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分，每有一项不符合要求或内容有瑕疵扣</w:t>
            </w:r>
            <w:r>
              <w:rPr>
                <w:rFonts w:hint="eastAsia" w:asciiTheme="minorEastAsia" w:hAnsi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分，扣完为止。</w:t>
            </w:r>
          </w:p>
          <w:p w14:paraId="5727EEB3">
            <w:pPr>
              <w:pStyle w:val="6"/>
              <w:spacing w:after="0"/>
              <w:jc w:val="lef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3.信息数据安全及相关承诺（</w:t>
            </w:r>
            <w:r>
              <w:rPr>
                <w:rFonts w:hint="eastAsia" w:asciiTheme="minorEastAsia" w:hAnsiTheme="minorEastAsia" w:cstheme="minorEastAsia"/>
                <w:b/>
                <w:bCs/>
                <w:color w:val="auto"/>
                <w:highlight w:val="none"/>
                <w:lang w:val="en-US" w:eastAsia="zh-CN"/>
              </w:rPr>
              <w:t>6</w:t>
            </w:r>
            <w:r>
              <w:rPr>
                <w:rFonts w:hint="eastAsia" w:asciiTheme="minorEastAsia" w:hAnsiTheme="minorEastAsia" w:eastAsiaTheme="minorEastAsia" w:cstheme="minorEastAsia"/>
                <w:b/>
                <w:bCs/>
                <w:color w:val="auto"/>
                <w:highlight w:val="none"/>
              </w:rPr>
              <w:t>分）</w:t>
            </w:r>
          </w:p>
          <w:p w14:paraId="5D781F6B">
            <w:pPr>
              <w:pStyle w:val="6"/>
              <w:spacing w:after="0"/>
              <w:jc w:val="left"/>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w:t>
            </w:r>
            <w:r>
              <w:rPr>
                <w:rFonts w:hint="eastAsia" w:asciiTheme="minorEastAsia" w:hAnsiTheme="minorEastAsia" w:cstheme="minorEastAsia"/>
                <w:color w:val="auto"/>
                <w:highlight w:val="none"/>
                <w:lang w:val="en-US" w:eastAsia="zh-CN"/>
              </w:rPr>
              <w:t>1</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对于该项目执行过程中，供应商提供如何保证学校信息安全、师生隐私保护，有详细计划及信息泄露后的法律承诺（加盖公章），得</w:t>
            </w:r>
            <w:r>
              <w:rPr>
                <w:rFonts w:hint="eastAsia" w:asciiTheme="minorEastAsia" w:hAnsi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分，不提供则不得分。</w:t>
            </w:r>
          </w:p>
          <w:p w14:paraId="008DB017">
            <w:pPr>
              <w:rPr>
                <w:color w:val="auto"/>
                <w:highlight w:val="none"/>
              </w:rPr>
            </w:pPr>
            <w:r>
              <w:rPr>
                <w:rFonts w:hint="eastAsia" w:asciiTheme="minorEastAsia" w:hAnsiTheme="minorEastAsia" w:cstheme="minorEastAsia"/>
                <w:color w:val="auto"/>
                <w:highlight w:val="none"/>
                <w:lang w:eastAsia="zh-CN"/>
              </w:rPr>
              <w:t>（</w:t>
            </w:r>
            <w:r>
              <w:rPr>
                <w:rFonts w:hint="eastAsia" w:asciiTheme="minorEastAsia" w:hAnsiTheme="minorEastAsia" w:cstheme="minorEastAsia"/>
                <w:color w:val="auto"/>
                <w:highlight w:val="none"/>
                <w:lang w:val="en-US" w:eastAsia="zh-CN"/>
              </w:rPr>
              <w:t>2</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具有由国家直属</w:t>
            </w:r>
            <w:r>
              <w:rPr>
                <w:rFonts w:hint="eastAsia" w:asciiTheme="minorEastAsia" w:hAnsiTheme="minorEastAsia" w:eastAsiaTheme="minorEastAsia" w:cstheme="minorEastAsia"/>
                <w:color w:val="auto"/>
                <w:highlight w:val="none"/>
                <w:lang w:val="en-US" w:eastAsia="zh-CN"/>
              </w:rPr>
              <w:t>事业单位</w:t>
            </w:r>
            <w:r>
              <w:rPr>
                <w:rFonts w:hint="eastAsia"/>
                <w:color w:val="auto"/>
                <w:highlight w:val="none"/>
              </w:rPr>
              <w:t>中国网络安全审查认证和市场监管大数据中心</w:t>
            </w:r>
            <w:r>
              <w:rPr>
                <w:rFonts w:hint="eastAsia" w:asciiTheme="minorEastAsia" w:hAnsiTheme="minorEastAsia" w:eastAsiaTheme="minorEastAsia" w:cstheme="minorEastAsia"/>
                <w:color w:val="auto"/>
                <w:highlight w:val="none"/>
              </w:rPr>
              <w:t>颁发的信息安全管理体系认证证书得</w:t>
            </w:r>
            <w:r>
              <w:rPr>
                <w:rFonts w:hint="eastAsia" w:asciiTheme="minorEastAsia" w:hAnsi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分；具有商业认证机构颁发的信息安全管理体系认证证书得</w:t>
            </w:r>
            <w:r>
              <w:rPr>
                <w:rFonts w:hint="eastAsia" w:asciiTheme="minorEastAsia" w:hAnsi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分；无ISO信息安全管理体系认证证书得0分。</w:t>
            </w:r>
          </w:p>
          <w:p w14:paraId="4BD0B94F">
            <w:pPr>
              <w:pStyle w:val="6"/>
              <w:spacing w:after="0"/>
              <w:ind w:firstLine="48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瑕疵是指项目名称、实施地点、涉及的规范、标准与本项目要求是否一致；人员专业与项目岗位要求是否匹配；设施设备配置与项目要求是否匹配；技术环节是否规范或漏缺项；实施操作流程是否规范或漏缺项；方案内容是否清晰或交叉混乱；方案内容与项目内在需求是否有漏项；实施过程或质量控制措施具有有效监督机制。</w:t>
            </w:r>
          </w:p>
        </w:tc>
        <w:tc>
          <w:tcPr>
            <w:tcW w:w="643" w:type="pct"/>
            <w:vAlign w:val="center"/>
          </w:tcPr>
          <w:p w14:paraId="301CE603">
            <w:pPr>
              <w:jc w:val="center"/>
              <w:rPr>
                <w:rFonts w:asciiTheme="minorEastAsia" w:hAnsiTheme="minorEastAsia" w:eastAsiaTheme="minorEastAsia" w:cstheme="minorEastAsia"/>
                <w:b/>
                <w:color w:val="auto"/>
                <w:sz w:val="24"/>
                <w:highlight w:val="none"/>
              </w:rPr>
            </w:pPr>
          </w:p>
        </w:tc>
      </w:tr>
      <w:tr w14:paraId="01F2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279" w:type="pct"/>
            <w:vAlign w:val="center"/>
          </w:tcPr>
          <w:p w14:paraId="4EBCCC33">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3</w:t>
            </w:r>
          </w:p>
        </w:tc>
        <w:tc>
          <w:tcPr>
            <w:tcW w:w="714" w:type="pct"/>
            <w:vAlign w:val="center"/>
          </w:tcPr>
          <w:p w14:paraId="6401784B">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类似项目业绩</w:t>
            </w:r>
            <w:r>
              <w:rPr>
                <w:rFonts w:hint="eastAsia" w:asciiTheme="minorEastAsia" w:hAnsi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w:t>
            </w:r>
          </w:p>
        </w:tc>
        <w:tc>
          <w:tcPr>
            <w:tcW w:w="285" w:type="pct"/>
            <w:vAlign w:val="center"/>
          </w:tcPr>
          <w:p w14:paraId="5CF607E9">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16</w:t>
            </w:r>
          </w:p>
        </w:tc>
        <w:tc>
          <w:tcPr>
            <w:tcW w:w="3076" w:type="pct"/>
            <w:vAlign w:val="center"/>
          </w:tcPr>
          <w:p w14:paraId="131A01B8">
            <w:pPr>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投标人需提供自2021年1月1日至今签订的同类项目业绩证明，每提供一个同类项目业绩证明材料的案例得2分，最多得1</w:t>
            </w:r>
            <w:r>
              <w:rPr>
                <w:rFonts w:hint="eastAsia" w:asciiTheme="minorEastAsia" w:hAnsi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w:t>
            </w:r>
          </w:p>
          <w:p w14:paraId="731D510B">
            <w:pPr>
              <w:ind w:firstLine="48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注：</w:t>
            </w:r>
            <w:r>
              <w:rPr>
                <w:rFonts w:hint="eastAsia" w:asciiTheme="minorEastAsia" w:hAnsiTheme="minorEastAsia" w:eastAsiaTheme="minorEastAsia" w:cstheme="minorEastAsia"/>
                <w:color w:val="auto"/>
                <w:szCs w:val="21"/>
                <w:highlight w:val="none"/>
              </w:rPr>
              <w:t>投标文件中须提供合同复印件或中标</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成交</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通知书复印件并加盖投标人公章，否则不予计分，同一个采购单位不同年份的同类项目业绩</w:t>
            </w:r>
            <w:r>
              <w:rPr>
                <w:rFonts w:hint="eastAsia" w:asciiTheme="minorEastAsia" w:hAnsiTheme="minorEastAsia" w:eastAsiaTheme="minorEastAsia" w:cstheme="minorEastAsia"/>
                <w:color w:val="auto"/>
                <w:szCs w:val="21"/>
                <w:highlight w:val="none"/>
                <w:lang w:val="en-US" w:eastAsia="zh-CN"/>
              </w:rPr>
              <w:t>按同一项业绩计分</w:t>
            </w:r>
            <w:r>
              <w:rPr>
                <w:rFonts w:hint="eastAsia" w:asciiTheme="minorEastAsia" w:hAnsiTheme="minorEastAsia" w:eastAsiaTheme="minorEastAsia" w:cstheme="minorEastAsia"/>
                <w:color w:val="auto"/>
                <w:szCs w:val="21"/>
                <w:highlight w:val="none"/>
              </w:rPr>
              <w:t>。</w:t>
            </w:r>
          </w:p>
        </w:tc>
        <w:tc>
          <w:tcPr>
            <w:tcW w:w="643" w:type="pct"/>
            <w:vAlign w:val="center"/>
          </w:tcPr>
          <w:p w14:paraId="4A92C4F3">
            <w:pPr>
              <w:jc w:val="center"/>
              <w:rPr>
                <w:rFonts w:asciiTheme="minorEastAsia" w:hAnsiTheme="minorEastAsia" w:eastAsiaTheme="minorEastAsia" w:cstheme="minorEastAsia"/>
                <w:b/>
                <w:color w:val="auto"/>
                <w:sz w:val="24"/>
                <w:highlight w:val="none"/>
              </w:rPr>
            </w:pPr>
          </w:p>
        </w:tc>
      </w:tr>
      <w:tr w14:paraId="35F4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0" w:hRule="atLeast"/>
          <w:jc w:val="center"/>
        </w:trPr>
        <w:tc>
          <w:tcPr>
            <w:tcW w:w="279" w:type="pct"/>
            <w:vAlign w:val="center"/>
          </w:tcPr>
          <w:p w14:paraId="279A1F02">
            <w:pPr>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4</w:t>
            </w:r>
          </w:p>
        </w:tc>
        <w:tc>
          <w:tcPr>
            <w:tcW w:w="714" w:type="pct"/>
            <w:vAlign w:val="center"/>
          </w:tcPr>
          <w:p w14:paraId="29DDAFE3">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人员配置</w:t>
            </w:r>
            <w:r>
              <w:rPr>
                <w:rFonts w:hint="eastAsia" w:asciiTheme="minorEastAsia" w:hAnsi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w:t>
            </w:r>
          </w:p>
        </w:tc>
        <w:tc>
          <w:tcPr>
            <w:tcW w:w="285" w:type="pct"/>
            <w:vAlign w:val="center"/>
          </w:tcPr>
          <w:p w14:paraId="4D123409">
            <w:pP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15</w:t>
            </w:r>
          </w:p>
        </w:tc>
        <w:tc>
          <w:tcPr>
            <w:tcW w:w="3076" w:type="pct"/>
            <w:vAlign w:val="center"/>
          </w:tcPr>
          <w:p w14:paraId="7321C49C">
            <w:pPr>
              <w:numPr>
                <w:ilvl w:val="0"/>
                <w:numId w:val="5"/>
              </w:num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项目团队成员中技术人员具备计算机行业、信息技术行业、咨询行业工程师高级证书的，每有1个得</w:t>
            </w:r>
            <w:r>
              <w:rPr>
                <w:rFonts w:hint="eastAsia" w:asciiTheme="minorEastAsia" w:hAnsi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分，中级职称的，每有1个得1分，</w:t>
            </w:r>
            <w:r>
              <w:rPr>
                <w:rFonts w:hint="eastAsia" w:asciiTheme="minorEastAsia" w:hAnsiTheme="minorEastAsia" w:eastAsiaTheme="minorEastAsia" w:cstheme="minorEastAsia"/>
                <w:color w:val="auto"/>
                <w:szCs w:val="21"/>
                <w:highlight w:val="none"/>
                <w:lang w:val="en-US" w:eastAsia="zh-CN"/>
              </w:rPr>
              <w:t>本项</w:t>
            </w:r>
            <w:r>
              <w:rPr>
                <w:rFonts w:hint="eastAsia" w:asciiTheme="minorEastAsia" w:hAnsiTheme="minorEastAsia" w:eastAsiaTheme="minorEastAsia" w:cstheme="minorEastAsia"/>
                <w:color w:val="auto"/>
                <w:szCs w:val="21"/>
                <w:highlight w:val="none"/>
              </w:rPr>
              <w:t>最多得</w:t>
            </w:r>
            <w:r>
              <w:rPr>
                <w:rFonts w:hint="eastAsia" w:asciiTheme="minorEastAsia" w:hAnsi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分，不提供不得分。</w:t>
            </w:r>
          </w:p>
          <w:p w14:paraId="45838432">
            <w:pPr>
              <w:numPr>
                <w:ilvl w:val="0"/>
                <w:numId w:val="0"/>
              </w:numPr>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注：提供人员证书及在本单位缴纳的自202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年1月以来任意一个月的社保证明的复印件（加盖供应商公章），否则不得分。</w:t>
            </w:r>
          </w:p>
          <w:p w14:paraId="4295BD1F">
            <w:pPr>
              <w:numPr>
                <w:ilvl w:val="0"/>
                <w:numId w:val="5"/>
              </w:num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项目团队成员</w:t>
            </w:r>
            <w:r>
              <w:rPr>
                <w:rFonts w:hint="eastAsia" w:asciiTheme="minorEastAsia" w:hAnsiTheme="minorEastAsia" w:cstheme="minorEastAsia"/>
                <w:color w:val="auto"/>
                <w:szCs w:val="21"/>
                <w:highlight w:val="none"/>
                <w:lang w:val="en-US" w:eastAsia="zh-CN"/>
              </w:rPr>
              <w:t>高等教育管理经验要求，</w:t>
            </w:r>
          </w:p>
          <w:p w14:paraId="12689AD7">
            <w:pPr>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1档</w:t>
            </w:r>
            <w:r>
              <w:rPr>
                <w:rFonts w:hint="eastAsia"/>
                <w:color w:val="auto"/>
                <w:highlight w:val="none"/>
                <w:lang w:eastAsia="zh-CN"/>
              </w:rPr>
              <w:t>）</w:t>
            </w:r>
            <w:r>
              <w:rPr>
                <w:rFonts w:hint="eastAsia"/>
                <w:color w:val="auto"/>
                <w:highlight w:val="none"/>
                <w:lang w:val="en-US" w:eastAsia="zh-CN"/>
              </w:rPr>
              <w:t>5分：</w:t>
            </w:r>
            <w:r>
              <w:rPr>
                <w:rFonts w:hint="eastAsia"/>
                <w:color w:val="auto"/>
                <w:highlight w:val="none"/>
              </w:rPr>
              <w:t>曾出版过高等教育管理相关著作的；</w:t>
            </w:r>
          </w:p>
          <w:p w14:paraId="0E501C66">
            <w:pPr>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2档</w:t>
            </w:r>
            <w:r>
              <w:rPr>
                <w:rFonts w:hint="eastAsia"/>
                <w:color w:val="auto"/>
                <w:highlight w:val="none"/>
                <w:lang w:eastAsia="zh-CN"/>
              </w:rPr>
              <w:t>）</w:t>
            </w:r>
            <w:r>
              <w:rPr>
                <w:rFonts w:hint="eastAsia"/>
                <w:color w:val="auto"/>
                <w:highlight w:val="none"/>
                <w:lang w:val="en-US" w:eastAsia="zh-CN"/>
              </w:rPr>
              <w:t>3分：曾有高等教育管理相关经验的（工作经历证明或劳动合同、聘用协议或社保缴纳记录）</w:t>
            </w:r>
            <w:r>
              <w:rPr>
                <w:rFonts w:hint="eastAsia"/>
                <w:color w:val="auto"/>
                <w:highlight w:val="none"/>
              </w:rPr>
              <w:t>；</w:t>
            </w:r>
          </w:p>
          <w:p w14:paraId="2B15930D">
            <w:pPr>
              <w:ind w:firstLine="480" w:firstLineChars="200"/>
              <w:rPr>
                <w:rFonts w:asciiTheme="minorEastAsia" w:hAnsiTheme="minorEastAsia" w:eastAsiaTheme="minorEastAsia" w:cstheme="minorEastAsia"/>
                <w:color w:val="auto"/>
                <w:szCs w:val="21"/>
                <w:highlight w:val="none"/>
              </w:rPr>
            </w:pPr>
            <w:r>
              <w:rPr>
                <w:rFonts w:hint="eastAsia"/>
                <w:color w:val="auto"/>
                <w:highlight w:val="none"/>
                <w:lang w:eastAsia="zh-CN"/>
              </w:rPr>
              <w:t>（</w:t>
            </w:r>
            <w:r>
              <w:rPr>
                <w:rFonts w:hint="eastAsia"/>
                <w:color w:val="auto"/>
                <w:highlight w:val="none"/>
                <w:lang w:val="en-US" w:eastAsia="zh-CN"/>
              </w:rPr>
              <w:t>3档</w:t>
            </w:r>
            <w:r>
              <w:rPr>
                <w:rFonts w:hint="eastAsia"/>
                <w:color w:val="auto"/>
                <w:highlight w:val="none"/>
                <w:lang w:eastAsia="zh-CN"/>
              </w:rPr>
              <w:t>）</w:t>
            </w:r>
            <w:r>
              <w:rPr>
                <w:rFonts w:hint="eastAsia"/>
                <w:color w:val="auto"/>
                <w:highlight w:val="none"/>
                <w:lang w:val="en-US" w:eastAsia="zh-CN"/>
              </w:rPr>
              <w:t>0分：</w:t>
            </w:r>
            <w:r>
              <w:rPr>
                <w:rFonts w:hint="eastAsia" w:asciiTheme="minorEastAsia" w:hAnsiTheme="minorEastAsia" w:cstheme="minorEastAsia"/>
                <w:color w:val="auto"/>
                <w:szCs w:val="21"/>
                <w:highlight w:val="none"/>
                <w:lang w:val="en-US" w:eastAsia="zh-CN"/>
              </w:rPr>
              <w:t>无任何</w:t>
            </w:r>
            <w:r>
              <w:rPr>
                <w:rFonts w:hint="eastAsia" w:asciiTheme="minorEastAsia" w:hAnsiTheme="minorEastAsia" w:eastAsiaTheme="minorEastAsia" w:cstheme="minorEastAsia"/>
                <w:color w:val="auto"/>
                <w:szCs w:val="21"/>
                <w:highlight w:val="none"/>
              </w:rPr>
              <w:t>高等教育管理相关</w:t>
            </w:r>
            <w:r>
              <w:rPr>
                <w:rFonts w:hint="eastAsia" w:asciiTheme="minorEastAsia" w:hAnsiTheme="minorEastAsia" w:cstheme="minorEastAsia"/>
                <w:color w:val="auto"/>
                <w:szCs w:val="21"/>
                <w:highlight w:val="none"/>
                <w:lang w:val="en-US" w:eastAsia="zh-CN"/>
              </w:rPr>
              <w:t>经验</w:t>
            </w:r>
            <w:r>
              <w:rPr>
                <w:rFonts w:hint="eastAsia" w:asciiTheme="minorEastAsia" w:hAnsiTheme="minorEastAsia" w:eastAsiaTheme="minorEastAsia" w:cstheme="minorEastAsia"/>
                <w:color w:val="auto"/>
                <w:szCs w:val="21"/>
                <w:highlight w:val="none"/>
              </w:rPr>
              <w:t>的，</w:t>
            </w:r>
          </w:p>
          <w:p w14:paraId="1A4CF7EC">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注：提供出版物封面及部分内页（能够显示作者姓名），作者有效身份证件、作者与本单位签订的劳动合同，详细的人员简历。（加盖供应商公章）</w:t>
            </w:r>
          </w:p>
          <w:p w14:paraId="0528C7D2">
            <w:pPr>
              <w:numPr>
                <w:ilvl w:val="0"/>
                <w:numId w:val="5"/>
              </w:num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项目团队成员</w:t>
            </w:r>
            <w:r>
              <w:rPr>
                <w:rFonts w:hint="eastAsia" w:asciiTheme="minorEastAsia" w:hAnsiTheme="minorEastAsia" w:cstheme="minorEastAsia"/>
                <w:color w:val="auto"/>
                <w:szCs w:val="21"/>
                <w:highlight w:val="none"/>
                <w:lang w:val="en-US" w:eastAsia="zh-CN"/>
              </w:rPr>
              <w:t>人员安排，</w:t>
            </w:r>
          </w:p>
          <w:p w14:paraId="053B1A55">
            <w:pPr>
              <w:ind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1档</w:t>
            </w:r>
            <w:r>
              <w:rPr>
                <w:rFonts w:hint="eastAsia"/>
                <w:color w:val="auto"/>
                <w:highlight w:val="none"/>
                <w:lang w:eastAsia="zh-CN"/>
              </w:rPr>
              <w:t>）</w:t>
            </w:r>
            <w:r>
              <w:rPr>
                <w:rFonts w:hint="eastAsia"/>
                <w:color w:val="auto"/>
                <w:highlight w:val="none"/>
                <w:lang w:val="en-US" w:eastAsia="zh-CN"/>
              </w:rPr>
              <w:t>5分</w:t>
            </w:r>
            <w:r>
              <w:rPr>
                <w:rFonts w:hint="eastAsia"/>
                <w:color w:val="auto"/>
                <w:highlight w:val="none"/>
                <w:lang w:eastAsia="zh-CN"/>
              </w:rPr>
              <w:t>：人员管理制度完善全面，人员配备齐全，人员岗位安排分配清晰可行，人员分工安排准确，无疏漏。拟投入的项目技术人员具备数据库应用系统设计工程师高级及以上职称证书。（包含但不限于：人数要求在10人以上，成员具备经济学、统计学或数学</w:t>
            </w:r>
            <w:r>
              <w:rPr>
                <w:rFonts w:hint="eastAsia"/>
                <w:color w:val="auto"/>
                <w:highlight w:val="none"/>
                <w:lang w:val="en-US" w:eastAsia="zh-CN"/>
              </w:rPr>
              <w:t>专业硕士</w:t>
            </w:r>
            <w:r>
              <w:rPr>
                <w:rFonts w:hint="eastAsia"/>
                <w:color w:val="auto"/>
                <w:highlight w:val="none"/>
                <w:lang w:eastAsia="zh-CN"/>
              </w:rPr>
              <w:t>以上学历，</w:t>
            </w:r>
            <w:r>
              <w:rPr>
                <w:rFonts w:hint="eastAsia" w:asciiTheme="minorEastAsia" w:hAnsiTheme="minorEastAsia" w:eastAsiaTheme="minorEastAsia" w:cstheme="minorEastAsia"/>
                <w:color w:val="auto"/>
                <w:szCs w:val="21"/>
                <w:highlight w:val="none"/>
              </w:rPr>
              <w:t>具有国内外高等院校教学或管理经历的</w:t>
            </w:r>
            <w:r>
              <w:rPr>
                <w:rFonts w:hint="eastAsia"/>
                <w:color w:val="auto"/>
                <w:highlight w:val="none"/>
                <w:lang w:eastAsia="zh-CN"/>
              </w:rPr>
              <w:t>）</w:t>
            </w:r>
          </w:p>
          <w:p w14:paraId="6F2B84E1">
            <w:pPr>
              <w:ind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2档</w:t>
            </w:r>
            <w:r>
              <w:rPr>
                <w:rFonts w:hint="eastAsia"/>
                <w:color w:val="auto"/>
                <w:highlight w:val="none"/>
                <w:lang w:eastAsia="zh-CN"/>
              </w:rPr>
              <w:t>）</w:t>
            </w:r>
            <w:r>
              <w:rPr>
                <w:rFonts w:hint="eastAsia"/>
                <w:color w:val="auto"/>
                <w:highlight w:val="none"/>
                <w:lang w:val="en-US" w:eastAsia="zh-CN"/>
              </w:rPr>
              <w:t>3分</w:t>
            </w:r>
            <w:r>
              <w:rPr>
                <w:rFonts w:hint="eastAsia"/>
                <w:color w:val="auto"/>
                <w:highlight w:val="none"/>
                <w:lang w:eastAsia="zh-CN"/>
              </w:rPr>
              <w:t>：人员管理制度较全面，人员配备及岗位安排分配明确合理，无明显疏漏。拟投入的项目技术人员具备数据库应用系统设计工程师中级职称证书。（包含但不限于：人数要求在5~9人，成员具备经济学、统计学或数学专业本科以上学历）</w:t>
            </w:r>
          </w:p>
          <w:p w14:paraId="404DF79C">
            <w:pPr>
              <w:ind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3档</w:t>
            </w:r>
            <w:r>
              <w:rPr>
                <w:rFonts w:hint="eastAsia"/>
                <w:color w:val="auto"/>
                <w:highlight w:val="none"/>
                <w:lang w:eastAsia="zh-CN"/>
              </w:rPr>
              <w:t>）</w:t>
            </w:r>
            <w:r>
              <w:rPr>
                <w:rFonts w:hint="eastAsia"/>
                <w:color w:val="auto"/>
                <w:highlight w:val="none"/>
                <w:lang w:val="en-US" w:eastAsia="zh-CN"/>
              </w:rPr>
              <w:t>1分</w:t>
            </w:r>
            <w:r>
              <w:rPr>
                <w:rFonts w:hint="eastAsia"/>
                <w:color w:val="auto"/>
                <w:highlight w:val="none"/>
                <w:lang w:eastAsia="zh-CN"/>
              </w:rPr>
              <w:t>：人员管理制度简单，人员配备及岗位安排不明确。（包含但不限于：人数要求少于5人，成员无本科以上学历）</w:t>
            </w:r>
          </w:p>
          <w:p w14:paraId="1C004FF4">
            <w:pPr>
              <w:ind w:firstLine="48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注：提供成员有效身份证件、与本单位签订的劳动合同、详细的人员简历、学位证书、曾就职过高等院校的证明文件（须有其他高等院校的盖章）。</w:t>
            </w:r>
          </w:p>
        </w:tc>
        <w:tc>
          <w:tcPr>
            <w:tcW w:w="643" w:type="pct"/>
            <w:vAlign w:val="center"/>
          </w:tcPr>
          <w:p w14:paraId="0A05E2A4">
            <w:pPr>
              <w:jc w:val="center"/>
              <w:rPr>
                <w:rFonts w:asciiTheme="minorEastAsia" w:hAnsiTheme="minorEastAsia" w:eastAsiaTheme="minorEastAsia" w:cstheme="minorEastAsia"/>
                <w:b/>
                <w:color w:val="auto"/>
                <w:sz w:val="24"/>
                <w:highlight w:val="none"/>
              </w:rPr>
            </w:pPr>
          </w:p>
        </w:tc>
      </w:tr>
      <w:tr w14:paraId="7F1B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279" w:type="pct"/>
            <w:vAlign w:val="center"/>
          </w:tcPr>
          <w:p w14:paraId="4BA581AC">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5</w:t>
            </w:r>
          </w:p>
        </w:tc>
        <w:tc>
          <w:tcPr>
            <w:tcW w:w="714" w:type="pct"/>
            <w:vAlign w:val="center"/>
          </w:tcPr>
          <w:p w14:paraId="72B80E96">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售后服务6%</w:t>
            </w:r>
          </w:p>
        </w:tc>
        <w:tc>
          <w:tcPr>
            <w:tcW w:w="285" w:type="pct"/>
            <w:vAlign w:val="center"/>
          </w:tcPr>
          <w:p w14:paraId="5867AEC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3076" w:type="pct"/>
            <w:vAlign w:val="center"/>
          </w:tcPr>
          <w:p w14:paraId="49376470">
            <w:pPr>
              <w:pStyle w:val="6"/>
              <w:spacing w:after="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供应商提供项目售后服务方案，包括：①售后服务响应时间；②咨询服务内容；③应急处理方案等。</w:t>
            </w:r>
          </w:p>
          <w:p w14:paraId="299C650A">
            <w:pPr>
              <w:pStyle w:val="6"/>
              <w:spacing w:after="0"/>
              <w:ind w:firstLine="48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以上内容完全满足项目要求且逻辑清晰，条理严谨，阐述全面，覆盖点广且具备可行性得6分，每有一项不符合要求或内容有瑕疵扣2分，扣完为止。</w:t>
            </w:r>
          </w:p>
        </w:tc>
        <w:tc>
          <w:tcPr>
            <w:tcW w:w="643" w:type="pct"/>
            <w:vAlign w:val="center"/>
          </w:tcPr>
          <w:p w14:paraId="4655DA3C">
            <w:pPr>
              <w:jc w:val="center"/>
              <w:rPr>
                <w:rFonts w:asciiTheme="minorEastAsia" w:hAnsiTheme="minorEastAsia" w:eastAsiaTheme="minorEastAsia" w:cstheme="minorEastAsia"/>
                <w:b/>
                <w:color w:val="auto"/>
                <w:sz w:val="24"/>
                <w:highlight w:val="none"/>
              </w:rPr>
            </w:pPr>
          </w:p>
        </w:tc>
      </w:tr>
    </w:tbl>
    <w:p w14:paraId="6EECB7A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jc w:val="both"/>
        <w:rPr>
          <w:rFonts w:hint="default"/>
          <w:color w:val="auto"/>
          <w:highlight w:val="none"/>
          <w:lang w:val="en-US" w:eastAsia="zh-CN"/>
        </w:rPr>
        <w:sectPr>
          <w:footerReference r:id="rId8" w:type="default"/>
          <w:pgSz w:w="11906" w:h="16838"/>
          <w:pgMar w:top="1191" w:right="1418" w:bottom="1191" w:left="1418" w:header="851" w:footer="850" w:gutter="0"/>
          <w:pgNumType w:start="1"/>
          <w:cols w:space="0" w:num="1"/>
          <w:rtlGutter w:val="0"/>
          <w:docGrid w:type="linesAndChars" w:linePitch="326" w:charSpace="0"/>
        </w:sectPr>
      </w:pPr>
    </w:p>
    <w:p w14:paraId="5E896148">
      <w:pPr>
        <w:snapToGrid w:val="0"/>
        <w:spacing w:before="50" w:after="156" w:afterLines="50" w:line="360" w:lineRule="auto"/>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lang w:val="en-US" w:eastAsia="zh-CN"/>
        </w:rPr>
        <w:t>附件3：</w:t>
      </w:r>
      <w:r>
        <w:rPr>
          <w:rFonts w:hint="eastAsia" w:ascii="仿宋" w:hAnsi="仿宋" w:eastAsia="仿宋"/>
          <w:b/>
          <w:color w:val="auto"/>
          <w:sz w:val="32"/>
          <w:szCs w:val="32"/>
          <w:highlight w:val="none"/>
        </w:rPr>
        <w:t>投标人直接控股、管理关系信息表</w:t>
      </w:r>
    </w:p>
    <w:tbl>
      <w:tblPr>
        <w:tblStyle w:val="1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2410"/>
        <w:gridCol w:w="3934"/>
      </w:tblGrid>
      <w:tr w14:paraId="3E5F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920" w:type="dxa"/>
            <w:gridSpan w:val="4"/>
            <w:shd w:val="clear" w:color="auto" w:fill="F2DBDB"/>
            <w:noWrap w:val="0"/>
            <w:vAlign w:val="center"/>
          </w:tcPr>
          <w:p w14:paraId="3DAFDAC8">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投标人直接控股股东信息表</w:t>
            </w:r>
          </w:p>
        </w:tc>
        <w:tc>
          <w:tcPr>
            <w:tcW w:w="3934" w:type="dxa"/>
            <w:shd w:val="clear" w:color="auto" w:fill="F2DBDB"/>
            <w:noWrap w:val="0"/>
            <w:vAlign w:val="center"/>
          </w:tcPr>
          <w:p w14:paraId="7B21E993">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说明</w:t>
            </w:r>
          </w:p>
        </w:tc>
      </w:tr>
      <w:tr w14:paraId="5D5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57394944">
            <w:pPr>
              <w:spacing w:line="360" w:lineRule="exact"/>
              <w:jc w:val="center"/>
              <w:rPr>
                <w:rFonts w:ascii="仿宋" w:hAnsi="仿宋" w:eastAsia="仿宋" w:cs="宋体"/>
                <w:b/>
                <w:bCs/>
                <w:color w:val="auto"/>
                <w:kern w:val="0"/>
                <w:szCs w:val="21"/>
                <w:highlight w:val="none"/>
              </w:rPr>
            </w:pPr>
            <w:r>
              <w:rPr>
                <w:rFonts w:ascii="仿宋" w:hAnsi="仿宋" w:eastAsia="仿宋" w:cs="宋体"/>
                <w:b/>
                <w:bCs/>
                <w:color w:val="auto"/>
                <w:kern w:val="0"/>
                <w:szCs w:val="21"/>
                <w:highlight w:val="none"/>
              </w:rPr>
              <w:t>序号</w:t>
            </w:r>
          </w:p>
        </w:tc>
        <w:tc>
          <w:tcPr>
            <w:tcW w:w="1309" w:type="dxa"/>
            <w:noWrap w:val="0"/>
            <w:vAlign w:val="center"/>
          </w:tcPr>
          <w:p w14:paraId="51DC7EBA">
            <w:pPr>
              <w:spacing w:line="360" w:lineRule="exact"/>
              <w:jc w:val="center"/>
              <w:rPr>
                <w:rFonts w:ascii="仿宋" w:hAnsi="仿宋" w:eastAsia="仿宋" w:cs="宋体"/>
                <w:b/>
                <w:bCs/>
                <w:color w:val="auto"/>
                <w:kern w:val="0"/>
                <w:szCs w:val="21"/>
                <w:highlight w:val="none"/>
              </w:rPr>
            </w:pPr>
            <w:r>
              <w:rPr>
                <w:rFonts w:ascii="仿宋" w:hAnsi="仿宋" w:eastAsia="仿宋" w:cs="宋体"/>
                <w:b/>
                <w:bCs/>
                <w:color w:val="auto"/>
                <w:kern w:val="0"/>
                <w:szCs w:val="21"/>
                <w:highlight w:val="none"/>
              </w:rPr>
              <w:t>直接控股股东名称</w:t>
            </w:r>
          </w:p>
        </w:tc>
        <w:tc>
          <w:tcPr>
            <w:tcW w:w="1384" w:type="dxa"/>
            <w:noWrap w:val="0"/>
            <w:vAlign w:val="center"/>
          </w:tcPr>
          <w:p w14:paraId="54AC52DC">
            <w:pPr>
              <w:spacing w:line="360" w:lineRule="exact"/>
              <w:jc w:val="center"/>
              <w:rPr>
                <w:rFonts w:ascii="仿宋" w:hAnsi="仿宋" w:eastAsia="仿宋" w:cs="宋体"/>
                <w:b/>
                <w:bCs/>
                <w:color w:val="auto"/>
                <w:kern w:val="0"/>
                <w:szCs w:val="21"/>
                <w:highlight w:val="none"/>
              </w:rPr>
            </w:pPr>
            <w:r>
              <w:rPr>
                <w:rFonts w:ascii="仿宋" w:hAnsi="仿宋" w:eastAsia="仿宋" w:cs="宋体"/>
                <w:b/>
                <w:bCs/>
                <w:color w:val="auto"/>
                <w:kern w:val="0"/>
                <w:szCs w:val="21"/>
                <w:highlight w:val="none"/>
              </w:rPr>
              <w:t>出资比例</w:t>
            </w:r>
          </w:p>
        </w:tc>
        <w:tc>
          <w:tcPr>
            <w:tcW w:w="2410" w:type="dxa"/>
            <w:noWrap w:val="0"/>
            <w:vAlign w:val="center"/>
          </w:tcPr>
          <w:p w14:paraId="522A71F8">
            <w:pPr>
              <w:spacing w:line="360" w:lineRule="exact"/>
              <w:jc w:val="center"/>
              <w:rPr>
                <w:rFonts w:ascii="仿宋" w:hAnsi="仿宋" w:eastAsia="仿宋" w:cs="宋体"/>
                <w:b/>
                <w:bCs/>
                <w:color w:val="auto"/>
                <w:kern w:val="0"/>
                <w:szCs w:val="21"/>
                <w:highlight w:val="none"/>
              </w:rPr>
            </w:pPr>
            <w:r>
              <w:rPr>
                <w:rFonts w:ascii="仿宋" w:hAnsi="仿宋" w:eastAsia="仿宋" w:cs="宋体"/>
                <w:b/>
                <w:bCs/>
                <w:color w:val="auto"/>
                <w:kern w:val="0"/>
                <w:szCs w:val="21"/>
                <w:highlight w:val="none"/>
              </w:rPr>
              <w:t>身份证号码或者统一社会信用代码</w:t>
            </w:r>
          </w:p>
        </w:tc>
        <w:tc>
          <w:tcPr>
            <w:tcW w:w="3934" w:type="dxa"/>
            <w:vMerge w:val="restart"/>
            <w:noWrap w:val="0"/>
            <w:vAlign w:val="center"/>
          </w:tcPr>
          <w:p w14:paraId="7DB9C13D">
            <w:pPr>
              <w:snapToGrid w:val="0"/>
              <w:jc w:val="left"/>
              <w:rPr>
                <w:rFonts w:ascii="仿宋" w:hAnsi="仿宋" w:eastAsia="仿宋"/>
                <w:color w:val="auto"/>
                <w:szCs w:val="21"/>
                <w:highlight w:val="none"/>
              </w:rPr>
            </w:pPr>
            <w:r>
              <w:rPr>
                <w:rFonts w:ascii="仿宋" w:hAnsi="仿宋" w:eastAsia="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BB9957">
            <w:pPr>
              <w:snapToGrid w:val="0"/>
              <w:jc w:val="left"/>
              <w:rPr>
                <w:rFonts w:ascii="仿宋" w:hAnsi="仿宋" w:eastAsia="仿宋"/>
                <w:color w:val="auto"/>
                <w:szCs w:val="21"/>
                <w:highlight w:val="none"/>
              </w:rPr>
            </w:pPr>
            <w:r>
              <w:rPr>
                <w:rFonts w:ascii="仿宋" w:hAnsi="仿宋" w:eastAsia="仿宋"/>
                <w:color w:val="auto"/>
                <w:szCs w:val="21"/>
                <w:highlight w:val="none"/>
              </w:rPr>
              <w:t>2.本表所指的控股关系仅限于直接控股关系，不包括间接的控股关系。公司实际控制人与公司之间的关系不属于本表所指的直接控股关系。</w:t>
            </w:r>
          </w:p>
          <w:p w14:paraId="0790D3F9">
            <w:pPr>
              <w:snapToGrid w:val="0"/>
              <w:jc w:val="left"/>
              <w:rPr>
                <w:rFonts w:ascii="仿宋" w:hAnsi="仿宋" w:eastAsia="仿宋" w:cs="宋体"/>
                <w:b/>
                <w:bCs/>
                <w:color w:val="auto"/>
                <w:kern w:val="0"/>
                <w:szCs w:val="21"/>
                <w:highlight w:val="none"/>
              </w:rPr>
            </w:pPr>
            <w:r>
              <w:rPr>
                <w:rFonts w:ascii="仿宋" w:hAnsi="仿宋" w:eastAsia="仿宋"/>
                <w:color w:val="auto"/>
                <w:szCs w:val="21"/>
                <w:highlight w:val="none"/>
              </w:rPr>
              <w:t>3.供应商不存在直接控股股东的，则填“无”。</w:t>
            </w:r>
          </w:p>
        </w:tc>
      </w:tr>
      <w:tr w14:paraId="2F67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1F126F45">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1</w:t>
            </w:r>
          </w:p>
        </w:tc>
        <w:tc>
          <w:tcPr>
            <w:tcW w:w="1309" w:type="dxa"/>
            <w:noWrap w:val="0"/>
            <w:vAlign w:val="top"/>
          </w:tcPr>
          <w:p w14:paraId="43BFAE44">
            <w:pPr>
              <w:snapToGrid w:val="0"/>
              <w:spacing w:before="156" w:beforeLines="50" w:after="50"/>
              <w:jc w:val="left"/>
              <w:rPr>
                <w:rFonts w:ascii="仿宋" w:hAnsi="仿宋" w:eastAsia="仿宋"/>
                <w:b/>
                <w:color w:val="auto"/>
                <w:szCs w:val="21"/>
                <w:highlight w:val="none"/>
              </w:rPr>
            </w:pPr>
          </w:p>
        </w:tc>
        <w:tc>
          <w:tcPr>
            <w:tcW w:w="1384" w:type="dxa"/>
            <w:noWrap w:val="0"/>
            <w:vAlign w:val="top"/>
          </w:tcPr>
          <w:p w14:paraId="7E752495">
            <w:pPr>
              <w:snapToGrid w:val="0"/>
              <w:spacing w:before="156" w:beforeLines="50" w:after="50"/>
              <w:jc w:val="left"/>
              <w:rPr>
                <w:rFonts w:ascii="仿宋" w:hAnsi="仿宋" w:eastAsia="仿宋"/>
                <w:b/>
                <w:color w:val="auto"/>
                <w:szCs w:val="21"/>
                <w:highlight w:val="none"/>
              </w:rPr>
            </w:pPr>
          </w:p>
        </w:tc>
        <w:tc>
          <w:tcPr>
            <w:tcW w:w="2410" w:type="dxa"/>
            <w:noWrap w:val="0"/>
            <w:vAlign w:val="top"/>
          </w:tcPr>
          <w:p w14:paraId="43C44F73">
            <w:pPr>
              <w:snapToGrid w:val="0"/>
              <w:spacing w:before="156" w:beforeLines="50" w:after="50"/>
              <w:jc w:val="left"/>
              <w:rPr>
                <w:rFonts w:ascii="仿宋" w:hAnsi="仿宋" w:eastAsia="仿宋"/>
                <w:b/>
                <w:color w:val="auto"/>
                <w:szCs w:val="21"/>
                <w:highlight w:val="none"/>
              </w:rPr>
            </w:pPr>
          </w:p>
        </w:tc>
        <w:tc>
          <w:tcPr>
            <w:tcW w:w="3934" w:type="dxa"/>
            <w:vMerge w:val="continue"/>
            <w:noWrap w:val="0"/>
            <w:vAlign w:val="top"/>
          </w:tcPr>
          <w:p w14:paraId="0F4A9C26">
            <w:pPr>
              <w:snapToGrid w:val="0"/>
              <w:jc w:val="left"/>
              <w:rPr>
                <w:rFonts w:ascii="仿宋" w:hAnsi="仿宋" w:eastAsia="仿宋"/>
                <w:color w:val="auto"/>
                <w:szCs w:val="21"/>
                <w:highlight w:val="none"/>
              </w:rPr>
            </w:pPr>
          </w:p>
        </w:tc>
      </w:tr>
      <w:tr w14:paraId="0866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5997057A">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2</w:t>
            </w:r>
          </w:p>
        </w:tc>
        <w:tc>
          <w:tcPr>
            <w:tcW w:w="1309" w:type="dxa"/>
            <w:noWrap w:val="0"/>
            <w:vAlign w:val="top"/>
          </w:tcPr>
          <w:p w14:paraId="7C2FA1F4">
            <w:pPr>
              <w:snapToGrid w:val="0"/>
              <w:spacing w:before="156" w:beforeLines="50" w:after="50"/>
              <w:jc w:val="left"/>
              <w:rPr>
                <w:rFonts w:ascii="仿宋" w:hAnsi="仿宋" w:eastAsia="仿宋"/>
                <w:b/>
                <w:color w:val="auto"/>
                <w:szCs w:val="21"/>
                <w:highlight w:val="none"/>
              </w:rPr>
            </w:pPr>
          </w:p>
        </w:tc>
        <w:tc>
          <w:tcPr>
            <w:tcW w:w="1384" w:type="dxa"/>
            <w:noWrap w:val="0"/>
            <w:vAlign w:val="top"/>
          </w:tcPr>
          <w:p w14:paraId="275BC5A8">
            <w:pPr>
              <w:snapToGrid w:val="0"/>
              <w:spacing w:before="156" w:beforeLines="50" w:after="50"/>
              <w:jc w:val="left"/>
              <w:rPr>
                <w:rFonts w:ascii="仿宋" w:hAnsi="仿宋" w:eastAsia="仿宋"/>
                <w:b/>
                <w:color w:val="auto"/>
                <w:szCs w:val="21"/>
                <w:highlight w:val="none"/>
              </w:rPr>
            </w:pPr>
          </w:p>
        </w:tc>
        <w:tc>
          <w:tcPr>
            <w:tcW w:w="2410" w:type="dxa"/>
            <w:noWrap w:val="0"/>
            <w:vAlign w:val="top"/>
          </w:tcPr>
          <w:p w14:paraId="2A9EF353">
            <w:pPr>
              <w:snapToGrid w:val="0"/>
              <w:spacing w:before="156" w:beforeLines="50" w:after="50"/>
              <w:jc w:val="left"/>
              <w:rPr>
                <w:rFonts w:ascii="仿宋" w:hAnsi="仿宋" w:eastAsia="仿宋"/>
                <w:b/>
                <w:color w:val="auto"/>
                <w:szCs w:val="21"/>
                <w:highlight w:val="none"/>
              </w:rPr>
            </w:pPr>
          </w:p>
        </w:tc>
        <w:tc>
          <w:tcPr>
            <w:tcW w:w="3934" w:type="dxa"/>
            <w:vMerge w:val="continue"/>
            <w:noWrap w:val="0"/>
            <w:vAlign w:val="top"/>
          </w:tcPr>
          <w:p w14:paraId="6EDA149F">
            <w:pPr>
              <w:snapToGrid w:val="0"/>
              <w:spacing w:before="156" w:beforeLines="50" w:after="50"/>
              <w:jc w:val="left"/>
              <w:rPr>
                <w:rFonts w:ascii="仿宋" w:hAnsi="仿宋" w:eastAsia="仿宋"/>
                <w:b/>
                <w:color w:val="auto"/>
                <w:szCs w:val="21"/>
                <w:highlight w:val="none"/>
              </w:rPr>
            </w:pPr>
          </w:p>
        </w:tc>
      </w:tr>
      <w:tr w14:paraId="0819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noWrap w:val="0"/>
            <w:vAlign w:val="top"/>
          </w:tcPr>
          <w:p w14:paraId="0ACBED4A">
            <w:pPr>
              <w:snapToGrid w:val="0"/>
              <w:spacing w:before="156" w:beforeLines="50" w:after="50"/>
              <w:jc w:val="center"/>
              <w:rPr>
                <w:rFonts w:ascii="仿宋" w:hAnsi="仿宋" w:eastAsia="仿宋"/>
                <w:b/>
                <w:color w:val="auto"/>
                <w:szCs w:val="21"/>
                <w:highlight w:val="none"/>
              </w:rPr>
            </w:pPr>
            <w:r>
              <w:rPr>
                <w:rFonts w:ascii="仿宋" w:hAnsi="仿宋" w:eastAsia="仿宋" w:cs="宋体"/>
                <w:color w:val="auto"/>
                <w:kern w:val="0"/>
                <w:szCs w:val="21"/>
                <w:highlight w:val="none"/>
              </w:rPr>
              <w:t>……</w:t>
            </w:r>
          </w:p>
        </w:tc>
        <w:tc>
          <w:tcPr>
            <w:tcW w:w="1309" w:type="dxa"/>
            <w:tcBorders>
              <w:bottom w:val="single" w:color="auto" w:sz="4" w:space="0"/>
            </w:tcBorders>
            <w:noWrap w:val="0"/>
            <w:vAlign w:val="top"/>
          </w:tcPr>
          <w:p w14:paraId="563B118D">
            <w:pPr>
              <w:snapToGrid w:val="0"/>
              <w:spacing w:before="156" w:beforeLines="50" w:after="50"/>
              <w:jc w:val="left"/>
              <w:rPr>
                <w:rFonts w:ascii="仿宋" w:hAnsi="仿宋" w:eastAsia="仿宋"/>
                <w:b/>
                <w:color w:val="auto"/>
                <w:szCs w:val="21"/>
                <w:highlight w:val="none"/>
              </w:rPr>
            </w:pPr>
          </w:p>
        </w:tc>
        <w:tc>
          <w:tcPr>
            <w:tcW w:w="1384" w:type="dxa"/>
            <w:tcBorders>
              <w:bottom w:val="single" w:color="auto" w:sz="4" w:space="0"/>
            </w:tcBorders>
            <w:noWrap w:val="0"/>
            <w:vAlign w:val="top"/>
          </w:tcPr>
          <w:p w14:paraId="54597BBD">
            <w:pPr>
              <w:snapToGrid w:val="0"/>
              <w:spacing w:before="156" w:beforeLines="50" w:after="50"/>
              <w:jc w:val="left"/>
              <w:rPr>
                <w:rFonts w:ascii="仿宋" w:hAnsi="仿宋" w:eastAsia="仿宋"/>
                <w:b/>
                <w:color w:val="auto"/>
                <w:szCs w:val="21"/>
                <w:highlight w:val="none"/>
              </w:rPr>
            </w:pPr>
          </w:p>
        </w:tc>
        <w:tc>
          <w:tcPr>
            <w:tcW w:w="2410" w:type="dxa"/>
            <w:tcBorders>
              <w:bottom w:val="single" w:color="auto" w:sz="4" w:space="0"/>
            </w:tcBorders>
            <w:noWrap w:val="0"/>
            <w:vAlign w:val="top"/>
          </w:tcPr>
          <w:p w14:paraId="773423EC">
            <w:pPr>
              <w:snapToGrid w:val="0"/>
              <w:spacing w:before="156" w:beforeLines="50" w:after="50"/>
              <w:jc w:val="left"/>
              <w:rPr>
                <w:rFonts w:ascii="仿宋" w:hAnsi="仿宋" w:eastAsia="仿宋"/>
                <w:b/>
                <w:color w:val="auto"/>
                <w:szCs w:val="21"/>
                <w:highlight w:val="none"/>
              </w:rPr>
            </w:pPr>
          </w:p>
        </w:tc>
        <w:tc>
          <w:tcPr>
            <w:tcW w:w="3934" w:type="dxa"/>
            <w:vMerge w:val="continue"/>
            <w:tcBorders>
              <w:bottom w:val="single" w:color="auto" w:sz="4" w:space="0"/>
            </w:tcBorders>
            <w:noWrap w:val="0"/>
            <w:vAlign w:val="top"/>
          </w:tcPr>
          <w:p w14:paraId="42BCF473">
            <w:pPr>
              <w:snapToGrid w:val="0"/>
              <w:spacing w:before="156" w:beforeLines="50" w:after="50"/>
              <w:jc w:val="left"/>
              <w:rPr>
                <w:rFonts w:ascii="仿宋" w:hAnsi="仿宋" w:eastAsia="仿宋"/>
                <w:b/>
                <w:color w:val="auto"/>
                <w:szCs w:val="21"/>
                <w:highlight w:val="none"/>
              </w:rPr>
            </w:pPr>
          </w:p>
        </w:tc>
      </w:tr>
      <w:tr w14:paraId="7E75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920" w:type="dxa"/>
            <w:gridSpan w:val="4"/>
            <w:shd w:val="clear" w:color="auto" w:fill="F2DBDB"/>
            <w:noWrap w:val="0"/>
            <w:vAlign w:val="center"/>
          </w:tcPr>
          <w:p w14:paraId="06BF3CAA">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投标人直接管理关系信息表</w:t>
            </w:r>
          </w:p>
        </w:tc>
        <w:tc>
          <w:tcPr>
            <w:tcW w:w="3934" w:type="dxa"/>
            <w:shd w:val="clear" w:color="auto" w:fill="F2DBDB"/>
            <w:noWrap w:val="0"/>
            <w:vAlign w:val="center"/>
          </w:tcPr>
          <w:p w14:paraId="6AB61DA7">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说明</w:t>
            </w:r>
          </w:p>
        </w:tc>
      </w:tr>
      <w:tr w14:paraId="6E7B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50F7C0C6">
            <w:pPr>
              <w:snapToGrid w:val="0"/>
              <w:spacing w:before="156" w:beforeLines="50" w:after="50"/>
              <w:jc w:val="center"/>
              <w:rPr>
                <w:rFonts w:ascii="仿宋" w:hAnsi="仿宋" w:eastAsia="仿宋"/>
                <w:b/>
                <w:color w:val="auto"/>
                <w:szCs w:val="21"/>
                <w:highlight w:val="none"/>
              </w:rPr>
            </w:pPr>
            <w:r>
              <w:rPr>
                <w:rFonts w:ascii="仿宋" w:hAnsi="仿宋" w:eastAsia="仿宋" w:cs="宋体"/>
                <w:b/>
                <w:bCs/>
                <w:color w:val="auto"/>
                <w:kern w:val="0"/>
                <w:szCs w:val="21"/>
                <w:highlight w:val="none"/>
              </w:rPr>
              <w:t>序号</w:t>
            </w:r>
          </w:p>
        </w:tc>
        <w:tc>
          <w:tcPr>
            <w:tcW w:w="2693" w:type="dxa"/>
            <w:gridSpan w:val="2"/>
            <w:noWrap w:val="0"/>
            <w:vAlign w:val="center"/>
          </w:tcPr>
          <w:p w14:paraId="63A0E0F1">
            <w:pPr>
              <w:snapToGrid w:val="0"/>
              <w:spacing w:before="156" w:beforeLines="50" w:after="50"/>
              <w:jc w:val="center"/>
              <w:rPr>
                <w:rFonts w:ascii="仿宋" w:hAnsi="仿宋" w:eastAsia="仿宋"/>
                <w:b/>
                <w:color w:val="auto"/>
                <w:szCs w:val="21"/>
                <w:highlight w:val="none"/>
              </w:rPr>
            </w:pPr>
            <w:r>
              <w:rPr>
                <w:rFonts w:ascii="仿宋" w:hAnsi="仿宋" w:eastAsia="仿宋" w:cs="宋体"/>
                <w:b/>
                <w:bCs/>
                <w:color w:val="auto"/>
                <w:kern w:val="0"/>
                <w:szCs w:val="21"/>
                <w:highlight w:val="none"/>
              </w:rPr>
              <w:t>直接管理关系单位名称</w:t>
            </w:r>
          </w:p>
        </w:tc>
        <w:tc>
          <w:tcPr>
            <w:tcW w:w="2410" w:type="dxa"/>
            <w:noWrap w:val="0"/>
            <w:vAlign w:val="center"/>
          </w:tcPr>
          <w:p w14:paraId="096ED627">
            <w:pPr>
              <w:snapToGrid w:val="0"/>
              <w:spacing w:before="156" w:beforeLines="50" w:after="50"/>
              <w:jc w:val="center"/>
              <w:rPr>
                <w:rFonts w:ascii="仿宋" w:hAnsi="仿宋" w:eastAsia="仿宋"/>
                <w:b/>
                <w:color w:val="auto"/>
                <w:szCs w:val="21"/>
                <w:highlight w:val="none"/>
              </w:rPr>
            </w:pPr>
            <w:r>
              <w:rPr>
                <w:rFonts w:ascii="仿宋" w:hAnsi="仿宋" w:eastAsia="仿宋" w:cs="宋体"/>
                <w:b/>
                <w:bCs/>
                <w:color w:val="auto"/>
                <w:kern w:val="0"/>
                <w:szCs w:val="21"/>
                <w:highlight w:val="none"/>
              </w:rPr>
              <w:t>统一社会信用代码</w:t>
            </w:r>
          </w:p>
        </w:tc>
        <w:tc>
          <w:tcPr>
            <w:tcW w:w="3934" w:type="dxa"/>
            <w:vMerge w:val="restart"/>
            <w:noWrap w:val="0"/>
            <w:vAlign w:val="center"/>
          </w:tcPr>
          <w:p w14:paraId="1BEBDE32">
            <w:pPr>
              <w:snapToGrid w:val="0"/>
              <w:jc w:val="left"/>
              <w:rPr>
                <w:rFonts w:ascii="仿宋" w:hAnsi="仿宋" w:eastAsia="仿宋"/>
                <w:color w:val="auto"/>
                <w:szCs w:val="21"/>
                <w:highlight w:val="none"/>
              </w:rPr>
            </w:pPr>
            <w:r>
              <w:rPr>
                <w:rFonts w:ascii="仿宋" w:hAnsi="仿宋" w:eastAsia="仿宋"/>
                <w:color w:val="auto"/>
                <w:szCs w:val="21"/>
                <w:highlight w:val="none"/>
              </w:rPr>
              <w:t>1.管理关系：是指不具有出资持股关系的其他单位之间存在的管理与被管理关系，如一些上下级关系的事业单位和团体组织。</w:t>
            </w:r>
          </w:p>
          <w:p w14:paraId="53CAC809">
            <w:pPr>
              <w:snapToGrid w:val="0"/>
              <w:jc w:val="left"/>
              <w:rPr>
                <w:rFonts w:ascii="仿宋" w:hAnsi="仿宋" w:eastAsia="仿宋"/>
                <w:color w:val="auto"/>
                <w:szCs w:val="21"/>
                <w:highlight w:val="none"/>
              </w:rPr>
            </w:pPr>
            <w:r>
              <w:rPr>
                <w:rFonts w:ascii="仿宋" w:hAnsi="仿宋" w:eastAsia="仿宋"/>
                <w:color w:val="auto"/>
                <w:szCs w:val="21"/>
                <w:highlight w:val="none"/>
              </w:rPr>
              <w:t>2.本表所指的管理关系仅限于直接管理关系，不包括间接的管理关系。</w:t>
            </w:r>
          </w:p>
          <w:p w14:paraId="3005D464">
            <w:pPr>
              <w:snapToGrid w:val="0"/>
              <w:jc w:val="left"/>
              <w:rPr>
                <w:rFonts w:ascii="仿宋" w:hAnsi="仿宋" w:eastAsia="仿宋"/>
                <w:color w:val="auto"/>
                <w:szCs w:val="21"/>
                <w:highlight w:val="none"/>
              </w:rPr>
            </w:pPr>
            <w:r>
              <w:rPr>
                <w:rFonts w:ascii="仿宋" w:hAnsi="仿宋" w:eastAsia="仿宋"/>
                <w:color w:val="auto"/>
                <w:szCs w:val="21"/>
                <w:highlight w:val="none"/>
              </w:rPr>
              <w:t>3.供应商不存在直接管理关系的，则填“无”。</w:t>
            </w:r>
          </w:p>
        </w:tc>
      </w:tr>
      <w:tr w14:paraId="5262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6B4A1D8D">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1</w:t>
            </w:r>
          </w:p>
        </w:tc>
        <w:tc>
          <w:tcPr>
            <w:tcW w:w="2693" w:type="dxa"/>
            <w:gridSpan w:val="2"/>
            <w:noWrap w:val="0"/>
            <w:vAlign w:val="center"/>
          </w:tcPr>
          <w:p w14:paraId="38C2FB42">
            <w:pPr>
              <w:snapToGrid w:val="0"/>
              <w:spacing w:before="156" w:beforeLines="50" w:after="50"/>
              <w:jc w:val="center"/>
              <w:rPr>
                <w:rFonts w:ascii="仿宋" w:hAnsi="仿宋" w:eastAsia="仿宋" w:cs="宋体"/>
                <w:b/>
                <w:bCs/>
                <w:color w:val="auto"/>
                <w:kern w:val="0"/>
                <w:szCs w:val="21"/>
                <w:highlight w:val="none"/>
              </w:rPr>
            </w:pPr>
          </w:p>
        </w:tc>
        <w:tc>
          <w:tcPr>
            <w:tcW w:w="2410" w:type="dxa"/>
            <w:noWrap w:val="0"/>
            <w:vAlign w:val="center"/>
          </w:tcPr>
          <w:p w14:paraId="48461E70">
            <w:pPr>
              <w:snapToGrid w:val="0"/>
              <w:spacing w:before="156" w:beforeLines="50" w:after="50"/>
              <w:jc w:val="center"/>
              <w:rPr>
                <w:rFonts w:ascii="仿宋" w:hAnsi="仿宋" w:eastAsia="仿宋" w:cs="宋体"/>
                <w:b/>
                <w:bCs/>
                <w:color w:val="auto"/>
                <w:kern w:val="0"/>
                <w:szCs w:val="21"/>
                <w:highlight w:val="none"/>
              </w:rPr>
            </w:pPr>
          </w:p>
        </w:tc>
        <w:tc>
          <w:tcPr>
            <w:tcW w:w="3934" w:type="dxa"/>
            <w:vMerge w:val="continue"/>
            <w:noWrap w:val="0"/>
            <w:vAlign w:val="center"/>
          </w:tcPr>
          <w:p w14:paraId="1EF90F77">
            <w:pPr>
              <w:snapToGrid w:val="0"/>
              <w:jc w:val="left"/>
              <w:rPr>
                <w:rFonts w:ascii="仿宋" w:hAnsi="仿宋" w:eastAsia="仿宋"/>
                <w:color w:val="auto"/>
                <w:szCs w:val="21"/>
                <w:highlight w:val="none"/>
              </w:rPr>
            </w:pPr>
          </w:p>
        </w:tc>
      </w:tr>
      <w:tr w14:paraId="4B6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48E04627">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2</w:t>
            </w:r>
          </w:p>
        </w:tc>
        <w:tc>
          <w:tcPr>
            <w:tcW w:w="2693" w:type="dxa"/>
            <w:gridSpan w:val="2"/>
            <w:noWrap w:val="0"/>
            <w:vAlign w:val="center"/>
          </w:tcPr>
          <w:p w14:paraId="69AC4FB0">
            <w:pPr>
              <w:snapToGrid w:val="0"/>
              <w:spacing w:before="156" w:beforeLines="50" w:after="50"/>
              <w:jc w:val="center"/>
              <w:rPr>
                <w:rFonts w:ascii="仿宋" w:hAnsi="仿宋" w:eastAsia="仿宋" w:cs="宋体"/>
                <w:b/>
                <w:bCs/>
                <w:color w:val="auto"/>
                <w:kern w:val="0"/>
                <w:szCs w:val="21"/>
                <w:highlight w:val="none"/>
              </w:rPr>
            </w:pPr>
          </w:p>
        </w:tc>
        <w:tc>
          <w:tcPr>
            <w:tcW w:w="2410" w:type="dxa"/>
            <w:noWrap w:val="0"/>
            <w:vAlign w:val="center"/>
          </w:tcPr>
          <w:p w14:paraId="3BD64881">
            <w:pPr>
              <w:snapToGrid w:val="0"/>
              <w:spacing w:before="156" w:beforeLines="50" w:after="50"/>
              <w:jc w:val="center"/>
              <w:rPr>
                <w:rFonts w:ascii="仿宋" w:hAnsi="仿宋" w:eastAsia="仿宋" w:cs="宋体"/>
                <w:b/>
                <w:bCs/>
                <w:color w:val="auto"/>
                <w:kern w:val="0"/>
                <w:szCs w:val="21"/>
                <w:highlight w:val="none"/>
              </w:rPr>
            </w:pPr>
          </w:p>
        </w:tc>
        <w:tc>
          <w:tcPr>
            <w:tcW w:w="3934" w:type="dxa"/>
            <w:vMerge w:val="continue"/>
            <w:noWrap w:val="0"/>
            <w:vAlign w:val="center"/>
          </w:tcPr>
          <w:p w14:paraId="52762155">
            <w:pPr>
              <w:snapToGrid w:val="0"/>
              <w:jc w:val="left"/>
              <w:rPr>
                <w:rFonts w:ascii="仿宋" w:hAnsi="仿宋" w:eastAsia="仿宋"/>
                <w:color w:val="auto"/>
                <w:szCs w:val="21"/>
                <w:highlight w:val="none"/>
              </w:rPr>
            </w:pPr>
          </w:p>
        </w:tc>
      </w:tr>
      <w:tr w14:paraId="467C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3ABAD357">
            <w:pPr>
              <w:snapToGrid w:val="0"/>
              <w:spacing w:before="156" w:beforeLines="50" w:after="50"/>
              <w:jc w:val="center"/>
              <w:rPr>
                <w:rFonts w:ascii="仿宋" w:hAnsi="仿宋" w:eastAsia="仿宋"/>
                <w:b/>
                <w:color w:val="auto"/>
                <w:szCs w:val="21"/>
                <w:highlight w:val="none"/>
              </w:rPr>
            </w:pPr>
            <w:r>
              <w:rPr>
                <w:rFonts w:ascii="仿宋" w:hAnsi="仿宋" w:eastAsia="仿宋" w:cs="宋体"/>
                <w:color w:val="auto"/>
                <w:kern w:val="0"/>
                <w:szCs w:val="21"/>
                <w:highlight w:val="none"/>
              </w:rPr>
              <w:t>……</w:t>
            </w:r>
          </w:p>
        </w:tc>
        <w:tc>
          <w:tcPr>
            <w:tcW w:w="2693" w:type="dxa"/>
            <w:gridSpan w:val="2"/>
            <w:noWrap w:val="0"/>
            <w:vAlign w:val="center"/>
          </w:tcPr>
          <w:p w14:paraId="3B09AA14">
            <w:pPr>
              <w:snapToGrid w:val="0"/>
              <w:spacing w:before="156" w:beforeLines="50" w:after="50"/>
              <w:jc w:val="center"/>
              <w:rPr>
                <w:rFonts w:ascii="仿宋" w:hAnsi="仿宋" w:eastAsia="仿宋" w:cs="宋体"/>
                <w:b/>
                <w:bCs/>
                <w:color w:val="auto"/>
                <w:kern w:val="0"/>
                <w:szCs w:val="21"/>
                <w:highlight w:val="none"/>
              </w:rPr>
            </w:pPr>
          </w:p>
        </w:tc>
        <w:tc>
          <w:tcPr>
            <w:tcW w:w="2410" w:type="dxa"/>
            <w:noWrap w:val="0"/>
            <w:vAlign w:val="center"/>
          </w:tcPr>
          <w:p w14:paraId="1D4D6644">
            <w:pPr>
              <w:snapToGrid w:val="0"/>
              <w:spacing w:before="156" w:beforeLines="50" w:after="50"/>
              <w:jc w:val="center"/>
              <w:rPr>
                <w:rFonts w:ascii="仿宋" w:hAnsi="仿宋" w:eastAsia="仿宋" w:cs="宋体"/>
                <w:b/>
                <w:bCs/>
                <w:color w:val="auto"/>
                <w:kern w:val="0"/>
                <w:szCs w:val="21"/>
                <w:highlight w:val="none"/>
              </w:rPr>
            </w:pPr>
          </w:p>
        </w:tc>
        <w:tc>
          <w:tcPr>
            <w:tcW w:w="3934" w:type="dxa"/>
            <w:vMerge w:val="continue"/>
            <w:noWrap w:val="0"/>
            <w:vAlign w:val="center"/>
          </w:tcPr>
          <w:p w14:paraId="5E192F9E">
            <w:pPr>
              <w:snapToGrid w:val="0"/>
              <w:jc w:val="left"/>
              <w:rPr>
                <w:rFonts w:ascii="仿宋" w:hAnsi="仿宋" w:eastAsia="仿宋"/>
                <w:color w:val="auto"/>
                <w:szCs w:val="21"/>
                <w:highlight w:val="none"/>
              </w:rPr>
            </w:pPr>
          </w:p>
        </w:tc>
      </w:tr>
    </w:tbl>
    <w:p w14:paraId="79064DFE">
      <w:pPr>
        <w:snapToGrid w:val="0"/>
        <w:spacing w:line="360" w:lineRule="auto"/>
        <w:jc w:val="left"/>
        <w:rPr>
          <w:rFonts w:hint="eastAsia" w:ascii="仿宋" w:hAnsi="仿宋" w:eastAsia="仿宋"/>
          <w:color w:val="auto"/>
          <w:sz w:val="24"/>
          <w:highlight w:val="none"/>
        </w:rPr>
      </w:pPr>
    </w:p>
    <w:p w14:paraId="37DBE126">
      <w:pPr>
        <w:snapToGrid w:val="0"/>
        <w:spacing w:line="360" w:lineRule="auto"/>
        <w:jc w:val="left"/>
        <w:rPr>
          <w:rFonts w:hint="eastAsia" w:ascii="仿宋" w:hAnsi="仿宋" w:eastAsia="仿宋"/>
          <w:color w:val="auto"/>
          <w:sz w:val="24"/>
          <w:highlight w:val="none"/>
        </w:rPr>
      </w:pPr>
    </w:p>
    <w:p w14:paraId="7BBD3650">
      <w:pPr>
        <w:snapToGrid w:val="0"/>
        <w:spacing w:line="360" w:lineRule="auto"/>
        <w:jc w:val="left"/>
        <w:rPr>
          <w:rFonts w:hint="eastAsia" w:ascii="仿宋" w:hAnsi="仿宋" w:eastAsia="仿宋"/>
          <w:color w:val="auto"/>
          <w:sz w:val="24"/>
          <w:highlight w:val="none"/>
        </w:rPr>
      </w:pPr>
    </w:p>
    <w:p w14:paraId="51ED8CF6">
      <w:pPr>
        <w:snapToGrid w:val="0"/>
        <w:spacing w:line="360" w:lineRule="auto"/>
        <w:ind w:firstLine="4620" w:firstLineChars="2100"/>
        <w:rPr>
          <w:rFonts w:hint="eastAsia" w:ascii="仿宋" w:hAnsi="仿宋" w:eastAsia="仿宋" w:cs="仿宋_GB2312"/>
          <w:color w:val="auto"/>
          <w:kern w:val="0"/>
          <w:sz w:val="22"/>
          <w:highlight w:val="none"/>
          <w:u w:val="single"/>
        </w:rPr>
      </w:pPr>
      <w:r>
        <w:rPr>
          <w:rFonts w:hint="eastAsia" w:ascii="仿宋" w:hAnsi="仿宋" w:eastAsia="仿宋" w:cs="仿宋_GB2312"/>
          <w:color w:val="auto"/>
          <w:kern w:val="0"/>
          <w:sz w:val="22"/>
          <w:highlight w:val="none"/>
          <w:lang w:val="zh-CN"/>
        </w:rPr>
        <w:t>投标人名称(</w:t>
      </w:r>
      <w:r>
        <w:rPr>
          <w:rFonts w:hint="eastAsia" w:ascii="仿宋" w:hAnsi="仿宋" w:eastAsia="仿宋" w:cs="仿宋_GB2312"/>
          <w:color w:val="auto"/>
          <w:kern w:val="0"/>
          <w:sz w:val="22"/>
          <w:highlight w:val="none"/>
          <w:lang w:val="en-US" w:eastAsia="zh-CN"/>
        </w:rPr>
        <w:t>公章</w:t>
      </w:r>
      <w:r>
        <w:rPr>
          <w:rFonts w:hint="eastAsia" w:ascii="仿宋" w:hAnsi="仿宋" w:eastAsia="仿宋" w:cs="仿宋_GB2312"/>
          <w:color w:val="auto"/>
          <w:kern w:val="0"/>
          <w:sz w:val="22"/>
          <w:highlight w:val="none"/>
          <w:lang w:val="zh-CN"/>
        </w:rPr>
        <w:t>)：</w:t>
      </w:r>
      <w:r>
        <w:rPr>
          <w:rFonts w:hint="eastAsia" w:ascii="仿宋" w:hAnsi="仿宋" w:eastAsia="仿宋" w:cs="仿宋_GB2312"/>
          <w:color w:val="auto"/>
          <w:kern w:val="0"/>
          <w:sz w:val="22"/>
          <w:highlight w:val="none"/>
          <w:u w:val="single"/>
          <w:lang w:val="zh-CN"/>
        </w:rPr>
        <w:t xml:space="preserve"> </w:t>
      </w:r>
      <w:r>
        <w:rPr>
          <w:rFonts w:ascii="仿宋" w:hAnsi="仿宋" w:eastAsia="仿宋" w:cs="仿宋_GB2312"/>
          <w:color w:val="auto"/>
          <w:kern w:val="0"/>
          <w:sz w:val="22"/>
          <w:highlight w:val="none"/>
          <w:u w:val="single"/>
          <w:lang w:val="zh-CN"/>
        </w:rPr>
        <w:t xml:space="preserve">         </w:t>
      </w:r>
    </w:p>
    <w:p w14:paraId="05366937">
      <w:pPr>
        <w:snapToGrid w:val="0"/>
        <w:spacing w:line="360" w:lineRule="auto"/>
        <w:ind w:firstLine="4730" w:firstLineChars="2150"/>
        <w:rPr>
          <w:rFonts w:hint="eastAsia" w:ascii="宋体" w:hAnsi="宋体" w:cs="宋体"/>
          <w:b/>
          <w:bCs/>
          <w:color w:val="auto"/>
          <w:sz w:val="24"/>
          <w:szCs w:val="24"/>
          <w:highlight w:val="none"/>
          <w:lang w:val="en-US" w:eastAsia="zh-CN"/>
        </w:rPr>
      </w:pPr>
      <w:r>
        <w:rPr>
          <w:rFonts w:hint="eastAsia" w:ascii="仿宋" w:hAnsi="仿宋" w:eastAsia="仿宋" w:cs="仿宋_GB2312"/>
          <w:color w:val="auto"/>
          <w:kern w:val="0"/>
          <w:sz w:val="22"/>
          <w:highlight w:val="none"/>
          <w:lang w:val="zh-CN"/>
        </w:rPr>
        <w:t>日期</w:t>
      </w:r>
      <w:r>
        <w:rPr>
          <w:rFonts w:hint="eastAsia" w:ascii="仿宋" w:hAnsi="仿宋" w:eastAsia="仿宋" w:cs="仿宋_GB2312"/>
          <w:color w:val="auto"/>
          <w:kern w:val="0"/>
          <w:sz w:val="22"/>
          <w:highlight w:val="none"/>
        </w:rPr>
        <w:t xml:space="preserve">：  年  </w:t>
      </w:r>
      <w:r>
        <w:rPr>
          <w:rFonts w:hint="eastAsia" w:ascii="仿宋" w:hAnsi="仿宋" w:eastAsia="仿宋" w:cs="仿宋_GB2312"/>
          <w:color w:val="auto"/>
          <w:kern w:val="0"/>
          <w:sz w:val="22"/>
          <w:highlight w:val="none"/>
          <w:lang w:val="zh-CN"/>
        </w:rPr>
        <w:t>月</w:t>
      </w:r>
      <w:r>
        <w:rPr>
          <w:rFonts w:hint="eastAsia" w:ascii="仿宋" w:hAnsi="仿宋" w:eastAsia="仿宋" w:cs="仿宋_GB2312"/>
          <w:color w:val="auto"/>
          <w:kern w:val="0"/>
          <w:sz w:val="22"/>
          <w:highlight w:val="none"/>
        </w:rPr>
        <w:t xml:space="preserve">   </w:t>
      </w:r>
      <w:r>
        <w:rPr>
          <w:rFonts w:hint="eastAsia" w:ascii="仿宋" w:hAnsi="仿宋" w:eastAsia="仿宋" w:cs="仿宋_GB2312"/>
          <w:color w:val="auto"/>
          <w:kern w:val="0"/>
          <w:sz w:val="22"/>
          <w:highlight w:val="none"/>
          <w:lang w:val="zh-CN"/>
        </w:rPr>
        <w:t>日</w:t>
      </w:r>
    </w:p>
    <w:p w14:paraId="3B44689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2" w:firstLineChars="200"/>
        <w:jc w:val="both"/>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附件4：拟签订的合同文本参考模板，本合同内容条款在正式签署前可具体补充细化，该模板仅做参考，最终合同以采购人审查通过的版本为准</w:t>
      </w:r>
    </w:p>
    <w:p w14:paraId="766A702F">
      <w:pPr>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t>合同文本</w:t>
      </w:r>
    </w:p>
    <w:p w14:paraId="578FAE80">
      <w:pPr>
        <w:pageBreakBefore w:val="0"/>
        <w:kinsoku/>
        <w:wordWrap/>
        <w:overflowPunct/>
        <w:topLinePunct w:val="0"/>
        <w:autoSpaceDE/>
        <w:autoSpaceDN/>
        <w:bidi w:val="0"/>
        <w:snapToGrid w:val="0"/>
        <w:spacing w:line="360" w:lineRule="auto"/>
        <w:jc w:val="center"/>
        <w:textAlignment w:val="auto"/>
        <w:rPr>
          <w:rFonts w:ascii="宋体" w:hAnsi="宋体"/>
          <w:b/>
          <w:bCs/>
          <w:color w:val="auto"/>
          <w:sz w:val="36"/>
          <w:szCs w:val="36"/>
          <w:highlight w:val="none"/>
        </w:rPr>
      </w:pPr>
      <w:r>
        <w:rPr>
          <w:rFonts w:hint="eastAsia" w:ascii="宋体" w:hAnsi="宋体"/>
          <w:b/>
          <w:bCs/>
          <w:color w:val="auto"/>
          <w:sz w:val="36"/>
          <w:szCs w:val="36"/>
          <w:highlight w:val="none"/>
        </w:rPr>
        <w:t>《采购合同》</w:t>
      </w:r>
    </w:p>
    <w:p w14:paraId="0E9DAD11">
      <w:pPr>
        <w:pageBreakBefore w:val="0"/>
        <w:kinsoku/>
        <w:wordWrap/>
        <w:overflowPunct/>
        <w:topLinePunct w:val="0"/>
        <w:autoSpaceDE/>
        <w:autoSpaceDN/>
        <w:bidi w:val="0"/>
        <w:snapToGrid w:val="0"/>
        <w:spacing w:line="360" w:lineRule="auto"/>
        <w:ind w:right="480" w:firstLine="7680" w:firstLineChars="3200"/>
        <w:textAlignment w:val="auto"/>
        <w:rPr>
          <w:rFonts w:ascii="仿宋_GB2312" w:hAnsi="宋体" w:eastAsia="仿宋_GB2312"/>
          <w:bCs/>
          <w:color w:val="auto"/>
          <w:szCs w:val="21"/>
          <w:highlight w:val="none"/>
          <w:u w:val="single"/>
        </w:rPr>
      </w:pPr>
      <w:r>
        <w:rPr>
          <w:rFonts w:hint="eastAsia" w:ascii="仿宋_GB2312" w:hAnsi="宋体" w:eastAsia="仿宋_GB2312"/>
          <w:bCs/>
          <w:color w:val="auto"/>
          <w:szCs w:val="21"/>
          <w:highlight w:val="none"/>
        </w:rPr>
        <w:t>合同编号：</w:t>
      </w:r>
      <w:r>
        <w:rPr>
          <w:rFonts w:hint="eastAsia" w:ascii="仿宋_GB2312" w:hAnsi="宋体" w:eastAsia="仿宋_GB2312"/>
          <w:bCs/>
          <w:color w:val="auto"/>
          <w:szCs w:val="21"/>
          <w:highlight w:val="none"/>
          <w:u w:val="single"/>
        </w:rPr>
        <w:t xml:space="preserve">          </w:t>
      </w:r>
    </w:p>
    <w:p w14:paraId="23A3E442">
      <w:pPr>
        <w:pageBreakBefore w:val="0"/>
        <w:kinsoku/>
        <w:wordWrap/>
        <w:overflowPunct/>
        <w:topLinePunct w:val="0"/>
        <w:autoSpaceDE/>
        <w:autoSpaceDN/>
        <w:bidi w:val="0"/>
        <w:snapToGrid w:val="0"/>
        <w:spacing w:line="360" w:lineRule="auto"/>
        <w:textAlignment w:val="auto"/>
        <w:rPr>
          <w:rFonts w:ascii="仿宋_GB2312" w:hAnsi="宋体" w:eastAsia="仿宋_GB2312"/>
          <w:color w:val="auto"/>
          <w:szCs w:val="21"/>
          <w:highlight w:val="none"/>
        </w:rPr>
      </w:pPr>
    </w:p>
    <w:p w14:paraId="59367FB7">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采购人（甲方）:</w:t>
      </w:r>
      <w:r>
        <w:rPr>
          <w:rFonts w:hint="eastAsia" w:ascii="宋体" w:hAnsi="宋体"/>
          <w:color w:val="auto"/>
          <w:szCs w:val="21"/>
          <w:highlight w:val="none"/>
          <w:u w:val="single"/>
          <w:lang w:val="en-US" w:eastAsia="zh-CN"/>
        </w:rPr>
        <w:t>广西艺术学院</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9602AC8">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项目编号:</w:t>
      </w:r>
      <w:r>
        <w:rPr>
          <w:rFonts w:hint="eastAsia" w:ascii="宋体" w:hAnsi="宋体"/>
          <w:color w:val="auto"/>
          <w:szCs w:val="21"/>
          <w:highlight w:val="none"/>
          <w:u w:val="single"/>
        </w:rPr>
        <w:t xml:space="preserve">                </w:t>
      </w:r>
    </w:p>
    <w:p w14:paraId="54797D6F">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u w:val="single"/>
        </w:rPr>
      </w:pPr>
      <w:r>
        <w:rPr>
          <w:rFonts w:hint="eastAsia" w:ascii="宋体" w:hAnsi="宋体"/>
          <w:color w:val="auto"/>
          <w:szCs w:val="21"/>
          <w:highlight w:val="none"/>
        </w:rPr>
        <w:t>签订地点:</w:t>
      </w:r>
      <w:r>
        <w:rPr>
          <w:rFonts w:hint="eastAsia" w:ascii="宋体" w:hAnsi="宋体"/>
          <w:color w:val="auto"/>
          <w:szCs w:val="21"/>
          <w:highlight w:val="none"/>
          <w:u w:val="single"/>
        </w:rPr>
        <w:t xml:space="preserve">  广西</w:t>
      </w:r>
      <w:r>
        <w:rPr>
          <w:rFonts w:hint="eastAsia" w:ascii="宋体" w:hAnsi="宋体"/>
          <w:color w:val="auto"/>
          <w:szCs w:val="21"/>
          <w:highlight w:val="none"/>
          <w:u w:val="single"/>
          <w:lang w:val="en-US" w:eastAsia="zh-CN"/>
        </w:rPr>
        <w:t>南宁市</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9192C43">
      <w:pPr>
        <w:pageBreakBefore w:val="0"/>
        <w:kinsoku/>
        <w:wordWrap/>
        <w:overflowPunct/>
        <w:topLinePunct w:val="0"/>
        <w:autoSpaceDE/>
        <w:autoSpaceDN/>
        <w:bidi w:val="0"/>
        <w:snapToGrid w:val="0"/>
        <w:spacing w:line="360" w:lineRule="auto"/>
        <w:ind w:firstLine="480" w:firstLineChars="200"/>
        <w:textAlignment w:val="auto"/>
        <w:rPr>
          <w:rFonts w:ascii="宋体" w:hAnsi="宋体"/>
          <w:color w:val="auto"/>
          <w:szCs w:val="21"/>
          <w:highlight w:val="none"/>
        </w:rPr>
      </w:pPr>
      <w:r>
        <w:rPr>
          <w:rFonts w:hint="eastAsia" w:ascii="宋体" w:hAnsi="宋体"/>
          <w:color w:val="auto"/>
          <w:szCs w:val="21"/>
          <w:highlight w:val="none"/>
        </w:rPr>
        <w:t>根据《中华人民共和国政府采购法》、</w:t>
      </w:r>
      <w:r>
        <w:rPr>
          <w:rFonts w:hint="eastAsia" w:ascii="宋体" w:hAnsi="宋体"/>
          <w:color w:val="auto"/>
          <w:highlight w:val="none"/>
        </w:rPr>
        <w:t>《中华人民共和国政府采购法实施条例》、</w:t>
      </w:r>
      <w:r>
        <w:rPr>
          <w:rFonts w:hint="eastAsia" w:ascii="宋体" w:hAnsi="宋体"/>
          <w:color w:val="auto"/>
          <w:szCs w:val="21"/>
          <w:highlight w:val="none"/>
        </w:rPr>
        <w:t>《</w:t>
      </w:r>
      <w:r>
        <w:rPr>
          <w:rFonts w:ascii="Arial" w:hAnsi="Arial" w:cs="Arial"/>
          <w:color w:val="auto"/>
          <w:szCs w:val="21"/>
          <w:highlight w:val="none"/>
          <w:shd w:val="clear" w:color="auto" w:fill="FFFFFF"/>
        </w:rPr>
        <w:t>中华人民共和国民法典</w:t>
      </w:r>
      <w:r>
        <w:rPr>
          <w:rFonts w:hint="eastAsia" w:ascii="宋体" w:hAnsi="宋体"/>
          <w:color w:val="auto"/>
          <w:szCs w:val="21"/>
          <w:highlight w:val="none"/>
        </w:rPr>
        <w:t>》等法律、法规规定，甲乙双方签订本合同。</w:t>
      </w:r>
    </w:p>
    <w:p w14:paraId="69ADBDF8">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第一条　合同标的</w:t>
      </w:r>
    </w:p>
    <w:p w14:paraId="1E25F43A">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1.服务</w:t>
      </w:r>
      <w:bookmarkStart w:id="20" w:name="OLE_LINK86"/>
      <w:bookmarkStart w:id="21" w:name="OLE_LINK85"/>
      <w:r>
        <w:rPr>
          <w:rFonts w:hint="eastAsia" w:ascii="宋体" w:hAnsi="宋体"/>
          <w:color w:val="auto"/>
          <w:szCs w:val="21"/>
          <w:highlight w:val="none"/>
        </w:rPr>
        <w:t>项目</w:t>
      </w:r>
      <w:bookmarkEnd w:id="20"/>
      <w:bookmarkEnd w:id="21"/>
      <w:r>
        <w:rPr>
          <w:rFonts w:hint="eastAsia" w:ascii="宋体" w:hAnsi="宋体"/>
          <w:color w:val="auto"/>
          <w:szCs w:val="21"/>
          <w:highlight w:val="none"/>
        </w:rPr>
        <w:t>一览表</w:t>
      </w:r>
    </w:p>
    <w:tbl>
      <w:tblPr>
        <w:tblStyle w:val="15"/>
        <w:tblW w:w="970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884"/>
        <w:gridCol w:w="2977"/>
        <w:gridCol w:w="708"/>
        <w:gridCol w:w="709"/>
        <w:gridCol w:w="1016"/>
        <w:gridCol w:w="1564"/>
      </w:tblGrid>
      <w:tr w14:paraId="3B12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48" w:type="dxa"/>
            <w:noWrap w:val="0"/>
            <w:vAlign w:val="center"/>
          </w:tcPr>
          <w:p w14:paraId="5963BDD4">
            <w:pPr>
              <w:pageBreakBefore w:val="0"/>
              <w:kinsoku/>
              <w:wordWrap/>
              <w:overflowPunct/>
              <w:topLinePunct w:val="0"/>
              <w:autoSpaceDE/>
              <w:autoSpaceDN/>
              <w:bidi w:val="0"/>
              <w:snapToGrid w:val="0"/>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项号</w:t>
            </w:r>
          </w:p>
        </w:tc>
        <w:tc>
          <w:tcPr>
            <w:tcW w:w="1884" w:type="dxa"/>
            <w:noWrap w:val="0"/>
            <w:vAlign w:val="center"/>
          </w:tcPr>
          <w:p w14:paraId="236B9375">
            <w:pPr>
              <w:pageBreakBefore w:val="0"/>
              <w:kinsoku/>
              <w:wordWrap/>
              <w:overflowPunct/>
              <w:topLinePunct w:val="0"/>
              <w:autoSpaceDE/>
              <w:autoSpaceDN/>
              <w:bidi w:val="0"/>
              <w:snapToGrid w:val="0"/>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名称</w:t>
            </w:r>
          </w:p>
        </w:tc>
        <w:tc>
          <w:tcPr>
            <w:tcW w:w="2977" w:type="dxa"/>
            <w:noWrap w:val="0"/>
            <w:vAlign w:val="center"/>
          </w:tcPr>
          <w:p w14:paraId="3DC3A39F">
            <w:pPr>
              <w:pageBreakBefore w:val="0"/>
              <w:kinsoku/>
              <w:wordWrap/>
              <w:overflowPunct/>
              <w:topLinePunct w:val="0"/>
              <w:autoSpaceDE/>
              <w:autoSpaceDN/>
              <w:bidi w:val="0"/>
              <w:snapToGrid w:val="0"/>
              <w:spacing w:line="360" w:lineRule="auto"/>
              <w:jc w:val="center"/>
              <w:textAlignment w:val="auto"/>
              <w:rPr>
                <w:rFonts w:ascii="宋体" w:hAnsi="宋体"/>
                <w:color w:val="auto"/>
                <w:szCs w:val="21"/>
                <w:highlight w:val="none"/>
              </w:rPr>
            </w:pPr>
            <w:r>
              <w:rPr>
                <w:rFonts w:hint="eastAsia" w:ascii="宋体" w:hAnsi="宋体"/>
                <w:color w:val="auto"/>
                <w:szCs w:val="30"/>
                <w:highlight w:val="none"/>
              </w:rPr>
              <w:t>服务内容</w:t>
            </w:r>
          </w:p>
        </w:tc>
        <w:tc>
          <w:tcPr>
            <w:tcW w:w="708" w:type="dxa"/>
            <w:noWrap w:val="0"/>
            <w:vAlign w:val="center"/>
          </w:tcPr>
          <w:p w14:paraId="483E0999">
            <w:pPr>
              <w:pageBreakBefore w:val="0"/>
              <w:kinsoku/>
              <w:wordWrap/>
              <w:overflowPunct/>
              <w:topLinePunct w:val="0"/>
              <w:autoSpaceDE/>
              <w:autoSpaceDN/>
              <w:bidi w:val="0"/>
              <w:snapToGrid w:val="0"/>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数量</w:t>
            </w:r>
          </w:p>
          <w:p w14:paraId="00A4B455">
            <w:pPr>
              <w:pageBreakBefore w:val="0"/>
              <w:kinsoku/>
              <w:wordWrap/>
              <w:overflowPunct/>
              <w:topLinePunct w:val="0"/>
              <w:autoSpaceDE/>
              <w:autoSpaceDN/>
              <w:bidi w:val="0"/>
              <w:snapToGrid w:val="0"/>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①</w:t>
            </w:r>
          </w:p>
        </w:tc>
        <w:tc>
          <w:tcPr>
            <w:tcW w:w="709" w:type="dxa"/>
            <w:noWrap w:val="0"/>
            <w:vAlign w:val="center"/>
          </w:tcPr>
          <w:p w14:paraId="252BB203">
            <w:pPr>
              <w:pageBreakBefore w:val="0"/>
              <w:kinsoku/>
              <w:wordWrap/>
              <w:overflowPunct/>
              <w:topLinePunct w:val="0"/>
              <w:autoSpaceDE/>
              <w:autoSpaceDN/>
              <w:bidi w:val="0"/>
              <w:snapToGrid w:val="0"/>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单位</w:t>
            </w:r>
          </w:p>
        </w:tc>
        <w:tc>
          <w:tcPr>
            <w:tcW w:w="1016" w:type="dxa"/>
            <w:noWrap w:val="0"/>
            <w:vAlign w:val="center"/>
          </w:tcPr>
          <w:p w14:paraId="22AC23AD">
            <w:pPr>
              <w:pageBreakBefore w:val="0"/>
              <w:kinsoku/>
              <w:wordWrap/>
              <w:overflowPunct/>
              <w:topLinePunct w:val="0"/>
              <w:autoSpaceDE/>
              <w:autoSpaceDN/>
              <w:bidi w:val="0"/>
              <w:snapToGrid w:val="0"/>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单价（元）</w:t>
            </w:r>
          </w:p>
          <w:p w14:paraId="655FFB05">
            <w:pPr>
              <w:pageBreakBefore w:val="0"/>
              <w:kinsoku/>
              <w:wordWrap/>
              <w:overflowPunct/>
              <w:topLinePunct w:val="0"/>
              <w:autoSpaceDE/>
              <w:autoSpaceDN/>
              <w:bidi w:val="0"/>
              <w:snapToGrid w:val="0"/>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②</w:t>
            </w:r>
          </w:p>
        </w:tc>
        <w:tc>
          <w:tcPr>
            <w:tcW w:w="1564" w:type="dxa"/>
            <w:noWrap w:val="0"/>
            <w:vAlign w:val="center"/>
          </w:tcPr>
          <w:p w14:paraId="56796ED8">
            <w:pPr>
              <w:pageBreakBefore w:val="0"/>
              <w:kinsoku/>
              <w:wordWrap/>
              <w:overflowPunct/>
              <w:topLinePunct w:val="0"/>
              <w:autoSpaceDE/>
              <w:autoSpaceDN/>
              <w:bidi w:val="0"/>
              <w:snapToGrid w:val="0"/>
              <w:spacing w:line="360" w:lineRule="auto"/>
              <w:jc w:val="center"/>
              <w:textAlignment w:val="auto"/>
              <w:rPr>
                <w:rFonts w:ascii="宋体" w:hAnsi="宋体"/>
                <w:color w:val="auto"/>
                <w:szCs w:val="21"/>
                <w:highlight w:val="none"/>
              </w:rPr>
            </w:pPr>
            <w:r>
              <w:rPr>
                <w:rFonts w:hint="eastAsia" w:ascii="宋体" w:hAnsi="宋体"/>
                <w:b/>
                <w:color w:val="auto"/>
                <w:szCs w:val="21"/>
                <w:highlight w:val="none"/>
              </w:rPr>
              <w:t>单项合计金额</w:t>
            </w:r>
            <w:r>
              <w:rPr>
                <w:rFonts w:hint="eastAsia" w:ascii="宋体" w:hAnsi="宋体"/>
                <w:color w:val="auto"/>
                <w:szCs w:val="21"/>
                <w:highlight w:val="none"/>
              </w:rPr>
              <w:t>（元）</w:t>
            </w:r>
          </w:p>
          <w:p w14:paraId="090E9C72">
            <w:pPr>
              <w:pageBreakBefore w:val="0"/>
              <w:kinsoku/>
              <w:wordWrap/>
              <w:overflowPunct/>
              <w:topLinePunct w:val="0"/>
              <w:autoSpaceDE/>
              <w:autoSpaceDN/>
              <w:bidi w:val="0"/>
              <w:snapToGrid w:val="0"/>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③＝①×②</w:t>
            </w:r>
          </w:p>
        </w:tc>
      </w:tr>
      <w:tr w14:paraId="5EB2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48" w:type="dxa"/>
            <w:noWrap w:val="0"/>
            <w:vAlign w:val="center"/>
          </w:tcPr>
          <w:p w14:paraId="5F3714FA">
            <w:pPr>
              <w:pageBreakBefore w:val="0"/>
              <w:kinsoku/>
              <w:wordWrap/>
              <w:overflowPunct/>
              <w:topLinePunct w:val="0"/>
              <w:autoSpaceDE/>
              <w:autoSpaceDN/>
              <w:bidi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884" w:type="dxa"/>
            <w:noWrap w:val="0"/>
            <w:vAlign w:val="center"/>
          </w:tcPr>
          <w:p w14:paraId="053B3A28">
            <w:pPr>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rPr>
              <w:t>广西艺术学院2026年社会需求与专业诊断报告</w:t>
            </w:r>
            <w:r>
              <w:rPr>
                <w:rFonts w:hint="eastAsia" w:ascii="宋体" w:hAnsi="宋体" w:eastAsia="宋体" w:cs="Times New Roman"/>
                <w:color w:val="auto"/>
                <w:szCs w:val="21"/>
                <w:highlight w:val="none"/>
                <w:lang w:eastAsia="zh-CN"/>
              </w:rPr>
              <w:t>项目</w:t>
            </w:r>
          </w:p>
        </w:tc>
        <w:tc>
          <w:tcPr>
            <w:tcW w:w="2977" w:type="dxa"/>
            <w:noWrap w:val="0"/>
            <w:vAlign w:val="center"/>
          </w:tcPr>
          <w:p w14:paraId="36E7CD9D">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p>
        </w:tc>
        <w:tc>
          <w:tcPr>
            <w:tcW w:w="708" w:type="dxa"/>
            <w:noWrap w:val="0"/>
            <w:vAlign w:val="center"/>
          </w:tcPr>
          <w:p w14:paraId="395BB2C8">
            <w:pPr>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709" w:type="dxa"/>
            <w:noWrap w:val="0"/>
            <w:vAlign w:val="center"/>
          </w:tcPr>
          <w:p w14:paraId="066D5A09">
            <w:pPr>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年</w:t>
            </w:r>
          </w:p>
        </w:tc>
        <w:tc>
          <w:tcPr>
            <w:tcW w:w="1016" w:type="dxa"/>
            <w:noWrap w:val="0"/>
            <w:vAlign w:val="center"/>
          </w:tcPr>
          <w:p w14:paraId="5482A9E9">
            <w:pPr>
              <w:pageBreakBefore w:val="0"/>
              <w:kinsoku/>
              <w:wordWrap/>
              <w:overflowPunct/>
              <w:topLinePunct w:val="0"/>
              <w:autoSpaceDE/>
              <w:autoSpaceDN/>
              <w:bidi w:val="0"/>
              <w:snapToGrid w:val="0"/>
              <w:spacing w:line="360" w:lineRule="auto"/>
              <w:textAlignment w:val="auto"/>
              <w:rPr>
                <w:rFonts w:hint="default" w:ascii="宋体" w:hAnsi="宋体" w:eastAsia="宋体"/>
                <w:color w:val="auto"/>
                <w:szCs w:val="21"/>
                <w:highlight w:val="none"/>
                <w:lang w:val="en-US" w:eastAsia="zh-CN"/>
              </w:rPr>
            </w:pPr>
          </w:p>
        </w:tc>
        <w:tc>
          <w:tcPr>
            <w:tcW w:w="1564" w:type="dxa"/>
            <w:noWrap w:val="0"/>
            <w:vAlign w:val="center"/>
          </w:tcPr>
          <w:p w14:paraId="6D6A496A">
            <w:pPr>
              <w:pageBreakBefore w:val="0"/>
              <w:kinsoku/>
              <w:wordWrap/>
              <w:overflowPunct/>
              <w:topLinePunct w:val="0"/>
              <w:autoSpaceDE/>
              <w:autoSpaceDN/>
              <w:bidi w:val="0"/>
              <w:snapToGrid w:val="0"/>
              <w:spacing w:line="360" w:lineRule="auto"/>
              <w:textAlignment w:val="auto"/>
              <w:rPr>
                <w:rFonts w:hint="default" w:ascii="宋体" w:hAnsi="宋体" w:eastAsia="宋体"/>
                <w:color w:val="auto"/>
                <w:szCs w:val="21"/>
                <w:highlight w:val="none"/>
                <w:lang w:val="en-US" w:eastAsia="zh-CN"/>
              </w:rPr>
            </w:pPr>
          </w:p>
        </w:tc>
      </w:tr>
      <w:tr w14:paraId="01AE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706" w:type="dxa"/>
            <w:gridSpan w:val="7"/>
            <w:noWrap w:val="0"/>
            <w:vAlign w:val="center"/>
          </w:tcPr>
          <w:p w14:paraId="3EEF7376">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（合计金额）大写：</w:t>
            </w:r>
            <w:r>
              <w:rPr>
                <w:rFonts w:hint="eastAsia" w:ascii="宋体" w:hAnsi="宋体"/>
                <w:color w:val="auto"/>
                <w:szCs w:val="21"/>
                <w:highlight w:val="none"/>
                <w:lang w:val="en-US" w:eastAsia="zh-CN"/>
              </w:rPr>
              <w:t xml:space="preserve">      元整</w:t>
            </w:r>
            <w:r>
              <w:rPr>
                <w:rFonts w:hint="eastAsia" w:ascii="宋体" w:hAnsi="宋体"/>
                <w:color w:val="auto"/>
                <w:szCs w:val="21"/>
                <w:highlight w:val="none"/>
              </w:rPr>
              <w:t xml:space="preserve">                  </w:t>
            </w:r>
            <w:r>
              <w:rPr>
                <w:rFonts w:hint="eastAsia" w:ascii="宋体" w:hAnsi="宋体"/>
                <w:color w:val="auto"/>
                <w:spacing w:val="20"/>
                <w:szCs w:val="21"/>
                <w:highlight w:val="none"/>
              </w:rPr>
              <w:t xml:space="preserve">人民币（¥ </w:t>
            </w:r>
            <w:r>
              <w:rPr>
                <w:rFonts w:hint="eastAsia" w:ascii="宋体" w:hAnsi="宋体"/>
                <w:color w:val="auto"/>
                <w:spacing w:val="20"/>
                <w:szCs w:val="21"/>
                <w:highlight w:val="none"/>
                <w:lang w:val="en-US" w:eastAsia="zh-CN"/>
              </w:rPr>
              <w:t xml:space="preserve">    元整</w:t>
            </w:r>
            <w:r>
              <w:rPr>
                <w:rFonts w:hint="eastAsia" w:ascii="宋体" w:hAnsi="宋体"/>
                <w:color w:val="auto"/>
                <w:spacing w:val="20"/>
                <w:szCs w:val="21"/>
                <w:highlight w:val="none"/>
              </w:rPr>
              <w:t>）</w:t>
            </w:r>
          </w:p>
        </w:tc>
      </w:tr>
    </w:tbl>
    <w:p w14:paraId="56B19460">
      <w:pPr>
        <w:pageBreakBefore w:val="0"/>
        <w:kinsoku/>
        <w:wordWrap/>
        <w:overflowPunct/>
        <w:topLinePunct w:val="0"/>
        <w:autoSpaceDE/>
        <w:autoSpaceDN/>
        <w:bidi w:val="0"/>
        <w:snapToGrid w:val="0"/>
        <w:spacing w:line="360" w:lineRule="auto"/>
        <w:textAlignment w:val="auto"/>
        <w:rPr>
          <w:rFonts w:hAnsi="宋体"/>
          <w:color w:val="auto"/>
          <w:highlight w:val="none"/>
        </w:rPr>
      </w:pPr>
      <w:r>
        <w:rPr>
          <w:rFonts w:hint="eastAsia" w:ascii="宋体" w:hAnsi="宋体"/>
          <w:color w:val="auto"/>
          <w:szCs w:val="21"/>
          <w:highlight w:val="none"/>
        </w:rPr>
        <w:t>2.</w:t>
      </w:r>
      <w:r>
        <w:rPr>
          <w:rFonts w:hint="eastAsia" w:hAnsi="宋体"/>
          <w:color w:val="auto"/>
          <w:highlight w:val="none"/>
        </w:rPr>
        <w:t>合同合计金额包括但不限于满足本次采购需求所应提供的服务，以及伴随的货物和工程（如有）的价格：包含本次采购范围内服务、货物工程的成本、运输（含保险）、装卸、保险、税金、货到就位以及安装、安装所需辅材、调试、检测、技术服务、培训等与本项目相关的所有费用。</w:t>
      </w:r>
    </w:p>
    <w:p w14:paraId="0DC9EC8E">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第二条　质量保证</w:t>
      </w:r>
    </w:p>
    <w:p w14:paraId="1FBE1DF3">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乙方所提供的服务内容必须与响应文件承诺相一致，有国家强制性标准的，还必须符合国家强制性标准的规定，没有国家强制性标准但有其他强制性标准的，必须符合其他强制性标准的规定。</w:t>
      </w:r>
    </w:p>
    <w:p w14:paraId="79165269">
      <w:pPr>
        <w:pageBreakBefore w:val="0"/>
        <w:tabs>
          <w:tab w:val="left" w:pos="900"/>
        </w:tabs>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第三条　权利保证</w:t>
      </w:r>
    </w:p>
    <w:p w14:paraId="2A1BDFC0">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1.乙方应保证所提供服务在使用时不会侵犯任何第三方的专利权、商标权、工业设计权等知识产权及其他合法权利，且所有权、处分权等没有受到任何限制。</w:t>
      </w:r>
    </w:p>
    <w:p w14:paraId="779387A8">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C940519">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第四条　交付</w:t>
      </w:r>
    </w:p>
    <w:p w14:paraId="3D631F1F">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1.服务期限：</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年   月    日</w:t>
      </w:r>
      <w:r>
        <w:rPr>
          <w:rFonts w:hint="eastAsia" w:ascii="宋体" w:hAnsi="宋体"/>
          <w:color w:val="auto"/>
          <w:szCs w:val="21"/>
          <w:highlight w:val="none"/>
        </w:rPr>
        <w:t xml:space="preserve"> 起至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年    月     日</w:t>
      </w:r>
      <w:r>
        <w:rPr>
          <w:rFonts w:hint="eastAsia" w:ascii="宋体" w:hAnsi="宋体"/>
          <w:color w:val="auto"/>
          <w:szCs w:val="21"/>
          <w:highlight w:val="none"/>
        </w:rPr>
        <w:t>，服务地点：</w:t>
      </w:r>
      <w:r>
        <w:rPr>
          <w:rFonts w:hint="eastAsia" w:ascii="宋体" w:hAnsi="宋体"/>
          <w:color w:val="auto"/>
          <w:szCs w:val="21"/>
          <w:highlight w:val="none"/>
          <w:u w:val="single"/>
        </w:rPr>
        <w:t xml:space="preserve"> 广西</w:t>
      </w:r>
      <w:r>
        <w:rPr>
          <w:rFonts w:hint="eastAsia" w:ascii="宋体" w:hAnsi="宋体"/>
          <w:color w:val="auto"/>
          <w:szCs w:val="21"/>
          <w:highlight w:val="none"/>
          <w:u w:val="single"/>
          <w:lang w:val="en-US" w:eastAsia="zh-CN"/>
        </w:rPr>
        <w:t>南宁</w:t>
      </w:r>
      <w:r>
        <w:rPr>
          <w:rFonts w:hint="eastAsia" w:ascii="宋体" w:hAnsi="宋体"/>
          <w:color w:val="auto"/>
          <w:szCs w:val="21"/>
          <w:highlight w:val="none"/>
          <w:u w:val="single"/>
        </w:rPr>
        <w:t>市甲方指定地点</w:t>
      </w:r>
      <w:r>
        <w:rPr>
          <w:rFonts w:ascii="宋体" w:hAnsi="宋体"/>
          <w:color w:val="auto"/>
          <w:szCs w:val="21"/>
          <w:highlight w:val="none"/>
          <w:u w:val="single"/>
        </w:rPr>
        <w:t xml:space="preserve"> </w:t>
      </w:r>
      <w:r>
        <w:rPr>
          <w:rFonts w:hint="eastAsia" w:ascii="宋体" w:hAnsi="宋体"/>
          <w:color w:val="auto"/>
          <w:szCs w:val="21"/>
          <w:highlight w:val="none"/>
        </w:rPr>
        <w:t>。</w:t>
      </w:r>
    </w:p>
    <w:p w14:paraId="34419FAF">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2.乙方应按</w:t>
      </w:r>
      <w:bookmarkStart w:id="22" w:name="_Hlk160519455"/>
      <w:r>
        <w:rPr>
          <w:rFonts w:hint="eastAsia" w:ascii="宋体" w:hAnsi="宋体"/>
          <w:color w:val="auto"/>
          <w:szCs w:val="21"/>
          <w:highlight w:val="none"/>
        </w:rPr>
        <w:t>响应文件的承诺</w:t>
      </w:r>
      <w:bookmarkEnd w:id="22"/>
      <w:r>
        <w:rPr>
          <w:rFonts w:hint="eastAsia" w:ascii="宋体" w:hAnsi="宋体"/>
          <w:color w:val="auto"/>
          <w:szCs w:val="21"/>
          <w:highlight w:val="none"/>
        </w:rPr>
        <w:t>向甲方提供相应的服务，并提供所服务内容的相关技术资料。</w:t>
      </w:r>
    </w:p>
    <w:p w14:paraId="2FC2C5F7">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3.乙方提供不符合响应文件和本合同规定的服务成果，甲方有权拒绝接受。</w:t>
      </w:r>
    </w:p>
    <w:p w14:paraId="61E9DCF4">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第五条  调试和验收</w:t>
      </w:r>
    </w:p>
    <w:p w14:paraId="60A805AE">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1.甲方对乙方提供的服务依据</w:t>
      </w:r>
      <w:r>
        <w:rPr>
          <w:rFonts w:hint="eastAsia" w:hAnsi="宋体"/>
          <w:color w:val="auto"/>
          <w:highlight w:val="none"/>
        </w:rPr>
        <w:t>采购文件</w:t>
      </w:r>
      <w:r>
        <w:rPr>
          <w:rFonts w:hint="eastAsia" w:ascii="宋体" w:hAnsi="宋体"/>
          <w:color w:val="auto"/>
          <w:szCs w:val="21"/>
          <w:highlight w:val="none"/>
        </w:rPr>
        <w:t>上的技术要求和国家有关质量标准进行现场初步验收，符合</w:t>
      </w:r>
      <w:r>
        <w:rPr>
          <w:rFonts w:hint="eastAsia" w:hAnsi="宋体"/>
          <w:color w:val="auto"/>
          <w:highlight w:val="none"/>
        </w:rPr>
        <w:t>采购文件</w:t>
      </w:r>
      <w:r>
        <w:rPr>
          <w:rFonts w:hint="eastAsia" w:ascii="宋体" w:hAnsi="宋体"/>
          <w:color w:val="auto"/>
          <w:szCs w:val="21"/>
          <w:highlight w:val="none"/>
        </w:rPr>
        <w:t>技术要求的，给予签收，初步验收不合格的不予签收。</w:t>
      </w:r>
    </w:p>
    <w:p w14:paraId="5BCEBBDB">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.甲方应当在乙方完成服务后，由甲方确认服务满足验收条件后</w:t>
      </w:r>
      <w:r>
        <w:rPr>
          <w:rFonts w:hint="eastAsia" w:ascii="宋体" w:hAnsi="宋体"/>
          <w:color w:val="auto"/>
          <w:szCs w:val="21"/>
          <w:highlight w:val="none"/>
          <w:u w:val="single"/>
        </w:rPr>
        <w:t>7个工作日</w:t>
      </w:r>
      <w:r>
        <w:rPr>
          <w:rFonts w:hint="eastAsia" w:ascii="宋体" w:hAnsi="宋体"/>
          <w:color w:val="auto"/>
          <w:szCs w:val="21"/>
          <w:highlight w:val="none"/>
        </w:rPr>
        <w:t>内进行验收，逾期不验收的，乙方可视同验收合格。验收时乙方必须在现场，验收完毕后作出验收结果报告，验收合格后由甲乙双方签署验收报告单，甲乙双方各执一份，验收费用由乙方负责。</w:t>
      </w:r>
    </w:p>
    <w:p w14:paraId="379F62A9">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14:paraId="2D1D7E07">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.甲方在验收过程中发现乙方有违约问题，可暂缓资金结算，待违约问题解决后，方可办理资金结算事宜。</w:t>
      </w:r>
    </w:p>
    <w:p w14:paraId="1E5D31F4">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.甲方对验收有异议的，在验收后5个工作日内以书面形式向乙方提出，乙方应自收到甲方书面异议后</w:t>
      </w:r>
      <w:r>
        <w:rPr>
          <w:rFonts w:hint="eastAsia" w:ascii="宋体" w:hAnsi="宋体"/>
          <w:color w:val="auto"/>
          <w:szCs w:val="21"/>
          <w:highlight w:val="none"/>
          <w:u w:val="single"/>
        </w:rPr>
        <w:t xml:space="preserve"> 10 </w:t>
      </w:r>
      <w:r>
        <w:rPr>
          <w:rFonts w:hint="eastAsia" w:ascii="宋体" w:hAnsi="宋体"/>
          <w:color w:val="auto"/>
          <w:szCs w:val="21"/>
          <w:highlight w:val="none"/>
        </w:rPr>
        <w:t>日内及时予以解决。</w:t>
      </w:r>
    </w:p>
    <w:p w14:paraId="6804E9D4">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.对技术复杂的服务，甲方应请国家认可的专业检测机构参与初步验收及最终验收，并由其出具质量检测报告。</w:t>
      </w:r>
    </w:p>
    <w:p w14:paraId="1DEB2BBD">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第六条　售后服务</w:t>
      </w:r>
    </w:p>
    <w:p w14:paraId="5A6FB82A">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color w:val="auto"/>
          <w:highlight w:val="none"/>
        </w:rPr>
        <w:t>1</w:t>
      </w:r>
      <w:r>
        <w:rPr>
          <w:rFonts w:hint="eastAsia"/>
          <w:color w:val="auto"/>
          <w:highlight w:val="none"/>
        </w:rPr>
        <w:t>.</w:t>
      </w:r>
      <w:r>
        <w:rPr>
          <w:color w:val="auto"/>
          <w:highlight w:val="none"/>
        </w:rPr>
        <w:t>乙方应按照国家有关法律法规和</w:t>
      </w:r>
      <w:r>
        <w:rPr>
          <w:rFonts w:hint="eastAsia"/>
          <w:color w:val="auto"/>
          <w:highlight w:val="none"/>
        </w:rPr>
        <w:t>响应文件的承诺</w:t>
      </w:r>
      <w:r>
        <w:rPr>
          <w:color w:val="auto"/>
          <w:highlight w:val="none"/>
        </w:rPr>
        <w:t>要求为甲方提供相应的售后服务。</w:t>
      </w:r>
    </w:p>
    <w:p w14:paraId="5728FF88">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.甲方应提供必要测试条件（如场地、电源、水源等）。</w:t>
      </w:r>
    </w:p>
    <w:p w14:paraId="18836DEC">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第七条　付款方式</w:t>
      </w:r>
    </w:p>
    <w:p w14:paraId="3A2778AB">
      <w:pPr>
        <w:pageBreakBefore w:val="0"/>
        <w:kinsoku/>
        <w:wordWrap/>
        <w:overflowPunct/>
        <w:topLinePunct w:val="0"/>
        <w:autoSpaceDE/>
        <w:autoSpaceDN/>
        <w:bidi w:val="0"/>
        <w:snapToGrid w:val="0"/>
        <w:spacing w:line="360" w:lineRule="auto"/>
        <w:textAlignment w:val="auto"/>
        <w:rPr>
          <w:rFonts w:ascii="宋体" w:hAnsi="宋体" w:cs="Arial"/>
          <w:color w:val="auto"/>
          <w:szCs w:val="21"/>
          <w:highlight w:val="none"/>
        </w:rPr>
      </w:pPr>
      <w:r>
        <w:rPr>
          <w:rFonts w:ascii="宋体" w:hAnsi="宋体" w:cs="Arial"/>
          <w:color w:val="auto"/>
          <w:szCs w:val="21"/>
          <w:highlight w:val="none"/>
        </w:rPr>
        <w:t>1.当实际使用</w:t>
      </w:r>
      <w:r>
        <w:rPr>
          <w:rFonts w:hint="eastAsia" w:ascii="宋体" w:hAnsi="宋体" w:cs="Arial"/>
          <w:color w:val="auto"/>
          <w:szCs w:val="21"/>
          <w:highlight w:val="none"/>
        </w:rPr>
        <w:t>服务</w:t>
      </w:r>
      <w:r>
        <w:rPr>
          <w:rFonts w:ascii="宋体" w:hAnsi="宋体" w:cs="Arial"/>
          <w:color w:val="auto"/>
          <w:szCs w:val="21"/>
          <w:highlight w:val="none"/>
        </w:rPr>
        <w:t>数量发生变化时，乙方应根据实际使用量</w:t>
      </w:r>
      <w:r>
        <w:rPr>
          <w:rFonts w:hint="eastAsia" w:ascii="宋体" w:hAnsi="宋体" w:cs="Arial"/>
          <w:color w:val="auto"/>
          <w:szCs w:val="21"/>
          <w:highlight w:val="none"/>
        </w:rPr>
        <w:t>提供服务</w:t>
      </w:r>
      <w:r>
        <w:rPr>
          <w:rFonts w:ascii="宋体" w:hAnsi="宋体" w:cs="Arial"/>
          <w:color w:val="auto"/>
          <w:szCs w:val="21"/>
          <w:highlight w:val="none"/>
        </w:rPr>
        <w:t>，合同的最终结算金额按实际使用量乘以</w:t>
      </w:r>
      <w:r>
        <w:rPr>
          <w:rFonts w:hint="eastAsia" w:ascii="宋体" w:hAnsi="宋体" w:cs="Arial"/>
          <w:color w:val="auto"/>
          <w:szCs w:val="21"/>
          <w:highlight w:val="none"/>
        </w:rPr>
        <w:t>中标（</w:t>
      </w:r>
      <w:r>
        <w:rPr>
          <w:rFonts w:ascii="宋体" w:hAnsi="宋体" w:cs="Arial"/>
          <w:color w:val="auto"/>
          <w:szCs w:val="21"/>
          <w:highlight w:val="none"/>
        </w:rPr>
        <w:t>成交</w:t>
      </w:r>
      <w:r>
        <w:rPr>
          <w:rFonts w:hint="eastAsia" w:ascii="宋体" w:hAnsi="宋体" w:cs="Arial"/>
          <w:color w:val="auto"/>
          <w:szCs w:val="21"/>
          <w:highlight w:val="none"/>
        </w:rPr>
        <w:t>）</w:t>
      </w:r>
      <w:r>
        <w:rPr>
          <w:rFonts w:ascii="宋体" w:hAnsi="宋体" w:cs="Arial"/>
          <w:color w:val="auto"/>
          <w:szCs w:val="21"/>
          <w:highlight w:val="none"/>
        </w:rPr>
        <w:t>单价进行计算（使用量变更导致合同变动部分的金额不得超过本采购合同金额的10%，且另需签订补充合同）。</w:t>
      </w:r>
    </w:p>
    <w:p w14:paraId="1C07A9C1">
      <w:pPr>
        <w:pageBreakBefore w:val="0"/>
        <w:kinsoku/>
        <w:wordWrap/>
        <w:overflowPunct/>
        <w:topLinePunct w:val="0"/>
        <w:autoSpaceDE/>
        <w:autoSpaceDN/>
        <w:bidi w:val="0"/>
        <w:snapToGrid w:val="0"/>
        <w:spacing w:line="360" w:lineRule="auto"/>
        <w:textAlignment w:val="auto"/>
        <w:rPr>
          <w:rFonts w:hint="default" w:ascii="宋体" w:hAnsi="宋体" w:eastAsiaTheme="minorEastAsia"/>
          <w:color w:val="auto"/>
          <w:szCs w:val="21"/>
          <w:highlight w:val="none"/>
          <w:lang w:val="en-US" w:eastAsia="zh-CN"/>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付款方式：</w:t>
      </w:r>
      <w:r>
        <w:rPr>
          <w:rFonts w:hint="eastAsia" w:ascii="宋体" w:hAnsi="宋体"/>
          <w:color w:val="auto"/>
          <w:szCs w:val="21"/>
          <w:highlight w:val="none"/>
          <w:lang w:eastAsia="zh-CN"/>
        </w:rPr>
        <w:t>本项目的总费用</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元。</w:t>
      </w:r>
      <w:r>
        <w:rPr>
          <w:rFonts w:hint="eastAsia" w:ascii="宋体" w:hAnsi="宋体"/>
          <w:color w:val="auto"/>
          <w:szCs w:val="21"/>
          <w:highlight w:val="none"/>
          <w:lang w:eastAsia="zh-CN"/>
        </w:rPr>
        <w:t>双方签订合同后，甲方向乙方支付预付款，即合同总金额的</w:t>
      </w:r>
      <w:r>
        <w:rPr>
          <w:rFonts w:hint="eastAsia" w:ascii="宋体" w:hAnsi="宋体"/>
          <w:color w:val="auto"/>
          <w:szCs w:val="21"/>
          <w:highlight w:val="none"/>
          <w:lang w:val="en-US" w:eastAsia="zh-CN"/>
        </w:rPr>
        <w:t>30%，</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元</w:t>
      </w:r>
      <w:r>
        <w:rPr>
          <w:rFonts w:hint="eastAsia" w:ascii="宋体" w:hAnsi="宋体"/>
          <w:color w:val="auto"/>
          <w:szCs w:val="21"/>
          <w:highlight w:val="none"/>
        </w:rPr>
        <w:t>。</w:t>
      </w:r>
      <w:r>
        <w:rPr>
          <w:rFonts w:hint="eastAsia" w:ascii="宋体" w:hAnsi="宋体"/>
          <w:color w:val="auto"/>
          <w:szCs w:val="21"/>
          <w:highlight w:val="none"/>
          <w:lang w:eastAsia="zh-CN"/>
        </w:rPr>
        <w:t>乙方完成合同一定进度，甲方确认后支付相应的进度款，进度款为合同总金额的</w:t>
      </w:r>
      <w:r>
        <w:rPr>
          <w:rFonts w:hint="eastAsia" w:ascii="宋体" w:hAnsi="宋体"/>
          <w:color w:val="auto"/>
          <w:szCs w:val="21"/>
          <w:highlight w:val="none"/>
          <w:lang w:val="en-US" w:eastAsia="zh-CN"/>
        </w:rPr>
        <w:t>50%，</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元</w:t>
      </w:r>
      <w:r>
        <w:rPr>
          <w:rFonts w:hint="eastAsia" w:ascii="宋体" w:hAnsi="宋体"/>
          <w:color w:val="auto"/>
          <w:szCs w:val="21"/>
          <w:highlight w:val="none"/>
        </w:rPr>
        <w:t>。</w:t>
      </w:r>
      <w:r>
        <w:rPr>
          <w:rFonts w:hint="eastAsia" w:ascii="宋体" w:hAnsi="宋体"/>
          <w:color w:val="auto"/>
          <w:szCs w:val="21"/>
          <w:highlight w:val="none"/>
          <w:lang w:eastAsia="zh-CN"/>
        </w:rPr>
        <w:t>乙方完成合同履行的全部工作，验收通过后，甲方支付相应的尾款，即合同总金额的</w:t>
      </w:r>
      <w:r>
        <w:rPr>
          <w:rFonts w:hint="eastAsia" w:ascii="宋体" w:hAnsi="宋体"/>
          <w:color w:val="auto"/>
          <w:szCs w:val="21"/>
          <w:highlight w:val="none"/>
          <w:lang w:val="en-US" w:eastAsia="zh-CN"/>
        </w:rPr>
        <w:t>20%，</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元。</w:t>
      </w:r>
    </w:p>
    <w:p w14:paraId="258AD3ED">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第八条　履约保证金</w:t>
      </w:r>
    </w:p>
    <w:p w14:paraId="0CFE96F9">
      <w:pPr>
        <w:pageBreakBefore w:val="0"/>
        <w:kinsoku/>
        <w:wordWrap/>
        <w:overflowPunct/>
        <w:topLinePunct w:val="0"/>
        <w:autoSpaceDE/>
        <w:autoSpaceDN/>
        <w:bidi w:val="0"/>
        <w:snapToGrid w:val="0"/>
        <w:spacing w:line="360" w:lineRule="auto"/>
        <w:textAlignment w:val="auto"/>
        <w:rPr>
          <w:rFonts w:ascii="宋体" w:hAnsi="宋体" w:cs="宋体"/>
          <w:color w:val="auto"/>
          <w:highlight w:val="none"/>
        </w:rPr>
      </w:pPr>
      <w:r>
        <w:rPr>
          <w:rFonts w:hint="eastAsia" w:ascii="宋体" w:hAnsi="宋体"/>
          <w:color w:val="auto"/>
          <w:szCs w:val="21"/>
          <w:highlight w:val="none"/>
        </w:rPr>
        <w:t>1.履约保证金金额</w:t>
      </w:r>
      <w:r>
        <w:rPr>
          <w:rFonts w:hint="eastAsia" w:ascii="宋体" w:hAnsi="宋体" w:cs="宋体"/>
          <w:color w:val="auto"/>
          <w:highlight w:val="none"/>
        </w:rPr>
        <w:t>：按成交金额的</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2 </w:t>
      </w:r>
      <w:r>
        <w:rPr>
          <w:rFonts w:ascii="宋体" w:hAnsi="宋体" w:cs="宋体"/>
          <w:color w:val="auto"/>
          <w:highlight w:val="none"/>
          <w:u w:val="single"/>
        </w:rPr>
        <w:t xml:space="preserve"> </w:t>
      </w:r>
      <w:r>
        <w:rPr>
          <w:rFonts w:hint="eastAsia" w:ascii="宋体" w:hAnsi="宋体" w:cs="宋体"/>
          <w:color w:val="auto"/>
          <w:highlight w:val="none"/>
        </w:rPr>
        <w:t>%收取（如成交供应商为中小微企业的，按成交金额的</w:t>
      </w:r>
      <w:r>
        <w:rPr>
          <w:rFonts w:ascii="宋体" w:hAnsi="宋体" w:cs="宋体"/>
          <w:color w:val="auto"/>
          <w:highlight w:val="none"/>
          <w:u w:val="single"/>
        </w:rPr>
        <w:t xml:space="preserve"> </w:t>
      </w:r>
      <w:r>
        <w:rPr>
          <w:rFonts w:hint="eastAsia" w:ascii="宋体" w:hAnsi="宋体" w:cs="宋体"/>
          <w:color w:val="auto"/>
          <w:highlight w:val="none"/>
          <w:u w:val="single"/>
        </w:rPr>
        <w:t>2</w:t>
      </w:r>
      <w:r>
        <w:rPr>
          <w:rFonts w:hint="eastAsia" w:ascii="宋体" w:hAnsi="宋体" w:cs="宋体"/>
          <w:color w:val="auto"/>
          <w:highlight w:val="none"/>
        </w:rPr>
        <w:t xml:space="preserve"> %收取）。</w:t>
      </w:r>
    </w:p>
    <w:p w14:paraId="72CA86F7">
      <w:pPr>
        <w:pageBreakBefore w:val="0"/>
        <w:kinsoku/>
        <w:wordWrap/>
        <w:overflowPunct/>
        <w:topLinePunct w:val="0"/>
        <w:autoSpaceDE/>
        <w:autoSpaceDN/>
        <w:bidi w:val="0"/>
        <w:snapToGrid w:val="0"/>
        <w:spacing w:line="360" w:lineRule="auto"/>
        <w:textAlignment w:val="auto"/>
        <w:rPr>
          <w:rFonts w:ascii="宋体" w:hAnsi="宋体" w:cs="宋体"/>
          <w:color w:val="auto"/>
          <w:szCs w:val="21"/>
          <w:highlight w:val="none"/>
        </w:rPr>
      </w:pPr>
      <w:r>
        <w:rPr>
          <w:rFonts w:hint="eastAsia" w:ascii="宋体" w:hAnsi="宋体" w:cs="Courier New"/>
          <w:color w:val="auto"/>
          <w:szCs w:val="21"/>
          <w:highlight w:val="none"/>
        </w:rPr>
        <w:t>2.履约保证金递交方式</w:t>
      </w:r>
      <w:r>
        <w:rPr>
          <w:rFonts w:hint="eastAsia" w:hAnsi="宋体"/>
          <w:color w:val="auto"/>
          <w:highlight w:val="none"/>
        </w:rPr>
        <w:t>：银行转账、支票、汇票、本票或者银行、保险机构出具的保函等非现金方式</w:t>
      </w:r>
      <w:r>
        <w:rPr>
          <w:rFonts w:hint="eastAsia" w:ascii="宋体" w:hAnsi="宋体" w:cs="宋体"/>
          <w:color w:val="auto"/>
          <w:szCs w:val="21"/>
          <w:highlight w:val="none"/>
        </w:rPr>
        <w:t>。</w:t>
      </w:r>
    </w:p>
    <w:p w14:paraId="65276C8C">
      <w:pPr>
        <w:pageBreakBefore w:val="0"/>
        <w:kinsoku/>
        <w:wordWrap/>
        <w:overflowPunct/>
        <w:topLinePunct w:val="0"/>
        <w:autoSpaceDE/>
        <w:autoSpaceDN/>
        <w:bidi w:val="0"/>
        <w:snapToGrid w:val="0"/>
        <w:spacing w:line="360" w:lineRule="auto"/>
        <w:textAlignment w:val="auto"/>
        <w:rPr>
          <w:rFonts w:ascii="宋体" w:hAnsi="宋体" w:cs="宋体"/>
          <w:color w:val="auto"/>
          <w:kern w:val="0"/>
          <w:highlight w:val="none"/>
        </w:rPr>
      </w:pPr>
      <w:r>
        <w:rPr>
          <w:rFonts w:hint="eastAsia" w:ascii="宋体" w:hAnsi="宋体" w:cs="Courier New"/>
          <w:color w:val="auto"/>
          <w:szCs w:val="21"/>
          <w:highlight w:val="none"/>
        </w:rPr>
        <w:t>3.履约保证金递交方式及相关要求</w:t>
      </w:r>
    </w:p>
    <w:p w14:paraId="6838CA8C">
      <w:pPr>
        <w:pageBreakBefore w:val="0"/>
        <w:kinsoku/>
        <w:wordWrap/>
        <w:overflowPunct/>
        <w:topLinePunct w:val="0"/>
        <w:autoSpaceDE/>
        <w:autoSpaceDN/>
        <w:bidi w:val="0"/>
        <w:snapToGrid w:val="0"/>
        <w:spacing w:line="360" w:lineRule="auto"/>
        <w:textAlignment w:val="auto"/>
        <w:rPr>
          <w:rFonts w:ascii="宋体" w:hAnsi="宋体"/>
          <w:color w:val="auto"/>
          <w:highlight w:val="none"/>
        </w:rPr>
      </w:pPr>
      <w:r>
        <w:rPr>
          <w:rFonts w:hint="eastAsia" w:ascii="宋体" w:hAnsi="宋体" w:cs="Courier New"/>
          <w:color w:val="auto"/>
          <w:szCs w:val="21"/>
          <w:highlight w:val="none"/>
        </w:rPr>
        <w:t>（1）履约保证金采用银行转账交纳方式的</w:t>
      </w:r>
      <w:r>
        <w:rPr>
          <w:rFonts w:hint="eastAsia" w:ascii="宋体" w:hAnsi="宋体"/>
          <w:color w:val="auto"/>
          <w:highlight w:val="none"/>
        </w:rPr>
        <w:t>，乙方在签订合同前交至甲方指定账户并且到账。</w:t>
      </w:r>
    </w:p>
    <w:p w14:paraId="4CA4AE2C">
      <w:pPr>
        <w:pageBreakBefore w:val="0"/>
        <w:kinsoku/>
        <w:wordWrap/>
        <w:overflowPunct/>
        <w:topLinePunct w:val="0"/>
        <w:autoSpaceDE/>
        <w:autoSpaceDN/>
        <w:bidi w:val="0"/>
        <w:snapToGrid w:val="0"/>
        <w:spacing w:line="360" w:lineRule="auto"/>
        <w:textAlignment w:val="auto"/>
        <w:rPr>
          <w:rFonts w:ascii="宋体" w:hAnsi="宋体"/>
          <w:color w:val="auto"/>
          <w:highlight w:val="none"/>
        </w:rPr>
      </w:pPr>
      <w:r>
        <w:rPr>
          <w:rFonts w:hint="eastAsia" w:ascii="宋体" w:hAnsi="宋体" w:cs="Courier New"/>
          <w:color w:val="auto"/>
          <w:szCs w:val="21"/>
          <w:highlight w:val="none"/>
        </w:rPr>
        <w:t>（2）履约保证金采用支票</w:t>
      </w:r>
      <w:r>
        <w:rPr>
          <w:rFonts w:hint="eastAsia" w:ascii="宋体" w:hAnsi="宋体"/>
          <w:color w:val="auto"/>
          <w:highlight w:val="none"/>
        </w:rPr>
        <w:t>、汇票或本票交纳方式的，乙方在签订合同前，向甲方提交支票、汇票或本票原件。</w:t>
      </w:r>
    </w:p>
    <w:p w14:paraId="549B22F1">
      <w:pPr>
        <w:pageBreakBefore w:val="0"/>
        <w:kinsoku/>
        <w:wordWrap/>
        <w:overflowPunct/>
        <w:topLinePunct w:val="0"/>
        <w:autoSpaceDE/>
        <w:autoSpaceDN/>
        <w:bidi w:val="0"/>
        <w:snapToGrid w:val="0"/>
        <w:spacing w:line="360" w:lineRule="auto"/>
        <w:textAlignment w:val="auto"/>
        <w:rPr>
          <w:rFonts w:ascii="宋体" w:hAnsi="宋体"/>
          <w:color w:val="auto"/>
          <w:highlight w:val="none"/>
        </w:rPr>
      </w:pPr>
      <w:r>
        <w:rPr>
          <w:rFonts w:hint="eastAsia" w:ascii="宋体" w:hAnsi="宋体" w:cs="Courier New"/>
          <w:color w:val="auto"/>
          <w:szCs w:val="21"/>
          <w:highlight w:val="none"/>
        </w:rPr>
        <w:t>（3）履约保证金采用银行</w:t>
      </w:r>
      <w:r>
        <w:rPr>
          <w:rFonts w:hint="eastAsia" w:ascii="宋体" w:hAnsi="宋体"/>
          <w:color w:val="auto"/>
          <w:highlight w:val="none"/>
        </w:rPr>
        <w:t>、保险机构出具的保函交纳方式的，乙方在签订合同前，向甲方提交保函原件。</w:t>
      </w:r>
    </w:p>
    <w:p w14:paraId="64139834">
      <w:pPr>
        <w:pageBreakBefore w:val="0"/>
        <w:kinsoku/>
        <w:wordWrap/>
        <w:overflowPunct/>
        <w:topLinePunct w:val="0"/>
        <w:autoSpaceDE/>
        <w:autoSpaceDN/>
        <w:bidi w:val="0"/>
        <w:snapToGrid w:val="0"/>
        <w:spacing w:line="360" w:lineRule="auto"/>
        <w:textAlignment w:val="auto"/>
        <w:rPr>
          <w:rFonts w:ascii="宋体" w:hAnsi="宋体"/>
          <w:color w:val="auto"/>
          <w:highlight w:val="none"/>
        </w:rPr>
      </w:pPr>
      <w:r>
        <w:rPr>
          <w:rFonts w:hint="eastAsia" w:ascii="宋体" w:hAnsi="宋体" w:cs="Courier New"/>
          <w:color w:val="auto"/>
          <w:szCs w:val="21"/>
          <w:highlight w:val="none"/>
        </w:rPr>
        <w:t>（4）履约保证金指定账户</w:t>
      </w:r>
    </w:p>
    <w:p w14:paraId="7B6E557C">
      <w:pPr>
        <w:pageBreakBefore w:val="0"/>
        <w:kinsoku/>
        <w:wordWrap/>
        <w:overflowPunct/>
        <w:topLinePunct w:val="0"/>
        <w:autoSpaceDE/>
        <w:autoSpaceDN/>
        <w:bidi w:val="0"/>
        <w:snapToGrid w:val="0"/>
        <w:spacing w:line="360" w:lineRule="auto"/>
        <w:textAlignment w:val="auto"/>
        <w:rPr>
          <w:rFonts w:ascii="宋体" w:hAnsi="宋体"/>
          <w:color w:val="auto"/>
          <w:highlight w:val="none"/>
        </w:rPr>
      </w:pPr>
      <w:r>
        <w:rPr>
          <w:rFonts w:hint="eastAsia" w:ascii="宋体" w:hAnsi="宋体" w:cs="Courier New"/>
          <w:color w:val="auto"/>
          <w:szCs w:val="21"/>
          <w:highlight w:val="none"/>
        </w:rPr>
        <w:t>开户名称</w:t>
      </w:r>
      <w:r>
        <w:rPr>
          <w:rFonts w:hint="eastAsia" w:ascii="宋体" w:hAnsi="宋体"/>
          <w:color w:val="auto"/>
          <w:highlight w:val="none"/>
        </w:rPr>
        <w:t>：</w:t>
      </w:r>
      <w:r>
        <w:rPr>
          <w:rFonts w:hint="eastAsia" w:ascii="宋体" w:hAnsi="宋体"/>
          <w:color w:val="auto"/>
          <w:kern w:val="0"/>
          <w:szCs w:val="21"/>
          <w:highlight w:val="none"/>
          <w:u w:val="single"/>
          <w:lang w:val="en-US" w:eastAsia="zh-CN"/>
        </w:rPr>
        <w:t>广西艺术学院</w:t>
      </w:r>
      <w:r>
        <w:rPr>
          <w:rFonts w:hint="eastAsia" w:ascii="宋体" w:hAnsi="宋体" w:cs="Arial"/>
          <w:color w:val="auto"/>
          <w:szCs w:val="21"/>
          <w:highlight w:val="none"/>
        </w:rPr>
        <w:t>；</w:t>
      </w:r>
    </w:p>
    <w:p w14:paraId="5B2166DC">
      <w:pPr>
        <w:pageBreakBefore w:val="0"/>
        <w:kinsoku/>
        <w:wordWrap/>
        <w:overflowPunct/>
        <w:topLinePunct w:val="0"/>
        <w:autoSpaceDE/>
        <w:autoSpaceDN/>
        <w:bidi w:val="0"/>
        <w:snapToGrid w:val="0"/>
        <w:spacing w:line="360" w:lineRule="auto"/>
        <w:textAlignment w:val="auto"/>
        <w:rPr>
          <w:rFonts w:ascii="宋体" w:hAnsi="宋体"/>
          <w:color w:val="auto"/>
          <w:highlight w:val="none"/>
        </w:rPr>
      </w:pPr>
      <w:r>
        <w:rPr>
          <w:rFonts w:hint="eastAsia" w:ascii="宋体" w:hAnsi="宋体" w:cs="Courier New"/>
          <w:color w:val="auto"/>
          <w:szCs w:val="21"/>
          <w:highlight w:val="none"/>
        </w:rPr>
        <w:t>开户银行</w:t>
      </w:r>
      <w:r>
        <w:rPr>
          <w:rFonts w:hint="eastAsia" w:ascii="宋体" w:hAnsi="宋体"/>
          <w:color w:val="auto"/>
          <w:highlight w:val="none"/>
        </w:rPr>
        <w:t>：</w:t>
      </w:r>
      <w:r>
        <w:rPr>
          <w:rFonts w:hint="eastAsia" w:ascii="宋体" w:hAnsi="宋体"/>
          <w:color w:val="auto"/>
          <w:kern w:val="0"/>
          <w:szCs w:val="21"/>
          <w:highlight w:val="none"/>
          <w:u w:val="single"/>
          <w:lang w:val="en-US" w:eastAsia="zh-CN"/>
        </w:rPr>
        <w:t xml:space="preserve">            </w:t>
      </w:r>
      <w:r>
        <w:rPr>
          <w:rFonts w:hint="eastAsia" w:ascii="宋体" w:hAnsi="宋体" w:cs="Arial"/>
          <w:color w:val="auto"/>
          <w:szCs w:val="21"/>
          <w:highlight w:val="none"/>
        </w:rPr>
        <w:t>；</w:t>
      </w:r>
    </w:p>
    <w:p w14:paraId="3725CC7A">
      <w:pPr>
        <w:pageBreakBefore w:val="0"/>
        <w:kinsoku/>
        <w:wordWrap/>
        <w:overflowPunct/>
        <w:topLinePunct w:val="0"/>
        <w:autoSpaceDE/>
        <w:autoSpaceDN/>
        <w:bidi w:val="0"/>
        <w:snapToGrid w:val="0"/>
        <w:spacing w:line="360" w:lineRule="auto"/>
        <w:textAlignment w:val="auto"/>
        <w:rPr>
          <w:rFonts w:ascii="宋体" w:hAnsi="宋体"/>
          <w:color w:val="auto"/>
          <w:highlight w:val="none"/>
        </w:rPr>
      </w:pPr>
      <w:r>
        <w:rPr>
          <w:rFonts w:hint="eastAsia" w:ascii="宋体" w:hAnsi="宋体" w:cs="Courier New"/>
          <w:color w:val="auto"/>
          <w:szCs w:val="21"/>
          <w:highlight w:val="none"/>
        </w:rPr>
        <w:t>银行账号</w:t>
      </w:r>
      <w:r>
        <w:rPr>
          <w:rFonts w:hint="eastAsia" w:ascii="宋体" w:hAnsi="宋体"/>
          <w:color w:val="auto"/>
          <w:highlight w:val="none"/>
        </w:rPr>
        <w:t>：</w:t>
      </w:r>
      <w:r>
        <w:rPr>
          <w:rFonts w:hint="eastAsia" w:ascii="宋体" w:hAnsi="宋体"/>
          <w:color w:val="auto"/>
          <w:kern w:val="0"/>
          <w:szCs w:val="21"/>
          <w:highlight w:val="none"/>
          <w:u w:val="single"/>
          <w:lang w:val="en-US" w:eastAsia="zh-CN"/>
        </w:rPr>
        <w:t xml:space="preserve">            </w:t>
      </w:r>
      <w:r>
        <w:rPr>
          <w:rFonts w:hint="eastAsia" w:ascii="宋体" w:hAnsi="宋体" w:cs="Arial"/>
          <w:color w:val="auto"/>
          <w:szCs w:val="21"/>
          <w:highlight w:val="none"/>
        </w:rPr>
        <w:t>。</w:t>
      </w:r>
    </w:p>
    <w:p w14:paraId="61572E10">
      <w:pPr>
        <w:pageBreakBefore w:val="0"/>
        <w:kinsoku/>
        <w:wordWrap/>
        <w:overflowPunct/>
        <w:topLinePunct w:val="0"/>
        <w:autoSpaceDE/>
        <w:autoSpaceDN/>
        <w:bidi w:val="0"/>
        <w:snapToGrid w:val="0"/>
        <w:spacing w:line="360" w:lineRule="auto"/>
        <w:textAlignment w:val="auto"/>
        <w:rPr>
          <w:rFonts w:ascii="宋体" w:hAnsi="宋体" w:cs="宋体"/>
          <w:color w:val="auto"/>
          <w:kern w:val="0"/>
          <w:highlight w:val="none"/>
        </w:rPr>
      </w:pPr>
      <w:r>
        <w:rPr>
          <w:rFonts w:hint="eastAsia" w:ascii="宋体" w:hAnsi="宋体"/>
          <w:color w:val="auto"/>
          <w:szCs w:val="21"/>
          <w:highlight w:val="none"/>
        </w:rPr>
        <w:t>4.履约保证金退付方式</w:t>
      </w:r>
      <w:r>
        <w:rPr>
          <w:rFonts w:hint="eastAsia" w:ascii="宋体" w:hAnsi="宋体"/>
          <w:color w:val="auto"/>
          <w:highlight w:val="none"/>
        </w:rPr>
        <w:t>、时间及条件</w:t>
      </w:r>
      <w:r>
        <w:rPr>
          <w:rFonts w:ascii="宋体" w:hAnsi="宋体" w:cs="宋体"/>
          <w:color w:val="auto"/>
          <w:kern w:val="0"/>
          <w:highlight w:val="none"/>
        </w:rPr>
        <w:t>：</w:t>
      </w:r>
    </w:p>
    <w:p w14:paraId="7CA3A0FE">
      <w:pPr>
        <w:pageBreakBefore w:val="0"/>
        <w:kinsoku/>
        <w:wordWrap/>
        <w:overflowPunct/>
        <w:topLinePunct w:val="0"/>
        <w:autoSpaceDE/>
        <w:autoSpaceDN/>
        <w:bidi w:val="0"/>
        <w:snapToGrid w:val="0"/>
        <w:spacing w:line="360" w:lineRule="auto"/>
        <w:textAlignment w:val="auto"/>
        <w:rPr>
          <w:color w:val="auto"/>
          <w:highlight w:val="none"/>
        </w:rPr>
      </w:pPr>
      <w:r>
        <w:rPr>
          <w:rFonts w:hint="eastAsia" w:ascii="宋体" w:hAnsi="宋体" w:cs="宋体"/>
          <w:color w:val="auto"/>
          <w:kern w:val="0"/>
          <w:highlight w:val="none"/>
        </w:rPr>
        <w:t>（1）</w:t>
      </w:r>
      <w:r>
        <w:rPr>
          <w:rFonts w:hint="eastAsia"/>
          <w:color w:val="auto"/>
          <w:highlight w:val="none"/>
        </w:rPr>
        <w:t>履约保证金在乙方履行完合同约定的权利义务（包括免费保修服务等）事项后7个工作日内，由乙方凭履约保证金的申请表及合同向甲方申请办理履约保证金退还手续，甲方在收到合格材料后5个工作日内以银行转账方式如数退还（不计利息）。</w:t>
      </w:r>
    </w:p>
    <w:p w14:paraId="50696C0A">
      <w:pPr>
        <w:pageBreakBefore w:val="0"/>
        <w:kinsoku/>
        <w:wordWrap/>
        <w:overflowPunct/>
        <w:topLinePunct w:val="0"/>
        <w:autoSpaceDE/>
        <w:autoSpaceDN/>
        <w:bidi w:val="0"/>
        <w:snapToGrid w:val="0"/>
        <w:spacing w:line="360" w:lineRule="auto"/>
        <w:textAlignment w:val="auto"/>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olor w:val="auto"/>
          <w:szCs w:val="21"/>
          <w:highlight w:val="none"/>
        </w:rPr>
        <w:t>乙方</w:t>
      </w:r>
      <w:r>
        <w:rPr>
          <w:rFonts w:ascii="宋体" w:hAnsi="宋体" w:cs="Courier New"/>
          <w:color w:val="auto"/>
          <w:szCs w:val="21"/>
          <w:highlight w:val="none"/>
        </w:rPr>
        <w:t>在签订合同后存在违约情形的</w:t>
      </w:r>
      <w:r>
        <w:rPr>
          <w:rFonts w:ascii="宋体" w:hAnsi="宋体" w:cs="宋体"/>
          <w:color w:val="auto"/>
          <w:kern w:val="0"/>
          <w:highlight w:val="none"/>
        </w:rPr>
        <w:t>，</w:t>
      </w:r>
      <w:r>
        <w:rPr>
          <w:rFonts w:hint="eastAsia" w:ascii="宋体" w:hAnsi="宋体" w:cs="宋体"/>
          <w:color w:val="auto"/>
          <w:kern w:val="0"/>
          <w:highlight w:val="none"/>
        </w:rPr>
        <w:t>履约保证金或</w:t>
      </w:r>
      <w:r>
        <w:rPr>
          <w:rFonts w:ascii="宋体" w:hAnsi="宋体" w:cs="宋体"/>
          <w:color w:val="auto"/>
          <w:kern w:val="0"/>
          <w:highlight w:val="none"/>
        </w:rPr>
        <w:t>保函原件不予退还</w:t>
      </w:r>
      <w:r>
        <w:rPr>
          <w:rFonts w:hint="eastAsia" w:ascii="宋体" w:hAnsi="宋体" w:cs="宋体"/>
          <w:color w:val="auto"/>
          <w:kern w:val="0"/>
          <w:highlight w:val="none"/>
        </w:rPr>
        <w:t>。</w:t>
      </w:r>
      <w:r>
        <w:rPr>
          <w:rFonts w:hint="eastAsia" w:ascii="宋体" w:hAnsi="宋体"/>
          <w:color w:val="auto"/>
          <w:szCs w:val="21"/>
          <w:highlight w:val="none"/>
        </w:rPr>
        <w:t>保函形式的甲方</w:t>
      </w:r>
      <w:r>
        <w:rPr>
          <w:rFonts w:ascii="宋体" w:hAnsi="宋体"/>
          <w:color w:val="auto"/>
          <w:szCs w:val="21"/>
          <w:highlight w:val="none"/>
        </w:rPr>
        <w:t>按相关规定由出具保函的</w:t>
      </w:r>
      <w:r>
        <w:rPr>
          <w:rFonts w:hint="eastAsia" w:ascii="宋体" w:hAnsi="宋体"/>
          <w:color w:val="auto"/>
          <w:szCs w:val="21"/>
          <w:highlight w:val="none"/>
        </w:rPr>
        <w:t>银行</w:t>
      </w:r>
      <w:r>
        <w:rPr>
          <w:rFonts w:ascii="宋体" w:hAnsi="宋体" w:cs="宋体"/>
          <w:color w:val="auto"/>
          <w:kern w:val="0"/>
          <w:highlight w:val="none"/>
        </w:rPr>
        <w:t>、</w:t>
      </w:r>
      <w:r>
        <w:rPr>
          <w:rFonts w:hint="eastAsia" w:ascii="宋体" w:hAnsi="宋体" w:cs="宋体"/>
          <w:color w:val="auto"/>
          <w:kern w:val="0"/>
          <w:highlight w:val="none"/>
        </w:rPr>
        <w:t>保险</w:t>
      </w:r>
      <w:r>
        <w:rPr>
          <w:rFonts w:ascii="宋体" w:hAnsi="宋体" w:cs="宋体"/>
          <w:color w:val="auto"/>
          <w:kern w:val="0"/>
          <w:highlight w:val="none"/>
        </w:rPr>
        <w:t>机构承担供应商违约赔付责任，履约保证金不足以赔偿损失的，按实际损失赔偿。</w:t>
      </w:r>
    </w:p>
    <w:p w14:paraId="5AD736D0">
      <w:pPr>
        <w:pageBreakBefore w:val="0"/>
        <w:kinsoku/>
        <w:wordWrap/>
        <w:overflowPunct/>
        <w:topLinePunct w:val="0"/>
        <w:autoSpaceDE/>
        <w:autoSpaceDN/>
        <w:bidi w:val="0"/>
        <w:snapToGrid w:val="0"/>
        <w:spacing w:line="360" w:lineRule="auto"/>
        <w:textAlignment w:val="auto"/>
        <w:rPr>
          <w:rFonts w:ascii="宋体" w:hAnsi="宋体"/>
          <w:color w:val="auto"/>
          <w:highlight w:val="none"/>
          <w:u w:val="single"/>
        </w:rPr>
      </w:pPr>
      <w:r>
        <w:rPr>
          <w:rFonts w:hint="eastAsia" w:ascii="宋体" w:hAnsi="宋体" w:cs="宋体"/>
          <w:color w:val="auto"/>
          <w:kern w:val="0"/>
          <w:highlight w:val="none"/>
        </w:rPr>
        <w:t>（3）</w:t>
      </w:r>
      <w:r>
        <w:rPr>
          <w:rFonts w:hint="eastAsia" w:ascii="宋体" w:hAnsi="宋体"/>
          <w:color w:val="auto"/>
          <w:szCs w:val="21"/>
          <w:highlight w:val="none"/>
        </w:rPr>
        <w:t>在履约保证金退还日期前</w:t>
      </w:r>
      <w:r>
        <w:rPr>
          <w:rFonts w:hint="eastAsia" w:hAnsi="宋体"/>
          <w:color w:val="auto"/>
          <w:highlight w:val="none"/>
        </w:rPr>
        <w:t>，若</w:t>
      </w:r>
      <w:r>
        <w:rPr>
          <w:rFonts w:hint="eastAsia" w:ascii="宋体" w:hAnsi="宋体"/>
          <w:color w:val="auto"/>
          <w:szCs w:val="21"/>
          <w:highlight w:val="none"/>
        </w:rPr>
        <w:t>乙方</w:t>
      </w:r>
      <w:r>
        <w:rPr>
          <w:rFonts w:hint="eastAsia" w:hAnsi="宋体"/>
          <w:color w:val="auto"/>
          <w:highlight w:val="none"/>
        </w:rPr>
        <w:t>的开户名称、开户银行、账号有变动的，请以书面形式通知履约保证金收取单位，否则由此产生的后果由</w:t>
      </w:r>
      <w:r>
        <w:rPr>
          <w:rFonts w:hint="eastAsia" w:ascii="宋体" w:hAnsi="宋体"/>
          <w:color w:val="auto"/>
          <w:szCs w:val="21"/>
          <w:highlight w:val="none"/>
        </w:rPr>
        <w:t>乙方</w:t>
      </w:r>
      <w:r>
        <w:rPr>
          <w:rFonts w:hint="eastAsia" w:hAnsi="宋体"/>
          <w:color w:val="auto"/>
          <w:highlight w:val="none"/>
        </w:rPr>
        <w:t>自负。</w:t>
      </w:r>
    </w:p>
    <w:p w14:paraId="1D305BBA">
      <w:pPr>
        <w:pageBreakBefore w:val="0"/>
        <w:kinsoku/>
        <w:wordWrap/>
        <w:overflowPunct/>
        <w:topLinePunct w:val="0"/>
        <w:autoSpaceDE/>
        <w:autoSpaceDN/>
        <w:bidi w:val="0"/>
        <w:snapToGrid w:val="0"/>
        <w:spacing w:line="360" w:lineRule="auto"/>
        <w:textAlignment w:val="auto"/>
        <w:rPr>
          <w:rFonts w:ascii="宋体" w:hAnsi="宋体"/>
          <w:color w:val="auto"/>
          <w:highlight w:val="none"/>
        </w:rPr>
      </w:pPr>
      <w:r>
        <w:rPr>
          <w:rFonts w:hint="eastAsia" w:ascii="宋体" w:hAnsi="宋体"/>
          <w:color w:val="auto"/>
          <w:highlight w:val="none"/>
        </w:rPr>
        <w:t>5.</w:t>
      </w:r>
      <w:r>
        <w:rPr>
          <w:rFonts w:ascii="宋体" w:hAnsi="宋体"/>
          <w:color w:val="auto"/>
          <w:highlight w:val="none"/>
        </w:rPr>
        <w:t>履约保证金不足额缴纳的，或银行、保险机构出具的保函额度不足的或者保函有效期低于合同履行期限（即签订采购合同之日起至履行完合同约定的权利及义务之日止）的，不予签订合同。采用银行、保险机构出具的保函的，必须为无条件保函，否则不予签订合同。</w:t>
      </w:r>
    </w:p>
    <w:p w14:paraId="02946301">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第九条  税费</w:t>
      </w:r>
    </w:p>
    <w:p w14:paraId="3AB188F8">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本合同执行中相关的一切税费均由乙方负担，合同另有约定的除外。</w:t>
      </w:r>
    </w:p>
    <w:p w14:paraId="247A3EDC">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第十条  质保期</w:t>
      </w:r>
    </w:p>
    <w:p w14:paraId="04BF6137">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.服务质保期：按乙方投标（响应）文件中承诺的不少于</w:t>
      </w:r>
      <w:r>
        <w:rPr>
          <w:rFonts w:hint="eastAsia" w:hAnsi="宋体"/>
          <w:color w:val="auto"/>
          <w:highlight w:val="none"/>
        </w:rPr>
        <w:t>采购文件要求</w:t>
      </w:r>
      <w:r>
        <w:rPr>
          <w:rFonts w:hint="eastAsia" w:ascii="宋体" w:hAnsi="宋体"/>
          <w:color w:val="auto"/>
          <w:szCs w:val="21"/>
          <w:highlight w:val="none"/>
        </w:rPr>
        <w:t>的免费保修期限。</w:t>
      </w:r>
    </w:p>
    <w:p w14:paraId="563032D1">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.上述的服务免费维护（升级）期为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color w:val="auto"/>
          <w:highlight w:val="none"/>
        </w:rPr>
        <w:t>自项目验收合格之日起计算，</w:t>
      </w:r>
      <w:r>
        <w:rPr>
          <w:rFonts w:hint="eastAsia" w:ascii="宋体" w:hAnsi="宋体"/>
          <w:color w:val="auto"/>
          <w:szCs w:val="21"/>
          <w:highlight w:val="none"/>
        </w:rPr>
        <w:t>若乙方投标（响应）承诺免费维护期超过</w:t>
      </w:r>
      <w:r>
        <w:rPr>
          <w:rFonts w:hint="eastAsia" w:hAnsi="宋体"/>
          <w:color w:val="auto"/>
          <w:highlight w:val="none"/>
        </w:rPr>
        <w:t>采购文件</w:t>
      </w:r>
      <w:r>
        <w:rPr>
          <w:rFonts w:hint="eastAsia" w:ascii="宋体" w:hAnsi="宋体"/>
          <w:color w:val="auto"/>
          <w:szCs w:val="21"/>
          <w:highlight w:val="none"/>
        </w:rPr>
        <w:t>要求年限的，按其承诺执行），因人为因素出现的故障不在免费保修范围内。</w:t>
      </w:r>
    </w:p>
    <w:p w14:paraId="41ED1873">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第十条　违约责任</w:t>
      </w:r>
      <w:r>
        <w:rPr>
          <w:rFonts w:hint="eastAsia" w:ascii="宋体" w:hAnsi="宋体"/>
          <w:color w:val="auto"/>
          <w:szCs w:val="21"/>
          <w:highlight w:val="none"/>
        </w:rPr>
        <w:t xml:space="preserve">                                      </w:t>
      </w:r>
    </w:p>
    <w:p w14:paraId="219FB7AE">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.乙方提供的服务如侵犯了第三方合法权益而引发的任何纠纷或诉讼，均由乙方负责交涉并承担全部责任。</w:t>
      </w:r>
    </w:p>
    <w:p w14:paraId="1531342E">
      <w:pPr>
        <w:pageBreakBefore w:val="0"/>
        <w:kinsoku/>
        <w:wordWrap/>
        <w:overflowPunct/>
        <w:topLinePunct w:val="0"/>
        <w:autoSpaceDE/>
        <w:autoSpaceDN/>
        <w:bidi w:val="0"/>
        <w:snapToGrid w:val="0"/>
        <w:spacing w:line="360" w:lineRule="auto"/>
        <w:textAlignment w:val="auto"/>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.乙方没有按照合同规定的时间提供服务的，每天向甲方偿付违约合同金额额3‰违约金，但违约金累计不得超过违约合同金额</w:t>
      </w:r>
      <w:r>
        <w:rPr>
          <w:rFonts w:ascii="宋体" w:hAnsi="宋体"/>
          <w:color w:val="auto"/>
          <w:szCs w:val="21"/>
          <w:highlight w:val="none"/>
          <w:u w:val="single"/>
        </w:rPr>
        <w:t>10</w:t>
      </w:r>
      <w:r>
        <w:rPr>
          <w:rFonts w:hint="eastAsia" w:ascii="宋体" w:hAnsi="宋体"/>
          <w:color w:val="auto"/>
          <w:szCs w:val="21"/>
          <w:highlight w:val="none"/>
          <w:u w:val="single"/>
        </w:rPr>
        <w:t>%</w:t>
      </w:r>
      <w:r>
        <w:rPr>
          <w:rFonts w:hint="eastAsia" w:ascii="宋体" w:hAnsi="宋体"/>
          <w:color w:val="auto"/>
          <w:szCs w:val="21"/>
          <w:highlight w:val="none"/>
        </w:rPr>
        <w:t>，超过</w:t>
      </w:r>
      <w:bookmarkStart w:id="23" w:name="_Hlk129182355"/>
      <w:r>
        <w:rPr>
          <w:rFonts w:hint="eastAsia"/>
          <w:color w:val="auto"/>
          <w:highlight w:val="none"/>
          <w:u w:val="single"/>
        </w:rPr>
        <w:t>7天</w:t>
      </w:r>
      <w:bookmarkEnd w:id="23"/>
      <w:r>
        <w:rPr>
          <w:rFonts w:hint="eastAsia" w:ascii="宋体" w:hAnsi="宋体"/>
          <w:color w:val="auto"/>
          <w:szCs w:val="21"/>
          <w:highlight w:val="none"/>
        </w:rPr>
        <w:t>甲方有权解除合同，乙方承担因此给甲方造成经济损失；</w:t>
      </w:r>
    </w:p>
    <w:p w14:paraId="221FF7B5">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甲方延期付款的，每天向乙方偿付延期款额3‰滞纳金，但滞纳金累计不得超过延期款额5%。</w:t>
      </w:r>
    </w:p>
    <w:p w14:paraId="245EEF8B">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.乙方未按本合同和投标（响应）文件中规定的服务承诺提供售后服务的，乙方应按本合同合计金额 </w:t>
      </w:r>
      <w:r>
        <w:rPr>
          <w:rFonts w:hint="eastAsia" w:ascii="宋体" w:hAnsi="宋体"/>
          <w:color w:val="auto"/>
          <w:szCs w:val="21"/>
          <w:highlight w:val="none"/>
          <w:lang w:val="en-US" w:eastAsia="zh-CN"/>
        </w:rPr>
        <w:t>5</w:t>
      </w:r>
      <w:r>
        <w:rPr>
          <w:rFonts w:hint="eastAsia" w:ascii="宋体" w:hAnsi="宋体"/>
          <w:color w:val="auto"/>
          <w:szCs w:val="21"/>
          <w:highlight w:val="none"/>
        </w:rPr>
        <w:t>%向甲方支付违约金。</w:t>
      </w:r>
    </w:p>
    <w:p w14:paraId="28758772">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.乙方提供的服务在质量保证期内，因</w:t>
      </w:r>
      <w:r>
        <w:rPr>
          <w:rFonts w:hint="eastAsia" w:ascii="宋体" w:hAnsi="宋体"/>
          <w:color w:val="auto"/>
          <w:szCs w:val="21"/>
          <w:highlight w:val="none"/>
          <w:lang w:val="en-US" w:eastAsia="zh-CN"/>
        </w:rPr>
        <w:t>不提供服务或</w:t>
      </w:r>
      <w:r>
        <w:rPr>
          <w:rFonts w:hint="eastAsia" w:ascii="宋体" w:hAnsi="宋体"/>
          <w:color w:val="auto"/>
          <w:szCs w:val="21"/>
          <w:highlight w:val="none"/>
        </w:rPr>
        <w:t>服务质量原因造成的问题，由乙方负责，费用从履约保证金中扣除，不足另补。</w:t>
      </w:r>
    </w:p>
    <w:p w14:paraId="564358CC">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.其它违约行为按违约款额</w:t>
      </w:r>
      <w:r>
        <w:rPr>
          <w:rFonts w:hint="eastAsia" w:ascii="宋体" w:hAnsi="宋体"/>
          <w:color w:val="auto"/>
          <w:szCs w:val="21"/>
          <w:highlight w:val="none"/>
          <w:lang w:val="en-US" w:eastAsia="zh-CN"/>
        </w:rPr>
        <w:t>5</w:t>
      </w:r>
      <w:r>
        <w:rPr>
          <w:rFonts w:hint="eastAsia" w:ascii="宋体" w:hAnsi="宋体"/>
          <w:color w:val="auto"/>
          <w:szCs w:val="21"/>
          <w:highlight w:val="none"/>
        </w:rPr>
        <w:t>%收取违约金并赔偿经济损失。</w:t>
      </w:r>
    </w:p>
    <w:p w14:paraId="15F40B7D">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第十一条  不可抗力事件处理</w:t>
      </w:r>
    </w:p>
    <w:p w14:paraId="700701A9">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1.在合同有效期内，任何一方因不可抗力事件导致不能履行合同，则合同履行期可延长，其延长期与不可抗力影响期相同。</w:t>
      </w:r>
    </w:p>
    <w:p w14:paraId="3642976E">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2.不可抗力事件发生后，应立即通知对方，并寄送有关权威机构出具的证明。</w:t>
      </w:r>
    </w:p>
    <w:p w14:paraId="1F689FCB">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5B499FBA">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第十二条  合同争议解决</w:t>
      </w:r>
    </w:p>
    <w:p w14:paraId="559DCAF6">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1.因服务质量问题发生争议的，应邀请国家认可的质量检测机构对服务质量进行鉴定。服务符合标准的，鉴定费由甲方承担；服务不符合标准的，鉴定费由乙方承担。</w:t>
      </w:r>
    </w:p>
    <w:p w14:paraId="4261B8D5">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2.因履行本合同引起的或与本合同有关的争议，甲乙双方应首先通过友好协商解决，如果协商不能解决，可向甲方所在地的人民法院提起诉讼。</w:t>
      </w:r>
    </w:p>
    <w:p w14:paraId="18E48798">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第十三条  合同生效及其它</w:t>
      </w:r>
    </w:p>
    <w:p w14:paraId="7D8F39A8">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1.合同经双方法定代表人（负责人/自然人）或委托代理人签字并加盖单位公章后生效（委托代理人签字的需后附法定代表人授权委托书，格式自拟）。</w:t>
      </w:r>
    </w:p>
    <w:p w14:paraId="3A8E4286">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2.合同执行中涉及采购资金和采购内容修改或补充的，须经财政部门审批，并签书面补充协议报财政部门备案，方可作为主合同不可分割的一部分。</w:t>
      </w:r>
    </w:p>
    <w:p w14:paraId="5D470060">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3.本合同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包括采购文件和投标/响应文件</w:t>
      </w:r>
      <w:r>
        <w:rPr>
          <w:rFonts w:hint="eastAsia" w:ascii="宋体" w:hAnsi="宋体"/>
          <w:color w:val="auto"/>
          <w:szCs w:val="21"/>
          <w:highlight w:val="none"/>
          <w:lang w:eastAsia="zh-CN"/>
        </w:rPr>
        <w:t>）</w:t>
      </w:r>
      <w:r>
        <w:rPr>
          <w:rFonts w:hint="eastAsia" w:ascii="宋体" w:hAnsi="宋体"/>
          <w:color w:val="auto"/>
          <w:szCs w:val="21"/>
          <w:highlight w:val="none"/>
        </w:rPr>
        <w:t>未尽事宜，遵照《</w:t>
      </w:r>
      <w:r>
        <w:rPr>
          <w:rFonts w:ascii="Arial" w:hAnsi="Arial" w:cs="Arial"/>
          <w:color w:val="auto"/>
          <w:szCs w:val="21"/>
          <w:highlight w:val="none"/>
          <w:shd w:val="clear" w:color="auto" w:fill="FFFFFF"/>
        </w:rPr>
        <w:t>中华人民共和国民法典</w:t>
      </w:r>
      <w:r>
        <w:rPr>
          <w:rFonts w:hint="eastAsia" w:ascii="宋体" w:hAnsi="宋体"/>
          <w:color w:val="auto"/>
          <w:szCs w:val="21"/>
          <w:highlight w:val="none"/>
        </w:rPr>
        <w:t>》有关条文执行。</w:t>
      </w:r>
    </w:p>
    <w:p w14:paraId="0FE3659F">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第十四条　合同的变更、终止与转让</w:t>
      </w:r>
    </w:p>
    <w:p w14:paraId="5D888DC3">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1.除《中华人民共和国政府采购法》第五十条规定的情形外，本合同一经签订，甲乙双方不得擅自变更、中止或终止合同。</w:t>
      </w:r>
    </w:p>
    <w:p w14:paraId="645C2BDB">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2.乙方不得擅自转让其应履行的合同义务。</w:t>
      </w:r>
    </w:p>
    <w:p w14:paraId="20745DFB">
      <w:pPr>
        <w:pageBreakBefore w:val="0"/>
        <w:kinsoku/>
        <w:wordWrap/>
        <w:overflowPunct/>
        <w:topLinePunct w:val="0"/>
        <w:autoSpaceDE/>
        <w:autoSpaceDN/>
        <w:bidi w:val="0"/>
        <w:snapToGrid w:val="0"/>
        <w:spacing w:line="360" w:lineRule="auto"/>
        <w:textAlignment w:val="auto"/>
        <w:rPr>
          <w:rFonts w:ascii="宋体" w:hAnsi="宋体"/>
          <w:b/>
          <w:color w:val="auto"/>
          <w:szCs w:val="21"/>
          <w:highlight w:val="none"/>
        </w:rPr>
      </w:pPr>
      <w:r>
        <w:rPr>
          <w:rFonts w:hint="eastAsia" w:ascii="宋体" w:hAnsi="宋体"/>
          <w:b/>
          <w:color w:val="auto"/>
          <w:szCs w:val="21"/>
          <w:highlight w:val="none"/>
        </w:rPr>
        <w:t>第十五条　签订本合同依据</w:t>
      </w:r>
    </w:p>
    <w:p w14:paraId="4219605A">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1.中标（成交）通知书；</w:t>
      </w:r>
    </w:p>
    <w:p w14:paraId="5477F59E">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.乙方提供的投标(</w:t>
      </w:r>
      <w:r>
        <w:rPr>
          <w:rFonts w:hint="eastAsia" w:ascii="宋体" w:hAnsi="宋体"/>
          <w:color w:val="auto"/>
          <w:szCs w:val="21"/>
          <w:highlight w:val="none"/>
        </w:rPr>
        <w:t>响应</w:t>
      </w:r>
      <w:r>
        <w:rPr>
          <w:rFonts w:ascii="宋体" w:hAnsi="宋体"/>
          <w:color w:val="auto"/>
          <w:szCs w:val="21"/>
          <w:highlight w:val="none"/>
        </w:rPr>
        <w:t>)</w:t>
      </w:r>
      <w:r>
        <w:rPr>
          <w:rFonts w:hint="eastAsia" w:ascii="宋体" w:hAnsi="宋体"/>
          <w:color w:val="auto"/>
          <w:szCs w:val="21"/>
          <w:highlight w:val="none"/>
        </w:rPr>
        <w:t>文件、应答文件</w:t>
      </w:r>
      <w:r>
        <w:rPr>
          <w:rFonts w:ascii="宋体" w:hAnsi="宋体"/>
          <w:color w:val="auto"/>
          <w:szCs w:val="21"/>
          <w:highlight w:val="none"/>
        </w:rPr>
        <w:t>；</w:t>
      </w:r>
    </w:p>
    <w:p w14:paraId="731F5D3E">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3.采购文件及更正公告（澄清或补充通知）；</w:t>
      </w:r>
    </w:p>
    <w:p w14:paraId="65086C07">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4.服务方案；</w:t>
      </w:r>
    </w:p>
    <w:p w14:paraId="6CCA228B">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5.双方约定的其他合同文件。</w:t>
      </w:r>
    </w:p>
    <w:p w14:paraId="28B98630">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b/>
          <w:color w:val="auto"/>
          <w:szCs w:val="21"/>
          <w:highlight w:val="none"/>
        </w:rPr>
        <w:t xml:space="preserve">第十六条  </w:t>
      </w:r>
      <w:r>
        <w:rPr>
          <w:rFonts w:hint="eastAsia" w:ascii="宋体" w:hAnsi="宋体"/>
          <w:color w:val="auto"/>
          <w:szCs w:val="21"/>
          <w:highlight w:val="none"/>
        </w:rPr>
        <w:t>本合同一式二份，具有同等法律效力，甲乙双方各一份（可根据需要另增加）。</w:t>
      </w:r>
    </w:p>
    <w:p w14:paraId="5EC5891E">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本合同甲乙双方签字并盖章后生效。</w:t>
      </w:r>
    </w:p>
    <w:p w14:paraId="2DC42E59">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p>
    <w:tbl>
      <w:tblPr>
        <w:tblStyle w:val="15"/>
        <w:tblW w:w="903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223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0B999F5E">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 xml:space="preserve">甲方（章）           </w:t>
            </w:r>
          </w:p>
          <w:p w14:paraId="06725003">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p>
          <w:p w14:paraId="415D5DF2">
            <w:pPr>
              <w:pageBreakBefore w:val="0"/>
              <w:kinsoku/>
              <w:wordWrap/>
              <w:overflowPunct/>
              <w:topLinePunct w:val="0"/>
              <w:autoSpaceDE/>
              <w:autoSpaceDN/>
              <w:bidi w:val="0"/>
              <w:snapToGrid w:val="0"/>
              <w:spacing w:line="360" w:lineRule="auto"/>
              <w:ind w:firstLine="720" w:firstLineChars="300"/>
              <w:textAlignment w:val="auto"/>
              <w:rPr>
                <w:rFonts w:ascii="宋体" w:hAnsi="宋体"/>
                <w:color w:val="auto"/>
                <w:szCs w:val="21"/>
                <w:highlight w:val="none"/>
              </w:rPr>
            </w:pPr>
            <w:r>
              <w:rPr>
                <w:rFonts w:hint="eastAsia" w:ascii="宋体" w:hAnsi="宋体"/>
                <w:color w:val="auto"/>
                <w:szCs w:val="21"/>
                <w:highlight w:val="none"/>
              </w:rPr>
              <w:t>年   月   日</w:t>
            </w:r>
          </w:p>
        </w:tc>
        <w:tc>
          <w:tcPr>
            <w:tcW w:w="4517" w:type="dxa"/>
            <w:noWrap w:val="0"/>
            <w:vAlign w:val="center"/>
          </w:tcPr>
          <w:p w14:paraId="03F3A5D6">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 xml:space="preserve">乙方（章）              </w:t>
            </w:r>
          </w:p>
          <w:p w14:paraId="7439EE18">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p>
          <w:p w14:paraId="48B668D4">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 xml:space="preserve">       年   月   日</w:t>
            </w:r>
          </w:p>
        </w:tc>
      </w:tr>
      <w:tr w14:paraId="04B3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4DCDB293">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单位地址：</w:t>
            </w:r>
          </w:p>
        </w:tc>
        <w:tc>
          <w:tcPr>
            <w:tcW w:w="4517" w:type="dxa"/>
            <w:noWrap w:val="0"/>
            <w:vAlign w:val="center"/>
          </w:tcPr>
          <w:p w14:paraId="6F7745E0">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单位地址：</w:t>
            </w:r>
          </w:p>
        </w:tc>
      </w:tr>
      <w:tr w14:paraId="0963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4516" w:type="dxa"/>
            <w:noWrap w:val="0"/>
            <w:vAlign w:val="center"/>
          </w:tcPr>
          <w:p w14:paraId="3C7E471A">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法定代表人：</w:t>
            </w:r>
          </w:p>
        </w:tc>
        <w:tc>
          <w:tcPr>
            <w:tcW w:w="4517" w:type="dxa"/>
            <w:noWrap w:val="0"/>
            <w:vAlign w:val="center"/>
          </w:tcPr>
          <w:p w14:paraId="5A92275F">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法定代表人：</w:t>
            </w:r>
          </w:p>
        </w:tc>
      </w:tr>
      <w:tr w14:paraId="3B96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4516" w:type="dxa"/>
            <w:noWrap w:val="0"/>
            <w:vAlign w:val="center"/>
          </w:tcPr>
          <w:p w14:paraId="4FF732F6">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委托代理人：</w:t>
            </w:r>
          </w:p>
        </w:tc>
        <w:tc>
          <w:tcPr>
            <w:tcW w:w="4517" w:type="dxa"/>
            <w:noWrap w:val="0"/>
            <w:vAlign w:val="center"/>
          </w:tcPr>
          <w:p w14:paraId="59F1F586">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委托代理人：</w:t>
            </w:r>
          </w:p>
        </w:tc>
      </w:tr>
      <w:tr w14:paraId="4437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3A534012">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电话：</w:t>
            </w:r>
          </w:p>
        </w:tc>
        <w:tc>
          <w:tcPr>
            <w:tcW w:w="4517" w:type="dxa"/>
            <w:noWrap w:val="0"/>
            <w:vAlign w:val="center"/>
          </w:tcPr>
          <w:p w14:paraId="7CFF8AE4">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电话：</w:t>
            </w:r>
          </w:p>
        </w:tc>
      </w:tr>
      <w:tr w14:paraId="27A5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27F2FF5">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电子邮箱：</w:t>
            </w:r>
          </w:p>
        </w:tc>
        <w:tc>
          <w:tcPr>
            <w:tcW w:w="4517" w:type="dxa"/>
            <w:noWrap w:val="0"/>
            <w:vAlign w:val="center"/>
          </w:tcPr>
          <w:p w14:paraId="1BD0C311">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电子邮箱：</w:t>
            </w:r>
          </w:p>
        </w:tc>
      </w:tr>
      <w:tr w14:paraId="7B71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0B12B7A3">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开户银行：</w:t>
            </w:r>
          </w:p>
        </w:tc>
        <w:tc>
          <w:tcPr>
            <w:tcW w:w="4517" w:type="dxa"/>
            <w:noWrap w:val="0"/>
            <w:vAlign w:val="center"/>
          </w:tcPr>
          <w:p w14:paraId="1BEF3DA9">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开户银行：</w:t>
            </w:r>
          </w:p>
        </w:tc>
      </w:tr>
      <w:tr w14:paraId="30AD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661B9B7F">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账号：</w:t>
            </w:r>
          </w:p>
        </w:tc>
        <w:tc>
          <w:tcPr>
            <w:tcW w:w="4517" w:type="dxa"/>
            <w:noWrap w:val="0"/>
            <w:vAlign w:val="center"/>
          </w:tcPr>
          <w:p w14:paraId="71BF2464">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账号：</w:t>
            </w:r>
          </w:p>
        </w:tc>
      </w:tr>
      <w:tr w14:paraId="6DDF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7273D2B0">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邮政编码：</w:t>
            </w:r>
          </w:p>
        </w:tc>
        <w:tc>
          <w:tcPr>
            <w:tcW w:w="4517" w:type="dxa"/>
            <w:noWrap w:val="0"/>
            <w:vAlign w:val="center"/>
          </w:tcPr>
          <w:p w14:paraId="57C6BCCD">
            <w:pPr>
              <w:pageBreakBefore w:val="0"/>
              <w:kinsoku/>
              <w:wordWrap/>
              <w:overflowPunct/>
              <w:topLinePunct w:val="0"/>
              <w:autoSpaceDE/>
              <w:autoSpaceDN/>
              <w:bidi w:val="0"/>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邮政编码：</w:t>
            </w:r>
          </w:p>
        </w:tc>
      </w:tr>
    </w:tbl>
    <w:p w14:paraId="5FC6237D">
      <w:pPr>
        <w:rPr>
          <w:rFonts w:hint="default"/>
          <w:color w:val="auto"/>
          <w:highlight w:val="none"/>
          <w:lang w:val="en-US" w:eastAsia="zh-CN"/>
        </w:rPr>
      </w:pPr>
    </w:p>
    <w:p w14:paraId="4DB0CAE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left="0" w:firstLine="480" w:firstLineChars="200"/>
        <w:jc w:val="both"/>
        <w:rPr>
          <w:rFonts w:hint="eastAsia" w:ascii="宋体" w:hAnsi="宋体" w:cs="宋体"/>
          <w:b w:val="0"/>
          <w:bCs w:val="0"/>
          <w:color w:val="auto"/>
          <w:sz w:val="24"/>
          <w:szCs w:val="24"/>
          <w:highlight w:val="none"/>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9B557">
    <w:pPr>
      <w:pStyle w:val="9"/>
      <w:ind w:firstLine="480"/>
      <w:rPr>
        <w:sz w:val="24"/>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B85B">
    <w:pPr>
      <w:pStyle w:val="9"/>
      <w:ind w:firstLine="0" w:firstLineChars="0"/>
      <w:rPr>
        <w:sz w:val="24"/>
        <w:szCs w:val="28"/>
      </w:rPr>
    </w:pPr>
    <w:r>
      <w:rPr>
        <w:rFonts w:hint="eastAsia"/>
        <w:sz w:val="24"/>
        <w:szCs w:val="28"/>
      </w:rPr>
      <w:t>—</w:t>
    </w:r>
    <w:r>
      <w:rPr>
        <w:sz w:val="24"/>
        <w:szCs w:val="28"/>
      </w:rPr>
      <w:fldChar w:fldCharType="begin"/>
    </w:r>
    <w:r>
      <w:rPr>
        <w:sz w:val="24"/>
        <w:szCs w:val="28"/>
      </w:rPr>
      <w:instrText xml:space="preserve">PAGE   \* MERGEFORMAT</w:instrText>
    </w:r>
    <w:r>
      <w:rPr>
        <w:sz w:val="24"/>
        <w:szCs w:val="28"/>
      </w:rPr>
      <w:fldChar w:fldCharType="separate"/>
    </w:r>
    <w:r>
      <w:rPr>
        <w:sz w:val="24"/>
        <w:szCs w:val="28"/>
        <w:lang w:val="zh-CN"/>
      </w:rPr>
      <w:t>10</w:t>
    </w:r>
    <w:r>
      <w:rPr>
        <w:sz w:val="24"/>
        <w:szCs w:val="28"/>
      </w:rPr>
      <w:fldChar w:fldCharType="end"/>
    </w:r>
    <w:r>
      <w:rPr>
        <w:rFonts w:hint="eastAsia"/>
        <w:sz w:val="24"/>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9DF13">
    <w:pPr>
      <w:pStyle w:val="9"/>
      <w:ind w:firstLine="480"/>
      <w:rPr>
        <w:sz w:val="24"/>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273DC">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6774B">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F9C9">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00A0B"/>
    <w:multiLevelType w:val="singleLevel"/>
    <w:tmpl w:val="83600A0B"/>
    <w:lvl w:ilvl="0" w:tentative="0">
      <w:start w:val="1"/>
      <w:numFmt w:val="decimal"/>
      <w:lvlText w:val="%1."/>
      <w:lvlJc w:val="left"/>
      <w:pPr>
        <w:tabs>
          <w:tab w:val="left" w:pos="312"/>
        </w:tabs>
      </w:pPr>
    </w:lvl>
  </w:abstractNum>
  <w:abstractNum w:abstractNumId="1">
    <w:nsid w:val="A2414A14"/>
    <w:multiLevelType w:val="singleLevel"/>
    <w:tmpl w:val="A2414A14"/>
    <w:lvl w:ilvl="0" w:tentative="0">
      <w:start w:val="1"/>
      <w:numFmt w:val="decimal"/>
      <w:suff w:val="nothing"/>
      <w:lvlText w:val="%1．"/>
      <w:lvlJc w:val="left"/>
    </w:lvl>
  </w:abstractNum>
  <w:abstractNum w:abstractNumId="2">
    <w:nsid w:val="FFA31E6B"/>
    <w:multiLevelType w:val="singleLevel"/>
    <w:tmpl w:val="FFA31E6B"/>
    <w:lvl w:ilvl="0" w:tentative="0">
      <w:start w:val="2"/>
      <w:numFmt w:val="decimal"/>
      <w:suff w:val="nothing"/>
      <w:lvlText w:val="（%1）"/>
      <w:lvlJc w:val="left"/>
    </w:lvl>
  </w:abstractNum>
  <w:abstractNum w:abstractNumId="3">
    <w:nsid w:val="3F64F432"/>
    <w:multiLevelType w:val="singleLevel"/>
    <w:tmpl w:val="3F64F432"/>
    <w:lvl w:ilvl="0" w:tentative="0">
      <w:start w:val="1"/>
      <w:numFmt w:val="chineseCounting"/>
      <w:suff w:val="nothing"/>
      <w:lvlText w:val="%1、"/>
      <w:lvlJc w:val="left"/>
      <w:rPr>
        <w:rFonts w:hint="eastAsia"/>
      </w:rPr>
    </w:lvl>
  </w:abstractNum>
  <w:abstractNum w:abstractNumId="4">
    <w:nsid w:val="5127590E"/>
    <w:multiLevelType w:val="singleLevel"/>
    <w:tmpl w:val="5127590E"/>
    <w:lvl w:ilvl="0" w:tentative="0">
      <w:start w:val="3"/>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2Njc3Y2YwZjIzNjU0NGNmZDhiMmM2YzA4NGE5MjEifQ=="/>
  </w:docVars>
  <w:rsids>
    <w:rsidRoot w:val="00000000"/>
    <w:rsid w:val="001B61FE"/>
    <w:rsid w:val="00296E1B"/>
    <w:rsid w:val="0069166C"/>
    <w:rsid w:val="01C25065"/>
    <w:rsid w:val="01ED6A83"/>
    <w:rsid w:val="02B240F8"/>
    <w:rsid w:val="080C30FA"/>
    <w:rsid w:val="081B2B32"/>
    <w:rsid w:val="084131A2"/>
    <w:rsid w:val="0AA52950"/>
    <w:rsid w:val="0AD33307"/>
    <w:rsid w:val="0B5F1461"/>
    <w:rsid w:val="0C3A179C"/>
    <w:rsid w:val="0C5C3FFF"/>
    <w:rsid w:val="0C640D76"/>
    <w:rsid w:val="0C861E48"/>
    <w:rsid w:val="0CB03EC9"/>
    <w:rsid w:val="0CDB6F07"/>
    <w:rsid w:val="12584CB9"/>
    <w:rsid w:val="137B32C6"/>
    <w:rsid w:val="14356AAB"/>
    <w:rsid w:val="159F4E8D"/>
    <w:rsid w:val="165275C4"/>
    <w:rsid w:val="180833CC"/>
    <w:rsid w:val="1A4A739A"/>
    <w:rsid w:val="1CA83733"/>
    <w:rsid w:val="1D8965DF"/>
    <w:rsid w:val="1EFF1A3F"/>
    <w:rsid w:val="1F6410B2"/>
    <w:rsid w:val="1FEB5F80"/>
    <w:rsid w:val="208657A5"/>
    <w:rsid w:val="20D37767"/>
    <w:rsid w:val="22166A7B"/>
    <w:rsid w:val="230A30AA"/>
    <w:rsid w:val="2383647E"/>
    <w:rsid w:val="23945FA1"/>
    <w:rsid w:val="26DB348E"/>
    <w:rsid w:val="26DC74C0"/>
    <w:rsid w:val="27FC457D"/>
    <w:rsid w:val="297E18EB"/>
    <w:rsid w:val="2A746625"/>
    <w:rsid w:val="2B915045"/>
    <w:rsid w:val="2C524329"/>
    <w:rsid w:val="2DA03BFD"/>
    <w:rsid w:val="2F5A0B58"/>
    <w:rsid w:val="30282266"/>
    <w:rsid w:val="303269F5"/>
    <w:rsid w:val="30DC4843"/>
    <w:rsid w:val="318B634B"/>
    <w:rsid w:val="337E5C2D"/>
    <w:rsid w:val="348953EB"/>
    <w:rsid w:val="34F85D17"/>
    <w:rsid w:val="35700359"/>
    <w:rsid w:val="38AA300C"/>
    <w:rsid w:val="3AF410E4"/>
    <w:rsid w:val="3C055F1F"/>
    <w:rsid w:val="3D1B331C"/>
    <w:rsid w:val="3D8A5B15"/>
    <w:rsid w:val="3F184D91"/>
    <w:rsid w:val="3FE604E4"/>
    <w:rsid w:val="40976F94"/>
    <w:rsid w:val="4264474B"/>
    <w:rsid w:val="433F6EE1"/>
    <w:rsid w:val="443A04B0"/>
    <w:rsid w:val="447B4A86"/>
    <w:rsid w:val="44BE3175"/>
    <w:rsid w:val="45412397"/>
    <w:rsid w:val="456C67E4"/>
    <w:rsid w:val="46EF569F"/>
    <w:rsid w:val="48462F2E"/>
    <w:rsid w:val="4A6873F9"/>
    <w:rsid w:val="4AD00929"/>
    <w:rsid w:val="4AF75449"/>
    <w:rsid w:val="4CC307BC"/>
    <w:rsid w:val="4DCA7EE2"/>
    <w:rsid w:val="4F4F687F"/>
    <w:rsid w:val="51143E36"/>
    <w:rsid w:val="51AB552C"/>
    <w:rsid w:val="51B41622"/>
    <w:rsid w:val="526A2C4E"/>
    <w:rsid w:val="53552B55"/>
    <w:rsid w:val="55006289"/>
    <w:rsid w:val="587850EB"/>
    <w:rsid w:val="59305AC2"/>
    <w:rsid w:val="5B1E6CC5"/>
    <w:rsid w:val="5B326E69"/>
    <w:rsid w:val="5BE03293"/>
    <w:rsid w:val="5D3A4C25"/>
    <w:rsid w:val="5FFEFFBF"/>
    <w:rsid w:val="60B63B00"/>
    <w:rsid w:val="60F23E5F"/>
    <w:rsid w:val="62AB48E3"/>
    <w:rsid w:val="6435296A"/>
    <w:rsid w:val="64B21544"/>
    <w:rsid w:val="6626777D"/>
    <w:rsid w:val="666D7522"/>
    <w:rsid w:val="66795D12"/>
    <w:rsid w:val="67452B44"/>
    <w:rsid w:val="69BA5C11"/>
    <w:rsid w:val="69C97A5C"/>
    <w:rsid w:val="6ABC5093"/>
    <w:rsid w:val="6B2F7D93"/>
    <w:rsid w:val="6CD27F47"/>
    <w:rsid w:val="6D500D6A"/>
    <w:rsid w:val="6E113780"/>
    <w:rsid w:val="6E5B2C4D"/>
    <w:rsid w:val="751A73BE"/>
    <w:rsid w:val="76172A46"/>
    <w:rsid w:val="761A73D1"/>
    <w:rsid w:val="767318FC"/>
    <w:rsid w:val="76B57238"/>
    <w:rsid w:val="76D27B8A"/>
    <w:rsid w:val="777D3BB6"/>
    <w:rsid w:val="79A44345"/>
    <w:rsid w:val="7B2138CA"/>
    <w:rsid w:val="7B441319"/>
    <w:rsid w:val="7D1846E5"/>
    <w:rsid w:val="7E843AFA"/>
    <w:rsid w:val="7FB75E28"/>
    <w:rsid w:val="BE5F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4"/>
      <w:szCs w:val="21"/>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Arial" w:hAnsi="Arial"/>
      <w:b/>
      <w:kern w:val="44"/>
      <w:sz w:val="44"/>
    </w:rPr>
  </w:style>
  <w:style w:type="paragraph" w:styleId="3">
    <w:name w:val="heading 2"/>
    <w:basedOn w:val="1"/>
    <w:next w:val="1"/>
    <w:link w:val="20"/>
    <w:semiHidden/>
    <w:unhideWhenUsed/>
    <w:qFormat/>
    <w:uiPriority w:val="0"/>
    <w:pPr>
      <w:keepNext/>
      <w:keepLines/>
      <w:widowControl/>
      <w:spacing w:before="260" w:after="260" w:line="416" w:lineRule="auto"/>
      <w:jc w:val="center"/>
      <w:outlineLvl w:val="1"/>
    </w:pPr>
    <w:rPr>
      <w:rFonts w:ascii="等线 Light" w:hAnsi="等线 Light"/>
      <w:b/>
      <w:bCs/>
      <w:kern w:val="0"/>
      <w:sz w:val="30"/>
      <w:szCs w:val="32"/>
    </w:rPr>
  </w:style>
  <w:style w:type="paragraph" w:styleId="4">
    <w:name w:val="heading 4"/>
    <w:basedOn w:val="1"/>
    <w:next w:val="1"/>
    <w:unhideWhenUsed/>
    <w:qFormat/>
    <w:uiPriority w:val="0"/>
    <w:pPr>
      <w:keepNext/>
      <w:keepLines/>
      <w:spacing w:before="280" w:after="290" w:line="372" w:lineRule="auto"/>
      <w:jc w:val="center"/>
      <w:outlineLvl w:val="3"/>
    </w:pPr>
    <w:rPr>
      <w:rFonts w:ascii="Arial" w:hAnsi="Arial" w:eastAsia="宋体" w:cs="Times New Roman"/>
      <w:b/>
      <w:sz w:val="24"/>
      <w:szCs w:val="2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unhideWhenUsed/>
    <w:qFormat/>
    <w:uiPriority w:val="0"/>
    <w:pPr>
      <w:spacing w:after="120"/>
    </w:pPr>
    <w:rPr>
      <w:szCs w:val="21"/>
    </w:rPr>
  </w:style>
  <w:style w:type="paragraph" w:styleId="7">
    <w:name w:val="toc 3"/>
    <w:basedOn w:val="1"/>
    <w:next w:val="1"/>
    <w:qFormat/>
    <w:uiPriority w:val="39"/>
    <w:pPr>
      <w:ind w:left="200" w:leftChars="200"/>
    </w:pPr>
    <w:rPr>
      <w:sz w:val="28"/>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12">
    <w:name w:val="toc 2"/>
    <w:basedOn w:val="1"/>
    <w:next w:val="1"/>
    <w:qFormat/>
    <w:uiPriority w:val="39"/>
    <w:pPr>
      <w:tabs>
        <w:tab w:val="right" w:leader="dot" w:pos="8296"/>
      </w:tabs>
    </w:pPr>
    <w:rPr>
      <w:sz w:val="2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Title1"/>
    <w:basedOn w:val="1"/>
    <w:next w:val="1"/>
    <w:qFormat/>
    <w:uiPriority w:val="99"/>
    <w:pPr>
      <w:jc w:val="center"/>
      <w:outlineLvl w:val="0"/>
    </w:pPr>
    <w:rPr>
      <w:rFonts w:ascii="Calibri Light" w:hAnsi="Calibri Light"/>
      <w:b/>
    </w:rPr>
  </w:style>
  <w:style w:type="character" w:customStyle="1" w:styleId="20">
    <w:name w:val="标题 2 字符"/>
    <w:link w:val="3"/>
    <w:qFormat/>
    <w:uiPriority w:val="99"/>
    <w:rPr>
      <w:rFonts w:ascii="等线 Light" w:hAnsi="等线 Light" w:eastAsia="宋体" w:cs="Times New Roman"/>
      <w:sz w:val="30"/>
    </w:rPr>
  </w:style>
  <w:style w:type="paragraph" w:customStyle="1" w:styleId="21">
    <w:name w:val="p0"/>
    <w:basedOn w:val="1"/>
    <w:qFormat/>
    <w:uiPriority w:val="0"/>
    <w:pPr>
      <w:widowControl/>
    </w:pPr>
    <w:rPr>
      <w:rFonts w:eastAsia="Times New Roman" w:cs="宋体"/>
      <w:kern w:val="0"/>
      <w:szCs w:val="21"/>
    </w:rPr>
  </w:style>
  <w:style w:type="paragraph" w:customStyle="1" w:styleId="22">
    <w:name w:val="Default"/>
    <w:next w:val="23"/>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4">
    <w:name w:val="自定义标题1"/>
    <w:qFormat/>
    <w:uiPriority w:val="0"/>
    <w:pPr>
      <w:spacing w:before="50" w:beforeLines="50" w:after="50" w:afterLines="50" w:line="360" w:lineRule="auto"/>
      <w:outlineLvl w:val="0"/>
    </w:pPr>
    <w:rPr>
      <w:rFonts w:ascii="Times New Roman" w:hAnsi="Times New Roman" w:eastAsia="黑体" w:cs="Times New Roman"/>
      <w:b/>
      <w:snapToGrid w:val="0"/>
      <w:kern w:val="44"/>
      <w:sz w:val="30"/>
      <w:lang w:val="en-US" w:eastAsia="zh-CN" w:bidi="ar-SA"/>
    </w:rPr>
  </w:style>
  <w:style w:type="paragraph" w:customStyle="1" w:styleId="25">
    <w:name w:val="自定义正文"/>
    <w:basedOn w:val="1"/>
    <w:qFormat/>
    <w:uiPriority w:val="0"/>
    <w:pPr>
      <w:snapToGrid/>
      <w:contextualSpacing/>
    </w:pPr>
  </w:style>
  <w:style w:type="paragraph" w:customStyle="1" w:styleId="26">
    <w:name w:val="自定义标题2"/>
    <w:qFormat/>
    <w:uiPriority w:val="0"/>
    <w:pPr>
      <w:spacing w:line="360" w:lineRule="auto"/>
      <w:jc w:val="both"/>
      <w:outlineLvl w:val="1"/>
    </w:pPr>
    <w:rPr>
      <w:rFonts w:ascii="Arial" w:hAnsi="Arial" w:eastAsia="宋体" w:cs="Times New Roman"/>
      <w:b/>
      <w:snapToGrid w:val="0"/>
      <w:kern w:val="44"/>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7433</Words>
  <Characters>7609</Characters>
  <Lines>0</Lines>
  <Paragraphs>0</Paragraphs>
  <TotalTime>5</TotalTime>
  <ScaleCrop>false</ScaleCrop>
  <LinksUpToDate>false</LinksUpToDate>
  <CharactersWithSpaces>7644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2023-02-20T17:34:00Z</dcterms:created>
  <dc:creator>GXTT</dc:creator>
  <cp:lastModifiedBy>Jianbo_Lee</cp:lastModifiedBy>
  <cp:lastPrinted>2024-10-15T01:11:00Z</cp:lastPrinted>
  <dcterms:modified xsi:type="dcterms:W3CDTF">2025-10-11T10:58:08Z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11BD7E56A9184AF5816EA499473DA4CE_13</vt:lpwstr>
  </property>
  <property fmtid="{D5CDD505-2E9C-101B-9397-08002B2CF9AE}" pid="4" name="KSOTemplateDocerSaveRecord">
    <vt:lpwstr>eyJoZGlkIjoiN2U1ZDM2ZmU5ZDNhNjBhNTFjZjQxNTAwYTg4NjAzODgiLCJ1c2VySWQiOiI3MTkzODkwMDUifQ==</vt:lpwstr>
  </property>
</Properties>
</file>