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80715">
      <w:pPr>
        <w:pStyle w:val="3"/>
        <w:bidi w:val="0"/>
        <w:rPr>
          <w:rFonts w:hint="eastAsia"/>
        </w:rPr>
      </w:pPr>
    </w:p>
    <w:p w14:paraId="39469C98">
      <w:pPr>
        <w:pStyle w:val="6"/>
        <w:widowControl/>
        <w:shd w:val="clear" w:color="auto" w:fill="FFFFFF"/>
        <w:spacing w:before="0" w:beforeAutospacing="0" w:after="0" w:afterAutospacing="0"/>
        <w:jc w:val="center"/>
        <w:rPr>
          <w:rFonts w:hint="eastAsia" w:ascii="宋体" w:hAnsi="宋体" w:cs="宋体"/>
          <w:b/>
          <w:bCs/>
          <w:color w:val="auto"/>
          <w:sz w:val="36"/>
          <w:szCs w:val="36"/>
          <w:shd w:val="clear" w:color="auto" w:fill="FFFFFF"/>
          <w:lang w:val="en-US" w:eastAsia="zh-CN"/>
        </w:rPr>
      </w:pPr>
      <w:r>
        <w:rPr>
          <w:rFonts w:hint="eastAsia" w:ascii="宋体" w:hAnsi="宋体" w:cs="宋体"/>
          <w:b/>
          <w:bCs/>
          <w:color w:val="auto"/>
          <w:sz w:val="36"/>
          <w:szCs w:val="36"/>
          <w:shd w:val="clear" w:color="auto" w:fill="FFFFFF"/>
        </w:rPr>
        <w:t>广西艺术学院学术报告厅设备项目采购</w:t>
      </w:r>
      <w:r>
        <w:rPr>
          <w:rFonts w:hint="eastAsia" w:ascii="宋体" w:hAnsi="宋体" w:cs="宋体"/>
          <w:b/>
          <w:bCs/>
          <w:color w:val="auto"/>
          <w:sz w:val="36"/>
          <w:szCs w:val="36"/>
          <w:shd w:val="clear" w:color="auto" w:fill="FFFFFF"/>
          <w:lang w:val="en-US" w:eastAsia="zh-CN"/>
        </w:rPr>
        <w:t>文件</w:t>
      </w:r>
    </w:p>
    <w:p w14:paraId="7588677E">
      <w:pPr>
        <w:pStyle w:val="6"/>
        <w:widowControl/>
        <w:shd w:val="clear" w:color="auto" w:fill="FFFFFF"/>
        <w:spacing w:before="0" w:beforeAutospacing="0" w:after="0" w:afterAutospacing="0"/>
        <w:jc w:val="center"/>
        <w:rPr>
          <w:rFonts w:hint="eastAsia" w:ascii="宋体" w:hAnsi="宋体" w:cs="宋体"/>
          <w:b/>
          <w:bCs/>
          <w:color w:val="auto"/>
          <w:sz w:val="36"/>
          <w:szCs w:val="36"/>
          <w:shd w:val="clear" w:color="auto" w:fill="FFFFFF"/>
          <w:lang w:val="en-US" w:eastAsia="zh-CN"/>
        </w:rPr>
      </w:pPr>
      <w:bookmarkStart w:id="3" w:name="_GoBack"/>
      <w:bookmarkEnd w:id="3"/>
    </w:p>
    <w:p w14:paraId="43A225C2">
      <w:pPr>
        <w:pStyle w:val="6"/>
        <w:widowControl/>
        <w:shd w:val="clear" w:color="auto" w:fill="FFFFFF"/>
        <w:spacing w:before="0" w:beforeAutospacing="0" w:after="0" w:afterAutospacing="0"/>
        <w:ind w:firstLine="560" w:firstLineChars="200"/>
        <w:rPr>
          <w:color w:val="auto"/>
          <w:sz w:val="28"/>
          <w:szCs w:val="28"/>
        </w:rPr>
      </w:pPr>
      <w:r>
        <w:rPr>
          <w:rFonts w:hint="eastAsia" w:ascii="宋体" w:hAnsi="宋体" w:cs="宋体"/>
          <w:color w:val="auto"/>
          <w:sz w:val="28"/>
          <w:szCs w:val="28"/>
          <w:shd w:val="clear" w:color="auto" w:fill="FFFFFF"/>
        </w:rPr>
        <w:t>根据</w:t>
      </w:r>
      <w:r>
        <w:rPr>
          <w:rFonts w:hint="eastAsia" w:ascii="宋体" w:hAnsi="宋体" w:cs="宋体"/>
          <w:color w:val="auto"/>
          <w:sz w:val="28"/>
          <w:szCs w:val="28"/>
          <w:shd w:val="clear" w:color="auto" w:fill="FFFFFF"/>
          <w:lang w:val="en-US" w:eastAsia="zh-CN"/>
        </w:rPr>
        <w:t>教学科研工作需要</w:t>
      </w:r>
      <w:r>
        <w:rPr>
          <w:rFonts w:hint="eastAsia" w:ascii="宋体" w:hAnsi="宋体" w:cs="宋体"/>
          <w:color w:val="auto"/>
          <w:sz w:val="28"/>
          <w:szCs w:val="28"/>
          <w:shd w:val="clear" w:color="auto" w:fill="FFFFFF"/>
        </w:rPr>
        <w:t>，我校开展广西艺术学院学术报告厅设备项目采购，现将本次采购有关事项公告如下：</w:t>
      </w:r>
    </w:p>
    <w:p w14:paraId="7E1E2AC1">
      <w:pPr>
        <w:pStyle w:val="6"/>
        <w:widowControl/>
        <w:numPr>
          <w:ilvl w:val="0"/>
          <w:numId w:val="1"/>
        </w:numPr>
        <w:shd w:val="clear" w:color="auto" w:fill="FFFFFF"/>
        <w:spacing w:before="0" w:beforeAutospacing="0" w:after="0" w:afterAutospacing="0"/>
        <w:ind w:firstLine="480"/>
        <w:rPr>
          <w:rStyle w:val="9"/>
          <w:rFonts w:hint="eastAsia" w:ascii="宋体" w:hAnsi="宋体" w:cs="宋体"/>
          <w:color w:val="auto"/>
          <w:sz w:val="28"/>
          <w:szCs w:val="28"/>
          <w:shd w:val="clear" w:color="auto" w:fill="FFFFFF"/>
        </w:rPr>
      </w:pPr>
      <w:r>
        <w:rPr>
          <w:rStyle w:val="9"/>
          <w:rFonts w:hint="eastAsia" w:ascii="宋体" w:hAnsi="宋体" w:cs="宋体"/>
          <w:color w:val="auto"/>
          <w:sz w:val="28"/>
          <w:szCs w:val="28"/>
          <w:shd w:val="clear" w:color="auto" w:fill="FFFFFF"/>
        </w:rPr>
        <w:t>项目名称</w:t>
      </w:r>
      <w:r>
        <w:rPr>
          <w:rStyle w:val="9"/>
          <w:rFonts w:hint="eastAsia" w:ascii="宋体" w:hAnsi="宋体" w:cs="宋体"/>
          <w:b w:val="0"/>
          <w:bCs/>
          <w:color w:val="auto"/>
          <w:sz w:val="28"/>
          <w:szCs w:val="28"/>
          <w:shd w:val="clear" w:color="auto" w:fill="FFFFFF"/>
        </w:rPr>
        <w:t>：</w:t>
      </w:r>
      <w:r>
        <w:rPr>
          <w:rFonts w:hint="eastAsia" w:ascii="宋体" w:hAnsi="宋体" w:cs="宋体"/>
          <w:color w:val="auto"/>
          <w:sz w:val="28"/>
          <w:szCs w:val="28"/>
          <w:shd w:val="clear" w:color="auto" w:fill="FFFFFF"/>
        </w:rPr>
        <w:t>广西艺术学院学术报告厅设备项目采购</w:t>
      </w:r>
    </w:p>
    <w:p w14:paraId="37C4003E">
      <w:pPr>
        <w:pStyle w:val="6"/>
        <w:widowControl/>
        <w:numPr>
          <w:ilvl w:val="0"/>
          <w:numId w:val="1"/>
        </w:numPr>
        <w:shd w:val="clear" w:color="auto" w:fill="FFFFFF"/>
        <w:spacing w:before="0" w:beforeAutospacing="0" w:after="0" w:afterAutospacing="0"/>
        <w:ind w:firstLine="480"/>
        <w:rPr>
          <w:rStyle w:val="9"/>
          <w:rFonts w:hint="eastAsia" w:ascii="宋体" w:hAnsi="宋体" w:cs="宋体"/>
          <w:color w:val="auto"/>
          <w:sz w:val="28"/>
          <w:szCs w:val="28"/>
          <w:shd w:val="clear" w:color="auto" w:fill="FFFFFF"/>
        </w:rPr>
      </w:pPr>
      <w:r>
        <w:rPr>
          <w:rStyle w:val="9"/>
          <w:rFonts w:hint="eastAsia" w:ascii="宋体" w:hAnsi="宋体" w:cs="宋体"/>
          <w:color w:val="auto"/>
          <w:sz w:val="28"/>
          <w:szCs w:val="28"/>
          <w:shd w:val="clear" w:color="auto" w:fill="FFFFFF"/>
        </w:rPr>
        <w:t>采购需求内容</w:t>
      </w:r>
      <w:r>
        <w:rPr>
          <w:rStyle w:val="9"/>
          <w:rFonts w:hint="eastAsia" w:ascii="宋体" w:hAnsi="宋体" w:cs="宋体"/>
          <w:color w:val="auto"/>
          <w:sz w:val="28"/>
          <w:szCs w:val="28"/>
          <w:shd w:val="clear" w:color="auto" w:fill="FFFFFF"/>
          <w:lang w:val="en-US" w:eastAsia="zh-CN"/>
        </w:rPr>
        <w:t xml:space="preserve">         </w:t>
      </w:r>
    </w:p>
    <w:p w14:paraId="2094EB3B">
      <w:pPr>
        <w:pStyle w:val="6"/>
        <w:widowControl/>
        <w:shd w:val="clear" w:color="auto" w:fill="FFFFFF"/>
        <w:spacing w:before="0" w:beforeAutospacing="0" w:after="0" w:afterAutospacing="0"/>
        <w:ind w:left="480"/>
        <w:rPr>
          <w:rStyle w:val="9"/>
          <w:rFonts w:hint="default" w:ascii="宋体" w:hAnsi="宋体" w:cs="宋体" w:eastAsiaTheme="minorEastAsia"/>
          <w:color w:val="auto"/>
          <w:sz w:val="28"/>
          <w:szCs w:val="28"/>
          <w:shd w:val="clear" w:color="auto" w:fill="FFFFFF"/>
          <w:lang w:val="en-US" w:eastAsia="zh-CN"/>
        </w:rPr>
      </w:pPr>
      <w:r>
        <w:rPr>
          <w:rStyle w:val="9"/>
          <w:rFonts w:hint="eastAsia" w:ascii="宋体" w:hAnsi="宋体" w:cs="宋体"/>
          <w:color w:val="auto"/>
          <w:sz w:val="28"/>
          <w:szCs w:val="28"/>
          <w:shd w:val="clear" w:color="auto" w:fill="FFFFFF"/>
        </w:rPr>
        <w:t>总采购预算为：</w:t>
      </w:r>
      <w:r>
        <w:rPr>
          <w:rStyle w:val="9"/>
          <w:rFonts w:hint="eastAsia" w:ascii="宋体" w:hAnsi="宋体" w:eastAsia="宋体" w:cs="宋体"/>
          <w:b/>
          <w:i w:val="0"/>
          <w:color w:val="auto"/>
          <w:kern w:val="0"/>
          <w:sz w:val="28"/>
          <w:szCs w:val="28"/>
          <w:u w:val="none"/>
          <w:shd w:val="clear" w:color="auto" w:fill="FFFFFF"/>
          <w:lang w:val="en-US" w:eastAsia="zh-CN" w:bidi="ar"/>
        </w:rPr>
        <w:t>295611.20</w:t>
      </w:r>
      <w:r>
        <w:rPr>
          <w:rStyle w:val="9"/>
          <w:rFonts w:hint="eastAsia" w:ascii="宋体" w:hAnsi="宋体" w:eastAsia="宋体" w:cs="宋体"/>
          <w:color w:val="auto"/>
          <w:sz w:val="28"/>
          <w:szCs w:val="28"/>
          <w:shd w:val="clear" w:color="auto" w:fill="FFFFFF"/>
        </w:rPr>
        <w:t>元</w:t>
      </w:r>
    </w:p>
    <w:p w14:paraId="5D61DB0B">
      <w:pPr>
        <w:pStyle w:val="6"/>
        <w:widowControl/>
        <w:shd w:val="clear" w:color="auto" w:fill="FFFFFF"/>
        <w:spacing w:before="0" w:beforeAutospacing="0" w:after="0" w:afterAutospacing="0"/>
        <w:ind w:firstLine="560"/>
        <w:rPr>
          <w:rStyle w:val="9"/>
          <w:rFonts w:hint="default" w:ascii="宋体" w:hAnsi="宋体" w:cs="宋体" w:eastAsiaTheme="minorEastAsia"/>
          <w:b w:val="0"/>
          <w:bCs/>
          <w:color w:val="auto"/>
          <w:sz w:val="28"/>
          <w:szCs w:val="28"/>
          <w:highlight w:val="none"/>
          <w:shd w:val="clear" w:color="auto" w:fill="FFFFFF"/>
          <w:lang w:val="en-US" w:eastAsia="zh-CN"/>
        </w:rPr>
      </w:pPr>
      <w:r>
        <w:rPr>
          <w:rStyle w:val="9"/>
          <w:rFonts w:hint="eastAsia" w:ascii="宋体" w:hAnsi="宋体" w:cs="宋体"/>
          <w:b w:val="0"/>
          <w:bCs/>
          <w:color w:val="auto"/>
          <w:sz w:val="28"/>
          <w:szCs w:val="28"/>
          <w:shd w:val="clear" w:color="auto" w:fill="FFFFFF"/>
          <w:lang w:val="en-US" w:eastAsia="zh-CN"/>
        </w:rPr>
        <w:t>具体需求</w:t>
      </w:r>
      <w:r>
        <w:rPr>
          <w:rStyle w:val="9"/>
          <w:rFonts w:hint="eastAsia" w:ascii="宋体" w:hAnsi="宋体" w:cs="宋体"/>
          <w:b w:val="0"/>
          <w:bCs/>
          <w:color w:val="auto"/>
          <w:sz w:val="28"/>
          <w:szCs w:val="28"/>
          <w:shd w:val="clear" w:color="auto" w:fill="FFFFFF"/>
        </w:rPr>
        <w:t>详见附件</w:t>
      </w:r>
      <w:r>
        <w:rPr>
          <w:rStyle w:val="9"/>
          <w:rFonts w:hint="eastAsia" w:ascii="宋体" w:hAnsi="宋体" w:cs="宋体"/>
          <w:b w:val="0"/>
          <w:bCs/>
          <w:color w:val="auto"/>
          <w:sz w:val="28"/>
          <w:szCs w:val="28"/>
          <w:shd w:val="clear" w:color="auto" w:fill="FFFFFF"/>
          <w:lang w:val="en-US" w:eastAsia="zh-CN"/>
        </w:rPr>
        <w:t>1</w:t>
      </w:r>
      <w:r>
        <w:rPr>
          <w:rStyle w:val="9"/>
          <w:rFonts w:hint="eastAsia" w:ascii="宋体" w:hAnsi="宋体" w:cs="宋体"/>
          <w:b w:val="0"/>
          <w:bCs/>
          <w:color w:val="auto"/>
          <w:sz w:val="28"/>
          <w:szCs w:val="28"/>
          <w:shd w:val="clear" w:color="auto" w:fill="FFFFFF"/>
        </w:rPr>
        <w:t>。</w:t>
      </w:r>
      <w:r>
        <w:rPr>
          <w:rStyle w:val="9"/>
          <w:rFonts w:hint="eastAsia" w:ascii="宋体" w:hAnsi="宋体" w:cs="宋体"/>
          <w:b w:val="0"/>
          <w:bCs/>
          <w:color w:val="auto"/>
          <w:sz w:val="28"/>
          <w:szCs w:val="28"/>
          <w:shd w:val="clear" w:color="auto" w:fill="FFFFFF"/>
          <w:lang w:val="en-US" w:eastAsia="zh-CN"/>
        </w:rPr>
        <w:t>本项目允许2项负偏离。</w:t>
      </w:r>
      <w:r>
        <w:rPr>
          <w:rStyle w:val="9"/>
          <w:rFonts w:hint="eastAsia" w:ascii="宋体" w:hAnsi="宋体" w:cs="宋体"/>
          <w:b w:val="0"/>
          <w:bCs/>
          <w:color w:val="auto"/>
          <w:sz w:val="28"/>
          <w:szCs w:val="28"/>
          <w:highlight w:val="none"/>
          <w:shd w:val="clear" w:color="auto" w:fill="FFFFFF"/>
          <w:lang w:val="en-US" w:eastAsia="zh-CN"/>
        </w:rPr>
        <w:t>“实质性要求”是指采购文件中已经指明不满足则投标无效的条款，或者不能负偏离的条款，或者采购需求中带“▲”的条款。合同签订后30个工作日内完成全部货物安装及调试。设备保修售后服务期不少于3年。</w:t>
      </w:r>
    </w:p>
    <w:p w14:paraId="6EC465DA">
      <w:pPr>
        <w:pStyle w:val="6"/>
        <w:widowControl/>
        <w:numPr>
          <w:ilvl w:val="0"/>
          <w:numId w:val="1"/>
        </w:numPr>
        <w:shd w:val="clear" w:color="auto" w:fill="FFFFFF"/>
        <w:spacing w:before="0" w:beforeAutospacing="0" w:after="0" w:afterAutospacing="0"/>
        <w:ind w:firstLine="480"/>
        <w:rPr>
          <w:rStyle w:val="9"/>
          <w:rFonts w:hint="eastAsia" w:ascii="宋体" w:hAnsi="宋体" w:cs="宋体"/>
          <w:color w:val="auto"/>
          <w:sz w:val="28"/>
          <w:szCs w:val="28"/>
          <w:shd w:val="clear" w:color="auto" w:fill="FFFFFF"/>
        </w:rPr>
      </w:pPr>
      <w:r>
        <w:rPr>
          <w:rStyle w:val="9"/>
          <w:rFonts w:hint="eastAsia" w:ascii="宋体" w:hAnsi="宋体" w:cs="宋体"/>
          <w:color w:val="auto"/>
          <w:sz w:val="28"/>
          <w:szCs w:val="28"/>
          <w:shd w:val="clear" w:color="auto" w:fill="FFFFFF"/>
        </w:rPr>
        <w:t>投标人资格要求</w:t>
      </w:r>
    </w:p>
    <w:p w14:paraId="37A8F5D2">
      <w:pPr>
        <w:pStyle w:val="6"/>
        <w:widowControl/>
        <w:shd w:val="clear" w:color="auto" w:fill="FFFFFF"/>
        <w:spacing w:before="0" w:beforeAutospacing="0" w:after="0" w:afterAutospacing="0"/>
        <w:ind w:firstLine="480"/>
        <w:rPr>
          <w:rFonts w:hint="eastAsia"/>
          <w:color w:val="auto"/>
          <w:sz w:val="28"/>
          <w:szCs w:val="28"/>
        </w:rPr>
      </w:pPr>
      <w:r>
        <w:rPr>
          <w:rFonts w:hint="eastAsia" w:ascii="宋体" w:hAnsi="宋体" w:cs="宋体"/>
          <w:color w:val="auto"/>
          <w:sz w:val="28"/>
          <w:szCs w:val="28"/>
          <w:shd w:val="clear" w:color="auto" w:fill="FFFFFF"/>
        </w:rPr>
        <w:t>（一）必须是在中华人民共和国境内注册，具有独立法人，并持有工商行政管理部门核发的法人营业执照。</w:t>
      </w:r>
    </w:p>
    <w:p w14:paraId="1AF4A2E9">
      <w:pPr>
        <w:pStyle w:val="6"/>
        <w:widowControl/>
        <w:shd w:val="clear" w:color="auto" w:fill="FFFFFF"/>
        <w:spacing w:before="0" w:beforeAutospacing="0" w:after="0" w:afterAutospacing="0"/>
        <w:ind w:firstLine="480"/>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二）未被列入失信被执行人名单、重大税收违法案件当事人名单、政府采购严重违法失信行为记录名单，信用信息以最新的信用中国网站和中国政府采购网公布为准，请提供最新的信用中国网站和中国政府采购网的截图证明信息。</w:t>
      </w:r>
    </w:p>
    <w:p w14:paraId="4B47B2AC">
      <w:pPr>
        <w:pStyle w:val="6"/>
        <w:widowControl/>
        <w:shd w:val="clear" w:color="auto" w:fill="FFFFFF"/>
        <w:spacing w:before="0" w:beforeAutospacing="0" w:after="0" w:afterAutospacing="0"/>
        <w:ind w:firstLine="480"/>
        <w:rPr>
          <w:rFonts w:hint="eastAsia"/>
          <w:color w:val="auto"/>
          <w:sz w:val="28"/>
          <w:szCs w:val="28"/>
        </w:rPr>
      </w:pPr>
      <w:r>
        <w:rPr>
          <w:rFonts w:hint="eastAsia" w:ascii="宋体" w:hAnsi="宋体" w:cs="宋体"/>
          <w:color w:val="auto"/>
          <w:sz w:val="28"/>
          <w:szCs w:val="28"/>
          <w:shd w:val="clear" w:color="auto" w:fill="FFFFFF"/>
        </w:rPr>
        <w:t>“信用中国”网站查询方法：投标人在本项目投标截止时间前10日内,进入投标人基本信息页面，点击“下载信用报告”后点击“下载”。“中国政府采购网”的查询方法：点击“政府采购严重违法失信行为记录名单”进行查询。页面中的处罚日期不设置起始时间，只能设置截止时间，截止时间为本项目投标截止时间前10日至投标截止时间中任意一天。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2C8798A6">
      <w:pPr>
        <w:pStyle w:val="6"/>
        <w:widowControl/>
        <w:shd w:val="clear" w:color="auto" w:fill="FFFFFF"/>
        <w:spacing w:before="0" w:beforeAutospacing="0" w:after="0" w:afterAutospacing="0"/>
        <w:ind w:firstLine="480"/>
        <w:rPr>
          <w:color w:val="auto"/>
          <w:sz w:val="28"/>
          <w:szCs w:val="28"/>
        </w:rPr>
      </w:pPr>
      <w:r>
        <w:rPr>
          <w:rFonts w:hint="eastAsia" w:ascii="宋体" w:hAnsi="宋体" w:cs="宋体"/>
          <w:color w:val="auto"/>
          <w:sz w:val="28"/>
          <w:szCs w:val="28"/>
          <w:shd w:val="clear" w:color="auto" w:fill="FFFFFF"/>
        </w:rPr>
        <w:t>（三）单位负责人为同一人或者存在直接控股、管理关系的不同供应商，不得参加同一合同项下的采购活动。本项目不接受联合体。</w:t>
      </w:r>
      <w:r>
        <w:rPr>
          <w:rFonts w:hint="eastAsia" w:ascii="宋体" w:hAnsi="宋体" w:eastAsia="宋体" w:cs="宋体"/>
          <w:i w:val="0"/>
          <w:iCs w:val="0"/>
          <w:caps w:val="0"/>
          <w:color w:val="auto"/>
          <w:spacing w:val="0"/>
          <w:sz w:val="28"/>
          <w:szCs w:val="28"/>
        </w:rPr>
        <w:t>（</w:t>
      </w:r>
      <w:r>
        <w:rPr>
          <w:rFonts w:hint="eastAsia" w:ascii="宋体" w:hAnsi="宋体" w:eastAsia="宋体" w:cs="宋体"/>
          <w:i w:val="0"/>
          <w:iCs w:val="0"/>
          <w:caps w:val="0"/>
          <w:color w:val="auto"/>
          <w:spacing w:val="0"/>
          <w:sz w:val="28"/>
          <w:szCs w:val="28"/>
          <w:lang w:val="en-US" w:eastAsia="zh-CN"/>
        </w:rPr>
        <w:t>投标时</w:t>
      </w:r>
      <w:r>
        <w:rPr>
          <w:rFonts w:hint="eastAsia" w:ascii="宋体" w:hAnsi="宋体" w:eastAsia="宋体" w:cs="宋体"/>
          <w:i w:val="0"/>
          <w:iCs w:val="0"/>
          <w:caps w:val="0"/>
          <w:color w:val="auto"/>
          <w:spacing w:val="0"/>
          <w:sz w:val="28"/>
          <w:szCs w:val="28"/>
        </w:rPr>
        <w:t>提供附件2）</w:t>
      </w:r>
    </w:p>
    <w:p w14:paraId="1E8FB26D">
      <w:pPr>
        <w:pStyle w:val="6"/>
        <w:widowControl/>
        <w:numPr>
          <w:ilvl w:val="0"/>
          <w:numId w:val="1"/>
        </w:numPr>
        <w:shd w:val="clear" w:color="auto" w:fill="FFFFFF"/>
        <w:spacing w:before="0" w:beforeAutospacing="0" w:after="0" w:afterAutospacing="0"/>
        <w:ind w:firstLine="480"/>
        <w:rPr>
          <w:rStyle w:val="9"/>
          <w:rFonts w:hint="eastAsia" w:ascii="宋体" w:hAnsi="宋体" w:cs="宋体"/>
          <w:color w:val="auto"/>
          <w:sz w:val="28"/>
          <w:szCs w:val="28"/>
          <w:shd w:val="clear" w:color="auto" w:fill="FFFFFF"/>
        </w:rPr>
      </w:pPr>
      <w:r>
        <w:rPr>
          <w:rStyle w:val="9"/>
          <w:rFonts w:hint="eastAsia" w:ascii="宋体" w:hAnsi="宋体" w:cs="宋体"/>
          <w:color w:val="auto"/>
          <w:sz w:val="28"/>
          <w:szCs w:val="28"/>
          <w:shd w:val="clear" w:color="auto" w:fill="FFFFFF"/>
        </w:rPr>
        <w:t>投标要求</w:t>
      </w:r>
    </w:p>
    <w:p w14:paraId="12368E98">
      <w:pPr>
        <w:pStyle w:val="6"/>
        <w:widowControl/>
        <w:shd w:val="clear" w:color="auto" w:fill="FFFFFF"/>
        <w:spacing w:before="0" w:beforeAutospacing="0" w:after="0" w:afterAutospacing="0"/>
        <w:ind w:firstLine="480"/>
        <w:rPr>
          <w:color w:val="auto"/>
          <w:sz w:val="28"/>
          <w:szCs w:val="28"/>
        </w:rPr>
      </w:pPr>
      <w:r>
        <w:rPr>
          <w:rFonts w:hint="eastAsia" w:ascii="宋体" w:hAnsi="宋体" w:cs="宋体"/>
          <w:color w:val="auto"/>
          <w:sz w:val="28"/>
          <w:szCs w:val="28"/>
          <w:shd w:val="clear" w:color="auto" w:fill="FFFFFF"/>
        </w:rPr>
        <w:t>（一）提供法人授权委托书（格式自拟）、有效的营业执照复印件（加盖单位公章）、被授权人身份证（复印件）及</w:t>
      </w:r>
      <w:r>
        <w:rPr>
          <w:rFonts w:hint="eastAsia" w:ascii="宋体" w:hAnsi="宋体" w:cs="宋体"/>
          <w:color w:val="auto"/>
          <w:sz w:val="28"/>
          <w:szCs w:val="28"/>
          <w:shd w:val="clear" w:color="auto" w:fill="FFFFFF"/>
          <w:lang w:val="en-US" w:eastAsia="zh-CN"/>
        </w:rPr>
        <w:t>按第三大点资格要求列明的证明材料</w:t>
      </w:r>
      <w:r>
        <w:rPr>
          <w:rFonts w:hint="eastAsia" w:ascii="宋体" w:hAnsi="宋体" w:cs="宋体"/>
          <w:color w:val="auto"/>
          <w:sz w:val="28"/>
          <w:szCs w:val="28"/>
          <w:shd w:val="clear" w:color="auto" w:fill="FFFFFF"/>
        </w:rPr>
        <w:t>。</w:t>
      </w:r>
    </w:p>
    <w:p w14:paraId="1D43EE70">
      <w:pPr>
        <w:pStyle w:val="6"/>
        <w:widowControl/>
        <w:shd w:val="clear" w:color="auto" w:fill="FFFFFF"/>
        <w:spacing w:before="0" w:beforeAutospacing="0" w:after="0" w:afterAutospacing="0"/>
        <w:ind w:firstLine="480"/>
        <w:rPr>
          <w:color w:val="auto"/>
          <w:sz w:val="28"/>
          <w:szCs w:val="28"/>
        </w:rPr>
      </w:pPr>
      <w:r>
        <w:rPr>
          <w:rFonts w:hint="eastAsia" w:ascii="宋体" w:hAnsi="宋体" w:cs="宋体"/>
          <w:color w:val="auto"/>
          <w:sz w:val="28"/>
          <w:szCs w:val="28"/>
          <w:shd w:val="clear" w:color="auto" w:fill="FFFFFF"/>
        </w:rPr>
        <w:t>（二）报价函（格式自拟，写清楚所投产品品牌、型号、技术参数等，报价必须包含但不限于运输、调试、安装、税金等本项目所有费用）、技术</w:t>
      </w:r>
      <w:r>
        <w:rPr>
          <w:rFonts w:hint="eastAsia" w:ascii="宋体" w:hAnsi="宋体" w:cs="宋体"/>
          <w:color w:val="auto"/>
          <w:sz w:val="28"/>
          <w:szCs w:val="28"/>
          <w:shd w:val="clear" w:color="auto" w:fill="FFFFFF"/>
          <w:lang w:val="en-US" w:eastAsia="zh-CN"/>
        </w:rPr>
        <w:t>与商务</w:t>
      </w:r>
      <w:r>
        <w:rPr>
          <w:rFonts w:hint="eastAsia" w:ascii="宋体" w:hAnsi="宋体" w:cs="宋体"/>
          <w:color w:val="auto"/>
          <w:sz w:val="28"/>
          <w:szCs w:val="28"/>
          <w:shd w:val="clear" w:color="auto" w:fill="FFFFFF"/>
        </w:rPr>
        <w:t>参数偏离表（格式自拟，必须与采购需求表里的技术参数逐项比对）。</w:t>
      </w:r>
    </w:p>
    <w:p w14:paraId="168DDA12">
      <w:pPr>
        <w:pStyle w:val="6"/>
        <w:widowControl/>
        <w:shd w:val="clear" w:color="auto" w:fill="FFFFFF"/>
        <w:spacing w:before="0" w:beforeAutospacing="0" w:after="0" w:afterAutospacing="0"/>
        <w:ind w:firstLine="480"/>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（三）关于本项目的服务承诺（格式自拟，包含但不限于售后、培训、免费质保期等）。</w:t>
      </w:r>
    </w:p>
    <w:p w14:paraId="19D0DE99">
      <w:pPr>
        <w:pStyle w:val="6"/>
        <w:widowControl/>
        <w:shd w:val="clear" w:color="auto" w:fill="FFFFFF"/>
        <w:spacing w:before="0" w:beforeAutospacing="0" w:after="0" w:afterAutospacing="0"/>
        <w:ind w:firstLine="480"/>
        <w:rPr>
          <w:rFonts w:ascii="宋体" w:hAnsi="宋体" w:cs="宋体"/>
          <w:color w:val="auto"/>
          <w:sz w:val="28"/>
          <w:szCs w:val="28"/>
          <w:shd w:val="clear" w:color="auto" w:fill="FFFFFF"/>
        </w:rPr>
      </w:pPr>
      <w:r>
        <w:rPr>
          <w:rFonts w:hint="eastAsia" w:ascii="宋体" w:hAnsi="宋体" w:cs="宋体"/>
          <w:color w:val="auto"/>
          <w:sz w:val="28"/>
          <w:szCs w:val="28"/>
          <w:shd w:val="clear" w:color="auto" w:fill="FFFFFF"/>
        </w:rPr>
        <w:t>（四）采购需求里要求提供的其他证明材料。</w:t>
      </w:r>
    </w:p>
    <w:p w14:paraId="08AE8EC2">
      <w:pPr>
        <w:pStyle w:val="6"/>
        <w:widowControl/>
        <w:shd w:val="clear" w:color="auto" w:fill="FFFFFF"/>
        <w:spacing w:before="0" w:beforeAutospacing="0" w:after="0" w:afterAutospacing="0"/>
        <w:ind w:firstLine="480"/>
        <w:rPr>
          <w:color w:val="auto"/>
          <w:sz w:val="28"/>
          <w:szCs w:val="28"/>
        </w:rPr>
      </w:pPr>
      <w:r>
        <w:rPr>
          <w:rStyle w:val="9"/>
          <w:rFonts w:hint="eastAsia" w:ascii="宋体" w:hAnsi="宋体" w:cs="宋体"/>
          <w:color w:val="auto"/>
          <w:sz w:val="28"/>
          <w:szCs w:val="28"/>
          <w:shd w:val="clear" w:color="auto" w:fill="FFFFFF"/>
        </w:rPr>
        <w:t>注：所有投标材料必须一正</w:t>
      </w:r>
      <w:r>
        <w:rPr>
          <w:rStyle w:val="9"/>
          <w:rFonts w:hint="eastAsia" w:ascii="宋体" w:hAnsi="宋体" w:cs="宋体"/>
          <w:color w:val="auto"/>
          <w:sz w:val="28"/>
          <w:szCs w:val="28"/>
          <w:shd w:val="clear" w:color="auto" w:fill="FFFFFF"/>
          <w:lang w:val="en-US" w:eastAsia="zh-CN"/>
        </w:rPr>
        <w:t>一</w:t>
      </w:r>
      <w:r>
        <w:rPr>
          <w:rStyle w:val="9"/>
          <w:rFonts w:hint="eastAsia" w:ascii="宋体" w:hAnsi="宋体" w:cs="宋体"/>
          <w:color w:val="auto"/>
          <w:sz w:val="28"/>
          <w:szCs w:val="28"/>
          <w:shd w:val="clear" w:color="auto" w:fill="FFFFFF"/>
        </w:rPr>
        <w:t>副，且须加盖公章后密封提供。</w:t>
      </w:r>
    </w:p>
    <w:p w14:paraId="3891AAFE">
      <w:pPr>
        <w:pStyle w:val="6"/>
        <w:widowControl/>
        <w:shd w:val="clear" w:color="auto" w:fill="FFFFFF"/>
        <w:spacing w:before="0" w:beforeAutospacing="0" w:after="0" w:afterAutospacing="0"/>
        <w:ind w:firstLine="480"/>
        <w:rPr>
          <w:color w:val="auto"/>
          <w:sz w:val="28"/>
          <w:szCs w:val="28"/>
        </w:rPr>
      </w:pPr>
      <w:r>
        <w:rPr>
          <w:rStyle w:val="9"/>
          <w:rFonts w:hint="eastAsia" w:ascii="宋体" w:hAnsi="宋体" w:cs="宋体"/>
          <w:color w:val="auto"/>
          <w:sz w:val="28"/>
          <w:szCs w:val="28"/>
          <w:shd w:val="clear" w:color="auto" w:fill="FFFFFF"/>
        </w:rPr>
        <w:t>五、中标方式</w:t>
      </w:r>
      <w:r>
        <w:rPr>
          <w:rFonts w:hint="eastAsia"/>
          <w:color w:val="auto"/>
          <w:sz w:val="28"/>
          <w:szCs w:val="28"/>
        </w:rPr>
        <w:t>：</w:t>
      </w:r>
      <w:r>
        <w:rPr>
          <w:rFonts w:hint="eastAsia" w:ascii="宋体" w:hAnsi="宋体" w:cs="宋体"/>
          <w:color w:val="auto"/>
          <w:sz w:val="28"/>
          <w:szCs w:val="28"/>
          <w:shd w:val="clear" w:color="auto" w:fill="FFFFFF"/>
        </w:rPr>
        <w:t>根据投标人的投标材料，在满足采购需求的基础上，采取低价中标方式选定该项目中标单位，若价格相同，则采取抽签方式确定中标单位。</w:t>
      </w:r>
    </w:p>
    <w:p w14:paraId="05CA4CEC">
      <w:pPr>
        <w:pStyle w:val="6"/>
        <w:widowControl/>
        <w:shd w:val="clear" w:color="auto" w:fill="FFFFFF"/>
        <w:spacing w:before="0" w:beforeAutospacing="0" w:after="0" w:afterAutospacing="0"/>
        <w:ind w:firstLine="480"/>
        <w:rPr>
          <w:color w:val="auto"/>
          <w:sz w:val="28"/>
          <w:szCs w:val="28"/>
        </w:rPr>
      </w:pPr>
      <w:r>
        <w:rPr>
          <w:rStyle w:val="9"/>
          <w:rFonts w:hint="eastAsia" w:ascii="宋体" w:hAnsi="宋体" w:cs="宋体"/>
          <w:color w:val="auto"/>
          <w:sz w:val="28"/>
          <w:szCs w:val="28"/>
          <w:shd w:val="clear" w:color="auto" w:fill="FFFFFF"/>
        </w:rPr>
        <w:t>六、投标截止时间和地点</w:t>
      </w:r>
    </w:p>
    <w:p w14:paraId="2CEBDC80">
      <w:pPr>
        <w:pStyle w:val="6"/>
        <w:widowControl/>
        <w:shd w:val="clear" w:color="auto" w:fill="FFFFFF"/>
        <w:spacing w:before="0" w:beforeAutospacing="0" w:after="0" w:afterAutospacing="0"/>
        <w:ind w:firstLine="480"/>
        <w:rPr>
          <w:color w:val="auto"/>
          <w:sz w:val="28"/>
          <w:szCs w:val="28"/>
        </w:rPr>
      </w:pPr>
      <w:r>
        <w:rPr>
          <w:rFonts w:hint="eastAsia" w:ascii="宋体" w:hAnsi="宋体" w:cs="宋体"/>
          <w:color w:val="auto"/>
          <w:sz w:val="28"/>
          <w:szCs w:val="28"/>
          <w:shd w:val="clear" w:color="auto" w:fill="FFFFFF"/>
        </w:rPr>
        <w:t>投标时间：凡愿意且符合条件投标人，请于202</w:t>
      </w:r>
      <w:r>
        <w:rPr>
          <w:rFonts w:hint="eastAsia" w:ascii="宋体" w:hAnsi="宋体" w:cs="宋体"/>
          <w:color w:val="auto"/>
          <w:sz w:val="28"/>
          <w:szCs w:val="28"/>
          <w:shd w:val="clear" w:color="auto" w:fill="FFFFFF"/>
          <w:lang w:val="en-US" w:eastAsia="zh-CN"/>
        </w:rPr>
        <w:t>5</w:t>
      </w:r>
      <w:r>
        <w:rPr>
          <w:rFonts w:hint="eastAsia" w:ascii="宋体" w:hAnsi="宋体" w:cs="宋体"/>
          <w:color w:val="auto"/>
          <w:sz w:val="28"/>
          <w:szCs w:val="28"/>
          <w:shd w:val="clear" w:color="auto" w:fill="FFFFFF"/>
        </w:rPr>
        <w:t>年</w:t>
      </w:r>
      <w:r>
        <w:rPr>
          <w:rFonts w:hint="eastAsia" w:ascii="宋体" w:hAnsi="宋体" w:cs="宋体"/>
          <w:color w:val="auto"/>
          <w:sz w:val="28"/>
          <w:szCs w:val="28"/>
          <w:shd w:val="clear" w:color="auto" w:fill="FFFFFF"/>
          <w:lang w:val="en-US" w:eastAsia="zh-CN"/>
        </w:rPr>
        <w:t>9</w:t>
      </w:r>
      <w:r>
        <w:rPr>
          <w:rFonts w:hint="eastAsia" w:ascii="宋体" w:hAnsi="宋体" w:cs="宋体"/>
          <w:color w:val="auto"/>
          <w:sz w:val="28"/>
          <w:szCs w:val="28"/>
          <w:shd w:val="clear" w:color="auto" w:fill="FFFFFF"/>
        </w:rPr>
        <w:t>月</w:t>
      </w:r>
      <w:r>
        <w:rPr>
          <w:rFonts w:hint="eastAsia" w:ascii="宋体" w:hAnsi="宋体" w:cs="宋体"/>
          <w:color w:val="auto"/>
          <w:sz w:val="28"/>
          <w:szCs w:val="28"/>
          <w:shd w:val="clear" w:color="auto" w:fill="FFFFFF"/>
          <w:lang w:val="en-US" w:eastAsia="zh-CN"/>
        </w:rPr>
        <w:t xml:space="preserve"> 24 </w:t>
      </w:r>
      <w:r>
        <w:rPr>
          <w:rFonts w:hint="eastAsia" w:ascii="宋体" w:hAnsi="宋体" w:cs="宋体"/>
          <w:color w:val="auto"/>
          <w:sz w:val="28"/>
          <w:szCs w:val="28"/>
          <w:shd w:val="clear" w:color="auto" w:fill="FFFFFF"/>
        </w:rPr>
        <w:t>日</w:t>
      </w:r>
      <w:r>
        <w:rPr>
          <w:rFonts w:hint="eastAsia" w:ascii="宋体" w:hAnsi="宋体" w:cs="宋体"/>
          <w:color w:val="auto"/>
          <w:sz w:val="28"/>
          <w:szCs w:val="28"/>
          <w:shd w:val="clear" w:color="auto" w:fill="FFFFFF"/>
          <w:lang w:val="en-US" w:eastAsia="zh-CN"/>
        </w:rPr>
        <w:t>上午9</w:t>
      </w:r>
      <w:r>
        <w:rPr>
          <w:rFonts w:hint="eastAsia" w:ascii="宋体" w:hAnsi="宋体" w:cs="宋体"/>
          <w:color w:val="auto"/>
          <w:sz w:val="28"/>
          <w:szCs w:val="28"/>
          <w:shd w:val="clear" w:color="auto" w:fill="FFFFFF"/>
        </w:rPr>
        <w:t>点至1</w:t>
      </w:r>
      <w:r>
        <w:rPr>
          <w:rFonts w:hint="eastAsia" w:ascii="宋体" w:hAnsi="宋体" w:cs="宋体"/>
          <w:color w:val="auto"/>
          <w:sz w:val="28"/>
          <w:szCs w:val="28"/>
          <w:shd w:val="clear" w:color="auto" w:fill="FFFFFF"/>
          <w:lang w:val="en-US" w:eastAsia="zh-CN"/>
        </w:rPr>
        <w:t>1</w:t>
      </w:r>
      <w:r>
        <w:rPr>
          <w:rFonts w:hint="eastAsia" w:ascii="宋体" w:hAnsi="宋体" w:cs="宋体"/>
          <w:color w:val="auto"/>
          <w:sz w:val="28"/>
          <w:szCs w:val="28"/>
          <w:shd w:val="clear" w:color="auto" w:fill="FFFFFF"/>
        </w:rPr>
        <w:t>点之间，将投标文件送达广西艺术学院财务资产处，其他时间不接收报名材料。投标地点：南宁市教育路7号广西艺术学院雕塑办公楼107室财务资产处采购管理科。联系人：</w:t>
      </w:r>
      <w:r>
        <w:rPr>
          <w:rFonts w:hint="eastAsia" w:ascii="宋体" w:hAnsi="宋体" w:cs="宋体"/>
          <w:color w:val="auto"/>
          <w:sz w:val="28"/>
          <w:szCs w:val="28"/>
          <w:shd w:val="clear" w:color="auto" w:fill="FFFFFF"/>
          <w:lang w:val="en-US" w:eastAsia="zh-CN"/>
        </w:rPr>
        <w:t>朱</w:t>
      </w:r>
      <w:r>
        <w:rPr>
          <w:rFonts w:hint="eastAsia" w:ascii="宋体" w:hAnsi="宋体" w:cs="宋体"/>
          <w:color w:val="auto"/>
          <w:sz w:val="28"/>
          <w:szCs w:val="28"/>
          <w:shd w:val="clear" w:color="auto" w:fill="FFFFFF"/>
        </w:rPr>
        <w:t>老师，联系电话：0771</w:t>
      </w:r>
      <w:r>
        <w:rPr>
          <w:rFonts w:hint="eastAsia" w:ascii="宋体" w:hAnsi="宋体" w:cs="宋体"/>
          <w:color w:val="auto"/>
          <w:sz w:val="28"/>
          <w:szCs w:val="28"/>
          <w:shd w:val="clear" w:color="auto" w:fill="FFFFFF"/>
          <w:lang w:val="en-US" w:eastAsia="zh-CN"/>
        </w:rPr>
        <w:t>-</w:t>
      </w:r>
      <w:r>
        <w:rPr>
          <w:rFonts w:hint="eastAsia" w:ascii="宋体" w:hAnsi="宋体" w:cs="宋体"/>
          <w:color w:val="auto"/>
          <w:sz w:val="28"/>
          <w:szCs w:val="28"/>
          <w:shd w:val="clear" w:color="auto" w:fill="FFFFFF"/>
        </w:rPr>
        <w:t>5327987.</w:t>
      </w:r>
    </w:p>
    <w:p w14:paraId="4C5B762E">
      <w:pPr>
        <w:pStyle w:val="6"/>
        <w:widowControl/>
        <w:shd w:val="clear" w:color="auto" w:fill="FFFFFF"/>
        <w:spacing w:before="0" w:beforeAutospacing="0" w:after="0" w:afterAutospacing="0"/>
        <w:ind w:firstLine="480"/>
        <w:rPr>
          <w:rFonts w:hint="eastAsia" w:ascii="宋体" w:hAnsi="宋体" w:eastAsia="宋体" w:cs="宋体"/>
          <w:i w:val="0"/>
          <w:iCs w:val="0"/>
          <w:caps w:val="0"/>
          <w:color w:val="auto"/>
          <w:spacing w:val="0"/>
          <w:sz w:val="28"/>
          <w:szCs w:val="28"/>
          <w:shd w:val="clear" w:fill="FFFFFF"/>
        </w:rPr>
      </w:pPr>
      <w:r>
        <w:rPr>
          <w:rFonts w:hint="eastAsia" w:ascii="宋体" w:hAnsi="宋体" w:cs="宋体"/>
          <w:color w:val="auto"/>
          <w:sz w:val="28"/>
          <w:szCs w:val="28"/>
          <w:shd w:val="clear" w:color="auto" w:fill="FFFFFF"/>
        </w:rPr>
        <w:t>七、</w:t>
      </w:r>
      <w:r>
        <w:rPr>
          <w:rFonts w:hint="eastAsia" w:ascii="宋体" w:hAnsi="宋体" w:eastAsia="宋体" w:cs="宋体"/>
          <w:i w:val="0"/>
          <w:iCs w:val="0"/>
          <w:caps w:val="0"/>
          <w:color w:val="auto"/>
          <w:spacing w:val="0"/>
          <w:sz w:val="28"/>
          <w:szCs w:val="28"/>
          <w:shd w:val="clear" w:fill="FFFFFF"/>
        </w:rPr>
        <w:t>本次采购的相关信息（包括但不限于采购公告与附件及其修改、补充、澄清等，下同）在广西艺术学院主页的“机构设置-财务资产处-招标公告”栏（网址：https://cwc.gxau.edu.cn/zbgg2）上发布，本次采购的相关信息一经在上述网站发布，即视为已发送给投标人。投标人据此参与本次采购活动，即视为对本次采购的相关信息、内容及规则没有异议。</w:t>
      </w:r>
    </w:p>
    <w:p w14:paraId="1D35ADC4">
      <w:pPr>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br w:type="page"/>
      </w:r>
    </w:p>
    <w:p w14:paraId="272DB90D">
      <w:pPr>
        <w:jc w:val="center"/>
        <w:rPr>
          <w:rFonts w:hint="eastAsia" w:ascii="宋体" w:hAnsi="宋体" w:cs="宋体"/>
          <w:b/>
          <w:bCs/>
          <w:sz w:val="72"/>
          <w:szCs w:val="72"/>
        </w:rPr>
      </w:pPr>
      <w:r>
        <w:rPr>
          <w:rFonts w:hint="eastAsia" w:ascii="宋体" w:hAnsi="宋体" w:cs="宋体"/>
          <w:b/>
          <w:bCs/>
          <w:sz w:val="72"/>
          <w:szCs w:val="72"/>
        </w:rPr>
        <w:t>采购合同</w:t>
      </w:r>
    </w:p>
    <w:p w14:paraId="5ADD2110">
      <w:pPr>
        <w:spacing w:line="480" w:lineRule="auto"/>
        <w:rPr>
          <w:rFonts w:hint="eastAsia" w:ascii="宋体" w:hAnsi="宋体" w:cs="宋体"/>
          <w:sz w:val="24"/>
        </w:rPr>
      </w:pPr>
    </w:p>
    <w:p w14:paraId="55E1D79D">
      <w:pPr>
        <w:spacing w:line="480" w:lineRule="auto"/>
        <w:rPr>
          <w:rFonts w:hint="eastAsia" w:ascii="宋体" w:hAnsi="宋体" w:cs="宋体"/>
          <w:sz w:val="24"/>
        </w:rPr>
      </w:pPr>
    </w:p>
    <w:p w14:paraId="15A19F15">
      <w:pPr>
        <w:spacing w:line="480" w:lineRule="auto"/>
        <w:rPr>
          <w:rFonts w:hint="eastAsia" w:ascii="宋体" w:hAnsi="宋体" w:cs="宋体"/>
          <w:sz w:val="24"/>
        </w:rPr>
      </w:pPr>
    </w:p>
    <w:p w14:paraId="3AA8E7C7">
      <w:pPr>
        <w:spacing w:line="720" w:lineRule="auto"/>
        <w:rPr>
          <w:rFonts w:ascii="宋体" w:hAnsi="宋体" w:cs="宋体"/>
          <w:b/>
          <w:bCs/>
          <w:sz w:val="30"/>
          <w:szCs w:val="30"/>
        </w:rPr>
      </w:pPr>
      <w:r>
        <w:rPr>
          <w:rFonts w:hint="eastAsia" w:ascii="宋体" w:hAnsi="宋体" w:cs="宋体"/>
          <w:b/>
          <w:bCs/>
          <w:sz w:val="30"/>
          <w:szCs w:val="30"/>
        </w:rPr>
        <w:t>项目名称：</w:t>
      </w:r>
      <w:r>
        <w:rPr>
          <w:rFonts w:hint="eastAsia" w:ascii="宋体" w:hAnsi="宋体" w:cs="宋体"/>
          <w:b/>
          <w:bCs/>
          <w:sz w:val="30"/>
          <w:szCs w:val="30"/>
          <w:u w:val="single"/>
        </w:rPr>
        <w:t>广西艺术学院</w:t>
      </w:r>
      <w:r>
        <w:rPr>
          <w:rFonts w:hint="eastAsia" w:ascii="宋体" w:hAnsi="宋体" w:cs="宋体"/>
          <w:b/>
          <w:bCs/>
          <w:sz w:val="30"/>
          <w:szCs w:val="30"/>
          <w:u w:val="single"/>
          <w:lang w:val="en-US" w:eastAsia="zh-CN"/>
        </w:rPr>
        <w:t>学术报告厅设备</w:t>
      </w:r>
      <w:r>
        <w:rPr>
          <w:rFonts w:hint="eastAsia" w:ascii="宋体" w:hAnsi="宋体" w:cs="宋体"/>
          <w:b/>
          <w:bCs/>
          <w:sz w:val="30"/>
          <w:szCs w:val="30"/>
          <w:u w:val="single"/>
        </w:rPr>
        <w:t>项目</w:t>
      </w:r>
    </w:p>
    <w:p w14:paraId="3AC9462F">
      <w:pPr>
        <w:spacing w:line="720" w:lineRule="auto"/>
        <w:ind w:right="-313" w:rightChars="-149"/>
        <w:rPr>
          <w:rFonts w:hint="eastAsia" w:ascii="宋体" w:hAnsi="宋体" w:cs="宋体"/>
          <w:b/>
          <w:bCs/>
          <w:sz w:val="30"/>
          <w:szCs w:val="30"/>
        </w:rPr>
      </w:pPr>
      <w:r>
        <w:rPr>
          <w:rFonts w:hint="eastAsia" w:ascii="宋体" w:hAnsi="宋体" w:cs="宋体"/>
          <w:b/>
          <w:bCs/>
          <w:sz w:val="30"/>
          <w:szCs w:val="30"/>
        </w:rPr>
        <w:t>合同编号：</w:t>
      </w:r>
      <w:r>
        <w:rPr>
          <w:rFonts w:hint="eastAsia" w:ascii="宋体" w:hAnsi="宋体" w:cs="宋体"/>
          <w:b/>
          <w:bCs/>
          <w:sz w:val="30"/>
          <w:szCs w:val="30"/>
          <w:u w:val="single"/>
        </w:rPr>
        <w:t xml:space="preserve">                                   </w:t>
      </w:r>
    </w:p>
    <w:p w14:paraId="4AE95E09">
      <w:pPr>
        <w:spacing w:line="720" w:lineRule="auto"/>
        <w:rPr>
          <w:rFonts w:ascii="宋体" w:hAnsi="宋体" w:cs="宋体"/>
          <w:b/>
          <w:bCs/>
          <w:sz w:val="30"/>
          <w:szCs w:val="30"/>
        </w:rPr>
      </w:pPr>
      <w:r>
        <w:rPr>
          <w:rFonts w:hint="eastAsia" w:ascii="宋体" w:hAnsi="宋体" w:cs="宋体"/>
          <w:b/>
          <w:bCs/>
          <w:sz w:val="30"/>
          <w:szCs w:val="30"/>
        </w:rPr>
        <w:t>采购单位（甲方）：</w:t>
      </w:r>
      <w:r>
        <w:rPr>
          <w:rFonts w:hint="eastAsia" w:ascii="宋体" w:hAnsi="宋体" w:cs="宋体"/>
          <w:b/>
          <w:bCs/>
          <w:sz w:val="30"/>
          <w:szCs w:val="30"/>
          <w:u w:val="single"/>
        </w:rPr>
        <w:t xml:space="preserve">广西艺术学院 </w:t>
      </w:r>
    </w:p>
    <w:p w14:paraId="0CB7ACCB">
      <w:pPr>
        <w:spacing w:line="720" w:lineRule="auto"/>
        <w:rPr>
          <w:rFonts w:hint="default" w:ascii="宋体" w:hAnsi="宋体" w:eastAsia="宋体" w:cs="宋体"/>
          <w:b/>
          <w:bCs/>
          <w:sz w:val="28"/>
          <w:szCs w:val="28"/>
          <w:lang w:val="en-US" w:eastAsia="zh-CN"/>
        </w:rPr>
      </w:pPr>
      <w:r>
        <w:rPr>
          <w:rFonts w:hint="eastAsia" w:ascii="宋体" w:hAnsi="宋体" w:cs="宋体"/>
          <w:b/>
          <w:bCs/>
          <w:sz w:val="30"/>
          <w:szCs w:val="30"/>
        </w:rPr>
        <w:t>供 应 商（乙方）：</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 xml:space="preserve">                           </w:t>
      </w:r>
    </w:p>
    <w:p w14:paraId="2D183C39">
      <w:pPr>
        <w:rPr>
          <w:rFonts w:hint="eastAsia" w:ascii="宋体" w:hAnsi="宋体" w:cs="宋体"/>
          <w:b/>
          <w:bCs/>
          <w:sz w:val="28"/>
          <w:szCs w:val="28"/>
        </w:rPr>
      </w:pPr>
    </w:p>
    <w:p w14:paraId="649E1C53">
      <w:pPr>
        <w:rPr>
          <w:rFonts w:hint="eastAsia" w:ascii="宋体" w:hAnsi="宋体" w:cs="宋体"/>
          <w:b/>
          <w:bCs/>
          <w:sz w:val="28"/>
          <w:szCs w:val="28"/>
        </w:rPr>
      </w:pPr>
    </w:p>
    <w:p w14:paraId="72AC449B">
      <w:pPr>
        <w:rPr>
          <w:rFonts w:hint="eastAsia" w:ascii="宋体" w:hAnsi="宋体" w:cs="宋体"/>
          <w:b/>
          <w:bCs/>
          <w:sz w:val="28"/>
          <w:szCs w:val="28"/>
        </w:rPr>
      </w:pPr>
    </w:p>
    <w:p w14:paraId="4E4B3C30">
      <w:pPr>
        <w:rPr>
          <w:rFonts w:hint="eastAsia" w:ascii="宋体" w:hAnsi="宋体" w:cs="宋体"/>
          <w:b/>
          <w:bCs/>
          <w:sz w:val="28"/>
          <w:szCs w:val="28"/>
        </w:rPr>
      </w:pPr>
    </w:p>
    <w:p w14:paraId="28DA9BC8">
      <w:pPr>
        <w:rPr>
          <w:rFonts w:hint="eastAsia" w:ascii="宋体" w:hAnsi="宋体" w:cs="宋体"/>
          <w:b/>
          <w:bCs/>
          <w:sz w:val="28"/>
          <w:szCs w:val="28"/>
        </w:rPr>
      </w:pPr>
    </w:p>
    <w:p w14:paraId="7087AE65">
      <w:pPr>
        <w:rPr>
          <w:rFonts w:hint="eastAsia" w:ascii="宋体" w:hAnsi="宋体" w:cs="宋体"/>
          <w:b/>
          <w:bCs/>
          <w:sz w:val="30"/>
          <w:szCs w:val="30"/>
        </w:rPr>
      </w:pPr>
      <w:r>
        <w:rPr>
          <w:rFonts w:hint="eastAsia" w:ascii="宋体" w:hAnsi="宋体" w:cs="宋体"/>
          <w:b/>
          <w:bCs/>
          <w:sz w:val="30"/>
          <w:szCs w:val="30"/>
        </w:rPr>
        <w:t>签订合同地点：    广西南宁市</w:t>
      </w:r>
    </w:p>
    <w:p w14:paraId="0D100BD4">
      <w:pPr>
        <w:rPr>
          <w:rFonts w:hint="eastAsia" w:ascii="宋体" w:hAnsi="宋体" w:cs="宋体"/>
          <w:b/>
          <w:bCs/>
          <w:sz w:val="30"/>
          <w:szCs w:val="30"/>
        </w:rPr>
      </w:pPr>
      <w:r>
        <w:rPr>
          <w:rFonts w:hint="eastAsia" w:ascii="宋体" w:hAnsi="宋体" w:cs="宋体"/>
          <w:b/>
          <w:bCs/>
          <w:sz w:val="30"/>
          <w:szCs w:val="30"/>
        </w:rPr>
        <w:t>签订合同时间：</w:t>
      </w:r>
      <w:r>
        <w:rPr>
          <w:rFonts w:hint="eastAsia" w:ascii="宋体" w:hAnsi="宋体" w:cs="宋体"/>
          <w:b/>
          <w:bCs/>
          <w:sz w:val="30"/>
          <w:szCs w:val="30"/>
          <w:lang w:val="en-US" w:eastAsia="zh-CN"/>
        </w:rPr>
        <w:t xml:space="preserve">     </w:t>
      </w:r>
      <w:r>
        <w:rPr>
          <w:rFonts w:hint="eastAsia" w:ascii="宋体" w:hAnsi="宋体" w:cs="宋体"/>
          <w:b/>
          <w:bCs/>
          <w:sz w:val="30"/>
          <w:szCs w:val="30"/>
        </w:rPr>
        <w:t>年    月    日</w:t>
      </w:r>
    </w:p>
    <w:p w14:paraId="3343261E">
      <w:pPr>
        <w:rPr>
          <w:rFonts w:hint="eastAsia"/>
          <w:b/>
          <w:bCs/>
        </w:rPr>
      </w:pPr>
    </w:p>
    <w:p w14:paraId="499A1509">
      <w:pPr>
        <w:rPr>
          <w:rFonts w:hint="eastAsia"/>
        </w:rPr>
      </w:pPr>
    </w:p>
    <w:p w14:paraId="05350C30">
      <w:pPr>
        <w:snapToGrid w:val="0"/>
        <w:spacing w:line="400" w:lineRule="exact"/>
        <w:jc w:val="center"/>
        <w:rPr>
          <w:rFonts w:hint="eastAsia" w:ascii="宋体" w:hAnsi="宋体"/>
          <w:b/>
          <w:bCs/>
          <w:color w:val="000000"/>
          <w:sz w:val="32"/>
          <w:szCs w:val="32"/>
        </w:rPr>
        <w:sectPr>
          <w:footerReference r:id="rId3" w:type="default"/>
          <w:pgSz w:w="11906" w:h="16838"/>
          <w:pgMar w:top="1440" w:right="1686" w:bottom="1440" w:left="1600" w:header="851" w:footer="992" w:gutter="0"/>
          <w:pgNumType w:fmt="decimal"/>
          <w:cols w:space="720" w:num="1"/>
          <w:docGrid w:type="lines" w:linePitch="312" w:charSpace="0"/>
        </w:sectPr>
      </w:pPr>
    </w:p>
    <w:p w14:paraId="79BA4873">
      <w:pPr>
        <w:snapToGrid w:val="0"/>
        <w:spacing w:line="400" w:lineRule="exact"/>
        <w:jc w:val="center"/>
        <w:rPr>
          <w:rFonts w:hint="eastAsia" w:ascii="宋体" w:hAnsi="宋体"/>
          <w:b/>
          <w:bCs/>
          <w:color w:val="000000"/>
          <w:sz w:val="32"/>
          <w:szCs w:val="32"/>
        </w:rPr>
      </w:pPr>
      <w:r>
        <w:rPr>
          <w:rFonts w:hint="eastAsia" w:ascii="宋体" w:hAnsi="宋体"/>
          <w:b/>
          <w:bCs/>
          <w:color w:val="000000"/>
          <w:sz w:val="32"/>
          <w:szCs w:val="32"/>
        </w:rPr>
        <w:t>采购合同</w:t>
      </w:r>
      <w:r>
        <w:rPr>
          <w:rFonts w:hint="eastAsia" w:ascii="宋体" w:hAnsi="宋体"/>
          <w:b/>
          <w:color w:val="000000"/>
          <w:sz w:val="32"/>
          <w:szCs w:val="32"/>
        </w:rPr>
        <w:t>文本</w:t>
      </w:r>
    </w:p>
    <w:p w14:paraId="5A675C7B">
      <w:pPr>
        <w:snapToGrid w:val="0"/>
        <w:spacing w:line="400" w:lineRule="exact"/>
        <w:ind w:right="480" w:firstLine="5460" w:firstLineChars="2600"/>
        <w:rPr>
          <w:rFonts w:ascii="宋体" w:hAnsi="宋体" w:cs="宋体"/>
          <w:bCs/>
          <w:color w:val="000000"/>
          <w:szCs w:val="21"/>
          <w:u w:val="single"/>
        </w:rPr>
      </w:pPr>
      <w:r>
        <w:rPr>
          <w:rFonts w:hint="eastAsia" w:ascii="宋体" w:hAnsi="宋体" w:cs="宋体"/>
          <w:bCs/>
          <w:color w:val="000000"/>
          <w:szCs w:val="21"/>
        </w:rPr>
        <w:t>合同编号：</w:t>
      </w:r>
      <w:r>
        <w:rPr>
          <w:rFonts w:hint="eastAsia" w:ascii="宋体" w:hAnsi="宋体" w:cs="宋体"/>
          <w:bCs/>
          <w:color w:val="000000"/>
          <w:szCs w:val="21"/>
          <w:u w:val="single"/>
        </w:rPr>
        <w:t xml:space="preserve">                 </w:t>
      </w:r>
    </w:p>
    <w:p w14:paraId="74EFBF14">
      <w:pPr>
        <w:snapToGrid w:val="0"/>
        <w:spacing w:line="240" w:lineRule="atLeast"/>
        <w:rPr>
          <w:rFonts w:hint="eastAsia" w:ascii="宋体" w:hAnsi="宋体" w:cs="宋体"/>
          <w:color w:val="000000"/>
          <w:sz w:val="24"/>
        </w:rPr>
      </w:pPr>
      <w:r>
        <w:rPr>
          <w:rFonts w:hint="eastAsia" w:ascii="宋体" w:hAnsi="宋体" w:cs="宋体"/>
          <w:color w:val="000000"/>
          <w:sz w:val="24"/>
        </w:rPr>
        <w:t>采购单位（甲方）：</w:t>
      </w:r>
      <w:r>
        <w:rPr>
          <w:rFonts w:hint="eastAsia" w:ascii="宋体" w:hAnsi="宋体" w:cs="宋体"/>
          <w:color w:val="000000"/>
          <w:sz w:val="24"/>
          <w:u w:val="single"/>
        </w:rPr>
        <w:t>广西艺术学院</w:t>
      </w:r>
      <w:r>
        <w:rPr>
          <w:rFonts w:hint="eastAsia" w:ascii="宋体" w:hAnsi="宋体" w:cs="宋体"/>
          <w:color w:val="000000"/>
          <w:sz w:val="24"/>
        </w:rPr>
        <w:t xml:space="preserve">  </w:t>
      </w:r>
    </w:p>
    <w:p w14:paraId="7C183317">
      <w:pPr>
        <w:snapToGrid w:val="0"/>
        <w:spacing w:line="240" w:lineRule="atLeast"/>
        <w:rPr>
          <w:rFonts w:hint="eastAsia" w:ascii="宋体" w:hAnsi="宋体" w:cs="宋体"/>
          <w:color w:val="000000"/>
          <w:sz w:val="24"/>
        </w:rPr>
      </w:pPr>
      <w:r>
        <w:rPr>
          <w:rFonts w:hint="eastAsia" w:ascii="宋体" w:hAnsi="宋体" w:cs="宋体"/>
          <w:color w:val="000000"/>
          <w:sz w:val="24"/>
        </w:rPr>
        <w:t>供 应 商（乙方）：</w:t>
      </w:r>
      <w:r>
        <w:rPr>
          <w:rFonts w:hint="eastAsia" w:ascii="宋体" w:hAnsi="宋体" w:cs="宋体"/>
          <w:color w:val="000000"/>
          <w:sz w:val="24"/>
          <w:u w:val="single"/>
          <w:lang w:val="en-US" w:eastAsia="zh-CN"/>
        </w:rPr>
        <w:t xml:space="preserve">                    </w:t>
      </w:r>
      <w:r>
        <w:rPr>
          <w:rFonts w:hint="eastAsia" w:ascii="宋体" w:hAnsi="宋体" w:cs="宋体"/>
          <w:color w:val="000000"/>
          <w:sz w:val="24"/>
        </w:rPr>
        <w:t xml:space="preserve">  </w:t>
      </w:r>
    </w:p>
    <w:p w14:paraId="051E1DDF">
      <w:pPr>
        <w:spacing w:line="240" w:lineRule="atLeast"/>
        <w:rPr>
          <w:rFonts w:ascii="宋体" w:hAnsi="宋体" w:cs="宋体"/>
          <w:sz w:val="24"/>
        </w:rPr>
      </w:pPr>
      <w:r>
        <w:rPr>
          <w:rFonts w:hint="eastAsia" w:ascii="宋体" w:hAnsi="宋体" w:cs="宋体"/>
          <w:sz w:val="24"/>
        </w:rPr>
        <w:t>项目名称：</w:t>
      </w:r>
      <w:r>
        <w:rPr>
          <w:rFonts w:hint="eastAsia" w:ascii="宋体" w:hAnsi="宋体" w:cs="宋体"/>
          <w:sz w:val="24"/>
          <w:u w:val="single"/>
        </w:rPr>
        <w:t>广西艺术学院</w:t>
      </w:r>
      <w:r>
        <w:rPr>
          <w:rFonts w:hint="eastAsia" w:ascii="宋体" w:hAnsi="宋体" w:cs="宋体"/>
          <w:sz w:val="24"/>
          <w:u w:val="single"/>
          <w:lang w:val="en-US" w:eastAsia="zh-CN"/>
        </w:rPr>
        <w:t>学术报告厅</w:t>
      </w:r>
      <w:r>
        <w:rPr>
          <w:rFonts w:hint="eastAsia" w:ascii="宋体" w:hAnsi="宋体" w:cs="宋体"/>
          <w:sz w:val="24"/>
          <w:u w:val="single"/>
        </w:rPr>
        <w:t>设备项目</w:t>
      </w:r>
    </w:p>
    <w:p w14:paraId="2DC96CEA">
      <w:pPr>
        <w:snapToGrid w:val="0"/>
        <w:spacing w:line="240" w:lineRule="atLeast"/>
        <w:rPr>
          <w:rFonts w:hint="eastAsia" w:ascii="宋体" w:hAnsi="宋体" w:cs="宋体"/>
          <w:color w:val="000000"/>
          <w:sz w:val="24"/>
          <w:u w:val="single"/>
        </w:rPr>
      </w:pPr>
      <w:r>
        <w:rPr>
          <w:rFonts w:hint="eastAsia" w:ascii="宋体" w:hAnsi="宋体" w:cs="宋体"/>
          <w:color w:val="000000"/>
          <w:sz w:val="24"/>
        </w:rPr>
        <w:t>签订地点：</w:t>
      </w:r>
      <w:r>
        <w:rPr>
          <w:rFonts w:hint="eastAsia" w:ascii="宋体" w:hAnsi="宋体" w:cs="宋体"/>
          <w:color w:val="000000"/>
          <w:sz w:val="24"/>
          <w:u w:val="single"/>
        </w:rPr>
        <w:t>广西南宁市</w:t>
      </w:r>
      <w:r>
        <w:rPr>
          <w:rFonts w:hint="eastAsia" w:ascii="宋体" w:hAnsi="宋体" w:cs="宋体"/>
          <w:color w:val="000000"/>
          <w:sz w:val="24"/>
        </w:rPr>
        <w:t xml:space="preserve">                      签订时间：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年  月    日</w:t>
      </w:r>
    </w:p>
    <w:p w14:paraId="5E41E6A2">
      <w:pPr>
        <w:snapToGrid w:val="0"/>
        <w:spacing w:line="360" w:lineRule="auto"/>
        <w:ind w:firstLine="480" w:firstLineChars="200"/>
        <w:rPr>
          <w:rFonts w:hint="eastAsia" w:ascii="宋体" w:hAnsi="宋体" w:cs="宋体"/>
          <w:color w:val="000000"/>
          <w:sz w:val="24"/>
        </w:rPr>
      </w:pPr>
    </w:p>
    <w:p w14:paraId="15AABEE2">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根据《中华人民共和国政府采购法》、《中华人民共和国民法典》等法律、法规规定，按照竞争性谈判文件规定条款和成交供应商承诺，甲乙双方签订本合同。</w:t>
      </w:r>
    </w:p>
    <w:p w14:paraId="7CC2E2F4">
      <w:pPr>
        <w:snapToGrid w:val="0"/>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第一条</w:t>
      </w:r>
      <w:r>
        <w:rPr>
          <w:rFonts w:hint="eastAsia" w:ascii="宋体" w:hAnsi="宋体" w:cs="宋体"/>
          <w:b/>
          <w:color w:val="000000"/>
          <w:sz w:val="24"/>
          <w:lang w:val="en-US" w:eastAsia="zh-CN"/>
        </w:rPr>
        <w:t xml:space="preserve"> </w:t>
      </w:r>
      <w:r>
        <w:rPr>
          <w:rFonts w:hint="eastAsia" w:ascii="宋体" w:hAnsi="宋体" w:cs="宋体"/>
          <w:b/>
          <w:color w:val="000000"/>
          <w:sz w:val="24"/>
        </w:rPr>
        <w:t>合同标的</w:t>
      </w:r>
    </w:p>
    <w:p w14:paraId="18F195B2">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1.供货一览表</w:t>
      </w:r>
    </w:p>
    <w:tbl>
      <w:tblPr>
        <w:tblStyle w:val="7"/>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776"/>
        <w:gridCol w:w="2720"/>
        <w:gridCol w:w="690"/>
        <w:gridCol w:w="705"/>
        <w:gridCol w:w="1215"/>
        <w:gridCol w:w="1504"/>
      </w:tblGrid>
      <w:tr w14:paraId="1B12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73" w:type="dxa"/>
            <w:noWrap w:val="0"/>
            <w:vAlign w:val="center"/>
          </w:tcPr>
          <w:p w14:paraId="0AD15325">
            <w:pPr>
              <w:snapToGrid w:val="0"/>
              <w:jc w:val="center"/>
              <w:rPr>
                <w:rFonts w:hint="eastAsia" w:ascii="宋体" w:hAnsi="宋体" w:cs="宋体"/>
                <w:b/>
                <w:bCs/>
                <w:color w:val="000000"/>
                <w:szCs w:val="21"/>
              </w:rPr>
            </w:pPr>
            <w:r>
              <w:rPr>
                <w:rFonts w:hint="eastAsia" w:ascii="宋体" w:hAnsi="宋体" w:cs="宋体"/>
                <w:b/>
                <w:bCs/>
                <w:color w:val="000000"/>
                <w:szCs w:val="21"/>
              </w:rPr>
              <w:t>序号</w:t>
            </w:r>
          </w:p>
        </w:tc>
        <w:tc>
          <w:tcPr>
            <w:tcW w:w="1776" w:type="dxa"/>
            <w:noWrap w:val="0"/>
            <w:vAlign w:val="center"/>
          </w:tcPr>
          <w:p w14:paraId="00FB0700">
            <w:pPr>
              <w:snapToGrid w:val="0"/>
              <w:jc w:val="center"/>
              <w:rPr>
                <w:rFonts w:hint="eastAsia" w:ascii="宋体" w:hAnsi="宋体" w:cs="宋体"/>
                <w:b/>
                <w:bCs/>
                <w:color w:val="000000"/>
                <w:szCs w:val="21"/>
              </w:rPr>
            </w:pPr>
            <w:r>
              <w:rPr>
                <w:rFonts w:hint="eastAsia" w:ascii="宋体" w:hAnsi="宋体" w:cs="宋体"/>
                <w:b/>
                <w:bCs/>
                <w:color w:val="000000"/>
                <w:szCs w:val="21"/>
              </w:rPr>
              <w:t>设备名称</w:t>
            </w:r>
          </w:p>
        </w:tc>
        <w:tc>
          <w:tcPr>
            <w:tcW w:w="2720" w:type="dxa"/>
            <w:noWrap w:val="0"/>
            <w:vAlign w:val="center"/>
          </w:tcPr>
          <w:p w14:paraId="26296B60">
            <w:pPr>
              <w:snapToGrid w:val="0"/>
              <w:jc w:val="center"/>
              <w:rPr>
                <w:rFonts w:hint="eastAsia" w:ascii="宋体" w:hAnsi="宋体" w:cs="宋体"/>
                <w:b/>
                <w:bCs/>
                <w:color w:val="000000"/>
                <w:szCs w:val="21"/>
              </w:rPr>
            </w:pPr>
            <w:r>
              <w:rPr>
                <w:rFonts w:hint="eastAsia" w:ascii="宋体" w:hAnsi="宋体" w:cs="宋体"/>
                <w:b/>
                <w:bCs/>
                <w:color w:val="000000"/>
                <w:szCs w:val="21"/>
              </w:rPr>
              <w:t>品牌、规格型号</w:t>
            </w:r>
          </w:p>
        </w:tc>
        <w:tc>
          <w:tcPr>
            <w:tcW w:w="690" w:type="dxa"/>
            <w:noWrap w:val="0"/>
            <w:vAlign w:val="center"/>
          </w:tcPr>
          <w:p w14:paraId="33F35DCC">
            <w:pPr>
              <w:snapToGrid w:val="0"/>
              <w:jc w:val="center"/>
              <w:rPr>
                <w:rFonts w:hint="eastAsia" w:ascii="宋体" w:hAnsi="宋体" w:cs="宋体"/>
                <w:b/>
                <w:bCs/>
                <w:color w:val="000000"/>
                <w:szCs w:val="21"/>
              </w:rPr>
            </w:pPr>
            <w:r>
              <w:rPr>
                <w:rFonts w:hint="eastAsia" w:ascii="宋体" w:hAnsi="宋体" w:cs="宋体"/>
                <w:b/>
                <w:bCs/>
                <w:color w:val="000000"/>
                <w:szCs w:val="21"/>
              </w:rPr>
              <w:t>数量</w:t>
            </w:r>
          </w:p>
        </w:tc>
        <w:tc>
          <w:tcPr>
            <w:tcW w:w="705" w:type="dxa"/>
            <w:noWrap w:val="0"/>
            <w:vAlign w:val="center"/>
          </w:tcPr>
          <w:p w14:paraId="63750563">
            <w:pPr>
              <w:snapToGrid w:val="0"/>
              <w:jc w:val="center"/>
              <w:rPr>
                <w:rFonts w:hint="eastAsia" w:ascii="宋体" w:hAnsi="宋体" w:cs="宋体"/>
                <w:b/>
                <w:bCs/>
                <w:color w:val="000000"/>
                <w:szCs w:val="21"/>
              </w:rPr>
            </w:pPr>
            <w:r>
              <w:rPr>
                <w:rFonts w:hint="eastAsia" w:ascii="宋体" w:hAnsi="宋体" w:cs="宋体"/>
                <w:b/>
                <w:bCs/>
                <w:color w:val="000000"/>
                <w:szCs w:val="21"/>
              </w:rPr>
              <w:t>单位</w:t>
            </w:r>
          </w:p>
        </w:tc>
        <w:tc>
          <w:tcPr>
            <w:tcW w:w="1215" w:type="dxa"/>
            <w:noWrap w:val="0"/>
            <w:vAlign w:val="center"/>
          </w:tcPr>
          <w:p w14:paraId="77E25147">
            <w:pPr>
              <w:snapToGrid w:val="0"/>
              <w:jc w:val="center"/>
              <w:rPr>
                <w:rFonts w:hint="eastAsia" w:ascii="宋体" w:hAnsi="宋体" w:cs="宋体"/>
                <w:b/>
                <w:bCs/>
                <w:color w:val="000000"/>
                <w:szCs w:val="21"/>
              </w:rPr>
            </w:pPr>
            <w:r>
              <w:rPr>
                <w:rFonts w:hint="eastAsia" w:ascii="宋体" w:hAnsi="宋体" w:cs="宋体"/>
                <w:b/>
                <w:bCs/>
                <w:color w:val="000000"/>
                <w:szCs w:val="21"/>
              </w:rPr>
              <w:t>单价（元）</w:t>
            </w:r>
          </w:p>
        </w:tc>
        <w:tc>
          <w:tcPr>
            <w:tcW w:w="1504" w:type="dxa"/>
            <w:noWrap w:val="0"/>
            <w:vAlign w:val="center"/>
          </w:tcPr>
          <w:p w14:paraId="73A843DE">
            <w:pPr>
              <w:snapToGrid w:val="0"/>
              <w:jc w:val="center"/>
              <w:rPr>
                <w:rFonts w:hint="eastAsia" w:ascii="宋体" w:hAnsi="宋体" w:cs="宋体"/>
                <w:b/>
                <w:bCs/>
                <w:color w:val="000000"/>
                <w:szCs w:val="21"/>
              </w:rPr>
            </w:pPr>
            <w:r>
              <w:rPr>
                <w:rFonts w:hint="eastAsia" w:ascii="宋体" w:hAnsi="宋体" w:cs="宋体"/>
                <w:b/>
                <w:bCs/>
                <w:color w:val="000000"/>
                <w:szCs w:val="21"/>
              </w:rPr>
              <w:t>金额（元）</w:t>
            </w:r>
          </w:p>
        </w:tc>
      </w:tr>
      <w:tr w14:paraId="752D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673" w:type="dxa"/>
            <w:noWrap w:val="0"/>
            <w:vAlign w:val="center"/>
          </w:tcPr>
          <w:p w14:paraId="435F416F">
            <w:pPr>
              <w:pStyle w:val="4"/>
              <w:jc w:val="center"/>
              <w:rPr>
                <w:rFonts w:hint="eastAsia" w:ascii="宋体" w:hAnsi="宋体" w:cs="宋体"/>
                <w:color w:val="000000"/>
                <w:sz w:val="21"/>
                <w:szCs w:val="21"/>
              </w:rPr>
            </w:pPr>
            <w:r>
              <w:rPr>
                <w:rFonts w:hint="eastAsia" w:ascii="宋体" w:hAnsi="宋体" w:cs="宋体"/>
                <w:sz w:val="21"/>
                <w:szCs w:val="21"/>
              </w:rPr>
              <w:t>1</w:t>
            </w:r>
          </w:p>
        </w:tc>
        <w:tc>
          <w:tcPr>
            <w:tcW w:w="1776" w:type="dxa"/>
            <w:noWrap w:val="0"/>
            <w:vAlign w:val="center"/>
          </w:tcPr>
          <w:p w14:paraId="3968D215">
            <w:pPr>
              <w:widowControl/>
              <w:jc w:val="center"/>
              <w:rPr>
                <w:rFonts w:hint="eastAsia" w:ascii="宋体" w:hAnsi="宋体" w:cs="宋体"/>
                <w:color w:val="000000"/>
                <w:szCs w:val="21"/>
              </w:rPr>
            </w:pPr>
          </w:p>
        </w:tc>
        <w:tc>
          <w:tcPr>
            <w:tcW w:w="2720" w:type="dxa"/>
            <w:noWrap w:val="0"/>
            <w:vAlign w:val="center"/>
          </w:tcPr>
          <w:p w14:paraId="4277131D">
            <w:pPr>
              <w:widowControl/>
              <w:jc w:val="center"/>
              <w:rPr>
                <w:rFonts w:hint="eastAsia" w:ascii="宋体" w:hAnsi="宋体" w:cs="宋体"/>
                <w:szCs w:val="21"/>
              </w:rPr>
            </w:pPr>
          </w:p>
        </w:tc>
        <w:tc>
          <w:tcPr>
            <w:tcW w:w="690" w:type="dxa"/>
            <w:noWrap w:val="0"/>
            <w:vAlign w:val="center"/>
          </w:tcPr>
          <w:p w14:paraId="61332F51">
            <w:pPr>
              <w:widowControl/>
              <w:jc w:val="center"/>
              <w:rPr>
                <w:rFonts w:hint="eastAsia" w:ascii="宋体" w:hAnsi="宋体" w:cs="宋体"/>
                <w:color w:val="000000"/>
                <w:szCs w:val="21"/>
              </w:rPr>
            </w:pPr>
          </w:p>
        </w:tc>
        <w:tc>
          <w:tcPr>
            <w:tcW w:w="705" w:type="dxa"/>
            <w:noWrap w:val="0"/>
            <w:vAlign w:val="center"/>
          </w:tcPr>
          <w:p w14:paraId="759DD8DE">
            <w:pPr>
              <w:widowControl/>
              <w:jc w:val="center"/>
              <w:rPr>
                <w:rFonts w:hint="eastAsia" w:ascii="宋体" w:hAnsi="宋体" w:cs="宋体"/>
                <w:color w:val="000000"/>
                <w:szCs w:val="21"/>
              </w:rPr>
            </w:pPr>
          </w:p>
        </w:tc>
        <w:tc>
          <w:tcPr>
            <w:tcW w:w="1215" w:type="dxa"/>
            <w:noWrap w:val="0"/>
            <w:vAlign w:val="center"/>
          </w:tcPr>
          <w:p w14:paraId="0693956B">
            <w:pPr>
              <w:widowControl/>
              <w:jc w:val="right"/>
              <w:textAlignment w:val="center"/>
              <w:rPr>
                <w:rFonts w:ascii="宋体" w:hAnsi="宋体" w:cs="宋体"/>
                <w:szCs w:val="21"/>
              </w:rPr>
            </w:pPr>
          </w:p>
        </w:tc>
        <w:tc>
          <w:tcPr>
            <w:tcW w:w="1504" w:type="dxa"/>
            <w:noWrap w:val="0"/>
            <w:vAlign w:val="center"/>
          </w:tcPr>
          <w:p w14:paraId="5173061B">
            <w:pPr>
              <w:widowControl/>
              <w:jc w:val="right"/>
              <w:textAlignment w:val="center"/>
              <w:rPr>
                <w:rFonts w:ascii="宋体" w:hAnsi="宋体" w:cs="宋体"/>
                <w:szCs w:val="21"/>
              </w:rPr>
            </w:pPr>
          </w:p>
        </w:tc>
      </w:tr>
      <w:tr w14:paraId="2C7A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673" w:type="dxa"/>
            <w:noWrap w:val="0"/>
            <w:vAlign w:val="center"/>
          </w:tcPr>
          <w:p w14:paraId="65FD9917">
            <w:pPr>
              <w:pStyle w:val="4"/>
              <w:jc w:val="center"/>
              <w:rPr>
                <w:rFonts w:hint="eastAsia" w:ascii="宋体" w:hAnsi="宋体" w:cs="宋体"/>
                <w:color w:val="000000"/>
                <w:sz w:val="21"/>
                <w:szCs w:val="21"/>
              </w:rPr>
            </w:pPr>
            <w:r>
              <w:rPr>
                <w:rFonts w:hint="eastAsia" w:ascii="宋体" w:hAnsi="宋体" w:cs="宋体"/>
                <w:sz w:val="21"/>
                <w:szCs w:val="21"/>
              </w:rPr>
              <w:t>2</w:t>
            </w:r>
          </w:p>
        </w:tc>
        <w:tc>
          <w:tcPr>
            <w:tcW w:w="1776" w:type="dxa"/>
            <w:noWrap w:val="0"/>
            <w:vAlign w:val="center"/>
          </w:tcPr>
          <w:p w14:paraId="2075A79C">
            <w:pPr>
              <w:widowControl/>
              <w:jc w:val="center"/>
              <w:rPr>
                <w:rFonts w:hint="eastAsia" w:ascii="宋体" w:hAnsi="宋体" w:cs="宋体"/>
                <w:color w:val="000000"/>
                <w:szCs w:val="21"/>
              </w:rPr>
            </w:pPr>
          </w:p>
        </w:tc>
        <w:tc>
          <w:tcPr>
            <w:tcW w:w="2720" w:type="dxa"/>
            <w:noWrap w:val="0"/>
            <w:vAlign w:val="center"/>
          </w:tcPr>
          <w:p w14:paraId="1BEC2E88">
            <w:pPr>
              <w:widowControl/>
              <w:jc w:val="center"/>
              <w:rPr>
                <w:rFonts w:hint="eastAsia" w:ascii="宋体" w:hAnsi="宋体" w:cs="宋体"/>
                <w:szCs w:val="21"/>
              </w:rPr>
            </w:pPr>
          </w:p>
        </w:tc>
        <w:tc>
          <w:tcPr>
            <w:tcW w:w="690" w:type="dxa"/>
            <w:noWrap w:val="0"/>
            <w:vAlign w:val="center"/>
          </w:tcPr>
          <w:p w14:paraId="63DEBE14">
            <w:pPr>
              <w:widowControl/>
              <w:jc w:val="center"/>
              <w:rPr>
                <w:rFonts w:hint="eastAsia" w:ascii="宋体" w:hAnsi="宋体" w:cs="宋体"/>
                <w:color w:val="000000"/>
                <w:szCs w:val="21"/>
              </w:rPr>
            </w:pPr>
          </w:p>
        </w:tc>
        <w:tc>
          <w:tcPr>
            <w:tcW w:w="705" w:type="dxa"/>
            <w:noWrap w:val="0"/>
            <w:vAlign w:val="center"/>
          </w:tcPr>
          <w:p w14:paraId="71BDA3F1">
            <w:pPr>
              <w:widowControl/>
              <w:jc w:val="center"/>
              <w:rPr>
                <w:rFonts w:hint="eastAsia" w:ascii="宋体" w:hAnsi="宋体" w:cs="宋体"/>
                <w:color w:val="000000"/>
                <w:szCs w:val="21"/>
              </w:rPr>
            </w:pPr>
          </w:p>
        </w:tc>
        <w:tc>
          <w:tcPr>
            <w:tcW w:w="1215" w:type="dxa"/>
            <w:noWrap w:val="0"/>
            <w:vAlign w:val="center"/>
          </w:tcPr>
          <w:p w14:paraId="7C50DEB4">
            <w:pPr>
              <w:widowControl/>
              <w:jc w:val="right"/>
              <w:textAlignment w:val="center"/>
              <w:rPr>
                <w:rFonts w:ascii="宋体" w:hAnsi="宋体" w:cs="宋体"/>
                <w:szCs w:val="21"/>
              </w:rPr>
            </w:pPr>
          </w:p>
        </w:tc>
        <w:tc>
          <w:tcPr>
            <w:tcW w:w="1504" w:type="dxa"/>
            <w:noWrap w:val="0"/>
            <w:vAlign w:val="center"/>
          </w:tcPr>
          <w:p w14:paraId="6C2E639C">
            <w:pPr>
              <w:widowControl/>
              <w:jc w:val="right"/>
              <w:textAlignment w:val="center"/>
              <w:rPr>
                <w:rFonts w:ascii="宋体" w:hAnsi="宋体" w:cs="宋体"/>
                <w:szCs w:val="21"/>
              </w:rPr>
            </w:pPr>
          </w:p>
        </w:tc>
      </w:tr>
      <w:tr w14:paraId="38D7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673" w:type="dxa"/>
            <w:noWrap w:val="0"/>
            <w:vAlign w:val="center"/>
          </w:tcPr>
          <w:p w14:paraId="53AB6043">
            <w:pPr>
              <w:pStyle w:val="4"/>
              <w:jc w:val="center"/>
              <w:rPr>
                <w:rFonts w:hint="eastAsia" w:ascii="宋体" w:hAnsi="宋体" w:cs="宋体"/>
                <w:color w:val="000000"/>
                <w:sz w:val="21"/>
                <w:szCs w:val="21"/>
              </w:rPr>
            </w:pPr>
            <w:r>
              <w:rPr>
                <w:rFonts w:hint="eastAsia" w:ascii="宋体" w:hAnsi="宋体" w:cs="宋体"/>
                <w:sz w:val="21"/>
                <w:szCs w:val="21"/>
              </w:rPr>
              <w:t>3</w:t>
            </w:r>
          </w:p>
        </w:tc>
        <w:tc>
          <w:tcPr>
            <w:tcW w:w="1776" w:type="dxa"/>
            <w:noWrap w:val="0"/>
            <w:vAlign w:val="center"/>
          </w:tcPr>
          <w:p w14:paraId="7CBDF71C">
            <w:pPr>
              <w:widowControl/>
              <w:jc w:val="center"/>
              <w:rPr>
                <w:rFonts w:hint="eastAsia" w:ascii="宋体" w:hAnsi="宋体" w:cs="宋体"/>
                <w:color w:val="000000"/>
                <w:szCs w:val="21"/>
              </w:rPr>
            </w:pPr>
          </w:p>
        </w:tc>
        <w:tc>
          <w:tcPr>
            <w:tcW w:w="2720" w:type="dxa"/>
            <w:noWrap w:val="0"/>
            <w:vAlign w:val="center"/>
          </w:tcPr>
          <w:p w14:paraId="6AE3AB28">
            <w:pPr>
              <w:widowControl/>
              <w:jc w:val="center"/>
              <w:rPr>
                <w:rFonts w:hint="eastAsia" w:ascii="宋体" w:hAnsi="宋体" w:cs="宋体"/>
                <w:szCs w:val="21"/>
              </w:rPr>
            </w:pPr>
          </w:p>
        </w:tc>
        <w:tc>
          <w:tcPr>
            <w:tcW w:w="690" w:type="dxa"/>
            <w:noWrap w:val="0"/>
            <w:vAlign w:val="center"/>
          </w:tcPr>
          <w:p w14:paraId="2DBE3ED8">
            <w:pPr>
              <w:widowControl/>
              <w:jc w:val="center"/>
              <w:rPr>
                <w:rFonts w:hint="eastAsia" w:ascii="宋体" w:hAnsi="宋体" w:cs="宋体"/>
                <w:color w:val="000000"/>
                <w:szCs w:val="21"/>
              </w:rPr>
            </w:pPr>
          </w:p>
        </w:tc>
        <w:tc>
          <w:tcPr>
            <w:tcW w:w="705" w:type="dxa"/>
            <w:noWrap w:val="0"/>
            <w:vAlign w:val="center"/>
          </w:tcPr>
          <w:p w14:paraId="6D9B1FBB">
            <w:pPr>
              <w:widowControl/>
              <w:jc w:val="center"/>
              <w:rPr>
                <w:rFonts w:hint="eastAsia" w:ascii="宋体" w:hAnsi="宋体" w:cs="宋体"/>
                <w:color w:val="000000"/>
                <w:szCs w:val="21"/>
              </w:rPr>
            </w:pPr>
          </w:p>
        </w:tc>
        <w:tc>
          <w:tcPr>
            <w:tcW w:w="1215" w:type="dxa"/>
            <w:noWrap w:val="0"/>
            <w:vAlign w:val="center"/>
          </w:tcPr>
          <w:p w14:paraId="4CA4F860">
            <w:pPr>
              <w:widowControl/>
              <w:jc w:val="right"/>
              <w:textAlignment w:val="center"/>
              <w:rPr>
                <w:rFonts w:ascii="宋体" w:hAnsi="宋体" w:cs="宋体"/>
                <w:szCs w:val="21"/>
              </w:rPr>
            </w:pPr>
          </w:p>
        </w:tc>
        <w:tc>
          <w:tcPr>
            <w:tcW w:w="1504" w:type="dxa"/>
            <w:noWrap w:val="0"/>
            <w:vAlign w:val="center"/>
          </w:tcPr>
          <w:p w14:paraId="3669C561">
            <w:pPr>
              <w:widowControl/>
              <w:jc w:val="right"/>
              <w:textAlignment w:val="center"/>
              <w:rPr>
                <w:rFonts w:ascii="宋体" w:hAnsi="宋体" w:cs="宋体"/>
                <w:szCs w:val="21"/>
              </w:rPr>
            </w:pPr>
          </w:p>
        </w:tc>
      </w:tr>
      <w:tr w14:paraId="0405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673" w:type="dxa"/>
            <w:noWrap w:val="0"/>
            <w:vAlign w:val="center"/>
          </w:tcPr>
          <w:p w14:paraId="76F6D1DD">
            <w:pPr>
              <w:pStyle w:val="4"/>
              <w:jc w:val="center"/>
              <w:rPr>
                <w:rFonts w:hint="eastAsia" w:ascii="宋体" w:hAnsi="宋体" w:cs="宋体"/>
                <w:color w:val="000000"/>
                <w:sz w:val="21"/>
                <w:szCs w:val="21"/>
              </w:rPr>
            </w:pPr>
            <w:r>
              <w:rPr>
                <w:rFonts w:hint="eastAsia" w:ascii="宋体" w:hAnsi="宋体" w:cs="宋体"/>
                <w:sz w:val="21"/>
                <w:szCs w:val="21"/>
              </w:rPr>
              <w:t>4</w:t>
            </w:r>
          </w:p>
        </w:tc>
        <w:tc>
          <w:tcPr>
            <w:tcW w:w="1776" w:type="dxa"/>
            <w:noWrap w:val="0"/>
            <w:vAlign w:val="center"/>
          </w:tcPr>
          <w:p w14:paraId="29E3C8A8">
            <w:pPr>
              <w:widowControl/>
              <w:jc w:val="center"/>
              <w:rPr>
                <w:rFonts w:hint="eastAsia" w:ascii="宋体" w:hAnsi="宋体" w:cs="宋体"/>
                <w:color w:val="000000"/>
                <w:szCs w:val="21"/>
              </w:rPr>
            </w:pPr>
          </w:p>
        </w:tc>
        <w:tc>
          <w:tcPr>
            <w:tcW w:w="2720" w:type="dxa"/>
            <w:noWrap w:val="0"/>
            <w:vAlign w:val="center"/>
          </w:tcPr>
          <w:p w14:paraId="510F945C">
            <w:pPr>
              <w:pStyle w:val="4"/>
              <w:jc w:val="center"/>
              <w:rPr>
                <w:rFonts w:hint="eastAsia"/>
                <w:sz w:val="21"/>
                <w:szCs w:val="21"/>
              </w:rPr>
            </w:pPr>
          </w:p>
        </w:tc>
        <w:tc>
          <w:tcPr>
            <w:tcW w:w="690" w:type="dxa"/>
            <w:noWrap w:val="0"/>
            <w:vAlign w:val="center"/>
          </w:tcPr>
          <w:p w14:paraId="6F268803">
            <w:pPr>
              <w:widowControl/>
              <w:jc w:val="center"/>
              <w:rPr>
                <w:rFonts w:hint="eastAsia" w:ascii="宋体" w:hAnsi="宋体" w:cs="宋体"/>
                <w:color w:val="000000"/>
                <w:szCs w:val="21"/>
              </w:rPr>
            </w:pPr>
          </w:p>
        </w:tc>
        <w:tc>
          <w:tcPr>
            <w:tcW w:w="705" w:type="dxa"/>
            <w:noWrap w:val="0"/>
            <w:vAlign w:val="center"/>
          </w:tcPr>
          <w:p w14:paraId="0895836E">
            <w:pPr>
              <w:widowControl/>
              <w:jc w:val="center"/>
              <w:rPr>
                <w:rFonts w:hint="eastAsia" w:ascii="宋体" w:hAnsi="宋体" w:cs="宋体"/>
                <w:color w:val="000000"/>
                <w:szCs w:val="21"/>
              </w:rPr>
            </w:pPr>
          </w:p>
        </w:tc>
        <w:tc>
          <w:tcPr>
            <w:tcW w:w="1215" w:type="dxa"/>
            <w:noWrap w:val="0"/>
            <w:vAlign w:val="center"/>
          </w:tcPr>
          <w:p w14:paraId="1673A07C">
            <w:pPr>
              <w:widowControl/>
              <w:jc w:val="right"/>
              <w:textAlignment w:val="center"/>
              <w:rPr>
                <w:rFonts w:hint="eastAsia" w:ascii="宋体" w:hAnsi="宋体" w:cs="宋体"/>
                <w:szCs w:val="21"/>
              </w:rPr>
            </w:pPr>
          </w:p>
        </w:tc>
        <w:tc>
          <w:tcPr>
            <w:tcW w:w="1504" w:type="dxa"/>
            <w:noWrap w:val="0"/>
            <w:vAlign w:val="center"/>
          </w:tcPr>
          <w:p w14:paraId="0D556426">
            <w:pPr>
              <w:widowControl/>
              <w:jc w:val="right"/>
              <w:textAlignment w:val="center"/>
              <w:rPr>
                <w:rFonts w:hint="eastAsia" w:ascii="宋体" w:hAnsi="宋体" w:cs="宋体"/>
                <w:szCs w:val="21"/>
              </w:rPr>
            </w:pPr>
          </w:p>
        </w:tc>
      </w:tr>
      <w:tr w14:paraId="4CAC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673" w:type="dxa"/>
            <w:noWrap w:val="0"/>
            <w:vAlign w:val="center"/>
          </w:tcPr>
          <w:p w14:paraId="49C44615">
            <w:pPr>
              <w:pStyle w:val="4"/>
              <w:jc w:val="center"/>
              <w:rPr>
                <w:rFonts w:hint="eastAsia" w:ascii="宋体" w:hAnsi="宋体" w:cs="宋体"/>
                <w:color w:val="000000"/>
                <w:sz w:val="21"/>
                <w:szCs w:val="21"/>
              </w:rPr>
            </w:pPr>
            <w:r>
              <w:rPr>
                <w:rFonts w:hint="eastAsia" w:ascii="宋体" w:hAnsi="宋体" w:cs="宋体"/>
                <w:sz w:val="21"/>
                <w:szCs w:val="21"/>
              </w:rPr>
              <w:t>5</w:t>
            </w:r>
          </w:p>
        </w:tc>
        <w:tc>
          <w:tcPr>
            <w:tcW w:w="1776" w:type="dxa"/>
            <w:noWrap w:val="0"/>
            <w:vAlign w:val="center"/>
          </w:tcPr>
          <w:p w14:paraId="2B018050">
            <w:pPr>
              <w:widowControl/>
              <w:jc w:val="center"/>
              <w:rPr>
                <w:rFonts w:hint="eastAsia" w:ascii="宋体" w:hAnsi="宋体" w:cs="宋体"/>
                <w:color w:val="000000"/>
                <w:szCs w:val="21"/>
              </w:rPr>
            </w:pPr>
          </w:p>
        </w:tc>
        <w:tc>
          <w:tcPr>
            <w:tcW w:w="2720" w:type="dxa"/>
            <w:noWrap w:val="0"/>
            <w:vAlign w:val="center"/>
          </w:tcPr>
          <w:p w14:paraId="254C8B2B">
            <w:pPr>
              <w:widowControl/>
              <w:jc w:val="center"/>
              <w:rPr>
                <w:rFonts w:hint="eastAsia" w:ascii="宋体" w:hAnsi="宋体" w:cs="宋体"/>
                <w:szCs w:val="21"/>
              </w:rPr>
            </w:pPr>
          </w:p>
        </w:tc>
        <w:tc>
          <w:tcPr>
            <w:tcW w:w="690" w:type="dxa"/>
            <w:noWrap w:val="0"/>
            <w:vAlign w:val="center"/>
          </w:tcPr>
          <w:p w14:paraId="5605B5BF">
            <w:pPr>
              <w:widowControl/>
              <w:jc w:val="center"/>
              <w:rPr>
                <w:rFonts w:hint="eastAsia" w:ascii="宋体" w:hAnsi="宋体" w:cs="宋体"/>
                <w:color w:val="000000"/>
                <w:szCs w:val="21"/>
              </w:rPr>
            </w:pPr>
          </w:p>
        </w:tc>
        <w:tc>
          <w:tcPr>
            <w:tcW w:w="705" w:type="dxa"/>
            <w:noWrap w:val="0"/>
            <w:vAlign w:val="center"/>
          </w:tcPr>
          <w:p w14:paraId="3F002A27">
            <w:pPr>
              <w:widowControl/>
              <w:jc w:val="center"/>
              <w:rPr>
                <w:rFonts w:hint="eastAsia" w:ascii="宋体" w:hAnsi="宋体" w:cs="宋体"/>
                <w:color w:val="000000"/>
                <w:szCs w:val="21"/>
              </w:rPr>
            </w:pPr>
          </w:p>
        </w:tc>
        <w:tc>
          <w:tcPr>
            <w:tcW w:w="1215" w:type="dxa"/>
            <w:noWrap w:val="0"/>
            <w:vAlign w:val="center"/>
          </w:tcPr>
          <w:p w14:paraId="0949C240">
            <w:pPr>
              <w:widowControl/>
              <w:jc w:val="right"/>
              <w:textAlignment w:val="center"/>
              <w:rPr>
                <w:rFonts w:hint="eastAsia" w:ascii="宋体" w:hAnsi="宋体" w:cs="宋体"/>
                <w:szCs w:val="21"/>
              </w:rPr>
            </w:pPr>
          </w:p>
        </w:tc>
        <w:tc>
          <w:tcPr>
            <w:tcW w:w="1504" w:type="dxa"/>
            <w:noWrap w:val="0"/>
            <w:vAlign w:val="center"/>
          </w:tcPr>
          <w:p w14:paraId="4DADC26E">
            <w:pPr>
              <w:widowControl/>
              <w:jc w:val="right"/>
              <w:textAlignment w:val="center"/>
              <w:rPr>
                <w:rFonts w:hint="eastAsia" w:ascii="宋体" w:hAnsi="宋体" w:cs="宋体"/>
                <w:szCs w:val="21"/>
              </w:rPr>
            </w:pPr>
          </w:p>
        </w:tc>
      </w:tr>
      <w:tr w14:paraId="1053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73" w:type="dxa"/>
            <w:noWrap w:val="0"/>
            <w:vAlign w:val="center"/>
          </w:tcPr>
          <w:p w14:paraId="3B53DB41">
            <w:pPr>
              <w:pStyle w:val="4"/>
              <w:jc w:val="center"/>
              <w:rPr>
                <w:rFonts w:ascii="宋体" w:hAnsi="宋体" w:cs="宋体"/>
                <w:sz w:val="21"/>
                <w:szCs w:val="21"/>
              </w:rPr>
            </w:pPr>
            <w:r>
              <w:rPr>
                <w:rFonts w:hint="eastAsia" w:ascii="宋体" w:hAnsi="宋体" w:cs="宋体"/>
                <w:b/>
                <w:bCs/>
                <w:sz w:val="21"/>
                <w:szCs w:val="21"/>
              </w:rPr>
              <w:t>合计</w:t>
            </w:r>
          </w:p>
        </w:tc>
        <w:tc>
          <w:tcPr>
            <w:tcW w:w="8610" w:type="dxa"/>
            <w:gridSpan w:val="6"/>
            <w:noWrap w:val="0"/>
            <w:vAlign w:val="center"/>
          </w:tcPr>
          <w:p w14:paraId="2BEA8C4B">
            <w:pPr>
              <w:pStyle w:val="4"/>
              <w:rPr>
                <w:rFonts w:hint="eastAsia" w:ascii="宋体" w:hAnsi="宋体" w:cs="宋体"/>
                <w:sz w:val="21"/>
                <w:szCs w:val="21"/>
              </w:rPr>
            </w:pPr>
            <w:r>
              <w:rPr>
                <w:rFonts w:hint="eastAsia" w:ascii="宋体" w:hAnsi="宋体" w:cs="宋体"/>
                <w:b/>
                <w:bCs/>
                <w:sz w:val="21"/>
                <w:szCs w:val="21"/>
              </w:rPr>
              <w:t>总金额：人民币大写：</w:t>
            </w:r>
            <w:r>
              <w:rPr>
                <w:rFonts w:hint="eastAsia" w:ascii="宋体" w:hAnsi="宋体" w:cs="宋体"/>
                <w:b/>
                <w:bCs/>
                <w:sz w:val="21"/>
                <w:szCs w:val="21"/>
                <w:lang w:val="en-US" w:eastAsia="zh-CN"/>
              </w:rPr>
              <w:t xml:space="preserve">       </w:t>
            </w:r>
            <w:r>
              <w:rPr>
                <w:rFonts w:hint="eastAsia" w:ascii="宋体" w:hAnsi="宋体" w:cs="宋体"/>
                <w:b/>
                <w:bCs/>
                <w:sz w:val="21"/>
                <w:szCs w:val="21"/>
              </w:rPr>
              <w:t xml:space="preserve">    （小写：</w:t>
            </w:r>
            <w:r>
              <w:rPr>
                <w:rFonts w:hint="eastAsia" w:ascii="宋体" w:hAnsi="宋体" w:cs="宋体"/>
                <w:b/>
                <w:bCs/>
                <w:sz w:val="21"/>
                <w:szCs w:val="21"/>
                <w:lang w:val="en-US" w:eastAsia="zh-CN"/>
              </w:rPr>
              <w:t xml:space="preserve">     </w:t>
            </w:r>
            <w:r>
              <w:rPr>
                <w:rFonts w:hint="eastAsia" w:ascii="宋体" w:hAnsi="宋体" w:cs="宋体"/>
                <w:b/>
                <w:bCs/>
                <w:sz w:val="21"/>
                <w:szCs w:val="21"/>
              </w:rPr>
              <w:t>元）</w:t>
            </w:r>
          </w:p>
        </w:tc>
      </w:tr>
    </w:tbl>
    <w:p w14:paraId="0A01F520">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合同合计金额为到甲方指定地点的现场交货价，包括：（1）货物及标准附件、备品备件、专用工具的价格；（2）运输、装卸、调试、培训、技术支持、售后服务等费用；（3）必要的保险费用，安全施工费和各项税费；（4）包括安装费用。</w:t>
      </w:r>
    </w:p>
    <w:p w14:paraId="42675AD9">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第二条</w:t>
      </w:r>
      <w:r>
        <w:rPr>
          <w:rFonts w:hint="eastAsia" w:ascii="宋体" w:hAnsi="宋体" w:cs="宋体"/>
          <w:b/>
          <w:color w:val="000000"/>
          <w:sz w:val="24"/>
          <w:lang w:eastAsia="zh-CN"/>
        </w:rPr>
        <w:t xml:space="preserve"> </w:t>
      </w:r>
      <w:r>
        <w:rPr>
          <w:rFonts w:hint="eastAsia" w:ascii="宋体" w:hAnsi="宋体" w:cs="宋体"/>
          <w:b/>
          <w:color w:val="000000"/>
          <w:sz w:val="24"/>
        </w:rPr>
        <w:t>质量要求</w:t>
      </w:r>
    </w:p>
    <w:p w14:paraId="3D6192EB">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1.乙方所提供的产品名称、商标品牌、生产厂家、规格型号、技术参数等质量必须与采购文件规定及投标文件承诺相一致。</w:t>
      </w:r>
    </w:p>
    <w:p w14:paraId="1458E2B3">
      <w:pPr>
        <w:snapToGrid w:val="0"/>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2.乙方所提供的货物必须是全新、未使用的原装产品，且在正常安装、使用和保养条件下，其使用寿命期内各项指标均达到招标文件规定或者投标文件承诺的质量要求。</w:t>
      </w:r>
    </w:p>
    <w:p w14:paraId="2635D201">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第三条</w:t>
      </w:r>
      <w:r>
        <w:rPr>
          <w:rFonts w:hint="eastAsia" w:ascii="宋体" w:hAnsi="宋体" w:cs="宋体"/>
          <w:b/>
          <w:color w:val="000000"/>
          <w:sz w:val="24"/>
          <w:lang w:eastAsia="zh-CN"/>
        </w:rPr>
        <w:t xml:space="preserve"> </w:t>
      </w:r>
      <w:r>
        <w:rPr>
          <w:rFonts w:hint="eastAsia" w:ascii="宋体" w:hAnsi="宋体" w:cs="宋体"/>
          <w:b/>
          <w:color w:val="000000"/>
          <w:sz w:val="24"/>
        </w:rPr>
        <w:t>权利保证</w:t>
      </w:r>
    </w:p>
    <w:p w14:paraId="6A34FA06">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1.乙方应保证所提供货物在使用时不会侵犯任何第三方的专利权、商标权、工业设计权或者其他权利。</w:t>
      </w:r>
    </w:p>
    <w:p w14:paraId="7BB90AD4">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2.乙方应按招标文件规定或者投标文件承诺的时间向甲方提供使用货物的有关技术资料。</w:t>
      </w:r>
    </w:p>
    <w:p w14:paraId="58EEF4DB">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507EED4C">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4.乙方保证将要交付的货物的所有权完全属于乙方且无任何抵押、质押、查封等产权瑕疵。</w:t>
      </w:r>
    </w:p>
    <w:p w14:paraId="72D1386A">
      <w:pPr>
        <w:snapToGrid w:val="0"/>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第四条</w:t>
      </w:r>
      <w:r>
        <w:rPr>
          <w:rFonts w:hint="eastAsia" w:ascii="宋体" w:hAnsi="宋体" w:cs="宋体"/>
          <w:b/>
          <w:color w:val="000000"/>
          <w:sz w:val="24"/>
          <w:lang w:eastAsia="zh-CN"/>
        </w:rPr>
        <w:t xml:space="preserve"> </w:t>
      </w:r>
      <w:r>
        <w:rPr>
          <w:rFonts w:hint="eastAsia" w:ascii="宋体" w:hAnsi="宋体" w:cs="宋体"/>
          <w:b/>
          <w:color w:val="000000"/>
          <w:sz w:val="24"/>
        </w:rPr>
        <w:t>包装和运输</w:t>
      </w:r>
    </w:p>
    <w:p w14:paraId="00B1D3E2">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1.乙方提供的货物均应按招标文件规定或者投标文件承诺的要求的包装材料、包装标准、包装方式进行包装，每一包装单元内应附详细的装箱单和质量合格证。</w:t>
      </w:r>
    </w:p>
    <w:p w14:paraId="507F5076">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2.货物的运输方式：</w:t>
      </w:r>
      <w:r>
        <w:rPr>
          <w:rFonts w:hint="eastAsia" w:ascii="宋体" w:hAnsi="宋体" w:cs="宋体"/>
          <w:b/>
          <w:bCs/>
          <w:color w:val="000000"/>
          <w:sz w:val="24"/>
          <w:u w:val="single"/>
        </w:rPr>
        <w:t>乙方负责将所有合同货物运送至甲方指定收货地址。乙方承担运费</w:t>
      </w:r>
      <w:r>
        <w:rPr>
          <w:rFonts w:hint="eastAsia" w:ascii="宋体" w:hAnsi="宋体" w:cs="宋体"/>
          <w:color w:val="000000"/>
          <w:sz w:val="24"/>
          <w:u w:val="single"/>
        </w:rPr>
        <w:t xml:space="preserve"> </w:t>
      </w:r>
      <w:r>
        <w:rPr>
          <w:rFonts w:hint="eastAsia" w:ascii="宋体" w:hAnsi="宋体" w:cs="宋体"/>
          <w:color w:val="000000"/>
          <w:sz w:val="24"/>
        </w:rPr>
        <w:t>。</w:t>
      </w:r>
    </w:p>
    <w:p w14:paraId="08A45398">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第五条</w:t>
      </w:r>
      <w:r>
        <w:rPr>
          <w:rFonts w:hint="eastAsia" w:ascii="宋体" w:hAnsi="宋体" w:cs="宋体"/>
          <w:b/>
          <w:color w:val="000000"/>
          <w:sz w:val="24"/>
          <w:lang w:eastAsia="zh-CN"/>
        </w:rPr>
        <w:t xml:space="preserve"> </w:t>
      </w:r>
      <w:r>
        <w:rPr>
          <w:rFonts w:hint="eastAsia" w:ascii="宋体" w:hAnsi="宋体" w:cs="宋体"/>
          <w:b/>
          <w:color w:val="000000"/>
          <w:sz w:val="24"/>
        </w:rPr>
        <w:t>交付和验收</w:t>
      </w:r>
    </w:p>
    <w:p w14:paraId="2B036138">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1.交付时间：</w:t>
      </w:r>
      <w:r>
        <w:rPr>
          <w:rFonts w:hint="eastAsia" w:ascii="宋体" w:hAnsi="宋体" w:cs="宋体"/>
          <w:color w:val="000000"/>
          <w:sz w:val="24"/>
          <w:u w:val="single"/>
        </w:rPr>
        <w:t xml:space="preserve"> </w:t>
      </w:r>
      <w:r>
        <w:rPr>
          <w:rFonts w:hint="eastAsia" w:ascii="宋体" w:hAnsi="宋体" w:cs="宋体"/>
          <w:b/>
          <w:bCs/>
          <w:color w:val="000000"/>
          <w:sz w:val="24"/>
          <w:u w:val="single"/>
        </w:rPr>
        <w:t>项目结果公布</w:t>
      </w:r>
      <w:r>
        <w:rPr>
          <w:rFonts w:hint="eastAsia" w:ascii="宋体" w:hAnsi="宋体" w:cs="宋体"/>
          <w:b/>
          <w:bCs/>
          <w:color w:val="000000"/>
          <w:sz w:val="24"/>
          <w:u w:val="single"/>
          <w:lang w:val="en-US" w:eastAsia="zh-CN"/>
        </w:rPr>
        <w:t>5</w:t>
      </w:r>
      <w:r>
        <w:rPr>
          <w:rFonts w:hint="eastAsia" w:ascii="宋体" w:hAnsi="宋体" w:cs="宋体"/>
          <w:b/>
          <w:bCs/>
          <w:color w:val="000000"/>
          <w:sz w:val="24"/>
          <w:u w:val="single"/>
        </w:rPr>
        <w:t>个工作日内签订合同，乙方在合同签订后</w:t>
      </w:r>
      <w:r>
        <w:rPr>
          <w:rFonts w:hint="eastAsia" w:ascii="宋体" w:hAnsi="宋体" w:cs="宋体"/>
          <w:b/>
          <w:bCs/>
          <w:color w:val="000000"/>
          <w:sz w:val="24"/>
          <w:u w:val="single"/>
          <w:lang w:val="en-US" w:eastAsia="zh-CN"/>
        </w:rPr>
        <w:t>3</w:t>
      </w:r>
      <w:r>
        <w:rPr>
          <w:rFonts w:hint="eastAsia" w:ascii="宋体" w:hAnsi="宋体" w:cs="宋体"/>
          <w:b/>
          <w:bCs/>
          <w:color w:val="000000"/>
          <w:sz w:val="24"/>
          <w:u w:val="single"/>
        </w:rPr>
        <w:t xml:space="preserve">0个工作日内完成全部货物安装及调试 </w:t>
      </w:r>
      <w:r>
        <w:rPr>
          <w:rFonts w:hint="eastAsia" w:ascii="宋体" w:hAnsi="宋体" w:cs="宋体"/>
          <w:color w:val="000000"/>
          <w:sz w:val="24"/>
        </w:rPr>
        <w:t>；</w:t>
      </w:r>
    </w:p>
    <w:p w14:paraId="3C0B0AE0">
      <w:pPr>
        <w:snapToGrid w:val="0"/>
        <w:spacing w:line="360" w:lineRule="auto"/>
        <w:ind w:firstLine="720" w:firstLineChars="300"/>
        <w:rPr>
          <w:rFonts w:hint="eastAsia" w:ascii="宋体" w:hAnsi="宋体" w:cs="宋体"/>
          <w:color w:val="000000"/>
          <w:sz w:val="24"/>
        </w:rPr>
      </w:pPr>
      <w:r>
        <w:rPr>
          <w:rFonts w:hint="eastAsia" w:ascii="宋体" w:hAnsi="宋体" w:cs="宋体"/>
          <w:color w:val="000000"/>
          <w:sz w:val="24"/>
        </w:rPr>
        <w:t>交付地点：</w:t>
      </w:r>
      <w:r>
        <w:rPr>
          <w:rFonts w:hint="eastAsia" w:ascii="宋体" w:hAnsi="宋体" w:cs="宋体"/>
          <w:b/>
          <w:bCs/>
          <w:color w:val="000000"/>
          <w:sz w:val="24"/>
          <w:u w:val="single"/>
        </w:rPr>
        <w:t>甲方指定地点。</w:t>
      </w:r>
    </w:p>
    <w:p w14:paraId="58391764">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2.乙方提供不符合招标文件规定或者投标文件承诺的和本合同规定的货物，甲方有权拒绝接受。</w:t>
      </w:r>
    </w:p>
    <w:p w14:paraId="3505BDD5">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42A4353B">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4.甲方应当在到货（安装、调试完）后七个工作日内进行验收，逾期不验收的，乙方可视同验收合格。验收合格后由甲乙双方签署货物验收单并加盖双方公章，甲乙双方各执一份。在验收过程中发现乙方有违约问题，可暂缓资金结算，待违约问题解决后，方可办理资金结算事宜。</w:t>
      </w:r>
    </w:p>
    <w:p w14:paraId="0D96D5AA">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5.甲方对验收有异议的，在验收后五个工作日内以书面形式向乙方提出，乙方应自收到甲方书面异议后</w:t>
      </w:r>
      <w:r>
        <w:rPr>
          <w:rFonts w:hint="eastAsia" w:ascii="宋体" w:hAnsi="宋体" w:cs="宋体"/>
          <w:color w:val="000000"/>
          <w:sz w:val="24"/>
          <w:u w:val="single"/>
        </w:rPr>
        <w:t xml:space="preserve"> </w:t>
      </w:r>
      <w:r>
        <w:rPr>
          <w:rFonts w:hint="eastAsia" w:ascii="宋体" w:hAnsi="宋体" w:cs="宋体"/>
          <w:b/>
          <w:bCs/>
          <w:color w:val="000000"/>
          <w:sz w:val="24"/>
          <w:u w:val="single"/>
        </w:rPr>
        <w:t xml:space="preserve"> 5  </w:t>
      </w:r>
      <w:r>
        <w:rPr>
          <w:rFonts w:hint="eastAsia" w:ascii="宋体" w:hAnsi="宋体" w:cs="宋体"/>
          <w:color w:val="000000"/>
          <w:sz w:val="24"/>
        </w:rPr>
        <w:t>日内及时予以解决。</w:t>
      </w:r>
    </w:p>
    <w:p w14:paraId="35F4F1E5">
      <w:pPr>
        <w:snapToGrid w:val="0"/>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第六条</w:t>
      </w:r>
      <w:r>
        <w:rPr>
          <w:rFonts w:hint="eastAsia" w:ascii="宋体" w:hAnsi="宋体" w:cs="宋体"/>
          <w:b/>
          <w:color w:val="000000"/>
          <w:sz w:val="24"/>
          <w:lang w:eastAsia="zh-CN"/>
        </w:rPr>
        <w:t xml:space="preserve"> </w:t>
      </w:r>
      <w:r>
        <w:rPr>
          <w:rFonts w:hint="eastAsia" w:ascii="宋体" w:hAnsi="宋体" w:cs="宋体"/>
          <w:b/>
          <w:color w:val="000000"/>
          <w:sz w:val="24"/>
        </w:rPr>
        <w:t>安装和培训</w:t>
      </w:r>
    </w:p>
    <w:p w14:paraId="4B5222CF">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1.甲方应提供必要安装条件（如场地、电源、水源等）。</w:t>
      </w:r>
    </w:p>
    <w:p w14:paraId="0A079078">
      <w:pPr>
        <w:snapToGrid w:val="0"/>
        <w:spacing w:line="360" w:lineRule="auto"/>
        <w:ind w:firstLine="480" w:firstLineChars="200"/>
        <w:rPr>
          <w:rFonts w:hint="eastAsia" w:ascii="宋体" w:hAnsi="宋体" w:cs="宋体"/>
          <w:b/>
          <w:bCs/>
          <w:color w:val="000000"/>
          <w:sz w:val="24"/>
          <w:u w:val="single"/>
        </w:rPr>
      </w:pPr>
      <w:r>
        <w:rPr>
          <w:rFonts w:hint="eastAsia" w:ascii="宋体" w:hAnsi="宋体" w:cs="宋体"/>
          <w:color w:val="000000"/>
          <w:sz w:val="24"/>
        </w:rPr>
        <w:t>2.乙方投标文件承诺负责甲方有关人员的培训：</w:t>
      </w:r>
      <w:r>
        <w:rPr>
          <w:rFonts w:hint="eastAsia" w:ascii="宋体" w:hAnsi="宋体" w:cs="宋体"/>
          <w:b/>
          <w:bCs/>
          <w:color w:val="000000"/>
          <w:sz w:val="24"/>
          <w:u w:val="single"/>
        </w:rPr>
        <w:t>培训时间、地点、内容由双方根据实际需要另行商定</w:t>
      </w:r>
      <w:r>
        <w:rPr>
          <w:rFonts w:hint="eastAsia" w:ascii="宋体" w:hAnsi="宋体" w:cs="宋体"/>
          <w:b/>
          <w:bCs/>
          <w:color w:val="000000"/>
          <w:sz w:val="24"/>
        </w:rPr>
        <w:t>。</w:t>
      </w:r>
    </w:p>
    <w:p w14:paraId="363621C2">
      <w:pPr>
        <w:snapToGrid w:val="0"/>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第七条  售后服务、质保期</w:t>
      </w:r>
    </w:p>
    <w:p w14:paraId="74E68965">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1.乙方应按照国家有关法律法规和“三包”规定以及本合同所附的《服务承诺》，为甲方提供售后服务。</w:t>
      </w:r>
    </w:p>
    <w:p w14:paraId="5354EF2F">
      <w:pPr>
        <w:snapToGrid w:val="0"/>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2.货物质保期：</w:t>
      </w:r>
      <w:r>
        <w:rPr>
          <w:rFonts w:hint="eastAsia" w:ascii="宋体" w:hAnsi="宋体" w:cs="宋体"/>
          <w:color w:val="000000"/>
          <w:sz w:val="24"/>
          <w:u w:val="none"/>
          <w:lang w:val="en-US" w:eastAsia="zh-CN"/>
        </w:rPr>
        <w:t>叁</w:t>
      </w:r>
      <w:r>
        <w:rPr>
          <w:rFonts w:hint="eastAsia" w:ascii="宋体" w:hAnsi="宋体" w:cs="宋体"/>
          <w:b/>
          <w:bCs/>
          <w:color w:val="000000"/>
          <w:sz w:val="24"/>
          <w:u w:val="none"/>
        </w:rPr>
        <w:t>年</w:t>
      </w:r>
      <w:r>
        <w:rPr>
          <w:rFonts w:hint="eastAsia" w:ascii="宋体" w:hAnsi="宋体" w:cs="宋体"/>
          <w:color w:val="000000"/>
          <w:sz w:val="24"/>
        </w:rPr>
        <w:t>。</w:t>
      </w:r>
    </w:p>
    <w:p w14:paraId="46C1FEA4">
      <w:pPr>
        <w:snapToGrid w:val="0"/>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3.乙方提供的服务承诺和售后服务及保修期责任等其它具体约定事项。（见合同附件）</w:t>
      </w:r>
    </w:p>
    <w:p w14:paraId="15FBDCD5">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第八条</w:t>
      </w:r>
      <w:r>
        <w:rPr>
          <w:rFonts w:hint="eastAsia" w:ascii="宋体" w:hAnsi="宋体" w:cs="宋体"/>
          <w:b/>
          <w:color w:val="000000"/>
          <w:sz w:val="24"/>
          <w:lang w:eastAsia="zh-CN"/>
        </w:rPr>
        <w:t xml:space="preserve"> </w:t>
      </w:r>
      <w:r>
        <w:rPr>
          <w:rFonts w:hint="eastAsia" w:ascii="宋体" w:hAnsi="宋体" w:cs="宋体"/>
          <w:b/>
          <w:color w:val="000000"/>
          <w:sz w:val="24"/>
        </w:rPr>
        <w:t>付款方式</w:t>
      </w:r>
    </w:p>
    <w:p w14:paraId="5E2A5268">
      <w:pPr>
        <w:pStyle w:val="3"/>
        <w:snapToGrid w:val="0"/>
        <w:spacing w:line="360" w:lineRule="auto"/>
        <w:ind w:firstLine="480" w:firstLineChars="200"/>
        <w:rPr>
          <w:rFonts w:hint="eastAsia" w:hAnsi="宋体" w:cs="宋体"/>
          <w:color w:val="auto"/>
          <w:sz w:val="24"/>
          <w:szCs w:val="24"/>
        </w:rPr>
      </w:pPr>
      <w:r>
        <w:rPr>
          <w:rFonts w:hint="eastAsia" w:hAnsi="宋体" w:cs="宋体"/>
          <w:bCs/>
          <w:color w:val="000000"/>
          <w:sz w:val="24"/>
          <w:szCs w:val="24"/>
        </w:rPr>
        <w:t>1</w:t>
      </w:r>
      <w:r>
        <w:rPr>
          <w:rFonts w:hint="eastAsia" w:hAnsi="宋体" w:cs="宋体"/>
          <w:color w:val="000000"/>
          <w:sz w:val="24"/>
          <w:szCs w:val="24"/>
        </w:rPr>
        <w:t>.当采购数量与实际使用数量不一致时，乙方应根据实际使用量供货，合同的最终结算金</w:t>
      </w:r>
      <w:r>
        <w:rPr>
          <w:rFonts w:hint="eastAsia" w:hAnsi="宋体" w:cs="宋体"/>
          <w:sz w:val="24"/>
          <w:szCs w:val="24"/>
        </w:rPr>
        <w:t>额按实际使用量乘以成交单价进行计算，但不</w:t>
      </w:r>
      <w:r>
        <w:rPr>
          <w:rFonts w:hint="eastAsia" w:hAnsi="宋体" w:cs="宋体"/>
          <w:color w:val="auto"/>
          <w:sz w:val="24"/>
          <w:szCs w:val="24"/>
        </w:rPr>
        <w:t>得超出合同价的</w:t>
      </w:r>
      <w:r>
        <w:rPr>
          <w:rFonts w:hint="eastAsia" w:hAnsi="宋体" w:cs="宋体"/>
          <w:color w:val="auto"/>
          <w:sz w:val="24"/>
          <w:szCs w:val="24"/>
          <w:lang w:val="en-US" w:eastAsia="zh-CN"/>
        </w:rPr>
        <w:t>1</w:t>
      </w:r>
      <w:r>
        <w:rPr>
          <w:rFonts w:hint="eastAsia" w:hAnsi="宋体" w:cs="宋体"/>
          <w:color w:val="auto"/>
          <w:sz w:val="24"/>
          <w:szCs w:val="24"/>
        </w:rPr>
        <w:t>10%。</w:t>
      </w:r>
    </w:p>
    <w:p w14:paraId="52A25B71">
      <w:pPr>
        <w:pStyle w:val="3"/>
        <w:snapToGrid w:val="0"/>
        <w:spacing w:line="360" w:lineRule="auto"/>
        <w:ind w:firstLine="480" w:firstLineChars="200"/>
        <w:rPr>
          <w:rFonts w:hint="eastAsia" w:hAnsi="宋体" w:cs="宋体"/>
          <w:color w:val="auto"/>
          <w:sz w:val="24"/>
          <w:szCs w:val="24"/>
        </w:rPr>
      </w:pPr>
      <w:r>
        <w:rPr>
          <w:rFonts w:hint="eastAsia" w:hAnsi="宋体" w:cs="宋体"/>
          <w:bCs/>
          <w:color w:val="auto"/>
          <w:sz w:val="24"/>
          <w:szCs w:val="24"/>
        </w:rPr>
        <w:t>2.</w:t>
      </w:r>
      <w:r>
        <w:rPr>
          <w:rFonts w:hint="eastAsia" w:hAnsi="宋体" w:cs="宋体"/>
          <w:color w:val="auto"/>
          <w:sz w:val="24"/>
          <w:szCs w:val="24"/>
        </w:rPr>
        <w:t>付款方式：</w:t>
      </w:r>
      <w:r>
        <w:rPr>
          <w:rFonts w:hint="eastAsia" w:hAnsi="宋体" w:cs="宋体"/>
          <w:b/>
          <w:bCs/>
          <w:color w:val="auto"/>
          <w:kern w:val="2"/>
          <w:sz w:val="24"/>
          <w:szCs w:val="24"/>
          <w:u w:val="single"/>
          <w:lang w:val="en-US" w:eastAsia="zh-CN"/>
        </w:rPr>
        <w:t>安装</w:t>
      </w:r>
      <w:r>
        <w:rPr>
          <w:rFonts w:hint="eastAsia" w:hAnsi="宋体" w:cs="宋体"/>
          <w:b/>
          <w:bCs/>
          <w:color w:val="auto"/>
          <w:kern w:val="2"/>
          <w:sz w:val="24"/>
          <w:szCs w:val="24"/>
          <w:u w:val="single"/>
        </w:rPr>
        <w:t>验收</w:t>
      </w:r>
      <w:r>
        <w:rPr>
          <w:rFonts w:hint="eastAsia" w:hAnsi="宋体" w:cs="宋体"/>
          <w:b/>
          <w:bCs/>
          <w:color w:val="auto"/>
          <w:kern w:val="2"/>
          <w:sz w:val="24"/>
          <w:szCs w:val="24"/>
          <w:u w:val="single"/>
          <w:lang w:eastAsia="zh-CN"/>
        </w:rPr>
        <w:t>合格</w:t>
      </w:r>
      <w:r>
        <w:rPr>
          <w:rFonts w:hint="eastAsia" w:hAnsi="宋体" w:cs="宋体"/>
          <w:b/>
          <w:bCs/>
          <w:color w:val="auto"/>
          <w:kern w:val="2"/>
          <w:sz w:val="24"/>
          <w:szCs w:val="24"/>
          <w:u w:val="single"/>
        </w:rPr>
        <w:t>后一次性支付全部货款。</w:t>
      </w:r>
    </w:p>
    <w:p w14:paraId="322B060C">
      <w:pPr>
        <w:snapToGrid w:val="0"/>
        <w:spacing w:line="360" w:lineRule="auto"/>
        <w:ind w:left="-61" w:leftChars="-29" w:firstLine="590" w:firstLineChars="245"/>
        <w:rPr>
          <w:rFonts w:hint="eastAsia" w:ascii="宋体" w:hAnsi="宋体" w:cs="宋体"/>
          <w:b/>
          <w:sz w:val="24"/>
        </w:rPr>
      </w:pPr>
      <w:r>
        <w:rPr>
          <w:rFonts w:hint="eastAsia" w:ascii="宋体" w:hAnsi="宋体" w:cs="宋体"/>
          <w:b/>
          <w:sz w:val="24"/>
        </w:rPr>
        <w:t>第九条</w:t>
      </w:r>
      <w:r>
        <w:rPr>
          <w:rFonts w:hint="eastAsia" w:ascii="宋体" w:hAnsi="宋体" w:cs="宋体"/>
          <w:b/>
          <w:sz w:val="24"/>
          <w:lang w:eastAsia="zh-CN"/>
        </w:rPr>
        <w:t xml:space="preserve"> </w:t>
      </w:r>
      <w:r>
        <w:rPr>
          <w:rFonts w:hint="eastAsia" w:ascii="宋体" w:hAnsi="宋体" w:cs="宋体"/>
          <w:b/>
          <w:sz w:val="24"/>
        </w:rPr>
        <w:t>履约保证金</w:t>
      </w:r>
    </w:p>
    <w:p w14:paraId="4A014F34">
      <w:pPr>
        <w:autoSpaceDE w:val="0"/>
        <w:autoSpaceDN w:val="0"/>
        <w:snapToGrid w:val="0"/>
        <w:spacing w:line="360" w:lineRule="auto"/>
        <w:ind w:firstLine="484" w:firstLineChars="202"/>
        <w:textAlignment w:val="bottom"/>
        <w:rPr>
          <w:rFonts w:hint="eastAsia" w:ascii="宋体" w:hAnsi="宋体" w:cs="宋体"/>
          <w:sz w:val="24"/>
        </w:rPr>
      </w:pPr>
      <w:r>
        <w:rPr>
          <w:rFonts w:hint="eastAsia" w:ascii="宋体" w:hAnsi="宋体" w:cs="宋体"/>
          <w:sz w:val="24"/>
        </w:rPr>
        <w:t>履约保证金金额：</w:t>
      </w:r>
      <w:r>
        <w:rPr>
          <w:rFonts w:hint="eastAsia" w:ascii="宋体" w:hAnsi="宋体" w:cs="宋体"/>
          <w:b/>
          <w:bCs/>
          <w:sz w:val="24"/>
          <w:u w:val="single"/>
        </w:rPr>
        <w:t xml:space="preserve"> 无，本项目不需要提交履约保证金，乙方应按照招标文件要求以及投标文件的承诺对本项目提供全面的、合格的售后服务内容</w:t>
      </w:r>
      <w:r>
        <w:rPr>
          <w:rFonts w:hint="eastAsia" w:ascii="宋体" w:hAnsi="宋体" w:cs="宋体"/>
          <w:sz w:val="24"/>
        </w:rPr>
        <w:t>。</w:t>
      </w:r>
    </w:p>
    <w:p w14:paraId="534332EB">
      <w:pPr>
        <w:snapToGrid w:val="0"/>
        <w:spacing w:line="360" w:lineRule="auto"/>
        <w:ind w:left="-61" w:firstLine="514"/>
        <w:rPr>
          <w:rFonts w:hint="eastAsia" w:ascii="宋体" w:hAnsi="宋体" w:cs="宋体"/>
          <w:b/>
          <w:sz w:val="24"/>
        </w:rPr>
      </w:pPr>
      <w:r>
        <w:rPr>
          <w:rFonts w:hint="eastAsia" w:ascii="宋体" w:hAnsi="宋体" w:cs="宋体"/>
          <w:b/>
          <w:sz w:val="24"/>
        </w:rPr>
        <w:t>第十条  税费</w:t>
      </w:r>
    </w:p>
    <w:p w14:paraId="6AFB4D1A">
      <w:pPr>
        <w:snapToGrid w:val="0"/>
        <w:spacing w:line="360" w:lineRule="auto"/>
        <w:ind w:left="-61" w:firstLine="514"/>
        <w:rPr>
          <w:rFonts w:hint="eastAsia" w:ascii="宋体" w:hAnsi="宋体" w:cs="宋体"/>
          <w:color w:val="000000"/>
          <w:sz w:val="24"/>
        </w:rPr>
      </w:pPr>
      <w:r>
        <w:rPr>
          <w:rFonts w:hint="eastAsia" w:ascii="宋体" w:hAnsi="宋体" w:cs="宋体"/>
          <w:sz w:val="24"/>
        </w:rPr>
        <w:t>本合同执行中相关的一切税费均由乙方负担，合</w:t>
      </w:r>
      <w:r>
        <w:rPr>
          <w:rFonts w:hint="eastAsia" w:ascii="宋体" w:hAnsi="宋体" w:cs="宋体"/>
          <w:color w:val="000000"/>
          <w:sz w:val="24"/>
        </w:rPr>
        <w:t>同另有约定的除外。</w:t>
      </w:r>
    </w:p>
    <w:p w14:paraId="17919A20">
      <w:pPr>
        <w:snapToGrid w:val="0"/>
        <w:spacing w:line="360" w:lineRule="auto"/>
        <w:ind w:left="-61" w:firstLine="514"/>
        <w:rPr>
          <w:rFonts w:hint="eastAsia" w:ascii="宋体" w:hAnsi="宋体" w:cs="宋体"/>
          <w:color w:val="000000"/>
          <w:sz w:val="24"/>
        </w:rPr>
      </w:pPr>
      <w:r>
        <w:rPr>
          <w:rFonts w:hint="eastAsia" w:ascii="宋体" w:hAnsi="宋体" w:cs="宋体"/>
          <w:b/>
          <w:color w:val="000000"/>
          <w:sz w:val="24"/>
        </w:rPr>
        <w:t>第十一条  质量保证及售后服务</w:t>
      </w:r>
    </w:p>
    <w:p w14:paraId="7ABFB0CF">
      <w:pPr>
        <w:pStyle w:val="3"/>
        <w:snapToGrid w:val="0"/>
        <w:spacing w:line="360" w:lineRule="auto"/>
        <w:ind w:firstLine="480" w:firstLineChars="200"/>
        <w:rPr>
          <w:rFonts w:hint="eastAsia" w:hAnsi="宋体" w:cs="宋体"/>
          <w:color w:val="000000"/>
          <w:sz w:val="24"/>
          <w:szCs w:val="24"/>
        </w:rPr>
      </w:pPr>
      <w:r>
        <w:rPr>
          <w:rFonts w:hint="eastAsia" w:hAnsi="宋体" w:cs="宋体"/>
          <w:bCs/>
          <w:color w:val="000000"/>
          <w:sz w:val="24"/>
          <w:szCs w:val="24"/>
        </w:rPr>
        <w:t>1.</w:t>
      </w:r>
      <w:r>
        <w:rPr>
          <w:rFonts w:hint="eastAsia" w:hAnsi="宋体" w:cs="宋体"/>
          <w:color w:val="000000"/>
          <w:sz w:val="24"/>
          <w:szCs w:val="24"/>
        </w:rPr>
        <w:t>乙方应按招标文件规定的产品名称、商标品牌、生产厂家、规格型号、技术参数、质量标准向甲方提供未经使用的全新产品。不符合要求的，根据实际情况，甲方有权按以下办法处理：</w:t>
      </w:r>
    </w:p>
    <w:p w14:paraId="3B4463EE">
      <w:pPr>
        <w:pStyle w:val="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⑴更换：由乙方承担所发生的全部费用。</w:t>
      </w:r>
    </w:p>
    <w:p w14:paraId="63A86280">
      <w:pPr>
        <w:pStyle w:val="3"/>
        <w:snapToGrid w:val="0"/>
        <w:spacing w:line="360" w:lineRule="auto"/>
        <w:ind w:firstLine="420"/>
        <w:rPr>
          <w:rFonts w:hint="eastAsia" w:hAnsi="宋体" w:cs="宋体"/>
          <w:color w:val="000000"/>
          <w:sz w:val="24"/>
          <w:szCs w:val="24"/>
        </w:rPr>
      </w:pPr>
      <w:r>
        <w:rPr>
          <w:rFonts w:hint="eastAsia" w:hAnsi="宋体" w:cs="宋体"/>
          <w:color w:val="000000"/>
          <w:sz w:val="24"/>
          <w:szCs w:val="24"/>
        </w:rPr>
        <w:t>⑵贬值处理：由甲乙双方合议定价。</w:t>
      </w:r>
    </w:p>
    <w:p w14:paraId="602D9106">
      <w:pPr>
        <w:pStyle w:val="3"/>
        <w:snapToGrid w:val="0"/>
        <w:spacing w:line="360" w:lineRule="auto"/>
        <w:ind w:firstLine="420"/>
        <w:rPr>
          <w:rFonts w:hint="eastAsia" w:hAnsi="宋体" w:cs="宋体"/>
          <w:color w:val="000000"/>
          <w:sz w:val="24"/>
          <w:szCs w:val="24"/>
        </w:rPr>
      </w:pPr>
      <w:r>
        <w:rPr>
          <w:rFonts w:hint="eastAsia" w:hAnsi="宋体" w:cs="宋体"/>
          <w:color w:val="000000"/>
          <w:sz w:val="24"/>
          <w:szCs w:val="24"/>
        </w:rPr>
        <w:t>⑶退货处理：乙方应退还甲方支付的合同款，同时应承担该货物的直接费用（运输、保险、检验、货款利息及银行手续费等）。</w:t>
      </w:r>
    </w:p>
    <w:p w14:paraId="6AE6F01D">
      <w:pPr>
        <w:pStyle w:val="3"/>
        <w:snapToGrid w:val="0"/>
        <w:spacing w:line="360" w:lineRule="auto"/>
        <w:ind w:firstLine="480" w:firstLineChars="200"/>
        <w:rPr>
          <w:rFonts w:hint="eastAsia" w:hAnsi="宋体" w:eastAsia="宋体" w:cs="宋体"/>
          <w:b/>
          <w:bCs/>
          <w:kern w:val="2"/>
          <w:sz w:val="24"/>
          <w:szCs w:val="24"/>
          <w:u w:val="single"/>
        </w:rPr>
      </w:pPr>
      <w:r>
        <w:rPr>
          <w:rFonts w:hint="eastAsia" w:hAnsi="宋体" w:cs="宋体"/>
          <w:color w:val="000000"/>
          <w:sz w:val="24"/>
          <w:szCs w:val="24"/>
        </w:rPr>
        <w:t>2.如在使用过程中发生质量问题，</w:t>
      </w:r>
      <w:r>
        <w:rPr>
          <w:rFonts w:hint="eastAsia" w:hAnsi="宋体" w:cs="宋体"/>
          <w:b/>
          <w:bCs/>
          <w:kern w:val="2"/>
          <w:sz w:val="24"/>
          <w:szCs w:val="24"/>
          <w:u w:val="single"/>
        </w:rPr>
        <w:t>乙方在接到故障通知后在</w:t>
      </w:r>
      <w:r>
        <w:rPr>
          <w:rFonts w:hint="eastAsia" w:hAnsi="宋体" w:cs="宋体"/>
          <w:b/>
          <w:bCs/>
          <w:kern w:val="2"/>
          <w:sz w:val="24"/>
          <w:szCs w:val="24"/>
          <w:u w:val="single"/>
          <w:lang w:val="en-US" w:eastAsia="zh-CN"/>
        </w:rPr>
        <w:t>1</w:t>
      </w:r>
      <w:r>
        <w:rPr>
          <w:rFonts w:hint="eastAsia" w:hAnsi="宋体" w:cs="宋体"/>
          <w:b/>
          <w:bCs/>
          <w:kern w:val="2"/>
          <w:sz w:val="24"/>
          <w:szCs w:val="24"/>
          <w:u w:val="single"/>
        </w:rPr>
        <w:t>2小时内到达甲方指定现场；对于故障处理，乙方在质保期内提供免费维</w:t>
      </w:r>
      <w:r>
        <w:rPr>
          <w:rFonts w:hint="eastAsia" w:hAnsi="宋体" w:cs="宋体"/>
          <w:b/>
          <w:bCs/>
          <w:kern w:val="2"/>
          <w:sz w:val="24"/>
          <w:szCs w:val="24"/>
          <w:u w:val="single"/>
          <w:lang w:val="en-US" w:eastAsia="zh-CN"/>
        </w:rPr>
        <w:t>修</w:t>
      </w:r>
      <w:r>
        <w:rPr>
          <w:rFonts w:hint="eastAsia" w:hAnsi="宋体" w:cs="宋体"/>
          <w:b/>
          <w:bCs/>
          <w:kern w:val="2"/>
          <w:sz w:val="24"/>
          <w:szCs w:val="24"/>
          <w:u w:val="single"/>
        </w:rPr>
        <w:t>服务，24小时无法排除故障时，提供相同型号备用设备，以保证正常使用。</w:t>
      </w:r>
      <w:r>
        <w:rPr>
          <w:rFonts w:hint="eastAsia" w:ascii="宋体" w:hAnsi="宋体" w:eastAsia="宋体" w:cs="宋体"/>
          <w:sz w:val="24"/>
          <w:szCs w:val="24"/>
          <w:u w:val="single"/>
        </w:rPr>
        <w:t>乙方在接到甲方通知后拒不响应或解决故障的，甲方有权聘请第三方进行维修，由此产生的费用由乙方承担。</w:t>
      </w:r>
    </w:p>
    <w:p w14:paraId="029629B1">
      <w:pPr>
        <w:pStyle w:val="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3.在质保期内，乙方应对货物出现的质量及安全问题负责处理解决并承担一切费用。</w:t>
      </w:r>
    </w:p>
    <w:p w14:paraId="67694C59">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4.上述的货物质保期为</w:t>
      </w:r>
      <w:r>
        <w:rPr>
          <w:rFonts w:hint="eastAsia" w:ascii="宋体" w:hAnsi="宋体" w:cs="宋体"/>
          <w:b/>
          <w:bCs/>
          <w:color w:val="000000"/>
          <w:sz w:val="24"/>
          <w:u w:val="single"/>
        </w:rPr>
        <w:t xml:space="preserve"> </w:t>
      </w:r>
      <w:r>
        <w:rPr>
          <w:rFonts w:hint="eastAsia" w:ascii="宋体" w:hAnsi="宋体" w:cs="宋体"/>
          <w:b/>
          <w:bCs/>
          <w:color w:val="000000"/>
          <w:sz w:val="24"/>
          <w:u w:val="single"/>
          <w:lang w:val="en-US" w:eastAsia="zh-CN"/>
        </w:rPr>
        <w:t>叁</w:t>
      </w:r>
      <w:r>
        <w:rPr>
          <w:rFonts w:hint="eastAsia" w:ascii="宋体" w:hAnsi="宋体" w:cs="宋体"/>
          <w:b/>
          <w:bCs/>
          <w:color w:val="000000"/>
          <w:sz w:val="24"/>
          <w:u w:val="single"/>
        </w:rPr>
        <w:t xml:space="preserve"> </w:t>
      </w:r>
      <w:r>
        <w:rPr>
          <w:rFonts w:hint="eastAsia" w:ascii="宋体" w:hAnsi="宋体" w:cs="宋体"/>
          <w:color w:val="000000"/>
          <w:sz w:val="24"/>
        </w:rPr>
        <w:t>年，因人为因素出现的故障不在免费保修范围内。超过保修期的机器设备，终生维修，维修时只收部件成本费。</w:t>
      </w:r>
    </w:p>
    <w:p w14:paraId="1CA3DD20">
      <w:pPr>
        <w:snapToGrid w:val="0"/>
        <w:spacing w:line="360" w:lineRule="auto"/>
        <w:ind w:left="-61" w:firstLine="514"/>
        <w:rPr>
          <w:rFonts w:hint="eastAsia" w:ascii="宋体" w:hAnsi="宋体" w:cs="宋体"/>
          <w:color w:val="000000"/>
          <w:sz w:val="24"/>
        </w:rPr>
      </w:pPr>
      <w:r>
        <w:rPr>
          <w:rFonts w:hint="eastAsia" w:ascii="宋体" w:hAnsi="宋体" w:cs="宋体"/>
          <w:b/>
          <w:color w:val="000000"/>
          <w:sz w:val="24"/>
        </w:rPr>
        <w:t>第十二条  调试和验收（本条款适用于甲方自行验收，委托第三方验收的另行规定）</w:t>
      </w:r>
    </w:p>
    <w:p w14:paraId="3283F4BF">
      <w:pPr>
        <w:pStyle w:val="3"/>
        <w:snapToGrid w:val="0"/>
        <w:spacing w:line="360" w:lineRule="auto"/>
        <w:ind w:firstLine="480" w:firstLineChars="200"/>
        <w:jc w:val="left"/>
        <w:rPr>
          <w:rFonts w:hint="eastAsia" w:hAnsi="宋体" w:cs="宋体"/>
          <w:color w:val="000000"/>
          <w:sz w:val="24"/>
          <w:szCs w:val="24"/>
        </w:rPr>
      </w:pPr>
      <w:r>
        <w:rPr>
          <w:rFonts w:hint="eastAsia" w:hAnsi="宋体" w:cs="宋体"/>
          <w:color w:val="000000"/>
          <w:sz w:val="24"/>
          <w:szCs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00AEB7F3">
      <w:pPr>
        <w:pStyle w:val="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2.乙方交货前应对产品作出全面检查和对验收文件进行整理，并列出清单，作为甲方收货验收和使用的技术条件依据，检验的结果应随货物交甲方。</w:t>
      </w:r>
    </w:p>
    <w:p w14:paraId="4066BBB4">
      <w:pPr>
        <w:pStyle w:val="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3.甲方对乙方提供的货物在使用前进行调试时，乙方需负责安装并培训甲方的使用操作人员，并协助甲方一起调试，直到符合技术要求，甲方才做最终验收。</w:t>
      </w:r>
    </w:p>
    <w:p w14:paraId="310C9DF5">
      <w:pPr>
        <w:pStyle w:val="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4.对技术复杂的货物，甲方可请国家认可的专业检测机构参与初步验收及最终验收，并由其出具质量检测报告。</w:t>
      </w:r>
    </w:p>
    <w:p w14:paraId="435EF334">
      <w:pPr>
        <w:snapToGrid w:val="0"/>
        <w:spacing w:line="360" w:lineRule="auto"/>
        <w:ind w:left="-61" w:firstLine="514"/>
        <w:rPr>
          <w:rFonts w:hint="eastAsia" w:ascii="宋体" w:hAnsi="宋体" w:cs="宋体"/>
          <w:color w:val="000000"/>
          <w:sz w:val="24"/>
        </w:rPr>
      </w:pPr>
      <w:r>
        <w:rPr>
          <w:rFonts w:hint="eastAsia" w:ascii="宋体" w:hAnsi="宋体" w:cs="宋体"/>
          <w:color w:val="000000"/>
          <w:sz w:val="24"/>
        </w:rPr>
        <w:t>5.验收时乙方必须在现场，验收完毕后作出验收结果报告；验收费用按招标文件约定承担方负责。</w:t>
      </w:r>
    </w:p>
    <w:p w14:paraId="1A5CD2D6">
      <w:pPr>
        <w:pStyle w:val="3"/>
        <w:snapToGrid w:val="0"/>
        <w:spacing w:line="360" w:lineRule="auto"/>
        <w:ind w:firstLine="472" w:firstLineChars="196"/>
        <w:rPr>
          <w:rFonts w:hint="eastAsia" w:hAnsi="宋体" w:cs="宋体"/>
          <w:b/>
          <w:color w:val="000000"/>
          <w:sz w:val="24"/>
          <w:szCs w:val="24"/>
        </w:rPr>
      </w:pPr>
      <w:r>
        <w:rPr>
          <w:rFonts w:hint="eastAsia" w:hAnsi="宋体" w:cs="宋体"/>
          <w:b/>
          <w:color w:val="000000"/>
          <w:sz w:val="24"/>
          <w:szCs w:val="24"/>
        </w:rPr>
        <w:t>第十三条  货物包装、发运及运输</w:t>
      </w:r>
    </w:p>
    <w:p w14:paraId="4BB99F43">
      <w:pPr>
        <w:pStyle w:val="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1.乙方应在货物发运前对其进行满足运输距离、防潮、防震、防锈和防破损装卸等要求包装，以保证货物安全运达甲方指定地点。</w:t>
      </w:r>
    </w:p>
    <w:p w14:paraId="0F504602">
      <w:pPr>
        <w:pStyle w:val="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2.使用说明书（货物属于进口产品的，供货时应同时附上中文使用说明书）、质量检验证明书、随配附件和工具以及清单一并附于货物内。</w:t>
      </w:r>
    </w:p>
    <w:p w14:paraId="12402D26">
      <w:pPr>
        <w:pStyle w:val="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3.乙方在货物发运手续办理完毕后24小时内或者货到甲方48小时前通知甲方，以准备接货。</w:t>
      </w:r>
    </w:p>
    <w:p w14:paraId="59533985">
      <w:pPr>
        <w:pStyle w:val="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4.货物在交付甲方前发生的风险均由乙方负责。</w:t>
      </w:r>
    </w:p>
    <w:p w14:paraId="6E6BD320">
      <w:pPr>
        <w:pStyle w:val="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5.货物在规定的交付期限内由乙方送达甲方指定的地点视为交付，乙方同时需通知甲方货物已送达。</w:t>
      </w:r>
    </w:p>
    <w:p w14:paraId="47EB1B11">
      <w:pPr>
        <w:suppressAutoHyphens/>
        <w:snapToGrid w:val="0"/>
        <w:spacing w:line="360" w:lineRule="exact"/>
        <w:ind w:firstLine="482" w:firstLineChars="200"/>
        <w:rPr>
          <w:rFonts w:hint="default" w:ascii="宋体" w:hAnsi="宋体" w:cs="宋体" w:eastAsiaTheme="minorEastAsia"/>
          <w:b/>
          <w:color w:val="000000"/>
          <w:sz w:val="24"/>
          <w:lang w:val="en-US" w:eastAsia="zh-CN"/>
        </w:rPr>
      </w:pPr>
      <w:r>
        <w:rPr>
          <w:rFonts w:hint="eastAsia" w:ascii="宋体" w:hAnsi="宋体" w:cs="宋体"/>
          <w:b/>
          <w:color w:val="000000"/>
          <w:sz w:val="24"/>
        </w:rPr>
        <w:t>第十四条</w:t>
      </w:r>
      <w:r>
        <w:rPr>
          <w:rFonts w:hint="eastAsia" w:ascii="宋体" w:hAnsi="宋体" w:cs="宋体"/>
          <w:b/>
          <w:color w:val="000000"/>
          <w:sz w:val="24"/>
          <w:lang w:val="en-US" w:eastAsia="zh-CN"/>
        </w:rPr>
        <w:t xml:space="preserve">  违约责任</w:t>
      </w:r>
    </w:p>
    <w:p w14:paraId="641B9676">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val="en-US" w:eastAsia="zh-CN"/>
        </w:rPr>
        <w:t xml:space="preserve">1. </w:t>
      </w:r>
      <w:r>
        <w:rPr>
          <w:rFonts w:hint="eastAsia" w:ascii="宋体" w:hAnsi="宋体" w:eastAsia="宋体" w:cs="宋体"/>
          <w:kern w:val="1"/>
          <w:sz w:val="24"/>
          <w:szCs w:val="24"/>
          <w:lang w:eastAsia="ar-SA"/>
        </w:rPr>
        <w:t>乙方所提供的货物规格、技术标准、材料</w:t>
      </w:r>
      <w:r>
        <w:rPr>
          <w:rFonts w:hint="eastAsia" w:ascii="宋体" w:hAnsi="宋体" w:eastAsia="宋体" w:cs="宋体"/>
          <w:kern w:val="1"/>
          <w:sz w:val="24"/>
          <w:szCs w:val="24"/>
        </w:rPr>
        <w:t>、品牌</w:t>
      </w:r>
      <w:r>
        <w:rPr>
          <w:rFonts w:hint="eastAsia" w:ascii="宋体" w:hAnsi="宋体" w:eastAsia="宋体" w:cs="宋体"/>
          <w:kern w:val="1"/>
          <w:sz w:val="24"/>
          <w:szCs w:val="24"/>
          <w:lang w:eastAsia="ar-SA"/>
        </w:rPr>
        <w:t>等</w:t>
      </w:r>
      <w:r>
        <w:rPr>
          <w:rFonts w:hint="eastAsia" w:ascii="宋体" w:hAnsi="宋体" w:eastAsia="宋体" w:cs="宋体"/>
          <w:kern w:val="1"/>
          <w:sz w:val="24"/>
          <w:szCs w:val="24"/>
        </w:rPr>
        <w:t>不符合采购文件</w:t>
      </w:r>
      <w:r>
        <w:rPr>
          <w:rFonts w:hint="eastAsia" w:ascii="宋体" w:hAnsi="宋体" w:eastAsia="宋体" w:cs="宋体"/>
          <w:kern w:val="1"/>
          <w:sz w:val="24"/>
          <w:szCs w:val="24"/>
          <w:lang w:eastAsia="ar-SA"/>
        </w:rPr>
        <w:t>、响应文件</w:t>
      </w:r>
      <w:r>
        <w:rPr>
          <w:rFonts w:hint="eastAsia" w:ascii="宋体" w:hAnsi="宋体" w:eastAsia="宋体" w:cs="宋体"/>
          <w:kern w:val="1"/>
          <w:sz w:val="24"/>
          <w:szCs w:val="24"/>
        </w:rPr>
        <w:t>、</w:t>
      </w:r>
      <w:r>
        <w:rPr>
          <w:rFonts w:hint="eastAsia" w:ascii="宋体" w:hAnsi="宋体" w:eastAsia="宋体" w:cs="宋体"/>
          <w:kern w:val="1"/>
          <w:sz w:val="24"/>
          <w:szCs w:val="24"/>
          <w:lang w:eastAsia="ar-SA"/>
        </w:rPr>
        <w:t>国家</w:t>
      </w:r>
      <w:r>
        <w:rPr>
          <w:rFonts w:hint="eastAsia" w:ascii="宋体" w:hAnsi="宋体" w:eastAsia="宋体" w:cs="宋体"/>
          <w:kern w:val="1"/>
          <w:sz w:val="24"/>
          <w:szCs w:val="24"/>
        </w:rPr>
        <w:t>质量标准</w:t>
      </w:r>
      <w:r>
        <w:rPr>
          <w:rFonts w:hint="eastAsia" w:ascii="宋体" w:hAnsi="宋体" w:eastAsia="宋体" w:cs="宋体"/>
          <w:kern w:val="1"/>
          <w:sz w:val="24"/>
          <w:szCs w:val="24"/>
          <w:lang w:eastAsia="ar-SA"/>
        </w:rPr>
        <w:t>、行业质量标准的，应在15 个工作日内更换，换货期间计入乙方交货时间，</w:t>
      </w:r>
      <w:r>
        <w:rPr>
          <w:rFonts w:hint="eastAsia" w:ascii="宋体" w:hAnsi="宋体" w:eastAsia="宋体" w:cs="宋体"/>
          <w:kern w:val="1"/>
          <w:sz w:val="24"/>
          <w:szCs w:val="24"/>
        </w:rPr>
        <w:t>如因换货导致</w:t>
      </w:r>
      <w:r>
        <w:rPr>
          <w:rFonts w:hint="eastAsia" w:ascii="宋体" w:hAnsi="宋体" w:eastAsia="宋体" w:cs="宋体"/>
          <w:kern w:val="1"/>
          <w:sz w:val="24"/>
          <w:szCs w:val="24"/>
          <w:lang w:eastAsia="ar-SA"/>
        </w:rPr>
        <w:t>逾期交货的</w:t>
      </w:r>
      <w:r>
        <w:rPr>
          <w:rFonts w:hint="eastAsia" w:ascii="宋体" w:hAnsi="宋体" w:eastAsia="宋体" w:cs="宋体"/>
          <w:kern w:val="1"/>
          <w:sz w:val="24"/>
          <w:szCs w:val="24"/>
        </w:rPr>
        <w:t>，</w:t>
      </w:r>
      <w:r>
        <w:rPr>
          <w:rFonts w:hint="eastAsia" w:ascii="宋体" w:hAnsi="宋体" w:eastAsia="宋体" w:cs="宋体"/>
          <w:kern w:val="1"/>
          <w:sz w:val="24"/>
          <w:szCs w:val="24"/>
          <w:lang w:eastAsia="ar-SA"/>
        </w:rPr>
        <w:t>乙方应承担相应违约责任。乙方拒绝更换或更换货物后仍不符合本合同约定的，该货物的价款不计入结算金额</w:t>
      </w:r>
      <w:r>
        <w:rPr>
          <w:rFonts w:hint="eastAsia" w:ascii="宋体" w:hAnsi="宋体" w:eastAsia="宋体" w:cs="宋体"/>
          <w:kern w:val="1"/>
          <w:sz w:val="24"/>
          <w:szCs w:val="24"/>
        </w:rPr>
        <w:t>（或从合同合计金额中扣除）</w:t>
      </w:r>
      <w:r>
        <w:rPr>
          <w:rFonts w:hint="eastAsia" w:ascii="宋体" w:hAnsi="宋体" w:eastAsia="宋体" w:cs="宋体"/>
          <w:kern w:val="1"/>
          <w:sz w:val="24"/>
          <w:szCs w:val="24"/>
          <w:lang w:eastAsia="ar-SA"/>
        </w:rPr>
        <w:t>，且乙方应按合同合计金额的</w:t>
      </w:r>
      <w:r>
        <w:rPr>
          <w:rFonts w:hint="eastAsia" w:ascii="宋体" w:hAnsi="宋体" w:eastAsia="宋体" w:cs="宋体"/>
          <w:kern w:val="1"/>
          <w:sz w:val="24"/>
          <w:szCs w:val="24"/>
        </w:rPr>
        <w:t>3</w:t>
      </w:r>
      <w:r>
        <w:rPr>
          <w:rFonts w:hint="eastAsia" w:ascii="宋体" w:hAnsi="宋体" w:eastAsia="宋体" w:cs="宋体"/>
          <w:kern w:val="1"/>
          <w:sz w:val="24"/>
          <w:szCs w:val="24"/>
          <w:lang w:eastAsia="ar-SA"/>
        </w:rPr>
        <w:t>0%向甲方支付违约金</w:t>
      </w:r>
      <w:r>
        <w:rPr>
          <w:rFonts w:hint="eastAsia" w:ascii="宋体" w:hAnsi="宋体" w:eastAsia="宋体" w:cs="宋体"/>
          <w:kern w:val="1"/>
          <w:sz w:val="24"/>
          <w:szCs w:val="24"/>
        </w:rPr>
        <w:t>；</w:t>
      </w:r>
      <w:r>
        <w:rPr>
          <w:rFonts w:hint="eastAsia" w:ascii="宋体" w:hAnsi="宋体" w:eastAsia="宋体" w:cs="宋体"/>
          <w:kern w:val="1"/>
          <w:sz w:val="24"/>
          <w:szCs w:val="24"/>
          <w:lang w:eastAsia="ar-SA"/>
        </w:rPr>
        <w:t>乙方所提供的货物仅存在不影响使用的质量瑕疵且特殊情况下甲方同意接收的，乙方应向甲方支付违约货款额</w:t>
      </w:r>
      <w:r>
        <w:rPr>
          <w:rFonts w:hint="eastAsia" w:ascii="宋体" w:hAnsi="宋体" w:eastAsia="宋体" w:cs="宋体"/>
          <w:kern w:val="1"/>
          <w:sz w:val="24"/>
          <w:szCs w:val="24"/>
          <w:u w:val="single"/>
          <w:lang w:eastAsia="ar-SA"/>
        </w:rPr>
        <w:t>5%</w:t>
      </w:r>
      <w:r>
        <w:rPr>
          <w:rFonts w:hint="eastAsia" w:ascii="宋体" w:hAnsi="宋体" w:eastAsia="宋体" w:cs="宋体"/>
          <w:kern w:val="1"/>
          <w:sz w:val="24"/>
          <w:szCs w:val="24"/>
        </w:rPr>
        <w:t>的</w:t>
      </w:r>
      <w:r>
        <w:rPr>
          <w:rFonts w:hint="eastAsia" w:ascii="宋体" w:hAnsi="宋体" w:eastAsia="宋体" w:cs="宋体"/>
          <w:kern w:val="1"/>
          <w:sz w:val="24"/>
          <w:szCs w:val="24"/>
          <w:lang w:eastAsia="ar-SA"/>
        </w:rPr>
        <w:t>违约金。</w:t>
      </w:r>
    </w:p>
    <w:p w14:paraId="4DC7F222">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2.乙方提供的货物如侵犯了第三方合法权益（包括但不限于知识产权、所有权、用益权物、担保物权等）而引发的任何纠纷或诉讼，均由乙方负责交涉并承担全部责任。在处理纠纷或诉讼的过程中，乙方应为甲方取得继续使用该</w:t>
      </w:r>
      <w:r>
        <w:rPr>
          <w:rFonts w:hint="eastAsia" w:ascii="宋体" w:hAnsi="宋体" w:eastAsia="宋体" w:cs="宋体"/>
          <w:kern w:val="1"/>
          <w:sz w:val="24"/>
          <w:szCs w:val="24"/>
        </w:rPr>
        <w:t>货物</w:t>
      </w:r>
      <w:r>
        <w:rPr>
          <w:rFonts w:hint="eastAsia" w:ascii="宋体" w:hAnsi="宋体" w:eastAsia="宋体" w:cs="宋体"/>
          <w:kern w:val="1"/>
          <w:sz w:val="24"/>
          <w:szCs w:val="24"/>
          <w:lang w:eastAsia="ar-SA"/>
        </w:rPr>
        <w:t>的权利，或者将该</w:t>
      </w:r>
      <w:r>
        <w:rPr>
          <w:rFonts w:hint="eastAsia" w:ascii="宋体" w:hAnsi="宋体" w:eastAsia="宋体" w:cs="宋体"/>
          <w:kern w:val="1"/>
          <w:sz w:val="24"/>
          <w:szCs w:val="24"/>
        </w:rPr>
        <w:t>货物</w:t>
      </w:r>
      <w:r>
        <w:rPr>
          <w:rFonts w:hint="eastAsia" w:ascii="宋体" w:hAnsi="宋体" w:eastAsia="宋体" w:cs="宋体"/>
          <w:kern w:val="1"/>
          <w:sz w:val="24"/>
          <w:szCs w:val="24"/>
          <w:lang w:eastAsia="ar-SA"/>
        </w:rPr>
        <w:t>替换或修改，以便使用该</w:t>
      </w:r>
      <w:r>
        <w:rPr>
          <w:rFonts w:hint="eastAsia" w:ascii="宋体" w:hAnsi="宋体" w:eastAsia="宋体" w:cs="宋体"/>
          <w:kern w:val="1"/>
          <w:sz w:val="24"/>
          <w:szCs w:val="24"/>
        </w:rPr>
        <w:t>货物</w:t>
      </w:r>
      <w:r>
        <w:rPr>
          <w:rFonts w:hint="eastAsia" w:ascii="宋体" w:hAnsi="宋体" w:eastAsia="宋体" w:cs="宋体"/>
          <w:kern w:val="1"/>
          <w:sz w:val="24"/>
          <w:szCs w:val="24"/>
          <w:lang w:eastAsia="ar-SA"/>
        </w:rPr>
        <w:t>不再侵权。如果乙方不能合理地完成这些补救措施，并且甲方必须停止使用侵权的</w:t>
      </w:r>
      <w:r>
        <w:rPr>
          <w:rFonts w:hint="eastAsia" w:ascii="宋体" w:hAnsi="宋体" w:eastAsia="宋体" w:cs="宋体"/>
          <w:kern w:val="1"/>
          <w:sz w:val="24"/>
          <w:szCs w:val="24"/>
        </w:rPr>
        <w:t>货物</w:t>
      </w:r>
      <w:r>
        <w:rPr>
          <w:rFonts w:hint="eastAsia" w:ascii="宋体" w:hAnsi="宋体" w:eastAsia="宋体" w:cs="宋体"/>
          <w:kern w:val="1"/>
          <w:sz w:val="24"/>
          <w:szCs w:val="24"/>
          <w:lang w:eastAsia="ar-SA"/>
        </w:rPr>
        <w:t>，甲方有权解除合同，要求乙方需退还甲方已付价款，没收</w:t>
      </w:r>
      <w:r>
        <w:rPr>
          <w:rFonts w:hint="eastAsia" w:ascii="宋体" w:hAnsi="宋体" w:eastAsia="宋体" w:cs="宋体"/>
          <w:kern w:val="1"/>
          <w:sz w:val="24"/>
          <w:szCs w:val="24"/>
        </w:rPr>
        <w:t>履约</w:t>
      </w:r>
      <w:r>
        <w:rPr>
          <w:rFonts w:hint="eastAsia" w:ascii="宋体" w:hAnsi="宋体" w:eastAsia="宋体" w:cs="宋体"/>
          <w:kern w:val="1"/>
          <w:sz w:val="24"/>
          <w:szCs w:val="24"/>
          <w:lang w:eastAsia="ar-SA"/>
        </w:rPr>
        <w:t>保证金，并有权要求</w:t>
      </w:r>
      <w:r>
        <w:rPr>
          <w:rFonts w:hint="eastAsia" w:ascii="宋体" w:hAnsi="宋体" w:eastAsia="宋体" w:cs="宋体"/>
          <w:kern w:val="1"/>
          <w:sz w:val="24"/>
          <w:szCs w:val="24"/>
        </w:rPr>
        <w:t>乙方</w:t>
      </w:r>
      <w:r>
        <w:rPr>
          <w:rFonts w:hint="eastAsia" w:ascii="宋体" w:hAnsi="宋体" w:eastAsia="宋体" w:cs="宋体"/>
          <w:kern w:val="1"/>
          <w:sz w:val="24"/>
          <w:szCs w:val="24"/>
          <w:lang w:eastAsia="ar-SA"/>
        </w:rPr>
        <w:t>按合同合计金额</w:t>
      </w:r>
      <w:r>
        <w:rPr>
          <w:rFonts w:hint="eastAsia" w:ascii="宋体" w:hAnsi="宋体" w:eastAsia="宋体" w:cs="宋体"/>
          <w:kern w:val="1"/>
          <w:sz w:val="24"/>
          <w:szCs w:val="24"/>
        </w:rPr>
        <w:t>的</w:t>
      </w:r>
      <w:r>
        <w:rPr>
          <w:rFonts w:hint="eastAsia" w:ascii="宋体" w:hAnsi="宋体" w:eastAsia="宋体" w:cs="宋体"/>
          <w:kern w:val="1"/>
          <w:sz w:val="24"/>
          <w:szCs w:val="24"/>
          <w:lang w:eastAsia="ar-SA"/>
        </w:rPr>
        <w:t xml:space="preserve">30% </w:t>
      </w:r>
      <w:r>
        <w:rPr>
          <w:rFonts w:hint="eastAsia" w:ascii="宋体" w:hAnsi="宋体" w:eastAsia="宋体" w:cs="宋体"/>
          <w:kern w:val="1"/>
          <w:sz w:val="24"/>
          <w:szCs w:val="24"/>
        </w:rPr>
        <w:t>支付违约金</w:t>
      </w:r>
      <w:r>
        <w:rPr>
          <w:rFonts w:hint="eastAsia" w:ascii="宋体" w:hAnsi="宋体" w:eastAsia="宋体" w:cs="宋体"/>
          <w:kern w:val="1"/>
          <w:sz w:val="24"/>
          <w:szCs w:val="24"/>
          <w:lang w:eastAsia="ar-SA"/>
        </w:rPr>
        <w:t>。</w:t>
      </w:r>
    </w:p>
    <w:p w14:paraId="2BA6CE41">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3.因包装、运输引起的货物损坏，</w:t>
      </w:r>
      <w:r>
        <w:rPr>
          <w:rFonts w:hint="eastAsia" w:ascii="宋体" w:hAnsi="宋体" w:eastAsia="宋体" w:cs="宋体"/>
          <w:kern w:val="1"/>
          <w:sz w:val="24"/>
          <w:szCs w:val="24"/>
          <w:lang w:eastAsia="zh-Hans"/>
        </w:rPr>
        <w:t>甲方有权选择不予接收或</w:t>
      </w:r>
      <w:r>
        <w:rPr>
          <w:rFonts w:hint="eastAsia" w:ascii="宋体" w:hAnsi="宋体" w:eastAsia="宋体" w:cs="宋体"/>
          <w:kern w:val="1"/>
          <w:sz w:val="24"/>
          <w:szCs w:val="24"/>
          <w:lang w:eastAsia="ar-SA"/>
        </w:rPr>
        <w:t>按质量不合格</w:t>
      </w:r>
      <w:r>
        <w:rPr>
          <w:rFonts w:hint="eastAsia" w:ascii="宋体" w:hAnsi="宋体" w:eastAsia="宋体" w:cs="宋体"/>
          <w:kern w:val="1"/>
          <w:sz w:val="24"/>
          <w:szCs w:val="24"/>
        </w:rPr>
        <w:t>要求乙方承担相应违约责任</w:t>
      </w:r>
      <w:r>
        <w:rPr>
          <w:rFonts w:hint="eastAsia" w:ascii="宋体" w:hAnsi="宋体" w:eastAsia="宋体" w:cs="宋体"/>
          <w:kern w:val="1"/>
          <w:sz w:val="24"/>
          <w:szCs w:val="24"/>
          <w:lang w:eastAsia="ar-SA"/>
        </w:rPr>
        <w:t>。</w:t>
      </w:r>
    </w:p>
    <w:p w14:paraId="20873DCA">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4.甲方无故延期接收货物</w:t>
      </w:r>
      <w:r>
        <w:rPr>
          <w:rFonts w:hint="eastAsia" w:ascii="宋体" w:hAnsi="宋体" w:eastAsia="宋体" w:cs="宋体"/>
          <w:kern w:val="1"/>
          <w:sz w:val="24"/>
          <w:szCs w:val="24"/>
        </w:rPr>
        <w:t>的</w:t>
      </w:r>
      <w:r>
        <w:rPr>
          <w:rFonts w:hint="eastAsia" w:ascii="宋体" w:hAnsi="宋体" w:eastAsia="宋体" w:cs="宋体"/>
          <w:sz w:val="24"/>
          <w:szCs w:val="24"/>
        </w:rPr>
        <w:t>，需补偿乙方因此增加的直接成本。</w:t>
      </w:r>
      <w:r>
        <w:rPr>
          <w:rFonts w:hint="eastAsia" w:ascii="宋体" w:hAnsi="宋体" w:eastAsia="宋体" w:cs="宋体"/>
          <w:kern w:val="1"/>
          <w:sz w:val="24"/>
          <w:szCs w:val="24"/>
          <w:lang w:eastAsia="ar-SA"/>
        </w:rPr>
        <w:t>乙方逾期交货的，每天向</w:t>
      </w:r>
      <w:r>
        <w:rPr>
          <w:rFonts w:hint="eastAsia" w:ascii="宋体" w:hAnsi="宋体" w:eastAsia="宋体" w:cs="宋体"/>
          <w:kern w:val="1"/>
          <w:sz w:val="24"/>
          <w:szCs w:val="24"/>
        </w:rPr>
        <w:t>甲</w:t>
      </w:r>
      <w:r>
        <w:rPr>
          <w:rFonts w:hint="eastAsia" w:ascii="宋体" w:hAnsi="宋体" w:eastAsia="宋体" w:cs="宋体"/>
          <w:kern w:val="1"/>
          <w:sz w:val="24"/>
          <w:szCs w:val="24"/>
          <w:lang w:eastAsia="ar-SA"/>
        </w:rPr>
        <w:t>方偿付违约货款额</w:t>
      </w:r>
      <w:r>
        <w:rPr>
          <w:rFonts w:hint="eastAsia" w:ascii="宋体" w:hAnsi="宋体" w:eastAsia="宋体" w:cs="宋体"/>
          <w:kern w:val="1"/>
          <w:sz w:val="24"/>
          <w:szCs w:val="24"/>
        </w:rPr>
        <w:t>0.4</w:t>
      </w:r>
      <w:r>
        <w:rPr>
          <w:rFonts w:hint="eastAsia" w:ascii="宋体" w:hAnsi="宋体" w:eastAsia="宋体" w:cs="宋体"/>
          <w:kern w:val="1"/>
          <w:sz w:val="24"/>
          <w:szCs w:val="24"/>
          <w:lang w:eastAsia="ar-SA"/>
        </w:rPr>
        <w:t>‰</w:t>
      </w:r>
      <w:r>
        <w:rPr>
          <w:rFonts w:hint="eastAsia" w:ascii="宋体" w:hAnsi="宋体" w:eastAsia="宋体" w:cs="宋体"/>
          <w:kern w:val="1"/>
          <w:sz w:val="24"/>
          <w:szCs w:val="24"/>
        </w:rPr>
        <w:t>的</w:t>
      </w:r>
      <w:r>
        <w:rPr>
          <w:rFonts w:hint="eastAsia" w:ascii="宋体" w:hAnsi="宋体" w:eastAsia="宋体" w:cs="宋体"/>
          <w:kern w:val="1"/>
          <w:sz w:val="24"/>
          <w:szCs w:val="24"/>
          <w:lang w:eastAsia="ar-SA"/>
        </w:rPr>
        <w:t>违约金，超过</w:t>
      </w:r>
      <w:r>
        <w:rPr>
          <w:rFonts w:hint="eastAsia" w:ascii="宋体" w:hAnsi="宋体" w:eastAsia="宋体" w:cs="宋体"/>
          <w:kern w:val="1"/>
          <w:sz w:val="24"/>
          <w:szCs w:val="24"/>
          <w:u w:val="single"/>
          <w:lang w:eastAsia="ar-SA"/>
        </w:rPr>
        <w:t>30</w:t>
      </w:r>
      <w:r>
        <w:rPr>
          <w:rFonts w:hint="eastAsia" w:ascii="宋体" w:hAnsi="宋体" w:eastAsia="宋体" w:cs="宋体"/>
          <w:kern w:val="1"/>
          <w:sz w:val="24"/>
          <w:szCs w:val="24"/>
          <w:lang w:eastAsia="ar-SA"/>
        </w:rPr>
        <w:t>天</w:t>
      </w:r>
      <w:r>
        <w:rPr>
          <w:rFonts w:hint="eastAsia" w:ascii="宋体" w:hAnsi="宋体" w:eastAsia="宋体" w:cs="宋体"/>
          <w:kern w:val="1"/>
          <w:sz w:val="24"/>
          <w:szCs w:val="24"/>
        </w:rPr>
        <w:t>甲</w:t>
      </w:r>
      <w:r>
        <w:rPr>
          <w:rFonts w:hint="eastAsia" w:ascii="宋体" w:hAnsi="宋体" w:eastAsia="宋体" w:cs="宋体"/>
          <w:kern w:val="1"/>
          <w:sz w:val="24"/>
          <w:szCs w:val="24"/>
          <w:lang w:eastAsia="ar-SA"/>
        </w:rPr>
        <w:t>方有权解除合同；甲方延期</w:t>
      </w:r>
      <w:r>
        <w:rPr>
          <w:rFonts w:hint="eastAsia" w:ascii="宋体" w:hAnsi="宋体" w:eastAsia="宋体" w:cs="宋体"/>
          <w:kern w:val="1"/>
          <w:sz w:val="24"/>
          <w:szCs w:val="24"/>
        </w:rPr>
        <w:t>支付</w:t>
      </w:r>
      <w:r>
        <w:rPr>
          <w:rFonts w:hint="eastAsia" w:ascii="宋体" w:hAnsi="宋体" w:eastAsia="宋体" w:cs="宋体"/>
          <w:kern w:val="1"/>
          <w:sz w:val="24"/>
          <w:szCs w:val="24"/>
          <w:lang w:eastAsia="ar-SA"/>
        </w:rPr>
        <w:t>货款的，每天向乙方偿付延期货款额</w:t>
      </w:r>
      <w:r>
        <w:rPr>
          <w:rFonts w:hint="eastAsia" w:ascii="宋体" w:hAnsi="宋体" w:eastAsia="宋体" w:cs="宋体"/>
          <w:kern w:val="1"/>
          <w:sz w:val="24"/>
          <w:szCs w:val="24"/>
          <w:u w:val="single"/>
        </w:rPr>
        <w:t>0.1</w:t>
      </w:r>
      <w:r>
        <w:rPr>
          <w:rFonts w:hint="eastAsia" w:ascii="宋体" w:hAnsi="宋体" w:eastAsia="宋体" w:cs="宋体"/>
          <w:kern w:val="1"/>
          <w:sz w:val="24"/>
          <w:szCs w:val="24"/>
          <w:u w:val="single"/>
          <w:lang w:eastAsia="ar-SA"/>
        </w:rPr>
        <w:t xml:space="preserve">‰ </w:t>
      </w:r>
      <w:bookmarkStart w:id="0" w:name="_Hlk148991641"/>
      <w:r>
        <w:rPr>
          <w:rFonts w:hint="eastAsia" w:ascii="宋体" w:hAnsi="宋体" w:eastAsia="宋体" w:cs="宋体"/>
          <w:kern w:val="1"/>
          <w:sz w:val="24"/>
          <w:szCs w:val="24"/>
          <w:lang w:eastAsia="ar-SA"/>
        </w:rPr>
        <w:t>迟延履行金</w:t>
      </w:r>
      <w:bookmarkEnd w:id="0"/>
      <w:r>
        <w:rPr>
          <w:rFonts w:hint="eastAsia" w:ascii="宋体" w:hAnsi="宋体" w:eastAsia="宋体" w:cs="宋体"/>
          <w:kern w:val="1"/>
          <w:sz w:val="24"/>
          <w:szCs w:val="24"/>
          <w:lang w:eastAsia="ar-SA"/>
        </w:rPr>
        <w:t>，但迟延履行金累计不得超过延期货款额</w:t>
      </w:r>
      <w:r>
        <w:rPr>
          <w:rFonts w:hint="eastAsia" w:ascii="宋体" w:hAnsi="宋体" w:eastAsia="宋体" w:cs="宋体"/>
          <w:kern w:val="1"/>
          <w:sz w:val="24"/>
          <w:szCs w:val="24"/>
          <w:u w:val="single"/>
          <w:lang w:eastAsia="ar-SA"/>
        </w:rPr>
        <w:t>5%</w:t>
      </w:r>
      <w:r>
        <w:rPr>
          <w:rFonts w:hint="eastAsia" w:ascii="宋体" w:hAnsi="宋体" w:eastAsia="宋体" w:cs="宋体"/>
          <w:kern w:val="1"/>
          <w:sz w:val="24"/>
          <w:szCs w:val="24"/>
          <w:lang w:eastAsia="ar-SA"/>
        </w:rPr>
        <w:t>。乙方逾期交付货物核心部件导致货物无法使用的，乙方须赔偿甲方所受到的全部损失（包括但不限于：替代物购置及安装费用等）并按本合同合计金额的</w:t>
      </w:r>
      <w:r>
        <w:rPr>
          <w:rFonts w:hint="eastAsia" w:ascii="宋体" w:hAnsi="宋体" w:eastAsia="宋体" w:cs="宋体"/>
          <w:kern w:val="1"/>
          <w:sz w:val="24"/>
          <w:szCs w:val="24"/>
        </w:rPr>
        <w:t>3</w:t>
      </w:r>
      <w:r>
        <w:rPr>
          <w:rFonts w:hint="eastAsia" w:ascii="宋体" w:hAnsi="宋体" w:eastAsia="宋体" w:cs="宋体"/>
          <w:kern w:val="1"/>
          <w:sz w:val="24"/>
          <w:szCs w:val="24"/>
          <w:lang w:eastAsia="ar-SA"/>
        </w:rPr>
        <w:t>0%支付违约金。</w:t>
      </w:r>
    </w:p>
    <w:p w14:paraId="1A7548D0">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5.乙方未按本合同和投标</w:t>
      </w:r>
      <w:r>
        <w:rPr>
          <w:rFonts w:hint="eastAsia" w:ascii="宋体" w:hAnsi="宋体" w:eastAsia="宋体" w:cs="宋体"/>
          <w:kern w:val="1"/>
          <w:sz w:val="24"/>
          <w:szCs w:val="24"/>
        </w:rPr>
        <w:t>/响应</w:t>
      </w:r>
      <w:r>
        <w:rPr>
          <w:rFonts w:hint="eastAsia" w:ascii="宋体" w:hAnsi="宋体" w:eastAsia="宋体" w:cs="宋体"/>
          <w:kern w:val="1"/>
          <w:sz w:val="24"/>
          <w:szCs w:val="24"/>
          <w:lang w:eastAsia="ar-SA"/>
        </w:rPr>
        <w:t>文件中规定的服务承诺提供售后服务的，</w:t>
      </w:r>
      <w:r>
        <w:rPr>
          <w:rFonts w:hint="eastAsia" w:ascii="宋体" w:hAnsi="宋体" w:eastAsia="宋体" w:cs="宋体"/>
          <w:kern w:val="1"/>
          <w:sz w:val="24"/>
          <w:szCs w:val="24"/>
        </w:rPr>
        <w:t>每出现一次，</w:t>
      </w:r>
      <w:r>
        <w:rPr>
          <w:rFonts w:hint="eastAsia" w:ascii="宋体" w:hAnsi="宋体" w:eastAsia="宋体" w:cs="宋体"/>
          <w:kern w:val="1"/>
          <w:sz w:val="24"/>
          <w:szCs w:val="24"/>
          <w:lang w:eastAsia="ar-SA"/>
        </w:rPr>
        <w:t>乙方应按本合同合计金额</w:t>
      </w:r>
      <w:r>
        <w:rPr>
          <w:rFonts w:hint="eastAsia" w:ascii="宋体" w:hAnsi="宋体" w:eastAsia="宋体" w:cs="宋体"/>
          <w:kern w:val="1"/>
          <w:sz w:val="24"/>
          <w:szCs w:val="24"/>
        </w:rPr>
        <w:t>的</w:t>
      </w:r>
      <w:r>
        <w:rPr>
          <w:rFonts w:hint="eastAsia" w:ascii="宋体" w:hAnsi="宋体" w:eastAsia="宋体" w:cs="宋体"/>
          <w:kern w:val="1"/>
          <w:sz w:val="24"/>
          <w:szCs w:val="24"/>
          <w:u w:val="single"/>
          <w:lang w:eastAsia="ar-SA"/>
        </w:rPr>
        <w:t xml:space="preserve"> 5%</w:t>
      </w:r>
      <w:r>
        <w:rPr>
          <w:rFonts w:hint="eastAsia" w:ascii="宋体" w:hAnsi="宋体" w:eastAsia="宋体" w:cs="宋体"/>
          <w:kern w:val="1"/>
          <w:sz w:val="24"/>
          <w:szCs w:val="24"/>
          <w:lang w:eastAsia="ar-SA"/>
        </w:rPr>
        <w:t>向甲方支付违约金</w:t>
      </w:r>
      <w:r>
        <w:rPr>
          <w:rFonts w:hint="eastAsia" w:ascii="宋体" w:hAnsi="宋体" w:eastAsia="宋体" w:cs="宋体"/>
          <w:kern w:val="1"/>
          <w:sz w:val="24"/>
          <w:szCs w:val="24"/>
        </w:rPr>
        <w:t>，同时甲方有权根据本合同第十一条第2</w:t>
      </w:r>
      <w:r>
        <w:rPr>
          <w:rFonts w:hint="eastAsia" w:ascii="宋体" w:hAnsi="宋体" w:eastAsia="宋体" w:cs="宋体"/>
          <w:kern w:val="1"/>
          <w:sz w:val="24"/>
          <w:szCs w:val="24"/>
          <w:lang w:val="en-US" w:eastAsia="zh-CN"/>
        </w:rPr>
        <w:t>款</w:t>
      </w:r>
      <w:r>
        <w:rPr>
          <w:rFonts w:hint="eastAsia" w:ascii="宋体" w:hAnsi="宋体" w:eastAsia="宋体" w:cs="宋体"/>
          <w:kern w:val="1"/>
          <w:sz w:val="24"/>
          <w:szCs w:val="24"/>
        </w:rPr>
        <w:t>的约定</w:t>
      </w:r>
      <w:r>
        <w:rPr>
          <w:rFonts w:hint="eastAsia" w:ascii="宋体" w:hAnsi="宋体" w:eastAsia="宋体" w:cs="宋体"/>
          <w:kern w:val="1"/>
          <w:sz w:val="24"/>
          <w:szCs w:val="24"/>
          <w:lang w:eastAsia="ar-SA"/>
        </w:rPr>
        <w:t>自行交由第三方提供售后服务，乙方</w:t>
      </w:r>
      <w:r>
        <w:rPr>
          <w:rFonts w:hint="eastAsia" w:ascii="宋体" w:hAnsi="宋体" w:eastAsia="宋体" w:cs="宋体"/>
          <w:kern w:val="1"/>
          <w:sz w:val="24"/>
          <w:szCs w:val="24"/>
        </w:rPr>
        <w:t>每次除向甲方支付违约金外，还需</w:t>
      </w:r>
      <w:r>
        <w:rPr>
          <w:rFonts w:hint="eastAsia" w:ascii="宋体" w:hAnsi="宋体" w:eastAsia="宋体" w:cs="宋体"/>
          <w:kern w:val="1"/>
          <w:sz w:val="24"/>
          <w:szCs w:val="24"/>
          <w:lang w:eastAsia="ar-SA"/>
        </w:rPr>
        <w:t>承担</w:t>
      </w:r>
      <w:r>
        <w:rPr>
          <w:rFonts w:hint="eastAsia" w:ascii="宋体" w:hAnsi="宋体" w:eastAsia="宋体" w:cs="宋体"/>
          <w:kern w:val="1"/>
          <w:sz w:val="24"/>
          <w:szCs w:val="24"/>
        </w:rPr>
        <w:t>甲方为此支出的配件费、工时费等</w:t>
      </w:r>
      <w:r>
        <w:rPr>
          <w:rFonts w:hint="eastAsia" w:ascii="宋体" w:hAnsi="宋体" w:eastAsia="宋体" w:cs="宋体"/>
          <w:kern w:val="1"/>
          <w:sz w:val="24"/>
          <w:szCs w:val="24"/>
          <w:lang w:eastAsia="ar-SA"/>
        </w:rPr>
        <w:t>一切</w:t>
      </w:r>
      <w:r>
        <w:rPr>
          <w:rFonts w:hint="eastAsia" w:ascii="宋体" w:hAnsi="宋体" w:eastAsia="宋体" w:cs="宋体"/>
          <w:kern w:val="1"/>
          <w:sz w:val="24"/>
          <w:szCs w:val="24"/>
        </w:rPr>
        <w:t>售后服务相关</w:t>
      </w:r>
      <w:r>
        <w:rPr>
          <w:rFonts w:hint="eastAsia" w:ascii="宋体" w:hAnsi="宋体" w:eastAsia="宋体" w:cs="宋体"/>
          <w:kern w:val="1"/>
          <w:sz w:val="24"/>
          <w:szCs w:val="24"/>
          <w:lang w:eastAsia="ar-SA"/>
        </w:rPr>
        <w:t>费用。</w:t>
      </w:r>
    </w:p>
    <w:p w14:paraId="01C33DB6">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6.乙方提供的货物在质量保证期内，因设计、工艺或材料的缺陷</w:t>
      </w:r>
      <w:r>
        <w:rPr>
          <w:rFonts w:hint="eastAsia" w:ascii="宋体" w:hAnsi="宋体" w:eastAsia="宋体" w:cs="宋体"/>
          <w:kern w:val="1"/>
          <w:sz w:val="24"/>
          <w:szCs w:val="24"/>
        </w:rPr>
        <w:t>和其他</w:t>
      </w:r>
      <w:r>
        <w:rPr>
          <w:rFonts w:hint="eastAsia" w:ascii="宋体" w:hAnsi="宋体" w:eastAsia="宋体" w:cs="宋体"/>
          <w:kern w:val="1"/>
          <w:sz w:val="24"/>
          <w:szCs w:val="24"/>
          <w:lang w:eastAsia="ar-SA"/>
        </w:rPr>
        <w:t>质量原因造成甲方人员（含经允许进入甲方场地的第三人）、该货物之外的其他物品受到伤害（损坏）的，由乙方负责承担由此产生的一切赔偿责任。</w:t>
      </w:r>
    </w:p>
    <w:p w14:paraId="604A7A25">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7.未经甲方书面许可，乙方擅自将本合同项下义务交由第三方完成的，视为乙方根本违约，甲方有权解除本合同。</w:t>
      </w:r>
    </w:p>
    <w:p w14:paraId="306DD507">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8.乙方未按约提供</w:t>
      </w:r>
      <w:r>
        <w:rPr>
          <w:rFonts w:hint="eastAsia" w:ascii="宋体" w:hAnsi="宋体" w:eastAsia="宋体" w:cs="宋体"/>
          <w:kern w:val="1"/>
          <w:sz w:val="24"/>
          <w:szCs w:val="24"/>
        </w:rPr>
        <w:t>合法有效的足额</w:t>
      </w:r>
      <w:r>
        <w:rPr>
          <w:rFonts w:hint="eastAsia" w:ascii="宋体" w:hAnsi="宋体" w:eastAsia="宋体" w:cs="宋体"/>
          <w:kern w:val="1"/>
          <w:sz w:val="24"/>
          <w:szCs w:val="24"/>
          <w:lang w:eastAsia="ar-SA"/>
        </w:rPr>
        <w:t>发票的，除</w:t>
      </w:r>
      <w:r>
        <w:rPr>
          <w:rFonts w:hint="eastAsia" w:ascii="宋体" w:hAnsi="宋体" w:eastAsia="宋体" w:cs="宋体"/>
          <w:kern w:val="1"/>
          <w:sz w:val="24"/>
          <w:szCs w:val="24"/>
        </w:rPr>
        <w:t>须</w:t>
      </w:r>
      <w:r>
        <w:rPr>
          <w:rFonts w:hint="eastAsia" w:ascii="宋体" w:hAnsi="宋体" w:eastAsia="宋体" w:cs="宋体"/>
          <w:kern w:val="1"/>
          <w:sz w:val="24"/>
          <w:szCs w:val="24"/>
          <w:lang w:eastAsia="ar-SA"/>
        </w:rPr>
        <w:t>向甲方补开发票外，</w:t>
      </w:r>
      <w:r>
        <w:rPr>
          <w:rFonts w:hint="eastAsia" w:ascii="宋体" w:hAnsi="宋体" w:eastAsia="宋体" w:cs="宋体"/>
          <w:kern w:val="1"/>
          <w:sz w:val="24"/>
          <w:szCs w:val="24"/>
        </w:rPr>
        <w:t>还</w:t>
      </w:r>
      <w:r>
        <w:rPr>
          <w:rFonts w:hint="eastAsia" w:ascii="宋体" w:hAnsi="宋体" w:eastAsia="宋体" w:cs="宋体"/>
          <w:kern w:val="1"/>
          <w:sz w:val="24"/>
          <w:szCs w:val="24"/>
          <w:lang w:eastAsia="ar-SA"/>
        </w:rPr>
        <w:t>须</w:t>
      </w:r>
      <w:r>
        <w:rPr>
          <w:rFonts w:hint="eastAsia" w:ascii="宋体" w:hAnsi="宋体" w:eastAsia="宋体" w:cs="宋体"/>
          <w:kern w:val="1"/>
          <w:sz w:val="24"/>
          <w:szCs w:val="24"/>
        </w:rPr>
        <w:t>向甲方支付相当于不符合合同约定的发票票面金额30%的违约金。</w:t>
      </w:r>
    </w:p>
    <w:p w14:paraId="37DE12AC">
      <w:pPr>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kern w:val="1"/>
          <w:sz w:val="24"/>
          <w:szCs w:val="24"/>
        </w:rPr>
        <w:t>9</w:t>
      </w:r>
      <w:r>
        <w:rPr>
          <w:rFonts w:hint="eastAsia" w:ascii="宋体" w:hAnsi="宋体" w:eastAsia="宋体" w:cs="宋体"/>
          <w:kern w:val="1"/>
          <w:sz w:val="24"/>
          <w:szCs w:val="24"/>
          <w:lang w:eastAsia="ar-SA"/>
        </w:rPr>
        <w:t>.</w:t>
      </w:r>
      <w:r>
        <w:rPr>
          <w:rFonts w:hint="eastAsia" w:ascii="宋体" w:hAnsi="宋体" w:eastAsia="宋体" w:cs="宋体"/>
          <w:sz w:val="24"/>
          <w:szCs w:val="24"/>
        </w:rPr>
        <w:t>乙方违反</w:t>
      </w:r>
      <w:r>
        <w:rPr>
          <w:rFonts w:hint="eastAsia" w:ascii="宋体" w:hAnsi="宋体" w:eastAsia="宋体" w:cs="宋体"/>
          <w:kern w:val="1"/>
          <w:sz w:val="24"/>
          <w:szCs w:val="24"/>
        </w:rPr>
        <w:t>第三条第3款</w:t>
      </w:r>
      <w:r>
        <w:rPr>
          <w:rFonts w:hint="eastAsia" w:ascii="宋体" w:hAnsi="宋体" w:eastAsia="宋体" w:cs="宋体"/>
          <w:sz w:val="24"/>
          <w:szCs w:val="24"/>
        </w:rPr>
        <w:t>约定的，应向甲方一次性支付合同合计金额30%的违约金。</w:t>
      </w:r>
    </w:p>
    <w:p w14:paraId="254C336D">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rPr>
        <w:t>10.乙方的其他</w:t>
      </w:r>
      <w:r>
        <w:rPr>
          <w:rFonts w:hint="eastAsia" w:ascii="宋体" w:hAnsi="宋体" w:eastAsia="宋体" w:cs="宋体"/>
          <w:kern w:val="1"/>
          <w:sz w:val="24"/>
          <w:szCs w:val="24"/>
          <w:lang w:eastAsia="ar-SA"/>
        </w:rPr>
        <w:t>违约行为</w:t>
      </w:r>
      <w:r>
        <w:rPr>
          <w:rFonts w:hint="eastAsia" w:ascii="宋体" w:hAnsi="宋体" w:eastAsia="宋体" w:cs="宋体"/>
          <w:kern w:val="1"/>
          <w:sz w:val="24"/>
          <w:szCs w:val="24"/>
        </w:rPr>
        <w:t>，</w:t>
      </w:r>
      <w:r>
        <w:rPr>
          <w:rFonts w:hint="eastAsia" w:ascii="宋体" w:hAnsi="宋体" w:eastAsia="宋体" w:cs="宋体"/>
          <w:kern w:val="1"/>
          <w:sz w:val="24"/>
          <w:szCs w:val="24"/>
          <w:lang w:eastAsia="ar-SA"/>
        </w:rPr>
        <w:t>按违约货款额5%收取违约金。</w:t>
      </w:r>
    </w:p>
    <w:p w14:paraId="73634B2B">
      <w:pPr>
        <w:suppressAutoHyphens/>
        <w:snapToGrid w:val="0"/>
        <w:spacing w:line="360" w:lineRule="exact"/>
        <w:ind w:firstLine="480" w:firstLineChars="200"/>
        <w:rPr>
          <w:rFonts w:hint="eastAsia" w:ascii="宋体" w:hAnsi="宋体" w:eastAsia="宋体" w:cs="宋体"/>
          <w:kern w:val="1"/>
          <w:sz w:val="24"/>
          <w:szCs w:val="24"/>
        </w:rPr>
      </w:pPr>
      <w:r>
        <w:rPr>
          <w:rFonts w:hint="eastAsia" w:ascii="宋体" w:hAnsi="宋体" w:eastAsia="宋体" w:cs="宋体"/>
          <w:kern w:val="1"/>
          <w:sz w:val="24"/>
          <w:szCs w:val="24"/>
        </w:rPr>
        <w:t>11</w:t>
      </w:r>
      <w:r>
        <w:rPr>
          <w:rFonts w:hint="eastAsia" w:ascii="宋体" w:hAnsi="宋体" w:eastAsia="宋体" w:cs="宋体"/>
          <w:kern w:val="1"/>
          <w:sz w:val="24"/>
          <w:szCs w:val="24"/>
          <w:lang w:eastAsia="ar-SA"/>
        </w:rPr>
        <w:t>.</w:t>
      </w:r>
      <w:r>
        <w:rPr>
          <w:rFonts w:hint="eastAsia" w:ascii="宋体" w:hAnsi="宋体" w:eastAsia="宋体" w:cs="宋体"/>
          <w:kern w:val="1"/>
          <w:sz w:val="24"/>
          <w:szCs w:val="24"/>
        </w:rPr>
        <w:t>甲方解除合同的，除有权要求乙方按相应违约条款承担违约责任外，还有权要求乙方按</w:t>
      </w:r>
      <w:r>
        <w:rPr>
          <w:rFonts w:hint="eastAsia" w:ascii="宋体" w:hAnsi="宋体" w:eastAsia="宋体" w:cs="宋体"/>
          <w:kern w:val="1"/>
          <w:sz w:val="24"/>
          <w:szCs w:val="24"/>
          <w:lang w:eastAsia="ar-SA"/>
        </w:rPr>
        <w:t>本合同合计金额的</w:t>
      </w:r>
      <w:r>
        <w:rPr>
          <w:rFonts w:hint="eastAsia" w:ascii="宋体" w:hAnsi="宋体" w:eastAsia="宋体" w:cs="宋体"/>
          <w:kern w:val="1"/>
          <w:sz w:val="24"/>
          <w:szCs w:val="24"/>
        </w:rPr>
        <w:t>3</w:t>
      </w:r>
      <w:r>
        <w:rPr>
          <w:rFonts w:hint="eastAsia" w:ascii="宋体" w:hAnsi="宋体" w:eastAsia="宋体" w:cs="宋体"/>
          <w:kern w:val="1"/>
          <w:sz w:val="24"/>
          <w:szCs w:val="24"/>
          <w:lang w:eastAsia="ar-SA"/>
        </w:rPr>
        <w:t>0%支付违约金</w:t>
      </w:r>
      <w:r>
        <w:rPr>
          <w:rFonts w:hint="eastAsia" w:ascii="宋体" w:hAnsi="宋体" w:eastAsia="宋体" w:cs="宋体"/>
          <w:kern w:val="1"/>
          <w:sz w:val="24"/>
          <w:szCs w:val="24"/>
        </w:rPr>
        <w:t>。</w:t>
      </w:r>
    </w:p>
    <w:p w14:paraId="7B75B77B">
      <w:pPr>
        <w:suppressAutoHyphens/>
        <w:snapToGrid w:val="0"/>
        <w:spacing w:line="360" w:lineRule="exact"/>
        <w:ind w:firstLine="480" w:firstLineChars="200"/>
        <w:rPr>
          <w:rFonts w:hint="eastAsia" w:ascii="宋体" w:hAnsi="宋体" w:eastAsia="宋体" w:cs="宋体"/>
          <w:kern w:val="1"/>
          <w:sz w:val="24"/>
          <w:szCs w:val="24"/>
          <w:lang w:eastAsia="zh-Hans"/>
        </w:rPr>
      </w:pPr>
      <w:r>
        <w:rPr>
          <w:rFonts w:hint="eastAsia" w:ascii="宋体" w:hAnsi="宋体" w:eastAsia="宋体" w:cs="宋体"/>
          <w:kern w:val="1"/>
          <w:sz w:val="24"/>
          <w:szCs w:val="24"/>
        </w:rPr>
        <w:t>12.</w:t>
      </w:r>
      <w:r>
        <w:rPr>
          <w:rFonts w:hint="eastAsia" w:ascii="宋体" w:hAnsi="宋体" w:eastAsia="宋体" w:cs="宋体"/>
          <w:kern w:val="1"/>
          <w:sz w:val="24"/>
          <w:szCs w:val="24"/>
          <w:lang w:eastAsia="zh-Hans"/>
        </w:rPr>
        <w:t>任何一方存在任何违约行为的，除按合同约定承担</w:t>
      </w:r>
      <w:r>
        <w:rPr>
          <w:rFonts w:hint="eastAsia" w:ascii="宋体" w:hAnsi="宋体" w:eastAsia="宋体" w:cs="宋体"/>
          <w:kern w:val="1"/>
          <w:sz w:val="24"/>
          <w:szCs w:val="24"/>
        </w:rPr>
        <w:t>违约</w:t>
      </w:r>
      <w:r>
        <w:rPr>
          <w:rFonts w:hint="eastAsia" w:ascii="宋体" w:hAnsi="宋体" w:eastAsia="宋体" w:cs="宋体"/>
          <w:kern w:val="1"/>
          <w:sz w:val="24"/>
          <w:szCs w:val="24"/>
          <w:lang w:eastAsia="zh-Hans"/>
        </w:rPr>
        <w:t>责任外，还应赔偿守约方的一切</w:t>
      </w:r>
      <w:r>
        <w:rPr>
          <w:rFonts w:hint="eastAsia" w:ascii="宋体" w:hAnsi="宋体" w:eastAsia="宋体" w:cs="宋体"/>
          <w:kern w:val="1"/>
          <w:sz w:val="24"/>
          <w:szCs w:val="24"/>
        </w:rPr>
        <w:t>经济</w:t>
      </w:r>
      <w:r>
        <w:rPr>
          <w:rFonts w:hint="eastAsia" w:ascii="宋体" w:hAnsi="宋体" w:eastAsia="宋体" w:cs="宋体"/>
          <w:kern w:val="1"/>
          <w:sz w:val="24"/>
          <w:szCs w:val="24"/>
          <w:lang w:eastAsia="zh-Hans"/>
        </w:rPr>
        <w:t>损失</w:t>
      </w:r>
      <w:bookmarkStart w:id="1" w:name="_Hlk148991659"/>
      <w:r>
        <w:rPr>
          <w:rFonts w:hint="eastAsia" w:ascii="宋体" w:hAnsi="宋体" w:eastAsia="宋体" w:cs="宋体"/>
          <w:kern w:val="1"/>
          <w:sz w:val="24"/>
          <w:szCs w:val="24"/>
          <w:lang w:eastAsia="zh-Hans"/>
        </w:rPr>
        <w:t>，包括直接的财产损失，以及因违约造成的可能产生的预期经济损失以及守约为应对相关处罚、纠纷、诉讼支出的全部费用（包括但不限于守约方因此承担的处罚、赔偿责任、发生的当事人以及代理人差旅费、诉讼费、公告费、律师费、公证费、保全费、诉讼保全保险费、评估费、鉴定费及其他损失等）</w:t>
      </w:r>
      <w:bookmarkEnd w:id="1"/>
      <w:r>
        <w:rPr>
          <w:rFonts w:hint="eastAsia" w:ascii="宋体" w:hAnsi="宋体" w:eastAsia="宋体" w:cs="宋体"/>
          <w:kern w:val="1"/>
          <w:sz w:val="24"/>
          <w:szCs w:val="24"/>
          <w:lang w:eastAsia="zh-Hans"/>
        </w:rPr>
        <w:t>。</w:t>
      </w:r>
    </w:p>
    <w:p w14:paraId="3B516B50">
      <w:pPr>
        <w:snapToGrid w:val="0"/>
        <w:spacing w:line="360" w:lineRule="exact"/>
        <w:ind w:firstLine="480" w:firstLineChars="200"/>
        <w:rPr>
          <w:rFonts w:hint="eastAsia" w:hAnsi="宋体" w:cs="宋体"/>
          <w:color w:val="000000"/>
          <w:sz w:val="24"/>
          <w:szCs w:val="24"/>
        </w:rPr>
      </w:pPr>
      <w:bookmarkStart w:id="2" w:name="_Hlk148991669"/>
      <w:r>
        <w:rPr>
          <w:rFonts w:hint="eastAsia" w:ascii="宋体" w:hAnsi="宋体" w:eastAsia="宋体" w:cs="宋体"/>
          <w:kern w:val="1"/>
          <w:sz w:val="24"/>
          <w:szCs w:val="24"/>
        </w:rPr>
        <w:t>13. 按本合同约定或法律规定，甲方主张解除合同的，自甲方解除合同的书面通知送达乙方之日起合同解除，乙方应赔偿由此给甲方造成的全部损失。甲方不支付乙方任何费用，乙方对解除合同有异议的异议期为叁日。乙方应当在合同解除后伍日内退还甲方支付的所有费用（如有），自费运回所交付的货物，付清违约金、赔偿金。</w:t>
      </w:r>
      <w:bookmarkEnd w:id="2"/>
    </w:p>
    <w:p w14:paraId="6F126D6C">
      <w:pPr>
        <w:pStyle w:val="3"/>
        <w:snapToGrid w:val="0"/>
        <w:spacing w:line="360" w:lineRule="auto"/>
        <w:ind w:firstLine="354" w:firstLineChars="196"/>
        <w:rPr>
          <w:rFonts w:hint="eastAsia" w:hAnsi="宋体" w:cs="宋体"/>
          <w:b/>
          <w:color w:val="000000"/>
          <w:sz w:val="18"/>
          <w:szCs w:val="18"/>
        </w:rPr>
      </w:pPr>
    </w:p>
    <w:p w14:paraId="5396A525">
      <w:pPr>
        <w:pStyle w:val="3"/>
        <w:snapToGrid w:val="0"/>
        <w:spacing w:line="360" w:lineRule="auto"/>
        <w:ind w:firstLine="472" w:firstLineChars="196"/>
        <w:rPr>
          <w:rFonts w:hint="eastAsia" w:hAnsi="宋体" w:cs="宋体"/>
          <w:b/>
          <w:color w:val="000000"/>
          <w:sz w:val="24"/>
          <w:szCs w:val="24"/>
        </w:rPr>
      </w:pPr>
      <w:r>
        <w:rPr>
          <w:rFonts w:hint="eastAsia" w:hAnsi="宋体" w:cs="宋体"/>
          <w:b/>
          <w:color w:val="000000"/>
          <w:sz w:val="24"/>
          <w:szCs w:val="24"/>
        </w:rPr>
        <w:t>第十五条  不可抗力事件处理</w:t>
      </w:r>
    </w:p>
    <w:p w14:paraId="498F8E7C">
      <w:pPr>
        <w:pStyle w:val="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1.在合同有效期内，任何一方因不可抗力事件导致不能履行合同，则合同履行期可延长，其延长期与不可抗力影响期相同。</w:t>
      </w:r>
    </w:p>
    <w:p w14:paraId="56F87C96">
      <w:pPr>
        <w:pStyle w:val="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2.不可抗力事件发生后，应立即通知对方，并寄送有关权威机构出具的证明。</w:t>
      </w:r>
    </w:p>
    <w:p w14:paraId="4F8A6BCE">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3.不可抗力事件延续一百二十天以上，双方应通过友好协商，确定是否继续履行合同。</w:t>
      </w:r>
    </w:p>
    <w:p w14:paraId="5B81D848">
      <w:pPr>
        <w:snapToGrid w:val="0"/>
        <w:spacing w:line="360" w:lineRule="auto"/>
        <w:ind w:firstLine="301" w:firstLineChars="200"/>
        <w:rPr>
          <w:rFonts w:hint="eastAsia" w:ascii="宋体" w:hAnsi="宋体" w:cs="宋体"/>
          <w:b/>
          <w:color w:val="000000"/>
          <w:sz w:val="15"/>
          <w:szCs w:val="15"/>
        </w:rPr>
      </w:pPr>
    </w:p>
    <w:p w14:paraId="2A58643F">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第十六条  合同争议解决</w:t>
      </w:r>
    </w:p>
    <w:p w14:paraId="6B2A8355">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1.因货物质量问题发生争议的，应邀请国家认可的质量检测机构对货物质量进行鉴定。货物符合标准的，鉴定费由甲方承担；货物不符合标准的，鉴定费由乙方承担。</w:t>
      </w:r>
    </w:p>
    <w:p w14:paraId="7ED78AD7">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2.因履行本合同引起的或者与本合同有关的争议，甲乙双方应首先通过友好协商解决，如果协商不能解决，可向甲方所在地人民法院提起诉讼。</w:t>
      </w:r>
    </w:p>
    <w:p w14:paraId="7468F5AB">
      <w:pPr>
        <w:snapToGrid w:val="0"/>
        <w:spacing w:line="360" w:lineRule="auto"/>
        <w:ind w:left="-61" w:firstLine="514"/>
        <w:rPr>
          <w:rFonts w:hint="eastAsia" w:ascii="宋体" w:hAnsi="宋体" w:cs="宋体"/>
          <w:color w:val="000000"/>
          <w:sz w:val="24"/>
        </w:rPr>
      </w:pPr>
      <w:r>
        <w:rPr>
          <w:rFonts w:hint="eastAsia" w:ascii="宋体" w:hAnsi="宋体" w:cs="宋体"/>
          <w:color w:val="000000"/>
          <w:sz w:val="24"/>
        </w:rPr>
        <w:t>3.诉讼期间，本合同继续履行。</w:t>
      </w:r>
    </w:p>
    <w:p w14:paraId="60F759D1">
      <w:pPr>
        <w:pStyle w:val="4"/>
        <w:rPr>
          <w:rFonts w:hint="eastAsia"/>
        </w:rPr>
      </w:pPr>
    </w:p>
    <w:p w14:paraId="4ED5F7C2">
      <w:pPr>
        <w:pStyle w:val="3"/>
        <w:snapToGrid w:val="0"/>
        <w:spacing w:line="360" w:lineRule="auto"/>
        <w:ind w:firstLine="472" w:firstLineChars="196"/>
        <w:rPr>
          <w:rFonts w:hint="eastAsia" w:hAnsi="宋体" w:cs="宋体"/>
          <w:b/>
          <w:color w:val="000000"/>
          <w:sz w:val="24"/>
          <w:szCs w:val="24"/>
        </w:rPr>
      </w:pPr>
      <w:r>
        <w:rPr>
          <w:rFonts w:hint="eastAsia" w:hAnsi="宋体" w:cs="宋体"/>
          <w:b/>
          <w:color w:val="000000"/>
          <w:sz w:val="24"/>
          <w:szCs w:val="24"/>
        </w:rPr>
        <w:t>第十七条  合同生效及其它</w:t>
      </w:r>
    </w:p>
    <w:p w14:paraId="5B5A1359">
      <w:pPr>
        <w:pStyle w:val="3"/>
        <w:snapToGrid w:val="0"/>
        <w:spacing w:line="480" w:lineRule="auto"/>
        <w:ind w:firstLine="480" w:firstLineChars="200"/>
        <w:rPr>
          <w:rFonts w:hint="eastAsia" w:hAnsi="宋体" w:cs="宋体"/>
          <w:bCs/>
          <w:color w:val="000000"/>
          <w:sz w:val="24"/>
          <w:szCs w:val="24"/>
        </w:rPr>
      </w:pPr>
      <w:r>
        <w:rPr>
          <w:rFonts w:hint="eastAsia" w:hAnsi="宋体" w:cs="宋体"/>
          <w:bCs/>
          <w:color w:val="000000"/>
          <w:sz w:val="24"/>
          <w:szCs w:val="24"/>
        </w:rPr>
        <w:t>1.本合同一式伍份，甲方执四份，乙方执壹份，具有同等法律效力；合同经双方法定代表人或者委托代理人签字并加盖单位公章后生效。</w:t>
      </w:r>
    </w:p>
    <w:p w14:paraId="18200C74">
      <w:pPr>
        <w:pStyle w:val="3"/>
        <w:snapToGrid w:val="0"/>
        <w:spacing w:line="480" w:lineRule="auto"/>
        <w:ind w:firstLine="480" w:firstLineChars="200"/>
        <w:rPr>
          <w:rFonts w:hint="eastAsia" w:hAnsi="宋体" w:cs="宋体"/>
          <w:bCs/>
          <w:color w:val="000000"/>
          <w:sz w:val="24"/>
          <w:szCs w:val="24"/>
        </w:rPr>
      </w:pPr>
      <w:r>
        <w:rPr>
          <w:rFonts w:hint="eastAsia" w:hAnsi="宋体" w:cs="宋体"/>
          <w:bCs/>
          <w:color w:val="000000"/>
          <w:sz w:val="24"/>
          <w:szCs w:val="24"/>
        </w:rPr>
        <w:t>2.合同执行中涉及采购资金和采购内容修改或者补充的，须经甲方相关部门审批，并签书面补充协议备案，方可作为主合同不可分割的一部分。</w:t>
      </w:r>
    </w:p>
    <w:p w14:paraId="77996B1A">
      <w:pPr>
        <w:pStyle w:val="3"/>
        <w:snapToGrid w:val="0"/>
        <w:spacing w:line="480" w:lineRule="auto"/>
        <w:ind w:left="283" w:leftChars="135" w:firstLine="143"/>
        <w:rPr>
          <w:rFonts w:hint="eastAsia" w:hAnsi="宋体" w:cs="宋体"/>
          <w:bCs/>
          <w:color w:val="000000"/>
          <w:sz w:val="24"/>
          <w:szCs w:val="24"/>
        </w:rPr>
      </w:pPr>
      <w:r>
        <w:rPr>
          <w:rFonts w:hint="eastAsia" w:hAnsi="宋体" w:cs="宋体"/>
          <w:bCs/>
          <w:color w:val="000000"/>
          <w:sz w:val="24"/>
          <w:szCs w:val="24"/>
        </w:rPr>
        <w:t>3.本合同未尽事宜，</w:t>
      </w:r>
      <w:r>
        <w:rPr>
          <w:rFonts w:hint="eastAsia" w:hAnsi="宋体" w:cs="宋体"/>
          <w:bCs/>
          <w:color w:val="000000"/>
          <w:sz w:val="24"/>
          <w:szCs w:val="24"/>
          <w:lang w:val="en-US" w:eastAsia="zh-CN"/>
        </w:rPr>
        <w:t>按采购文件的要求和投标/响应文件的承诺执行，采购文件和投标/响应文件均不涉及的，</w:t>
      </w:r>
      <w:r>
        <w:rPr>
          <w:rFonts w:hint="eastAsia" w:hAnsi="宋体" w:cs="宋体"/>
          <w:bCs/>
          <w:color w:val="000000"/>
          <w:sz w:val="24"/>
          <w:szCs w:val="24"/>
        </w:rPr>
        <w:t>遵照《民法典》有关条文执行。</w:t>
      </w:r>
    </w:p>
    <w:p w14:paraId="7E66327C">
      <w:pPr>
        <w:rPr>
          <w:rFonts w:hint="eastAsia"/>
        </w:rPr>
      </w:pPr>
    </w:p>
    <w:tbl>
      <w:tblPr>
        <w:tblStyle w:val="7"/>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443D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4516" w:type="dxa"/>
            <w:noWrap w:val="0"/>
            <w:vAlign w:val="center"/>
          </w:tcPr>
          <w:p w14:paraId="308FBF3F">
            <w:pPr>
              <w:snapToGrid w:val="0"/>
              <w:spacing w:line="360" w:lineRule="auto"/>
              <w:rPr>
                <w:rFonts w:hint="eastAsia" w:ascii="宋体" w:hAnsi="宋体"/>
                <w:b/>
                <w:bCs/>
                <w:color w:val="000000"/>
                <w:sz w:val="24"/>
              </w:rPr>
            </w:pPr>
            <w:r>
              <w:rPr>
                <w:rFonts w:hint="eastAsia" w:ascii="宋体" w:hAnsi="宋体"/>
                <w:b/>
                <w:bCs/>
                <w:color w:val="000000"/>
                <w:sz w:val="24"/>
              </w:rPr>
              <w:t xml:space="preserve">甲方（章）           </w:t>
            </w:r>
          </w:p>
          <w:p w14:paraId="36075587">
            <w:pPr>
              <w:snapToGrid w:val="0"/>
              <w:spacing w:line="360" w:lineRule="auto"/>
              <w:rPr>
                <w:rFonts w:hint="eastAsia" w:ascii="宋体" w:hAnsi="宋体"/>
                <w:b/>
                <w:bCs/>
                <w:color w:val="000000"/>
                <w:sz w:val="24"/>
              </w:rPr>
            </w:pPr>
          </w:p>
          <w:p w14:paraId="7AC438E1">
            <w:pPr>
              <w:snapToGrid w:val="0"/>
              <w:spacing w:line="360" w:lineRule="auto"/>
              <w:ind w:firstLine="1084" w:firstLineChars="450"/>
              <w:jc w:val="right"/>
              <w:rPr>
                <w:rFonts w:hint="eastAsia" w:ascii="宋体" w:hAnsi="宋体"/>
                <w:b/>
                <w:bCs/>
                <w:color w:val="000000"/>
                <w:sz w:val="24"/>
              </w:rPr>
            </w:pPr>
            <w:r>
              <w:rPr>
                <w:rFonts w:hint="eastAsia" w:ascii="宋体" w:hAnsi="宋体"/>
                <w:b/>
                <w:bCs/>
                <w:color w:val="000000"/>
                <w:sz w:val="24"/>
              </w:rPr>
              <w:t>年   月   日</w:t>
            </w:r>
          </w:p>
        </w:tc>
        <w:tc>
          <w:tcPr>
            <w:tcW w:w="4517" w:type="dxa"/>
            <w:noWrap w:val="0"/>
            <w:vAlign w:val="center"/>
          </w:tcPr>
          <w:p w14:paraId="495C7364">
            <w:pPr>
              <w:snapToGrid w:val="0"/>
              <w:spacing w:line="360" w:lineRule="auto"/>
              <w:rPr>
                <w:rFonts w:hint="eastAsia" w:ascii="宋体" w:hAnsi="宋体"/>
                <w:b/>
                <w:bCs/>
                <w:color w:val="000000"/>
                <w:sz w:val="24"/>
              </w:rPr>
            </w:pPr>
            <w:r>
              <w:rPr>
                <w:rFonts w:hint="eastAsia" w:ascii="宋体" w:hAnsi="宋体"/>
                <w:b/>
                <w:bCs/>
                <w:color w:val="000000"/>
                <w:sz w:val="24"/>
              </w:rPr>
              <w:t xml:space="preserve">乙方（章）              </w:t>
            </w:r>
          </w:p>
          <w:p w14:paraId="045147E0">
            <w:pPr>
              <w:snapToGrid w:val="0"/>
              <w:spacing w:line="360" w:lineRule="auto"/>
              <w:rPr>
                <w:rFonts w:hint="eastAsia" w:ascii="宋体" w:hAnsi="宋体"/>
                <w:b/>
                <w:bCs/>
                <w:color w:val="000000"/>
                <w:sz w:val="24"/>
              </w:rPr>
            </w:pPr>
          </w:p>
          <w:p w14:paraId="3DB386C1">
            <w:pPr>
              <w:snapToGrid w:val="0"/>
              <w:spacing w:line="360" w:lineRule="auto"/>
              <w:jc w:val="right"/>
              <w:rPr>
                <w:rFonts w:hint="eastAsia" w:ascii="宋体" w:hAnsi="宋体"/>
                <w:b/>
                <w:bCs/>
                <w:color w:val="000000"/>
                <w:sz w:val="24"/>
              </w:rPr>
            </w:pPr>
            <w:r>
              <w:rPr>
                <w:rFonts w:hint="eastAsia" w:ascii="宋体" w:hAnsi="宋体"/>
                <w:b/>
                <w:bCs/>
                <w:color w:val="000000"/>
                <w:sz w:val="24"/>
              </w:rPr>
              <w:t xml:space="preserve"> 年   月   日</w:t>
            </w:r>
          </w:p>
        </w:tc>
      </w:tr>
      <w:tr w14:paraId="5346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trPr>
        <w:tc>
          <w:tcPr>
            <w:tcW w:w="4516" w:type="dxa"/>
            <w:noWrap w:val="0"/>
            <w:vAlign w:val="center"/>
          </w:tcPr>
          <w:p w14:paraId="26F65695">
            <w:pPr>
              <w:snapToGrid w:val="0"/>
              <w:spacing w:line="360" w:lineRule="auto"/>
              <w:rPr>
                <w:rFonts w:ascii="宋体" w:hAnsi="宋体"/>
                <w:color w:val="000000"/>
                <w:sz w:val="24"/>
              </w:rPr>
            </w:pPr>
            <w:r>
              <w:rPr>
                <w:rFonts w:hint="eastAsia" w:ascii="宋体" w:hAnsi="宋体"/>
                <w:color w:val="000000"/>
                <w:sz w:val="24"/>
              </w:rPr>
              <w:t>单位地址：</w:t>
            </w:r>
          </w:p>
        </w:tc>
        <w:tc>
          <w:tcPr>
            <w:tcW w:w="4517" w:type="dxa"/>
            <w:noWrap w:val="0"/>
            <w:vAlign w:val="center"/>
          </w:tcPr>
          <w:p w14:paraId="4DAB3309">
            <w:pPr>
              <w:snapToGrid w:val="0"/>
              <w:spacing w:line="360" w:lineRule="auto"/>
              <w:rPr>
                <w:rFonts w:hint="eastAsia" w:ascii="宋体" w:hAnsi="宋体"/>
                <w:color w:val="000000"/>
                <w:sz w:val="24"/>
              </w:rPr>
            </w:pPr>
            <w:r>
              <w:rPr>
                <w:rFonts w:hint="eastAsia" w:ascii="宋体" w:hAnsi="宋体"/>
                <w:color w:val="000000"/>
                <w:sz w:val="24"/>
              </w:rPr>
              <w:t>单位地址：</w:t>
            </w:r>
          </w:p>
        </w:tc>
      </w:tr>
      <w:tr w14:paraId="44E3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516" w:type="dxa"/>
            <w:noWrap w:val="0"/>
            <w:vAlign w:val="top"/>
          </w:tcPr>
          <w:p w14:paraId="06C68ABE">
            <w:pPr>
              <w:snapToGrid w:val="0"/>
              <w:spacing w:line="360" w:lineRule="auto"/>
              <w:rPr>
                <w:rFonts w:hint="eastAsia" w:ascii="宋体" w:hAnsi="宋体"/>
                <w:color w:val="000000"/>
                <w:sz w:val="24"/>
              </w:rPr>
            </w:pPr>
            <w:r>
              <w:rPr>
                <w:rFonts w:hint="eastAsia" w:ascii="宋体" w:hAnsi="宋体"/>
                <w:color w:val="000000"/>
                <w:sz w:val="24"/>
              </w:rPr>
              <w:t>法定代表人或者委托代理人：</w:t>
            </w:r>
          </w:p>
        </w:tc>
        <w:tc>
          <w:tcPr>
            <w:tcW w:w="4517" w:type="dxa"/>
            <w:noWrap w:val="0"/>
            <w:vAlign w:val="top"/>
          </w:tcPr>
          <w:p w14:paraId="76DE7714">
            <w:pPr>
              <w:snapToGrid w:val="0"/>
              <w:spacing w:line="360" w:lineRule="auto"/>
              <w:rPr>
                <w:rFonts w:hint="eastAsia" w:ascii="宋体" w:hAnsi="宋体"/>
                <w:color w:val="000000"/>
                <w:sz w:val="24"/>
              </w:rPr>
            </w:pPr>
            <w:r>
              <w:rPr>
                <w:rFonts w:hint="eastAsia" w:ascii="宋体" w:hAnsi="宋体"/>
                <w:color w:val="000000"/>
                <w:sz w:val="24"/>
              </w:rPr>
              <w:t>法定代表人或者委托代理人：</w:t>
            </w:r>
          </w:p>
        </w:tc>
      </w:tr>
      <w:tr w14:paraId="6142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4516" w:type="dxa"/>
            <w:noWrap w:val="0"/>
            <w:vAlign w:val="center"/>
          </w:tcPr>
          <w:p w14:paraId="0BA7A930">
            <w:pPr>
              <w:snapToGrid w:val="0"/>
              <w:spacing w:line="360" w:lineRule="auto"/>
              <w:rPr>
                <w:rFonts w:hint="eastAsia" w:ascii="宋体" w:hAnsi="宋体"/>
                <w:color w:val="000000"/>
                <w:sz w:val="24"/>
              </w:rPr>
            </w:pPr>
            <w:r>
              <w:rPr>
                <w:rFonts w:hint="eastAsia" w:ascii="宋体" w:hAnsi="宋体"/>
                <w:color w:val="000000"/>
                <w:sz w:val="24"/>
              </w:rPr>
              <w:t>电话：</w:t>
            </w:r>
          </w:p>
        </w:tc>
        <w:tc>
          <w:tcPr>
            <w:tcW w:w="4517" w:type="dxa"/>
            <w:noWrap w:val="0"/>
            <w:vAlign w:val="center"/>
          </w:tcPr>
          <w:p w14:paraId="12FABFB1">
            <w:pPr>
              <w:snapToGrid w:val="0"/>
              <w:spacing w:line="360" w:lineRule="auto"/>
              <w:rPr>
                <w:rFonts w:ascii="宋体" w:hAnsi="宋体"/>
                <w:color w:val="000000"/>
                <w:sz w:val="24"/>
              </w:rPr>
            </w:pPr>
            <w:r>
              <w:rPr>
                <w:rFonts w:hint="eastAsia" w:ascii="宋体" w:hAnsi="宋体"/>
                <w:color w:val="000000"/>
                <w:sz w:val="24"/>
              </w:rPr>
              <w:t>电话：</w:t>
            </w:r>
          </w:p>
        </w:tc>
      </w:tr>
      <w:tr w14:paraId="1873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58B1EE07">
            <w:pPr>
              <w:snapToGrid w:val="0"/>
              <w:spacing w:line="360" w:lineRule="auto"/>
              <w:rPr>
                <w:rFonts w:ascii="宋体" w:hAnsi="宋体"/>
                <w:color w:val="000000"/>
                <w:sz w:val="24"/>
              </w:rPr>
            </w:pPr>
            <w:r>
              <w:rPr>
                <w:rFonts w:hint="eastAsia" w:ascii="宋体" w:hAnsi="宋体"/>
                <w:color w:val="000000"/>
                <w:sz w:val="24"/>
              </w:rPr>
              <w:t>纳税人识别号：</w:t>
            </w:r>
          </w:p>
        </w:tc>
        <w:tc>
          <w:tcPr>
            <w:tcW w:w="4517" w:type="dxa"/>
            <w:noWrap w:val="0"/>
            <w:vAlign w:val="center"/>
          </w:tcPr>
          <w:p w14:paraId="61E84F62">
            <w:pPr>
              <w:snapToGrid w:val="0"/>
              <w:spacing w:line="360" w:lineRule="auto"/>
              <w:rPr>
                <w:rFonts w:ascii="宋体" w:hAnsi="宋体"/>
                <w:color w:val="000000"/>
                <w:sz w:val="24"/>
              </w:rPr>
            </w:pPr>
            <w:r>
              <w:rPr>
                <w:rFonts w:hint="eastAsia" w:ascii="宋体" w:hAnsi="宋体"/>
                <w:color w:val="000000"/>
                <w:sz w:val="24"/>
              </w:rPr>
              <w:t>纳税人识别号：</w:t>
            </w:r>
          </w:p>
        </w:tc>
      </w:tr>
      <w:tr w14:paraId="29B8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48F577A5">
            <w:pPr>
              <w:snapToGrid w:val="0"/>
              <w:spacing w:line="360" w:lineRule="auto"/>
              <w:rPr>
                <w:rFonts w:hint="eastAsia" w:ascii="宋体" w:hAnsi="宋体"/>
                <w:color w:val="000000"/>
                <w:sz w:val="24"/>
              </w:rPr>
            </w:pPr>
            <w:r>
              <w:rPr>
                <w:rFonts w:hint="eastAsia" w:ascii="宋体" w:hAnsi="宋体"/>
                <w:color w:val="000000"/>
                <w:sz w:val="24"/>
              </w:rPr>
              <w:t>注册地址：</w:t>
            </w:r>
          </w:p>
        </w:tc>
        <w:tc>
          <w:tcPr>
            <w:tcW w:w="4517" w:type="dxa"/>
            <w:noWrap w:val="0"/>
            <w:vAlign w:val="center"/>
          </w:tcPr>
          <w:p w14:paraId="5D671A17">
            <w:pPr>
              <w:snapToGrid w:val="0"/>
              <w:spacing w:line="360" w:lineRule="auto"/>
              <w:rPr>
                <w:rFonts w:ascii="宋体" w:hAnsi="宋体"/>
                <w:color w:val="000000"/>
                <w:sz w:val="24"/>
              </w:rPr>
            </w:pPr>
            <w:r>
              <w:rPr>
                <w:rFonts w:hint="eastAsia" w:ascii="宋体" w:hAnsi="宋体"/>
                <w:color w:val="000000"/>
                <w:sz w:val="24"/>
              </w:rPr>
              <w:t>注册地址：</w:t>
            </w:r>
          </w:p>
        </w:tc>
      </w:tr>
      <w:tr w14:paraId="2BB5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4307C0BE">
            <w:pPr>
              <w:snapToGrid w:val="0"/>
              <w:spacing w:line="360" w:lineRule="auto"/>
              <w:rPr>
                <w:rFonts w:hint="eastAsia" w:ascii="宋体" w:hAnsi="宋体"/>
                <w:color w:val="000000"/>
                <w:sz w:val="24"/>
              </w:rPr>
            </w:pPr>
            <w:r>
              <w:rPr>
                <w:rFonts w:hint="eastAsia" w:ascii="宋体" w:hAnsi="宋体"/>
                <w:color w:val="000000"/>
                <w:sz w:val="24"/>
              </w:rPr>
              <w:t>开户银行：</w:t>
            </w:r>
          </w:p>
        </w:tc>
        <w:tc>
          <w:tcPr>
            <w:tcW w:w="4517" w:type="dxa"/>
            <w:noWrap w:val="0"/>
            <w:vAlign w:val="center"/>
          </w:tcPr>
          <w:p w14:paraId="6DED0B39">
            <w:pPr>
              <w:snapToGrid w:val="0"/>
              <w:spacing w:line="360" w:lineRule="auto"/>
              <w:rPr>
                <w:rFonts w:ascii="宋体" w:hAnsi="宋体"/>
                <w:color w:val="000000"/>
                <w:sz w:val="24"/>
              </w:rPr>
            </w:pPr>
            <w:r>
              <w:rPr>
                <w:rFonts w:hint="eastAsia" w:ascii="宋体" w:hAnsi="宋体"/>
                <w:color w:val="000000"/>
                <w:sz w:val="24"/>
              </w:rPr>
              <w:t>开户银行：</w:t>
            </w:r>
          </w:p>
        </w:tc>
      </w:tr>
      <w:tr w14:paraId="684A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6249F964">
            <w:pPr>
              <w:snapToGrid w:val="0"/>
              <w:spacing w:line="360" w:lineRule="auto"/>
              <w:rPr>
                <w:rFonts w:hint="eastAsia" w:ascii="宋体" w:hAnsi="宋体"/>
                <w:color w:val="000000"/>
                <w:sz w:val="24"/>
              </w:rPr>
            </w:pPr>
            <w:r>
              <w:rPr>
                <w:rFonts w:hint="eastAsia" w:ascii="宋体" w:hAnsi="宋体"/>
                <w:color w:val="000000"/>
                <w:sz w:val="24"/>
              </w:rPr>
              <w:t>银行账号：</w:t>
            </w:r>
          </w:p>
        </w:tc>
        <w:tc>
          <w:tcPr>
            <w:tcW w:w="4517" w:type="dxa"/>
            <w:noWrap w:val="0"/>
            <w:vAlign w:val="center"/>
          </w:tcPr>
          <w:p w14:paraId="43AB026F">
            <w:pPr>
              <w:snapToGrid w:val="0"/>
              <w:spacing w:line="360" w:lineRule="auto"/>
              <w:rPr>
                <w:rFonts w:ascii="宋体" w:hAnsi="宋体"/>
                <w:color w:val="000000"/>
                <w:sz w:val="24"/>
              </w:rPr>
            </w:pPr>
            <w:r>
              <w:rPr>
                <w:rFonts w:hint="eastAsia" w:ascii="宋体" w:hAnsi="宋体"/>
                <w:color w:val="000000"/>
                <w:sz w:val="24"/>
              </w:rPr>
              <w:t>银行账号：</w:t>
            </w:r>
          </w:p>
        </w:tc>
      </w:tr>
      <w:tr w14:paraId="6F26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48285799">
            <w:pPr>
              <w:snapToGrid w:val="0"/>
              <w:spacing w:line="360" w:lineRule="auto"/>
              <w:rPr>
                <w:rFonts w:ascii="宋体" w:hAnsi="宋体"/>
                <w:color w:val="000000"/>
                <w:sz w:val="24"/>
              </w:rPr>
            </w:pPr>
            <w:r>
              <w:rPr>
                <w:rFonts w:hint="eastAsia" w:ascii="宋体" w:hAnsi="宋体"/>
                <w:color w:val="000000"/>
                <w:sz w:val="24"/>
              </w:rPr>
              <w:t>签订时间：    年   月   日</w:t>
            </w:r>
          </w:p>
        </w:tc>
        <w:tc>
          <w:tcPr>
            <w:tcW w:w="4517" w:type="dxa"/>
            <w:noWrap w:val="0"/>
            <w:vAlign w:val="center"/>
          </w:tcPr>
          <w:p w14:paraId="5441B4E4">
            <w:pPr>
              <w:snapToGrid w:val="0"/>
              <w:spacing w:line="360" w:lineRule="auto"/>
              <w:rPr>
                <w:rFonts w:ascii="宋体" w:hAnsi="宋体"/>
                <w:color w:val="000000"/>
                <w:sz w:val="24"/>
              </w:rPr>
            </w:pPr>
            <w:r>
              <w:rPr>
                <w:rFonts w:hint="eastAsia" w:ascii="宋体" w:hAnsi="宋体"/>
                <w:color w:val="000000"/>
                <w:sz w:val="24"/>
              </w:rPr>
              <w:t>签订时间：    年   月   日</w:t>
            </w:r>
          </w:p>
        </w:tc>
      </w:tr>
    </w:tbl>
    <w:p w14:paraId="728426E8">
      <w:pPr>
        <w:pStyle w:val="4"/>
      </w:pPr>
    </w:p>
    <w:p w14:paraId="1FC2B11E">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0F325AE1">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0B6C36CB">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4391ED12">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31B3C6A1">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2BCB02BB">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759C568B">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6C0F3CB5">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3B6E49D0">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5064E048">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0758FE92">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69AD4B73">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55E7B694">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5F980EFC">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3687440C">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2AB08024">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59D69D45">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7F2366FD">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2E3A945A">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4E5918AC">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43EC5405">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44C6A000">
      <w:pPr>
        <w:widowControl/>
        <w:shd w:val="clear" w:color="auto" w:fill="FFFFFF"/>
        <w:spacing w:before="0" w:beforeAutospacing="0" w:after="0" w:afterAutospacing="0"/>
        <w:ind w:right="0" w:rightChars="0"/>
        <w:jc w:val="left"/>
        <w:rPr>
          <w:rFonts w:hint="eastAsia" w:ascii="宋体" w:hAnsi="宋体" w:cs="宋体"/>
          <w:b/>
          <w:bCs/>
          <w:szCs w:val="21"/>
          <w:lang w:val="en-US" w:eastAsia="zh-CN"/>
        </w:rPr>
      </w:pPr>
      <w:r>
        <w:rPr>
          <w:rFonts w:hint="eastAsia" w:ascii="宋体" w:hAnsi="宋体" w:cs="宋体"/>
          <w:b/>
          <w:bCs/>
          <w:szCs w:val="21"/>
          <w:lang w:val="en-US" w:eastAsia="zh-CN"/>
        </w:rPr>
        <w:br w:type="page"/>
      </w:r>
    </w:p>
    <w:p w14:paraId="00D97835">
      <w:pPr>
        <w:pStyle w:val="6"/>
        <w:widowControl/>
        <w:numPr>
          <w:ilvl w:val="0"/>
          <w:numId w:val="0"/>
        </w:numPr>
        <w:shd w:val="clear" w:color="auto" w:fill="FFFFFF"/>
        <w:spacing w:before="0" w:beforeAutospacing="0" w:after="0" w:afterAutospacing="0"/>
        <w:ind w:right="0" w:rightChars="0"/>
        <w:jc w:val="left"/>
        <w:rPr>
          <w:rFonts w:hint="eastAsia" w:ascii="宋体" w:hAnsi="宋体" w:cs="宋体"/>
          <w:b/>
          <w:bCs/>
          <w:szCs w:val="21"/>
          <w:lang w:val="en-US" w:eastAsia="zh-CN"/>
        </w:rPr>
        <w:sectPr>
          <w:pgSz w:w="11906" w:h="16838"/>
          <w:pgMar w:top="720" w:right="720" w:bottom="720" w:left="720" w:header="851" w:footer="992" w:gutter="0"/>
          <w:pgNumType w:fmt="decimal"/>
          <w:cols w:space="425" w:num="1"/>
          <w:docGrid w:type="lines" w:linePitch="312" w:charSpace="0"/>
        </w:sectPr>
      </w:pPr>
    </w:p>
    <w:p w14:paraId="1B0CEE0F">
      <w:pPr>
        <w:pStyle w:val="6"/>
        <w:widowControl/>
        <w:numPr>
          <w:ilvl w:val="0"/>
          <w:numId w:val="0"/>
        </w:numPr>
        <w:shd w:val="clear" w:color="auto" w:fill="FFFFFF"/>
        <w:spacing w:before="0" w:beforeAutospacing="0" w:after="0" w:afterAutospacing="0"/>
        <w:ind w:right="0" w:rightChars="0"/>
        <w:jc w:val="left"/>
        <w:rPr>
          <w:rFonts w:hint="default" w:ascii="宋体" w:hAnsi="宋体" w:cs="宋体"/>
          <w:b/>
          <w:bCs/>
          <w:szCs w:val="21"/>
          <w:lang w:val="en-US" w:eastAsia="zh-CN"/>
        </w:rPr>
      </w:pPr>
      <w:r>
        <w:rPr>
          <w:rFonts w:hint="eastAsia" w:ascii="宋体" w:hAnsi="宋体" w:cs="宋体"/>
          <w:b/>
          <w:bCs/>
          <w:szCs w:val="21"/>
          <w:lang w:val="en-US" w:eastAsia="zh-CN"/>
        </w:rPr>
        <w:t>附件1：</w:t>
      </w:r>
    </w:p>
    <w:tbl>
      <w:tblPr>
        <w:tblStyle w:val="7"/>
        <w:tblW w:w="0" w:type="auto"/>
        <w:jc w:val="center"/>
        <w:tblLayout w:type="fixed"/>
        <w:tblCellMar>
          <w:top w:w="0" w:type="dxa"/>
          <w:left w:w="0" w:type="dxa"/>
          <w:bottom w:w="0" w:type="dxa"/>
          <w:right w:w="0" w:type="dxa"/>
        </w:tblCellMar>
      </w:tblPr>
      <w:tblGrid>
        <w:gridCol w:w="769"/>
        <w:gridCol w:w="1725"/>
        <w:gridCol w:w="7515"/>
        <w:gridCol w:w="1530"/>
        <w:gridCol w:w="1830"/>
      </w:tblGrid>
      <w:tr w14:paraId="2575193A">
        <w:tblPrEx>
          <w:tblCellMar>
            <w:top w:w="0" w:type="dxa"/>
            <w:left w:w="0" w:type="dxa"/>
            <w:bottom w:w="0" w:type="dxa"/>
            <w:right w:w="0" w:type="dxa"/>
          </w:tblCellMar>
        </w:tblPrEx>
        <w:trPr>
          <w:trHeight w:val="457" w:hRule="atLeast"/>
          <w:tblHeader/>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FBBDE4">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序号</w:t>
            </w: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E95D5">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设备名称</w:t>
            </w:r>
          </w:p>
        </w:tc>
        <w:tc>
          <w:tcPr>
            <w:tcW w:w="7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DE030">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性能参数</w:t>
            </w: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58FB5">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数量</w:t>
            </w: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D54738">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单位</w:t>
            </w:r>
          </w:p>
        </w:tc>
      </w:tr>
      <w:tr w14:paraId="0A0EF402">
        <w:tblPrEx>
          <w:tblCellMar>
            <w:top w:w="0" w:type="dxa"/>
            <w:left w:w="0" w:type="dxa"/>
            <w:bottom w:w="0" w:type="dxa"/>
            <w:right w:w="0" w:type="dxa"/>
          </w:tblCellMar>
        </w:tblPrEx>
        <w:trPr>
          <w:trHeight w:val="86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5BA8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35CA4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录播主机</w:t>
            </w:r>
          </w:p>
        </w:tc>
        <w:tc>
          <w:tcPr>
            <w:tcW w:w="7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EB12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一.整体设计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1.主机架构：为保障系统运行稳定、安全，要求移动录播主机采用嵌入式架构设计、Linux操作系统，非PC、服务器架构。</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2.硬件结构：要求主机采用笔记本翻盖样式设计，高度</w:t>
            </w:r>
            <w:r>
              <w:rPr>
                <w:rFonts w:hint="eastAsia" w:ascii="宋体" w:hAnsi="宋体" w:eastAsia="宋体" w:cs="宋体"/>
                <w:i w:val="0"/>
                <w:iCs w:val="0"/>
                <w:color w:val="FF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2U，重量</w:t>
            </w:r>
            <w:r>
              <w:rPr>
                <w:rFonts w:hint="eastAsia" w:ascii="宋体" w:hAnsi="宋体" w:eastAsia="宋体" w:cs="宋体"/>
                <w:i w:val="0"/>
                <w:iCs w:val="0"/>
                <w:color w:val="FF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6kg。主机应具备</w:t>
            </w:r>
            <w:r>
              <w:rPr>
                <w:rFonts w:hint="eastAsia" w:ascii="宋体" w:hAnsi="宋体" w:eastAsia="宋体" w:cs="宋体"/>
                <w:i w:val="0"/>
                <w:iCs w:val="0"/>
                <w:color w:val="FF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1920*1080分辨率的电容液晶触控屏支持触控导播操作，并同时也内嵌有按键式导播键盘进行按键导播。</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3.功能设计：要求主机功能高度集成，需具备视频录制、导播、存储、直播、点播、视音频互动等多种功能于一体。</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4.节能环保：要求主机采用不高于36V电压进行供电，整机满载工作状态下的功耗不高于55W。</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5.低噪声设计：要求所投移动录播主机采用无风扇散热设计，产生噪声最大值≤45dB(A)。</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二.主机性能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1.视频输入输出：要求主机具备不少于6路视频输入接口，其中3G-SDI不少于4路、HDMI不少于1路、VGA不少于1路；具备不少于2路视频输出接口，其中3G-SDI不少于1路、HDMI不少于1路。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2.视频采集：支持多种方式实现摄像机画面采集，可通过SDI高清有线视频画面采集和WIFI视频传输两种方式获取摄像机信号，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3.视频编解码：支持标准H.264视频编码技术，录制视频分辨率应不低于1080P@30fps。</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4.音频输入输出：要求主机具备不少于3路音频输入，其中MIC in不少于2路、Line in不少于1路；具备不少于2路音频输出，其中Line out不少于1路，耳机监听接口不少于1路。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5.音频编解码：采用AAC音频编解码协议，具备音频处理功能。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6.网络接入：具备RJ45接口≥1，要求支持IPv4、IPv6双网络协议栈。</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7.存储容量：要求主机内置不少于1T存储，用以录制视频的本地存储使用。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8.外设接口：要求主机具备不少于4路USB接口，用连接无线网卡、鼠标、键盘等外设设备。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三.其他要求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1.要求整机使用平均无故障运行时间(MTBF)应≥100000小时。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2.要求主机与高清摄像机设备为同一品牌。</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四．配套管理系统</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1）.整体要求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1.出于录播主机嵌入式设计特性，要求配套的录播管理软件在出厂时内嵌于高清录播主机中。</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2.软件架构：要求软件采用B/S架构，使用主流浏览器通过网络即可访问软件后台进行管理。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2）.录制模块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1.录制存储：要求在断网情况下也可以进行视频录制，并将录制文件保存在录播主机的内置硬盘中。并要求支持1080P高清分辨率录制，采用MP4视频格式封装。</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2.录制模式：支持电影模式、资源模式等录制模式。电影模式下实现多路信号的复合成一路画面进行录制；资源模式下要求摄像机画面、电脑画面均可独立录制封装。</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3.高低码流录制：要求支持高低双码流同步录制，并要求支持自定义录制分辨率、码流。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4.分段录制：要求支持长视频分段录制的功能，可自定义视频文件分段时长，当录制课程时间较长时，可在不结束录制的条件下自动按分段时长将课程视频文件分割录制成多个视频文件，提供不分段、30分钟分段、60分钟分段三种方式可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5.同步录制：要求支持U盘等外设设备接入主机后，实现本机与U盘同步录制保存的功能。主机正常录制的同时，另存为一份文件保存到U盘中。</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6.云台控制：支持摄像机云台控制技术，实现对接入摄像机的画面进行云台控制，包括画面上下左右移动、放大缩小变焦等操作。云台控制功能应具有鼠标快速定位功能，通过鼠标点击快速居中画面区域。</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7.音频处理：要求内置音频处理模块，支持EQ均衡调节、回声抑制、增益调节及音频采样率和比特率设置。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8.录制控制：支持录制、暂停、停止等基本功能操作，实现全自动、手动两种录制模式，支持录制过程中实时切换录制模式。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9.AI教学场景跟踪：录播主机支持基于计算机视觉CV技术的AI人工智能跟踪算法，无需额外配置跟踪辅助拍摄装置，实现画面自动跟踪切换以及全自动跟踪录制。完成教师走动全景、教师授课特写、学生起立特写与学生听课全景、教师课件等多画面的自动跟踪与切换；</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10.AI人物跟踪：支持AI人工智能技术自动锁定跟拍对象，在跟拍过程中自适应调整画面拍摄比例，实现摄像机云台上下左右移动丝滑的同时焦距自动调整保障拍摄画面构图的稳定，并可通过双击主机触控屏内拍摄对象的形式进行跟踪对象的切换。</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3）.导播模块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1.导播方式：要求软件支持通过配套主机内嵌导播键盘和液晶屏触控的方式进行本地导播，保证导播具有较好的实时性和流畅性。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2.导播功能：支持布局切换、转场特效、字幕、LOGO、摄像机控制等基本导播功能。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3.导播预览：要求导播界面可实现接入画面的导播预览，预览画面需包括至少3个摄像机拍摄画面与1个电脑信号画面等。并支持点击预览画面可自由切换录制画面进行录制。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4.画面布局：提供双分屏、三分屏、画中画等录制布局，并支持自定义布局方式，支持多个视频图层自由叠加组合，自定义布局时可随意拖拉画面窗口。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5.摄像机预置位：要求支持摄像机云台预制位设置，导播过程中可便捷调取摄像机预设位置的画面。</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6.鼠标定位：支持鼠标快速定位功能，通过鼠标点击快速居中画面区域，通过鼠标滚轮可以调节云台摄像机的焦距。</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7.字幕台标：要求录制模式下支持Logo台标、字幕设置，可自主上传Logo图标、编辑字幕内容。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8.音量控制：要求可通过导播界面进行音量控制，调整相关输入输出音量大小。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4）.直播模块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1.多流直播：要求支持RTMP和RTSP视频传输协议，要求支持不少于3路RTMP同步推流直播，并要求可从接入的摄像机信号和电脑信号中选择每路推流信号源进行推流，实现多流直播。。</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2.直播码流：支持自定义直播分辨率和码率，最高支持1080P@30fps，以适应不同网络环境下保持直播的流畅性。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3.双码流直播：支持设置高、低双码流直播设置，配置不同分辨率、码流进行直播。</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5）.互动模块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 xml:space="preserve">1.互动协议：支持H.323、SIP标准视音频互动协议，便捷进行远程互动教学、会议应用。 </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双流互动：要求支持双流互动功能，在互动通讯过程中，支持教学场景信号与电脑课件信号以互相独立的信号进行传输，并最终接收端设备可通过两路HDMI接口将接收到的教学场景画面与电脑课件画面同时分别环出到两个显示设备上。</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3.互动通讯录：支持对接获取互动云系统的通讯录数据，数据内容包括所有已在互动云系统注册的录播账号、录播昵称。支持通过通讯录选择互动对象直接呼叫，或手动输入录播账号进行呼叫。</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4.发言权限控制：通过录播主机的网络导播界面，需支持主讲端在互动过程中对其余互动参与者的发言权限进行控制，支持单人禁言/开启以及全场禁言/开启的控制方式。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5.互动画质：要求录播主机在双向互动过程中，可实现1080P@30FPS画质，并支持网络自适应功能。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6）.管理模块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1.录像管理：支持对录制视频按标题、主持人、时间、时长进行排序，便于快速检索所需视频。支持对录像文件进行回放和下载。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2.视频修复：支持硬盘格式化功能，支持对设备异常断电、宕机造成的损坏视频文件进行修复。</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3.版本切换：支持中英双语版本切换，适合不同用户的应用需求。要求通过网络导播界面即可便捷切换，无需进行更改授权、系统升级等复杂操作。提供英文界面截图并加盖厂家投标专用章或公章。</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五、视频制作清洗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一、录制脚本编辑客户端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1.实现在非预约状态下，用户可以自主对录制的课程进行课程名称/专业/课程类型等信息的自定义传送；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2.在进行课程录制时候，可以实现对开课程教师职工号及密码的准确校验，能够匹配相应数据的才能进行下一步启动对录播主机的录制，不能则提示失败，拒绝进入录制操作按钮界面，供货前用户可要求对其功能进行演示，演示不成功的用户有权拒绝对项目进行实施，可向招投标机构提出未响应招标要求按照虚假响应处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3.实现对课程状态的实时监察，记录录制的相关时间；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4.信息显示：能够在正确输入账号密码后，在课程录制页面显示用户名及职工编号；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5.教室信息：支持对教室名称、教室编号、管理密码的设置；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课程录制：支持预览课堂内多流画面（不少于3路），能够双击某路画面进行画面的全屏显示，点击某路画面能够被放置到中间大的画面中，响应文件中提供满足该功能指标要求具备CMA及CNAS标识的检测报告复印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7.录制隐藏：支持对多厂家录播主机的控制，点击录制按钮后，能够隐藏主程序窗口控制录播主机进行课程的录制且悬浮窗上能够对录制时长进行实时显示；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多流回放：能够对某节课程进行点击多流回放，实现标题、主讲人信息的显示，实现多路画面的实时同步回放，实现点击某路画面，某路画面便自动切换到中间最大幅的位置，双击某路视频便可全屏显示，响应文件中提供满足该功能指标要求具备CMA及CNAS标识的检测报告复印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9.本地回放：能够对当天该账号下录制的视频进行列表查看，查看的信息包含但不限于标题、主讲人、录制事件、多流操作、码流类型、单流操作、文件时长、文件大小、分段号，能够直接点击某路视频进行资源的实时回放；</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视频下载：能够对某节课程的某个视频进行点击单个视频下载，能够对某节课程的所有多流视频进行点击打包视频下载，下载时自动在选择的目录下建立一个以课程名主讲人为标题的文件夹，将所有视频文件保存到该文件夹中，并能够在其他电脑上打开该文件夹中的文件实现多流回放、画面点击切换及双击某路视频便可全屏显示效果，下载时会实时有下载进度条的走动提示，响应文件中提供满足该功能指标要求具备CMA及CNAS标识的检测报告复印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11.信息查询：能够在本地回放及视频下载模块下实现对所有录制文件的查询检索功能，输入关键字便可实现精确查询；</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12.为了保障产品不侵权，响应文件中须提供录制脚本编辑软件著作权及官方（ccopyright.com.cn）证书真伪查询截图。</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二、录制脚本账号认证服务平台</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支持对认证账号的管理与应用，账号的信息内容包含但不限于用户类型、工号、密码、姓名、邮箱、院系、专业、年级、班级、创建时间等，响应文件中提供满足该功能指标要求具备CMA及CNAS标识的检测报告复印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2.用户管理：支持用户信息的增删改查，包含用户名、密码、状态、部门等字段，集成角色分配功能，支持多角色关联，提供用户状态（启用/禁用）快速切换，支持模糊搜索和高级筛选；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3.角色管理：角色基本信息管理（角色名、描述、状态），细粒度权限控制（菜单权限、按钮权限、数据权限），支持角色批量分配用户；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4.菜单管理：树形结构菜单设计，支持拖拽排序，菜单与路由自动绑定，支持按钮级权限配置（显示/隐藏/禁用），响应文件中提供满足该功能指标要求具备CMA及CNAS标识的检测报告复印件；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5.部门管理：树形结构部门组织，支持多级嵌套，部门负责人设置与关联，部门数据权限控制；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6.操作日志：记录用户所有操作（增删改查），包含操作人、操作时间、IP地址、操作内容，支持按时间范围、操作类型筛选；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7.登录日志：记录用户登录登出行为，包含登录状态（成功/失败）、登录设备信息，异常登录自动预警。</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8.系统日志：记录系统运行状态、异常信息，支持错误堆栈跟踪与分析；</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9.数据列表：支持分页、排序、筛选；行内编辑与批量操作；数据导出（Excel、CSV）与导入；</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10.消息通知：系统消息推送，待办事项管理，消息已读/未读状态管理；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11.</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系统监控：服务器性能监控（CPU、内存、磁盘），应用服务状态监控，接口调用统计与分析，响应文件中提供满足该功能指标要求具备CMA及CNAS标识的检测报告复印件。</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847E1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23B83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r>
      <w:tr w14:paraId="34AC7C23">
        <w:tblPrEx>
          <w:tblCellMar>
            <w:top w:w="0" w:type="dxa"/>
            <w:left w:w="0" w:type="dxa"/>
            <w:bottom w:w="0" w:type="dxa"/>
            <w:right w:w="0" w:type="dxa"/>
          </w:tblCellMar>
        </w:tblPrEx>
        <w:trPr>
          <w:trHeight w:val="64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161DB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5EB38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高清摄像机</w:t>
            </w:r>
          </w:p>
        </w:tc>
        <w:tc>
          <w:tcPr>
            <w:tcW w:w="7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90C39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设备保修售后服务期3年。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一、高清摄像机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1.视频输出接口：SDI≥1、HDMI≥1</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2.传感器类型：CMOS，不小于1/2.5英寸</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3.传感器像素：有效像素不低于820万，最高支持4K分辨路3840x2160输出，向下兼容1080p、720p</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4.焦距：22倍变焦</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5.水平转动速度范围：1.0° ~ 94.2°/s，垂直转动速度范围：1.0° ~ 74.8°/s，水平视场角：72.0° ~ 6.7°，垂直视场角：43.2° ~ 3.7°</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6.支持水平、垂直翻转</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7.背光补偿：支持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8.数字降噪：2D&amp;3D数字降噪</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9.预置位数量：255</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10.通讯接口：RS232/RS422≥1</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11.网络接口：RJ45≥1</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12.音频输入接口：Line in≥1</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13.USB接口：USB Type-A≥1</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14.支持的协议类型：VISCA</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15.编码技术：视频H.265、H.264</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16.电源支持：支持POC和DC12V电源适配器两种供电方式。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17.要求摄像机与录播主机为同一品牌</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二、摄像机管理软件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1.摄像机传输处理软件采用B/S架构，支持通用浏览器直接访问进行管理。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2.支持曝光模式设置功能，包括自动、手动。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 支持抗闪烁频率、动态范围、光圈、快门参数设置。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 支持自动白平衡设置功能，红、蓝增益可调。</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 支持噪声抑制设置功能，支持2D、3D降噪。</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 支持摄像机图像质量调节功能，包括亮度、对比度、色调、饱和度。</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 支持摄像机控制功能，包括云台控制、预置位设置与调用、焦距调节等。</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B3D34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E65E6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r>
      <w:tr w14:paraId="2934885F">
        <w:tblPrEx>
          <w:tblCellMar>
            <w:top w:w="0" w:type="dxa"/>
            <w:left w:w="0" w:type="dxa"/>
            <w:bottom w:w="0" w:type="dxa"/>
            <w:right w:w="0" w:type="dxa"/>
          </w:tblCellMar>
        </w:tblPrEx>
        <w:trPr>
          <w:trHeight w:val="64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69B4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42868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数字无线音频套装</w:t>
            </w:r>
          </w:p>
        </w:tc>
        <w:tc>
          <w:tcPr>
            <w:tcW w:w="7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6394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设备保修售后服务期3年。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（1）腰包领夹麦克风</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1.载波频段：UHF500~980MHz</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2.调制方式：FM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3.输出功率：5mW-10mW</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4.振荡方式：PLL相位锁定频率合成</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6.综合S/N比：</w:t>
            </w:r>
            <w:r>
              <w:rPr>
                <w:rFonts w:hint="eastAsia" w:ascii="宋体" w:hAnsi="宋体" w:eastAsia="宋体" w:cs="宋体"/>
                <w:i w:val="0"/>
                <w:iCs w:val="0"/>
                <w:color w:val="FF0000"/>
                <w:kern w:val="0"/>
                <w:sz w:val="22"/>
                <w:szCs w:val="22"/>
                <w:u w:val="none"/>
                <w:lang w:val="en-US" w:eastAsia="zh-CN" w:bidi="ar"/>
              </w:rPr>
              <w:t>≥</w:t>
            </w:r>
            <w:r>
              <w:rPr>
                <w:rFonts w:hint="eastAsia" w:ascii="宋体" w:hAnsi="宋体" w:eastAsia="宋体" w:cs="宋体"/>
                <w:i w:val="0"/>
                <w:color w:val="auto"/>
                <w:kern w:val="0"/>
                <w:sz w:val="20"/>
                <w:szCs w:val="20"/>
                <w:u w:val="none"/>
                <w:lang w:val="en-US" w:eastAsia="zh-CN" w:bidi="ar"/>
              </w:rPr>
              <w:t>97dB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7.单体：背极式驻极体</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8.指向性：心形</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9.频率响应：40Hz-16kHz</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10.灵敏度：-37dB±3dB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11.最大声压级：</w:t>
            </w:r>
            <w:r>
              <w:rPr>
                <w:rFonts w:hint="eastAsia" w:ascii="宋体" w:hAnsi="宋体" w:eastAsia="宋体" w:cs="宋体"/>
                <w:i w:val="0"/>
                <w:iCs w:val="0"/>
                <w:color w:val="FF0000"/>
                <w:kern w:val="0"/>
                <w:sz w:val="22"/>
                <w:szCs w:val="22"/>
                <w:u w:val="none"/>
                <w:lang w:val="en-US" w:eastAsia="zh-CN" w:bidi="ar"/>
              </w:rPr>
              <w:t>≥</w:t>
            </w:r>
            <w:r>
              <w:rPr>
                <w:rFonts w:hint="eastAsia" w:ascii="宋体" w:hAnsi="宋体" w:eastAsia="宋体" w:cs="宋体"/>
                <w:i w:val="0"/>
                <w:color w:val="auto"/>
                <w:kern w:val="0"/>
                <w:sz w:val="20"/>
                <w:szCs w:val="20"/>
                <w:u w:val="none"/>
                <w:lang w:val="en-US" w:eastAsia="zh-CN" w:bidi="ar"/>
              </w:rPr>
              <w:t>130dB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（2）手持发射麦克风</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1.载波频段UHF500~980MHz</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2.调制方式FM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3.输出功率5mW-10mW</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4.振荡方式PLL相位锁定频率合成</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5.综合S/N比</w:t>
            </w:r>
            <w:r>
              <w:rPr>
                <w:rFonts w:hint="eastAsia" w:ascii="宋体" w:hAnsi="宋体" w:eastAsia="宋体" w:cs="宋体"/>
                <w:i w:val="0"/>
                <w:iCs w:val="0"/>
                <w:color w:val="FF0000"/>
                <w:kern w:val="0"/>
                <w:sz w:val="22"/>
                <w:szCs w:val="22"/>
                <w:u w:val="none"/>
                <w:lang w:val="en-US" w:eastAsia="zh-CN" w:bidi="ar"/>
              </w:rPr>
              <w:t>≥</w:t>
            </w:r>
            <w:r>
              <w:rPr>
                <w:rFonts w:hint="eastAsia" w:ascii="宋体" w:hAnsi="宋体" w:eastAsia="宋体" w:cs="宋体"/>
                <w:i w:val="0"/>
                <w:color w:val="auto"/>
                <w:kern w:val="0"/>
                <w:sz w:val="20"/>
                <w:szCs w:val="20"/>
                <w:u w:val="none"/>
                <w:lang w:val="en-US" w:eastAsia="zh-CN" w:bidi="ar"/>
              </w:rPr>
              <w:t>97dB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6.综合T.H.D.≤1%@1KHz</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7.单体动圈式音头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8.指向性心形指向</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9.频率响应60Hz-18kHz</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10.灵敏度-50dB±3dB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（3）手雷发射麦克风</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1.频段：UHF480-960MHz</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2.转换头：具有固定螺环的XLR插座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3.发射功率：5mW/10mW可设置切换</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4.天线：外接的有线动圈式麦克风或电容式麦克风</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5.振荡模式：PLL电路，频率稳定度≤±0.005%</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6.显示器：具有背光的LCD，显示工作频道、频率、增益、音量、发射功率、静音、电池存量、静音开关设定、幻象电压，操作锁定及提示讯息等功能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7.输入灵敏度：-40dB、-30dB、-20dB、-10dB、0dB五段，0dB=音头灵敏度</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8.幻象电源电压：提供可切换0V、12V、及48V的电压</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9.外接麦克风输入座：标准有线麦克风XLR平衡输入母座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10.连续使用时间：</w:t>
            </w:r>
            <w:r>
              <w:rPr>
                <w:rFonts w:hint="eastAsia" w:ascii="宋体" w:hAnsi="宋体" w:eastAsia="宋体" w:cs="宋体"/>
                <w:i w:val="0"/>
                <w:iCs w:val="0"/>
                <w:color w:val="FF0000"/>
                <w:kern w:val="0"/>
                <w:sz w:val="22"/>
                <w:szCs w:val="22"/>
                <w:u w:val="none"/>
                <w:lang w:val="en-US" w:eastAsia="zh-CN" w:bidi="ar"/>
              </w:rPr>
              <w:t>≥</w:t>
            </w:r>
            <w:r>
              <w:rPr>
                <w:rFonts w:hint="eastAsia" w:ascii="宋体" w:hAnsi="宋体" w:eastAsia="宋体" w:cs="宋体"/>
                <w:i w:val="0"/>
                <w:color w:val="auto"/>
                <w:kern w:val="0"/>
                <w:sz w:val="20"/>
                <w:szCs w:val="20"/>
                <w:u w:val="none"/>
                <w:lang w:val="en-US" w:eastAsia="zh-CN" w:bidi="ar"/>
              </w:rPr>
              <w:t>5小时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11.话筒单体：电容式拾音器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12.指向性超心型</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13.频率响应40Hz-16kHz</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14.灵敏度-29±3dB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15.最大声压级130dB（T.H.D≤1% at 1kHz）</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16.信噪比</w:t>
            </w:r>
            <w:r>
              <w:rPr>
                <w:rFonts w:hint="eastAsia" w:ascii="宋体" w:hAnsi="宋体" w:eastAsia="宋体" w:cs="宋体"/>
                <w:i w:val="0"/>
                <w:iCs w:val="0"/>
                <w:color w:val="FF0000"/>
                <w:kern w:val="0"/>
                <w:sz w:val="22"/>
                <w:szCs w:val="22"/>
                <w:u w:val="none"/>
                <w:lang w:val="en-US" w:eastAsia="zh-CN" w:bidi="ar"/>
              </w:rPr>
              <w:t>≥</w:t>
            </w:r>
            <w:r>
              <w:rPr>
                <w:rFonts w:hint="eastAsia" w:ascii="宋体" w:hAnsi="宋体" w:eastAsia="宋体" w:cs="宋体"/>
                <w:i w:val="0"/>
                <w:color w:val="auto"/>
                <w:kern w:val="0"/>
                <w:sz w:val="20"/>
                <w:szCs w:val="20"/>
                <w:u w:val="none"/>
                <w:lang w:val="en-US" w:eastAsia="zh-CN" w:bidi="ar"/>
              </w:rPr>
              <w:t>70dB（1kHz at 1Pa）</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（4）无线接收机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1.振动器类型：晶体控制锁相环合成器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2.接收频率范围：500-960MHz</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3.频率响应：30Hz至16kHz</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4.信噪比</w:t>
            </w:r>
            <w:r>
              <w:rPr>
                <w:rFonts w:hint="eastAsia" w:ascii="宋体" w:hAnsi="宋体" w:eastAsia="宋体" w:cs="宋体"/>
                <w:i w:val="0"/>
                <w:iCs w:val="0"/>
                <w:color w:val="FF0000"/>
                <w:kern w:val="0"/>
                <w:sz w:val="22"/>
                <w:szCs w:val="22"/>
                <w:u w:val="none"/>
                <w:lang w:val="en-US" w:eastAsia="zh-CN" w:bidi="ar"/>
              </w:rPr>
              <w:t>≥</w:t>
            </w:r>
            <w:r>
              <w:rPr>
                <w:rFonts w:hint="eastAsia" w:ascii="宋体" w:hAnsi="宋体" w:eastAsia="宋体" w:cs="宋体"/>
                <w:i w:val="0"/>
                <w:color w:val="auto"/>
                <w:kern w:val="0"/>
                <w:sz w:val="20"/>
                <w:szCs w:val="20"/>
                <w:u w:val="none"/>
                <w:lang w:val="en-US" w:eastAsia="zh-CN" w:bidi="ar"/>
              </w:rPr>
              <w:t>96dB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5.模拟输入（麦克风及线路）：3极迷你插孔</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6.模拟输入电平：-50dBV</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7.模拟输出：3极迷你插孔，不平衡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8.模拟输出电平：-60dBV</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9.模拟输出调节范围：-12dB至+12dB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10.耳机输出：φ3.5mm（5/32英寸）立体声迷你插孔</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11.耳机输出电平：5mW</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120FD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4EC1E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r>
      <w:tr w14:paraId="6CE10DE6">
        <w:tblPrEx>
          <w:tblCellMar>
            <w:top w:w="0" w:type="dxa"/>
            <w:left w:w="0" w:type="dxa"/>
            <w:bottom w:w="0" w:type="dxa"/>
            <w:right w:w="0" w:type="dxa"/>
          </w:tblCellMar>
        </w:tblPrEx>
        <w:trPr>
          <w:trHeight w:val="64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2D56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53D99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无线网卡</w:t>
            </w:r>
          </w:p>
        </w:tc>
        <w:tc>
          <w:tcPr>
            <w:tcW w:w="7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54F1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设备保修售后服务期3年。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1.接口类型：USB3.0，向下兼容USB2.0</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2.天线：内置智能天线，高增益2dBi</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3.网络标准：IEEE 802.11ac/a/b/g/n</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4.频率范围：双频(2.4GHz、5.8GHz)</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5.传输速率：2.4G不小于300Mbps；5.8G不小于800Mbps</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6.收发性能：支持4*4MIMO架构，4数据流并发</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7.发射功率：</w:t>
            </w:r>
            <w:r>
              <w:rPr>
                <w:rFonts w:hint="eastAsia" w:ascii="宋体" w:hAnsi="宋体" w:eastAsia="宋体" w:cs="宋体"/>
                <w:i w:val="0"/>
                <w:iCs w:val="0"/>
                <w:color w:val="FF0000"/>
                <w:kern w:val="0"/>
                <w:sz w:val="22"/>
                <w:szCs w:val="22"/>
                <w:u w:val="none"/>
                <w:lang w:val="en-US" w:eastAsia="zh-CN" w:bidi="ar"/>
              </w:rPr>
              <w:t>≥</w:t>
            </w:r>
            <w:r>
              <w:rPr>
                <w:rFonts w:hint="eastAsia" w:ascii="宋体" w:hAnsi="宋体" w:eastAsia="宋体" w:cs="宋体"/>
                <w:i w:val="0"/>
                <w:color w:val="auto"/>
                <w:kern w:val="0"/>
                <w:sz w:val="20"/>
                <w:szCs w:val="20"/>
                <w:u w:val="none"/>
                <w:lang w:val="en-US" w:eastAsia="zh-CN" w:bidi="ar"/>
              </w:rPr>
              <w:t>18dBm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8.操作系统：Win XP/Win7/Win8/Win10/Vista/Linux/Mac</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3B9BF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6E7FC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r>
      <w:tr w14:paraId="03E56F06">
        <w:tblPrEx>
          <w:tblCellMar>
            <w:top w:w="0" w:type="dxa"/>
            <w:left w:w="0" w:type="dxa"/>
            <w:bottom w:w="0" w:type="dxa"/>
            <w:right w:w="0" w:type="dxa"/>
          </w:tblCellMar>
        </w:tblPrEx>
        <w:trPr>
          <w:trHeight w:val="64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7899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258DF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摄像机三脚架</w:t>
            </w:r>
          </w:p>
        </w:tc>
        <w:tc>
          <w:tcPr>
            <w:tcW w:w="7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C168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1.材质：铝合金；</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2.管径：14~26mm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3.升高：≥150cm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4.最低高度：12~15cm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5.收合高度：≤45cm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6.载重：≥5kg</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DFA17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75CB5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r>
      <w:tr w14:paraId="01261696">
        <w:tblPrEx>
          <w:tblCellMar>
            <w:top w:w="0" w:type="dxa"/>
            <w:left w:w="0" w:type="dxa"/>
            <w:bottom w:w="0" w:type="dxa"/>
            <w:right w:w="0" w:type="dxa"/>
          </w:tblCellMar>
        </w:tblPrEx>
        <w:trPr>
          <w:trHeight w:val="64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16EA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2CE54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设备箱/线材箱</w:t>
            </w:r>
          </w:p>
        </w:tc>
        <w:tc>
          <w:tcPr>
            <w:tcW w:w="7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8046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 外尺寸：</w:t>
            </w:r>
            <w:r>
              <w:rPr>
                <w:rFonts w:hint="eastAsia" w:ascii="宋体" w:hAnsi="宋体" w:eastAsia="宋体" w:cs="宋体"/>
                <w:i w:val="0"/>
                <w:iCs w:val="0"/>
                <w:color w:val="FF0000"/>
                <w:kern w:val="0"/>
                <w:sz w:val="22"/>
                <w:szCs w:val="22"/>
                <w:u w:val="none"/>
                <w:lang w:val="en-US" w:eastAsia="zh-CN" w:bidi="ar"/>
              </w:rPr>
              <w:t>≥</w:t>
            </w:r>
            <w:r>
              <w:rPr>
                <w:rFonts w:hint="eastAsia" w:ascii="宋体" w:hAnsi="宋体" w:eastAsia="宋体" w:cs="宋体"/>
                <w:i w:val="0"/>
                <w:color w:val="auto"/>
                <w:kern w:val="0"/>
                <w:sz w:val="20"/>
                <w:szCs w:val="20"/>
                <w:u w:val="none"/>
                <w:lang w:val="en-US" w:eastAsia="zh-CN" w:bidi="ar"/>
              </w:rPr>
              <w:t>L665*W490*H342mm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 内尺寸：</w:t>
            </w:r>
            <w:r>
              <w:rPr>
                <w:rFonts w:hint="eastAsia" w:ascii="宋体" w:hAnsi="宋体" w:eastAsia="宋体" w:cs="宋体"/>
                <w:i w:val="0"/>
                <w:iCs w:val="0"/>
                <w:color w:val="FF0000"/>
                <w:kern w:val="0"/>
                <w:sz w:val="22"/>
                <w:szCs w:val="22"/>
                <w:u w:val="none"/>
                <w:lang w:val="en-US" w:eastAsia="zh-CN" w:bidi="ar"/>
              </w:rPr>
              <w:t>≥</w:t>
            </w:r>
            <w:r>
              <w:rPr>
                <w:rFonts w:hint="eastAsia" w:ascii="宋体" w:hAnsi="宋体" w:eastAsia="宋体" w:cs="宋体"/>
                <w:i w:val="0"/>
                <w:color w:val="auto"/>
                <w:kern w:val="0"/>
                <w:sz w:val="20"/>
                <w:szCs w:val="20"/>
                <w:u w:val="none"/>
                <w:lang w:val="en-US" w:eastAsia="zh-CN" w:bidi="ar"/>
              </w:rPr>
              <w:t>L600*W420*H（260+43）mm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 颜色：黑</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CD7D6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0A74A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r>
      <w:tr w14:paraId="5B6C1796">
        <w:tblPrEx>
          <w:tblCellMar>
            <w:top w:w="0" w:type="dxa"/>
            <w:left w:w="0" w:type="dxa"/>
            <w:bottom w:w="0" w:type="dxa"/>
            <w:right w:w="0" w:type="dxa"/>
          </w:tblCellMar>
        </w:tblPrEx>
        <w:trPr>
          <w:trHeight w:val="64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6347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20BEA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SDI线材</w:t>
            </w:r>
          </w:p>
        </w:tc>
        <w:tc>
          <w:tcPr>
            <w:tcW w:w="7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4E01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3条成品SDI（75-3）成品线，单条长度</w:t>
            </w:r>
            <w:r>
              <w:rPr>
                <w:rFonts w:hint="eastAsia" w:ascii="宋体" w:hAnsi="宋体" w:eastAsia="宋体" w:cs="宋体"/>
                <w:i w:val="0"/>
                <w:iCs w:val="0"/>
                <w:color w:val="FF0000"/>
                <w:kern w:val="0"/>
                <w:sz w:val="22"/>
                <w:szCs w:val="22"/>
                <w:u w:val="none"/>
                <w:lang w:val="en-US" w:eastAsia="zh-CN" w:bidi="ar"/>
              </w:rPr>
              <w:t>≥</w:t>
            </w:r>
            <w:r>
              <w:rPr>
                <w:rFonts w:hint="eastAsia" w:ascii="宋体" w:hAnsi="宋体" w:eastAsia="宋体" w:cs="宋体"/>
                <w:i w:val="0"/>
                <w:color w:val="auto"/>
                <w:kern w:val="0"/>
                <w:sz w:val="20"/>
                <w:szCs w:val="20"/>
                <w:u w:val="none"/>
                <w:lang w:val="en-US" w:eastAsia="zh-CN" w:bidi="ar"/>
              </w:rPr>
              <w:t>30米</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4977F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C2DFA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r>
      <w:tr w14:paraId="5BA7124D">
        <w:tblPrEx>
          <w:tblCellMar>
            <w:top w:w="0" w:type="dxa"/>
            <w:left w:w="0" w:type="dxa"/>
            <w:bottom w:w="0" w:type="dxa"/>
            <w:right w:w="0" w:type="dxa"/>
          </w:tblCellMar>
        </w:tblPrEx>
        <w:trPr>
          <w:trHeight w:val="64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2F876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7A0F8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SDI线材</w:t>
            </w:r>
          </w:p>
        </w:tc>
        <w:tc>
          <w:tcPr>
            <w:tcW w:w="7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F3A85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4条成品SDI（75-3）成品线，单条长度</w:t>
            </w:r>
            <w:r>
              <w:rPr>
                <w:rFonts w:hint="eastAsia" w:ascii="宋体" w:hAnsi="宋体" w:eastAsia="宋体" w:cs="宋体"/>
                <w:i w:val="0"/>
                <w:iCs w:val="0"/>
                <w:color w:val="FF0000"/>
                <w:kern w:val="0"/>
                <w:sz w:val="22"/>
                <w:szCs w:val="22"/>
                <w:u w:val="none"/>
                <w:lang w:val="en-US" w:eastAsia="zh-CN" w:bidi="ar"/>
              </w:rPr>
              <w:t>≥</w:t>
            </w:r>
            <w:r>
              <w:rPr>
                <w:rFonts w:hint="eastAsia" w:ascii="宋体" w:hAnsi="宋体" w:eastAsia="宋体" w:cs="宋体"/>
                <w:i w:val="0"/>
                <w:color w:val="auto"/>
                <w:kern w:val="0"/>
                <w:sz w:val="20"/>
                <w:szCs w:val="20"/>
                <w:u w:val="none"/>
                <w:lang w:val="en-US" w:eastAsia="zh-CN" w:bidi="ar"/>
              </w:rPr>
              <w:t>50米</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21224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ACEC1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r>
      <w:tr w14:paraId="067E7FB7">
        <w:tblPrEx>
          <w:tblCellMar>
            <w:top w:w="0" w:type="dxa"/>
            <w:left w:w="0" w:type="dxa"/>
            <w:bottom w:w="0" w:type="dxa"/>
            <w:right w:w="0" w:type="dxa"/>
          </w:tblCellMar>
        </w:tblPrEx>
        <w:trPr>
          <w:trHeight w:val="64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D8F0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EC47C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HDMI高清线</w:t>
            </w:r>
          </w:p>
        </w:tc>
        <w:tc>
          <w:tcPr>
            <w:tcW w:w="7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BE8F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高清视频线，长度</w:t>
            </w:r>
            <w:r>
              <w:rPr>
                <w:rFonts w:hint="eastAsia" w:ascii="宋体" w:hAnsi="宋体" w:eastAsia="宋体" w:cs="宋体"/>
                <w:i w:val="0"/>
                <w:iCs w:val="0"/>
                <w:color w:val="FF0000"/>
                <w:kern w:val="0"/>
                <w:sz w:val="22"/>
                <w:szCs w:val="22"/>
                <w:u w:val="none"/>
                <w:lang w:val="en-US" w:eastAsia="zh-CN" w:bidi="ar"/>
              </w:rPr>
              <w:t>≥</w:t>
            </w:r>
            <w:r>
              <w:rPr>
                <w:rFonts w:hint="eastAsia" w:ascii="宋体" w:hAnsi="宋体" w:eastAsia="宋体" w:cs="宋体"/>
                <w:i w:val="0"/>
                <w:color w:val="auto"/>
                <w:kern w:val="0"/>
                <w:sz w:val="20"/>
                <w:szCs w:val="20"/>
                <w:u w:val="none"/>
                <w:lang w:val="en-US" w:eastAsia="zh-CN" w:bidi="ar"/>
              </w:rPr>
              <w:t>15米</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C4706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6E225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条</w:t>
            </w:r>
          </w:p>
        </w:tc>
      </w:tr>
      <w:tr w14:paraId="6E29544E">
        <w:tblPrEx>
          <w:tblCellMar>
            <w:top w:w="0" w:type="dxa"/>
            <w:left w:w="0" w:type="dxa"/>
            <w:bottom w:w="0" w:type="dxa"/>
            <w:right w:w="0" w:type="dxa"/>
          </w:tblCellMar>
        </w:tblPrEx>
        <w:trPr>
          <w:trHeight w:val="64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907C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66435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电源插排</w:t>
            </w:r>
          </w:p>
        </w:tc>
        <w:tc>
          <w:tcPr>
            <w:tcW w:w="7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253A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FF0000"/>
                <w:kern w:val="0"/>
                <w:sz w:val="22"/>
                <w:szCs w:val="22"/>
                <w:u w:val="none"/>
                <w:lang w:val="en-US" w:eastAsia="zh-CN" w:bidi="ar"/>
              </w:rPr>
              <w:t>≥</w:t>
            </w:r>
            <w:r>
              <w:rPr>
                <w:rFonts w:hint="eastAsia" w:ascii="宋体" w:hAnsi="宋体" w:eastAsia="宋体" w:cs="宋体"/>
                <w:i w:val="0"/>
                <w:color w:val="auto"/>
                <w:kern w:val="0"/>
                <w:sz w:val="20"/>
                <w:szCs w:val="20"/>
                <w:u w:val="none"/>
                <w:lang w:val="en-US" w:eastAsia="zh-CN" w:bidi="ar"/>
              </w:rPr>
              <w:t>6口，独立开关</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3AAC9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A2E38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r>
      <w:tr w14:paraId="20609A5C">
        <w:tblPrEx>
          <w:tblCellMar>
            <w:top w:w="0" w:type="dxa"/>
            <w:left w:w="0" w:type="dxa"/>
            <w:bottom w:w="0" w:type="dxa"/>
            <w:right w:w="0" w:type="dxa"/>
          </w:tblCellMar>
        </w:tblPrEx>
        <w:trPr>
          <w:trHeight w:val="64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8F50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FB384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HDMI分配器</w:t>
            </w:r>
          </w:p>
        </w:tc>
        <w:tc>
          <w:tcPr>
            <w:tcW w:w="7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24DF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高清信号分配器</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B54AA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6C155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r>
      <w:tr w14:paraId="3B16152C">
        <w:tblPrEx>
          <w:tblCellMar>
            <w:top w:w="0" w:type="dxa"/>
            <w:left w:w="0" w:type="dxa"/>
            <w:bottom w:w="0" w:type="dxa"/>
            <w:right w:w="0" w:type="dxa"/>
          </w:tblCellMar>
        </w:tblPrEx>
        <w:trPr>
          <w:trHeight w:val="64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AD8F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1376D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音频线</w:t>
            </w:r>
          </w:p>
        </w:tc>
        <w:tc>
          <w:tcPr>
            <w:tcW w:w="7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971FF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6.35mm音频线（公对公），长度</w:t>
            </w:r>
            <w:r>
              <w:rPr>
                <w:rFonts w:hint="eastAsia" w:ascii="宋体" w:hAnsi="宋体" w:eastAsia="宋体" w:cs="宋体"/>
                <w:i w:val="0"/>
                <w:iCs w:val="0"/>
                <w:color w:val="FF0000"/>
                <w:kern w:val="0"/>
                <w:sz w:val="22"/>
                <w:szCs w:val="22"/>
                <w:u w:val="none"/>
                <w:lang w:val="en-US" w:eastAsia="zh-CN" w:bidi="ar"/>
              </w:rPr>
              <w:t>≥</w:t>
            </w:r>
            <w:r>
              <w:rPr>
                <w:rFonts w:hint="eastAsia" w:ascii="宋体" w:hAnsi="宋体" w:eastAsia="宋体" w:cs="宋体"/>
                <w:i w:val="0"/>
                <w:color w:val="auto"/>
                <w:kern w:val="0"/>
                <w:sz w:val="20"/>
                <w:szCs w:val="20"/>
                <w:u w:val="none"/>
                <w:lang w:val="en-US" w:eastAsia="zh-CN" w:bidi="ar"/>
              </w:rPr>
              <w:t>1.5m</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05009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10AA6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条</w:t>
            </w:r>
          </w:p>
        </w:tc>
      </w:tr>
      <w:tr w14:paraId="199A4939">
        <w:tblPrEx>
          <w:tblCellMar>
            <w:top w:w="0" w:type="dxa"/>
            <w:left w:w="0" w:type="dxa"/>
            <w:bottom w:w="0" w:type="dxa"/>
            <w:right w:w="0" w:type="dxa"/>
          </w:tblCellMar>
        </w:tblPrEx>
        <w:trPr>
          <w:trHeight w:val="64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B272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31845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摄像机支架</w:t>
            </w:r>
          </w:p>
        </w:tc>
        <w:tc>
          <w:tcPr>
            <w:tcW w:w="7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2471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摄像机吊装金属杆</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DA5EB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8CA5F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r>
      <w:tr w14:paraId="4C107B59">
        <w:tblPrEx>
          <w:tblCellMar>
            <w:top w:w="0" w:type="dxa"/>
            <w:left w:w="0" w:type="dxa"/>
            <w:bottom w:w="0" w:type="dxa"/>
            <w:right w:w="0" w:type="dxa"/>
          </w:tblCellMar>
        </w:tblPrEx>
        <w:trPr>
          <w:trHeight w:val="42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28DFC">
            <w:pPr>
              <w:rPr>
                <w:rFonts w:hint="eastAsia" w:ascii="宋体" w:hAnsi="宋体" w:eastAsia="宋体" w:cs="宋体"/>
                <w:b/>
                <w:i w:val="0"/>
                <w:color w:val="auto"/>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4C776C">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合计</w:t>
            </w:r>
          </w:p>
        </w:tc>
        <w:tc>
          <w:tcPr>
            <w:tcW w:w="7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D5CBB">
            <w:pPr>
              <w:rPr>
                <w:rFonts w:hint="eastAsia" w:ascii="宋体" w:hAnsi="宋体" w:eastAsia="宋体" w:cs="宋体"/>
                <w:b/>
                <w:i w:val="0"/>
                <w:color w:val="auto"/>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66711">
            <w:pPr>
              <w:rPr>
                <w:rFonts w:hint="eastAsia" w:ascii="宋体" w:hAnsi="宋体" w:eastAsia="宋体" w:cs="宋体"/>
                <w:b/>
                <w:i w:val="0"/>
                <w:color w:val="auto"/>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E1FE34">
            <w:pPr>
              <w:rPr>
                <w:rFonts w:hint="eastAsia" w:ascii="宋体" w:hAnsi="宋体" w:eastAsia="宋体" w:cs="宋体"/>
                <w:b/>
                <w:i w:val="0"/>
                <w:color w:val="auto"/>
                <w:sz w:val="20"/>
                <w:szCs w:val="20"/>
                <w:u w:val="none"/>
              </w:rPr>
            </w:pPr>
          </w:p>
        </w:tc>
      </w:tr>
    </w:tbl>
    <w:p w14:paraId="04D475A0">
      <w:pPr>
        <w:rPr>
          <w:color w:val="auto"/>
        </w:rPr>
      </w:pPr>
    </w:p>
    <w:p w14:paraId="0C9A9D0F">
      <w:pPr>
        <w:rPr>
          <w:color w:val="auto"/>
        </w:rPr>
      </w:pPr>
    </w:p>
    <w:p w14:paraId="1D7DF8EF">
      <w:pPr>
        <w:rPr>
          <w:color w:val="auto"/>
        </w:rPr>
      </w:pPr>
    </w:p>
    <w:p w14:paraId="79F59E8B">
      <w:pPr>
        <w:rPr>
          <w:color w:val="auto"/>
        </w:rPr>
      </w:pPr>
    </w:p>
    <w:p w14:paraId="4C5F424A">
      <w:pPr>
        <w:rPr>
          <w:color w:val="auto"/>
        </w:rPr>
      </w:pPr>
    </w:p>
    <w:p w14:paraId="0850CD3B">
      <w:pPr>
        <w:rPr>
          <w:color w:val="auto"/>
        </w:rPr>
      </w:pPr>
    </w:p>
    <w:p w14:paraId="552DF117">
      <w:pPr>
        <w:rPr>
          <w:color w:val="auto"/>
        </w:rPr>
      </w:pPr>
    </w:p>
    <w:p w14:paraId="02B659EA">
      <w:pPr>
        <w:rPr>
          <w:color w:val="auto"/>
        </w:rPr>
      </w:pPr>
    </w:p>
    <w:p w14:paraId="79216B18">
      <w:pPr>
        <w:rPr>
          <w:color w:val="auto"/>
        </w:rPr>
      </w:pPr>
    </w:p>
    <w:p w14:paraId="32D354E9">
      <w:pPr>
        <w:rPr>
          <w:color w:val="auto"/>
        </w:rPr>
      </w:pPr>
    </w:p>
    <w:p w14:paraId="7B7F3B95">
      <w:pPr>
        <w:rPr>
          <w:color w:val="auto"/>
        </w:rPr>
      </w:pPr>
    </w:p>
    <w:p w14:paraId="742B62B1">
      <w:pPr>
        <w:rPr>
          <w:color w:val="auto"/>
        </w:rPr>
      </w:pPr>
    </w:p>
    <w:p w14:paraId="57ECAFE4">
      <w:pPr>
        <w:rPr>
          <w:color w:val="auto"/>
        </w:rPr>
      </w:pPr>
    </w:p>
    <w:p w14:paraId="472BCD0E">
      <w:pPr>
        <w:rPr>
          <w:color w:val="auto"/>
        </w:rPr>
      </w:pPr>
    </w:p>
    <w:p w14:paraId="6CBB22CB">
      <w:pPr>
        <w:rPr>
          <w:rFonts w:hint="eastAsia"/>
          <w:color w:val="auto"/>
          <w:lang w:val="en-US" w:eastAsia="zh-CN"/>
        </w:rPr>
      </w:pPr>
      <w:r>
        <w:rPr>
          <w:rFonts w:hint="eastAsia"/>
          <w:color w:val="auto"/>
          <w:lang w:val="en-US" w:eastAsia="zh-CN"/>
        </w:rPr>
        <w:t>附件2：</w:t>
      </w:r>
    </w:p>
    <w:p w14:paraId="14A7B0A7">
      <w:pPr>
        <w:snapToGrid w:val="0"/>
        <w:spacing w:before="50" w:after="156" w:afterLines="50" w:line="360" w:lineRule="auto"/>
        <w:jc w:val="center"/>
        <w:rPr>
          <w:rFonts w:ascii="仿宋" w:hAnsi="仿宋" w:eastAsia="仿宋"/>
          <w:b/>
          <w:color w:val="auto"/>
          <w:sz w:val="32"/>
          <w:szCs w:val="32"/>
        </w:rPr>
      </w:pPr>
      <w:r>
        <w:rPr>
          <w:rFonts w:hint="eastAsia" w:ascii="仿宋" w:hAnsi="仿宋" w:eastAsia="仿宋"/>
          <w:b/>
          <w:color w:val="auto"/>
          <w:sz w:val="32"/>
          <w:szCs w:val="32"/>
        </w:rPr>
        <w:t>投标人直接控股、管理关系信息表</w:t>
      </w:r>
    </w:p>
    <w:tbl>
      <w:tblPr>
        <w:tblStyle w:val="7"/>
        <w:tblW w:w="12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4163"/>
        <w:gridCol w:w="4536"/>
      </w:tblGrid>
      <w:tr w14:paraId="6B5D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noWrap w:val="0"/>
            <w:vAlign w:val="center"/>
          </w:tcPr>
          <w:p w14:paraId="7B605525">
            <w:pPr>
              <w:snapToGrid w:val="0"/>
              <w:spacing w:before="156" w:beforeLines="50" w:after="50"/>
              <w:jc w:val="center"/>
              <w:rPr>
                <w:rFonts w:ascii="仿宋" w:hAnsi="仿宋" w:eastAsia="仿宋"/>
                <w:b/>
                <w:color w:val="auto"/>
                <w:szCs w:val="21"/>
              </w:rPr>
            </w:pPr>
            <w:r>
              <w:rPr>
                <w:rFonts w:ascii="仿宋" w:hAnsi="仿宋" w:eastAsia="仿宋"/>
                <w:b/>
                <w:color w:val="auto"/>
                <w:szCs w:val="21"/>
              </w:rPr>
              <w:t>投标人直接控股股东信息表</w:t>
            </w:r>
          </w:p>
        </w:tc>
        <w:tc>
          <w:tcPr>
            <w:tcW w:w="4536" w:type="dxa"/>
            <w:shd w:val="clear" w:color="auto" w:fill="F2DBDB"/>
            <w:noWrap w:val="0"/>
            <w:vAlign w:val="center"/>
          </w:tcPr>
          <w:p w14:paraId="79DB757A">
            <w:pPr>
              <w:snapToGrid w:val="0"/>
              <w:spacing w:before="156" w:beforeLines="50" w:after="50"/>
              <w:jc w:val="center"/>
              <w:rPr>
                <w:rFonts w:ascii="仿宋" w:hAnsi="仿宋" w:eastAsia="仿宋"/>
                <w:b/>
                <w:color w:val="auto"/>
                <w:szCs w:val="21"/>
              </w:rPr>
            </w:pPr>
            <w:r>
              <w:rPr>
                <w:rFonts w:ascii="仿宋" w:hAnsi="仿宋" w:eastAsia="仿宋"/>
                <w:b/>
                <w:color w:val="auto"/>
                <w:szCs w:val="21"/>
              </w:rPr>
              <w:t>说明</w:t>
            </w:r>
          </w:p>
        </w:tc>
      </w:tr>
      <w:tr w14:paraId="5D21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463E447E">
            <w:pPr>
              <w:spacing w:line="360" w:lineRule="exact"/>
              <w:jc w:val="center"/>
              <w:rPr>
                <w:rFonts w:ascii="仿宋" w:hAnsi="仿宋" w:eastAsia="仿宋" w:cs="宋体"/>
                <w:b/>
                <w:bCs/>
                <w:color w:val="auto"/>
                <w:kern w:val="0"/>
                <w:szCs w:val="21"/>
              </w:rPr>
            </w:pPr>
            <w:r>
              <w:rPr>
                <w:rFonts w:ascii="仿宋" w:hAnsi="仿宋" w:eastAsia="仿宋" w:cs="宋体"/>
                <w:b/>
                <w:bCs/>
                <w:color w:val="auto"/>
                <w:kern w:val="0"/>
                <w:szCs w:val="21"/>
              </w:rPr>
              <w:t>序号</w:t>
            </w:r>
          </w:p>
        </w:tc>
        <w:tc>
          <w:tcPr>
            <w:tcW w:w="1309" w:type="dxa"/>
            <w:noWrap w:val="0"/>
            <w:vAlign w:val="center"/>
          </w:tcPr>
          <w:p w14:paraId="43FFC6E5">
            <w:pPr>
              <w:spacing w:line="360" w:lineRule="exact"/>
              <w:jc w:val="center"/>
              <w:rPr>
                <w:rFonts w:ascii="仿宋" w:hAnsi="仿宋" w:eastAsia="仿宋" w:cs="宋体"/>
                <w:b/>
                <w:bCs/>
                <w:color w:val="auto"/>
                <w:kern w:val="0"/>
                <w:szCs w:val="21"/>
              </w:rPr>
            </w:pPr>
            <w:r>
              <w:rPr>
                <w:rFonts w:ascii="仿宋" w:hAnsi="仿宋" w:eastAsia="仿宋" w:cs="宋体"/>
                <w:b/>
                <w:bCs/>
                <w:color w:val="auto"/>
                <w:kern w:val="0"/>
                <w:szCs w:val="21"/>
              </w:rPr>
              <w:t>直接控股股东名称</w:t>
            </w:r>
          </w:p>
        </w:tc>
        <w:tc>
          <w:tcPr>
            <w:tcW w:w="1384" w:type="dxa"/>
            <w:noWrap w:val="0"/>
            <w:vAlign w:val="center"/>
          </w:tcPr>
          <w:p w14:paraId="74F847EF">
            <w:pPr>
              <w:spacing w:line="360" w:lineRule="exact"/>
              <w:jc w:val="center"/>
              <w:rPr>
                <w:rFonts w:ascii="仿宋" w:hAnsi="仿宋" w:eastAsia="仿宋" w:cs="宋体"/>
                <w:b/>
                <w:bCs/>
                <w:color w:val="auto"/>
                <w:kern w:val="0"/>
                <w:szCs w:val="21"/>
              </w:rPr>
            </w:pPr>
            <w:r>
              <w:rPr>
                <w:rFonts w:ascii="仿宋" w:hAnsi="仿宋" w:eastAsia="仿宋" w:cs="宋体"/>
                <w:b/>
                <w:bCs/>
                <w:color w:val="auto"/>
                <w:kern w:val="0"/>
                <w:szCs w:val="21"/>
              </w:rPr>
              <w:t>出资比例</w:t>
            </w:r>
          </w:p>
        </w:tc>
        <w:tc>
          <w:tcPr>
            <w:tcW w:w="4163" w:type="dxa"/>
            <w:noWrap w:val="0"/>
            <w:vAlign w:val="center"/>
          </w:tcPr>
          <w:p w14:paraId="235077EF">
            <w:pPr>
              <w:spacing w:line="360" w:lineRule="exact"/>
              <w:jc w:val="center"/>
              <w:rPr>
                <w:rFonts w:ascii="仿宋" w:hAnsi="仿宋" w:eastAsia="仿宋" w:cs="宋体"/>
                <w:b/>
                <w:bCs/>
                <w:color w:val="auto"/>
                <w:kern w:val="0"/>
                <w:szCs w:val="21"/>
              </w:rPr>
            </w:pPr>
            <w:r>
              <w:rPr>
                <w:rFonts w:ascii="仿宋" w:hAnsi="仿宋" w:eastAsia="仿宋" w:cs="宋体"/>
                <w:b/>
                <w:bCs/>
                <w:color w:val="auto"/>
                <w:kern w:val="0"/>
                <w:szCs w:val="21"/>
              </w:rPr>
              <w:t>身份证号码或者统一社会信用代码</w:t>
            </w:r>
          </w:p>
        </w:tc>
        <w:tc>
          <w:tcPr>
            <w:tcW w:w="4536" w:type="dxa"/>
            <w:vMerge w:val="restart"/>
            <w:noWrap w:val="0"/>
            <w:vAlign w:val="center"/>
          </w:tcPr>
          <w:p w14:paraId="30677715">
            <w:pPr>
              <w:snapToGrid w:val="0"/>
              <w:jc w:val="left"/>
              <w:rPr>
                <w:rFonts w:ascii="仿宋" w:hAnsi="仿宋" w:eastAsia="仿宋"/>
                <w:color w:val="auto"/>
                <w:szCs w:val="21"/>
              </w:rPr>
            </w:pPr>
            <w:r>
              <w:rPr>
                <w:rFonts w:ascii="仿宋" w:hAnsi="仿宋" w:eastAsia="仿宋"/>
                <w:color w:val="auto"/>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BA4FE84">
            <w:pPr>
              <w:snapToGrid w:val="0"/>
              <w:jc w:val="left"/>
              <w:rPr>
                <w:rFonts w:ascii="仿宋" w:hAnsi="仿宋" w:eastAsia="仿宋"/>
                <w:color w:val="auto"/>
                <w:szCs w:val="21"/>
              </w:rPr>
            </w:pPr>
            <w:r>
              <w:rPr>
                <w:rFonts w:ascii="仿宋" w:hAnsi="仿宋" w:eastAsia="仿宋"/>
                <w:color w:val="auto"/>
                <w:szCs w:val="21"/>
              </w:rPr>
              <w:t>2.本表所指的控股关系仅限于直接控股关系，不包括间接的控股关系。公司实际控制人与公司之间的关系不属于本表所指的直接控股关系。</w:t>
            </w:r>
          </w:p>
          <w:p w14:paraId="4F02FDDE">
            <w:pPr>
              <w:snapToGrid w:val="0"/>
              <w:jc w:val="left"/>
              <w:rPr>
                <w:rFonts w:ascii="仿宋" w:hAnsi="仿宋" w:eastAsia="仿宋" w:cs="宋体"/>
                <w:b/>
                <w:bCs/>
                <w:color w:val="auto"/>
                <w:kern w:val="0"/>
                <w:szCs w:val="21"/>
              </w:rPr>
            </w:pPr>
            <w:r>
              <w:rPr>
                <w:rFonts w:ascii="仿宋" w:hAnsi="仿宋" w:eastAsia="仿宋"/>
                <w:color w:val="auto"/>
                <w:szCs w:val="21"/>
              </w:rPr>
              <w:t>3.供应商不存在直接控股股东的，则填“无”。</w:t>
            </w:r>
          </w:p>
        </w:tc>
      </w:tr>
      <w:tr w14:paraId="1863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5FAF252D">
            <w:pPr>
              <w:snapToGrid w:val="0"/>
              <w:spacing w:before="156" w:beforeLines="50" w:after="50"/>
              <w:jc w:val="center"/>
              <w:rPr>
                <w:rFonts w:ascii="仿宋" w:hAnsi="仿宋" w:eastAsia="仿宋"/>
                <w:b/>
                <w:color w:val="auto"/>
                <w:szCs w:val="21"/>
              </w:rPr>
            </w:pPr>
            <w:r>
              <w:rPr>
                <w:rFonts w:ascii="仿宋" w:hAnsi="仿宋" w:eastAsia="仿宋"/>
                <w:b/>
                <w:color w:val="auto"/>
                <w:szCs w:val="21"/>
              </w:rPr>
              <w:t>1</w:t>
            </w:r>
          </w:p>
        </w:tc>
        <w:tc>
          <w:tcPr>
            <w:tcW w:w="1309" w:type="dxa"/>
            <w:noWrap w:val="0"/>
            <w:vAlign w:val="top"/>
          </w:tcPr>
          <w:p w14:paraId="4CB76A6E">
            <w:pPr>
              <w:snapToGrid w:val="0"/>
              <w:spacing w:before="156" w:beforeLines="50" w:after="50"/>
              <w:jc w:val="left"/>
              <w:rPr>
                <w:rFonts w:ascii="仿宋" w:hAnsi="仿宋" w:eastAsia="仿宋"/>
                <w:b/>
                <w:color w:val="auto"/>
                <w:szCs w:val="21"/>
              </w:rPr>
            </w:pPr>
          </w:p>
        </w:tc>
        <w:tc>
          <w:tcPr>
            <w:tcW w:w="1384" w:type="dxa"/>
            <w:noWrap w:val="0"/>
            <w:vAlign w:val="top"/>
          </w:tcPr>
          <w:p w14:paraId="6677D9CC">
            <w:pPr>
              <w:snapToGrid w:val="0"/>
              <w:spacing w:before="156" w:beforeLines="50" w:after="50"/>
              <w:jc w:val="left"/>
              <w:rPr>
                <w:rFonts w:ascii="仿宋" w:hAnsi="仿宋" w:eastAsia="仿宋"/>
                <w:b/>
                <w:color w:val="auto"/>
                <w:szCs w:val="21"/>
              </w:rPr>
            </w:pPr>
          </w:p>
        </w:tc>
        <w:tc>
          <w:tcPr>
            <w:tcW w:w="4163" w:type="dxa"/>
            <w:noWrap w:val="0"/>
            <w:vAlign w:val="top"/>
          </w:tcPr>
          <w:p w14:paraId="7471893F">
            <w:pPr>
              <w:snapToGrid w:val="0"/>
              <w:spacing w:before="156" w:beforeLines="50" w:after="50"/>
              <w:jc w:val="left"/>
              <w:rPr>
                <w:rFonts w:ascii="仿宋" w:hAnsi="仿宋" w:eastAsia="仿宋"/>
                <w:b/>
                <w:color w:val="auto"/>
                <w:szCs w:val="21"/>
              </w:rPr>
            </w:pPr>
          </w:p>
        </w:tc>
        <w:tc>
          <w:tcPr>
            <w:tcW w:w="4536" w:type="dxa"/>
            <w:vMerge w:val="continue"/>
            <w:noWrap w:val="0"/>
            <w:vAlign w:val="top"/>
          </w:tcPr>
          <w:p w14:paraId="6E223151">
            <w:pPr>
              <w:snapToGrid w:val="0"/>
              <w:jc w:val="left"/>
              <w:rPr>
                <w:rFonts w:ascii="仿宋" w:hAnsi="仿宋" w:eastAsia="仿宋"/>
                <w:color w:val="auto"/>
                <w:szCs w:val="21"/>
              </w:rPr>
            </w:pPr>
          </w:p>
        </w:tc>
      </w:tr>
      <w:tr w14:paraId="0E15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2045C714">
            <w:pPr>
              <w:snapToGrid w:val="0"/>
              <w:spacing w:before="156" w:beforeLines="50" w:after="50"/>
              <w:jc w:val="center"/>
              <w:rPr>
                <w:rFonts w:ascii="仿宋" w:hAnsi="仿宋" w:eastAsia="仿宋"/>
                <w:b/>
                <w:color w:val="auto"/>
                <w:szCs w:val="21"/>
              </w:rPr>
            </w:pPr>
            <w:r>
              <w:rPr>
                <w:rFonts w:ascii="仿宋" w:hAnsi="仿宋" w:eastAsia="仿宋"/>
                <w:b/>
                <w:color w:val="auto"/>
                <w:szCs w:val="21"/>
              </w:rPr>
              <w:t>2</w:t>
            </w:r>
          </w:p>
        </w:tc>
        <w:tc>
          <w:tcPr>
            <w:tcW w:w="1309" w:type="dxa"/>
            <w:noWrap w:val="0"/>
            <w:vAlign w:val="top"/>
          </w:tcPr>
          <w:p w14:paraId="459F22F6">
            <w:pPr>
              <w:snapToGrid w:val="0"/>
              <w:spacing w:before="156" w:beforeLines="50" w:after="50"/>
              <w:jc w:val="left"/>
              <w:rPr>
                <w:rFonts w:ascii="仿宋" w:hAnsi="仿宋" w:eastAsia="仿宋"/>
                <w:b/>
                <w:color w:val="auto"/>
                <w:szCs w:val="21"/>
              </w:rPr>
            </w:pPr>
          </w:p>
        </w:tc>
        <w:tc>
          <w:tcPr>
            <w:tcW w:w="1384" w:type="dxa"/>
            <w:noWrap w:val="0"/>
            <w:vAlign w:val="top"/>
          </w:tcPr>
          <w:p w14:paraId="41683AF1">
            <w:pPr>
              <w:snapToGrid w:val="0"/>
              <w:spacing w:before="156" w:beforeLines="50" w:after="50"/>
              <w:jc w:val="left"/>
              <w:rPr>
                <w:rFonts w:ascii="仿宋" w:hAnsi="仿宋" w:eastAsia="仿宋"/>
                <w:b/>
                <w:color w:val="auto"/>
                <w:szCs w:val="21"/>
              </w:rPr>
            </w:pPr>
          </w:p>
        </w:tc>
        <w:tc>
          <w:tcPr>
            <w:tcW w:w="4163" w:type="dxa"/>
            <w:noWrap w:val="0"/>
            <w:vAlign w:val="top"/>
          </w:tcPr>
          <w:p w14:paraId="31A3DD7E">
            <w:pPr>
              <w:snapToGrid w:val="0"/>
              <w:spacing w:before="156" w:beforeLines="50" w:after="50"/>
              <w:jc w:val="left"/>
              <w:rPr>
                <w:rFonts w:ascii="仿宋" w:hAnsi="仿宋" w:eastAsia="仿宋"/>
                <w:b/>
                <w:color w:val="auto"/>
                <w:szCs w:val="21"/>
              </w:rPr>
            </w:pPr>
          </w:p>
        </w:tc>
        <w:tc>
          <w:tcPr>
            <w:tcW w:w="4536" w:type="dxa"/>
            <w:vMerge w:val="continue"/>
            <w:noWrap w:val="0"/>
            <w:vAlign w:val="top"/>
          </w:tcPr>
          <w:p w14:paraId="4278126A">
            <w:pPr>
              <w:snapToGrid w:val="0"/>
              <w:spacing w:before="156" w:beforeLines="50" w:after="50"/>
              <w:jc w:val="left"/>
              <w:rPr>
                <w:rFonts w:ascii="仿宋" w:hAnsi="仿宋" w:eastAsia="仿宋"/>
                <w:b/>
                <w:color w:val="auto"/>
                <w:szCs w:val="21"/>
              </w:rPr>
            </w:pPr>
          </w:p>
        </w:tc>
      </w:tr>
      <w:tr w14:paraId="5601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noWrap w:val="0"/>
            <w:vAlign w:val="top"/>
          </w:tcPr>
          <w:p w14:paraId="6F308D51">
            <w:pPr>
              <w:snapToGrid w:val="0"/>
              <w:spacing w:before="156" w:beforeLines="50" w:after="50"/>
              <w:jc w:val="center"/>
              <w:rPr>
                <w:rFonts w:ascii="仿宋" w:hAnsi="仿宋" w:eastAsia="仿宋"/>
                <w:b/>
                <w:color w:val="auto"/>
                <w:szCs w:val="21"/>
              </w:rPr>
            </w:pPr>
            <w:r>
              <w:rPr>
                <w:rFonts w:ascii="仿宋" w:hAnsi="仿宋" w:eastAsia="仿宋" w:cs="宋体"/>
                <w:color w:val="auto"/>
                <w:kern w:val="0"/>
                <w:szCs w:val="21"/>
              </w:rPr>
              <w:t>……</w:t>
            </w:r>
          </w:p>
        </w:tc>
        <w:tc>
          <w:tcPr>
            <w:tcW w:w="1309" w:type="dxa"/>
            <w:tcBorders>
              <w:bottom w:val="single" w:color="auto" w:sz="4" w:space="0"/>
            </w:tcBorders>
            <w:noWrap w:val="0"/>
            <w:vAlign w:val="top"/>
          </w:tcPr>
          <w:p w14:paraId="11FB19EA">
            <w:pPr>
              <w:snapToGrid w:val="0"/>
              <w:spacing w:before="156" w:beforeLines="50" w:after="50"/>
              <w:jc w:val="left"/>
              <w:rPr>
                <w:rFonts w:ascii="仿宋" w:hAnsi="仿宋" w:eastAsia="仿宋"/>
                <w:b/>
                <w:color w:val="auto"/>
                <w:szCs w:val="21"/>
              </w:rPr>
            </w:pPr>
          </w:p>
        </w:tc>
        <w:tc>
          <w:tcPr>
            <w:tcW w:w="1384" w:type="dxa"/>
            <w:tcBorders>
              <w:bottom w:val="single" w:color="auto" w:sz="4" w:space="0"/>
            </w:tcBorders>
            <w:noWrap w:val="0"/>
            <w:vAlign w:val="top"/>
          </w:tcPr>
          <w:p w14:paraId="161784AA">
            <w:pPr>
              <w:snapToGrid w:val="0"/>
              <w:spacing w:before="156" w:beforeLines="50" w:after="50"/>
              <w:jc w:val="left"/>
              <w:rPr>
                <w:rFonts w:ascii="仿宋" w:hAnsi="仿宋" w:eastAsia="仿宋"/>
                <w:b/>
                <w:color w:val="auto"/>
                <w:szCs w:val="21"/>
              </w:rPr>
            </w:pPr>
          </w:p>
        </w:tc>
        <w:tc>
          <w:tcPr>
            <w:tcW w:w="4163" w:type="dxa"/>
            <w:tcBorders>
              <w:bottom w:val="single" w:color="auto" w:sz="4" w:space="0"/>
            </w:tcBorders>
            <w:noWrap w:val="0"/>
            <w:vAlign w:val="top"/>
          </w:tcPr>
          <w:p w14:paraId="4C98F250">
            <w:pPr>
              <w:snapToGrid w:val="0"/>
              <w:spacing w:before="156" w:beforeLines="50" w:after="50"/>
              <w:jc w:val="left"/>
              <w:rPr>
                <w:rFonts w:ascii="仿宋" w:hAnsi="仿宋" w:eastAsia="仿宋"/>
                <w:b/>
                <w:color w:val="auto"/>
                <w:szCs w:val="21"/>
              </w:rPr>
            </w:pPr>
          </w:p>
        </w:tc>
        <w:tc>
          <w:tcPr>
            <w:tcW w:w="4536" w:type="dxa"/>
            <w:vMerge w:val="continue"/>
            <w:tcBorders>
              <w:bottom w:val="single" w:color="auto" w:sz="4" w:space="0"/>
            </w:tcBorders>
            <w:noWrap w:val="0"/>
            <w:vAlign w:val="top"/>
          </w:tcPr>
          <w:p w14:paraId="25E36D15">
            <w:pPr>
              <w:snapToGrid w:val="0"/>
              <w:spacing w:before="156" w:beforeLines="50" w:after="50"/>
              <w:jc w:val="left"/>
              <w:rPr>
                <w:rFonts w:ascii="仿宋" w:hAnsi="仿宋" w:eastAsia="仿宋"/>
                <w:b/>
                <w:color w:val="auto"/>
                <w:szCs w:val="21"/>
              </w:rPr>
            </w:pPr>
          </w:p>
        </w:tc>
      </w:tr>
      <w:tr w14:paraId="63AD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noWrap w:val="0"/>
            <w:vAlign w:val="center"/>
          </w:tcPr>
          <w:p w14:paraId="72061FF8">
            <w:pPr>
              <w:snapToGrid w:val="0"/>
              <w:spacing w:before="156" w:beforeLines="50" w:after="50"/>
              <w:jc w:val="center"/>
              <w:rPr>
                <w:rFonts w:ascii="仿宋" w:hAnsi="仿宋" w:eastAsia="仿宋"/>
                <w:b/>
                <w:color w:val="auto"/>
                <w:szCs w:val="21"/>
              </w:rPr>
            </w:pPr>
            <w:r>
              <w:rPr>
                <w:rFonts w:ascii="仿宋" w:hAnsi="仿宋" w:eastAsia="仿宋"/>
                <w:b/>
                <w:color w:val="auto"/>
                <w:szCs w:val="21"/>
              </w:rPr>
              <w:t>投标人直接管理关系信息表</w:t>
            </w:r>
          </w:p>
        </w:tc>
        <w:tc>
          <w:tcPr>
            <w:tcW w:w="4536" w:type="dxa"/>
            <w:shd w:val="clear" w:color="auto" w:fill="F2DBDB"/>
            <w:noWrap w:val="0"/>
            <w:vAlign w:val="center"/>
          </w:tcPr>
          <w:p w14:paraId="4B889ED3">
            <w:pPr>
              <w:snapToGrid w:val="0"/>
              <w:spacing w:before="156" w:beforeLines="50" w:after="50"/>
              <w:jc w:val="center"/>
              <w:rPr>
                <w:rFonts w:ascii="仿宋" w:hAnsi="仿宋" w:eastAsia="仿宋"/>
                <w:b/>
                <w:color w:val="auto"/>
                <w:szCs w:val="21"/>
              </w:rPr>
            </w:pPr>
            <w:r>
              <w:rPr>
                <w:rFonts w:ascii="仿宋" w:hAnsi="仿宋" w:eastAsia="仿宋"/>
                <w:b/>
                <w:color w:val="auto"/>
                <w:szCs w:val="21"/>
              </w:rPr>
              <w:t>说明</w:t>
            </w:r>
          </w:p>
        </w:tc>
      </w:tr>
      <w:tr w14:paraId="130D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318EEAC5">
            <w:pPr>
              <w:snapToGrid w:val="0"/>
              <w:spacing w:before="156" w:beforeLines="50" w:after="50"/>
              <w:jc w:val="center"/>
              <w:rPr>
                <w:rFonts w:ascii="仿宋" w:hAnsi="仿宋" w:eastAsia="仿宋"/>
                <w:b/>
                <w:color w:val="auto"/>
                <w:szCs w:val="21"/>
              </w:rPr>
            </w:pPr>
            <w:r>
              <w:rPr>
                <w:rFonts w:ascii="仿宋" w:hAnsi="仿宋" w:eastAsia="仿宋" w:cs="宋体"/>
                <w:b/>
                <w:bCs/>
                <w:color w:val="auto"/>
                <w:kern w:val="0"/>
                <w:szCs w:val="21"/>
              </w:rPr>
              <w:t>序号</w:t>
            </w:r>
          </w:p>
        </w:tc>
        <w:tc>
          <w:tcPr>
            <w:tcW w:w="2693" w:type="dxa"/>
            <w:gridSpan w:val="2"/>
            <w:noWrap w:val="0"/>
            <w:vAlign w:val="center"/>
          </w:tcPr>
          <w:p w14:paraId="3B62DEF5">
            <w:pPr>
              <w:snapToGrid w:val="0"/>
              <w:spacing w:before="156" w:beforeLines="50" w:after="50"/>
              <w:jc w:val="center"/>
              <w:rPr>
                <w:rFonts w:ascii="仿宋" w:hAnsi="仿宋" w:eastAsia="仿宋"/>
                <w:b/>
                <w:color w:val="auto"/>
                <w:szCs w:val="21"/>
              </w:rPr>
            </w:pPr>
            <w:r>
              <w:rPr>
                <w:rFonts w:ascii="仿宋" w:hAnsi="仿宋" w:eastAsia="仿宋" w:cs="宋体"/>
                <w:b/>
                <w:bCs/>
                <w:color w:val="auto"/>
                <w:kern w:val="0"/>
                <w:szCs w:val="21"/>
              </w:rPr>
              <w:t>直接管理关系单位名称</w:t>
            </w:r>
          </w:p>
        </w:tc>
        <w:tc>
          <w:tcPr>
            <w:tcW w:w="4163" w:type="dxa"/>
            <w:noWrap w:val="0"/>
            <w:vAlign w:val="center"/>
          </w:tcPr>
          <w:p w14:paraId="6CAD11EF">
            <w:pPr>
              <w:snapToGrid w:val="0"/>
              <w:spacing w:before="156" w:beforeLines="50" w:after="50"/>
              <w:jc w:val="center"/>
              <w:rPr>
                <w:rFonts w:ascii="仿宋" w:hAnsi="仿宋" w:eastAsia="仿宋"/>
                <w:b/>
                <w:color w:val="auto"/>
                <w:szCs w:val="21"/>
              </w:rPr>
            </w:pPr>
            <w:r>
              <w:rPr>
                <w:rFonts w:ascii="仿宋" w:hAnsi="仿宋" w:eastAsia="仿宋" w:cs="宋体"/>
                <w:b/>
                <w:bCs/>
                <w:color w:val="auto"/>
                <w:kern w:val="0"/>
                <w:szCs w:val="21"/>
              </w:rPr>
              <w:t>统一社会信用代码</w:t>
            </w:r>
          </w:p>
        </w:tc>
        <w:tc>
          <w:tcPr>
            <w:tcW w:w="4536" w:type="dxa"/>
            <w:vMerge w:val="restart"/>
            <w:noWrap w:val="0"/>
            <w:vAlign w:val="center"/>
          </w:tcPr>
          <w:p w14:paraId="28A57631">
            <w:pPr>
              <w:snapToGrid w:val="0"/>
              <w:jc w:val="left"/>
              <w:rPr>
                <w:rFonts w:ascii="仿宋" w:hAnsi="仿宋" w:eastAsia="仿宋"/>
                <w:color w:val="auto"/>
                <w:szCs w:val="21"/>
              </w:rPr>
            </w:pPr>
            <w:r>
              <w:rPr>
                <w:rFonts w:ascii="仿宋" w:hAnsi="仿宋" w:eastAsia="仿宋"/>
                <w:color w:val="auto"/>
                <w:szCs w:val="21"/>
              </w:rPr>
              <w:t>1.管理关系：是指不具有出资持股关系的其他单位之间存在的管理与被管理关系，如一些上下级关系的事业单位和团体组织。</w:t>
            </w:r>
          </w:p>
          <w:p w14:paraId="2F1DD5E1">
            <w:pPr>
              <w:snapToGrid w:val="0"/>
              <w:jc w:val="left"/>
              <w:rPr>
                <w:rFonts w:ascii="仿宋" w:hAnsi="仿宋" w:eastAsia="仿宋"/>
                <w:color w:val="auto"/>
                <w:szCs w:val="21"/>
              </w:rPr>
            </w:pPr>
            <w:r>
              <w:rPr>
                <w:rFonts w:ascii="仿宋" w:hAnsi="仿宋" w:eastAsia="仿宋"/>
                <w:color w:val="auto"/>
                <w:szCs w:val="21"/>
              </w:rPr>
              <w:t>2.本表所指的管理关系仅限于直接管理关系，不包括间接的管理关系。</w:t>
            </w:r>
          </w:p>
          <w:p w14:paraId="4CD8F99D">
            <w:pPr>
              <w:snapToGrid w:val="0"/>
              <w:jc w:val="left"/>
              <w:rPr>
                <w:rFonts w:ascii="仿宋" w:hAnsi="仿宋" w:eastAsia="仿宋"/>
                <w:color w:val="auto"/>
                <w:szCs w:val="21"/>
              </w:rPr>
            </w:pPr>
            <w:r>
              <w:rPr>
                <w:rFonts w:ascii="仿宋" w:hAnsi="仿宋" w:eastAsia="仿宋"/>
                <w:color w:val="auto"/>
                <w:szCs w:val="21"/>
              </w:rPr>
              <w:t>3.供应商不存在直接管理关系的，则填“无”。</w:t>
            </w:r>
          </w:p>
        </w:tc>
      </w:tr>
      <w:tr w14:paraId="49BA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60545E59">
            <w:pPr>
              <w:snapToGrid w:val="0"/>
              <w:spacing w:before="156" w:beforeLines="50" w:after="50"/>
              <w:jc w:val="center"/>
              <w:rPr>
                <w:rFonts w:ascii="仿宋" w:hAnsi="仿宋" w:eastAsia="仿宋"/>
                <w:b/>
                <w:color w:val="auto"/>
                <w:szCs w:val="21"/>
              </w:rPr>
            </w:pPr>
            <w:r>
              <w:rPr>
                <w:rFonts w:ascii="仿宋" w:hAnsi="仿宋" w:eastAsia="仿宋"/>
                <w:b/>
                <w:color w:val="auto"/>
                <w:szCs w:val="21"/>
              </w:rPr>
              <w:t>1</w:t>
            </w:r>
          </w:p>
        </w:tc>
        <w:tc>
          <w:tcPr>
            <w:tcW w:w="2693" w:type="dxa"/>
            <w:gridSpan w:val="2"/>
            <w:noWrap w:val="0"/>
            <w:vAlign w:val="center"/>
          </w:tcPr>
          <w:p w14:paraId="566F4D5B">
            <w:pPr>
              <w:snapToGrid w:val="0"/>
              <w:spacing w:before="156" w:beforeLines="50" w:after="50"/>
              <w:jc w:val="center"/>
              <w:rPr>
                <w:rFonts w:ascii="仿宋" w:hAnsi="仿宋" w:eastAsia="仿宋" w:cs="宋体"/>
                <w:b/>
                <w:bCs/>
                <w:color w:val="auto"/>
                <w:kern w:val="0"/>
                <w:szCs w:val="21"/>
              </w:rPr>
            </w:pPr>
          </w:p>
        </w:tc>
        <w:tc>
          <w:tcPr>
            <w:tcW w:w="4163" w:type="dxa"/>
            <w:noWrap w:val="0"/>
            <w:vAlign w:val="center"/>
          </w:tcPr>
          <w:p w14:paraId="3D236EA3">
            <w:pPr>
              <w:snapToGrid w:val="0"/>
              <w:spacing w:before="156" w:beforeLines="50" w:after="50"/>
              <w:jc w:val="center"/>
              <w:rPr>
                <w:rFonts w:ascii="仿宋" w:hAnsi="仿宋" w:eastAsia="仿宋" w:cs="宋体"/>
                <w:b/>
                <w:bCs/>
                <w:color w:val="auto"/>
                <w:kern w:val="0"/>
                <w:szCs w:val="21"/>
              </w:rPr>
            </w:pPr>
          </w:p>
        </w:tc>
        <w:tc>
          <w:tcPr>
            <w:tcW w:w="4536" w:type="dxa"/>
            <w:vMerge w:val="continue"/>
            <w:noWrap w:val="0"/>
            <w:vAlign w:val="center"/>
          </w:tcPr>
          <w:p w14:paraId="713196E9">
            <w:pPr>
              <w:snapToGrid w:val="0"/>
              <w:jc w:val="left"/>
              <w:rPr>
                <w:rFonts w:ascii="仿宋" w:hAnsi="仿宋" w:eastAsia="仿宋"/>
                <w:color w:val="auto"/>
                <w:szCs w:val="21"/>
              </w:rPr>
            </w:pPr>
          </w:p>
        </w:tc>
      </w:tr>
      <w:tr w14:paraId="060A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2F83240D">
            <w:pPr>
              <w:snapToGrid w:val="0"/>
              <w:spacing w:before="156" w:beforeLines="50" w:after="50"/>
              <w:jc w:val="center"/>
              <w:rPr>
                <w:rFonts w:ascii="仿宋" w:hAnsi="仿宋" w:eastAsia="仿宋"/>
                <w:b/>
                <w:color w:val="auto"/>
                <w:szCs w:val="21"/>
              </w:rPr>
            </w:pPr>
            <w:r>
              <w:rPr>
                <w:rFonts w:ascii="仿宋" w:hAnsi="仿宋" w:eastAsia="仿宋"/>
                <w:b/>
                <w:color w:val="auto"/>
                <w:szCs w:val="21"/>
              </w:rPr>
              <w:t>2</w:t>
            </w:r>
          </w:p>
        </w:tc>
        <w:tc>
          <w:tcPr>
            <w:tcW w:w="2693" w:type="dxa"/>
            <w:gridSpan w:val="2"/>
            <w:noWrap w:val="0"/>
            <w:vAlign w:val="center"/>
          </w:tcPr>
          <w:p w14:paraId="01D518E8">
            <w:pPr>
              <w:snapToGrid w:val="0"/>
              <w:spacing w:before="156" w:beforeLines="50" w:after="50"/>
              <w:jc w:val="center"/>
              <w:rPr>
                <w:rFonts w:ascii="仿宋" w:hAnsi="仿宋" w:eastAsia="仿宋" w:cs="宋体"/>
                <w:b/>
                <w:bCs/>
                <w:color w:val="auto"/>
                <w:kern w:val="0"/>
                <w:szCs w:val="21"/>
              </w:rPr>
            </w:pPr>
          </w:p>
        </w:tc>
        <w:tc>
          <w:tcPr>
            <w:tcW w:w="4163" w:type="dxa"/>
            <w:noWrap w:val="0"/>
            <w:vAlign w:val="center"/>
          </w:tcPr>
          <w:p w14:paraId="1587044B">
            <w:pPr>
              <w:snapToGrid w:val="0"/>
              <w:spacing w:before="156" w:beforeLines="50" w:after="50"/>
              <w:jc w:val="center"/>
              <w:rPr>
                <w:rFonts w:ascii="仿宋" w:hAnsi="仿宋" w:eastAsia="仿宋" w:cs="宋体"/>
                <w:b/>
                <w:bCs/>
                <w:color w:val="auto"/>
                <w:kern w:val="0"/>
                <w:szCs w:val="21"/>
              </w:rPr>
            </w:pPr>
          </w:p>
        </w:tc>
        <w:tc>
          <w:tcPr>
            <w:tcW w:w="4536" w:type="dxa"/>
            <w:vMerge w:val="continue"/>
            <w:noWrap w:val="0"/>
            <w:vAlign w:val="center"/>
          </w:tcPr>
          <w:p w14:paraId="299029C1">
            <w:pPr>
              <w:snapToGrid w:val="0"/>
              <w:jc w:val="left"/>
              <w:rPr>
                <w:rFonts w:ascii="仿宋" w:hAnsi="仿宋" w:eastAsia="仿宋"/>
                <w:color w:val="auto"/>
                <w:szCs w:val="21"/>
              </w:rPr>
            </w:pPr>
          </w:p>
        </w:tc>
      </w:tr>
      <w:tr w14:paraId="5CDC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5120B8BF">
            <w:pPr>
              <w:snapToGrid w:val="0"/>
              <w:spacing w:before="156" w:beforeLines="50" w:after="50"/>
              <w:jc w:val="center"/>
              <w:rPr>
                <w:rFonts w:ascii="仿宋" w:hAnsi="仿宋" w:eastAsia="仿宋"/>
                <w:b/>
                <w:color w:val="auto"/>
                <w:szCs w:val="21"/>
              </w:rPr>
            </w:pPr>
            <w:r>
              <w:rPr>
                <w:rFonts w:ascii="仿宋" w:hAnsi="仿宋" w:eastAsia="仿宋" w:cs="宋体"/>
                <w:color w:val="auto"/>
                <w:kern w:val="0"/>
                <w:szCs w:val="21"/>
              </w:rPr>
              <w:t>……</w:t>
            </w:r>
          </w:p>
        </w:tc>
        <w:tc>
          <w:tcPr>
            <w:tcW w:w="2693" w:type="dxa"/>
            <w:gridSpan w:val="2"/>
            <w:noWrap w:val="0"/>
            <w:vAlign w:val="center"/>
          </w:tcPr>
          <w:p w14:paraId="17FD4101">
            <w:pPr>
              <w:snapToGrid w:val="0"/>
              <w:spacing w:before="156" w:beforeLines="50" w:after="50"/>
              <w:jc w:val="center"/>
              <w:rPr>
                <w:rFonts w:ascii="仿宋" w:hAnsi="仿宋" w:eastAsia="仿宋" w:cs="宋体"/>
                <w:b/>
                <w:bCs/>
                <w:color w:val="auto"/>
                <w:kern w:val="0"/>
                <w:szCs w:val="21"/>
              </w:rPr>
            </w:pPr>
          </w:p>
        </w:tc>
        <w:tc>
          <w:tcPr>
            <w:tcW w:w="4163" w:type="dxa"/>
            <w:noWrap w:val="0"/>
            <w:vAlign w:val="center"/>
          </w:tcPr>
          <w:p w14:paraId="689AA734">
            <w:pPr>
              <w:snapToGrid w:val="0"/>
              <w:spacing w:before="156" w:beforeLines="50" w:after="50"/>
              <w:jc w:val="center"/>
              <w:rPr>
                <w:rFonts w:ascii="仿宋" w:hAnsi="仿宋" w:eastAsia="仿宋" w:cs="宋体"/>
                <w:b/>
                <w:bCs/>
                <w:color w:val="auto"/>
                <w:kern w:val="0"/>
                <w:szCs w:val="21"/>
              </w:rPr>
            </w:pPr>
          </w:p>
        </w:tc>
        <w:tc>
          <w:tcPr>
            <w:tcW w:w="4536" w:type="dxa"/>
            <w:vMerge w:val="continue"/>
            <w:noWrap w:val="0"/>
            <w:vAlign w:val="center"/>
          </w:tcPr>
          <w:p w14:paraId="6DE108A1">
            <w:pPr>
              <w:snapToGrid w:val="0"/>
              <w:jc w:val="left"/>
              <w:rPr>
                <w:rFonts w:ascii="仿宋" w:hAnsi="仿宋" w:eastAsia="仿宋"/>
                <w:color w:val="auto"/>
                <w:szCs w:val="21"/>
              </w:rPr>
            </w:pPr>
          </w:p>
        </w:tc>
      </w:tr>
    </w:tbl>
    <w:p w14:paraId="281EA2AE">
      <w:pPr>
        <w:snapToGrid w:val="0"/>
        <w:spacing w:line="360" w:lineRule="auto"/>
        <w:jc w:val="left"/>
        <w:rPr>
          <w:rFonts w:hint="eastAsia" w:ascii="仿宋" w:hAnsi="仿宋" w:eastAsia="仿宋"/>
          <w:color w:val="auto"/>
          <w:sz w:val="24"/>
        </w:rPr>
      </w:pPr>
    </w:p>
    <w:p w14:paraId="7BA66D78">
      <w:pPr>
        <w:snapToGrid w:val="0"/>
        <w:spacing w:line="360" w:lineRule="auto"/>
        <w:ind w:firstLine="4840" w:firstLineChars="2200"/>
        <w:rPr>
          <w:rFonts w:hint="eastAsia" w:ascii="仿宋" w:hAnsi="仿宋" w:eastAsia="仿宋" w:cs="仿宋_GB2312"/>
          <w:color w:val="auto"/>
          <w:kern w:val="0"/>
          <w:sz w:val="22"/>
          <w:u w:val="single"/>
        </w:rPr>
      </w:pPr>
      <w:r>
        <w:rPr>
          <w:rFonts w:hint="eastAsia" w:ascii="仿宋" w:hAnsi="仿宋" w:eastAsia="仿宋" w:cs="仿宋_GB2312"/>
          <w:color w:val="auto"/>
          <w:kern w:val="0"/>
          <w:sz w:val="22"/>
          <w:lang w:val="zh-CN"/>
        </w:rPr>
        <w:t>投标人名称(</w:t>
      </w:r>
      <w:r>
        <w:rPr>
          <w:rFonts w:hint="eastAsia" w:ascii="仿宋" w:hAnsi="仿宋" w:eastAsia="仿宋" w:cs="仿宋_GB2312"/>
          <w:color w:val="auto"/>
          <w:kern w:val="0"/>
          <w:sz w:val="22"/>
          <w:lang w:val="en-US" w:eastAsia="zh-CN"/>
        </w:rPr>
        <w:t>公章</w:t>
      </w:r>
      <w:r>
        <w:rPr>
          <w:rFonts w:hint="eastAsia" w:ascii="仿宋" w:hAnsi="仿宋" w:eastAsia="仿宋" w:cs="仿宋_GB2312"/>
          <w:color w:val="auto"/>
          <w:kern w:val="0"/>
          <w:sz w:val="22"/>
          <w:lang w:val="zh-CN"/>
        </w:rPr>
        <w:t>)：</w:t>
      </w:r>
      <w:r>
        <w:rPr>
          <w:rFonts w:hint="eastAsia" w:ascii="仿宋" w:hAnsi="仿宋" w:eastAsia="仿宋" w:cs="仿宋_GB2312"/>
          <w:color w:val="auto"/>
          <w:kern w:val="0"/>
          <w:sz w:val="22"/>
          <w:u w:val="single"/>
          <w:lang w:val="zh-CN"/>
        </w:rPr>
        <w:t xml:space="preserve"> </w:t>
      </w:r>
      <w:r>
        <w:rPr>
          <w:rFonts w:ascii="仿宋" w:hAnsi="仿宋" w:eastAsia="仿宋" w:cs="仿宋_GB2312"/>
          <w:color w:val="auto"/>
          <w:kern w:val="0"/>
          <w:sz w:val="22"/>
          <w:u w:val="single"/>
          <w:lang w:val="zh-CN"/>
        </w:rPr>
        <w:t xml:space="preserve">         </w:t>
      </w:r>
    </w:p>
    <w:p w14:paraId="6D1234EA">
      <w:pPr>
        <w:snapToGrid w:val="0"/>
        <w:spacing w:line="360" w:lineRule="auto"/>
        <w:ind w:firstLine="4730" w:firstLineChars="2150"/>
        <w:rPr>
          <w:rFonts w:hint="default" w:ascii="仿宋" w:hAnsi="仿宋" w:eastAsia="仿宋" w:cs="仿宋_GB2312"/>
          <w:color w:val="auto"/>
          <w:kern w:val="0"/>
          <w:sz w:val="22"/>
          <w:lang w:val="en-US" w:eastAsia="zh-CN"/>
        </w:rPr>
      </w:pPr>
      <w:r>
        <w:rPr>
          <w:rFonts w:hint="eastAsia" w:ascii="仿宋" w:hAnsi="仿宋" w:eastAsia="仿宋" w:cs="仿宋_GB2312"/>
          <w:color w:val="auto"/>
          <w:kern w:val="0"/>
          <w:sz w:val="22"/>
          <w:lang w:val="zh-CN"/>
        </w:rPr>
        <w:t>日期</w:t>
      </w:r>
      <w:r>
        <w:rPr>
          <w:rFonts w:hint="eastAsia" w:ascii="仿宋" w:hAnsi="仿宋" w:eastAsia="仿宋" w:cs="仿宋_GB2312"/>
          <w:color w:val="auto"/>
          <w:kern w:val="0"/>
          <w:sz w:val="22"/>
        </w:rPr>
        <w:t xml:space="preserve">：  年  </w:t>
      </w:r>
      <w:r>
        <w:rPr>
          <w:rFonts w:hint="eastAsia" w:ascii="仿宋" w:hAnsi="仿宋" w:eastAsia="仿宋" w:cs="仿宋_GB2312"/>
          <w:color w:val="auto"/>
          <w:kern w:val="0"/>
          <w:sz w:val="22"/>
          <w:lang w:val="zh-CN"/>
        </w:rPr>
        <w:t>月</w:t>
      </w:r>
      <w:r>
        <w:rPr>
          <w:rFonts w:hint="eastAsia" w:ascii="仿宋" w:hAnsi="仿宋" w:eastAsia="仿宋" w:cs="仿宋_GB2312"/>
          <w:color w:val="auto"/>
          <w:kern w:val="0"/>
          <w:sz w:val="22"/>
        </w:rPr>
        <w:t xml:space="preserve">   </w:t>
      </w:r>
      <w:r>
        <w:rPr>
          <w:rFonts w:hint="eastAsia" w:ascii="仿宋" w:hAnsi="仿宋" w:eastAsia="仿宋" w:cs="仿宋_GB2312"/>
          <w:color w:val="auto"/>
          <w:kern w:val="0"/>
          <w:sz w:val="22"/>
          <w:lang w:val="zh-CN"/>
        </w:rPr>
        <w:t>日</w:t>
      </w:r>
    </w:p>
    <w:sectPr>
      <w:pgSz w:w="16838" w:h="11906" w:orient="landscape"/>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F95E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A2FC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6A2FC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B7E3FE"/>
    <w:multiLevelType w:val="singleLevel"/>
    <w:tmpl w:val="38B7E3F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93C70"/>
    <w:rsid w:val="001D7D62"/>
    <w:rsid w:val="00C12DE3"/>
    <w:rsid w:val="00C36B5B"/>
    <w:rsid w:val="022C0730"/>
    <w:rsid w:val="03237D85"/>
    <w:rsid w:val="037D56E7"/>
    <w:rsid w:val="042C2C6A"/>
    <w:rsid w:val="04B2316F"/>
    <w:rsid w:val="05393C70"/>
    <w:rsid w:val="05880374"/>
    <w:rsid w:val="06A25465"/>
    <w:rsid w:val="06BA27AF"/>
    <w:rsid w:val="08E27D9B"/>
    <w:rsid w:val="0C6F55EB"/>
    <w:rsid w:val="0CD56C10"/>
    <w:rsid w:val="0E26793E"/>
    <w:rsid w:val="0F2721A6"/>
    <w:rsid w:val="11DA3D05"/>
    <w:rsid w:val="130354DD"/>
    <w:rsid w:val="134104D7"/>
    <w:rsid w:val="14292D22"/>
    <w:rsid w:val="144638D4"/>
    <w:rsid w:val="14A66120"/>
    <w:rsid w:val="15076514"/>
    <w:rsid w:val="153C594B"/>
    <w:rsid w:val="154C316C"/>
    <w:rsid w:val="15A53421"/>
    <w:rsid w:val="164E4CC1"/>
    <w:rsid w:val="172F4AF3"/>
    <w:rsid w:val="183C74C7"/>
    <w:rsid w:val="196B16E7"/>
    <w:rsid w:val="1BAF532C"/>
    <w:rsid w:val="1C4C1CA3"/>
    <w:rsid w:val="1CA27B15"/>
    <w:rsid w:val="1F2962CC"/>
    <w:rsid w:val="201B3E66"/>
    <w:rsid w:val="207B4905"/>
    <w:rsid w:val="208F6602"/>
    <w:rsid w:val="20C4005A"/>
    <w:rsid w:val="21AF5D06"/>
    <w:rsid w:val="21CD4909"/>
    <w:rsid w:val="22D30A28"/>
    <w:rsid w:val="23845BBE"/>
    <w:rsid w:val="23DF51AB"/>
    <w:rsid w:val="24FB4266"/>
    <w:rsid w:val="26061115"/>
    <w:rsid w:val="26CF59AB"/>
    <w:rsid w:val="26E01966"/>
    <w:rsid w:val="277D26EF"/>
    <w:rsid w:val="27EC0523"/>
    <w:rsid w:val="28F17E5A"/>
    <w:rsid w:val="2A64465C"/>
    <w:rsid w:val="2AB033FD"/>
    <w:rsid w:val="2B6E7531"/>
    <w:rsid w:val="2CFE2B46"/>
    <w:rsid w:val="2D8B0D56"/>
    <w:rsid w:val="2E222864"/>
    <w:rsid w:val="2E9C43C4"/>
    <w:rsid w:val="2EC658E5"/>
    <w:rsid w:val="2F745341"/>
    <w:rsid w:val="30F85B8B"/>
    <w:rsid w:val="31287F60"/>
    <w:rsid w:val="321E5659"/>
    <w:rsid w:val="322F72FD"/>
    <w:rsid w:val="33303667"/>
    <w:rsid w:val="365E7F82"/>
    <w:rsid w:val="36C546D4"/>
    <w:rsid w:val="36E7641F"/>
    <w:rsid w:val="37B207B5"/>
    <w:rsid w:val="3825367C"/>
    <w:rsid w:val="3BBA2AA9"/>
    <w:rsid w:val="3E287A22"/>
    <w:rsid w:val="3F485DF7"/>
    <w:rsid w:val="3F80563C"/>
    <w:rsid w:val="3FE0432D"/>
    <w:rsid w:val="48194880"/>
    <w:rsid w:val="48B2721C"/>
    <w:rsid w:val="49675177"/>
    <w:rsid w:val="4B8B74BE"/>
    <w:rsid w:val="4BFB49C8"/>
    <w:rsid w:val="4C404ABC"/>
    <w:rsid w:val="4C4579F1"/>
    <w:rsid w:val="4C9635CE"/>
    <w:rsid w:val="4DFC4A28"/>
    <w:rsid w:val="4F506DD9"/>
    <w:rsid w:val="4F980780"/>
    <w:rsid w:val="51A85ED4"/>
    <w:rsid w:val="52B0193D"/>
    <w:rsid w:val="53C25DCC"/>
    <w:rsid w:val="54F26714"/>
    <w:rsid w:val="55E03EDD"/>
    <w:rsid w:val="571526B6"/>
    <w:rsid w:val="587255D7"/>
    <w:rsid w:val="59710078"/>
    <w:rsid w:val="5C563555"/>
    <w:rsid w:val="5CF065DD"/>
    <w:rsid w:val="64EE729B"/>
    <w:rsid w:val="64FD4EB5"/>
    <w:rsid w:val="652F2B95"/>
    <w:rsid w:val="659770B8"/>
    <w:rsid w:val="66CF579B"/>
    <w:rsid w:val="67F72090"/>
    <w:rsid w:val="68BC6E36"/>
    <w:rsid w:val="693D7F76"/>
    <w:rsid w:val="6C7216FC"/>
    <w:rsid w:val="6D062D75"/>
    <w:rsid w:val="6EA713C0"/>
    <w:rsid w:val="6F8E3370"/>
    <w:rsid w:val="6FCF1767"/>
    <w:rsid w:val="72442376"/>
    <w:rsid w:val="72BB0EC2"/>
    <w:rsid w:val="73463ECB"/>
    <w:rsid w:val="73593BFF"/>
    <w:rsid w:val="75D91027"/>
    <w:rsid w:val="760836BA"/>
    <w:rsid w:val="76EB35AF"/>
    <w:rsid w:val="78AD22F7"/>
    <w:rsid w:val="790460D8"/>
    <w:rsid w:val="79AD59A6"/>
    <w:rsid w:val="7E3314F0"/>
    <w:rsid w:val="7E590F57"/>
    <w:rsid w:val="7F25708B"/>
    <w:rsid w:val="7F8C0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next w:val="2"/>
    <w:qFormat/>
    <w:uiPriority w:val="0"/>
    <w:rPr>
      <w:rFonts w:ascii="宋体" w:hAnsi="Courier New"/>
      <w:kern w:val="0"/>
      <w:sz w:val="20"/>
      <w:szCs w:val="21"/>
    </w:rPr>
  </w:style>
  <w:style w:type="paragraph" w:styleId="4">
    <w:name w:val="footer"/>
    <w:basedOn w:val="1"/>
    <w:next w:val="1"/>
    <w:unhideWhenUsed/>
    <w:qFormat/>
    <w:uiPriority w:val="99"/>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qFormat/>
    <w:uiPriority w:val="0"/>
    <w:rPr>
      <w:b/>
    </w:rPr>
  </w:style>
  <w:style w:type="character" w:styleId="10">
    <w:name w:val="Hyperlink"/>
    <w:qFormat/>
    <w:uiPriority w:val="0"/>
    <w:rPr>
      <w:color w:val="0000FF"/>
      <w:u w:val="single"/>
    </w:rPr>
  </w:style>
  <w:style w:type="character" w:customStyle="1" w:styleId="11">
    <w:name w:val="font31"/>
    <w:basedOn w:val="8"/>
    <w:qFormat/>
    <w:uiPriority w:val="0"/>
    <w:rPr>
      <w:rFonts w:hint="eastAsia" w:ascii="宋体" w:hAnsi="宋体" w:eastAsia="宋体" w:cs="宋体"/>
      <w:color w:val="000000"/>
      <w:sz w:val="21"/>
      <w:szCs w:val="21"/>
      <w:u w:val="none"/>
    </w:rPr>
  </w:style>
  <w:style w:type="character" w:customStyle="1" w:styleId="12">
    <w:name w:val="font51"/>
    <w:basedOn w:val="8"/>
    <w:qFormat/>
    <w:uiPriority w:val="0"/>
    <w:rPr>
      <w:rFonts w:hint="eastAsia" w:ascii="宋体" w:hAnsi="宋体" w:eastAsia="宋体" w:cs="宋体"/>
      <w:b/>
      <w:bCs/>
      <w:color w:val="FF0000"/>
      <w:sz w:val="21"/>
      <w:szCs w:val="21"/>
      <w:u w:val="none"/>
    </w:rPr>
  </w:style>
  <w:style w:type="character" w:customStyle="1" w:styleId="13">
    <w:name w:val="font01"/>
    <w:basedOn w:val="8"/>
    <w:qFormat/>
    <w:uiPriority w:val="0"/>
    <w:rPr>
      <w:rFonts w:hint="eastAsia" w:ascii="宋体" w:hAnsi="宋体" w:eastAsia="宋体" w:cs="宋体"/>
      <w:color w:val="000000"/>
      <w:sz w:val="22"/>
      <w:szCs w:val="22"/>
      <w:u w:val="none"/>
    </w:rPr>
  </w:style>
  <w:style w:type="character" w:customStyle="1" w:styleId="14">
    <w:name w:val="font61"/>
    <w:basedOn w:val="8"/>
    <w:qFormat/>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12311</Words>
  <Characters>13410</Characters>
  <Lines>0</Lines>
  <Paragraphs>0</Paragraphs>
  <TotalTime>44</TotalTime>
  <ScaleCrop>false</ScaleCrop>
  <LinksUpToDate>false</LinksUpToDate>
  <CharactersWithSpaces>13742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2025-05-06T09:03:00Z</dcterms:created>
  <dc:creator>黄冲</dc:creator>
  <cp:lastModifiedBy>朱桂英</cp:lastModifiedBy>
  <cp:lastPrinted>2025-05-16T07:28:00Z</cp:lastPrinted>
  <dcterms:modified xsi:type="dcterms:W3CDTF">2025-09-18T01:11:00Z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6F1A053F9FD94E29BAF0A08DD75E22CF_13</vt:lpwstr>
  </property>
  <property fmtid="{D5CDD505-2E9C-101B-9397-08002B2CF9AE}" pid="4" name="KSOTemplateDocerSaveRecord">
    <vt:lpwstr>eyJoZGlkIjoiYzc2ZWM2YjcxOWRlMWVhODE0YzM2ZDBhMDYzNTNhYmUiLCJ1c2VySWQiOiI0NDcyODgwOTUifQ==</vt:lpwstr>
  </property>
</Properties>
</file>