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9C98">
      <w:pPr>
        <w:pStyle w:val="6"/>
        <w:widowControl/>
        <w:shd w:val="clear" w:color="auto" w:fill="FFFFFF"/>
        <w:spacing w:before="0" w:beforeAutospacing="0" w:after="0" w:afterAutospacing="0"/>
        <w:jc w:val="center"/>
        <w:rPr>
          <w:rFonts w:hint="eastAsia" w:ascii="宋体" w:hAnsi="宋体" w:cs="宋体" w:eastAsiaTheme="minorEastAsia"/>
          <w:color w:val="auto"/>
          <w:sz w:val="28"/>
          <w:szCs w:val="28"/>
          <w:shd w:val="clear" w:color="auto" w:fill="FFFFFF"/>
          <w:lang w:val="en-US" w:eastAsia="zh-CN"/>
        </w:rPr>
      </w:pPr>
      <w:r>
        <w:rPr>
          <w:rFonts w:hint="eastAsia" w:ascii="宋体" w:hAnsi="宋体" w:cs="宋体"/>
          <w:b/>
          <w:bCs/>
          <w:color w:val="auto"/>
          <w:sz w:val="36"/>
          <w:szCs w:val="36"/>
          <w:shd w:val="clear" w:color="auto" w:fill="FFFFFF"/>
        </w:rPr>
        <w:t>广西艺术学院标准化考场老旧设备更换和增补设备采购</w:t>
      </w:r>
      <w:r>
        <w:rPr>
          <w:rFonts w:hint="eastAsia" w:ascii="宋体" w:hAnsi="宋体" w:cs="宋体"/>
          <w:b/>
          <w:bCs/>
          <w:color w:val="auto"/>
          <w:sz w:val="36"/>
          <w:szCs w:val="36"/>
          <w:shd w:val="clear" w:color="auto" w:fill="FFFFFF"/>
          <w:lang w:val="en-US" w:eastAsia="zh-CN"/>
        </w:rPr>
        <w:t>文件</w:t>
      </w:r>
    </w:p>
    <w:p w14:paraId="43A225C2">
      <w:pPr>
        <w:pStyle w:val="6"/>
        <w:widowControl/>
        <w:shd w:val="clear" w:color="auto" w:fill="FFFFFF"/>
        <w:spacing w:before="0" w:beforeAutospacing="0" w:after="0" w:afterAutospacing="0"/>
        <w:ind w:firstLine="560" w:firstLineChars="200"/>
        <w:rPr>
          <w:color w:val="auto"/>
          <w:sz w:val="28"/>
          <w:szCs w:val="28"/>
        </w:rPr>
      </w:pPr>
      <w:r>
        <w:rPr>
          <w:rFonts w:hint="eastAsia" w:ascii="宋体" w:hAnsi="宋体" w:cs="宋体"/>
          <w:color w:val="auto"/>
          <w:sz w:val="28"/>
          <w:szCs w:val="28"/>
          <w:shd w:val="clear" w:color="auto" w:fill="FFFFFF"/>
        </w:rPr>
        <w:t>根据有关规定，我校开展广西艺术学院标准化考场老旧设备更换和增补设备，现将本次采购有关事项公告如下：</w:t>
      </w:r>
    </w:p>
    <w:p w14:paraId="7E1E2AC1">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项目名称</w:t>
      </w:r>
      <w:r>
        <w:rPr>
          <w:rStyle w:val="9"/>
          <w:rFonts w:hint="eastAsia" w:ascii="宋体" w:hAnsi="宋体" w:cs="宋体"/>
          <w:b w:val="0"/>
          <w:bCs/>
          <w:color w:val="auto"/>
          <w:sz w:val="28"/>
          <w:szCs w:val="28"/>
          <w:shd w:val="clear" w:color="auto" w:fill="FFFFFF"/>
        </w:rPr>
        <w:t>：</w:t>
      </w:r>
      <w:r>
        <w:rPr>
          <w:rFonts w:hint="eastAsia" w:ascii="宋体" w:hAnsi="宋体" w:cs="宋体"/>
          <w:color w:val="auto"/>
          <w:sz w:val="28"/>
          <w:szCs w:val="28"/>
          <w:shd w:val="clear" w:color="auto" w:fill="FFFFFF"/>
        </w:rPr>
        <w:t>广西艺术学院标准化考场老旧设备更换和增补设备项目</w:t>
      </w:r>
    </w:p>
    <w:p w14:paraId="37C4003E">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采购需求内容</w:t>
      </w:r>
      <w:r>
        <w:rPr>
          <w:rStyle w:val="9"/>
          <w:rFonts w:hint="eastAsia" w:ascii="宋体" w:hAnsi="宋体" w:cs="宋体"/>
          <w:color w:val="auto"/>
          <w:sz w:val="28"/>
          <w:szCs w:val="28"/>
          <w:shd w:val="clear" w:color="auto" w:fill="FFFFFF"/>
          <w:lang w:val="en-US" w:eastAsia="zh-CN"/>
        </w:rPr>
        <w:t xml:space="preserve">         </w:t>
      </w:r>
    </w:p>
    <w:p w14:paraId="2094EB3B">
      <w:pPr>
        <w:pStyle w:val="6"/>
        <w:widowControl/>
        <w:shd w:val="clear" w:color="auto" w:fill="FFFFFF"/>
        <w:spacing w:before="0" w:beforeAutospacing="0" w:after="0" w:afterAutospacing="0"/>
        <w:ind w:left="480"/>
        <w:rPr>
          <w:rStyle w:val="9"/>
          <w:rFonts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总采购预算为：</w:t>
      </w:r>
      <w:r>
        <w:rPr>
          <w:rStyle w:val="9"/>
          <w:rFonts w:hint="eastAsia" w:ascii="宋体" w:hAnsi="宋体" w:cs="宋体"/>
          <w:color w:val="auto"/>
          <w:sz w:val="28"/>
          <w:szCs w:val="28"/>
          <w:shd w:val="clear" w:color="auto" w:fill="FFFFFF"/>
          <w:lang w:val="en-US" w:eastAsia="zh-CN"/>
        </w:rPr>
        <w:t>55.93013</w:t>
      </w:r>
      <w:r>
        <w:rPr>
          <w:rStyle w:val="9"/>
          <w:rFonts w:hint="eastAsia" w:ascii="宋体" w:hAnsi="宋体" w:cs="宋体"/>
          <w:color w:val="auto"/>
          <w:sz w:val="28"/>
          <w:szCs w:val="28"/>
          <w:shd w:val="clear" w:color="auto" w:fill="FFFFFF"/>
        </w:rPr>
        <w:t>万元。</w:t>
      </w:r>
    </w:p>
    <w:p w14:paraId="305FB659">
      <w:pPr>
        <w:pStyle w:val="6"/>
        <w:widowControl/>
        <w:numPr>
          <w:ilvl w:val="0"/>
          <w:numId w:val="0"/>
        </w:numPr>
        <w:shd w:val="clear" w:color="auto" w:fill="FFFFFF"/>
        <w:spacing w:before="0" w:beforeAutospacing="0" w:after="0" w:afterAutospacing="0"/>
        <w:ind w:firstLine="0"/>
        <w:rPr>
          <w:rStyle w:val="9"/>
          <w:rFonts w:hint="default" w:ascii="宋体" w:hAnsi="宋体" w:cs="宋体" w:eastAsiaTheme="minorEastAsia"/>
          <w:b w:val="0"/>
          <w:bCs/>
          <w:color w:val="auto"/>
          <w:sz w:val="28"/>
          <w:szCs w:val="28"/>
          <w:shd w:val="clear" w:color="auto" w:fill="FFFFFF"/>
          <w:lang w:val="en-US" w:eastAsia="zh-CN"/>
        </w:rPr>
      </w:pPr>
      <w:r>
        <w:rPr>
          <w:rStyle w:val="9"/>
          <w:rFonts w:hint="eastAsia" w:ascii="宋体" w:hAnsi="宋体" w:cs="宋体"/>
          <w:b w:val="0"/>
          <w:bCs/>
          <w:color w:val="auto"/>
          <w:sz w:val="28"/>
          <w:szCs w:val="28"/>
          <w:shd w:val="clear" w:color="auto" w:fill="FFFFFF"/>
          <w:lang w:val="en-US" w:eastAsia="zh-CN"/>
        </w:rPr>
        <w:t>具体需求</w:t>
      </w:r>
      <w:r>
        <w:rPr>
          <w:rStyle w:val="9"/>
          <w:rFonts w:hint="eastAsia" w:ascii="宋体" w:hAnsi="宋体" w:cs="宋体"/>
          <w:b w:val="0"/>
          <w:bCs/>
          <w:color w:val="auto"/>
          <w:sz w:val="28"/>
          <w:szCs w:val="28"/>
          <w:shd w:val="clear" w:color="auto" w:fill="FFFFFF"/>
        </w:rPr>
        <w:t>详见附件。</w:t>
      </w:r>
      <w:r>
        <w:rPr>
          <w:rStyle w:val="9"/>
          <w:rFonts w:hint="eastAsia" w:ascii="宋体" w:hAnsi="宋体" w:cs="宋体"/>
          <w:b w:val="0"/>
          <w:bCs/>
          <w:color w:val="auto"/>
          <w:sz w:val="28"/>
          <w:szCs w:val="28"/>
          <w:shd w:val="clear" w:color="auto" w:fill="FFFFFF"/>
          <w:lang w:val="en-US" w:eastAsia="zh-CN"/>
        </w:rPr>
        <w:t>本项目不允许负偏离。</w:t>
      </w:r>
      <w:r>
        <w:rPr>
          <w:rFonts w:hint="eastAsia" w:ascii="宋体" w:hAnsi="宋体" w:cs="宋体"/>
          <w:color w:val="auto"/>
          <w:sz w:val="28"/>
          <w:szCs w:val="28"/>
          <w:shd w:val="clear" w:color="auto" w:fill="FFFFFF"/>
        </w:rPr>
        <w:t>“实质性要求”是指</w:t>
      </w:r>
      <w:r>
        <w:rPr>
          <w:rFonts w:hint="eastAsia" w:ascii="宋体" w:hAnsi="宋体" w:cs="宋体"/>
          <w:color w:val="auto"/>
          <w:sz w:val="28"/>
          <w:szCs w:val="28"/>
          <w:shd w:val="clear" w:color="auto" w:fill="FFFFFF"/>
          <w:lang w:val="en-US" w:eastAsia="zh-CN"/>
        </w:rPr>
        <w:t>采购</w:t>
      </w:r>
      <w:r>
        <w:rPr>
          <w:rFonts w:hint="eastAsia" w:ascii="宋体" w:hAnsi="宋体" w:cs="宋体"/>
          <w:color w:val="auto"/>
          <w:sz w:val="28"/>
          <w:szCs w:val="28"/>
          <w:shd w:val="clear" w:color="auto" w:fill="FFFFFF"/>
        </w:rPr>
        <w:t>文件中已经指明不满足则投标无效的条款，或者不能负偏离的条款，或者采购需求中带“▲”的条款。</w:t>
      </w:r>
      <w:r>
        <w:rPr>
          <w:rFonts w:hint="eastAsia" w:ascii="宋体" w:hAnsi="宋体" w:cs="宋体"/>
          <w:color w:val="auto"/>
          <w:sz w:val="28"/>
          <w:szCs w:val="28"/>
          <w:shd w:val="clear" w:color="auto" w:fill="FFFFFF"/>
          <w:lang w:val="en-US" w:eastAsia="zh-CN"/>
        </w:rPr>
        <w:t>合同签订后30个工作日内完成全部货物安装及调试。所有设备保修售后服务期不少于3年。</w:t>
      </w:r>
    </w:p>
    <w:p w14:paraId="6EC465DA">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投标人资格要求</w:t>
      </w:r>
    </w:p>
    <w:p w14:paraId="37A8F5D2">
      <w:pPr>
        <w:pStyle w:val="6"/>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（一）必须是在中华人民共和国境内注册，具有独立法人，并持有工商行政管理部门核发的法人营业执照。</w:t>
      </w:r>
    </w:p>
    <w:p w14:paraId="1AF4A2E9">
      <w:pPr>
        <w:pStyle w:val="6"/>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B47B2AC">
      <w:pPr>
        <w:pStyle w:val="6"/>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信用中国”网站查询方法：投标人在本项目投标截止时间前10日内,进入投标人基本信息页面，点击“下载信用报告”后点击“下载”。“中国政府采购网”的查询方法：点击“政府采购严重违法失信行为记录名单”进行查询</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提供相关截图证明材料</w:t>
      </w:r>
      <w:r>
        <w:rPr>
          <w:rFonts w:hint="eastAsia" w:ascii="宋体" w:hAnsi="宋体" w:cs="宋体"/>
          <w:color w:val="auto"/>
          <w:sz w:val="28"/>
          <w:szCs w:val="28"/>
          <w:shd w:val="clear" w:color="auto" w:fill="FFFFFF"/>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（三）单位负责人为同一人或者存在直接控股、管理关系的不同供应商，不得参加同一合同项下的采购活动。本项目不接受联合体。</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lang w:val="en-US" w:eastAsia="zh-CN"/>
        </w:rPr>
        <w:t>投标时</w:t>
      </w:r>
      <w:r>
        <w:rPr>
          <w:rFonts w:hint="eastAsia" w:ascii="宋体" w:hAnsi="宋体" w:eastAsia="宋体" w:cs="宋体"/>
          <w:i w:val="0"/>
          <w:iCs w:val="0"/>
          <w:caps w:val="0"/>
          <w:color w:val="auto"/>
          <w:spacing w:val="0"/>
          <w:sz w:val="28"/>
          <w:szCs w:val="28"/>
        </w:rPr>
        <w:t>提供附件</w:t>
      </w:r>
      <w:r>
        <w:rPr>
          <w:rFonts w:hint="eastAsia" w:ascii="宋体" w:hAnsi="宋体" w:eastAsia="宋体" w:cs="宋体"/>
          <w:i w:val="0"/>
          <w:iCs w:val="0"/>
          <w:caps w:val="0"/>
          <w:color w:val="auto"/>
          <w:spacing w:val="0"/>
          <w:sz w:val="28"/>
          <w:szCs w:val="28"/>
          <w:lang w:val="en-US" w:eastAsia="zh-CN"/>
        </w:rPr>
        <w:t>3</w:t>
      </w:r>
      <w:r>
        <w:rPr>
          <w:rFonts w:hint="eastAsia" w:ascii="宋体" w:hAnsi="宋体" w:eastAsia="宋体" w:cs="宋体"/>
          <w:i w:val="0"/>
          <w:iCs w:val="0"/>
          <w:caps w:val="0"/>
          <w:color w:val="auto"/>
          <w:spacing w:val="0"/>
          <w:sz w:val="28"/>
          <w:szCs w:val="28"/>
        </w:rPr>
        <w:t>）</w:t>
      </w:r>
    </w:p>
    <w:p w14:paraId="1E8FB26D">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投标要求</w:t>
      </w:r>
    </w:p>
    <w:p w14:paraId="12368E98">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（一）提供法人授权委托书（格式自拟）、有效的营业执照复印件（加盖单位公章）、被授权人身份证（复印件）及</w:t>
      </w:r>
      <w:r>
        <w:rPr>
          <w:rFonts w:hint="eastAsia" w:ascii="宋体" w:hAnsi="宋体" w:cs="宋体"/>
          <w:color w:val="auto"/>
          <w:sz w:val="28"/>
          <w:szCs w:val="28"/>
          <w:shd w:val="clear" w:color="auto" w:fill="FFFFFF"/>
          <w:lang w:val="en-US" w:eastAsia="zh-CN"/>
        </w:rPr>
        <w:t>按第三大点资格要求列明的证明材料</w:t>
      </w:r>
      <w:r>
        <w:rPr>
          <w:rFonts w:hint="eastAsia" w:ascii="宋体" w:hAnsi="宋体" w:cs="宋体"/>
          <w:color w:val="auto"/>
          <w:sz w:val="28"/>
          <w:szCs w:val="28"/>
          <w:shd w:val="clear" w:color="auto" w:fill="FFFFFF"/>
        </w:rPr>
        <w:t>。</w:t>
      </w:r>
    </w:p>
    <w:p w14:paraId="1D43EE70">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（二）报价函（格式自拟，写清楚所投产品品牌、型号、技术参数等，报价必须包含但不限于运输、调试、安装、税金等本项目所有费用）、技术</w:t>
      </w:r>
      <w:r>
        <w:rPr>
          <w:rFonts w:hint="eastAsia" w:ascii="宋体" w:hAnsi="宋体" w:cs="宋体"/>
          <w:color w:val="auto"/>
          <w:sz w:val="28"/>
          <w:szCs w:val="28"/>
          <w:shd w:val="clear" w:color="auto" w:fill="FFFFFF"/>
          <w:lang w:val="en-US" w:eastAsia="zh-CN"/>
        </w:rPr>
        <w:t>与商务</w:t>
      </w:r>
      <w:r>
        <w:rPr>
          <w:rFonts w:hint="eastAsia" w:ascii="宋体" w:hAnsi="宋体" w:cs="宋体"/>
          <w:color w:val="auto"/>
          <w:sz w:val="28"/>
          <w:szCs w:val="28"/>
          <w:shd w:val="clear" w:color="auto" w:fill="FFFFFF"/>
        </w:rPr>
        <w:t>参数偏离表（格式自拟，必须与采购需求表里的技术参数逐项比对）。</w:t>
      </w:r>
    </w:p>
    <w:p w14:paraId="168DDA12">
      <w:pPr>
        <w:pStyle w:val="6"/>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（三）关于本项目的服务承诺（格式自拟，包含但不限于售后、培训、免费质保期</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过保后的费用收取方式及标准</w:t>
      </w:r>
      <w:r>
        <w:rPr>
          <w:rFonts w:hint="eastAsia" w:ascii="宋体" w:hAnsi="宋体" w:cs="宋体"/>
          <w:color w:val="auto"/>
          <w:sz w:val="28"/>
          <w:szCs w:val="28"/>
          <w:shd w:val="clear" w:color="auto" w:fill="FFFFFF"/>
        </w:rPr>
        <w:t>等）。</w:t>
      </w:r>
    </w:p>
    <w:p w14:paraId="19D0DE99">
      <w:pPr>
        <w:pStyle w:val="6"/>
        <w:widowControl/>
        <w:shd w:val="clear" w:color="auto" w:fill="FFFFFF"/>
        <w:spacing w:before="0" w:beforeAutospacing="0" w:after="0" w:afterAutospacing="0"/>
        <w:ind w:firstLine="48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（四）采购需求里要求提供的其他证明材料。</w:t>
      </w:r>
    </w:p>
    <w:p w14:paraId="08AE8EC2">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注：所有投标材料必须一正</w:t>
      </w:r>
      <w:r>
        <w:rPr>
          <w:rStyle w:val="9"/>
          <w:rFonts w:hint="eastAsia" w:ascii="宋体" w:hAnsi="宋体" w:cs="宋体"/>
          <w:color w:val="auto"/>
          <w:sz w:val="28"/>
          <w:szCs w:val="28"/>
          <w:shd w:val="clear" w:color="auto" w:fill="FFFFFF"/>
          <w:lang w:val="en-US" w:eastAsia="zh-CN"/>
        </w:rPr>
        <w:t>一</w:t>
      </w:r>
      <w:r>
        <w:rPr>
          <w:rStyle w:val="9"/>
          <w:rFonts w:hint="eastAsia" w:ascii="宋体" w:hAnsi="宋体" w:cs="宋体"/>
          <w:color w:val="auto"/>
          <w:sz w:val="28"/>
          <w:szCs w:val="28"/>
          <w:shd w:val="clear" w:color="auto" w:fill="FFFFFF"/>
        </w:rPr>
        <w:t>副，且须加盖公章后密封提供。</w:t>
      </w:r>
    </w:p>
    <w:p w14:paraId="3891AAFE">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五、中标方式</w:t>
      </w:r>
      <w:r>
        <w:rPr>
          <w:rFonts w:hint="eastAsia"/>
          <w:color w:val="auto"/>
          <w:sz w:val="28"/>
          <w:szCs w:val="28"/>
        </w:rPr>
        <w:t>：</w:t>
      </w:r>
      <w:r>
        <w:rPr>
          <w:rFonts w:hint="eastAsia" w:ascii="宋体" w:hAnsi="宋体" w:cs="宋体"/>
          <w:color w:val="auto"/>
          <w:sz w:val="28"/>
          <w:szCs w:val="28"/>
          <w:shd w:val="clear" w:color="auto" w:fill="FFFFFF"/>
        </w:rPr>
        <w:t>根据投标人的投标材料，在满足采购需求的基础上，采取低价中标方式选定该项目中标单位，若价格相同，则采取抽签方式确定中标单位。</w:t>
      </w:r>
    </w:p>
    <w:p w14:paraId="05CA4CEC">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六、投标截止时间和地点</w:t>
      </w:r>
    </w:p>
    <w:p w14:paraId="2CEBDC80">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投标时间：凡愿意且符合条件投标人，请于202</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年</w:t>
      </w:r>
      <w:r>
        <w:rPr>
          <w:rFonts w:hint="eastAsia" w:ascii="宋体" w:hAnsi="宋体" w:cs="宋体"/>
          <w:color w:val="auto"/>
          <w:sz w:val="28"/>
          <w:szCs w:val="28"/>
          <w:shd w:val="clear" w:color="auto" w:fill="FFFFFF"/>
          <w:lang w:val="en-US" w:eastAsia="zh-CN"/>
        </w:rPr>
        <w:t>9</w:t>
      </w:r>
      <w:r>
        <w:rPr>
          <w:rFonts w:hint="eastAsia" w:ascii="宋体" w:hAnsi="宋体" w:cs="宋体"/>
          <w:color w:val="auto"/>
          <w:sz w:val="28"/>
          <w:szCs w:val="28"/>
          <w:highlight w:val="none"/>
          <w:shd w:val="clear" w:color="auto" w:fill="FFFFFF"/>
        </w:rPr>
        <w:t>月</w:t>
      </w:r>
      <w:r>
        <w:rPr>
          <w:rFonts w:hint="eastAsia" w:ascii="宋体" w:hAnsi="宋体" w:cs="宋体"/>
          <w:color w:val="auto"/>
          <w:sz w:val="28"/>
          <w:szCs w:val="28"/>
          <w:highlight w:val="none"/>
          <w:shd w:val="clear" w:color="auto" w:fill="FFFFFF"/>
          <w:lang w:val="en-US" w:eastAsia="zh-CN"/>
        </w:rPr>
        <w:t>22</w:t>
      </w:r>
      <w:bookmarkStart w:id="3" w:name="_GoBack"/>
      <w:bookmarkEnd w:id="3"/>
      <w:r>
        <w:rPr>
          <w:rFonts w:hint="eastAsia" w:ascii="宋体" w:hAnsi="宋体" w:cs="宋体"/>
          <w:color w:val="auto"/>
          <w:sz w:val="28"/>
          <w:szCs w:val="28"/>
          <w:highlight w:val="none"/>
          <w:shd w:val="clear" w:color="auto" w:fill="FFFFFF"/>
        </w:rPr>
        <w:t>日</w:t>
      </w:r>
      <w:r>
        <w:rPr>
          <w:rFonts w:hint="eastAsia" w:ascii="宋体" w:hAnsi="宋体" w:cs="宋体"/>
          <w:color w:val="auto"/>
          <w:sz w:val="28"/>
          <w:szCs w:val="28"/>
          <w:shd w:val="clear" w:color="auto" w:fill="FFFFFF"/>
          <w:lang w:val="en-US" w:eastAsia="zh-CN"/>
        </w:rPr>
        <w:t>上午9</w:t>
      </w:r>
      <w:r>
        <w:rPr>
          <w:rFonts w:hint="eastAsia" w:ascii="宋体" w:hAnsi="宋体" w:cs="宋体"/>
          <w:color w:val="auto"/>
          <w:sz w:val="28"/>
          <w:szCs w:val="28"/>
          <w:shd w:val="clear" w:color="auto" w:fill="FFFFFF"/>
        </w:rPr>
        <w:t>点至1</w:t>
      </w:r>
      <w:r>
        <w:rPr>
          <w:rFonts w:hint="eastAsia" w:ascii="宋体" w:hAnsi="宋体" w:cs="宋体"/>
          <w:color w:val="auto"/>
          <w:sz w:val="28"/>
          <w:szCs w:val="28"/>
          <w:shd w:val="clear" w:color="auto" w:fill="FFFFFF"/>
          <w:lang w:val="en-US" w:eastAsia="zh-CN"/>
        </w:rPr>
        <w:t>1</w:t>
      </w:r>
      <w:r>
        <w:rPr>
          <w:rFonts w:hint="eastAsia" w:ascii="宋体" w:hAnsi="宋体" w:cs="宋体"/>
          <w:color w:val="auto"/>
          <w:sz w:val="28"/>
          <w:szCs w:val="28"/>
          <w:shd w:val="clear" w:color="auto" w:fill="FFFFFF"/>
        </w:rPr>
        <w:t>点之间，将投标文件送达广西艺术学院财务资产处，其他时间不接收报名材料。投标地点：南宁市</w:t>
      </w:r>
      <w:r>
        <w:rPr>
          <w:rFonts w:hint="eastAsia" w:ascii="宋体" w:hAnsi="宋体" w:cs="宋体"/>
          <w:color w:val="auto"/>
          <w:sz w:val="28"/>
          <w:szCs w:val="28"/>
          <w:shd w:val="clear" w:color="auto" w:fill="FFFFFF"/>
          <w:lang w:val="en-US" w:eastAsia="zh-CN"/>
        </w:rPr>
        <w:t>青秀区</w:t>
      </w:r>
      <w:r>
        <w:rPr>
          <w:rFonts w:hint="eastAsia" w:ascii="宋体" w:hAnsi="宋体" w:cs="宋体"/>
          <w:color w:val="auto"/>
          <w:sz w:val="28"/>
          <w:szCs w:val="28"/>
          <w:shd w:val="clear" w:color="auto" w:fill="FFFFFF"/>
        </w:rPr>
        <w:t>教育路7号广西艺术学院雕塑办公楼107室财务资产处采购管理科。联系人：李老师</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朱老师，高老师</w:t>
      </w:r>
      <w:r>
        <w:rPr>
          <w:rFonts w:hint="eastAsia" w:ascii="宋体" w:hAnsi="宋体" w:cs="宋体"/>
          <w:color w:val="auto"/>
          <w:sz w:val="28"/>
          <w:szCs w:val="28"/>
          <w:shd w:val="clear" w:color="auto" w:fill="FFFFFF"/>
        </w:rPr>
        <w:t>，联系电话：07715327987.</w:t>
      </w:r>
    </w:p>
    <w:p w14:paraId="1D35ADC4">
      <w:pPr>
        <w:pStyle w:val="6"/>
        <w:widowControl/>
        <w:numPr>
          <w:ilvl w:val="0"/>
          <w:numId w:val="2"/>
        </w:numPr>
        <w:shd w:val="clear" w:color="auto" w:fill="FFFFFF"/>
        <w:spacing w:before="0" w:beforeAutospacing="0" w:after="0" w:afterAutospacing="0"/>
        <w:ind w:firstLine="480"/>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1B0728A5">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23AEB379">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4230F6EB">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71E733D4">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1ECCF62E">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5E2567B6">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7FF0477A">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2B7F4D91">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01E5FF73">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31010EEC">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47841D07">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54FEBBB7">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22606340">
      <w:pPr>
        <w:jc w:val="center"/>
        <w:rPr>
          <w:rFonts w:hint="eastAsia"/>
          <w:b/>
          <w:bCs/>
          <w:sz w:val="32"/>
          <w:szCs w:val="32"/>
        </w:rPr>
      </w:pPr>
    </w:p>
    <w:p w14:paraId="0C405E18">
      <w:pPr>
        <w:jc w:val="center"/>
        <w:rPr>
          <w:rFonts w:hint="eastAsia"/>
          <w:b/>
          <w:bCs/>
          <w:sz w:val="32"/>
          <w:szCs w:val="32"/>
        </w:rPr>
      </w:pPr>
    </w:p>
    <w:p w14:paraId="2151AB69">
      <w:pPr>
        <w:jc w:val="center"/>
        <w:rPr>
          <w:rFonts w:hint="eastAsia"/>
          <w:b/>
          <w:bCs/>
          <w:sz w:val="32"/>
          <w:szCs w:val="32"/>
        </w:rPr>
      </w:pPr>
    </w:p>
    <w:p w14:paraId="272DB90D">
      <w:pPr>
        <w:jc w:val="center"/>
        <w:rPr>
          <w:rFonts w:hint="eastAsia" w:ascii="宋体" w:hAnsi="宋体" w:cs="宋体"/>
          <w:b/>
          <w:bCs/>
          <w:sz w:val="72"/>
          <w:szCs w:val="72"/>
        </w:rPr>
      </w:pPr>
      <w:r>
        <w:rPr>
          <w:rFonts w:hint="eastAsia" w:ascii="宋体" w:hAnsi="宋体" w:cs="宋体"/>
          <w:b/>
          <w:bCs/>
          <w:sz w:val="72"/>
          <w:szCs w:val="72"/>
          <w:lang w:val="en-US" w:eastAsia="zh-CN"/>
        </w:rPr>
        <w:t>附件1：</w:t>
      </w:r>
      <w:r>
        <w:rPr>
          <w:rFonts w:hint="eastAsia" w:ascii="宋体" w:hAnsi="宋体" w:cs="宋体"/>
          <w:b/>
          <w:bCs/>
          <w:sz w:val="72"/>
          <w:szCs w:val="72"/>
        </w:rPr>
        <w:t>采购合同</w:t>
      </w:r>
    </w:p>
    <w:p w14:paraId="5ADD2110">
      <w:pPr>
        <w:spacing w:line="480" w:lineRule="auto"/>
        <w:rPr>
          <w:rFonts w:hint="eastAsia" w:ascii="宋体" w:hAnsi="宋体" w:cs="宋体"/>
          <w:sz w:val="24"/>
        </w:rPr>
      </w:pPr>
    </w:p>
    <w:p w14:paraId="55E1D79D">
      <w:pPr>
        <w:spacing w:line="480" w:lineRule="auto"/>
        <w:rPr>
          <w:rFonts w:hint="eastAsia" w:ascii="宋体" w:hAnsi="宋体" w:cs="宋体"/>
          <w:sz w:val="24"/>
        </w:rPr>
      </w:pPr>
    </w:p>
    <w:p w14:paraId="15A19F15">
      <w:pPr>
        <w:spacing w:line="480" w:lineRule="auto"/>
        <w:rPr>
          <w:rFonts w:hint="eastAsia" w:ascii="宋体" w:hAnsi="宋体" w:cs="宋体"/>
          <w:sz w:val="24"/>
        </w:rPr>
      </w:pPr>
    </w:p>
    <w:p w14:paraId="3AA8E7C7">
      <w:pPr>
        <w:spacing w:line="720" w:lineRule="auto"/>
        <w:rPr>
          <w:rFonts w:ascii="宋体" w:hAnsi="宋体" w:cs="宋体"/>
          <w:b/>
          <w:bCs/>
          <w:sz w:val="30"/>
          <w:szCs w:val="30"/>
        </w:rPr>
      </w:pPr>
      <w:r>
        <w:rPr>
          <w:rFonts w:hint="eastAsia" w:ascii="宋体" w:hAnsi="宋体" w:cs="宋体"/>
          <w:b/>
          <w:bCs/>
          <w:sz w:val="30"/>
          <w:szCs w:val="30"/>
        </w:rPr>
        <w:t>项目名称：</w:t>
      </w:r>
      <w:r>
        <w:rPr>
          <w:rFonts w:hint="eastAsia" w:ascii="宋体" w:hAnsi="宋体" w:cs="宋体"/>
          <w:b/>
          <w:bCs/>
          <w:sz w:val="30"/>
          <w:szCs w:val="30"/>
          <w:u w:val="single"/>
        </w:rPr>
        <w:t>广西艺术学院标准化考场老旧设备更换和增补设备项目</w:t>
      </w:r>
    </w:p>
    <w:p w14:paraId="3AC9462F">
      <w:pPr>
        <w:spacing w:line="720" w:lineRule="auto"/>
        <w:ind w:right="-313" w:rightChars="-149"/>
        <w:rPr>
          <w:rFonts w:hint="eastAsia" w:ascii="宋体" w:hAnsi="宋体" w:cs="宋体"/>
          <w:b/>
          <w:bCs/>
          <w:sz w:val="30"/>
          <w:szCs w:val="30"/>
        </w:rPr>
      </w:pPr>
      <w:r>
        <w:rPr>
          <w:rFonts w:hint="eastAsia" w:ascii="宋体" w:hAnsi="宋体" w:cs="宋体"/>
          <w:b/>
          <w:bCs/>
          <w:sz w:val="30"/>
          <w:szCs w:val="30"/>
        </w:rPr>
        <w:t>合同编号：</w:t>
      </w:r>
      <w:r>
        <w:rPr>
          <w:rFonts w:hint="eastAsia" w:ascii="宋体" w:hAnsi="宋体" w:cs="宋体"/>
          <w:b/>
          <w:bCs/>
          <w:sz w:val="30"/>
          <w:szCs w:val="30"/>
          <w:u w:val="single"/>
        </w:rPr>
        <w:t xml:space="preserve">                                   </w:t>
      </w:r>
    </w:p>
    <w:p w14:paraId="4AE95E09">
      <w:pPr>
        <w:spacing w:line="720" w:lineRule="auto"/>
        <w:rPr>
          <w:rFonts w:ascii="宋体" w:hAnsi="宋体" w:cs="宋体"/>
          <w:b/>
          <w:bCs/>
          <w:sz w:val="30"/>
          <w:szCs w:val="30"/>
        </w:rPr>
      </w:pPr>
      <w:r>
        <w:rPr>
          <w:rFonts w:hint="eastAsia" w:ascii="宋体" w:hAnsi="宋体" w:cs="宋体"/>
          <w:b/>
          <w:bCs/>
          <w:sz w:val="30"/>
          <w:szCs w:val="30"/>
        </w:rPr>
        <w:t>采购单位（甲方）：</w:t>
      </w:r>
      <w:r>
        <w:rPr>
          <w:rFonts w:hint="eastAsia" w:ascii="宋体" w:hAnsi="宋体" w:cs="宋体"/>
          <w:b/>
          <w:bCs/>
          <w:sz w:val="30"/>
          <w:szCs w:val="30"/>
          <w:u w:val="single"/>
        </w:rPr>
        <w:t xml:space="preserve">广西艺术学院 </w:t>
      </w:r>
    </w:p>
    <w:p w14:paraId="0CB7ACCB">
      <w:pPr>
        <w:spacing w:line="720" w:lineRule="auto"/>
        <w:rPr>
          <w:rFonts w:hint="default" w:ascii="宋体" w:hAnsi="宋体" w:eastAsia="宋体" w:cs="宋体"/>
          <w:b/>
          <w:bCs/>
          <w:sz w:val="28"/>
          <w:szCs w:val="28"/>
          <w:lang w:val="en-US" w:eastAsia="zh-CN"/>
        </w:rPr>
      </w:pPr>
      <w:r>
        <w:rPr>
          <w:rFonts w:hint="eastAsia" w:ascii="宋体" w:hAnsi="宋体" w:cs="宋体"/>
          <w:b/>
          <w:bCs/>
          <w:sz w:val="30"/>
          <w:szCs w:val="30"/>
        </w:rPr>
        <w:t>供 应 商（乙方）：</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p>
    <w:p w14:paraId="2D183C39">
      <w:pPr>
        <w:rPr>
          <w:rFonts w:hint="eastAsia" w:ascii="宋体" w:hAnsi="宋体" w:cs="宋体"/>
          <w:b/>
          <w:bCs/>
          <w:sz w:val="28"/>
          <w:szCs w:val="28"/>
        </w:rPr>
      </w:pPr>
    </w:p>
    <w:p w14:paraId="649E1C53">
      <w:pPr>
        <w:rPr>
          <w:rFonts w:hint="eastAsia" w:ascii="宋体" w:hAnsi="宋体" w:cs="宋体"/>
          <w:b/>
          <w:bCs/>
          <w:sz w:val="28"/>
          <w:szCs w:val="28"/>
        </w:rPr>
      </w:pPr>
    </w:p>
    <w:p w14:paraId="72AC449B">
      <w:pPr>
        <w:rPr>
          <w:rFonts w:hint="eastAsia" w:ascii="宋体" w:hAnsi="宋体" w:cs="宋体"/>
          <w:b/>
          <w:bCs/>
          <w:sz w:val="28"/>
          <w:szCs w:val="28"/>
        </w:rPr>
      </w:pPr>
    </w:p>
    <w:p w14:paraId="4E4B3C30">
      <w:pPr>
        <w:rPr>
          <w:rFonts w:hint="eastAsia" w:ascii="宋体" w:hAnsi="宋体" w:cs="宋体"/>
          <w:b/>
          <w:bCs/>
          <w:sz w:val="28"/>
          <w:szCs w:val="28"/>
        </w:rPr>
      </w:pPr>
    </w:p>
    <w:p w14:paraId="28DA9BC8">
      <w:pPr>
        <w:rPr>
          <w:rFonts w:hint="eastAsia" w:ascii="宋体" w:hAnsi="宋体" w:cs="宋体"/>
          <w:b/>
          <w:bCs/>
          <w:sz w:val="28"/>
          <w:szCs w:val="28"/>
        </w:rPr>
      </w:pPr>
    </w:p>
    <w:p w14:paraId="7087AE65">
      <w:pPr>
        <w:rPr>
          <w:rFonts w:hint="eastAsia" w:ascii="宋体" w:hAnsi="宋体" w:cs="宋体"/>
          <w:b/>
          <w:bCs/>
          <w:sz w:val="30"/>
          <w:szCs w:val="30"/>
        </w:rPr>
      </w:pPr>
      <w:r>
        <w:rPr>
          <w:rFonts w:hint="eastAsia" w:ascii="宋体" w:hAnsi="宋体" w:cs="宋体"/>
          <w:b/>
          <w:bCs/>
          <w:sz w:val="30"/>
          <w:szCs w:val="30"/>
        </w:rPr>
        <w:t>签订合同地点：    广西南宁市</w:t>
      </w:r>
    </w:p>
    <w:p w14:paraId="0D100BD4">
      <w:pPr>
        <w:rPr>
          <w:rFonts w:hint="eastAsia" w:ascii="宋体" w:hAnsi="宋体" w:cs="宋体"/>
          <w:b/>
          <w:bCs/>
          <w:sz w:val="30"/>
          <w:szCs w:val="30"/>
        </w:rPr>
      </w:pPr>
      <w:r>
        <w:rPr>
          <w:rFonts w:hint="eastAsia" w:ascii="宋体" w:hAnsi="宋体" w:cs="宋体"/>
          <w:b/>
          <w:bCs/>
          <w:sz w:val="30"/>
          <w:szCs w:val="30"/>
        </w:rPr>
        <w:t>签订合同时间：</w:t>
      </w:r>
      <w:r>
        <w:rPr>
          <w:rFonts w:hint="eastAsia" w:ascii="宋体" w:hAnsi="宋体" w:cs="宋体"/>
          <w:b/>
          <w:bCs/>
          <w:sz w:val="30"/>
          <w:szCs w:val="30"/>
          <w:lang w:val="en-US" w:eastAsia="zh-CN"/>
        </w:rPr>
        <w:t xml:space="preserve">     </w:t>
      </w:r>
      <w:r>
        <w:rPr>
          <w:rFonts w:hint="eastAsia" w:ascii="宋体" w:hAnsi="宋体" w:cs="宋体"/>
          <w:b/>
          <w:bCs/>
          <w:sz w:val="30"/>
          <w:szCs w:val="30"/>
        </w:rPr>
        <w:t>年    月    日</w:t>
      </w:r>
    </w:p>
    <w:p w14:paraId="3343261E">
      <w:pPr>
        <w:rPr>
          <w:rFonts w:hint="eastAsia"/>
          <w:b/>
          <w:bCs/>
        </w:rPr>
      </w:pPr>
    </w:p>
    <w:p w14:paraId="499A1509">
      <w:pPr>
        <w:rPr>
          <w:rFonts w:hint="eastAsia"/>
        </w:rPr>
      </w:pPr>
    </w:p>
    <w:p w14:paraId="05350C30">
      <w:pPr>
        <w:snapToGrid w:val="0"/>
        <w:spacing w:line="400" w:lineRule="exact"/>
        <w:jc w:val="center"/>
        <w:rPr>
          <w:rFonts w:hint="eastAsia" w:ascii="宋体" w:hAnsi="宋体"/>
          <w:b/>
          <w:bCs/>
          <w:color w:val="000000"/>
          <w:sz w:val="32"/>
          <w:szCs w:val="32"/>
        </w:rPr>
        <w:sectPr>
          <w:pgSz w:w="11906" w:h="16838"/>
          <w:pgMar w:top="1440" w:right="1686" w:bottom="1440" w:left="1600" w:header="851" w:footer="992" w:gutter="0"/>
          <w:cols w:space="720" w:num="1"/>
          <w:docGrid w:type="lines" w:linePitch="312" w:charSpace="0"/>
        </w:sectPr>
      </w:pPr>
    </w:p>
    <w:p w14:paraId="79BA4873">
      <w:pPr>
        <w:snapToGrid w:val="0"/>
        <w:spacing w:line="400" w:lineRule="exact"/>
        <w:jc w:val="center"/>
        <w:rPr>
          <w:rFonts w:hint="eastAsia" w:ascii="宋体" w:hAnsi="宋体"/>
          <w:b/>
          <w:bCs/>
          <w:color w:val="000000"/>
          <w:sz w:val="32"/>
          <w:szCs w:val="32"/>
        </w:rPr>
      </w:pPr>
      <w:r>
        <w:rPr>
          <w:rFonts w:hint="eastAsia" w:ascii="宋体" w:hAnsi="宋体"/>
          <w:b/>
          <w:bCs/>
          <w:color w:val="000000"/>
          <w:sz w:val="32"/>
          <w:szCs w:val="32"/>
        </w:rPr>
        <w:t>采购合同</w:t>
      </w:r>
      <w:r>
        <w:rPr>
          <w:rFonts w:hint="eastAsia" w:ascii="宋体" w:hAnsi="宋体"/>
          <w:b/>
          <w:color w:val="000000"/>
          <w:sz w:val="32"/>
          <w:szCs w:val="32"/>
        </w:rPr>
        <w:t>文本</w:t>
      </w:r>
    </w:p>
    <w:p w14:paraId="5A675C7B">
      <w:pPr>
        <w:snapToGrid w:val="0"/>
        <w:spacing w:line="400" w:lineRule="exact"/>
        <w:ind w:right="480" w:firstLine="5460" w:firstLineChars="2600"/>
        <w:rPr>
          <w:rFonts w:ascii="宋体" w:hAnsi="宋体" w:cs="宋体"/>
          <w:bCs/>
          <w:color w:val="000000"/>
          <w:szCs w:val="21"/>
          <w:u w:val="single"/>
        </w:rPr>
      </w:pPr>
      <w:r>
        <w:rPr>
          <w:rFonts w:hint="eastAsia" w:ascii="宋体" w:hAnsi="宋体" w:cs="宋体"/>
          <w:bCs/>
          <w:color w:val="000000"/>
          <w:szCs w:val="21"/>
        </w:rPr>
        <w:t>合同编号：</w:t>
      </w:r>
      <w:r>
        <w:rPr>
          <w:rFonts w:hint="eastAsia" w:ascii="宋体" w:hAnsi="宋体" w:cs="宋体"/>
          <w:bCs/>
          <w:color w:val="000000"/>
          <w:szCs w:val="21"/>
          <w:u w:val="single"/>
        </w:rPr>
        <w:t xml:space="preserve">                 </w:t>
      </w:r>
    </w:p>
    <w:p w14:paraId="74EFBF14">
      <w:pPr>
        <w:snapToGrid w:val="0"/>
        <w:spacing w:line="240" w:lineRule="atLeast"/>
        <w:rPr>
          <w:rFonts w:hint="eastAsia" w:ascii="宋体" w:hAnsi="宋体" w:cs="宋体"/>
          <w:color w:val="000000"/>
          <w:sz w:val="24"/>
        </w:rPr>
      </w:pPr>
      <w:r>
        <w:rPr>
          <w:rFonts w:hint="eastAsia" w:ascii="宋体" w:hAnsi="宋体" w:cs="宋体"/>
          <w:color w:val="000000"/>
          <w:sz w:val="24"/>
        </w:rPr>
        <w:t>采购单位（甲方）：</w:t>
      </w:r>
      <w:r>
        <w:rPr>
          <w:rFonts w:hint="eastAsia" w:ascii="宋体" w:hAnsi="宋体" w:cs="宋体"/>
          <w:color w:val="000000"/>
          <w:sz w:val="24"/>
          <w:u w:val="single"/>
        </w:rPr>
        <w:t>广西艺术学院</w:t>
      </w:r>
      <w:r>
        <w:rPr>
          <w:rFonts w:hint="eastAsia" w:ascii="宋体" w:hAnsi="宋体" w:cs="宋体"/>
          <w:color w:val="000000"/>
          <w:sz w:val="24"/>
        </w:rPr>
        <w:t xml:space="preserve">  </w:t>
      </w:r>
    </w:p>
    <w:p w14:paraId="7C183317">
      <w:pPr>
        <w:snapToGrid w:val="0"/>
        <w:spacing w:line="240" w:lineRule="atLeast"/>
        <w:rPr>
          <w:rFonts w:hint="eastAsia" w:ascii="宋体" w:hAnsi="宋体" w:cs="宋体"/>
          <w:color w:val="000000"/>
          <w:sz w:val="24"/>
        </w:rPr>
      </w:pPr>
      <w:r>
        <w:rPr>
          <w:rFonts w:hint="eastAsia" w:ascii="宋体" w:hAnsi="宋体" w:cs="宋体"/>
          <w:color w:val="000000"/>
          <w:sz w:val="24"/>
        </w:rPr>
        <w:t>供 应 商（乙方）：</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w:t>
      </w:r>
    </w:p>
    <w:p w14:paraId="051E1DDF">
      <w:pPr>
        <w:spacing w:line="240" w:lineRule="atLeast"/>
        <w:rPr>
          <w:rFonts w:ascii="宋体" w:hAnsi="宋体" w:cs="宋体"/>
          <w:sz w:val="24"/>
        </w:rPr>
      </w:pPr>
      <w:r>
        <w:rPr>
          <w:rFonts w:hint="eastAsia" w:ascii="宋体" w:hAnsi="宋体" w:cs="宋体"/>
          <w:sz w:val="24"/>
        </w:rPr>
        <w:t>项目名称：</w:t>
      </w:r>
      <w:r>
        <w:rPr>
          <w:rFonts w:hint="eastAsia" w:ascii="宋体" w:hAnsi="宋体" w:cs="宋体"/>
          <w:sz w:val="24"/>
          <w:u w:val="single"/>
        </w:rPr>
        <w:t>广西艺术学院标准化考场老旧设备更换和增补设备项目</w:t>
      </w:r>
    </w:p>
    <w:p w14:paraId="2DC96CEA">
      <w:pPr>
        <w:snapToGrid w:val="0"/>
        <w:spacing w:line="240" w:lineRule="atLeast"/>
        <w:rPr>
          <w:rFonts w:hint="eastAsia" w:ascii="宋体" w:hAnsi="宋体" w:cs="宋体"/>
          <w:color w:val="000000"/>
          <w:sz w:val="24"/>
          <w:u w:val="single"/>
        </w:rPr>
      </w:pPr>
      <w:r>
        <w:rPr>
          <w:rFonts w:hint="eastAsia" w:ascii="宋体" w:hAnsi="宋体" w:cs="宋体"/>
          <w:color w:val="000000"/>
          <w:sz w:val="24"/>
        </w:rPr>
        <w:t>签订地点：</w:t>
      </w:r>
      <w:r>
        <w:rPr>
          <w:rFonts w:hint="eastAsia" w:ascii="宋体" w:hAnsi="宋体" w:cs="宋体"/>
          <w:color w:val="000000"/>
          <w:sz w:val="24"/>
          <w:u w:val="single"/>
        </w:rPr>
        <w:t>广西南宁市</w:t>
      </w:r>
      <w:r>
        <w:rPr>
          <w:rFonts w:hint="eastAsia" w:ascii="宋体" w:hAnsi="宋体" w:cs="宋体"/>
          <w:color w:val="000000"/>
          <w:sz w:val="24"/>
        </w:rPr>
        <w:t xml:space="preserve">                      签订时间：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年  月    日</w:t>
      </w:r>
    </w:p>
    <w:p w14:paraId="5E41E6A2">
      <w:pPr>
        <w:snapToGrid w:val="0"/>
        <w:spacing w:line="360" w:lineRule="auto"/>
        <w:ind w:firstLine="480" w:firstLineChars="200"/>
        <w:rPr>
          <w:rFonts w:hint="eastAsia" w:ascii="宋体" w:hAnsi="宋体" w:cs="宋体"/>
          <w:color w:val="000000"/>
          <w:sz w:val="24"/>
        </w:rPr>
      </w:pPr>
    </w:p>
    <w:p w14:paraId="15AABEE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根据《中华人民共和国政府采购法》、《中华人民共和国民法典》等法律、法规规定，按照竞争性谈判文件规定条款和成交供应商承诺，甲乙双方签订本合同。</w:t>
      </w:r>
    </w:p>
    <w:p w14:paraId="7CC2E2F4">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第一条</w:t>
      </w:r>
      <w:r>
        <w:rPr>
          <w:rFonts w:hint="eastAsia" w:ascii="宋体" w:hAnsi="宋体" w:cs="宋体"/>
          <w:b/>
          <w:color w:val="000000"/>
          <w:sz w:val="24"/>
          <w:lang w:val="en-US" w:eastAsia="zh-CN"/>
        </w:rPr>
        <w:t xml:space="preserve"> </w:t>
      </w:r>
      <w:r>
        <w:rPr>
          <w:rFonts w:hint="eastAsia" w:ascii="宋体" w:hAnsi="宋体" w:cs="宋体"/>
          <w:b/>
          <w:color w:val="000000"/>
          <w:sz w:val="24"/>
        </w:rPr>
        <w:t>合同标的</w:t>
      </w:r>
    </w:p>
    <w:p w14:paraId="18F195B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1.供货一览表</w:t>
      </w:r>
    </w:p>
    <w:tbl>
      <w:tblPr>
        <w:tblStyle w:val="7"/>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76"/>
        <w:gridCol w:w="2720"/>
        <w:gridCol w:w="690"/>
        <w:gridCol w:w="705"/>
        <w:gridCol w:w="1215"/>
        <w:gridCol w:w="1504"/>
      </w:tblGrid>
      <w:tr w14:paraId="1B1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3" w:type="dxa"/>
            <w:noWrap w:val="0"/>
            <w:vAlign w:val="center"/>
          </w:tcPr>
          <w:p w14:paraId="0AD15325">
            <w:pPr>
              <w:snapToGrid w:val="0"/>
              <w:jc w:val="center"/>
              <w:rPr>
                <w:rFonts w:hint="eastAsia" w:ascii="宋体" w:hAnsi="宋体" w:cs="宋体"/>
                <w:b/>
                <w:bCs/>
                <w:color w:val="000000"/>
                <w:szCs w:val="21"/>
              </w:rPr>
            </w:pPr>
            <w:r>
              <w:rPr>
                <w:rFonts w:hint="eastAsia" w:ascii="宋体" w:hAnsi="宋体" w:cs="宋体"/>
                <w:b/>
                <w:bCs/>
                <w:color w:val="000000"/>
                <w:szCs w:val="21"/>
              </w:rPr>
              <w:t>序号</w:t>
            </w:r>
          </w:p>
        </w:tc>
        <w:tc>
          <w:tcPr>
            <w:tcW w:w="1776" w:type="dxa"/>
            <w:noWrap w:val="0"/>
            <w:vAlign w:val="center"/>
          </w:tcPr>
          <w:p w14:paraId="00FB0700">
            <w:pPr>
              <w:snapToGrid w:val="0"/>
              <w:jc w:val="center"/>
              <w:rPr>
                <w:rFonts w:hint="eastAsia" w:ascii="宋体" w:hAnsi="宋体" w:cs="宋体"/>
                <w:b/>
                <w:bCs/>
                <w:color w:val="000000"/>
                <w:szCs w:val="21"/>
              </w:rPr>
            </w:pPr>
            <w:r>
              <w:rPr>
                <w:rFonts w:hint="eastAsia" w:ascii="宋体" w:hAnsi="宋体" w:cs="宋体"/>
                <w:b/>
                <w:bCs/>
                <w:color w:val="000000"/>
                <w:szCs w:val="21"/>
              </w:rPr>
              <w:t>设备名称</w:t>
            </w:r>
          </w:p>
        </w:tc>
        <w:tc>
          <w:tcPr>
            <w:tcW w:w="2720" w:type="dxa"/>
            <w:noWrap w:val="0"/>
            <w:vAlign w:val="center"/>
          </w:tcPr>
          <w:p w14:paraId="26296B60">
            <w:pPr>
              <w:snapToGrid w:val="0"/>
              <w:jc w:val="center"/>
              <w:rPr>
                <w:rFonts w:hint="eastAsia" w:ascii="宋体" w:hAnsi="宋体" w:cs="宋体"/>
                <w:b/>
                <w:bCs/>
                <w:color w:val="000000"/>
                <w:szCs w:val="21"/>
              </w:rPr>
            </w:pPr>
            <w:r>
              <w:rPr>
                <w:rFonts w:hint="eastAsia" w:ascii="宋体" w:hAnsi="宋体" w:cs="宋体"/>
                <w:b/>
                <w:bCs/>
                <w:color w:val="000000"/>
                <w:szCs w:val="21"/>
              </w:rPr>
              <w:t>品牌、规格型号</w:t>
            </w:r>
          </w:p>
        </w:tc>
        <w:tc>
          <w:tcPr>
            <w:tcW w:w="690" w:type="dxa"/>
            <w:noWrap w:val="0"/>
            <w:vAlign w:val="center"/>
          </w:tcPr>
          <w:p w14:paraId="33F35DCC">
            <w:pPr>
              <w:snapToGrid w:val="0"/>
              <w:jc w:val="center"/>
              <w:rPr>
                <w:rFonts w:hint="eastAsia" w:ascii="宋体" w:hAnsi="宋体" w:cs="宋体"/>
                <w:b/>
                <w:bCs/>
                <w:color w:val="000000"/>
                <w:szCs w:val="21"/>
              </w:rPr>
            </w:pPr>
            <w:r>
              <w:rPr>
                <w:rFonts w:hint="eastAsia" w:ascii="宋体" w:hAnsi="宋体" w:cs="宋体"/>
                <w:b/>
                <w:bCs/>
                <w:color w:val="000000"/>
                <w:szCs w:val="21"/>
              </w:rPr>
              <w:t>数量</w:t>
            </w:r>
          </w:p>
        </w:tc>
        <w:tc>
          <w:tcPr>
            <w:tcW w:w="705" w:type="dxa"/>
            <w:noWrap w:val="0"/>
            <w:vAlign w:val="center"/>
          </w:tcPr>
          <w:p w14:paraId="63750563">
            <w:pPr>
              <w:snapToGrid w:val="0"/>
              <w:jc w:val="center"/>
              <w:rPr>
                <w:rFonts w:hint="eastAsia" w:ascii="宋体" w:hAnsi="宋体" w:cs="宋体"/>
                <w:b/>
                <w:bCs/>
                <w:color w:val="000000"/>
                <w:szCs w:val="21"/>
              </w:rPr>
            </w:pPr>
            <w:r>
              <w:rPr>
                <w:rFonts w:hint="eastAsia" w:ascii="宋体" w:hAnsi="宋体" w:cs="宋体"/>
                <w:b/>
                <w:bCs/>
                <w:color w:val="000000"/>
                <w:szCs w:val="21"/>
              </w:rPr>
              <w:t>单位</w:t>
            </w:r>
          </w:p>
        </w:tc>
        <w:tc>
          <w:tcPr>
            <w:tcW w:w="1215" w:type="dxa"/>
            <w:noWrap w:val="0"/>
            <w:vAlign w:val="center"/>
          </w:tcPr>
          <w:p w14:paraId="77E25147">
            <w:pPr>
              <w:snapToGrid w:val="0"/>
              <w:jc w:val="center"/>
              <w:rPr>
                <w:rFonts w:hint="eastAsia" w:ascii="宋体" w:hAnsi="宋体" w:cs="宋体"/>
                <w:b/>
                <w:bCs/>
                <w:color w:val="000000"/>
                <w:szCs w:val="21"/>
              </w:rPr>
            </w:pPr>
            <w:r>
              <w:rPr>
                <w:rFonts w:hint="eastAsia" w:ascii="宋体" w:hAnsi="宋体" w:cs="宋体"/>
                <w:b/>
                <w:bCs/>
                <w:color w:val="000000"/>
                <w:szCs w:val="21"/>
              </w:rPr>
              <w:t>单价（元）</w:t>
            </w:r>
          </w:p>
        </w:tc>
        <w:tc>
          <w:tcPr>
            <w:tcW w:w="1504" w:type="dxa"/>
            <w:noWrap w:val="0"/>
            <w:vAlign w:val="center"/>
          </w:tcPr>
          <w:p w14:paraId="73A843DE">
            <w:pPr>
              <w:snapToGrid w:val="0"/>
              <w:jc w:val="center"/>
              <w:rPr>
                <w:rFonts w:hint="eastAsia" w:ascii="宋体" w:hAnsi="宋体" w:cs="宋体"/>
                <w:b/>
                <w:bCs/>
                <w:color w:val="000000"/>
                <w:szCs w:val="21"/>
              </w:rPr>
            </w:pPr>
            <w:r>
              <w:rPr>
                <w:rFonts w:hint="eastAsia" w:ascii="宋体" w:hAnsi="宋体" w:cs="宋体"/>
                <w:b/>
                <w:bCs/>
                <w:color w:val="000000"/>
                <w:szCs w:val="21"/>
              </w:rPr>
              <w:t>金额（元）</w:t>
            </w:r>
          </w:p>
        </w:tc>
      </w:tr>
      <w:tr w14:paraId="752D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673" w:type="dxa"/>
            <w:noWrap w:val="0"/>
            <w:vAlign w:val="center"/>
          </w:tcPr>
          <w:p w14:paraId="435F416F">
            <w:pPr>
              <w:pStyle w:val="5"/>
              <w:jc w:val="center"/>
              <w:rPr>
                <w:rFonts w:hint="eastAsia" w:ascii="宋体" w:hAnsi="宋体" w:cs="宋体"/>
                <w:color w:val="000000"/>
                <w:sz w:val="21"/>
                <w:szCs w:val="21"/>
              </w:rPr>
            </w:pPr>
            <w:r>
              <w:rPr>
                <w:rFonts w:hint="eastAsia" w:ascii="宋体" w:hAnsi="宋体" w:cs="宋体"/>
                <w:sz w:val="21"/>
                <w:szCs w:val="21"/>
              </w:rPr>
              <w:t>1</w:t>
            </w:r>
          </w:p>
        </w:tc>
        <w:tc>
          <w:tcPr>
            <w:tcW w:w="1776" w:type="dxa"/>
            <w:noWrap w:val="0"/>
            <w:vAlign w:val="center"/>
          </w:tcPr>
          <w:p w14:paraId="3968D215">
            <w:pPr>
              <w:widowControl/>
              <w:jc w:val="center"/>
              <w:rPr>
                <w:rFonts w:hint="eastAsia" w:ascii="宋体" w:hAnsi="宋体" w:cs="宋体"/>
                <w:color w:val="000000"/>
                <w:szCs w:val="21"/>
              </w:rPr>
            </w:pPr>
          </w:p>
        </w:tc>
        <w:tc>
          <w:tcPr>
            <w:tcW w:w="2720" w:type="dxa"/>
            <w:noWrap w:val="0"/>
            <w:vAlign w:val="center"/>
          </w:tcPr>
          <w:p w14:paraId="4277131D">
            <w:pPr>
              <w:widowControl/>
              <w:jc w:val="center"/>
              <w:rPr>
                <w:rFonts w:hint="eastAsia" w:ascii="宋体" w:hAnsi="宋体" w:cs="宋体"/>
                <w:szCs w:val="21"/>
              </w:rPr>
            </w:pPr>
          </w:p>
        </w:tc>
        <w:tc>
          <w:tcPr>
            <w:tcW w:w="690" w:type="dxa"/>
            <w:noWrap w:val="0"/>
            <w:vAlign w:val="center"/>
          </w:tcPr>
          <w:p w14:paraId="61332F51">
            <w:pPr>
              <w:widowControl/>
              <w:jc w:val="center"/>
              <w:rPr>
                <w:rFonts w:hint="eastAsia" w:ascii="宋体" w:hAnsi="宋体" w:cs="宋体"/>
                <w:color w:val="000000"/>
                <w:szCs w:val="21"/>
              </w:rPr>
            </w:pPr>
          </w:p>
        </w:tc>
        <w:tc>
          <w:tcPr>
            <w:tcW w:w="705" w:type="dxa"/>
            <w:noWrap w:val="0"/>
            <w:vAlign w:val="center"/>
          </w:tcPr>
          <w:p w14:paraId="759DD8DE">
            <w:pPr>
              <w:widowControl/>
              <w:jc w:val="center"/>
              <w:rPr>
                <w:rFonts w:hint="eastAsia" w:ascii="宋体" w:hAnsi="宋体" w:cs="宋体"/>
                <w:color w:val="000000"/>
                <w:szCs w:val="21"/>
              </w:rPr>
            </w:pPr>
          </w:p>
        </w:tc>
        <w:tc>
          <w:tcPr>
            <w:tcW w:w="1215" w:type="dxa"/>
            <w:noWrap w:val="0"/>
            <w:vAlign w:val="center"/>
          </w:tcPr>
          <w:p w14:paraId="0693956B">
            <w:pPr>
              <w:widowControl/>
              <w:jc w:val="right"/>
              <w:textAlignment w:val="center"/>
              <w:rPr>
                <w:rFonts w:ascii="宋体" w:hAnsi="宋体" w:cs="宋体"/>
                <w:szCs w:val="21"/>
              </w:rPr>
            </w:pPr>
          </w:p>
        </w:tc>
        <w:tc>
          <w:tcPr>
            <w:tcW w:w="1504" w:type="dxa"/>
            <w:noWrap w:val="0"/>
            <w:vAlign w:val="center"/>
          </w:tcPr>
          <w:p w14:paraId="5173061B">
            <w:pPr>
              <w:widowControl/>
              <w:jc w:val="right"/>
              <w:textAlignment w:val="center"/>
              <w:rPr>
                <w:rFonts w:ascii="宋体" w:hAnsi="宋体" w:cs="宋体"/>
                <w:szCs w:val="21"/>
              </w:rPr>
            </w:pPr>
          </w:p>
        </w:tc>
      </w:tr>
      <w:tr w14:paraId="2C7A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65FD9917">
            <w:pPr>
              <w:pStyle w:val="5"/>
              <w:jc w:val="center"/>
              <w:rPr>
                <w:rFonts w:hint="eastAsia" w:ascii="宋体" w:hAnsi="宋体" w:cs="宋体"/>
                <w:color w:val="000000"/>
                <w:sz w:val="21"/>
                <w:szCs w:val="21"/>
              </w:rPr>
            </w:pPr>
            <w:r>
              <w:rPr>
                <w:rFonts w:hint="eastAsia" w:ascii="宋体" w:hAnsi="宋体" w:cs="宋体"/>
                <w:sz w:val="21"/>
                <w:szCs w:val="21"/>
              </w:rPr>
              <w:t>2</w:t>
            </w:r>
          </w:p>
        </w:tc>
        <w:tc>
          <w:tcPr>
            <w:tcW w:w="1776" w:type="dxa"/>
            <w:noWrap w:val="0"/>
            <w:vAlign w:val="center"/>
          </w:tcPr>
          <w:p w14:paraId="2075A79C">
            <w:pPr>
              <w:widowControl/>
              <w:jc w:val="center"/>
              <w:rPr>
                <w:rFonts w:hint="eastAsia" w:ascii="宋体" w:hAnsi="宋体" w:cs="宋体"/>
                <w:color w:val="000000"/>
                <w:szCs w:val="21"/>
              </w:rPr>
            </w:pPr>
          </w:p>
        </w:tc>
        <w:tc>
          <w:tcPr>
            <w:tcW w:w="2720" w:type="dxa"/>
            <w:noWrap w:val="0"/>
            <w:vAlign w:val="center"/>
          </w:tcPr>
          <w:p w14:paraId="1BEC2E88">
            <w:pPr>
              <w:widowControl/>
              <w:jc w:val="center"/>
              <w:rPr>
                <w:rFonts w:hint="eastAsia" w:ascii="宋体" w:hAnsi="宋体" w:cs="宋体"/>
                <w:szCs w:val="21"/>
              </w:rPr>
            </w:pPr>
          </w:p>
        </w:tc>
        <w:tc>
          <w:tcPr>
            <w:tcW w:w="690" w:type="dxa"/>
            <w:noWrap w:val="0"/>
            <w:vAlign w:val="center"/>
          </w:tcPr>
          <w:p w14:paraId="63DEBE14">
            <w:pPr>
              <w:widowControl/>
              <w:jc w:val="center"/>
              <w:rPr>
                <w:rFonts w:hint="eastAsia" w:ascii="宋体" w:hAnsi="宋体" w:cs="宋体"/>
                <w:color w:val="000000"/>
                <w:szCs w:val="21"/>
              </w:rPr>
            </w:pPr>
          </w:p>
        </w:tc>
        <w:tc>
          <w:tcPr>
            <w:tcW w:w="705" w:type="dxa"/>
            <w:noWrap w:val="0"/>
            <w:vAlign w:val="center"/>
          </w:tcPr>
          <w:p w14:paraId="71BDA3F1">
            <w:pPr>
              <w:widowControl/>
              <w:jc w:val="center"/>
              <w:rPr>
                <w:rFonts w:hint="eastAsia" w:ascii="宋体" w:hAnsi="宋体" w:cs="宋体"/>
                <w:color w:val="000000"/>
                <w:szCs w:val="21"/>
              </w:rPr>
            </w:pPr>
          </w:p>
        </w:tc>
        <w:tc>
          <w:tcPr>
            <w:tcW w:w="1215" w:type="dxa"/>
            <w:noWrap w:val="0"/>
            <w:vAlign w:val="center"/>
          </w:tcPr>
          <w:p w14:paraId="7C50DEB4">
            <w:pPr>
              <w:widowControl/>
              <w:jc w:val="right"/>
              <w:textAlignment w:val="center"/>
              <w:rPr>
                <w:rFonts w:ascii="宋体" w:hAnsi="宋体" w:cs="宋体"/>
                <w:szCs w:val="21"/>
              </w:rPr>
            </w:pPr>
          </w:p>
        </w:tc>
        <w:tc>
          <w:tcPr>
            <w:tcW w:w="1504" w:type="dxa"/>
            <w:noWrap w:val="0"/>
            <w:vAlign w:val="center"/>
          </w:tcPr>
          <w:p w14:paraId="6C2E639C">
            <w:pPr>
              <w:widowControl/>
              <w:jc w:val="right"/>
              <w:textAlignment w:val="center"/>
              <w:rPr>
                <w:rFonts w:ascii="宋体" w:hAnsi="宋体" w:cs="宋体"/>
                <w:szCs w:val="21"/>
              </w:rPr>
            </w:pPr>
          </w:p>
        </w:tc>
      </w:tr>
      <w:tr w14:paraId="38D7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53AB6043">
            <w:pPr>
              <w:pStyle w:val="5"/>
              <w:jc w:val="center"/>
              <w:rPr>
                <w:rFonts w:hint="eastAsia" w:ascii="宋体" w:hAnsi="宋体" w:cs="宋体"/>
                <w:color w:val="000000"/>
                <w:sz w:val="21"/>
                <w:szCs w:val="21"/>
              </w:rPr>
            </w:pPr>
            <w:r>
              <w:rPr>
                <w:rFonts w:hint="eastAsia" w:ascii="宋体" w:hAnsi="宋体" w:cs="宋体"/>
                <w:sz w:val="21"/>
                <w:szCs w:val="21"/>
              </w:rPr>
              <w:t>3</w:t>
            </w:r>
          </w:p>
        </w:tc>
        <w:tc>
          <w:tcPr>
            <w:tcW w:w="1776" w:type="dxa"/>
            <w:noWrap w:val="0"/>
            <w:vAlign w:val="center"/>
          </w:tcPr>
          <w:p w14:paraId="7CBDF71C">
            <w:pPr>
              <w:widowControl/>
              <w:jc w:val="center"/>
              <w:rPr>
                <w:rFonts w:hint="eastAsia" w:ascii="宋体" w:hAnsi="宋体" w:cs="宋体"/>
                <w:color w:val="000000"/>
                <w:szCs w:val="21"/>
              </w:rPr>
            </w:pPr>
          </w:p>
        </w:tc>
        <w:tc>
          <w:tcPr>
            <w:tcW w:w="2720" w:type="dxa"/>
            <w:noWrap w:val="0"/>
            <w:vAlign w:val="center"/>
          </w:tcPr>
          <w:p w14:paraId="6AE3AB28">
            <w:pPr>
              <w:widowControl/>
              <w:jc w:val="center"/>
              <w:rPr>
                <w:rFonts w:hint="eastAsia" w:ascii="宋体" w:hAnsi="宋体" w:cs="宋体"/>
                <w:szCs w:val="21"/>
              </w:rPr>
            </w:pPr>
          </w:p>
        </w:tc>
        <w:tc>
          <w:tcPr>
            <w:tcW w:w="690" w:type="dxa"/>
            <w:noWrap w:val="0"/>
            <w:vAlign w:val="center"/>
          </w:tcPr>
          <w:p w14:paraId="2DBE3ED8">
            <w:pPr>
              <w:widowControl/>
              <w:jc w:val="center"/>
              <w:rPr>
                <w:rFonts w:hint="eastAsia" w:ascii="宋体" w:hAnsi="宋体" w:cs="宋体"/>
                <w:color w:val="000000"/>
                <w:szCs w:val="21"/>
              </w:rPr>
            </w:pPr>
          </w:p>
        </w:tc>
        <w:tc>
          <w:tcPr>
            <w:tcW w:w="705" w:type="dxa"/>
            <w:noWrap w:val="0"/>
            <w:vAlign w:val="center"/>
          </w:tcPr>
          <w:p w14:paraId="6D9B1FBB">
            <w:pPr>
              <w:widowControl/>
              <w:jc w:val="center"/>
              <w:rPr>
                <w:rFonts w:hint="eastAsia" w:ascii="宋体" w:hAnsi="宋体" w:cs="宋体"/>
                <w:color w:val="000000"/>
                <w:szCs w:val="21"/>
              </w:rPr>
            </w:pPr>
          </w:p>
        </w:tc>
        <w:tc>
          <w:tcPr>
            <w:tcW w:w="1215" w:type="dxa"/>
            <w:noWrap w:val="0"/>
            <w:vAlign w:val="center"/>
          </w:tcPr>
          <w:p w14:paraId="4CA4F860">
            <w:pPr>
              <w:widowControl/>
              <w:jc w:val="right"/>
              <w:textAlignment w:val="center"/>
              <w:rPr>
                <w:rFonts w:ascii="宋体" w:hAnsi="宋体" w:cs="宋体"/>
                <w:szCs w:val="21"/>
              </w:rPr>
            </w:pPr>
          </w:p>
        </w:tc>
        <w:tc>
          <w:tcPr>
            <w:tcW w:w="1504" w:type="dxa"/>
            <w:noWrap w:val="0"/>
            <w:vAlign w:val="center"/>
          </w:tcPr>
          <w:p w14:paraId="3669C561">
            <w:pPr>
              <w:widowControl/>
              <w:jc w:val="right"/>
              <w:textAlignment w:val="center"/>
              <w:rPr>
                <w:rFonts w:ascii="宋体" w:hAnsi="宋体" w:cs="宋体"/>
                <w:szCs w:val="21"/>
              </w:rPr>
            </w:pPr>
          </w:p>
        </w:tc>
      </w:tr>
      <w:tr w14:paraId="0405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73" w:type="dxa"/>
            <w:noWrap w:val="0"/>
            <w:vAlign w:val="center"/>
          </w:tcPr>
          <w:p w14:paraId="76F6D1DD">
            <w:pPr>
              <w:pStyle w:val="5"/>
              <w:jc w:val="center"/>
              <w:rPr>
                <w:rFonts w:hint="eastAsia" w:ascii="宋体" w:hAnsi="宋体" w:cs="宋体"/>
                <w:color w:val="000000"/>
                <w:sz w:val="21"/>
                <w:szCs w:val="21"/>
              </w:rPr>
            </w:pPr>
            <w:r>
              <w:rPr>
                <w:rFonts w:hint="eastAsia" w:ascii="宋体" w:hAnsi="宋体" w:cs="宋体"/>
                <w:sz w:val="21"/>
                <w:szCs w:val="21"/>
              </w:rPr>
              <w:t>4</w:t>
            </w:r>
          </w:p>
        </w:tc>
        <w:tc>
          <w:tcPr>
            <w:tcW w:w="1776" w:type="dxa"/>
            <w:noWrap w:val="0"/>
            <w:vAlign w:val="center"/>
          </w:tcPr>
          <w:p w14:paraId="29E3C8A8">
            <w:pPr>
              <w:widowControl/>
              <w:jc w:val="center"/>
              <w:rPr>
                <w:rFonts w:hint="eastAsia" w:ascii="宋体" w:hAnsi="宋体" w:cs="宋体"/>
                <w:color w:val="000000"/>
                <w:szCs w:val="21"/>
              </w:rPr>
            </w:pPr>
          </w:p>
        </w:tc>
        <w:tc>
          <w:tcPr>
            <w:tcW w:w="2720" w:type="dxa"/>
            <w:noWrap w:val="0"/>
            <w:vAlign w:val="center"/>
          </w:tcPr>
          <w:p w14:paraId="510F945C">
            <w:pPr>
              <w:pStyle w:val="5"/>
              <w:jc w:val="center"/>
              <w:rPr>
                <w:rFonts w:hint="eastAsia"/>
                <w:sz w:val="21"/>
                <w:szCs w:val="21"/>
              </w:rPr>
            </w:pPr>
          </w:p>
        </w:tc>
        <w:tc>
          <w:tcPr>
            <w:tcW w:w="690" w:type="dxa"/>
            <w:noWrap w:val="0"/>
            <w:vAlign w:val="center"/>
          </w:tcPr>
          <w:p w14:paraId="6F268803">
            <w:pPr>
              <w:widowControl/>
              <w:jc w:val="center"/>
              <w:rPr>
                <w:rFonts w:hint="eastAsia" w:ascii="宋体" w:hAnsi="宋体" w:cs="宋体"/>
                <w:color w:val="000000"/>
                <w:szCs w:val="21"/>
              </w:rPr>
            </w:pPr>
          </w:p>
        </w:tc>
        <w:tc>
          <w:tcPr>
            <w:tcW w:w="705" w:type="dxa"/>
            <w:noWrap w:val="0"/>
            <w:vAlign w:val="center"/>
          </w:tcPr>
          <w:p w14:paraId="0895836E">
            <w:pPr>
              <w:widowControl/>
              <w:jc w:val="center"/>
              <w:rPr>
                <w:rFonts w:hint="eastAsia" w:ascii="宋体" w:hAnsi="宋体" w:cs="宋体"/>
                <w:color w:val="000000"/>
                <w:szCs w:val="21"/>
              </w:rPr>
            </w:pPr>
          </w:p>
        </w:tc>
        <w:tc>
          <w:tcPr>
            <w:tcW w:w="1215" w:type="dxa"/>
            <w:noWrap w:val="0"/>
            <w:vAlign w:val="center"/>
          </w:tcPr>
          <w:p w14:paraId="1673A07C">
            <w:pPr>
              <w:widowControl/>
              <w:jc w:val="right"/>
              <w:textAlignment w:val="center"/>
              <w:rPr>
                <w:rFonts w:hint="eastAsia" w:ascii="宋体" w:hAnsi="宋体" w:cs="宋体"/>
                <w:szCs w:val="21"/>
              </w:rPr>
            </w:pPr>
          </w:p>
        </w:tc>
        <w:tc>
          <w:tcPr>
            <w:tcW w:w="1504" w:type="dxa"/>
            <w:noWrap w:val="0"/>
            <w:vAlign w:val="center"/>
          </w:tcPr>
          <w:p w14:paraId="0D556426">
            <w:pPr>
              <w:widowControl/>
              <w:jc w:val="right"/>
              <w:textAlignment w:val="center"/>
              <w:rPr>
                <w:rFonts w:hint="eastAsia" w:ascii="宋体" w:hAnsi="宋体" w:cs="宋体"/>
                <w:szCs w:val="21"/>
              </w:rPr>
            </w:pPr>
          </w:p>
        </w:tc>
      </w:tr>
      <w:tr w14:paraId="4CAC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49C44615">
            <w:pPr>
              <w:pStyle w:val="5"/>
              <w:jc w:val="center"/>
              <w:rPr>
                <w:rFonts w:hint="eastAsia" w:ascii="宋体" w:hAnsi="宋体" w:cs="宋体"/>
                <w:color w:val="000000"/>
                <w:sz w:val="21"/>
                <w:szCs w:val="21"/>
              </w:rPr>
            </w:pPr>
            <w:r>
              <w:rPr>
                <w:rFonts w:hint="eastAsia" w:ascii="宋体" w:hAnsi="宋体" w:cs="宋体"/>
                <w:sz w:val="21"/>
                <w:szCs w:val="21"/>
              </w:rPr>
              <w:t>5</w:t>
            </w:r>
          </w:p>
        </w:tc>
        <w:tc>
          <w:tcPr>
            <w:tcW w:w="1776" w:type="dxa"/>
            <w:noWrap w:val="0"/>
            <w:vAlign w:val="center"/>
          </w:tcPr>
          <w:p w14:paraId="2B018050">
            <w:pPr>
              <w:widowControl/>
              <w:jc w:val="center"/>
              <w:rPr>
                <w:rFonts w:hint="eastAsia" w:ascii="宋体" w:hAnsi="宋体" w:cs="宋体"/>
                <w:color w:val="000000"/>
                <w:szCs w:val="21"/>
              </w:rPr>
            </w:pPr>
          </w:p>
        </w:tc>
        <w:tc>
          <w:tcPr>
            <w:tcW w:w="2720" w:type="dxa"/>
            <w:noWrap w:val="0"/>
            <w:vAlign w:val="center"/>
          </w:tcPr>
          <w:p w14:paraId="254C8B2B">
            <w:pPr>
              <w:widowControl/>
              <w:jc w:val="center"/>
              <w:rPr>
                <w:rFonts w:hint="eastAsia" w:ascii="宋体" w:hAnsi="宋体" w:cs="宋体"/>
                <w:szCs w:val="21"/>
              </w:rPr>
            </w:pPr>
          </w:p>
        </w:tc>
        <w:tc>
          <w:tcPr>
            <w:tcW w:w="690" w:type="dxa"/>
            <w:noWrap w:val="0"/>
            <w:vAlign w:val="center"/>
          </w:tcPr>
          <w:p w14:paraId="5605B5BF">
            <w:pPr>
              <w:widowControl/>
              <w:jc w:val="center"/>
              <w:rPr>
                <w:rFonts w:hint="eastAsia" w:ascii="宋体" w:hAnsi="宋体" w:cs="宋体"/>
                <w:color w:val="000000"/>
                <w:szCs w:val="21"/>
              </w:rPr>
            </w:pPr>
          </w:p>
        </w:tc>
        <w:tc>
          <w:tcPr>
            <w:tcW w:w="705" w:type="dxa"/>
            <w:noWrap w:val="0"/>
            <w:vAlign w:val="center"/>
          </w:tcPr>
          <w:p w14:paraId="3F002A27">
            <w:pPr>
              <w:widowControl/>
              <w:jc w:val="center"/>
              <w:rPr>
                <w:rFonts w:hint="eastAsia" w:ascii="宋体" w:hAnsi="宋体" w:cs="宋体"/>
                <w:color w:val="000000"/>
                <w:szCs w:val="21"/>
              </w:rPr>
            </w:pPr>
          </w:p>
        </w:tc>
        <w:tc>
          <w:tcPr>
            <w:tcW w:w="1215" w:type="dxa"/>
            <w:noWrap w:val="0"/>
            <w:vAlign w:val="center"/>
          </w:tcPr>
          <w:p w14:paraId="0949C240">
            <w:pPr>
              <w:widowControl/>
              <w:jc w:val="right"/>
              <w:textAlignment w:val="center"/>
              <w:rPr>
                <w:rFonts w:hint="eastAsia" w:ascii="宋体" w:hAnsi="宋体" w:cs="宋体"/>
                <w:szCs w:val="21"/>
              </w:rPr>
            </w:pPr>
          </w:p>
        </w:tc>
        <w:tc>
          <w:tcPr>
            <w:tcW w:w="1504" w:type="dxa"/>
            <w:noWrap w:val="0"/>
            <w:vAlign w:val="center"/>
          </w:tcPr>
          <w:p w14:paraId="4DADC26E">
            <w:pPr>
              <w:widowControl/>
              <w:jc w:val="right"/>
              <w:textAlignment w:val="center"/>
              <w:rPr>
                <w:rFonts w:hint="eastAsia" w:ascii="宋体" w:hAnsi="宋体" w:cs="宋体"/>
                <w:szCs w:val="21"/>
              </w:rPr>
            </w:pPr>
          </w:p>
        </w:tc>
      </w:tr>
      <w:tr w14:paraId="1053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73" w:type="dxa"/>
            <w:noWrap w:val="0"/>
            <w:vAlign w:val="center"/>
          </w:tcPr>
          <w:p w14:paraId="3B53DB41">
            <w:pPr>
              <w:pStyle w:val="5"/>
              <w:jc w:val="center"/>
              <w:rPr>
                <w:rFonts w:ascii="宋体" w:hAnsi="宋体" w:cs="宋体"/>
                <w:sz w:val="21"/>
                <w:szCs w:val="21"/>
              </w:rPr>
            </w:pPr>
            <w:r>
              <w:rPr>
                <w:rFonts w:hint="eastAsia" w:ascii="宋体" w:hAnsi="宋体" w:cs="宋体"/>
                <w:b/>
                <w:bCs/>
                <w:sz w:val="21"/>
                <w:szCs w:val="21"/>
              </w:rPr>
              <w:t>合计</w:t>
            </w:r>
          </w:p>
        </w:tc>
        <w:tc>
          <w:tcPr>
            <w:tcW w:w="8610" w:type="dxa"/>
            <w:gridSpan w:val="6"/>
            <w:noWrap w:val="0"/>
            <w:vAlign w:val="center"/>
          </w:tcPr>
          <w:p w14:paraId="2BEA8C4B">
            <w:pPr>
              <w:pStyle w:val="5"/>
              <w:rPr>
                <w:rFonts w:hint="eastAsia" w:ascii="宋体" w:hAnsi="宋体" w:cs="宋体"/>
                <w:sz w:val="21"/>
                <w:szCs w:val="21"/>
              </w:rPr>
            </w:pPr>
            <w:r>
              <w:rPr>
                <w:rFonts w:hint="eastAsia" w:ascii="宋体" w:hAnsi="宋体" w:cs="宋体"/>
                <w:b/>
                <w:bCs/>
                <w:sz w:val="21"/>
                <w:szCs w:val="21"/>
              </w:rPr>
              <w:t>总金额：人民币大写：</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（小写：</w:t>
            </w:r>
            <w:r>
              <w:rPr>
                <w:rFonts w:hint="eastAsia" w:ascii="宋体" w:hAnsi="宋体" w:cs="宋体"/>
                <w:b/>
                <w:bCs/>
                <w:sz w:val="21"/>
                <w:szCs w:val="21"/>
                <w:lang w:val="en-US" w:eastAsia="zh-CN"/>
              </w:rPr>
              <w:t xml:space="preserve">     </w:t>
            </w:r>
            <w:r>
              <w:rPr>
                <w:rFonts w:hint="eastAsia" w:ascii="宋体" w:hAnsi="宋体" w:cs="宋体"/>
                <w:b/>
                <w:bCs/>
                <w:sz w:val="21"/>
                <w:szCs w:val="21"/>
              </w:rPr>
              <w:t>元）</w:t>
            </w:r>
          </w:p>
        </w:tc>
      </w:tr>
    </w:tbl>
    <w:p w14:paraId="0A01F52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合计金额为到甲方指定地点的现场交货价，包括：（1）货物及标准附件、备品备件、专用工具的价格；（2）运输、装卸、调试、培训、技术支持、售后服务等费用；（3）必要的保险费用，安全施工费和各项税费；（4）包括安装费用。</w:t>
      </w:r>
    </w:p>
    <w:p w14:paraId="42675AD9">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第二条</w:t>
      </w:r>
      <w:r>
        <w:rPr>
          <w:rFonts w:hint="eastAsia" w:ascii="宋体" w:hAnsi="宋体" w:cs="宋体"/>
          <w:b/>
          <w:color w:val="000000"/>
          <w:sz w:val="24"/>
          <w:lang w:eastAsia="zh-CN"/>
        </w:rPr>
        <w:t xml:space="preserve"> </w:t>
      </w:r>
      <w:r>
        <w:rPr>
          <w:rFonts w:hint="eastAsia" w:ascii="宋体" w:hAnsi="宋体" w:cs="宋体"/>
          <w:b/>
          <w:color w:val="000000"/>
          <w:sz w:val="24"/>
        </w:rPr>
        <w:t>质量要求</w:t>
      </w:r>
    </w:p>
    <w:p w14:paraId="3D6192E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1.乙方所提供的产品名称、商标品牌、生产厂家、规格型号、技术参数等质量必须与采购文件规定及投标文件承诺相一致。</w:t>
      </w:r>
    </w:p>
    <w:p w14:paraId="1458E2B3">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2.乙方所提供的货物必须是全新、未使用的原装产品，且在正常安装、使用和保养条件下，其使用寿命期内各项指标均达到招标文件规定或者投标文件承诺的质量要求。</w:t>
      </w:r>
    </w:p>
    <w:p w14:paraId="2635D201">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第三条</w:t>
      </w:r>
      <w:r>
        <w:rPr>
          <w:rFonts w:hint="eastAsia" w:ascii="宋体" w:hAnsi="宋体" w:cs="宋体"/>
          <w:b/>
          <w:color w:val="000000"/>
          <w:sz w:val="24"/>
          <w:lang w:eastAsia="zh-CN"/>
        </w:rPr>
        <w:t xml:space="preserve"> </w:t>
      </w:r>
      <w:r>
        <w:rPr>
          <w:rFonts w:hint="eastAsia" w:ascii="宋体" w:hAnsi="宋体" w:cs="宋体"/>
          <w:b/>
          <w:color w:val="000000"/>
          <w:sz w:val="24"/>
        </w:rPr>
        <w:t>权利保证</w:t>
      </w:r>
    </w:p>
    <w:p w14:paraId="6A34FA0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1.乙方应保证所提供货物在使用时不会侵犯任何第三方的专利权、商标权、工业设计权或者其他权利。</w:t>
      </w:r>
    </w:p>
    <w:p w14:paraId="7BB90AD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2.乙方应按招标文件规定或者投标文件承诺的时间向甲方提供使用货物的有关技术资料。</w:t>
      </w:r>
    </w:p>
    <w:p w14:paraId="58EEF4D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07EED4C">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4.乙方保证将要交付的货物的所有权完全属于乙方且无任何抵押、质押、查封等产权瑕疵。</w:t>
      </w:r>
    </w:p>
    <w:p w14:paraId="72D1386A">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第四条</w:t>
      </w:r>
      <w:r>
        <w:rPr>
          <w:rFonts w:hint="eastAsia" w:ascii="宋体" w:hAnsi="宋体" w:cs="宋体"/>
          <w:b/>
          <w:color w:val="000000"/>
          <w:sz w:val="24"/>
          <w:lang w:eastAsia="zh-CN"/>
        </w:rPr>
        <w:t xml:space="preserve"> </w:t>
      </w:r>
      <w:r>
        <w:rPr>
          <w:rFonts w:hint="eastAsia" w:ascii="宋体" w:hAnsi="宋体" w:cs="宋体"/>
          <w:b/>
          <w:color w:val="000000"/>
          <w:sz w:val="24"/>
        </w:rPr>
        <w:t>包装和运输</w:t>
      </w:r>
    </w:p>
    <w:p w14:paraId="00B1D3E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1.乙方提供的货物均应按招标文件规定或者投标文件承诺的要求的包装材料、包装标准、包装方式进行包装，每一包装单元内应附详细的装箱单和质量合格证。</w:t>
      </w:r>
    </w:p>
    <w:p w14:paraId="507F507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2.货物的运输方式：</w:t>
      </w:r>
      <w:r>
        <w:rPr>
          <w:rFonts w:hint="eastAsia" w:ascii="宋体" w:hAnsi="宋体" w:cs="宋体"/>
          <w:b/>
          <w:bCs/>
          <w:color w:val="000000"/>
          <w:sz w:val="24"/>
          <w:u w:val="single"/>
        </w:rPr>
        <w:t>乙方负责将所有合同货物运送至甲方指定收货地址。乙方承担运费</w:t>
      </w:r>
      <w:r>
        <w:rPr>
          <w:rFonts w:hint="eastAsia" w:ascii="宋体" w:hAnsi="宋体" w:cs="宋体"/>
          <w:color w:val="000000"/>
          <w:sz w:val="24"/>
          <w:u w:val="single"/>
        </w:rPr>
        <w:t xml:space="preserve"> </w:t>
      </w:r>
      <w:r>
        <w:rPr>
          <w:rFonts w:hint="eastAsia" w:ascii="宋体" w:hAnsi="宋体" w:cs="宋体"/>
          <w:color w:val="000000"/>
          <w:sz w:val="24"/>
        </w:rPr>
        <w:t>。</w:t>
      </w:r>
    </w:p>
    <w:p w14:paraId="08A45398">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第五条</w:t>
      </w:r>
      <w:r>
        <w:rPr>
          <w:rFonts w:hint="eastAsia" w:ascii="宋体" w:hAnsi="宋体" w:cs="宋体"/>
          <w:b/>
          <w:color w:val="000000"/>
          <w:sz w:val="24"/>
          <w:lang w:eastAsia="zh-CN"/>
        </w:rPr>
        <w:t xml:space="preserve"> </w:t>
      </w:r>
      <w:r>
        <w:rPr>
          <w:rFonts w:hint="eastAsia" w:ascii="宋体" w:hAnsi="宋体" w:cs="宋体"/>
          <w:b/>
          <w:color w:val="000000"/>
          <w:sz w:val="24"/>
        </w:rPr>
        <w:t>交付和验收</w:t>
      </w:r>
    </w:p>
    <w:p w14:paraId="2B03613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1.交付时间：</w:t>
      </w:r>
      <w:r>
        <w:rPr>
          <w:rFonts w:hint="eastAsia" w:ascii="宋体" w:hAnsi="宋体" w:cs="宋体"/>
          <w:color w:val="000000"/>
          <w:sz w:val="24"/>
          <w:u w:val="single"/>
        </w:rPr>
        <w:t xml:space="preserve"> </w:t>
      </w:r>
      <w:r>
        <w:rPr>
          <w:rFonts w:hint="eastAsia" w:ascii="宋体" w:hAnsi="宋体" w:cs="宋体"/>
          <w:b/>
          <w:bCs/>
          <w:color w:val="000000"/>
          <w:sz w:val="24"/>
          <w:u w:val="single"/>
        </w:rPr>
        <w:t>项目结果公布</w:t>
      </w:r>
      <w:r>
        <w:rPr>
          <w:rFonts w:hint="eastAsia" w:ascii="宋体" w:hAnsi="宋体" w:cs="宋体"/>
          <w:b/>
          <w:bCs/>
          <w:color w:val="000000"/>
          <w:sz w:val="24"/>
          <w:u w:val="single"/>
          <w:lang w:val="en-US" w:eastAsia="zh-CN"/>
        </w:rPr>
        <w:t>5</w:t>
      </w:r>
      <w:r>
        <w:rPr>
          <w:rFonts w:hint="eastAsia" w:ascii="宋体" w:hAnsi="宋体" w:cs="宋体"/>
          <w:b/>
          <w:bCs/>
          <w:color w:val="000000"/>
          <w:sz w:val="24"/>
          <w:u w:val="single"/>
        </w:rPr>
        <w:t>个工作日内签订合同，乙方在合同签订后</w:t>
      </w:r>
      <w:r>
        <w:rPr>
          <w:rFonts w:hint="eastAsia" w:ascii="宋体" w:hAnsi="宋体" w:cs="宋体"/>
          <w:b/>
          <w:bCs/>
          <w:color w:val="000000"/>
          <w:sz w:val="24"/>
          <w:u w:val="single"/>
          <w:lang w:val="en-US" w:eastAsia="zh-CN"/>
        </w:rPr>
        <w:t>3</w:t>
      </w:r>
      <w:r>
        <w:rPr>
          <w:rFonts w:hint="eastAsia" w:ascii="宋体" w:hAnsi="宋体" w:cs="宋体"/>
          <w:b/>
          <w:bCs/>
          <w:color w:val="000000"/>
          <w:sz w:val="24"/>
          <w:u w:val="single"/>
        </w:rPr>
        <w:t xml:space="preserve">0个工作日内完成全部货物安装及调试 </w:t>
      </w:r>
      <w:r>
        <w:rPr>
          <w:rFonts w:hint="eastAsia" w:ascii="宋体" w:hAnsi="宋体" w:cs="宋体"/>
          <w:color w:val="000000"/>
          <w:sz w:val="24"/>
        </w:rPr>
        <w:t>；</w:t>
      </w:r>
    </w:p>
    <w:p w14:paraId="3C0B0AE0">
      <w:pPr>
        <w:snapToGrid w:val="0"/>
        <w:spacing w:line="360" w:lineRule="auto"/>
        <w:ind w:firstLine="720" w:firstLineChars="300"/>
        <w:rPr>
          <w:rFonts w:hint="eastAsia" w:ascii="宋体" w:hAnsi="宋体" w:cs="宋体"/>
          <w:color w:val="000000"/>
          <w:sz w:val="24"/>
        </w:rPr>
      </w:pPr>
      <w:r>
        <w:rPr>
          <w:rFonts w:hint="eastAsia" w:ascii="宋体" w:hAnsi="宋体" w:cs="宋体"/>
          <w:color w:val="000000"/>
          <w:sz w:val="24"/>
        </w:rPr>
        <w:t>交付地点：</w:t>
      </w:r>
      <w:r>
        <w:rPr>
          <w:rFonts w:hint="eastAsia" w:ascii="宋体" w:hAnsi="宋体" w:cs="宋体"/>
          <w:b/>
          <w:bCs/>
          <w:color w:val="000000"/>
          <w:sz w:val="24"/>
          <w:u w:val="single"/>
        </w:rPr>
        <w:t>甲方指定地点。</w:t>
      </w:r>
    </w:p>
    <w:p w14:paraId="5839176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2.乙方提供不符合招标文件规定或者投标文件承诺的和本合同规定的货物，甲方有权拒绝接受。</w:t>
      </w:r>
    </w:p>
    <w:p w14:paraId="3505BDD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2A4353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甲方应当在到货（安装、调试完）后七个工作日内进行验收，逾期不验收的，乙方可视同验收合格。验收合格后由甲乙双方签署货物验收单并加盖双方公章，甲乙双方各执一份。在验收过程中发现乙方有违约问题，可暂缓资金结算，待违约问题解决后，方可办理资金结算事宜。</w:t>
      </w:r>
    </w:p>
    <w:p w14:paraId="0D96D5AA">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5.甲方对验收有异议的，在验收后五个工作日内以书面形式向乙方提出，乙方应自收到甲方书面异议后</w:t>
      </w:r>
      <w:r>
        <w:rPr>
          <w:rFonts w:hint="eastAsia" w:ascii="宋体" w:hAnsi="宋体" w:cs="宋体"/>
          <w:color w:val="000000"/>
          <w:sz w:val="24"/>
          <w:u w:val="single"/>
        </w:rPr>
        <w:t xml:space="preserve"> </w:t>
      </w:r>
      <w:r>
        <w:rPr>
          <w:rFonts w:hint="eastAsia" w:ascii="宋体" w:hAnsi="宋体" w:cs="宋体"/>
          <w:b/>
          <w:bCs/>
          <w:color w:val="000000"/>
          <w:sz w:val="24"/>
          <w:u w:val="single"/>
        </w:rPr>
        <w:t xml:space="preserve"> 5  </w:t>
      </w:r>
      <w:r>
        <w:rPr>
          <w:rFonts w:hint="eastAsia" w:ascii="宋体" w:hAnsi="宋体" w:cs="宋体"/>
          <w:color w:val="000000"/>
          <w:sz w:val="24"/>
        </w:rPr>
        <w:t>日内及时予以解决。</w:t>
      </w:r>
    </w:p>
    <w:p w14:paraId="35F4F1E5">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第六条</w:t>
      </w:r>
      <w:r>
        <w:rPr>
          <w:rFonts w:hint="eastAsia" w:ascii="宋体" w:hAnsi="宋体" w:cs="宋体"/>
          <w:b/>
          <w:color w:val="000000"/>
          <w:sz w:val="24"/>
          <w:lang w:eastAsia="zh-CN"/>
        </w:rPr>
        <w:t xml:space="preserve"> </w:t>
      </w:r>
      <w:r>
        <w:rPr>
          <w:rFonts w:hint="eastAsia" w:ascii="宋体" w:hAnsi="宋体" w:cs="宋体"/>
          <w:b/>
          <w:color w:val="000000"/>
          <w:sz w:val="24"/>
        </w:rPr>
        <w:t>安装和培训</w:t>
      </w:r>
    </w:p>
    <w:p w14:paraId="4B5222CF">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1.甲方应提供必要安装条件（如场地、电源、水源等）。</w:t>
      </w:r>
    </w:p>
    <w:p w14:paraId="0A079078">
      <w:pPr>
        <w:snapToGrid w:val="0"/>
        <w:spacing w:line="360" w:lineRule="auto"/>
        <w:ind w:firstLine="480" w:firstLineChars="200"/>
        <w:rPr>
          <w:rFonts w:hint="eastAsia" w:ascii="宋体" w:hAnsi="宋体" w:cs="宋体"/>
          <w:b/>
          <w:bCs/>
          <w:color w:val="000000"/>
          <w:sz w:val="24"/>
          <w:u w:val="single"/>
        </w:rPr>
      </w:pPr>
      <w:r>
        <w:rPr>
          <w:rFonts w:hint="eastAsia" w:ascii="宋体" w:hAnsi="宋体" w:cs="宋体"/>
          <w:color w:val="000000"/>
          <w:sz w:val="24"/>
        </w:rPr>
        <w:t>2.乙方投标文件承诺负责甲方有关人员的培训：</w:t>
      </w:r>
      <w:r>
        <w:rPr>
          <w:rFonts w:hint="eastAsia" w:ascii="宋体" w:hAnsi="宋体" w:cs="宋体"/>
          <w:b/>
          <w:bCs/>
          <w:color w:val="000000"/>
          <w:sz w:val="24"/>
          <w:u w:val="single"/>
        </w:rPr>
        <w:t>培训时间、地点、内容由双方根据实际需要另行商定</w:t>
      </w:r>
      <w:r>
        <w:rPr>
          <w:rFonts w:hint="eastAsia" w:ascii="宋体" w:hAnsi="宋体" w:cs="宋体"/>
          <w:b/>
          <w:bCs/>
          <w:color w:val="000000"/>
          <w:sz w:val="24"/>
        </w:rPr>
        <w:t>。</w:t>
      </w:r>
    </w:p>
    <w:p w14:paraId="363621C2">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第七条  售后服务、质保期</w:t>
      </w:r>
    </w:p>
    <w:p w14:paraId="74E6896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1.乙方应按照国家有关法律法规和“三包”规定以及本合同所附的《服务承诺》，为甲方提供售后服务。</w:t>
      </w:r>
    </w:p>
    <w:p w14:paraId="5354EF2F">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2.货物质保期：</w:t>
      </w:r>
      <w:r>
        <w:rPr>
          <w:rFonts w:hint="eastAsia" w:ascii="宋体" w:hAnsi="宋体" w:cs="宋体"/>
          <w:color w:val="000000"/>
          <w:sz w:val="24"/>
          <w:u w:val="none"/>
          <w:lang w:val="en-US" w:eastAsia="zh-CN"/>
        </w:rPr>
        <w:t>叁</w:t>
      </w:r>
      <w:r>
        <w:rPr>
          <w:rFonts w:hint="eastAsia" w:ascii="宋体" w:hAnsi="宋体" w:cs="宋体"/>
          <w:b/>
          <w:bCs/>
          <w:color w:val="000000"/>
          <w:sz w:val="24"/>
          <w:u w:val="none"/>
        </w:rPr>
        <w:t>年</w:t>
      </w:r>
      <w:r>
        <w:rPr>
          <w:rFonts w:hint="eastAsia" w:ascii="宋体" w:hAnsi="宋体" w:cs="宋体"/>
          <w:color w:val="000000"/>
          <w:sz w:val="24"/>
        </w:rPr>
        <w:t>。</w:t>
      </w:r>
    </w:p>
    <w:p w14:paraId="46C1FEA4">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3.乙方提供的服务承诺和售后服务及保修期责任等其它具体约定事项。（见合同附件）</w:t>
      </w:r>
    </w:p>
    <w:p w14:paraId="15FBDCD5">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第八条</w:t>
      </w:r>
      <w:r>
        <w:rPr>
          <w:rFonts w:hint="eastAsia" w:ascii="宋体" w:hAnsi="宋体" w:cs="宋体"/>
          <w:b/>
          <w:color w:val="000000"/>
          <w:sz w:val="24"/>
          <w:lang w:eastAsia="zh-CN"/>
        </w:rPr>
        <w:t xml:space="preserve"> </w:t>
      </w:r>
      <w:r>
        <w:rPr>
          <w:rFonts w:hint="eastAsia" w:ascii="宋体" w:hAnsi="宋体" w:cs="宋体"/>
          <w:b/>
          <w:color w:val="000000"/>
          <w:sz w:val="24"/>
        </w:rPr>
        <w:t>付款方式</w:t>
      </w:r>
    </w:p>
    <w:p w14:paraId="5E2A5268">
      <w:pPr>
        <w:pStyle w:val="4"/>
        <w:snapToGrid w:val="0"/>
        <w:spacing w:line="360" w:lineRule="auto"/>
        <w:ind w:firstLine="480" w:firstLineChars="200"/>
        <w:rPr>
          <w:rFonts w:hint="eastAsia" w:hAnsi="宋体" w:cs="宋体"/>
          <w:sz w:val="24"/>
          <w:szCs w:val="24"/>
        </w:rPr>
      </w:pPr>
      <w:r>
        <w:rPr>
          <w:rFonts w:hint="eastAsia" w:hAnsi="宋体" w:cs="宋体"/>
          <w:bCs/>
          <w:color w:val="000000"/>
          <w:sz w:val="24"/>
          <w:szCs w:val="24"/>
        </w:rPr>
        <w:t>1</w:t>
      </w:r>
      <w:r>
        <w:rPr>
          <w:rFonts w:hint="eastAsia" w:hAnsi="宋体" w:cs="宋体"/>
          <w:color w:val="000000"/>
          <w:sz w:val="24"/>
          <w:szCs w:val="24"/>
        </w:rPr>
        <w:t>.当采购数量与实际使用数量不一致时，乙方应根据实际使用量供货，合同的最终结算金</w:t>
      </w:r>
      <w:r>
        <w:rPr>
          <w:rFonts w:hint="eastAsia" w:hAnsi="宋体" w:cs="宋体"/>
          <w:sz w:val="24"/>
          <w:szCs w:val="24"/>
        </w:rPr>
        <w:t>额按实际使用量乘以成交单价进行计算，但不得超出合同价的10%。</w:t>
      </w:r>
    </w:p>
    <w:p w14:paraId="52A25B71">
      <w:pPr>
        <w:pStyle w:val="4"/>
        <w:snapToGrid w:val="0"/>
        <w:spacing w:line="360" w:lineRule="auto"/>
        <w:ind w:firstLine="480" w:firstLineChars="200"/>
        <w:rPr>
          <w:rFonts w:hint="eastAsia" w:hAnsi="宋体" w:cs="宋体"/>
          <w:sz w:val="24"/>
          <w:szCs w:val="24"/>
        </w:rPr>
      </w:pPr>
      <w:r>
        <w:rPr>
          <w:rFonts w:hint="eastAsia" w:hAnsi="宋体" w:cs="宋体"/>
          <w:bCs/>
          <w:sz w:val="24"/>
          <w:szCs w:val="24"/>
        </w:rPr>
        <w:t>2.</w:t>
      </w:r>
      <w:r>
        <w:rPr>
          <w:rFonts w:hint="eastAsia" w:hAnsi="宋体" w:cs="宋体"/>
          <w:sz w:val="24"/>
          <w:szCs w:val="24"/>
        </w:rPr>
        <w:t>付款方式：</w:t>
      </w:r>
      <w:r>
        <w:rPr>
          <w:rFonts w:hint="eastAsia" w:hAnsi="宋体" w:cs="宋体"/>
          <w:b/>
          <w:bCs/>
          <w:color w:val="000000"/>
          <w:kern w:val="2"/>
          <w:sz w:val="24"/>
          <w:szCs w:val="24"/>
          <w:u w:val="single"/>
        </w:rPr>
        <w:t>本项目无预付款，验收</w:t>
      </w:r>
      <w:r>
        <w:rPr>
          <w:rFonts w:hint="eastAsia" w:hAnsi="宋体" w:cs="宋体"/>
          <w:b/>
          <w:bCs/>
          <w:color w:val="auto"/>
          <w:kern w:val="2"/>
          <w:sz w:val="24"/>
          <w:szCs w:val="24"/>
          <w:u w:val="single"/>
          <w:lang w:eastAsia="zh-CN"/>
        </w:rPr>
        <w:t>合格</w:t>
      </w:r>
      <w:r>
        <w:rPr>
          <w:rFonts w:hint="eastAsia" w:hAnsi="宋体" w:cs="宋体"/>
          <w:b/>
          <w:bCs/>
          <w:color w:val="000000"/>
          <w:kern w:val="2"/>
          <w:sz w:val="24"/>
          <w:szCs w:val="24"/>
          <w:u w:val="single"/>
        </w:rPr>
        <w:t>后一次性支付全部货款。</w:t>
      </w:r>
    </w:p>
    <w:p w14:paraId="322B060C">
      <w:pPr>
        <w:snapToGrid w:val="0"/>
        <w:spacing w:line="360" w:lineRule="auto"/>
        <w:ind w:left="-61" w:leftChars="-29" w:firstLine="590" w:firstLineChars="245"/>
        <w:rPr>
          <w:rFonts w:hint="eastAsia" w:ascii="宋体" w:hAnsi="宋体" w:cs="宋体"/>
          <w:b/>
          <w:sz w:val="24"/>
        </w:rPr>
      </w:pPr>
      <w:r>
        <w:rPr>
          <w:rFonts w:hint="eastAsia" w:ascii="宋体" w:hAnsi="宋体" w:cs="宋体"/>
          <w:b/>
          <w:sz w:val="24"/>
        </w:rPr>
        <w:t>第九条</w:t>
      </w:r>
      <w:r>
        <w:rPr>
          <w:rFonts w:hint="eastAsia" w:ascii="宋体" w:hAnsi="宋体" w:cs="宋体"/>
          <w:b/>
          <w:sz w:val="24"/>
          <w:lang w:eastAsia="zh-CN"/>
        </w:rPr>
        <w:t xml:space="preserve"> </w:t>
      </w:r>
      <w:r>
        <w:rPr>
          <w:rFonts w:hint="eastAsia" w:ascii="宋体" w:hAnsi="宋体" w:cs="宋体"/>
          <w:b/>
          <w:sz w:val="24"/>
        </w:rPr>
        <w:t>履约保证金</w:t>
      </w:r>
    </w:p>
    <w:p w14:paraId="4A014F34">
      <w:pPr>
        <w:autoSpaceDE w:val="0"/>
        <w:autoSpaceDN w:val="0"/>
        <w:snapToGrid w:val="0"/>
        <w:spacing w:line="360" w:lineRule="auto"/>
        <w:ind w:firstLine="484" w:firstLineChars="202"/>
        <w:textAlignment w:val="bottom"/>
        <w:rPr>
          <w:rFonts w:hint="eastAsia" w:ascii="宋体" w:hAnsi="宋体" w:cs="宋体"/>
          <w:sz w:val="24"/>
        </w:rPr>
      </w:pPr>
      <w:r>
        <w:rPr>
          <w:rFonts w:hint="eastAsia" w:ascii="宋体" w:hAnsi="宋体" w:cs="宋体"/>
          <w:sz w:val="24"/>
        </w:rPr>
        <w:t>履约保证金金额：</w:t>
      </w:r>
      <w:r>
        <w:rPr>
          <w:rFonts w:hint="eastAsia" w:ascii="宋体" w:hAnsi="宋体" w:cs="宋体"/>
          <w:b/>
          <w:bCs/>
          <w:sz w:val="24"/>
          <w:u w:val="single"/>
        </w:rPr>
        <w:t xml:space="preserve"> 无，本项目不需要提交履约保证金，乙方应按照招标文件要求以及投标文件的承诺对本项目提供全面的、合格的售后服务内容</w:t>
      </w:r>
      <w:r>
        <w:rPr>
          <w:rFonts w:hint="eastAsia" w:ascii="宋体" w:hAnsi="宋体" w:cs="宋体"/>
          <w:sz w:val="24"/>
        </w:rPr>
        <w:t>。</w:t>
      </w:r>
    </w:p>
    <w:p w14:paraId="534332EB">
      <w:pPr>
        <w:snapToGrid w:val="0"/>
        <w:spacing w:line="360" w:lineRule="auto"/>
        <w:ind w:left="-61" w:firstLine="514"/>
        <w:rPr>
          <w:rFonts w:hint="eastAsia" w:ascii="宋体" w:hAnsi="宋体" w:cs="宋体"/>
          <w:b/>
          <w:sz w:val="24"/>
        </w:rPr>
      </w:pPr>
      <w:r>
        <w:rPr>
          <w:rFonts w:hint="eastAsia" w:ascii="宋体" w:hAnsi="宋体" w:cs="宋体"/>
          <w:b/>
          <w:sz w:val="24"/>
        </w:rPr>
        <w:t>第十条  税费</w:t>
      </w:r>
    </w:p>
    <w:p w14:paraId="6AFB4D1A">
      <w:pPr>
        <w:snapToGrid w:val="0"/>
        <w:spacing w:line="360" w:lineRule="auto"/>
        <w:ind w:left="-61" w:firstLine="514"/>
        <w:rPr>
          <w:rFonts w:hint="eastAsia" w:ascii="宋体" w:hAnsi="宋体" w:cs="宋体"/>
          <w:color w:val="000000"/>
          <w:sz w:val="24"/>
        </w:rPr>
      </w:pPr>
      <w:r>
        <w:rPr>
          <w:rFonts w:hint="eastAsia" w:ascii="宋体" w:hAnsi="宋体" w:cs="宋体"/>
          <w:sz w:val="24"/>
        </w:rPr>
        <w:t>本合同执行中相关的一切税费均由乙方负担，合</w:t>
      </w:r>
      <w:r>
        <w:rPr>
          <w:rFonts w:hint="eastAsia" w:ascii="宋体" w:hAnsi="宋体" w:cs="宋体"/>
          <w:color w:val="000000"/>
          <w:sz w:val="24"/>
        </w:rPr>
        <w:t>同另有约定的除外。</w:t>
      </w:r>
    </w:p>
    <w:p w14:paraId="17919A20">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第十一条  质量保证及售后服务</w:t>
      </w:r>
    </w:p>
    <w:p w14:paraId="7ABFB0CF">
      <w:pPr>
        <w:pStyle w:val="4"/>
        <w:snapToGrid w:val="0"/>
        <w:spacing w:line="360" w:lineRule="auto"/>
        <w:ind w:firstLine="480" w:firstLineChars="200"/>
        <w:rPr>
          <w:rFonts w:hint="eastAsia" w:hAnsi="宋体" w:cs="宋体"/>
          <w:color w:val="000000"/>
          <w:sz w:val="24"/>
          <w:szCs w:val="24"/>
        </w:rPr>
      </w:pPr>
      <w:r>
        <w:rPr>
          <w:rFonts w:hint="eastAsia" w:hAnsi="宋体" w:cs="宋体"/>
          <w:bCs/>
          <w:color w:val="000000"/>
          <w:sz w:val="24"/>
          <w:szCs w:val="24"/>
        </w:rPr>
        <w:t>1.</w:t>
      </w:r>
      <w:r>
        <w:rPr>
          <w:rFonts w:hint="eastAsia" w:hAnsi="宋体" w:cs="宋体"/>
          <w:color w:val="000000"/>
          <w:sz w:val="24"/>
          <w:szCs w:val="24"/>
        </w:rPr>
        <w:t>乙方应按招标文件规定的产品名称、商标品牌、生产厂家、规格型号、技术参数、质量标准向甲方提供未经使用的全新产品。不符合要求的，根据实际情况，甲方有权按以下办法处理：</w:t>
      </w:r>
    </w:p>
    <w:p w14:paraId="3B4463EE">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⑴更换：由乙方承担所发生的全部费用。</w:t>
      </w:r>
    </w:p>
    <w:p w14:paraId="63A86280">
      <w:pPr>
        <w:pStyle w:val="4"/>
        <w:snapToGrid w:val="0"/>
        <w:spacing w:line="360" w:lineRule="auto"/>
        <w:ind w:firstLine="420"/>
        <w:rPr>
          <w:rFonts w:hint="eastAsia" w:hAnsi="宋体" w:cs="宋体"/>
          <w:color w:val="000000"/>
          <w:sz w:val="24"/>
          <w:szCs w:val="24"/>
        </w:rPr>
      </w:pPr>
      <w:r>
        <w:rPr>
          <w:rFonts w:hint="eastAsia" w:hAnsi="宋体" w:cs="宋体"/>
          <w:color w:val="000000"/>
          <w:sz w:val="24"/>
          <w:szCs w:val="24"/>
        </w:rPr>
        <w:t>⑵贬值处理：由甲乙双方合议定价。</w:t>
      </w:r>
    </w:p>
    <w:p w14:paraId="602D9106">
      <w:pPr>
        <w:pStyle w:val="4"/>
        <w:snapToGrid w:val="0"/>
        <w:spacing w:line="360" w:lineRule="auto"/>
        <w:ind w:firstLine="420"/>
        <w:rPr>
          <w:rFonts w:hint="eastAsia" w:hAnsi="宋体" w:cs="宋体"/>
          <w:color w:val="000000"/>
          <w:sz w:val="24"/>
          <w:szCs w:val="24"/>
        </w:rPr>
      </w:pPr>
      <w:r>
        <w:rPr>
          <w:rFonts w:hint="eastAsia" w:hAnsi="宋体" w:cs="宋体"/>
          <w:color w:val="000000"/>
          <w:sz w:val="24"/>
          <w:szCs w:val="24"/>
        </w:rPr>
        <w:t>⑶退货处理：乙方应退还甲方支付的合同款，同时应承担该货物的直接费用（运输、保险、检验、货款利息及银行手续费等）。</w:t>
      </w:r>
    </w:p>
    <w:p w14:paraId="6AE6F01D">
      <w:pPr>
        <w:pStyle w:val="4"/>
        <w:snapToGrid w:val="0"/>
        <w:spacing w:line="360" w:lineRule="auto"/>
        <w:ind w:firstLine="480" w:firstLineChars="200"/>
        <w:rPr>
          <w:rFonts w:hint="eastAsia" w:hAnsi="宋体" w:eastAsia="宋体" w:cs="宋体"/>
          <w:b/>
          <w:bCs/>
          <w:kern w:val="2"/>
          <w:sz w:val="24"/>
          <w:szCs w:val="24"/>
          <w:u w:val="single"/>
        </w:rPr>
      </w:pPr>
      <w:r>
        <w:rPr>
          <w:rFonts w:hint="eastAsia" w:hAnsi="宋体" w:cs="宋体"/>
          <w:color w:val="000000"/>
          <w:sz w:val="24"/>
          <w:szCs w:val="24"/>
        </w:rPr>
        <w:t>2.如在使用过程中发生质量问题，</w:t>
      </w:r>
      <w:r>
        <w:rPr>
          <w:rFonts w:hint="eastAsia" w:hAnsi="宋体" w:cs="宋体"/>
          <w:b/>
          <w:bCs/>
          <w:kern w:val="2"/>
          <w:sz w:val="24"/>
          <w:szCs w:val="24"/>
          <w:u w:val="single"/>
        </w:rPr>
        <w:t>乙方在接到故障通知后在</w:t>
      </w:r>
      <w:r>
        <w:rPr>
          <w:rFonts w:hint="eastAsia" w:hAnsi="宋体" w:cs="宋体"/>
          <w:b/>
          <w:bCs/>
          <w:kern w:val="2"/>
          <w:sz w:val="24"/>
          <w:szCs w:val="24"/>
          <w:u w:val="single"/>
          <w:lang w:val="en-US" w:eastAsia="zh-CN"/>
        </w:rPr>
        <w:t>1</w:t>
      </w:r>
      <w:r>
        <w:rPr>
          <w:rFonts w:hint="eastAsia" w:hAnsi="宋体" w:cs="宋体"/>
          <w:b/>
          <w:bCs/>
          <w:kern w:val="2"/>
          <w:sz w:val="24"/>
          <w:szCs w:val="24"/>
          <w:u w:val="single"/>
        </w:rPr>
        <w:t>2小时内到达甲方指定现场；对于故障处理，乙方在质保期内提供免费维</w:t>
      </w:r>
      <w:r>
        <w:rPr>
          <w:rFonts w:hint="eastAsia" w:hAnsi="宋体" w:cs="宋体"/>
          <w:b/>
          <w:bCs/>
          <w:kern w:val="2"/>
          <w:sz w:val="24"/>
          <w:szCs w:val="24"/>
          <w:u w:val="single"/>
          <w:lang w:val="en-US" w:eastAsia="zh-CN"/>
        </w:rPr>
        <w:t>修</w:t>
      </w:r>
      <w:r>
        <w:rPr>
          <w:rFonts w:hint="eastAsia" w:hAnsi="宋体" w:cs="宋体"/>
          <w:b/>
          <w:bCs/>
          <w:kern w:val="2"/>
          <w:sz w:val="24"/>
          <w:szCs w:val="24"/>
          <w:u w:val="single"/>
        </w:rPr>
        <w:t>服务，24小时无法排除故障时，提供相同型号备用设备，以保证正常使用。</w:t>
      </w:r>
      <w:r>
        <w:rPr>
          <w:rFonts w:hint="eastAsia" w:ascii="宋体" w:hAnsi="宋体" w:eastAsia="宋体" w:cs="宋体"/>
          <w:sz w:val="24"/>
          <w:szCs w:val="24"/>
          <w:u w:val="single"/>
        </w:rPr>
        <w:t>乙方在接到甲方通知后拒不响应或解决故障的，甲方有权聘请第三方进行维修，由此产生的费用由乙方承担。</w:t>
      </w:r>
    </w:p>
    <w:p w14:paraId="029629B1">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3.在质保期内，乙方应对货物出现的质量及安全问题负责处理解决并承担一切费用。</w:t>
      </w:r>
    </w:p>
    <w:p w14:paraId="67694C59">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4.上述的货物质保期为</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叁</w:t>
      </w:r>
      <w:r>
        <w:rPr>
          <w:rFonts w:hint="eastAsia" w:ascii="宋体" w:hAnsi="宋体" w:cs="宋体"/>
          <w:b/>
          <w:bCs/>
          <w:color w:val="000000"/>
          <w:sz w:val="24"/>
          <w:u w:val="single"/>
        </w:rPr>
        <w:t xml:space="preserve"> </w:t>
      </w:r>
      <w:r>
        <w:rPr>
          <w:rFonts w:hint="eastAsia" w:ascii="宋体" w:hAnsi="宋体" w:cs="宋体"/>
          <w:color w:val="000000"/>
          <w:sz w:val="24"/>
        </w:rPr>
        <w:t>年，因人为因素出现的故障不在免费保修范围内。超过保修期的机器设备，终生维修，维修时只收部件成本费。</w:t>
      </w:r>
    </w:p>
    <w:p w14:paraId="1CA3DD20">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第十二条  调试和验收（本条款适用于甲方自行验收，委托第三方验收的另行规定）</w:t>
      </w:r>
    </w:p>
    <w:p w14:paraId="3283F4BF">
      <w:pPr>
        <w:pStyle w:val="4"/>
        <w:snapToGrid w:val="0"/>
        <w:spacing w:line="360" w:lineRule="auto"/>
        <w:ind w:firstLine="480" w:firstLineChars="200"/>
        <w:jc w:val="left"/>
        <w:rPr>
          <w:rFonts w:hint="eastAsia" w:hAnsi="宋体" w:cs="宋体"/>
          <w:color w:val="000000"/>
          <w:sz w:val="24"/>
          <w:szCs w:val="24"/>
        </w:rPr>
      </w:pPr>
      <w:r>
        <w:rPr>
          <w:rFonts w:hint="eastAsia" w:hAnsi="宋体" w:cs="宋体"/>
          <w:color w:val="000000"/>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0AEB7F3">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2.乙方交货前应对产品作出全面检查和对验收文件进行整理，并列出清单，作为甲方收货验收和使用的技术条件依据，检验的结果应随货物交甲方。</w:t>
      </w:r>
    </w:p>
    <w:p w14:paraId="4066BBB4">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3.甲方对乙方提供的货物在使用前进行调试时，乙方需负责安装并培训甲方的使用操作人员，并协助甲方一起调试，直到符合技术要求，甲方才做最终验收。</w:t>
      </w:r>
    </w:p>
    <w:p w14:paraId="310C9DF5">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4.对技术复杂的货物，甲方可请国家认可的专业检测机构参与初步验收及最终验收，并由其出具质量检测报告。</w:t>
      </w:r>
    </w:p>
    <w:p w14:paraId="435EF334">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5.验收时乙方必须在现场，验收完毕后作出验收结果报告；验收费用按招标文件约定承担方负责。</w:t>
      </w:r>
    </w:p>
    <w:p w14:paraId="1A5CD2D6">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第十三条  货物包装、发运及运输</w:t>
      </w:r>
    </w:p>
    <w:p w14:paraId="4BB99F43">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1.乙方应在货物发运前对其进行满足运输距离、防潮、防震、防锈和防破损装卸等要求包装，以保证货物安全运达甲方指定地点。</w:t>
      </w:r>
    </w:p>
    <w:p w14:paraId="0F504602">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2.使用说明书（货物属于进口产品的，供货时应同时附上中文使用说明书）、质量检验证明书、随配附件和工具以及清单一并附于货物内。</w:t>
      </w:r>
    </w:p>
    <w:p w14:paraId="12402D26">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3.乙方在货物发运手续办理完毕后24小时内或者货到甲方48小时前通知甲方，以准备接货。</w:t>
      </w:r>
    </w:p>
    <w:p w14:paraId="59533985">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4.货物在交付甲方前发生的风险均由乙方负责。</w:t>
      </w:r>
    </w:p>
    <w:p w14:paraId="6E6BD320">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5.货物在规定的交付期限内由乙方送达甲方指定的地点视为交付，乙方同时需通知甲方货物已送达。</w:t>
      </w:r>
    </w:p>
    <w:p w14:paraId="47EB1B11">
      <w:pPr>
        <w:suppressAutoHyphens/>
        <w:snapToGrid w:val="0"/>
        <w:spacing w:line="360" w:lineRule="exact"/>
        <w:ind w:firstLine="482" w:firstLineChars="200"/>
        <w:rPr>
          <w:rFonts w:hint="default" w:ascii="宋体" w:hAnsi="宋体" w:cs="宋体" w:eastAsiaTheme="minorEastAsia"/>
          <w:b/>
          <w:color w:val="000000"/>
          <w:sz w:val="24"/>
          <w:lang w:val="en-US" w:eastAsia="zh-CN"/>
        </w:rPr>
      </w:pPr>
      <w:r>
        <w:rPr>
          <w:rFonts w:hint="eastAsia" w:ascii="宋体" w:hAnsi="宋体" w:cs="宋体"/>
          <w:b/>
          <w:color w:val="000000"/>
          <w:sz w:val="24"/>
        </w:rPr>
        <w:t>第十四条</w:t>
      </w:r>
      <w:r>
        <w:rPr>
          <w:rFonts w:hint="eastAsia" w:ascii="宋体" w:hAnsi="宋体" w:cs="宋体"/>
          <w:b/>
          <w:color w:val="000000"/>
          <w:sz w:val="24"/>
          <w:lang w:val="en-US" w:eastAsia="zh-CN"/>
        </w:rPr>
        <w:t xml:space="preserve">  违约责任</w:t>
      </w:r>
    </w:p>
    <w:p w14:paraId="641B9676">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val="en-US" w:eastAsia="zh-CN"/>
        </w:rPr>
        <w:t xml:space="preserve">1. </w:t>
      </w:r>
      <w:r>
        <w:rPr>
          <w:rFonts w:hint="eastAsia" w:ascii="宋体" w:hAnsi="宋体" w:eastAsia="宋体" w:cs="宋体"/>
          <w:kern w:val="1"/>
          <w:sz w:val="24"/>
          <w:szCs w:val="24"/>
          <w:lang w:eastAsia="ar-SA"/>
        </w:rPr>
        <w:t>乙方所提供的货物规格、技术标准、材料</w:t>
      </w:r>
      <w:r>
        <w:rPr>
          <w:rFonts w:hint="eastAsia" w:ascii="宋体" w:hAnsi="宋体" w:eastAsia="宋体" w:cs="宋体"/>
          <w:kern w:val="1"/>
          <w:sz w:val="24"/>
          <w:szCs w:val="24"/>
        </w:rPr>
        <w:t>、品牌</w:t>
      </w:r>
      <w:r>
        <w:rPr>
          <w:rFonts w:hint="eastAsia" w:ascii="宋体" w:hAnsi="宋体" w:eastAsia="宋体" w:cs="宋体"/>
          <w:kern w:val="1"/>
          <w:sz w:val="24"/>
          <w:szCs w:val="24"/>
          <w:lang w:eastAsia="ar-SA"/>
        </w:rPr>
        <w:t>等</w:t>
      </w:r>
      <w:r>
        <w:rPr>
          <w:rFonts w:hint="eastAsia" w:ascii="宋体" w:hAnsi="宋体" w:eastAsia="宋体" w:cs="宋体"/>
          <w:kern w:val="1"/>
          <w:sz w:val="24"/>
          <w:szCs w:val="24"/>
        </w:rPr>
        <w:t>不符合采购文件</w:t>
      </w:r>
      <w:r>
        <w:rPr>
          <w:rFonts w:hint="eastAsia" w:ascii="宋体" w:hAnsi="宋体" w:eastAsia="宋体" w:cs="宋体"/>
          <w:kern w:val="1"/>
          <w:sz w:val="24"/>
          <w:szCs w:val="24"/>
          <w:lang w:eastAsia="ar-SA"/>
        </w:rPr>
        <w:t>、响应文件</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国家</w:t>
      </w:r>
      <w:r>
        <w:rPr>
          <w:rFonts w:hint="eastAsia" w:ascii="宋体" w:hAnsi="宋体" w:eastAsia="宋体" w:cs="宋体"/>
          <w:kern w:val="1"/>
          <w:sz w:val="24"/>
          <w:szCs w:val="24"/>
        </w:rPr>
        <w:t>质量标准</w:t>
      </w:r>
      <w:r>
        <w:rPr>
          <w:rFonts w:hint="eastAsia" w:ascii="宋体" w:hAnsi="宋体" w:eastAsia="宋体" w:cs="宋体"/>
          <w:kern w:val="1"/>
          <w:sz w:val="24"/>
          <w:szCs w:val="24"/>
          <w:lang w:eastAsia="ar-SA"/>
        </w:rPr>
        <w:t>、行业质量标准的，应在15 个工作日内更换，换货期间计入乙方交货时间，</w:t>
      </w:r>
      <w:r>
        <w:rPr>
          <w:rFonts w:hint="eastAsia" w:ascii="宋体" w:hAnsi="宋体" w:eastAsia="宋体" w:cs="宋体"/>
          <w:kern w:val="1"/>
          <w:sz w:val="24"/>
          <w:szCs w:val="24"/>
        </w:rPr>
        <w:t>如因换货导致</w:t>
      </w:r>
      <w:r>
        <w:rPr>
          <w:rFonts w:hint="eastAsia" w:ascii="宋体" w:hAnsi="宋体" w:eastAsia="宋体" w:cs="宋体"/>
          <w:kern w:val="1"/>
          <w:sz w:val="24"/>
          <w:szCs w:val="24"/>
          <w:lang w:eastAsia="ar-SA"/>
        </w:rPr>
        <w:t>逾期交货的</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乙方应承担相应违约责任。乙方拒绝更换或更换货物后仍不符合本合同约定的，该货物的价款不计入结算金额</w:t>
      </w:r>
      <w:r>
        <w:rPr>
          <w:rFonts w:hint="eastAsia" w:ascii="宋体" w:hAnsi="宋体" w:eastAsia="宋体" w:cs="宋体"/>
          <w:kern w:val="1"/>
          <w:sz w:val="24"/>
          <w:szCs w:val="24"/>
        </w:rPr>
        <w:t>（或从合同合计金额中扣除）</w:t>
      </w:r>
      <w:r>
        <w:rPr>
          <w:rFonts w:hint="eastAsia" w:ascii="宋体" w:hAnsi="宋体" w:eastAsia="宋体" w:cs="宋体"/>
          <w:kern w:val="1"/>
          <w:sz w:val="24"/>
          <w:szCs w:val="24"/>
          <w:lang w:eastAsia="ar-SA"/>
        </w:rPr>
        <w:t>，且乙方应按合同合计金额的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0%向甲方支付违约金</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乙方所提供的货物仅存在不影响使用的质量瑕疵且特殊情况下甲方同意接收的，乙方应向甲方支付违约货款额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w:t>
      </w:r>
    </w:p>
    <w:p w14:paraId="4DC7F222">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2.乙方提供的货物如侵犯了第三方合法权益（包括但不限于知识产权、所有权、用益权物、担保物权等）而引发的任何纠纷或诉讼，均由乙方负责交涉并承担全部责任。在处理纠纷或诉讼的过程中，乙方应为甲方取得继续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的权利，或者将该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替换或修改，以便使用该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不再侵权。如果乙方不能合理地完成这些补救措施，并且甲方必须停止使用侵权的</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，甲方有权解除合同，要求乙方需退还甲方已付价款，没收</w:t>
      </w:r>
      <w:r>
        <w:rPr>
          <w:rFonts w:hint="eastAsia" w:ascii="宋体" w:hAnsi="宋体" w:eastAsia="宋体" w:cs="宋体"/>
          <w:kern w:val="1"/>
          <w:sz w:val="24"/>
          <w:szCs w:val="24"/>
        </w:rPr>
        <w:t>履约</w:t>
      </w:r>
      <w:r>
        <w:rPr>
          <w:rFonts w:hint="eastAsia" w:ascii="宋体" w:hAnsi="宋体" w:eastAsia="宋体" w:cs="宋体"/>
          <w:kern w:val="1"/>
          <w:sz w:val="24"/>
          <w:szCs w:val="24"/>
          <w:lang w:eastAsia="ar-SA"/>
        </w:rPr>
        <w:t>保证金，并有权要求</w:t>
      </w:r>
      <w:r>
        <w:rPr>
          <w:rFonts w:hint="eastAsia" w:ascii="宋体" w:hAnsi="宋体" w:eastAsia="宋体" w:cs="宋体"/>
          <w:kern w:val="1"/>
          <w:sz w:val="24"/>
          <w:szCs w:val="24"/>
        </w:rPr>
        <w:t>乙方</w:t>
      </w:r>
      <w:r>
        <w:rPr>
          <w:rFonts w:hint="eastAsia" w:ascii="宋体" w:hAnsi="宋体" w:eastAsia="宋体" w:cs="宋体"/>
          <w:kern w:val="1"/>
          <w:sz w:val="24"/>
          <w:szCs w:val="24"/>
          <w:lang w:eastAsia="ar-SA"/>
        </w:rPr>
        <w:t>按合同合计金额</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 xml:space="preserve">30% </w:t>
      </w:r>
      <w:r>
        <w:rPr>
          <w:rFonts w:hint="eastAsia" w:ascii="宋体" w:hAnsi="宋体" w:eastAsia="宋体" w:cs="宋体"/>
          <w:kern w:val="1"/>
          <w:sz w:val="24"/>
          <w:szCs w:val="24"/>
        </w:rPr>
        <w:t>支付违约金</w:t>
      </w:r>
      <w:r>
        <w:rPr>
          <w:rFonts w:hint="eastAsia" w:ascii="宋体" w:hAnsi="宋体" w:eastAsia="宋体" w:cs="宋体"/>
          <w:kern w:val="1"/>
          <w:sz w:val="24"/>
          <w:szCs w:val="24"/>
          <w:lang w:eastAsia="ar-SA"/>
        </w:rPr>
        <w:t>。</w:t>
      </w:r>
    </w:p>
    <w:p w14:paraId="2BA6CE41">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3.因包装、运输引起的货物损坏，</w:t>
      </w:r>
      <w:r>
        <w:rPr>
          <w:rFonts w:hint="eastAsia" w:ascii="宋体" w:hAnsi="宋体" w:eastAsia="宋体" w:cs="宋体"/>
          <w:kern w:val="1"/>
          <w:sz w:val="24"/>
          <w:szCs w:val="24"/>
          <w:lang w:eastAsia="zh-Hans"/>
        </w:rPr>
        <w:t>甲方有权选择不予接收或</w:t>
      </w:r>
      <w:r>
        <w:rPr>
          <w:rFonts w:hint="eastAsia" w:ascii="宋体" w:hAnsi="宋体" w:eastAsia="宋体" w:cs="宋体"/>
          <w:kern w:val="1"/>
          <w:sz w:val="24"/>
          <w:szCs w:val="24"/>
          <w:lang w:eastAsia="ar-SA"/>
        </w:rPr>
        <w:t>按质量不合格</w:t>
      </w:r>
      <w:r>
        <w:rPr>
          <w:rFonts w:hint="eastAsia" w:ascii="宋体" w:hAnsi="宋体" w:eastAsia="宋体" w:cs="宋体"/>
          <w:kern w:val="1"/>
          <w:sz w:val="24"/>
          <w:szCs w:val="24"/>
        </w:rPr>
        <w:t>要求乙方承担相应违约责任</w:t>
      </w:r>
      <w:r>
        <w:rPr>
          <w:rFonts w:hint="eastAsia" w:ascii="宋体" w:hAnsi="宋体" w:eastAsia="宋体" w:cs="宋体"/>
          <w:kern w:val="1"/>
          <w:sz w:val="24"/>
          <w:szCs w:val="24"/>
          <w:lang w:eastAsia="ar-SA"/>
        </w:rPr>
        <w:t>。</w:t>
      </w:r>
    </w:p>
    <w:p w14:paraId="20873DCA">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4.甲方无故延期接收货物</w:t>
      </w:r>
      <w:r>
        <w:rPr>
          <w:rFonts w:hint="eastAsia" w:ascii="宋体" w:hAnsi="宋体" w:eastAsia="宋体" w:cs="宋体"/>
          <w:kern w:val="1"/>
          <w:sz w:val="24"/>
          <w:szCs w:val="24"/>
        </w:rPr>
        <w:t>的</w:t>
      </w:r>
      <w:r>
        <w:rPr>
          <w:rFonts w:hint="eastAsia" w:ascii="宋体" w:hAnsi="宋体" w:eastAsia="宋体" w:cs="宋体"/>
          <w:sz w:val="24"/>
          <w:szCs w:val="24"/>
        </w:rPr>
        <w:t>，需补偿乙方因此增加的直接成本。</w:t>
      </w:r>
      <w:r>
        <w:rPr>
          <w:rFonts w:hint="eastAsia" w:ascii="宋体" w:hAnsi="宋体" w:eastAsia="宋体" w:cs="宋体"/>
          <w:kern w:val="1"/>
          <w:sz w:val="24"/>
          <w:szCs w:val="24"/>
          <w:lang w:eastAsia="ar-SA"/>
        </w:rPr>
        <w:t>乙方逾期交货的，每天向</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方偿付违约货款额</w:t>
      </w:r>
      <w:r>
        <w:rPr>
          <w:rFonts w:hint="eastAsia" w:ascii="宋体" w:hAnsi="宋体" w:eastAsia="宋体" w:cs="宋体"/>
          <w:kern w:val="1"/>
          <w:sz w:val="24"/>
          <w:szCs w:val="24"/>
        </w:rPr>
        <w:t>0.4</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违约金，超过</w:t>
      </w:r>
      <w:r>
        <w:rPr>
          <w:rFonts w:hint="eastAsia" w:ascii="宋体" w:hAnsi="宋体" w:eastAsia="宋体" w:cs="宋体"/>
          <w:kern w:val="1"/>
          <w:sz w:val="24"/>
          <w:szCs w:val="24"/>
          <w:u w:val="single"/>
          <w:lang w:eastAsia="ar-SA"/>
        </w:rPr>
        <w:t>30</w:t>
      </w:r>
      <w:r>
        <w:rPr>
          <w:rFonts w:hint="eastAsia" w:ascii="宋体" w:hAnsi="宋体" w:eastAsia="宋体" w:cs="宋体"/>
          <w:kern w:val="1"/>
          <w:sz w:val="24"/>
          <w:szCs w:val="24"/>
          <w:lang w:eastAsia="ar-SA"/>
        </w:rPr>
        <w:t>天</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方有权解除合同；甲方延期</w:t>
      </w:r>
      <w:r>
        <w:rPr>
          <w:rFonts w:hint="eastAsia" w:ascii="宋体" w:hAnsi="宋体" w:eastAsia="宋体" w:cs="宋体"/>
          <w:kern w:val="1"/>
          <w:sz w:val="24"/>
          <w:szCs w:val="24"/>
        </w:rPr>
        <w:t>支付</w:t>
      </w:r>
      <w:r>
        <w:rPr>
          <w:rFonts w:hint="eastAsia" w:ascii="宋体" w:hAnsi="宋体" w:eastAsia="宋体" w:cs="宋体"/>
          <w:kern w:val="1"/>
          <w:sz w:val="24"/>
          <w:szCs w:val="24"/>
          <w:lang w:eastAsia="ar-SA"/>
        </w:rPr>
        <w:t>货款的，每天向乙方偿付延期货款额</w:t>
      </w:r>
      <w:r>
        <w:rPr>
          <w:rFonts w:hint="eastAsia" w:ascii="宋体" w:hAnsi="宋体" w:eastAsia="宋体" w:cs="宋体"/>
          <w:kern w:val="1"/>
          <w:sz w:val="24"/>
          <w:szCs w:val="24"/>
          <w:u w:val="single"/>
        </w:rPr>
        <w:t>0.1</w:t>
      </w:r>
      <w:r>
        <w:rPr>
          <w:rFonts w:hint="eastAsia" w:ascii="宋体" w:hAnsi="宋体" w:eastAsia="宋体" w:cs="宋体"/>
          <w:kern w:val="1"/>
          <w:sz w:val="24"/>
          <w:szCs w:val="24"/>
          <w:u w:val="single"/>
          <w:lang w:eastAsia="ar-SA"/>
        </w:rPr>
        <w:t xml:space="preserve">‰ </w:t>
      </w:r>
      <w:bookmarkStart w:id="0" w:name="_Hlk148991641"/>
      <w:r>
        <w:rPr>
          <w:rFonts w:hint="eastAsia" w:ascii="宋体" w:hAnsi="宋体" w:eastAsia="宋体" w:cs="宋体"/>
          <w:kern w:val="1"/>
          <w:sz w:val="24"/>
          <w:szCs w:val="24"/>
          <w:lang w:eastAsia="ar-SA"/>
        </w:rPr>
        <w:t>迟延履行金</w:t>
      </w:r>
      <w:bookmarkEnd w:id="0"/>
      <w:r>
        <w:rPr>
          <w:rFonts w:hint="eastAsia" w:ascii="宋体" w:hAnsi="宋体" w:eastAsia="宋体" w:cs="宋体"/>
          <w:kern w:val="1"/>
          <w:sz w:val="24"/>
          <w:szCs w:val="24"/>
          <w:lang w:eastAsia="ar-SA"/>
        </w:rPr>
        <w:t>，但迟延履行金累计不得超过延期货款额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lang w:eastAsia="ar-SA"/>
        </w:rPr>
        <w:t>。乙方逾期交付货物核心部件导致货物无法使用的，乙方须赔偿甲方所受到的全部损失（包括但不限于：替代物购置及安装费用等）并按本合同合计金额的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p>
    <w:p w14:paraId="1A7548D0">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5.乙方未按本合同和投标</w:t>
      </w:r>
      <w:r>
        <w:rPr>
          <w:rFonts w:hint="eastAsia" w:ascii="宋体" w:hAnsi="宋体" w:eastAsia="宋体" w:cs="宋体"/>
          <w:kern w:val="1"/>
          <w:sz w:val="24"/>
          <w:szCs w:val="24"/>
        </w:rPr>
        <w:t>/响应</w:t>
      </w:r>
      <w:r>
        <w:rPr>
          <w:rFonts w:hint="eastAsia" w:ascii="宋体" w:hAnsi="宋体" w:eastAsia="宋体" w:cs="宋体"/>
          <w:kern w:val="1"/>
          <w:sz w:val="24"/>
          <w:szCs w:val="24"/>
          <w:lang w:eastAsia="ar-SA"/>
        </w:rPr>
        <w:t>文件中规定的服务承诺提供售后服务的，</w:t>
      </w:r>
      <w:r>
        <w:rPr>
          <w:rFonts w:hint="eastAsia" w:ascii="宋体" w:hAnsi="宋体" w:eastAsia="宋体" w:cs="宋体"/>
          <w:kern w:val="1"/>
          <w:sz w:val="24"/>
          <w:szCs w:val="24"/>
        </w:rPr>
        <w:t>每出现一次，</w:t>
      </w:r>
      <w:r>
        <w:rPr>
          <w:rFonts w:hint="eastAsia" w:ascii="宋体" w:hAnsi="宋体" w:eastAsia="宋体" w:cs="宋体"/>
          <w:kern w:val="1"/>
          <w:sz w:val="24"/>
          <w:szCs w:val="24"/>
          <w:lang w:eastAsia="ar-SA"/>
        </w:rPr>
        <w:t>乙方应按本合同合计金额</w:t>
      </w:r>
      <w:r>
        <w:rPr>
          <w:rFonts w:hint="eastAsia" w:ascii="宋体" w:hAnsi="宋体" w:eastAsia="宋体" w:cs="宋体"/>
          <w:kern w:val="1"/>
          <w:sz w:val="24"/>
          <w:szCs w:val="24"/>
        </w:rPr>
        <w:t>的</w:t>
      </w:r>
      <w:r>
        <w:rPr>
          <w:rFonts w:hint="eastAsia" w:ascii="宋体" w:hAnsi="宋体" w:eastAsia="宋体" w:cs="宋体"/>
          <w:kern w:val="1"/>
          <w:sz w:val="24"/>
          <w:szCs w:val="24"/>
          <w:u w:val="single"/>
          <w:lang w:eastAsia="ar-SA"/>
        </w:rPr>
        <w:t xml:space="preserve"> 5%</w:t>
      </w:r>
      <w:r>
        <w:rPr>
          <w:rFonts w:hint="eastAsia" w:ascii="宋体" w:hAnsi="宋体" w:eastAsia="宋体" w:cs="宋体"/>
          <w:kern w:val="1"/>
          <w:sz w:val="24"/>
          <w:szCs w:val="24"/>
          <w:lang w:eastAsia="ar-SA"/>
        </w:rPr>
        <w:t>向甲方支付违约金</w:t>
      </w:r>
      <w:r>
        <w:rPr>
          <w:rFonts w:hint="eastAsia" w:ascii="宋体" w:hAnsi="宋体" w:eastAsia="宋体" w:cs="宋体"/>
          <w:kern w:val="1"/>
          <w:sz w:val="24"/>
          <w:szCs w:val="24"/>
        </w:rPr>
        <w:t>，同时甲方有权根据本合同第十一条第2</w:t>
      </w:r>
      <w:r>
        <w:rPr>
          <w:rFonts w:hint="eastAsia" w:ascii="宋体" w:hAnsi="宋体" w:eastAsia="宋体" w:cs="宋体"/>
          <w:kern w:val="1"/>
          <w:sz w:val="24"/>
          <w:szCs w:val="24"/>
          <w:lang w:val="en-US" w:eastAsia="zh-CN"/>
        </w:rPr>
        <w:t>款</w:t>
      </w:r>
      <w:r>
        <w:rPr>
          <w:rFonts w:hint="eastAsia" w:ascii="宋体" w:hAnsi="宋体" w:eastAsia="宋体" w:cs="宋体"/>
          <w:kern w:val="1"/>
          <w:sz w:val="24"/>
          <w:szCs w:val="24"/>
        </w:rPr>
        <w:t>的约定</w:t>
      </w:r>
      <w:r>
        <w:rPr>
          <w:rFonts w:hint="eastAsia" w:ascii="宋体" w:hAnsi="宋体" w:eastAsia="宋体" w:cs="宋体"/>
          <w:kern w:val="1"/>
          <w:sz w:val="24"/>
          <w:szCs w:val="24"/>
          <w:lang w:eastAsia="ar-SA"/>
        </w:rPr>
        <w:t>自行交由第三方提供售后服务，乙方</w:t>
      </w:r>
      <w:r>
        <w:rPr>
          <w:rFonts w:hint="eastAsia" w:ascii="宋体" w:hAnsi="宋体" w:eastAsia="宋体" w:cs="宋体"/>
          <w:kern w:val="1"/>
          <w:sz w:val="24"/>
          <w:szCs w:val="24"/>
        </w:rPr>
        <w:t>每次除向甲方支付违约金外，还需</w:t>
      </w:r>
      <w:r>
        <w:rPr>
          <w:rFonts w:hint="eastAsia" w:ascii="宋体" w:hAnsi="宋体" w:eastAsia="宋体" w:cs="宋体"/>
          <w:kern w:val="1"/>
          <w:sz w:val="24"/>
          <w:szCs w:val="24"/>
          <w:lang w:eastAsia="ar-SA"/>
        </w:rPr>
        <w:t>承担</w:t>
      </w:r>
      <w:r>
        <w:rPr>
          <w:rFonts w:hint="eastAsia" w:ascii="宋体" w:hAnsi="宋体" w:eastAsia="宋体" w:cs="宋体"/>
          <w:kern w:val="1"/>
          <w:sz w:val="24"/>
          <w:szCs w:val="24"/>
        </w:rPr>
        <w:t>甲方为此支出的配件费、工时费等</w:t>
      </w:r>
      <w:r>
        <w:rPr>
          <w:rFonts w:hint="eastAsia" w:ascii="宋体" w:hAnsi="宋体" w:eastAsia="宋体" w:cs="宋体"/>
          <w:kern w:val="1"/>
          <w:sz w:val="24"/>
          <w:szCs w:val="24"/>
          <w:lang w:eastAsia="ar-SA"/>
        </w:rPr>
        <w:t>一切</w:t>
      </w:r>
      <w:r>
        <w:rPr>
          <w:rFonts w:hint="eastAsia" w:ascii="宋体" w:hAnsi="宋体" w:eastAsia="宋体" w:cs="宋体"/>
          <w:kern w:val="1"/>
          <w:sz w:val="24"/>
          <w:szCs w:val="24"/>
        </w:rPr>
        <w:t>售后服务相关</w:t>
      </w:r>
      <w:r>
        <w:rPr>
          <w:rFonts w:hint="eastAsia" w:ascii="宋体" w:hAnsi="宋体" w:eastAsia="宋体" w:cs="宋体"/>
          <w:kern w:val="1"/>
          <w:sz w:val="24"/>
          <w:szCs w:val="24"/>
          <w:lang w:eastAsia="ar-SA"/>
        </w:rPr>
        <w:t>费用。</w:t>
      </w:r>
    </w:p>
    <w:p w14:paraId="01C33DB6">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6.乙方提供的货物在质量保证期内，因设计、工艺或材料的缺陷</w:t>
      </w:r>
      <w:r>
        <w:rPr>
          <w:rFonts w:hint="eastAsia" w:ascii="宋体" w:hAnsi="宋体" w:eastAsia="宋体" w:cs="宋体"/>
          <w:kern w:val="1"/>
          <w:sz w:val="24"/>
          <w:szCs w:val="24"/>
        </w:rPr>
        <w:t>和其他</w:t>
      </w:r>
      <w:r>
        <w:rPr>
          <w:rFonts w:hint="eastAsia" w:ascii="宋体" w:hAnsi="宋体" w:eastAsia="宋体" w:cs="宋体"/>
          <w:kern w:val="1"/>
          <w:sz w:val="24"/>
          <w:szCs w:val="24"/>
          <w:lang w:eastAsia="ar-SA"/>
        </w:rPr>
        <w:t>质量原因造成甲方人员（含经允许进入甲方场地的第三人）、该货物之外的其他物品受到伤害（损坏）的，由乙方负责承担由此产生的一切赔偿责任。</w:t>
      </w:r>
    </w:p>
    <w:p w14:paraId="604A7A25">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7.未经甲方书面许可，乙方擅自将本合同项下义务交由第三方完成的，视为乙方根本违约，甲方有权解除本合同。</w:t>
      </w:r>
    </w:p>
    <w:p w14:paraId="306DD50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8.乙方未按约提供</w:t>
      </w:r>
      <w:r>
        <w:rPr>
          <w:rFonts w:hint="eastAsia" w:ascii="宋体" w:hAnsi="宋体" w:eastAsia="宋体" w:cs="宋体"/>
          <w:kern w:val="1"/>
          <w:sz w:val="24"/>
          <w:szCs w:val="24"/>
        </w:rPr>
        <w:t>合法有效的足额</w:t>
      </w:r>
      <w:r>
        <w:rPr>
          <w:rFonts w:hint="eastAsia" w:ascii="宋体" w:hAnsi="宋体" w:eastAsia="宋体" w:cs="宋体"/>
          <w:kern w:val="1"/>
          <w:sz w:val="24"/>
          <w:szCs w:val="24"/>
          <w:lang w:eastAsia="ar-SA"/>
        </w:rPr>
        <w:t>发票的，除</w:t>
      </w:r>
      <w:r>
        <w:rPr>
          <w:rFonts w:hint="eastAsia" w:ascii="宋体" w:hAnsi="宋体" w:eastAsia="宋体" w:cs="宋体"/>
          <w:kern w:val="1"/>
          <w:sz w:val="24"/>
          <w:szCs w:val="24"/>
        </w:rPr>
        <w:t>须</w:t>
      </w:r>
      <w:r>
        <w:rPr>
          <w:rFonts w:hint="eastAsia" w:ascii="宋体" w:hAnsi="宋体" w:eastAsia="宋体" w:cs="宋体"/>
          <w:kern w:val="1"/>
          <w:sz w:val="24"/>
          <w:szCs w:val="24"/>
          <w:lang w:eastAsia="ar-SA"/>
        </w:rPr>
        <w:t>向甲方补开发票外，</w:t>
      </w:r>
      <w:r>
        <w:rPr>
          <w:rFonts w:hint="eastAsia" w:ascii="宋体" w:hAnsi="宋体" w:eastAsia="宋体" w:cs="宋体"/>
          <w:kern w:val="1"/>
          <w:sz w:val="24"/>
          <w:szCs w:val="24"/>
        </w:rPr>
        <w:t>还</w:t>
      </w:r>
      <w:r>
        <w:rPr>
          <w:rFonts w:hint="eastAsia" w:ascii="宋体" w:hAnsi="宋体" w:eastAsia="宋体" w:cs="宋体"/>
          <w:kern w:val="1"/>
          <w:sz w:val="24"/>
          <w:szCs w:val="24"/>
          <w:lang w:eastAsia="ar-SA"/>
        </w:rPr>
        <w:t>须</w:t>
      </w:r>
      <w:r>
        <w:rPr>
          <w:rFonts w:hint="eastAsia" w:ascii="宋体" w:hAnsi="宋体" w:eastAsia="宋体" w:cs="宋体"/>
          <w:kern w:val="1"/>
          <w:sz w:val="24"/>
          <w:szCs w:val="24"/>
        </w:rPr>
        <w:t>向甲方支付相当于不符合合同约定的发票票面金额30%的违约金。</w:t>
      </w:r>
    </w:p>
    <w:p w14:paraId="37DE12AC">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kern w:val="1"/>
          <w:sz w:val="24"/>
          <w:szCs w:val="24"/>
        </w:rPr>
        <w:t>9</w:t>
      </w:r>
      <w:r>
        <w:rPr>
          <w:rFonts w:hint="eastAsia" w:ascii="宋体" w:hAnsi="宋体" w:eastAsia="宋体" w:cs="宋体"/>
          <w:kern w:val="1"/>
          <w:sz w:val="24"/>
          <w:szCs w:val="24"/>
          <w:lang w:eastAsia="ar-SA"/>
        </w:rPr>
        <w:t>.</w:t>
      </w:r>
      <w:r>
        <w:rPr>
          <w:rFonts w:hint="eastAsia" w:ascii="宋体" w:hAnsi="宋体" w:eastAsia="宋体" w:cs="宋体"/>
          <w:sz w:val="24"/>
          <w:szCs w:val="24"/>
        </w:rPr>
        <w:t>乙方违反</w:t>
      </w:r>
      <w:r>
        <w:rPr>
          <w:rFonts w:hint="eastAsia" w:ascii="宋体" w:hAnsi="宋体" w:eastAsia="宋体" w:cs="宋体"/>
          <w:kern w:val="1"/>
          <w:sz w:val="24"/>
          <w:szCs w:val="24"/>
        </w:rPr>
        <w:t>第三条第3款</w:t>
      </w:r>
      <w:r>
        <w:rPr>
          <w:rFonts w:hint="eastAsia" w:ascii="宋体" w:hAnsi="宋体" w:eastAsia="宋体" w:cs="宋体"/>
          <w:sz w:val="24"/>
          <w:szCs w:val="24"/>
        </w:rPr>
        <w:t>约定的，应向甲方一次性支付合同合计金额30%的违约金。</w:t>
      </w:r>
    </w:p>
    <w:p w14:paraId="254C336D">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rPr>
        <w:t>10.乙方的其他</w:t>
      </w:r>
      <w:r>
        <w:rPr>
          <w:rFonts w:hint="eastAsia" w:ascii="宋体" w:hAnsi="宋体" w:eastAsia="宋体" w:cs="宋体"/>
          <w:kern w:val="1"/>
          <w:sz w:val="24"/>
          <w:szCs w:val="24"/>
          <w:lang w:eastAsia="ar-SA"/>
        </w:rPr>
        <w:t>违约行为</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按违约货款额5%收取违约金。</w:t>
      </w:r>
    </w:p>
    <w:p w14:paraId="73634B2B">
      <w:pPr>
        <w:suppressAutoHyphens/>
        <w:snapToGrid w:val="0"/>
        <w:spacing w:line="360" w:lineRule="exact"/>
        <w:ind w:firstLine="480" w:firstLineChars="200"/>
        <w:rPr>
          <w:rFonts w:hint="eastAsia" w:ascii="宋体" w:hAnsi="宋体" w:eastAsia="宋体" w:cs="宋体"/>
          <w:kern w:val="1"/>
          <w:sz w:val="24"/>
          <w:szCs w:val="24"/>
        </w:rPr>
      </w:pPr>
      <w:r>
        <w:rPr>
          <w:rFonts w:hint="eastAsia" w:ascii="宋体" w:hAnsi="宋体" w:eastAsia="宋体" w:cs="宋体"/>
          <w:kern w:val="1"/>
          <w:sz w:val="24"/>
          <w:szCs w:val="24"/>
        </w:rPr>
        <w:t>11</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甲方解除合同的，除有权要求乙方按相应违约条款承担违约责任外，还有权要求乙方按</w:t>
      </w:r>
      <w:r>
        <w:rPr>
          <w:rFonts w:hint="eastAsia" w:ascii="宋体" w:hAnsi="宋体" w:eastAsia="宋体" w:cs="宋体"/>
          <w:kern w:val="1"/>
          <w:sz w:val="24"/>
          <w:szCs w:val="24"/>
          <w:lang w:eastAsia="ar-SA"/>
        </w:rPr>
        <w:t>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r>
        <w:rPr>
          <w:rFonts w:hint="eastAsia" w:ascii="宋体" w:hAnsi="宋体" w:eastAsia="宋体" w:cs="宋体"/>
          <w:kern w:val="1"/>
          <w:sz w:val="24"/>
          <w:szCs w:val="24"/>
        </w:rPr>
        <w:t>。</w:t>
      </w:r>
    </w:p>
    <w:p w14:paraId="7B75B77B">
      <w:pPr>
        <w:suppressAutoHyphens/>
        <w:snapToGrid w:val="0"/>
        <w:spacing w:line="360" w:lineRule="exact"/>
        <w:ind w:firstLine="480" w:firstLineChars="200"/>
        <w:rPr>
          <w:rFonts w:hint="eastAsia" w:ascii="宋体" w:hAnsi="宋体" w:eastAsia="宋体" w:cs="宋体"/>
          <w:kern w:val="1"/>
          <w:sz w:val="24"/>
          <w:szCs w:val="24"/>
          <w:lang w:eastAsia="zh-Hans"/>
        </w:rPr>
      </w:pPr>
      <w:r>
        <w:rPr>
          <w:rFonts w:hint="eastAsia" w:ascii="宋体" w:hAnsi="宋体" w:eastAsia="宋体" w:cs="宋体"/>
          <w:kern w:val="1"/>
          <w:sz w:val="24"/>
          <w:szCs w:val="24"/>
        </w:rPr>
        <w:t>12.</w:t>
      </w:r>
      <w:r>
        <w:rPr>
          <w:rFonts w:hint="eastAsia" w:ascii="宋体" w:hAnsi="宋体" w:eastAsia="宋体" w:cs="宋体"/>
          <w:kern w:val="1"/>
          <w:sz w:val="24"/>
          <w:szCs w:val="24"/>
          <w:lang w:eastAsia="zh-Hans"/>
        </w:rPr>
        <w:t>任何一方存在任何违约行为的，除按合同约定承担</w:t>
      </w:r>
      <w:r>
        <w:rPr>
          <w:rFonts w:hint="eastAsia" w:ascii="宋体" w:hAnsi="宋体" w:eastAsia="宋体" w:cs="宋体"/>
          <w:kern w:val="1"/>
          <w:sz w:val="24"/>
          <w:szCs w:val="24"/>
        </w:rPr>
        <w:t>违约</w:t>
      </w:r>
      <w:r>
        <w:rPr>
          <w:rFonts w:hint="eastAsia" w:ascii="宋体" w:hAnsi="宋体" w:eastAsia="宋体" w:cs="宋体"/>
          <w:kern w:val="1"/>
          <w:sz w:val="24"/>
          <w:szCs w:val="24"/>
          <w:lang w:eastAsia="zh-Hans"/>
        </w:rPr>
        <w:t>责任外，还应赔偿守约方的一切</w:t>
      </w:r>
      <w:r>
        <w:rPr>
          <w:rFonts w:hint="eastAsia" w:ascii="宋体" w:hAnsi="宋体" w:eastAsia="宋体" w:cs="宋体"/>
          <w:kern w:val="1"/>
          <w:sz w:val="24"/>
          <w:szCs w:val="24"/>
        </w:rPr>
        <w:t>经济</w:t>
      </w:r>
      <w:r>
        <w:rPr>
          <w:rFonts w:hint="eastAsia" w:ascii="宋体" w:hAnsi="宋体" w:eastAsia="宋体" w:cs="宋体"/>
          <w:kern w:val="1"/>
          <w:sz w:val="24"/>
          <w:szCs w:val="24"/>
          <w:lang w:eastAsia="zh-Hans"/>
        </w:rPr>
        <w:t>损失</w:t>
      </w:r>
      <w:bookmarkStart w:id="1" w:name="_Hlk148991659"/>
      <w:r>
        <w:rPr>
          <w:rFonts w:hint="eastAsia" w:ascii="宋体" w:hAnsi="宋体" w:eastAsia="宋体" w:cs="宋体"/>
          <w:kern w:val="1"/>
          <w:sz w:val="24"/>
          <w:szCs w:val="24"/>
          <w:lang w:eastAsia="zh-Hans"/>
        </w:rPr>
        <w:t>，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bookmarkEnd w:id="1"/>
      <w:r>
        <w:rPr>
          <w:rFonts w:hint="eastAsia" w:ascii="宋体" w:hAnsi="宋体" w:eastAsia="宋体" w:cs="宋体"/>
          <w:kern w:val="1"/>
          <w:sz w:val="24"/>
          <w:szCs w:val="24"/>
          <w:lang w:eastAsia="zh-Hans"/>
        </w:rPr>
        <w:t>。</w:t>
      </w:r>
    </w:p>
    <w:p w14:paraId="3B516B50">
      <w:pPr>
        <w:snapToGrid w:val="0"/>
        <w:spacing w:line="360" w:lineRule="exact"/>
        <w:ind w:firstLine="480" w:firstLineChars="200"/>
        <w:rPr>
          <w:rFonts w:hint="eastAsia" w:hAnsi="宋体" w:cs="宋体"/>
          <w:color w:val="000000"/>
          <w:sz w:val="24"/>
          <w:szCs w:val="24"/>
        </w:rPr>
      </w:pPr>
      <w:bookmarkStart w:id="2" w:name="_Hlk148991669"/>
      <w:r>
        <w:rPr>
          <w:rFonts w:hint="eastAsia" w:ascii="宋体" w:hAnsi="宋体" w:eastAsia="宋体" w:cs="宋体"/>
          <w:kern w:val="1"/>
          <w:sz w:val="24"/>
          <w:szCs w:val="24"/>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bookmarkEnd w:id="2"/>
    </w:p>
    <w:p w14:paraId="6F126D6C">
      <w:pPr>
        <w:pStyle w:val="4"/>
        <w:snapToGrid w:val="0"/>
        <w:spacing w:line="360" w:lineRule="auto"/>
        <w:ind w:firstLine="354" w:firstLineChars="196"/>
        <w:rPr>
          <w:rFonts w:hint="eastAsia" w:hAnsi="宋体" w:cs="宋体"/>
          <w:b/>
          <w:color w:val="000000"/>
          <w:sz w:val="18"/>
          <w:szCs w:val="18"/>
        </w:rPr>
      </w:pPr>
    </w:p>
    <w:p w14:paraId="5396A525">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第十五条  不可抗力事件处理</w:t>
      </w:r>
    </w:p>
    <w:p w14:paraId="498F8E7C">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1.在合同有效期内，任何一方因不可抗力事件导致不能履行合同，则合同履行期可延长，其延长期与不可抗力影响期相同。</w:t>
      </w:r>
    </w:p>
    <w:p w14:paraId="56F87C96">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2.不可抗力事件发生后，应立即通知对方，并寄送有关权威机构出具的证明。</w:t>
      </w:r>
    </w:p>
    <w:p w14:paraId="4F8A6BCE">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3.不可抗力事件延续一百二十天以上，双方应通过友好协商，确定是否继续履行合同。</w:t>
      </w:r>
    </w:p>
    <w:p w14:paraId="5B81D848">
      <w:pPr>
        <w:snapToGrid w:val="0"/>
        <w:spacing w:line="360" w:lineRule="auto"/>
        <w:ind w:firstLine="301" w:firstLineChars="200"/>
        <w:rPr>
          <w:rFonts w:hint="eastAsia" w:ascii="宋体" w:hAnsi="宋体" w:cs="宋体"/>
          <w:b/>
          <w:color w:val="000000"/>
          <w:sz w:val="15"/>
          <w:szCs w:val="15"/>
        </w:rPr>
      </w:pPr>
    </w:p>
    <w:p w14:paraId="2A58643F">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第十六条  合同争议解决</w:t>
      </w:r>
    </w:p>
    <w:p w14:paraId="6B2A835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1.因货物质量问题发生争议的，应邀请国家认可的质量检测机构对货物质量进行鉴定。货物符合标准的，鉴定费由甲方承担；货物不符合标准的，鉴定费由乙方承担。</w:t>
      </w:r>
    </w:p>
    <w:p w14:paraId="7ED78AD7">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2.因履行本合同引起的或者与本合同有关的争议，甲乙双方应首先通过友好协商解决，如果协商不能解决，可向甲方所在地人民法院提起诉讼。</w:t>
      </w:r>
    </w:p>
    <w:p w14:paraId="7468F5AB">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3.诉讼期间，本合同继续履行。</w:t>
      </w:r>
    </w:p>
    <w:p w14:paraId="60F759D1">
      <w:pPr>
        <w:pStyle w:val="5"/>
        <w:rPr>
          <w:rFonts w:hint="eastAsia"/>
        </w:rPr>
      </w:pPr>
    </w:p>
    <w:p w14:paraId="4ED5F7C2">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第十七条  合同生效及其它</w:t>
      </w:r>
    </w:p>
    <w:p w14:paraId="5B5A1359">
      <w:pPr>
        <w:pStyle w:val="4"/>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1.本合同一式伍份，甲方执四份，乙方执壹份，具有同等法律效力；合同经双方法定代表人或者委托代理人签字并加盖单位公章后生效。</w:t>
      </w:r>
    </w:p>
    <w:p w14:paraId="18200C74">
      <w:pPr>
        <w:pStyle w:val="4"/>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2.合同执行中涉及采购资金和采购内容修改或者补充的，须经甲方相关部门审批，并签书面补充协议备案，方可作为主合同不可分割的一部分。</w:t>
      </w:r>
    </w:p>
    <w:p w14:paraId="77996B1A">
      <w:pPr>
        <w:pStyle w:val="4"/>
        <w:snapToGrid w:val="0"/>
        <w:spacing w:line="480" w:lineRule="auto"/>
        <w:ind w:left="283" w:leftChars="135" w:firstLine="143"/>
        <w:rPr>
          <w:rFonts w:hint="eastAsia" w:hAnsi="宋体" w:cs="宋体"/>
          <w:bCs/>
          <w:color w:val="000000"/>
          <w:sz w:val="24"/>
          <w:szCs w:val="24"/>
        </w:rPr>
      </w:pPr>
      <w:r>
        <w:rPr>
          <w:rFonts w:hint="eastAsia" w:hAnsi="宋体" w:cs="宋体"/>
          <w:bCs/>
          <w:color w:val="000000"/>
          <w:sz w:val="24"/>
          <w:szCs w:val="24"/>
        </w:rPr>
        <w:t>3.本合同未尽事宜，</w:t>
      </w:r>
      <w:r>
        <w:rPr>
          <w:rFonts w:hint="eastAsia" w:hAnsi="宋体" w:cs="宋体"/>
          <w:bCs/>
          <w:color w:val="000000"/>
          <w:sz w:val="24"/>
          <w:szCs w:val="24"/>
          <w:lang w:val="en-US" w:eastAsia="zh-CN"/>
        </w:rPr>
        <w:t>按采购文件的要求和投标/响应文件的承诺执行，采购文件和投标/响应文件均不涉及的，</w:t>
      </w:r>
      <w:r>
        <w:rPr>
          <w:rFonts w:hint="eastAsia" w:hAnsi="宋体" w:cs="宋体"/>
          <w:bCs/>
          <w:color w:val="000000"/>
          <w:sz w:val="24"/>
          <w:szCs w:val="24"/>
        </w:rPr>
        <w:t>遵照《民法典》有关条文执行。</w:t>
      </w:r>
    </w:p>
    <w:p w14:paraId="7E66327C">
      <w:pPr>
        <w:rPr>
          <w:rFonts w:hint="eastAsia"/>
        </w:rPr>
      </w:pPr>
    </w:p>
    <w:tbl>
      <w:tblPr>
        <w:tblStyle w:val="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43D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0" w:hRule="atLeast"/>
        </w:trPr>
        <w:tc>
          <w:tcPr>
            <w:tcW w:w="4516" w:type="dxa"/>
            <w:noWrap w:val="0"/>
            <w:vAlign w:val="center"/>
          </w:tcPr>
          <w:p w14:paraId="308FBF3F">
            <w:pPr>
              <w:snapToGrid w:val="0"/>
              <w:spacing w:line="360" w:lineRule="auto"/>
              <w:rPr>
                <w:rFonts w:hint="eastAsia" w:ascii="宋体" w:hAnsi="宋体"/>
                <w:b/>
                <w:bCs/>
                <w:color w:val="000000"/>
                <w:sz w:val="24"/>
              </w:rPr>
            </w:pPr>
            <w:r>
              <w:rPr>
                <w:rFonts w:hint="eastAsia" w:ascii="宋体" w:hAnsi="宋体"/>
                <w:b/>
                <w:bCs/>
                <w:color w:val="000000"/>
                <w:sz w:val="24"/>
              </w:rPr>
              <w:t xml:space="preserve">甲方（章）           </w:t>
            </w:r>
          </w:p>
          <w:p w14:paraId="36075587">
            <w:pPr>
              <w:snapToGrid w:val="0"/>
              <w:spacing w:line="360" w:lineRule="auto"/>
              <w:rPr>
                <w:rFonts w:hint="eastAsia" w:ascii="宋体" w:hAnsi="宋体"/>
                <w:b/>
                <w:bCs/>
                <w:color w:val="000000"/>
                <w:sz w:val="24"/>
              </w:rPr>
            </w:pPr>
          </w:p>
          <w:p w14:paraId="7AC438E1">
            <w:pPr>
              <w:snapToGrid w:val="0"/>
              <w:spacing w:line="360" w:lineRule="auto"/>
              <w:ind w:firstLine="1084" w:firstLineChars="450"/>
              <w:jc w:val="right"/>
              <w:rPr>
                <w:rFonts w:hint="eastAsia" w:ascii="宋体" w:hAnsi="宋体"/>
                <w:b/>
                <w:bCs/>
                <w:color w:val="000000"/>
                <w:sz w:val="24"/>
              </w:rPr>
            </w:pPr>
            <w:r>
              <w:rPr>
                <w:rFonts w:hint="eastAsia" w:ascii="宋体" w:hAnsi="宋体"/>
                <w:b/>
                <w:bCs/>
                <w:color w:val="000000"/>
                <w:sz w:val="24"/>
              </w:rPr>
              <w:t>年   月   日</w:t>
            </w:r>
          </w:p>
        </w:tc>
        <w:tc>
          <w:tcPr>
            <w:tcW w:w="4517" w:type="dxa"/>
            <w:noWrap w:val="0"/>
            <w:vAlign w:val="center"/>
          </w:tcPr>
          <w:p w14:paraId="495C7364">
            <w:pPr>
              <w:snapToGrid w:val="0"/>
              <w:spacing w:line="360" w:lineRule="auto"/>
              <w:rPr>
                <w:rFonts w:hint="eastAsia" w:ascii="宋体" w:hAnsi="宋体"/>
                <w:b/>
                <w:bCs/>
                <w:color w:val="000000"/>
                <w:sz w:val="24"/>
              </w:rPr>
            </w:pPr>
            <w:r>
              <w:rPr>
                <w:rFonts w:hint="eastAsia" w:ascii="宋体" w:hAnsi="宋体"/>
                <w:b/>
                <w:bCs/>
                <w:color w:val="000000"/>
                <w:sz w:val="24"/>
              </w:rPr>
              <w:t xml:space="preserve">乙方（章）              </w:t>
            </w:r>
          </w:p>
          <w:p w14:paraId="045147E0">
            <w:pPr>
              <w:snapToGrid w:val="0"/>
              <w:spacing w:line="360" w:lineRule="auto"/>
              <w:rPr>
                <w:rFonts w:hint="eastAsia" w:ascii="宋体" w:hAnsi="宋体"/>
                <w:b/>
                <w:bCs/>
                <w:color w:val="000000"/>
                <w:sz w:val="24"/>
              </w:rPr>
            </w:pPr>
          </w:p>
          <w:p w14:paraId="3DB386C1">
            <w:pPr>
              <w:snapToGrid w:val="0"/>
              <w:spacing w:line="360" w:lineRule="auto"/>
              <w:jc w:val="right"/>
              <w:rPr>
                <w:rFonts w:hint="eastAsia" w:ascii="宋体" w:hAnsi="宋体"/>
                <w:b/>
                <w:bCs/>
                <w:color w:val="000000"/>
                <w:sz w:val="24"/>
              </w:rPr>
            </w:pPr>
            <w:r>
              <w:rPr>
                <w:rFonts w:hint="eastAsia" w:ascii="宋体" w:hAnsi="宋体"/>
                <w:b/>
                <w:bCs/>
                <w:color w:val="000000"/>
                <w:sz w:val="24"/>
              </w:rPr>
              <w:t xml:space="preserve"> 年   月   日</w:t>
            </w:r>
          </w:p>
        </w:tc>
      </w:tr>
      <w:tr w14:paraId="534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4516" w:type="dxa"/>
            <w:noWrap w:val="0"/>
            <w:vAlign w:val="center"/>
          </w:tcPr>
          <w:p w14:paraId="26F65695">
            <w:pPr>
              <w:snapToGrid w:val="0"/>
              <w:spacing w:line="360" w:lineRule="auto"/>
              <w:rPr>
                <w:rFonts w:ascii="宋体" w:hAnsi="宋体"/>
                <w:color w:val="000000"/>
                <w:sz w:val="24"/>
              </w:rPr>
            </w:pPr>
            <w:r>
              <w:rPr>
                <w:rFonts w:hint="eastAsia" w:ascii="宋体" w:hAnsi="宋体"/>
                <w:color w:val="000000"/>
                <w:sz w:val="24"/>
              </w:rPr>
              <w:t>单位地址：</w:t>
            </w:r>
          </w:p>
        </w:tc>
        <w:tc>
          <w:tcPr>
            <w:tcW w:w="4517" w:type="dxa"/>
            <w:noWrap w:val="0"/>
            <w:vAlign w:val="center"/>
          </w:tcPr>
          <w:p w14:paraId="4DAB3309">
            <w:pPr>
              <w:snapToGrid w:val="0"/>
              <w:spacing w:line="360" w:lineRule="auto"/>
              <w:rPr>
                <w:rFonts w:hint="eastAsia" w:ascii="宋体" w:hAnsi="宋体"/>
                <w:color w:val="000000"/>
                <w:sz w:val="24"/>
              </w:rPr>
            </w:pPr>
            <w:r>
              <w:rPr>
                <w:rFonts w:hint="eastAsia" w:ascii="宋体" w:hAnsi="宋体"/>
                <w:color w:val="000000"/>
                <w:sz w:val="24"/>
              </w:rPr>
              <w:t>单位地址：</w:t>
            </w:r>
          </w:p>
        </w:tc>
      </w:tr>
      <w:tr w14:paraId="44E3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06C68ABE">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c>
          <w:tcPr>
            <w:tcW w:w="4517" w:type="dxa"/>
            <w:noWrap w:val="0"/>
            <w:vAlign w:val="top"/>
          </w:tcPr>
          <w:p w14:paraId="76DE7714">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r>
      <w:tr w14:paraId="6142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4516" w:type="dxa"/>
            <w:noWrap w:val="0"/>
            <w:vAlign w:val="center"/>
          </w:tcPr>
          <w:p w14:paraId="0BA7A930">
            <w:pPr>
              <w:snapToGrid w:val="0"/>
              <w:spacing w:line="360" w:lineRule="auto"/>
              <w:rPr>
                <w:rFonts w:hint="eastAsia" w:ascii="宋体" w:hAnsi="宋体"/>
                <w:color w:val="000000"/>
                <w:sz w:val="24"/>
              </w:rPr>
            </w:pPr>
            <w:r>
              <w:rPr>
                <w:rFonts w:hint="eastAsia" w:ascii="宋体" w:hAnsi="宋体"/>
                <w:color w:val="000000"/>
                <w:sz w:val="24"/>
              </w:rPr>
              <w:t>电话：</w:t>
            </w:r>
          </w:p>
        </w:tc>
        <w:tc>
          <w:tcPr>
            <w:tcW w:w="4517" w:type="dxa"/>
            <w:noWrap w:val="0"/>
            <w:vAlign w:val="center"/>
          </w:tcPr>
          <w:p w14:paraId="12FABFB1">
            <w:pPr>
              <w:snapToGrid w:val="0"/>
              <w:spacing w:line="360" w:lineRule="auto"/>
              <w:rPr>
                <w:rFonts w:ascii="宋体" w:hAnsi="宋体"/>
                <w:color w:val="000000"/>
                <w:sz w:val="24"/>
              </w:rPr>
            </w:pPr>
            <w:r>
              <w:rPr>
                <w:rFonts w:hint="eastAsia" w:ascii="宋体" w:hAnsi="宋体"/>
                <w:color w:val="000000"/>
                <w:sz w:val="24"/>
              </w:rPr>
              <w:t>电话：</w:t>
            </w:r>
          </w:p>
        </w:tc>
      </w:tr>
      <w:tr w14:paraId="1873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58B1EE07">
            <w:pPr>
              <w:snapToGrid w:val="0"/>
              <w:spacing w:line="360" w:lineRule="auto"/>
              <w:rPr>
                <w:rFonts w:ascii="宋体" w:hAnsi="宋体"/>
                <w:color w:val="000000"/>
                <w:sz w:val="24"/>
              </w:rPr>
            </w:pPr>
            <w:r>
              <w:rPr>
                <w:rFonts w:hint="eastAsia" w:ascii="宋体" w:hAnsi="宋体"/>
                <w:color w:val="000000"/>
                <w:sz w:val="24"/>
              </w:rPr>
              <w:t>纳税人识别号：</w:t>
            </w:r>
          </w:p>
        </w:tc>
        <w:tc>
          <w:tcPr>
            <w:tcW w:w="4517" w:type="dxa"/>
            <w:noWrap w:val="0"/>
            <w:vAlign w:val="center"/>
          </w:tcPr>
          <w:p w14:paraId="61E84F62">
            <w:pPr>
              <w:snapToGrid w:val="0"/>
              <w:spacing w:line="360" w:lineRule="auto"/>
              <w:rPr>
                <w:rFonts w:ascii="宋体" w:hAnsi="宋体"/>
                <w:color w:val="000000"/>
                <w:sz w:val="24"/>
              </w:rPr>
            </w:pPr>
            <w:r>
              <w:rPr>
                <w:rFonts w:hint="eastAsia" w:ascii="宋体" w:hAnsi="宋体"/>
                <w:color w:val="000000"/>
                <w:sz w:val="24"/>
              </w:rPr>
              <w:t>纳税人识别号：</w:t>
            </w:r>
          </w:p>
        </w:tc>
      </w:tr>
      <w:tr w14:paraId="29B8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8F577A5">
            <w:pPr>
              <w:snapToGrid w:val="0"/>
              <w:spacing w:line="360" w:lineRule="auto"/>
              <w:rPr>
                <w:rFonts w:hint="eastAsia" w:ascii="宋体" w:hAnsi="宋体"/>
                <w:color w:val="000000"/>
                <w:sz w:val="24"/>
              </w:rPr>
            </w:pPr>
            <w:r>
              <w:rPr>
                <w:rFonts w:hint="eastAsia" w:ascii="宋体" w:hAnsi="宋体"/>
                <w:color w:val="000000"/>
                <w:sz w:val="24"/>
              </w:rPr>
              <w:t>注册地址：</w:t>
            </w:r>
          </w:p>
        </w:tc>
        <w:tc>
          <w:tcPr>
            <w:tcW w:w="4517" w:type="dxa"/>
            <w:noWrap w:val="0"/>
            <w:vAlign w:val="center"/>
          </w:tcPr>
          <w:p w14:paraId="5D671A17">
            <w:pPr>
              <w:snapToGrid w:val="0"/>
              <w:spacing w:line="360" w:lineRule="auto"/>
              <w:rPr>
                <w:rFonts w:ascii="宋体" w:hAnsi="宋体"/>
                <w:color w:val="000000"/>
                <w:sz w:val="24"/>
              </w:rPr>
            </w:pPr>
            <w:r>
              <w:rPr>
                <w:rFonts w:hint="eastAsia" w:ascii="宋体" w:hAnsi="宋体"/>
                <w:color w:val="000000"/>
                <w:sz w:val="24"/>
              </w:rPr>
              <w:t>注册地址：</w:t>
            </w:r>
          </w:p>
        </w:tc>
      </w:tr>
      <w:tr w14:paraId="2BB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307C0BE">
            <w:pPr>
              <w:snapToGrid w:val="0"/>
              <w:spacing w:line="360" w:lineRule="auto"/>
              <w:rPr>
                <w:rFonts w:hint="eastAsia" w:ascii="宋体" w:hAnsi="宋体"/>
                <w:color w:val="000000"/>
                <w:sz w:val="24"/>
              </w:rPr>
            </w:pPr>
            <w:r>
              <w:rPr>
                <w:rFonts w:hint="eastAsia" w:ascii="宋体" w:hAnsi="宋体"/>
                <w:color w:val="000000"/>
                <w:sz w:val="24"/>
              </w:rPr>
              <w:t>开户银行：</w:t>
            </w:r>
          </w:p>
        </w:tc>
        <w:tc>
          <w:tcPr>
            <w:tcW w:w="4517" w:type="dxa"/>
            <w:noWrap w:val="0"/>
            <w:vAlign w:val="center"/>
          </w:tcPr>
          <w:p w14:paraId="6DED0B39">
            <w:pPr>
              <w:snapToGrid w:val="0"/>
              <w:spacing w:line="360" w:lineRule="auto"/>
              <w:rPr>
                <w:rFonts w:ascii="宋体" w:hAnsi="宋体"/>
                <w:color w:val="000000"/>
                <w:sz w:val="24"/>
              </w:rPr>
            </w:pPr>
            <w:r>
              <w:rPr>
                <w:rFonts w:hint="eastAsia" w:ascii="宋体" w:hAnsi="宋体"/>
                <w:color w:val="000000"/>
                <w:sz w:val="24"/>
              </w:rPr>
              <w:t>开户银行：</w:t>
            </w:r>
          </w:p>
        </w:tc>
      </w:tr>
      <w:tr w14:paraId="684A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249F964">
            <w:pPr>
              <w:snapToGrid w:val="0"/>
              <w:spacing w:line="360" w:lineRule="auto"/>
              <w:rPr>
                <w:rFonts w:hint="eastAsia" w:ascii="宋体" w:hAnsi="宋体"/>
                <w:color w:val="000000"/>
                <w:sz w:val="24"/>
              </w:rPr>
            </w:pPr>
            <w:r>
              <w:rPr>
                <w:rFonts w:hint="eastAsia" w:ascii="宋体" w:hAnsi="宋体"/>
                <w:color w:val="000000"/>
                <w:sz w:val="24"/>
              </w:rPr>
              <w:t>银行账号：</w:t>
            </w:r>
          </w:p>
        </w:tc>
        <w:tc>
          <w:tcPr>
            <w:tcW w:w="4517" w:type="dxa"/>
            <w:noWrap w:val="0"/>
            <w:vAlign w:val="center"/>
          </w:tcPr>
          <w:p w14:paraId="43AB026F">
            <w:pPr>
              <w:snapToGrid w:val="0"/>
              <w:spacing w:line="360" w:lineRule="auto"/>
              <w:rPr>
                <w:rFonts w:ascii="宋体" w:hAnsi="宋体"/>
                <w:color w:val="000000"/>
                <w:sz w:val="24"/>
              </w:rPr>
            </w:pPr>
            <w:r>
              <w:rPr>
                <w:rFonts w:hint="eastAsia" w:ascii="宋体" w:hAnsi="宋体"/>
                <w:color w:val="000000"/>
                <w:sz w:val="24"/>
              </w:rPr>
              <w:t>银行账号：</w:t>
            </w:r>
          </w:p>
        </w:tc>
      </w:tr>
      <w:tr w14:paraId="6F26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8285799">
            <w:pPr>
              <w:snapToGrid w:val="0"/>
              <w:spacing w:line="360" w:lineRule="auto"/>
              <w:rPr>
                <w:rFonts w:ascii="宋体" w:hAnsi="宋体"/>
                <w:color w:val="000000"/>
                <w:sz w:val="24"/>
              </w:rPr>
            </w:pPr>
            <w:r>
              <w:rPr>
                <w:rFonts w:hint="eastAsia" w:ascii="宋体" w:hAnsi="宋体"/>
                <w:color w:val="000000"/>
                <w:sz w:val="24"/>
              </w:rPr>
              <w:t>签订时间：    年   月   日</w:t>
            </w:r>
          </w:p>
        </w:tc>
        <w:tc>
          <w:tcPr>
            <w:tcW w:w="4517" w:type="dxa"/>
            <w:noWrap w:val="0"/>
            <w:vAlign w:val="center"/>
          </w:tcPr>
          <w:p w14:paraId="5441B4E4">
            <w:pPr>
              <w:snapToGrid w:val="0"/>
              <w:spacing w:line="360" w:lineRule="auto"/>
              <w:rPr>
                <w:rFonts w:ascii="宋体" w:hAnsi="宋体"/>
                <w:color w:val="000000"/>
                <w:sz w:val="24"/>
              </w:rPr>
            </w:pPr>
            <w:r>
              <w:rPr>
                <w:rFonts w:hint="eastAsia" w:ascii="宋体" w:hAnsi="宋体"/>
                <w:color w:val="000000"/>
                <w:sz w:val="24"/>
              </w:rPr>
              <w:t>签订时间：    年   月   日</w:t>
            </w:r>
          </w:p>
        </w:tc>
      </w:tr>
    </w:tbl>
    <w:p w14:paraId="728426E8">
      <w:pPr>
        <w:pStyle w:val="5"/>
      </w:pPr>
    </w:p>
    <w:p w14:paraId="1FC2B11E">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sectPr>
          <w:pgSz w:w="11906" w:h="16838"/>
          <w:pgMar w:top="720" w:right="720" w:bottom="720" w:left="720" w:header="851" w:footer="992" w:gutter="0"/>
          <w:cols w:space="425" w:num="1"/>
          <w:docGrid w:type="lines" w:linePitch="312" w:charSpace="0"/>
        </w:sectPr>
      </w:pPr>
    </w:p>
    <w:tbl>
      <w:tblPr>
        <w:tblStyle w:val="7"/>
        <w:tblpPr w:leftFromText="180" w:rightFromText="180" w:vertAnchor="text" w:horzAnchor="page" w:tblpX="803" w:tblpY="297"/>
        <w:tblOverlap w:val="never"/>
        <w:tblW w:w="15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2444"/>
        <w:gridCol w:w="8246"/>
        <w:gridCol w:w="2127"/>
        <w:gridCol w:w="882"/>
        <w:gridCol w:w="687"/>
      </w:tblGrid>
      <w:tr w14:paraId="5F36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071E65">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32"/>
                <w:szCs w:val="32"/>
                <w:u w:val="none"/>
                <w:lang w:val="en-US"/>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附件2： 标准化考场老旧设备更换和增补设备项目清单</w:t>
            </w:r>
          </w:p>
        </w:tc>
      </w:tr>
      <w:tr w14:paraId="33FF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C2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6D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采购品目</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F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技术参数（详细）</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E6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推荐品牌型号及厂家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71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采购数量</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C2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r>
      <w:tr w14:paraId="3A25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B165">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1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巡考专用摄像机</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top"/>
          </w:tcPr>
          <w:p w14:paraId="4FFAFDD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设备保修售后服务期3年。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1.符合《国家教育考试网上巡查系统视频标准技术规范（2017版）》支持《公共安全视频监控联网系统信息传输、交换、控制技术要求（ GB/T28181-2016）》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2.≥400万像素CMOS传感器；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3.彩色：≥1400TVL（H.265、分辨率为2592 x 1944，帧率为20fps，码率为4Mbps）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3.10m有效红外距离；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4.支持三码流并发输出，可达到：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主码流分辨率可设置为：2592×1944，码率4Mbps；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副码流分辨率可设置为：1280×720，码率1Mbps；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第三码流分辨率可设置为：1920×1080，码率2Mbps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5.支持宽动态、背光补偿、强光抑制、3D降噪和图像翻转；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6.支持H.264、H.265视频编码标准，支持Program Stream系统流和Transition Stream传输流的封装；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7.支持智能分析，具有绊线/双绊线、周界入侵、物品滞留、物品丢失、目标徘徊、人物奔跑、人群聚集、非法停车、热度图等智能分析功能，可通过客户端软件或IE浏览器进行报警提示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8、支持POE、DC12V供电；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9、支持TF卡，最大256G，可选本地存储；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10.支持Line in、Mic 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11.支持≥5个区域的附加字符叠加，每个区域≥2行，每行≥21个汉字。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12.本系统建设包含原有考场旧设备及线路拆除整合收集，新系统线路敷设、设备安装、设备调试、整体系统调试、考试院巡考平台对接调试。</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D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天地伟业、恒生、佳发或同等性能品牌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1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B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05A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50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D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前端存储数据卡</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B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设备保修售后服务期3年。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监控级专用、高速读写、连续录制、TF/64GB</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C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金士顿、闪迪、朗科或同等性能品牌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8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9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3A9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1B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5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网管型POE汇聚交换机</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3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设备保修售后服务期3年。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全千兆 24口+4光口 网管型POE汇聚交换机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2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华为、锐捷、H3C或同等性能品牌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A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6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BEF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2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F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六类网络线缆</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3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导体直径：0.57士0.02mm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导体绝缘外径：1.06±0.05mm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外护套材质：PVC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成品外径：6.3±0.3mm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工作电容最大值：≤5.6nF/100m</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0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华顿、海康威视、安普或同等性能品牌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0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4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1FA9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4A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1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9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 2*1.0/2*1.5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1.芯数：2 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2.截面：1.0-1.5mm；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3.导体材质：高纯度无氧铜；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4.导体结构：绞合软结构；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5.绝缘材料：聚氯乙烯；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6.屏蔽类型：非屏蔽；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7.标准：JB/T8734-2012 GB/T5023-2008；</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3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华顿、桂林国际、精工或同等性能品牌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B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6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052A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1F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1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传输模块</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6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设备保修售后服务期3年。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千兆SFP光模块，单模双纤，LC接口，波长1310nm，传输距离10km</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4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华为、锐捷、H3C或同等性能品牌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D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F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D4A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7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E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考场专用网络时钟</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5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设备保修售后服务期3年。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1.采用北斗/GPS信号NTP有线网络通信自动校时；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2.显示日期、时、分、秒、星期、温度；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3.外观尺寸51*22*5cm；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4.时间数码管高86mm；日期数码管高28mm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5.计时无累积误差，内置电池失电后时钟内部自动正常走时；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6.守时精度：小于10ms；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7.环境要求：－20℃～+65℃；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8.MTBF：≥6万小时；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9.功率： 1.5-5W，电压220V，50HZ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10.每次上电自动校时一次，每小时自动校时1次(可调)；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11.供电方式：220V、标准POE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▲12.支持与原有时钟管理系统统一管理时钟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▲13.支持与广西区考试院时间源同步</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6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讯鹏、北斗时讯、赛思或同等性能品牌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7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E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ED1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34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C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北斗时间源平台</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6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设备保修售后服务期3年。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1、北斗时钟参考模式，一级网络时间服务，同步精度1µs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用户终端同步授时精度：1-50ms（局域网典型值）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2、用户容量：可支持数10000台客户端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3、NTP请求量：8000-10000次/秒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4、72通道授时型GPS北斗混合接收机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UTC同步精度30ns（RMS），支持单星授时窗口模式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5、GPS接收L1,C/A码信号-1575.42MHz北斗beiDou B1，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6、模式可选择纯GPS、纯北斗或混合三种模式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7、跟踪及锁定灵敏度可达-167dBm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支持所有NTP协议的服务器、PC、嵌入式设备等，包括但不限于：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Microsoft Windows全系列、Linux 全系列（Redhat，Fedora，Bsd，Centos等 Mac os 系列、Aix、HP-UX、Android</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4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讯鹏、北斗时讯、赛思或同等性能品牌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5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5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36F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E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B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录像设备</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7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设备保修售后服务期3年。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配置:I/B/N/XK/V4.0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1.支持《国家教育考试网上巡查系统视频标准技术规范（2017版）》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2.支持H.264视频编码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3.支持720P/1080P分辨率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4.支持扩展G.711和ACC音频编码标准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5.支持PS系统流和TS传输流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6.视频编码格式兼容2007规范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7.支持网络前端高标清混合接入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8.支持IPC分辨率16MP/12MP/8MP/6MP/5MP/4MP/3MP/1080P/UXGA/720P/VGA/4CIF/DCIF/2CIF/CIF/QCIF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9.40路1080p/40路720p网络视频接入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10.40路4CIF/32路720P/16路1080P/4路4K同时预览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11.16路4CIF/16路720P/16路1080P/4路4K同步回放，最大512倍速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12.支持1/4/6/8/9/10/16/20/25/36/40/64画面预览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13.支持8个硬盘接口，单块最大10TB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14.支持RAID0/1/5/6/10，JBOD模式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15.支持2个HDMI/2个VGA视频输出（非同源），最高分辨率可达4K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16.支持自适应H.265/H.264压缩标准</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5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天地伟业、恒生、佳发或同等性能品牌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C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0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FC2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20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C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监控专用磁盘</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B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设备保修售后服务期3年。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监控专用磁盘 10TB</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F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天地伟业、希捷、西数或同等性能品牌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D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1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0717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FB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5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国产化SIP平台</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7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设备保修售后服务期3年。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CPU：配置2颗龙芯LS3C5000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2.内存64G。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3.硬盘容量240G固态硬盘*2+2TB 机械硬盘*2。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4.千兆网口2个。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5.具有PCI-E X16插槽。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6.配置有国产化操作系统loonginx系统。</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2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天地伟业、恒生、佳发或同等性能品牌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2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B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71D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A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巡考平台</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6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设备保修售后服务期3年。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1.支持《国家教育考试网上巡查系统视频标准技术规范》（2017）、支持《公共安全视频监控联网系统信息传输、交换、控制技术要求（ GB/T28181-2016）》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2.支持SIP2.0 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3.支持地址解析、信令转发、组管理、代理。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4.支持NAT 网络穿越。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5.支持UDP、RTP、RTCP、SIP、RTSP 等网络协议。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6.SIP URI 统一命名规划、分级命名、联合定位。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7.SIP URI 组、用户、树形列表管理。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8.SIP 终端的接入认证功能。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9.SIP 终端访问呼叫过程控制。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10.建立SIP 路由器间的信任关系。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11.支持多级注册,可向自治区级网上巡查系统注册。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12.提供注册认证，可检测SIP 向上级注册状态、视频列表情况、音视频流情况。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13.转发路数≥50 路，每路不低于2M 码流。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14.支持各基础软硬设备参数配置、系统模式设置。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15.支持系统数据备份及恢复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16.支持查看服务器 CPU 和内存等信息。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17.支持查看硬盘录像机硬盘容量及剩余容量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18.支持查看高清网络摄像机的名称状态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19.支持查看高清网络摄像机与物理场所的分组关联等信息。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20.支持设定本地考试计划并对考试涉及的设备状态进行巡检生成报告。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21.支持视频质量诊断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22.支持提供对接校园安防等系统的接口。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23.支持通过网上巡查系统客户端完成本地视频巡查。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24.支持接收上级平台下发的考试计划。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25.支持接收上级平台下发的物理场所信息、设备信息(包括专网 IP 地址、高清网络摄像机域名、SIP 域名、NVR 域名等)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26.支持上报上级平台和接收上级平台下发的物理场所信息和设备信息(如考点硬盘录像机、高清网络摄像机信息、OSD 信息、设备状态所属机构、考场与设备关联绑定结果等信息)。关联数据更新后实时上传至上级平台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27.支持按已分配的设备资源对设备进行添加(包括硬盘录像机、高清网络摄像机等)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28.接收上级平台下发的高清网络摄像机电子标签(OSD)的内容并写入对应的高清网络摄像机。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29.接收上级平台下发的考点物理场所信息并进行编辑对应，将物理场所与高清网络摄像机关联数据进行更新并将更新后的关联数据实时上传至自治区级网上巡查系统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30.接收上级平台下发的考试编排数据。</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4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天地伟业、恒生、佳发或同等性能品牌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9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9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32C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61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4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视频巡查终端</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1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CPU:≥4核;内存:≥16G;显卡≥2G;硬盘容量:≥240G固态硬盘+500G机械硬盘;显示器:≥21英寸。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实现本地管理: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1.各基础软硬设备参数配置。2.系统模式设置。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3．系统数据备份及恢复。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4.查看服务器CPU和内存等信息。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5.查看硬盘录像机硬盘容量及剩余容量。6.查看高清网络摄像机的名称状态。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7.查看高清网络摄像机与物理场所的分组关联等信息。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8.设定本地考试计划并对考试涉及的设备状态进行巡检生成报告。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9.视频质量诊断。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10.提供对接校园安防等系统的接口。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11．通过网上巡查系统客户端(分为C/S架构和B/S架构）完成本地视频巡查。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实现与上级平台接入并进行管理: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1.接收上级平台下发的考试计划。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2.接收上级平台下发的物理场所信息、设备信息(包括专网IP地址、高清网络摄像机域名、SIP域名、NVR域名等）。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上报上级平台和接收上级平台下发的物理场所信息和设备信息(如考点硬盘录像机、高清网络摄像机信息、OSD信息、设备状态、所属机构、考场与设备关联绑定结果等信息）。关联数据更新后实时上传至上级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4.支持按已分配的设备资源对设备进行添加(包括硬盘录像机、高清网络摄像机等）。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5.接收上级平台下发的高清网络摄像机电子标签(OSD）的内容并写入对应的高清网络摄像机。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6.接收上级平台下发的考点物理场所信息并进行编辑对应,将物理场所与高清网络摄像机关联数据进行更新并将更新后的关联数据实时上传至自治区级网上巡查系统。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7.接收上级平台下发的考试编排数据。</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联想、戴尔、惠普或同等性能品牌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C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5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3FB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3E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0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标准壁挂式机柜</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E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设备保修售后服务期3年。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壁挂12U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符合 19 英寸标准</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5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图腾、三拓、金利或同等性能品牌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7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7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30C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08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6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IP终端</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top"/>
          </w:tcPr>
          <w:p w14:paraId="06D28D5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设备保修售后服务期3年。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一、IP终端技术参数：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1.实现与相思湖校区创意大楼广播服务器无缝对接。如需现场勘察，由投标人提前与采购人预约，现场勘察费用及风险由投标人自行解决，与采购人无关。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2.工业级3.4英寸点阵显示屏，显示点播目录及当前任务信息，配备红外遥控器，实现点播服务器节目库任意内容，可控制播放/暂停，快进/快退，A-B复读，操作灵活简单。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3.设备采用嵌入式计算机技术和DSP音频处理技术设计；采用高速工业级芯片，启动时间小于1s。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4.内置1路网络硬件音频解码模块，支持TCP/IP、UDP、IGMP(组播)协议，实现网络化传输16位CD音质的音频信号。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5.内置2×30W（MAX）定阻输出功放模块，音质细腻，功率强劲。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6.1路音频信号辅助输出接口，可扩展外接功率放大器。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7.1路本地话筒输入，1路线路输入，可调节音量，实现本地扩音。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8.内置音频处理电路，支持多路信号放大、混音，支持3级音频信号优先管理。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9.支持远程媒体点播功能，节目点播支持英语教练播放模式(A-B复读)。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10.支持1000级自定义音频优先级默音控制。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11.支持PSTN电话广播，支持短信语音广播。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12.支持手机WIFI点播，支持无线遥控器点播。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13.支持服务器统一授权操作管理功能，统一配置管理用户及密码。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14.支持数字音频时光流逝的断点播放功能，确保广播同步效果。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15.支持DHCP，兼容路由器、交换机、网桥网关、Modem、Internet、2G、3G、4G、组播、单播等任意网络结构。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16.仿iOS平铺式菜单管理，消灭复杂的二级菜单。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17.支持新配置注册智能语音提示功能。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18.支持ESD保护，内置网络隔离防雷处理电路。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19.1路PC机下载IP地址串口，用于修改网络解码模块IP地址。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20.数字化产品，扩容方便，不受地理位置限制，无需增加机房管理设备，采用共网免线路施工的设计理念，安装简便。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21.设备技术参数：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1.通讯接口：标准RJ45输入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2.通讯协议：TCP/IP，UDP，IGMP（组播）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3.音频格式：MP3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4.通讯速率：100Mbps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5.音频模式：16位CD音质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6.输出频率：80Hz～16KHz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7.谐波失真：≤1%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8.信噪比：＞75dB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9.辅助线路输入电平：350mV工业标准压线接线端子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10.线路输出电平：1000mV 工业标准压线接线端子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二、数字化IP网络终端嵌入软件技术参数：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1.软件内嵌于数字化IP网络终端设备，支撑设备各项基本功能的运行。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2.嵌入DSP音频处理技术，高保真解码音频文件；支持远程点播功能，支持节目播放。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3.支持新配置注册智能语音提示功能。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4.支持播放背景音乐功能，支持单独调节音量。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5.支持播放本地服务器的MP3文件；支持单独播放或分区/全区播放。</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D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itc、迪士普、安思柏或同等性能品牌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F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0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1BD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49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0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壁挂音箱</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2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设备保修售后服务期3年。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1.室内壁挂音箱，流线型外观，声音辐射角度大，采用全频设计，使用于学校，酒店，宾馆，超市等。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1.额定功率：10W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2.最大功率：20W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3.灵敏度：91dB±3dB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4.阻抗：COM，8Ω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5.频率响应：130-16KHz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6.喇叭单元：6.5"×1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7.防护等级：IP×5防尘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8.尺寸：约185×275×105mm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9.重量：约1.2Kg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10.材料：塑料</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itc、迪士普、安思柏或同等性能品牌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2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A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7719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BC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F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六类双绞网线</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5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4*2*0.57m㎡ 六类网线。305米/箱</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1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大唐电信、一舟、FGT或同等性能品牌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9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1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14:paraId="2123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4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E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A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RVV3*2.5m㎡</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A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汉维、普天、纪凯或同等性能品牌</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C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1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bl>
    <w:p w14:paraId="58EF19F3">
      <w:pPr>
        <w:rPr>
          <w:rFonts w:hint="default"/>
          <w:color w:val="auto"/>
          <w:lang w:val="en-US" w:eastAsia="zh-CN"/>
        </w:rPr>
      </w:pPr>
    </w:p>
    <w:p w14:paraId="2C176328">
      <w:pPr>
        <w:rPr>
          <w:color w:val="auto"/>
        </w:rPr>
      </w:pPr>
    </w:p>
    <w:p w14:paraId="6CBB22CB">
      <w:pPr>
        <w:rPr>
          <w:rFonts w:hint="eastAsia"/>
          <w:color w:val="auto"/>
          <w:lang w:val="en-US" w:eastAsia="zh-CN"/>
        </w:rPr>
      </w:pPr>
      <w:r>
        <w:rPr>
          <w:rFonts w:hint="eastAsia"/>
          <w:color w:val="auto"/>
          <w:lang w:val="en-US" w:eastAsia="zh-CN"/>
        </w:rPr>
        <w:t>附件3：</w:t>
      </w:r>
    </w:p>
    <w:p w14:paraId="14A7B0A7">
      <w:pPr>
        <w:snapToGrid w:val="0"/>
        <w:spacing w:before="50" w:after="156"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投标人直接控股、管理关系信息表</w:t>
      </w:r>
    </w:p>
    <w:tbl>
      <w:tblPr>
        <w:tblStyle w:val="7"/>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B605525">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投标人直接控股股东信息表</w:t>
            </w:r>
          </w:p>
        </w:tc>
        <w:tc>
          <w:tcPr>
            <w:tcW w:w="4536" w:type="dxa"/>
            <w:shd w:val="clear" w:color="auto" w:fill="F2DBDB"/>
            <w:noWrap w:val="0"/>
            <w:vAlign w:val="center"/>
          </w:tcPr>
          <w:p w14:paraId="79DB757A">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3E447E">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序号</w:t>
            </w:r>
          </w:p>
        </w:tc>
        <w:tc>
          <w:tcPr>
            <w:tcW w:w="1309" w:type="dxa"/>
            <w:noWrap w:val="0"/>
            <w:vAlign w:val="center"/>
          </w:tcPr>
          <w:p w14:paraId="43FFC6E5">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直接控股股东名称</w:t>
            </w:r>
          </w:p>
        </w:tc>
        <w:tc>
          <w:tcPr>
            <w:tcW w:w="1384" w:type="dxa"/>
            <w:noWrap w:val="0"/>
            <w:vAlign w:val="center"/>
          </w:tcPr>
          <w:p w14:paraId="74F84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出资比例</w:t>
            </w:r>
          </w:p>
        </w:tc>
        <w:tc>
          <w:tcPr>
            <w:tcW w:w="4163" w:type="dxa"/>
            <w:noWrap w:val="0"/>
            <w:vAlign w:val="center"/>
          </w:tcPr>
          <w:p w14:paraId="23507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身份证号码或者统一社会信用代码</w:t>
            </w:r>
          </w:p>
        </w:tc>
        <w:tc>
          <w:tcPr>
            <w:tcW w:w="4536" w:type="dxa"/>
            <w:vMerge w:val="restart"/>
            <w:noWrap w:val="0"/>
            <w:vAlign w:val="center"/>
          </w:tcPr>
          <w:p w14:paraId="30677715">
            <w:pPr>
              <w:snapToGrid w:val="0"/>
              <w:jc w:val="left"/>
              <w:rPr>
                <w:rFonts w:ascii="仿宋" w:hAnsi="仿宋" w:eastAsia="仿宋"/>
                <w:color w:val="auto"/>
                <w:szCs w:val="21"/>
              </w:rPr>
            </w:pPr>
            <w:r>
              <w:rPr>
                <w:rFonts w:ascii="仿宋" w:hAnsi="仿宋" w:eastAsia="仿宋"/>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jc w:val="left"/>
              <w:rPr>
                <w:rFonts w:ascii="仿宋" w:hAnsi="仿宋" w:eastAsia="仿宋"/>
                <w:color w:val="auto"/>
                <w:szCs w:val="21"/>
              </w:rPr>
            </w:pPr>
            <w:r>
              <w:rPr>
                <w:rFonts w:ascii="仿宋" w:hAnsi="仿宋" w:eastAsia="仿宋"/>
                <w:color w:val="auto"/>
                <w:szCs w:val="21"/>
              </w:rPr>
              <w:t>2.本表所指的控股关系仅限于直接控股关系，不包括间接的控股关系。公司实际控制人与公司之间的关系不属于本表所指的直接控股关系。</w:t>
            </w:r>
          </w:p>
          <w:p w14:paraId="4F02FDDE">
            <w:pPr>
              <w:snapToGrid w:val="0"/>
              <w:jc w:val="left"/>
              <w:rPr>
                <w:rFonts w:ascii="仿宋" w:hAnsi="仿宋" w:eastAsia="仿宋" w:cs="宋体"/>
                <w:b/>
                <w:bCs/>
                <w:color w:val="auto"/>
                <w:kern w:val="0"/>
                <w:szCs w:val="21"/>
              </w:rPr>
            </w:pPr>
            <w:r>
              <w:rPr>
                <w:rFonts w:ascii="仿宋" w:hAnsi="仿宋" w:eastAsia="仿宋"/>
                <w:color w:val="auto"/>
                <w:szCs w:val="21"/>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5FAF252D">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1309" w:type="dxa"/>
            <w:noWrap w:val="0"/>
            <w:vAlign w:val="top"/>
          </w:tcPr>
          <w:p w14:paraId="4CB76A6E">
            <w:pPr>
              <w:snapToGrid w:val="0"/>
              <w:spacing w:before="156" w:beforeLines="50" w:after="50"/>
              <w:jc w:val="left"/>
              <w:rPr>
                <w:rFonts w:ascii="仿宋" w:hAnsi="仿宋" w:eastAsia="仿宋"/>
                <w:b/>
                <w:color w:val="auto"/>
                <w:szCs w:val="21"/>
              </w:rPr>
            </w:pPr>
          </w:p>
        </w:tc>
        <w:tc>
          <w:tcPr>
            <w:tcW w:w="1384" w:type="dxa"/>
            <w:noWrap w:val="0"/>
            <w:vAlign w:val="top"/>
          </w:tcPr>
          <w:p w14:paraId="6677D9CC">
            <w:pPr>
              <w:snapToGrid w:val="0"/>
              <w:spacing w:before="156" w:beforeLines="50" w:after="50"/>
              <w:jc w:val="left"/>
              <w:rPr>
                <w:rFonts w:ascii="仿宋" w:hAnsi="仿宋" w:eastAsia="仿宋"/>
                <w:b/>
                <w:color w:val="auto"/>
                <w:szCs w:val="21"/>
              </w:rPr>
            </w:pPr>
          </w:p>
        </w:tc>
        <w:tc>
          <w:tcPr>
            <w:tcW w:w="4163" w:type="dxa"/>
            <w:noWrap w:val="0"/>
            <w:vAlign w:val="top"/>
          </w:tcPr>
          <w:p w14:paraId="7471893F">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6E223151">
            <w:pPr>
              <w:snapToGrid w:val="0"/>
              <w:jc w:val="left"/>
              <w:rPr>
                <w:rFonts w:ascii="仿宋" w:hAnsi="仿宋" w:eastAsia="仿宋"/>
                <w:color w:val="auto"/>
                <w:szCs w:val="21"/>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045C714">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1309" w:type="dxa"/>
            <w:noWrap w:val="0"/>
            <w:vAlign w:val="top"/>
          </w:tcPr>
          <w:p w14:paraId="459F22F6">
            <w:pPr>
              <w:snapToGrid w:val="0"/>
              <w:spacing w:before="156" w:beforeLines="50" w:after="50"/>
              <w:jc w:val="left"/>
              <w:rPr>
                <w:rFonts w:ascii="仿宋" w:hAnsi="仿宋" w:eastAsia="仿宋"/>
                <w:b/>
                <w:color w:val="auto"/>
                <w:szCs w:val="21"/>
              </w:rPr>
            </w:pPr>
          </w:p>
        </w:tc>
        <w:tc>
          <w:tcPr>
            <w:tcW w:w="1384" w:type="dxa"/>
            <w:noWrap w:val="0"/>
            <w:vAlign w:val="top"/>
          </w:tcPr>
          <w:p w14:paraId="41683AF1">
            <w:pPr>
              <w:snapToGrid w:val="0"/>
              <w:spacing w:before="156" w:beforeLines="50" w:after="50"/>
              <w:jc w:val="left"/>
              <w:rPr>
                <w:rFonts w:ascii="仿宋" w:hAnsi="仿宋" w:eastAsia="仿宋"/>
                <w:b/>
                <w:color w:val="auto"/>
                <w:szCs w:val="21"/>
              </w:rPr>
            </w:pPr>
          </w:p>
        </w:tc>
        <w:tc>
          <w:tcPr>
            <w:tcW w:w="4163" w:type="dxa"/>
            <w:noWrap w:val="0"/>
            <w:vAlign w:val="top"/>
          </w:tcPr>
          <w:p w14:paraId="31A3DD7E">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4278126A">
            <w:pPr>
              <w:snapToGrid w:val="0"/>
              <w:spacing w:before="156" w:beforeLines="50" w:after="50"/>
              <w:jc w:val="left"/>
              <w:rPr>
                <w:rFonts w:ascii="仿宋" w:hAnsi="仿宋" w:eastAsia="仿宋"/>
                <w:b/>
                <w:color w:val="auto"/>
                <w:szCs w:val="21"/>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noWrap w:val="0"/>
            <w:vAlign w:val="top"/>
          </w:tcPr>
          <w:p w14:paraId="6F308D51">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1309" w:type="dxa"/>
            <w:tcBorders>
              <w:bottom w:val="single" w:color="auto" w:sz="4" w:space="0"/>
            </w:tcBorders>
            <w:noWrap w:val="0"/>
            <w:vAlign w:val="top"/>
          </w:tcPr>
          <w:p w14:paraId="11FB19EA">
            <w:pPr>
              <w:snapToGrid w:val="0"/>
              <w:spacing w:before="156" w:beforeLines="50" w:after="50"/>
              <w:jc w:val="left"/>
              <w:rPr>
                <w:rFonts w:ascii="仿宋" w:hAnsi="仿宋" w:eastAsia="仿宋"/>
                <w:b/>
                <w:color w:val="auto"/>
                <w:szCs w:val="21"/>
              </w:rPr>
            </w:pPr>
          </w:p>
        </w:tc>
        <w:tc>
          <w:tcPr>
            <w:tcW w:w="1384" w:type="dxa"/>
            <w:tcBorders>
              <w:bottom w:val="single" w:color="auto" w:sz="4" w:space="0"/>
            </w:tcBorders>
            <w:noWrap w:val="0"/>
            <w:vAlign w:val="top"/>
          </w:tcPr>
          <w:p w14:paraId="161784AA">
            <w:pPr>
              <w:snapToGrid w:val="0"/>
              <w:spacing w:before="156" w:beforeLines="50" w:after="50"/>
              <w:jc w:val="left"/>
              <w:rPr>
                <w:rFonts w:ascii="仿宋" w:hAnsi="仿宋" w:eastAsia="仿宋"/>
                <w:b/>
                <w:color w:val="auto"/>
                <w:szCs w:val="21"/>
              </w:rPr>
            </w:pPr>
          </w:p>
        </w:tc>
        <w:tc>
          <w:tcPr>
            <w:tcW w:w="4163" w:type="dxa"/>
            <w:tcBorders>
              <w:bottom w:val="single" w:color="auto" w:sz="4" w:space="0"/>
            </w:tcBorders>
            <w:noWrap w:val="0"/>
            <w:vAlign w:val="top"/>
          </w:tcPr>
          <w:p w14:paraId="4C98F250">
            <w:pPr>
              <w:snapToGrid w:val="0"/>
              <w:spacing w:before="156" w:beforeLines="50" w:after="50"/>
              <w:jc w:val="left"/>
              <w:rPr>
                <w:rFonts w:ascii="仿宋" w:hAnsi="仿宋" w:eastAsia="仿宋"/>
                <w:b/>
                <w:color w:val="auto"/>
                <w:szCs w:val="21"/>
              </w:rPr>
            </w:pPr>
          </w:p>
        </w:tc>
        <w:tc>
          <w:tcPr>
            <w:tcW w:w="4536" w:type="dxa"/>
            <w:vMerge w:val="continue"/>
            <w:tcBorders>
              <w:bottom w:val="single" w:color="auto" w:sz="4" w:space="0"/>
            </w:tcBorders>
            <w:noWrap w:val="0"/>
            <w:vAlign w:val="top"/>
          </w:tcPr>
          <w:p w14:paraId="25E36D15">
            <w:pPr>
              <w:snapToGrid w:val="0"/>
              <w:spacing w:before="156" w:beforeLines="50" w:after="50"/>
              <w:jc w:val="left"/>
              <w:rPr>
                <w:rFonts w:ascii="仿宋" w:hAnsi="仿宋" w:eastAsia="仿宋"/>
                <w:b/>
                <w:color w:val="auto"/>
                <w:szCs w:val="21"/>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2061FF8">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投标人直接管理关系信息表</w:t>
            </w:r>
          </w:p>
        </w:tc>
        <w:tc>
          <w:tcPr>
            <w:tcW w:w="4536" w:type="dxa"/>
            <w:shd w:val="clear" w:color="auto" w:fill="F2DBDB"/>
            <w:noWrap w:val="0"/>
            <w:vAlign w:val="center"/>
          </w:tcPr>
          <w:p w14:paraId="4B889ED3">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18EEAC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序号</w:t>
            </w:r>
          </w:p>
        </w:tc>
        <w:tc>
          <w:tcPr>
            <w:tcW w:w="2693" w:type="dxa"/>
            <w:gridSpan w:val="2"/>
            <w:noWrap w:val="0"/>
            <w:vAlign w:val="center"/>
          </w:tcPr>
          <w:p w14:paraId="3B62DEF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直接管理关系单位名称</w:t>
            </w:r>
          </w:p>
        </w:tc>
        <w:tc>
          <w:tcPr>
            <w:tcW w:w="4163" w:type="dxa"/>
            <w:noWrap w:val="0"/>
            <w:vAlign w:val="center"/>
          </w:tcPr>
          <w:p w14:paraId="6CAD11EF">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统一社会信用代码</w:t>
            </w:r>
          </w:p>
        </w:tc>
        <w:tc>
          <w:tcPr>
            <w:tcW w:w="4536" w:type="dxa"/>
            <w:vMerge w:val="restart"/>
            <w:noWrap w:val="0"/>
            <w:vAlign w:val="center"/>
          </w:tcPr>
          <w:p w14:paraId="28A57631">
            <w:pPr>
              <w:snapToGrid w:val="0"/>
              <w:jc w:val="left"/>
              <w:rPr>
                <w:rFonts w:ascii="仿宋" w:hAnsi="仿宋" w:eastAsia="仿宋"/>
                <w:color w:val="auto"/>
                <w:szCs w:val="21"/>
              </w:rPr>
            </w:pPr>
            <w:r>
              <w:rPr>
                <w:rFonts w:ascii="仿宋" w:hAnsi="仿宋" w:eastAsia="仿宋"/>
                <w:color w:val="auto"/>
                <w:szCs w:val="21"/>
              </w:rPr>
              <w:t>1.管理关系：是指不具有出资持股关系的其他单位之间存在的管理与被管理关系，如一些上下级关系的事业单位和团体组织。</w:t>
            </w:r>
          </w:p>
          <w:p w14:paraId="2F1DD5E1">
            <w:pPr>
              <w:snapToGrid w:val="0"/>
              <w:jc w:val="left"/>
              <w:rPr>
                <w:rFonts w:ascii="仿宋" w:hAnsi="仿宋" w:eastAsia="仿宋"/>
                <w:color w:val="auto"/>
                <w:szCs w:val="21"/>
              </w:rPr>
            </w:pPr>
            <w:r>
              <w:rPr>
                <w:rFonts w:ascii="仿宋" w:hAnsi="仿宋" w:eastAsia="仿宋"/>
                <w:color w:val="auto"/>
                <w:szCs w:val="21"/>
              </w:rPr>
              <w:t>2.本表所指的管理关系仅限于直接管理关系，不包括间接的管理关系。</w:t>
            </w:r>
          </w:p>
          <w:p w14:paraId="4CD8F99D">
            <w:pPr>
              <w:snapToGrid w:val="0"/>
              <w:jc w:val="left"/>
              <w:rPr>
                <w:rFonts w:ascii="仿宋" w:hAnsi="仿宋" w:eastAsia="仿宋"/>
                <w:color w:val="auto"/>
                <w:szCs w:val="21"/>
              </w:rPr>
            </w:pPr>
            <w:r>
              <w:rPr>
                <w:rFonts w:ascii="仿宋" w:hAnsi="仿宋" w:eastAsia="仿宋"/>
                <w:color w:val="auto"/>
                <w:szCs w:val="21"/>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0545E59">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2693" w:type="dxa"/>
            <w:gridSpan w:val="2"/>
            <w:noWrap w:val="0"/>
            <w:vAlign w:val="center"/>
          </w:tcPr>
          <w:p w14:paraId="566F4D5B">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3D236EA3">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713196E9">
            <w:pPr>
              <w:snapToGrid w:val="0"/>
              <w:jc w:val="left"/>
              <w:rPr>
                <w:rFonts w:ascii="仿宋" w:hAnsi="仿宋" w:eastAsia="仿宋"/>
                <w:color w:val="auto"/>
                <w:szCs w:val="21"/>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F83240D">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2693" w:type="dxa"/>
            <w:gridSpan w:val="2"/>
            <w:noWrap w:val="0"/>
            <w:vAlign w:val="center"/>
          </w:tcPr>
          <w:p w14:paraId="01D518E8">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1587044B">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299029C1">
            <w:pPr>
              <w:snapToGrid w:val="0"/>
              <w:jc w:val="left"/>
              <w:rPr>
                <w:rFonts w:ascii="仿宋" w:hAnsi="仿宋" w:eastAsia="仿宋"/>
                <w:color w:val="auto"/>
                <w:szCs w:val="21"/>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120B8BF">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2693" w:type="dxa"/>
            <w:gridSpan w:val="2"/>
            <w:noWrap w:val="0"/>
            <w:vAlign w:val="center"/>
          </w:tcPr>
          <w:p w14:paraId="17FD4101">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689AA734">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6DE108A1">
            <w:pPr>
              <w:snapToGrid w:val="0"/>
              <w:jc w:val="left"/>
              <w:rPr>
                <w:rFonts w:ascii="仿宋" w:hAnsi="仿宋" w:eastAsia="仿宋"/>
                <w:color w:val="auto"/>
                <w:szCs w:val="21"/>
              </w:rPr>
            </w:pPr>
          </w:p>
        </w:tc>
      </w:tr>
    </w:tbl>
    <w:p w14:paraId="281EA2AE">
      <w:pPr>
        <w:snapToGrid w:val="0"/>
        <w:spacing w:line="360" w:lineRule="auto"/>
        <w:jc w:val="left"/>
        <w:rPr>
          <w:rFonts w:hint="eastAsia" w:ascii="仿宋" w:hAnsi="仿宋" w:eastAsia="仿宋"/>
          <w:color w:val="auto"/>
          <w:sz w:val="24"/>
        </w:rPr>
      </w:pPr>
    </w:p>
    <w:p w14:paraId="7BA66D78">
      <w:pPr>
        <w:snapToGrid w:val="0"/>
        <w:spacing w:line="360" w:lineRule="auto"/>
        <w:ind w:firstLine="4840" w:firstLineChars="2200"/>
        <w:rPr>
          <w:rFonts w:hint="eastAsia" w:ascii="仿宋" w:hAnsi="仿宋" w:eastAsia="仿宋" w:cs="仿宋_GB2312"/>
          <w:color w:val="auto"/>
          <w:kern w:val="0"/>
          <w:sz w:val="22"/>
          <w:u w:val="single"/>
        </w:rPr>
      </w:pPr>
      <w:r>
        <w:rPr>
          <w:rFonts w:hint="eastAsia" w:ascii="仿宋" w:hAnsi="仿宋" w:eastAsia="仿宋" w:cs="仿宋_GB2312"/>
          <w:color w:val="auto"/>
          <w:kern w:val="0"/>
          <w:sz w:val="22"/>
          <w:lang w:val="zh-CN"/>
        </w:rPr>
        <w:t>投标人名称(</w:t>
      </w:r>
      <w:r>
        <w:rPr>
          <w:rFonts w:hint="eastAsia" w:ascii="仿宋" w:hAnsi="仿宋" w:eastAsia="仿宋" w:cs="仿宋_GB2312"/>
          <w:color w:val="auto"/>
          <w:kern w:val="0"/>
          <w:sz w:val="22"/>
          <w:lang w:val="en-US" w:eastAsia="zh-CN"/>
        </w:rPr>
        <w:t>公章</w:t>
      </w:r>
      <w:r>
        <w:rPr>
          <w:rFonts w:hint="eastAsia" w:ascii="仿宋" w:hAnsi="仿宋" w:eastAsia="仿宋" w:cs="仿宋_GB2312"/>
          <w:color w:val="auto"/>
          <w:kern w:val="0"/>
          <w:sz w:val="22"/>
          <w:lang w:val="zh-CN"/>
        </w:rPr>
        <w:t>)：</w:t>
      </w:r>
      <w:r>
        <w:rPr>
          <w:rFonts w:hint="eastAsia" w:ascii="仿宋" w:hAnsi="仿宋" w:eastAsia="仿宋" w:cs="仿宋_GB2312"/>
          <w:color w:val="auto"/>
          <w:kern w:val="0"/>
          <w:sz w:val="22"/>
          <w:u w:val="single"/>
          <w:lang w:val="zh-CN"/>
        </w:rPr>
        <w:t xml:space="preserve"> </w:t>
      </w:r>
      <w:r>
        <w:rPr>
          <w:rFonts w:ascii="仿宋" w:hAnsi="仿宋" w:eastAsia="仿宋" w:cs="仿宋_GB2312"/>
          <w:color w:val="auto"/>
          <w:kern w:val="0"/>
          <w:sz w:val="22"/>
          <w:u w:val="single"/>
          <w:lang w:val="zh-CN"/>
        </w:rPr>
        <w:t xml:space="preserve">         </w:t>
      </w:r>
    </w:p>
    <w:p w14:paraId="1D15B4AD">
      <w:pPr>
        <w:snapToGrid w:val="0"/>
        <w:spacing w:line="360" w:lineRule="auto"/>
        <w:ind w:firstLine="4730" w:firstLineChars="2150"/>
        <w:rPr>
          <w:rFonts w:ascii="仿宋" w:hAnsi="仿宋" w:eastAsia="仿宋" w:cs="仿宋_GB2312"/>
          <w:color w:val="auto"/>
          <w:kern w:val="0"/>
          <w:sz w:val="22"/>
          <w:lang w:val="zh-CN"/>
        </w:rPr>
      </w:pPr>
      <w:r>
        <w:rPr>
          <w:rFonts w:hint="eastAsia" w:ascii="仿宋" w:hAnsi="仿宋" w:eastAsia="仿宋" w:cs="仿宋_GB2312"/>
          <w:color w:val="auto"/>
          <w:kern w:val="0"/>
          <w:sz w:val="22"/>
          <w:lang w:val="zh-CN"/>
        </w:rPr>
        <w:t>日期</w:t>
      </w:r>
      <w:r>
        <w:rPr>
          <w:rFonts w:hint="eastAsia" w:ascii="仿宋" w:hAnsi="仿宋" w:eastAsia="仿宋" w:cs="仿宋_GB2312"/>
          <w:color w:val="auto"/>
          <w:kern w:val="0"/>
          <w:sz w:val="22"/>
        </w:rPr>
        <w:t xml:space="preserve">：  年  </w:t>
      </w:r>
      <w:r>
        <w:rPr>
          <w:rFonts w:hint="eastAsia" w:ascii="仿宋" w:hAnsi="仿宋" w:eastAsia="仿宋" w:cs="仿宋_GB2312"/>
          <w:color w:val="auto"/>
          <w:kern w:val="0"/>
          <w:sz w:val="22"/>
          <w:lang w:val="zh-CN"/>
        </w:rPr>
        <w:t>月</w:t>
      </w:r>
      <w:r>
        <w:rPr>
          <w:rFonts w:hint="eastAsia" w:ascii="仿宋" w:hAnsi="仿宋" w:eastAsia="仿宋" w:cs="仿宋_GB2312"/>
          <w:color w:val="auto"/>
          <w:kern w:val="0"/>
          <w:sz w:val="22"/>
        </w:rPr>
        <w:t xml:space="preserve">   </w:t>
      </w:r>
      <w:r>
        <w:rPr>
          <w:rFonts w:hint="eastAsia" w:ascii="仿宋" w:hAnsi="仿宋" w:eastAsia="仿宋" w:cs="仿宋_GB2312"/>
          <w:color w:val="auto"/>
          <w:kern w:val="0"/>
          <w:sz w:val="22"/>
          <w:lang w:val="zh-CN"/>
        </w:rPr>
        <w:t>日</w:t>
      </w:r>
    </w:p>
    <w:p w14:paraId="6D1234EA">
      <w:pPr>
        <w:rPr>
          <w:rFonts w:hint="default"/>
          <w:color w:val="auto"/>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7E3FE"/>
    <w:multiLevelType w:val="singleLevel"/>
    <w:tmpl w:val="38B7E3FE"/>
    <w:lvl w:ilvl="0" w:tentative="0">
      <w:start w:val="1"/>
      <w:numFmt w:val="chineseCounting"/>
      <w:suff w:val="nothing"/>
      <w:lvlText w:val="%1、"/>
      <w:lvlJc w:val="left"/>
      <w:rPr>
        <w:rFonts w:hint="eastAsia"/>
      </w:rPr>
    </w:lvl>
  </w:abstractNum>
  <w:abstractNum w:abstractNumId="1">
    <w:nsid w:val="5044B299"/>
    <w:multiLevelType w:val="singleLevel"/>
    <w:tmpl w:val="5044B29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93C70"/>
    <w:rsid w:val="05393C70"/>
    <w:rsid w:val="08053EFD"/>
    <w:rsid w:val="08927C62"/>
    <w:rsid w:val="0C6F55EB"/>
    <w:rsid w:val="0E26793E"/>
    <w:rsid w:val="14A66120"/>
    <w:rsid w:val="168C23B2"/>
    <w:rsid w:val="19142B27"/>
    <w:rsid w:val="1AFE6CB6"/>
    <w:rsid w:val="1D181741"/>
    <w:rsid w:val="1D44297A"/>
    <w:rsid w:val="1D492A09"/>
    <w:rsid w:val="1EE21BD8"/>
    <w:rsid w:val="1FD516E8"/>
    <w:rsid w:val="20C4005A"/>
    <w:rsid w:val="23845BBE"/>
    <w:rsid w:val="25B032A3"/>
    <w:rsid w:val="277D26EF"/>
    <w:rsid w:val="28137B19"/>
    <w:rsid w:val="28335AC5"/>
    <w:rsid w:val="2BC76C50"/>
    <w:rsid w:val="2D785A73"/>
    <w:rsid w:val="32C30428"/>
    <w:rsid w:val="33303667"/>
    <w:rsid w:val="33AE1983"/>
    <w:rsid w:val="34A51AF9"/>
    <w:rsid w:val="3ED34097"/>
    <w:rsid w:val="3FA5577F"/>
    <w:rsid w:val="41193B39"/>
    <w:rsid w:val="425C5EED"/>
    <w:rsid w:val="435F7409"/>
    <w:rsid w:val="49A347B9"/>
    <w:rsid w:val="49D70608"/>
    <w:rsid w:val="4B8B74BE"/>
    <w:rsid w:val="4C9635CE"/>
    <w:rsid w:val="51A85ED4"/>
    <w:rsid w:val="573749FB"/>
    <w:rsid w:val="576C100D"/>
    <w:rsid w:val="587255D7"/>
    <w:rsid w:val="601335C0"/>
    <w:rsid w:val="64AC3E47"/>
    <w:rsid w:val="665735C8"/>
    <w:rsid w:val="67A23AF2"/>
    <w:rsid w:val="67F72090"/>
    <w:rsid w:val="6F8E3370"/>
    <w:rsid w:val="6FCF1767"/>
    <w:rsid w:val="71970440"/>
    <w:rsid w:val="71F9658A"/>
    <w:rsid w:val="75137DDD"/>
    <w:rsid w:val="7956473D"/>
    <w:rsid w:val="7CD5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kern w:val="0"/>
      <w:sz w:val="20"/>
      <w:szCs w:val="21"/>
    </w:rPr>
  </w:style>
  <w:style w:type="paragraph" w:styleId="5">
    <w:name w:val="footer"/>
    <w:basedOn w:val="1"/>
    <w:next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qFormat/>
    <w:uiPriority w:val="0"/>
    <w:rPr>
      <w:color w:val="0000FF"/>
      <w:u w:val="single"/>
    </w:rPr>
  </w:style>
  <w:style w:type="character" w:customStyle="1" w:styleId="11">
    <w:name w:val="font31"/>
    <w:basedOn w:val="8"/>
    <w:qFormat/>
    <w:uiPriority w:val="0"/>
    <w:rPr>
      <w:rFonts w:hint="eastAsia" w:ascii="宋体" w:hAnsi="宋体" w:eastAsia="宋体" w:cs="宋体"/>
      <w:color w:val="000000"/>
      <w:sz w:val="21"/>
      <w:szCs w:val="21"/>
      <w:u w:val="none"/>
    </w:rPr>
  </w:style>
  <w:style w:type="character" w:customStyle="1" w:styleId="12">
    <w:name w:val="font51"/>
    <w:basedOn w:val="8"/>
    <w:qFormat/>
    <w:uiPriority w:val="0"/>
    <w:rPr>
      <w:rFonts w:hint="eastAsia" w:ascii="宋体" w:hAnsi="宋体" w:eastAsia="宋体" w:cs="宋体"/>
      <w:b/>
      <w:bCs/>
      <w:color w:val="FF0000"/>
      <w:sz w:val="21"/>
      <w:szCs w:val="21"/>
      <w:u w:val="none"/>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61"/>
    <w:basedOn w:val="8"/>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6903</Words>
  <Characters>7299</Characters>
  <Lines>0</Lines>
  <Paragraphs>0</Paragraphs>
  <TotalTime>20</TotalTime>
  <ScaleCrop>false</ScaleCrop>
  <LinksUpToDate>false</LinksUpToDate>
  <CharactersWithSpaces>7600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2025-05-06T09:03:00Z</dcterms:created>
  <dc:creator>黄冲</dc:creator>
  <cp:lastModifiedBy>李建波</cp:lastModifiedBy>
  <cp:lastPrinted>2025-05-16T07:28:00Z</cp:lastPrinted>
  <dcterms:modified xsi:type="dcterms:W3CDTF">2025-09-16T08:11:04Z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D00C69D376914C4083119F28E03C224A_11</vt:lpwstr>
  </property>
  <property fmtid="{D5CDD505-2E9C-101B-9397-08002B2CF9AE}" pid="4" name="KSOTemplateDocerSaveRecord">
    <vt:lpwstr>eyJoZGlkIjoiMTUyNDhmOWU4ZDRkMzNmMmFkYWMwMmFjZTJmOGM4YjgiLCJ1c2VySWQiOiI3MTkzODkwMDUifQ==</vt:lpwstr>
  </property>
</Properties>
</file>