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AAF90">
      <w:pPr>
        <w:pStyle w:val="5"/>
        <w:widowControl/>
        <w:shd w:val="clear" w:color="auto" w:fill="FFFFFF"/>
        <w:spacing w:before="0" w:beforeAutospacing="0" w:after="0" w:afterAutospacing="0"/>
        <w:jc w:val="center"/>
        <w:rPr>
          <w:rFonts w:ascii="宋体" w:hAnsi="宋体" w:cs="宋体"/>
          <w:b/>
          <w:bCs/>
          <w:sz w:val="32"/>
          <w:szCs w:val="32"/>
          <w:shd w:val="clear" w:color="auto" w:fill="FFFFFF"/>
        </w:rPr>
      </w:pPr>
      <w:r>
        <w:rPr>
          <w:rFonts w:hint="eastAsia" w:ascii="宋体" w:hAnsi="宋体" w:cs="宋体"/>
          <w:b/>
          <w:bCs/>
          <w:sz w:val="32"/>
          <w:szCs w:val="32"/>
          <w:shd w:val="clear" w:color="auto" w:fill="FFFFFF"/>
        </w:rPr>
        <w:t>广西艺术学院南湖校区音舞楼音乐厅老旧空调更换项目</w:t>
      </w:r>
    </w:p>
    <w:p w14:paraId="3750C059">
      <w:pPr>
        <w:pStyle w:val="5"/>
        <w:widowControl/>
        <w:shd w:val="clear" w:color="auto" w:fill="FFFFFF"/>
        <w:spacing w:before="0" w:beforeAutospacing="0" w:after="0" w:afterAutospacing="0"/>
        <w:jc w:val="center"/>
        <w:rPr>
          <w:rFonts w:ascii="宋体" w:hAnsi="宋体" w:cs="宋体"/>
          <w:sz w:val="32"/>
          <w:szCs w:val="32"/>
          <w:shd w:val="clear" w:color="auto" w:fill="FFFFFF"/>
        </w:rPr>
      </w:pPr>
      <w:r>
        <w:rPr>
          <w:rFonts w:hint="eastAsia" w:ascii="宋体" w:hAnsi="宋体" w:cs="宋体"/>
          <w:b/>
          <w:bCs/>
          <w:sz w:val="32"/>
          <w:szCs w:val="32"/>
          <w:shd w:val="clear" w:color="auto" w:fill="FFFFFF"/>
        </w:rPr>
        <w:t>采购文件</w:t>
      </w:r>
    </w:p>
    <w:p w14:paraId="2C3A8B7D">
      <w:pPr>
        <w:pStyle w:val="5"/>
        <w:widowControl/>
        <w:shd w:val="clear" w:color="auto" w:fill="FFFFFF"/>
        <w:spacing w:before="0" w:beforeAutospacing="0" w:after="0" w:afterAutospacing="0"/>
        <w:ind w:firstLine="560" w:firstLineChars="200"/>
        <w:rPr>
          <w:sz w:val="28"/>
          <w:szCs w:val="28"/>
        </w:rPr>
      </w:pPr>
      <w:r>
        <w:rPr>
          <w:rFonts w:hint="eastAsia" w:ascii="宋体" w:hAnsi="宋体" w:cs="宋体"/>
          <w:sz w:val="28"/>
          <w:szCs w:val="28"/>
          <w:shd w:val="clear" w:color="auto" w:fill="FFFFFF"/>
        </w:rPr>
        <w:t>根据有关规定，我校开展广西艺术学院南湖校区音舞楼音乐厅老旧空调更换项目采购，现将本次采购有关事项公告如下：</w:t>
      </w:r>
    </w:p>
    <w:p w14:paraId="4F67263A">
      <w:pPr>
        <w:pStyle w:val="5"/>
        <w:widowControl/>
        <w:numPr>
          <w:ilvl w:val="0"/>
          <w:numId w:val="1"/>
        </w:numPr>
        <w:shd w:val="clear" w:color="auto" w:fill="FFFFFF"/>
        <w:spacing w:before="0" w:beforeAutospacing="0" w:after="0" w:afterAutospacing="0"/>
        <w:ind w:firstLine="480"/>
        <w:rPr>
          <w:rStyle w:val="8"/>
          <w:rFonts w:ascii="宋体" w:hAnsi="宋体" w:cs="宋体"/>
          <w:sz w:val="28"/>
          <w:szCs w:val="28"/>
          <w:shd w:val="clear" w:color="auto" w:fill="FFFFFF"/>
        </w:rPr>
      </w:pPr>
      <w:r>
        <w:rPr>
          <w:rStyle w:val="8"/>
          <w:rFonts w:hint="eastAsia" w:ascii="宋体" w:hAnsi="宋体" w:cs="宋体"/>
          <w:sz w:val="28"/>
          <w:szCs w:val="28"/>
          <w:shd w:val="clear" w:color="auto" w:fill="FFFFFF"/>
        </w:rPr>
        <w:t>项目名称</w:t>
      </w:r>
      <w:r>
        <w:rPr>
          <w:rStyle w:val="8"/>
          <w:rFonts w:hint="eastAsia" w:ascii="宋体" w:hAnsi="宋体" w:cs="宋体"/>
          <w:b w:val="0"/>
          <w:bCs/>
          <w:sz w:val="28"/>
          <w:szCs w:val="28"/>
          <w:shd w:val="clear" w:color="auto" w:fill="FFFFFF"/>
        </w:rPr>
        <w:t>：广西艺术学院南湖校区音舞楼音乐厅老旧空调更换项目</w:t>
      </w:r>
    </w:p>
    <w:p w14:paraId="34407873">
      <w:pPr>
        <w:pStyle w:val="5"/>
        <w:widowControl/>
        <w:numPr>
          <w:ilvl w:val="0"/>
          <w:numId w:val="1"/>
        </w:numPr>
        <w:shd w:val="clear" w:color="auto" w:fill="FFFFFF"/>
        <w:spacing w:before="0" w:beforeAutospacing="0" w:after="0" w:afterAutospacing="0"/>
        <w:ind w:firstLine="480"/>
        <w:rPr>
          <w:rStyle w:val="8"/>
          <w:rFonts w:ascii="宋体" w:hAnsi="宋体" w:cs="宋体"/>
          <w:sz w:val="28"/>
          <w:szCs w:val="28"/>
          <w:shd w:val="clear" w:color="auto" w:fill="FFFFFF"/>
        </w:rPr>
      </w:pPr>
      <w:r>
        <w:rPr>
          <w:rStyle w:val="8"/>
          <w:rFonts w:hint="eastAsia" w:ascii="宋体" w:hAnsi="宋体" w:cs="宋体"/>
          <w:sz w:val="28"/>
          <w:szCs w:val="28"/>
          <w:shd w:val="clear" w:color="auto" w:fill="FFFFFF"/>
        </w:rPr>
        <w:t>采购需求内容：</w:t>
      </w:r>
      <w:r>
        <w:rPr>
          <w:rStyle w:val="8"/>
          <w:rFonts w:hint="eastAsia" w:ascii="宋体" w:hAnsi="宋体" w:cs="宋体"/>
          <w:b w:val="0"/>
          <w:bCs/>
          <w:sz w:val="28"/>
          <w:szCs w:val="28"/>
          <w:shd w:val="clear" w:color="auto" w:fill="FFFFFF"/>
        </w:rPr>
        <w:t>具体采购内容详见附件1。</w:t>
      </w:r>
      <w:r>
        <w:rPr>
          <w:rStyle w:val="8"/>
          <w:rFonts w:hint="eastAsia" w:ascii="宋体" w:hAnsi="宋体" w:cs="宋体"/>
          <w:sz w:val="28"/>
          <w:szCs w:val="28"/>
          <w:shd w:val="clear" w:color="auto" w:fill="FFFFFF"/>
        </w:rPr>
        <w:t xml:space="preserve"> </w:t>
      </w:r>
    </w:p>
    <w:p w14:paraId="7592B948">
      <w:pPr>
        <w:pStyle w:val="5"/>
        <w:widowControl/>
        <w:numPr>
          <w:ilvl w:val="0"/>
          <w:numId w:val="1"/>
        </w:numPr>
        <w:shd w:val="clear" w:color="auto" w:fill="FFFFFF"/>
        <w:spacing w:before="0" w:beforeAutospacing="0" w:after="0" w:afterAutospacing="0"/>
        <w:ind w:firstLine="480"/>
        <w:rPr>
          <w:rStyle w:val="8"/>
          <w:rFonts w:ascii="宋体" w:hAnsi="宋体" w:eastAsia="宋体" w:cs="宋体"/>
          <w:b w:val="0"/>
          <w:bCs/>
          <w:sz w:val="28"/>
          <w:szCs w:val="28"/>
          <w:shd w:val="clear" w:color="auto" w:fill="FFFFFF"/>
        </w:rPr>
      </w:pPr>
      <w:r>
        <w:rPr>
          <w:rStyle w:val="8"/>
          <w:rFonts w:hint="eastAsia" w:ascii="宋体" w:hAnsi="宋体" w:cs="宋体"/>
          <w:sz w:val="28"/>
          <w:szCs w:val="28"/>
          <w:shd w:val="clear" w:color="auto" w:fill="FFFFFF"/>
        </w:rPr>
        <w:t>采购控制价： 478352.18元</w:t>
      </w:r>
      <w:r>
        <w:rPr>
          <w:rFonts w:hint="eastAsia" w:ascii="宋体" w:hAnsi="宋体" w:cs="宋体"/>
          <w:szCs w:val="21"/>
        </w:rPr>
        <w:t>。</w:t>
      </w:r>
      <w:r>
        <w:rPr>
          <w:rStyle w:val="8"/>
          <w:rFonts w:hint="eastAsia" w:ascii="宋体" w:hAnsi="宋体" w:eastAsia="宋体" w:cs="宋体"/>
          <w:b w:val="0"/>
          <w:bCs/>
          <w:sz w:val="28"/>
          <w:szCs w:val="28"/>
          <w:shd w:val="clear" w:color="auto" w:fill="FFFFFF"/>
        </w:rPr>
        <w:t xml:space="preserve">项目工期：80日历天。 付款方式：签订合同后，成交供应商须向采购人开具增值税专用发票，采购人收到发票后15个工作日内向成交供应商一次性支付合同总金额30%的预付款；完成供货到采购人制定地点后，成交供应商开具增值税专用发票，采购人收到发票之日起15个工作日内支付合同款的50%；安装及调试运转正常，经采购人最终验收合格后，成交供应商开具增值税专用发票，采购人收到发票之日起15个工作日内支付合同款的20%。       </w:t>
      </w:r>
    </w:p>
    <w:p w14:paraId="5FFB7293">
      <w:pPr>
        <w:pStyle w:val="5"/>
        <w:widowControl/>
        <w:numPr>
          <w:ilvl w:val="0"/>
          <w:numId w:val="1"/>
        </w:numPr>
        <w:shd w:val="clear" w:color="auto" w:fill="FFFFFF"/>
        <w:spacing w:before="0" w:beforeAutospacing="0" w:after="0" w:afterAutospacing="0"/>
        <w:ind w:firstLine="480"/>
        <w:rPr>
          <w:rStyle w:val="8"/>
          <w:rFonts w:ascii="宋体" w:hAnsi="宋体" w:cs="宋体"/>
          <w:sz w:val="28"/>
          <w:szCs w:val="28"/>
          <w:shd w:val="clear" w:color="auto" w:fill="FFFFFF"/>
        </w:rPr>
      </w:pPr>
      <w:r>
        <w:rPr>
          <w:rStyle w:val="8"/>
          <w:rFonts w:hint="eastAsia" w:ascii="宋体" w:hAnsi="宋体" w:cs="宋体"/>
          <w:sz w:val="28"/>
          <w:szCs w:val="28"/>
          <w:shd w:val="clear" w:color="auto" w:fill="FFFFFF"/>
        </w:rPr>
        <w:t>投标人资格要求</w:t>
      </w:r>
    </w:p>
    <w:p w14:paraId="5FCB288E">
      <w:pPr>
        <w:pStyle w:val="5"/>
        <w:widowControl/>
        <w:numPr>
          <w:ilvl w:val="0"/>
          <w:numId w:val="2"/>
        </w:numPr>
        <w:shd w:val="clear" w:color="auto" w:fill="FFFFFF"/>
        <w:spacing w:before="0" w:beforeAutospacing="0" w:after="0" w:afterAutospacing="0"/>
        <w:ind w:firstLine="480"/>
        <w:rPr>
          <w:rFonts w:ascii="宋体" w:hAnsi="宋体" w:cs="宋体"/>
          <w:sz w:val="28"/>
          <w:szCs w:val="28"/>
          <w:shd w:val="clear" w:color="auto" w:fill="FFFFFF"/>
        </w:rPr>
      </w:pPr>
      <w:r>
        <w:rPr>
          <w:rFonts w:hint="eastAsia" w:ascii="宋体" w:hAnsi="宋体" w:cs="宋体"/>
          <w:sz w:val="28"/>
          <w:szCs w:val="28"/>
          <w:shd w:val="clear" w:color="auto" w:fill="FFFFFF"/>
        </w:rPr>
        <w:t>必须是在中华人民共和国境内注册，具有独立法人，并持有市场监督管理部门核发的法人营业执照。</w:t>
      </w:r>
    </w:p>
    <w:p w14:paraId="36CFCC36">
      <w:pPr>
        <w:pStyle w:val="5"/>
        <w:widowControl/>
        <w:numPr>
          <w:ilvl w:val="0"/>
          <w:numId w:val="2"/>
        </w:numPr>
        <w:shd w:val="clear" w:color="auto" w:fill="FFFFFF"/>
        <w:spacing w:before="0" w:beforeAutospacing="0" w:after="0" w:afterAutospacing="0"/>
        <w:ind w:firstLine="480"/>
        <w:rPr>
          <w:rFonts w:ascii="宋体" w:hAnsi="宋体" w:cs="宋体"/>
          <w:sz w:val="28"/>
          <w:szCs w:val="28"/>
          <w:u w:val="single"/>
          <w:shd w:val="clear" w:color="auto" w:fill="FFFFFF"/>
        </w:rPr>
      </w:pPr>
      <w:r>
        <w:rPr>
          <w:rFonts w:hint="eastAsia" w:ascii="宋体" w:hAnsi="宋体" w:cs="宋体"/>
          <w:sz w:val="28"/>
          <w:szCs w:val="28"/>
          <w:shd w:val="clear" w:color="auto" w:fill="FFFFFF"/>
        </w:rPr>
        <w:t>投标人须具备建筑机电安装工程专业承包贰级资质及安全生产许可证，提供相关资质证明材料。</w:t>
      </w:r>
    </w:p>
    <w:p w14:paraId="5A80DFDB">
      <w:pPr>
        <w:pStyle w:val="5"/>
        <w:widowControl/>
        <w:shd w:val="clear" w:color="auto" w:fill="FFFFFF"/>
        <w:spacing w:before="0" w:beforeAutospacing="0" w:after="0" w:afterAutospacing="0"/>
        <w:ind w:firstLine="480"/>
        <w:rPr>
          <w:rFonts w:ascii="宋体" w:hAnsi="宋体" w:cs="宋体"/>
          <w:sz w:val="28"/>
          <w:szCs w:val="28"/>
          <w:shd w:val="clear" w:color="auto" w:fill="FFFFFF"/>
        </w:rPr>
      </w:pPr>
      <w:r>
        <w:rPr>
          <w:rFonts w:hint="eastAsia" w:ascii="宋体" w:hAnsi="宋体" w:cs="宋体"/>
          <w:sz w:val="28"/>
          <w:szCs w:val="28"/>
          <w:shd w:val="clear" w:color="auto" w:fill="FFFFFF"/>
        </w:rPr>
        <w:t>（三）未被列入失信被执行人名单、重大税收违法案件当事人名单、政府采购严重违法失信行为记录名单，信用信息以最新的信用中国网站和中国政府采购网公布为准，</w:t>
      </w:r>
      <w:r>
        <w:rPr>
          <w:rFonts w:hint="eastAsia" w:ascii="宋体" w:hAnsi="宋体" w:cs="宋体"/>
          <w:b/>
          <w:bCs/>
          <w:sz w:val="28"/>
          <w:szCs w:val="28"/>
          <w:shd w:val="clear" w:color="auto" w:fill="FFFFFF"/>
        </w:rPr>
        <w:t>请提供最新的信用中国网站和中国政府采购网的截图证明信息</w:t>
      </w:r>
      <w:r>
        <w:rPr>
          <w:rFonts w:hint="eastAsia" w:ascii="宋体" w:hAnsi="宋体" w:cs="宋体"/>
          <w:sz w:val="28"/>
          <w:szCs w:val="28"/>
          <w:shd w:val="clear" w:color="auto" w:fill="FFFFFF"/>
        </w:rPr>
        <w:t>。</w:t>
      </w:r>
    </w:p>
    <w:p w14:paraId="2E136242">
      <w:pPr>
        <w:pStyle w:val="5"/>
        <w:widowControl/>
        <w:shd w:val="clear" w:color="auto" w:fill="FFFFFF"/>
        <w:spacing w:before="0" w:beforeAutospacing="0" w:after="0" w:afterAutospacing="0"/>
        <w:ind w:firstLine="480"/>
        <w:rPr>
          <w:sz w:val="28"/>
          <w:szCs w:val="28"/>
        </w:rPr>
      </w:pPr>
      <w:r>
        <w:rPr>
          <w:rFonts w:hint="eastAsia" w:ascii="宋体" w:hAnsi="宋体" w:cs="宋体"/>
          <w:b/>
          <w:bCs/>
          <w:sz w:val="28"/>
          <w:szCs w:val="28"/>
          <w:shd w:val="clear" w:color="auto" w:fill="FFFFFF"/>
        </w:rPr>
        <w:t>“信用中国”</w:t>
      </w:r>
      <w:r>
        <w:rPr>
          <w:rFonts w:hint="eastAsia" w:ascii="宋体" w:hAnsi="宋体" w:cs="宋体"/>
          <w:sz w:val="28"/>
          <w:szCs w:val="28"/>
          <w:shd w:val="clear" w:color="auto" w:fill="FFFFFF"/>
        </w:rPr>
        <w:t>网站查询方法：投标人在本项目投标截止时间前10日内,进入投标人基本信息页面，点击“下载信用报告”后点击“下载”。</w:t>
      </w:r>
      <w:r>
        <w:rPr>
          <w:rFonts w:hint="eastAsia" w:ascii="宋体" w:hAnsi="宋体" w:cs="宋体"/>
          <w:b/>
          <w:bCs/>
          <w:sz w:val="28"/>
          <w:szCs w:val="28"/>
          <w:shd w:val="clear" w:color="auto" w:fill="FFFFFF"/>
        </w:rPr>
        <w:t>“中国政府采购网”</w:t>
      </w:r>
      <w:r>
        <w:rPr>
          <w:rFonts w:hint="eastAsia" w:ascii="宋体" w:hAnsi="宋体" w:cs="宋体"/>
          <w:sz w:val="28"/>
          <w:szCs w:val="28"/>
          <w:shd w:val="clear" w:color="auto" w:fill="FFFFFF"/>
        </w:rPr>
        <w:t>的查询方法：点击“政府采购严重违法失信行为记录名单”进行查询。页面中的处罚日期不设置起始时间，只能设置截止时间，截止时间为本项目投标截止时间前10日至投标截止时间中任意一天。采购人将对供应商信用记录进行甄别，对列入失信被执行人、重大税收违法案件当事人名单、政府采购严重违法失信行为记录名单及其他不符合《中华人民共和国政府采购法》第二十二条规定条件的供应商，将拒绝其参与采购活动。</w:t>
      </w:r>
    </w:p>
    <w:p w14:paraId="03A51685">
      <w:pPr>
        <w:pStyle w:val="5"/>
        <w:widowControl/>
        <w:shd w:val="clear" w:color="auto" w:fill="FFFFFF"/>
        <w:spacing w:before="0" w:beforeAutospacing="0" w:after="0" w:afterAutospacing="0"/>
        <w:ind w:firstLine="480"/>
        <w:rPr>
          <w:sz w:val="28"/>
          <w:szCs w:val="28"/>
        </w:rPr>
      </w:pPr>
      <w:r>
        <w:rPr>
          <w:rFonts w:hint="eastAsia" w:ascii="宋体" w:hAnsi="宋体" w:cs="宋体"/>
          <w:sz w:val="28"/>
          <w:szCs w:val="28"/>
          <w:shd w:val="clear" w:color="auto" w:fill="FFFFFF"/>
        </w:rPr>
        <w:t>（四）单位负责人为同一人或者存在直接控股、管理关系的不同供应商，不得参加同一合同项下的采购活动。本项目不接受联合体。（投标时提供附件2）</w:t>
      </w:r>
    </w:p>
    <w:p w14:paraId="34208C4F">
      <w:pPr>
        <w:pStyle w:val="5"/>
        <w:widowControl/>
        <w:numPr>
          <w:ilvl w:val="0"/>
          <w:numId w:val="1"/>
        </w:numPr>
        <w:shd w:val="clear" w:color="auto" w:fill="FFFFFF"/>
        <w:spacing w:before="0" w:beforeAutospacing="0" w:after="0" w:afterAutospacing="0"/>
        <w:ind w:firstLine="480"/>
        <w:rPr>
          <w:rStyle w:val="8"/>
          <w:rFonts w:ascii="宋体" w:hAnsi="宋体" w:cs="宋体"/>
          <w:sz w:val="28"/>
          <w:szCs w:val="28"/>
          <w:shd w:val="clear" w:color="auto" w:fill="FFFFFF"/>
        </w:rPr>
      </w:pPr>
      <w:r>
        <w:rPr>
          <w:rStyle w:val="8"/>
          <w:rFonts w:hint="eastAsia" w:ascii="宋体" w:hAnsi="宋体" w:cs="宋体"/>
          <w:sz w:val="28"/>
          <w:szCs w:val="28"/>
          <w:shd w:val="clear" w:color="auto" w:fill="FFFFFF"/>
        </w:rPr>
        <w:t>投标要求</w:t>
      </w:r>
    </w:p>
    <w:p w14:paraId="49072516">
      <w:pPr>
        <w:pStyle w:val="5"/>
        <w:widowControl/>
        <w:shd w:val="clear" w:color="auto" w:fill="FFFFFF"/>
        <w:spacing w:before="0" w:beforeAutospacing="0" w:after="0" w:afterAutospacing="0"/>
        <w:ind w:firstLine="480"/>
        <w:rPr>
          <w:sz w:val="28"/>
          <w:szCs w:val="28"/>
        </w:rPr>
      </w:pPr>
      <w:r>
        <w:rPr>
          <w:rFonts w:hint="eastAsia" w:ascii="宋体" w:hAnsi="宋体" w:cs="宋体"/>
          <w:sz w:val="28"/>
          <w:szCs w:val="28"/>
          <w:shd w:val="clear" w:color="auto" w:fill="FFFFFF"/>
        </w:rPr>
        <w:t>（一）提供法人授权委托书（格式自拟）、有效的营业执照复印件（加盖单位公章）、被授权人身份证（复印件）及按第四大点资格要求列明的证明材料。</w:t>
      </w:r>
    </w:p>
    <w:p w14:paraId="4CF6E700">
      <w:pPr>
        <w:pStyle w:val="5"/>
        <w:widowControl/>
        <w:shd w:val="clear" w:color="auto" w:fill="FFFFFF"/>
        <w:spacing w:before="0" w:beforeAutospacing="0" w:after="0" w:afterAutospacing="0"/>
        <w:ind w:firstLine="480"/>
        <w:rPr>
          <w:sz w:val="28"/>
          <w:szCs w:val="28"/>
        </w:rPr>
      </w:pPr>
      <w:r>
        <w:rPr>
          <w:rFonts w:hint="eastAsia" w:ascii="宋体" w:hAnsi="宋体" w:cs="宋体"/>
          <w:sz w:val="28"/>
          <w:szCs w:val="28"/>
          <w:shd w:val="clear" w:color="auto" w:fill="FFFFFF"/>
        </w:rPr>
        <w:t>（二）报价函（格式自拟，根据采购清单报价，并附上总价）。</w:t>
      </w:r>
    </w:p>
    <w:p w14:paraId="619AD3AE">
      <w:pPr>
        <w:pStyle w:val="5"/>
        <w:widowControl/>
        <w:shd w:val="clear" w:color="auto" w:fill="FFFFFF"/>
        <w:spacing w:before="0" w:beforeAutospacing="0" w:after="0" w:afterAutospacing="0"/>
        <w:ind w:firstLine="480"/>
        <w:rPr>
          <w:rFonts w:ascii="宋体" w:hAnsi="宋体" w:cs="宋体"/>
          <w:sz w:val="28"/>
          <w:szCs w:val="28"/>
          <w:shd w:val="clear" w:color="auto" w:fill="FFFFFF"/>
        </w:rPr>
      </w:pPr>
      <w:r>
        <w:rPr>
          <w:rFonts w:hint="eastAsia" w:ascii="宋体" w:hAnsi="宋体" w:cs="宋体"/>
          <w:sz w:val="28"/>
          <w:szCs w:val="28"/>
          <w:shd w:val="clear" w:color="auto" w:fill="FFFFFF"/>
        </w:rPr>
        <w:t>（三）关于本项目的服务承诺（格式自拟，包含但不限于售后、培训、免费质保期等）。</w:t>
      </w:r>
    </w:p>
    <w:p w14:paraId="40C7C141">
      <w:pPr>
        <w:pStyle w:val="5"/>
        <w:widowControl/>
        <w:shd w:val="clear" w:color="auto" w:fill="FFFFFF"/>
        <w:spacing w:before="0" w:beforeAutospacing="0" w:after="0" w:afterAutospacing="0"/>
        <w:ind w:firstLine="480"/>
        <w:rPr>
          <w:rFonts w:ascii="宋体" w:hAnsi="宋体" w:cs="宋体"/>
          <w:sz w:val="28"/>
          <w:szCs w:val="28"/>
          <w:shd w:val="clear" w:color="auto" w:fill="FFFFFF"/>
        </w:rPr>
      </w:pPr>
      <w:r>
        <w:rPr>
          <w:rFonts w:hint="eastAsia" w:ascii="宋体" w:hAnsi="宋体" w:cs="宋体"/>
          <w:sz w:val="28"/>
          <w:szCs w:val="28"/>
          <w:shd w:val="clear" w:color="auto" w:fill="FFFFFF"/>
        </w:rPr>
        <w:t>（四）采购需求里要求提供的其他证明材料。</w:t>
      </w:r>
    </w:p>
    <w:p w14:paraId="6EFEB80D">
      <w:pPr>
        <w:pStyle w:val="5"/>
        <w:widowControl/>
        <w:shd w:val="clear" w:color="auto" w:fill="FFFFFF"/>
        <w:spacing w:before="0" w:beforeAutospacing="0" w:after="0" w:afterAutospacing="0"/>
        <w:ind w:firstLine="480"/>
        <w:rPr>
          <w:sz w:val="28"/>
          <w:szCs w:val="28"/>
        </w:rPr>
      </w:pPr>
      <w:r>
        <w:rPr>
          <w:rStyle w:val="8"/>
          <w:rFonts w:hint="eastAsia" w:ascii="宋体" w:hAnsi="宋体" w:cs="宋体"/>
          <w:sz w:val="28"/>
          <w:szCs w:val="28"/>
          <w:shd w:val="clear" w:color="auto" w:fill="FFFFFF"/>
        </w:rPr>
        <w:t>注：所有投标材料务必严格按要求提供，不按要求提供的，采购人有权视为无效投标。投标材料必须一正一副，且须加盖公章后密封提供。</w:t>
      </w:r>
    </w:p>
    <w:p w14:paraId="29D2505A">
      <w:pPr>
        <w:ind w:firstLine="562" w:firstLineChars="200"/>
        <w:rPr>
          <w:rFonts w:ascii="宋体" w:hAnsi="宋体" w:eastAsia="宋体" w:cs="Times New Roman"/>
          <w:bCs/>
          <w:sz w:val="28"/>
          <w:szCs w:val="28"/>
        </w:rPr>
      </w:pPr>
      <w:r>
        <w:rPr>
          <w:rStyle w:val="8"/>
          <w:rFonts w:hint="eastAsia" w:ascii="宋体" w:hAnsi="宋体" w:cs="宋体"/>
          <w:sz w:val="28"/>
          <w:szCs w:val="28"/>
          <w:shd w:val="clear" w:color="auto" w:fill="FFFFFF"/>
        </w:rPr>
        <w:t>六、评标方式</w:t>
      </w:r>
      <w:r>
        <w:rPr>
          <w:rFonts w:hint="eastAsia"/>
          <w:sz w:val="28"/>
          <w:szCs w:val="28"/>
        </w:rPr>
        <w:t>：</w:t>
      </w:r>
      <w:r>
        <w:rPr>
          <w:rFonts w:hint="eastAsia" w:ascii="宋体" w:hAnsi="宋体" w:eastAsia="宋体" w:cs="Times New Roman"/>
          <w:bCs/>
          <w:sz w:val="28"/>
          <w:szCs w:val="28"/>
        </w:rPr>
        <w:t>综合评分法。评分办法见附件3.</w:t>
      </w:r>
    </w:p>
    <w:p w14:paraId="3406AF78">
      <w:pPr>
        <w:pStyle w:val="5"/>
        <w:widowControl/>
        <w:shd w:val="clear" w:color="auto" w:fill="FFFFFF"/>
        <w:spacing w:before="0" w:beforeAutospacing="0" w:after="0" w:afterAutospacing="0"/>
        <w:ind w:firstLine="480"/>
        <w:rPr>
          <w:sz w:val="28"/>
          <w:szCs w:val="28"/>
        </w:rPr>
      </w:pPr>
      <w:r>
        <w:rPr>
          <w:rStyle w:val="8"/>
          <w:rFonts w:hint="eastAsia" w:ascii="宋体" w:hAnsi="宋体" w:cs="宋体"/>
          <w:sz w:val="28"/>
          <w:szCs w:val="28"/>
          <w:shd w:val="clear" w:color="auto" w:fill="FFFFFF"/>
        </w:rPr>
        <w:t>七、投标截止时间和地点</w:t>
      </w:r>
    </w:p>
    <w:p w14:paraId="062AC7B5">
      <w:pPr>
        <w:pStyle w:val="5"/>
        <w:widowControl/>
        <w:shd w:val="clear" w:color="auto" w:fill="FFFFFF"/>
        <w:spacing w:before="0" w:beforeAutospacing="0" w:after="0" w:afterAutospacing="0"/>
        <w:ind w:firstLine="480"/>
        <w:rPr>
          <w:sz w:val="28"/>
          <w:szCs w:val="28"/>
        </w:rPr>
      </w:pPr>
      <w:r>
        <w:rPr>
          <w:rFonts w:hint="eastAsia" w:ascii="宋体" w:hAnsi="宋体" w:cs="宋体"/>
          <w:sz w:val="28"/>
          <w:szCs w:val="28"/>
          <w:shd w:val="clear" w:color="auto" w:fill="FFFFFF"/>
        </w:rPr>
        <w:t>投标时间：凡愿意且符合条件投标人，请于2025年</w:t>
      </w:r>
      <w:r>
        <w:rPr>
          <w:rFonts w:hint="eastAsia" w:ascii="宋体" w:hAnsi="宋体" w:cs="宋体"/>
          <w:sz w:val="28"/>
          <w:szCs w:val="28"/>
          <w:shd w:val="clear" w:color="auto" w:fill="FFFFFF"/>
          <w:lang w:val="en-US" w:eastAsia="zh-CN"/>
        </w:rPr>
        <w:t>9</w:t>
      </w:r>
      <w:r>
        <w:rPr>
          <w:rFonts w:hint="eastAsia" w:ascii="宋体" w:hAnsi="宋体" w:cs="宋体"/>
          <w:sz w:val="28"/>
          <w:szCs w:val="28"/>
          <w:shd w:val="clear" w:color="auto" w:fill="FFFFFF"/>
        </w:rPr>
        <w:t>月</w:t>
      </w:r>
      <w:r>
        <w:rPr>
          <w:rFonts w:hint="eastAsia" w:ascii="宋体" w:hAnsi="宋体" w:cs="宋体"/>
          <w:sz w:val="28"/>
          <w:szCs w:val="28"/>
          <w:shd w:val="clear" w:color="auto" w:fill="FFFFFF"/>
          <w:lang w:val="en-US" w:eastAsia="zh-CN"/>
        </w:rPr>
        <w:t>15</w:t>
      </w:r>
      <w:r>
        <w:rPr>
          <w:rFonts w:hint="eastAsia" w:ascii="宋体" w:hAnsi="宋体" w:cs="宋体"/>
          <w:sz w:val="28"/>
          <w:szCs w:val="28"/>
          <w:shd w:val="clear" w:color="auto" w:fill="FFFFFF"/>
        </w:rPr>
        <w:t>日上午</w:t>
      </w:r>
      <w:r>
        <w:rPr>
          <w:rFonts w:hint="eastAsia" w:ascii="宋体" w:hAnsi="宋体" w:cs="宋体"/>
          <w:sz w:val="28"/>
          <w:szCs w:val="28"/>
          <w:shd w:val="clear" w:color="auto" w:fill="FFFFFF"/>
          <w:lang w:val="en-US" w:eastAsia="zh-CN"/>
        </w:rPr>
        <w:t>9</w:t>
      </w:r>
      <w:r>
        <w:rPr>
          <w:rFonts w:hint="eastAsia" w:ascii="宋体" w:hAnsi="宋体" w:cs="宋体"/>
          <w:sz w:val="28"/>
          <w:szCs w:val="28"/>
          <w:shd w:val="clear" w:color="auto" w:fill="FFFFFF"/>
        </w:rPr>
        <w:t>点至</w:t>
      </w:r>
      <w:r>
        <w:rPr>
          <w:rFonts w:hint="eastAsia" w:ascii="宋体" w:hAnsi="宋体" w:cs="宋体"/>
          <w:sz w:val="28"/>
          <w:szCs w:val="28"/>
          <w:shd w:val="clear" w:color="auto" w:fill="FFFFFF"/>
          <w:lang w:val="en-US" w:eastAsia="zh-CN"/>
        </w:rPr>
        <w:t>11</w:t>
      </w:r>
      <w:r>
        <w:rPr>
          <w:rFonts w:hint="eastAsia" w:ascii="宋体" w:hAnsi="宋体" w:cs="宋体"/>
          <w:sz w:val="28"/>
          <w:szCs w:val="28"/>
          <w:shd w:val="clear" w:color="auto" w:fill="FFFFFF"/>
        </w:rPr>
        <w:t>点之间，将投标文件送达广西艺术学院财务资产处，其他时间不接收报名材料。投标地点：南宁市教育路7号广西艺术学院雕塑办公楼107室财务资产处采购管理科。联系人：</w:t>
      </w:r>
      <w:r>
        <w:rPr>
          <w:rFonts w:hint="eastAsia" w:ascii="宋体" w:hAnsi="宋体" w:cs="宋体"/>
          <w:sz w:val="28"/>
          <w:szCs w:val="28"/>
          <w:shd w:val="clear" w:color="auto" w:fill="FFFFFF"/>
          <w:lang w:eastAsia="zh-CN"/>
        </w:rPr>
        <w:t>吴老师，</w:t>
      </w:r>
      <w:r>
        <w:rPr>
          <w:rFonts w:hint="eastAsia" w:ascii="宋体" w:hAnsi="宋体" w:cs="宋体"/>
          <w:sz w:val="28"/>
          <w:szCs w:val="28"/>
          <w:shd w:val="clear" w:color="auto" w:fill="FFFFFF"/>
        </w:rPr>
        <w:t>朱老师，高老师，李老师。联系电话：0771-5327987.</w:t>
      </w:r>
    </w:p>
    <w:p w14:paraId="40E6DC85">
      <w:pPr>
        <w:pStyle w:val="5"/>
        <w:widowControl/>
        <w:shd w:val="clear" w:color="auto" w:fill="FFFFFF"/>
        <w:spacing w:before="0" w:beforeAutospacing="0" w:after="0" w:afterAutospacing="0"/>
        <w:ind w:firstLine="560" w:firstLineChars="200"/>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本次采购的相关信息（包括但不限于采购公告与附件及其修改、补充、澄清等，下同）在广西艺术学院主页的</w:t>
      </w:r>
      <w:bookmarkStart w:id="0" w:name="_GoBack"/>
      <w:bookmarkEnd w:id="0"/>
      <w:r>
        <w:rPr>
          <w:rFonts w:hint="eastAsia" w:ascii="宋体" w:hAnsi="宋体" w:eastAsia="宋体" w:cs="宋体"/>
          <w:sz w:val="28"/>
          <w:szCs w:val="28"/>
          <w:shd w:val="clear" w:color="auto" w:fill="FFFFFF"/>
        </w:rPr>
        <w:t>“机构设置-财务资产处-招标公告”栏（网址：https://cwc.gxau.edu.cn/zbgg2）上发布，本次采购的相关信息一经在上述网站发布，即视为已发送给投标人。投标人据此参与本次采购活动，即视为对本次采购的相关信息、内容及规则没有异议。</w:t>
      </w:r>
    </w:p>
    <w:p w14:paraId="2CDB9F06">
      <w:pPr>
        <w:pStyle w:val="5"/>
        <w:widowControl/>
        <w:shd w:val="clear" w:color="auto" w:fill="FFFFFF"/>
        <w:spacing w:before="0" w:beforeAutospacing="0" w:after="0" w:afterAutospacing="0"/>
        <w:rPr>
          <w:rFonts w:ascii="宋体" w:hAnsi="宋体" w:eastAsia="宋体" w:cs="宋体"/>
          <w:sz w:val="28"/>
          <w:szCs w:val="28"/>
          <w:shd w:val="clear" w:color="auto" w:fill="FFFFFF"/>
        </w:rPr>
      </w:pPr>
    </w:p>
    <w:p w14:paraId="016FC634">
      <w:pPr>
        <w:pStyle w:val="5"/>
        <w:widowControl/>
        <w:shd w:val="clear" w:color="auto" w:fill="FFFFFF"/>
        <w:spacing w:before="0" w:beforeAutospacing="0" w:after="0" w:afterAutospacing="0"/>
        <w:rPr>
          <w:rFonts w:ascii="宋体" w:hAnsi="宋体" w:eastAsia="宋体" w:cs="宋体"/>
          <w:sz w:val="28"/>
          <w:szCs w:val="28"/>
          <w:shd w:val="clear" w:color="auto" w:fill="FFFFFF"/>
        </w:rPr>
      </w:pPr>
    </w:p>
    <w:p w14:paraId="3726E325">
      <w:pPr>
        <w:rPr>
          <w:rFonts w:ascii="宋体" w:hAnsi="宋体" w:eastAsia="宋体" w:cs="宋体"/>
          <w:szCs w:val="21"/>
          <w:shd w:val="clear" w:color="auto" w:fill="FFFFFF"/>
        </w:rPr>
      </w:pPr>
      <w:r>
        <w:rPr>
          <w:rFonts w:hint="eastAsia" w:ascii="宋体" w:hAnsi="宋体" w:eastAsia="宋体" w:cs="宋体"/>
          <w:szCs w:val="21"/>
          <w:shd w:val="clear" w:color="auto" w:fill="FFFFFF"/>
        </w:rPr>
        <w:br w:type="page"/>
      </w:r>
    </w:p>
    <w:p w14:paraId="4276DD20">
      <w:pPr>
        <w:pStyle w:val="5"/>
        <w:widowControl/>
        <w:shd w:val="clear" w:color="auto" w:fill="FFFFFF"/>
        <w:spacing w:before="0" w:beforeAutospacing="0" w:after="0" w:afterAutospacing="0"/>
        <w:rPr>
          <w:rFonts w:ascii="宋体" w:hAnsi="宋体" w:eastAsia="宋体" w:cs="宋体"/>
          <w:sz w:val="28"/>
          <w:szCs w:val="28"/>
          <w:shd w:val="clear" w:color="auto" w:fill="FFFFFF"/>
        </w:rPr>
      </w:pPr>
      <w:r>
        <w:rPr>
          <w:rFonts w:hint="eastAsia" w:ascii="宋体" w:hAnsi="宋体" w:eastAsia="宋体" w:cs="宋体"/>
          <w:sz w:val="21"/>
          <w:szCs w:val="21"/>
          <w:shd w:val="clear" w:color="auto" w:fill="FFFFFF"/>
        </w:rPr>
        <w:t>附件1：</w:t>
      </w:r>
    </w:p>
    <w:tbl>
      <w:tblPr>
        <w:tblStyle w:val="6"/>
        <w:tblW w:w="891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68"/>
        <w:gridCol w:w="972"/>
        <w:gridCol w:w="1968"/>
        <w:gridCol w:w="1908"/>
      </w:tblGrid>
      <w:tr w14:paraId="6DC15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91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B9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广西艺术学院南湖校区音舞楼音乐厅老旧空调更换项目清单</w:t>
            </w:r>
          </w:p>
        </w:tc>
      </w:tr>
      <w:tr w14:paraId="02DCB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7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3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单位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A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E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72CF9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043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B7 通风空调工程</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9228">
            <w:pPr>
              <w:jc w:val="center"/>
              <w:rPr>
                <w:rFonts w:hint="eastAsia" w:ascii="宋体" w:hAnsi="宋体" w:eastAsia="宋体" w:cs="宋体"/>
                <w:b/>
                <w:bCs/>
                <w:i w:val="0"/>
                <w:iCs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C7EB">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1F63">
            <w:pPr>
              <w:jc w:val="center"/>
              <w:rPr>
                <w:rFonts w:hint="eastAsia" w:ascii="宋体" w:hAnsi="宋体" w:eastAsia="宋体" w:cs="宋体"/>
                <w:i w:val="0"/>
                <w:iCs w:val="0"/>
                <w:color w:val="000000"/>
                <w:sz w:val="22"/>
                <w:szCs w:val="22"/>
                <w:u w:val="none"/>
              </w:rPr>
            </w:pPr>
          </w:p>
        </w:tc>
      </w:tr>
      <w:tr w14:paraId="56652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top"/>
          </w:tcPr>
          <w:p w14:paraId="11A2EEF6">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变频风冷模块热泵机组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1."LSQWRF130M/NaB1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2.冷量：130.0kW，制热量：142KW"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3.制冷功率42.48KW，制热功率：44KW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4.含检查接线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5.品牌：格力</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14:paraId="03B879A1">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组</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top"/>
          </w:tcPr>
          <w:p w14:paraId="64A414E7">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550CD">
            <w:pPr>
              <w:jc w:val="center"/>
              <w:rPr>
                <w:rFonts w:hint="eastAsia" w:ascii="宋体" w:hAnsi="宋体" w:eastAsia="宋体" w:cs="宋体"/>
                <w:i w:val="0"/>
                <w:iCs w:val="0"/>
                <w:color w:val="000000"/>
                <w:sz w:val="22"/>
                <w:szCs w:val="22"/>
                <w:u w:val="none"/>
              </w:rPr>
            </w:pPr>
          </w:p>
        </w:tc>
      </w:tr>
      <w:tr w14:paraId="54366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D0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热泵式（风冷模块式）制冷机组 冷量（≤150kW）</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5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C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24452">
            <w:pPr>
              <w:jc w:val="center"/>
              <w:rPr>
                <w:rFonts w:hint="eastAsia" w:ascii="宋体" w:hAnsi="宋体" w:eastAsia="宋体" w:cs="宋体"/>
                <w:i w:val="0"/>
                <w:iCs w:val="0"/>
                <w:color w:val="000000"/>
                <w:sz w:val="22"/>
                <w:szCs w:val="22"/>
                <w:u w:val="none"/>
              </w:rPr>
            </w:pPr>
          </w:p>
        </w:tc>
      </w:tr>
      <w:tr w14:paraId="5DDC0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top"/>
          </w:tcPr>
          <w:p w14:paraId="4473BC60">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变频柜式风机盘管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1.制冷量：350KW,送风量：37000m³/h，新风量15000m³/h，机外静压600PA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2.电机功率：15KW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3.GZKB3511-W25D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4.含检查接线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5.品牌：格力</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14:paraId="5C4F535C">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台</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top"/>
          </w:tcPr>
          <w:p w14:paraId="64FC1D3B">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BA0F">
            <w:pPr>
              <w:jc w:val="center"/>
              <w:rPr>
                <w:rFonts w:hint="eastAsia" w:ascii="宋体" w:hAnsi="宋体" w:eastAsia="宋体" w:cs="宋体"/>
                <w:i w:val="0"/>
                <w:iCs w:val="0"/>
                <w:color w:val="000000"/>
                <w:sz w:val="22"/>
                <w:szCs w:val="22"/>
                <w:u w:val="none"/>
              </w:rPr>
            </w:pPr>
          </w:p>
        </w:tc>
      </w:tr>
      <w:tr w14:paraId="177A2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83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风机盘管安装 吊顶式</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D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5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59F0">
            <w:pPr>
              <w:jc w:val="center"/>
              <w:rPr>
                <w:rFonts w:hint="eastAsia" w:ascii="宋体" w:hAnsi="宋体" w:eastAsia="宋体" w:cs="宋体"/>
                <w:i w:val="0"/>
                <w:iCs w:val="0"/>
                <w:color w:val="000000"/>
                <w:sz w:val="22"/>
                <w:szCs w:val="22"/>
                <w:u w:val="none"/>
              </w:rPr>
            </w:pPr>
          </w:p>
        </w:tc>
      </w:tr>
      <w:tr w14:paraId="6F076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top"/>
          </w:tcPr>
          <w:p w14:paraId="2F3EF80E">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立式冷冻水泵（热泵机组）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1.流量：72m3/h，扬程：32m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2.功率：11KW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3.含检查接线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4.品牌：源立</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14:paraId="5D61DD7A">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台</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top"/>
          </w:tcPr>
          <w:p w14:paraId="5F9C916F">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63D81">
            <w:pPr>
              <w:jc w:val="center"/>
              <w:rPr>
                <w:rFonts w:hint="eastAsia" w:ascii="宋体" w:hAnsi="宋体" w:eastAsia="宋体" w:cs="宋体"/>
                <w:i w:val="0"/>
                <w:iCs w:val="0"/>
                <w:color w:val="000000"/>
                <w:sz w:val="22"/>
                <w:szCs w:val="22"/>
                <w:u w:val="none"/>
              </w:rPr>
            </w:pPr>
          </w:p>
        </w:tc>
      </w:tr>
      <w:tr w14:paraId="37017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A3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单级离心泵及离心式耐腐蚀泵 设备重量（0.2t以内）</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7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4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0FB8">
            <w:pPr>
              <w:jc w:val="center"/>
              <w:rPr>
                <w:rFonts w:hint="eastAsia" w:ascii="宋体" w:hAnsi="宋体" w:eastAsia="宋体" w:cs="宋体"/>
                <w:i w:val="0"/>
                <w:iCs w:val="0"/>
                <w:color w:val="000000"/>
                <w:sz w:val="22"/>
                <w:szCs w:val="22"/>
                <w:u w:val="none"/>
              </w:rPr>
            </w:pPr>
          </w:p>
        </w:tc>
      </w:tr>
      <w:tr w14:paraId="25D0B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64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小型交流同步电机检查接线 交流同步电机检查接线 (功率:≤13kW)</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2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F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84C9">
            <w:pPr>
              <w:jc w:val="center"/>
              <w:rPr>
                <w:rFonts w:hint="eastAsia" w:ascii="宋体" w:hAnsi="宋体" w:eastAsia="宋体" w:cs="宋体"/>
                <w:i w:val="0"/>
                <w:iCs w:val="0"/>
                <w:color w:val="000000"/>
                <w:sz w:val="22"/>
                <w:szCs w:val="22"/>
                <w:u w:val="none"/>
              </w:rPr>
            </w:pPr>
          </w:p>
        </w:tc>
      </w:tr>
      <w:tr w14:paraId="10D1C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038E">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综合水处理仪                                1.处理流量：100-180m3/h，压力降：3-6Kpa；参考尺寸：∅500*1400(H)，防垢除垢效率＞95%；杀菌灭藻＞97%</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2.品牌：恒古</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76F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台</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7CF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95FC">
            <w:pPr>
              <w:jc w:val="center"/>
              <w:rPr>
                <w:rFonts w:hint="eastAsia" w:ascii="宋体" w:hAnsi="宋体" w:eastAsia="宋体" w:cs="宋体"/>
                <w:i w:val="0"/>
                <w:iCs w:val="0"/>
                <w:color w:val="000000"/>
                <w:sz w:val="22"/>
                <w:szCs w:val="22"/>
                <w:u w:val="none"/>
              </w:rPr>
            </w:pPr>
          </w:p>
        </w:tc>
      </w:tr>
      <w:tr w14:paraId="1282A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96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电子水处理仪表、离子棒安装 电子水处理仪表 公称直径(150mm) </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5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9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6DC0">
            <w:pPr>
              <w:jc w:val="center"/>
              <w:rPr>
                <w:rFonts w:hint="eastAsia" w:ascii="宋体" w:hAnsi="宋体" w:eastAsia="宋体" w:cs="宋体"/>
                <w:i w:val="0"/>
                <w:iCs w:val="0"/>
                <w:color w:val="000000"/>
                <w:sz w:val="22"/>
                <w:szCs w:val="22"/>
                <w:u w:val="none"/>
              </w:rPr>
            </w:pPr>
          </w:p>
        </w:tc>
      </w:tr>
      <w:tr w14:paraId="65F67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top"/>
          </w:tcPr>
          <w:p w14:paraId="3C00802F">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变频控制系统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1.水泵控制柜，11KW，恒温节能自动控制；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2.风柜机变频控制，15KW；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3.元器件：正泰品牌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4.变频器：森岛品牌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5.总功率：26KW</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14:paraId="7D74D198">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台</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top"/>
          </w:tcPr>
          <w:p w14:paraId="551FB047">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C68C">
            <w:pPr>
              <w:jc w:val="center"/>
              <w:rPr>
                <w:rFonts w:hint="eastAsia" w:ascii="宋体" w:hAnsi="宋体" w:eastAsia="宋体" w:cs="宋体"/>
                <w:i w:val="0"/>
                <w:iCs w:val="0"/>
                <w:color w:val="000000"/>
                <w:sz w:val="22"/>
                <w:szCs w:val="22"/>
                <w:u w:val="none"/>
              </w:rPr>
            </w:pPr>
          </w:p>
        </w:tc>
      </w:tr>
      <w:tr w14:paraId="77C6C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6C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成套配电箱安装 落地式</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6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B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9D27">
            <w:pPr>
              <w:jc w:val="center"/>
              <w:rPr>
                <w:rFonts w:hint="eastAsia" w:ascii="宋体" w:hAnsi="宋体" w:eastAsia="宋体" w:cs="宋体"/>
                <w:i w:val="0"/>
                <w:iCs w:val="0"/>
                <w:color w:val="000000"/>
                <w:sz w:val="22"/>
                <w:szCs w:val="22"/>
                <w:u w:val="none"/>
              </w:rPr>
            </w:pPr>
          </w:p>
        </w:tc>
      </w:tr>
      <w:tr w14:paraId="5CF08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top"/>
          </w:tcPr>
          <w:p w14:paraId="50CB9AE6">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DN20低压镀锌碳钢管及管件安装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1.连接方式：螺纹连接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2.品牌：振鸿</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14:paraId="6FBB764C">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m</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top"/>
          </w:tcPr>
          <w:p w14:paraId="5F9ED338">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44223">
            <w:pPr>
              <w:jc w:val="center"/>
              <w:rPr>
                <w:rFonts w:hint="eastAsia" w:ascii="宋体" w:hAnsi="宋体" w:eastAsia="宋体" w:cs="宋体"/>
                <w:i w:val="0"/>
                <w:iCs w:val="0"/>
                <w:color w:val="000000"/>
                <w:sz w:val="22"/>
                <w:szCs w:val="22"/>
                <w:u w:val="none"/>
              </w:rPr>
            </w:pPr>
          </w:p>
        </w:tc>
      </w:tr>
      <w:tr w14:paraId="27B55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E8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钢管安装 钢管（螺纹连接）安装 公称直径（20mm以内）</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2B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8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D33F">
            <w:pPr>
              <w:jc w:val="center"/>
              <w:rPr>
                <w:rFonts w:hint="eastAsia" w:ascii="宋体" w:hAnsi="宋体" w:eastAsia="宋体" w:cs="宋体"/>
                <w:i w:val="0"/>
                <w:iCs w:val="0"/>
                <w:color w:val="000000"/>
                <w:sz w:val="22"/>
                <w:szCs w:val="22"/>
                <w:u w:val="none"/>
              </w:rPr>
            </w:pPr>
          </w:p>
        </w:tc>
      </w:tr>
      <w:tr w14:paraId="34357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top"/>
          </w:tcPr>
          <w:p w14:paraId="330201F9">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DN65低压镀锌碳钢管及管件安装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1.连接方式：螺纹连接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2.品牌：振鸿</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14:paraId="66A728A0">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m</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top"/>
          </w:tcPr>
          <w:p w14:paraId="79F018B4">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3089">
            <w:pPr>
              <w:jc w:val="center"/>
              <w:rPr>
                <w:rFonts w:hint="eastAsia" w:ascii="宋体" w:hAnsi="宋体" w:eastAsia="宋体" w:cs="宋体"/>
                <w:i w:val="0"/>
                <w:iCs w:val="0"/>
                <w:color w:val="000000"/>
                <w:sz w:val="22"/>
                <w:szCs w:val="22"/>
                <w:u w:val="none"/>
              </w:rPr>
            </w:pPr>
          </w:p>
        </w:tc>
      </w:tr>
      <w:tr w14:paraId="3E94B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C4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钢管安装 钢管（螺纹连接）安装 公称直径（65mm以内）</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64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4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B5BCF">
            <w:pPr>
              <w:jc w:val="center"/>
              <w:rPr>
                <w:rFonts w:hint="eastAsia" w:ascii="宋体" w:hAnsi="宋体" w:eastAsia="宋体" w:cs="宋体"/>
                <w:i w:val="0"/>
                <w:iCs w:val="0"/>
                <w:color w:val="000000"/>
                <w:sz w:val="22"/>
                <w:szCs w:val="22"/>
                <w:u w:val="none"/>
              </w:rPr>
            </w:pPr>
          </w:p>
        </w:tc>
      </w:tr>
      <w:tr w14:paraId="04278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top"/>
          </w:tcPr>
          <w:p w14:paraId="7AA31352">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DN80低压镀锌碳钢管及管件安装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1.连接方式：沟槽连接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2.品牌：振鸿</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14:paraId="0DF32975">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m</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top"/>
          </w:tcPr>
          <w:p w14:paraId="4CB9E8C4">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2034">
            <w:pPr>
              <w:jc w:val="center"/>
              <w:rPr>
                <w:rFonts w:hint="eastAsia" w:ascii="宋体" w:hAnsi="宋体" w:eastAsia="宋体" w:cs="宋体"/>
                <w:i w:val="0"/>
                <w:iCs w:val="0"/>
                <w:color w:val="000000"/>
                <w:sz w:val="22"/>
                <w:szCs w:val="22"/>
                <w:u w:val="none"/>
              </w:rPr>
            </w:pPr>
          </w:p>
        </w:tc>
      </w:tr>
      <w:tr w14:paraId="5E31B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58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钢管安装 钢管（沟槽连接）安装 公称直径（80mm以内）</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4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8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EDC6">
            <w:pPr>
              <w:jc w:val="center"/>
              <w:rPr>
                <w:rFonts w:hint="eastAsia" w:ascii="宋体" w:hAnsi="宋体" w:eastAsia="宋体" w:cs="宋体"/>
                <w:i w:val="0"/>
                <w:iCs w:val="0"/>
                <w:color w:val="000000"/>
                <w:sz w:val="22"/>
                <w:szCs w:val="22"/>
                <w:u w:val="none"/>
              </w:rPr>
            </w:pPr>
          </w:p>
        </w:tc>
      </w:tr>
      <w:tr w14:paraId="5747A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top"/>
          </w:tcPr>
          <w:p w14:paraId="06A84F35">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DN100低压镀锌碳钢管及管件安装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1.连接方式：沟槽连接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2.品牌：振鸿</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14:paraId="47CE06BE">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m</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top"/>
          </w:tcPr>
          <w:p w14:paraId="7DB01380">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C2E8">
            <w:pPr>
              <w:jc w:val="center"/>
              <w:rPr>
                <w:rFonts w:hint="eastAsia" w:ascii="宋体" w:hAnsi="宋体" w:eastAsia="宋体" w:cs="宋体"/>
                <w:i w:val="0"/>
                <w:iCs w:val="0"/>
                <w:color w:val="000000"/>
                <w:sz w:val="22"/>
                <w:szCs w:val="22"/>
                <w:u w:val="none"/>
              </w:rPr>
            </w:pPr>
          </w:p>
        </w:tc>
      </w:tr>
      <w:tr w14:paraId="2FEAA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FE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钢管安装 钢管（沟槽连接）安装 公称直径（100mm以内）</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7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B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593C0">
            <w:pPr>
              <w:jc w:val="center"/>
              <w:rPr>
                <w:rFonts w:hint="eastAsia" w:ascii="宋体" w:hAnsi="宋体" w:eastAsia="宋体" w:cs="宋体"/>
                <w:i w:val="0"/>
                <w:iCs w:val="0"/>
                <w:color w:val="000000"/>
                <w:sz w:val="22"/>
                <w:szCs w:val="22"/>
                <w:u w:val="none"/>
              </w:rPr>
            </w:pPr>
          </w:p>
        </w:tc>
      </w:tr>
      <w:tr w14:paraId="5F055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top"/>
          </w:tcPr>
          <w:p w14:paraId="03433F49">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DN150低压镀锌碳钢管及管件安装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1.连接方式：沟槽连接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2.品牌：振鸿</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14:paraId="0AC52012">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m</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top"/>
          </w:tcPr>
          <w:p w14:paraId="3140A37E">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1407">
            <w:pPr>
              <w:jc w:val="center"/>
              <w:rPr>
                <w:rFonts w:hint="eastAsia" w:ascii="宋体" w:hAnsi="宋体" w:eastAsia="宋体" w:cs="宋体"/>
                <w:i w:val="0"/>
                <w:iCs w:val="0"/>
                <w:color w:val="000000"/>
                <w:sz w:val="22"/>
                <w:szCs w:val="22"/>
                <w:u w:val="none"/>
              </w:rPr>
            </w:pPr>
          </w:p>
        </w:tc>
      </w:tr>
      <w:tr w14:paraId="4E19E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93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钢管安装 钢管（沟槽连接）安装 公称直径（150mm以内）</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9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98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DF1F">
            <w:pPr>
              <w:jc w:val="center"/>
              <w:rPr>
                <w:rFonts w:hint="eastAsia" w:ascii="宋体" w:hAnsi="宋体" w:eastAsia="宋体" w:cs="宋体"/>
                <w:i w:val="0"/>
                <w:iCs w:val="0"/>
                <w:color w:val="000000"/>
                <w:sz w:val="22"/>
                <w:szCs w:val="22"/>
                <w:u w:val="none"/>
              </w:rPr>
            </w:pPr>
          </w:p>
        </w:tc>
      </w:tr>
      <w:tr w14:paraId="315E7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top"/>
          </w:tcPr>
          <w:p w14:paraId="519335C7">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带铝箔橡塑保温管（板）管道保温 管道57mm以下（厚度30）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1.δ＝20~40mmB2橡塑泡棉保温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2.铝皮外包，厚度0.2mm</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14:paraId="4F70C50E">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top"/>
          </w:tcPr>
          <w:p w14:paraId="23EDFB5C">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A1A21">
            <w:pPr>
              <w:jc w:val="center"/>
              <w:rPr>
                <w:rFonts w:hint="eastAsia" w:ascii="宋体" w:hAnsi="宋体" w:eastAsia="宋体" w:cs="宋体"/>
                <w:i w:val="0"/>
                <w:iCs w:val="0"/>
                <w:color w:val="000000"/>
                <w:sz w:val="22"/>
                <w:szCs w:val="22"/>
                <w:u w:val="none"/>
              </w:rPr>
            </w:pPr>
          </w:p>
        </w:tc>
      </w:tr>
      <w:tr w14:paraId="72EEB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D7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带铝箔橡塑保温管（板）管道保温 管道57mm以下（厚度30）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7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9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1980">
            <w:pPr>
              <w:jc w:val="center"/>
              <w:rPr>
                <w:rFonts w:hint="eastAsia" w:ascii="宋体" w:hAnsi="宋体" w:eastAsia="宋体" w:cs="宋体"/>
                <w:i w:val="0"/>
                <w:iCs w:val="0"/>
                <w:color w:val="000000"/>
                <w:sz w:val="22"/>
                <w:szCs w:val="22"/>
                <w:u w:val="none"/>
              </w:rPr>
            </w:pPr>
          </w:p>
        </w:tc>
      </w:tr>
      <w:tr w14:paraId="2F470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top"/>
          </w:tcPr>
          <w:p w14:paraId="3F7A84E1">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带铝箔橡塑保温管（板）管道保温 管道133mm以下（厚度30）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1.δ＝20~40mmB2橡塑泡棉保温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2.铝皮外包，厚度0.2mm</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14:paraId="6CE1DF36">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top"/>
          </w:tcPr>
          <w:p w14:paraId="241DDDB1">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B83A">
            <w:pPr>
              <w:jc w:val="center"/>
              <w:rPr>
                <w:rFonts w:hint="eastAsia" w:ascii="宋体" w:hAnsi="宋体" w:eastAsia="宋体" w:cs="宋体"/>
                <w:i w:val="0"/>
                <w:iCs w:val="0"/>
                <w:color w:val="000000"/>
                <w:sz w:val="22"/>
                <w:szCs w:val="22"/>
                <w:u w:val="none"/>
              </w:rPr>
            </w:pPr>
          </w:p>
        </w:tc>
      </w:tr>
      <w:tr w14:paraId="696E2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31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带铝箔橡塑保温管（板）管道保温 管道133mm以下（厚度30）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4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5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CC89E">
            <w:pPr>
              <w:jc w:val="center"/>
              <w:rPr>
                <w:rFonts w:hint="eastAsia" w:ascii="宋体" w:hAnsi="宋体" w:eastAsia="宋体" w:cs="宋体"/>
                <w:i w:val="0"/>
                <w:iCs w:val="0"/>
                <w:color w:val="000000"/>
                <w:sz w:val="22"/>
                <w:szCs w:val="22"/>
                <w:u w:val="none"/>
              </w:rPr>
            </w:pPr>
          </w:p>
        </w:tc>
      </w:tr>
      <w:tr w14:paraId="367B8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top"/>
          </w:tcPr>
          <w:p w14:paraId="73FE8A1C">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带铝箔橡塑保温管（板）管道保温 管道325mm以下（厚度30）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1.δ＝20~40mmB2橡塑泡棉保温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2.铝皮外包，厚度0.2mm</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14:paraId="3DE52EA4">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top"/>
          </w:tcPr>
          <w:p w14:paraId="53140838">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0EE8C">
            <w:pPr>
              <w:jc w:val="center"/>
              <w:rPr>
                <w:rFonts w:hint="eastAsia" w:ascii="宋体" w:hAnsi="宋体" w:eastAsia="宋体" w:cs="宋体"/>
                <w:i w:val="0"/>
                <w:iCs w:val="0"/>
                <w:color w:val="000000"/>
                <w:sz w:val="22"/>
                <w:szCs w:val="22"/>
                <w:u w:val="none"/>
              </w:rPr>
            </w:pPr>
          </w:p>
        </w:tc>
      </w:tr>
      <w:tr w14:paraId="3FED1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B7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带铝箔橡塑保温管（板）管道保温 管道325mm以下（厚度30）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2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9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F78E2">
            <w:pPr>
              <w:jc w:val="center"/>
              <w:rPr>
                <w:rFonts w:hint="eastAsia" w:ascii="宋体" w:hAnsi="宋体" w:eastAsia="宋体" w:cs="宋体"/>
                <w:i w:val="0"/>
                <w:iCs w:val="0"/>
                <w:color w:val="000000"/>
                <w:sz w:val="22"/>
                <w:szCs w:val="22"/>
                <w:u w:val="none"/>
              </w:rPr>
            </w:pPr>
          </w:p>
        </w:tc>
      </w:tr>
      <w:tr w14:paraId="69D04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top"/>
          </w:tcPr>
          <w:p w14:paraId="2DD5336C">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管道支架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1.水管支吊架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2.材质：∠40*4角钢制作、安装</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14:paraId="010C7561">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kg</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top"/>
          </w:tcPr>
          <w:p w14:paraId="529C6A85">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258.35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19C4">
            <w:pPr>
              <w:jc w:val="center"/>
              <w:rPr>
                <w:rFonts w:hint="eastAsia" w:ascii="宋体" w:hAnsi="宋体" w:eastAsia="宋体" w:cs="宋体"/>
                <w:i w:val="0"/>
                <w:iCs w:val="0"/>
                <w:color w:val="000000"/>
                <w:sz w:val="22"/>
                <w:szCs w:val="22"/>
                <w:u w:val="none"/>
              </w:rPr>
            </w:pPr>
          </w:p>
        </w:tc>
      </w:tr>
      <w:tr w14:paraId="77A21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6D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管道支架制作、安装 管道支架</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67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100kg</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7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B262">
            <w:pPr>
              <w:jc w:val="center"/>
              <w:rPr>
                <w:rFonts w:hint="eastAsia" w:ascii="宋体" w:hAnsi="宋体" w:eastAsia="宋体" w:cs="宋体"/>
                <w:i w:val="0"/>
                <w:iCs w:val="0"/>
                <w:color w:val="000000"/>
                <w:sz w:val="22"/>
                <w:szCs w:val="22"/>
                <w:u w:val="none"/>
              </w:rPr>
            </w:pPr>
          </w:p>
        </w:tc>
      </w:tr>
      <w:tr w14:paraId="68AD3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top"/>
          </w:tcPr>
          <w:p w14:paraId="13BEA717">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手柄碟阀DN65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1.连接方式：法兰连接</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2.工作内容：含本体安装、水压试验                               3.品牌：天津塘沽</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14:paraId="2314228A">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个</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top"/>
          </w:tcPr>
          <w:p w14:paraId="26C104C2">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1466">
            <w:pPr>
              <w:jc w:val="center"/>
              <w:rPr>
                <w:rFonts w:hint="eastAsia" w:ascii="宋体" w:hAnsi="宋体" w:eastAsia="宋体" w:cs="宋体"/>
                <w:i w:val="0"/>
                <w:iCs w:val="0"/>
                <w:color w:val="000000"/>
                <w:sz w:val="22"/>
                <w:szCs w:val="22"/>
                <w:u w:val="none"/>
              </w:rPr>
            </w:pPr>
          </w:p>
        </w:tc>
      </w:tr>
      <w:tr w14:paraId="76F71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C8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焊接法兰阀门安装 焊接法兰阀 公称直径（65mm以内）</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9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F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B050">
            <w:pPr>
              <w:jc w:val="center"/>
              <w:rPr>
                <w:rFonts w:hint="eastAsia" w:ascii="宋体" w:hAnsi="宋体" w:eastAsia="宋体" w:cs="宋体"/>
                <w:i w:val="0"/>
                <w:iCs w:val="0"/>
                <w:color w:val="000000"/>
                <w:sz w:val="22"/>
                <w:szCs w:val="22"/>
                <w:u w:val="none"/>
              </w:rPr>
            </w:pPr>
          </w:p>
        </w:tc>
      </w:tr>
      <w:tr w14:paraId="75515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top"/>
          </w:tcPr>
          <w:p w14:paraId="16699811">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手柄碟阀DN100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1.连接方式：法兰连接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2.工作内容：含本体安装、水压试验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3.品牌：天津塘沽</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14:paraId="16CFE7B8">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个</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top"/>
          </w:tcPr>
          <w:p w14:paraId="2C9F5CA3">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AFDB">
            <w:pPr>
              <w:jc w:val="center"/>
              <w:rPr>
                <w:rFonts w:hint="eastAsia" w:ascii="宋体" w:hAnsi="宋体" w:eastAsia="宋体" w:cs="宋体"/>
                <w:i w:val="0"/>
                <w:iCs w:val="0"/>
                <w:color w:val="000000"/>
                <w:sz w:val="22"/>
                <w:szCs w:val="22"/>
                <w:u w:val="none"/>
              </w:rPr>
            </w:pPr>
          </w:p>
        </w:tc>
      </w:tr>
      <w:tr w14:paraId="6502B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96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焊接法兰阀门安装 焊接法兰阀 公称直径（100mm以内）</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9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D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29576">
            <w:pPr>
              <w:jc w:val="center"/>
              <w:rPr>
                <w:rFonts w:hint="eastAsia" w:ascii="宋体" w:hAnsi="宋体" w:eastAsia="宋体" w:cs="宋体"/>
                <w:i w:val="0"/>
                <w:iCs w:val="0"/>
                <w:color w:val="000000"/>
                <w:sz w:val="22"/>
                <w:szCs w:val="22"/>
                <w:u w:val="none"/>
              </w:rPr>
            </w:pPr>
          </w:p>
        </w:tc>
      </w:tr>
      <w:tr w14:paraId="3EBE5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top"/>
          </w:tcPr>
          <w:p w14:paraId="48C9D313">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涡轮蝶阀DN100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1.连接方式：法兰连接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2.工作内容：含本体安装、水压试验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3.品牌：天津塘沽</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14:paraId="068B0B52">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个</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top"/>
          </w:tcPr>
          <w:p w14:paraId="721C31F3">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0A17">
            <w:pPr>
              <w:jc w:val="center"/>
              <w:rPr>
                <w:rFonts w:hint="eastAsia" w:ascii="宋体" w:hAnsi="宋体" w:eastAsia="宋体" w:cs="宋体"/>
                <w:i w:val="0"/>
                <w:iCs w:val="0"/>
                <w:color w:val="000000"/>
                <w:sz w:val="22"/>
                <w:szCs w:val="22"/>
                <w:u w:val="none"/>
              </w:rPr>
            </w:pPr>
          </w:p>
        </w:tc>
      </w:tr>
      <w:tr w14:paraId="61396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D2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焊接法兰阀门安装 焊接法兰阀 公称直径（100mm以内）</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9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F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C720">
            <w:pPr>
              <w:jc w:val="center"/>
              <w:rPr>
                <w:rFonts w:hint="eastAsia" w:ascii="宋体" w:hAnsi="宋体" w:eastAsia="宋体" w:cs="宋体"/>
                <w:i w:val="0"/>
                <w:iCs w:val="0"/>
                <w:color w:val="000000"/>
                <w:sz w:val="22"/>
                <w:szCs w:val="22"/>
                <w:u w:val="none"/>
              </w:rPr>
            </w:pPr>
          </w:p>
        </w:tc>
      </w:tr>
      <w:tr w14:paraId="60B11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top"/>
          </w:tcPr>
          <w:p w14:paraId="6E7234EF">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Y型过滤器DN100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1.连接方式：法兰连接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2.工作内容：含本体安装、水压试验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3.品牌：天津塘沽</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14:paraId="3CA59592">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个</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top"/>
          </w:tcPr>
          <w:p w14:paraId="19DDEDAA">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F2FD3">
            <w:pPr>
              <w:jc w:val="center"/>
              <w:rPr>
                <w:rFonts w:hint="eastAsia" w:ascii="宋体" w:hAnsi="宋体" w:eastAsia="宋体" w:cs="宋体"/>
                <w:i w:val="0"/>
                <w:iCs w:val="0"/>
                <w:color w:val="000000"/>
                <w:sz w:val="22"/>
                <w:szCs w:val="22"/>
                <w:u w:val="none"/>
              </w:rPr>
            </w:pPr>
          </w:p>
        </w:tc>
      </w:tr>
      <w:tr w14:paraId="6EBF2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4D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焊接法兰阀门安装 焊接法兰阀 公称直径（100mm以内）</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B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F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E9ED">
            <w:pPr>
              <w:jc w:val="center"/>
              <w:rPr>
                <w:rFonts w:hint="eastAsia" w:ascii="宋体" w:hAnsi="宋体" w:eastAsia="宋体" w:cs="宋体"/>
                <w:i w:val="0"/>
                <w:iCs w:val="0"/>
                <w:color w:val="000000"/>
                <w:sz w:val="22"/>
                <w:szCs w:val="22"/>
                <w:u w:val="none"/>
              </w:rPr>
            </w:pPr>
          </w:p>
        </w:tc>
      </w:tr>
      <w:tr w14:paraId="397C7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top"/>
          </w:tcPr>
          <w:p w14:paraId="0B9A29BD">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Y型过滤器DN65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1.连接方式：法兰连接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2.工作内容：含本体安装、水压试验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3.品牌：天津塘沽</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14:paraId="04E1D98D">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个</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top"/>
          </w:tcPr>
          <w:p w14:paraId="1652E8B5">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550D">
            <w:pPr>
              <w:jc w:val="center"/>
              <w:rPr>
                <w:rFonts w:hint="eastAsia" w:ascii="宋体" w:hAnsi="宋体" w:eastAsia="宋体" w:cs="宋体"/>
                <w:i w:val="0"/>
                <w:iCs w:val="0"/>
                <w:color w:val="000000"/>
                <w:sz w:val="22"/>
                <w:szCs w:val="22"/>
                <w:u w:val="none"/>
              </w:rPr>
            </w:pPr>
          </w:p>
        </w:tc>
      </w:tr>
      <w:tr w14:paraId="0FBE3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54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焊接法兰阀门安装 焊接法兰阀 公称直径（50mm以内）</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B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C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E786">
            <w:pPr>
              <w:jc w:val="center"/>
              <w:rPr>
                <w:rFonts w:hint="eastAsia" w:ascii="宋体" w:hAnsi="宋体" w:eastAsia="宋体" w:cs="宋体"/>
                <w:i w:val="0"/>
                <w:iCs w:val="0"/>
                <w:color w:val="000000"/>
                <w:sz w:val="22"/>
                <w:szCs w:val="22"/>
                <w:u w:val="none"/>
              </w:rPr>
            </w:pPr>
          </w:p>
        </w:tc>
      </w:tr>
      <w:tr w14:paraId="5AEFF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top"/>
          </w:tcPr>
          <w:p w14:paraId="18B617D7">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止回阀DN65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1.连接方式：法兰连接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2.工作内容：含本体安装、水压试验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3.品牌：天津塘沽</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14:paraId="1BE0B142">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个</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top"/>
          </w:tcPr>
          <w:p w14:paraId="0B3CC3FB">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F696">
            <w:pPr>
              <w:jc w:val="center"/>
              <w:rPr>
                <w:rFonts w:hint="eastAsia" w:ascii="宋体" w:hAnsi="宋体" w:eastAsia="宋体" w:cs="宋体"/>
                <w:i w:val="0"/>
                <w:iCs w:val="0"/>
                <w:color w:val="000000"/>
                <w:sz w:val="22"/>
                <w:szCs w:val="22"/>
                <w:u w:val="none"/>
              </w:rPr>
            </w:pPr>
          </w:p>
        </w:tc>
      </w:tr>
      <w:tr w14:paraId="39595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05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焊接法兰阀门安装 焊接法兰阀 公称直径（65mm以内）</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9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9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43C3">
            <w:pPr>
              <w:jc w:val="center"/>
              <w:rPr>
                <w:rFonts w:hint="eastAsia" w:ascii="宋体" w:hAnsi="宋体" w:eastAsia="宋体" w:cs="宋体"/>
                <w:i w:val="0"/>
                <w:iCs w:val="0"/>
                <w:color w:val="000000"/>
                <w:sz w:val="22"/>
                <w:szCs w:val="22"/>
                <w:u w:val="none"/>
              </w:rPr>
            </w:pPr>
          </w:p>
        </w:tc>
      </w:tr>
      <w:tr w14:paraId="6F91A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top"/>
          </w:tcPr>
          <w:p w14:paraId="43CC6E07">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止回阀DN100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1.连接方式：法兰连接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2.工作内容：含本体安装、水压试验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3.品牌：天津塘沽</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14:paraId="3C5E3354">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个</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top"/>
          </w:tcPr>
          <w:p w14:paraId="1EF97EF9">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2E15">
            <w:pPr>
              <w:jc w:val="center"/>
              <w:rPr>
                <w:rFonts w:hint="eastAsia" w:ascii="宋体" w:hAnsi="宋体" w:eastAsia="宋体" w:cs="宋体"/>
                <w:i w:val="0"/>
                <w:iCs w:val="0"/>
                <w:color w:val="000000"/>
                <w:sz w:val="22"/>
                <w:szCs w:val="22"/>
                <w:u w:val="none"/>
              </w:rPr>
            </w:pPr>
          </w:p>
        </w:tc>
      </w:tr>
      <w:tr w14:paraId="11C3E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5A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焊接法兰阀门安装 焊接法兰阀 公称直径（100mm以内）</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B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6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F2015">
            <w:pPr>
              <w:jc w:val="center"/>
              <w:rPr>
                <w:rFonts w:hint="eastAsia" w:ascii="宋体" w:hAnsi="宋体" w:eastAsia="宋体" w:cs="宋体"/>
                <w:i w:val="0"/>
                <w:iCs w:val="0"/>
                <w:color w:val="000000"/>
                <w:sz w:val="22"/>
                <w:szCs w:val="22"/>
                <w:u w:val="none"/>
              </w:rPr>
            </w:pPr>
          </w:p>
        </w:tc>
      </w:tr>
      <w:tr w14:paraId="71A51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top"/>
          </w:tcPr>
          <w:p w14:paraId="42CA818B">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橡胶软接DN65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1.连接方式：法兰连接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2.品牌：上海松江</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14:paraId="579AFA28">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个|组</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top"/>
          </w:tcPr>
          <w:p w14:paraId="365AA5F4">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C80B">
            <w:pPr>
              <w:jc w:val="center"/>
              <w:rPr>
                <w:rFonts w:hint="eastAsia" w:ascii="宋体" w:hAnsi="宋体" w:eastAsia="宋体" w:cs="宋体"/>
                <w:i w:val="0"/>
                <w:iCs w:val="0"/>
                <w:color w:val="000000"/>
                <w:sz w:val="22"/>
                <w:szCs w:val="22"/>
                <w:u w:val="none"/>
              </w:rPr>
            </w:pPr>
          </w:p>
        </w:tc>
      </w:tr>
      <w:tr w14:paraId="01AFA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82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可曲挠橡胶接头安装 可曲挠橡胶接头安装(螺纹连接) 公称直径(65mm以内) </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3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3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761F">
            <w:pPr>
              <w:jc w:val="center"/>
              <w:rPr>
                <w:rFonts w:hint="eastAsia" w:ascii="宋体" w:hAnsi="宋体" w:eastAsia="宋体" w:cs="宋体"/>
                <w:i w:val="0"/>
                <w:iCs w:val="0"/>
                <w:color w:val="000000"/>
                <w:sz w:val="22"/>
                <w:szCs w:val="22"/>
                <w:u w:val="none"/>
              </w:rPr>
            </w:pPr>
          </w:p>
        </w:tc>
      </w:tr>
      <w:tr w14:paraId="32E4B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top"/>
          </w:tcPr>
          <w:p w14:paraId="3BFCEC97">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橡胶软接DN100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1.连接方式：法兰连接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2.品牌：上海松江</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14:paraId="1EC0E771">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个|组</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top"/>
          </w:tcPr>
          <w:p w14:paraId="6834CABA">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D0EF9">
            <w:pPr>
              <w:jc w:val="center"/>
              <w:rPr>
                <w:rFonts w:hint="eastAsia" w:ascii="宋体" w:hAnsi="宋体" w:eastAsia="宋体" w:cs="宋体"/>
                <w:i w:val="0"/>
                <w:iCs w:val="0"/>
                <w:color w:val="000000"/>
                <w:sz w:val="22"/>
                <w:szCs w:val="22"/>
                <w:u w:val="none"/>
              </w:rPr>
            </w:pPr>
          </w:p>
        </w:tc>
      </w:tr>
      <w:tr w14:paraId="061F9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FD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可曲挠橡胶接头安装 可曲挠橡胶接头安装(法兰连接) 公称直径(100mm以内) </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B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5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B11B">
            <w:pPr>
              <w:jc w:val="center"/>
              <w:rPr>
                <w:rFonts w:hint="eastAsia" w:ascii="宋体" w:hAnsi="宋体" w:eastAsia="宋体" w:cs="宋体"/>
                <w:i w:val="0"/>
                <w:iCs w:val="0"/>
                <w:color w:val="000000"/>
                <w:sz w:val="22"/>
                <w:szCs w:val="22"/>
                <w:u w:val="none"/>
              </w:rPr>
            </w:pPr>
          </w:p>
        </w:tc>
      </w:tr>
      <w:tr w14:paraId="695CF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top"/>
          </w:tcPr>
          <w:p w14:paraId="3CBFBFDA">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温度计 0~80℃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1.品牌：上海松江</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14:paraId="1ABEC4ED">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top"/>
          </w:tcPr>
          <w:p w14:paraId="0ED696CD">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159AA">
            <w:pPr>
              <w:jc w:val="center"/>
              <w:rPr>
                <w:rFonts w:hint="eastAsia" w:ascii="宋体" w:hAnsi="宋体" w:eastAsia="宋体" w:cs="宋体"/>
                <w:i w:val="0"/>
                <w:iCs w:val="0"/>
                <w:color w:val="000000"/>
                <w:sz w:val="22"/>
                <w:szCs w:val="22"/>
                <w:u w:val="none"/>
              </w:rPr>
            </w:pPr>
          </w:p>
        </w:tc>
      </w:tr>
      <w:tr w14:paraId="08AD5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E9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温度仪表 膨胀式温度计 双金属温度计</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F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1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36F8">
            <w:pPr>
              <w:jc w:val="center"/>
              <w:rPr>
                <w:rFonts w:hint="eastAsia" w:ascii="宋体" w:hAnsi="宋体" w:eastAsia="宋体" w:cs="宋体"/>
                <w:i w:val="0"/>
                <w:iCs w:val="0"/>
                <w:color w:val="000000"/>
                <w:sz w:val="22"/>
                <w:szCs w:val="22"/>
                <w:u w:val="none"/>
              </w:rPr>
            </w:pPr>
          </w:p>
        </w:tc>
      </w:tr>
      <w:tr w14:paraId="57EE8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top"/>
          </w:tcPr>
          <w:p w14:paraId="43188D15">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压力表 0~1.6MPa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1.品牌：上海松江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2.含压力表弯安装</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14:paraId="0821759D">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台</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top"/>
          </w:tcPr>
          <w:p w14:paraId="03CD2D73">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F937F">
            <w:pPr>
              <w:jc w:val="center"/>
              <w:rPr>
                <w:rFonts w:hint="eastAsia" w:ascii="宋体" w:hAnsi="宋体" w:eastAsia="宋体" w:cs="宋体"/>
                <w:i w:val="0"/>
                <w:iCs w:val="0"/>
                <w:color w:val="000000"/>
                <w:sz w:val="22"/>
                <w:szCs w:val="22"/>
                <w:u w:val="none"/>
              </w:rPr>
            </w:pPr>
          </w:p>
        </w:tc>
      </w:tr>
      <w:tr w14:paraId="523FD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B1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压力仪表 压力表、真空表 就地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F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台(块）</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7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11DF">
            <w:pPr>
              <w:jc w:val="center"/>
              <w:rPr>
                <w:rFonts w:hint="eastAsia" w:ascii="宋体" w:hAnsi="宋体" w:eastAsia="宋体" w:cs="宋体"/>
                <w:i w:val="0"/>
                <w:iCs w:val="0"/>
                <w:color w:val="000000"/>
                <w:sz w:val="22"/>
                <w:szCs w:val="22"/>
                <w:u w:val="none"/>
              </w:rPr>
            </w:pPr>
          </w:p>
        </w:tc>
      </w:tr>
      <w:tr w14:paraId="7BC62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B5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辅助容器、附件制作安装 压力表弯安装</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F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10套</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36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1A8F9">
            <w:pPr>
              <w:jc w:val="center"/>
              <w:rPr>
                <w:rFonts w:hint="eastAsia" w:ascii="宋体" w:hAnsi="宋体" w:eastAsia="宋体" w:cs="宋体"/>
                <w:i w:val="0"/>
                <w:iCs w:val="0"/>
                <w:color w:val="000000"/>
                <w:sz w:val="22"/>
                <w:szCs w:val="22"/>
                <w:u w:val="none"/>
              </w:rPr>
            </w:pPr>
          </w:p>
        </w:tc>
      </w:tr>
      <w:tr w14:paraId="01D47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top"/>
          </w:tcPr>
          <w:p w14:paraId="5A23C746">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压差控制调节阀（四件套）DN150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1.连接方式：法兰连接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2.工作内容：含本体安装、水压试验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3.品牌：天津塘沽</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14:paraId="68F93B4B">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台</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top"/>
          </w:tcPr>
          <w:p w14:paraId="7ED19629">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D125">
            <w:pPr>
              <w:jc w:val="center"/>
              <w:rPr>
                <w:rFonts w:hint="eastAsia" w:ascii="宋体" w:hAnsi="宋体" w:eastAsia="宋体" w:cs="宋体"/>
                <w:i w:val="0"/>
                <w:iCs w:val="0"/>
                <w:color w:val="000000"/>
                <w:sz w:val="22"/>
                <w:szCs w:val="22"/>
                <w:u w:val="none"/>
              </w:rPr>
            </w:pPr>
          </w:p>
        </w:tc>
      </w:tr>
      <w:tr w14:paraId="37816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EE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执行仪表 直接作用调节网 自力式温度调节阀</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5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B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5954A">
            <w:pPr>
              <w:jc w:val="center"/>
              <w:rPr>
                <w:rFonts w:hint="eastAsia" w:ascii="宋体" w:hAnsi="宋体" w:eastAsia="宋体" w:cs="宋体"/>
                <w:i w:val="0"/>
                <w:iCs w:val="0"/>
                <w:color w:val="000000"/>
                <w:sz w:val="22"/>
                <w:szCs w:val="22"/>
                <w:u w:val="none"/>
              </w:rPr>
            </w:pPr>
          </w:p>
        </w:tc>
      </w:tr>
      <w:tr w14:paraId="4439B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top"/>
          </w:tcPr>
          <w:p w14:paraId="43533F9B">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膨胀水箱1m3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1.含水箱安装、调试、消毒、冲洗</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14:paraId="09F21D5F">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个</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top"/>
          </w:tcPr>
          <w:p w14:paraId="0BE78111">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3D25C">
            <w:pPr>
              <w:jc w:val="center"/>
              <w:rPr>
                <w:rFonts w:hint="eastAsia" w:ascii="宋体" w:hAnsi="宋体" w:eastAsia="宋体" w:cs="宋体"/>
                <w:i w:val="0"/>
                <w:iCs w:val="0"/>
                <w:color w:val="000000"/>
                <w:sz w:val="22"/>
                <w:szCs w:val="22"/>
                <w:u w:val="none"/>
              </w:rPr>
            </w:pPr>
          </w:p>
        </w:tc>
      </w:tr>
      <w:tr w14:paraId="7C835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0F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水箱制作、安装 矩形钢板水箱安装 总容量 （1.4）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B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6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F2B06">
            <w:pPr>
              <w:jc w:val="center"/>
              <w:rPr>
                <w:rFonts w:hint="eastAsia" w:ascii="宋体" w:hAnsi="宋体" w:eastAsia="宋体" w:cs="宋体"/>
                <w:i w:val="0"/>
                <w:iCs w:val="0"/>
                <w:color w:val="000000"/>
                <w:sz w:val="22"/>
                <w:szCs w:val="22"/>
                <w:u w:val="none"/>
              </w:rPr>
            </w:pPr>
          </w:p>
        </w:tc>
      </w:tr>
      <w:tr w14:paraId="40B0B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C7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管道、水箱、水池消毒、冲洗 水箱、水池消毒、冲洗 水箱或水池容量(2.5)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0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5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6F74">
            <w:pPr>
              <w:jc w:val="center"/>
              <w:rPr>
                <w:rFonts w:hint="eastAsia" w:ascii="宋体" w:hAnsi="宋体" w:eastAsia="宋体" w:cs="宋体"/>
                <w:i w:val="0"/>
                <w:iCs w:val="0"/>
                <w:color w:val="000000"/>
                <w:sz w:val="22"/>
                <w:szCs w:val="22"/>
                <w:u w:val="none"/>
              </w:rPr>
            </w:pPr>
          </w:p>
        </w:tc>
      </w:tr>
      <w:tr w14:paraId="1A6DA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F010">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自动排气阀 DN20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E06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个</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206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31E7">
            <w:pPr>
              <w:jc w:val="center"/>
              <w:rPr>
                <w:rFonts w:hint="eastAsia" w:ascii="宋体" w:hAnsi="宋体" w:eastAsia="宋体" w:cs="宋体"/>
                <w:i w:val="0"/>
                <w:iCs w:val="0"/>
                <w:color w:val="000000"/>
                <w:sz w:val="22"/>
                <w:szCs w:val="22"/>
                <w:u w:val="none"/>
              </w:rPr>
            </w:pPr>
          </w:p>
        </w:tc>
      </w:tr>
      <w:tr w14:paraId="59964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32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螺纹阀门安装 自动排气阀、手动放风阀 自动排气阀 公称直径(25mm以内) </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9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31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096B7">
            <w:pPr>
              <w:jc w:val="center"/>
              <w:rPr>
                <w:rFonts w:hint="eastAsia" w:ascii="宋体" w:hAnsi="宋体" w:eastAsia="宋体" w:cs="宋体"/>
                <w:i w:val="0"/>
                <w:iCs w:val="0"/>
                <w:color w:val="000000"/>
                <w:sz w:val="22"/>
                <w:szCs w:val="22"/>
                <w:u w:val="none"/>
              </w:rPr>
            </w:pPr>
          </w:p>
        </w:tc>
      </w:tr>
      <w:tr w14:paraId="5DF6D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5963">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塑料管敷设 砖、混凝土结构明配 PVC20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541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m</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39A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E148B">
            <w:pPr>
              <w:jc w:val="center"/>
              <w:rPr>
                <w:rFonts w:hint="eastAsia" w:ascii="宋体" w:hAnsi="宋体" w:eastAsia="宋体" w:cs="宋体"/>
                <w:i w:val="0"/>
                <w:iCs w:val="0"/>
                <w:color w:val="000000"/>
                <w:sz w:val="22"/>
                <w:szCs w:val="22"/>
                <w:u w:val="none"/>
              </w:rPr>
            </w:pPr>
          </w:p>
        </w:tc>
      </w:tr>
      <w:tr w14:paraId="473A2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25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塑料管敷设 砖、混凝土结构明配 塑料管外径（≤20mm）</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9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9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60BB">
            <w:pPr>
              <w:jc w:val="center"/>
              <w:rPr>
                <w:rFonts w:hint="eastAsia" w:ascii="宋体" w:hAnsi="宋体" w:eastAsia="宋体" w:cs="宋体"/>
                <w:i w:val="0"/>
                <w:iCs w:val="0"/>
                <w:color w:val="000000"/>
                <w:sz w:val="22"/>
                <w:szCs w:val="22"/>
                <w:u w:val="none"/>
              </w:rPr>
            </w:pPr>
          </w:p>
        </w:tc>
      </w:tr>
      <w:tr w14:paraId="5CA5B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6D0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管内穿控制线RVV-6*1.0mm2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D78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m</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931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E071">
            <w:pPr>
              <w:jc w:val="center"/>
              <w:rPr>
                <w:rFonts w:hint="eastAsia" w:ascii="宋体" w:hAnsi="宋体" w:eastAsia="宋体" w:cs="宋体"/>
                <w:i w:val="0"/>
                <w:iCs w:val="0"/>
                <w:color w:val="000000"/>
                <w:sz w:val="22"/>
                <w:szCs w:val="22"/>
                <w:u w:val="none"/>
              </w:rPr>
            </w:pPr>
          </w:p>
        </w:tc>
      </w:tr>
      <w:tr w14:paraId="0B4E8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EE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管内穿线 多芯软导线 四芯 导线截面（≤1.0m㎡）</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E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100m束</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B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3B9F">
            <w:pPr>
              <w:jc w:val="center"/>
              <w:rPr>
                <w:rFonts w:hint="eastAsia" w:ascii="宋体" w:hAnsi="宋体" w:eastAsia="宋体" w:cs="宋体"/>
                <w:i w:val="0"/>
                <w:iCs w:val="0"/>
                <w:color w:val="000000"/>
                <w:sz w:val="22"/>
                <w:szCs w:val="22"/>
                <w:u w:val="none"/>
              </w:rPr>
            </w:pPr>
          </w:p>
        </w:tc>
      </w:tr>
      <w:tr w14:paraId="297A0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C4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r>
    </w:tbl>
    <w:p w14:paraId="1AE4BFDD">
      <w:pPr>
        <w:pStyle w:val="5"/>
        <w:widowControl/>
        <w:shd w:val="clear" w:color="auto" w:fill="FFFFFF"/>
        <w:spacing w:before="0" w:beforeAutospacing="0" w:after="0" w:afterAutospacing="0"/>
        <w:rPr>
          <w:rFonts w:ascii="宋体" w:hAnsi="宋体" w:eastAsia="宋体" w:cs="宋体"/>
          <w:sz w:val="28"/>
          <w:szCs w:val="28"/>
          <w:shd w:val="clear" w:color="auto" w:fill="FFFFFF"/>
        </w:rPr>
        <w:sectPr>
          <w:pgSz w:w="11906" w:h="16838"/>
          <w:pgMar w:top="720" w:right="720" w:bottom="720" w:left="720" w:header="851" w:footer="992" w:gutter="0"/>
          <w:cols w:space="425" w:num="1"/>
          <w:docGrid w:type="lines" w:linePitch="312" w:charSpace="0"/>
        </w:sectPr>
      </w:pPr>
    </w:p>
    <w:p w14:paraId="1550CFA7">
      <w:r>
        <w:rPr>
          <w:rFonts w:hint="eastAsia"/>
        </w:rPr>
        <w:t>附件2：</w:t>
      </w:r>
    </w:p>
    <w:p w14:paraId="36112A0C">
      <w:pPr>
        <w:snapToGrid w:val="0"/>
        <w:spacing w:before="50" w:after="156" w:afterLines="50" w:line="360" w:lineRule="auto"/>
        <w:jc w:val="center"/>
        <w:rPr>
          <w:rFonts w:ascii="仿宋" w:hAnsi="仿宋" w:eastAsia="仿宋"/>
          <w:b/>
          <w:sz w:val="32"/>
          <w:szCs w:val="32"/>
        </w:rPr>
      </w:pPr>
      <w:r>
        <w:rPr>
          <w:rFonts w:hint="eastAsia" w:ascii="仿宋" w:hAnsi="仿宋" w:eastAsia="仿宋"/>
          <w:b/>
          <w:sz w:val="32"/>
          <w:szCs w:val="32"/>
        </w:rPr>
        <w:t>投标人直接控股、管理关系信息表</w:t>
      </w:r>
    </w:p>
    <w:tbl>
      <w:tblPr>
        <w:tblStyle w:val="6"/>
        <w:tblW w:w="12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09"/>
        <w:gridCol w:w="1384"/>
        <w:gridCol w:w="4163"/>
        <w:gridCol w:w="4536"/>
      </w:tblGrid>
      <w:tr w14:paraId="371EA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73" w:type="dxa"/>
            <w:gridSpan w:val="4"/>
            <w:shd w:val="clear" w:color="auto" w:fill="F2DBDB"/>
            <w:vAlign w:val="center"/>
          </w:tcPr>
          <w:p w14:paraId="68A152A1">
            <w:pPr>
              <w:snapToGrid w:val="0"/>
              <w:spacing w:before="156" w:beforeLines="50" w:after="50"/>
              <w:jc w:val="center"/>
              <w:rPr>
                <w:rFonts w:ascii="仿宋" w:hAnsi="仿宋" w:eastAsia="仿宋"/>
                <w:b/>
                <w:szCs w:val="21"/>
              </w:rPr>
            </w:pPr>
            <w:r>
              <w:rPr>
                <w:rFonts w:ascii="仿宋" w:hAnsi="仿宋" w:eastAsia="仿宋"/>
                <w:b/>
                <w:szCs w:val="21"/>
              </w:rPr>
              <w:t>投标人直接控股股东信息表</w:t>
            </w:r>
          </w:p>
        </w:tc>
        <w:tc>
          <w:tcPr>
            <w:tcW w:w="4536" w:type="dxa"/>
            <w:shd w:val="clear" w:color="auto" w:fill="F2DBDB"/>
            <w:vAlign w:val="center"/>
          </w:tcPr>
          <w:p w14:paraId="1F6DF228">
            <w:pPr>
              <w:snapToGrid w:val="0"/>
              <w:spacing w:before="156" w:beforeLines="50" w:after="50"/>
              <w:jc w:val="center"/>
              <w:rPr>
                <w:rFonts w:ascii="仿宋" w:hAnsi="仿宋" w:eastAsia="仿宋"/>
                <w:b/>
                <w:szCs w:val="21"/>
              </w:rPr>
            </w:pPr>
            <w:r>
              <w:rPr>
                <w:rFonts w:ascii="仿宋" w:hAnsi="仿宋" w:eastAsia="仿宋"/>
                <w:b/>
                <w:szCs w:val="21"/>
              </w:rPr>
              <w:t>说明</w:t>
            </w:r>
          </w:p>
        </w:tc>
      </w:tr>
      <w:tr w14:paraId="6DF1F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7C90E14E">
            <w:pPr>
              <w:spacing w:line="360" w:lineRule="exact"/>
              <w:jc w:val="center"/>
              <w:rPr>
                <w:rFonts w:ascii="仿宋" w:hAnsi="仿宋" w:eastAsia="仿宋" w:cs="宋体"/>
                <w:b/>
                <w:bCs/>
                <w:kern w:val="0"/>
                <w:szCs w:val="21"/>
              </w:rPr>
            </w:pPr>
            <w:r>
              <w:rPr>
                <w:rFonts w:ascii="仿宋" w:hAnsi="仿宋" w:eastAsia="仿宋" w:cs="宋体"/>
                <w:b/>
                <w:bCs/>
                <w:kern w:val="0"/>
                <w:szCs w:val="21"/>
              </w:rPr>
              <w:t>序号</w:t>
            </w:r>
          </w:p>
        </w:tc>
        <w:tc>
          <w:tcPr>
            <w:tcW w:w="1309" w:type="dxa"/>
            <w:vAlign w:val="center"/>
          </w:tcPr>
          <w:p w14:paraId="05C80487">
            <w:pPr>
              <w:spacing w:line="360" w:lineRule="exact"/>
              <w:jc w:val="center"/>
              <w:rPr>
                <w:rFonts w:ascii="仿宋" w:hAnsi="仿宋" w:eastAsia="仿宋" w:cs="宋体"/>
                <w:b/>
                <w:bCs/>
                <w:kern w:val="0"/>
                <w:szCs w:val="21"/>
              </w:rPr>
            </w:pPr>
            <w:r>
              <w:rPr>
                <w:rFonts w:ascii="仿宋" w:hAnsi="仿宋" w:eastAsia="仿宋" w:cs="宋体"/>
                <w:b/>
                <w:bCs/>
                <w:kern w:val="0"/>
                <w:szCs w:val="21"/>
              </w:rPr>
              <w:t>直接控股股东名称</w:t>
            </w:r>
          </w:p>
        </w:tc>
        <w:tc>
          <w:tcPr>
            <w:tcW w:w="1384" w:type="dxa"/>
            <w:vAlign w:val="center"/>
          </w:tcPr>
          <w:p w14:paraId="54F3B116">
            <w:pPr>
              <w:spacing w:line="360" w:lineRule="exact"/>
              <w:jc w:val="center"/>
              <w:rPr>
                <w:rFonts w:ascii="仿宋" w:hAnsi="仿宋" w:eastAsia="仿宋" w:cs="宋体"/>
                <w:b/>
                <w:bCs/>
                <w:kern w:val="0"/>
                <w:szCs w:val="21"/>
              </w:rPr>
            </w:pPr>
            <w:r>
              <w:rPr>
                <w:rFonts w:ascii="仿宋" w:hAnsi="仿宋" w:eastAsia="仿宋" w:cs="宋体"/>
                <w:b/>
                <w:bCs/>
                <w:kern w:val="0"/>
                <w:szCs w:val="21"/>
              </w:rPr>
              <w:t>出资比例</w:t>
            </w:r>
          </w:p>
        </w:tc>
        <w:tc>
          <w:tcPr>
            <w:tcW w:w="4163" w:type="dxa"/>
            <w:vAlign w:val="center"/>
          </w:tcPr>
          <w:p w14:paraId="6EAB2FE2">
            <w:pPr>
              <w:spacing w:line="360" w:lineRule="exact"/>
              <w:jc w:val="center"/>
              <w:rPr>
                <w:rFonts w:ascii="仿宋" w:hAnsi="仿宋" w:eastAsia="仿宋" w:cs="宋体"/>
                <w:b/>
                <w:bCs/>
                <w:kern w:val="0"/>
                <w:szCs w:val="21"/>
              </w:rPr>
            </w:pPr>
            <w:r>
              <w:rPr>
                <w:rFonts w:ascii="仿宋" w:hAnsi="仿宋" w:eastAsia="仿宋" w:cs="宋体"/>
                <w:b/>
                <w:bCs/>
                <w:kern w:val="0"/>
                <w:szCs w:val="21"/>
              </w:rPr>
              <w:t>身份证号码或者统一社会信用代码</w:t>
            </w:r>
          </w:p>
        </w:tc>
        <w:tc>
          <w:tcPr>
            <w:tcW w:w="4536" w:type="dxa"/>
            <w:vMerge w:val="restart"/>
            <w:vAlign w:val="center"/>
          </w:tcPr>
          <w:p w14:paraId="6B285DF3">
            <w:pPr>
              <w:snapToGrid w:val="0"/>
              <w:jc w:val="left"/>
              <w:rPr>
                <w:rFonts w:ascii="仿宋" w:hAnsi="仿宋" w:eastAsia="仿宋"/>
                <w:szCs w:val="21"/>
              </w:rPr>
            </w:pPr>
            <w:r>
              <w:rPr>
                <w:rFonts w:ascii="仿宋" w:hAnsi="仿宋" w:eastAsia="仿宋"/>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ECE7726">
            <w:pPr>
              <w:snapToGrid w:val="0"/>
              <w:jc w:val="left"/>
              <w:rPr>
                <w:rFonts w:ascii="仿宋" w:hAnsi="仿宋" w:eastAsia="仿宋"/>
                <w:szCs w:val="21"/>
              </w:rPr>
            </w:pPr>
            <w:r>
              <w:rPr>
                <w:rFonts w:ascii="仿宋" w:hAnsi="仿宋" w:eastAsia="仿宋"/>
                <w:szCs w:val="21"/>
              </w:rPr>
              <w:t>2.本表所指的控股关系仅限于直接控股关系，不包括间接的控股关系。公司实际控制人与公司之间的关系不属于本表所指的直接控股关系。</w:t>
            </w:r>
          </w:p>
          <w:p w14:paraId="50F95466">
            <w:pPr>
              <w:snapToGrid w:val="0"/>
              <w:jc w:val="left"/>
              <w:rPr>
                <w:rFonts w:ascii="仿宋" w:hAnsi="仿宋" w:eastAsia="仿宋" w:cs="宋体"/>
                <w:b/>
                <w:bCs/>
                <w:kern w:val="0"/>
                <w:szCs w:val="21"/>
              </w:rPr>
            </w:pPr>
            <w:r>
              <w:rPr>
                <w:rFonts w:ascii="仿宋" w:hAnsi="仿宋" w:eastAsia="仿宋"/>
                <w:szCs w:val="21"/>
              </w:rPr>
              <w:t>3.供应商不存在直接控股股东的，则填“无”。</w:t>
            </w:r>
          </w:p>
        </w:tc>
      </w:tr>
      <w:tr w14:paraId="4713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005001BD">
            <w:pPr>
              <w:snapToGrid w:val="0"/>
              <w:spacing w:before="156" w:beforeLines="50" w:after="50"/>
              <w:jc w:val="center"/>
              <w:rPr>
                <w:rFonts w:ascii="仿宋" w:hAnsi="仿宋" w:eastAsia="仿宋"/>
                <w:b/>
                <w:szCs w:val="21"/>
              </w:rPr>
            </w:pPr>
            <w:r>
              <w:rPr>
                <w:rFonts w:ascii="仿宋" w:hAnsi="仿宋" w:eastAsia="仿宋"/>
                <w:b/>
                <w:szCs w:val="21"/>
              </w:rPr>
              <w:t>1</w:t>
            </w:r>
          </w:p>
        </w:tc>
        <w:tc>
          <w:tcPr>
            <w:tcW w:w="1309" w:type="dxa"/>
          </w:tcPr>
          <w:p w14:paraId="619B86E0">
            <w:pPr>
              <w:snapToGrid w:val="0"/>
              <w:spacing w:before="156" w:beforeLines="50" w:after="50"/>
              <w:jc w:val="left"/>
              <w:rPr>
                <w:rFonts w:ascii="仿宋" w:hAnsi="仿宋" w:eastAsia="仿宋"/>
                <w:b/>
                <w:szCs w:val="21"/>
              </w:rPr>
            </w:pPr>
          </w:p>
        </w:tc>
        <w:tc>
          <w:tcPr>
            <w:tcW w:w="1384" w:type="dxa"/>
          </w:tcPr>
          <w:p w14:paraId="2E9F9CFF">
            <w:pPr>
              <w:snapToGrid w:val="0"/>
              <w:spacing w:before="156" w:beforeLines="50" w:after="50"/>
              <w:jc w:val="left"/>
              <w:rPr>
                <w:rFonts w:ascii="仿宋" w:hAnsi="仿宋" w:eastAsia="仿宋"/>
                <w:b/>
                <w:szCs w:val="21"/>
              </w:rPr>
            </w:pPr>
          </w:p>
        </w:tc>
        <w:tc>
          <w:tcPr>
            <w:tcW w:w="4163" w:type="dxa"/>
          </w:tcPr>
          <w:p w14:paraId="6D4BAB76">
            <w:pPr>
              <w:snapToGrid w:val="0"/>
              <w:spacing w:before="156" w:beforeLines="50" w:after="50"/>
              <w:jc w:val="left"/>
              <w:rPr>
                <w:rFonts w:ascii="仿宋" w:hAnsi="仿宋" w:eastAsia="仿宋"/>
                <w:b/>
                <w:szCs w:val="21"/>
              </w:rPr>
            </w:pPr>
          </w:p>
        </w:tc>
        <w:tc>
          <w:tcPr>
            <w:tcW w:w="4536" w:type="dxa"/>
            <w:vMerge w:val="continue"/>
          </w:tcPr>
          <w:p w14:paraId="4538782E">
            <w:pPr>
              <w:snapToGrid w:val="0"/>
              <w:jc w:val="left"/>
              <w:rPr>
                <w:rFonts w:ascii="仿宋" w:hAnsi="仿宋" w:eastAsia="仿宋"/>
                <w:szCs w:val="21"/>
              </w:rPr>
            </w:pPr>
          </w:p>
        </w:tc>
      </w:tr>
      <w:tr w14:paraId="731C7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19C85D72">
            <w:pPr>
              <w:snapToGrid w:val="0"/>
              <w:spacing w:before="156" w:beforeLines="50" w:after="50"/>
              <w:jc w:val="center"/>
              <w:rPr>
                <w:rFonts w:ascii="仿宋" w:hAnsi="仿宋" w:eastAsia="仿宋"/>
                <w:b/>
                <w:szCs w:val="21"/>
              </w:rPr>
            </w:pPr>
            <w:r>
              <w:rPr>
                <w:rFonts w:ascii="仿宋" w:hAnsi="仿宋" w:eastAsia="仿宋"/>
                <w:b/>
                <w:szCs w:val="21"/>
              </w:rPr>
              <w:t>2</w:t>
            </w:r>
          </w:p>
        </w:tc>
        <w:tc>
          <w:tcPr>
            <w:tcW w:w="1309" w:type="dxa"/>
          </w:tcPr>
          <w:p w14:paraId="39E4CFBB">
            <w:pPr>
              <w:snapToGrid w:val="0"/>
              <w:spacing w:before="156" w:beforeLines="50" w:after="50"/>
              <w:jc w:val="left"/>
              <w:rPr>
                <w:rFonts w:ascii="仿宋" w:hAnsi="仿宋" w:eastAsia="仿宋"/>
                <w:b/>
                <w:szCs w:val="21"/>
              </w:rPr>
            </w:pPr>
          </w:p>
        </w:tc>
        <w:tc>
          <w:tcPr>
            <w:tcW w:w="1384" w:type="dxa"/>
          </w:tcPr>
          <w:p w14:paraId="0274FBA8">
            <w:pPr>
              <w:snapToGrid w:val="0"/>
              <w:spacing w:before="156" w:beforeLines="50" w:after="50"/>
              <w:jc w:val="left"/>
              <w:rPr>
                <w:rFonts w:ascii="仿宋" w:hAnsi="仿宋" w:eastAsia="仿宋"/>
                <w:b/>
                <w:szCs w:val="21"/>
              </w:rPr>
            </w:pPr>
          </w:p>
        </w:tc>
        <w:tc>
          <w:tcPr>
            <w:tcW w:w="4163" w:type="dxa"/>
          </w:tcPr>
          <w:p w14:paraId="34C4DF12">
            <w:pPr>
              <w:snapToGrid w:val="0"/>
              <w:spacing w:before="156" w:beforeLines="50" w:after="50"/>
              <w:jc w:val="left"/>
              <w:rPr>
                <w:rFonts w:ascii="仿宋" w:hAnsi="仿宋" w:eastAsia="仿宋"/>
                <w:b/>
                <w:szCs w:val="21"/>
              </w:rPr>
            </w:pPr>
          </w:p>
        </w:tc>
        <w:tc>
          <w:tcPr>
            <w:tcW w:w="4536" w:type="dxa"/>
            <w:vMerge w:val="continue"/>
          </w:tcPr>
          <w:p w14:paraId="62CFCEFA">
            <w:pPr>
              <w:snapToGrid w:val="0"/>
              <w:spacing w:before="156" w:beforeLines="50" w:after="50"/>
              <w:jc w:val="left"/>
              <w:rPr>
                <w:rFonts w:ascii="仿宋" w:hAnsi="仿宋" w:eastAsia="仿宋"/>
                <w:b/>
                <w:szCs w:val="21"/>
              </w:rPr>
            </w:pPr>
          </w:p>
        </w:tc>
      </w:tr>
      <w:tr w14:paraId="61AA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Borders>
              <w:bottom w:val="single" w:color="auto" w:sz="4" w:space="0"/>
            </w:tcBorders>
          </w:tcPr>
          <w:p w14:paraId="40EBC49A">
            <w:pPr>
              <w:snapToGrid w:val="0"/>
              <w:spacing w:before="156" w:beforeLines="50" w:after="50"/>
              <w:jc w:val="center"/>
              <w:rPr>
                <w:rFonts w:ascii="仿宋" w:hAnsi="仿宋" w:eastAsia="仿宋"/>
                <w:b/>
                <w:szCs w:val="21"/>
              </w:rPr>
            </w:pPr>
            <w:r>
              <w:rPr>
                <w:rFonts w:ascii="仿宋" w:hAnsi="仿宋" w:eastAsia="仿宋" w:cs="宋体"/>
                <w:kern w:val="0"/>
                <w:szCs w:val="21"/>
              </w:rPr>
              <w:t>……</w:t>
            </w:r>
          </w:p>
        </w:tc>
        <w:tc>
          <w:tcPr>
            <w:tcW w:w="1309" w:type="dxa"/>
            <w:tcBorders>
              <w:bottom w:val="single" w:color="auto" w:sz="4" w:space="0"/>
            </w:tcBorders>
          </w:tcPr>
          <w:p w14:paraId="3465EFD2">
            <w:pPr>
              <w:snapToGrid w:val="0"/>
              <w:spacing w:before="156" w:beforeLines="50" w:after="50"/>
              <w:jc w:val="left"/>
              <w:rPr>
                <w:rFonts w:ascii="仿宋" w:hAnsi="仿宋" w:eastAsia="仿宋"/>
                <w:b/>
                <w:szCs w:val="21"/>
              </w:rPr>
            </w:pPr>
          </w:p>
        </w:tc>
        <w:tc>
          <w:tcPr>
            <w:tcW w:w="1384" w:type="dxa"/>
            <w:tcBorders>
              <w:bottom w:val="single" w:color="auto" w:sz="4" w:space="0"/>
            </w:tcBorders>
          </w:tcPr>
          <w:p w14:paraId="25D21C01">
            <w:pPr>
              <w:snapToGrid w:val="0"/>
              <w:spacing w:before="156" w:beforeLines="50" w:after="50"/>
              <w:jc w:val="left"/>
              <w:rPr>
                <w:rFonts w:ascii="仿宋" w:hAnsi="仿宋" w:eastAsia="仿宋"/>
                <w:b/>
                <w:szCs w:val="21"/>
              </w:rPr>
            </w:pPr>
          </w:p>
        </w:tc>
        <w:tc>
          <w:tcPr>
            <w:tcW w:w="4163" w:type="dxa"/>
            <w:tcBorders>
              <w:bottom w:val="single" w:color="auto" w:sz="4" w:space="0"/>
            </w:tcBorders>
          </w:tcPr>
          <w:p w14:paraId="7E4B3BE6">
            <w:pPr>
              <w:snapToGrid w:val="0"/>
              <w:spacing w:before="156" w:beforeLines="50" w:after="50"/>
              <w:jc w:val="left"/>
              <w:rPr>
                <w:rFonts w:ascii="仿宋" w:hAnsi="仿宋" w:eastAsia="仿宋"/>
                <w:b/>
                <w:szCs w:val="21"/>
              </w:rPr>
            </w:pPr>
          </w:p>
        </w:tc>
        <w:tc>
          <w:tcPr>
            <w:tcW w:w="4536" w:type="dxa"/>
            <w:vMerge w:val="continue"/>
            <w:tcBorders>
              <w:bottom w:val="single" w:color="auto" w:sz="4" w:space="0"/>
            </w:tcBorders>
          </w:tcPr>
          <w:p w14:paraId="2F1BB07D">
            <w:pPr>
              <w:snapToGrid w:val="0"/>
              <w:spacing w:before="156" w:beforeLines="50" w:after="50"/>
              <w:jc w:val="left"/>
              <w:rPr>
                <w:rFonts w:ascii="仿宋" w:hAnsi="仿宋" w:eastAsia="仿宋"/>
                <w:b/>
                <w:szCs w:val="21"/>
              </w:rPr>
            </w:pPr>
          </w:p>
        </w:tc>
      </w:tr>
      <w:tr w14:paraId="3F4C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73" w:type="dxa"/>
            <w:gridSpan w:val="4"/>
            <w:shd w:val="clear" w:color="auto" w:fill="F2DBDB"/>
            <w:vAlign w:val="center"/>
          </w:tcPr>
          <w:p w14:paraId="2CCBF494">
            <w:pPr>
              <w:snapToGrid w:val="0"/>
              <w:spacing w:before="156" w:beforeLines="50" w:after="50"/>
              <w:jc w:val="center"/>
              <w:rPr>
                <w:rFonts w:ascii="仿宋" w:hAnsi="仿宋" w:eastAsia="仿宋"/>
                <w:b/>
                <w:szCs w:val="21"/>
              </w:rPr>
            </w:pPr>
            <w:r>
              <w:rPr>
                <w:rFonts w:ascii="仿宋" w:hAnsi="仿宋" w:eastAsia="仿宋"/>
                <w:b/>
                <w:szCs w:val="21"/>
              </w:rPr>
              <w:t>投标人直接管理关系信息表</w:t>
            </w:r>
          </w:p>
        </w:tc>
        <w:tc>
          <w:tcPr>
            <w:tcW w:w="4536" w:type="dxa"/>
            <w:shd w:val="clear" w:color="auto" w:fill="F2DBDB"/>
            <w:vAlign w:val="center"/>
          </w:tcPr>
          <w:p w14:paraId="1695A317">
            <w:pPr>
              <w:snapToGrid w:val="0"/>
              <w:spacing w:before="156" w:beforeLines="50" w:after="50"/>
              <w:jc w:val="center"/>
              <w:rPr>
                <w:rFonts w:ascii="仿宋" w:hAnsi="仿宋" w:eastAsia="仿宋"/>
                <w:b/>
                <w:szCs w:val="21"/>
              </w:rPr>
            </w:pPr>
            <w:r>
              <w:rPr>
                <w:rFonts w:ascii="仿宋" w:hAnsi="仿宋" w:eastAsia="仿宋"/>
                <w:b/>
                <w:szCs w:val="21"/>
              </w:rPr>
              <w:t>说明</w:t>
            </w:r>
          </w:p>
        </w:tc>
      </w:tr>
      <w:tr w14:paraId="3E2F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39C45C99">
            <w:pPr>
              <w:snapToGrid w:val="0"/>
              <w:spacing w:before="156" w:beforeLines="50" w:after="50"/>
              <w:jc w:val="center"/>
              <w:rPr>
                <w:rFonts w:ascii="仿宋" w:hAnsi="仿宋" w:eastAsia="仿宋"/>
                <w:b/>
                <w:szCs w:val="21"/>
              </w:rPr>
            </w:pPr>
            <w:r>
              <w:rPr>
                <w:rFonts w:ascii="仿宋" w:hAnsi="仿宋" w:eastAsia="仿宋" w:cs="宋体"/>
                <w:b/>
                <w:bCs/>
                <w:kern w:val="0"/>
                <w:szCs w:val="21"/>
              </w:rPr>
              <w:t>序号</w:t>
            </w:r>
          </w:p>
        </w:tc>
        <w:tc>
          <w:tcPr>
            <w:tcW w:w="2693" w:type="dxa"/>
            <w:gridSpan w:val="2"/>
            <w:vAlign w:val="center"/>
          </w:tcPr>
          <w:p w14:paraId="173C3429">
            <w:pPr>
              <w:snapToGrid w:val="0"/>
              <w:spacing w:before="156" w:beforeLines="50" w:after="50"/>
              <w:jc w:val="center"/>
              <w:rPr>
                <w:rFonts w:ascii="仿宋" w:hAnsi="仿宋" w:eastAsia="仿宋"/>
                <w:b/>
                <w:szCs w:val="21"/>
              </w:rPr>
            </w:pPr>
            <w:r>
              <w:rPr>
                <w:rFonts w:ascii="仿宋" w:hAnsi="仿宋" w:eastAsia="仿宋" w:cs="宋体"/>
                <w:b/>
                <w:bCs/>
                <w:kern w:val="0"/>
                <w:szCs w:val="21"/>
              </w:rPr>
              <w:t>直接管理关系单位名称</w:t>
            </w:r>
          </w:p>
        </w:tc>
        <w:tc>
          <w:tcPr>
            <w:tcW w:w="4163" w:type="dxa"/>
            <w:vAlign w:val="center"/>
          </w:tcPr>
          <w:p w14:paraId="6075001D">
            <w:pPr>
              <w:snapToGrid w:val="0"/>
              <w:spacing w:before="156" w:beforeLines="50" w:after="50"/>
              <w:jc w:val="center"/>
              <w:rPr>
                <w:rFonts w:ascii="仿宋" w:hAnsi="仿宋" w:eastAsia="仿宋"/>
                <w:b/>
                <w:szCs w:val="21"/>
              </w:rPr>
            </w:pPr>
            <w:r>
              <w:rPr>
                <w:rFonts w:ascii="仿宋" w:hAnsi="仿宋" w:eastAsia="仿宋" w:cs="宋体"/>
                <w:b/>
                <w:bCs/>
                <w:kern w:val="0"/>
                <w:szCs w:val="21"/>
              </w:rPr>
              <w:t>统一社会信用代码</w:t>
            </w:r>
          </w:p>
        </w:tc>
        <w:tc>
          <w:tcPr>
            <w:tcW w:w="4536" w:type="dxa"/>
            <w:vMerge w:val="restart"/>
            <w:vAlign w:val="center"/>
          </w:tcPr>
          <w:p w14:paraId="12B6F8E9">
            <w:pPr>
              <w:snapToGrid w:val="0"/>
              <w:jc w:val="left"/>
              <w:rPr>
                <w:rFonts w:ascii="仿宋" w:hAnsi="仿宋" w:eastAsia="仿宋"/>
                <w:szCs w:val="21"/>
              </w:rPr>
            </w:pPr>
            <w:r>
              <w:rPr>
                <w:rFonts w:ascii="仿宋" w:hAnsi="仿宋" w:eastAsia="仿宋"/>
                <w:szCs w:val="21"/>
              </w:rPr>
              <w:t>1.管理关系：是指不具有出资持股关系的其他单位之间存在的管理与被管理关系，如一些上下级关系的事业单位和团体组织。</w:t>
            </w:r>
          </w:p>
          <w:p w14:paraId="545B47DD">
            <w:pPr>
              <w:snapToGrid w:val="0"/>
              <w:jc w:val="left"/>
              <w:rPr>
                <w:rFonts w:ascii="仿宋" w:hAnsi="仿宋" w:eastAsia="仿宋"/>
                <w:szCs w:val="21"/>
              </w:rPr>
            </w:pPr>
            <w:r>
              <w:rPr>
                <w:rFonts w:ascii="仿宋" w:hAnsi="仿宋" w:eastAsia="仿宋"/>
                <w:szCs w:val="21"/>
              </w:rPr>
              <w:t>2.本表所指的管理关系仅限于直接管理关系，不包括间接的管理关系。</w:t>
            </w:r>
          </w:p>
          <w:p w14:paraId="74A93080">
            <w:pPr>
              <w:snapToGrid w:val="0"/>
              <w:jc w:val="left"/>
              <w:rPr>
                <w:rFonts w:ascii="仿宋" w:hAnsi="仿宋" w:eastAsia="仿宋"/>
                <w:szCs w:val="21"/>
              </w:rPr>
            </w:pPr>
            <w:r>
              <w:rPr>
                <w:rFonts w:ascii="仿宋" w:hAnsi="仿宋" w:eastAsia="仿宋"/>
                <w:szCs w:val="21"/>
              </w:rPr>
              <w:t>3.供应商不存在直接管理关系的，则填“无”。</w:t>
            </w:r>
          </w:p>
        </w:tc>
      </w:tr>
      <w:tr w14:paraId="06F0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5B140FEF">
            <w:pPr>
              <w:snapToGrid w:val="0"/>
              <w:spacing w:before="156" w:beforeLines="50" w:after="50"/>
              <w:jc w:val="center"/>
              <w:rPr>
                <w:rFonts w:ascii="仿宋" w:hAnsi="仿宋" w:eastAsia="仿宋"/>
                <w:b/>
                <w:szCs w:val="21"/>
              </w:rPr>
            </w:pPr>
            <w:r>
              <w:rPr>
                <w:rFonts w:ascii="仿宋" w:hAnsi="仿宋" w:eastAsia="仿宋"/>
                <w:b/>
                <w:szCs w:val="21"/>
              </w:rPr>
              <w:t>1</w:t>
            </w:r>
          </w:p>
        </w:tc>
        <w:tc>
          <w:tcPr>
            <w:tcW w:w="2693" w:type="dxa"/>
            <w:gridSpan w:val="2"/>
            <w:vAlign w:val="center"/>
          </w:tcPr>
          <w:p w14:paraId="216D7CEC">
            <w:pPr>
              <w:snapToGrid w:val="0"/>
              <w:spacing w:before="156" w:beforeLines="50" w:after="50"/>
              <w:jc w:val="center"/>
              <w:rPr>
                <w:rFonts w:ascii="仿宋" w:hAnsi="仿宋" w:eastAsia="仿宋" w:cs="宋体"/>
                <w:b/>
                <w:bCs/>
                <w:kern w:val="0"/>
                <w:szCs w:val="21"/>
              </w:rPr>
            </w:pPr>
          </w:p>
        </w:tc>
        <w:tc>
          <w:tcPr>
            <w:tcW w:w="4163" w:type="dxa"/>
            <w:vAlign w:val="center"/>
          </w:tcPr>
          <w:p w14:paraId="0B6C2A9B">
            <w:pPr>
              <w:snapToGrid w:val="0"/>
              <w:spacing w:before="156" w:beforeLines="50" w:after="50"/>
              <w:jc w:val="center"/>
              <w:rPr>
                <w:rFonts w:ascii="仿宋" w:hAnsi="仿宋" w:eastAsia="仿宋" w:cs="宋体"/>
                <w:b/>
                <w:bCs/>
                <w:kern w:val="0"/>
                <w:szCs w:val="21"/>
              </w:rPr>
            </w:pPr>
          </w:p>
        </w:tc>
        <w:tc>
          <w:tcPr>
            <w:tcW w:w="4536" w:type="dxa"/>
            <w:vMerge w:val="continue"/>
            <w:vAlign w:val="center"/>
          </w:tcPr>
          <w:p w14:paraId="2ACFBA97">
            <w:pPr>
              <w:snapToGrid w:val="0"/>
              <w:jc w:val="left"/>
              <w:rPr>
                <w:rFonts w:ascii="仿宋" w:hAnsi="仿宋" w:eastAsia="仿宋"/>
                <w:szCs w:val="21"/>
              </w:rPr>
            </w:pPr>
          </w:p>
        </w:tc>
      </w:tr>
      <w:tr w14:paraId="6DC79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5B6ABD03">
            <w:pPr>
              <w:snapToGrid w:val="0"/>
              <w:spacing w:before="156" w:beforeLines="50" w:after="50"/>
              <w:jc w:val="center"/>
              <w:rPr>
                <w:rFonts w:ascii="仿宋" w:hAnsi="仿宋" w:eastAsia="仿宋"/>
                <w:b/>
                <w:szCs w:val="21"/>
              </w:rPr>
            </w:pPr>
            <w:r>
              <w:rPr>
                <w:rFonts w:ascii="仿宋" w:hAnsi="仿宋" w:eastAsia="仿宋"/>
                <w:b/>
                <w:szCs w:val="21"/>
              </w:rPr>
              <w:t>2</w:t>
            </w:r>
          </w:p>
        </w:tc>
        <w:tc>
          <w:tcPr>
            <w:tcW w:w="2693" w:type="dxa"/>
            <w:gridSpan w:val="2"/>
            <w:vAlign w:val="center"/>
          </w:tcPr>
          <w:p w14:paraId="2A0B0A53">
            <w:pPr>
              <w:snapToGrid w:val="0"/>
              <w:spacing w:before="156" w:beforeLines="50" w:after="50"/>
              <w:jc w:val="center"/>
              <w:rPr>
                <w:rFonts w:ascii="仿宋" w:hAnsi="仿宋" w:eastAsia="仿宋" w:cs="宋体"/>
                <w:b/>
                <w:bCs/>
                <w:kern w:val="0"/>
                <w:szCs w:val="21"/>
              </w:rPr>
            </w:pPr>
          </w:p>
        </w:tc>
        <w:tc>
          <w:tcPr>
            <w:tcW w:w="4163" w:type="dxa"/>
            <w:vAlign w:val="center"/>
          </w:tcPr>
          <w:p w14:paraId="0C564595">
            <w:pPr>
              <w:snapToGrid w:val="0"/>
              <w:spacing w:before="156" w:beforeLines="50" w:after="50"/>
              <w:jc w:val="center"/>
              <w:rPr>
                <w:rFonts w:ascii="仿宋" w:hAnsi="仿宋" w:eastAsia="仿宋" w:cs="宋体"/>
                <w:b/>
                <w:bCs/>
                <w:kern w:val="0"/>
                <w:szCs w:val="21"/>
              </w:rPr>
            </w:pPr>
          </w:p>
        </w:tc>
        <w:tc>
          <w:tcPr>
            <w:tcW w:w="4536" w:type="dxa"/>
            <w:vMerge w:val="continue"/>
            <w:vAlign w:val="center"/>
          </w:tcPr>
          <w:p w14:paraId="120BD82F">
            <w:pPr>
              <w:snapToGrid w:val="0"/>
              <w:jc w:val="left"/>
              <w:rPr>
                <w:rFonts w:ascii="仿宋" w:hAnsi="仿宋" w:eastAsia="仿宋"/>
                <w:szCs w:val="21"/>
              </w:rPr>
            </w:pPr>
          </w:p>
        </w:tc>
      </w:tr>
      <w:tr w14:paraId="4E8F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2BBE8645">
            <w:pPr>
              <w:snapToGrid w:val="0"/>
              <w:spacing w:before="156" w:beforeLines="50" w:after="50"/>
              <w:jc w:val="center"/>
              <w:rPr>
                <w:rFonts w:ascii="仿宋" w:hAnsi="仿宋" w:eastAsia="仿宋"/>
                <w:b/>
                <w:szCs w:val="21"/>
              </w:rPr>
            </w:pPr>
            <w:r>
              <w:rPr>
                <w:rFonts w:ascii="仿宋" w:hAnsi="仿宋" w:eastAsia="仿宋" w:cs="宋体"/>
                <w:kern w:val="0"/>
                <w:szCs w:val="21"/>
              </w:rPr>
              <w:t>……</w:t>
            </w:r>
          </w:p>
        </w:tc>
        <w:tc>
          <w:tcPr>
            <w:tcW w:w="2693" w:type="dxa"/>
            <w:gridSpan w:val="2"/>
            <w:vAlign w:val="center"/>
          </w:tcPr>
          <w:p w14:paraId="1B6F95FF">
            <w:pPr>
              <w:snapToGrid w:val="0"/>
              <w:spacing w:before="156" w:beforeLines="50" w:after="50"/>
              <w:jc w:val="center"/>
              <w:rPr>
                <w:rFonts w:ascii="仿宋" w:hAnsi="仿宋" w:eastAsia="仿宋" w:cs="宋体"/>
                <w:b/>
                <w:bCs/>
                <w:kern w:val="0"/>
                <w:szCs w:val="21"/>
              </w:rPr>
            </w:pPr>
          </w:p>
        </w:tc>
        <w:tc>
          <w:tcPr>
            <w:tcW w:w="4163" w:type="dxa"/>
            <w:vAlign w:val="center"/>
          </w:tcPr>
          <w:p w14:paraId="4DD7FBC0">
            <w:pPr>
              <w:snapToGrid w:val="0"/>
              <w:spacing w:before="156" w:beforeLines="50" w:after="50"/>
              <w:jc w:val="center"/>
              <w:rPr>
                <w:rFonts w:ascii="仿宋" w:hAnsi="仿宋" w:eastAsia="仿宋" w:cs="宋体"/>
                <w:b/>
                <w:bCs/>
                <w:kern w:val="0"/>
                <w:szCs w:val="21"/>
              </w:rPr>
            </w:pPr>
          </w:p>
        </w:tc>
        <w:tc>
          <w:tcPr>
            <w:tcW w:w="4536" w:type="dxa"/>
            <w:vMerge w:val="continue"/>
            <w:vAlign w:val="center"/>
          </w:tcPr>
          <w:p w14:paraId="66FD8656">
            <w:pPr>
              <w:snapToGrid w:val="0"/>
              <w:jc w:val="left"/>
              <w:rPr>
                <w:rFonts w:ascii="仿宋" w:hAnsi="仿宋" w:eastAsia="仿宋"/>
                <w:szCs w:val="21"/>
              </w:rPr>
            </w:pPr>
          </w:p>
        </w:tc>
      </w:tr>
    </w:tbl>
    <w:p w14:paraId="764DB385">
      <w:pPr>
        <w:snapToGrid w:val="0"/>
        <w:spacing w:line="360" w:lineRule="auto"/>
        <w:jc w:val="left"/>
        <w:rPr>
          <w:rFonts w:ascii="仿宋" w:hAnsi="仿宋" w:eastAsia="仿宋"/>
          <w:sz w:val="24"/>
        </w:rPr>
      </w:pPr>
    </w:p>
    <w:p w14:paraId="68E5658E">
      <w:pPr>
        <w:snapToGrid w:val="0"/>
        <w:spacing w:line="360" w:lineRule="auto"/>
        <w:ind w:firstLine="4840" w:firstLineChars="2200"/>
        <w:rPr>
          <w:rFonts w:ascii="仿宋" w:hAnsi="仿宋" w:eastAsia="仿宋" w:cs="仿宋_GB2312"/>
          <w:kern w:val="0"/>
          <w:sz w:val="22"/>
          <w:u w:val="single"/>
        </w:rPr>
      </w:pPr>
      <w:r>
        <w:rPr>
          <w:rFonts w:hint="eastAsia" w:ascii="仿宋" w:hAnsi="仿宋" w:eastAsia="仿宋" w:cs="仿宋_GB2312"/>
          <w:kern w:val="0"/>
          <w:sz w:val="22"/>
          <w:lang w:val="zh-CN"/>
        </w:rPr>
        <w:t>投标人名称(</w:t>
      </w:r>
      <w:r>
        <w:rPr>
          <w:rFonts w:hint="eastAsia" w:ascii="仿宋" w:hAnsi="仿宋" w:eastAsia="仿宋" w:cs="仿宋_GB2312"/>
          <w:kern w:val="0"/>
          <w:sz w:val="22"/>
        </w:rPr>
        <w:t>公章</w:t>
      </w:r>
      <w:r>
        <w:rPr>
          <w:rFonts w:hint="eastAsia" w:ascii="仿宋" w:hAnsi="仿宋" w:eastAsia="仿宋" w:cs="仿宋_GB2312"/>
          <w:kern w:val="0"/>
          <w:sz w:val="22"/>
          <w:lang w:val="zh-CN"/>
        </w:rPr>
        <w:t>)：</w:t>
      </w:r>
      <w:r>
        <w:rPr>
          <w:rFonts w:hint="eastAsia" w:ascii="仿宋" w:hAnsi="仿宋" w:eastAsia="仿宋" w:cs="仿宋_GB2312"/>
          <w:kern w:val="0"/>
          <w:sz w:val="22"/>
          <w:u w:val="single"/>
          <w:lang w:val="zh-CN"/>
        </w:rPr>
        <w:t xml:space="preserve"> </w:t>
      </w:r>
      <w:r>
        <w:rPr>
          <w:rFonts w:ascii="仿宋" w:hAnsi="仿宋" w:eastAsia="仿宋" w:cs="仿宋_GB2312"/>
          <w:kern w:val="0"/>
          <w:sz w:val="22"/>
          <w:u w:val="single"/>
          <w:lang w:val="zh-CN"/>
        </w:rPr>
        <w:t xml:space="preserve">         </w:t>
      </w:r>
    </w:p>
    <w:p w14:paraId="2DEA56BD">
      <w:pPr>
        <w:snapToGrid w:val="0"/>
        <w:spacing w:line="360" w:lineRule="auto"/>
        <w:ind w:firstLine="4730" w:firstLineChars="2150"/>
        <w:rPr>
          <w:rFonts w:ascii="仿宋" w:hAnsi="仿宋" w:eastAsia="仿宋" w:cs="仿宋_GB2312"/>
          <w:kern w:val="0"/>
          <w:sz w:val="22"/>
          <w:lang w:val="zh-CN"/>
        </w:rPr>
      </w:pPr>
      <w:r>
        <w:rPr>
          <w:rFonts w:hint="eastAsia" w:ascii="仿宋" w:hAnsi="仿宋" w:eastAsia="仿宋" w:cs="仿宋_GB2312"/>
          <w:kern w:val="0"/>
          <w:sz w:val="22"/>
          <w:lang w:val="zh-CN"/>
        </w:rPr>
        <w:t>日期</w:t>
      </w:r>
      <w:r>
        <w:rPr>
          <w:rFonts w:hint="eastAsia" w:ascii="仿宋" w:hAnsi="仿宋" w:eastAsia="仿宋" w:cs="仿宋_GB2312"/>
          <w:kern w:val="0"/>
          <w:sz w:val="22"/>
        </w:rPr>
        <w:t xml:space="preserve">：  年  </w:t>
      </w:r>
      <w:r>
        <w:rPr>
          <w:rFonts w:hint="eastAsia" w:ascii="仿宋" w:hAnsi="仿宋" w:eastAsia="仿宋" w:cs="仿宋_GB2312"/>
          <w:kern w:val="0"/>
          <w:sz w:val="22"/>
          <w:lang w:val="zh-CN"/>
        </w:rPr>
        <w:t>月</w:t>
      </w:r>
      <w:r>
        <w:rPr>
          <w:rFonts w:hint="eastAsia" w:ascii="仿宋" w:hAnsi="仿宋" w:eastAsia="仿宋" w:cs="仿宋_GB2312"/>
          <w:kern w:val="0"/>
          <w:sz w:val="22"/>
        </w:rPr>
        <w:t xml:space="preserve">   </w:t>
      </w:r>
      <w:r>
        <w:rPr>
          <w:rFonts w:hint="eastAsia" w:ascii="仿宋" w:hAnsi="仿宋" w:eastAsia="仿宋" w:cs="仿宋_GB2312"/>
          <w:kern w:val="0"/>
          <w:sz w:val="22"/>
          <w:lang w:val="zh-CN"/>
        </w:rPr>
        <w:t>日</w:t>
      </w:r>
    </w:p>
    <w:p w14:paraId="3B6E745B"/>
    <w:p w14:paraId="3A24A81C">
      <w:pPr>
        <w:sectPr>
          <w:pgSz w:w="16838" w:h="11906" w:orient="landscape"/>
          <w:pgMar w:top="720" w:right="720" w:bottom="720" w:left="720" w:header="851" w:footer="992" w:gutter="0"/>
          <w:cols w:space="425" w:num="1"/>
          <w:docGrid w:type="lines" w:linePitch="312" w:charSpace="0"/>
        </w:sectPr>
      </w:pPr>
    </w:p>
    <w:p w14:paraId="0E0FC92E">
      <w:r>
        <w:rPr>
          <w:rFonts w:hint="eastAsia"/>
        </w:rPr>
        <w:t>附件3</w:t>
      </w:r>
    </w:p>
    <w:p w14:paraId="0B24EBA3">
      <w:pPr>
        <w:jc w:val="center"/>
        <w:rPr>
          <w:b/>
          <w:bCs/>
          <w:sz w:val="32"/>
          <w:szCs w:val="40"/>
        </w:rPr>
      </w:pPr>
      <w:r>
        <w:rPr>
          <w:rFonts w:hint="eastAsia"/>
          <w:b/>
          <w:bCs/>
          <w:sz w:val="32"/>
          <w:szCs w:val="40"/>
        </w:rPr>
        <w:t>评分办法</w:t>
      </w:r>
    </w:p>
    <w:p w14:paraId="259E2BF4">
      <w:pPr>
        <w:pStyle w:val="5"/>
        <w:spacing w:before="0" w:beforeAutospacing="0" w:after="210" w:afterAutospacing="0" w:line="315" w:lineRule="atLeast"/>
        <w:ind w:firstLine="580"/>
        <w:rPr>
          <w:kern w:val="2"/>
          <w:sz w:val="21"/>
          <w:szCs w:val="21"/>
        </w:rPr>
      </w:pPr>
      <w:r>
        <w:rPr>
          <w:rFonts w:hint="eastAsia"/>
          <w:kern w:val="2"/>
          <w:sz w:val="21"/>
          <w:szCs w:val="21"/>
        </w:rPr>
        <w:t>（一）对进入详评的，采用百分制综合评分法。</w:t>
      </w:r>
    </w:p>
    <w:p w14:paraId="44950F27">
      <w:pPr>
        <w:pStyle w:val="5"/>
        <w:shd w:val="clear" w:color="auto" w:fill="FFFFFF"/>
        <w:spacing w:before="0" w:beforeAutospacing="0" w:after="210" w:afterAutospacing="0"/>
        <w:ind w:firstLine="600"/>
        <w:rPr>
          <w:kern w:val="2"/>
          <w:sz w:val="21"/>
          <w:szCs w:val="21"/>
        </w:rPr>
      </w:pPr>
      <w:r>
        <w:rPr>
          <w:rFonts w:hint="eastAsia"/>
          <w:kern w:val="2"/>
          <w:sz w:val="21"/>
          <w:szCs w:val="21"/>
        </w:rPr>
        <w:t>（二）计分办法（按四舍五入取至百分位）。</w:t>
      </w:r>
    </w:p>
    <w:p w14:paraId="0F170113">
      <w:pPr>
        <w:pStyle w:val="5"/>
        <w:spacing w:before="0" w:beforeAutospacing="0" w:after="210" w:afterAutospacing="0" w:line="315" w:lineRule="atLeast"/>
        <w:ind w:firstLine="422" w:firstLineChars="200"/>
        <w:rPr>
          <w:b/>
          <w:bCs/>
          <w:kern w:val="2"/>
          <w:sz w:val="21"/>
          <w:szCs w:val="21"/>
        </w:rPr>
      </w:pPr>
      <w:r>
        <w:rPr>
          <w:rFonts w:hint="eastAsia"/>
          <w:b/>
          <w:bCs/>
          <w:sz w:val="21"/>
          <w:szCs w:val="21"/>
        </w:rPr>
        <w:t>1、价格分</w:t>
      </w:r>
      <w:r>
        <w:rPr>
          <w:rFonts w:hint="eastAsia"/>
          <w:b/>
          <w:bCs/>
          <w:kern w:val="2"/>
          <w:sz w:val="21"/>
          <w:szCs w:val="21"/>
        </w:rPr>
        <w:t>…………………………………………………20分</w:t>
      </w:r>
    </w:p>
    <w:p w14:paraId="0090F778">
      <w:pPr>
        <w:pStyle w:val="5"/>
        <w:spacing w:before="0" w:beforeAutospacing="0" w:after="210" w:afterAutospacing="0" w:line="315" w:lineRule="atLeast"/>
        <w:ind w:firstLine="420" w:firstLineChars="200"/>
        <w:rPr>
          <w:kern w:val="2"/>
          <w:sz w:val="21"/>
          <w:szCs w:val="21"/>
        </w:rPr>
      </w:pPr>
      <w:r>
        <w:rPr>
          <w:rFonts w:hint="eastAsia"/>
          <w:kern w:val="2"/>
          <w:sz w:val="21"/>
          <w:szCs w:val="21"/>
        </w:rPr>
        <w:t>（1）评审价为供应商的最后报价，最终成交供应商的成交金额等于最后报价，如有修正，以确认修正后的最后报价为准。</w:t>
      </w:r>
    </w:p>
    <w:p w14:paraId="54726799">
      <w:pPr>
        <w:pStyle w:val="5"/>
        <w:spacing w:before="0" w:beforeAutospacing="0" w:after="210" w:afterAutospacing="0" w:line="315" w:lineRule="atLeast"/>
        <w:ind w:firstLine="420" w:firstLineChars="200"/>
        <w:rPr>
          <w:kern w:val="2"/>
          <w:sz w:val="21"/>
          <w:szCs w:val="21"/>
        </w:rPr>
      </w:pPr>
      <w:r>
        <w:rPr>
          <w:rFonts w:hint="eastAsia"/>
          <w:kern w:val="2"/>
          <w:sz w:val="21"/>
          <w:szCs w:val="21"/>
        </w:rPr>
        <w:t>（2）以进入比较与评价环节的最低的评审价为基准价，基准价得分为20分。</w:t>
      </w:r>
    </w:p>
    <w:p w14:paraId="43FD2A7B">
      <w:pPr>
        <w:pStyle w:val="5"/>
        <w:spacing w:before="0" w:beforeAutospacing="0" w:after="210" w:afterAutospacing="0" w:line="315" w:lineRule="atLeast"/>
        <w:ind w:firstLine="420" w:firstLineChars="200"/>
        <w:rPr>
          <w:kern w:val="2"/>
          <w:sz w:val="21"/>
          <w:szCs w:val="21"/>
        </w:rPr>
      </w:pPr>
      <w:r>
        <w:rPr>
          <w:rFonts w:hint="eastAsia"/>
          <w:kern w:val="2"/>
          <w:sz w:val="21"/>
          <w:szCs w:val="21"/>
        </w:rPr>
        <w:t>（3）价格分计算公式：报价得分=（基准价/最后报价）×20分</w:t>
      </w:r>
    </w:p>
    <w:p w14:paraId="62538414">
      <w:pPr>
        <w:pStyle w:val="5"/>
        <w:spacing w:before="0" w:beforeAutospacing="0" w:after="210" w:afterAutospacing="0" w:line="315" w:lineRule="atLeast"/>
        <w:ind w:firstLine="420" w:firstLineChars="200"/>
        <w:rPr>
          <w:kern w:val="2"/>
          <w:sz w:val="21"/>
          <w:szCs w:val="21"/>
        </w:rPr>
      </w:pPr>
      <w:r>
        <w:rPr>
          <w:rFonts w:hint="eastAsia"/>
          <w:kern w:val="2"/>
          <w:sz w:val="21"/>
          <w:szCs w:val="21"/>
        </w:rPr>
        <w:t>说明：评审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标处理。</w:t>
      </w:r>
    </w:p>
    <w:p w14:paraId="38FED379">
      <w:pPr>
        <w:pStyle w:val="5"/>
        <w:numPr>
          <w:ilvl w:val="0"/>
          <w:numId w:val="3"/>
        </w:numPr>
        <w:spacing w:before="0" w:beforeAutospacing="0" w:after="210" w:afterAutospacing="0" w:line="315" w:lineRule="atLeast"/>
        <w:ind w:firstLine="422" w:firstLineChars="200"/>
        <w:rPr>
          <w:b/>
          <w:bCs/>
          <w:kern w:val="2"/>
          <w:sz w:val="21"/>
          <w:szCs w:val="21"/>
        </w:rPr>
      </w:pPr>
      <w:r>
        <w:rPr>
          <w:rFonts w:hint="eastAsia"/>
          <w:b/>
          <w:bCs/>
          <w:sz w:val="21"/>
          <w:szCs w:val="21"/>
        </w:rPr>
        <w:t>技术分</w:t>
      </w:r>
      <w:r>
        <w:rPr>
          <w:rFonts w:hint="eastAsia"/>
          <w:b/>
          <w:bCs/>
          <w:kern w:val="2"/>
          <w:sz w:val="21"/>
          <w:szCs w:val="21"/>
        </w:rPr>
        <w:t>…………………………………………………50分</w:t>
      </w:r>
    </w:p>
    <w:p w14:paraId="2303AB7D">
      <w:pPr>
        <w:pStyle w:val="5"/>
        <w:numPr>
          <w:ilvl w:val="0"/>
          <w:numId w:val="4"/>
        </w:numPr>
        <w:spacing w:before="0" w:beforeAutospacing="0" w:after="210" w:afterAutospacing="0" w:line="315" w:lineRule="atLeast"/>
        <w:rPr>
          <w:kern w:val="2"/>
          <w:sz w:val="21"/>
          <w:szCs w:val="21"/>
        </w:rPr>
      </w:pPr>
      <w:r>
        <w:rPr>
          <w:rFonts w:hint="eastAsia"/>
          <w:kern w:val="2"/>
          <w:sz w:val="21"/>
          <w:szCs w:val="21"/>
        </w:rPr>
        <w:t>主要设备技术参数响应分（满分5分）</w:t>
      </w:r>
    </w:p>
    <w:p w14:paraId="5ED6AEC7">
      <w:pPr>
        <w:pStyle w:val="5"/>
        <w:spacing w:before="0" w:beforeAutospacing="0" w:after="210" w:afterAutospacing="0" w:line="315" w:lineRule="atLeast"/>
        <w:ind w:left="315"/>
        <w:rPr>
          <w:kern w:val="2"/>
          <w:sz w:val="21"/>
          <w:szCs w:val="21"/>
        </w:rPr>
      </w:pPr>
      <w:r>
        <w:rPr>
          <w:rFonts w:hint="eastAsia"/>
          <w:kern w:val="2"/>
          <w:sz w:val="21"/>
          <w:szCs w:val="21"/>
        </w:rPr>
        <w:t>投标人应证明其所提供的关键货物（风冷模块热泵机组）满足以下要求：</w:t>
      </w:r>
    </w:p>
    <w:p w14:paraId="6CFBF65C">
      <w:pPr>
        <w:pStyle w:val="5"/>
        <w:spacing w:before="0" w:beforeAutospacing="0" w:after="210" w:afterAutospacing="0" w:line="315" w:lineRule="atLeast"/>
        <w:ind w:left="315"/>
        <w:rPr>
          <w:kern w:val="2"/>
          <w:sz w:val="21"/>
          <w:szCs w:val="21"/>
        </w:rPr>
      </w:pPr>
      <w:r>
        <w:rPr>
          <w:rFonts w:hint="eastAsia"/>
          <w:kern w:val="2"/>
          <w:sz w:val="21"/>
          <w:szCs w:val="21"/>
        </w:rPr>
        <w:t>1）同类产品至少有5年（2020-2024）的生产历史；</w:t>
      </w:r>
    </w:p>
    <w:p w14:paraId="1927211C">
      <w:pPr>
        <w:pStyle w:val="5"/>
        <w:spacing w:before="0" w:beforeAutospacing="0" w:after="210" w:afterAutospacing="0" w:line="315" w:lineRule="atLeast"/>
        <w:ind w:left="315"/>
        <w:rPr>
          <w:kern w:val="2"/>
          <w:sz w:val="21"/>
          <w:szCs w:val="21"/>
        </w:rPr>
      </w:pPr>
      <w:r>
        <w:rPr>
          <w:rFonts w:hint="eastAsia"/>
          <w:kern w:val="2"/>
          <w:sz w:val="21"/>
          <w:szCs w:val="21"/>
        </w:rPr>
        <w:t>2）投标机型在过去两（2）年内（2023-2024），至少有3台类似型号和规格的货物已经销售；</w:t>
      </w:r>
    </w:p>
    <w:p w14:paraId="0D2DE20D">
      <w:pPr>
        <w:pStyle w:val="5"/>
        <w:spacing w:before="0" w:beforeAutospacing="0" w:after="210" w:afterAutospacing="0" w:line="315" w:lineRule="atLeast"/>
        <w:ind w:left="315"/>
        <w:rPr>
          <w:kern w:val="2"/>
          <w:sz w:val="21"/>
          <w:szCs w:val="21"/>
        </w:rPr>
      </w:pPr>
      <w:r>
        <w:rPr>
          <w:rFonts w:hint="eastAsia"/>
          <w:kern w:val="2"/>
          <w:sz w:val="21"/>
          <w:szCs w:val="21"/>
        </w:rPr>
        <w:t>3）同类产品至少满意地运行了3年</w:t>
      </w:r>
    </w:p>
    <w:p w14:paraId="3445CD03">
      <w:pPr>
        <w:pStyle w:val="5"/>
        <w:spacing w:before="0" w:beforeAutospacing="0" w:after="210" w:afterAutospacing="0" w:line="315" w:lineRule="atLeast"/>
        <w:ind w:firstLine="420" w:firstLineChars="200"/>
        <w:rPr>
          <w:kern w:val="2"/>
          <w:sz w:val="21"/>
          <w:szCs w:val="21"/>
        </w:rPr>
      </w:pPr>
      <w:r>
        <w:rPr>
          <w:rFonts w:hint="eastAsia"/>
          <w:kern w:val="2"/>
          <w:sz w:val="21"/>
          <w:szCs w:val="21"/>
        </w:rPr>
        <w:t>以上内容需同时满足，且</w:t>
      </w:r>
      <w:r>
        <w:rPr>
          <w:kern w:val="2"/>
          <w:sz w:val="21"/>
          <w:szCs w:val="21"/>
        </w:rPr>
        <w:t>响应文件中提供相关有效证明材料</w:t>
      </w:r>
      <w:r>
        <w:rPr>
          <w:rFonts w:hint="eastAsia"/>
          <w:kern w:val="2"/>
          <w:sz w:val="21"/>
          <w:szCs w:val="21"/>
        </w:rPr>
        <w:t>，</w:t>
      </w:r>
      <w:r>
        <w:rPr>
          <w:rFonts w:hint="eastAsia" w:ascii="Arial" w:hAnsi="Arial" w:eastAsia="宋体" w:cs="Arial"/>
          <w:color w:val="000000"/>
          <w:sz w:val="21"/>
          <w:szCs w:val="21"/>
          <w:shd w:val="clear" w:color="auto" w:fill="FFFFFF"/>
          <w:lang w:bidi="ar"/>
        </w:rPr>
        <w:t>每份合同应附有已签署的合同协议、</w:t>
      </w:r>
      <w:r>
        <w:rPr>
          <w:rFonts w:hint="eastAsia" w:ascii="Arial" w:hAnsi="Arial" w:eastAsia="宋体" w:cs="Arial"/>
          <w:color w:val="000000"/>
          <w:sz w:val="21"/>
          <w:szCs w:val="21"/>
          <w:lang w:bidi="ar"/>
        </w:rPr>
        <w:t>验收证书、成功运行证明</w:t>
      </w:r>
      <w:r>
        <w:rPr>
          <w:kern w:val="2"/>
          <w:sz w:val="21"/>
          <w:szCs w:val="21"/>
        </w:rPr>
        <w:t>，不提供不得分</w:t>
      </w:r>
      <w:r>
        <w:rPr>
          <w:rFonts w:hint="eastAsia"/>
          <w:kern w:val="2"/>
          <w:sz w:val="21"/>
          <w:szCs w:val="21"/>
        </w:rPr>
        <w:t>）。</w:t>
      </w:r>
    </w:p>
    <w:p w14:paraId="74D6C015">
      <w:pPr>
        <w:pStyle w:val="5"/>
        <w:numPr>
          <w:ilvl w:val="0"/>
          <w:numId w:val="4"/>
        </w:numPr>
        <w:spacing w:before="0" w:beforeAutospacing="0" w:after="210" w:afterAutospacing="0" w:line="315" w:lineRule="atLeast"/>
        <w:rPr>
          <w:kern w:val="2"/>
          <w:sz w:val="21"/>
          <w:szCs w:val="21"/>
        </w:rPr>
      </w:pPr>
      <w:r>
        <w:rPr>
          <w:rFonts w:hint="eastAsia"/>
          <w:kern w:val="2"/>
          <w:sz w:val="21"/>
          <w:szCs w:val="21"/>
        </w:rPr>
        <w:t>主要设备技术响应分（满分5分）</w:t>
      </w:r>
    </w:p>
    <w:p w14:paraId="6D93D738">
      <w:pPr>
        <w:pStyle w:val="5"/>
        <w:numPr>
          <w:ilvl w:val="0"/>
          <w:numId w:val="5"/>
        </w:numPr>
        <w:spacing w:before="0" w:beforeAutospacing="0" w:after="210" w:afterAutospacing="0" w:line="315" w:lineRule="atLeast"/>
        <w:ind w:left="315"/>
        <w:rPr>
          <w:kern w:val="2"/>
          <w:sz w:val="21"/>
          <w:szCs w:val="21"/>
        </w:rPr>
      </w:pPr>
      <w:r>
        <w:rPr>
          <w:rFonts w:hint="eastAsia"/>
          <w:kern w:val="2"/>
          <w:sz w:val="21"/>
          <w:szCs w:val="21"/>
        </w:rPr>
        <w:t>机组工作环境温度范围：制冷：-15~52℃；制热：-25~40℃。得1分。</w:t>
      </w:r>
    </w:p>
    <w:p w14:paraId="5BB46745">
      <w:pPr>
        <w:pStyle w:val="5"/>
        <w:numPr>
          <w:ilvl w:val="0"/>
          <w:numId w:val="5"/>
        </w:numPr>
        <w:spacing w:before="0" w:beforeAutospacing="0" w:after="210" w:afterAutospacing="0" w:line="315" w:lineRule="atLeast"/>
        <w:ind w:left="315"/>
        <w:rPr>
          <w:kern w:val="2"/>
          <w:sz w:val="21"/>
          <w:szCs w:val="21"/>
        </w:rPr>
      </w:pPr>
      <w:r>
        <w:rPr>
          <w:rFonts w:hint="eastAsia"/>
          <w:kern w:val="2"/>
          <w:sz w:val="21"/>
          <w:szCs w:val="21"/>
        </w:rPr>
        <w:t>压缩机宜采用全封闭直流变频转子式压缩机，依据负荷变化调整机组运行状态，可实现单模块15% - 100%范围内的精准负荷调节。得2分。</w:t>
      </w:r>
    </w:p>
    <w:p w14:paraId="32EA9982">
      <w:pPr>
        <w:pStyle w:val="5"/>
        <w:numPr>
          <w:ilvl w:val="0"/>
          <w:numId w:val="5"/>
        </w:numPr>
        <w:spacing w:before="0" w:beforeAutospacing="0" w:after="210" w:afterAutospacing="0" w:line="315" w:lineRule="atLeast"/>
        <w:ind w:left="315"/>
        <w:rPr>
          <w:kern w:val="2"/>
          <w:sz w:val="21"/>
          <w:szCs w:val="21"/>
        </w:rPr>
      </w:pPr>
      <w:r>
        <w:rPr>
          <w:kern w:val="2"/>
          <w:sz w:val="21"/>
          <w:szCs w:val="21"/>
        </w:rPr>
        <w:t>机组蒸发器</w:t>
      </w:r>
      <w:r>
        <w:rPr>
          <w:rFonts w:hint="eastAsia"/>
          <w:kern w:val="2"/>
          <w:sz w:val="21"/>
          <w:szCs w:val="21"/>
        </w:rPr>
        <w:t>宜</w:t>
      </w:r>
      <w:r>
        <w:rPr>
          <w:kern w:val="2"/>
          <w:sz w:val="21"/>
          <w:szCs w:val="21"/>
        </w:rPr>
        <w:t>采用板式换热器，保证高换热效率</w:t>
      </w:r>
      <w:r>
        <w:rPr>
          <w:rFonts w:hint="eastAsia"/>
          <w:kern w:val="2"/>
          <w:sz w:val="21"/>
          <w:szCs w:val="21"/>
        </w:rPr>
        <w:t>。得1分。</w:t>
      </w:r>
    </w:p>
    <w:p w14:paraId="6D0FE917">
      <w:pPr>
        <w:pStyle w:val="5"/>
        <w:numPr>
          <w:ilvl w:val="0"/>
          <w:numId w:val="5"/>
        </w:numPr>
        <w:spacing w:before="0" w:beforeAutospacing="0" w:after="210" w:afterAutospacing="0" w:line="315" w:lineRule="atLeast"/>
        <w:ind w:left="315"/>
        <w:rPr>
          <w:kern w:val="2"/>
          <w:sz w:val="21"/>
          <w:szCs w:val="21"/>
        </w:rPr>
      </w:pPr>
      <w:r>
        <w:rPr>
          <w:rFonts w:hint="eastAsia"/>
          <w:kern w:val="2"/>
          <w:sz w:val="21"/>
          <w:szCs w:val="21"/>
        </w:rPr>
        <w:t>机组</w:t>
      </w:r>
      <w:r>
        <w:rPr>
          <w:kern w:val="2"/>
          <w:sz w:val="21"/>
          <w:szCs w:val="21"/>
        </w:rPr>
        <w:t>蒸发器进出口接管方式宜采用法兰连接</w:t>
      </w:r>
      <w:r>
        <w:rPr>
          <w:rFonts w:hint="eastAsia"/>
          <w:kern w:val="2"/>
          <w:sz w:val="21"/>
          <w:szCs w:val="21"/>
        </w:rPr>
        <w:t>，结构稳固，维修安装便捷。得1分。</w:t>
      </w:r>
    </w:p>
    <w:p w14:paraId="166E0188">
      <w:pPr>
        <w:pStyle w:val="5"/>
        <w:spacing w:before="0" w:beforeAutospacing="0" w:after="210" w:afterAutospacing="0" w:line="315" w:lineRule="atLeast"/>
        <w:ind w:left="315"/>
        <w:rPr>
          <w:kern w:val="2"/>
          <w:sz w:val="21"/>
          <w:szCs w:val="21"/>
        </w:rPr>
      </w:pPr>
      <w:r>
        <w:rPr>
          <w:rFonts w:hint="eastAsia"/>
          <w:kern w:val="2"/>
          <w:sz w:val="21"/>
          <w:szCs w:val="21"/>
        </w:rPr>
        <w:t>以上内容</w:t>
      </w:r>
      <w:r>
        <w:rPr>
          <w:kern w:val="2"/>
          <w:sz w:val="21"/>
          <w:szCs w:val="21"/>
        </w:rPr>
        <w:t>响应文件中提供</w:t>
      </w:r>
      <w:r>
        <w:rPr>
          <w:rFonts w:hint="eastAsia" w:ascii="Arial" w:hAnsi="Arial" w:eastAsia="宋体" w:cs="Arial"/>
          <w:sz w:val="21"/>
          <w:szCs w:val="21"/>
          <w:shd w:val="clear" w:color="auto" w:fill="FFFFFF"/>
          <w:lang w:bidi="ar"/>
        </w:rPr>
        <w:t>第三方检测报告、产品彩页等</w:t>
      </w:r>
      <w:r>
        <w:rPr>
          <w:kern w:val="2"/>
          <w:sz w:val="21"/>
          <w:szCs w:val="21"/>
        </w:rPr>
        <w:t>相关有效证明材料，不提供不得分</w:t>
      </w:r>
      <w:r>
        <w:rPr>
          <w:rFonts w:hint="eastAsia"/>
          <w:kern w:val="2"/>
          <w:sz w:val="21"/>
          <w:szCs w:val="21"/>
        </w:rPr>
        <w:t>）。</w:t>
      </w:r>
    </w:p>
    <w:p w14:paraId="153D80B9">
      <w:pPr>
        <w:pStyle w:val="5"/>
        <w:spacing w:before="0" w:beforeAutospacing="0" w:after="210" w:afterAutospacing="0" w:line="315" w:lineRule="atLeast"/>
        <w:ind w:firstLine="210" w:firstLineChars="100"/>
        <w:rPr>
          <w:kern w:val="2"/>
          <w:sz w:val="21"/>
          <w:szCs w:val="21"/>
        </w:rPr>
      </w:pPr>
      <w:r>
        <w:rPr>
          <w:rFonts w:hint="eastAsia"/>
          <w:kern w:val="2"/>
          <w:sz w:val="21"/>
          <w:szCs w:val="21"/>
        </w:rPr>
        <w:t>（2）实施方案分（满分20分）</w:t>
      </w:r>
    </w:p>
    <w:p w14:paraId="737FE32A">
      <w:pPr>
        <w:pStyle w:val="5"/>
        <w:spacing w:before="0" w:beforeAutospacing="0" w:after="210" w:afterAutospacing="0" w:line="315" w:lineRule="atLeast"/>
        <w:ind w:firstLine="420" w:firstLineChars="200"/>
        <w:rPr>
          <w:kern w:val="2"/>
          <w:sz w:val="21"/>
          <w:szCs w:val="21"/>
        </w:rPr>
      </w:pPr>
      <w:r>
        <w:rPr>
          <w:rFonts w:hint="eastAsia"/>
          <w:kern w:val="2"/>
          <w:sz w:val="21"/>
          <w:szCs w:val="21"/>
        </w:rPr>
        <w:t>根据响应文件提供的项目实施方案（包括人员配备、安装及实施方案、进度质量及安全文明实施、重难点分析等内容）进行评审。</w:t>
      </w:r>
    </w:p>
    <w:p w14:paraId="0C3AB7AD">
      <w:pPr>
        <w:pStyle w:val="5"/>
        <w:spacing w:before="0" w:beforeAutospacing="0" w:after="210" w:afterAutospacing="0" w:line="315" w:lineRule="atLeast"/>
        <w:ind w:firstLine="420" w:firstLineChars="200"/>
        <w:rPr>
          <w:kern w:val="2"/>
          <w:sz w:val="21"/>
          <w:szCs w:val="21"/>
        </w:rPr>
      </w:pPr>
      <w:r>
        <w:rPr>
          <w:rFonts w:hint="eastAsia"/>
          <w:kern w:val="2"/>
          <w:sz w:val="21"/>
          <w:szCs w:val="21"/>
        </w:rPr>
        <w:t>一档（5分）：对本项目的总体实施方案比较简单，措施不够具体，基本符合项目需求；</w:t>
      </w:r>
    </w:p>
    <w:p w14:paraId="43A50D3D">
      <w:pPr>
        <w:pStyle w:val="5"/>
        <w:spacing w:before="0" w:beforeAutospacing="0" w:after="210" w:afterAutospacing="0" w:line="315" w:lineRule="atLeast"/>
        <w:ind w:firstLine="420" w:firstLineChars="200"/>
        <w:rPr>
          <w:kern w:val="2"/>
          <w:sz w:val="21"/>
          <w:szCs w:val="21"/>
        </w:rPr>
      </w:pPr>
      <w:r>
        <w:rPr>
          <w:rFonts w:hint="eastAsia"/>
          <w:kern w:val="2"/>
          <w:sz w:val="21"/>
          <w:szCs w:val="21"/>
        </w:rPr>
        <w:t>二档（10分）：对本项目的总体方案比较详细，措施较为具体、进度计划可行；</w:t>
      </w:r>
    </w:p>
    <w:p w14:paraId="2DF9A924">
      <w:pPr>
        <w:pStyle w:val="5"/>
        <w:spacing w:before="0" w:beforeAutospacing="0" w:after="210" w:afterAutospacing="0" w:line="315" w:lineRule="atLeast"/>
        <w:ind w:firstLine="420" w:firstLineChars="200"/>
        <w:rPr>
          <w:kern w:val="2"/>
          <w:sz w:val="21"/>
          <w:szCs w:val="21"/>
        </w:rPr>
      </w:pPr>
      <w:r>
        <w:rPr>
          <w:rFonts w:hint="eastAsia"/>
          <w:kern w:val="2"/>
          <w:sz w:val="21"/>
          <w:szCs w:val="21"/>
        </w:rPr>
        <w:t>三档（15分）：对本项目的总体实施方案比较详细具体，措施有力、可行性高，考虑周全，安装进度计划合理可靠，总体方案较好，有针对性；</w:t>
      </w:r>
    </w:p>
    <w:p w14:paraId="5DDA8498">
      <w:pPr>
        <w:pStyle w:val="5"/>
        <w:spacing w:before="0" w:beforeAutospacing="0" w:after="210" w:afterAutospacing="0" w:line="315" w:lineRule="atLeast"/>
        <w:ind w:firstLine="420" w:firstLineChars="200"/>
        <w:rPr>
          <w:kern w:val="2"/>
          <w:sz w:val="21"/>
          <w:szCs w:val="21"/>
        </w:rPr>
      </w:pPr>
      <w:r>
        <w:rPr>
          <w:rFonts w:hint="eastAsia"/>
          <w:kern w:val="2"/>
          <w:sz w:val="21"/>
          <w:szCs w:val="21"/>
        </w:rPr>
        <w:t>四档（20分）：对本项目的总体实施方案详细具体，对项目技术环境及情况了解透彻，供货方案优于本项目采购需求，质量保证措施得当，安装进度计划科学合理、安装方案可操作性强，能有效保证在承诺的时间内安装、调试完毕，且先进、科学、合理，保障性强，内容全面，施工组织机构、人员配备，施工机械、检测设备，施工进度计划及保证工期、质量的技术措施，安全、文明施工措施以及详细的施工步骤并配有合理的图片说明、设备的安装调试等方面能很好的满足要求，并且针对性强。</w:t>
      </w:r>
    </w:p>
    <w:p w14:paraId="231DB61A">
      <w:pPr>
        <w:pStyle w:val="5"/>
        <w:spacing w:before="0" w:beforeAutospacing="0" w:after="210" w:afterAutospacing="0" w:line="315" w:lineRule="atLeast"/>
        <w:ind w:firstLine="420" w:firstLineChars="200"/>
        <w:rPr>
          <w:kern w:val="2"/>
          <w:sz w:val="21"/>
          <w:szCs w:val="21"/>
        </w:rPr>
      </w:pPr>
      <w:r>
        <w:rPr>
          <w:rFonts w:hint="eastAsia"/>
          <w:kern w:val="2"/>
          <w:sz w:val="21"/>
          <w:szCs w:val="21"/>
        </w:rPr>
        <w:t>注：未提供方案或不进档的不得分。</w:t>
      </w:r>
    </w:p>
    <w:p w14:paraId="45DFD917">
      <w:pPr>
        <w:pStyle w:val="5"/>
        <w:spacing w:before="0" w:beforeAutospacing="0" w:after="210" w:afterAutospacing="0" w:line="315" w:lineRule="atLeast"/>
        <w:ind w:firstLine="420" w:firstLineChars="200"/>
        <w:rPr>
          <w:kern w:val="2"/>
          <w:sz w:val="21"/>
          <w:szCs w:val="21"/>
        </w:rPr>
      </w:pPr>
      <w:r>
        <w:rPr>
          <w:kern w:val="2"/>
          <w:sz w:val="21"/>
          <w:szCs w:val="21"/>
        </w:rPr>
        <w:t>（2）项目应急方案分（满分</w:t>
      </w:r>
      <w:r>
        <w:rPr>
          <w:rFonts w:hint="eastAsia"/>
          <w:kern w:val="2"/>
          <w:sz w:val="21"/>
          <w:szCs w:val="21"/>
        </w:rPr>
        <w:t>10</w:t>
      </w:r>
      <w:r>
        <w:rPr>
          <w:kern w:val="2"/>
          <w:sz w:val="21"/>
          <w:szCs w:val="21"/>
        </w:rPr>
        <w:t>分）</w:t>
      </w:r>
    </w:p>
    <w:p w14:paraId="3798126F">
      <w:pPr>
        <w:pStyle w:val="5"/>
        <w:spacing w:before="0" w:beforeAutospacing="0" w:after="210" w:afterAutospacing="0" w:line="315" w:lineRule="atLeast"/>
        <w:ind w:firstLine="420" w:firstLineChars="200"/>
        <w:rPr>
          <w:kern w:val="2"/>
          <w:sz w:val="21"/>
          <w:szCs w:val="21"/>
        </w:rPr>
      </w:pPr>
      <w:r>
        <w:rPr>
          <w:kern w:val="2"/>
          <w:sz w:val="21"/>
          <w:szCs w:val="21"/>
        </w:rPr>
        <w:t>一档（</w:t>
      </w:r>
      <w:r>
        <w:rPr>
          <w:rFonts w:hint="eastAsia"/>
          <w:kern w:val="2"/>
          <w:sz w:val="21"/>
          <w:szCs w:val="21"/>
        </w:rPr>
        <w:t>3</w:t>
      </w:r>
      <w:r>
        <w:rPr>
          <w:kern w:val="2"/>
          <w:sz w:val="21"/>
          <w:szCs w:val="21"/>
        </w:rPr>
        <w:t>分）：提供有应急方案，方案比较简单，没有实质性内容。</w:t>
      </w:r>
    </w:p>
    <w:p w14:paraId="60080650">
      <w:pPr>
        <w:pStyle w:val="5"/>
        <w:spacing w:before="0" w:beforeAutospacing="0" w:after="210" w:afterAutospacing="0" w:line="315" w:lineRule="atLeast"/>
        <w:ind w:firstLine="420" w:firstLineChars="200"/>
        <w:rPr>
          <w:kern w:val="2"/>
          <w:sz w:val="21"/>
          <w:szCs w:val="21"/>
        </w:rPr>
      </w:pPr>
      <w:r>
        <w:rPr>
          <w:kern w:val="2"/>
          <w:sz w:val="21"/>
          <w:szCs w:val="21"/>
        </w:rPr>
        <w:t>二档（</w:t>
      </w:r>
      <w:r>
        <w:rPr>
          <w:rFonts w:hint="eastAsia"/>
          <w:kern w:val="2"/>
          <w:sz w:val="21"/>
          <w:szCs w:val="21"/>
        </w:rPr>
        <w:t>7</w:t>
      </w:r>
      <w:r>
        <w:rPr>
          <w:kern w:val="2"/>
          <w:sz w:val="21"/>
          <w:szCs w:val="21"/>
        </w:rPr>
        <w:t>分）：提供有应急方案，方案满足要求，有系统运行保障措施、事故应急处置程序，方案可行。</w:t>
      </w:r>
    </w:p>
    <w:p w14:paraId="2EE70AAC">
      <w:pPr>
        <w:pStyle w:val="5"/>
        <w:spacing w:before="0" w:beforeAutospacing="0" w:after="210" w:afterAutospacing="0" w:line="315" w:lineRule="atLeast"/>
        <w:ind w:firstLine="420" w:firstLineChars="200"/>
        <w:rPr>
          <w:kern w:val="2"/>
          <w:sz w:val="21"/>
          <w:szCs w:val="21"/>
        </w:rPr>
      </w:pPr>
      <w:r>
        <w:rPr>
          <w:kern w:val="2"/>
          <w:sz w:val="21"/>
          <w:szCs w:val="21"/>
        </w:rPr>
        <w:t>三档（</w:t>
      </w:r>
      <w:r>
        <w:rPr>
          <w:rFonts w:hint="eastAsia"/>
          <w:kern w:val="2"/>
          <w:sz w:val="21"/>
          <w:szCs w:val="21"/>
        </w:rPr>
        <w:t>10</w:t>
      </w:r>
      <w:r>
        <w:rPr>
          <w:kern w:val="2"/>
          <w:sz w:val="21"/>
          <w:szCs w:val="21"/>
        </w:rPr>
        <w:t>分）：应急方案完善详细，有应急处理实施计划及解决方案、系统运行保障措施、风险防控措施、事故应急处置程序、现场应急处置措施、综合应急预案专项应急预案等内容；为本项目设置详细的组织机构及职责，配置有机动人员用于对紧急事件处理，承诺对应急处理能在60分钟内响应，保证后期运维人员充足，方案符合本项目要求与特点，操作性强。</w:t>
      </w:r>
    </w:p>
    <w:p w14:paraId="709139A1">
      <w:pPr>
        <w:pStyle w:val="5"/>
        <w:spacing w:before="0" w:beforeAutospacing="0" w:after="210" w:afterAutospacing="0" w:line="315" w:lineRule="atLeast"/>
        <w:ind w:firstLine="420" w:firstLineChars="200"/>
        <w:rPr>
          <w:kern w:val="2"/>
          <w:sz w:val="21"/>
          <w:szCs w:val="21"/>
        </w:rPr>
      </w:pPr>
      <w:r>
        <w:rPr>
          <w:kern w:val="2"/>
          <w:sz w:val="21"/>
          <w:szCs w:val="21"/>
        </w:rPr>
        <w:t>注：未提供方案或不进档的不得分。</w:t>
      </w:r>
    </w:p>
    <w:p w14:paraId="0E5CCAD4">
      <w:pPr>
        <w:pStyle w:val="5"/>
        <w:spacing w:before="0" w:beforeAutospacing="0" w:after="210" w:afterAutospacing="0" w:line="315" w:lineRule="atLeast"/>
        <w:ind w:firstLine="420" w:firstLineChars="200"/>
        <w:rPr>
          <w:kern w:val="2"/>
          <w:sz w:val="21"/>
          <w:szCs w:val="21"/>
        </w:rPr>
      </w:pPr>
      <w:r>
        <w:rPr>
          <w:kern w:val="2"/>
          <w:sz w:val="21"/>
          <w:szCs w:val="21"/>
        </w:rPr>
        <w:t>（</w:t>
      </w:r>
      <w:r>
        <w:rPr>
          <w:rFonts w:hint="eastAsia"/>
          <w:kern w:val="2"/>
          <w:sz w:val="21"/>
          <w:szCs w:val="21"/>
        </w:rPr>
        <w:t>3</w:t>
      </w:r>
      <w:r>
        <w:rPr>
          <w:kern w:val="2"/>
          <w:sz w:val="21"/>
          <w:szCs w:val="21"/>
        </w:rPr>
        <w:t>）项目管理机构</w:t>
      </w:r>
      <w:r>
        <w:rPr>
          <w:rFonts w:hint="eastAsia"/>
          <w:kern w:val="2"/>
          <w:sz w:val="21"/>
          <w:szCs w:val="21"/>
        </w:rPr>
        <w:t>人员资格要求</w:t>
      </w:r>
      <w:r>
        <w:rPr>
          <w:kern w:val="2"/>
          <w:sz w:val="21"/>
          <w:szCs w:val="21"/>
        </w:rPr>
        <w:t>分（满分</w:t>
      </w:r>
      <w:r>
        <w:rPr>
          <w:rFonts w:hint="eastAsia"/>
          <w:kern w:val="2"/>
          <w:sz w:val="21"/>
          <w:szCs w:val="21"/>
        </w:rPr>
        <w:t>10</w:t>
      </w:r>
      <w:r>
        <w:rPr>
          <w:kern w:val="2"/>
          <w:sz w:val="21"/>
          <w:szCs w:val="21"/>
        </w:rPr>
        <w:t>分）</w:t>
      </w:r>
    </w:p>
    <w:p w14:paraId="18DDEBE1">
      <w:pPr>
        <w:widowControl/>
        <w:spacing w:line="360" w:lineRule="auto"/>
        <w:ind w:firstLine="420" w:firstLineChars="200"/>
        <w:rPr>
          <w:rFonts w:ascii="宋体" w:hAnsi="宋体"/>
          <w:kern w:val="0"/>
          <w:szCs w:val="21"/>
        </w:rPr>
      </w:pPr>
      <w:r>
        <w:rPr>
          <w:rFonts w:hint="eastAsia" w:ascii="宋体" w:hAnsi="宋体"/>
          <w:kern w:val="0"/>
          <w:szCs w:val="21"/>
        </w:rPr>
        <w:t>1）</w:t>
      </w:r>
      <w:r>
        <w:rPr>
          <w:rFonts w:ascii="宋体" w:hAnsi="宋体"/>
          <w:kern w:val="0"/>
          <w:szCs w:val="21"/>
        </w:rPr>
        <w:t>项目</w:t>
      </w:r>
      <w:r>
        <w:rPr>
          <w:rFonts w:hint="eastAsia" w:ascii="宋体" w:hAnsi="宋体"/>
          <w:kern w:val="0"/>
          <w:szCs w:val="21"/>
        </w:rPr>
        <w:t>管理人员</w:t>
      </w:r>
      <w:r>
        <w:rPr>
          <w:rFonts w:ascii="宋体" w:hAnsi="宋体"/>
          <w:kern w:val="0"/>
          <w:szCs w:val="21"/>
        </w:rPr>
        <w:t>任职资格与</w:t>
      </w:r>
      <w:r>
        <w:rPr>
          <w:rFonts w:hint="eastAsia" w:ascii="宋体" w:hAnsi="宋体"/>
          <w:kern w:val="0"/>
          <w:szCs w:val="21"/>
        </w:rPr>
        <w:t>技术职称（7分）</w:t>
      </w:r>
    </w:p>
    <w:p w14:paraId="14AEC772">
      <w:pPr>
        <w:widowControl/>
        <w:spacing w:line="360" w:lineRule="auto"/>
        <w:ind w:firstLine="420" w:firstLineChars="200"/>
        <w:rPr>
          <w:rFonts w:ascii="宋体" w:hAnsi="宋体"/>
          <w:kern w:val="0"/>
          <w:szCs w:val="21"/>
        </w:rPr>
      </w:pPr>
      <w:r>
        <w:rPr>
          <w:rFonts w:ascii="宋体" w:hAnsi="宋体"/>
          <w:kern w:val="0"/>
          <w:szCs w:val="21"/>
        </w:rPr>
        <w:t>拟</w:t>
      </w:r>
      <w:r>
        <w:rPr>
          <w:rFonts w:hint="eastAsia" w:ascii="宋体" w:hAnsi="宋体"/>
          <w:kern w:val="0"/>
          <w:szCs w:val="21"/>
        </w:rPr>
        <w:t>派驻</w:t>
      </w:r>
      <w:r>
        <w:rPr>
          <w:rFonts w:ascii="宋体" w:hAnsi="宋体"/>
          <w:kern w:val="0"/>
          <w:szCs w:val="21"/>
        </w:rPr>
        <w:t>项目经理</w:t>
      </w:r>
      <w:r>
        <w:rPr>
          <w:rFonts w:hint="eastAsia" w:ascii="宋体" w:hAnsi="宋体"/>
          <w:kern w:val="0"/>
          <w:szCs w:val="21"/>
        </w:rPr>
        <w:t>具有二级注册建造师及暖通空调专业中级及以上职称的得3分；</w:t>
      </w:r>
    </w:p>
    <w:p w14:paraId="10261671">
      <w:pPr>
        <w:widowControl/>
        <w:spacing w:line="360" w:lineRule="auto"/>
        <w:ind w:firstLine="420" w:firstLineChars="200"/>
        <w:rPr>
          <w:rFonts w:ascii="宋体" w:hAnsi="宋体"/>
          <w:kern w:val="0"/>
          <w:szCs w:val="21"/>
        </w:rPr>
      </w:pPr>
      <w:r>
        <w:rPr>
          <w:rFonts w:ascii="宋体" w:hAnsi="宋体"/>
          <w:kern w:val="0"/>
          <w:szCs w:val="21"/>
        </w:rPr>
        <w:t>拟</w:t>
      </w:r>
      <w:r>
        <w:rPr>
          <w:rFonts w:hint="eastAsia" w:ascii="宋体" w:hAnsi="宋体"/>
          <w:kern w:val="0"/>
          <w:szCs w:val="21"/>
        </w:rPr>
        <w:t>派驻项目总工具有暖通空调专业中级及以上职称的得2分；</w:t>
      </w:r>
    </w:p>
    <w:p w14:paraId="20379F1B">
      <w:pPr>
        <w:widowControl/>
        <w:spacing w:line="360" w:lineRule="auto"/>
        <w:ind w:firstLine="420" w:firstLineChars="200"/>
        <w:rPr>
          <w:rFonts w:ascii="宋体" w:hAnsi="宋体"/>
          <w:kern w:val="0"/>
          <w:szCs w:val="21"/>
        </w:rPr>
      </w:pPr>
      <w:r>
        <w:rPr>
          <w:rFonts w:ascii="宋体" w:hAnsi="宋体"/>
          <w:kern w:val="0"/>
          <w:szCs w:val="21"/>
        </w:rPr>
        <w:t>拟</w:t>
      </w:r>
      <w:r>
        <w:rPr>
          <w:rFonts w:hint="eastAsia" w:ascii="宋体" w:hAnsi="宋体"/>
          <w:kern w:val="0"/>
          <w:szCs w:val="21"/>
        </w:rPr>
        <w:t>派驻技术负责人具有暖通空调专业中级及以上职称的得2分；</w:t>
      </w:r>
    </w:p>
    <w:p w14:paraId="10DF8F2D">
      <w:pPr>
        <w:widowControl/>
        <w:spacing w:line="360" w:lineRule="auto"/>
        <w:ind w:firstLine="420" w:firstLineChars="200"/>
      </w:pPr>
      <w:r>
        <w:rPr>
          <w:rFonts w:hint="eastAsia" w:ascii="宋体" w:hAnsi="宋体"/>
          <w:kern w:val="0"/>
          <w:szCs w:val="21"/>
        </w:rPr>
        <w:t>上述人员中缺一个的得1分，缺2个及以上的不得分。以上人员需提供最近半年社保缴纳记录及相关资格证复印件，</w:t>
      </w:r>
      <w:r>
        <w:rPr>
          <w:rFonts w:ascii="宋体" w:hAnsi="宋体"/>
          <w:kern w:val="0"/>
          <w:szCs w:val="21"/>
        </w:rPr>
        <w:t>并加盖单位公章，不按照上述要求提供资料</w:t>
      </w:r>
      <w:r>
        <w:rPr>
          <w:rFonts w:hint="eastAsia" w:ascii="宋体" w:hAnsi="宋体"/>
          <w:kern w:val="0"/>
          <w:szCs w:val="21"/>
        </w:rPr>
        <w:t>的</w:t>
      </w:r>
      <w:r>
        <w:rPr>
          <w:rFonts w:ascii="宋体" w:hAnsi="宋体"/>
          <w:kern w:val="0"/>
          <w:szCs w:val="21"/>
        </w:rPr>
        <w:t>，</w:t>
      </w:r>
      <w:r>
        <w:rPr>
          <w:rFonts w:hint="eastAsia" w:ascii="宋体" w:hAnsi="宋体"/>
          <w:kern w:val="0"/>
          <w:szCs w:val="21"/>
        </w:rPr>
        <w:t>不得计分。</w:t>
      </w:r>
    </w:p>
    <w:p w14:paraId="6B8465F2">
      <w:pPr>
        <w:widowControl/>
        <w:spacing w:line="360" w:lineRule="auto"/>
        <w:ind w:firstLine="420" w:firstLineChars="200"/>
        <w:rPr>
          <w:rFonts w:ascii="宋体" w:hAnsi="宋体"/>
          <w:kern w:val="0"/>
          <w:szCs w:val="21"/>
        </w:rPr>
      </w:pPr>
      <w:r>
        <w:rPr>
          <w:rFonts w:hint="eastAsia" w:ascii="宋体" w:hAnsi="宋体"/>
          <w:szCs w:val="21"/>
        </w:rPr>
        <w:t>2）其他主要人员要求（3分）</w:t>
      </w:r>
    </w:p>
    <w:p w14:paraId="5147E262">
      <w:pPr>
        <w:widowControl/>
        <w:spacing w:line="360" w:lineRule="auto"/>
        <w:ind w:firstLine="420" w:firstLineChars="200"/>
        <w:rPr>
          <w:rFonts w:ascii="宋体" w:hAnsi="宋体"/>
          <w:szCs w:val="21"/>
        </w:rPr>
      </w:pPr>
      <w:r>
        <w:rPr>
          <w:rFonts w:ascii="宋体" w:hAnsi="宋体"/>
          <w:kern w:val="0"/>
          <w:szCs w:val="21"/>
        </w:rPr>
        <w:t>拟派</w:t>
      </w:r>
      <w:r>
        <w:rPr>
          <w:rFonts w:hint="eastAsia" w:ascii="宋体" w:hAnsi="宋体"/>
          <w:kern w:val="0"/>
          <w:szCs w:val="21"/>
        </w:rPr>
        <w:t>驻</w:t>
      </w:r>
      <w:r>
        <w:rPr>
          <w:rFonts w:hint="eastAsia" w:ascii="宋体" w:hAnsi="宋体" w:cs="宋体"/>
          <w:szCs w:val="21"/>
        </w:rPr>
        <w:t>项目管理机构</w:t>
      </w:r>
      <w:r>
        <w:rPr>
          <w:rFonts w:ascii="宋体" w:hAnsi="宋体"/>
          <w:kern w:val="0"/>
          <w:szCs w:val="21"/>
        </w:rPr>
        <w:t>人员</w:t>
      </w:r>
      <w:r>
        <w:rPr>
          <w:rFonts w:hint="eastAsia" w:ascii="宋体" w:hAnsi="宋体" w:cs="宋体"/>
          <w:szCs w:val="21"/>
        </w:rPr>
        <w:t>中，</w:t>
      </w:r>
      <w:r>
        <w:rPr>
          <w:rFonts w:ascii="宋体" w:hAnsi="宋体"/>
          <w:kern w:val="0"/>
          <w:szCs w:val="21"/>
        </w:rPr>
        <w:t>安全员</w:t>
      </w:r>
      <w:r>
        <w:rPr>
          <w:rFonts w:hint="eastAsia" w:ascii="宋体" w:hAnsi="宋体"/>
          <w:kern w:val="0"/>
          <w:szCs w:val="21"/>
        </w:rPr>
        <w:t>（至少2个）</w:t>
      </w:r>
      <w:r>
        <w:rPr>
          <w:rFonts w:ascii="宋体" w:hAnsi="宋体"/>
          <w:kern w:val="0"/>
          <w:szCs w:val="21"/>
        </w:rPr>
        <w:t>、施工员、质</w:t>
      </w:r>
      <w:r>
        <w:rPr>
          <w:rFonts w:hint="eastAsia" w:ascii="宋体" w:hAnsi="宋体"/>
          <w:kern w:val="0"/>
          <w:szCs w:val="21"/>
        </w:rPr>
        <w:t>量</w:t>
      </w:r>
      <w:r>
        <w:rPr>
          <w:rFonts w:ascii="宋体" w:hAnsi="宋体"/>
          <w:kern w:val="0"/>
          <w:szCs w:val="21"/>
        </w:rPr>
        <w:t>员、</w:t>
      </w:r>
      <w:r>
        <w:rPr>
          <w:rFonts w:hint="eastAsia" w:ascii="宋体" w:hAnsi="宋体"/>
          <w:kern w:val="0"/>
          <w:szCs w:val="21"/>
        </w:rPr>
        <w:t>资料</w:t>
      </w:r>
      <w:r>
        <w:rPr>
          <w:rFonts w:ascii="宋体" w:hAnsi="宋体"/>
          <w:kern w:val="0"/>
          <w:szCs w:val="21"/>
        </w:rPr>
        <w:t>员</w:t>
      </w:r>
      <w:r>
        <w:rPr>
          <w:rFonts w:hint="eastAsia" w:ascii="宋体" w:hAnsi="宋体"/>
          <w:kern w:val="0"/>
          <w:szCs w:val="21"/>
        </w:rPr>
        <w:t>、电气专业人员、高处作业人员、焊接作业人员、制冷维修人员等均</w:t>
      </w:r>
      <w:r>
        <w:rPr>
          <w:rFonts w:ascii="宋体" w:hAnsi="宋体"/>
          <w:kern w:val="0"/>
          <w:szCs w:val="21"/>
        </w:rPr>
        <w:t>具有相应资格证书的得</w:t>
      </w:r>
      <w:r>
        <w:rPr>
          <w:rFonts w:hint="eastAsia" w:ascii="宋体" w:hAnsi="宋体"/>
          <w:kern w:val="0"/>
          <w:szCs w:val="21"/>
        </w:rPr>
        <w:t>3</w:t>
      </w:r>
      <w:r>
        <w:rPr>
          <w:rFonts w:ascii="宋体" w:hAnsi="宋体"/>
          <w:kern w:val="0"/>
          <w:szCs w:val="21"/>
        </w:rPr>
        <w:t>分</w:t>
      </w:r>
      <w:r>
        <w:rPr>
          <w:rFonts w:hint="eastAsia" w:ascii="宋体" w:hAnsi="宋体"/>
          <w:kern w:val="0"/>
          <w:szCs w:val="21"/>
        </w:rPr>
        <w:t>，上述人员中缺1个及以上的不得分</w:t>
      </w:r>
      <w:r>
        <w:rPr>
          <w:rFonts w:hint="eastAsia" w:ascii="宋体" w:hAnsi="宋体"/>
          <w:szCs w:val="21"/>
        </w:rPr>
        <w:t>。</w:t>
      </w:r>
    </w:p>
    <w:p w14:paraId="4DC4B1FA">
      <w:pPr>
        <w:pStyle w:val="5"/>
        <w:spacing w:before="0" w:beforeAutospacing="0" w:after="210" w:afterAutospacing="0" w:line="315" w:lineRule="atLeast"/>
        <w:ind w:firstLine="420" w:firstLineChars="200"/>
        <w:rPr>
          <w:rFonts w:ascii="宋体" w:hAnsi="宋体" w:cstheme="minorBidi"/>
          <w:sz w:val="21"/>
          <w:szCs w:val="21"/>
        </w:rPr>
      </w:pPr>
      <w:r>
        <w:rPr>
          <w:rFonts w:hint="eastAsia" w:ascii="宋体" w:hAnsi="宋体" w:cstheme="minorBidi"/>
          <w:sz w:val="21"/>
          <w:szCs w:val="21"/>
        </w:rPr>
        <w:t>以上人员需提供劳动合同及相关资格证复印件，</w:t>
      </w:r>
      <w:r>
        <w:rPr>
          <w:rFonts w:ascii="宋体" w:hAnsi="宋体" w:cstheme="minorBidi"/>
          <w:sz w:val="21"/>
          <w:szCs w:val="21"/>
        </w:rPr>
        <w:t>并加盖单位公章，不按照上述要求提供资料</w:t>
      </w:r>
      <w:r>
        <w:rPr>
          <w:rFonts w:hint="eastAsia" w:ascii="宋体" w:hAnsi="宋体" w:cstheme="minorBidi"/>
          <w:sz w:val="21"/>
          <w:szCs w:val="21"/>
        </w:rPr>
        <w:t>的</w:t>
      </w:r>
      <w:r>
        <w:rPr>
          <w:rFonts w:ascii="宋体" w:hAnsi="宋体" w:cstheme="minorBidi"/>
          <w:sz w:val="21"/>
          <w:szCs w:val="21"/>
        </w:rPr>
        <w:t>，</w:t>
      </w:r>
      <w:r>
        <w:rPr>
          <w:rFonts w:hint="eastAsia" w:ascii="宋体" w:hAnsi="宋体" w:cstheme="minorBidi"/>
          <w:sz w:val="21"/>
          <w:szCs w:val="21"/>
        </w:rPr>
        <w:t>不得计分</w:t>
      </w:r>
      <w:r>
        <w:rPr>
          <w:rFonts w:ascii="宋体" w:hAnsi="宋体" w:cstheme="minorBidi"/>
          <w:sz w:val="21"/>
          <w:szCs w:val="21"/>
        </w:rPr>
        <w:t>。</w:t>
      </w:r>
    </w:p>
    <w:p w14:paraId="0DEC9EA3">
      <w:pPr>
        <w:pStyle w:val="5"/>
        <w:numPr>
          <w:ilvl w:val="0"/>
          <w:numId w:val="3"/>
        </w:numPr>
        <w:spacing w:before="0" w:beforeAutospacing="0" w:after="210" w:afterAutospacing="0" w:line="315" w:lineRule="atLeast"/>
        <w:ind w:firstLine="422" w:firstLineChars="200"/>
        <w:rPr>
          <w:b/>
          <w:bCs/>
          <w:kern w:val="2"/>
          <w:sz w:val="21"/>
          <w:szCs w:val="21"/>
        </w:rPr>
      </w:pPr>
      <w:r>
        <w:rPr>
          <w:rFonts w:hint="eastAsia"/>
          <w:b/>
          <w:bCs/>
          <w:sz w:val="21"/>
          <w:szCs w:val="21"/>
        </w:rPr>
        <w:t>商务分</w:t>
      </w:r>
      <w:r>
        <w:rPr>
          <w:rFonts w:hint="eastAsia"/>
          <w:b/>
          <w:bCs/>
          <w:kern w:val="2"/>
          <w:sz w:val="21"/>
          <w:szCs w:val="21"/>
        </w:rPr>
        <w:t>…………………………………………………30分</w:t>
      </w:r>
    </w:p>
    <w:p w14:paraId="498E8C63">
      <w:pPr>
        <w:pStyle w:val="5"/>
        <w:spacing w:before="0" w:beforeAutospacing="0" w:after="210" w:afterAutospacing="0" w:line="315" w:lineRule="atLeast"/>
        <w:ind w:firstLine="420" w:firstLineChars="200"/>
        <w:rPr>
          <w:kern w:val="2"/>
          <w:sz w:val="21"/>
          <w:szCs w:val="21"/>
        </w:rPr>
      </w:pPr>
      <w:r>
        <w:rPr>
          <w:kern w:val="2"/>
          <w:sz w:val="21"/>
          <w:szCs w:val="21"/>
        </w:rPr>
        <w:t>（1）履约能力分（满分</w:t>
      </w:r>
      <w:r>
        <w:rPr>
          <w:rFonts w:hint="eastAsia"/>
          <w:kern w:val="2"/>
          <w:sz w:val="21"/>
          <w:szCs w:val="21"/>
        </w:rPr>
        <w:t>20</w:t>
      </w:r>
      <w:r>
        <w:rPr>
          <w:kern w:val="2"/>
          <w:sz w:val="21"/>
          <w:szCs w:val="21"/>
        </w:rPr>
        <w:t>分）</w:t>
      </w:r>
    </w:p>
    <w:p w14:paraId="7CAC7C24">
      <w:pPr>
        <w:pStyle w:val="5"/>
        <w:spacing w:before="0" w:beforeAutospacing="0" w:after="210" w:afterAutospacing="0" w:line="315" w:lineRule="atLeast"/>
        <w:ind w:firstLine="420" w:firstLineChars="200"/>
        <w:rPr>
          <w:kern w:val="2"/>
          <w:sz w:val="21"/>
          <w:szCs w:val="21"/>
        </w:rPr>
      </w:pPr>
      <w:r>
        <w:rPr>
          <w:kern w:val="2"/>
          <w:sz w:val="21"/>
          <w:szCs w:val="21"/>
        </w:rPr>
        <w:t>1）投标设备制造商应通过ISO9001（质量管理）、ISO14001（环境管理）、ISO45001（职业健康安全管理）、ISO50001（能源管理）、ISO/IEC27001（信息安全管理）体系认证、QC080000（有害物质过程管理）及ISO10012（测量管理）体系认证，上述认证中缺1个及以上</w:t>
      </w:r>
      <w:r>
        <w:rPr>
          <w:rFonts w:hint="eastAsia"/>
          <w:kern w:val="2"/>
          <w:sz w:val="21"/>
          <w:szCs w:val="21"/>
        </w:rPr>
        <w:t>不</w:t>
      </w:r>
      <w:r>
        <w:rPr>
          <w:kern w:val="2"/>
          <w:sz w:val="21"/>
          <w:szCs w:val="21"/>
        </w:rPr>
        <w:t>得分，满分</w:t>
      </w:r>
      <w:r>
        <w:rPr>
          <w:rFonts w:hint="eastAsia"/>
          <w:kern w:val="2"/>
          <w:sz w:val="21"/>
          <w:szCs w:val="21"/>
        </w:rPr>
        <w:t>5</w:t>
      </w:r>
      <w:r>
        <w:rPr>
          <w:kern w:val="2"/>
          <w:sz w:val="21"/>
          <w:szCs w:val="21"/>
        </w:rPr>
        <w:t>分。（响应文件中提供相关有效证明材料复印件，不提供不得分</w:t>
      </w:r>
      <w:r>
        <w:rPr>
          <w:rFonts w:hint="eastAsia"/>
          <w:kern w:val="2"/>
          <w:sz w:val="21"/>
          <w:szCs w:val="21"/>
        </w:rPr>
        <w:t>）。</w:t>
      </w:r>
    </w:p>
    <w:p w14:paraId="00236A8B">
      <w:pPr>
        <w:pStyle w:val="5"/>
        <w:spacing w:before="0" w:beforeAutospacing="0" w:after="210" w:afterAutospacing="0" w:line="315" w:lineRule="atLeast"/>
        <w:ind w:firstLine="420" w:firstLineChars="200"/>
        <w:rPr>
          <w:kern w:val="2"/>
          <w:sz w:val="21"/>
          <w:szCs w:val="21"/>
        </w:rPr>
      </w:pPr>
      <w:r>
        <w:rPr>
          <w:kern w:val="2"/>
          <w:sz w:val="21"/>
          <w:szCs w:val="21"/>
        </w:rPr>
        <w:t>2）</w:t>
      </w:r>
      <w:r>
        <w:rPr>
          <w:rFonts w:hint="eastAsia"/>
          <w:kern w:val="2"/>
          <w:sz w:val="21"/>
          <w:szCs w:val="21"/>
        </w:rPr>
        <w:t>投标设备</w:t>
      </w:r>
      <w:r>
        <w:rPr>
          <w:kern w:val="2"/>
          <w:sz w:val="21"/>
          <w:szCs w:val="21"/>
        </w:rPr>
        <w:t>制造商入选全国首批国家标准验证点</w:t>
      </w:r>
      <w:r>
        <w:rPr>
          <w:rFonts w:hint="eastAsia"/>
          <w:kern w:val="2"/>
          <w:sz w:val="21"/>
          <w:szCs w:val="21"/>
        </w:rPr>
        <w:t>得2分。（</w:t>
      </w:r>
      <w:r>
        <w:rPr>
          <w:kern w:val="2"/>
          <w:sz w:val="21"/>
          <w:szCs w:val="21"/>
        </w:rPr>
        <w:t>响应文件中提供相关有效证明材料，不提供不得分</w:t>
      </w:r>
      <w:r>
        <w:rPr>
          <w:rFonts w:hint="eastAsia"/>
          <w:kern w:val="2"/>
          <w:sz w:val="21"/>
          <w:szCs w:val="21"/>
        </w:rPr>
        <w:t>）</w:t>
      </w:r>
    </w:p>
    <w:p w14:paraId="69BAF48A">
      <w:pPr>
        <w:pStyle w:val="5"/>
        <w:spacing w:before="0" w:beforeAutospacing="0" w:after="210" w:afterAutospacing="0" w:line="315" w:lineRule="atLeast"/>
        <w:ind w:firstLine="420" w:firstLineChars="200"/>
        <w:rPr>
          <w:strike/>
          <w:kern w:val="2"/>
          <w:sz w:val="21"/>
          <w:szCs w:val="21"/>
        </w:rPr>
      </w:pPr>
      <w:r>
        <w:rPr>
          <w:rFonts w:hint="eastAsia"/>
          <w:kern w:val="2"/>
          <w:sz w:val="21"/>
          <w:szCs w:val="21"/>
        </w:rPr>
        <w:t>3）投标设备</w:t>
      </w:r>
      <w:r>
        <w:rPr>
          <w:kern w:val="2"/>
          <w:sz w:val="21"/>
          <w:szCs w:val="21"/>
        </w:rPr>
        <w:t>制造商</w:t>
      </w:r>
      <w:r>
        <w:rPr>
          <w:rFonts w:hint="eastAsia"/>
          <w:kern w:val="2"/>
          <w:sz w:val="21"/>
          <w:szCs w:val="21"/>
        </w:rPr>
        <w:t>连续多次获得中国质量检验协会颁发的质量诚信标杆企业荣誉，每个得1分，满分2分。（</w:t>
      </w:r>
      <w:r>
        <w:rPr>
          <w:kern w:val="2"/>
          <w:sz w:val="21"/>
          <w:szCs w:val="21"/>
        </w:rPr>
        <w:t>响应文件中提供相关有效证明材料，不提供不得分</w:t>
      </w:r>
      <w:r>
        <w:rPr>
          <w:rFonts w:hint="eastAsia"/>
          <w:kern w:val="2"/>
          <w:sz w:val="21"/>
          <w:szCs w:val="21"/>
        </w:rPr>
        <w:t>）</w:t>
      </w:r>
    </w:p>
    <w:p w14:paraId="44444C1E">
      <w:pPr>
        <w:pStyle w:val="5"/>
        <w:spacing w:before="0" w:beforeAutospacing="0" w:after="210" w:afterAutospacing="0" w:line="315" w:lineRule="atLeast"/>
        <w:ind w:firstLine="420" w:firstLineChars="200"/>
        <w:rPr>
          <w:kern w:val="2"/>
          <w:sz w:val="21"/>
          <w:szCs w:val="21"/>
        </w:rPr>
      </w:pPr>
      <w:r>
        <w:rPr>
          <w:rFonts w:hint="eastAsia"/>
          <w:kern w:val="2"/>
          <w:sz w:val="21"/>
          <w:szCs w:val="21"/>
        </w:rPr>
        <w:t>6）所投产品制造商获得科学技术成果鉴定达“国际领先”水平，成果≧45项以上，得2分。（</w:t>
      </w:r>
      <w:r>
        <w:rPr>
          <w:kern w:val="2"/>
          <w:sz w:val="21"/>
          <w:szCs w:val="21"/>
        </w:rPr>
        <w:t>响应文件中提供相关有效证明材料，不提供不得分</w:t>
      </w:r>
      <w:r>
        <w:rPr>
          <w:rFonts w:hint="eastAsia"/>
          <w:kern w:val="2"/>
          <w:sz w:val="21"/>
          <w:szCs w:val="21"/>
        </w:rPr>
        <w:t>）</w:t>
      </w:r>
    </w:p>
    <w:p w14:paraId="0B28F80A">
      <w:pPr>
        <w:pStyle w:val="5"/>
        <w:spacing w:before="0" w:beforeAutospacing="0" w:after="210" w:afterAutospacing="0" w:line="315" w:lineRule="atLeast"/>
        <w:ind w:firstLine="420" w:firstLineChars="200"/>
        <w:rPr>
          <w:kern w:val="2"/>
          <w:sz w:val="21"/>
          <w:szCs w:val="21"/>
        </w:rPr>
      </w:pPr>
      <w:r>
        <w:rPr>
          <w:rFonts w:hint="eastAsia"/>
          <w:kern w:val="2"/>
          <w:sz w:val="21"/>
          <w:szCs w:val="21"/>
        </w:rPr>
        <w:t>7）所投产品制造商企业管理或自主创新方面获得中国企业改革方面最高奖项，得2分。（</w:t>
      </w:r>
      <w:r>
        <w:rPr>
          <w:kern w:val="2"/>
          <w:sz w:val="21"/>
          <w:szCs w:val="21"/>
        </w:rPr>
        <w:t>响应文件中提供相关有效证明材料，不提供不得分</w:t>
      </w:r>
      <w:r>
        <w:rPr>
          <w:rFonts w:hint="eastAsia"/>
          <w:kern w:val="2"/>
          <w:sz w:val="21"/>
          <w:szCs w:val="21"/>
        </w:rPr>
        <w:t>）</w:t>
      </w:r>
    </w:p>
    <w:p w14:paraId="3DC042A4">
      <w:pPr>
        <w:pStyle w:val="5"/>
        <w:spacing w:before="0" w:beforeAutospacing="0" w:after="210" w:afterAutospacing="0" w:line="315" w:lineRule="atLeast"/>
        <w:ind w:firstLine="420" w:firstLineChars="200"/>
        <w:rPr>
          <w:kern w:val="2"/>
          <w:sz w:val="21"/>
          <w:szCs w:val="21"/>
        </w:rPr>
      </w:pPr>
      <w:r>
        <w:rPr>
          <w:rFonts w:hint="eastAsia"/>
          <w:kern w:val="2"/>
          <w:sz w:val="21"/>
          <w:szCs w:val="21"/>
        </w:rPr>
        <w:t>8）所投品牌多次获得国际级质量创新奖，每个得1分，满分2分。（</w:t>
      </w:r>
      <w:r>
        <w:rPr>
          <w:kern w:val="2"/>
          <w:sz w:val="21"/>
          <w:szCs w:val="21"/>
        </w:rPr>
        <w:t>响应文件中提供相关有效证明材料，不提供不得分</w:t>
      </w:r>
      <w:r>
        <w:rPr>
          <w:rFonts w:hint="eastAsia"/>
          <w:kern w:val="2"/>
          <w:sz w:val="21"/>
          <w:szCs w:val="21"/>
        </w:rPr>
        <w:t>）</w:t>
      </w:r>
    </w:p>
    <w:p w14:paraId="13C97176">
      <w:pPr>
        <w:pStyle w:val="5"/>
        <w:spacing w:before="0" w:beforeAutospacing="0" w:after="210" w:afterAutospacing="0" w:line="315" w:lineRule="atLeast"/>
        <w:ind w:firstLine="420" w:firstLineChars="200"/>
        <w:rPr>
          <w:kern w:val="2"/>
          <w:sz w:val="21"/>
          <w:szCs w:val="21"/>
        </w:rPr>
      </w:pPr>
      <w:r>
        <w:rPr>
          <w:rFonts w:hint="eastAsia"/>
          <w:kern w:val="2"/>
          <w:sz w:val="21"/>
          <w:szCs w:val="21"/>
        </w:rPr>
        <w:t>9）投标供应商同时具备以下</w:t>
      </w:r>
      <w:r>
        <w:rPr>
          <w:kern w:val="2"/>
          <w:sz w:val="21"/>
          <w:szCs w:val="21"/>
        </w:rPr>
        <w:t>ISO9001（质量管理）、ISO14001（环境管理）、ISO45001（职业健康安全管理）体系认证</w:t>
      </w:r>
      <w:r>
        <w:rPr>
          <w:rFonts w:hint="eastAsia"/>
          <w:kern w:val="2"/>
          <w:sz w:val="21"/>
          <w:szCs w:val="21"/>
        </w:rPr>
        <w:t>、中国设备维修安装企业能力等级证书（制冷空调）制冷空调A类Ⅲ级、D类Ⅲ级以上，得</w:t>
      </w:r>
      <w:r>
        <w:rPr>
          <w:kern w:val="2"/>
          <w:sz w:val="21"/>
          <w:szCs w:val="21"/>
        </w:rPr>
        <w:t>分</w:t>
      </w:r>
      <w:r>
        <w:rPr>
          <w:rFonts w:hint="eastAsia"/>
          <w:kern w:val="2"/>
          <w:sz w:val="21"/>
          <w:szCs w:val="21"/>
        </w:rPr>
        <w:t>3</w:t>
      </w:r>
      <w:r>
        <w:rPr>
          <w:kern w:val="2"/>
          <w:sz w:val="21"/>
          <w:szCs w:val="21"/>
        </w:rPr>
        <w:t>分（响应文件中提供相关有效证明材料复印件，不提供不得分</w:t>
      </w:r>
      <w:r>
        <w:rPr>
          <w:rFonts w:hint="eastAsia"/>
          <w:kern w:val="2"/>
          <w:sz w:val="21"/>
          <w:szCs w:val="21"/>
        </w:rPr>
        <w:t>）</w:t>
      </w:r>
    </w:p>
    <w:p w14:paraId="32127437">
      <w:pPr>
        <w:widowControl/>
        <w:spacing w:before="60" w:after="60" w:line="276" w:lineRule="auto"/>
        <w:ind w:left="72" w:right="72" w:firstLine="346" w:firstLineChars="165"/>
        <w:jc w:val="left"/>
        <w:rPr>
          <w:rFonts w:cs="Times New Roman"/>
          <w:szCs w:val="21"/>
        </w:rPr>
      </w:pPr>
      <w:r>
        <w:rPr>
          <w:rFonts w:hint="eastAsia" w:cs="Times New Roman"/>
          <w:szCs w:val="21"/>
        </w:rPr>
        <w:t>10）提交近</w:t>
      </w:r>
      <w:r>
        <w:rPr>
          <w:rFonts w:cs="Times New Roman"/>
          <w:szCs w:val="21"/>
        </w:rPr>
        <w:t>2024</w:t>
      </w:r>
      <w:r>
        <w:rPr>
          <w:rFonts w:hint="eastAsia" w:cs="Times New Roman"/>
          <w:szCs w:val="21"/>
        </w:rPr>
        <w:t>年经审计的财务报表。要求，投标人投标人其最近的营运资金（流动资产-流动负债）加上任何信贷或者其它融资渠道，（不包括合同预付款）：人民币400万元以上，得2分。</w:t>
      </w:r>
    </w:p>
    <w:p w14:paraId="09012C3D">
      <w:pPr>
        <w:pStyle w:val="5"/>
        <w:spacing w:before="0" w:beforeAutospacing="0" w:after="210" w:afterAutospacing="0" w:line="315" w:lineRule="atLeast"/>
        <w:ind w:firstLine="420" w:firstLineChars="200"/>
        <w:rPr>
          <w:kern w:val="2"/>
          <w:sz w:val="21"/>
          <w:szCs w:val="21"/>
        </w:rPr>
      </w:pPr>
      <w:r>
        <w:rPr>
          <w:kern w:val="2"/>
          <w:sz w:val="21"/>
          <w:szCs w:val="21"/>
        </w:rPr>
        <w:t>（2）售后服务及技术保障分（满分1</w:t>
      </w:r>
      <w:r>
        <w:rPr>
          <w:rFonts w:hint="eastAsia"/>
          <w:kern w:val="2"/>
          <w:sz w:val="21"/>
          <w:szCs w:val="21"/>
        </w:rPr>
        <w:t>0</w:t>
      </w:r>
      <w:r>
        <w:rPr>
          <w:kern w:val="2"/>
          <w:sz w:val="21"/>
          <w:szCs w:val="21"/>
        </w:rPr>
        <w:t>分）</w:t>
      </w:r>
    </w:p>
    <w:p w14:paraId="0D0AD3DD">
      <w:pPr>
        <w:pStyle w:val="5"/>
        <w:spacing w:before="0" w:beforeAutospacing="0" w:after="210" w:afterAutospacing="0" w:line="315" w:lineRule="atLeast"/>
        <w:ind w:firstLine="420" w:firstLineChars="200"/>
        <w:rPr>
          <w:kern w:val="2"/>
          <w:sz w:val="21"/>
          <w:szCs w:val="21"/>
        </w:rPr>
      </w:pPr>
      <w:r>
        <w:rPr>
          <w:kern w:val="2"/>
          <w:sz w:val="21"/>
          <w:szCs w:val="21"/>
        </w:rPr>
        <w:t>由评审小组评委根据采购文件对比各供应商响应文件售后服务承诺方案内容的货物免费保修期、出现故障响应时间及解决方案、修复时间、项目回访计划、出现质量问题承诺更换时间、供应商提供免费保修期外维修方案、备品备件库及专业的售后技术人员配备、现场快速技术支持、评审小组认可的其它实质性优惠措施等条件进行评审。</w:t>
      </w:r>
    </w:p>
    <w:p w14:paraId="736E857F">
      <w:pPr>
        <w:pStyle w:val="5"/>
        <w:spacing w:before="0" w:beforeAutospacing="0" w:after="210" w:afterAutospacing="0" w:line="315" w:lineRule="atLeast"/>
        <w:ind w:firstLine="420" w:firstLineChars="200"/>
        <w:rPr>
          <w:kern w:val="2"/>
          <w:sz w:val="21"/>
          <w:szCs w:val="21"/>
        </w:rPr>
      </w:pPr>
      <w:r>
        <w:rPr>
          <w:kern w:val="2"/>
          <w:sz w:val="21"/>
          <w:szCs w:val="21"/>
        </w:rPr>
        <w:t>一档（</w:t>
      </w:r>
      <w:r>
        <w:rPr>
          <w:rFonts w:hint="eastAsia"/>
          <w:kern w:val="2"/>
          <w:sz w:val="21"/>
          <w:szCs w:val="21"/>
        </w:rPr>
        <w:t>3</w:t>
      </w:r>
      <w:r>
        <w:rPr>
          <w:kern w:val="2"/>
          <w:sz w:val="21"/>
          <w:szCs w:val="21"/>
        </w:rPr>
        <w:t>分）：满足采购文件售后服务要求，提供故障处理流程、维护保障流程及组织架构，售后服务方案表述清晰、完整，措施有效可行，故障响应时间、到达故障现场时间安排合理，故障维护方案、免费技术培训方案较完善，有一定的现场快速技术支持、优势。</w:t>
      </w:r>
    </w:p>
    <w:p w14:paraId="72044C86">
      <w:pPr>
        <w:pStyle w:val="5"/>
        <w:spacing w:before="0" w:beforeAutospacing="0" w:after="210" w:afterAutospacing="0" w:line="315" w:lineRule="atLeast"/>
        <w:ind w:firstLine="420" w:firstLineChars="200"/>
        <w:rPr>
          <w:kern w:val="2"/>
          <w:sz w:val="21"/>
          <w:szCs w:val="21"/>
        </w:rPr>
      </w:pPr>
      <w:r>
        <w:rPr>
          <w:kern w:val="2"/>
          <w:sz w:val="21"/>
          <w:szCs w:val="21"/>
        </w:rPr>
        <w:t>二档（</w:t>
      </w:r>
      <w:r>
        <w:rPr>
          <w:rFonts w:hint="eastAsia"/>
          <w:kern w:val="2"/>
          <w:sz w:val="21"/>
          <w:szCs w:val="21"/>
        </w:rPr>
        <w:t>6</w:t>
      </w:r>
      <w:r>
        <w:rPr>
          <w:kern w:val="2"/>
          <w:sz w:val="21"/>
          <w:szCs w:val="21"/>
        </w:rPr>
        <w:t>分）：在满足一档基础上，配备专业售后服务员1名（提供售后服务人员由相关行政部门颁发的高处作业及电工的职业技能证书及专业售后服务人员联系人及联系方式，否则不得分）。</w:t>
      </w:r>
    </w:p>
    <w:p w14:paraId="29F8A665">
      <w:pPr>
        <w:pStyle w:val="5"/>
        <w:spacing w:before="0" w:beforeAutospacing="0" w:after="210" w:afterAutospacing="0" w:line="315" w:lineRule="atLeast"/>
        <w:ind w:firstLine="420" w:firstLineChars="200"/>
        <w:rPr>
          <w:kern w:val="2"/>
          <w:sz w:val="21"/>
          <w:szCs w:val="21"/>
        </w:rPr>
      </w:pPr>
      <w:r>
        <w:rPr>
          <w:kern w:val="2"/>
          <w:sz w:val="21"/>
          <w:szCs w:val="21"/>
        </w:rPr>
        <w:t>三档（1</w:t>
      </w:r>
      <w:r>
        <w:rPr>
          <w:rFonts w:hint="eastAsia"/>
          <w:kern w:val="2"/>
          <w:sz w:val="21"/>
          <w:szCs w:val="21"/>
        </w:rPr>
        <w:t>0</w:t>
      </w:r>
      <w:r>
        <w:rPr>
          <w:kern w:val="2"/>
          <w:sz w:val="21"/>
          <w:szCs w:val="21"/>
        </w:rPr>
        <w:t>分）：在满足二档基础上，服务承诺（包括设备的售后服务质保期、备品备件、售后服务响应等承诺）优于采购文件要求且可操作性佳，配备专业售后服务人员2名及以上（提供售后服务人员由相关行政部门颁发的高处作业及电工的职业技能证书及专业售后服务人员联系人及联系方式，否则不得分）。</w:t>
      </w:r>
    </w:p>
    <w:p w14:paraId="2D176587">
      <w:pPr>
        <w:pStyle w:val="5"/>
        <w:widowControl/>
        <w:shd w:val="clear" w:color="auto" w:fill="FFFFFF"/>
        <w:spacing w:before="0" w:beforeAutospacing="0" w:after="0" w:afterAutospacing="0"/>
        <w:ind w:firstLine="480"/>
        <w:rPr>
          <w:sz w:val="28"/>
          <w:szCs w:val="28"/>
        </w:rPr>
      </w:pPr>
    </w:p>
    <w:p w14:paraId="605A3A50"/>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Che">
    <w:panose1 w:val="02030609000101010101"/>
    <w:charset w:val="81"/>
    <w:family w:val="modern"/>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5C9F9"/>
    <w:multiLevelType w:val="singleLevel"/>
    <w:tmpl w:val="8975C9F9"/>
    <w:lvl w:ilvl="0" w:tentative="0">
      <w:start w:val="1"/>
      <w:numFmt w:val="chineseCounting"/>
      <w:suff w:val="nothing"/>
      <w:lvlText w:val="（%1）"/>
      <w:lvlJc w:val="left"/>
      <w:rPr>
        <w:rFonts w:hint="eastAsia"/>
      </w:rPr>
    </w:lvl>
  </w:abstractNum>
  <w:abstractNum w:abstractNumId="1">
    <w:nsid w:val="A58081F3"/>
    <w:multiLevelType w:val="singleLevel"/>
    <w:tmpl w:val="A58081F3"/>
    <w:lvl w:ilvl="0" w:tentative="0">
      <w:start w:val="1"/>
      <w:numFmt w:val="chineseCounting"/>
      <w:suff w:val="nothing"/>
      <w:lvlText w:val="%1、"/>
      <w:lvlJc w:val="left"/>
      <w:rPr>
        <w:rFonts w:hint="eastAsia"/>
      </w:rPr>
    </w:lvl>
  </w:abstractNum>
  <w:abstractNum w:abstractNumId="2">
    <w:nsid w:val="1D0F2BA9"/>
    <w:multiLevelType w:val="singleLevel"/>
    <w:tmpl w:val="1D0F2BA9"/>
    <w:lvl w:ilvl="0" w:tentative="0">
      <w:start w:val="1"/>
      <w:numFmt w:val="decimal"/>
      <w:suff w:val="nothing"/>
      <w:lvlText w:val="%1）"/>
      <w:lvlJc w:val="left"/>
    </w:lvl>
  </w:abstractNum>
  <w:abstractNum w:abstractNumId="3">
    <w:nsid w:val="5E9B57CA"/>
    <w:multiLevelType w:val="singleLevel"/>
    <w:tmpl w:val="5E9B57CA"/>
    <w:lvl w:ilvl="0" w:tentative="0">
      <w:start w:val="2"/>
      <w:numFmt w:val="decimal"/>
      <w:suff w:val="nothing"/>
      <w:lvlText w:val="%1、"/>
      <w:lvlJc w:val="left"/>
    </w:lvl>
  </w:abstractNum>
  <w:abstractNum w:abstractNumId="4">
    <w:nsid w:val="7E806C54"/>
    <w:multiLevelType w:val="singleLevel"/>
    <w:tmpl w:val="7E806C54"/>
    <w:lvl w:ilvl="0" w:tentative="0">
      <w:start w:val="1"/>
      <w:numFmt w:val="decimal"/>
      <w:suff w:val="nothing"/>
      <w:lvlText w:val="（%1）"/>
      <w:lvlJc w:val="left"/>
      <w:pPr>
        <w:ind w:left="315" w:firstLine="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lY2NlNDAzYWI5YjI2OTk3YjRiOTlhNThiNDcyNmQifQ=="/>
  </w:docVars>
  <w:rsids>
    <w:rsidRoot w:val="05393C70"/>
    <w:rsid w:val="00094FB9"/>
    <w:rsid w:val="00135926"/>
    <w:rsid w:val="0023493C"/>
    <w:rsid w:val="002564EF"/>
    <w:rsid w:val="00257960"/>
    <w:rsid w:val="002708EE"/>
    <w:rsid w:val="002D6348"/>
    <w:rsid w:val="003635C1"/>
    <w:rsid w:val="003F3D2A"/>
    <w:rsid w:val="00537067"/>
    <w:rsid w:val="005A430A"/>
    <w:rsid w:val="00627F23"/>
    <w:rsid w:val="00672783"/>
    <w:rsid w:val="00675168"/>
    <w:rsid w:val="00774F02"/>
    <w:rsid w:val="00833E7E"/>
    <w:rsid w:val="00861DAB"/>
    <w:rsid w:val="009707EA"/>
    <w:rsid w:val="009828F2"/>
    <w:rsid w:val="009D04A9"/>
    <w:rsid w:val="00A209A2"/>
    <w:rsid w:val="00A8660E"/>
    <w:rsid w:val="00B75980"/>
    <w:rsid w:val="00BF2C1E"/>
    <w:rsid w:val="00CB313D"/>
    <w:rsid w:val="00E14424"/>
    <w:rsid w:val="00E3300D"/>
    <w:rsid w:val="00EC5BFB"/>
    <w:rsid w:val="05393C70"/>
    <w:rsid w:val="079C2B82"/>
    <w:rsid w:val="0BA94FA7"/>
    <w:rsid w:val="0C530B91"/>
    <w:rsid w:val="0C6850B8"/>
    <w:rsid w:val="0C6C7E56"/>
    <w:rsid w:val="0C6F55EB"/>
    <w:rsid w:val="0E26793E"/>
    <w:rsid w:val="124B4370"/>
    <w:rsid w:val="14A66120"/>
    <w:rsid w:val="15267B68"/>
    <w:rsid w:val="16CB5C9A"/>
    <w:rsid w:val="17366223"/>
    <w:rsid w:val="17CD02BE"/>
    <w:rsid w:val="19874772"/>
    <w:rsid w:val="1C066E44"/>
    <w:rsid w:val="1E3E4310"/>
    <w:rsid w:val="1F3F789D"/>
    <w:rsid w:val="20A951E7"/>
    <w:rsid w:val="20C4005A"/>
    <w:rsid w:val="20D248D5"/>
    <w:rsid w:val="217F0425"/>
    <w:rsid w:val="22251BDB"/>
    <w:rsid w:val="23845BBE"/>
    <w:rsid w:val="241148CA"/>
    <w:rsid w:val="277D26EF"/>
    <w:rsid w:val="280D14D6"/>
    <w:rsid w:val="2D483DC1"/>
    <w:rsid w:val="2DE3752E"/>
    <w:rsid w:val="30174F71"/>
    <w:rsid w:val="308F2B29"/>
    <w:rsid w:val="33303667"/>
    <w:rsid w:val="342E2B6D"/>
    <w:rsid w:val="34C75711"/>
    <w:rsid w:val="35DD14B0"/>
    <w:rsid w:val="36A03C9C"/>
    <w:rsid w:val="36DB1794"/>
    <w:rsid w:val="39F57E9E"/>
    <w:rsid w:val="3F5B2B77"/>
    <w:rsid w:val="3FAC009E"/>
    <w:rsid w:val="417D37ED"/>
    <w:rsid w:val="45B333A0"/>
    <w:rsid w:val="45C014AB"/>
    <w:rsid w:val="45D135BE"/>
    <w:rsid w:val="4A6873F9"/>
    <w:rsid w:val="4B8B74BE"/>
    <w:rsid w:val="4BA803F5"/>
    <w:rsid w:val="4C562CFB"/>
    <w:rsid w:val="4C9635CE"/>
    <w:rsid w:val="4EC060A1"/>
    <w:rsid w:val="4F31425D"/>
    <w:rsid w:val="4FD65C39"/>
    <w:rsid w:val="51A85ED4"/>
    <w:rsid w:val="51C45CC6"/>
    <w:rsid w:val="54BA6AA3"/>
    <w:rsid w:val="54C54050"/>
    <w:rsid w:val="55A61B66"/>
    <w:rsid w:val="587255D7"/>
    <w:rsid w:val="59D206C1"/>
    <w:rsid w:val="5B1F3848"/>
    <w:rsid w:val="613876CD"/>
    <w:rsid w:val="664824DD"/>
    <w:rsid w:val="67C175CE"/>
    <w:rsid w:val="67F72090"/>
    <w:rsid w:val="6BEB1F0C"/>
    <w:rsid w:val="6C846289"/>
    <w:rsid w:val="6CB467A2"/>
    <w:rsid w:val="6E746365"/>
    <w:rsid w:val="6EDA5CB4"/>
    <w:rsid w:val="6F351DF9"/>
    <w:rsid w:val="6F8E3370"/>
    <w:rsid w:val="6FCF1767"/>
    <w:rsid w:val="71566079"/>
    <w:rsid w:val="72C15774"/>
    <w:rsid w:val="79892491"/>
    <w:rsid w:val="7CE37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20"/>
    <w:qFormat/>
    <w:uiPriority w:val="0"/>
    <w:pPr>
      <w:tabs>
        <w:tab w:val="center" w:pos="4153"/>
        <w:tab w:val="right" w:pos="8306"/>
      </w:tabs>
      <w:snapToGrid w:val="0"/>
      <w:jc w:val="left"/>
    </w:pPr>
    <w:rPr>
      <w:sz w:val="18"/>
      <w:szCs w:val="18"/>
    </w:rPr>
  </w:style>
  <w:style w:type="paragraph" w:styleId="4">
    <w:name w:val="header"/>
    <w:basedOn w:val="1"/>
    <w:link w:val="19"/>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rPr>
  </w:style>
  <w:style w:type="character" w:styleId="8">
    <w:name w:val="Strong"/>
    <w:qFormat/>
    <w:uiPriority w:val="0"/>
    <w:rPr>
      <w:b/>
    </w:rPr>
  </w:style>
  <w:style w:type="character" w:styleId="9">
    <w:name w:val="Hyperlink"/>
    <w:qFormat/>
    <w:uiPriority w:val="0"/>
    <w:rPr>
      <w:color w:val="0000FF"/>
      <w:u w:val="single"/>
    </w:rPr>
  </w:style>
  <w:style w:type="character" w:styleId="10">
    <w:name w:val="annotation reference"/>
    <w:basedOn w:val="7"/>
    <w:qFormat/>
    <w:uiPriority w:val="0"/>
    <w:rPr>
      <w:sz w:val="21"/>
      <w:szCs w:val="21"/>
    </w:rPr>
  </w:style>
  <w:style w:type="character" w:customStyle="1" w:styleId="11">
    <w:name w:val="font31"/>
    <w:basedOn w:val="7"/>
    <w:qFormat/>
    <w:uiPriority w:val="0"/>
    <w:rPr>
      <w:rFonts w:hint="eastAsia" w:ascii="宋体" w:hAnsi="宋体" w:eastAsia="宋体" w:cs="宋体"/>
      <w:color w:val="000000"/>
      <w:sz w:val="21"/>
      <w:szCs w:val="21"/>
      <w:u w:val="none"/>
    </w:rPr>
  </w:style>
  <w:style w:type="character" w:customStyle="1" w:styleId="12">
    <w:name w:val="font51"/>
    <w:basedOn w:val="7"/>
    <w:qFormat/>
    <w:uiPriority w:val="0"/>
    <w:rPr>
      <w:rFonts w:hint="eastAsia" w:ascii="宋体" w:hAnsi="宋体" w:eastAsia="宋体" w:cs="宋体"/>
      <w:b/>
      <w:bCs/>
      <w:color w:val="FF0000"/>
      <w:sz w:val="21"/>
      <w:szCs w:val="21"/>
      <w:u w:val="none"/>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61"/>
    <w:basedOn w:val="7"/>
    <w:qFormat/>
    <w:uiPriority w:val="0"/>
    <w:rPr>
      <w:rFonts w:hint="eastAsia" w:ascii="宋体" w:hAnsi="宋体" w:eastAsia="宋体" w:cs="宋体"/>
      <w:b/>
      <w:bCs/>
      <w:color w:val="FF0000"/>
      <w:sz w:val="22"/>
      <w:szCs w:val="22"/>
      <w:u w:val="none"/>
    </w:rPr>
  </w:style>
  <w:style w:type="character" w:customStyle="1" w:styleId="15">
    <w:name w:val="font11"/>
    <w:basedOn w:val="7"/>
    <w:qFormat/>
    <w:uiPriority w:val="0"/>
    <w:rPr>
      <w:rFonts w:hint="eastAsia" w:ascii="宋体" w:hAnsi="宋体" w:eastAsia="宋体" w:cs="宋体"/>
      <w:color w:val="000000"/>
      <w:sz w:val="24"/>
      <w:szCs w:val="24"/>
      <w:u w:val="none"/>
    </w:rPr>
  </w:style>
  <w:style w:type="character" w:customStyle="1" w:styleId="16">
    <w:name w:val="font81"/>
    <w:basedOn w:val="7"/>
    <w:qFormat/>
    <w:uiPriority w:val="0"/>
    <w:rPr>
      <w:rFonts w:ascii="BatangChe" w:hAnsi="BatangChe" w:eastAsia="BatangChe" w:cs="BatangChe"/>
      <w:color w:val="000000"/>
      <w:sz w:val="24"/>
      <w:szCs w:val="24"/>
      <w:u w:val="none"/>
    </w:rPr>
  </w:style>
  <w:style w:type="character" w:customStyle="1" w:styleId="17">
    <w:name w:val="font21"/>
    <w:basedOn w:val="7"/>
    <w:qFormat/>
    <w:uiPriority w:val="0"/>
    <w:rPr>
      <w:rFonts w:hint="eastAsia" w:ascii="宋体" w:hAnsi="宋体" w:eastAsia="宋体" w:cs="宋体"/>
      <w:b/>
      <w:bCs/>
      <w:color w:val="000000"/>
      <w:sz w:val="24"/>
      <w:szCs w:val="24"/>
      <w:u w:val="none"/>
    </w:rPr>
  </w:style>
  <w:style w:type="paragraph" w:customStyle="1" w:styleId="18">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9">
    <w:name w:val="页眉 Char"/>
    <w:basedOn w:val="7"/>
    <w:link w:val="4"/>
    <w:qFormat/>
    <w:uiPriority w:val="0"/>
    <w:rPr>
      <w:rFonts w:asciiTheme="minorHAnsi" w:hAnsiTheme="minorHAnsi" w:eastAsiaTheme="minorEastAsia" w:cstheme="minorBidi"/>
      <w:kern w:val="2"/>
      <w:sz w:val="18"/>
      <w:szCs w:val="18"/>
    </w:rPr>
  </w:style>
  <w:style w:type="character" w:customStyle="1" w:styleId="20">
    <w:name w:val="页脚 Char"/>
    <w:basedOn w:val="7"/>
    <w:link w:val="3"/>
    <w:qFormat/>
    <w:uiPriority w:val="0"/>
    <w:rPr>
      <w:rFonts w:asciiTheme="minorHAnsi" w:hAnsiTheme="minorHAnsi" w:eastAsiaTheme="minorEastAsia" w:cstheme="minorBidi"/>
      <w:kern w:val="2"/>
      <w:sz w:val="18"/>
      <w:szCs w:val="18"/>
    </w:rPr>
  </w:style>
  <w:style w:type="character" w:customStyle="1" w:styleId="21">
    <w:name w:val="font71"/>
    <w:basedOn w:val="7"/>
    <w:qFormat/>
    <w:uiPriority w:val="0"/>
    <w:rPr>
      <w:rFonts w:hint="eastAsia" w:ascii="宋体" w:hAnsi="宋体" w:eastAsia="宋体" w:cs="宋体"/>
      <w:color w:val="000000"/>
      <w:sz w:val="22"/>
      <w:szCs w:val="22"/>
      <w:u w:val="none"/>
    </w:rPr>
  </w:style>
  <w:style w:type="character" w:customStyle="1" w:styleId="22">
    <w:name w:val="font41"/>
    <w:basedOn w:val="7"/>
    <w:qFormat/>
    <w:uiPriority w:val="0"/>
    <w:rPr>
      <w:rFonts w:hint="eastAsia" w:ascii="宋体" w:hAnsi="宋体" w:eastAsia="宋体" w:cs="宋体"/>
      <w:color w:val="000000"/>
      <w:sz w:val="22"/>
      <w:szCs w:val="22"/>
      <w:u w:val="none"/>
    </w:rPr>
  </w:style>
  <w:style w:type="character" w:customStyle="1" w:styleId="23">
    <w:name w:val="font91"/>
    <w:basedOn w:val="7"/>
    <w:qFormat/>
    <w:uiPriority w:val="0"/>
    <w:rPr>
      <w:rFonts w:hint="default" w:ascii="Calibri" w:hAnsi="Calibri" w:cs="Calibri"/>
      <w:color w:val="000000"/>
      <w:sz w:val="22"/>
      <w:szCs w:val="22"/>
      <w:u w:val="none"/>
    </w:rPr>
  </w:style>
  <w:style w:type="paragraph" w:customStyle="1" w:styleId="24">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styleId="2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QBPC</Company>
  <Pages>11</Pages>
  <Words>1411</Words>
  <Characters>1481</Characters>
  <Lines>49</Lines>
  <Paragraphs>13</Paragraphs>
  <TotalTime>1</TotalTime>
  <ScaleCrop>false</ScaleCrop>
  <LinksUpToDate>false</LinksUpToDate>
  <CharactersWithSpaces>1492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2025-06-29T14:54:00Z</dcterms:created>
  <dc:creator>Administrator</dc:creator>
  <cp:lastModifiedBy>高静</cp:lastModifiedBy>
  <cp:lastPrinted>2025-05-16T07:28:00Z</cp:lastPrinted>
  <dcterms:modified xsi:type="dcterms:W3CDTF">2025-09-08T08:11:41Z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0AA06E4EEE134F9A8CB3034E5E225EC4_13</vt:lpwstr>
  </property>
  <property fmtid="{D5CDD505-2E9C-101B-9397-08002B2CF9AE}" pid="4" name="KSOTemplateDocerSaveRecord">
    <vt:lpwstr>eyJoZGlkIjoiMTIxZGQ1ODBlY2Y2NDQ0N2IzNTdiMzVmMTQ4MmQ3MGEiLCJ1c2VySWQiOiIyOTc5NjgzMzQifQ==</vt:lpwstr>
  </property>
</Properties>
</file>