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AF90">
      <w:pPr>
        <w:pStyle w:val="5"/>
        <w:widowControl/>
        <w:shd w:val="clear" w:color="auto" w:fill="FFFFFF"/>
        <w:spacing w:before="0" w:beforeAutospacing="0" w:after="0" w:afterAutospacing="0"/>
        <w:jc w:val="center"/>
        <w:rPr>
          <w:rFonts w:hint="eastAsia" w:ascii="宋体" w:hAnsi="宋体" w:cs="宋体"/>
          <w:b/>
          <w:bCs/>
          <w:sz w:val="32"/>
          <w:szCs w:val="32"/>
          <w:shd w:val="clear" w:color="auto" w:fill="FFFFFF"/>
        </w:rPr>
      </w:pPr>
      <w:r>
        <w:rPr>
          <w:rFonts w:hint="eastAsia" w:ascii="宋体" w:hAnsi="宋体" w:cs="宋体"/>
          <w:b/>
          <w:bCs/>
          <w:sz w:val="32"/>
          <w:szCs w:val="32"/>
          <w:shd w:val="clear" w:color="auto" w:fill="FFFFFF"/>
        </w:rPr>
        <w:t>广西艺术学院南湖校区、相思湖校区高压变配电设备损坏配件更换项目</w:t>
      </w:r>
    </w:p>
    <w:p w14:paraId="3750C059">
      <w:pPr>
        <w:pStyle w:val="5"/>
        <w:widowControl/>
        <w:shd w:val="clear" w:color="auto" w:fill="FFFFFF"/>
        <w:spacing w:before="0" w:beforeAutospacing="0" w:after="0" w:afterAutospacing="0"/>
        <w:jc w:val="center"/>
        <w:rPr>
          <w:rFonts w:hint="eastAsia" w:ascii="宋体" w:hAnsi="宋体" w:cs="宋体"/>
          <w:sz w:val="32"/>
          <w:szCs w:val="32"/>
          <w:shd w:val="clear" w:color="auto" w:fill="FFFFFF"/>
        </w:rPr>
      </w:pPr>
      <w:r>
        <w:rPr>
          <w:rFonts w:hint="eastAsia" w:ascii="宋体" w:hAnsi="宋体" w:cs="宋体"/>
          <w:b/>
          <w:bCs/>
          <w:sz w:val="32"/>
          <w:szCs w:val="32"/>
          <w:shd w:val="clear" w:color="auto" w:fill="FFFFFF"/>
        </w:rPr>
        <w:t>采购文件</w:t>
      </w:r>
    </w:p>
    <w:p w14:paraId="2C3A8B7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r>
        <w:rPr>
          <w:rFonts w:hint="eastAsia" w:ascii="宋体" w:hAnsi="宋体" w:cs="宋体"/>
          <w:sz w:val="28"/>
          <w:szCs w:val="28"/>
          <w:shd w:val="clear" w:color="auto" w:fill="FFFFFF"/>
        </w:rPr>
        <w:t>根据有关规定，我校开展广西艺术学院南湖校区、相思湖校区高压变配电设备损坏配件更换项目采购，现将本次采购有关事项公告如下：</w:t>
      </w:r>
    </w:p>
    <w:p w14:paraId="4F67263A">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sz w:val="28"/>
          <w:szCs w:val="28"/>
          <w:shd w:val="clear" w:color="auto" w:fill="FFFFFF"/>
        </w:rPr>
      </w:pPr>
      <w:r>
        <w:rPr>
          <w:rFonts w:hint="eastAsia" w:ascii="宋体" w:hAnsi="宋体" w:cs="宋体" w:eastAsiaTheme="minorEastAsia"/>
          <w:b/>
          <w:kern w:val="0"/>
          <w:sz w:val="28"/>
          <w:szCs w:val="28"/>
          <w:shd w:val="clear" w:fill="FFFFFF"/>
          <w:lang w:val="en-US" w:eastAsia="zh-CN" w:bidi="ar-SA"/>
        </w:rPr>
        <w:t>一、</w:t>
      </w:r>
      <w:r>
        <w:rPr>
          <w:rStyle w:val="8"/>
          <w:rFonts w:hint="eastAsia" w:ascii="宋体" w:hAnsi="宋体" w:cs="宋体"/>
          <w:sz w:val="28"/>
          <w:szCs w:val="28"/>
          <w:shd w:val="clear" w:color="auto" w:fill="FFFFFF"/>
        </w:rPr>
        <w:t>项目名称</w:t>
      </w:r>
      <w:r>
        <w:rPr>
          <w:rStyle w:val="8"/>
          <w:rFonts w:hint="eastAsia" w:ascii="宋体" w:hAnsi="宋体" w:cs="宋体"/>
          <w:b w:val="0"/>
          <w:bCs/>
          <w:sz w:val="28"/>
          <w:szCs w:val="28"/>
          <w:shd w:val="clear" w:color="auto" w:fill="FFFFFF"/>
        </w:rPr>
        <w:t>：广西艺术学院南湖校区、相思湖校区高压变配电设备损坏配件更换项目</w:t>
      </w:r>
    </w:p>
    <w:p w14:paraId="34407873">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sz w:val="28"/>
          <w:szCs w:val="28"/>
          <w:shd w:val="clear" w:color="auto" w:fill="FFFFFF"/>
        </w:rPr>
      </w:pPr>
      <w:r>
        <w:rPr>
          <w:rFonts w:hint="eastAsia" w:ascii="宋体" w:hAnsi="宋体" w:cs="宋体" w:eastAsiaTheme="minorEastAsia"/>
          <w:b/>
          <w:kern w:val="0"/>
          <w:sz w:val="28"/>
          <w:szCs w:val="28"/>
          <w:shd w:val="clear" w:fill="FFFFFF"/>
          <w:lang w:val="en-US" w:eastAsia="zh-CN" w:bidi="ar-SA"/>
        </w:rPr>
        <w:t>二、</w:t>
      </w:r>
      <w:r>
        <w:rPr>
          <w:rStyle w:val="8"/>
          <w:rFonts w:hint="eastAsia" w:ascii="宋体" w:hAnsi="宋体" w:cs="宋体"/>
          <w:sz w:val="28"/>
          <w:szCs w:val="28"/>
          <w:shd w:val="clear" w:color="auto" w:fill="FFFFFF"/>
        </w:rPr>
        <w:t>采购需求内容</w:t>
      </w:r>
      <w:r>
        <w:rPr>
          <w:rStyle w:val="8"/>
          <w:rFonts w:hint="eastAsia" w:ascii="宋体" w:hAnsi="宋体" w:cs="宋体"/>
          <w:sz w:val="28"/>
          <w:szCs w:val="28"/>
          <w:shd w:val="clear" w:color="auto" w:fill="FFFFFF"/>
          <w:lang w:eastAsia="zh-CN"/>
        </w:rPr>
        <w:t>：</w:t>
      </w:r>
      <w:r>
        <w:rPr>
          <w:rStyle w:val="8"/>
          <w:rFonts w:hint="eastAsia" w:ascii="宋体" w:hAnsi="宋体" w:eastAsia="宋体" w:cs="宋体"/>
          <w:b w:val="0"/>
          <w:bCs/>
          <w:sz w:val="28"/>
          <w:szCs w:val="28"/>
          <w:shd w:val="clear" w:color="auto" w:fill="FFFFFF"/>
          <w:lang w:eastAsia="zh-CN"/>
        </w:rPr>
        <w:t>项目工期：</w:t>
      </w:r>
      <w:r>
        <w:rPr>
          <w:rStyle w:val="8"/>
          <w:rFonts w:hint="eastAsia" w:ascii="宋体" w:hAnsi="宋体" w:eastAsia="宋体" w:cs="宋体"/>
          <w:b w:val="0"/>
          <w:bCs/>
          <w:sz w:val="28"/>
          <w:szCs w:val="28"/>
          <w:shd w:val="clear" w:color="auto" w:fill="FFFFFF"/>
          <w:lang w:val="en-US" w:eastAsia="zh-CN"/>
        </w:rPr>
        <w:t>60日历天。</w:t>
      </w:r>
      <w:r>
        <w:rPr>
          <w:rStyle w:val="8"/>
          <w:rFonts w:hint="eastAsia" w:ascii="宋体" w:hAnsi="宋体" w:cs="宋体"/>
          <w:b w:val="0"/>
          <w:bCs/>
          <w:sz w:val="28"/>
          <w:szCs w:val="28"/>
          <w:shd w:val="clear" w:color="auto" w:fill="FFFFFF"/>
        </w:rPr>
        <w:t>具体</w:t>
      </w:r>
      <w:r>
        <w:rPr>
          <w:rStyle w:val="8"/>
          <w:rFonts w:hint="eastAsia" w:ascii="宋体" w:hAnsi="宋体" w:cs="宋体"/>
          <w:b w:val="0"/>
          <w:bCs/>
          <w:sz w:val="28"/>
          <w:szCs w:val="28"/>
          <w:shd w:val="clear" w:color="auto" w:fill="FFFFFF"/>
          <w:lang w:eastAsia="zh-CN"/>
        </w:rPr>
        <w:t>采购内容</w:t>
      </w:r>
      <w:r>
        <w:rPr>
          <w:rStyle w:val="8"/>
          <w:rFonts w:hint="eastAsia" w:ascii="宋体" w:hAnsi="宋体" w:cs="宋体"/>
          <w:b w:val="0"/>
          <w:bCs/>
          <w:sz w:val="28"/>
          <w:szCs w:val="28"/>
          <w:shd w:val="clear" w:color="auto" w:fill="FFFFFF"/>
        </w:rPr>
        <w:t>详见附件1。</w:t>
      </w:r>
    </w:p>
    <w:p w14:paraId="7592B948">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eastAsiaTheme="minorEastAsia"/>
          <w:b/>
          <w:bCs w:val="0"/>
          <w:sz w:val="28"/>
          <w:szCs w:val="28"/>
          <w:shd w:val="clear" w:color="auto" w:fill="FFFFFF"/>
          <w:lang w:eastAsia="zh-CN"/>
        </w:rPr>
      </w:pPr>
      <w:r>
        <w:rPr>
          <w:rFonts w:hint="eastAsia" w:ascii="宋体" w:hAnsi="宋体" w:cs="宋体" w:eastAsiaTheme="minorEastAsia"/>
          <w:b/>
          <w:bCs w:val="0"/>
          <w:kern w:val="0"/>
          <w:sz w:val="28"/>
          <w:szCs w:val="28"/>
          <w:shd w:val="clear" w:fill="FFFFFF"/>
          <w:lang w:val="en-US" w:eastAsia="zh-CN" w:bidi="ar-SA"/>
        </w:rPr>
        <w:t>三、</w:t>
      </w:r>
      <w:r>
        <w:rPr>
          <w:rStyle w:val="8"/>
          <w:rFonts w:hint="eastAsia" w:ascii="宋体" w:hAnsi="宋体" w:cs="宋体"/>
          <w:sz w:val="28"/>
          <w:szCs w:val="28"/>
          <w:shd w:val="clear" w:color="auto" w:fill="FFFFFF"/>
          <w:lang w:eastAsia="zh-CN"/>
        </w:rPr>
        <w:t>采购控制价：</w:t>
      </w:r>
      <w:r>
        <w:rPr>
          <w:rStyle w:val="8"/>
          <w:rFonts w:hint="eastAsia" w:ascii="宋体" w:hAnsi="宋体" w:cs="宋体"/>
          <w:sz w:val="28"/>
          <w:szCs w:val="28"/>
          <w:shd w:val="clear" w:color="auto" w:fill="FFFFFF"/>
        </w:rPr>
        <w:t xml:space="preserve"> </w:t>
      </w:r>
      <w:r>
        <w:rPr>
          <w:rStyle w:val="8"/>
          <w:rFonts w:hint="eastAsia" w:ascii="宋体" w:hAnsi="宋体" w:cs="宋体"/>
          <w:sz w:val="28"/>
          <w:szCs w:val="28"/>
          <w:shd w:val="clear" w:color="auto" w:fill="FFFFFF"/>
          <w:lang w:val="en-US" w:eastAsia="zh-CN"/>
        </w:rPr>
        <w:t>406385.94元</w:t>
      </w:r>
      <w:r>
        <w:rPr>
          <w:rFonts w:hint="eastAsia" w:ascii="宋体" w:hAnsi="宋体" w:cs="宋体"/>
          <w:b/>
          <w:bCs/>
          <w:color w:val="auto"/>
          <w:kern w:val="0"/>
          <w:szCs w:val="21"/>
          <w:highlight w:val="none"/>
          <w:lang w:val="en-US" w:eastAsia="zh-CN"/>
        </w:rPr>
        <w:t>。</w:t>
      </w:r>
      <w:r>
        <w:rPr>
          <w:rStyle w:val="8"/>
          <w:rFonts w:hint="eastAsia" w:ascii="宋体" w:hAnsi="宋体" w:eastAsia="宋体" w:cs="宋体"/>
          <w:b w:val="0"/>
          <w:bCs/>
          <w:sz w:val="28"/>
          <w:szCs w:val="28"/>
          <w:shd w:val="clear" w:color="auto" w:fill="FFFFFF"/>
          <w:lang w:eastAsia="zh-CN"/>
        </w:rPr>
        <w:t>付款方式：签订合同后，成交供应商须向采购人开具增值税专用发票，采购人收到发票后15个工作日内向成交供应商一次性支付合同总金额30%的预付款；完成供货到采购人制定地点后，成交供应商开具增值税专用发票，采购人收到发票之日起15个工作日内支付合同款的50%；安装及调试运转正常，经采购人最终验收合格后，成交供应商开具增值税专用发票，采购人收到发票之日起15个工作日内支付合同款的20%。</w:t>
      </w:r>
    </w:p>
    <w:p w14:paraId="5FFB7293">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sz w:val="28"/>
          <w:szCs w:val="28"/>
          <w:shd w:val="clear" w:color="auto" w:fill="FFFFFF"/>
        </w:rPr>
      </w:pPr>
      <w:r>
        <w:rPr>
          <w:rFonts w:hint="eastAsia" w:ascii="宋体" w:hAnsi="宋体" w:cs="宋体" w:eastAsiaTheme="minorEastAsia"/>
          <w:b/>
          <w:kern w:val="0"/>
          <w:sz w:val="28"/>
          <w:szCs w:val="28"/>
          <w:shd w:val="clear" w:fill="FFFFFF"/>
          <w:lang w:val="en-US" w:eastAsia="zh-CN" w:bidi="ar-SA"/>
        </w:rPr>
        <w:t>四、</w:t>
      </w:r>
      <w:r>
        <w:rPr>
          <w:rStyle w:val="8"/>
          <w:rFonts w:hint="eastAsia" w:ascii="宋体" w:hAnsi="宋体" w:cs="宋体"/>
          <w:sz w:val="28"/>
          <w:szCs w:val="28"/>
          <w:shd w:val="clear" w:color="auto" w:fill="FFFFFF"/>
        </w:rPr>
        <w:t>投标人资格要求</w:t>
      </w:r>
    </w:p>
    <w:p w14:paraId="5FCB288E">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必须是在中华人民共和国境内注册，具有独立法人，并持有</w:t>
      </w:r>
      <w:r>
        <w:rPr>
          <w:rFonts w:hint="eastAsia" w:ascii="宋体" w:hAnsi="宋体" w:cs="宋体"/>
          <w:color w:val="auto"/>
          <w:sz w:val="28"/>
          <w:szCs w:val="28"/>
          <w:shd w:val="clear" w:color="auto" w:fill="FFFFFF"/>
          <w:lang w:val="en-US" w:eastAsia="zh-CN"/>
        </w:rPr>
        <w:t>市场监督</w:t>
      </w:r>
      <w:r>
        <w:rPr>
          <w:rFonts w:hint="eastAsia" w:ascii="宋体" w:hAnsi="宋体" w:cs="宋体"/>
          <w:color w:val="auto"/>
          <w:sz w:val="28"/>
          <w:szCs w:val="28"/>
          <w:shd w:val="clear" w:color="auto" w:fill="FFFFFF"/>
        </w:rPr>
        <w:t>管理部门核发的法人营业执照。</w:t>
      </w:r>
    </w:p>
    <w:p w14:paraId="36CFCC36">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Theme="majorEastAsia" w:hAnsiTheme="majorEastAsia" w:eastAsiaTheme="majorEastAsia" w:cstheme="majorEastAsia"/>
          <w:b w:val="0"/>
          <w:bCs w:val="0"/>
          <w:color w:val="auto"/>
          <w:sz w:val="28"/>
          <w:szCs w:val="28"/>
          <w:u w:val="none"/>
          <w:shd w:val="clear" w:color="auto" w:fill="FFFFFF"/>
        </w:rPr>
      </w:pPr>
      <w:r>
        <w:rPr>
          <w:rFonts w:hint="eastAsia" w:asciiTheme="majorEastAsia" w:hAnsiTheme="majorEastAsia" w:eastAsiaTheme="majorEastAsia" w:cstheme="majorEastAsia"/>
          <w:i w:val="0"/>
          <w:iCs w:val="0"/>
          <w:caps w:val="0"/>
          <w:color w:val="auto"/>
          <w:spacing w:val="0"/>
          <w:sz w:val="28"/>
          <w:szCs w:val="28"/>
        </w:rPr>
        <w:t>投标人须具备承装（修、试）电力</w:t>
      </w:r>
      <w:r>
        <w:rPr>
          <w:rFonts w:hint="eastAsia" w:asciiTheme="majorEastAsia" w:hAnsiTheme="majorEastAsia" w:eastAsiaTheme="majorEastAsia" w:cstheme="majorEastAsia"/>
          <w:b w:val="0"/>
          <w:bCs w:val="0"/>
          <w:i w:val="0"/>
          <w:iCs w:val="0"/>
          <w:caps w:val="0"/>
          <w:color w:val="auto"/>
          <w:spacing w:val="0"/>
          <w:sz w:val="28"/>
          <w:szCs w:val="28"/>
          <w:u w:val="none"/>
        </w:rPr>
        <w:t>设施许可证，且承修类许可级别至少为</w:t>
      </w:r>
      <w:r>
        <w:rPr>
          <w:rFonts w:hint="eastAsia" w:asciiTheme="majorEastAsia" w:hAnsiTheme="majorEastAsia" w:eastAsiaTheme="majorEastAsia" w:cstheme="majorEastAsia"/>
          <w:b w:val="0"/>
          <w:bCs w:val="0"/>
          <w:i w:val="0"/>
          <w:iCs w:val="0"/>
          <w:caps w:val="0"/>
          <w:color w:val="auto"/>
          <w:spacing w:val="0"/>
          <w:sz w:val="28"/>
          <w:szCs w:val="28"/>
          <w:u w:val="none"/>
          <w:lang w:val="en-US" w:eastAsia="zh-CN"/>
        </w:rPr>
        <w:t>四</w:t>
      </w:r>
      <w:r>
        <w:rPr>
          <w:rFonts w:hint="eastAsia" w:asciiTheme="majorEastAsia" w:hAnsiTheme="majorEastAsia" w:eastAsiaTheme="majorEastAsia" w:cstheme="majorEastAsia"/>
          <w:b w:val="0"/>
          <w:bCs w:val="0"/>
          <w:i w:val="0"/>
          <w:iCs w:val="0"/>
          <w:caps w:val="0"/>
          <w:color w:val="auto"/>
          <w:spacing w:val="0"/>
          <w:sz w:val="28"/>
          <w:szCs w:val="28"/>
          <w:u w:val="none"/>
        </w:rPr>
        <w:t>级。提供相关资质证明材料。</w:t>
      </w:r>
    </w:p>
    <w:p w14:paraId="0BCA2822">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Theme="minorEastAsia" w:hAnsiTheme="minorEastAsia" w:eastAsiaTheme="minorEastAsia" w:cstheme="minorEastAsia"/>
          <w:b w:val="0"/>
          <w:bCs w:val="0"/>
          <w:color w:val="auto"/>
          <w:sz w:val="28"/>
          <w:szCs w:val="28"/>
          <w:u w:val="none"/>
          <w:shd w:val="clear" w:color="auto" w:fill="FFFFFF"/>
        </w:rPr>
      </w:pPr>
      <w:r>
        <w:rPr>
          <w:rStyle w:val="8"/>
          <w:rFonts w:hint="eastAsia" w:asciiTheme="minorEastAsia" w:hAnsiTheme="minorEastAsia" w:eastAsiaTheme="minorEastAsia" w:cstheme="minorEastAsia"/>
          <w:b w:val="0"/>
          <w:bCs w:val="0"/>
          <w:i w:val="0"/>
          <w:iCs w:val="0"/>
          <w:caps w:val="0"/>
          <w:color w:val="auto"/>
          <w:spacing w:val="0"/>
          <w:sz w:val="28"/>
          <w:szCs w:val="28"/>
          <w:u w:val="none"/>
        </w:rPr>
        <w:t>至少提供2名具有特种设备作业人员高压电工证（电气试验或继电保护或高处作业）的人员。请提供相关人员资质证明及近半年内任意一个月社保缴费证明材料。</w:t>
      </w:r>
    </w:p>
    <w:p w14:paraId="5A80DFD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四</w:t>
      </w:r>
      <w:r>
        <w:rPr>
          <w:rFonts w:hint="eastAsia" w:ascii="宋体" w:hAnsi="宋体" w:cs="宋体"/>
          <w:color w:val="auto"/>
          <w:sz w:val="28"/>
          <w:szCs w:val="28"/>
          <w:shd w:val="clear" w:color="auto" w:fill="FFFFFF"/>
        </w:rPr>
        <w:t>）未被列入失信被执行</w:t>
      </w:r>
      <w:r>
        <w:rPr>
          <w:rFonts w:hint="eastAsia" w:ascii="宋体" w:hAnsi="宋体" w:cs="宋体"/>
          <w:sz w:val="28"/>
          <w:szCs w:val="28"/>
          <w:shd w:val="clear" w:color="auto" w:fill="FFFFFF"/>
        </w:rPr>
        <w:t>人名单、重大税收违法案件当事人名单、政府采购严重违法失信行为记录名单，信用信息以最新的信用中国网站和中国政府采购网公布为准，</w:t>
      </w:r>
      <w:r>
        <w:rPr>
          <w:rFonts w:hint="eastAsia" w:ascii="宋体" w:hAnsi="宋体" w:cs="宋体"/>
          <w:b/>
          <w:bCs/>
          <w:sz w:val="28"/>
          <w:szCs w:val="28"/>
          <w:shd w:val="clear" w:color="auto" w:fill="FFFFFF"/>
        </w:rPr>
        <w:t>请提供最新的信用中国网站和中国政府采购网的截图证明信息</w:t>
      </w:r>
      <w:r>
        <w:rPr>
          <w:rFonts w:hint="eastAsia" w:ascii="宋体" w:hAnsi="宋体" w:cs="宋体"/>
          <w:sz w:val="28"/>
          <w:szCs w:val="28"/>
          <w:shd w:val="clear" w:color="auto" w:fill="FFFFFF"/>
        </w:rPr>
        <w:t>。</w:t>
      </w:r>
    </w:p>
    <w:p w14:paraId="2E13624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sz w:val="28"/>
          <w:szCs w:val="28"/>
        </w:rPr>
      </w:pPr>
      <w:r>
        <w:rPr>
          <w:rFonts w:hint="eastAsia" w:ascii="宋体" w:hAnsi="宋体" w:cs="宋体"/>
          <w:b/>
          <w:bCs/>
          <w:sz w:val="28"/>
          <w:szCs w:val="28"/>
          <w:shd w:val="clear" w:color="auto" w:fill="FFFFFF"/>
        </w:rPr>
        <w:t>“信用中国”</w:t>
      </w:r>
      <w:r>
        <w:rPr>
          <w:rFonts w:hint="eastAsia" w:ascii="宋体" w:hAnsi="宋体" w:cs="宋体"/>
          <w:sz w:val="28"/>
          <w:szCs w:val="28"/>
          <w:shd w:val="clear" w:color="auto" w:fill="FFFFFF"/>
        </w:rPr>
        <w:t>网站查询方法：投标人在本项目投标截止时间前10日内,进入投标人基本信息页面，点击“下载信用报告”后点击“下载”。</w:t>
      </w:r>
      <w:r>
        <w:rPr>
          <w:rFonts w:hint="eastAsia" w:ascii="宋体" w:hAnsi="宋体" w:cs="宋体"/>
          <w:b/>
          <w:bCs/>
          <w:sz w:val="28"/>
          <w:szCs w:val="28"/>
          <w:shd w:val="clear" w:color="auto" w:fill="FFFFFF"/>
        </w:rPr>
        <w:t>“中国政府采购网”</w:t>
      </w:r>
      <w:r>
        <w:rPr>
          <w:rFonts w:hint="eastAsia" w:ascii="宋体" w:hAnsi="宋体" w:cs="宋体"/>
          <w:sz w:val="28"/>
          <w:szCs w:val="28"/>
          <w:shd w:val="clear" w:color="auto" w:fill="FFFFFF"/>
        </w:rPr>
        <w:t>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03A5168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eastAsiaTheme="minorEastAsia"/>
          <w:sz w:val="28"/>
          <w:szCs w:val="28"/>
          <w:lang w:eastAsia="zh-CN"/>
        </w:rPr>
      </w:pPr>
      <w:r>
        <w:rPr>
          <w:rFonts w:hint="eastAsia" w:ascii="宋体" w:hAnsi="宋体" w:cs="宋体"/>
          <w:sz w:val="28"/>
          <w:szCs w:val="28"/>
          <w:shd w:val="clear" w:color="auto" w:fill="FFFFFF"/>
        </w:rPr>
        <w:t>（</w:t>
      </w:r>
      <w:r>
        <w:rPr>
          <w:rFonts w:hint="eastAsia" w:ascii="宋体" w:hAnsi="宋体" w:cs="宋体"/>
          <w:sz w:val="28"/>
          <w:szCs w:val="28"/>
          <w:shd w:val="clear" w:color="auto" w:fill="FFFFFF"/>
          <w:lang w:val="en-US" w:eastAsia="zh-CN"/>
        </w:rPr>
        <w:t>五</w:t>
      </w:r>
      <w:r>
        <w:rPr>
          <w:rFonts w:hint="eastAsia" w:ascii="宋体" w:hAnsi="宋体" w:cs="宋体"/>
          <w:sz w:val="28"/>
          <w:szCs w:val="28"/>
          <w:shd w:val="clear" w:color="auto" w:fill="FFFFFF"/>
        </w:rPr>
        <w:t>）单位负责人为同一人或者存在直接控股、管理关系的不同供应商，不得参加同一合同项下的采购活动。本项目不接受联合体。</w:t>
      </w:r>
      <w:r>
        <w:rPr>
          <w:rFonts w:hint="eastAsia" w:ascii="宋体" w:hAnsi="宋体" w:cs="宋体"/>
          <w:sz w:val="28"/>
          <w:szCs w:val="28"/>
          <w:shd w:val="clear" w:color="auto" w:fill="FFFFFF"/>
          <w:lang w:eastAsia="zh-CN"/>
        </w:rPr>
        <w:t>（投标时提供附件</w:t>
      </w: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lang w:eastAsia="zh-CN"/>
        </w:rPr>
        <w:t>）</w:t>
      </w:r>
    </w:p>
    <w:p w14:paraId="34208C4F">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rStyle w:val="8"/>
          <w:rFonts w:hint="eastAsia" w:ascii="宋体" w:hAnsi="宋体" w:cs="宋体"/>
          <w:sz w:val="28"/>
          <w:szCs w:val="28"/>
          <w:shd w:val="clear" w:color="auto" w:fill="FFFFFF"/>
        </w:rPr>
      </w:pPr>
      <w:r>
        <w:rPr>
          <w:rFonts w:hint="eastAsia" w:ascii="宋体" w:hAnsi="宋体" w:cs="宋体" w:eastAsiaTheme="minorEastAsia"/>
          <w:b/>
          <w:kern w:val="0"/>
          <w:sz w:val="28"/>
          <w:szCs w:val="28"/>
          <w:shd w:val="clear" w:fill="FFFFFF"/>
          <w:lang w:val="en-US" w:eastAsia="zh-CN" w:bidi="ar-SA"/>
        </w:rPr>
        <w:t>五、</w:t>
      </w:r>
      <w:r>
        <w:rPr>
          <w:rStyle w:val="8"/>
          <w:rFonts w:hint="eastAsia" w:ascii="宋体" w:hAnsi="宋体" w:cs="宋体"/>
          <w:sz w:val="28"/>
          <w:szCs w:val="28"/>
          <w:shd w:val="clear" w:color="auto" w:fill="FFFFFF"/>
        </w:rPr>
        <w:t>投标要求</w:t>
      </w:r>
    </w:p>
    <w:p w14:paraId="4907251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r>
        <w:rPr>
          <w:rFonts w:hint="eastAsia" w:ascii="宋体" w:hAnsi="宋体" w:cs="宋体"/>
          <w:sz w:val="28"/>
          <w:szCs w:val="28"/>
          <w:shd w:val="clear" w:color="auto" w:fill="FFFFFF"/>
        </w:rPr>
        <w:t>（一）提供法人授权委托书（格式自拟）、有效的营业执照复印件（加盖单位公章）、被授权人身份证（复印件）及按</w:t>
      </w:r>
      <w:bookmarkStart w:id="0" w:name="_GoBack"/>
      <w:r>
        <w:rPr>
          <w:rFonts w:hint="eastAsia" w:ascii="宋体" w:hAnsi="宋体" w:cs="宋体"/>
          <w:sz w:val="28"/>
          <w:szCs w:val="28"/>
          <w:shd w:val="clear" w:color="auto" w:fill="FFFFFF"/>
        </w:rPr>
        <w:t>第</w:t>
      </w:r>
      <w:r>
        <w:rPr>
          <w:rFonts w:hint="eastAsia" w:ascii="宋体" w:hAnsi="宋体" w:cs="宋体"/>
          <w:sz w:val="28"/>
          <w:szCs w:val="28"/>
          <w:shd w:val="clear" w:color="auto" w:fill="FFFFFF"/>
          <w:lang w:eastAsia="zh-CN"/>
        </w:rPr>
        <w:t>四</w:t>
      </w:r>
      <w:bookmarkEnd w:id="0"/>
      <w:r>
        <w:rPr>
          <w:rFonts w:hint="eastAsia" w:ascii="宋体" w:hAnsi="宋体" w:cs="宋体"/>
          <w:sz w:val="28"/>
          <w:szCs w:val="28"/>
          <w:shd w:val="clear" w:color="auto" w:fill="FFFFFF"/>
        </w:rPr>
        <w:t>大点资格要求列明的证明材料。</w:t>
      </w:r>
    </w:p>
    <w:p w14:paraId="4CF6E7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r>
        <w:rPr>
          <w:rFonts w:hint="eastAsia" w:ascii="宋体" w:hAnsi="宋体" w:cs="宋体"/>
          <w:sz w:val="28"/>
          <w:szCs w:val="28"/>
          <w:shd w:val="clear" w:color="auto" w:fill="FFFFFF"/>
        </w:rPr>
        <w:t>（二）报价函（格式自拟，</w:t>
      </w:r>
      <w:r>
        <w:rPr>
          <w:rFonts w:hint="eastAsia" w:ascii="宋体" w:hAnsi="宋体" w:cs="宋体"/>
          <w:sz w:val="28"/>
          <w:szCs w:val="28"/>
          <w:shd w:val="clear" w:color="auto" w:fill="FFFFFF"/>
          <w:lang w:eastAsia="zh-CN"/>
        </w:rPr>
        <w:t>根据采购清单报价，并附上总价）</w:t>
      </w:r>
      <w:r>
        <w:rPr>
          <w:rFonts w:hint="eastAsia" w:ascii="宋体" w:hAnsi="宋体" w:cs="宋体"/>
          <w:sz w:val="28"/>
          <w:szCs w:val="28"/>
          <w:shd w:val="clear" w:color="auto" w:fill="FFFFFF"/>
        </w:rPr>
        <w:t>。</w:t>
      </w:r>
    </w:p>
    <w:p w14:paraId="619AD3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（三）关于本项目的服务承诺（格式自拟，包含但不限于售后、培训、免费质保期等）。</w:t>
      </w:r>
    </w:p>
    <w:p w14:paraId="40C7C14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（四）采购需求里要求提供的其他证明材料。</w:t>
      </w:r>
    </w:p>
    <w:p w14:paraId="6EFEB80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sz w:val="28"/>
          <w:szCs w:val="28"/>
        </w:rPr>
      </w:pPr>
      <w:r>
        <w:rPr>
          <w:rStyle w:val="8"/>
          <w:rFonts w:hint="eastAsia" w:ascii="宋体" w:hAnsi="宋体" w:cs="宋体"/>
          <w:sz w:val="28"/>
          <w:szCs w:val="28"/>
          <w:shd w:val="clear" w:color="auto" w:fill="FFFFFF"/>
        </w:rPr>
        <w:t>注：所有投标材料务必严格按要求提供，不按要求提供的，采购人有权视为无效投标。投标材料必须一正一副，且须加盖公章后密封提供。</w:t>
      </w:r>
    </w:p>
    <w:p w14:paraId="29D2505A">
      <w:pPr>
        <w:keepNext w:val="0"/>
        <w:keepLines w:val="0"/>
        <w:pageBreakBefore w:val="0"/>
        <w:numPr>
          <w:ilvl w:val="0"/>
          <w:numId w:val="0"/>
        </w:numPr>
        <w:kinsoku/>
        <w:wordWrap/>
        <w:overflowPunct/>
        <w:topLinePunct w:val="0"/>
        <w:autoSpaceDE/>
        <w:autoSpaceDN/>
        <w:bidi w:val="0"/>
        <w:adjustRightInd/>
        <w:snapToGrid/>
        <w:ind w:left="0" w:leftChars="0" w:firstLine="562" w:firstLineChars="200"/>
        <w:textAlignment w:val="auto"/>
        <w:rPr>
          <w:rFonts w:hint="default" w:ascii="宋体" w:hAnsi="宋体" w:eastAsia="宋体" w:cs="Times New Roman"/>
          <w:b w:val="0"/>
          <w:bCs/>
          <w:sz w:val="28"/>
          <w:szCs w:val="28"/>
          <w:lang w:val="en-US" w:eastAsia="zh-CN"/>
        </w:rPr>
      </w:pPr>
      <w:r>
        <w:rPr>
          <w:rStyle w:val="8"/>
          <w:rFonts w:hint="eastAsia" w:ascii="宋体" w:hAnsi="宋体" w:cs="宋体"/>
          <w:sz w:val="28"/>
          <w:szCs w:val="28"/>
          <w:shd w:val="clear" w:color="auto" w:fill="FFFFFF"/>
          <w:lang w:eastAsia="zh-CN"/>
        </w:rPr>
        <w:t>六</w:t>
      </w:r>
      <w:r>
        <w:rPr>
          <w:rStyle w:val="8"/>
          <w:rFonts w:hint="eastAsia" w:ascii="宋体" w:hAnsi="宋体" w:cs="宋体"/>
          <w:sz w:val="28"/>
          <w:szCs w:val="28"/>
          <w:shd w:val="clear" w:color="auto" w:fill="FFFFFF"/>
        </w:rPr>
        <w:t>、</w:t>
      </w:r>
      <w:r>
        <w:rPr>
          <w:rStyle w:val="8"/>
          <w:rFonts w:hint="eastAsia" w:ascii="宋体" w:hAnsi="宋体" w:cs="宋体"/>
          <w:sz w:val="28"/>
          <w:szCs w:val="28"/>
          <w:shd w:val="clear" w:color="auto" w:fill="FFFFFF"/>
          <w:lang w:eastAsia="zh-CN"/>
        </w:rPr>
        <w:t>评标</w:t>
      </w:r>
      <w:r>
        <w:rPr>
          <w:rStyle w:val="8"/>
          <w:rFonts w:hint="eastAsia" w:ascii="宋体" w:hAnsi="宋体" w:cs="宋体"/>
          <w:sz w:val="28"/>
          <w:szCs w:val="28"/>
          <w:shd w:val="clear" w:color="auto" w:fill="FFFFFF"/>
        </w:rPr>
        <w:t>方式</w:t>
      </w:r>
      <w:r>
        <w:rPr>
          <w:rFonts w:hint="eastAsia"/>
          <w:sz w:val="28"/>
          <w:szCs w:val="28"/>
        </w:rPr>
        <w:t>：</w:t>
      </w:r>
      <w:r>
        <w:rPr>
          <w:rFonts w:hint="eastAsia" w:ascii="宋体" w:hAnsi="宋体" w:eastAsia="宋体" w:cs="Times New Roman"/>
          <w:b w:val="0"/>
          <w:bCs/>
          <w:sz w:val="28"/>
          <w:szCs w:val="28"/>
          <w:lang w:val="en-US" w:eastAsia="zh-CN"/>
        </w:rPr>
        <w:t>综合评分法。评分办法见附件3.</w:t>
      </w:r>
    </w:p>
    <w:p w14:paraId="3406AF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2" w:firstLineChars="200"/>
        <w:textAlignment w:val="auto"/>
        <w:rPr>
          <w:sz w:val="28"/>
          <w:szCs w:val="28"/>
        </w:rPr>
      </w:pPr>
      <w:r>
        <w:rPr>
          <w:rStyle w:val="8"/>
          <w:rFonts w:hint="eastAsia" w:ascii="宋体" w:hAnsi="宋体" w:cs="宋体"/>
          <w:sz w:val="28"/>
          <w:szCs w:val="28"/>
          <w:shd w:val="clear" w:color="auto" w:fill="FFFFFF"/>
          <w:lang w:eastAsia="zh-CN"/>
        </w:rPr>
        <w:t>七</w:t>
      </w:r>
      <w:r>
        <w:rPr>
          <w:rStyle w:val="8"/>
          <w:rFonts w:hint="eastAsia" w:ascii="宋体" w:hAnsi="宋体" w:cs="宋体"/>
          <w:sz w:val="28"/>
          <w:szCs w:val="28"/>
          <w:shd w:val="clear" w:color="auto" w:fill="FFFFFF"/>
        </w:rPr>
        <w:t>、投标截止时间和地点</w:t>
      </w:r>
    </w:p>
    <w:p w14:paraId="062AC7B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textAlignment w:val="auto"/>
        <w:rPr>
          <w:sz w:val="28"/>
          <w:szCs w:val="28"/>
        </w:rPr>
      </w:pPr>
      <w:r>
        <w:rPr>
          <w:rFonts w:hint="eastAsia" w:ascii="宋体" w:hAnsi="宋体" w:cs="宋体"/>
          <w:sz w:val="28"/>
          <w:szCs w:val="28"/>
          <w:shd w:val="clear" w:color="auto" w:fill="FFFFFF"/>
        </w:rPr>
        <w:t>投标时间：凡愿意且符合条件投标人，请于</w:t>
      </w:r>
      <w:r>
        <w:rPr>
          <w:rFonts w:hint="eastAsia" w:ascii="宋体" w:hAnsi="宋体" w:cs="宋体"/>
          <w:color w:val="0000FF"/>
          <w:sz w:val="28"/>
          <w:szCs w:val="28"/>
          <w:shd w:val="clear" w:color="auto" w:fill="FFFFFF"/>
        </w:rPr>
        <w:t>2025年</w:t>
      </w:r>
      <w:r>
        <w:rPr>
          <w:rFonts w:hint="eastAsia" w:ascii="宋体" w:hAnsi="宋体" w:cs="宋体"/>
          <w:color w:val="0000FF"/>
          <w:sz w:val="28"/>
          <w:szCs w:val="28"/>
          <w:shd w:val="clear" w:color="auto" w:fill="FFFFFF"/>
          <w:lang w:val="en-US" w:eastAsia="zh-CN"/>
        </w:rPr>
        <w:t>8</w:t>
      </w:r>
      <w:r>
        <w:rPr>
          <w:rFonts w:hint="eastAsia" w:ascii="宋体" w:hAnsi="宋体" w:cs="宋体"/>
          <w:color w:val="0000FF"/>
          <w:sz w:val="28"/>
          <w:szCs w:val="28"/>
          <w:shd w:val="clear" w:color="auto" w:fill="FFFFFF"/>
        </w:rPr>
        <w:t>月</w:t>
      </w:r>
      <w:r>
        <w:rPr>
          <w:rFonts w:hint="eastAsia" w:ascii="宋体" w:hAnsi="宋体" w:cs="宋体"/>
          <w:color w:val="0000FF"/>
          <w:sz w:val="28"/>
          <w:szCs w:val="28"/>
          <w:shd w:val="clear" w:color="auto" w:fill="FFFFFF"/>
          <w:lang w:val="en-US" w:eastAsia="zh-CN"/>
        </w:rPr>
        <w:t>22</w:t>
      </w:r>
      <w:r>
        <w:rPr>
          <w:rFonts w:hint="eastAsia" w:ascii="宋体" w:hAnsi="宋体" w:cs="宋体"/>
          <w:color w:val="0000FF"/>
          <w:sz w:val="28"/>
          <w:szCs w:val="28"/>
          <w:shd w:val="clear" w:color="auto" w:fill="FFFFFF"/>
        </w:rPr>
        <w:t>日上午</w:t>
      </w:r>
      <w:r>
        <w:rPr>
          <w:rFonts w:hint="eastAsia" w:ascii="宋体" w:hAnsi="宋体" w:cs="宋体"/>
          <w:color w:val="0000FF"/>
          <w:sz w:val="28"/>
          <w:szCs w:val="28"/>
          <w:shd w:val="clear" w:color="auto" w:fill="FFFFFF"/>
          <w:lang w:val="en-US" w:eastAsia="zh-CN"/>
        </w:rPr>
        <w:t>9</w:t>
      </w:r>
      <w:r>
        <w:rPr>
          <w:rFonts w:hint="eastAsia" w:ascii="宋体" w:hAnsi="宋体" w:cs="宋体"/>
          <w:color w:val="0000FF"/>
          <w:sz w:val="28"/>
          <w:szCs w:val="28"/>
          <w:shd w:val="clear" w:color="auto" w:fill="FFFFFF"/>
        </w:rPr>
        <w:t>点至</w:t>
      </w:r>
      <w:r>
        <w:rPr>
          <w:rFonts w:hint="eastAsia" w:ascii="宋体" w:hAnsi="宋体" w:cs="宋体"/>
          <w:color w:val="0000FF"/>
          <w:sz w:val="28"/>
          <w:szCs w:val="28"/>
          <w:shd w:val="clear" w:color="auto" w:fill="FFFFFF"/>
          <w:lang w:val="en-US" w:eastAsia="zh-CN"/>
        </w:rPr>
        <w:t>11</w:t>
      </w:r>
      <w:r>
        <w:rPr>
          <w:rFonts w:hint="eastAsia" w:ascii="宋体" w:hAnsi="宋体" w:cs="宋体"/>
          <w:color w:val="0000FF"/>
          <w:sz w:val="28"/>
          <w:szCs w:val="28"/>
          <w:shd w:val="clear" w:color="auto" w:fill="FFFFFF"/>
        </w:rPr>
        <w:t>点</w:t>
      </w:r>
      <w:r>
        <w:rPr>
          <w:rFonts w:hint="eastAsia" w:ascii="宋体" w:hAnsi="宋体" w:cs="宋体"/>
          <w:sz w:val="28"/>
          <w:szCs w:val="28"/>
          <w:shd w:val="clear" w:color="auto" w:fill="FFFFFF"/>
        </w:rPr>
        <w:t>之间，将投标文件送达广西艺术学院财务资产处，其他时间不接收报名材料。投标地点：</w:t>
      </w:r>
      <w:r>
        <w:rPr>
          <w:rFonts w:hint="eastAsia" w:ascii="宋体" w:hAnsi="宋体" w:cs="宋体"/>
          <w:sz w:val="28"/>
          <w:szCs w:val="28"/>
          <w:shd w:val="clear" w:color="auto" w:fill="FFFFFF"/>
          <w:lang w:eastAsia="zh-CN"/>
        </w:rPr>
        <w:t>广西</w:t>
      </w:r>
      <w:r>
        <w:rPr>
          <w:rFonts w:hint="eastAsia" w:ascii="宋体" w:hAnsi="宋体" w:cs="宋体"/>
          <w:sz w:val="28"/>
          <w:szCs w:val="28"/>
          <w:shd w:val="clear" w:color="auto" w:fill="FFFFFF"/>
        </w:rPr>
        <w:t>南宁市教育路7号广西艺术学院雕塑办公楼107室财务资产处采购管理科。联系人：高老师，朱老师，李老师。联系电话：0771</w:t>
      </w:r>
      <w:r>
        <w:rPr>
          <w:rFonts w:hint="eastAsia" w:ascii="宋体" w:hAnsi="宋体" w:cs="宋体"/>
          <w:sz w:val="28"/>
          <w:szCs w:val="28"/>
          <w:shd w:val="clear" w:color="auto" w:fill="FFFFFF"/>
          <w:lang w:val="en-US" w:eastAsia="zh-CN"/>
        </w:rPr>
        <w:t>-</w:t>
      </w:r>
      <w:r>
        <w:rPr>
          <w:rFonts w:hint="eastAsia" w:ascii="宋体" w:hAnsi="宋体" w:cs="宋体"/>
          <w:sz w:val="28"/>
          <w:szCs w:val="28"/>
          <w:shd w:val="clear" w:color="auto" w:fill="FFFFFF"/>
        </w:rPr>
        <w:t>5327987.</w:t>
      </w:r>
    </w:p>
    <w:p w14:paraId="40E6DC8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ind w:left="0" w:leftChars="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2CDB9F06">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016FC634">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p w14:paraId="3726E325">
      <w:pPr>
        <w:rPr>
          <w:rFonts w:hint="eastAsia" w:ascii="宋体" w:hAnsi="宋体" w:eastAsia="宋体" w:cs="宋体"/>
          <w:sz w:val="21"/>
          <w:szCs w:val="21"/>
          <w:shd w:val="clear" w:color="auto" w:fill="FFFFFF"/>
          <w:lang w:eastAsia="zh-CN"/>
        </w:rPr>
      </w:pPr>
      <w:r>
        <w:rPr>
          <w:rFonts w:hint="eastAsia" w:ascii="宋体" w:hAnsi="宋体" w:eastAsia="宋体" w:cs="宋体"/>
          <w:sz w:val="21"/>
          <w:szCs w:val="21"/>
          <w:shd w:val="clear" w:color="auto" w:fill="FFFFFF"/>
          <w:lang w:eastAsia="zh-CN"/>
        </w:rPr>
        <w:br w:type="page"/>
      </w:r>
    </w:p>
    <w:p w14:paraId="4006A930">
      <w:pPr>
        <w:pStyle w:val="5"/>
        <w:widowControl/>
        <w:numPr>
          <w:ilvl w:val="0"/>
          <w:numId w:val="0"/>
        </w:numPr>
        <w:shd w:val="clear" w:color="auto" w:fill="FFFFFF"/>
        <w:spacing w:before="0" w:beforeAutospacing="0" w:after="0" w:afterAutospacing="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eastAsia="zh-CN"/>
        </w:rPr>
        <w:t>附件</w:t>
      </w:r>
      <w:r>
        <w:rPr>
          <w:rFonts w:hint="eastAsia" w:ascii="宋体" w:hAnsi="宋体" w:eastAsia="宋体" w:cs="宋体"/>
          <w:sz w:val="21"/>
          <w:szCs w:val="21"/>
          <w:shd w:val="clear" w:color="auto" w:fill="FFFFFF"/>
          <w:lang w:val="en-US" w:eastAsia="zh-CN"/>
        </w:rPr>
        <w:t>1</w:t>
      </w:r>
    </w:p>
    <w:p w14:paraId="4276DD20">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pPr>
    </w:p>
    <w:tbl>
      <w:tblPr>
        <w:tblStyle w:val="6"/>
        <w:tblW w:w="8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3"/>
        <w:gridCol w:w="1212"/>
        <w:gridCol w:w="960"/>
        <w:gridCol w:w="1200"/>
      </w:tblGrid>
      <w:tr w14:paraId="0758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89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5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广西艺术学院南湖校区、相思湖校区高压变配电设备损坏配件更换项目</w:t>
            </w:r>
          </w:p>
        </w:tc>
      </w:tr>
      <w:tr w14:paraId="30E0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3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8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3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E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F55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A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南湖校区</w:t>
            </w:r>
          </w:p>
        </w:tc>
      </w:tr>
      <w:tr w14:paraId="698A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8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4号变压低压进线开关柜 低压智能开关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A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0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F51A">
            <w:pPr>
              <w:jc w:val="center"/>
              <w:rPr>
                <w:rFonts w:hint="eastAsia" w:ascii="宋体" w:hAnsi="宋体" w:eastAsia="宋体" w:cs="宋体"/>
                <w:i w:val="0"/>
                <w:iCs w:val="0"/>
                <w:color w:val="000000"/>
                <w:sz w:val="22"/>
                <w:szCs w:val="22"/>
                <w:u w:val="none"/>
              </w:rPr>
            </w:pPr>
          </w:p>
        </w:tc>
      </w:tr>
      <w:tr w14:paraId="37A9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1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4号变压低压补偿装置 电容补偿柜</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1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9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6596">
            <w:pPr>
              <w:jc w:val="center"/>
              <w:rPr>
                <w:rFonts w:hint="eastAsia" w:ascii="宋体" w:hAnsi="宋体" w:eastAsia="宋体" w:cs="宋体"/>
                <w:i w:val="0"/>
                <w:iCs w:val="0"/>
                <w:color w:val="000000"/>
                <w:sz w:val="22"/>
                <w:szCs w:val="22"/>
                <w:u w:val="none"/>
              </w:rPr>
            </w:pPr>
          </w:p>
        </w:tc>
      </w:tr>
      <w:tr w14:paraId="2D66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F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5号变压器无功补偿柜更换自愈式低压并联电容器BSMJS0.4-30-30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5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5A9D">
            <w:pPr>
              <w:jc w:val="center"/>
              <w:rPr>
                <w:rFonts w:hint="eastAsia" w:ascii="宋体" w:hAnsi="宋体" w:eastAsia="宋体" w:cs="宋体"/>
                <w:i w:val="0"/>
                <w:iCs w:val="0"/>
                <w:color w:val="000000"/>
                <w:sz w:val="22"/>
                <w:szCs w:val="22"/>
                <w:u w:val="none"/>
              </w:rPr>
            </w:pPr>
          </w:p>
        </w:tc>
      </w:tr>
      <w:tr w14:paraId="4E2D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C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5号变压器无功补偿柜 更换无功补偿投切调节器LTSC-30-S</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5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D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6F2B">
            <w:pPr>
              <w:jc w:val="center"/>
              <w:rPr>
                <w:rFonts w:hint="eastAsia" w:ascii="宋体" w:hAnsi="宋体" w:eastAsia="宋体" w:cs="宋体"/>
                <w:i w:val="0"/>
                <w:iCs w:val="0"/>
                <w:color w:val="000000"/>
                <w:sz w:val="22"/>
                <w:szCs w:val="22"/>
                <w:u w:val="none"/>
              </w:rPr>
            </w:pPr>
          </w:p>
        </w:tc>
      </w:tr>
      <w:tr w14:paraId="6971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5号变压器无功补偿柜 更换熔断器R017(400V-100KA)80A</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7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4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835F">
            <w:pPr>
              <w:jc w:val="center"/>
              <w:rPr>
                <w:rFonts w:hint="eastAsia" w:ascii="宋体" w:hAnsi="宋体" w:eastAsia="宋体" w:cs="宋体"/>
                <w:i w:val="0"/>
                <w:iCs w:val="0"/>
                <w:color w:val="000000"/>
                <w:sz w:val="22"/>
                <w:szCs w:val="22"/>
                <w:u w:val="none"/>
              </w:rPr>
            </w:pPr>
          </w:p>
        </w:tc>
      </w:tr>
      <w:tr w14:paraId="3A11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D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5号变压器无功补偿柜 更换熔断器R014(500V-50KA)6A</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A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8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2943">
            <w:pPr>
              <w:jc w:val="center"/>
              <w:rPr>
                <w:rFonts w:hint="eastAsia" w:ascii="宋体" w:hAnsi="宋体" w:eastAsia="宋体" w:cs="宋体"/>
                <w:i w:val="0"/>
                <w:iCs w:val="0"/>
                <w:color w:val="000000"/>
                <w:sz w:val="22"/>
                <w:szCs w:val="22"/>
                <w:u w:val="none"/>
              </w:rPr>
            </w:pPr>
          </w:p>
        </w:tc>
      </w:tr>
      <w:tr w14:paraId="2F37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送配电装置系统调试 1kV以下 交流供电（综合）</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5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8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B7D1">
            <w:pPr>
              <w:jc w:val="center"/>
              <w:rPr>
                <w:rFonts w:hint="eastAsia" w:ascii="宋体" w:hAnsi="宋体" w:eastAsia="宋体" w:cs="宋体"/>
                <w:i w:val="0"/>
                <w:iCs w:val="0"/>
                <w:color w:val="000000"/>
                <w:sz w:val="22"/>
                <w:szCs w:val="22"/>
                <w:u w:val="none"/>
              </w:rPr>
            </w:pPr>
          </w:p>
        </w:tc>
      </w:tr>
      <w:tr w14:paraId="3EEC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B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低压配电柜拆除</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7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7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D28B">
            <w:pPr>
              <w:jc w:val="center"/>
              <w:rPr>
                <w:rFonts w:hint="eastAsia" w:ascii="宋体" w:hAnsi="宋体" w:eastAsia="宋体" w:cs="宋体"/>
                <w:i w:val="0"/>
                <w:iCs w:val="0"/>
                <w:color w:val="000000"/>
                <w:sz w:val="22"/>
                <w:szCs w:val="22"/>
                <w:u w:val="none"/>
              </w:rPr>
            </w:pPr>
          </w:p>
        </w:tc>
      </w:tr>
      <w:tr w14:paraId="35DB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2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相思湖校区</w:t>
            </w:r>
          </w:p>
        </w:tc>
      </w:tr>
      <w:tr w14:paraId="0D2B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F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电容BZMJ0.45-30-3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9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D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D02C">
            <w:pPr>
              <w:jc w:val="center"/>
              <w:rPr>
                <w:rFonts w:hint="eastAsia" w:ascii="宋体" w:hAnsi="宋体" w:eastAsia="宋体" w:cs="宋体"/>
                <w:i w:val="0"/>
                <w:iCs w:val="0"/>
                <w:color w:val="000000"/>
                <w:sz w:val="22"/>
                <w:szCs w:val="22"/>
                <w:u w:val="none"/>
              </w:rPr>
            </w:pPr>
          </w:p>
        </w:tc>
      </w:tr>
      <w:tr w14:paraId="1160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BA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1号变压器 干式变压器 SCB11-1250/10.5 （参考品牌：正泰）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1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5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6BD5">
            <w:pPr>
              <w:jc w:val="center"/>
              <w:rPr>
                <w:rFonts w:hint="eastAsia" w:ascii="宋体" w:hAnsi="宋体" w:eastAsia="宋体" w:cs="宋体"/>
                <w:i w:val="0"/>
                <w:iCs w:val="0"/>
                <w:color w:val="000000"/>
                <w:sz w:val="22"/>
                <w:szCs w:val="22"/>
                <w:u w:val="none"/>
              </w:rPr>
            </w:pPr>
          </w:p>
        </w:tc>
      </w:tr>
      <w:tr w14:paraId="3DEF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D1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6号变压器 干式变压器 SCB11-1250/10.5（参考品牌：正泰）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6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379B">
            <w:pPr>
              <w:jc w:val="center"/>
              <w:rPr>
                <w:rFonts w:hint="eastAsia" w:ascii="宋体" w:hAnsi="宋体" w:eastAsia="宋体" w:cs="宋体"/>
                <w:i w:val="0"/>
                <w:iCs w:val="0"/>
                <w:color w:val="000000"/>
                <w:sz w:val="22"/>
                <w:szCs w:val="22"/>
                <w:u w:val="none"/>
              </w:rPr>
            </w:pPr>
          </w:p>
        </w:tc>
      </w:tr>
      <w:tr w14:paraId="731A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铜芯电力电缆敷设 10KV-YJV22-3*120m㎡</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B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D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AD12">
            <w:pPr>
              <w:jc w:val="center"/>
              <w:rPr>
                <w:rFonts w:hint="eastAsia" w:ascii="宋体" w:hAnsi="宋体" w:eastAsia="宋体" w:cs="宋体"/>
                <w:i w:val="0"/>
                <w:iCs w:val="0"/>
                <w:color w:val="000000"/>
                <w:sz w:val="22"/>
                <w:szCs w:val="22"/>
                <w:u w:val="none"/>
              </w:rPr>
            </w:pPr>
          </w:p>
        </w:tc>
      </w:tr>
      <w:tr w14:paraId="6BAE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D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电力电缆头制作、安装 终端头 10KV以下 户外冷缩式 终端头 截面(≤35m㎡)</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B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5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CC0E">
            <w:pPr>
              <w:jc w:val="center"/>
              <w:rPr>
                <w:rFonts w:hint="eastAsia" w:ascii="宋体" w:hAnsi="宋体" w:eastAsia="宋体" w:cs="宋体"/>
                <w:i w:val="0"/>
                <w:iCs w:val="0"/>
                <w:color w:val="000000"/>
                <w:sz w:val="22"/>
                <w:szCs w:val="22"/>
                <w:u w:val="none"/>
              </w:rPr>
            </w:pPr>
          </w:p>
        </w:tc>
      </w:tr>
      <w:tr w14:paraId="127E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9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5号变压器冷却风扇系统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4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C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F8B7">
            <w:pPr>
              <w:jc w:val="center"/>
              <w:rPr>
                <w:rFonts w:hint="eastAsia" w:ascii="宋体" w:hAnsi="宋体" w:eastAsia="宋体" w:cs="宋体"/>
                <w:i w:val="0"/>
                <w:iCs w:val="0"/>
                <w:color w:val="000000"/>
                <w:sz w:val="22"/>
                <w:szCs w:val="22"/>
                <w:u w:val="none"/>
              </w:rPr>
            </w:pPr>
          </w:p>
        </w:tc>
      </w:tr>
      <w:tr w14:paraId="5831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8号变压器  变压器防鼠网损坏</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1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0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48C7">
            <w:pPr>
              <w:jc w:val="center"/>
              <w:rPr>
                <w:rFonts w:hint="eastAsia" w:ascii="宋体" w:hAnsi="宋体" w:eastAsia="宋体" w:cs="宋体"/>
                <w:i w:val="0"/>
                <w:iCs w:val="0"/>
                <w:color w:val="000000"/>
                <w:sz w:val="22"/>
                <w:szCs w:val="22"/>
                <w:u w:val="none"/>
              </w:rPr>
            </w:pPr>
          </w:p>
        </w:tc>
      </w:tr>
      <w:tr w14:paraId="07C7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7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混凝土地面 200mm{预拌普通混凝土 C25}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9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B4C0">
            <w:pPr>
              <w:jc w:val="center"/>
              <w:rPr>
                <w:rFonts w:hint="eastAsia" w:ascii="宋体" w:hAnsi="宋体" w:eastAsia="宋体" w:cs="宋体"/>
                <w:i w:val="0"/>
                <w:iCs w:val="0"/>
                <w:color w:val="000000"/>
                <w:sz w:val="22"/>
                <w:szCs w:val="22"/>
                <w:u w:val="none"/>
              </w:rPr>
            </w:pPr>
          </w:p>
        </w:tc>
      </w:tr>
      <w:tr w14:paraId="3E3D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7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电力变压器系统调试 10kV以下变压器容量（≤2000kv.A）</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A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30AD">
            <w:pPr>
              <w:jc w:val="center"/>
              <w:rPr>
                <w:rFonts w:hint="eastAsia" w:ascii="宋体" w:hAnsi="宋体" w:eastAsia="宋体" w:cs="宋体"/>
                <w:i w:val="0"/>
                <w:iCs w:val="0"/>
                <w:color w:val="000000"/>
                <w:sz w:val="22"/>
                <w:szCs w:val="22"/>
                <w:u w:val="none"/>
              </w:rPr>
            </w:pPr>
          </w:p>
        </w:tc>
      </w:tr>
      <w:tr w14:paraId="4A78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干式变压器拆除(容量kV·A以下)1250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6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1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BEE7">
            <w:pPr>
              <w:jc w:val="center"/>
              <w:rPr>
                <w:rFonts w:hint="eastAsia" w:ascii="宋体" w:hAnsi="宋体" w:eastAsia="宋体" w:cs="宋体"/>
                <w:i w:val="0"/>
                <w:iCs w:val="0"/>
                <w:color w:val="000000"/>
                <w:sz w:val="22"/>
                <w:szCs w:val="22"/>
                <w:u w:val="none"/>
              </w:rPr>
            </w:pPr>
          </w:p>
        </w:tc>
      </w:tr>
      <w:tr w14:paraId="676B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8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电力电缆拆除(截面m㎡以下)120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C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0CB4">
            <w:pPr>
              <w:jc w:val="center"/>
              <w:rPr>
                <w:rFonts w:hint="eastAsia" w:ascii="宋体" w:hAnsi="宋体" w:eastAsia="宋体" w:cs="宋体"/>
                <w:i w:val="0"/>
                <w:iCs w:val="0"/>
                <w:color w:val="000000"/>
                <w:sz w:val="22"/>
                <w:szCs w:val="22"/>
                <w:u w:val="none"/>
              </w:rPr>
            </w:pPr>
          </w:p>
        </w:tc>
      </w:tr>
      <w:tr w14:paraId="66FF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1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震荡波、局放试验（结算按实际发生）</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E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C717">
            <w:pPr>
              <w:jc w:val="center"/>
              <w:rPr>
                <w:rFonts w:hint="eastAsia" w:ascii="宋体" w:hAnsi="宋体" w:eastAsia="宋体" w:cs="宋体"/>
                <w:i w:val="0"/>
                <w:iCs w:val="0"/>
                <w:color w:val="000000"/>
                <w:sz w:val="22"/>
                <w:szCs w:val="22"/>
                <w:u w:val="none"/>
              </w:rPr>
            </w:pPr>
          </w:p>
        </w:tc>
      </w:tr>
      <w:tr w14:paraId="13EB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0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r>
    </w:tbl>
    <w:p w14:paraId="1AE4BFDD">
      <w:pPr>
        <w:pStyle w:val="5"/>
        <w:widowControl/>
        <w:numPr>
          <w:ilvl w:val="0"/>
          <w:numId w:val="0"/>
        </w:numPr>
        <w:shd w:val="clear" w:color="auto" w:fill="FFFFFF"/>
        <w:spacing w:before="0" w:beforeAutospacing="0" w:after="0" w:afterAutospacing="0"/>
        <w:jc w:val="left"/>
        <w:rPr>
          <w:rFonts w:hint="eastAsia" w:ascii="宋体" w:hAnsi="宋体" w:eastAsia="宋体" w:cs="宋体"/>
          <w:sz w:val="28"/>
          <w:szCs w:val="28"/>
          <w:shd w:val="clear" w:color="auto" w:fill="FFFFFF"/>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1550CFA7">
      <w:r>
        <w:rPr>
          <w:rFonts w:hint="eastAsia"/>
        </w:rPr>
        <w:t>附件2</w:t>
      </w:r>
    </w:p>
    <w:p w14:paraId="36112A0C">
      <w:pPr>
        <w:snapToGrid w:val="0"/>
        <w:spacing w:before="50" w:after="156" w:afterLines="50" w:line="360" w:lineRule="auto"/>
        <w:jc w:val="center"/>
        <w:rPr>
          <w:rFonts w:hint="eastAsia" w:ascii="仿宋" w:hAnsi="仿宋" w:eastAsia="仿宋"/>
          <w:b/>
          <w:sz w:val="32"/>
          <w:szCs w:val="32"/>
        </w:rPr>
      </w:pPr>
      <w:r>
        <w:rPr>
          <w:rFonts w:hint="eastAsia" w:ascii="仿宋" w:hAnsi="仿宋" w:eastAsia="仿宋"/>
          <w:b/>
          <w:sz w:val="32"/>
          <w:szCs w:val="32"/>
        </w:rPr>
        <w:t>投标人直接控股、管理关系信息表</w:t>
      </w:r>
    </w:p>
    <w:tbl>
      <w:tblPr>
        <w:tblStyle w:val="6"/>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371E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68A152A1">
            <w:pPr>
              <w:snapToGrid w:val="0"/>
              <w:spacing w:before="156" w:beforeLines="50" w:after="50"/>
              <w:jc w:val="center"/>
              <w:rPr>
                <w:rFonts w:hint="eastAsia" w:ascii="仿宋" w:hAnsi="仿宋" w:eastAsia="仿宋"/>
                <w:b/>
                <w:szCs w:val="21"/>
              </w:rPr>
            </w:pPr>
            <w:r>
              <w:rPr>
                <w:rFonts w:ascii="仿宋" w:hAnsi="仿宋" w:eastAsia="仿宋"/>
                <w:b/>
                <w:szCs w:val="21"/>
              </w:rPr>
              <w:t>投标人直接控股股东信息表</w:t>
            </w:r>
          </w:p>
        </w:tc>
        <w:tc>
          <w:tcPr>
            <w:tcW w:w="4536" w:type="dxa"/>
            <w:shd w:val="clear" w:color="auto" w:fill="F2DBDB"/>
            <w:vAlign w:val="center"/>
          </w:tcPr>
          <w:p w14:paraId="1F6DF228">
            <w:pPr>
              <w:snapToGrid w:val="0"/>
              <w:spacing w:before="156" w:beforeLines="50" w:after="50"/>
              <w:jc w:val="center"/>
              <w:rPr>
                <w:rFonts w:hint="eastAsia" w:ascii="仿宋" w:hAnsi="仿宋" w:eastAsia="仿宋"/>
                <w:b/>
                <w:szCs w:val="21"/>
              </w:rPr>
            </w:pPr>
            <w:r>
              <w:rPr>
                <w:rFonts w:ascii="仿宋" w:hAnsi="仿宋" w:eastAsia="仿宋"/>
                <w:b/>
                <w:szCs w:val="21"/>
              </w:rPr>
              <w:t>说明</w:t>
            </w:r>
          </w:p>
        </w:tc>
      </w:tr>
      <w:tr w14:paraId="6DF1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C90E14E">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序号</w:t>
            </w:r>
          </w:p>
        </w:tc>
        <w:tc>
          <w:tcPr>
            <w:tcW w:w="1309" w:type="dxa"/>
            <w:vAlign w:val="center"/>
          </w:tcPr>
          <w:p w14:paraId="05C80487">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直接控股股东名称</w:t>
            </w:r>
          </w:p>
        </w:tc>
        <w:tc>
          <w:tcPr>
            <w:tcW w:w="1384" w:type="dxa"/>
            <w:vAlign w:val="center"/>
          </w:tcPr>
          <w:p w14:paraId="54F3B116">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出资比例</w:t>
            </w:r>
          </w:p>
        </w:tc>
        <w:tc>
          <w:tcPr>
            <w:tcW w:w="4163" w:type="dxa"/>
            <w:vAlign w:val="center"/>
          </w:tcPr>
          <w:p w14:paraId="6EAB2FE2">
            <w:pPr>
              <w:spacing w:line="360" w:lineRule="exact"/>
              <w:jc w:val="center"/>
              <w:rPr>
                <w:rFonts w:hint="eastAsia" w:ascii="仿宋" w:hAnsi="仿宋" w:eastAsia="仿宋" w:cs="宋体"/>
                <w:b/>
                <w:bCs/>
                <w:kern w:val="0"/>
                <w:szCs w:val="21"/>
              </w:rPr>
            </w:pPr>
            <w:r>
              <w:rPr>
                <w:rFonts w:ascii="仿宋" w:hAnsi="仿宋" w:eastAsia="仿宋" w:cs="宋体"/>
                <w:b/>
                <w:bCs/>
                <w:kern w:val="0"/>
                <w:szCs w:val="21"/>
              </w:rPr>
              <w:t>身份证号码或者统一社会信用代码</w:t>
            </w:r>
          </w:p>
        </w:tc>
        <w:tc>
          <w:tcPr>
            <w:tcW w:w="4536" w:type="dxa"/>
            <w:vMerge w:val="restart"/>
            <w:vAlign w:val="center"/>
          </w:tcPr>
          <w:p w14:paraId="6B285DF3">
            <w:pPr>
              <w:snapToGrid w:val="0"/>
              <w:jc w:val="left"/>
              <w:rPr>
                <w:rFonts w:hint="eastAsia" w:ascii="仿宋" w:hAnsi="仿宋" w:eastAsia="仿宋"/>
                <w:szCs w:val="21"/>
              </w:rPr>
            </w:pPr>
            <w:r>
              <w:rPr>
                <w:rFonts w:ascii="仿宋" w:hAnsi="仿宋" w:eastAsia="仿宋"/>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CE7726">
            <w:pPr>
              <w:snapToGrid w:val="0"/>
              <w:jc w:val="left"/>
              <w:rPr>
                <w:rFonts w:hint="eastAsia" w:ascii="仿宋" w:hAnsi="仿宋" w:eastAsia="仿宋"/>
                <w:szCs w:val="21"/>
              </w:rPr>
            </w:pPr>
            <w:r>
              <w:rPr>
                <w:rFonts w:ascii="仿宋" w:hAnsi="仿宋" w:eastAsia="仿宋"/>
                <w:szCs w:val="21"/>
              </w:rPr>
              <w:t>2.本表所指的控股关系仅限于直接控股关系，不包括间接的控股关系。公司实际控制人与公司之间的关系不属于本表所指的直接控股关系。</w:t>
            </w:r>
          </w:p>
          <w:p w14:paraId="50F95466">
            <w:pPr>
              <w:snapToGrid w:val="0"/>
              <w:jc w:val="left"/>
              <w:rPr>
                <w:rFonts w:hint="eastAsia" w:ascii="仿宋" w:hAnsi="仿宋" w:eastAsia="仿宋" w:cs="宋体"/>
                <w:b/>
                <w:bCs/>
                <w:kern w:val="0"/>
                <w:szCs w:val="21"/>
              </w:rPr>
            </w:pPr>
            <w:r>
              <w:rPr>
                <w:rFonts w:ascii="仿宋" w:hAnsi="仿宋" w:eastAsia="仿宋"/>
                <w:szCs w:val="21"/>
              </w:rPr>
              <w:t>3.供应商不存在直接控股股东的，则填“无”。</w:t>
            </w:r>
          </w:p>
        </w:tc>
      </w:tr>
      <w:tr w14:paraId="471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005001BD">
            <w:pPr>
              <w:snapToGrid w:val="0"/>
              <w:spacing w:before="156" w:beforeLines="50" w:after="50"/>
              <w:jc w:val="center"/>
              <w:rPr>
                <w:rFonts w:hint="eastAsia" w:ascii="仿宋" w:hAnsi="仿宋" w:eastAsia="仿宋"/>
                <w:b/>
                <w:szCs w:val="21"/>
              </w:rPr>
            </w:pPr>
            <w:r>
              <w:rPr>
                <w:rFonts w:ascii="仿宋" w:hAnsi="仿宋" w:eastAsia="仿宋"/>
                <w:b/>
                <w:szCs w:val="21"/>
              </w:rPr>
              <w:t>1</w:t>
            </w:r>
          </w:p>
        </w:tc>
        <w:tc>
          <w:tcPr>
            <w:tcW w:w="1309" w:type="dxa"/>
          </w:tcPr>
          <w:p w14:paraId="619B86E0">
            <w:pPr>
              <w:snapToGrid w:val="0"/>
              <w:spacing w:before="156" w:beforeLines="50" w:after="50"/>
              <w:jc w:val="left"/>
              <w:rPr>
                <w:rFonts w:hint="eastAsia" w:ascii="仿宋" w:hAnsi="仿宋" w:eastAsia="仿宋"/>
                <w:b/>
                <w:szCs w:val="21"/>
              </w:rPr>
            </w:pPr>
          </w:p>
        </w:tc>
        <w:tc>
          <w:tcPr>
            <w:tcW w:w="1384" w:type="dxa"/>
          </w:tcPr>
          <w:p w14:paraId="2E9F9CFF">
            <w:pPr>
              <w:snapToGrid w:val="0"/>
              <w:spacing w:before="156" w:beforeLines="50" w:after="50"/>
              <w:jc w:val="left"/>
              <w:rPr>
                <w:rFonts w:hint="eastAsia" w:ascii="仿宋" w:hAnsi="仿宋" w:eastAsia="仿宋"/>
                <w:b/>
                <w:szCs w:val="21"/>
              </w:rPr>
            </w:pPr>
          </w:p>
        </w:tc>
        <w:tc>
          <w:tcPr>
            <w:tcW w:w="4163" w:type="dxa"/>
          </w:tcPr>
          <w:p w14:paraId="6D4BAB76">
            <w:pPr>
              <w:snapToGrid w:val="0"/>
              <w:spacing w:before="156" w:beforeLines="50" w:after="50"/>
              <w:jc w:val="left"/>
              <w:rPr>
                <w:rFonts w:hint="eastAsia" w:ascii="仿宋" w:hAnsi="仿宋" w:eastAsia="仿宋"/>
                <w:b/>
                <w:szCs w:val="21"/>
              </w:rPr>
            </w:pPr>
          </w:p>
        </w:tc>
        <w:tc>
          <w:tcPr>
            <w:tcW w:w="4536" w:type="dxa"/>
            <w:vMerge w:val="continue"/>
          </w:tcPr>
          <w:p w14:paraId="4538782E">
            <w:pPr>
              <w:snapToGrid w:val="0"/>
              <w:jc w:val="left"/>
              <w:rPr>
                <w:rFonts w:hint="eastAsia" w:ascii="仿宋" w:hAnsi="仿宋" w:eastAsia="仿宋"/>
                <w:szCs w:val="21"/>
              </w:rPr>
            </w:pPr>
          </w:p>
        </w:tc>
      </w:tr>
      <w:tr w14:paraId="731C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9C85D72">
            <w:pPr>
              <w:snapToGrid w:val="0"/>
              <w:spacing w:before="156" w:beforeLines="50" w:after="50"/>
              <w:jc w:val="center"/>
              <w:rPr>
                <w:rFonts w:hint="eastAsia" w:ascii="仿宋" w:hAnsi="仿宋" w:eastAsia="仿宋"/>
                <w:b/>
                <w:szCs w:val="21"/>
              </w:rPr>
            </w:pPr>
            <w:r>
              <w:rPr>
                <w:rFonts w:ascii="仿宋" w:hAnsi="仿宋" w:eastAsia="仿宋"/>
                <w:b/>
                <w:szCs w:val="21"/>
              </w:rPr>
              <w:t>2</w:t>
            </w:r>
          </w:p>
        </w:tc>
        <w:tc>
          <w:tcPr>
            <w:tcW w:w="1309" w:type="dxa"/>
          </w:tcPr>
          <w:p w14:paraId="39E4CFBB">
            <w:pPr>
              <w:snapToGrid w:val="0"/>
              <w:spacing w:before="156" w:beforeLines="50" w:after="50"/>
              <w:jc w:val="left"/>
              <w:rPr>
                <w:rFonts w:hint="eastAsia" w:ascii="仿宋" w:hAnsi="仿宋" w:eastAsia="仿宋"/>
                <w:b/>
                <w:szCs w:val="21"/>
              </w:rPr>
            </w:pPr>
          </w:p>
        </w:tc>
        <w:tc>
          <w:tcPr>
            <w:tcW w:w="1384" w:type="dxa"/>
          </w:tcPr>
          <w:p w14:paraId="0274FBA8">
            <w:pPr>
              <w:snapToGrid w:val="0"/>
              <w:spacing w:before="156" w:beforeLines="50" w:after="50"/>
              <w:jc w:val="left"/>
              <w:rPr>
                <w:rFonts w:hint="eastAsia" w:ascii="仿宋" w:hAnsi="仿宋" w:eastAsia="仿宋"/>
                <w:b/>
                <w:szCs w:val="21"/>
              </w:rPr>
            </w:pPr>
          </w:p>
        </w:tc>
        <w:tc>
          <w:tcPr>
            <w:tcW w:w="4163" w:type="dxa"/>
          </w:tcPr>
          <w:p w14:paraId="34C4DF12">
            <w:pPr>
              <w:snapToGrid w:val="0"/>
              <w:spacing w:before="156" w:beforeLines="50" w:after="50"/>
              <w:jc w:val="left"/>
              <w:rPr>
                <w:rFonts w:hint="eastAsia" w:ascii="仿宋" w:hAnsi="仿宋" w:eastAsia="仿宋"/>
                <w:b/>
                <w:szCs w:val="21"/>
              </w:rPr>
            </w:pPr>
          </w:p>
        </w:tc>
        <w:tc>
          <w:tcPr>
            <w:tcW w:w="4536" w:type="dxa"/>
            <w:vMerge w:val="continue"/>
          </w:tcPr>
          <w:p w14:paraId="62CFCEFA">
            <w:pPr>
              <w:snapToGrid w:val="0"/>
              <w:spacing w:before="156" w:beforeLines="50" w:after="50"/>
              <w:jc w:val="left"/>
              <w:rPr>
                <w:rFonts w:hint="eastAsia" w:ascii="仿宋" w:hAnsi="仿宋" w:eastAsia="仿宋"/>
                <w:b/>
                <w:szCs w:val="21"/>
              </w:rPr>
            </w:pPr>
          </w:p>
        </w:tc>
      </w:tr>
      <w:tr w14:paraId="61AA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40EBC49A">
            <w:pPr>
              <w:snapToGrid w:val="0"/>
              <w:spacing w:before="156" w:beforeLines="50" w:after="50"/>
              <w:jc w:val="center"/>
              <w:rPr>
                <w:rFonts w:hint="eastAsia" w:ascii="仿宋" w:hAnsi="仿宋" w:eastAsia="仿宋"/>
                <w:b/>
                <w:szCs w:val="21"/>
              </w:rPr>
            </w:pPr>
            <w:r>
              <w:rPr>
                <w:rFonts w:ascii="仿宋" w:hAnsi="仿宋" w:eastAsia="仿宋" w:cs="宋体"/>
                <w:kern w:val="0"/>
                <w:szCs w:val="21"/>
              </w:rPr>
              <w:t>……</w:t>
            </w:r>
          </w:p>
        </w:tc>
        <w:tc>
          <w:tcPr>
            <w:tcW w:w="1309" w:type="dxa"/>
            <w:tcBorders>
              <w:bottom w:val="single" w:color="auto" w:sz="4" w:space="0"/>
            </w:tcBorders>
          </w:tcPr>
          <w:p w14:paraId="3465EFD2">
            <w:pPr>
              <w:snapToGrid w:val="0"/>
              <w:spacing w:before="156" w:beforeLines="50" w:after="50"/>
              <w:jc w:val="left"/>
              <w:rPr>
                <w:rFonts w:hint="eastAsia" w:ascii="仿宋" w:hAnsi="仿宋" w:eastAsia="仿宋"/>
                <w:b/>
                <w:szCs w:val="21"/>
              </w:rPr>
            </w:pPr>
          </w:p>
        </w:tc>
        <w:tc>
          <w:tcPr>
            <w:tcW w:w="1384" w:type="dxa"/>
            <w:tcBorders>
              <w:bottom w:val="single" w:color="auto" w:sz="4" w:space="0"/>
            </w:tcBorders>
          </w:tcPr>
          <w:p w14:paraId="25D21C01">
            <w:pPr>
              <w:snapToGrid w:val="0"/>
              <w:spacing w:before="156" w:beforeLines="50" w:after="50"/>
              <w:jc w:val="left"/>
              <w:rPr>
                <w:rFonts w:hint="eastAsia" w:ascii="仿宋" w:hAnsi="仿宋" w:eastAsia="仿宋"/>
                <w:b/>
                <w:szCs w:val="21"/>
              </w:rPr>
            </w:pPr>
          </w:p>
        </w:tc>
        <w:tc>
          <w:tcPr>
            <w:tcW w:w="4163" w:type="dxa"/>
            <w:tcBorders>
              <w:bottom w:val="single" w:color="auto" w:sz="4" w:space="0"/>
            </w:tcBorders>
          </w:tcPr>
          <w:p w14:paraId="7E4B3BE6">
            <w:pPr>
              <w:snapToGrid w:val="0"/>
              <w:spacing w:before="156" w:beforeLines="50" w:after="50"/>
              <w:jc w:val="left"/>
              <w:rPr>
                <w:rFonts w:hint="eastAsia" w:ascii="仿宋" w:hAnsi="仿宋" w:eastAsia="仿宋"/>
                <w:b/>
                <w:szCs w:val="21"/>
              </w:rPr>
            </w:pPr>
          </w:p>
        </w:tc>
        <w:tc>
          <w:tcPr>
            <w:tcW w:w="4536" w:type="dxa"/>
            <w:vMerge w:val="continue"/>
            <w:tcBorders>
              <w:bottom w:val="single" w:color="auto" w:sz="4" w:space="0"/>
            </w:tcBorders>
          </w:tcPr>
          <w:p w14:paraId="2F1BB07D">
            <w:pPr>
              <w:snapToGrid w:val="0"/>
              <w:spacing w:before="156" w:beforeLines="50" w:after="50"/>
              <w:jc w:val="left"/>
              <w:rPr>
                <w:rFonts w:hint="eastAsia" w:ascii="仿宋" w:hAnsi="仿宋" w:eastAsia="仿宋"/>
                <w:b/>
                <w:szCs w:val="21"/>
              </w:rPr>
            </w:pPr>
          </w:p>
        </w:tc>
      </w:tr>
      <w:tr w14:paraId="3F4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vAlign w:val="center"/>
          </w:tcPr>
          <w:p w14:paraId="2CCBF494">
            <w:pPr>
              <w:snapToGrid w:val="0"/>
              <w:spacing w:before="156" w:beforeLines="50" w:after="50"/>
              <w:jc w:val="center"/>
              <w:rPr>
                <w:rFonts w:hint="eastAsia" w:ascii="仿宋" w:hAnsi="仿宋" w:eastAsia="仿宋"/>
                <w:b/>
                <w:szCs w:val="21"/>
              </w:rPr>
            </w:pPr>
            <w:r>
              <w:rPr>
                <w:rFonts w:ascii="仿宋" w:hAnsi="仿宋" w:eastAsia="仿宋"/>
                <w:b/>
                <w:szCs w:val="21"/>
              </w:rPr>
              <w:t>投标人直接管理关系信息表</w:t>
            </w:r>
          </w:p>
        </w:tc>
        <w:tc>
          <w:tcPr>
            <w:tcW w:w="4536" w:type="dxa"/>
            <w:shd w:val="clear" w:color="auto" w:fill="F2DBDB"/>
            <w:vAlign w:val="center"/>
          </w:tcPr>
          <w:p w14:paraId="1695A317">
            <w:pPr>
              <w:snapToGrid w:val="0"/>
              <w:spacing w:before="156" w:beforeLines="50" w:after="50"/>
              <w:jc w:val="center"/>
              <w:rPr>
                <w:rFonts w:hint="eastAsia" w:ascii="仿宋" w:hAnsi="仿宋" w:eastAsia="仿宋"/>
                <w:b/>
                <w:szCs w:val="21"/>
              </w:rPr>
            </w:pPr>
            <w:r>
              <w:rPr>
                <w:rFonts w:ascii="仿宋" w:hAnsi="仿宋" w:eastAsia="仿宋"/>
                <w:b/>
                <w:szCs w:val="21"/>
              </w:rPr>
              <w:t>说明</w:t>
            </w:r>
          </w:p>
        </w:tc>
      </w:tr>
      <w:tr w14:paraId="3E2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9C45C99">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序号</w:t>
            </w:r>
          </w:p>
        </w:tc>
        <w:tc>
          <w:tcPr>
            <w:tcW w:w="2693" w:type="dxa"/>
            <w:gridSpan w:val="2"/>
            <w:vAlign w:val="center"/>
          </w:tcPr>
          <w:p w14:paraId="173C3429">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直接管理关系单位名称</w:t>
            </w:r>
          </w:p>
        </w:tc>
        <w:tc>
          <w:tcPr>
            <w:tcW w:w="4163" w:type="dxa"/>
            <w:vAlign w:val="center"/>
          </w:tcPr>
          <w:p w14:paraId="6075001D">
            <w:pPr>
              <w:snapToGrid w:val="0"/>
              <w:spacing w:before="156" w:beforeLines="50" w:after="50"/>
              <w:jc w:val="center"/>
              <w:rPr>
                <w:rFonts w:hint="eastAsia" w:ascii="仿宋" w:hAnsi="仿宋" w:eastAsia="仿宋"/>
                <w:b/>
                <w:szCs w:val="21"/>
              </w:rPr>
            </w:pPr>
            <w:r>
              <w:rPr>
                <w:rFonts w:ascii="仿宋" w:hAnsi="仿宋" w:eastAsia="仿宋" w:cs="宋体"/>
                <w:b/>
                <w:bCs/>
                <w:kern w:val="0"/>
                <w:szCs w:val="21"/>
              </w:rPr>
              <w:t>统一社会信用代码</w:t>
            </w:r>
          </w:p>
        </w:tc>
        <w:tc>
          <w:tcPr>
            <w:tcW w:w="4536" w:type="dxa"/>
            <w:vMerge w:val="restart"/>
            <w:vAlign w:val="center"/>
          </w:tcPr>
          <w:p w14:paraId="12B6F8E9">
            <w:pPr>
              <w:snapToGrid w:val="0"/>
              <w:jc w:val="left"/>
              <w:rPr>
                <w:rFonts w:hint="eastAsia" w:ascii="仿宋" w:hAnsi="仿宋" w:eastAsia="仿宋"/>
                <w:szCs w:val="21"/>
              </w:rPr>
            </w:pPr>
            <w:r>
              <w:rPr>
                <w:rFonts w:ascii="仿宋" w:hAnsi="仿宋" w:eastAsia="仿宋"/>
                <w:szCs w:val="21"/>
              </w:rPr>
              <w:t>1.管理关系：是指不具有出资持股关系的其他单位之间存在的管理与被管理关系，如一些上下级关系的事业单位和团体组织。</w:t>
            </w:r>
          </w:p>
          <w:p w14:paraId="545B47DD">
            <w:pPr>
              <w:snapToGrid w:val="0"/>
              <w:jc w:val="left"/>
              <w:rPr>
                <w:rFonts w:hint="eastAsia" w:ascii="仿宋" w:hAnsi="仿宋" w:eastAsia="仿宋"/>
                <w:szCs w:val="21"/>
              </w:rPr>
            </w:pPr>
            <w:r>
              <w:rPr>
                <w:rFonts w:ascii="仿宋" w:hAnsi="仿宋" w:eastAsia="仿宋"/>
                <w:szCs w:val="21"/>
              </w:rPr>
              <w:t>2.本表所指的管理关系仅限于直接管理关系，不包括间接的管理关系。</w:t>
            </w:r>
          </w:p>
          <w:p w14:paraId="74A93080">
            <w:pPr>
              <w:snapToGrid w:val="0"/>
              <w:jc w:val="left"/>
              <w:rPr>
                <w:rFonts w:hint="eastAsia" w:ascii="仿宋" w:hAnsi="仿宋" w:eastAsia="仿宋"/>
                <w:szCs w:val="21"/>
              </w:rPr>
            </w:pPr>
            <w:r>
              <w:rPr>
                <w:rFonts w:ascii="仿宋" w:hAnsi="仿宋" w:eastAsia="仿宋"/>
                <w:szCs w:val="21"/>
              </w:rPr>
              <w:t>3.供应商不存在直接管理关系的，则填“无”。</w:t>
            </w:r>
          </w:p>
        </w:tc>
      </w:tr>
      <w:tr w14:paraId="06F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B140FEF">
            <w:pPr>
              <w:snapToGrid w:val="0"/>
              <w:spacing w:before="156" w:beforeLines="50" w:after="50"/>
              <w:jc w:val="center"/>
              <w:rPr>
                <w:rFonts w:hint="eastAsia" w:ascii="仿宋" w:hAnsi="仿宋" w:eastAsia="仿宋"/>
                <w:b/>
                <w:szCs w:val="21"/>
              </w:rPr>
            </w:pPr>
            <w:r>
              <w:rPr>
                <w:rFonts w:ascii="仿宋" w:hAnsi="仿宋" w:eastAsia="仿宋"/>
                <w:b/>
                <w:szCs w:val="21"/>
              </w:rPr>
              <w:t>1</w:t>
            </w:r>
          </w:p>
        </w:tc>
        <w:tc>
          <w:tcPr>
            <w:tcW w:w="2693" w:type="dxa"/>
            <w:gridSpan w:val="2"/>
            <w:vAlign w:val="center"/>
          </w:tcPr>
          <w:p w14:paraId="216D7CEC">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0B6C2A9B">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2ACFBA97">
            <w:pPr>
              <w:snapToGrid w:val="0"/>
              <w:jc w:val="left"/>
              <w:rPr>
                <w:rFonts w:hint="eastAsia" w:ascii="仿宋" w:hAnsi="仿宋" w:eastAsia="仿宋"/>
                <w:szCs w:val="21"/>
              </w:rPr>
            </w:pPr>
          </w:p>
        </w:tc>
      </w:tr>
      <w:tr w14:paraId="6DC7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B6ABD03">
            <w:pPr>
              <w:snapToGrid w:val="0"/>
              <w:spacing w:before="156" w:beforeLines="50" w:after="50"/>
              <w:jc w:val="center"/>
              <w:rPr>
                <w:rFonts w:hint="eastAsia" w:ascii="仿宋" w:hAnsi="仿宋" w:eastAsia="仿宋"/>
                <w:b/>
                <w:szCs w:val="21"/>
              </w:rPr>
            </w:pPr>
            <w:r>
              <w:rPr>
                <w:rFonts w:ascii="仿宋" w:hAnsi="仿宋" w:eastAsia="仿宋"/>
                <w:b/>
                <w:szCs w:val="21"/>
              </w:rPr>
              <w:t>2</w:t>
            </w:r>
          </w:p>
        </w:tc>
        <w:tc>
          <w:tcPr>
            <w:tcW w:w="2693" w:type="dxa"/>
            <w:gridSpan w:val="2"/>
            <w:vAlign w:val="center"/>
          </w:tcPr>
          <w:p w14:paraId="2A0B0A53">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0C564595">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120BD82F">
            <w:pPr>
              <w:snapToGrid w:val="0"/>
              <w:jc w:val="left"/>
              <w:rPr>
                <w:rFonts w:hint="eastAsia" w:ascii="仿宋" w:hAnsi="仿宋" w:eastAsia="仿宋"/>
                <w:szCs w:val="21"/>
              </w:rPr>
            </w:pPr>
          </w:p>
        </w:tc>
      </w:tr>
      <w:tr w14:paraId="4E8F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BBE8645">
            <w:pPr>
              <w:snapToGrid w:val="0"/>
              <w:spacing w:before="156" w:beforeLines="50" w:after="50"/>
              <w:jc w:val="center"/>
              <w:rPr>
                <w:rFonts w:hint="eastAsia" w:ascii="仿宋" w:hAnsi="仿宋" w:eastAsia="仿宋"/>
                <w:b/>
                <w:szCs w:val="21"/>
              </w:rPr>
            </w:pPr>
            <w:r>
              <w:rPr>
                <w:rFonts w:ascii="仿宋" w:hAnsi="仿宋" w:eastAsia="仿宋" w:cs="宋体"/>
                <w:kern w:val="0"/>
                <w:szCs w:val="21"/>
              </w:rPr>
              <w:t>……</w:t>
            </w:r>
          </w:p>
        </w:tc>
        <w:tc>
          <w:tcPr>
            <w:tcW w:w="2693" w:type="dxa"/>
            <w:gridSpan w:val="2"/>
            <w:vAlign w:val="center"/>
          </w:tcPr>
          <w:p w14:paraId="1B6F95FF">
            <w:pPr>
              <w:snapToGrid w:val="0"/>
              <w:spacing w:before="156" w:beforeLines="50" w:after="50"/>
              <w:jc w:val="center"/>
              <w:rPr>
                <w:rFonts w:hint="eastAsia" w:ascii="仿宋" w:hAnsi="仿宋" w:eastAsia="仿宋" w:cs="宋体"/>
                <w:b/>
                <w:bCs/>
                <w:kern w:val="0"/>
                <w:szCs w:val="21"/>
              </w:rPr>
            </w:pPr>
          </w:p>
        </w:tc>
        <w:tc>
          <w:tcPr>
            <w:tcW w:w="4163" w:type="dxa"/>
            <w:vAlign w:val="center"/>
          </w:tcPr>
          <w:p w14:paraId="4DD7FBC0">
            <w:pPr>
              <w:snapToGrid w:val="0"/>
              <w:spacing w:before="156" w:beforeLines="50" w:after="50"/>
              <w:jc w:val="center"/>
              <w:rPr>
                <w:rFonts w:hint="eastAsia" w:ascii="仿宋" w:hAnsi="仿宋" w:eastAsia="仿宋" w:cs="宋体"/>
                <w:b/>
                <w:bCs/>
                <w:kern w:val="0"/>
                <w:szCs w:val="21"/>
              </w:rPr>
            </w:pPr>
          </w:p>
        </w:tc>
        <w:tc>
          <w:tcPr>
            <w:tcW w:w="4536" w:type="dxa"/>
            <w:vMerge w:val="continue"/>
            <w:vAlign w:val="center"/>
          </w:tcPr>
          <w:p w14:paraId="66FD8656">
            <w:pPr>
              <w:snapToGrid w:val="0"/>
              <w:jc w:val="left"/>
              <w:rPr>
                <w:rFonts w:hint="eastAsia" w:ascii="仿宋" w:hAnsi="仿宋" w:eastAsia="仿宋"/>
                <w:szCs w:val="21"/>
              </w:rPr>
            </w:pPr>
          </w:p>
        </w:tc>
      </w:tr>
    </w:tbl>
    <w:p w14:paraId="764DB385">
      <w:pPr>
        <w:snapToGrid w:val="0"/>
        <w:spacing w:line="360" w:lineRule="auto"/>
        <w:jc w:val="left"/>
        <w:rPr>
          <w:rFonts w:hint="eastAsia" w:ascii="仿宋" w:hAnsi="仿宋" w:eastAsia="仿宋"/>
          <w:sz w:val="24"/>
        </w:rPr>
      </w:pPr>
    </w:p>
    <w:p w14:paraId="68E5658E">
      <w:pPr>
        <w:snapToGrid w:val="0"/>
        <w:spacing w:line="360" w:lineRule="auto"/>
        <w:ind w:firstLine="4840" w:firstLineChars="2200"/>
        <w:rPr>
          <w:rFonts w:hint="eastAsia" w:ascii="仿宋" w:hAnsi="仿宋" w:eastAsia="仿宋" w:cs="仿宋_GB2312"/>
          <w:kern w:val="0"/>
          <w:sz w:val="22"/>
          <w:u w:val="single"/>
        </w:rPr>
      </w:pPr>
      <w:r>
        <w:rPr>
          <w:rFonts w:hint="eastAsia" w:ascii="仿宋" w:hAnsi="仿宋" w:eastAsia="仿宋" w:cs="仿宋_GB2312"/>
          <w:kern w:val="0"/>
          <w:sz w:val="22"/>
          <w:lang w:val="zh-CN"/>
        </w:rPr>
        <w:t>投标人名称(</w:t>
      </w:r>
      <w:r>
        <w:rPr>
          <w:rFonts w:hint="eastAsia" w:ascii="仿宋" w:hAnsi="仿宋" w:eastAsia="仿宋" w:cs="仿宋_GB2312"/>
          <w:kern w:val="0"/>
          <w:sz w:val="22"/>
        </w:rPr>
        <w:t>公章</w:t>
      </w:r>
      <w:r>
        <w:rPr>
          <w:rFonts w:hint="eastAsia" w:ascii="仿宋" w:hAnsi="仿宋" w:eastAsia="仿宋" w:cs="仿宋_GB2312"/>
          <w:kern w:val="0"/>
          <w:sz w:val="22"/>
          <w:lang w:val="zh-CN"/>
        </w:rPr>
        <w:t>)：</w:t>
      </w:r>
      <w:r>
        <w:rPr>
          <w:rFonts w:hint="eastAsia" w:ascii="仿宋" w:hAnsi="仿宋" w:eastAsia="仿宋" w:cs="仿宋_GB2312"/>
          <w:kern w:val="0"/>
          <w:sz w:val="22"/>
          <w:u w:val="single"/>
          <w:lang w:val="zh-CN"/>
        </w:rPr>
        <w:t xml:space="preserve"> </w:t>
      </w:r>
      <w:r>
        <w:rPr>
          <w:rFonts w:ascii="仿宋" w:hAnsi="仿宋" w:eastAsia="仿宋" w:cs="仿宋_GB2312"/>
          <w:kern w:val="0"/>
          <w:sz w:val="22"/>
          <w:u w:val="single"/>
          <w:lang w:val="zh-CN"/>
        </w:rPr>
        <w:t xml:space="preserve">         </w:t>
      </w:r>
    </w:p>
    <w:p w14:paraId="2DEA56BD">
      <w:pPr>
        <w:snapToGrid w:val="0"/>
        <w:spacing w:line="360" w:lineRule="auto"/>
        <w:ind w:firstLine="4730" w:firstLineChars="2150"/>
        <w:rPr>
          <w:rFonts w:hint="eastAsia" w:ascii="仿宋" w:hAnsi="仿宋" w:eastAsia="仿宋" w:cs="仿宋_GB2312"/>
          <w:kern w:val="0"/>
          <w:sz w:val="22"/>
          <w:lang w:val="zh-CN"/>
        </w:rPr>
      </w:pPr>
      <w:r>
        <w:rPr>
          <w:rFonts w:hint="eastAsia" w:ascii="仿宋" w:hAnsi="仿宋" w:eastAsia="仿宋" w:cs="仿宋_GB2312"/>
          <w:kern w:val="0"/>
          <w:sz w:val="22"/>
          <w:lang w:val="zh-CN"/>
        </w:rPr>
        <w:t>日期</w:t>
      </w:r>
      <w:r>
        <w:rPr>
          <w:rFonts w:hint="eastAsia" w:ascii="仿宋" w:hAnsi="仿宋" w:eastAsia="仿宋" w:cs="仿宋_GB2312"/>
          <w:kern w:val="0"/>
          <w:sz w:val="22"/>
        </w:rPr>
        <w:t xml:space="preserve">：  年  </w:t>
      </w:r>
      <w:r>
        <w:rPr>
          <w:rFonts w:hint="eastAsia" w:ascii="仿宋" w:hAnsi="仿宋" w:eastAsia="仿宋" w:cs="仿宋_GB2312"/>
          <w:kern w:val="0"/>
          <w:sz w:val="22"/>
          <w:lang w:val="zh-CN"/>
        </w:rPr>
        <w:t>月</w:t>
      </w:r>
      <w:r>
        <w:rPr>
          <w:rFonts w:hint="eastAsia" w:ascii="仿宋" w:hAnsi="仿宋" w:eastAsia="仿宋" w:cs="仿宋_GB2312"/>
          <w:kern w:val="0"/>
          <w:sz w:val="22"/>
        </w:rPr>
        <w:t xml:space="preserve">   </w:t>
      </w:r>
      <w:r>
        <w:rPr>
          <w:rFonts w:hint="eastAsia" w:ascii="仿宋" w:hAnsi="仿宋" w:eastAsia="仿宋" w:cs="仿宋_GB2312"/>
          <w:kern w:val="0"/>
          <w:sz w:val="22"/>
          <w:lang w:val="zh-CN"/>
        </w:rPr>
        <w:t>日</w:t>
      </w:r>
    </w:p>
    <w:p w14:paraId="3B6E745B"/>
    <w:p w14:paraId="3A24A81C">
      <w:p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0E0FC92E">
      <w:pPr>
        <w:rPr>
          <w:rFonts w:hint="eastAsia"/>
          <w:lang w:val="en-US" w:eastAsia="zh-CN"/>
        </w:rPr>
      </w:pPr>
      <w:r>
        <w:rPr>
          <w:rFonts w:hint="eastAsia"/>
          <w:lang w:eastAsia="zh-CN"/>
        </w:rPr>
        <w:t>附件</w:t>
      </w:r>
      <w:r>
        <w:rPr>
          <w:rFonts w:hint="eastAsia"/>
          <w:lang w:val="en-US" w:eastAsia="zh-CN"/>
        </w:rPr>
        <w:t>3</w:t>
      </w:r>
    </w:p>
    <w:p w14:paraId="0B24EBA3">
      <w:pPr>
        <w:jc w:val="center"/>
        <w:rPr>
          <w:rFonts w:hint="eastAsia"/>
          <w:b/>
          <w:bCs/>
          <w:sz w:val="32"/>
          <w:szCs w:val="40"/>
          <w:lang w:val="en-US" w:eastAsia="zh-CN"/>
        </w:rPr>
      </w:pPr>
      <w:r>
        <w:rPr>
          <w:rFonts w:hint="eastAsia"/>
          <w:b/>
          <w:bCs/>
          <w:sz w:val="32"/>
          <w:szCs w:val="40"/>
          <w:lang w:val="en-US" w:eastAsia="zh-CN"/>
        </w:rPr>
        <w:t>评分办法</w:t>
      </w:r>
    </w:p>
    <w:p w14:paraId="259E2BF4">
      <w:pPr>
        <w:pStyle w:val="5"/>
        <w:spacing w:before="0" w:beforeAutospacing="0" w:after="210" w:afterAutospacing="0" w:line="315" w:lineRule="atLeast"/>
        <w:ind w:firstLine="580"/>
        <w:rPr>
          <w:rFonts w:cs="Times New Roman"/>
          <w:kern w:val="2"/>
          <w:sz w:val="21"/>
          <w:szCs w:val="21"/>
        </w:rPr>
      </w:pPr>
      <w:r>
        <w:rPr>
          <w:rFonts w:hint="eastAsia" w:cs="Times New Roman"/>
          <w:kern w:val="2"/>
          <w:sz w:val="21"/>
          <w:szCs w:val="21"/>
        </w:rPr>
        <w:t>（一）对进入详评的，采用百分制综合评分法。</w:t>
      </w:r>
    </w:p>
    <w:p w14:paraId="44950F27">
      <w:pPr>
        <w:pStyle w:val="5"/>
        <w:shd w:val="clear" w:color="auto" w:fill="FFFFFF"/>
        <w:spacing w:before="0" w:beforeAutospacing="0" w:after="210" w:afterAutospacing="0"/>
        <w:ind w:firstLine="600"/>
        <w:rPr>
          <w:rFonts w:hint="eastAsia" w:cs="Times New Roman"/>
          <w:kern w:val="2"/>
          <w:sz w:val="21"/>
          <w:szCs w:val="21"/>
        </w:rPr>
      </w:pPr>
      <w:r>
        <w:rPr>
          <w:rFonts w:hint="eastAsia" w:cs="Times New Roman"/>
          <w:kern w:val="2"/>
          <w:sz w:val="21"/>
          <w:szCs w:val="21"/>
        </w:rPr>
        <w:t>（二）计分办法（按四舍五入取至百分位）。</w:t>
      </w:r>
    </w:p>
    <w:p w14:paraId="4A6D8AEB">
      <w:pPr>
        <w:pStyle w:val="5"/>
        <w:spacing w:before="0" w:beforeAutospacing="0" w:after="210" w:afterAutospacing="0" w:line="315" w:lineRule="atLeast"/>
        <w:ind w:firstLine="422" w:firstLineChars="200"/>
        <w:rPr>
          <w:rFonts w:hint="eastAsia" w:cs="Times New Roman"/>
          <w:b/>
          <w:bCs/>
          <w:kern w:val="2"/>
          <w:sz w:val="21"/>
          <w:szCs w:val="21"/>
          <w:highlight w:val="none"/>
        </w:rPr>
      </w:pPr>
      <w:r>
        <w:rPr>
          <w:rFonts w:hint="eastAsia"/>
          <w:b/>
          <w:bCs/>
          <w:sz w:val="21"/>
          <w:szCs w:val="21"/>
          <w:lang w:val="en-US" w:eastAsia="zh-CN"/>
        </w:rPr>
        <w:t>1、</w:t>
      </w:r>
      <w:r>
        <w:rPr>
          <w:rFonts w:hint="eastAsia"/>
          <w:b/>
          <w:bCs/>
          <w:sz w:val="21"/>
          <w:szCs w:val="21"/>
          <w:lang w:eastAsia="zh-CN"/>
        </w:rPr>
        <w:t>价格分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20</w:t>
      </w:r>
      <w:r>
        <w:rPr>
          <w:rFonts w:hint="eastAsia" w:cs="Times New Roman"/>
          <w:b/>
          <w:bCs/>
          <w:kern w:val="2"/>
          <w:sz w:val="21"/>
          <w:szCs w:val="21"/>
          <w:highlight w:val="none"/>
        </w:rPr>
        <w:t>分</w:t>
      </w:r>
    </w:p>
    <w:p w14:paraId="4EC47257">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（1）评审价为供应商的最后报价，最终成交供应商的成交金额等于最后报价，如有修正，以确认修正后的最后报价为准。</w:t>
      </w:r>
    </w:p>
    <w:p w14:paraId="0203BA56">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（2）以进入比较与评价环节的最低的评审价为基准价，基准价得分为</w:t>
      </w:r>
      <w:r>
        <w:rPr>
          <w:rFonts w:hint="eastAsia" w:cs="Times New Roman"/>
          <w:b w:val="0"/>
          <w:bCs w:val="0"/>
          <w:kern w:val="2"/>
          <w:sz w:val="21"/>
          <w:szCs w:val="21"/>
          <w:highlight w:val="none"/>
          <w:lang w:val="en-US" w:eastAsia="zh-CN"/>
        </w:rPr>
        <w:t>2</w:t>
      </w:r>
      <w:r>
        <w:rPr>
          <w:rFonts w:hint="eastAsia" w:cs="Times New Roman"/>
          <w:b w:val="0"/>
          <w:bCs w:val="0"/>
          <w:kern w:val="2"/>
          <w:sz w:val="21"/>
          <w:szCs w:val="21"/>
          <w:highlight w:val="none"/>
        </w:rPr>
        <w:t>0分。</w:t>
      </w:r>
    </w:p>
    <w:p w14:paraId="38F025FC">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（3）价格分计算公式：报价得分=（基准价/最后报价）×</w:t>
      </w:r>
      <w:r>
        <w:rPr>
          <w:rFonts w:hint="eastAsia" w:cs="Times New Roman"/>
          <w:b w:val="0"/>
          <w:bCs w:val="0"/>
          <w:kern w:val="2"/>
          <w:sz w:val="21"/>
          <w:szCs w:val="21"/>
          <w:highlight w:val="none"/>
          <w:lang w:val="en-US" w:eastAsia="zh-CN"/>
        </w:rPr>
        <w:t>2</w:t>
      </w:r>
      <w:r>
        <w:rPr>
          <w:rFonts w:hint="eastAsia" w:cs="Times New Roman"/>
          <w:b w:val="0"/>
          <w:bCs w:val="0"/>
          <w:kern w:val="2"/>
          <w:sz w:val="21"/>
          <w:szCs w:val="21"/>
          <w:highlight w:val="none"/>
        </w:rPr>
        <w:t>0分</w:t>
      </w:r>
    </w:p>
    <w:p w14:paraId="09291FB2">
      <w:pPr>
        <w:pStyle w:val="5"/>
        <w:spacing w:before="0" w:beforeAutospacing="0" w:after="210" w:afterAutospacing="0" w:line="315" w:lineRule="atLeast"/>
        <w:ind w:firstLine="420" w:firstLineChars="200"/>
        <w:rPr>
          <w:rFonts w:hint="eastAsia" w:cs="Times New Roman"/>
          <w:b w:val="0"/>
          <w:bCs w:val="0"/>
          <w:kern w:val="2"/>
          <w:sz w:val="21"/>
          <w:szCs w:val="21"/>
          <w:highlight w:val="none"/>
        </w:rPr>
      </w:pPr>
      <w:r>
        <w:rPr>
          <w:rFonts w:hint="eastAsia" w:cs="Times New Roman"/>
          <w:b w:val="0"/>
          <w:bCs w:val="0"/>
          <w:kern w:val="2"/>
          <w:sz w:val="21"/>
          <w:szCs w:val="21"/>
          <w:highlight w:val="none"/>
        </w:rPr>
        <w:t>说明：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标处理。</w:t>
      </w:r>
    </w:p>
    <w:p w14:paraId="11683339">
      <w:pPr>
        <w:pStyle w:val="5"/>
        <w:numPr>
          <w:ilvl w:val="0"/>
          <w:numId w:val="2"/>
        </w:numPr>
        <w:spacing w:before="0" w:beforeAutospacing="0" w:after="210" w:afterAutospacing="0" w:line="315" w:lineRule="atLeast"/>
        <w:ind w:firstLine="422" w:firstLineChars="200"/>
        <w:rPr>
          <w:rFonts w:hint="eastAsia" w:cs="Times New Roman"/>
          <w:b/>
          <w:bCs/>
          <w:kern w:val="2"/>
          <w:sz w:val="21"/>
          <w:szCs w:val="21"/>
          <w:highlight w:val="none"/>
        </w:rPr>
      </w:pPr>
      <w:r>
        <w:rPr>
          <w:rFonts w:hint="eastAsia"/>
          <w:b/>
          <w:bCs/>
          <w:sz w:val="21"/>
          <w:szCs w:val="21"/>
          <w:lang w:eastAsia="zh-CN"/>
        </w:rPr>
        <w:t>技术分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50</w:t>
      </w:r>
      <w:r>
        <w:rPr>
          <w:rFonts w:hint="eastAsia" w:cs="Times New Roman"/>
          <w:b/>
          <w:bCs/>
          <w:kern w:val="2"/>
          <w:sz w:val="21"/>
          <w:szCs w:val="21"/>
          <w:highlight w:val="none"/>
        </w:rPr>
        <w:t>分</w:t>
      </w:r>
    </w:p>
    <w:p w14:paraId="5A8DD829">
      <w:pPr>
        <w:pStyle w:val="5"/>
        <w:numPr>
          <w:ilvl w:val="0"/>
          <w:numId w:val="0"/>
        </w:numPr>
        <w:spacing w:before="0" w:beforeAutospacing="0" w:after="210" w:afterAutospacing="0" w:line="315" w:lineRule="atLeast"/>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 xml:space="preserve">   （1）实施方案分（满分30分）</w:t>
      </w:r>
    </w:p>
    <w:p w14:paraId="4E2F3F46">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根据响应文件提供的项目实施方案（包括人员配备、安装及实施方案、进度质量及安全文明实施、重难点分析等内容）进行评审。</w:t>
      </w:r>
    </w:p>
    <w:p w14:paraId="0F5C62E3">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一档（5分）：对本项目的总体实施方案比较简单，措施不够具体，基本符合项目需求；</w:t>
      </w:r>
    </w:p>
    <w:p w14:paraId="74B15FFD">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二档（13分）：对本项目的总体方案比较详细，措施较为具体、进度计划可行；</w:t>
      </w:r>
    </w:p>
    <w:p w14:paraId="367FE758">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三档（21分）：对本项目的总体实施方案比较详细具体，措施有力、可行性高，考虑周全，安装进度计划合理可靠，总体方案较好，有针对性；</w:t>
      </w:r>
    </w:p>
    <w:p w14:paraId="6B8B9EAB">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四档（30分）：对本项目的总体实施方案详细具体，对项目技术环境及情况了解透彻，供货方案优于本项目采购需求，质量保证措施得当，安装进度计划科学合理、安装方案可操作性强，能有效保证在承诺的时间内安装、调试完毕。</w:t>
      </w:r>
    </w:p>
    <w:p w14:paraId="42436DEF">
      <w:pPr>
        <w:pStyle w:val="5"/>
        <w:numPr>
          <w:ilvl w:val="0"/>
          <w:numId w:val="0"/>
        </w:numPr>
        <w:spacing w:before="0" w:beforeAutospacing="0" w:after="210" w:afterAutospacing="0" w:line="315" w:lineRule="atLeast"/>
        <w:ind w:firstLine="420" w:firstLineChars="200"/>
        <w:rPr>
          <w:rFonts w:hint="eastAsia" w:cs="Times New Roman"/>
          <w:b w:val="0"/>
          <w:bCs w:val="0"/>
          <w:kern w:val="2"/>
          <w:sz w:val="21"/>
          <w:szCs w:val="21"/>
          <w:highlight w:val="none"/>
          <w:lang w:val="en-US" w:eastAsia="zh-CN"/>
        </w:rPr>
      </w:pPr>
      <w:r>
        <w:rPr>
          <w:rFonts w:hint="eastAsia" w:cs="Times New Roman"/>
          <w:b w:val="0"/>
          <w:bCs w:val="0"/>
          <w:kern w:val="2"/>
          <w:sz w:val="21"/>
          <w:szCs w:val="21"/>
          <w:highlight w:val="none"/>
          <w:lang w:val="en-US" w:eastAsia="zh-CN"/>
        </w:rPr>
        <w:t>注：未提供方案或不进档的不得分。</w:t>
      </w:r>
    </w:p>
    <w:p w14:paraId="0C77F909">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（2）项目应急方案分（满分</w:t>
      </w:r>
      <w:r>
        <w:rPr>
          <w:rFonts w:hint="eastAsia" w:cs="Times New Roman"/>
          <w:b w:val="0"/>
          <w:bCs w:val="0"/>
          <w:kern w:val="2"/>
          <w:sz w:val="21"/>
          <w:szCs w:val="21"/>
          <w:highlight w:val="none"/>
          <w:lang w:val="en-US" w:eastAsia="zh-CN"/>
        </w:rPr>
        <w:t>20</w:t>
      </w:r>
      <w:r>
        <w:rPr>
          <w:rFonts w:hint="default" w:cs="Times New Roman"/>
          <w:b w:val="0"/>
          <w:bCs w:val="0"/>
          <w:kern w:val="2"/>
          <w:sz w:val="21"/>
          <w:szCs w:val="21"/>
          <w:highlight w:val="none"/>
          <w:lang w:val="en-US" w:eastAsia="zh-CN"/>
        </w:rPr>
        <w:t>分）</w:t>
      </w:r>
    </w:p>
    <w:p w14:paraId="1303514A">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一档（</w:t>
      </w:r>
      <w:r>
        <w:rPr>
          <w:rFonts w:hint="eastAsia" w:cs="Times New Roman"/>
          <w:b w:val="0"/>
          <w:bCs w:val="0"/>
          <w:kern w:val="2"/>
          <w:sz w:val="21"/>
          <w:szCs w:val="21"/>
          <w:highlight w:val="none"/>
          <w:lang w:val="en-US" w:eastAsia="zh-CN"/>
        </w:rPr>
        <w:t>5</w:t>
      </w:r>
      <w:r>
        <w:rPr>
          <w:rFonts w:hint="default" w:cs="Times New Roman"/>
          <w:b w:val="0"/>
          <w:bCs w:val="0"/>
          <w:kern w:val="2"/>
          <w:sz w:val="21"/>
          <w:szCs w:val="21"/>
          <w:highlight w:val="none"/>
          <w:lang w:val="en-US" w:eastAsia="zh-CN"/>
        </w:rPr>
        <w:t>分）：提供有应急方案，方案比较简单，没有实质性内容。</w:t>
      </w:r>
    </w:p>
    <w:p w14:paraId="00966DC0">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二档（</w:t>
      </w:r>
      <w:r>
        <w:rPr>
          <w:rFonts w:hint="eastAsia" w:cs="Times New Roman"/>
          <w:b w:val="0"/>
          <w:bCs w:val="0"/>
          <w:kern w:val="2"/>
          <w:sz w:val="21"/>
          <w:szCs w:val="21"/>
          <w:highlight w:val="none"/>
          <w:lang w:val="en-US" w:eastAsia="zh-CN"/>
        </w:rPr>
        <w:t>15</w:t>
      </w:r>
      <w:r>
        <w:rPr>
          <w:rFonts w:hint="default" w:cs="Times New Roman"/>
          <w:b w:val="0"/>
          <w:bCs w:val="0"/>
          <w:kern w:val="2"/>
          <w:sz w:val="21"/>
          <w:szCs w:val="21"/>
          <w:highlight w:val="none"/>
          <w:lang w:val="en-US" w:eastAsia="zh-CN"/>
        </w:rPr>
        <w:t>分）：提供有应急方案，方案满足要求，有系统运行保障措施、事故应急处置程序，方案可行。</w:t>
      </w:r>
    </w:p>
    <w:p w14:paraId="7540ED7B">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三档（</w:t>
      </w:r>
      <w:r>
        <w:rPr>
          <w:rFonts w:hint="eastAsia" w:cs="Times New Roman"/>
          <w:b w:val="0"/>
          <w:bCs w:val="0"/>
          <w:kern w:val="2"/>
          <w:sz w:val="21"/>
          <w:szCs w:val="21"/>
          <w:highlight w:val="none"/>
          <w:lang w:val="en-US" w:eastAsia="zh-CN"/>
        </w:rPr>
        <w:t>20</w:t>
      </w:r>
      <w:r>
        <w:rPr>
          <w:rFonts w:hint="default" w:cs="Times New Roman"/>
          <w:b w:val="0"/>
          <w:bCs w:val="0"/>
          <w:kern w:val="2"/>
          <w:sz w:val="21"/>
          <w:szCs w:val="21"/>
          <w:highlight w:val="none"/>
          <w:lang w:val="en-US" w:eastAsia="zh-CN"/>
        </w:rPr>
        <w:t>分）：应急方案完善详细，有应急处理实施计划及解决方案、系统运行保障措施、风险防控措施、事故应急处置程序、现场应急处置措施、综合应急预案专项应急预案等内容；为本项目设置详细的组织机构及职责，配置有机动人员用于对紧急事件处理，承诺对应急处理能在60分钟内响应，保证后期运维人员充足，方案符合本项目要求与特点，操作性强。</w:t>
      </w:r>
    </w:p>
    <w:p w14:paraId="2A2139B7">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注：未提供方案或不进档的不得分。</w:t>
      </w:r>
    </w:p>
    <w:p w14:paraId="3CC24C7B">
      <w:pPr>
        <w:pStyle w:val="5"/>
        <w:numPr>
          <w:ilvl w:val="0"/>
          <w:numId w:val="2"/>
        </w:numPr>
        <w:spacing w:before="0" w:beforeAutospacing="0" w:after="210" w:afterAutospacing="0" w:line="315" w:lineRule="atLeast"/>
        <w:ind w:left="0" w:leftChars="0" w:firstLine="422" w:firstLineChars="200"/>
        <w:rPr>
          <w:rFonts w:hint="eastAsia" w:cs="Times New Roman"/>
          <w:b/>
          <w:bCs/>
          <w:kern w:val="2"/>
          <w:sz w:val="21"/>
          <w:szCs w:val="21"/>
          <w:highlight w:val="none"/>
        </w:rPr>
      </w:pPr>
      <w:r>
        <w:rPr>
          <w:rFonts w:hint="eastAsia"/>
          <w:b/>
          <w:bCs/>
          <w:sz w:val="21"/>
          <w:szCs w:val="21"/>
          <w:lang w:eastAsia="zh-CN"/>
        </w:rPr>
        <w:t>商务分</w:t>
      </w:r>
      <w:r>
        <w:rPr>
          <w:rFonts w:hint="eastAsia" w:cs="Times New Roman"/>
          <w:b/>
          <w:bCs/>
          <w:kern w:val="2"/>
          <w:sz w:val="21"/>
          <w:szCs w:val="21"/>
          <w:highlight w:val="none"/>
        </w:rPr>
        <w:t>…………………………………………………</w:t>
      </w:r>
      <w:r>
        <w:rPr>
          <w:rFonts w:hint="eastAsia" w:cs="Times New Roman"/>
          <w:b/>
          <w:bCs/>
          <w:kern w:val="2"/>
          <w:sz w:val="21"/>
          <w:szCs w:val="21"/>
          <w:highlight w:val="none"/>
          <w:lang w:val="en-US" w:eastAsia="zh-CN"/>
        </w:rPr>
        <w:t>30</w:t>
      </w:r>
      <w:r>
        <w:rPr>
          <w:rFonts w:hint="eastAsia" w:cs="Times New Roman"/>
          <w:b/>
          <w:bCs/>
          <w:kern w:val="2"/>
          <w:sz w:val="21"/>
          <w:szCs w:val="21"/>
          <w:highlight w:val="none"/>
        </w:rPr>
        <w:t>分</w:t>
      </w:r>
    </w:p>
    <w:p w14:paraId="709EA66F">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（1）履约能力分（满分12分）</w:t>
      </w:r>
    </w:p>
    <w:p w14:paraId="7A3E59D7">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1）供应商具有有效的ISO9001质量管理体系认证、ISO14001环境管理体系认证、ISO45001职业健康安全管理体系认证的每个得1分，满分3分。（响应文件中提供相关有效证明材料复印件，不提供不得分</w:t>
      </w:r>
      <w:r>
        <w:rPr>
          <w:rFonts w:hint="eastAsia" w:cs="Times New Roman"/>
          <w:b w:val="0"/>
          <w:bCs w:val="0"/>
          <w:kern w:val="2"/>
          <w:sz w:val="21"/>
          <w:szCs w:val="21"/>
          <w:highlight w:val="none"/>
          <w:lang w:val="en-US" w:eastAsia="zh-CN"/>
        </w:rPr>
        <w:t>）。</w:t>
      </w:r>
    </w:p>
    <w:p w14:paraId="5FBD7D82">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2）供应商自202</w:t>
      </w:r>
      <w:r>
        <w:rPr>
          <w:rFonts w:hint="eastAsia" w:cs="Times New Roman"/>
          <w:b w:val="0"/>
          <w:bCs w:val="0"/>
          <w:kern w:val="2"/>
          <w:sz w:val="21"/>
          <w:szCs w:val="21"/>
          <w:highlight w:val="none"/>
          <w:lang w:val="en-US" w:eastAsia="zh-CN"/>
        </w:rPr>
        <w:t>2</w:t>
      </w:r>
      <w:r>
        <w:rPr>
          <w:rFonts w:hint="default" w:cs="Times New Roman"/>
          <w:b w:val="0"/>
          <w:bCs w:val="0"/>
          <w:kern w:val="2"/>
          <w:sz w:val="21"/>
          <w:szCs w:val="21"/>
          <w:highlight w:val="none"/>
          <w:lang w:val="en-US" w:eastAsia="zh-CN"/>
        </w:rPr>
        <w:t>年1月1日以来具有同类项目业绩的，每个得3分，满分9分（注：提供合同或者中标（成交）通知书复印件，不提供的不得分</w:t>
      </w:r>
      <w:r>
        <w:rPr>
          <w:rFonts w:hint="eastAsia" w:cs="Times New Roman"/>
          <w:b w:val="0"/>
          <w:bCs w:val="0"/>
          <w:kern w:val="2"/>
          <w:sz w:val="21"/>
          <w:szCs w:val="21"/>
          <w:highlight w:val="none"/>
          <w:lang w:val="en-US" w:eastAsia="zh-CN"/>
        </w:rPr>
        <w:t>【</w:t>
      </w:r>
      <w:r>
        <w:rPr>
          <w:rFonts w:hint="default" w:cs="Times New Roman"/>
          <w:b w:val="0"/>
          <w:bCs w:val="0"/>
          <w:kern w:val="2"/>
          <w:sz w:val="21"/>
          <w:szCs w:val="21"/>
          <w:highlight w:val="none"/>
          <w:lang w:val="en-US" w:eastAsia="zh-CN"/>
        </w:rPr>
        <w:t>供应商为分包（项目承接（包）人）的类似项目业绩不予接受）</w:t>
      </w:r>
      <w:r>
        <w:rPr>
          <w:rFonts w:hint="eastAsia" w:cs="Times New Roman"/>
          <w:b w:val="0"/>
          <w:bCs w:val="0"/>
          <w:kern w:val="2"/>
          <w:sz w:val="21"/>
          <w:szCs w:val="21"/>
          <w:highlight w:val="none"/>
          <w:lang w:val="en-US" w:eastAsia="zh-CN"/>
        </w:rPr>
        <w:t>】</w:t>
      </w:r>
      <w:r>
        <w:rPr>
          <w:rFonts w:hint="default" w:cs="Times New Roman"/>
          <w:b w:val="0"/>
          <w:bCs w:val="0"/>
          <w:kern w:val="2"/>
          <w:sz w:val="21"/>
          <w:szCs w:val="21"/>
          <w:highlight w:val="none"/>
          <w:lang w:val="en-US" w:eastAsia="zh-CN"/>
        </w:rPr>
        <w:t>。</w:t>
      </w:r>
    </w:p>
    <w:p w14:paraId="13B8A7D9">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（2）售后服务及技术保障分（满分18分）</w:t>
      </w:r>
    </w:p>
    <w:p w14:paraId="34F7FADC">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由评审小组评委根据采购文件对比各供应商响应文件售后服务承诺方案内容的货物免费保修期、出现故障响应时间及解决方案、修复时间、项目回访计划、出现质量问题承诺更换时间、供应商提供免费保修期外维修方案、备品备件库及专业的售后技术人员配备、现场快速技术支持、评审小组认可的其它实质性优惠措施等条件进行评审。</w:t>
      </w:r>
    </w:p>
    <w:p w14:paraId="07298D6A">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一档（6分）：满足采购文件售后服务要求，提供故障处理流程、维护保障流程及组织架构，售后服务方案表述清晰、完整，措施有效可行，故障响应时间、到达故障现场时间安排合理，故障维护方案、免费技术培训方案较完善，有一定的现场快速技术支持、优势。</w:t>
      </w:r>
    </w:p>
    <w:p w14:paraId="16B75E6D">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二档（12分）：在满足一档基础上，配备专业售后服务员1名（提供售后服务人员由相关行政部门颁发的高处作业及电工的职业技能证书及专业售后服务人员联系人及联系方式，否则不得分）。</w:t>
      </w:r>
    </w:p>
    <w:p w14:paraId="1243C6A9">
      <w:pPr>
        <w:pStyle w:val="5"/>
        <w:numPr>
          <w:ilvl w:val="0"/>
          <w:numId w:val="0"/>
        </w:numPr>
        <w:spacing w:before="0" w:beforeAutospacing="0" w:after="210" w:afterAutospacing="0" w:line="315" w:lineRule="atLeast"/>
        <w:ind w:firstLine="420" w:firstLineChars="200"/>
        <w:rPr>
          <w:rFonts w:hint="default" w:cs="Times New Roman"/>
          <w:b w:val="0"/>
          <w:bCs w:val="0"/>
          <w:kern w:val="2"/>
          <w:sz w:val="21"/>
          <w:szCs w:val="21"/>
          <w:highlight w:val="none"/>
          <w:lang w:val="en-US" w:eastAsia="zh-CN"/>
        </w:rPr>
      </w:pPr>
      <w:r>
        <w:rPr>
          <w:rFonts w:hint="default" w:cs="Times New Roman"/>
          <w:b w:val="0"/>
          <w:bCs w:val="0"/>
          <w:kern w:val="2"/>
          <w:sz w:val="21"/>
          <w:szCs w:val="21"/>
          <w:highlight w:val="none"/>
          <w:lang w:val="en-US" w:eastAsia="zh-CN"/>
        </w:rPr>
        <w:t>三档（18分）：在满足二档基础上，服务承诺（包括设备的售后服务质保期、备品备件、售后服务响应等承诺）优于采购文件要求且可操作性佳，配备专业售后服务人员2名及以上（提供售后服务人员由相关行政部门颁发的高处作业及电工的职业技能证书及专业售后服务人员联系人及联系方式，否则不得分）。</w:t>
      </w:r>
    </w:p>
    <w:p w14:paraId="2D176587">
      <w:pPr>
        <w:pStyle w:val="5"/>
        <w:widowControl/>
        <w:shd w:val="clear" w:color="auto" w:fill="FFFFFF"/>
        <w:spacing w:before="0" w:beforeAutospacing="0" w:after="0" w:afterAutospacing="0"/>
        <w:ind w:firstLine="480"/>
        <w:rPr>
          <w:rFonts w:hint="eastAsia" w:eastAsiaTheme="minorEastAsia"/>
          <w:sz w:val="28"/>
          <w:szCs w:val="28"/>
          <w:lang w:eastAsia="zh-CN"/>
        </w:rPr>
      </w:pPr>
    </w:p>
    <w:p w14:paraId="605A3A50">
      <w:pPr>
        <w:rPr>
          <w:rFonts w:hint="default"/>
          <w:lang w:val="en-US"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汉仪雅酷黑简">
    <w:panose1 w:val="00020600040101010101"/>
    <w:charset w:val="86"/>
    <w:family w:val="auto"/>
    <w:pitch w:val="default"/>
    <w:sig w:usb0="A00002BF" w:usb1="1AC1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C9F9"/>
    <w:multiLevelType w:val="singleLevel"/>
    <w:tmpl w:val="8975C9F9"/>
    <w:lvl w:ilvl="0" w:tentative="0">
      <w:start w:val="1"/>
      <w:numFmt w:val="chineseCounting"/>
      <w:suff w:val="nothing"/>
      <w:lvlText w:val="（%1）"/>
      <w:lvlJc w:val="left"/>
      <w:rPr>
        <w:rFonts w:hint="eastAsia"/>
      </w:rPr>
    </w:lvl>
  </w:abstractNum>
  <w:abstractNum w:abstractNumId="1">
    <w:nsid w:val="5E9B57CA"/>
    <w:multiLevelType w:val="singleLevel"/>
    <w:tmpl w:val="5E9B57C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2NlNDAzYWI5YjI2OTk3YjRiOTlhNThiNDcyNmQifQ=="/>
  </w:docVars>
  <w:rsids>
    <w:rsidRoot w:val="05393C70"/>
    <w:rsid w:val="00094FB9"/>
    <w:rsid w:val="00135926"/>
    <w:rsid w:val="0023493C"/>
    <w:rsid w:val="002564EF"/>
    <w:rsid w:val="00257960"/>
    <w:rsid w:val="002708EE"/>
    <w:rsid w:val="002D6348"/>
    <w:rsid w:val="005A430A"/>
    <w:rsid w:val="00672783"/>
    <w:rsid w:val="00675168"/>
    <w:rsid w:val="00774F02"/>
    <w:rsid w:val="00833E7E"/>
    <w:rsid w:val="00861DAB"/>
    <w:rsid w:val="009707EA"/>
    <w:rsid w:val="009828F2"/>
    <w:rsid w:val="009D04A9"/>
    <w:rsid w:val="00A209A2"/>
    <w:rsid w:val="00A8660E"/>
    <w:rsid w:val="00B75980"/>
    <w:rsid w:val="00BF2C1E"/>
    <w:rsid w:val="00CB313D"/>
    <w:rsid w:val="00E14424"/>
    <w:rsid w:val="00E3300D"/>
    <w:rsid w:val="00EC5BFB"/>
    <w:rsid w:val="05393C70"/>
    <w:rsid w:val="0BA94FA7"/>
    <w:rsid w:val="0C530B91"/>
    <w:rsid w:val="0C6C7E56"/>
    <w:rsid w:val="0C6F55EB"/>
    <w:rsid w:val="0E26793E"/>
    <w:rsid w:val="124B4370"/>
    <w:rsid w:val="12A9183C"/>
    <w:rsid w:val="14A66120"/>
    <w:rsid w:val="15267B68"/>
    <w:rsid w:val="17366223"/>
    <w:rsid w:val="17CD02BE"/>
    <w:rsid w:val="19874772"/>
    <w:rsid w:val="1C066E44"/>
    <w:rsid w:val="1E3E4310"/>
    <w:rsid w:val="1F3F789D"/>
    <w:rsid w:val="20A951E7"/>
    <w:rsid w:val="20C4005A"/>
    <w:rsid w:val="217F0425"/>
    <w:rsid w:val="22251BDB"/>
    <w:rsid w:val="23845BBE"/>
    <w:rsid w:val="241148CA"/>
    <w:rsid w:val="277D26EF"/>
    <w:rsid w:val="2D483DC1"/>
    <w:rsid w:val="2DE3752E"/>
    <w:rsid w:val="308F2B29"/>
    <w:rsid w:val="33303667"/>
    <w:rsid w:val="34C75711"/>
    <w:rsid w:val="35DD14B0"/>
    <w:rsid w:val="36A03C9C"/>
    <w:rsid w:val="39F57E9E"/>
    <w:rsid w:val="3F5B2B77"/>
    <w:rsid w:val="3FAC009E"/>
    <w:rsid w:val="417D37ED"/>
    <w:rsid w:val="41F01911"/>
    <w:rsid w:val="44F04E65"/>
    <w:rsid w:val="45B333A0"/>
    <w:rsid w:val="45C014AB"/>
    <w:rsid w:val="45D135BE"/>
    <w:rsid w:val="4A6873F9"/>
    <w:rsid w:val="4B8B74BE"/>
    <w:rsid w:val="4BA803F5"/>
    <w:rsid w:val="4C562CFB"/>
    <w:rsid w:val="4C9635CE"/>
    <w:rsid w:val="4EC060A1"/>
    <w:rsid w:val="4F31425D"/>
    <w:rsid w:val="4FD65C39"/>
    <w:rsid w:val="51A85ED4"/>
    <w:rsid w:val="51C45CC6"/>
    <w:rsid w:val="54BA6AA3"/>
    <w:rsid w:val="54C54050"/>
    <w:rsid w:val="55A61B66"/>
    <w:rsid w:val="587255D7"/>
    <w:rsid w:val="59D206C1"/>
    <w:rsid w:val="5B1F3848"/>
    <w:rsid w:val="613876CD"/>
    <w:rsid w:val="664824DD"/>
    <w:rsid w:val="67C175CE"/>
    <w:rsid w:val="67F72090"/>
    <w:rsid w:val="6BEB1F0C"/>
    <w:rsid w:val="6C846289"/>
    <w:rsid w:val="6CB467A2"/>
    <w:rsid w:val="6E746365"/>
    <w:rsid w:val="6EDA5CB4"/>
    <w:rsid w:val="6F351DF9"/>
    <w:rsid w:val="6F8E3370"/>
    <w:rsid w:val="6FCF1767"/>
    <w:rsid w:val="71566079"/>
    <w:rsid w:val="72C15774"/>
    <w:rsid w:val="7CCA29F0"/>
    <w:rsid w:val="7CE3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qFormat/>
    <w:uiPriority w:val="0"/>
    <w:rPr>
      <w:b/>
    </w:rPr>
  </w:style>
  <w:style w:type="character" w:styleId="9">
    <w:name w:val="Hyperlink"/>
    <w:qFormat/>
    <w:uiPriority w:val="0"/>
    <w:rPr>
      <w:color w:val="0000FF"/>
      <w:u w:val="single"/>
    </w:rPr>
  </w:style>
  <w:style w:type="character" w:styleId="10">
    <w:name w:val="annotation reference"/>
    <w:basedOn w:val="7"/>
    <w:qFormat/>
    <w:uiPriority w:val="0"/>
    <w:rPr>
      <w:sz w:val="21"/>
      <w:szCs w:val="21"/>
    </w:rPr>
  </w:style>
  <w:style w:type="character" w:customStyle="1" w:styleId="11">
    <w:name w:val="font31"/>
    <w:basedOn w:val="7"/>
    <w:qFormat/>
    <w:uiPriority w:val="0"/>
    <w:rPr>
      <w:rFonts w:hint="eastAsia" w:ascii="宋体" w:hAnsi="宋体" w:eastAsia="宋体" w:cs="宋体"/>
      <w:color w:val="000000"/>
      <w:sz w:val="21"/>
      <w:szCs w:val="21"/>
      <w:u w:val="none"/>
    </w:rPr>
  </w:style>
  <w:style w:type="character" w:customStyle="1" w:styleId="12">
    <w:name w:val="font51"/>
    <w:basedOn w:val="7"/>
    <w:qFormat/>
    <w:uiPriority w:val="0"/>
    <w:rPr>
      <w:rFonts w:hint="eastAsia" w:ascii="宋体" w:hAnsi="宋体" w:eastAsia="宋体" w:cs="宋体"/>
      <w:b/>
      <w:bCs/>
      <w:color w:val="FF0000"/>
      <w:sz w:val="21"/>
      <w:szCs w:val="21"/>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61"/>
    <w:basedOn w:val="7"/>
    <w:qFormat/>
    <w:uiPriority w:val="0"/>
    <w:rPr>
      <w:rFonts w:hint="eastAsia" w:ascii="宋体" w:hAnsi="宋体" w:eastAsia="宋体" w:cs="宋体"/>
      <w:b/>
      <w:bCs/>
      <w:color w:val="FF0000"/>
      <w:sz w:val="22"/>
      <w:szCs w:val="22"/>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font81"/>
    <w:basedOn w:val="7"/>
    <w:qFormat/>
    <w:uiPriority w:val="0"/>
    <w:rPr>
      <w:rFonts w:ascii="BatangChe" w:hAnsi="BatangChe" w:eastAsia="BatangChe" w:cs="BatangChe"/>
      <w:color w:val="000000"/>
      <w:sz w:val="24"/>
      <w:szCs w:val="24"/>
      <w:u w:val="none"/>
    </w:rPr>
  </w:style>
  <w:style w:type="character" w:customStyle="1" w:styleId="17">
    <w:name w:val="font21"/>
    <w:basedOn w:val="7"/>
    <w:qFormat/>
    <w:uiPriority w:val="0"/>
    <w:rPr>
      <w:rFonts w:hint="eastAsia" w:ascii="宋体" w:hAnsi="宋体" w:eastAsia="宋体" w:cs="宋体"/>
      <w:b/>
      <w:bCs/>
      <w:color w:val="000000"/>
      <w:sz w:val="24"/>
      <w:szCs w:val="24"/>
      <w:u w:val="none"/>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字符"/>
    <w:basedOn w:val="7"/>
    <w:link w:val="4"/>
    <w:qFormat/>
    <w:uiPriority w:val="0"/>
    <w:rPr>
      <w:rFonts w:asciiTheme="minorHAnsi" w:hAnsiTheme="minorHAnsi" w:eastAsiaTheme="minorEastAsia" w:cstheme="minorBidi"/>
      <w:kern w:val="2"/>
      <w:sz w:val="18"/>
      <w:szCs w:val="18"/>
    </w:rPr>
  </w:style>
  <w:style w:type="character" w:customStyle="1" w:styleId="20">
    <w:name w:val="页脚 字符"/>
    <w:basedOn w:val="7"/>
    <w:link w:val="3"/>
    <w:qFormat/>
    <w:uiPriority w:val="0"/>
    <w:rPr>
      <w:rFonts w:asciiTheme="minorHAnsi" w:hAnsiTheme="minorHAnsi" w:eastAsiaTheme="minorEastAsia" w:cstheme="minorBidi"/>
      <w:kern w:val="2"/>
      <w:sz w:val="18"/>
      <w:szCs w:val="18"/>
    </w:rPr>
  </w:style>
  <w:style w:type="character" w:customStyle="1" w:styleId="21">
    <w:name w:val="font71"/>
    <w:basedOn w:val="7"/>
    <w:qFormat/>
    <w:uiPriority w:val="0"/>
    <w:rPr>
      <w:rFonts w:hint="eastAsia" w:ascii="宋体" w:hAnsi="宋体" w:eastAsia="宋体" w:cs="宋体"/>
      <w:color w:val="000000"/>
      <w:sz w:val="22"/>
      <w:szCs w:val="22"/>
      <w:u w:val="none"/>
    </w:rPr>
  </w:style>
  <w:style w:type="character" w:customStyle="1" w:styleId="22">
    <w:name w:val="font41"/>
    <w:basedOn w:val="7"/>
    <w:qFormat/>
    <w:uiPriority w:val="0"/>
    <w:rPr>
      <w:rFonts w:hint="eastAsia" w:ascii="宋体" w:hAnsi="宋体" w:eastAsia="宋体" w:cs="宋体"/>
      <w:color w:val="000000"/>
      <w:sz w:val="22"/>
      <w:szCs w:val="22"/>
      <w:u w:val="none"/>
    </w:rPr>
  </w:style>
  <w:style w:type="character" w:customStyle="1" w:styleId="23">
    <w:name w:val="font91"/>
    <w:basedOn w:val="7"/>
    <w:qFormat/>
    <w:uiPriority w:val="0"/>
    <w:rPr>
      <w:rFonts w:hint="default" w:ascii="Calibri" w:hAnsi="Calibri" w:cs="Calibri"/>
      <w:color w:val="000000"/>
      <w:sz w:val="22"/>
      <w:szCs w:val="22"/>
      <w:u w:val="none"/>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2493</Words>
  <Characters>2739</Characters>
  <Lines>253</Lines>
  <Paragraphs>181</Paragraphs>
  <TotalTime>15</TotalTime>
  <ScaleCrop>false</ScaleCrop>
  <LinksUpToDate>false</LinksUpToDate>
  <CharactersWithSpaces>2790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2025-06-29T14:54:00Z</dcterms:created>
  <dc:creator>Administrator</dc:creator>
  <cp:lastModifiedBy>高静</cp:lastModifiedBy>
  <cp:lastPrinted>2025-05-16T07:28:00Z</cp:lastPrinted>
  <dcterms:modified xsi:type="dcterms:W3CDTF">2025-08-15T03:11:54Z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D1AB9789351A40C0A582B4C1F26FF8FD_13</vt:lpwstr>
  </property>
  <property fmtid="{D5CDD505-2E9C-101B-9397-08002B2CF9AE}" pid="4" name="KSOTemplateDocerSaveRecord">
    <vt:lpwstr>eyJoZGlkIjoiMTIxZGQ1ODBlY2Y2NDQ0N2IzNTdiMzVmMTQ4MmQ3MGEiLCJ1c2VySWQiOiIyOTc5NjgzMzQifQ==</vt:lpwstr>
  </property>
</Properties>
</file>