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69C98"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广西艺术学院数字造型艺术融合创新重点实验室采购项目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重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采购文件</w:t>
      </w:r>
    </w:p>
    <w:p w14:paraId="43A225C2">
      <w:pPr>
        <w:pStyle w:val="5"/>
        <w:widowControl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根据有关规定，我校开展广西艺术学院数字造型艺术融合创新重点实验室采购项目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重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采购，现将本次采购有关事项公告如下：</w:t>
      </w:r>
    </w:p>
    <w:p w14:paraId="7E1E2AC1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80"/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项目名称</w:t>
      </w:r>
      <w:r>
        <w:rPr>
          <w:rStyle w:val="8"/>
          <w:rFonts w:hint="eastAsia" w:ascii="宋体" w:hAnsi="宋体" w:cs="宋体"/>
          <w:b w:val="0"/>
          <w:bCs/>
          <w:sz w:val="28"/>
          <w:szCs w:val="28"/>
          <w:shd w:val="clear" w:color="auto" w:fill="FFFFFF"/>
        </w:rPr>
        <w:t>：广西艺术学院数字造型艺术融合创新重点实验室设备采购项目（重）</w:t>
      </w:r>
    </w:p>
    <w:p w14:paraId="37C4003E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80"/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 xml:space="preserve">采购需求内容         </w:t>
      </w:r>
    </w:p>
    <w:p w14:paraId="2094EB3B">
      <w:pPr>
        <w:pStyle w:val="5"/>
        <w:widowControl/>
        <w:shd w:val="clear" w:color="auto" w:fill="FFFFFF"/>
        <w:spacing w:before="0" w:beforeAutospacing="0" w:after="0" w:afterAutospacing="0"/>
        <w:ind w:left="480"/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总采购预算为：</w:t>
      </w: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14.2</w:t>
      </w: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万元。</w:t>
      </w:r>
    </w:p>
    <w:p w14:paraId="5D61DB0B">
      <w:pPr>
        <w:pStyle w:val="5"/>
        <w:widowControl/>
        <w:shd w:val="clear" w:color="auto" w:fill="FFFFFF"/>
        <w:spacing w:before="0" w:beforeAutospacing="0" w:after="0" w:afterAutospacing="0"/>
        <w:ind w:firstLine="560"/>
        <w:rPr>
          <w:rStyle w:val="8"/>
          <w:rFonts w:hint="eastAsia" w:ascii="宋体" w:hAnsi="宋体" w:cs="宋体"/>
          <w:b w:val="0"/>
          <w:bCs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b w:val="0"/>
          <w:bCs/>
          <w:sz w:val="28"/>
          <w:szCs w:val="28"/>
          <w:shd w:val="clear" w:color="auto" w:fill="FFFFFF"/>
        </w:rPr>
        <w:t>具体需求详见附件1。本项目不允许负偏离。</w:t>
      </w:r>
    </w:p>
    <w:p w14:paraId="6EC465DA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80"/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投标人资格要求</w:t>
      </w:r>
    </w:p>
    <w:p w14:paraId="37A8F5D2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（一）必须是在中华人民共和国境内注册，具有独立法人，并持有工商行政管理部门核发的法人营业执照。</w:t>
      </w:r>
    </w:p>
    <w:p w14:paraId="1AF4A2E9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（二）未被列入失信被执行人名单、重大税收违法案件当事人名单、政府采购严重违法失信行为记录名单，信用信息以最新的信用中国网站和中国政府采购网公布为准，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请提供最新的信用中国网站和中国政府采购网的截图证明信息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。</w:t>
      </w:r>
    </w:p>
    <w:p w14:paraId="4B47B2AC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“信用中国”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网站查询方法：投标人在本项目投标截止时间前10日内,进入投标人基本信息页面，点击“下载信用报告”后点击“下载”。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“中国政府采购网”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的查询方法：点击“政府采购严重违法失信行为记录名单”进行查询。采购人将对供应商信用记录进行甄别，对列入失信被执行人、重大税收违法案件当事人名单、政府采购严重违法失信行为记录名单及其他不符合《中华人民共和国政府采购法》第二十二条规定条件的供应商，将拒绝其参与采购活动。</w:t>
      </w:r>
    </w:p>
    <w:p w14:paraId="2C8798A6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（三）单位负责人为同一人或者存在直接控股、管理关系的不同供应商，不得参加同一合同项下的采购活动。本项目不接受联合体。</w:t>
      </w:r>
    </w:p>
    <w:p w14:paraId="1E8FB26D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480"/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投标要求</w:t>
      </w:r>
    </w:p>
    <w:p w14:paraId="12368E98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（一）提供法人授权委托书（格式自拟）、有效的营业执照复印件（加盖单位公章）、被授权人身份证（复印件）及按第三大点资格要求列明的证明材料。</w:t>
      </w:r>
    </w:p>
    <w:p w14:paraId="1D43EE70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二）报价函（格式自拟，写清楚所投产品品牌、型号、技术参数等，报价必须包含但不限于运输、调试、安装、税金等本项目所有费用）、技术与商务参数偏离表（格式自拟，必须与采购需求表里的技术参数逐项比对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并写明偏离情况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）。</w:t>
      </w:r>
    </w:p>
    <w:p w14:paraId="168DDA12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（三）关于本项目的服务承诺（格式自拟，包含但不限于售后、培训、免费质保期等）。</w:t>
      </w:r>
    </w:p>
    <w:p w14:paraId="19D0DE99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（四）采购需求里要求提供的其他证明材料。</w:t>
      </w:r>
    </w:p>
    <w:p w14:paraId="08AE8EC2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注：所有投标材料务必严格按要求提供，不按要求提供的，采购人有权视为无效投标。投标材料必须一正一副，且须加盖公章后密封提供。</w:t>
      </w:r>
    </w:p>
    <w:p w14:paraId="3891AAFE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五、中标方式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根据投标人的投标材料，在满足采购需求的基础上，采取低价中标方式选定该项目中标单位，若价格相同，则采取抽签方式确定中标单位。</w:t>
      </w:r>
    </w:p>
    <w:p w14:paraId="05CA4CEC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Style w:val="8"/>
          <w:rFonts w:hint="eastAsia" w:ascii="宋体" w:hAnsi="宋体" w:cs="宋体"/>
          <w:sz w:val="28"/>
          <w:szCs w:val="28"/>
          <w:shd w:val="clear" w:color="auto" w:fill="FFFFFF"/>
        </w:rPr>
        <w:t>六、投标截止时间和地点</w:t>
      </w:r>
    </w:p>
    <w:p w14:paraId="2CEBDC80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投标时间：凡愿意且符合条件投标人，请于202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  <w:t>5年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</w:rPr>
        <w:t>日上午9点至11点之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间，将投标文件送达广西艺术学院财务资产处，其他时间不接收报名材料。投标地点：南宁市教育路7号广西艺术学院雕塑办公楼107室财务资产处采购管理科。联系人：李老师，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朱老师，高老师。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联系电话：07715327987.</w:t>
      </w:r>
    </w:p>
    <w:p w14:paraId="1D35ADC4">
      <w:pPr>
        <w:pStyle w:val="5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sz w:val="28"/>
          <w:szCs w:val="28"/>
          <w:shd w:val="clear" w:color="auto" w:fill="FFFFFF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七、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本次采购的相关信息（包括但不限于采购公告与附件及其修改、补充、澄清等，下同）在广西艺术学院主页的“机构设置-财务资产处-招标公告”栏（网址：https://cwc.gxau.edu.cn/zbgg2）上发布，本次采购的相关信息一经在上述网站发布，即视为已发送给投标人。投标人据此参与本次采购活动，即视为对本次采购的相关信息、内容及规则没有异议。</w:t>
      </w:r>
    </w:p>
    <w:p w14:paraId="06C629C0"/>
    <w:p w14:paraId="6E535AF8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附件：设备清单（标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▲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为实质性参数，必须响应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 w14:paraId="0F276BF2"/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55"/>
        <w:gridCol w:w="847"/>
        <w:gridCol w:w="11478"/>
      </w:tblGrid>
      <w:tr w14:paraId="5E2B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 w14:paraId="436F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4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数据分析处理系统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D289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处理器：不低于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i9-14900K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:3.2GHz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大于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 USB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个；速度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:3.2GHz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RTX A5000-24GB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显示器屏幕尺寸：不小于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硬盘容量：不低于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512SSD+1T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系统：不低于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Windows 11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家庭中文版；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系统支持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仿真平台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系统包含：《火灾隐患排查系统》和《火灾逃生系统》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《火灾隐患排查系统》建立在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模拟系统之上，运用三维开发软件，以及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建模等技术，对建筑内部环境进行重建，设定多个火灾隐患（不低于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个），让体验者通过身临其境的游戏模拟方式，找出火灾隐患，并进行处置。系统配以语音介绍，让体验者能加深印象，时刻预防火灾隐患。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火灾逃生系统》是一套针对火灾的应急疏散虚拟训练和交互体验的仿真系统，面向广大学生，以办公楼为疏散环境，融合最新的虚拟现实技术，置身于一个密闭的环境内，突然发生火灾，面对门外火光四溅、浓烟滚滚的场景，体验者通过消防安全提示，完成逃生训练，从中学习到逃生的知识，以提升火灾发生时的应对措施和逃生技能，提高参与者的应急疏散能力、路径选择能力以及自救能力。不低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个步骤。</w:t>
            </w:r>
          </w:p>
        </w:tc>
      </w:tr>
      <w:tr w14:paraId="6B12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化学品安全柜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1.尺寸：不小于590*460*1650mm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2.材质：冷轧钢</w:t>
            </w:r>
          </w:p>
        </w:tc>
      </w:tr>
      <w:tr w14:paraId="58D7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9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喷漆柜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2.标配:风机*1 水泵*1-喷漆转盘*1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3.风机不小于250W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4.水泵不小于370W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5.全机采用不锈钢201材质1.2厚制作</w:t>
            </w:r>
          </w:p>
        </w:tc>
      </w:tr>
      <w:tr w14:paraId="6C91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F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F8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口径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为0.2mm</w:t>
            </w:r>
          </w:p>
          <w:p w14:paraId="011D8D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自身自动风调</w:t>
            </w:r>
          </w:p>
          <w:p w14:paraId="709FA8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料壶容量：10cc</w:t>
            </w:r>
          </w:p>
          <w:p w14:paraId="6142B5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皇冠喷嘴</w:t>
            </w:r>
          </w:p>
          <w:p w14:paraId="6B7841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产品包含连接软管</w:t>
            </w:r>
          </w:p>
          <w:p w14:paraId="7446E2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配备气罐转接头</w:t>
            </w:r>
            <w:r>
              <w:rPr>
                <w:rFonts w:hint="default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.每支喷笔配一个3M6200和一个3M3200防毒面具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每支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配有</w:t>
            </w: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支笔针，</w:t>
            </w: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个莲花头、配喷笔支架一个</w:t>
            </w:r>
          </w:p>
        </w:tc>
      </w:tr>
      <w:tr w14:paraId="4F46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C15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口径为0.5mm</w:t>
            </w:r>
          </w:p>
          <w:p w14:paraId="5970A0B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扳机式结构</w:t>
            </w:r>
          </w:p>
          <w:p w14:paraId="339B3F3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料壶容量：15cc</w:t>
            </w:r>
          </w:p>
          <w:p w14:paraId="024A571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配备气罐转接头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2.每支喷笔配2个3M6200和2个3M3200防毒面具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每支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配有一个额外的150ml料杯、配喷笔支架一个</w:t>
            </w:r>
          </w:p>
        </w:tc>
      </w:tr>
      <w:tr w14:paraId="4783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9FD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最好的喷笔之一，口径0.15/0.4mm</w:t>
            </w:r>
          </w:p>
          <w:p w14:paraId="27FC477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料壶为可拆卸结构</w:t>
            </w:r>
          </w:p>
          <w:p w14:paraId="42A4964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料壶容量分别为：2ml、5ml</w:t>
            </w:r>
          </w:p>
          <w:p w14:paraId="31F647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0.15mm/0.4mm可变口径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2.每支喷笔配2个3M6200和2个3M3200防毒面具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3.配额外的料杯盖，配0.2和0.4mm的喷针、喷头各一个，莲花头一个，配喷笔支架一个</w:t>
            </w:r>
          </w:p>
        </w:tc>
      </w:tr>
      <w:tr w14:paraId="3F93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主音箱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，副音箱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，连接线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，电源线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，光纤线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，说明书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，保修卡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，合格证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最大输出功率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:510W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3.Wi-Fi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Wi-Fi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音箱尺寸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475mm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频率范围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:35Hz-40kHz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:&gt;95dB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高音调节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:± 3dB</w:t>
            </w:r>
          </w:p>
        </w:tc>
      </w:tr>
    </w:tbl>
    <w:p w14:paraId="6D1234EA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87E03"/>
    <w:multiLevelType w:val="singleLevel"/>
    <w:tmpl w:val="B7787E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97F2AB"/>
    <w:multiLevelType w:val="singleLevel"/>
    <w:tmpl w:val="0E97F2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8B7E3FE"/>
    <w:multiLevelType w:val="singleLevel"/>
    <w:tmpl w:val="38B7E3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54BC7AC"/>
    <w:multiLevelType w:val="singleLevel"/>
    <w:tmpl w:val="554BC7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393C70"/>
    <w:rsid w:val="00094FB9"/>
    <w:rsid w:val="0023493C"/>
    <w:rsid w:val="002564EF"/>
    <w:rsid w:val="00257960"/>
    <w:rsid w:val="002708EE"/>
    <w:rsid w:val="00672783"/>
    <w:rsid w:val="00774F02"/>
    <w:rsid w:val="00833E7E"/>
    <w:rsid w:val="00861DAB"/>
    <w:rsid w:val="009707EA"/>
    <w:rsid w:val="009828F2"/>
    <w:rsid w:val="00A209A2"/>
    <w:rsid w:val="00A8660E"/>
    <w:rsid w:val="00BF2C1E"/>
    <w:rsid w:val="00CB313D"/>
    <w:rsid w:val="00E14424"/>
    <w:rsid w:val="00E3300D"/>
    <w:rsid w:val="00EC5BFB"/>
    <w:rsid w:val="04504757"/>
    <w:rsid w:val="05393C70"/>
    <w:rsid w:val="0BA94FA7"/>
    <w:rsid w:val="0C6F55EB"/>
    <w:rsid w:val="0E26793E"/>
    <w:rsid w:val="10504F89"/>
    <w:rsid w:val="124B4370"/>
    <w:rsid w:val="127669D8"/>
    <w:rsid w:val="14A66120"/>
    <w:rsid w:val="15267B68"/>
    <w:rsid w:val="17CD02BE"/>
    <w:rsid w:val="19874772"/>
    <w:rsid w:val="20A951E7"/>
    <w:rsid w:val="20C4005A"/>
    <w:rsid w:val="21447B0D"/>
    <w:rsid w:val="217F0425"/>
    <w:rsid w:val="22251BDB"/>
    <w:rsid w:val="23845BBE"/>
    <w:rsid w:val="241148CA"/>
    <w:rsid w:val="277D26EF"/>
    <w:rsid w:val="2D483DC1"/>
    <w:rsid w:val="2DE3752E"/>
    <w:rsid w:val="33303667"/>
    <w:rsid w:val="34C75711"/>
    <w:rsid w:val="42A241CC"/>
    <w:rsid w:val="45C014AB"/>
    <w:rsid w:val="4A1014CA"/>
    <w:rsid w:val="4B8B74BE"/>
    <w:rsid w:val="4BA803F5"/>
    <w:rsid w:val="4C9635CE"/>
    <w:rsid w:val="4EC060A1"/>
    <w:rsid w:val="4F31425D"/>
    <w:rsid w:val="4FD65C39"/>
    <w:rsid w:val="51A85ED4"/>
    <w:rsid w:val="54BA6AA3"/>
    <w:rsid w:val="587255D7"/>
    <w:rsid w:val="59D206C1"/>
    <w:rsid w:val="5B1F3848"/>
    <w:rsid w:val="5ED2780B"/>
    <w:rsid w:val="613876CD"/>
    <w:rsid w:val="64916B34"/>
    <w:rsid w:val="664824DD"/>
    <w:rsid w:val="67C175CE"/>
    <w:rsid w:val="67F72090"/>
    <w:rsid w:val="6BEB1F0C"/>
    <w:rsid w:val="6C846289"/>
    <w:rsid w:val="6CB467A2"/>
    <w:rsid w:val="6E2800B9"/>
    <w:rsid w:val="6E746365"/>
    <w:rsid w:val="6EDA5CB4"/>
    <w:rsid w:val="6F8E3370"/>
    <w:rsid w:val="6FCF1767"/>
    <w:rsid w:val="71566079"/>
    <w:rsid w:val="72C15774"/>
    <w:rsid w:val="75772CB6"/>
    <w:rsid w:val="770A6EF1"/>
    <w:rsid w:val="7CE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basedOn w:val="7"/>
    <w:qFormat/>
    <w:uiPriority w:val="0"/>
    <w:rPr>
      <w:sz w:val="21"/>
      <w:szCs w:val="21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b/>
      <w:bCs/>
      <w:color w:val="FF0000"/>
      <w:sz w:val="21"/>
      <w:szCs w:val="21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81"/>
    <w:basedOn w:val="7"/>
    <w:qFormat/>
    <w:uiPriority w:val="0"/>
    <w:rPr>
      <w:rFonts w:ascii="BatangChe" w:hAnsi="BatangChe" w:eastAsia="BatangChe" w:cs="BatangChe"/>
      <w:color w:val="000000"/>
      <w:sz w:val="24"/>
      <w:szCs w:val="24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2126</Words>
  <Characters>2431</Characters>
  <Lines>677</Lines>
  <Paragraphs>413</Paragraphs>
  <TotalTime>22</TotalTime>
  <ScaleCrop>false</ScaleCrop>
  <LinksUpToDate>false</LinksUpToDate>
  <CharactersWithSpaces>2463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2025-06-20T07:50:00Z</dcterms:created>
  <dc:creator>黄冲</dc:creator>
  <cp:lastModifiedBy>Jianbo_Lee</cp:lastModifiedBy>
  <cp:lastPrinted>2025-05-16T07:28:00Z</cp:lastPrinted>
  <dcterms:modified xsi:type="dcterms:W3CDTF">2025-08-13T02:37:44Z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192FA0ADEB36460FB3486632CF804FDA_13</vt:lpwstr>
  </property>
  <property fmtid="{D5CDD505-2E9C-101B-9397-08002B2CF9AE}" pid="4" name="KSOTemplateDocerSaveRecord">
    <vt:lpwstr>eyJoZGlkIjoiMzI1NTE1NWFkMTQyODgyZDQ4NzIzYTZlMmQzNTJjM2QiLCJ1c2VySWQiOiI3MTkzODkwMDUifQ==</vt:lpwstr>
  </property>
</Properties>
</file>