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9C98">
      <w:pPr>
        <w:pStyle w:val="6"/>
        <w:widowControl/>
        <w:shd w:val="clear" w:color="auto" w:fill="FFFFFF"/>
        <w:spacing w:before="0" w:beforeAutospacing="0" w:after="0" w:afterAutospacing="0"/>
        <w:jc w:val="center"/>
        <w:rPr>
          <w:rFonts w:ascii="宋体" w:hAnsi="宋体" w:cs="宋体"/>
          <w:sz w:val="32"/>
          <w:szCs w:val="32"/>
          <w:shd w:val="clear" w:color="auto" w:fill="FFFFFF"/>
        </w:rPr>
      </w:pPr>
      <w:r>
        <w:rPr>
          <w:rFonts w:hint="eastAsia" w:ascii="宋体" w:hAnsi="宋体" w:cs="宋体"/>
          <w:b/>
          <w:bCs/>
          <w:sz w:val="32"/>
          <w:szCs w:val="32"/>
          <w:shd w:val="clear" w:color="auto" w:fill="FFFFFF"/>
        </w:rPr>
        <w:t>广西艺术学院沉浸式数字音乐音声开发与智能处理重点实验室建设设备采购项目采购文件</w:t>
      </w:r>
    </w:p>
    <w:p w14:paraId="43A225C2">
      <w:pPr>
        <w:pStyle w:val="6"/>
        <w:widowControl/>
        <w:shd w:val="clear" w:color="auto" w:fill="FFFFFF"/>
        <w:spacing w:before="0" w:beforeAutospacing="0" w:after="0" w:afterAutospacing="0"/>
        <w:ind w:firstLine="560" w:firstLineChars="200"/>
        <w:rPr>
          <w:sz w:val="28"/>
          <w:szCs w:val="28"/>
        </w:rPr>
      </w:pPr>
      <w:r>
        <w:rPr>
          <w:rFonts w:hint="eastAsia" w:ascii="宋体" w:hAnsi="宋体" w:cs="宋体"/>
          <w:sz w:val="28"/>
          <w:szCs w:val="28"/>
          <w:shd w:val="clear" w:color="auto" w:fill="FFFFFF"/>
        </w:rPr>
        <w:t>根据有关规定，我校开展广西艺术学院沉浸式数字音乐音声开发与智能处理重点实验室建设设备</w:t>
      </w:r>
      <w:bookmarkStart w:id="0" w:name="_Hlk201562908"/>
      <w:r>
        <w:rPr>
          <w:rFonts w:hint="eastAsia" w:ascii="宋体" w:hAnsi="宋体" w:cs="宋体"/>
          <w:sz w:val="28"/>
          <w:szCs w:val="28"/>
          <w:shd w:val="clear" w:color="auto" w:fill="FFFFFF"/>
        </w:rPr>
        <w:t>采购项目</w:t>
      </w:r>
      <w:bookmarkEnd w:id="0"/>
      <w:r>
        <w:rPr>
          <w:rFonts w:hint="eastAsia" w:ascii="宋体" w:hAnsi="宋体" w:cs="宋体"/>
          <w:sz w:val="28"/>
          <w:szCs w:val="28"/>
          <w:shd w:val="clear" w:color="auto" w:fill="FFFFFF"/>
        </w:rPr>
        <w:t>采购，现将本次采购有关事项公告如下：</w:t>
      </w:r>
    </w:p>
    <w:p w14:paraId="7E1E2AC1">
      <w:pPr>
        <w:pStyle w:val="6"/>
        <w:widowControl/>
        <w:numPr>
          <w:ilvl w:val="0"/>
          <w:numId w:val="1"/>
        </w:numPr>
        <w:shd w:val="clear" w:color="auto" w:fill="FFFFFF"/>
        <w:spacing w:before="0" w:beforeAutospacing="0" w:after="0" w:afterAutospacing="0"/>
        <w:ind w:firstLine="480"/>
        <w:rPr>
          <w:rStyle w:val="9"/>
          <w:rFonts w:ascii="宋体" w:hAnsi="宋体" w:cs="宋体"/>
          <w:sz w:val="28"/>
          <w:szCs w:val="28"/>
          <w:shd w:val="clear" w:color="auto" w:fill="FFFFFF"/>
        </w:rPr>
      </w:pPr>
      <w:r>
        <w:rPr>
          <w:rStyle w:val="9"/>
          <w:rFonts w:hint="eastAsia" w:ascii="宋体" w:hAnsi="宋体" w:cs="宋体"/>
          <w:sz w:val="28"/>
          <w:szCs w:val="28"/>
          <w:shd w:val="clear" w:color="auto" w:fill="FFFFFF"/>
        </w:rPr>
        <w:t>项目名称</w:t>
      </w:r>
      <w:r>
        <w:rPr>
          <w:rStyle w:val="9"/>
          <w:rFonts w:hint="eastAsia" w:ascii="宋体" w:hAnsi="宋体" w:cs="宋体"/>
          <w:b w:val="0"/>
          <w:bCs/>
          <w:sz w:val="28"/>
          <w:szCs w:val="28"/>
          <w:shd w:val="clear" w:color="auto" w:fill="FFFFFF"/>
        </w:rPr>
        <w:t>：广西艺术学院沉浸式数字音乐音声开发与智能处理重点实验室建设设备</w:t>
      </w:r>
      <w:r>
        <w:rPr>
          <w:rFonts w:hint="eastAsia" w:ascii="宋体" w:hAnsi="宋体" w:cs="宋体"/>
          <w:sz w:val="28"/>
          <w:szCs w:val="28"/>
          <w:shd w:val="clear" w:color="auto" w:fill="FFFFFF"/>
        </w:rPr>
        <w:t>采购项目</w:t>
      </w:r>
    </w:p>
    <w:p w14:paraId="37C4003E">
      <w:pPr>
        <w:pStyle w:val="6"/>
        <w:widowControl/>
        <w:numPr>
          <w:ilvl w:val="0"/>
          <w:numId w:val="1"/>
        </w:numPr>
        <w:shd w:val="clear" w:color="auto" w:fill="FFFFFF"/>
        <w:spacing w:before="0" w:beforeAutospacing="0" w:after="0" w:afterAutospacing="0"/>
        <w:ind w:firstLine="480"/>
        <w:rPr>
          <w:rStyle w:val="9"/>
          <w:rFonts w:ascii="宋体" w:hAnsi="宋体" w:cs="宋体"/>
          <w:sz w:val="28"/>
          <w:szCs w:val="28"/>
          <w:shd w:val="clear" w:color="auto" w:fill="FFFFFF"/>
        </w:rPr>
      </w:pPr>
      <w:r>
        <w:rPr>
          <w:rStyle w:val="9"/>
          <w:rFonts w:hint="eastAsia" w:ascii="宋体" w:hAnsi="宋体" w:cs="宋体"/>
          <w:sz w:val="28"/>
          <w:szCs w:val="28"/>
          <w:shd w:val="clear" w:color="auto" w:fill="FFFFFF"/>
        </w:rPr>
        <w:t xml:space="preserve">采购需求内容         </w:t>
      </w:r>
    </w:p>
    <w:p w14:paraId="2094EB3B">
      <w:pPr>
        <w:pStyle w:val="6"/>
        <w:widowControl/>
        <w:shd w:val="clear" w:color="auto" w:fill="FFFFFF"/>
        <w:spacing w:before="0" w:beforeAutospacing="0" w:after="0" w:afterAutospacing="0"/>
        <w:ind w:left="480"/>
        <w:rPr>
          <w:rStyle w:val="9"/>
          <w:rFonts w:ascii="宋体" w:hAnsi="宋体" w:cs="宋体"/>
          <w:sz w:val="28"/>
          <w:szCs w:val="28"/>
          <w:shd w:val="clear" w:color="auto" w:fill="FFFFFF"/>
        </w:rPr>
      </w:pPr>
      <w:r>
        <w:rPr>
          <w:rStyle w:val="9"/>
          <w:rFonts w:hint="eastAsia" w:ascii="宋体" w:hAnsi="宋体" w:cs="宋体"/>
          <w:sz w:val="28"/>
          <w:szCs w:val="28"/>
          <w:shd w:val="clear" w:color="auto" w:fill="FFFFFF"/>
        </w:rPr>
        <w:t>总采购预算为：</w:t>
      </w:r>
      <w:r>
        <w:rPr>
          <w:rStyle w:val="9"/>
          <w:rFonts w:ascii="宋体" w:hAnsi="宋体" w:cs="宋体"/>
          <w:color w:val="FF0000"/>
          <w:sz w:val="28"/>
          <w:szCs w:val="28"/>
          <w:shd w:val="clear" w:color="auto" w:fill="FFFFFF"/>
        </w:rPr>
        <w:t>48</w:t>
      </w:r>
      <w:r>
        <w:rPr>
          <w:rStyle w:val="9"/>
          <w:rFonts w:hint="eastAsia" w:ascii="宋体" w:hAnsi="宋体" w:cs="宋体"/>
          <w:color w:val="FF0000"/>
          <w:sz w:val="28"/>
          <w:szCs w:val="28"/>
          <w:shd w:val="clear" w:color="auto" w:fill="FFFFFF"/>
        </w:rPr>
        <w:t>.</w:t>
      </w:r>
      <w:r>
        <w:rPr>
          <w:rStyle w:val="9"/>
          <w:rFonts w:ascii="宋体" w:hAnsi="宋体" w:cs="宋体"/>
          <w:color w:val="FF0000"/>
          <w:sz w:val="28"/>
          <w:szCs w:val="28"/>
          <w:shd w:val="clear" w:color="auto" w:fill="FFFFFF"/>
        </w:rPr>
        <w:t>72</w:t>
      </w:r>
      <w:r>
        <w:rPr>
          <w:rStyle w:val="9"/>
          <w:rFonts w:hint="eastAsia" w:ascii="宋体" w:hAnsi="宋体" w:cs="宋体"/>
          <w:color w:val="FF0000"/>
          <w:sz w:val="28"/>
          <w:szCs w:val="28"/>
          <w:shd w:val="clear" w:color="auto" w:fill="FFFFFF"/>
        </w:rPr>
        <w:t>万元</w:t>
      </w:r>
      <w:r>
        <w:rPr>
          <w:rStyle w:val="9"/>
          <w:rFonts w:hint="eastAsia" w:ascii="宋体" w:hAnsi="宋体" w:cs="宋体"/>
          <w:sz w:val="28"/>
          <w:szCs w:val="28"/>
          <w:shd w:val="clear" w:color="auto" w:fill="FFFFFF"/>
        </w:rPr>
        <w:t>。</w:t>
      </w:r>
    </w:p>
    <w:p w14:paraId="5D61DB0B">
      <w:pPr>
        <w:pStyle w:val="6"/>
        <w:widowControl/>
        <w:shd w:val="clear" w:color="auto" w:fill="FFFFFF"/>
        <w:spacing w:before="0" w:beforeAutospacing="0" w:after="0" w:afterAutospacing="0"/>
        <w:ind w:firstLine="560"/>
        <w:rPr>
          <w:rStyle w:val="9"/>
          <w:rFonts w:ascii="宋体" w:hAnsi="宋体" w:cs="宋体"/>
          <w:b w:val="0"/>
          <w:bCs/>
          <w:sz w:val="28"/>
          <w:szCs w:val="28"/>
          <w:shd w:val="clear" w:color="auto" w:fill="FFFFFF"/>
        </w:rPr>
      </w:pPr>
      <w:r>
        <w:rPr>
          <w:rStyle w:val="9"/>
          <w:rFonts w:hint="eastAsia" w:ascii="宋体" w:hAnsi="宋体" w:cs="宋体"/>
          <w:b w:val="0"/>
          <w:bCs/>
          <w:sz w:val="28"/>
          <w:szCs w:val="28"/>
          <w:shd w:val="clear" w:color="auto" w:fill="FFFFFF"/>
        </w:rPr>
        <w:t>具体需求详见附件1。本项目不允许负偏离。</w:t>
      </w:r>
    </w:p>
    <w:p w14:paraId="6EC465DA">
      <w:pPr>
        <w:pStyle w:val="6"/>
        <w:widowControl/>
        <w:numPr>
          <w:ilvl w:val="0"/>
          <w:numId w:val="1"/>
        </w:numPr>
        <w:shd w:val="clear" w:color="auto" w:fill="FFFFFF"/>
        <w:spacing w:before="0" w:beforeAutospacing="0" w:after="0" w:afterAutospacing="0"/>
        <w:ind w:firstLine="480"/>
        <w:rPr>
          <w:rStyle w:val="9"/>
          <w:rFonts w:ascii="宋体" w:hAnsi="宋体" w:cs="宋体"/>
          <w:sz w:val="28"/>
          <w:szCs w:val="28"/>
          <w:shd w:val="clear" w:color="auto" w:fill="FFFFFF"/>
        </w:rPr>
      </w:pPr>
      <w:r>
        <w:rPr>
          <w:rStyle w:val="9"/>
          <w:rFonts w:hint="eastAsia" w:ascii="宋体" w:hAnsi="宋体" w:cs="宋体"/>
          <w:sz w:val="28"/>
          <w:szCs w:val="28"/>
          <w:shd w:val="clear" w:color="auto" w:fill="FFFFFF"/>
        </w:rPr>
        <w:t>投标人资格要求</w:t>
      </w:r>
    </w:p>
    <w:p w14:paraId="37A8F5D2">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（一）必须是在中华人民共和国境内注册，具有独立法人，并持有工商行政管理部门核发的法人营业执照。</w:t>
      </w:r>
    </w:p>
    <w:p w14:paraId="1AF4A2E9">
      <w:pPr>
        <w:pStyle w:val="6"/>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二）未被列入失信被执行人名单、重大税收违法案件当事人名单、政府采购严重违法失信行为记录名单，信用信息以最新的信用中国网站和中国政府采购网公布为准，请提供最新的信用中国网站和中国政府采购网的截图证明信息。</w:t>
      </w:r>
    </w:p>
    <w:p w14:paraId="4B47B2AC">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信用中国”网站查询方法：投标人在本项目投标截止时间前10日内,进入投标人基本信息页面，点击“下载信用报告”后点击“下载”。“中国政府采购网”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2C8798A6">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（三）单位负责人为同一人或者存在直接控股、管理关系的不同供应商，不得参加同一合同项下的采购活动。本项目不接受联合体。</w:t>
      </w:r>
      <w:r>
        <w:rPr>
          <w:rFonts w:hint="eastAsia" w:ascii="宋体" w:hAnsi="宋体" w:eastAsia="宋体" w:cs="宋体"/>
          <w:sz w:val="28"/>
          <w:szCs w:val="28"/>
        </w:rPr>
        <w:t>（投标时提供附件2）</w:t>
      </w:r>
    </w:p>
    <w:p w14:paraId="1E8FB26D">
      <w:pPr>
        <w:pStyle w:val="6"/>
        <w:widowControl/>
        <w:numPr>
          <w:ilvl w:val="0"/>
          <w:numId w:val="1"/>
        </w:numPr>
        <w:shd w:val="clear" w:color="auto" w:fill="FFFFFF"/>
        <w:spacing w:before="0" w:beforeAutospacing="0" w:after="0" w:afterAutospacing="0"/>
        <w:ind w:firstLine="480"/>
        <w:rPr>
          <w:rStyle w:val="9"/>
          <w:rFonts w:ascii="宋体" w:hAnsi="宋体" w:cs="宋体"/>
          <w:sz w:val="28"/>
          <w:szCs w:val="28"/>
          <w:shd w:val="clear" w:color="auto" w:fill="FFFFFF"/>
        </w:rPr>
      </w:pPr>
      <w:r>
        <w:rPr>
          <w:rStyle w:val="9"/>
          <w:rFonts w:hint="eastAsia" w:ascii="宋体" w:hAnsi="宋体" w:cs="宋体"/>
          <w:sz w:val="28"/>
          <w:szCs w:val="28"/>
          <w:shd w:val="clear" w:color="auto" w:fill="FFFFFF"/>
        </w:rPr>
        <w:t>投标要求</w:t>
      </w:r>
    </w:p>
    <w:p w14:paraId="12368E98">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（一）提供法人授权委托书（格式自拟）、有效的营业执照复印件（加盖单位公章）、被授权人身份证（复印件）及按第三大点资格要求列明的证明材料。</w:t>
      </w:r>
    </w:p>
    <w:p w14:paraId="1D43EE70">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二）报价函（格式自拟，写清楚所投产品品牌、型号、技术参数等，报价必须包含但不限于运输、调试、安装、税金等本项目所有费用）、技术与商务参数偏离表（格式自拟，必须与采购需求表里的技术参数逐项比对）。</w:t>
      </w:r>
    </w:p>
    <w:p w14:paraId="168DDA12">
      <w:pPr>
        <w:pStyle w:val="6"/>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（三）关于本项目的服务承诺（格式自拟，包含但不限于售后、培训、免费质保期等）。</w:t>
      </w:r>
    </w:p>
    <w:p w14:paraId="19D0DE99">
      <w:pPr>
        <w:pStyle w:val="6"/>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（四）采购需求里要求提供的其他证明材料。</w:t>
      </w:r>
    </w:p>
    <w:p w14:paraId="08AE8EC2">
      <w:pPr>
        <w:pStyle w:val="6"/>
        <w:widowControl/>
        <w:shd w:val="clear" w:color="auto" w:fill="FFFFFF"/>
        <w:spacing w:before="0" w:beforeAutospacing="0" w:after="0" w:afterAutospacing="0"/>
        <w:ind w:firstLine="480"/>
        <w:rPr>
          <w:sz w:val="28"/>
          <w:szCs w:val="28"/>
        </w:rPr>
      </w:pPr>
      <w:r>
        <w:rPr>
          <w:rStyle w:val="9"/>
          <w:rFonts w:hint="eastAsia" w:ascii="宋体" w:hAnsi="宋体" w:cs="宋体"/>
          <w:sz w:val="28"/>
          <w:szCs w:val="28"/>
          <w:shd w:val="clear" w:color="auto" w:fill="FFFFFF"/>
        </w:rPr>
        <w:t>注：所有投标材料务必严格按要求提供，不按要求提供的，采购人有权视为无效投标。投标材料必须一正一副，且须加盖公章后密封提供。</w:t>
      </w:r>
    </w:p>
    <w:p w14:paraId="3891AAFE">
      <w:pPr>
        <w:pStyle w:val="6"/>
        <w:widowControl/>
        <w:shd w:val="clear" w:color="auto" w:fill="FFFFFF"/>
        <w:spacing w:before="0" w:beforeAutospacing="0" w:after="0" w:afterAutospacing="0"/>
        <w:ind w:firstLine="480"/>
        <w:rPr>
          <w:sz w:val="28"/>
          <w:szCs w:val="28"/>
        </w:rPr>
      </w:pPr>
      <w:r>
        <w:rPr>
          <w:rStyle w:val="9"/>
          <w:rFonts w:hint="eastAsia" w:ascii="宋体" w:hAnsi="宋体" w:cs="宋体"/>
          <w:sz w:val="28"/>
          <w:szCs w:val="28"/>
          <w:shd w:val="clear" w:color="auto" w:fill="FFFFFF"/>
        </w:rPr>
        <w:t>五、中标方式</w:t>
      </w:r>
      <w:r>
        <w:rPr>
          <w:rFonts w:hint="eastAsia"/>
          <w:sz w:val="28"/>
          <w:szCs w:val="28"/>
        </w:rPr>
        <w:t>：</w:t>
      </w:r>
      <w:r>
        <w:rPr>
          <w:rFonts w:hint="eastAsia" w:ascii="宋体" w:hAnsi="宋体" w:cs="宋体"/>
          <w:sz w:val="28"/>
          <w:szCs w:val="28"/>
          <w:shd w:val="clear" w:color="auto" w:fill="FFFFFF"/>
        </w:rPr>
        <w:t>根据投标人的投标材料，在满足采购需求的基础上，采取低价中标方式选定该项目中标单位，若价格相同，则采取抽签方式确定中标单位。</w:t>
      </w:r>
    </w:p>
    <w:p w14:paraId="05CA4CEC">
      <w:pPr>
        <w:pStyle w:val="6"/>
        <w:widowControl/>
        <w:shd w:val="clear" w:color="auto" w:fill="FFFFFF"/>
        <w:spacing w:before="0" w:beforeAutospacing="0" w:after="0" w:afterAutospacing="0"/>
        <w:ind w:firstLine="480"/>
        <w:rPr>
          <w:sz w:val="28"/>
          <w:szCs w:val="28"/>
        </w:rPr>
      </w:pPr>
      <w:r>
        <w:rPr>
          <w:rStyle w:val="9"/>
          <w:rFonts w:hint="eastAsia" w:ascii="宋体" w:hAnsi="宋体" w:cs="宋体"/>
          <w:sz w:val="28"/>
          <w:szCs w:val="28"/>
          <w:shd w:val="clear" w:color="auto" w:fill="FFFFFF"/>
        </w:rPr>
        <w:t>六、投标截止时间和地点</w:t>
      </w:r>
    </w:p>
    <w:p w14:paraId="2CEBDC80">
      <w:pPr>
        <w:pStyle w:val="6"/>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投标时间：凡愿意且符合条件投标人，请于2025年</w:t>
      </w:r>
      <w:r>
        <w:rPr>
          <w:rFonts w:ascii="宋体" w:hAnsi="宋体" w:cs="宋体"/>
          <w:sz w:val="28"/>
          <w:szCs w:val="28"/>
          <w:highlight w:val="none"/>
          <w:shd w:val="clear" w:color="auto" w:fill="FFFFFF"/>
        </w:rPr>
        <w:t>7</w:t>
      </w:r>
      <w:r>
        <w:rPr>
          <w:rFonts w:hint="eastAsia" w:ascii="宋体" w:hAnsi="宋体" w:cs="宋体"/>
          <w:sz w:val="28"/>
          <w:szCs w:val="28"/>
          <w:highlight w:val="none"/>
          <w:shd w:val="clear" w:color="auto" w:fill="FFFFFF"/>
        </w:rPr>
        <w:t>月</w:t>
      </w:r>
      <w:r>
        <w:rPr>
          <w:rFonts w:hint="eastAsia" w:ascii="宋体" w:hAnsi="宋体" w:cs="宋体"/>
          <w:sz w:val="28"/>
          <w:szCs w:val="28"/>
          <w:highlight w:val="none"/>
          <w:shd w:val="clear" w:color="auto" w:fill="FFFFFF"/>
          <w:lang w:val="en-US" w:eastAsia="zh-CN"/>
        </w:rPr>
        <w:t>7</w:t>
      </w:r>
      <w:r>
        <w:rPr>
          <w:rFonts w:hint="eastAsia" w:ascii="宋体" w:hAnsi="宋体" w:cs="宋体"/>
          <w:sz w:val="28"/>
          <w:szCs w:val="28"/>
          <w:highlight w:val="none"/>
          <w:shd w:val="clear" w:color="auto" w:fill="FFFFFF"/>
        </w:rPr>
        <w:t>日</w:t>
      </w:r>
      <w:r>
        <w:rPr>
          <w:rFonts w:hint="eastAsia" w:ascii="宋体" w:hAnsi="宋体" w:cs="宋体"/>
          <w:sz w:val="28"/>
          <w:szCs w:val="28"/>
          <w:shd w:val="clear" w:color="auto" w:fill="FFFFFF"/>
        </w:rPr>
        <w:t>上午9点至11点之间，</w:t>
      </w:r>
      <w:bookmarkStart w:id="1" w:name="_GoBack"/>
      <w:bookmarkEnd w:id="1"/>
      <w:r>
        <w:rPr>
          <w:rFonts w:hint="eastAsia" w:ascii="宋体" w:hAnsi="宋体" w:cs="宋体"/>
          <w:sz w:val="28"/>
          <w:szCs w:val="28"/>
          <w:shd w:val="clear" w:color="auto" w:fill="FFFFFF"/>
        </w:rPr>
        <w:t>将投标文件送达广西艺术学院财务资产处，其他时间不接收报名材料。投标地点：南宁市教育路7号广西艺术学院雕塑办公楼107室财务资产处采购管理科。联系人：</w:t>
      </w:r>
      <w:r>
        <w:rPr>
          <w:rFonts w:hint="eastAsia" w:ascii="宋体" w:hAnsi="宋体" w:cs="宋体"/>
          <w:color w:val="000000" w:themeColor="text1"/>
          <w:sz w:val="28"/>
          <w:szCs w:val="28"/>
          <w:shd w:val="clear" w:color="auto" w:fill="FFFFFF"/>
          <w14:textFill>
            <w14:solidFill>
              <w14:schemeClr w14:val="tx1"/>
            </w14:solidFill>
          </w14:textFill>
        </w:rPr>
        <w:t>朱</w:t>
      </w:r>
      <w:r>
        <w:rPr>
          <w:rFonts w:hint="eastAsia" w:ascii="宋体" w:hAnsi="宋体" w:cs="宋体"/>
          <w:sz w:val="28"/>
          <w:szCs w:val="28"/>
          <w:shd w:val="clear" w:color="auto" w:fill="FFFFFF"/>
        </w:rPr>
        <w:t>老师，联系电话：07715327987.</w:t>
      </w:r>
    </w:p>
    <w:p w14:paraId="1D35ADC4">
      <w:pPr>
        <w:pStyle w:val="6"/>
        <w:widowControl/>
        <w:shd w:val="clear" w:color="auto" w:fill="FFFFFF"/>
        <w:spacing w:before="0" w:beforeAutospacing="0" w:after="0" w:afterAutospacing="0"/>
        <w:ind w:firstLine="480"/>
        <w:rPr>
          <w:rFonts w:ascii="宋体" w:hAnsi="宋体" w:cs="宋体"/>
          <w:sz w:val="28"/>
          <w:szCs w:val="28"/>
          <w:shd w:val="clear" w:color="auto" w:fill="FFFFFF"/>
        </w:rPr>
        <w:sectPr>
          <w:pgSz w:w="11906" w:h="16838"/>
          <w:pgMar w:top="720" w:right="720" w:bottom="720" w:left="720" w:header="851" w:footer="992" w:gutter="0"/>
          <w:cols w:space="425" w:num="1"/>
          <w:docGrid w:type="lines" w:linePitch="312" w:charSpace="0"/>
        </w:sectPr>
      </w:pPr>
      <w:r>
        <w:rPr>
          <w:rFonts w:hint="eastAsia" w:ascii="宋体" w:hAnsi="宋体" w:cs="宋体"/>
          <w:sz w:val="28"/>
          <w:szCs w:val="28"/>
          <w:shd w:val="clear" w:color="auto" w:fill="FFFFFF"/>
        </w:rPr>
        <w:t>七、</w:t>
      </w:r>
      <w:r>
        <w:rPr>
          <w:rFonts w:hint="eastAsia" w:ascii="宋体" w:hAnsi="宋体" w:eastAsia="宋体" w:cs="宋体"/>
          <w:sz w:val="28"/>
          <w:szCs w:val="28"/>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06C629C0">
      <w:r>
        <w:rPr>
          <w:rFonts w:hint="eastAsia"/>
        </w:rPr>
        <w:t xml:space="preserve"> </w:t>
      </w:r>
      <w:r>
        <w:t xml:space="preserve">                                                    </w:t>
      </w:r>
      <w:r>
        <w:rPr>
          <w:rFonts w:hint="eastAsia" w:ascii="宋体" w:hAnsi="宋体" w:eastAsia="宋体" w:cs="宋体"/>
          <w:b/>
          <w:bCs/>
          <w:color w:val="000000"/>
          <w:kern w:val="0"/>
          <w:sz w:val="40"/>
          <w:szCs w:val="40"/>
          <w:lang w:bidi="ar"/>
        </w:rPr>
        <w:t>设备购置清单</w:t>
      </w:r>
    </w:p>
    <w:tbl>
      <w:tblPr>
        <w:tblStyle w:val="7"/>
        <w:tblW w:w="12895" w:type="dxa"/>
        <w:tblInd w:w="113" w:type="dxa"/>
        <w:tblLayout w:type="fixed"/>
        <w:tblCellMar>
          <w:top w:w="0" w:type="dxa"/>
          <w:left w:w="108" w:type="dxa"/>
          <w:bottom w:w="0" w:type="dxa"/>
          <w:right w:w="108" w:type="dxa"/>
        </w:tblCellMar>
      </w:tblPr>
      <w:tblGrid>
        <w:gridCol w:w="846"/>
        <w:gridCol w:w="1006"/>
        <w:gridCol w:w="6081"/>
        <w:gridCol w:w="2552"/>
        <w:gridCol w:w="1037"/>
        <w:gridCol w:w="1373"/>
      </w:tblGrid>
      <w:tr w14:paraId="0A9527D0">
        <w:tblPrEx>
          <w:tblCellMar>
            <w:top w:w="0" w:type="dxa"/>
            <w:left w:w="108" w:type="dxa"/>
            <w:bottom w:w="0" w:type="dxa"/>
            <w:right w:w="108" w:type="dxa"/>
          </w:tblCellMar>
        </w:tblPrEx>
        <w:trPr>
          <w:trHeight w:val="312"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A4D8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D4E3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 采购品目</w:t>
            </w:r>
          </w:p>
        </w:tc>
        <w:tc>
          <w:tcPr>
            <w:tcW w:w="6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F99AE">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A79D65">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推荐品牌型号及厂家</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4E2F3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采购数量</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753C3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计量单位</w:t>
            </w:r>
          </w:p>
        </w:tc>
      </w:tr>
      <w:tr w14:paraId="36393349">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172511D5">
            <w:pPr>
              <w:widowControl/>
              <w:jc w:val="left"/>
              <w:rPr>
                <w:rFonts w:ascii="宋体" w:hAnsi="宋体" w:eastAsia="宋体" w:cs="宋体"/>
                <w:b/>
                <w:bCs/>
                <w:color w:val="000000"/>
                <w:kern w:val="0"/>
                <w:sz w:val="22"/>
                <w:szCs w:val="22"/>
              </w:rPr>
            </w:pPr>
          </w:p>
        </w:tc>
        <w:tc>
          <w:tcPr>
            <w:tcW w:w="1006" w:type="dxa"/>
            <w:vMerge w:val="continue"/>
            <w:tcBorders>
              <w:top w:val="single" w:color="auto" w:sz="4" w:space="0"/>
              <w:left w:val="single" w:color="auto" w:sz="4" w:space="0"/>
              <w:bottom w:val="single" w:color="auto" w:sz="4" w:space="0"/>
              <w:right w:val="single" w:color="auto" w:sz="4" w:space="0"/>
            </w:tcBorders>
            <w:vAlign w:val="center"/>
          </w:tcPr>
          <w:p w14:paraId="0429E5DC">
            <w:pPr>
              <w:widowControl/>
              <w:jc w:val="left"/>
              <w:rPr>
                <w:rFonts w:ascii="宋体" w:hAnsi="宋体" w:eastAsia="宋体" w:cs="宋体"/>
                <w:b/>
                <w:bCs/>
                <w:color w:val="000000"/>
                <w:kern w:val="0"/>
                <w:sz w:val="22"/>
                <w:szCs w:val="22"/>
              </w:rPr>
            </w:pPr>
          </w:p>
        </w:tc>
        <w:tc>
          <w:tcPr>
            <w:tcW w:w="6081" w:type="dxa"/>
            <w:vMerge w:val="continue"/>
            <w:tcBorders>
              <w:top w:val="single" w:color="auto" w:sz="4" w:space="0"/>
              <w:left w:val="single" w:color="auto" w:sz="4" w:space="0"/>
              <w:bottom w:val="single" w:color="auto" w:sz="4" w:space="0"/>
              <w:right w:val="single" w:color="auto" w:sz="4" w:space="0"/>
            </w:tcBorders>
            <w:vAlign w:val="center"/>
          </w:tcPr>
          <w:p w14:paraId="5663D55A">
            <w:pPr>
              <w:widowControl/>
              <w:jc w:val="left"/>
              <w:rPr>
                <w:rFonts w:ascii="宋体" w:hAnsi="宋体" w:eastAsia="宋体" w:cs="宋体"/>
                <w:b/>
                <w:bCs/>
                <w:kern w:val="0"/>
                <w:sz w:val="22"/>
                <w:szCs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4EFCD2E2">
            <w:pPr>
              <w:widowControl/>
              <w:jc w:val="left"/>
              <w:rPr>
                <w:rFonts w:ascii="宋体" w:hAnsi="宋体" w:eastAsia="宋体" w:cs="宋体"/>
                <w:b/>
                <w:bCs/>
                <w:kern w:val="0"/>
                <w:sz w:val="22"/>
                <w:szCs w:val="22"/>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14:paraId="5433053D">
            <w:pPr>
              <w:widowControl/>
              <w:jc w:val="left"/>
              <w:rPr>
                <w:rFonts w:ascii="宋体" w:hAnsi="宋体" w:eastAsia="宋体" w:cs="宋体"/>
                <w:b/>
                <w:bCs/>
                <w:color w:val="000000"/>
                <w:kern w:val="0"/>
                <w:sz w:val="22"/>
                <w:szCs w:val="22"/>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45CC688">
            <w:pPr>
              <w:widowControl/>
              <w:jc w:val="left"/>
              <w:rPr>
                <w:rFonts w:ascii="宋体" w:hAnsi="宋体" w:eastAsia="宋体" w:cs="宋体"/>
                <w:b/>
                <w:bCs/>
                <w:color w:val="000000"/>
                <w:kern w:val="0"/>
                <w:sz w:val="22"/>
                <w:szCs w:val="22"/>
              </w:rPr>
            </w:pPr>
          </w:p>
        </w:tc>
      </w:tr>
      <w:tr w14:paraId="710F8458">
        <w:tblPrEx>
          <w:tblCellMar>
            <w:top w:w="0" w:type="dxa"/>
            <w:left w:w="108" w:type="dxa"/>
            <w:bottom w:w="0" w:type="dxa"/>
            <w:right w:w="108" w:type="dxa"/>
          </w:tblCellMar>
        </w:tblPrEx>
        <w:trPr>
          <w:trHeight w:val="216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B71563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06" w:type="dxa"/>
            <w:tcBorders>
              <w:top w:val="nil"/>
              <w:left w:val="nil"/>
              <w:bottom w:val="single" w:color="auto" w:sz="4" w:space="0"/>
              <w:right w:val="single" w:color="auto" w:sz="4" w:space="0"/>
            </w:tcBorders>
            <w:shd w:val="clear" w:color="auto" w:fill="auto"/>
            <w:vAlign w:val="center"/>
          </w:tcPr>
          <w:p w14:paraId="5605DFB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音频渲染软件</w:t>
            </w:r>
          </w:p>
        </w:tc>
        <w:tc>
          <w:tcPr>
            <w:tcW w:w="6081" w:type="dxa"/>
            <w:tcBorders>
              <w:top w:val="nil"/>
              <w:left w:val="nil"/>
              <w:bottom w:val="single" w:color="auto" w:sz="4" w:space="0"/>
              <w:right w:val="single" w:color="auto" w:sz="4" w:space="0"/>
            </w:tcBorders>
            <w:shd w:val="clear" w:color="000000" w:fill="FFFFFF"/>
            <w:vAlign w:val="center"/>
          </w:tcPr>
          <w:p w14:paraId="3A633D0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1.3D声场制作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2.包含Atmos制作插件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3.Atmos分轨制作功能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4.Atmos播放及渲染功能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5.支持双耳监听功能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6.支持立体声\5.1.4\7.1.4</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7.支持64个独立扬声器，能够同时传送多达128个声道</w:t>
            </w:r>
          </w:p>
        </w:tc>
        <w:tc>
          <w:tcPr>
            <w:tcW w:w="2552" w:type="dxa"/>
            <w:tcBorders>
              <w:top w:val="nil"/>
              <w:left w:val="nil"/>
              <w:bottom w:val="single" w:color="auto" w:sz="4" w:space="0"/>
              <w:right w:val="single" w:color="auto" w:sz="4" w:space="0"/>
            </w:tcBorders>
            <w:shd w:val="clear" w:color="000000" w:fill="FFFFFF"/>
            <w:vAlign w:val="center"/>
          </w:tcPr>
          <w:p w14:paraId="0C280F9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Dolby/AVID/Nuendo</w:t>
            </w:r>
          </w:p>
        </w:tc>
        <w:tc>
          <w:tcPr>
            <w:tcW w:w="1037" w:type="dxa"/>
            <w:tcBorders>
              <w:top w:val="nil"/>
              <w:left w:val="nil"/>
              <w:bottom w:val="single" w:color="auto" w:sz="4" w:space="0"/>
              <w:right w:val="single" w:color="auto" w:sz="4" w:space="0"/>
            </w:tcBorders>
            <w:shd w:val="clear" w:color="000000" w:fill="FFFFFF"/>
            <w:vAlign w:val="center"/>
          </w:tcPr>
          <w:p w14:paraId="77EA6DC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7782D41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14:paraId="51AB2C6B">
        <w:tblPrEx>
          <w:tblCellMar>
            <w:top w:w="0" w:type="dxa"/>
            <w:left w:w="108" w:type="dxa"/>
            <w:bottom w:w="0" w:type="dxa"/>
            <w:right w:w="108" w:type="dxa"/>
          </w:tblCellMar>
        </w:tblPrEx>
        <w:trPr>
          <w:trHeight w:val="144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B5505E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06" w:type="dxa"/>
            <w:tcBorders>
              <w:top w:val="nil"/>
              <w:left w:val="nil"/>
              <w:bottom w:val="single" w:color="auto" w:sz="4" w:space="0"/>
              <w:right w:val="single" w:color="auto" w:sz="4" w:space="0"/>
            </w:tcBorders>
            <w:shd w:val="clear" w:color="auto" w:fill="auto"/>
            <w:vAlign w:val="center"/>
          </w:tcPr>
          <w:p w14:paraId="07D031FC">
            <w:pPr>
              <w:widowControl/>
              <w:jc w:val="center"/>
              <w:rPr>
                <w:rFonts w:ascii="宋体" w:hAnsi="宋体" w:eastAsia="宋体" w:cs="宋体"/>
                <w:kern w:val="0"/>
                <w:sz w:val="22"/>
                <w:szCs w:val="22"/>
              </w:rPr>
            </w:pPr>
            <w:r>
              <w:rPr>
                <w:rFonts w:hint="eastAsia" w:ascii="宋体" w:hAnsi="宋体" w:eastAsia="宋体" w:cs="宋体"/>
                <w:kern w:val="0"/>
                <w:sz w:val="22"/>
                <w:szCs w:val="22"/>
              </w:rPr>
              <w:t>沉浸式数字音频处理套装</w:t>
            </w:r>
          </w:p>
        </w:tc>
        <w:tc>
          <w:tcPr>
            <w:tcW w:w="6081" w:type="dxa"/>
            <w:tcBorders>
              <w:top w:val="nil"/>
              <w:left w:val="nil"/>
              <w:bottom w:val="single" w:color="auto" w:sz="4" w:space="0"/>
              <w:right w:val="single" w:color="auto" w:sz="4" w:space="0"/>
            </w:tcBorders>
            <w:shd w:val="clear" w:color="000000" w:fill="FFFFFF"/>
            <w:vAlign w:val="center"/>
          </w:tcPr>
          <w:p w14:paraId="591A338A">
            <w:pPr>
              <w:widowControl/>
              <w:jc w:val="left"/>
              <w:rPr>
                <w:rFonts w:ascii="宋体" w:hAnsi="宋体" w:eastAsia="宋体" w:cs="宋体"/>
                <w:kern w:val="0"/>
                <w:sz w:val="22"/>
                <w:szCs w:val="22"/>
              </w:rPr>
            </w:pPr>
            <w:r>
              <w:rPr>
                <w:rFonts w:ascii="Times New Roman" w:hAnsi="Times New Roman" w:eastAsia="宋体" w:cs="Times New Roman"/>
                <w:kern w:val="0"/>
                <w:sz w:val="22"/>
                <w:szCs w:val="22"/>
              </w:rPr>
              <w:t>‌</w:t>
            </w:r>
            <w:r>
              <w:rPr>
                <w:rFonts w:hint="eastAsia" w:ascii="宋体" w:hAnsi="宋体" w:eastAsia="宋体" w:cs="宋体"/>
                <w:kern w:val="0"/>
                <w:sz w:val="22"/>
                <w:szCs w:val="22"/>
              </w:rPr>
              <w:t>处理器</w:t>
            </w:r>
            <w:r>
              <w:rPr>
                <w:rFonts w:ascii="Times New Roman" w:hAnsi="Times New Roman" w:eastAsia="宋体" w:cs="Times New Roman"/>
                <w:kern w:val="0"/>
                <w:sz w:val="22"/>
                <w:szCs w:val="22"/>
              </w:rPr>
              <w:t>‌</w:t>
            </w:r>
            <w:r>
              <w:rPr>
                <w:rFonts w:hint="eastAsia" w:ascii="宋体" w:hAnsi="宋体" w:eastAsia="宋体" w:cs="宋体"/>
                <w:kern w:val="0"/>
                <w:sz w:val="22"/>
                <w:szCs w:val="22"/>
              </w:rPr>
              <w:t>：内置八颗SHARC处理器。</w:t>
            </w:r>
            <w:r>
              <w:rPr>
                <w:rFonts w:hint="eastAsia" w:ascii="宋体" w:hAnsi="宋体" w:eastAsia="宋体" w:cs="宋体"/>
                <w:kern w:val="0"/>
                <w:sz w:val="22"/>
                <w:szCs w:val="22"/>
              </w:rPr>
              <w:br w:type="textWrapping"/>
            </w:r>
            <w:r>
              <w:rPr>
                <w:rFonts w:ascii="Times New Roman" w:hAnsi="Times New Roman" w:eastAsia="宋体" w:cs="Times New Roman"/>
                <w:kern w:val="0"/>
                <w:sz w:val="22"/>
                <w:szCs w:val="22"/>
              </w:rPr>
              <w:t>‌</w:t>
            </w:r>
            <w:r>
              <w:rPr>
                <w:rFonts w:hint="eastAsia" w:ascii="宋体" w:hAnsi="宋体" w:eastAsia="宋体" w:cs="宋体"/>
                <w:kern w:val="0"/>
                <w:sz w:val="22"/>
                <w:szCs w:val="22"/>
              </w:rPr>
              <w:t>接口类型</w:t>
            </w:r>
            <w:r>
              <w:rPr>
                <w:rFonts w:ascii="Times New Roman" w:hAnsi="Times New Roman" w:eastAsia="宋体" w:cs="Times New Roman"/>
                <w:kern w:val="0"/>
                <w:sz w:val="22"/>
                <w:szCs w:val="22"/>
              </w:rPr>
              <w:t>‌</w:t>
            </w:r>
            <w:r>
              <w:rPr>
                <w:rFonts w:hint="eastAsia" w:ascii="宋体" w:hAnsi="宋体" w:eastAsia="宋体" w:cs="宋体"/>
                <w:kern w:val="0"/>
                <w:sz w:val="22"/>
                <w:szCs w:val="22"/>
              </w:rPr>
              <w:t>：Thunderbolt 3接口，支持Mac和Windows 10系统。</w:t>
            </w:r>
            <w:r>
              <w:rPr>
                <w:rFonts w:hint="eastAsia" w:ascii="宋体" w:hAnsi="宋体" w:eastAsia="宋体" w:cs="宋体"/>
                <w:kern w:val="0"/>
                <w:sz w:val="22"/>
                <w:szCs w:val="22"/>
              </w:rPr>
              <w:br w:type="textWrapping"/>
            </w:r>
            <w:r>
              <w:rPr>
                <w:rFonts w:ascii="Times New Roman" w:hAnsi="Times New Roman" w:eastAsia="宋体" w:cs="Times New Roman"/>
                <w:kern w:val="0"/>
                <w:sz w:val="22"/>
                <w:szCs w:val="22"/>
              </w:rPr>
              <w:t>‌</w:t>
            </w:r>
            <w:r>
              <w:rPr>
                <w:rFonts w:hint="eastAsia" w:ascii="宋体" w:hAnsi="宋体" w:eastAsia="宋体" w:cs="宋体"/>
                <w:kern w:val="0"/>
                <w:sz w:val="22"/>
                <w:szCs w:val="22"/>
              </w:rPr>
              <w:t>插件支持</w:t>
            </w:r>
            <w:r>
              <w:rPr>
                <w:rFonts w:ascii="Times New Roman" w:hAnsi="Times New Roman" w:eastAsia="宋体" w:cs="Times New Roman"/>
                <w:kern w:val="0"/>
                <w:sz w:val="22"/>
                <w:szCs w:val="22"/>
              </w:rPr>
              <w:t>‌</w:t>
            </w:r>
            <w:r>
              <w:rPr>
                <w:rFonts w:hint="eastAsia" w:ascii="宋体" w:hAnsi="宋体" w:eastAsia="宋体" w:cs="宋体"/>
                <w:kern w:val="0"/>
                <w:sz w:val="22"/>
                <w:szCs w:val="22"/>
              </w:rPr>
              <w:t>：支持UAD的仿真模拟插件，包括Neve、Fender、Lexicon、Studer等</w:t>
            </w:r>
          </w:p>
        </w:tc>
        <w:tc>
          <w:tcPr>
            <w:tcW w:w="2552" w:type="dxa"/>
            <w:tcBorders>
              <w:top w:val="nil"/>
              <w:left w:val="nil"/>
              <w:bottom w:val="single" w:color="auto" w:sz="4" w:space="0"/>
              <w:right w:val="single" w:color="auto" w:sz="4" w:space="0"/>
            </w:tcBorders>
            <w:shd w:val="clear" w:color="000000" w:fill="FFFFFF"/>
            <w:vAlign w:val="center"/>
          </w:tcPr>
          <w:p w14:paraId="5D38084D">
            <w:pPr>
              <w:widowControl/>
              <w:jc w:val="center"/>
              <w:rPr>
                <w:rFonts w:ascii="宋体" w:hAnsi="宋体" w:eastAsia="宋体" w:cs="宋体"/>
                <w:kern w:val="0"/>
                <w:sz w:val="22"/>
                <w:szCs w:val="22"/>
              </w:rPr>
            </w:pPr>
            <w:r>
              <w:rPr>
                <w:rFonts w:hint="eastAsia" w:ascii="宋体" w:hAnsi="宋体" w:eastAsia="宋体" w:cs="宋体"/>
                <w:kern w:val="0"/>
                <w:sz w:val="22"/>
                <w:szCs w:val="22"/>
              </w:rPr>
              <w:t>UAD-2/Fabfilter Total Bundle /iZotope RX&amp;Ozone</w:t>
            </w:r>
          </w:p>
        </w:tc>
        <w:tc>
          <w:tcPr>
            <w:tcW w:w="1037" w:type="dxa"/>
            <w:tcBorders>
              <w:top w:val="nil"/>
              <w:left w:val="nil"/>
              <w:bottom w:val="single" w:color="auto" w:sz="4" w:space="0"/>
              <w:right w:val="single" w:color="auto" w:sz="4" w:space="0"/>
            </w:tcBorders>
            <w:shd w:val="clear" w:color="000000" w:fill="FFFFFF"/>
            <w:vAlign w:val="center"/>
          </w:tcPr>
          <w:p w14:paraId="49A363A3">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1C32531C">
            <w:pPr>
              <w:widowControl/>
              <w:jc w:val="center"/>
              <w:rPr>
                <w:rFonts w:ascii="宋体" w:hAnsi="宋体" w:eastAsia="宋体" w:cs="宋体"/>
                <w:kern w:val="0"/>
                <w:sz w:val="22"/>
                <w:szCs w:val="22"/>
              </w:rPr>
            </w:pPr>
            <w:r>
              <w:rPr>
                <w:rFonts w:hint="eastAsia" w:ascii="宋体" w:hAnsi="宋体" w:eastAsia="宋体" w:cs="宋体"/>
                <w:kern w:val="0"/>
                <w:sz w:val="22"/>
                <w:szCs w:val="22"/>
              </w:rPr>
              <w:t>套</w:t>
            </w:r>
          </w:p>
        </w:tc>
      </w:tr>
      <w:tr w14:paraId="10D5D86C">
        <w:tblPrEx>
          <w:tblCellMar>
            <w:top w:w="0" w:type="dxa"/>
            <w:left w:w="108" w:type="dxa"/>
            <w:bottom w:w="0" w:type="dxa"/>
            <w:right w:w="108" w:type="dxa"/>
          </w:tblCellMar>
        </w:tblPrEx>
        <w:trPr>
          <w:trHeight w:val="16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2ED3D72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06" w:type="dxa"/>
            <w:tcBorders>
              <w:top w:val="nil"/>
              <w:left w:val="nil"/>
              <w:bottom w:val="single" w:color="auto" w:sz="4" w:space="0"/>
              <w:right w:val="single" w:color="auto" w:sz="4" w:space="0"/>
            </w:tcBorders>
            <w:shd w:val="clear" w:color="auto" w:fill="auto"/>
            <w:vAlign w:val="center"/>
          </w:tcPr>
          <w:p w14:paraId="0FF16AD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吊顶环绕支架</w:t>
            </w:r>
          </w:p>
        </w:tc>
        <w:tc>
          <w:tcPr>
            <w:tcW w:w="6081" w:type="dxa"/>
            <w:tcBorders>
              <w:top w:val="nil"/>
              <w:left w:val="nil"/>
              <w:bottom w:val="single" w:color="auto" w:sz="4" w:space="0"/>
              <w:right w:val="single" w:color="auto" w:sz="4" w:space="0"/>
            </w:tcBorders>
            <w:shd w:val="clear" w:color="000000" w:fill="FFFFFF"/>
            <w:vAlign w:val="center"/>
          </w:tcPr>
          <w:p w14:paraId="3B9D00D1">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1.配有坚固的钢制立杆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2.固定安装、有穿线孔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3.满足实际安装要求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4.可左右转动45度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5.上下转动90度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6.承重能力可达35kg以上</w:t>
            </w:r>
          </w:p>
        </w:tc>
        <w:tc>
          <w:tcPr>
            <w:tcW w:w="2552" w:type="dxa"/>
            <w:tcBorders>
              <w:top w:val="nil"/>
              <w:left w:val="nil"/>
              <w:bottom w:val="single" w:color="auto" w:sz="4" w:space="0"/>
              <w:right w:val="single" w:color="auto" w:sz="4" w:space="0"/>
            </w:tcBorders>
            <w:shd w:val="clear" w:color="000000" w:fill="FFFFFF"/>
            <w:vAlign w:val="center"/>
          </w:tcPr>
          <w:p w14:paraId="113520A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PMC/GENELEC/Meyer</w:t>
            </w:r>
          </w:p>
        </w:tc>
        <w:tc>
          <w:tcPr>
            <w:tcW w:w="1037" w:type="dxa"/>
            <w:tcBorders>
              <w:top w:val="nil"/>
              <w:left w:val="nil"/>
              <w:bottom w:val="single" w:color="auto" w:sz="4" w:space="0"/>
              <w:right w:val="single" w:color="auto" w:sz="4" w:space="0"/>
            </w:tcBorders>
            <w:shd w:val="clear" w:color="000000" w:fill="FFFFFF"/>
            <w:vAlign w:val="center"/>
          </w:tcPr>
          <w:p w14:paraId="3E33630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000000" w:fill="FFFFFF"/>
            <w:vAlign w:val="center"/>
          </w:tcPr>
          <w:p w14:paraId="546A65F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只</w:t>
            </w:r>
          </w:p>
        </w:tc>
      </w:tr>
      <w:tr w14:paraId="633BD442">
        <w:tblPrEx>
          <w:tblCellMar>
            <w:top w:w="0" w:type="dxa"/>
            <w:left w:w="108" w:type="dxa"/>
            <w:bottom w:w="0" w:type="dxa"/>
            <w:right w:w="108" w:type="dxa"/>
          </w:tblCellMar>
        </w:tblPrEx>
        <w:trPr>
          <w:trHeight w:val="567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6DC631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06" w:type="dxa"/>
            <w:tcBorders>
              <w:top w:val="nil"/>
              <w:left w:val="nil"/>
              <w:bottom w:val="single" w:color="auto" w:sz="4" w:space="0"/>
              <w:right w:val="single" w:color="auto" w:sz="4" w:space="0"/>
            </w:tcBorders>
            <w:shd w:val="clear" w:color="auto" w:fill="auto"/>
            <w:vAlign w:val="center"/>
          </w:tcPr>
          <w:p w14:paraId="7FD2BB4D">
            <w:pPr>
              <w:widowControl/>
              <w:jc w:val="center"/>
              <w:rPr>
                <w:rFonts w:ascii="宋体" w:hAnsi="宋体" w:eastAsia="宋体" w:cs="宋体"/>
                <w:kern w:val="0"/>
                <w:sz w:val="22"/>
                <w:szCs w:val="22"/>
              </w:rPr>
            </w:pPr>
            <w:r>
              <w:rPr>
                <w:rFonts w:hint="eastAsia" w:ascii="宋体" w:hAnsi="宋体" w:eastAsia="宋体" w:cs="宋体"/>
                <w:kern w:val="0"/>
                <w:sz w:val="22"/>
                <w:szCs w:val="22"/>
              </w:rPr>
              <w:t>便携式环绕声话筒套装</w:t>
            </w:r>
          </w:p>
        </w:tc>
        <w:tc>
          <w:tcPr>
            <w:tcW w:w="6081" w:type="dxa"/>
            <w:tcBorders>
              <w:top w:val="nil"/>
              <w:left w:val="nil"/>
              <w:bottom w:val="single" w:color="auto" w:sz="4" w:space="0"/>
              <w:right w:val="single" w:color="auto" w:sz="4" w:space="0"/>
            </w:tcBorders>
            <w:shd w:val="clear" w:color="000000" w:fill="FFFFFF"/>
            <w:vAlign w:val="center"/>
          </w:tcPr>
          <w:p w14:paraId="526877AD">
            <w:pPr>
              <w:widowControl/>
              <w:jc w:val="left"/>
              <w:rPr>
                <w:rFonts w:ascii="宋体" w:hAnsi="宋体" w:eastAsia="宋体" w:cs="宋体"/>
                <w:kern w:val="0"/>
                <w:sz w:val="22"/>
                <w:szCs w:val="22"/>
              </w:rPr>
            </w:pPr>
            <w:r>
              <w:rPr>
                <w:rFonts w:hint="eastAsia" w:ascii="宋体" w:hAnsi="宋体" w:eastAsia="宋体" w:cs="宋体"/>
                <w:kern w:val="0"/>
                <w:sz w:val="22"/>
                <w:szCs w:val="22"/>
              </w:rPr>
              <w:t>1、带户外防风罩</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2、5.1声道模拟输出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3、即插即用，体积轻便，便于携带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4、指向性：全指向</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5、频率响应，± 3 dB：L/C/R：200 Hz -16 kHz (± dB)；LS/RS：100 Hz - 12 kHz (± 3 dB)；LFE：20 Hz - 120 Hz (± 3 dB)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6、灵敏度，± 3 dB @ 1 kHz：L/C/R：26 mV/Pa；LS/RS：28 mV/Pa</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7、等效噪声级：L/C/R：Typ. 18 dB(A) (max. 21 dB(A))；LS/RS：Typ. 20 dB(A) (max. 23 dB(A))</w:t>
            </w:r>
            <w:r>
              <w:rPr>
                <w:rFonts w:hint="eastAsia" w:ascii="宋体" w:hAnsi="宋体" w:eastAsia="宋体" w:cs="宋体"/>
                <w:kern w:val="0"/>
                <w:sz w:val="22"/>
                <w:szCs w:val="22"/>
              </w:rPr>
              <w:br w:type="textWrapping"/>
            </w:r>
            <w:r>
              <w:rPr>
                <w:rFonts w:hint="eastAsia" w:ascii="宋体" w:hAnsi="宋体" w:eastAsia="宋体" w:cs="宋体"/>
                <w:kern w:val="0"/>
                <w:sz w:val="22"/>
                <w:szCs w:val="22"/>
              </w:rPr>
              <w:t>8、信噪比：L/C/R：Typ. 76 dB(A)；LS/RS：Typ. 74 dB(A)</w:t>
            </w:r>
            <w:r>
              <w:rPr>
                <w:rFonts w:hint="eastAsia" w:ascii="宋体" w:hAnsi="宋体" w:eastAsia="宋体" w:cs="宋体"/>
                <w:kern w:val="0"/>
                <w:sz w:val="22"/>
                <w:szCs w:val="22"/>
              </w:rPr>
              <w:br w:type="textWrapping"/>
            </w:r>
            <w:r>
              <w:rPr>
                <w:rFonts w:hint="eastAsia" w:ascii="宋体" w:hAnsi="宋体" w:eastAsia="宋体" w:cs="宋体"/>
                <w:kern w:val="0"/>
                <w:sz w:val="22"/>
                <w:szCs w:val="22"/>
              </w:rPr>
              <w:t>9、总谐波失真：&lt;1%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10、动态范围：L/C/R/LS/RS：103 dB；LFE：100 dB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11、最大声压级：132 dB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12、输出阻抗：50 Ohm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13、共模抑制比：60 dB, 50 Hz - 20 kHz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14、供电：48 V 幻象供电</w:t>
            </w:r>
          </w:p>
        </w:tc>
        <w:tc>
          <w:tcPr>
            <w:tcW w:w="2552" w:type="dxa"/>
            <w:tcBorders>
              <w:top w:val="nil"/>
              <w:left w:val="nil"/>
              <w:bottom w:val="single" w:color="auto" w:sz="4" w:space="0"/>
              <w:right w:val="single" w:color="auto" w:sz="4" w:space="0"/>
            </w:tcBorders>
            <w:shd w:val="clear" w:color="000000" w:fill="FFFFFF"/>
            <w:vAlign w:val="center"/>
          </w:tcPr>
          <w:p w14:paraId="0CC407AF">
            <w:pPr>
              <w:widowControl/>
              <w:jc w:val="center"/>
              <w:rPr>
                <w:rFonts w:ascii="宋体" w:hAnsi="宋体" w:eastAsia="宋体" w:cs="宋体"/>
                <w:kern w:val="0"/>
                <w:sz w:val="22"/>
                <w:szCs w:val="22"/>
              </w:rPr>
            </w:pPr>
            <w:r>
              <w:rPr>
                <w:rFonts w:hint="eastAsia" w:ascii="宋体" w:hAnsi="宋体" w:eastAsia="宋体" w:cs="宋体"/>
                <w:kern w:val="0"/>
                <w:sz w:val="22"/>
                <w:szCs w:val="22"/>
              </w:rPr>
              <w:t>DPA/Schoeps/ORTF</w:t>
            </w:r>
          </w:p>
        </w:tc>
        <w:tc>
          <w:tcPr>
            <w:tcW w:w="1037" w:type="dxa"/>
            <w:tcBorders>
              <w:top w:val="nil"/>
              <w:left w:val="nil"/>
              <w:bottom w:val="single" w:color="auto" w:sz="4" w:space="0"/>
              <w:right w:val="single" w:color="auto" w:sz="4" w:space="0"/>
            </w:tcBorders>
            <w:shd w:val="clear" w:color="000000" w:fill="FFFFFF"/>
            <w:vAlign w:val="center"/>
          </w:tcPr>
          <w:p w14:paraId="57678443">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3949E751">
            <w:pPr>
              <w:widowControl/>
              <w:jc w:val="center"/>
              <w:rPr>
                <w:rFonts w:ascii="宋体" w:hAnsi="宋体" w:eastAsia="宋体" w:cs="宋体"/>
                <w:kern w:val="0"/>
                <w:sz w:val="22"/>
                <w:szCs w:val="22"/>
              </w:rPr>
            </w:pPr>
            <w:r>
              <w:rPr>
                <w:rFonts w:hint="eastAsia" w:ascii="宋体" w:hAnsi="宋体" w:eastAsia="宋体" w:cs="宋体"/>
                <w:kern w:val="0"/>
                <w:sz w:val="22"/>
                <w:szCs w:val="22"/>
              </w:rPr>
              <w:t>套</w:t>
            </w:r>
          </w:p>
        </w:tc>
      </w:tr>
      <w:tr w14:paraId="372DDC84">
        <w:tblPrEx>
          <w:tblCellMar>
            <w:top w:w="0" w:type="dxa"/>
            <w:left w:w="108" w:type="dxa"/>
            <w:bottom w:w="0" w:type="dxa"/>
            <w:right w:w="108" w:type="dxa"/>
          </w:tblCellMar>
        </w:tblPrEx>
        <w:trPr>
          <w:trHeight w:val="243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94ACCE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06" w:type="dxa"/>
            <w:tcBorders>
              <w:top w:val="nil"/>
              <w:left w:val="nil"/>
              <w:bottom w:val="single" w:color="auto" w:sz="4" w:space="0"/>
              <w:right w:val="single" w:color="auto" w:sz="4" w:space="0"/>
            </w:tcBorders>
            <w:shd w:val="clear" w:color="auto" w:fill="auto"/>
            <w:vAlign w:val="center"/>
          </w:tcPr>
          <w:p w14:paraId="15A3AD76">
            <w:pPr>
              <w:widowControl/>
              <w:jc w:val="center"/>
              <w:rPr>
                <w:rFonts w:ascii="宋体" w:hAnsi="宋体" w:eastAsia="宋体" w:cs="宋体"/>
                <w:kern w:val="0"/>
                <w:sz w:val="22"/>
                <w:szCs w:val="22"/>
              </w:rPr>
            </w:pPr>
            <w:r>
              <w:rPr>
                <w:rFonts w:hint="eastAsia" w:ascii="宋体" w:hAnsi="宋体" w:eastAsia="宋体" w:cs="宋体"/>
                <w:kern w:val="0"/>
                <w:sz w:val="22"/>
                <w:szCs w:val="22"/>
              </w:rPr>
              <w:t>沉浸式-五点式支架</w:t>
            </w:r>
          </w:p>
        </w:tc>
        <w:tc>
          <w:tcPr>
            <w:tcW w:w="6081" w:type="dxa"/>
            <w:tcBorders>
              <w:top w:val="nil"/>
              <w:left w:val="nil"/>
              <w:bottom w:val="single" w:color="auto" w:sz="4" w:space="0"/>
              <w:right w:val="single" w:color="auto" w:sz="4" w:space="0"/>
            </w:tcBorders>
            <w:shd w:val="clear" w:color="000000" w:fill="FFFFFF"/>
            <w:vAlign w:val="center"/>
          </w:tcPr>
          <w:p w14:paraId="43423ECA">
            <w:pPr>
              <w:widowControl/>
              <w:jc w:val="left"/>
              <w:rPr>
                <w:rFonts w:ascii="宋体" w:hAnsi="宋体" w:eastAsia="宋体" w:cs="宋体"/>
                <w:kern w:val="0"/>
                <w:sz w:val="22"/>
                <w:szCs w:val="22"/>
              </w:rPr>
            </w:pPr>
            <w:r>
              <w:rPr>
                <w:rFonts w:hint="eastAsia" w:ascii="宋体" w:hAnsi="宋体" w:eastAsia="宋体" w:cs="宋体"/>
                <w:kern w:val="0"/>
                <w:sz w:val="22"/>
                <w:szCs w:val="22"/>
              </w:rPr>
              <w:t>1.兼容话筒杆尺寸：19–21mm直径的细体型电容话筒</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2.材质：高强度铝合金、精密齿轮锁紧机构</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3.调节范围：水平每支话筒独立可调、高度单支话筒垂4.直位移 ±15cm、支架臂长度可调（30–50cm）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5.底座兼容性：标准 5/8"-27 螺纹</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6.话筒夹内置 橡胶阻尼层，降低机械噪声传导</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7.支架关节采用消隙结构，避免共振</w:t>
            </w:r>
          </w:p>
        </w:tc>
        <w:tc>
          <w:tcPr>
            <w:tcW w:w="2552" w:type="dxa"/>
            <w:tcBorders>
              <w:top w:val="nil"/>
              <w:left w:val="nil"/>
              <w:bottom w:val="single" w:color="auto" w:sz="4" w:space="0"/>
              <w:right w:val="single" w:color="auto" w:sz="4" w:space="0"/>
            </w:tcBorders>
            <w:shd w:val="clear" w:color="000000" w:fill="FFFFFF"/>
            <w:vAlign w:val="center"/>
          </w:tcPr>
          <w:p w14:paraId="5F6FAAB1">
            <w:pPr>
              <w:widowControl/>
              <w:jc w:val="center"/>
              <w:rPr>
                <w:rFonts w:ascii="宋体" w:hAnsi="宋体" w:eastAsia="宋体" w:cs="宋体"/>
                <w:kern w:val="0"/>
                <w:sz w:val="22"/>
                <w:szCs w:val="22"/>
              </w:rPr>
            </w:pPr>
            <w:r>
              <w:rPr>
                <w:rFonts w:hint="eastAsia" w:ascii="宋体" w:hAnsi="宋体" w:eastAsia="宋体" w:cs="宋体"/>
                <w:kern w:val="0"/>
                <w:sz w:val="22"/>
                <w:szCs w:val="22"/>
              </w:rPr>
              <w:t>DPA/Schoeps/Ambient</w:t>
            </w:r>
          </w:p>
        </w:tc>
        <w:tc>
          <w:tcPr>
            <w:tcW w:w="1037" w:type="dxa"/>
            <w:tcBorders>
              <w:top w:val="nil"/>
              <w:left w:val="nil"/>
              <w:bottom w:val="single" w:color="auto" w:sz="4" w:space="0"/>
              <w:right w:val="single" w:color="auto" w:sz="4" w:space="0"/>
            </w:tcBorders>
            <w:shd w:val="clear" w:color="000000" w:fill="FFFFFF"/>
            <w:vAlign w:val="center"/>
          </w:tcPr>
          <w:p w14:paraId="59F423F0">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06138DA6">
            <w:pPr>
              <w:widowControl/>
              <w:jc w:val="center"/>
              <w:rPr>
                <w:rFonts w:ascii="宋体" w:hAnsi="宋体" w:eastAsia="宋体" w:cs="宋体"/>
                <w:kern w:val="0"/>
                <w:sz w:val="22"/>
                <w:szCs w:val="22"/>
              </w:rPr>
            </w:pPr>
            <w:r>
              <w:rPr>
                <w:rFonts w:hint="eastAsia" w:ascii="宋体" w:hAnsi="宋体" w:eastAsia="宋体" w:cs="宋体"/>
                <w:kern w:val="0"/>
                <w:sz w:val="22"/>
                <w:szCs w:val="22"/>
              </w:rPr>
              <w:t>套</w:t>
            </w:r>
          </w:p>
        </w:tc>
      </w:tr>
      <w:tr w14:paraId="08606309">
        <w:tblPrEx>
          <w:tblCellMar>
            <w:top w:w="0" w:type="dxa"/>
            <w:left w:w="108" w:type="dxa"/>
            <w:bottom w:w="0" w:type="dxa"/>
            <w:right w:w="108" w:type="dxa"/>
          </w:tblCellMar>
        </w:tblPrEx>
        <w:trPr>
          <w:trHeight w:val="405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5718B2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06" w:type="dxa"/>
            <w:tcBorders>
              <w:top w:val="nil"/>
              <w:left w:val="nil"/>
              <w:bottom w:val="single" w:color="auto" w:sz="4" w:space="0"/>
              <w:right w:val="single" w:color="auto" w:sz="4" w:space="0"/>
            </w:tcBorders>
            <w:shd w:val="clear" w:color="auto" w:fill="auto"/>
            <w:vAlign w:val="center"/>
          </w:tcPr>
          <w:p w14:paraId="1FF4DAF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环绕声监听音箱</w:t>
            </w:r>
          </w:p>
        </w:tc>
        <w:tc>
          <w:tcPr>
            <w:tcW w:w="6081" w:type="dxa"/>
            <w:tcBorders>
              <w:top w:val="nil"/>
              <w:left w:val="nil"/>
              <w:bottom w:val="single" w:color="auto" w:sz="4" w:space="0"/>
              <w:right w:val="single" w:color="auto" w:sz="4" w:space="0"/>
            </w:tcBorders>
            <w:shd w:val="clear" w:color="000000" w:fill="FFFFFF"/>
            <w:vAlign w:val="center"/>
          </w:tcPr>
          <w:p w14:paraId="0F80462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1.最大声压级：113 dB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2.频率响应范围：32 Hz - 43 kHz（-6dB）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3.频率响应精准度：± 1.5 dB(38 Hz - 20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4.单元尺寸：椭圆形双低频单元218 x 101 mm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5.中高频同轴单元：5 寸中音 + 1 寸高音</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6.功放功率：低频 250 W中频 150 W高频 150 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7.音频接口类型：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模拟输入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AES/EBU数字输入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AES/EBU数字输出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8.带2个接口RJ45（输入/输出）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9.可通过GLM套件校准和优化音箱之间的延时和电平关系</w:t>
            </w:r>
          </w:p>
        </w:tc>
        <w:tc>
          <w:tcPr>
            <w:tcW w:w="2552" w:type="dxa"/>
            <w:tcBorders>
              <w:top w:val="nil"/>
              <w:left w:val="nil"/>
              <w:bottom w:val="single" w:color="auto" w:sz="4" w:space="0"/>
              <w:right w:val="single" w:color="auto" w:sz="4" w:space="0"/>
            </w:tcBorders>
            <w:shd w:val="clear" w:color="000000" w:fill="FFFFFF"/>
            <w:vAlign w:val="center"/>
          </w:tcPr>
          <w:p w14:paraId="4710815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GENELEC/PMC/Meyer </w:t>
            </w:r>
          </w:p>
        </w:tc>
        <w:tc>
          <w:tcPr>
            <w:tcW w:w="1037" w:type="dxa"/>
            <w:tcBorders>
              <w:top w:val="nil"/>
              <w:left w:val="nil"/>
              <w:bottom w:val="single" w:color="auto" w:sz="4" w:space="0"/>
              <w:right w:val="single" w:color="auto" w:sz="4" w:space="0"/>
            </w:tcBorders>
            <w:shd w:val="clear" w:color="000000" w:fill="FFFFFF"/>
            <w:vAlign w:val="center"/>
          </w:tcPr>
          <w:p w14:paraId="5F3EB66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000000" w:fill="FFFFFF"/>
            <w:vAlign w:val="center"/>
          </w:tcPr>
          <w:p w14:paraId="03E8786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只</w:t>
            </w:r>
          </w:p>
        </w:tc>
      </w:tr>
      <w:tr w14:paraId="2FFFCC01">
        <w:tblPrEx>
          <w:tblCellMar>
            <w:top w:w="0" w:type="dxa"/>
            <w:left w:w="108" w:type="dxa"/>
            <w:bottom w:w="0" w:type="dxa"/>
            <w:right w:w="108" w:type="dxa"/>
          </w:tblCellMar>
        </w:tblPrEx>
        <w:trPr>
          <w:trHeight w:val="216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74C412A7">
            <w:pPr>
              <w:widowControl/>
              <w:jc w:val="center"/>
              <w:rPr>
                <w:rFonts w:ascii="宋体" w:hAnsi="宋体" w:eastAsia="宋体" w:cs="宋体"/>
                <w:color w:val="000000"/>
                <w:kern w:val="0"/>
                <w:sz w:val="22"/>
                <w:szCs w:val="22"/>
              </w:rPr>
            </w:pPr>
            <w:r>
              <w:br w:type="page"/>
            </w:r>
            <w:r>
              <w:rPr>
                <w:rFonts w:hint="eastAsia" w:ascii="宋体" w:hAnsi="宋体" w:eastAsia="宋体" w:cs="宋体"/>
                <w:color w:val="000000"/>
                <w:kern w:val="0"/>
                <w:sz w:val="22"/>
                <w:szCs w:val="22"/>
              </w:rPr>
              <w:t>7</w:t>
            </w:r>
          </w:p>
        </w:tc>
        <w:tc>
          <w:tcPr>
            <w:tcW w:w="1006" w:type="dxa"/>
            <w:tcBorders>
              <w:top w:val="nil"/>
              <w:left w:val="nil"/>
              <w:bottom w:val="single" w:color="auto" w:sz="4" w:space="0"/>
              <w:right w:val="single" w:color="auto" w:sz="4" w:space="0"/>
            </w:tcBorders>
            <w:shd w:val="clear" w:color="auto" w:fill="auto"/>
            <w:vAlign w:val="center"/>
          </w:tcPr>
          <w:p w14:paraId="210C8E5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沉浸式固定音频工作站1</w:t>
            </w:r>
          </w:p>
        </w:tc>
        <w:tc>
          <w:tcPr>
            <w:tcW w:w="6081" w:type="dxa"/>
            <w:tcBorders>
              <w:top w:val="nil"/>
              <w:left w:val="nil"/>
              <w:bottom w:val="single" w:color="auto" w:sz="4" w:space="0"/>
              <w:right w:val="single" w:color="auto" w:sz="4" w:space="0"/>
            </w:tcBorders>
            <w:shd w:val="clear" w:color="000000" w:fill="FFFFFF"/>
            <w:vAlign w:val="center"/>
          </w:tcPr>
          <w:p w14:paraId="79BCD12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1.M3 Ultra芯片28 核中央处理器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 xml:space="preserve">                 2.60核图形处理器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3.原装256GB内存</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4.原装8TB固态硬盘</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5.正面：两个雷雳5端口，一个SDXC卡插槽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6.背面：四个雷雳5端口，两个USB-A端口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 xml:space="preserve">        7.一个10Gb以太网端口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 xml:space="preserve">              8.配有妙控键盘+鼠标</w:t>
            </w:r>
          </w:p>
        </w:tc>
        <w:tc>
          <w:tcPr>
            <w:tcW w:w="2552" w:type="dxa"/>
            <w:tcBorders>
              <w:top w:val="nil"/>
              <w:left w:val="nil"/>
              <w:bottom w:val="single" w:color="auto" w:sz="4" w:space="0"/>
              <w:right w:val="single" w:color="auto" w:sz="4" w:space="0"/>
            </w:tcBorders>
            <w:shd w:val="clear" w:color="000000" w:fill="FFFFFF"/>
            <w:vAlign w:val="center"/>
          </w:tcPr>
          <w:p w14:paraId="5BB0BE8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Alienware /APPLE/Lenovo</w:t>
            </w:r>
          </w:p>
        </w:tc>
        <w:tc>
          <w:tcPr>
            <w:tcW w:w="1037" w:type="dxa"/>
            <w:tcBorders>
              <w:top w:val="nil"/>
              <w:left w:val="nil"/>
              <w:bottom w:val="single" w:color="auto" w:sz="4" w:space="0"/>
              <w:right w:val="single" w:color="auto" w:sz="4" w:space="0"/>
            </w:tcBorders>
            <w:shd w:val="clear" w:color="000000" w:fill="FFFFFF"/>
            <w:vAlign w:val="center"/>
          </w:tcPr>
          <w:p w14:paraId="268B0AF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3F30036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14:paraId="6228F67D">
        <w:tblPrEx>
          <w:tblCellMar>
            <w:top w:w="0" w:type="dxa"/>
            <w:left w:w="108" w:type="dxa"/>
            <w:bottom w:w="0" w:type="dxa"/>
            <w:right w:w="108" w:type="dxa"/>
          </w:tblCellMar>
        </w:tblPrEx>
        <w:trPr>
          <w:trHeight w:val="43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3421BA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06" w:type="dxa"/>
            <w:tcBorders>
              <w:top w:val="nil"/>
              <w:left w:val="nil"/>
              <w:bottom w:val="single" w:color="auto" w:sz="4" w:space="0"/>
              <w:right w:val="single" w:color="auto" w:sz="4" w:space="0"/>
            </w:tcBorders>
            <w:shd w:val="clear" w:color="auto" w:fill="auto"/>
            <w:vAlign w:val="center"/>
          </w:tcPr>
          <w:p w14:paraId="1A2CA97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环绕声监听音箱</w:t>
            </w:r>
          </w:p>
        </w:tc>
        <w:tc>
          <w:tcPr>
            <w:tcW w:w="6081" w:type="dxa"/>
            <w:tcBorders>
              <w:top w:val="nil"/>
              <w:left w:val="nil"/>
              <w:bottom w:val="single" w:color="auto" w:sz="4" w:space="0"/>
              <w:right w:val="single" w:color="auto" w:sz="4" w:space="0"/>
            </w:tcBorders>
            <w:shd w:val="clear" w:color="000000" w:fill="FFFFFF"/>
            <w:vAlign w:val="center"/>
          </w:tcPr>
          <w:p w14:paraId="3E6E307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1.最大声压级：110 dB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2.频率响应范围：38 Hz - 37 kHz (-6 dB)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3.频率响应精准度：± 1.5 dB(45 Hz - 20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4.单元尺寸：椭圆形双低频单元179 x 90 mm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5.中、高频同轴单元：3.5 寸中音 + 0.75 寸高音</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6.功放功率：低频 250W 中频 150 W 高频 150W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7.音频接口类型：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模拟输入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AES/EBU数字输入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 x XLR AES/EBU数字输出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8.带2个接口RJ45（输入/输出）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9.可通过GLM套件校准和优化音箱之间的延时和电平关系</w:t>
            </w:r>
          </w:p>
        </w:tc>
        <w:tc>
          <w:tcPr>
            <w:tcW w:w="2552" w:type="dxa"/>
            <w:tcBorders>
              <w:top w:val="nil"/>
              <w:left w:val="nil"/>
              <w:bottom w:val="single" w:color="auto" w:sz="4" w:space="0"/>
              <w:right w:val="single" w:color="auto" w:sz="4" w:space="0"/>
            </w:tcBorders>
            <w:shd w:val="clear" w:color="000000" w:fill="FFFFFF"/>
            <w:vAlign w:val="center"/>
          </w:tcPr>
          <w:p w14:paraId="24464E3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GENELEC/PMC/Meyer</w:t>
            </w:r>
          </w:p>
        </w:tc>
        <w:tc>
          <w:tcPr>
            <w:tcW w:w="1037" w:type="dxa"/>
            <w:tcBorders>
              <w:top w:val="nil"/>
              <w:left w:val="nil"/>
              <w:bottom w:val="single" w:color="auto" w:sz="4" w:space="0"/>
              <w:right w:val="single" w:color="auto" w:sz="4" w:space="0"/>
            </w:tcBorders>
            <w:shd w:val="clear" w:color="000000" w:fill="FFFFFF"/>
            <w:vAlign w:val="center"/>
          </w:tcPr>
          <w:p w14:paraId="3832D5D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000000" w:fill="FFFFFF"/>
            <w:vAlign w:val="center"/>
          </w:tcPr>
          <w:p w14:paraId="1143693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只</w:t>
            </w:r>
          </w:p>
        </w:tc>
      </w:tr>
      <w:tr w14:paraId="6EBDD014">
        <w:tblPrEx>
          <w:tblCellMar>
            <w:top w:w="0" w:type="dxa"/>
            <w:left w:w="108" w:type="dxa"/>
            <w:bottom w:w="0" w:type="dxa"/>
            <w:right w:w="108" w:type="dxa"/>
          </w:tblCellMar>
        </w:tblPrEx>
        <w:trPr>
          <w:trHeight w:val="189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885157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06" w:type="dxa"/>
            <w:tcBorders>
              <w:top w:val="nil"/>
              <w:left w:val="nil"/>
              <w:bottom w:val="single" w:color="auto" w:sz="4" w:space="0"/>
              <w:right w:val="single" w:color="auto" w:sz="4" w:space="0"/>
            </w:tcBorders>
            <w:shd w:val="clear" w:color="auto" w:fill="auto"/>
            <w:vAlign w:val="center"/>
          </w:tcPr>
          <w:p w14:paraId="049654D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环绕声落地音箱支架</w:t>
            </w:r>
          </w:p>
        </w:tc>
        <w:tc>
          <w:tcPr>
            <w:tcW w:w="6081" w:type="dxa"/>
            <w:tcBorders>
              <w:top w:val="nil"/>
              <w:left w:val="nil"/>
              <w:bottom w:val="single" w:color="auto" w:sz="4" w:space="0"/>
              <w:right w:val="single" w:color="auto" w:sz="4" w:space="0"/>
            </w:tcBorders>
            <w:shd w:val="clear" w:color="auto" w:fill="auto"/>
            <w:vAlign w:val="center"/>
          </w:tcPr>
          <w:p w14:paraId="1640D22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1.配有坚固的钢制立杆及圆形铸铁底座（底座直径 450 mm）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2.支架在950-1430mm范围内高度可调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3.支架承重能力可达 35 kg以上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4.带 3/8 英寸螺纹接口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5.在安装时搭配了音箱托板一起使用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6.可调整音箱俯仰角度</w:t>
            </w:r>
          </w:p>
        </w:tc>
        <w:tc>
          <w:tcPr>
            <w:tcW w:w="2552" w:type="dxa"/>
            <w:tcBorders>
              <w:top w:val="nil"/>
              <w:left w:val="nil"/>
              <w:bottom w:val="single" w:color="auto" w:sz="4" w:space="0"/>
              <w:right w:val="single" w:color="auto" w:sz="4" w:space="0"/>
            </w:tcBorders>
            <w:shd w:val="clear" w:color="000000" w:fill="FFFFFF"/>
            <w:vAlign w:val="center"/>
          </w:tcPr>
          <w:p w14:paraId="4FCB288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PMC/GENELEC/Meyer</w:t>
            </w:r>
          </w:p>
        </w:tc>
        <w:tc>
          <w:tcPr>
            <w:tcW w:w="1037" w:type="dxa"/>
            <w:tcBorders>
              <w:top w:val="nil"/>
              <w:left w:val="nil"/>
              <w:bottom w:val="single" w:color="auto" w:sz="4" w:space="0"/>
              <w:right w:val="single" w:color="auto" w:sz="4" w:space="0"/>
            </w:tcBorders>
            <w:shd w:val="clear" w:color="000000" w:fill="FFFFFF"/>
            <w:vAlign w:val="center"/>
          </w:tcPr>
          <w:p w14:paraId="3FDE1D9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auto" w:fill="auto"/>
            <w:vAlign w:val="center"/>
          </w:tcPr>
          <w:p w14:paraId="4721977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14:paraId="61E9381C">
        <w:tblPrEx>
          <w:tblCellMar>
            <w:top w:w="0" w:type="dxa"/>
            <w:left w:w="108" w:type="dxa"/>
            <w:bottom w:w="0" w:type="dxa"/>
            <w:right w:w="108" w:type="dxa"/>
          </w:tblCellMar>
        </w:tblPrEx>
        <w:trPr>
          <w:trHeight w:val="270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2E4938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06" w:type="dxa"/>
            <w:tcBorders>
              <w:top w:val="nil"/>
              <w:left w:val="nil"/>
              <w:bottom w:val="single" w:color="auto" w:sz="4" w:space="0"/>
              <w:right w:val="single" w:color="auto" w:sz="4" w:space="0"/>
            </w:tcBorders>
            <w:shd w:val="clear" w:color="auto" w:fill="auto"/>
            <w:vAlign w:val="center"/>
          </w:tcPr>
          <w:p w14:paraId="15FBF95C">
            <w:pPr>
              <w:widowControl/>
              <w:jc w:val="center"/>
              <w:rPr>
                <w:rFonts w:ascii="宋体" w:hAnsi="宋体" w:eastAsia="宋体" w:cs="宋体"/>
                <w:kern w:val="0"/>
                <w:sz w:val="22"/>
                <w:szCs w:val="22"/>
              </w:rPr>
            </w:pPr>
            <w:r>
              <w:rPr>
                <w:rFonts w:hint="eastAsia" w:ascii="宋体" w:hAnsi="宋体" w:eastAsia="宋体" w:cs="宋体"/>
                <w:kern w:val="0"/>
                <w:sz w:val="22"/>
                <w:szCs w:val="22"/>
              </w:rPr>
              <w:t>沉浸式移动音频工作站</w:t>
            </w:r>
          </w:p>
        </w:tc>
        <w:tc>
          <w:tcPr>
            <w:tcW w:w="6081" w:type="dxa"/>
            <w:tcBorders>
              <w:top w:val="nil"/>
              <w:left w:val="nil"/>
              <w:bottom w:val="single" w:color="auto" w:sz="4" w:space="0"/>
              <w:right w:val="single" w:color="auto" w:sz="4" w:space="0"/>
            </w:tcBorders>
            <w:shd w:val="clear" w:color="auto" w:fill="auto"/>
            <w:vAlign w:val="center"/>
          </w:tcPr>
          <w:p w14:paraId="7E9A000F">
            <w:pPr>
              <w:widowControl/>
              <w:jc w:val="left"/>
              <w:rPr>
                <w:rFonts w:ascii="宋体" w:hAnsi="宋体" w:eastAsia="宋体" w:cs="宋体"/>
                <w:kern w:val="0"/>
                <w:sz w:val="22"/>
                <w:szCs w:val="22"/>
              </w:rPr>
            </w:pPr>
            <w:r>
              <w:rPr>
                <w:rFonts w:hint="eastAsia" w:ascii="宋体" w:hAnsi="宋体" w:eastAsia="宋体" w:cs="宋体"/>
                <w:kern w:val="0"/>
                <w:sz w:val="22"/>
                <w:szCs w:val="22"/>
              </w:rPr>
              <w:t>Intel Core i9 12900KF，16 核心 24 线程</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利民 360 一体式水冷，高效散热</w:t>
            </w:r>
            <w:r>
              <w:rPr>
                <w:rFonts w:hint="eastAsia" w:ascii="宋体" w:hAnsi="宋体" w:eastAsia="宋体" w:cs="宋体"/>
                <w:kern w:val="0"/>
                <w:sz w:val="22"/>
                <w:szCs w:val="22"/>
              </w:rPr>
              <w:br w:type="textWrapping"/>
            </w:r>
            <w:r>
              <w:rPr>
                <w:rFonts w:hint="eastAsia" w:ascii="宋体" w:hAnsi="宋体" w:eastAsia="宋体" w:cs="宋体"/>
                <w:kern w:val="0"/>
                <w:sz w:val="22"/>
                <w:szCs w:val="22"/>
              </w:rPr>
              <w:t>AMD RX6900XT 16G，Mac 系统免驱</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金士顿 DDR5 5600 32G*2，高频闪存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金士顿 KC3000 2T + 4T 机械，7000M/s</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长城额定 1250W 金牌，8plus 认证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乔思伯 D41 副屏白，尺寸 205407440mm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微星 Z790 D5，品牌保障</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蓝牙 Wi - Fi、Airdrop，模块俱全</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 Win、Mac 双系统，可分开固态</w:t>
            </w:r>
          </w:p>
        </w:tc>
        <w:tc>
          <w:tcPr>
            <w:tcW w:w="2552" w:type="dxa"/>
            <w:tcBorders>
              <w:top w:val="nil"/>
              <w:left w:val="nil"/>
              <w:bottom w:val="single" w:color="auto" w:sz="4" w:space="0"/>
              <w:right w:val="single" w:color="auto" w:sz="4" w:space="0"/>
            </w:tcBorders>
            <w:shd w:val="clear" w:color="auto" w:fill="auto"/>
            <w:vAlign w:val="center"/>
          </w:tcPr>
          <w:p w14:paraId="750134C9">
            <w:pPr>
              <w:widowControl/>
              <w:jc w:val="center"/>
              <w:rPr>
                <w:rFonts w:ascii="宋体" w:hAnsi="宋体" w:eastAsia="宋体" w:cs="宋体"/>
                <w:kern w:val="0"/>
                <w:sz w:val="22"/>
                <w:szCs w:val="22"/>
              </w:rPr>
            </w:pPr>
            <w:r>
              <w:rPr>
                <w:rFonts w:hint="eastAsia" w:ascii="宋体" w:hAnsi="宋体" w:eastAsia="宋体" w:cs="宋体"/>
                <w:kern w:val="0"/>
                <w:sz w:val="22"/>
                <w:szCs w:val="22"/>
              </w:rPr>
              <w:t>MIUI/HUAWEI/金河田</w:t>
            </w:r>
          </w:p>
        </w:tc>
        <w:tc>
          <w:tcPr>
            <w:tcW w:w="1037" w:type="dxa"/>
            <w:tcBorders>
              <w:top w:val="nil"/>
              <w:left w:val="nil"/>
              <w:bottom w:val="single" w:color="auto" w:sz="4" w:space="0"/>
              <w:right w:val="single" w:color="auto" w:sz="4" w:space="0"/>
            </w:tcBorders>
            <w:shd w:val="clear" w:color="auto" w:fill="auto"/>
            <w:vAlign w:val="center"/>
          </w:tcPr>
          <w:p w14:paraId="4A52EE3E">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373" w:type="dxa"/>
            <w:tcBorders>
              <w:top w:val="nil"/>
              <w:left w:val="nil"/>
              <w:bottom w:val="single" w:color="auto" w:sz="4" w:space="0"/>
              <w:right w:val="single" w:color="auto" w:sz="4" w:space="0"/>
            </w:tcBorders>
            <w:shd w:val="clear" w:color="auto" w:fill="auto"/>
            <w:vAlign w:val="center"/>
          </w:tcPr>
          <w:p w14:paraId="6A8A97AA">
            <w:pPr>
              <w:widowControl/>
              <w:jc w:val="center"/>
              <w:rPr>
                <w:rFonts w:ascii="宋体" w:hAnsi="宋体" w:eastAsia="宋体" w:cs="宋体"/>
                <w:kern w:val="0"/>
                <w:sz w:val="22"/>
                <w:szCs w:val="22"/>
              </w:rPr>
            </w:pPr>
            <w:r>
              <w:rPr>
                <w:rFonts w:hint="eastAsia" w:ascii="宋体" w:hAnsi="宋体" w:eastAsia="宋体" w:cs="宋体"/>
                <w:kern w:val="0"/>
                <w:sz w:val="22"/>
                <w:szCs w:val="22"/>
              </w:rPr>
              <w:t>台</w:t>
            </w:r>
          </w:p>
        </w:tc>
      </w:tr>
      <w:tr w14:paraId="61B90030">
        <w:tblPrEx>
          <w:tblCellMar>
            <w:top w:w="0" w:type="dxa"/>
            <w:left w:w="108" w:type="dxa"/>
            <w:bottom w:w="0" w:type="dxa"/>
            <w:right w:w="108" w:type="dxa"/>
          </w:tblCellMar>
        </w:tblPrEx>
        <w:trPr>
          <w:trHeight w:val="270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B1A84D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06" w:type="dxa"/>
            <w:tcBorders>
              <w:top w:val="nil"/>
              <w:left w:val="nil"/>
              <w:bottom w:val="single" w:color="auto" w:sz="4" w:space="0"/>
              <w:right w:val="single" w:color="auto" w:sz="4" w:space="0"/>
            </w:tcBorders>
            <w:shd w:val="clear" w:color="auto" w:fill="auto"/>
            <w:vAlign w:val="center"/>
          </w:tcPr>
          <w:p w14:paraId="5366A01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定制配套工作台</w:t>
            </w:r>
          </w:p>
        </w:tc>
        <w:tc>
          <w:tcPr>
            <w:tcW w:w="6081" w:type="dxa"/>
            <w:tcBorders>
              <w:top w:val="nil"/>
              <w:left w:val="nil"/>
              <w:bottom w:val="single" w:color="auto" w:sz="4" w:space="0"/>
              <w:right w:val="single" w:color="auto" w:sz="4" w:space="0"/>
            </w:tcBorders>
            <w:shd w:val="clear" w:color="000000" w:fill="FFFFFF"/>
            <w:vAlign w:val="center"/>
          </w:tcPr>
          <w:p w14:paraId="23197658">
            <w:pPr>
              <w:widowControl/>
              <w:spacing w:after="24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1.主体采用冷轧厚度2.0毫米钢板制作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2.左右配木饰件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3.左右设有9U机柜机架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4.并方便上下左右布线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5.台板采用黑色皮革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6.整体高度750-780毫米,符合人体工程学原理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7.包括整体系统集成、重新布线电源点位、原设备集成完成工作,配套备品附件</w:t>
            </w:r>
          </w:p>
        </w:tc>
        <w:tc>
          <w:tcPr>
            <w:tcW w:w="2552" w:type="dxa"/>
            <w:tcBorders>
              <w:top w:val="nil"/>
              <w:left w:val="nil"/>
              <w:bottom w:val="single" w:color="auto" w:sz="4" w:space="0"/>
              <w:right w:val="single" w:color="auto" w:sz="4" w:space="0"/>
            </w:tcBorders>
            <w:shd w:val="clear" w:color="000000" w:fill="FFFFFF"/>
            <w:vAlign w:val="center"/>
          </w:tcPr>
          <w:p w14:paraId="22DDC07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中通中欣/红讯/维合</w:t>
            </w:r>
          </w:p>
        </w:tc>
        <w:tc>
          <w:tcPr>
            <w:tcW w:w="1037" w:type="dxa"/>
            <w:tcBorders>
              <w:top w:val="nil"/>
              <w:left w:val="nil"/>
              <w:bottom w:val="single" w:color="auto" w:sz="4" w:space="0"/>
              <w:right w:val="single" w:color="auto" w:sz="4" w:space="0"/>
            </w:tcBorders>
            <w:shd w:val="clear" w:color="000000" w:fill="FFFFFF"/>
            <w:vAlign w:val="center"/>
          </w:tcPr>
          <w:p w14:paraId="302DA5C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623D38C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14:paraId="044B5385">
        <w:tblPrEx>
          <w:tblCellMar>
            <w:top w:w="0" w:type="dxa"/>
            <w:left w:w="108" w:type="dxa"/>
            <w:bottom w:w="0" w:type="dxa"/>
            <w:right w:w="108" w:type="dxa"/>
          </w:tblCellMar>
        </w:tblPrEx>
        <w:trPr>
          <w:trHeight w:val="70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1492AF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06" w:type="dxa"/>
            <w:tcBorders>
              <w:top w:val="nil"/>
              <w:left w:val="nil"/>
              <w:bottom w:val="single" w:color="auto" w:sz="4" w:space="0"/>
              <w:right w:val="single" w:color="auto" w:sz="4" w:space="0"/>
            </w:tcBorders>
            <w:shd w:val="clear" w:color="auto" w:fill="auto"/>
            <w:vAlign w:val="center"/>
          </w:tcPr>
          <w:p w14:paraId="3F025DC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多合一有源音柱扬声器</w:t>
            </w:r>
          </w:p>
        </w:tc>
        <w:tc>
          <w:tcPr>
            <w:tcW w:w="6081" w:type="dxa"/>
            <w:tcBorders>
              <w:top w:val="nil"/>
              <w:left w:val="nil"/>
              <w:bottom w:val="single" w:color="auto" w:sz="4" w:space="0"/>
              <w:right w:val="single" w:color="auto" w:sz="4" w:space="0"/>
            </w:tcBorders>
            <w:shd w:val="clear" w:color="000000" w:fill="FFFFFF"/>
            <w:vAlign w:val="center"/>
          </w:tcPr>
          <w:p w14:paraId="58D3CA5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1.频率响应范围 (-3 dB)1:  65 Hz - 17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2.频率响应范围 (-10 dB)1:  60 Hz - 20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3.覆盖范围 (-6 dB) [H x V]:  80° x 80°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4.最大声压级1:  129 dB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5.分频频点:  1.4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6.扬声器单元:  同轴单元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7.LF: 1 x 12"单元 (3" 音圈)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8.HF: 1" 压缩高音单元 (1.7" 音圈)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9.功放类型:  双通道D类功放，带SMPS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10.总功率2:  484 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11.每通道输出功率:  LF: 416 W @ 6.5 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12.HF: 68 W @ 14 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13.信号输入:平衡XLR3-pin母头,或平衡 6.5 mm TRS 接口.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14.信号环出: 平衡 XLR 3-pin公头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15.电源输入: powerCON® 20A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16电源环出: powerCON® 20A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17.工作电压:  100 VAC - 240 VAC, 50 - 60 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18.DSP:  48 kHz/24 bit 带有拓展动态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19.固有延迟: 1.1 ms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20.电平: 8档旋钮 (-50, -20, -10, -4, -2, 0, +2, +4)</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21.DSP 预设: 8档旋钮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22.附件：带有配套航空箱附件</w:t>
            </w:r>
          </w:p>
        </w:tc>
        <w:tc>
          <w:tcPr>
            <w:tcW w:w="2552" w:type="dxa"/>
            <w:tcBorders>
              <w:top w:val="nil"/>
              <w:left w:val="nil"/>
              <w:bottom w:val="single" w:color="auto" w:sz="4" w:space="0"/>
              <w:right w:val="single" w:color="auto" w:sz="4" w:space="0"/>
            </w:tcBorders>
            <w:shd w:val="clear" w:color="000000" w:fill="FFFFFF"/>
            <w:vAlign w:val="center"/>
          </w:tcPr>
          <w:p w14:paraId="500771C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SE/BOSE/JBL</w:t>
            </w:r>
          </w:p>
        </w:tc>
        <w:tc>
          <w:tcPr>
            <w:tcW w:w="1037" w:type="dxa"/>
            <w:tcBorders>
              <w:top w:val="nil"/>
              <w:left w:val="nil"/>
              <w:bottom w:val="single" w:color="auto" w:sz="4" w:space="0"/>
              <w:right w:val="single" w:color="auto" w:sz="4" w:space="0"/>
            </w:tcBorders>
            <w:shd w:val="clear" w:color="000000" w:fill="FFFFFF"/>
            <w:vAlign w:val="center"/>
          </w:tcPr>
          <w:p w14:paraId="48A3F1B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000000" w:fill="FFFFFF"/>
            <w:vAlign w:val="center"/>
          </w:tcPr>
          <w:p w14:paraId="547E172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w:t>
            </w:r>
          </w:p>
        </w:tc>
      </w:tr>
      <w:tr w14:paraId="18BA944A">
        <w:tblPrEx>
          <w:tblCellMar>
            <w:top w:w="0" w:type="dxa"/>
            <w:left w:w="108" w:type="dxa"/>
            <w:bottom w:w="0" w:type="dxa"/>
            <w:right w:w="108" w:type="dxa"/>
          </w:tblCellMar>
        </w:tblPrEx>
        <w:trPr>
          <w:trHeight w:val="43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8CFBDB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06" w:type="dxa"/>
            <w:tcBorders>
              <w:top w:val="nil"/>
              <w:left w:val="nil"/>
              <w:bottom w:val="single" w:color="auto" w:sz="4" w:space="0"/>
              <w:right w:val="single" w:color="auto" w:sz="4" w:space="0"/>
            </w:tcBorders>
            <w:shd w:val="clear" w:color="auto" w:fill="auto"/>
            <w:vAlign w:val="center"/>
          </w:tcPr>
          <w:p w14:paraId="34AD788F">
            <w:pPr>
              <w:widowControl/>
              <w:jc w:val="center"/>
              <w:rPr>
                <w:rFonts w:ascii="宋体" w:hAnsi="宋体" w:eastAsia="宋体" w:cs="宋体"/>
                <w:kern w:val="0"/>
                <w:sz w:val="22"/>
                <w:szCs w:val="22"/>
              </w:rPr>
            </w:pPr>
            <w:r>
              <w:rPr>
                <w:rFonts w:hint="eastAsia" w:ascii="宋体" w:hAnsi="宋体" w:eastAsia="宋体" w:cs="宋体"/>
                <w:kern w:val="0"/>
                <w:sz w:val="22"/>
                <w:szCs w:val="22"/>
              </w:rPr>
              <w:t>DAW工作站软件</w:t>
            </w:r>
          </w:p>
        </w:tc>
        <w:tc>
          <w:tcPr>
            <w:tcW w:w="6081" w:type="dxa"/>
            <w:tcBorders>
              <w:top w:val="nil"/>
              <w:left w:val="nil"/>
              <w:bottom w:val="single" w:color="auto" w:sz="4" w:space="0"/>
              <w:right w:val="single" w:color="auto" w:sz="4" w:space="0"/>
            </w:tcBorders>
            <w:shd w:val="clear" w:color="000000" w:fill="FFFFFF"/>
            <w:vAlign w:val="center"/>
          </w:tcPr>
          <w:p w14:paraId="7DF6DB7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1.最大数量同步音频轨道（48/96/192 kHz）：2048；</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2.同时录制最大数量音频轨道：256；</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3.乐器轨：512；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4.MIDI 轨：1024；</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5.Aux 轨：512；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6.路由文件夹轨：512；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7.基本文件夹轨：2000；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8.总线：无限制；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9.支持64 个视频轨道；</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10.支持的最大采样率：32bit/192 kHz；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11.支持 64 位 AAX DSP 和 AAX Native 插件；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12.配套有可存储多达1500个密锁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13.支持永久使用权限，支持升级服务，附带有包装盒</w:t>
            </w:r>
          </w:p>
        </w:tc>
        <w:tc>
          <w:tcPr>
            <w:tcW w:w="2552" w:type="dxa"/>
            <w:tcBorders>
              <w:top w:val="nil"/>
              <w:left w:val="nil"/>
              <w:bottom w:val="single" w:color="auto" w:sz="4" w:space="0"/>
              <w:right w:val="single" w:color="auto" w:sz="4" w:space="0"/>
            </w:tcBorders>
            <w:shd w:val="clear" w:color="000000" w:fill="FFFFFF"/>
            <w:vAlign w:val="center"/>
          </w:tcPr>
          <w:p w14:paraId="024D618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AVID/Nuendo/Logic</w:t>
            </w:r>
          </w:p>
        </w:tc>
        <w:tc>
          <w:tcPr>
            <w:tcW w:w="1037" w:type="dxa"/>
            <w:tcBorders>
              <w:top w:val="nil"/>
              <w:left w:val="nil"/>
              <w:bottom w:val="single" w:color="auto" w:sz="4" w:space="0"/>
              <w:right w:val="single" w:color="auto" w:sz="4" w:space="0"/>
            </w:tcBorders>
            <w:shd w:val="clear" w:color="000000" w:fill="FFFFFF"/>
            <w:vAlign w:val="center"/>
          </w:tcPr>
          <w:p w14:paraId="6DA466D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373" w:type="dxa"/>
            <w:tcBorders>
              <w:top w:val="nil"/>
              <w:left w:val="nil"/>
              <w:bottom w:val="single" w:color="auto" w:sz="4" w:space="0"/>
              <w:right w:val="single" w:color="auto" w:sz="4" w:space="0"/>
            </w:tcBorders>
            <w:shd w:val="clear" w:color="000000" w:fill="FFFFFF"/>
            <w:vAlign w:val="center"/>
          </w:tcPr>
          <w:p w14:paraId="57093EC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14:paraId="73E5A975">
        <w:tblPrEx>
          <w:tblCellMar>
            <w:top w:w="0" w:type="dxa"/>
            <w:left w:w="108" w:type="dxa"/>
            <w:bottom w:w="0" w:type="dxa"/>
            <w:right w:w="108" w:type="dxa"/>
          </w:tblCellMar>
        </w:tblPrEx>
        <w:trPr>
          <w:trHeight w:val="459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8D7AA9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06" w:type="dxa"/>
            <w:tcBorders>
              <w:top w:val="nil"/>
              <w:left w:val="nil"/>
              <w:bottom w:val="single" w:color="auto" w:sz="4" w:space="0"/>
              <w:right w:val="single" w:color="auto" w:sz="4" w:space="0"/>
            </w:tcBorders>
            <w:shd w:val="clear" w:color="auto" w:fill="auto"/>
            <w:vAlign w:val="center"/>
          </w:tcPr>
          <w:p w14:paraId="14B8E05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沉浸声音频软件</w:t>
            </w:r>
          </w:p>
        </w:tc>
        <w:tc>
          <w:tcPr>
            <w:tcW w:w="6081" w:type="dxa"/>
            <w:tcBorders>
              <w:top w:val="nil"/>
              <w:left w:val="nil"/>
              <w:bottom w:val="single" w:color="auto" w:sz="4" w:space="0"/>
              <w:right w:val="single" w:color="auto" w:sz="4" w:space="0"/>
            </w:tcBorders>
            <w:shd w:val="clear" w:color="auto" w:fill="auto"/>
            <w:vAlign w:val="center"/>
          </w:tcPr>
          <w:p w14:paraId="13832FE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1.空间化与混音引擎：对象式混音、虚拟房间建模、混响与反射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2.声像算法：</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包括 VBAP、DBAP、LBAP、KNN、AEP 等多种声像算法</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3.Ambisonics 支持：支持最高 7 阶的 HOA</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4.支持格式：</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立体声、5.1、7.1、Dolby Atmos 7.1.4、Ambisonics、Binaural、Mid-Side 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5.耳机监听：</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提供多种 HRTF 模型，支持 Near Field Binaural、Spherical Head Model 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6.插件支持：</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提供 AU、VST3、AAX 插件，兼容主流 DAW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7.OSC 支持：</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支持Open Sound Control协议，便于与8.外部控制器、数字调音台集成</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9.远程控制：</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支持iOS设备进行多点触控控制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10.集成 AI 降噪、去混响、对话分离 等智能工具</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支持多轨音频的实时修复和优化</w:t>
            </w:r>
          </w:p>
        </w:tc>
        <w:tc>
          <w:tcPr>
            <w:tcW w:w="2552" w:type="dxa"/>
            <w:tcBorders>
              <w:top w:val="nil"/>
              <w:left w:val="nil"/>
              <w:bottom w:val="single" w:color="auto" w:sz="4" w:space="0"/>
              <w:right w:val="single" w:color="auto" w:sz="4" w:space="0"/>
            </w:tcBorders>
            <w:shd w:val="clear" w:color="auto" w:fill="auto"/>
            <w:vAlign w:val="center"/>
          </w:tcPr>
          <w:p w14:paraId="2AD0FFD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Flux/DaVinci/AURO</w:t>
            </w:r>
          </w:p>
        </w:tc>
        <w:tc>
          <w:tcPr>
            <w:tcW w:w="1037" w:type="dxa"/>
            <w:tcBorders>
              <w:top w:val="nil"/>
              <w:left w:val="nil"/>
              <w:bottom w:val="single" w:color="auto" w:sz="4" w:space="0"/>
              <w:right w:val="single" w:color="auto" w:sz="4" w:space="0"/>
            </w:tcBorders>
            <w:shd w:val="clear" w:color="000000" w:fill="FFFFFF"/>
            <w:vAlign w:val="center"/>
          </w:tcPr>
          <w:p w14:paraId="2EF3B5E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5696D7E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14:paraId="47030400">
        <w:tblPrEx>
          <w:tblCellMar>
            <w:top w:w="0" w:type="dxa"/>
            <w:left w:w="108" w:type="dxa"/>
            <w:bottom w:w="0" w:type="dxa"/>
            <w:right w:w="108" w:type="dxa"/>
          </w:tblCellMar>
        </w:tblPrEx>
        <w:trPr>
          <w:trHeight w:val="43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4CA2E6F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06" w:type="dxa"/>
            <w:tcBorders>
              <w:top w:val="nil"/>
              <w:left w:val="nil"/>
              <w:bottom w:val="single" w:color="auto" w:sz="4" w:space="0"/>
              <w:right w:val="single" w:color="auto" w:sz="4" w:space="0"/>
            </w:tcBorders>
            <w:shd w:val="clear" w:color="auto" w:fill="auto"/>
            <w:vAlign w:val="center"/>
          </w:tcPr>
          <w:p w14:paraId="2083562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音频工作站</w:t>
            </w:r>
          </w:p>
        </w:tc>
        <w:tc>
          <w:tcPr>
            <w:tcW w:w="6081" w:type="dxa"/>
            <w:tcBorders>
              <w:top w:val="nil"/>
              <w:left w:val="nil"/>
              <w:bottom w:val="single" w:color="auto" w:sz="4" w:space="0"/>
              <w:right w:val="single" w:color="auto" w:sz="4" w:space="0"/>
            </w:tcBorders>
            <w:shd w:val="clear" w:color="auto" w:fill="auto"/>
            <w:vAlign w:val="center"/>
          </w:tcPr>
          <w:p w14:paraId="698C76B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1.处理器</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：Intel酷睿Ultra 9 185H，最高睿频可达5.1GHz，核心数为16，线程数为22</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2.屏幕</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：不低于14寸分辨率为2880x1920，屏幕比例为3:2，采用OLED全面屏</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3.内存和存储</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：32GB内存，2TB4.0高速硬盘</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4.显卡</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：核芯显卡，显存容量为共享内存容量</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5.多媒体设备</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：1080P全高清前置摄像头，2×立体声音响，2×麦克风</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6.接口</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：左侧有1个全功能USB Type-C接口和1个Thunderbolt 4接口，后置有2个USB 3.2 Gen1接口，视频接口为HDMI 2.1，音频接口为3.5mm耳机/麦克风二合一接口，还有RJ45和电源接口</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7.电源</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：配备140W USB Type-C电源适配器</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rPr>
              <w:br w:type="textWrapping"/>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8.外观</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：全金属机身，机身重量为1.49kg，厚度为15.3mm，采用喷气式直出风设计，机身腰线最薄处仅有6mm</w:t>
            </w:r>
            <w:r>
              <w:rPr>
                <w:rFonts w:hint="eastAsia" w:ascii="MS Gothic" w:hAnsi="MS Gothic" w:eastAsia="MS Gothic" w:cs="MS Gothic"/>
                <w:color w:val="000000"/>
                <w:kern w:val="0"/>
                <w:sz w:val="22"/>
                <w:szCs w:val="22"/>
              </w:rPr>
              <w:t>‌</w:t>
            </w:r>
            <w:r>
              <w:rPr>
                <w:rFonts w:hint="eastAsia" w:ascii="宋体" w:hAnsi="宋体" w:eastAsia="宋体" w:cs="宋体"/>
                <w:color w:val="000000"/>
                <w:kern w:val="0"/>
                <w:sz w:val="22"/>
                <w:szCs w:val="22"/>
              </w:rPr>
              <w:t>3。</w:t>
            </w:r>
          </w:p>
        </w:tc>
        <w:tc>
          <w:tcPr>
            <w:tcW w:w="2552" w:type="dxa"/>
            <w:tcBorders>
              <w:top w:val="nil"/>
              <w:left w:val="nil"/>
              <w:bottom w:val="single" w:color="auto" w:sz="4" w:space="0"/>
              <w:right w:val="single" w:color="auto" w:sz="4" w:space="0"/>
            </w:tcBorders>
            <w:shd w:val="clear" w:color="auto" w:fill="auto"/>
            <w:vAlign w:val="center"/>
          </w:tcPr>
          <w:p w14:paraId="4CB27FC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MIUI/HUAWE/APPL</w:t>
            </w:r>
          </w:p>
        </w:tc>
        <w:tc>
          <w:tcPr>
            <w:tcW w:w="1037" w:type="dxa"/>
            <w:tcBorders>
              <w:top w:val="nil"/>
              <w:left w:val="nil"/>
              <w:bottom w:val="single" w:color="auto" w:sz="4" w:space="0"/>
              <w:right w:val="single" w:color="auto" w:sz="4" w:space="0"/>
            </w:tcBorders>
            <w:shd w:val="clear" w:color="auto" w:fill="auto"/>
            <w:vAlign w:val="center"/>
          </w:tcPr>
          <w:p w14:paraId="76DCCB7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auto" w:fill="auto"/>
            <w:vAlign w:val="center"/>
          </w:tcPr>
          <w:p w14:paraId="0F76435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r>
      <w:tr w14:paraId="12DF31E9">
        <w:tblPrEx>
          <w:tblCellMar>
            <w:top w:w="0" w:type="dxa"/>
            <w:left w:w="108" w:type="dxa"/>
            <w:bottom w:w="0" w:type="dxa"/>
            <w:right w:w="108" w:type="dxa"/>
          </w:tblCellMar>
        </w:tblPrEx>
        <w:trPr>
          <w:trHeight w:val="324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59BD5D3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06" w:type="dxa"/>
            <w:tcBorders>
              <w:top w:val="nil"/>
              <w:left w:val="nil"/>
              <w:bottom w:val="single" w:color="auto" w:sz="4" w:space="0"/>
              <w:right w:val="single" w:color="auto" w:sz="4" w:space="0"/>
            </w:tcBorders>
            <w:shd w:val="clear" w:color="auto" w:fill="auto"/>
            <w:vAlign w:val="center"/>
          </w:tcPr>
          <w:p w14:paraId="50AD484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环绕声音箱控制器</w:t>
            </w:r>
          </w:p>
        </w:tc>
        <w:tc>
          <w:tcPr>
            <w:tcW w:w="6081" w:type="dxa"/>
            <w:tcBorders>
              <w:top w:val="nil"/>
              <w:left w:val="nil"/>
              <w:bottom w:val="single" w:color="auto" w:sz="4" w:space="0"/>
              <w:right w:val="single" w:color="auto" w:sz="4" w:space="0"/>
            </w:tcBorders>
            <w:shd w:val="clear" w:color="000000" w:fill="FFFFFF"/>
            <w:vAlign w:val="center"/>
          </w:tcPr>
          <w:p w14:paraId="22BA314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模拟输入:2 x 1/4英寸TRS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模拟输出:2 x 1/4英寸TRS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数字输入:1个XLR（AES/EBU）</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数字输出:1个XLR（AES/EBU）</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耳机:1 x 1/4英寸TRS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数据输入/输出:2个RJ45口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USB:2个C型口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软件:可免费下载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兼容性: Mac或者PC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声场自动校准功能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套件包含:一个网络适配盒、一支声学测试话筒以及所需线缆</w:t>
            </w:r>
          </w:p>
        </w:tc>
        <w:tc>
          <w:tcPr>
            <w:tcW w:w="2552" w:type="dxa"/>
            <w:tcBorders>
              <w:top w:val="nil"/>
              <w:left w:val="nil"/>
              <w:bottom w:val="single" w:color="auto" w:sz="4" w:space="0"/>
              <w:right w:val="single" w:color="auto" w:sz="4" w:space="0"/>
            </w:tcBorders>
            <w:shd w:val="clear" w:color="000000" w:fill="FFFFFF"/>
            <w:vAlign w:val="center"/>
          </w:tcPr>
          <w:p w14:paraId="5C00F25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GENELEC/TouchMonitor/RTW</w:t>
            </w:r>
          </w:p>
        </w:tc>
        <w:tc>
          <w:tcPr>
            <w:tcW w:w="1037" w:type="dxa"/>
            <w:tcBorders>
              <w:top w:val="nil"/>
              <w:left w:val="nil"/>
              <w:bottom w:val="single" w:color="auto" w:sz="4" w:space="0"/>
              <w:right w:val="single" w:color="auto" w:sz="4" w:space="0"/>
            </w:tcBorders>
            <w:shd w:val="clear" w:color="000000" w:fill="FFFFFF"/>
            <w:vAlign w:val="center"/>
          </w:tcPr>
          <w:p w14:paraId="2B5ED2D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6FCC7CD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14:paraId="05149C5C">
        <w:tblPrEx>
          <w:tblCellMar>
            <w:top w:w="0" w:type="dxa"/>
            <w:left w:w="108" w:type="dxa"/>
            <w:bottom w:w="0" w:type="dxa"/>
            <w:right w:w="108" w:type="dxa"/>
          </w:tblCellMar>
        </w:tblPrEx>
        <w:trPr>
          <w:trHeight w:val="351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78A626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06" w:type="dxa"/>
            <w:tcBorders>
              <w:top w:val="nil"/>
              <w:left w:val="nil"/>
              <w:bottom w:val="single" w:color="auto" w:sz="4" w:space="0"/>
              <w:right w:val="single" w:color="auto" w:sz="4" w:space="0"/>
            </w:tcBorders>
            <w:shd w:val="clear" w:color="auto" w:fill="auto"/>
            <w:vAlign w:val="center"/>
          </w:tcPr>
          <w:p w14:paraId="32EEE4F0">
            <w:pPr>
              <w:widowControl/>
              <w:jc w:val="center"/>
              <w:rPr>
                <w:rFonts w:ascii="宋体" w:hAnsi="宋体" w:eastAsia="宋体" w:cs="宋体"/>
                <w:kern w:val="0"/>
                <w:sz w:val="22"/>
                <w:szCs w:val="22"/>
              </w:rPr>
            </w:pPr>
            <w:r>
              <w:rPr>
                <w:rFonts w:hint="eastAsia" w:ascii="宋体" w:hAnsi="宋体" w:eastAsia="宋体" w:cs="宋体"/>
                <w:kern w:val="0"/>
                <w:sz w:val="22"/>
                <w:szCs w:val="22"/>
              </w:rPr>
              <w:t>24进32输出 USB-C口音频接口</w:t>
            </w:r>
          </w:p>
        </w:tc>
        <w:tc>
          <w:tcPr>
            <w:tcW w:w="6081" w:type="dxa"/>
            <w:tcBorders>
              <w:top w:val="nil"/>
              <w:left w:val="nil"/>
              <w:bottom w:val="single" w:color="auto" w:sz="4" w:space="0"/>
              <w:right w:val="single" w:color="auto" w:sz="4" w:space="0"/>
            </w:tcBorders>
            <w:shd w:val="clear" w:color="000000" w:fill="FFFFFF"/>
            <w:vAlign w:val="center"/>
          </w:tcPr>
          <w:p w14:paraId="11D18FE6">
            <w:pPr>
              <w:widowControl/>
              <w:jc w:val="left"/>
              <w:rPr>
                <w:rFonts w:ascii="宋体" w:hAnsi="宋体" w:eastAsia="宋体" w:cs="宋体"/>
                <w:kern w:val="0"/>
                <w:sz w:val="22"/>
                <w:szCs w:val="22"/>
              </w:rPr>
            </w:pPr>
            <w:r>
              <w:rPr>
                <w:rFonts w:hint="eastAsia" w:ascii="宋体" w:hAnsi="宋体" w:eastAsia="宋体" w:cs="宋体"/>
                <w:kern w:val="0"/>
                <w:sz w:val="22"/>
                <w:szCs w:val="22"/>
              </w:rPr>
              <w:t>连接: USB 2.0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外形尺寸: 架装安装</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同步输入/输出: 24 x 32</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前置放大器数量: 8</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幻象电源: 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模数分辨率: 24位/96千赫</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模拟输入: 8个XLR 1/4英寸组合，1个DB-25，2个1/8英寸</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模拟输出: 4个1/4英寸，1个DB-25</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数字输入: 2 x光学(ADAT)</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数字输出: 2 x光学(ADAT)</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耳机: 2 x 1/8英寸</w:t>
            </w:r>
            <w:r>
              <w:rPr>
                <w:rFonts w:hint="eastAsia" w:ascii="宋体" w:hAnsi="宋体" w:eastAsia="宋体" w:cs="宋体"/>
                <w:kern w:val="0"/>
                <w:sz w:val="22"/>
                <w:szCs w:val="22"/>
              </w:rPr>
              <w:br w:type="textWrapping"/>
            </w:r>
            <w:r>
              <w:rPr>
                <w:rFonts w:hint="eastAsia" w:ascii="宋体" w:hAnsi="宋体" w:eastAsia="宋体" w:cs="宋体"/>
                <w:kern w:val="0"/>
                <w:sz w:val="22"/>
                <w:szCs w:val="22"/>
              </w:rPr>
              <w:t>USB: 1个USB-C</w:t>
            </w:r>
          </w:p>
        </w:tc>
        <w:tc>
          <w:tcPr>
            <w:tcW w:w="2552" w:type="dxa"/>
            <w:tcBorders>
              <w:top w:val="nil"/>
              <w:left w:val="nil"/>
              <w:bottom w:val="single" w:color="auto" w:sz="4" w:space="0"/>
              <w:right w:val="single" w:color="auto" w:sz="4" w:space="0"/>
            </w:tcBorders>
            <w:shd w:val="clear" w:color="000000" w:fill="FFFFFF"/>
            <w:vAlign w:val="center"/>
          </w:tcPr>
          <w:p w14:paraId="2F8A33B0">
            <w:pPr>
              <w:widowControl/>
              <w:jc w:val="center"/>
              <w:rPr>
                <w:rFonts w:ascii="宋体" w:hAnsi="宋体" w:eastAsia="宋体" w:cs="宋体"/>
                <w:kern w:val="0"/>
                <w:sz w:val="22"/>
                <w:szCs w:val="22"/>
              </w:rPr>
            </w:pPr>
            <w:r>
              <w:rPr>
                <w:rFonts w:hint="eastAsia" w:ascii="宋体" w:hAnsi="宋体" w:eastAsia="宋体" w:cs="宋体"/>
                <w:kern w:val="0"/>
                <w:sz w:val="22"/>
                <w:szCs w:val="22"/>
              </w:rPr>
              <w:t>Antelope Pro/Audient/MOTU</w:t>
            </w:r>
          </w:p>
        </w:tc>
        <w:tc>
          <w:tcPr>
            <w:tcW w:w="1037" w:type="dxa"/>
            <w:tcBorders>
              <w:top w:val="nil"/>
              <w:left w:val="nil"/>
              <w:bottom w:val="single" w:color="auto" w:sz="4" w:space="0"/>
              <w:right w:val="single" w:color="auto" w:sz="4" w:space="0"/>
            </w:tcBorders>
            <w:shd w:val="clear" w:color="000000" w:fill="FFFFFF"/>
            <w:vAlign w:val="center"/>
          </w:tcPr>
          <w:p w14:paraId="63EDA533">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373" w:type="dxa"/>
            <w:tcBorders>
              <w:top w:val="nil"/>
              <w:left w:val="nil"/>
              <w:bottom w:val="single" w:color="auto" w:sz="4" w:space="0"/>
              <w:right w:val="single" w:color="auto" w:sz="4" w:space="0"/>
            </w:tcBorders>
            <w:shd w:val="clear" w:color="000000" w:fill="FFFFFF"/>
            <w:vAlign w:val="center"/>
          </w:tcPr>
          <w:p w14:paraId="2EE7938F">
            <w:pPr>
              <w:widowControl/>
              <w:jc w:val="center"/>
              <w:rPr>
                <w:rFonts w:ascii="宋体" w:hAnsi="宋体" w:eastAsia="宋体" w:cs="宋体"/>
                <w:kern w:val="0"/>
                <w:sz w:val="22"/>
                <w:szCs w:val="22"/>
              </w:rPr>
            </w:pPr>
            <w:r>
              <w:rPr>
                <w:rFonts w:hint="eastAsia" w:ascii="宋体" w:hAnsi="宋体" w:eastAsia="宋体" w:cs="宋体"/>
                <w:kern w:val="0"/>
                <w:sz w:val="22"/>
                <w:szCs w:val="22"/>
              </w:rPr>
              <w:t>台</w:t>
            </w:r>
          </w:p>
        </w:tc>
      </w:tr>
      <w:tr w14:paraId="2A99973D">
        <w:tblPrEx>
          <w:tblCellMar>
            <w:top w:w="0" w:type="dxa"/>
            <w:left w:w="108" w:type="dxa"/>
            <w:bottom w:w="0" w:type="dxa"/>
            <w:right w:w="108" w:type="dxa"/>
          </w:tblCellMar>
        </w:tblPrEx>
        <w:trPr>
          <w:trHeight w:val="324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2BF2CD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06" w:type="dxa"/>
            <w:tcBorders>
              <w:top w:val="nil"/>
              <w:left w:val="nil"/>
              <w:bottom w:val="single" w:color="auto" w:sz="4" w:space="0"/>
              <w:right w:val="single" w:color="auto" w:sz="4" w:space="0"/>
            </w:tcBorders>
            <w:shd w:val="clear" w:color="auto" w:fill="auto"/>
            <w:vAlign w:val="center"/>
          </w:tcPr>
          <w:p w14:paraId="7B292A5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智能脑波音乐制作系统</w:t>
            </w:r>
          </w:p>
        </w:tc>
        <w:tc>
          <w:tcPr>
            <w:tcW w:w="6081" w:type="dxa"/>
            <w:tcBorders>
              <w:top w:val="nil"/>
              <w:left w:val="nil"/>
              <w:bottom w:val="single" w:color="auto" w:sz="4" w:space="0"/>
              <w:right w:val="single" w:color="auto" w:sz="4" w:space="0"/>
            </w:tcBorders>
            <w:shd w:val="clear" w:color="auto" w:fill="auto"/>
            <w:vAlign w:val="center"/>
          </w:tcPr>
          <w:p w14:paraId="754B63A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1.脑波采集仪一套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2.脑波数据转UPD转发协议软件一套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3.脑波转音符并生成音乐软件一套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4.提供不少于6种脑波音乐类型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5.所有软件均能在WINDOWS平台直接运行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6.所有软件均提供EXE执行文件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7.实现远程控制功能，并能用网页控制脑波音乐软件的运行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8.远程控制可以查看脑波状态，并展示坐标图</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9.远程控制可控制脑波音乐软件录制音乐并下载音乐</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10.远程控制可以控制输出音量和静音</w:t>
            </w:r>
          </w:p>
        </w:tc>
        <w:tc>
          <w:tcPr>
            <w:tcW w:w="2552" w:type="dxa"/>
            <w:tcBorders>
              <w:top w:val="nil"/>
              <w:left w:val="nil"/>
              <w:bottom w:val="single" w:color="auto" w:sz="4" w:space="0"/>
              <w:right w:val="single" w:color="auto" w:sz="4" w:space="0"/>
            </w:tcBorders>
            <w:shd w:val="clear" w:color="auto" w:fill="auto"/>
            <w:vAlign w:val="center"/>
          </w:tcPr>
          <w:p w14:paraId="683B69E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BRAINLINK /Genius/NEUROSKY</w:t>
            </w:r>
          </w:p>
        </w:tc>
        <w:tc>
          <w:tcPr>
            <w:tcW w:w="1037" w:type="dxa"/>
            <w:tcBorders>
              <w:top w:val="nil"/>
              <w:left w:val="nil"/>
              <w:bottom w:val="single" w:color="auto" w:sz="4" w:space="0"/>
              <w:right w:val="single" w:color="auto" w:sz="4" w:space="0"/>
            </w:tcBorders>
            <w:shd w:val="clear" w:color="auto" w:fill="auto"/>
            <w:vAlign w:val="center"/>
          </w:tcPr>
          <w:p w14:paraId="4A5B2B4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373" w:type="dxa"/>
            <w:tcBorders>
              <w:top w:val="nil"/>
              <w:left w:val="nil"/>
              <w:bottom w:val="single" w:color="auto" w:sz="4" w:space="0"/>
              <w:right w:val="single" w:color="auto" w:sz="4" w:space="0"/>
            </w:tcBorders>
            <w:shd w:val="clear" w:color="auto" w:fill="auto"/>
            <w:vAlign w:val="center"/>
          </w:tcPr>
          <w:p w14:paraId="2697DA2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bl>
    <w:p w14:paraId="6E535AF8"/>
    <w:p w14:paraId="317EAD25"/>
    <w:p w14:paraId="04A980F4"/>
    <w:p w14:paraId="169830FB"/>
    <w:p w14:paraId="044C0105"/>
    <w:p w14:paraId="383922A4"/>
    <w:p w14:paraId="412B8F05"/>
    <w:p w14:paraId="70CBDA4F"/>
    <w:p w14:paraId="39035006"/>
    <w:p w14:paraId="1FBDC9AB"/>
    <w:p w14:paraId="2C4D6EC7"/>
    <w:p w14:paraId="6CBB22CB">
      <w:r>
        <w:rPr>
          <w:rFonts w:hint="eastAsia"/>
        </w:rPr>
        <w:t>附件2：</w:t>
      </w:r>
    </w:p>
    <w:p w14:paraId="14A7B0A7">
      <w:pPr>
        <w:snapToGrid w:val="0"/>
        <w:spacing w:before="50" w:after="156" w:afterLines="50" w:line="360" w:lineRule="auto"/>
        <w:jc w:val="center"/>
        <w:rPr>
          <w:rFonts w:ascii="仿宋" w:hAnsi="仿宋" w:eastAsia="仿宋"/>
          <w:b/>
          <w:sz w:val="32"/>
          <w:szCs w:val="32"/>
        </w:rPr>
      </w:pPr>
      <w:r>
        <w:rPr>
          <w:rFonts w:hint="eastAsia" w:ascii="仿宋" w:hAnsi="仿宋" w:eastAsia="仿宋"/>
          <w:b/>
          <w:sz w:val="32"/>
          <w:szCs w:val="32"/>
        </w:rPr>
        <w:t>投标人直接控股、管理关系信息表</w:t>
      </w:r>
    </w:p>
    <w:tbl>
      <w:tblPr>
        <w:tblStyle w:val="7"/>
        <w:tblW w:w="12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4163"/>
        <w:gridCol w:w="4536"/>
      </w:tblGrid>
      <w:tr w14:paraId="6B5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7B605525">
            <w:pPr>
              <w:snapToGrid w:val="0"/>
              <w:spacing w:before="156" w:beforeLines="50" w:after="50"/>
              <w:jc w:val="center"/>
              <w:rPr>
                <w:rFonts w:ascii="仿宋" w:hAnsi="仿宋" w:eastAsia="仿宋"/>
                <w:b/>
                <w:szCs w:val="21"/>
              </w:rPr>
            </w:pPr>
            <w:r>
              <w:rPr>
                <w:rFonts w:ascii="仿宋" w:hAnsi="仿宋" w:eastAsia="仿宋"/>
                <w:b/>
                <w:szCs w:val="21"/>
              </w:rPr>
              <w:t>投标人直接控股股东信息表</w:t>
            </w:r>
          </w:p>
        </w:tc>
        <w:tc>
          <w:tcPr>
            <w:tcW w:w="4536" w:type="dxa"/>
            <w:shd w:val="clear" w:color="auto" w:fill="F2DBDB"/>
            <w:vAlign w:val="center"/>
          </w:tcPr>
          <w:p w14:paraId="79DB757A">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5D21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63E447E">
            <w:pPr>
              <w:spacing w:line="360" w:lineRule="exact"/>
              <w:jc w:val="center"/>
              <w:rPr>
                <w:rFonts w:ascii="仿宋" w:hAnsi="仿宋" w:eastAsia="仿宋" w:cs="宋体"/>
                <w:b/>
                <w:bCs/>
                <w:kern w:val="0"/>
                <w:szCs w:val="21"/>
              </w:rPr>
            </w:pPr>
            <w:r>
              <w:rPr>
                <w:rFonts w:ascii="仿宋" w:hAnsi="仿宋" w:eastAsia="仿宋" w:cs="宋体"/>
                <w:b/>
                <w:bCs/>
                <w:kern w:val="0"/>
                <w:szCs w:val="21"/>
              </w:rPr>
              <w:t>序号</w:t>
            </w:r>
          </w:p>
        </w:tc>
        <w:tc>
          <w:tcPr>
            <w:tcW w:w="1309" w:type="dxa"/>
            <w:vAlign w:val="center"/>
          </w:tcPr>
          <w:p w14:paraId="43FFC6E5">
            <w:pPr>
              <w:spacing w:line="360" w:lineRule="exact"/>
              <w:jc w:val="center"/>
              <w:rPr>
                <w:rFonts w:ascii="仿宋" w:hAnsi="仿宋" w:eastAsia="仿宋" w:cs="宋体"/>
                <w:b/>
                <w:bCs/>
                <w:kern w:val="0"/>
                <w:szCs w:val="21"/>
              </w:rPr>
            </w:pPr>
            <w:r>
              <w:rPr>
                <w:rFonts w:ascii="仿宋" w:hAnsi="仿宋" w:eastAsia="仿宋" w:cs="宋体"/>
                <w:b/>
                <w:bCs/>
                <w:kern w:val="0"/>
                <w:szCs w:val="21"/>
              </w:rPr>
              <w:t>直接控股股东名称</w:t>
            </w:r>
          </w:p>
        </w:tc>
        <w:tc>
          <w:tcPr>
            <w:tcW w:w="1384" w:type="dxa"/>
            <w:vAlign w:val="center"/>
          </w:tcPr>
          <w:p w14:paraId="74F847EF">
            <w:pPr>
              <w:spacing w:line="360" w:lineRule="exact"/>
              <w:jc w:val="center"/>
              <w:rPr>
                <w:rFonts w:ascii="仿宋" w:hAnsi="仿宋" w:eastAsia="仿宋" w:cs="宋体"/>
                <w:b/>
                <w:bCs/>
                <w:kern w:val="0"/>
                <w:szCs w:val="21"/>
              </w:rPr>
            </w:pPr>
            <w:r>
              <w:rPr>
                <w:rFonts w:ascii="仿宋" w:hAnsi="仿宋" w:eastAsia="仿宋" w:cs="宋体"/>
                <w:b/>
                <w:bCs/>
                <w:kern w:val="0"/>
                <w:szCs w:val="21"/>
              </w:rPr>
              <w:t>出资比例</w:t>
            </w:r>
          </w:p>
        </w:tc>
        <w:tc>
          <w:tcPr>
            <w:tcW w:w="4163" w:type="dxa"/>
            <w:vAlign w:val="center"/>
          </w:tcPr>
          <w:p w14:paraId="235077EF">
            <w:pPr>
              <w:spacing w:line="360" w:lineRule="exact"/>
              <w:jc w:val="center"/>
              <w:rPr>
                <w:rFonts w:ascii="仿宋" w:hAnsi="仿宋" w:eastAsia="仿宋" w:cs="宋体"/>
                <w:b/>
                <w:bCs/>
                <w:kern w:val="0"/>
                <w:szCs w:val="21"/>
              </w:rPr>
            </w:pPr>
            <w:r>
              <w:rPr>
                <w:rFonts w:ascii="仿宋" w:hAnsi="仿宋" w:eastAsia="仿宋" w:cs="宋体"/>
                <w:b/>
                <w:bCs/>
                <w:kern w:val="0"/>
                <w:szCs w:val="21"/>
              </w:rPr>
              <w:t>身份证号码或者统一社会信用代码</w:t>
            </w:r>
          </w:p>
        </w:tc>
        <w:tc>
          <w:tcPr>
            <w:tcW w:w="4536" w:type="dxa"/>
            <w:vMerge w:val="restart"/>
            <w:vAlign w:val="center"/>
          </w:tcPr>
          <w:p w14:paraId="30677715">
            <w:pPr>
              <w:snapToGrid w:val="0"/>
              <w:jc w:val="left"/>
              <w:rPr>
                <w:rFonts w:ascii="仿宋" w:hAnsi="仿宋" w:eastAsia="仿宋"/>
                <w:szCs w:val="21"/>
              </w:rPr>
            </w:pPr>
            <w:r>
              <w:rPr>
                <w:rFonts w:ascii="仿宋" w:hAnsi="仿宋" w:eastAsia="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A4FE84">
            <w:pPr>
              <w:snapToGrid w:val="0"/>
              <w:jc w:val="left"/>
              <w:rPr>
                <w:rFonts w:ascii="仿宋" w:hAnsi="仿宋" w:eastAsia="仿宋"/>
                <w:szCs w:val="21"/>
              </w:rPr>
            </w:pPr>
            <w:r>
              <w:rPr>
                <w:rFonts w:ascii="仿宋" w:hAnsi="仿宋" w:eastAsia="仿宋"/>
                <w:szCs w:val="21"/>
              </w:rPr>
              <w:t>2.本表所指的控股关系仅限于直接控股关系，不包括间接的控股关系。公司实际控制人与公司之间的关系不属于本表所指的直接控股关系。</w:t>
            </w:r>
          </w:p>
          <w:p w14:paraId="4F02FDDE">
            <w:pPr>
              <w:snapToGrid w:val="0"/>
              <w:jc w:val="left"/>
              <w:rPr>
                <w:rFonts w:ascii="仿宋" w:hAnsi="仿宋" w:eastAsia="仿宋" w:cs="宋体"/>
                <w:b/>
                <w:bCs/>
                <w:kern w:val="0"/>
                <w:szCs w:val="21"/>
              </w:rPr>
            </w:pPr>
            <w:r>
              <w:rPr>
                <w:rFonts w:ascii="仿宋" w:hAnsi="仿宋" w:eastAsia="仿宋"/>
                <w:szCs w:val="21"/>
              </w:rPr>
              <w:t>3.供应商不存在直接控股股东的，则填“无”。</w:t>
            </w:r>
          </w:p>
        </w:tc>
      </w:tr>
      <w:tr w14:paraId="186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FAF252D">
            <w:pPr>
              <w:snapToGrid w:val="0"/>
              <w:spacing w:before="156" w:beforeLines="50" w:after="50"/>
              <w:jc w:val="center"/>
              <w:rPr>
                <w:rFonts w:ascii="仿宋" w:hAnsi="仿宋" w:eastAsia="仿宋"/>
                <w:b/>
                <w:szCs w:val="21"/>
              </w:rPr>
            </w:pPr>
            <w:r>
              <w:rPr>
                <w:rFonts w:ascii="仿宋" w:hAnsi="仿宋" w:eastAsia="仿宋"/>
                <w:b/>
                <w:szCs w:val="21"/>
              </w:rPr>
              <w:t>1</w:t>
            </w:r>
          </w:p>
        </w:tc>
        <w:tc>
          <w:tcPr>
            <w:tcW w:w="1309" w:type="dxa"/>
          </w:tcPr>
          <w:p w14:paraId="4CB76A6E">
            <w:pPr>
              <w:snapToGrid w:val="0"/>
              <w:spacing w:before="156" w:beforeLines="50" w:after="50"/>
              <w:jc w:val="left"/>
              <w:rPr>
                <w:rFonts w:ascii="仿宋" w:hAnsi="仿宋" w:eastAsia="仿宋"/>
                <w:b/>
                <w:szCs w:val="21"/>
              </w:rPr>
            </w:pPr>
          </w:p>
        </w:tc>
        <w:tc>
          <w:tcPr>
            <w:tcW w:w="1384" w:type="dxa"/>
          </w:tcPr>
          <w:p w14:paraId="6677D9CC">
            <w:pPr>
              <w:snapToGrid w:val="0"/>
              <w:spacing w:before="156" w:beforeLines="50" w:after="50"/>
              <w:jc w:val="left"/>
              <w:rPr>
                <w:rFonts w:ascii="仿宋" w:hAnsi="仿宋" w:eastAsia="仿宋"/>
                <w:b/>
                <w:szCs w:val="21"/>
              </w:rPr>
            </w:pPr>
          </w:p>
        </w:tc>
        <w:tc>
          <w:tcPr>
            <w:tcW w:w="4163" w:type="dxa"/>
          </w:tcPr>
          <w:p w14:paraId="7471893F">
            <w:pPr>
              <w:snapToGrid w:val="0"/>
              <w:spacing w:before="156" w:beforeLines="50" w:after="50"/>
              <w:jc w:val="left"/>
              <w:rPr>
                <w:rFonts w:ascii="仿宋" w:hAnsi="仿宋" w:eastAsia="仿宋"/>
                <w:b/>
                <w:szCs w:val="21"/>
              </w:rPr>
            </w:pPr>
          </w:p>
        </w:tc>
        <w:tc>
          <w:tcPr>
            <w:tcW w:w="4536" w:type="dxa"/>
            <w:vMerge w:val="continue"/>
          </w:tcPr>
          <w:p w14:paraId="6E223151">
            <w:pPr>
              <w:snapToGrid w:val="0"/>
              <w:jc w:val="left"/>
              <w:rPr>
                <w:rFonts w:ascii="仿宋" w:hAnsi="仿宋" w:eastAsia="仿宋"/>
                <w:szCs w:val="21"/>
              </w:rPr>
            </w:pPr>
          </w:p>
        </w:tc>
      </w:tr>
      <w:tr w14:paraId="0E15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2045C714">
            <w:pPr>
              <w:snapToGrid w:val="0"/>
              <w:spacing w:before="156" w:beforeLines="50" w:after="50"/>
              <w:jc w:val="center"/>
              <w:rPr>
                <w:rFonts w:ascii="仿宋" w:hAnsi="仿宋" w:eastAsia="仿宋"/>
                <w:b/>
                <w:szCs w:val="21"/>
              </w:rPr>
            </w:pPr>
            <w:r>
              <w:rPr>
                <w:rFonts w:ascii="仿宋" w:hAnsi="仿宋" w:eastAsia="仿宋"/>
                <w:b/>
                <w:szCs w:val="21"/>
              </w:rPr>
              <w:t>2</w:t>
            </w:r>
          </w:p>
        </w:tc>
        <w:tc>
          <w:tcPr>
            <w:tcW w:w="1309" w:type="dxa"/>
          </w:tcPr>
          <w:p w14:paraId="459F22F6">
            <w:pPr>
              <w:snapToGrid w:val="0"/>
              <w:spacing w:before="156" w:beforeLines="50" w:after="50"/>
              <w:jc w:val="left"/>
              <w:rPr>
                <w:rFonts w:ascii="仿宋" w:hAnsi="仿宋" w:eastAsia="仿宋"/>
                <w:b/>
                <w:szCs w:val="21"/>
              </w:rPr>
            </w:pPr>
          </w:p>
        </w:tc>
        <w:tc>
          <w:tcPr>
            <w:tcW w:w="1384" w:type="dxa"/>
          </w:tcPr>
          <w:p w14:paraId="41683AF1">
            <w:pPr>
              <w:snapToGrid w:val="0"/>
              <w:spacing w:before="156" w:beforeLines="50" w:after="50"/>
              <w:jc w:val="left"/>
              <w:rPr>
                <w:rFonts w:ascii="仿宋" w:hAnsi="仿宋" w:eastAsia="仿宋"/>
                <w:b/>
                <w:szCs w:val="21"/>
              </w:rPr>
            </w:pPr>
          </w:p>
        </w:tc>
        <w:tc>
          <w:tcPr>
            <w:tcW w:w="4163" w:type="dxa"/>
          </w:tcPr>
          <w:p w14:paraId="31A3DD7E">
            <w:pPr>
              <w:snapToGrid w:val="0"/>
              <w:spacing w:before="156" w:beforeLines="50" w:after="50"/>
              <w:jc w:val="left"/>
              <w:rPr>
                <w:rFonts w:ascii="仿宋" w:hAnsi="仿宋" w:eastAsia="仿宋"/>
                <w:b/>
                <w:szCs w:val="21"/>
              </w:rPr>
            </w:pPr>
          </w:p>
        </w:tc>
        <w:tc>
          <w:tcPr>
            <w:tcW w:w="4536" w:type="dxa"/>
            <w:vMerge w:val="continue"/>
          </w:tcPr>
          <w:p w14:paraId="4278126A">
            <w:pPr>
              <w:snapToGrid w:val="0"/>
              <w:spacing w:before="156" w:beforeLines="50" w:after="50"/>
              <w:jc w:val="left"/>
              <w:rPr>
                <w:rFonts w:ascii="仿宋" w:hAnsi="仿宋" w:eastAsia="仿宋"/>
                <w:b/>
                <w:szCs w:val="21"/>
              </w:rPr>
            </w:pPr>
          </w:p>
        </w:tc>
      </w:tr>
      <w:tr w14:paraId="560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6F308D51">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1309" w:type="dxa"/>
            <w:tcBorders>
              <w:bottom w:val="single" w:color="auto" w:sz="4" w:space="0"/>
            </w:tcBorders>
          </w:tcPr>
          <w:p w14:paraId="11FB19EA">
            <w:pPr>
              <w:snapToGrid w:val="0"/>
              <w:spacing w:before="156" w:beforeLines="50" w:after="50"/>
              <w:jc w:val="left"/>
              <w:rPr>
                <w:rFonts w:ascii="仿宋" w:hAnsi="仿宋" w:eastAsia="仿宋"/>
                <w:b/>
                <w:szCs w:val="21"/>
              </w:rPr>
            </w:pPr>
          </w:p>
        </w:tc>
        <w:tc>
          <w:tcPr>
            <w:tcW w:w="1384" w:type="dxa"/>
            <w:tcBorders>
              <w:bottom w:val="single" w:color="auto" w:sz="4" w:space="0"/>
            </w:tcBorders>
          </w:tcPr>
          <w:p w14:paraId="161784AA">
            <w:pPr>
              <w:snapToGrid w:val="0"/>
              <w:spacing w:before="156" w:beforeLines="50" w:after="50"/>
              <w:jc w:val="left"/>
              <w:rPr>
                <w:rFonts w:ascii="仿宋" w:hAnsi="仿宋" w:eastAsia="仿宋"/>
                <w:b/>
                <w:szCs w:val="21"/>
              </w:rPr>
            </w:pPr>
          </w:p>
        </w:tc>
        <w:tc>
          <w:tcPr>
            <w:tcW w:w="4163" w:type="dxa"/>
            <w:tcBorders>
              <w:bottom w:val="single" w:color="auto" w:sz="4" w:space="0"/>
            </w:tcBorders>
          </w:tcPr>
          <w:p w14:paraId="4C98F250">
            <w:pPr>
              <w:snapToGrid w:val="0"/>
              <w:spacing w:before="156" w:beforeLines="50" w:after="50"/>
              <w:jc w:val="left"/>
              <w:rPr>
                <w:rFonts w:ascii="仿宋" w:hAnsi="仿宋" w:eastAsia="仿宋"/>
                <w:b/>
                <w:szCs w:val="21"/>
              </w:rPr>
            </w:pPr>
          </w:p>
        </w:tc>
        <w:tc>
          <w:tcPr>
            <w:tcW w:w="4536" w:type="dxa"/>
            <w:vMerge w:val="continue"/>
            <w:tcBorders>
              <w:bottom w:val="single" w:color="auto" w:sz="4" w:space="0"/>
            </w:tcBorders>
          </w:tcPr>
          <w:p w14:paraId="25E36D15">
            <w:pPr>
              <w:snapToGrid w:val="0"/>
              <w:spacing w:before="156" w:beforeLines="50" w:after="50"/>
              <w:jc w:val="left"/>
              <w:rPr>
                <w:rFonts w:ascii="仿宋" w:hAnsi="仿宋" w:eastAsia="仿宋"/>
                <w:b/>
                <w:szCs w:val="21"/>
              </w:rPr>
            </w:pPr>
          </w:p>
        </w:tc>
      </w:tr>
      <w:tr w14:paraId="63A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73" w:type="dxa"/>
            <w:gridSpan w:val="4"/>
            <w:shd w:val="clear" w:color="auto" w:fill="F2DBDB"/>
            <w:vAlign w:val="center"/>
          </w:tcPr>
          <w:p w14:paraId="72061FF8">
            <w:pPr>
              <w:snapToGrid w:val="0"/>
              <w:spacing w:before="156" w:beforeLines="50" w:after="50"/>
              <w:jc w:val="center"/>
              <w:rPr>
                <w:rFonts w:ascii="仿宋" w:hAnsi="仿宋" w:eastAsia="仿宋"/>
                <w:b/>
                <w:szCs w:val="21"/>
              </w:rPr>
            </w:pPr>
            <w:r>
              <w:rPr>
                <w:rFonts w:ascii="仿宋" w:hAnsi="仿宋" w:eastAsia="仿宋"/>
                <w:b/>
                <w:szCs w:val="21"/>
              </w:rPr>
              <w:t>投标人直接管理关系信息表</w:t>
            </w:r>
          </w:p>
        </w:tc>
        <w:tc>
          <w:tcPr>
            <w:tcW w:w="4536" w:type="dxa"/>
            <w:shd w:val="clear" w:color="auto" w:fill="F2DBDB"/>
            <w:vAlign w:val="center"/>
          </w:tcPr>
          <w:p w14:paraId="4B889ED3">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130D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18EEAC5">
            <w:pPr>
              <w:snapToGrid w:val="0"/>
              <w:spacing w:before="156" w:beforeLines="50" w:after="50"/>
              <w:jc w:val="center"/>
              <w:rPr>
                <w:rFonts w:ascii="仿宋" w:hAnsi="仿宋" w:eastAsia="仿宋"/>
                <w:b/>
                <w:szCs w:val="21"/>
              </w:rPr>
            </w:pPr>
            <w:r>
              <w:rPr>
                <w:rFonts w:ascii="仿宋" w:hAnsi="仿宋" w:eastAsia="仿宋" w:cs="宋体"/>
                <w:b/>
                <w:bCs/>
                <w:kern w:val="0"/>
                <w:szCs w:val="21"/>
              </w:rPr>
              <w:t>序号</w:t>
            </w:r>
          </w:p>
        </w:tc>
        <w:tc>
          <w:tcPr>
            <w:tcW w:w="2693" w:type="dxa"/>
            <w:gridSpan w:val="2"/>
            <w:vAlign w:val="center"/>
          </w:tcPr>
          <w:p w14:paraId="3B62DEF5">
            <w:pPr>
              <w:snapToGrid w:val="0"/>
              <w:spacing w:before="156" w:beforeLines="50" w:after="50"/>
              <w:jc w:val="center"/>
              <w:rPr>
                <w:rFonts w:ascii="仿宋" w:hAnsi="仿宋" w:eastAsia="仿宋"/>
                <w:b/>
                <w:szCs w:val="21"/>
              </w:rPr>
            </w:pPr>
            <w:r>
              <w:rPr>
                <w:rFonts w:ascii="仿宋" w:hAnsi="仿宋" w:eastAsia="仿宋" w:cs="宋体"/>
                <w:b/>
                <w:bCs/>
                <w:kern w:val="0"/>
                <w:szCs w:val="21"/>
              </w:rPr>
              <w:t>直接管理关系单位名称</w:t>
            </w:r>
          </w:p>
        </w:tc>
        <w:tc>
          <w:tcPr>
            <w:tcW w:w="4163" w:type="dxa"/>
            <w:vAlign w:val="center"/>
          </w:tcPr>
          <w:p w14:paraId="6CAD11EF">
            <w:pPr>
              <w:snapToGrid w:val="0"/>
              <w:spacing w:before="156" w:beforeLines="50" w:after="50"/>
              <w:jc w:val="center"/>
              <w:rPr>
                <w:rFonts w:ascii="仿宋" w:hAnsi="仿宋" w:eastAsia="仿宋"/>
                <w:b/>
                <w:szCs w:val="21"/>
              </w:rPr>
            </w:pPr>
            <w:r>
              <w:rPr>
                <w:rFonts w:ascii="仿宋" w:hAnsi="仿宋" w:eastAsia="仿宋" w:cs="宋体"/>
                <w:b/>
                <w:bCs/>
                <w:kern w:val="0"/>
                <w:szCs w:val="21"/>
              </w:rPr>
              <w:t>统一社会信用代码</w:t>
            </w:r>
          </w:p>
        </w:tc>
        <w:tc>
          <w:tcPr>
            <w:tcW w:w="4536" w:type="dxa"/>
            <w:vMerge w:val="restart"/>
            <w:vAlign w:val="center"/>
          </w:tcPr>
          <w:p w14:paraId="28A57631">
            <w:pPr>
              <w:snapToGrid w:val="0"/>
              <w:jc w:val="left"/>
              <w:rPr>
                <w:rFonts w:ascii="仿宋" w:hAnsi="仿宋" w:eastAsia="仿宋"/>
                <w:szCs w:val="21"/>
              </w:rPr>
            </w:pPr>
            <w:r>
              <w:rPr>
                <w:rFonts w:ascii="仿宋" w:hAnsi="仿宋" w:eastAsia="仿宋"/>
                <w:szCs w:val="21"/>
              </w:rPr>
              <w:t>1.管理关系：是指不具有出资持股关系的其他单位之间存在的管理与被管理关系，如一些上下级关系的事业单位和团体组织。</w:t>
            </w:r>
          </w:p>
          <w:p w14:paraId="2F1DD5E1">
            <w:pPr>
              <w:snapToGrid w:val="0"/>
              <w:jc w:val="left"/>
              <w:rPr>
                <w:rFonts w:ascii="仿宋" w:hAnsi="仿宋" w:eastAsia="仿宋"/>
                <w:szCs w:val="21"/>
              </w:rPr>
            </w:pPr>
            <w:r>
              <w:rPr>
                <w:rFonts w:ascii="仿宋" w:hAnsi="仿宋" w:eastAsia="仿宋"/>
                <w:szCs w:val="21"/>
              </w:rPr>
              <w:t>2.本表所指的管理关系仅限于直接管理关系，不包括间接的管理关系。</w:t>
            </w:r>
          </w:p>
          <w:p w14:paraId="4CD8F99D">
            <w:pPr>
              <w:snapToGrid w:val="0"/>
              <w:jc w:val="left"/>
              <w:rPr>
                <w:rFonts w:ascii="仿宋" w:hAnsi="仿宋" w:eastAsia="仿宋"/>
                <w:szCs w:val="21"/>
              </w:rPr>
            </w:pPr>
            <w:r>
              <w:rPr>
                <w:rFonts w:ascii="仿宋" w:hAnsi="仿宋" w:eastAsia="仿宋"/>
                <w:szCs w:val="21"/>
              </w:rPr>
              <w:t>3.供应商不存在直接管理关系的，则填“无”。</w:t>
            </w:r>
          </w:p>
        </w:tc>
      </w:tr>
      <w:tr w14:paraId="49BA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60545E59">
            <w:pPr>
              <w:snapToGrid w:val="0"/>
              <w:spacing w:before="156" w:beforeLines="50" w:after="50"/>
              <w:jc w:val="center"/>
              <w:rPr>
                <w:rFonts w:ascii="仿宋" w:hAnsi="仿宋" w:eastAsia="仿宋"/>
                <w:b/>
                <w:szCs w:val="21"/>
              </w:rPr>
            </w:pPr>
            <w:r>
              <w:rPr>
                <w:rFonts w:ascii="仿宋" w:hAnsi="仿宋" w:eastAsia="仿宋"/>
                <w:b/>
                <w:szCs w:val="21"/>
              </w:rPr>
              <w:t>1</w:t>
            </w:r>
          </w:p>
        </w:tc>
        <w:tc>
          <w:tcPr>
            <w:tcW w:w="2693" w:type="dxa"/>
            <w:gridSpan w:val="2"/>
            <w:vAlign w:val="center"/>
          </w:tcPr>
          <w:p w14:paraId="566F4D5B">
            <w:pPr>
              <w:snapToGrid w:val="0"/>
              <w:spacing w:before="156" w:beforeLines="50" w:after="50"/>
              <w:jc w:val="center"/>
              <w:rPr>
                <w:rFonts w:ascii="仿宋" w:hAnsi="仿宋" w:eastAsia="仿宋" w:cs="宋体"/>
                <w:b/>
                <w:bCs/>
                <w:kern w:val="0"/>
                <w:szCs w:val="21"/>
              </w:rPr>
            </w:pPr>
          </w:p>
        </w:tc>
        <w:tc>
          <w:tcPr>
            <w:tcW w:w="4163" w:type="dxa"/>
            <w:vAlign w:val="center"/>
          </w:tcPr>
          <w:p w14:paraId="3D236EA3">
            <w:pPr>
              <w:snapToGrid w:val="0"/>
              <w:spacing w:before="156" w:beforeLines="50" w:after="50"/>
              <w:jc w:val="center"/>
              <w:rPr>
                <w:rFonts w:ascii="仿宋" w:hAnsi="仿宋" w:eastAsia="仿宋" w:cs="宋体"/>
                <w:b/>
                <w:bCs/>
                <w:kern w:val="0"/>
                <w:szCs w:val="21"/>
              </w:rPr>
            </w:pPr>
          </w:p>
        </w:tc>
        <w:tc>
          <w:tcPr>
            <w:tcW w:w="4536" w:type="dxa"/>
            <w:vMerge w:val="continue"/>
            <w:vAlign w:val="center"/>
          </w:tcPr>
          <w:p w14:paraId="713196E9">
            <w:pPr>
              <w:snapToGrid w:val="0"/>
              <w:jc w:val="left"/>
              <w:rPr>
                <w:rFonts w:ascii="仿宋" w:hAnsi="仿宋" w:eastAsia="仿宋"/>
                <w:szCs w:val="21"/>
              </w:rPr>
            </w:pPr>
          </w:p>
        </w:tc>
      </w:tr>
      <w:tr w14:paraId="060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2F83240D">
            <w:pPr>
              <w:snapToGrid w:val="0"/>
              <w:spacing w:before="156" w:beforeLines="50" w:after="50"/>
              <w:jc w:val="center"/>
              <w:rPr>
                <w:rFonts w:ascii="仿宋" w:hAnsi="仿宋" w:eastAsia="仿宋"/>
                <w:b/>
                <w:szCs w:val="21"/>
              </w:rPr>
            </w:pPr>
            <w:r>
              <w:rPr>
                <w:rFonts w:ascii="仿宋" w:hAnsi="仿宋" w:eastAsia="仿宋"/>
                <w:b/>
                <w:szCs w:val="21"/>
              </w:rPr>
              <w:t>2</w:t>
            </w:r>
          </w:p>
        </w:tc>
        <w:tc>
          <w:tcPr>
            <w:tcW w:w="2693" w:type="dxa"/>
            <w:gridSpan w:val="2"/>
            <w:vAlign w:val="center"/>
          </w:tcPr>
          <w:p w14:paraId="01D518E8">
            <w:pPr>
              <w:snapToGrid w:val="0"/>
              <w:spacing w:before="156" w:beforeLines="50" w:after="50"/>
              <w:jc w:val="center"/>
              <w:rPr>
                <w:rFonts w:ascii="仿宋" w:hAnsi="仿宋" w:eastAsia="仿宋" w:cs="宋体"/>
                <w:b/>
                <w:bCs/>
                <w:kern w:val="0"/>
                <w:szCs w:val="21"/>
              </w:rPr>
            </w:pPr>
          </w:p>
        </w:tc>
        <w:tc>
          <w:tcPr>
            <w:tcW w:w="4163" w:type="dxa"/>
            <w:vAlign w:val="center"/>
          </w:tcPr>
          <w:p w14:paraId="1587044B">
            <w:pPr>
              <w:snapToGrid w:val="0"/>
              <w:spacing w:before="156" w:beforeLines="50" w:after="50"/>
              <w:jc w:val="center"/>
              <w:rPr>
                <w:rFonts w:ascii="仿宋" w:hAnsi="仿宋" w:eastAsia="仿宋" w:cs="宋体"/>
                <w:b/>
                <w:bCs/>
                <w:kern w:val="0"/>
                <w:szCs w:val="21"/>
              </w:rPr>
            </w:pPr>
          </w:p>
        </w:tc>
        <w:tc>
          <w:tcPr>
            <w:tcW w:w="4536" w:type="dxa"/>
            <w:vMerge w:val="continue"/>
            <w:vAlign w:val="center"/>
          </w:tcPr>
          <w:p w14:paraId="299029C1">
            <w:pPr>
              <w:snapToGrid w:val="0"/>
              <w:jc w:val="left"/>
              <w:rPr>
                <w:rFonts w:ascii="仿宋" w:hAnsi="仿宋" w:eastAsia="仿宋"/>
                <w:szCs w:val="21"/>
              </w:rPr>
            </w:pPr>
          </w:p>
        </w:tc>
      </w:tr>
      <w:tr w14:paraId="5CD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120B8BF">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2693" w:type="dxa"/>
            <w:gridSpan w:val="2"/>
            <w:vAlign w:val="center"/>
          </w:tcPr>
          <w:p w14:paraId="17FD4101">
            <w:pPr>
              <w:snapToGrid w:val="0"/>
              <w:spacing w:before="156" w:beforeLines="50" w:after="50"/>
              <w:jc w:val="center"/>
              <w:rPr>
                <w:rFonts w:ascii="仿宋" w:hAnsi="仿宋" w:eastAsia="仿宋" w:cs="宋体"/>
                <w:b/>
                <w:bCs/>
                <w:kern w:val="0"/>
                <w:szCs w:val="21"/>
              </w:rPr>
            </w:pPr>
          </w:p>
        </w:tc>
        <w:tc>
          <w:tcPr>
            <w:tcW w:w="4163" w:type="dxa"/>
            <w:vAlign w:val="center"/>
          </w:tcPr>
          <w:p w14:paraId="689AA734">
            <w:pPr>
              <w:snapToGrid w:val="0"/>
              <w:spacing w:before="156" w:beforeLines="50" w:after="50"/>
              <w:jc w:val="center"/>
              <w:rPr>
                <w:rFonts w:ascii="仿宋" w:hAnsi="仿宋" w:eastAsia="仿宋" w:cs="宋体"/>
                <w:b/>
                <w:bCs/>
                <w:kern w:val="0"/>
                <w:szCs w:val="21"/>
              </w:rPr>
            </w:pPr>
          </w:p>
        </w:tc>
        <w:tc>
          <w:tcPr>
            <w:tcW w:w="4536" w:type="dxa"/>
            <w:vMerge w:val="continue"/>
            <w:vAlign w:val="center"/>
          </w:tcPr>
          <w:p w14:paraId="6DE108A1">
            <w:pPr>
              <w:snapToGrid w:val="0"/>
              <w:jc w:val="left"/>
              <w:rPr>
                <w:rFonts w:ascii="仿宋" w:hAnsi="仿宋" w:eastAsia="仿宋"/>
                <w:szCs w:val="21"/>
              </w:rPr>
            </w:pPr>
          </w:p>
        </w:tc>
      </w:tr>
    </w:tbl>
    <w:p w14:paraId="281EA2AE">
      <w:pPr>
        <w:snapToGrid w:val="0"/>
        <w:spacing w:line="360" w:lineRule="auto"/>
        <w:jc w:val="left"/>
        <w:rPr>
          <w:rFonts w:ascii="仿宋" w:hAnsi="仿宋" w:eastAsia="仿宋"/>
          <w:sz w:val="24"/>
        </w:rPr>
      </w:pPr>
    </w:p>
    <w:p w14:paraId="7BA66D78">
      <w:pPr>
        <w:snapToGrid w:val="0"/>
        <w:spacing w:line="360" w:lineRule="auto"/>
        <w:ind w:firstLine="4840" w:firstLineChars="2200"/>
        <w:rPr>
          <w:rFonts w:ascii="仿宋" w:hAnsi="仿宋" w:eastAsia="仿宋" w:cs="仿宋_GB2312"/>
          <w:kern w:val="0"/>
          <w:sz w:val="22"/>
          <w:u w:val="single"/>
        </w:rPr>
      </w:pPr>
      <w:r>
        <w:rPr>
          <w:rFonts w:hint="eastAsia" w:ascii="仿宋" w:hAnsi="仿宋" w:eastAsia="仿宋" w:cs="仿宋_GB2312"/>
          <w:kern w:val="0"/>
          <w:sz w:val="22"/>
          <w:lang w:val="zh-CN"/>
        </w:rPr>
        <w:t>投标人名称(</w:t>
      </w:r>
      <w:r>
        <w:rPr>
          <w:rFonts w:hint="eastAsia" w:ascii="仿宋" w:hAnsi="仿宋" w:eastAsia="仿宋" w:cs="仿宋_GB2312"/>
          <w:kern w:val="0"/>
          <w:sz w:val="22"/>
        </w:rPr>
        <w:t>公章</w:t>
      </w:r>
      <w:r>
        <w:rPr>
          <w:rFonts w:hint="eastAsia" w:ascii="仿宋" w:hAnsi="仿宋" w:eastAsia="仿宋" w:cs="仿宋_GB2312"/>
          <w:kern w:val="0"/>
          <w:sz w:val="22"/>
          <w:lang w:val="zh-CN"/>
        </w:rPr>
        <w:t>)：</w:t>
      </w:r>
      <w:r>
        <w:rPr>
          <w:rFonts w:hint="eastAsia" w:ascii="仿宋" w:hAnsi="仿宋" w:eastAsia="仿宋" w:cs="仿宋_GB2312"/>
          <w:kern w:val="0"/>
          <w:sz w:val="22"/>
          <w:u w:val="single"/>
          <w:lang w:val="zh-CN"/>
        </w:rPr>
        <w:t xml:space="preserve"> </w:t>
      </w:r>
      <w:r>
        <w:rPr>
          <w:rFonts w:ascii="仿宋" w:hAnsi="仿宋" w:eastAsia="仿宋" w:cs="仿宋_GB2312"/>
          <w:kern w:val="0"/>
          <w:sz w:val="22"/>
          <w:u w:val="single"/>
          <w:lang w:val="zh-CN"/>
        </w:rPr>
        <w:t xml:space="preserve">         </w:t>
      </w:r>
    </w:p>
    <w:p w14:paraId="1D15B4AD">
      <w:pPr>
        <w:snapToGrid w:val="0"/>
        <w:spacing w:line="360" w:lineRule="auto"/>
        <w:ind w:firstLine="4730" w:firstLineChars="2150"/>
        <w:rPr>
          <w:rFonts w:ascii="仿宋" w:hAnsi="仿宋" w:eastAsia="仿宋" w:cs="仿宋_GB2312"/>
          <w:kern w:val="0"/>
          <w:sz w:val="22"/>
          <w:lang w:val="zh-CN"/>
        </w:rPr>
      </w:pPr>
      <w:r>
        <w:rPr>
          <w:rFonts w:hint="eastAsia" w:ascii="仿宋" w:hAnsi="仿宋" w:eastAsia="仿宋" w:cs="仿宋_GB2312"/>
          <w:kern w:val="0"/>
          <w:sz w:val="22"/>
          <w:lang w:val="zh-CN"/>
        </w:rPr>
        <w:t>日期</w:t>
      </w:r>
      <w:r>
        <w:rPr>
          <w:rFonts w:hint="eastAsia" w:ascii="仿宋" w:hAnsi="仿宋" w:eastAsia="仿宋" w:cs="仿宋_GB2312"/>
          <w:kern w:val="0"/>
          <w:sz w:val="22"/>
        </w:rPr>
        <w:t xml:space="preserve">：  年  </w:t>
      </w:r>
      <w:r>
        <w:rPr>
          <w:rFonts w:hint="eastAsia" w:ascii="仿宋" w:hAnsi="仿宋" w:eastAsia="仿宋" w:cs="仿宋_GB2312"/>
          <w:kern w:val="0"/>
          <w:sz w:val="22"/>
          <w:lang w:val="zh-CN"/>
        </w:rPr>
        <w:t>月</w:t>
      </w:r>
      <w:r>
        <w:rPr>
          <w:rFonts w:hint="eastAsia" w:ascii="仿宋" w:hAnsi="仿宋" w:eastAsia="仿宋" w:cs="仿宋_GB2312"/>
          <w:kern w:val="0"/>
          <w:sz w:val="22"/>
        </w:rPr>
        <w:t xml:space="preserve">   </w:t>
      </w:r>
      <w:r>
        <w:rPr>
          <w:rFonts w:hint="eastAsia" w:ascii="仿宋" w:hAnsi="仿宋" w:eastAsia="仿宋" w:cs="仿宋_GB2312"/>
          <w:kern w:val="0"/>
          <w:sz w:val="22"/>
          <w:lang w:val="zh-CN"/>
        </w:rPr>
        <w:t>日</w:t>
      </w:r>
    </w:p>
    <w:p w14:paraId="6D1234EA"/>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93C70"/>
    <w:rsid w:val="00003255"/>
    <w:rsid w:val="00031333"/>
    <w:rsid w:val="00090D71"/>
    <w:rsid w:val="00140B74"/>
    <w:rsid w:val="0014511E"/>
    <w:rsid w:val="002D0F5F"/>
    <w:rsid w:val="003504F0"/>
    <w:rsid w:val="00363A79"/>
    <w:rsid w:val="003C0572"/>
    <w:rsid w:val="0043275E"/>
    <w:rsid w:val="00523927"/>
    <w:rsid w:val="005F0310"/>
    <w:rsid w:val="00647889"/>
    <w:rsid w:val="007C2959"/>
    <w:rsid w:val="00904876"/>
    <w:rsid w:val="00C57ED9"/>
    <w:rsid w:val="00F0747E"/>
    <w:rsid w:val="00F14CD5"/>
    <w:rsid w:val="00FF577D"/>
    <w:rsid w:val="05393C70"/>
    <w:rsid w:val="0C6F55EB"/>
    <w:rsid w:val="0E26793E"/>
    <w:rsid w:val="124B4370"/>
    <w:rsid w:val="14A66120"/>
    <w:rsid w:val="20C4005A"/>
    <w:rsid w:val="23845BBE"/>
    <w:rsid w:val="277D26EF"/>
    <w:rsid w:val="33303667"/>
    <w:rsid w:val="45C014AB"/>
    <w:rsid w:val="4B8B74BE"/>
    <w:rsid w:val="4C9635CE"/>
    <w:rsid w:val="51A85ED4"/>
    <w:rsid w:val="587255D7"/>
    <w:rsid w:val="67F72090"/>
    <w:rsid w:val="6C376742"/>
    <w:rsid w:val="6F8E3370"/>
    <w:rsid w:val="6FCF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qFormat/>
    <w:uiPriority w:val="0"/>
    <w:rPr>
      <w:b/>
    </w:rPr>
  </w:style>
  <w:style w:type="character" w:styleId="10">
    <w:name w:val="Hyperlink"/>
    <w:qFormat/>
    <w:uiPriority w:val="0"/>
    <w:rPr>
      <w:color w:val="0000FF"/>
      <w:u w:val="single"/>
    </w:rPr>
  </w:style>
  <w:style w:type="character" w:styleId="11">
    <w:name w:val="annotation reference"/>
    <w:basedOn w:val="8"/>
    <w:qFormat/>
    <w:uiPriority w:val="0"/>
    <w:rPr>
      <w:sz w:val="21"/>
      <w:szCs w:val="21"/>
    </w:rPr>
  </w:style>
  <w:style w:type="character" w:customStyle="1" w:styleId="12">
    <w:name w:val="font31"/>
    <w:basedOn w:val="8"/>
    <w:qFormat/>
    <w:uiPriority w:val="0"/>
    <w:rPr>
      <w:rFonts w:hint="eastAsia" w:ascii="宋体" w:hAnsi="宋体" w:eastAsia="宋体" w:cs="宋体"/>
      <w:color w:val="000000"/>
      <w:sz w:val="21"/>
      <w:szCs w:val="21"/>
      <w:u w:val="none"/>
    </w:rPr>
  </w:style>
  <w:style w:type="character" w:customStyle="1" w:styleId="13">
    <w:name w:val="font51"/>
    <w:basedOn w:val="8"/>
    <w:uiPriority w:val="0"/>
    <w:rPr>
      <w:rFonts w:hint="eastAsia" w:ascii="宋体" w:hAnsi="宋体" w:eastAsia="宋体" w:cs="宋体"/>
      <w:b/>
      <w:bCs/>
      <w:color w:val="FF0000"/>
      <w:sz w:val="21"/>
      <w:szCs w:val="21"/>
      <w:u w:val="none"/>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61"/>
    <w:basedOn w:val="8"/>
    <w:qFormat/>
    <w:uiPriority w:val="0"/>
    <w:rPr>
      <w:rFonts w:hint="eastAsia" w:ascii="宋体" w:hAnsi="宋体" w:eastAsia="宋体" w:cs="宋体"/>
      <w:b/>
      <w:bCs/>
      <w:color w:val="FF0000"/>
      <w:sz w:val="22"/>
      <w:szCs w:val="22"/>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81"/>
    <w:basedOn w:val="8"/>
    <w:qFormat/>
    <w:uiPriority w:val="0"/>
    <w:rPr>
      <w:rFonts w:ascii="BatangChe" w:hAnsi="BatangChe" w:eastAsia="BatangChe" w:cs="BatangChe"/>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none"/>
    </w:rPr>
  </w:style>
  <w:style w:type="character" w:customStyle="1" w:styleId="19">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20">
    <w:name w:val="页眉 字符"/>
    <w:basedOn w:val="8"/>
    <w:link w:val="5"/>
    <w:qFormat/>
    <w:uiPriority w:val="0"/>
    <w:rPr>
      <w:rFonts w:asciiTheme="minorHAnsi" w:hAnsiTheme="minorHAnsi" w:eastAsiaTheme="minorEastAsia" w:cstheme="minorBidi"/>
      <w:kern w:val="2"/>
      <w:sz w:val="18"/>
      <w:szCs w:val="18"/>
    </w:rPr>
  </w:style>
  <w:style w:type="character" w:customStyle="1" w:styleId="2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4538</Words>
  <Characters>6123</Characters>
  <Lines>49</Lines>
  <Paragraphs>14</Paragraphs>
  <TotalTime>90</TotalTime>
  <ScaleCrop>false</ScaleCrop>
  <LinksUpToDate>false</LinksUpToDate>
  <CharactersWithSpaces>6624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2025-05-06T09:03:00Z</dcterms:created>
  <dc:creator>黄冲</dc:creator>
  <cp:lastModifiedBy>李建波</cp:lastModifiedBy>
  <cp:lastPrinted>2025-05-16T07:28:00Z</cp:lastPrinted>
  <dcterms:modified xsi:type="dcterms:W3CDTF">2025-06-30T05:43:35Z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D00C69D376914C4083119F28E03C224A_11</vt:lpwstr>
  </property>
  <property fmtid="{D5CDD505-2E9C-101B-9397-08002B2CF9AE}" pid="4" name="KSOTemplateDocerSaveRecord">
    <vt:lpwstr>eyJoZGlkIjoiMTUyNDhmOWU4ZDRkMzNmMmFkYWMwMmFjZTJmOGM4YjgiLCJ1c2VySWQiOiI3MTkzODkwMDUifQ==</vt:lpwstr>
  </property>
</Properties>
</file>