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69C98">
      <w:pPr>
        <w:pStyle w:val="5"/>
        <w:widowControl/>
        <w:shd w:val="clear" w:color="auto" w:fill="FFFFFF"/>
        <w:spacing w:before="0" w:beforeAutospacing="0" w:after="0" w:afterAutospacing="0"/>
        <w:jc w:val="center"/>
        <w:rPr>
          <w:rFonts w:hint="eastAsia" w:ascii="宋体" w:hAnsi="宋体" w:cs="宋体"/>
          <w:sz w:val="32"/>
          <w:szCs w:val="32"/>
          <w:shd w:val="clear" w:color="auto" w:fill="FFFFFF"/>
        </w:rPr>
      </w:pPr>
      <w:r>
        <w:rPr>
          <w:rFonts w:hint="eastAsia" w:ascii="宋体" w:hAnsi="宋体" w:cs="宋体"/>
          <w:b/>
          <w:bCs/>
          <w:sz w:val="32"/>
          <w:szCs w:val="32"/>
          <w:shd w:val="clear" w:color="auto" w:fill="FFFFFF"/>
        </w:rPr>
        <w:t>广西艺术学院美丽人居环境实验教学中心设备采购项目采购文件</w:t>
      </w:r>
    </w:p>
    <w:p w14:paraId="43A225C2">
      <w:pPr>
        <w:pStyle w:val="5"/>
        <w:widowControl/>
        <w:shd w:val="clear" w:color="auto" w:fill="FFFFFF"/>
        <w:spacing w:before="0" w:beforeAutospacing="0" w:after="0" w:afterAutospacing="0"/>
        <w:ind w:firstLine="560" w:firstLineChars="200"/>
        <w:rPr>
          <w:sz w:val="28"/>
          <w:szCs w:val="28"/>
        </w:rPr>
      </w:pPr>
      <w:r>
        <w:rPr>
          <w:rFonts w:hint="eastAsia" w:ascii="宋体" w:hAnsi="宋体" w:cs="宋体"/>
          <w:sz w:val="28"/>
          <w:szCs w:val="28"/>
          <w:shd w:val="clear" w:color="auto" w:fill="FFFFFF"/>
        </w:rPr>
        <w:t>根据有关规定，我校开展广西艺术学院美丽人居环境实验教学中心设备采购项目采购，现将本次采购有关事项公告如下：</w:t>
      </w:r>
    </w:p>
    <w:p w14:paraId="7E1E2AC1">
      <w:pPr>
        <w:pStyle w:val="5"/>
        <w:widowControl/>
        <w:numPr>
          <w:ilvl w:val="0"/>
          <w:numId w:val="1"/>
        </w:numPr>
        <w:shd w:val="clear" w:color="auto" w:fill="FFFFFF"/>
        <w:spacing w:before="0" w:beforeAutospacing="0" w:after="0" w:afterAutospacing="0"/>
        <w:ind w:firstLine="480"/>
        <w:rPr>
          <w:rStyle w:val="8"/>
          <w:rFonts w:hint="eastAsia" w:ascii="宋体" w:hAnsi="宋体" w:cs="宋体"/>
          <w:sz w:val="28"/>
          <w:szCs w:val="28"/>
          <w:shd w:val="clear" w:color="auto" w:fill="FFFFFF"/>
        </w:rPr>
      </w:pPr>
      <w:r>
        <w:rPr>
          <w:rStyle w:val="8"/>
          <w:rFonts w:hint="eastAsia" w:ascii="宋体" w:hAnsi="宋体" w:cs="宋体"/>
          <w:sz w:val="28"/>
          <w:szCs w:val="28"/>
          <w:shd w:val="clear" w:color="auto" w:fill="FFFFFF"/>
        </w:rPr>
        <w:t>项目名称</w:t>
      </w:r>
      <w:r>
        <w:rPr>
          <w:rStyle w:val="8"/>
          <w:rFonts w:hint="eastAsia" w:ascii="宋体" w:hAnsi="宋体" w:cs="宋体"/>
          <w:b w:val="0"/>
          <w:bCs/>
          <w:sz w:val="28"/>
          <w:szCs w:val="28"/>
          <w:shd w:val="clear" w:color="auto" w:fill="FFFFFF"/>
        </w:rPr>
        <w:t>：广西艺术学院美丽人居环境实验教学中心设备采购项目采购</w:t>
      </w:r>
    </w:p>
    <w:p w14:paraId="37C4003E">
      <w:pPr>
        <w:pStyle w:val="5"/>
        <w:widowControl/>
        <w:numPr>
          <w:ilvl w:val="0"/>
          <w:numId w:val="1"/>
        </w:numPr>
        <w:shd w:val="clear" w:color="auto" w:fill="FFFFFF"/>
        <w:spacing w:before="0" w:beforeAutospacing="0" w:after="0" w:afterAutospacing="0"/>
        <w:ind w:firstLine="480"/>
        <w:rPr>
          <w:rStyle w:val="8"/>
          <w:rFonts w:hint="eastAsia" w:ascii="宋体" w:hAnsi="宋体" w:cs="宋体"/>
          <w:sz w:val="28"/>
          <w:szCs w:val="28"/>
          <w:shd w:val="clear" w:color="auto" w:fill="FFFFFF"/>
        </w:rPr>
      </w:pPr>
      <w:r>
        <w:rPr>
          <w:rStyle w:val="8"/>
          <w:rFonts w:hint="eastAsia" w:ascii="宋体" w:hAnsi="宋体" w:cs="宋体"/>
          <w:sz w:val="28"/>
          <w:szCs w:val="28"/>
          <w:shd w:val="clear" w:color="auto" w:fill="FFFFFF"/>
        </w:rPr>
        <w:t xml:space="preserve">采购需求内容         </w:t>
      </w:r>
    </w:p>
    <w:p w14:paraId="2094EB3B">
      <w:pPr>
        <w:pStyle w:val="5"/>
        <w:widowControl/>
        <w:shd w:val="clear" w:color="auto" w:fill="FFFFFF"/>
        <w:spacing w:before="0" w:beforeAutospacing="0" w:after="0" w:afterAutospacing="0"/>
        <w:ind w:left="480"/>
        <w:rPr>
          <w:rStyle w:val="8"/>
          <w:rFonts w:hint="eastAsia" w:ascii="宋体" w:hAnsi="宋体" w:cs="宋体"/>
          <w:sz w:val="28"/>
          <w:szCs w:val="28"/>
          <w:shd w:val="clear" w:color="auto" w:fill="FFFFFF"/>
        </w:rPr>
      </w:pPr>
      <w:r>
        <w:rPr>
          <w:rStyle w:val="8"/>
          <w:rFonts w:hint="eastAsia" w:ascii="宋体" w:hAnsi="宋体" w:cs="宋体"/>
          <w:sz w:val="28"/>
          <w:szCs w:val="28"/>
          <w:shd w:val="clear" w:color="auto" w:fill="FFFFFF"/>
        </w:rPr>
        <w:t>总采购预算为：</w:t>
      </w:r>
      <w:r>
        <w:rPr>
          <w:rStyle w:val="8"/>
          <w:rFonts w:hint="eastAsia" w:ascii="宋体" w:hAnsi="宋体" w:cs="宋体"/>
          <w:sz w:val="28"/>
          <w:szCs w:val="28"/>
          <w:shd w:val="clear" w:color="auto" w:fill="FFFFFF"/>
          <w:lang w:val="en-US" w:eastAsia="zh-CN"/>
        </w:rPr>
        <w:t>80.634</w:t>
      </w:r>
      <w:r>
        <w:rPr>
          <w:rStyle w:val="8"/>
          <w:rFonts w:hint="eastAsia" w:ascii="宋体" w:hAnsi="宋体" w:cs="宋体"/>
          <w:sz w:val="28"/>
          <w:szCs w:val="28"/>
          <w:shd w:val="clear" w:color="auto" w:fill="FFFFFF"/>
        </w:rPr>
        <w:t>万元。</w:t>
      </w:r>
    </w:p>
    <w:p w14:paraId="5D61DB0B">
      <w:pPr>
        <w:pStyle w:val="5"/>
        <w:widowControl/>
        <w:shd w:val="clear" w:color="auto" w:fill="FFFFFF"/>
        <w:spacing w:before="0" w:beforeAutospacing="0" w:after="0" w:afterAutospacing="0"/>
        <w:ind w:firstLine="560"/>
        <w:rPr>
          <w:rStyle w:val="8"/>
          <w:rFonts w:hint="eastAsia" w:ascii="宋体" w:hAnsi="宋体" w:cs="宋体"/>
          <w:b w:val="0"/>
          <w:bCs/>
          <w:sz w:val="28"/>
          <w:szCs w:val="28"/>
          <w:shd w:val="clear" w:color="auto" w:fill="FFFFFF"/>
        </w:rPr>
      </w:pPr>
      <w:r>
        <w:rPr>
          <w:rStyle w:val="8"/>
          <w:rFonts w:hint="eastAsia" w:ascii="宋体" w:hAnsi="宋体" w:cs="宋体"/>
          <w:b w:val="0"/>
          <w:bCs/>
          <w:sz w:val="28"/>
          <w:szCs w:val="28"/>
          <w:shd w:val="clear" w:color="auto" w:fill="FFFFFF"/>
        </w:rPr>
        <w:t>具体需求详见附件1。本项目不允许负偏离。</w:t>
      </w:r>
    </w:p>
    <w:p w14:paraId="6EC465DA">
      <w:pPr>
        <w:pStyle w:val="5"/>
        <w:widowControl/>
        <w:numPr>
          <w:ilvl w:val="0"/>
          <w:numId w:val="1"/>
        </w:numPr>
        <w:shd w:val="clear" w:color="auto" w:fill="FFFFFF"/>
        <w:spacing w:before="0" w:beforeAutospacing="0" w:after="0" w:afterAutospacing="0"/>
        <w:ind w:firstLine="480"/>
        <w:rPr>
          <w:rStyle w:val="8"/>
          <w:rFonts w:hint="eastAsia" w:ascii="宋体" w:hAnsi="宋体" w:cs="宋体"/>
          <w:sz w:val="28"/>
          <w:szCs w:val="28"/>
          <w:shd w:val="clear" w:color="auto" w:fill="FFFFFF"/>
        </w:rPr>
      </w:pPr>
      <w:r>
        <w:rPr>
          <w:rStyle w:val="8"/>
          <w:rFonts w:hint="eastAsia" w:ascii="宋体" w:hAnsi="宋体" w:cs="宋体"/>
          <w:sz w:val="28"/>
          <w:szCs w:val="28"/>
          <w:shd w:val="clear" w:color="auto" w:fill="FFFFFF"/>
        </w:rPr>
        <w:t>投标人资格要求</w:t>
      </w:r>
    </w:p>
    <w:p w14:paraId="37A8F5D2">
      <w:pPr>
        <w:pStyle w:val="5"/>
        <w:widowControl/>
        <w:shd w:val="clear" w:color="auto" w:fill="FFFFFF"/>
        <w:spacing w:before="0" w:beforeAutospacing="0" w:after="0" w:afterAutospacing="0"/>
        <w:ind w:firstLine="480"/>
        <w:rPr>
          <w:sz w:val="28"/>
          <w:szCs w:val="28"/>
        </w:rPr>
      </w:pPr>
      <w:r>
        <w:rPr>
          <w:rFonts w:hint="eastAsia" w:ascii="宋体" w:hAnsi="宋体" w:cs="宋体"/>
          <w:sz w:val="28"/>
          <w:szCs w:val="28"/>
          <w:shd w:val="clear" w:color="auto" w:fill="FFFFFF"/>
        </w:rPr>
        <w:t>（一）必须是在中华人民共和国境内注册，具有独立法人，并持有工商行政管理部门核发的法人营业执照。</w:t>
      </w:r>
    </w:p>
    <w:p w14:paraId="1AF4A2E9">
      <w:pPr>
        <w:pStyle w:val="5"/>
        <w:widowControl/>
        <w:shd w:val="clear" w:color="auto" w:fill="FFFFFF"/>
        <w:spacing w:before="0" w:beforeAutospacing="0" w:after="0" w:afterAutospacing="0"/>
        <w:ind w:firstLine="480"/>
        <w:rPr>
          <w:rFonts w:hint="eastAsia" w:ascii="宋体" w:hAnsi="宋体" w:cs="宋体"/>
          <w:sz w:val="28"/>
          <w:szCs w:val="28"/>
          <w:shd w:val="clear" w:color="auto" w:fill="FFFFFF"/>
        </w:rPr>
      </w:pPr>
      <w:r>
        <w:rPr>
          <w:rFonts w:hint="eastAsia" w:ascii="宋体" w:hAnsi="宋体" w:cs="宋体"/>
          <w:sz w:val="28"/>
          <w:szCs w:val="28"/>
          <w:shd w:val="clear" w:color="auto" w:fill="FFFFFF"/>
        </w:rPr>
        <w:t>（二）未被列入失信被执行人名单、重大税收违法案件当事人名单、政府采购严重违法失信行为记录名单，信用信息以最新的信用中国网站和中国政府采购网公布为准，</w:t>
      </w:r>
      <w:r>
        <w:rPr>
          <w:rFonts w:hint="eastAsia" w:ascii="宋体" w:hAnsi="宋体" w:cs="宋体"/>
          <w:b/>
          <w:bCs/>
          <w:sz w:val="28"/>
          <w:szCs w:val="28"/>
          <w:shd w:val="clear" w:color="auto" w:fill="FFFFFF"/>
        </w:rPr>
        <w:t>请提供最新的信用中国网站和中国政府采购网的截图证明信息</w:t>
      </w:r>
      <w:r>
        <w:rPr>
          <w:rFonts w:hint="eastAsia" w:ascii="宋体" w:hAnsi="宋体" w:cs="宋体"/>
          <w:sz w:val="28"/>
          <w:szCs w:val="28"/>
          <w:shd w:val="clear" w:color="auto" w:fill="FFFFFF"/>
        </w:rPr>
        <w:t>。</w:t>
      </w:r>
    </w:p>
    <w:p w14:paraId="4B47B2AC">
      <w:pPr>
        <w:pStyle w:val="5"/>
        <w:widowControl/>
        <w:shd w:val="clear" w:color="auto" w:fill="FFFFFF"/>
        <w:spacing w:before="0" w:beforeAutospacing="0" w:after="0" w:afterAutospacing="0"/>
        <w:ind w:firstLine="480"/>
        <w:rPr>
          <w:sz w:val="28"/>
          <w:szCs w:val="28"/>
        </w:rPr>
      </w:pPr>
      <w:r>
        <w:rPr>
          <w:rFonts w:hint="eastAsia" w:ascii="宋体" w:hAnsi="宋体" w:cs="宋体"/>
          <w:b/>
          <w:bCs/>
          <w:sz w:val="28"/>
          <w:szCs w:val="28"/>
          <w:shd w:val="clear" w:color="auto" w:fill="FFFFFF"/>
        </w:rPr>
        <w:t>“信用中国”</w:t>
      </w:r>
      <w:r>
        <w:rPr>
          <w:rFonts w:hint="eastAsia" w:ascii="宋体" w:hAnsi="宋体" w:cs="宋体"/>
          <w:sz w:val="28"/>
          <w:szCs w:val="28"/>
          <w:shd w:val="clear" w:color="auto" w:fill="FFFFFF"/>
        </w:rPr>
        <w:t>网站查询方法：投标人在本项目投标截止时间前10日内,进入投标人基本信息页面，点击“下载信用报告”后点击“下载”。</w:t>
      </w:r>
      <w:r>
        <w:rPr>
          <w:rFonts w:hint="eastAsia" w:ascii="宋体" w:hAnsi="宋体" w:cs="宋体"/>
          <w:b/>
          <w:bCs/>
          <w:sz w:val="28"/>
          <w:szCs w:val="28"/>
          <w:shd w:val="clear" w:color="auto" w:fill="FFFFFF"/>
        </w:rPr>
        <w:t>“中国政府采购网”</w:t>
      </w:r>
      <w:r>
        <w:rPr>
          <w:rFonts w:hint="eastAsia" w:ascii="宋体" w:hAnsi="宋体" w:cs="宋体"/>
          <w:sz w:val="28"/>
          <w:szCs w:val="28"/>
          <w:shd w:val="clear" w:color="auto" w:fill="FFFFFF"/>
        </w:rPr>
        <w:t>的查询方法：点击“政府采购严重违法失信行为记录名单”进行查询。页面中的处罚日期不设置起始时间，只能设置截止时间，截止时间为本项目投标截止时间前10日至投标截止时间中任意一天。采购人将对供应商信用记录进行甄别，对列入失信被执行人、重大税收违法案件当事人名单、政府采购严重违法失信行为记录名单及其他不符合《中华人民共和国政府采购法》第二十二条规定条件的供应商，将拒绝其参与采购活动。</w:t>
      </w:r>
    </w:p>
    <w:p w14:paraId="2C8798A6">
      <w:pPr>
        <w:pStyle w:val="5"/>
        <w:widowControl/>
        <w:shd w:val="clear" w:color="auto" w:fill="FFFFFF"/>
        <w:spacing w:before="0" w:beforeAutospacing="0" w:after="0" w:afterAutospacing="0"/>
        <w:ind w:firstLine="480"/>
        <w:rPr>
          <w:sz w:val="28"/>
          <w:szCs w:val="28"/>
        </w:rPr>
      </w:pPr>
      <w:r>
        <w:rPr>
          <w:rFonts w:hint="eastAsia" w:ascii="宋体" w:hAnsi="宋体" w:cs="宋体"/>
          <w:sz w:val="28"/>
          <w:szCs w:val="28"/>
          <w:shd w:val="clear" w:color="auto" w:fill="FFFFFF"/>
        </w:rPr>
        <w:t>（三）单位负责人为同一人或者存在直接控股、管理关系的不同供应商，不得参加同一合同项下的采购活动。本项目不接受联合体。</w:t>
      </w:r>
      <w:r>
        <w:rPr>
          <w:rFonts w:hint="eastAsia" w:ascii="宋体" w:hAnsi="宋体" w:eastAsia="宋体" w:cs="宋体"/>
          <w:sz w:val="28"/>
          <w:szCs w:val="28"/>
        </w:rPr>
        <w:t>（投标时提供附件2）</w:t>
      </w:r>
    </w:p>
    <w:p w14:paraId="1E8FB26D">
      <w:pPr>
        <w:pStyle w:val="5"/>
        <w:widowControl/>
        <w:numPr>
          <w:ilvl w:val="0"/>
          <w:numId w:val="1"/>
        </w:numPr>
        <w:shd w:val="clear" w:color="auto" w:fill="FFFFFF"/>
        <w:spacing w:before="0" w:beforeAutospacing="0" w:after="0" w:afterAutospacing="0"/>
        <w:ind w:firstLine="480"/>
        <w:rPr>
          <w:rStyle w:val="8"/>
          <w:rFonts w:hint="eastAsia" w:ascii="宋体" w:hAnsi="宋体" w:cs="宋体"/>
          <w:sz w:val="28"/>
          <w:szCs w:val="28"/>
          <w:shd w:val="clear" w:color="auto" w:fill="FFFFFF"/>
        </w:rPr>
      </w:pPr>
      <w:r>
        <w:rPr>
          <w:rStyle w:val="8"/>
          <w:rFonts w:hint="eastAsia" w:ascii="宋体" w:hAnsi="宋体" w:cs="宋体"/>
          <w:sz w:val="28"/>
          <w:szCs w:val="28"/>
          <w:shd w:val="clear" w:color="auto" w:fill="FFFFFF"/>
        </w:rPr>
        <w:t>投标要求</w:t>
      </w:r>
    </w:p>
    <w:p w14:paraId="12368E98">
      <w:pPr>
        <w:pStyle w:val="5"/>
        <w:widowControl/>
        <w:shd w:val="clear" w:color="auto" w:fill="FFFFFF"/>
        <w:spacing w:before="0" w:beforeAutospacing="0" w:after="0" w:afterAutospacing="0"/>
        <w:ind w:firstLine="480"/>
        <w:rPr>
          <w:sz w:val="28"/>
          <w:szCs w:val="28"/>
        </w:rPr>
      </w:pPr>
      <w:r>
        <w:rPr>
          <w:rFonts w:hint="eastAsia" w:ascii="宋体" w:hAnsi="宋体" w:cs="宋体"/>
          <w:sz w:val="28"/>
          <w:szCs w:val="28"/>
          <w:shd w:val="clear" w:color="auto" w:fill="FFFFFF"/>
        </w:rPr>
        <w:t>（一）提供法人授权委托书（格式自拟）、有效的营业执照复印件（加盖单位公章）、被授权人身份证（复印件）及按第三大点资格要求列明的证明材料。</w:t>
      </w:r>
    </w:p>
    <w:p w14:paraId="1D43EE70">
      <w:pPr>
        <w:pStyle w:val="5"/>
        <w:widowControl/>
        <w:shd w:val="clear" w:color="auto" w:fill="FFFFFF"/>
        <w:spacing w:before="0" w:beforeAutospacing="0" w:after="0" w:afterAutospacing="0"/>
        <w:ind w:firstLine="480"/>
        <w:rPr>
          <w:sz w:val="28"/>
          <w:szCs w:val="28"/>
        </w:rPr>
      </w:pPr>
      <w:r>
        <w:rPr>
          <w:rFonts w:hint="eastAsia" w:ascii="宋体" w:hAnsi="宋体" w:cs="宋体"/>
          <w:sz w:val="28"/>
          <w:szCs w:val="28"/>
          <w:shd w:val="clear" w:color="auto" w:fill="FFFFFF"/>
        </w:rPr>
        <w:t>（二）报价函（格式自拟，写清楚所投产品品牌、型号、技术参数等，报价必须包含但不限于运输、调试、安装、税金等本项目所有费用）、技术与商务参数偏离表（格式自拟，必须与采购需求表里的技术参数逐项比对）。</w:t>
      </w:r>
    </w:p>
    <w:p w14:paraId="168DDA12">
      <w:pPr>
        <w:pStyle w:val="5"/>
        <w:widowControl/>
        <w:shd w:val="clear" w:color="auto" w:fill="FFFFFF"/>
        <w:spacing w:before="0" w:beforeAutospacing="0" w:after="0" w:afterAutospacing="0"/>
        <w:ind w:firstLine="480"/>
        <w:rPr>
          <w:rFonts w:hint="eastAsia" w:ascii="宋体" w:hAnsi="宋体" w:cs="宋体"/>
          <w:sz w:val="28"/>
          <w:szCs w:val="28"/>
          <w:shd w:val="clear" w:color="auto" w:fill="FFFFFF"/>
        </w:rPr>
      </w:pPr>
      <w:r>
        <w:rPr>
          <w:rFonts w:hint="eastAsia" w:ascii="宋体" w:hAnsi="宋体" w:cs="宋体"/>
          <w:sz w:val="28"/>
          <w:szCs w:val="28"/>
          <w:shd w:val="clear" w:color="auto" w:fill="FFFFFF"/>
        </w:rPr>
        <w:t>（三）关于本项目的服务承诺（格式自拟，包含但不限于售后、培训、免费质保期等）。</w:t>
      </w:r>
    </w:p>
    <w:p w14:paraId="19D0DE99">
      <w:pPr>
        <w:pStyle w:val="5"/>
        <w:widowControl/>
        <w:shd w:val="clear" w:color="auto" w:fill="FFFFFF"/>
        <w:spacing w:before="0" w:beforeAutospacing="0" w:after="0" w:afterAutospacing="0"/>
        <w:ind w:firstLine="480"/>
        <w:rPr>
          <w:rFonts w:hint="eastAsia" w:ascii="宋体" w:hAnsi="宋体" w:cs="宋体"/>
          <w:sz w:val="28"/>
          <w:szCs w:val="28"/>
          <w:shd w:val="clear" w:color="auto" w:fill="FFFFFF"/>
        </w:rPr>
      </w:pPr>
      <w:r>
        <w:rPr>
          <w:rFonts w:hint="eastAsia" w:ascii="宋体" w:hAnsi="宋体" w:cs="宋体"/>
          <w:sz w:val="28"/>
          <w:szCs w:val="28"/>
          <w:shd w:val="clear" w:color="auto" w:fill="FFFFFF"/>
        </w:rPr>
        <w:t>（四）采购需求里要求提供的其他证明材料。</w:t>
      </w:r>
    </w:p>
    <w:p w14:paraId="08AE8EC2">
      <w:pPr>
        <w:pStyle w:val="5"/>
        <w:widowControl/>
        <w:shd w:val="clear" w:color="auto" w:fill="FFFFFF"/>
        <w:spacing w:before="0" w:beforeAutospacing="0" w:after="0" w:afterAutospacing="0"/>
        <w:ind w:firstLine="480"/>
        <w:rPr>
          <w:sz w:val="28"/>
          <w:szCs w:val="28"/>
        </w:rPr>
      </w:pPr>
      <w:r>
        <w:rPr>
          <w:rStyle w:val="8"/>
          <w:rFonts w:hint="eastAsia" w:ascii="宋体" w:hAnsi="宋体" w:cs="宋体"/>
          <w:sz w:val="28"/>
          <w:szCs w:val="28"/>
          <w:shd w:val="clear" w:color="auto" w:fill="FFFFFF"/>
        </w:rPr>
        <w:t>注：所有投标材料务必严格按要求提供，不按要求提供的，采购人有权视为无效投标。投标材料必须一正一副，且须加盖公章后密封提供。</w:t>
      </w:r>
    </w:p>
    <w:p w14:paraId="3891AAFE">
      <w:pPr>
        <w:pStyle w:val="5"/>
        <w:widowControl/>
        <w:shd w:val="clear" w:color="auto" w:fill="FFFFFF"/>
        <w:spacing w:before="0" w:beforeAutospacing="0" w:after="0" w:afterAutospacing="0"/>
        <w:ind w:firstLine="480"/>
        <w:rPr>
          <w:sz w:val="28"/>
          <w:szCs w:val="28"/>
        </w:rPr>
      </w:pPr>
      <w:r>
        <w:rPr>
          <w:rStyle w:val="8"/>
          <w:rFonts w:hint="eastAsia" w:ascii="宋体" w:hAnsi="宋体" w:cs="宋体"/>
          <w:sz w:val="28"/>
          <w:szCs w:val="28"/>
          <w:shd w:val="clear" w:color="auto" w:fill="FFFFFF"/>
        </w:rPr>
        <w:t>五、中标方式</w:t>
      </w:r>
      <w:r>
        <w:rPr>
          <w:rFonts w:hint="eastAsia"/>
          <w:sz w:val="28"/>
          <w:szCs w:val="28"/>
        </w:rPr>
        <w:t>：</w:t>
      </w:r>
      <w:r>
        <w:rPr>
          <w:rFonts w:hint="eastAsia" w:ascii="宋体" w:hAnsi="宋体" w:cs="宋体"/>
          <w:sz w:val="28"/>
          <w:szCs w:val="28"/>
          <w:shd w:val="clear" w:color="auto" w:fill="FFFFFF"/>
        </w:rPr>
        <w:t>根据投标人的投标材料，在满足采购需求的基础上，采取低价中标方式选定该项目中标单位，若价格相同，则采取抽签方式确定中标单位。</w:t>
      </w:r>
    </w:p>
    <w:p w14:paraId="05CA4CEC">
      <w:pPr>
        <w:pStyle w:val="5"/>
        <w:widowControl/>
        <w:shd w:val="clear" w:color="auto" w:fill="FFFFFF"/>
        <w:spacing w:before="0" w:beforeAutospacing="0" w:after="0" w:afterAutospacing="0"/>
        <w:ind w:firstLine="480"/>
        <w:rPr>
          <w:sz w:val="28"/>
          <w:szCs w:val="28"/>
        </w:rPr>
      </w:pPr>
      <w:r>
        <w:rPr>
          <w:rStyle w:val="8"/>
          <w:rFonts w:hint="eastAsia" w:ascii="宋体" w:hAnsi="宋体" w:cs="宋体"/>
          <w:sz w:val="28"/>
          <w:szCs w:val="28"/>
          <w:shd w:val="clear" w:color="auto" w:fill="FFFFFF"/>
        </w:rPr>
        <w:t>六、投标截止时间和地点</w:t>
      </w:r>
    </w:p>
    <w:p w14:paraId="2CEBDC80">
      <w:pPr>
        <w:pStyle w:val="5"/>
        <w:widowControl/>
        <w:shd w:val="clear" w:color="auto" w:fill="FFFFFF"/>
        <w:spacing w:before="0" w:beforeAutospacing="0" w:after="0" w:afterAutospacing="0"/>
        <w:ind w:firstLine="480"/>
        <w:rPr>
          <w:sz w:val="28"/>
          <w:szCs w:val="28"/>
        </w:rPr>
      </w:pPr>
      <w:r>
        <w:rPr>
          <w:rFonts w:hint="eastAsia" w:ascii="宋体" w:hAnsi="宋体" w:cs="宋体"/>
          <w:sz w:val="28"/>
          <w:szCs w:val="28"/>
          <w:shd w:val="clear" w:color="auto" w:fill="FFFFFF"/>
        </w:rPr>
        <w:t>投标时间：凡愿意且符合条件投标人，请于202</w:t>
      </w:r>
      <w:r>
        <w:rPr>
          <w:rFonts w:hint="eastAsia" w:ascii="宋体" w:hAnsi="宋体" w:cs="宋体"/>
          <w:sz w:val="28"/>
          <w:szCs w:val="28"/>
          <w:highlight w:val="none"/>
          <w:shd w:val="clear" w:color="auto" w:fill="FFFFFF"/>
        </w:rPr>
        <w:t>5年</w:t>
      </w:r>
      <w:r>
        <w:rPr>
          <w:rFonts w:hint="eastAsia" w:ascii="宋体" w:hAnsi="宋体" w:cs="宋体"/>
          <w:sz w:val="28"/>
          <w:szCs w:val="28"/>
          <w:highlight w:val="none"/>
          <w:shd w:val="clear" w:color="auto" w:fill="FFFFFF"/>
          <w:lang w:val="en-US" w:eastAsia="zh-CN"/>
        </w:rPr>
        <w:t>7</w:t>
      </w:r>
      <w:r>
        <w:rPr>
          <w:rFonts w:hint="eastAsia" w:ascii="宋体" w:hAnsi="宋体" w:cs="宋体"/>
          <w:sz w:val="28"/>
          <w:szCs w:val="28"/>
          <w:highlight w:val="none"/>
          <w:shd w:val="clear" w:color="auto" w:fill="FFFFFF"/>
        </w:rPr>
        <w:t>月</w:t>
      </w:r>
      <w:r>
        <w:rPr>
          <w:rFonts w:hint="eastAsia" w:ascii="宋体" w:hAnsi="宋体" w:cs="宋体"/>
          <w:sz w:val="28"/>
          <w:szCs w:val="28"/>
          <w:highlight w:val="none"/>
          <w:shd w:val="clear" w:color="auto" w:fill="FFFFFF"/>
          <w:lang w:val="en-US" w:eastAsia="zh-CN"/>
        </w:rPr>
        <w:t>3</w:t>
      </w:r>
      <w:bookmarkStart w:id="0" w:name="_GoBack"/>
      <w:bookmarkEnd w:id="0"/>
      <w:r>
        <w:rPr>
          <w:rFonts w:hint="eastAsia" w:ascii="宋体" w:hAnsi="宋体" w:cs="宋体"/>
          <w:sz w:val="28"/>
          <w:szCs w:val="28"/>
          <w:highlight w:val="none"/>
          <w:shd w:val="clear" w:color="auto" w:fill="FFFFFF"/>
        </w:rPr>
        <w:t>日上午9点至11点之</w:t>
      </w:r>
      <w:r>
        <w:rPr>
          <w:rFonts w:hint="eastAsia" w:ascii="宋体" w:hAnsi="宋体" w:cs="宋体"/>
          <w:sz w:val="28"/>
          <w:szCs w:val="28"/>
          <w:shd w:val="clear" w:color="auto" w:fill="FFFFFF"/>
        </w:rPr>
        <w:t>间，将投标文件送达广西艺术学院财务资产处，其他时间不接收报名材料。投标地点：南宁市教育路7号广西艺术学院雕塑办公楼107室财务资产处采购管理科。联系人：李老师，</w:t>
      </w:r>
      <w:r>
        <w:rPr>
          <w:rFonts w:hint="eastAsia" w:ascii="宋体" w:hAnsi="宋体" w:cs="宋体"/>
          <w:sz w:val="28"/>
          <w:szCs w:val="28"/>
          <w:shd w:val="clear" w:color="auto" w:fill="FFFFFF"/>
          <w:lang w:val="en-US" w:eastAsia="zh-CN"/>
        </w:rPr>
        <w:t>朱老师，高老师。</w:t>
      </w:r>
      <w:r>
        <w:rPr>
          <w:rFonts w:hint="eastAsia" w:ascii="宋体" w:hAnsi="宋体" w:cs="宋体"/>
          <w:sz w:val="28"/>
          <w:szCs w:val="28"/>
          <w:shd w:val="clear" w:color="auto" w:fill="FFFFFF"/>
        </w:rPr>
        <w:t>联系电话：07715327987.</w:t>
      </w:r>
    </w:p>
    <w:p w14:paraId="1D35ADC4">
      <w:pPr>
        <w:pStyle w:val="5"/>
        <w:widowControl/>
        <w:shd w:val="clear" w:color="auto" w:fill="FFFFFF"/>
        <w:spacing w:before="0" w:beforeAutospacing="0" w:after="0" w:afterAutospacing="0"/>
        <w:ind w:firstLine="480"/>
        <w:rPr>
          <w:rFonts w:hint="eastAsia" w:ascii="宋体" w:hAnsi="宋体" w:cs="宋体"/>
          <w:sz w:val="28"/>
          <w:szCs w:val="28"/>
          <w:shd w:val="clear" w:color="auto" w:fill="FFFFFF"/>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sz w:val="28"/>
          <w:szCs w:val="28"/>
          <w:shd w:val="clear" w:color="auto" w:fill="FFFFFF"/>
        </w:rPr>
        <w:t>七、</w:t>
      </w:r>
      <w:r>
        <w:rPr>
          <w:rFonts w:hint="eastAsia" w:ascii="宋体" w:hAnsi="宋体" w:eastAsia="宋体" w:cs="宋体"/>
          <w:sz w:val="28"/>
          <w:szCs w:val="28"/>
          <w:shd w:val="clear" w:color="auto" w:fill="FFFFFF"/>
        </w:rPr>
        <w:t>本次采购的相关信息（包括但不限于采购公告与附件及其修改、补充、澄清等，下同）在广西艺术学院主页的“机构设置-财务资产处-招标公告”栏（网址：https://cwc.gxau.edu.cn/zbgg2）上发布，本次采购的相关信息一经在上述网站发布，即视为已发送给投标人。投标人据此参与本次采购活动，即视为对本次采购的相关信息、内容及规则没有异议。</w:t>
      </w:r>
    </w:p>
    <w:p w14:paraId="06C629C0"/>
    <w:p w14:paraId="6E535AF8"/>
    <w:p w14:paraId="317EAD25"/>
    <w:tbl>
      <w:tblPr>
        <w:tblStyle w:val="6"/>
        <w:tblW w:w="15975" w:type="dxa"/>
        <w:tblInd w:w="93" w:type="dxa"/>
        <w:tblLayout w:type="autofit"/>
        <w:tblCellMar>
          <w:top w:w="0" w:type="dxa"/>
          <w:left w:w="108" w:type="dxa"/>
          <w:bottom w:w="0" w:type="dxa"/>
          <w:right w:w="108" w:type="dxa"/>
        </w:tblCellMar>
      </w:tblPr>
      <w:tblGrid>
        <w:gridCol w:w="690"/>
        <w:gridCol w:w="3390"/>
        <w:gridCol w:w="6030"/>
        <w:gridCol w:w="3675"/>
        <w:gridCol w:w="1095"/>
        <w:gridCol w:w="1095"/>
      </w:tblGrid>
      <w:tr w14:paraId="33394F55">
        <w:tblPrEx>
          <w:tblCellMar>
            <w:top w:w="0" w:type="dxa"/>
            <w:left w:w="108" w:type="dxa"/>
            <w:bottom w:w="0" w:type="dxa"/>
            <w:right w:w="108" w:type="dxa"/>
          </w:tblCellMar>
        </w:tblPrEx>
        <w:trPr>
          <w:trHeight w:val="1120" w:hRule="atLeast"/>
        </w:trPr>
        <w:tc>
          <w:tcPr>
            <w:tcW w:w="15975"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43FF6">
            <w:pPr>
              <w:widowControl/>
              <w:jc w:val="center"/>
              <w:textAlignment w:val="center"/>
              <w:rPr>
                <w:rFonts w:hint="eastAsia" w:ascii="宋体" w:hAnsi="宋体" w:eastAsia="宋体" w:cs="宋体"/>
                <w:b/>
                <w:bCs/>
                <w:color w:val="000000"/>
                <w:sz w:val="40"/>
                <w:szCs w:val="40"/>
              </w:rPr>
            </w:pPr>
            <w:r>
              <w:rPr>
                <w:rFonts w:hint="eastAsia" w:ascii="宋体" w:hAnsi="宋体" w:eastAsia="宋体" w:cs="宋体"/>
                <w:b/>
                <w:bCs/>
                <w:color w:val="000000"/>
                <w:kern w:val="0"/>
                <w:sz w:val="40"/>
                <w:szCs w:val="40"/>
                <w:lang w:bidi="ar"/>
              </w:rPr>
              <w:t>设备购置清单</w:t>
            </w:r>
            <w:r>
              <w:rPr>
                <w:rFonts w:hint="eastAsia" w:ascii="宋体" w:hAnsi="宋体" w:eastAsia="宋体" w:cs="宋体"/>
                <w:b/>
                <w:bCs/>
                <w:color w:val="auto"/>
                <w:kern w:val="0"/>
                <w:sz w:val="40"/>
                <w:szCs w:val="40"/>
                <w:lang w:eastAsia="zh-CN" w:bidi="ar"/>
              </w:rPr>
              <w:t>（</w:t>
            </w:r>
            <w:r>
              <w:rPr>
                <w:rFonts w:hint="eastAsia" w:ascii="宋体" w:hAnsi="宋体" w:eastAsia="宋体" w:cs="宋体"/>
                <w:b/>
                <w:bCs/>
                <w:color w:val="auto"/>
                <w:kern w:val="0"/>
                <w:sz w:val="40"/>
                <w:szCs w:val="40"/>
                <w:lang w:bidi="ar"/>
              </w:rPr>
              <w:t>▲</w:t>
            </w:r>
            <w:r>
              <w:rPr>
                <w:rFonts w:hint="eastAsia" w:ascii="宋体" w:hAnsi="宋体" w:eastAsia="宋体" w:cs="宋体"/>
                <w:b/>
                <w:bCs/>
                <w:color w:val="auto"/>
                <w:kern w:val="0"/>
                <w:sz w:val="40"/>
                <w:szCs w:val="40"/>
                <w:lang w:val="en-US" w:eastAsia="zh-CN" w:bidi="ar"/>
              </w:rPr>
              <w:t>为</w:t>
            </w:r>
            <w:r>
              <w:rPr>
                <w:rFonts w:hint="eastAsia" w:ascii="宋体" w:hAnsi="宋体" w:eastAsia="宋体" w:cs="宋体"/>
                <w:b/>
                <w:bCs/>
                <w:color w:val="auto"/>
                <w:kern w:val="0"/>
                <w:sz w:val="40"/>
                <w:szCs w:val="40"/>
                <w:lang w:bidi="ar"/>
              </w:rPr>
              <w:t>实质性响应技术参数</w:t>
            </w:r>
            <w:r>
              <w:rPr>
                <w:rFonts w:hint="eastAsia" w:ascii="宋体" w:hAnsi="宋体" w:eastAsia="宋体" w:cs="宋体"/>
                <w:b/>
                <w:bCs/>
                <w:color w:val="auto"/>
                <w:kern w:val="0"/>
                <w:sz w:val="40"/>
                <w:szCs w:val="40"/>
                <w:lang w:eastAsia="zh-CN" w:bidi="ar"/>
              </w:rPr>
              <w:t>，</w:t>
            </w:r>
            <w:r>
              <w:rPr>
                <w:rFonts w:hint="eastAsia" w:ascii="宋体" w:hAnsi="宋体" w:eastAsia="宋体" w:cs="宋体"/>
                <w:b/>
                <w:bCs/>
                <w:color w:val="auto"/>
                <w:kern w:val="0"/>
                <w:sz w:val="40"/>
                <w:szCs w:val="40"/>
                <w:lang w:val="en-US" w:eastAsia="zh-CN" w:bidi="ar"/>
              </w:rPr>
              <w:t>必须响应</w:t>
            </w:r>
            <w:r>
              <w:rPr>
                <w:rFonts w:hint="eastAsia" w:ascii="宋体" w:hAnsi="宋体" w:eastAsia="宋体" w:cs="宋体"/>
                <w:b/>
                <w:bCs/>
                <w:color w:val="auto"/>
                <w:kern w:val="0"/>
                <w:sz w:val="40"/>
                <w:szCs w:val="40"/>
                <w:lang w:eastAsia="zh-CN" w:bidi="ar"/>
              </w:rPr>
              <w:t>）</w:t>
            </w:r>
          </w:p>
        </w:tc>
      </w:tr>
      <w:tr w14:paraId="48C920AB">
        <w:tblPrEx>
          <w:tblCellMar>
            <w:top w:w="0" w:type="dxa"/>
            <w:left w:w="108" w:type="dxa"/>
            <w:bottom w:w="0" w:type="dxa"/>
            <w:right w:w="108" w:type="dxa"/>
          </w:tblCellMar>
        </w:tblPrEx>
        <w:trPr>
          <w:trHeight w:val="800" w:hRule="atLeast"/>
        </w:trPr>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14:paraId="51F2FA99">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序号</w:t>
            </w:r>
          </w:p>
        </w:tc>
        <w:tc>
          <w:tcPr>
            <w:tcW w:w="3390" w:type="dxa"/>
            <w:vMerge w:val="restart"/>
            <w:tcBorders>
              <w:top w:val="nil"/>
              <w:left w:val="single" w:color="000000" w:sz="8" w:space="0"/>
              <w:bottom w:val="single" w:color="000000" w:sz="8" w:space="0"/>
              <w:right w:val="single" w:color="000000" w:sz="8" w:space="0"/>
            </w:tcBorders>
            <w:shd w:val="clear" w:color="auto" w:fill="auto"/>
            <w:vAlign w:val="center"/>
          </w:tcPr>
          <w:p w14:paraId="3D6C2168">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设备名称</w:t>
            </w:r>
          </w:p>
        </w:tc>
        <w:tc>
          <w:tcPr>
            <w:tcW w:w="6030" w:type="dxa"/>
            <w:vMerge w:val="restart"/>
            <w:tcBorders>
              <w:top w:val="nil"/>
              <w:left w:val="single" w:color="000000" w:sz="8" w:space="0"/>
              <w:bottom w:val="single" w:color="000000" w:sz="8" w:space="0"/>
              <w:right w:val="single" w:color="000000" w:sz="8" w:space="0"/>
            </w:tcBorders>
            <w:shd w:val="clear" w:color="auto" w:fill="auto"/>
            <w:vAlign w:val="center"/>
          </w:tcPr>
          <w:p w14:paraId="0BD8E584">
            <w:pPr>
              <w:widowControl/>
              <w:jc w:val="left"/>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技术参数</w:t>
            </w:r>
          </w:p>
        </w:tc>
        <w:tc>
          <w:tcPr>
            <w:tcW w:w="3675" w:type="dxa"/>
            <w:vMerge w:val="restart"/>
            <w:tcBorders>
              <w:top w:val="nil"/>
              <w:left w:val="single" w:color="000000" w:sz="8" w:space="0"/>
              <w:bottom w:val="single" w:color="000000" w:sz="8" w:space="0"/>
              <w:right w:val="single" w:color="000000" w:sz="8" w:space="0"/>
            </w:tcBorders>
            <w:shd w:val="clear" w:color="auto" w:fill="auto"/>
            <w:vAlign w:val="center"/>
          </w:tcPr>
          <w:p w14:paraId="102DADF5">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品牌/型号(仅供参考)</w:t>
            </w:r>
          </w:p>
        </w:tc>
        <w:tc>
          <w:tcPr>
            <w:tcW w:w="1095" w:type="dxa"/>
            <w:vMerge w:val="restart"/>
            <w:tcBorders>
              <w:top w:val="nil"/>
              <w:left w:val="single" w:color="000000" w:sz="8" w:space="0"/>
              <w:bottom w:val="single" w:color="000000" w:sz="8" w:space="0"/>
              <w:right w:val="single" w:color="000000" w:sz="8" w:space="0"/>
            </w:tcBorders>
            <w:shd w:val="clear" w:color="auto" w:fill="auto"/>
            <w:vAlign w:val="center"/>
          </w:tcPr>
          <w:p w14:paraId="209CB8D1">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采购数量</w:t>
            </w:r>
          </w:p>
        </w:tc>
        <w:tc>
          <w:tcPr>
            <w:tcW w:w="1095" w:type="dxa"/>
            <w:vMerge w:val="restart"/>
            <w:tcBorders>
              <w:top w:val="nil"/>
              <w:left w:val="single" w:color="000000" w:sz="8" w:space="0"/>
              <w:bottom w:val="single" w:color="000000" w:sz="8" w:space="0"/>
              <w:right w:val="single" w:color="000000" w:sz="8" w:space="0"/>
            </w:tcBorders>
            <w:shd w:val="clear" w:color="auto" w:fill="auto"/>
            <w:vAlign w:val="center"/>
          </w:tcPr>
          <w:p w14:paraId="2FF71D67">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计量单位</w:t>
            </w:r>
          </w:p>
        </w:tc>
      </w:tr>
      <w:tr w14:paraId="423840BB">
        <w:tblPrEx>
          <w:tblCellMar>
            <w:top w:w="0" w:type="dxa"/>
            <w:left w:w="108" w:type="dxa"/>
            <w:bottom w:w="0" w:type="dxa"/>
            <w:right w:w="108" w:type="dxa"/>
          </w:tblCellMar>
        </w:tblPrEx>
        <w:trPr>
          <w:trHeight w:val="540" w:hRule="atLeast"/>
        </w:trPr>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14:paraId="167BDBC8">
            <w:pPr>
              <w:jc w:val="center"/>
              <w:rPr>
                <w:rFonts w:hint="eastAsia" w:ascii="宋体" w:hAnsi="宋体" w:eastAsia="宋体" w:cs="宋体"/>
                <w:b/>
                <w:bCs/>
                <w:color w:val="000000"/>
                <w:sz w:val="24"/>
              </w:rPr>
            </w:pPr>
          </w:p>
        </w:tc>
        <w:tc>
          <w:tcPr>
            <w:tcW w:w="3390" w:type="dxa"/>
            <w:vMerge w:val="continue"/>
            <w:tcBorders>
              <w:top w:val="nil"/>
              <w:left w:val="single" w:color="000000" w:sz="8" w:space="0"/>
              <w:bottom w:val="single" w:color="000000" w:sz="8" w:space="0"/>
              <w:right w:val="single" w:color="000000" w:sz="8" w:space="0"/>
            </w:tcBorders>
            <w:shd w:val="clear" w:color="auto" w:fill="auto"/>
            <w:vAlign w:val="center"/>
          </w:tcPr>
          <w:p w14:paraId="7EA015FA">
            <w:pPr>
              <w:jc w:val="center"/>
              <w:rPr>
                <w:rFonts w:hint="eastAsia" w:ascii="宋体" w:hAnsi="宋体" w:eastAsia="宋体" w:cs="宋体"/>
                <w:b/>
                <w:bCs/>
                <w:color w:val="000000"/>
                <w:sz w:val="24"/>
              </w:rPr>
            </w:pPr>
          </w:p>
        </w:tc>
        <w:tc>
          <w:tcPr>
            <w:tcW w:w="6030" w:type="dxa"/>
            <w:vMerge w:val="continue"/>
            <w:tcBorders>
              <w:top w:val="nil"/>
              <w:left w:val="single" w:color="000000" w:sz="8" w:space="0"/>
              <w:bottom w:val="single" w:color="000000" w:sz="8" w:space="0"/>
              <w:right w:val="single" w:color="000000" w:sz="8" w:space="0"/>
            </w:tcBorders>
            <w:shd w:val="clear" w:color="auto" w:fill="auto"/>
            <w:vAlign w:val="center"/>
          </w:tcPr>
          <w:p w14:paraId="5414E70C">
            <w:pPr>
              <w:jc w:val="left"/>
              <w:rPr>
                <w:rFonts w:hint="eastAsia" w:ascii="宋体" w:hAnsi="宋体" w:eastAsia="宋体" w:cs="宋体"/>
                <w:b/>
                <w:bCs/>
                <w:color w:val="000000"/>
                <w:sz w:val="24"/>
              </w:rPr>
            </w:pPr>
          </w:p>
        </w:tc>
        <w:tc>
          <w:tcPr>
            <w:tcW w:w="3675" w:type="dxa"/>
            <w:vMerge w:val="continue"/>
            <w:tcBorders>
              <w:top w:val="nil"/>
              <w:left w:val="single" w:color="000000" w:sz="8" w:space="0"/>
              <w:bottom w:val="single" w:color="000000" w:sz="8" w:space="0"/>
              <w:right w:val="single" w:color="000000" w:sz="8" w:space="0"/>
            </w:tcBorders>
            <w:shd w:val="clear" w:color="auto" w:fill="auto"/>
            <w:vAlign w:val="center"/>
          </w:tcPr>
          <w:p w14:paraId="7C63D974">
            <w:pPr>
              <w:jc w:val="center"/>
              <w:rPr>
                <w:rFonts w:hint="eastAsia" w:ascii="宋体" w:hAnsi="宋体" w:eastAsia="宋体" w:cs="宋体"/>
                <w:b/>
                <w:bCs/>
                <w:color w:val="000000"/>
                <w:sz w:val="24"/>
              </w:rPr>
            </w:pPr>
          </w:p>
        </w:tc>
        <w:tc>
          <w:tcPr>
            <w:tcW w:w="1095" w:type="dxa"/>
            <w:vMerge w:val="continue"/>
            <w:tcBorders>
              <w:top w:val="nil"/>
              <w:left w:val="single" w:color="000000" w:sz="8" w:space="0"/>
              <w:bottom w:val="single" w:color="000000" w:sz="8" w:space="0"/>
              <w:right w:val="single" w:color="000000" w:sz="8" w:space="0"/>
            </w:tcBorders>
            <w:shd w:val="clear" w:color="auto" w:fill="auto"/>
            <w:vAlign w:val="center"/>
          </w:tcPr>
          <w:p w14:paraId="70C753D3">
            <w:pPr>
              <w:jc w:val="center"/>
              <w:rPr>
                <w:rFonts w:hint="eastAsia" w:ascii="宋体" w:hAnsi="宋体" w:eastAsia="宋体" w:cs="宋体"/>
                <w:b/>
                <w:bCs/>
                <w:color w:val="000000"/>
                <w:sz w:val="24"/>
              </w:rPr>
            </w:pPr>
          </w:p>
        </w:tc>
        <w:tc>
          <w:tcPr>
            <w:tcW w:w="1095" w:type="dxa"/>
            <w:vMerge w:val="continue"/>
            <w:tcBorders>
              <w:top w:val="nil"/>
              <w:left w:val="single" w:color="000000" w:sz="8" w:space="0"/>
              <w:bottom w:val="single" w:color="000000" w:sz="8" w:space="0"/>
              <w:right w:val="single" w:color="000000" w:sz="8" w:space="0"/>
            </w:tcBorders>
            <w:shd w:val="clear" w:color="auto" w:fill="auto"/>
            <w:vAlign w:val="center"/>
          </w:tcPr>
          <w:p w14:paraId="4FE08941">
            <w:pPr>
              <w:jc w:val="center"/>
              <w:rPr>
                <w:rFonts w:hint="eastAsia" w:ascii="宋体" w:hAnsi="宋体" w:eastAsia="宋体" w:cs="宋体"/>
                <w:b/>
                <w:bCs/>
                <w:color w:val="000000"/>
                <w:sz w:val="24"/>
              </w:rPr>
            </w:pPr>
          </w:p>
        </w:tc>
      </w:tr>
      <w:tr w14:paraId="40766F44">
        <w:tblPrEx>
          <w:tblCellMar>
            <w:top w:w="0" w:type="dxa"/>
            <w:left w:w="108" w:type="dxa"/>
            <w:bottom w:w="0" w:type="dxa"/>
            <w:right w:w="108" w:type="dxa"/>
          </w:tblCellMar>
        </w:tblPrEx>
        <w:trPr>
          <w:trHeight w:val="2120" w:hRule="atLeast"/>
        </w:trPr>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EF03F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33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E6FC1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便携式PM2.5检测仪</w:t>
            </w:r>
          </w:p>
        </w:tc>
        <w:tc>
          <w:tcPr>
            <w:tcW w:w="60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654CB7">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产品类别:智能空气质量检测仪</w:t>
            </w:r>
          </w:p>
          <w:p w14:paraId="2F3CDA3B">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控制方式:APP控制</w:t>
            </w:r>
          </w:p>
          <w:p w14:paraId="4C8CC36D">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额定电源:输入电压:DC-5V</w:t>
            </w:r>
          </w:p>
          <w:p w14:paraId="4F321D10">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输入电流:1A</w:t>
            </w:r>
          </w:p>
          <w:p w14:paraId="5091E14D">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材质:ABS塑料</w:t>
            </w:r>
          </w:p>
          <w:p w14:paraId="077D35CC">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屏幕:2.6英寸全色LCD</w:t>
            </w:r>
          </w:p>
          <w:p w14:paraId="69857905">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额定运行时间:9小时</w:t>
            </w:r>
          </w:p>
          <w:p w14:paraId="4080B193">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检测原理:激光散射原理</w:t>
            </w:r>
          </w:p>
          <w:p w14:paraId="24291870">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颗粒物粒径:0.3um-10um</w:t>
            </w:r>
          </w:p>
          <w:p w14:paraId="579B57D4">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空气质量指数:1-500</w:t>
            </w:r>
          </w:p>
          <w:p w14:paraId="7D85435E">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PM2.5浓度:1-999ug/m3</w:t>
            </w:r>
          </w:p>
          <w:p w14:paraId="7C7667CD">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颗粒物检测分辨率:1ug/m3</w:t>
            </w:r>
          </w:p>
          <w:p w14:paraId="65793103">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检测精度:±10%</w:t>
            </w:r>
          </w:p>
          <w:p w14:paraId="755A1E92">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反应速度:100ms</w:t>
            </w:r>
          </w:p>
          <w:p w14:paraId="1D53C91E">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相对湿度：检测范围:0-100%RH</w:t>
            </w:r>
          </w:p>
          <w:p w14:paraId="325743F7">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检测精度:±3%</w:t>
            </w:r>
          </w:p>
          <w:p w14:paraId="58D719D2">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分辨率:±1%</w:t>
            </w:r>
          </w:p>
          <w:p w14:paraId="4F0664E1">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反应速度:8s</w:t>
            </w:r>
          </w:p>
          <w:p w14:paraId="4358F28A">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温度</w:t>
            </w:r>
          </w:p>
          <w:p w14:paraId="465D7A10">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检测范围:-20℃到125℃</w:t>
            </w:r>
          </w:p>
          <w:p w14:paraId="588DFB5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检测精度:±0.3℃</w:t>
            </w:r>
          </w:p>
        </w:tc>
        <w:tc>
          <w:tcPr>
            <w:tcW w:w="3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C0DD1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TSI、绿林、Kaiterra</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B2C0D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ADB39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r>
      <w:tr w14:paraId="4E6A7E8E">
        <w:tblPrEx>
          <w:tblCellMar>
            <w:top w:w="0" w:type="dxa"/>
            <w:left w:w="108" w:type="dxa"/>
            <w:bottom w:w="0" w:type="dxa"/>
            <w:right w:w="108" w:type="dxa"/>
          </w:tblCellMar>
        </w:tblPrEx>
        <w:trPr>
          <w:trHeight w:val="1900" w:hRule="atLeast"/>
        </w:trPr>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70682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33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B59A3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便捷式温湿度记录仪</w:t>
            </w:r>
          </w:p>
        </w:tc>
        <w:tc>
          <w:tcPr>
            <w:tcW w:w="60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A8B931">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测量范围：温度:-20℃~70℃(内置);-40℃~80℃(外置)湿度:5%RH~95%RH</w:t>
            </w:r>
          </w:p>
          <w:p w14:paraId="4DD57FE4">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准确度：温度:土0.5℃(@25℃)湿度:士3%RH(5%RH~95%RH，@25C)</w:t>
            </w:r>
          </w:p>
          <w:p w14:paraId="129827AC">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记录能力：43344个温度、湿度采样</w:t>
            </w:r>
          </w:p>
          <w:p w14:paraId="72369CCA">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记录间隔：1秒至18个小时</w:t>
            </w:r>
          </w:p>
          <w:p w14:paraId="3429F123">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记录模式：存储器已满时覆盖旧数据以继续进行记录</w:t>
            </w:r>
          </w:p>
          <w:p w14:paraId="48149A04">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报警方式：蜂鸣器报警</w:t>
            </w:r>
          </w:p>
          <w:p w14:paraId="59655E2C">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长期稳定性：湿度≤1%RH/y，温度≤0.1℃/y</w:t>
            </w:r>
          </w:p>
          <w:p w14:paraId="20DAAC35">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工作条件：温度:-20℃~70℃，湿度:5%RH~95%RH无冷凝</w:t>
            </w:r>
          </w:p>
          <w:p w14:paraId="000D2827">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显示方式:3.1英寸白底黑字段码液晶屏显示</w:t>
            </w:r>
          </w:p>
          <w:p w14:paraId="13CA0ACE">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显示内容:温度、湿度、日期、时间、报警状况和记录状态时间精度:士30s/月(25℃士2C)</w:t>
            </w:r>
          </w:p>
          <w:p w14:paraId="490D41E0">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采样速度:1秒</w:t>
            </w:r>
          </w:p>
          <w:p w14:paraId="1CA508FC">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显示分辨力:0.1℃，0.1%RH</w:t>
            </w:r>
          </w:p>
          <w:p w14:paraId="02566E50">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记录分辨率:0.1℃、0.1%RH</w:t>
            </w:r>
          </w:p>
          <w:p w14:paraId="48D2A078">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传感器类型:SHT21探头</w:t>
            </w:r>
          </w:p>
          <w:p w14:paraId="5362F848">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传感器特性:重复性≤0.1℃，≤0.5%RH;年漂移≤0.1℃，≤1%RH</w:t>
            </w:r>
          </w:p>
          <w:p w14:paraId="16DBC716">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通讯接口:USB2.0记录读取接口</w:t>
            </w:r>
          </w:p>
          <w:p w14:paraId="0871642C">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供电方式:3.7V，4000mAH 大容量锂电池供电</w:t>
            </w:r>
          </w:p>
          <w:p w14:paraId="011CA2E9">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电池续航:3~12个月(@25℃)</w:t>
            </w:r>
          </w:p>
          <w:p w14:paraId="594383E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IP等级:IP55</w:t>
            </w:r>
          </w:p>
        </w:tc>
        <w:tc>
          <w:tcPr>
            <w:tcW w:w="3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33C91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TSI、绿林、虹润</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6E4CC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C6325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r>
      <w:tr w14:paraId="160618A2">
        <w:tblPrEx>
          <w:tblCellMar>
            <w:top w:w="0" w:type="dxa"/>
            <w:left w:w="108" w:type="dxa"/>
            <w:bottom w:w="0" w:type="dxa"/>
            <w:right w:w="108" w:type="dxa"/>
          </w:tblCellMar>
        </w:tblPrEx>
        <w:trPr>
          <w:trHeight w:val="1960" w:hRule="atLeast"/>
        </w:trPr>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EEF6E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33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24080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多参数水质分析仪</w:t>
            </w:r>
          </w:p>
        </w:tc>
        <w:tc>
          <w:tcPr>
            <w:tcW w:w="60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63F174">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1、测量参数:余氯、总氯、浊度、pH、ORP、电导率和温度</w:t>
            </w:r>
          </w:p>
          <w:p w14:paraId="4E32A7C9">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2、测量方法:余氨/总氣:N,N-二乙基-1,4-苯二胺光度法(DPD法)浊度:90 度散射比浊法，在入射光束周围360度收集散射光;PH/ORP/电偱纪侈导率:电化学法;温度:NTC30K</w:t>
            </w:r>
          </w:p>
          <w:p w14:paraId="085BB027">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3、测量范围:余氯/总氯:0~5mg/LasCL2;浊度:0~20NTU;pH:4.00~10.00:ORP:-1200mV~+1200 mV;电导率:20.0pS/cm~2000uS/cm;温度:0C~50°C</w:t>
            </w:r>
          </w:p>
          <w:p w14:paraId="40816B62">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4、检测限值:余氯/总氯:0.03mg/L;浊度:0.0032 NTU;电导率:6.0uS/cm</w:t>
            </w:r>
          </w:p>
          <w:p w14:paraId="400176AD">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5、准确度:余氯/总氯:+5%或±0.03 mg/LasCL2(取较大值)</w:t>
            </w:r>
          </w:p>
          <w:p w14:paraId="1332B027">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6、重复性:余氣/总氯:5%或0.01 mg/Las CL2(取较大值);浊度:1%或0.006 NTU(取较大值)</w:t>
            </w:r>
          </w:p>
          <w:p w14:paraId="1A9C91D3">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7、响应时间:电化学电极(pH 电极/ORP 电极/电导率电极)T90响应时间&lt;3分钟;整个系统T90 响应时间(从水样进入仪器开始计算)&lt;10分钟</w:t>
            </w:r>
          </w:p>
          <w:p w14:paraId="03931456">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8、测量间隔:余氣/总氣测量间隔可配置(连续模式、5 分钟、10 分钟、15 分钟、20 分钟、30 分钟);浊度/pH/ORP/电导率/温度连续测量</w:t>
            </w:r>
          </w:p>
          <w:p w14:paraId="3C7FE210">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9、校准方法:余氯/总氯校准:出厂已经校准，使用默认校准曲线;浊度校准:StabCal® 单点校准(20 NTU)、Formazin 两点校准、2 至6 点定制校准;</w:t>
            </w:r>
          </w:p>
          <w:p w14:paraId="111049D8">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pH 校准:单点校准、两点校准、三点校准;电导率校准:单点校准</w:t>
            </w:r>
          </w:p>
          <w:p w14:paraId="38EDA8A1">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10、模拟输出:7 通道隔离4-20 mA 输出</w:t>
            </w:r>
          </w:p>
          <w:p w14:paraId="106AF511">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11、数字输出:2个RS485 接口(其中一个支持MODBUS协议,另一个支持Hach SC协议)</w:t>
            </w:r>
          </w:p>
          <w:p w14:paraId="646B508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12、样品流量:仪器进样流路一分为二，每一流路的进样流量用户可以分别调节:氨模块流量调节范围:120-180 毫升/分钟(建议:165 毫升/分钟);浊度(电化学)模块流量调节范围:150-450 毫升/分钟(建议:250 毫升/分钟)</w:t>
            </w:r>
          </w:p>
        </w:tc>
        <w:tc>
          <w:tcPr>
            <w:tcW w:w="3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1DD25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林上、哈希MS6100、米科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56F3E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66345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r>
      <w:tr w14:paraId="22D3502C">
        <w:tblPrEx>
          <w:tblCellMar>
            <w:top w:w="0" w:type="dxa"/>
            <w:left w:w="108" w:type="dxa"/>
            <w:bottom w:w="0" w:type="dxa"/>
            <w:right w:w="108" w:type="dxa"/>
          </w:tblCellMar>
        </w:tblPrEx>
        <w:trPr>
          <w:trHeight w:val="3020" w:hRule="atLeast"/>
        </w:trPr>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7DB6E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33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EF94FA">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多功能土壤检测仪</w:t>
            </w:r>
          </w:p>
        </w:tc>
        <w:tc>
          <w:tcPr>
            <w:tcW w:w="60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8A826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测量范围：0to4000 uS/cm, 0.00to4.00 mS/cm(dS/m)；解析度：1uS/cm、0.01mS/cm(dS/m)；测量精度：士0.05mS/cm(0 to2000μS/cm、0.00 to 2.00 mS/cm)+030mS/cm(2000 to4000 uS/m、 2.00 to4.00mS/cm)；；校准模式：自动单点识别校准，内置标准点@25°C:1413uS/cm，推荐电导标准缓冲液:H7031；使用环境：0to50°C(32to122°F)，RH max 95 %</w:t>
            </w:r>
          </w:p>
        </w:tc>
        <w:tc>
          <w:tcPr>
            <w:tcW w:w="3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6CAC0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哈纳HI98331、米科、林上</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4E539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2C8E3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r>
      <w:tr w14:paraId="5CF5B7F6">
        <w:tblPrEx>
          <w:tblCellMar>
            <w:top w:w="0" w:type="dxa"/>
            <w:left w:w="108" w:type="dxa"/>
            <w:bottom w:w="0" w:type="dxa"/>
            <w:right w:w="108" w:type="dxa"/>
          </w:tblCellMar>
        </w:tblPrEx>
        <w:trPr>
          <w:trHeight w:val="7620" w:hRule="atLeast"/>
        </w:trPr>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B77A3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33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F68D8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三维超声波风速计</w:t>
            </w:r>
          </w:p>
        </w:tc>
        <w:tc>
          <w:tcPr>
            <w:tcW w:w="60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F13D9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·风力以不同单位测定：风速和风向，U-V-W卡迪尔组成、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声速、音波温度。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·HD2003还可以输出：温度、相对湿度和大气压；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·5个电流或电压模拟信号输出,且测量范围各不相同；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·最多可以输出12个电流或电压模拟信号输出,且测量范围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各不相同；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·4个串行通信接口：RS232、RS422、MultidropRS485和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AoXnd；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·可设置数字输出数据串输出率；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·可设置所有的测量参数平均周期1...60秒或者1...60分钟；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·原始测量数据的计算和验证，且可以精确到±1%；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·高频率数字采集模式，50Hz数据输出；或者高频率模拟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采集模式，5Hz和20Hz之内；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·自诊断和报告；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·可靠性和精度在测量范围内都不需要校准；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·演示软件可帮助用户根据自己的需求设置风速计；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·通过RS232或RS485接口在用户界面设置风速计和升级软件；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·带有罗盘，自动指北；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·不需要移动部件、维护；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·结实耐用，适合在恶劣环境中使用；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·电源消耗低；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·可以选择内置加热器型号防冰雪，以确保在冰雪天气测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量也保持准确；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·可以选择RS422接口，全双工环境四线制一体化RS422通信。</w:t>
            </w:r>
          </w:p>
        </w:tc>
        <w:tc>
          <w:tcPr>
            <w:tcW w:w="3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83486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DeltaOHM HD2003、北方大河、北建通</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3F1FE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7387B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r>
      <w:tr w14:paraId="6510923F">
        <w:tblPrEx>
          <w:tblCellMar>
            <w:top w:w="0" w:type="dxa"/>
            <w:left w:w="108" w:type="dxa"/>
            <w:bottom w:w="0" w:type="dxa"/>
            <w:right w:w="108" w:type="dxa"/>
          </w:tblCellMar>
        </w:tblPrEx>
        <w:trPr>
          <w:trHeight w:val="4160" w:hRule="atLeast"/>
        </w:trPr>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31116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w:t>
            </w:r>
          </w:p>
        </w:tc>
        <w:tc>
          <w:tcPr>
            <w:tcW w:w="33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B8AC5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四分量净辐射传感器</w:t>
            </w:r>
          </w:p>
        </w:tc>
        <w:tc>
          <w:tcPr>
            <w:tcW w:w="60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43194C">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太阳辐射传感器， 一个用于测量太阳总辐射Esw↓， 另一个测量被反射的太阳辐射Esw↑；另一套为地面辐射传感器， 一个用LP NET 14配有一个温度传感器（NTC）。使用地面辐射传感器时需要测量温度，实际上，热电堆输出和仪器都会产生远红外线。该净辐射计适合室外使用，且便于维护。于测量高空发出的红外线辐射E                   太阳辐射传感器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依ISO 9060标准二级辐射计  阻抗 33...45Ω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测量范围 0...2000W/㎡  视角 2πsr</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（圆帽透射） 335nm...2200nm(95%)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工作温度 -40...80℃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地面辐射传感器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典型灵敏性 5...10μV（W/㎡)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阻抗 33...45Ω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测量范围 -300...300W/㎡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视角 160°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光谱范围 5.5μm...45μm(50%)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（硅窗透射）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工作温度 -40...80℃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p>
        </w:tc>
        <w:tc>
          <w:tcPr>
            <w:tcW w:w="3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5C446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DeltaOHM LP NET14、北方大河、北建通</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72B94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D5153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r>
      <w:tr w14:paraId="7E9EA1DB">
        <w:tblPrEx>
          <w:tblCellMar>
            <w:top w:w="0" w:type="dxa"/>
            <w:left w:w="108" w:type="dxa"/>
            <w:bottom w:w="0" w:type="dxa"/>
            <w:right w:w="108" w:type="dxa"/>
          </w:tblCellMar>
        </w:tblPrEx>
        <w:trPr>
          <w:trHeight w:val="4640" w:hRule="atLeast"/>
        </w:trPr>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82399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w:t>
            </w:r>
          </w:p>
        </w:tc>
        <w:tc>
          <w:tcPr>
            <w:tcW w:w="33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2C6E7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数据采集器</w:t>
            </w:r>
          </w:p>
        </w:tc>
        <w:tc>
          <w:tcPr>
            <w:tcW w:w="60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9C9FCB">
            <w:pPr>
              <w:widowControl/>
              <w:jc w:val="left"/>
              <w:textAlignment w:val="center"/>
              <w:rPr>
                <w:rFonts w:hint="eastAsia" w:ascii="宋体" w:hAnsi="宋体" w:eastAsia="宋体" w:cs="宋体"/>
                <w:color w:val="000000"/>
                <w:szCs w:val="21"/>
              </w:rPr>
            </w:pPr>
            <w:r>
              <w:rPr>
                <w:rStyle w:val="15"/>
                <w:rFonts w:hint="default"/>
                <w:sz w:val="21"/>
                <w:szCs w:val="21"/>
                <w:lang w:bidi="ar"/>
              </w:rPr>
              <w:t>采集器主机参数：</w:t>
            </w:r>
            <w:r>
              <w:rPr>
                <w:rStyle w:val="15"/>
                <w:rFonts w:hint="default"/>
                <w:sz w:val="21"/>
                <w:szCs w:val="21"/>
                <w:lang w:bidi="ar"/>
              </w:rPr>
              <w:br w:type="textWrapping"/>
            </w:r>
            <w:r>
              <w:rPr>
                <w:rStyle w:val="15"/>
                <w:rFonts w:hint="default"/>
                <w:sz w:val="21"/>
                <w:szCs w:val="21"/>
                <w:lang w:bidi="ar"/>
              </w:rPr>
              <w:t>供电 内置可充电电池： 18…30 Vdc</w:t>
            </w:r>
            <w:r>
              <w:rPr>
                <w:rStyle w:val="15"/>
                <w:rFonts w:hint="default"/>
                <w:sz w:val="21"/>
                <w:szCs w:val="21"/>
                <w:lang w:bidi="ar"/>
              </w:rPr>
              <w:br w:type="textWrapping"/>
            </w:r>
            <w:r>
              <w:rPr>
                <w:rStyle w:val="15"/>
                <w:rFonts w:hint="default"/>
                <w:sz w:val="21"/>
                <w:szCs w:val="21"/>
                <w:lang w:bidi="ar"/>
              </w:rPr>
              <w:t>不配内置电池： 不配 ETHERNET 模块： 7…30Vdc</w:t>
            </w:r>
            <w:r>
              <w:rPr>
                <w:rStyle w:val="15"/>
                <w:rFonts w:hint="default"/>
                <w:sz w:val="21"/>
                <w:szCs w:val="21"/>
                <w:lang w:bidi="ar"/>
              </w:rPr>
              <w:br w:type="textWrapping"/>
            </w:r>
            <w:r>
              <w:rPr>
                <w:rStyle w:val="15"/>
                <w:rFonts w:hint="default"/>
                <w:sz w:val="21"/>
                <w:szCs w:val="21"/>
                <w:lang w:bidi="ar"/>
              </w:rPr>
              <w:t>配 ETHERNET 模块： 12…30Vdc</w:t>
            </w:r>
            <w:r>
              <w:rPr>
                <w:rStyle w:val="15"/>
                <w:rFonts w:hint="default"/>
                <w:sz w:val="21"/>
                <w:szCs w:val="21"/>
                <w:lang w:bidi="ar"/>
              </w:rPr>
              <w:br w:type="textWrapping"/>
            </w:r>
            <w:r>
              <w:rPr>
                <w:rStyle w:val="15"/>
                <w:rFonts w:hint="default"/>
                <w:sz w:val="21"/>
                <w:szCs w:val="21"/>
                <w:lang w:bidi="ar"/>
              </w:rPr>
              <w:t>功耗@12Vdc 不配 ETHERNET 模块， 不启动 GSM/3G： &lt; 3 mA</w:t>
            </w:r>
            <w:r>
              <w:rPr>
                <w:rStyle w:val="15"/>
                <w:rFonts w:hint="default"/>
                <w:sz w:val="21"/>
                <w:szCs w:val="21"/>
                <w:lang w:bidi="ar"/>
              </w:rPr>
              <w:br w:type="textWrapping"/>
            </w:r>
            <w:r>
              <w:rPr>
                <w:rStyle w:val="15"/>
                <w:rFonts w:hint="default"/>
                <w:sz w:val="21"/>
                <w:szCs w:val="21"/>
                <w:lang w:bidi="ar"/>
              </w:rPr>
              <w:t xml:space="preserve">配 ETHERNET 模块， 不启动 GSM/3G： </w:t>
            </w:r>
            <w:r>
              <w:rPr>
                <w:rStyle w:val="16"/>
                <w:sz w:val="21"/>
                <w:szCs w:val="21"/>
                <w:lang w:bidi="ar"/>
              </w:rPr>
              <w:t>∼</w:t>
            </w:r>
            <w:r>
              <w:rPr>
                <w:rStyle w:val="15"/>
                <w:rFonts w:hint="default"/>
                <w:sz w:val="21"/>
                <w:szCs w:val="21"/>
                <w:lang w:bidi="ar"/>
              </w:rPr>
              <w:t>200mA</w:t>
            </w:r>
            <w:r>
              <w:rPr>
                <w:rStyle w:val="15"/>
                <w:rFonts w:hint="default"/>
                <w:sz w:val="21"/>
                <w:szCs w:val="21"/>
                <w:lang w:bidi="ar"/>
              </w:rPr>
              <w:br w:type="textWrapping"/>
            </w:r>
            <w:r>
              <w:rPr>
                <w:rStyle w:val="15"/>
                <w:rFonts w:hint="default"/>
                <w:sz w:val="21"/>
                <w:szCs w:val="21"/>
                <w:lang w:bidi="ar"/>
              </w:rPr>
              <w:t>启动 GSM/3G:&lt; 1 A 峰值</w:t>
            </w:r>
            <w:r>
              <w:rPr>
                <w:rStyle w:val="15"/>
                <w:rFonts w:hint="default"/>
                <w:sz w:val="21"/>
                <w:szCs w:val="21"/>
                <w:lang w:bidi="ar"/>
              </w:rPr>
              <w:br w:type="textWrapping"/>
            </w:r>
            <w:r>
              <w:rPr>
                <w:rStyle w:val="15"/>
                <w:rFonts w:hint="default"/>
                <w:sz w:val="21"/>
                <w:szCs w:val="21"/>
                <w:lang w:bidi="ar"/>
              </w:rPr>
              <w:t>电池 可选内置铅电池 12 V/3.4 Ah， 最大电流 1A， 使用时间和连接传感器的数</w:t>
            </w:r>
            <w:r>
              <w:rPr>
                <w:rStyle w:val="15"/>
                <w:rFonts w:hint="default"/>
                <w:sz w:val="21"/>
                <w:szCs w:val="21"/>
                <w:lang w:bidi="ar"/>
              </w:rPr>
              <w:br w:type="textWrapping"/>
            </w:r>
            <w:r>
              <w:rPr>
                <w:rStyle w:val="15"/>
                <w:rFonts w:hint="default"/>
                <w:sz w:val="21"/>
                <w:szCs w:val="21"/>
                <w:lang w:bidi="ar"/>
              </w:rPr>
              <w:t>量及类型有关</w:t>
            </w:r>
            <w:r>
              <w:rPr>
                <w:rStyle w:val="15"/>
                <w:rFonts w:hint="default"/>
                <w:sz w:val="21"/>
                <w:szCs w:val="21"/>
                <w:lang w:bidi="ar"/>
              </w:rPr>
              <w:br w:type="textWrapping"/>
            </w:r>
            <w:r>
              <w:rPr>
                <w:rStyle w:val="15"/>
                <w:rFonts w:hint="default"/>
                <w:sz w:val="21"/>
                <w:szCs w:val="21"/>
                <w:lang w:bidi="ar"/>
              </w:rPr>
              <w:t>开关电源输出 如果 HD33 是通过太阳能板供电（+V 太阳能板输入）， 输出等于内置电池电</w:t>
            </w:r>
            <w:r>
              <w:rPr>
                <w:rStyle w:val="15"/>
                <w:rFonts w:hint="default"/>
                <w:sz w:val="21"/>
                <w:szCs w:val="21"/>
                <w:lang w:bidi="ar"/>
              </w:rPr>
              <w:br w:type="textWrapping"/>
            </w:r>
            <w:r>
              <w:rPr>
                <w:rStyle w:val="15"/>
                <w:rFonts w:hint="default"/>
                <w:sz w:val="21"/>
                <w:szCs w:val="21"/>
                <w:lang w:bidi="ar"/>
              </w:rPr>
              <w:t>压 (一般 12 V)； 如果 HD33 是通过+Vdc 电源适配器供电， 输出等于电源适</w:t>
            </w:r>
            <w:r>
              <w:rPr>
                <w:rStyle w:val="15"/>
                <w:rFonts w:hint="default"/>
                <w:sz w:val="21"/>
                <w:szCs w:val="21"/>
                <w:lang w:bidi="ar"/>
              </w:rPr>
              <w:br w:type="textWrapping"/>
            </w:r>
            <w:r>
              <w:rPr>
                <w:rStyle w:val="15"/>
                <w:rFonts w:hint="default"/>
                <w:sz w:val="21"/>
                <w:szCs w:val="21"/>
                <w:lang w:bidi="ar"/>
              </w:rPr>
              <w:t>配器的输入； 启动传感器后启动输出</w:t>
            </w:r>
            <w:r>
              <w:rPr>
                <w:rStyle w:val="15"/>
                <w:rFonts w:hint="default"/>
                <w:sz w:val="21"/>
                <w:szCs w:val="21"/>
                <w:lang w:bidi="ar"/>
              </w:rPr>
              <w:br w:type="textWrapping"/>
            </w:r>
            <w:r>
              <w:rPr>
                <w:rStyle w:val="15"/>
                <w:rFonts w:hint="default"/>
                <w:sz w:val="21"/>
                <w:szCs w:val="21"/>
                <w:lang w:bidi="ar"/>
              </w:rPr>
              <w:t>天线 外置</w:t>
            </w:r>
            <w:r>
              <w:rPr>
                <w:rStyle w:val="15"/>
                <w:rFonts w:hint="default"/>
                <w:sz w:val="21"/>
                <w:szCs w:val="21"/>
                <w:lang w:bidi="ar"/>
              </w:rPr>
              <w:br w:type="textWrapping"/>
            </w:r>
            <w:r>
              <w:rPr>
                <w:rStyle w:val="15"/>
                <w:rFonts w:hint="default"/>
                <w:sz w:val="21"/>
                <w:szCs w:val="21"/>
                <w:lang w:bidi="ar"/>
              </w:rPr>
              <w:t>测量间隔 1, 2, 5, 10, 15, 30 s / 1, 2, 5, 10, 15, 30, 60 min</w:t>
            </w:r>
            <w:r>
              <w:rPr>
                <w:rStyle w:val="15"/>
                <w:rFonts w:hint="default"/>
                <w:sz w:val="21"/>
                <w:szCs w:val="21"/>
                <w:lang w:bidi="ar"/>
              </w:rPr>
              <w:br w:type="textWrapping"/>
            </w:r>
            <w:r>
              <w:rPr>
                <w:rStyle w:val="15"/>
                <w:rFonts w:hint="default"/>
                <w:sz w:val="21"/>
                <w:szCs w:val="21"/>
                <w:lang w:bidi="ar"/>
              </w:rPr>
              <w:t>记录间隔 1, 2, 5, 10, 15, 30 s / 1, 2, 5, 10, 15, 30, 60 min</w:t>
            </w:r>
            <w:r>
              <w:rPr>
                <w:rStyle w:val="15"/>
                <w:rFonts w:hint="default"/>
                <w:sz w:val="21"/>
                <w:szCs w:val="21"/>
                <w:lang w:bidi="ar"/>
              </w:rPr>
              <w:br w:type="textWrapping"/>
            </w:r>
            <w:r>
              <w:rPr>
                <w:rStyle w:val="15"/>
                <w:rFonts w:hint="default"/>
                <w:sz w:val="21"/>
                <w:szCs w:val="21"/>
                <w:lang w:bidi="ar"/>
              </w:rPr>
              <w:t>存储 循环存储或者存满停止， 可存储 242850 到 858070 个数据， 具体和传感器</w:t>
            </w:r>
            <w:r>
              <w:rPr>
                <w:rStyle w:val="15"/>
                <w:rFonts w:hint="default"/>
                <w:sz w:val="21"/>
                <w:szCs w:val="21"/>
                <w:lang w:bidi="ar"/>
              </w:rPr>
              <w:br w:type="textWrapping"/>
            </w:r>
            <w:r>
              <w:rPr>
                <w:rStyle w:val="15"/>
                <w:rFonts w:hint="default"/>
                <w:sz w:val="21"/>
                <w:szCs w:val="21"/>
                <w:lang w:bidi="ar"/>
              </w:rPr>
              <w:t>的参数有关</w:t>
            </w:r>
            <w:r>
              <w:rPr>
                <w:rStyle w:val="15"/>
                <w:rFonts w:hint="default"/>
                <w:sz w:val="21"/>
                <w:szCs w:val="21"/>
                <w:lang w:bidi="ar"/>
              </w:rPr>
              <w:br w:type="textWrapping"/>
            </w:r>
            <w:r>
              <w:rPr>
                <w:rStyle w:val="15"/>
                <w:rFonts w:hint="default"/>
                <w:sz w:val="21"/>
                <w:szCs w:val="21"/>
                <w:lang w:bidi="ar"/>
              </w:rPr>
              <w:t>报警 通过 E-mail 或者 SMS 报警</w:t>
            </w:r>
            <w:r>
              <w:rPr>
                <w:rStyle w:val="15"/>
                <w:rFonts w:hint="default"/>
                <w:sz w:val="21"/>
                <w:szCs w:val="21"/>
                <w:lang w:bidi="ar"/>
              </w:rPr>
              <w:br w:type="textWrapping"/>
            </w:r>
            <w:r>
              <w:rPr>
                <w:rStyle w:val="15"/>
                <w:rFonts w:hint="default"/>
                <w:sz w:val="21"/>
                <w:szCs w:val="21"/>
                <w:lang w:bidi="ar"/>
              </w:rPr>
              <w:t>两个常开触点报警输出， 最大 300 mA @ 30 Vdc 负载， 联系 010-82306808</w:t>
            </w:r>
            <w:r>
              <w:rPr>
                <w:rStyle w:val="15"/>
                <w:rFonts w:hint="default"/>
                <w:sz w:val="21"/>
                <w:szCs w:val="21"/>
                <w:lang w:bidi="ar"/>
              </w:rPr>
              <w:br w:type="textWrapping"/>
            </w:r>
            <w:r>
              <w:rPr>
                <w:rStyle w:val="15"/>
                <w:rFonts w:hint="default"/>
                <w:sz w:val="21"/>
                <w:szCs w:val="21"/>
                <w:lang w:bidi="ar"/>
              </w:rPr>
              <w:t>显示 可选 LCD 显示屏</w:t>
            </w:r>
            <w:r>
              <w:rPr>
                <w:rStyle w:val="15"/>
                <w:rFonts w:hint="default"/>
                <w:sz w:val="21"/>
                <w:szCs w:val="21"/>
                <w:lang w:bidi="ar"/>
              </w:rPr>
              <w:br w:type="textWrapping"/>
            </w:r>
            <w:r>
              <w:rPr>
                <w:rStyle w:val="15"/>
                <w:rFonts w:hint="default"/>
                <w:sz w:val="21"/>
                <w:szCs w:val="21"/>
                <w:lang w:bidi="ar"/>
              </w:rPr>
              <w:t>LED 指示灯 红色闪烁： 供电； 绿色闪烁： GSM/3G 启动</w:t>
            </w:r>
            <w:r>
              <w:rPr>
                <w:rStyle w:val="15"/>
                <w:rFonts w:hint="default"/>
                <w:sz w:val="21"/>
                <w:szCs w:val="21"/>
                <w:lang w:bidi="ar"/>
              </w:rPr>
              <w:br w:type="textWrapping"/>
            </w:r>
            <w:r>
              <w:rPr>
                <w:rStyle w:val="15"/>
                <w:rFonts w:hint="default"/>
                <w:sz w:val="21"/>
                <w:szCs w:val="21"/>
                <w:lang w:bidi="ar"/>
              </w:rPr>
              <w:t>连接电脑 USB 接口连接电脑</w:t>
            </w:r>
            <w:r>
              <w:rPr>
                <w:rStyle w:val="15"/>
                <w:rFonts w:hint="default"/>
                <w:sz w:val="21"/>
                <w:szCs w:val="21"/>
                <w:lang w:bidi="ar"/>
              </w:rPr>
              <w:br w:type="textWrapping"/>
            </w:r>
            <w:r>
              <w:rPr>
                <w:rStyle w:val="15"/>
                <w:rFonts w:hint="default"/>
                <w:sz w:val="21"/>
                <w:szCs w:val="21"/>
                <w:lang w:bidi="ar"/>
              </w:rPr>
              <w:t>ETHERNET 接口 RJ45 接口（需选配 ETHERNET 模块）</w:t>
            </w:r>
            <w:r>
              <w:rPr>
                <w:rStyle w:val="15"/>
                <w:rFonts w:hint="default"/>
                <w:sz w:val="21"/>
                <w:szCs w:val="21"/>
                <w:lang w:bidi="ar"/>
              </w:rPr>
              <w:br w:type="textWrapping"/>
            </w:r>
            <w:r>
              <w:rPr>
                <w:rStyle w:val="15"/>
                <w:rFonts w:hint="default"/>
                <w:sz w:val="21"/>
                <w:szCs w:val="21"/>
                <w:lang w:bidi="ar"/>
              </w:rPr>
              <w:t>内置时间漂移 ± 2 ppm (0…+40℃) / ± 5 ppm (-40…+70℃)</w:t>
            </w:r>
            <w:r>
              <w:rPr>
                <w:rStyle w:val="15"/>
                <w:rFonts w:hint="default"/>
                <w:sz w:val="21"/>
                <w:szCs w:val="21"/>
                <w:lang w:bidi="ar"/>
              </w:rPr>
              <w:br w:type="textWrapping"/>
            </w:r>
            <w:r>
              <w:rPr>
                <w:rStyle w:val="15"/>
                <w:rFonts w:hint="default"/>
                <w:sz w:val="21"/>
                <w:szCs w:val="21"/>
                <w:lang w:bidi="ar"/>
              </w:rPr>
              <w:t>使用环境 不带显示： -40…+70℃/0…100 %RH</w:t>
            </w:r>
            <w:r>
              <w:rPr>
                <w:rStyle w:val="15"/>
                <w:rFonts w:hint="default"/>
                <w:sz w:val="21"/>
                <w:szCs w:val="21"/>
                <w:lang w:bidi="ar"/>
              </w:rPr>
              <w:br w:type="textWrapping"/>
            </w:r>
            <w:r>
              <w:rPr>
                <w:rStyle w:val="15"/>
                <w:rFonts w:hint="default"/>
                <w:sz w:val="21"/>
                <w:szCs w:val="21"/>
                <w:lang w:bidi="ar"/>
              </w:rPr>
              <w:t>带显示： -20…+70℃/0…100 %RH                    重量 约 1Kg</w:t>
            </w:r>
            <w:r>
              <w:rPr>
                <w:rStyle w:val="15"/>
                <w:rFonts w:hint="default"/>
                <w:sz w:val="21"/>
                <w:szCs w:val="21"/>
                <w:lang w:bidi="ar"/>
              </w:rPr>
              <w:br w:type="textWrapping"/>
            </w:r>
            <w:r>
              <w:rPr>
                <w:rStyle w:val="15"/>
                <w:rFonts w:hint="default"/>
                <w:sz w:val="21"/>
                <w:szCs w:val="21"/>
                <w:lang w:bidi="ar"/>
              </w:rPr>
              <w:t>机箱 尺寸： 约270x170x110mm(不含外置天线)</w:t>
            </w:r>
            <w:r>
              <w:rPr>
                <w:rStyle w:val="15"/>
                <w:rFonts w:hint="default"/>
                <w:sz w:val="21"/>
                <w:szCs w:val="21"/>
                <w:lang w:bidi="ar"/>
              </w:rPr>
              <w:br w:type="textWrapping"/>
            </w:r>
            <w:r>
              <w:rPr>
                <w:rStyle w:val="15"/>
                <w:rFonts w:hint="default"/>
                <w:sz w:val="21"/>
                <w:szCs w:val="21"/>
                <w:lang w:bidi="ar"/>
              </w:rPr>
              <w:t>材质： Polycarbonate</w:t>
            </w:r>
            <w:r>
              <w:rPr>
                <w:rStyle w:val="15"/>
                <w:rFonts w:hint="default"/>
                <w:sz w:val="21"/>
                <w:szCs w:val="21"/>
                <w:lang w:bidi="ar"/>
              </w:rPr>
              <w:br w:type="textWrapping"/>
            </w:r>
            <w:r>
              <w:rPr>
                <w:rStyle w:val="15"/>
                <w:rFonts w:hint="default"/>
                <w:sz w:val="21"/>
                <w:szCs w:val="21"/>
                <w:lang w:bidi="ar"/>
              </w:rPr>
              <w:t>防护等级： IP65（盖上 USB 保护贸帽）</w:t>
            </w:r>
            <w:r>
              <w:rPr>
                <w:rStyle w:val="15"/>
                <w:rFonts w:hint="default"/>
                <w:sz w:val="21"/>
                <w:szCs w:val="21"/>
                <w:lang w:bidi="ar"/>
              </w:rPr>
              <w:br w:type="textWrapping"/>
            </w:r>
            <w:r>
              <w:rPr>
                <w:rStyle w:val="15"/>
                <w:rFonts w:hint="default"/>
                <w:sz w:val="21"/>
                <w:szCs w:val="21"/>
                <w:lang w:bidi="ar"/>
              </w:rPr>
              <w:t>安装 直径 40mm 的主杠上</w:t>
            </w:r>
          </w:p>
        </w:tc>
        <w:tc>
          <w:tcPr>
            <w:tcW w:w="3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A7FD7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DeltaOHM HD33LMT.4、北方大河、北建通</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EA266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5EBC3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r>
      <w:tr w14:paraId="31E96170">
        <w:tblPrEx>
          <w:tblCellMar>
            <w:top w:w="0" w:type="dxa"/>
            <w:left w:w="108" w:type="dxa"/>
            <w:bottom w:w="0" w:type="dxa"/>
            <w:right w:w="108" w:type="dxa"/>
          </w:tblCellMar>
        </w:tblPrEx>
        <w:trPr>
          <w:trHeight w:val="6040" w:hRule="atLeast"/>
        </w:trPr>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ABB79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w:t>
            </w:r>
          </w:p>
        </w:tc>
        <w:tc>
          <w:tcPr>
            <w:tcW w:w="33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08F84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便携热成像仪</w:t>
            </w:r>
          </w:p>
        </w:tc>
        <w:tc>
          <w:tcPr>
            <w:tcW w:w="60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E388AA">
            <w:pPr>
              <w:widowControl/>
              <w:jc w:val="left"/>
              <w:textAlignment w:val="center"/>
              <w:rPr>
                <w:rFonts w:hint="eastAsia" w:ascii="宋体" w:hAnsi="宋体" w:eastAsia="宋体" w:cs="宋体"/>
                <w:color w:val="000000"/>
                <w:szCs w:val="21"/>
              </w:rPr>
            </w:pPr>
            <w:r>
              <w:rPr>
                <w:rStyle w:val="17"/>
                <w:rFonts w:hint="default"/>
                <w:sz w:val="21"/>
                <w:szCs w:val="21"/>
                <w:lang w:bidi="ar"/>
              </w:rPr>
              <w:t>性能指标</w:t>
            </w:r>
            <w:r>
              <w:rPr>
                <w:rStyle w:val="15"/>
                <w:rFonts w:hint="default"/>
                <w:sz w:val="21"/>
                <w:szCs w:val="21"/>
                <w:lang w:bidi="ar"/>
              </w:rPr>
              <w:br w:type="textWrapping"/>
            </w:r>
            <w:r>
              <w:rPr>
                <w:rStyle w:val="15"/>
                <w:rFonts w:hint="default"/>
                <w:sz w:val="21"/>
                <w:szCs w:val="21"/>
                <w:lang w:bidi="ar"/>
              </w:rPr>
              <w:t>红外分辨率：256 x 192</w:t>
            </w:r>
            <w:r>
              <w:rPr>
                <w:rStyle w:val="15"/>
                <w:rFonts w:hint="default"/>
                <w:sz w:val="21"/>
                <w:szCs w:val="21"/>
                <w:lang w:bidi="ar"/>
              </w:rPr>
              <w:br w:type="textWrapping"/>
            </w:r>
            <w:r>
              <w:rPr>
                <w:rStyle w:val="15"/>
                <w:rFonts w:hint="default"/>
                <w:sz w:val="21"/>
                <w:szCs w:val="21"/>
                <w:lang w:bidi="ar"/>
              </w:rPr>
              <w:t>像元尺寸：12 μm</w:t>
            </w:r>
            <w:r>
              <w:rPr>
                <w:rStyle w:val="15"/>
                <w:rFonts w:hint="default"/>
                <w:sz w:val="21"/>
                <w:szCs w:val="21"/>
                <w:lang w:bidi="ar"/>
              </w:rPr>
              <w:br w:type="textWrapping"/>
            </w:r>
            <w:r>
              <w:rPr>
                <w:rStyle w:val="15"/>
                <w:rFonts w:hint="default"/>
                <w:sz w:val="21"/>
                <w:szCs w:val="21"/>
                <w:lang w:bidi="ar"/>
              </w:rPr>
              <w:t>测温范围：-10 ℃ ~ 550 ℃</w:t>
            </w:r>
            <w:r>
              <w:rPr>
                <w:rStyle w:val="15"/>
                <w:rFonts w:hint="default"/>
                <w:sz w:val="21"/>
                <w:szCs w:val="21"/>
                <w:lang w:bidi="ar"/>
              </w:rPr>
              <w:br w:type="textWrapping"/>
            </w:r>
            <w:r>
              <w:rPr>
                <w:rStyle w:val="15"/>
                <w:rFonts w:hint="default"/>
                <w:sz w:val="21"/>
                <w:szCs w:val="21"/>
                <w:lang w:bidi="ar"/>
              </w:rPr>
              <w:t>测温精度：读数的 ± 2% 或 ±2 ℃ , 取大者(在环境温度 23 ℃ ± 5 ℃ 下)</w:t>
            </w:r>
            <w:r>
              <w:rPr>
                <w:rStyle w:val="15"/>
                <w:rFonts w:hint="default"/>
                <w:sz w:val="21"/>
                <w:szCs w:val="21"/>
                <w:lang w:bidi="ar"/>
              </w:rPr>
              <w:br w:type="textWrapping"/>
            </w:r>
            <w:r>
              <w:rPr>
                <w:rStyle w:val="15"/>
                <w:rFonts w:hint="default"/>
                <w:sz w:val="21"/>
                <w:szCs w:val="21"/>
                <w:lang w:bidi="ar"/>
              </w:rPr>
              <w:t>测温距离：0.25 m ~ 5 m （* -20 ℃ ~10 ℃ 仅适用于 0.25 m ~ 3 m）</w:t>
            </w:r>
            <w:r>
              <w:rPr>
                <w:rStyle w:val="15"/>
                <w:rFonts w:hint="default"/>
                <w:sz w:val="21"/>
                <w:szCs w:val="21"/>
                <w:lang w:bidi="ar"/>
              </w:rPr>
              <w:br w:type="textWrapping"/>
            </w:r>
            <w:r>
              <w:rPr>
                <w:rStyle w:val="15"/>
                <w:rFonts w:hint="default"/>
                <w:sz w:val="21"/>
                <w:szCs w:val="21"/>
                <w:lang w:bidi="ar"/>
              </w:rPr>
              <w:t>帧频：25 Hz</w:t>
            </w:r>
            <w:r>
              <w:rPr>
                <w:rStyle w:val="15"/>
                <w:rFonts w:hint="default"/>
                <w:sz w:val="21"/>
                <w:szCs w:val="21"/>
                <w:lang w:bidi="ar"/>
              </w:rPr>
              <w:br w:type="textWrapping"/>
            </w:r>
            <w:r>
              <w:rPr>
                <w:rStyle w:val="15"/>
                <w:rFonts w:hint="default"/>
                <w:sz w:val="21"/>
                <w:szCs w:val="21"/>
                <w:lang w:bidi="ar"/>
              </w:rPr>
              <w:t>预热时间：1 分钟</w:t>
            </w:r>
            <w:r>
              <w:rPr>
                <w:rStyle w:val="15"/>
                <w:rFonts w:hint="default"/>
                <w:sz w:val="21"/>
                <w:szCs w:val="21"/>
                <w:lang w:bidi="ar"/>
              </w:rPr>
              <w:br w:type="textWrapping"/>
            </w:r>
            <w:r>
              <w:rPr>
                <w:rStyle w:val="15"/>
                <w:rFonts w:hint="default"/>
                <w:sz w:val="21"/>
                <w:szCs w:val="21"/>
                <w:lang w:bidi="ar"/>
              </w:rPr>
              <w:t>焦距：固定焦距 3.2 mm</w:t>
            </w:r>
            <w:r>
              <w:rPr>
                <w:rStyle w:val="15"/>
                <w:rFonts w:hint="default"/>
                <w:sz w:val="21"/>
                <w:szCs w:val="21"/>
                <w:lang w:bidi="ar"/>
              </w:rPr>
              <w:br w:type="textWrapping"/>
            </w:r>
            <w:r>
              <w:rPr>
                <w:rStyle w:val="15"/>
                <w:rFonts w:hint="default"/>
                <w:sz w:val="21"/>
                <w:szCs w:val="21"/>
                <w:lang w:bidi="ar"/>
              </w:rPr>
              <w:t>快门方式：内置自动快门</w:t>
            </w:r>
            <w:r>
              <w:rPr>
                <w:rStyle w:val="15"/>
                <w:rFonts w:hint="default"/>
                <w:sz w:val="21"/>
                <w:szCs w:val="21"/>
                <w:lang w:bidi="ar"/>
              </w:rPr>
              <w:br w:type="textWrapping"/>
            </w:r>
            <w:r>
              <w:rPr>
                <w:rStyle w:val="15"/>
                <w:rFonts w:hint="default"/>
                <w:sz w:val="21"/>
                <w:szCs w:val="21"/>
                <w:lang w:bidi="ar"/>
              </w:rPr>
              <w:t>热灵敏度(NETD)：50 mK</w:t>
            </w:r>
            <w:r>
              <w:rPr>
                <w:rStyle w:val="15"/>
                <w:rFonts w:hint="default"/>
                <w:sz w:val="21"/>
                <w:szCs w:val="21"/>
                <w:lang w:bidi="ar"/>
              </w:rPr>
              <w:br w:type="textWrapping"/>
            </w:r>
            <w:r>
              <w:rPr>
                <w:rStyle w:val="15"/>
                <w:rFonts w:hint="default"/>
                <w:sz w:val="21"/>
                <w:szCs w:val="21"/>
                <w:lang w:bidi="ar"/>
              </w:rPr>
              <w:t>光谱：8~14 μm</w:t>
            </w:r>
            <w:r>
              <w:rPr>
                <w:rStyle w:val="15"/>
                <w:rFonts w:hint="default"/>
                <w:sz w:val="21"/>
                <w:szCs w:val="21"/>
                <w:lang w:bidi="ar"/>
              </w:rPr>
              <w:br w:type="textWrapping"/>
            </w:r>
            <w:r>
              <w:rPr>
                <w:rStyle w:val="15"/>
                <w:rFonts w:hint="default"/>
                <w:sz w:val="21"/>
                <w:szCs w:val="21"/>
                <w:lang w:bidi="ar"/>
              </w:rPr>
              <w:t>视场角（H x V）：56° x 42°</w:t>
            </w:r>
            <w:r>
              <w:rPr>
                <w:rStyle w:val="15"/>
                <w:rFonts w:hint="default"/>
                <w:sz w:val="21"/>
                <w:szCs w:val="21"/>
                <w:lang w:bidi="ar"/>
              </w:rPr>
              <w:br w:type="textWrapping"/>
            </w:r>
            <w:r>
              <w:rPr>
                <w:rStyle w:val="15"/>
                <w:rFonts w:hint="default"/>
                <w:sz w:val="21"/>
                <w:szCs w:val="21"/>
                <w:lang w:bidi="ar"/>
              </w:rPr>
              <w:t>空间分辨率：3.81 mrad</w:t>
            </w:r>
            <w:r>
              <w:rPr>
                <w:rStyle w:val="15"/>
                <w:rFonts w:hint="default"/>
                <w:sz w:val="21"/>
                <w:szCs w:val="21"/>
                <w:lang w:bidi="ar"/>
              </w:rPr>
              <w:br w:type="textWrapping"/>
            </w:r>
            <w:r>
              <w:rPr>
                <w:rStyle w:val="17"/>
                <w:rFonts w:hint="default"/>
                <w:sz w:val="21"/>
                <w:szCs w:val="21"/>
                <w:lang w:bidi="ar"/>
              </w:rPr>
              <w:t>一般技术指标</w:t>
            </w:r>
            <w:r>
              <w:rPr>
                <w:rStyle w:val="15"/>
                <w:rFonts w:hint="default"/>
                <w:sz w:val="21"/>
                <w:szCs w:val="21"/>
                <w:lang w:bidi="ar"/>
              </w:rPr>
              <w:br w:type="textWrapping"/>
            </w:r>
            <w:r>
              <w:rPr>
                <w:rStyle w:val="15"/>
                <w:rFonts w:hint="default"/>
                <w:sz w:val="21"/>
                <w:szCs w:val="21"/>
                <w:lang w:bidi="ar"/>
              </w:rPr>
              <w:t xml:space="preserve">USB 接口：Type C </w:t>
            </w:r>
            <w:r>
              <w:rPr>
                <w:rStyle w:val="15"/>
                <w:rFonts w:hint="default"/>
                <w:sz w:val="21"/>
                <w:szCs w:val="21"/>
                <w:lang w:bidi="ar"/>
              </w:rPr>
              <w:br w:type="textWrapping"/>
            </w:r>
            <w:r>
              <w:rPr>
                <w:rStyle w:val="15"/>
                <w:rFonts w:hint="default"/>
                <w:sz w:val="21"/>
                <w:szCs w:val="21"/>
                <w:lang w:bidi="ar"/>
              </w:rPr>
              <w:t>工作温度：0℃ ~ 40 ℃</w:t>
            </w:r>
            <w:r>
              <w:rPr>
                <w:rStyle w:val="15"/>
                <w:rFonts w:hint="default"/>
                <w:sz w:val="21"/>
                <w:szCs w:val="21"/>
                <w:lang w:bidi="ar"/>
              </w:rPr>
              <w:br w:type="textWrapping"/>
            </w:r>
            <w:r>
              <w:rPr>
                <w:rStyle w:val="15"/>
                <w:rFonts w:hint="default"/>
                <w:sz w:val="21"/>
                <w:szCs w:val="21"/>
                <w:lang w:bidi="ar"/>
              </w:rPr>
              <w:t>存储温度：-30 ℃ ~ 60 ℃</w:t>
            </w:r>
            <w:r>
              <w:rPr>
                <w:rStyle w:val="15"/>
                <w:rFonts w:hint="default"/>
                <w:sz w:val="21"/>
                <w:szCs w:val="21"/>
                <w:lang w:bidi="ar"/>
              </w:rPr>
              <w:br w:type="textWrapping"/>
            </w:r>
            <w:r>
              <w:rPr>
                <w:rStyle w:val="15"/>
                <w:rFonts w:hint="default"/>
                <w:sz w:val="21"/>
                <w:szCs w:val="21"/>
                <w:lang w:bidi="ar"/>
              </w:rPr>
              <w:t>工作湿度：10% ~ 90% RH，无结露</w:t>
            </w:r>
            <w:r>
              <w:rPr>
                <w:rStyle w:val="15"/>
                <w:rFonts w:hint="default"/>
                <w:sz w:val="21"/>
                <w:szCs w:val="21"/>
                <w:lang w:bidi="ar"/>
              </w:rPr>
              <w:br w:type="textWrapping"/>
            </w:r>
            <w:r>
              <w:rPr>
                <w:rStyle w:val="15"/>
                <w:rFonts w:hint="default"/>
                <w:sz w:val="21"/>
                <w:szCs w:val="21"/>
                <w:lang w:bidi="ar"/>
              </w:rPr>
              <w:t xml:space="preserve">功耗：350 mW（典型值） </w:t>
            </w:r>
            <w:r>
              <w:rPr>
                <w:rStyle w:val="15"/>
                <w:rFonts w:hint="default"/>
                <w:sz w:val="21"/>
                <w:szCs w:val="21"/>
                <w:lang w:bidi="ar"/>
              </w:rPr>
              <w:br w:type="textWrapping"/>
            </w:r>
            <w:r>
              <w:rPr>
                <w:rStyle w:val="15"/>
                <w:rFonts w:hint="default"/>
                <w:sz w:val="21"/>
                <w:szCs w:val="21"/>
                <w:lang w:bidi="ar"/>
              </w:rPr>
              <w:t>跌落测试：1 m</w:t>
            </w:r>
            <w:r>
              <w:rPr>
                <w:rStyle w:val="15"/>
                <w:rFonts w:hint="default"/>
                <w:sz w:val="21"/>
                <w:szCs w:val="21"/>
                <w:lang w:bidi="ar"/>
              </w:rPr>
              <w:br w:type="textWrapping"/>
            </w:r>
            <w:r>
              <w:rPr>
                <w:rStyle w:val="15"/>
                <w:rFonts w:hint="default"/>
                <w:sz w:val="21"/>
                <w:szCs w:val="21"/>
                <w:lang w:bidi="ar"/>
              </w:rPr>
              <w:t xml:space="preserve">防护等级：IEC 60529: IP54（带 Type C 保护套） </w:t>
            </w:r>
            <w:r>
              <w:rPr>
                <w:rStyle w:val="15"/>
                <w:rFonts w:hint="default"/>
                <w:sz w:val="21"/>
                <w:szCs w:val="21"/>
                <w:lang w:bidi="ar"/>
              </w:rPr>
              <w:br w:type="textWrapping"/>
            </w:r>
            <w:r>
              <w:rPr>
                <w:rStyle w:val="15"/>
                <w:rFonts w:hint="default"/>
                <w:sz w:val="21"/>
                <w:szCs w:val="21"/>
                <w:lang w:bidi="ar"/>
              </w:rPr>
              <w:t>工作海拔：2000 m</w:t>
            </w:r>
            <w:r>
              <w:rPr>
                <w:rStyle w:val="15"/>
                <w:rFonts w:hint="default"/>
                <w:sz w:val="21"/>
                <w:szCs w:val="21"/>
                <w:lang w:bidi="ar"/>
              </w:rPr>
              <w:br w:type="textWrapping"/>
            </w:r>
            <w:r>
              <w:rPr>
                <w:rStyle w:val="15"/>
                <w:rFonts w:hint="default"/>
                <w:sz w:val="21"/>
                <w:szCs w:val="21"/>
                <w:lang w:bidi="ar"/>
              </w:rPr>
              <w:t>存贮海拔：12000 m</w:t>
            </w:r>
            <w:r>
              <w:rPr>
                <w:rStyle w:val="15"/>
                <w:rFonts w:hint="default"/>
                <w:sz w:val="21"/>
                <w:szCs w:val="21"/>
                <w:lang w:bidi="ar"/>
              </w:rPr>
              <w:br w:type="textWrapping"/>
            </w:r>
            <w:r>
              <w:rPr>
                <w:rStyle w:val="15"/>
                <w:rFonts w:hint="default"/>
                <w:sz w:val="21"/>
                <w:szCs w:val="21"/>
                <w:lang w:bidi="ar"/>
              </w:rPr>
              <w:t>尺寸（长 x 宽 x 高）：约60 x 33.5 x 11.2 mm</w:t>
            </w:r>
            <w:r>
              <w:rPr>
                <w:rStyle w:val="15"/>
                <w:rFonts w:hint="default"/>
                <w:sz w:val="21"/>
                <w:szCs w:val="21"/>
                <w:lang w:bidi="ar"/>
              </w:rPr>
              <w:br w:type="textWrapping"/>
            </w:r>
            <w:r>
              <w:rPr>
                <w:rStyle w:val="15"/>
                <w:rFonts w:hint="default"/>
                <w:sz w:val="21"/>
                <w:szCs w:val="21"/>
                <w:lang w:bidi="ar"/>
              </w:rPr>
              <w:t>重量：约22 g</w:t>
            </w:r>
            <w:r>
              <w:rPr>
                <w:rStyle w:val="15"/>
                <w:rFonts w:hint="default"/>
                <w:sz w:val="21"/>
                <w:szCs w:val="21"/>
                <w:lang w:bidi="ar"/>
              </w:rPr>
              <w:br w:type="textWrapping"/>
            </w:r>
          </w:p>
        </w:tc>
        <w:tc>
          <w:tcPr>
            <w:tcW w:w="3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749F3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福禄克、海康、优利德</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6DFA0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D01E3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r>
      <w:tr w14:paraId="6BFE23B2">
        <w:tblPrEx>
          <w:tblCellMar>
            <w:top w:w="0" w:type="dxa"/>
            <w:left w:w="108" w:type="dxa"/>
            <w:bottom w:w="0" w:type="dxa"/>
            <w:right w:w="108" w:type="dxa"/>
          </w:tblCellMar>
        </w:tblPrEx>
        <w:trPr>
          <w:trHeight w:val="7100" w:hRule="atLeast"/>
        </w:trPr>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992AA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33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4B74A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噪声检测仪</w:t>
            </w:r>
          </w:p>
        </w:tc>
        <w:tc>
          <w:tcPr>
            <w:tcW w:w="60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D810B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1、单一测量范围：16-141 dB(A)，从本底噪声到最大声级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2、频率范围：6 Hz-20 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3、16 GB内部存储器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4、实现网络存储的自动测量传输，用于备份和分析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5、坚固的室内和室外测量设计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6、用于远程控制测量和数据传输的无线连接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7、使用声级计或 iPhone 简化用户界面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8、使用照片、音频、文字或视频进行测量注释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9、用于数据存储、查看和报告的PC软件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10、用于提供时间和位置的GPS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11、校准器自动检测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12、防风罩自动检测和补偿</w:t>
            </w:r>
          </w:p>
        </w:tc>
        <w:tc>
          <w:tcPr>
            <w:tcW w:w="3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565C7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B&amp;K、3M QUEST、深国安</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43EBB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58C92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r>
      <w:tr w14:paraId="7DEB491A">
        <w:tblPrEx>
          <w:tblCellMar>
            <w:top w:w="0" w:type="dxa"/>
            <w:left w:w="108" w:type="dxa"/>
            <w:bottom w:w="0" w:type="dxa"/>
            <w:right w:w="108" w:type="dxa"/>
          </w:tblCellMar>
        </w:tblPrEx>
        <w:trPr>
          <w:trHeight w:val="4159" w:hRule="atLeast"/>
        </w:trPr>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7C4EF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33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BD522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标准光源箱</w:t>
            </w:r>
          </w:p>
        </w:tc>
        <w:tc>
          <w:tcPr>
            <w:tcW w:w="60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C99FC3">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显示每种光源的使用时间和总时间，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E光源自动切换，具备同色异谱功能，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无需预热，不会闪动，可保证快速而可靠的评价颜色，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E能耗小，不发热(无需散热)，发光效率高</w:t>
            </w:r>
          </w:p>
        </w:tc>
        <w:tc>
          <w:tcPr>
            <w:tcW w:w="3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FB154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3nh、天友利、三恩驰</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26E74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7858F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r>
      <w:tr w14:paraId="133BA34E">
        <w:tblPrEx>
          <w:tblCellMar>
            <w:top w:w="0" w:type="dxa"/>
            <w:left w:w="108" w:type="dxa"/>
            <w:bottom w:w="0" w:type="dxa"/>
            <w:right w:w="108" w:type="dxa"/>
          </w:tblCellMar>
        </w:tblPrEx>
        <w:trPr>
          <w:trHeight w:val="4159" w:hRule="atLeast"/>
        </w:trPr>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BD3A1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w:t>
            </w:r>
          </w:p>
        </w:tc>
        <w:tc>
          <w:tcPr>
            <w:tcW w:w="33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F4AB1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色卡全套</w:t>
            </w:r>
          </w:p>
        </w:tc>
        <w:tc>
          <w:tcPr>
            <w:tcW w:w="60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55CCF4">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w:t>
            </w:r>
            <w:r>
              <w:rPr>
                <w:rFonts w:hint="eastAsia" w:ascii="宋体" w:hAnsi="宋体" w:eastAsia="宋体" w:cs="宋体"/>
                <w:i w:val="0"/>
                <w:iCs w:val="0"/>
                <w:color w:val="auto"/>
                <w:kern w:val="0"/>
                <w:sz w:val="21"/>
                <w:szCs w:val="21"/>
                <w:u w:val="none"/>
                <w:lang w:val="en-US" w:eastAsia="zh-CN" w:bidi="ar"/>
              </w:rPr>
              <w:t>集合彩通8482种色彩系列，</w:t>
            </w:r>
            <w:r>
              <w:rPr>
                <w:rFonts w:hint="eastAsia" w:ascii="宋体" w:hAnsi="宋体" w:eastAsia="宋体" w:cs="宋体"/>
                <w:color w:val="auto"/>
                <w:kern w:val="0"/>
                <w:szCs w:val="21"/>
                <w:lang w:bidi="ar"/>
              </w:rPr>
              <w:t>色彩印制于通用的纸材上</w:t>
            </w:r>
          </w:p>
          <w:p w14:paraId="0DA46956">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2、指南附有照明指标页以显示照明情况是否适合进行色彩评估</w:t>
            </w:r>
          </w:p>
          <w:p w14:paraId="7769C0A9">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3、色票本包含现行所有彩通专色，采用带孔的可撕取纸版色票的形式</w:t>
            </w:r>
          </w:p>
          <w:p w14:paraId="2F110AFB">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4、色票本每一页面提供七种彩通色彩，每种色彩提供六张色票</w:t>
            </w:r>
          </w:p>
          <w:p w14:paraId="3BDF1520">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5、可撕取色票有三边的印色范围延伸至页边，是理想的色彩评估工具</w:t>
            </w:r>
          </w:p>
          <w:p w14:paraId="0638F5EC">
            <w:pPr>
              <w:widowControl/>
              <w:jc w:val="left"/>
              <w:textAlignment w:val="center"/>
              <w:rPr>
                <w:rFonts w:hint="eastAsia" w:ascii="宋体" w:hAnsi="宋体" w:eastAsia="宋体" w:cs="宋体"/>
                <w:color w:val="000000"/>
                <w:szCs w:val="21"/>
              </w:rPr>
            </w:pPr>
            <w:r>
              <w:rPr>
                <w:rFonts w:hint="eastAsia" w:ascii="宋体" w:hAnsi="宋体" w:eastAsia="宋体" w:cs="宋体"/>
                <w:color w:val="auto"/>
                <w:kern w:val="0"/>
                <w:szCs w:val="21"/>
                <w:lang w:bidi="ar"/>
              </w:rPr>
              <w:t>6、包含两页色票存放夹，便于组织与存放零散的色票</w:t>
            </w:r>
          </w:p>
        </w:tc>
        <w:tc>
          <w:tcPr>
            <w:tcW w:w="3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ABA19A">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Pantone色卡系统、codebook、多乐士</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45169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441E4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r>
      <w:tr w14:paraId="5B5E8EAC">
        <w:tblPrEx>
          <w:tblCellMar>
            <w:top w:w="0" w:type="dxa"/>
            <w:left w:w="108" w:type="dxa"/>
            <w:bottom w:w="0" w:type="dxa"/>
            <w:right w:w="108" w:type="dxa"/>
          </w:tblCellMar>
        </w:tblPrEx>
        <w:trPr>
          <w:trHeight w:val="4159" w:hRule="atLeast"/>
        </w:trPr>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83F10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w:t>
            </w:r>
          </w:p>
        </w:tc>
        <w:tc>
          <w:tcPr>
            <w:tcW w:w="33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8D186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色彩参考工具</w:t>
            </w:r>
          </w:p>
        </w:tc>
        <w:tc>
          <w:tcPr>
            <w:tcW w:w="60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EA8C4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色彩参考工具，颜色3500个</w:t>
            </w:r>
          </w:p>
        </w:tc>
        <w:tc>
          <w:tcPr>
            <w:tcW w:w="3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9B18E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Pantone色卡系统、codebook、多乐士</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02B10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7BAFC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r>
      <w:tr w14:paraId="384D6FCC">
        <w:tblPrEx>
          <w:tblCellMar>
            <w:top w:w="0" w:type="dxa"/>
            <w:left w:w="108" w:type="dxa"/>
            <w:bottom w:w="0" w:type="dxa"/>
            <w:right w:w="108" w:type="dxa"/>
          </w:tblCellMar>
        </w:tblPrEx>
        <w:trPr>
          <w:trHeight w:val="3560" w:hRule="atLeast"/>
        </w:trPr>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EA211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w:t>
            </w:r>
          </w:p>
        </w:tc>
        <w:tc>
          <w:tcPr>
            <w:tcW w:w="33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F9974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多材质色彩样本库</w:t>
            </w:r>
          </w:p>
        </w:tc>
        <w:tc>
          <w:tcPr>
            <w:tcW w:w="60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0E0B4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按需订购（皮革类、布料类、纤维编织类、金属类、藤编类、竹编类、玻璃类、塑料类、木质类、涂料类、地砖类、3D打印类、纸张装饰类、生物材料、复合材料、新型材料等样品。按需采购。满足建筑装饰、产品设计等的各类新旧材料样品，材料在纹理、色彩、图案、表皮、形态等方面具有不同的效果呈现。）</w:t>
            </w:r>
          </w:p>
        </w:tc>
        <w:tc>
          <w:tcPr>
            <w:tcW w:w="3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6E28F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定制</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E7936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D65C1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r>
      <w:tr w14:paraId="09C9860B">
        <w:tblPrEx>
          <w:tblCellMar>
            <w:top w:w="0" w:type="dxa"/>
            <w:left w:w="108" w:type="dxa"/>
            <w:bottom w:w="0" w:type="dxa"/>
            <w:right w:w="108" w:type="dxa"/>
          </w:tblCellMar>
        </w:tblPrEx>
        <w:trPr>
          <w:trHeight w:val="4159" w:hRule="atLeast"/>
        </w:trPr>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C1FFE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w:t>
            </w:r>
          </w:p>
        </w:tc>
        <w:tc>
          <w:tcPr>
            <w:tcW w:w="33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3DD8C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色彩校准仪</w:t>
            </w:r>
          </w:p>
        </w:tc>
        <w:tc>
          <w:tcPr>
            <w:tcW w:w="60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F5F25A">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快速简易的校准模式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支持校准多个显示器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可根据环境光切换配置文件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显示器校色后的校色效果对比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提供显示品质检测和分析工具功能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校准选项(光度值、白点、亮度不同组合)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所有的校准参数控制面板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以视频工作为校准目标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在屏幕上预览打印效果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校准数字投影仪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为所有要匹配的显示器定义-个统一标准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不同显示器并排，通过微调达到视觉一致</w:t>
            </w:r>
          </w:p>
        </w:tc>
        <w:tc>
          <w:tcPr>
            <w:tcW w:w="3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301E3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DataColor Elite、3nh、林上</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4D79B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B8C72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r>
      <w:tr w14:paraId="2C0F8781">
        <w:tblPrEx>
          <w:tblCellMar>
            <w:top w:w="0" w:type="dxa"/>
            <w:left w:w="108" w:type="dxa"/>
            <w:bottom w:w="0" w:type="dxa"/>
            <w:right w:w="108" w:type="dxa"/>
          </w:tblCellMar>
        </w:tblPrEx>
        <w:trPr>
          <w:trHeight w:val="4159" w:hRule="atLeast"/>
        </w:trPr>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E9E25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w:t>
            </w:r>
          </w:p>
        </w:tc>
        <w:tc>
          <w:tcPr>
            <w:tcW w:w="33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FA21F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便携式色彩读取器</w:t>
            </w:r>
          </w:p>
        </w:tc>
        <w:tc>
          <w:tcPr>
            <w:tcW w:w="60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1EAD27">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1、在 NCS 色彩空间中导航，识别颜色并找到协调的颜色</w:t>
            </w:r>
          </w:p>
          <w:p w14:paraId="4FE59905">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2、探索色彩系列，创建和分享您的色彩情绪板和项目</w:t>
            </w:r>
          </w:p>
          <w:p w14:paraId="362C2537">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3、准确匹配NCS，匹配率97%</w:t>
            </w:r>
          </w:p>
          <w:p w14:paraId="569C84FF">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4、基于云的匹配库，实时解锁额外的匹配数据库</w:t>
            </w:r>
          </w:p>
          <w:p w14:paraId="4DA7188E">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5、屏幕的NCS交叉引用，符合国际标准的L*a*b*、RGB和CMYK</w:t>
            </w:r>
          </w:p>
          <w:p w14:paraId="1E65EB56">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6、在 Lab d50 2°、Lab d65 10°、SRGB 和 CMYK 中数字使用的测量数据输出</w:t>
            </w:r>
          </w:p>
          <w:p w14:paraId="1A8699B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7、通过蓝牙与免费的 NCS+应用配对</w:t>
            </w:r>
          </w:p>
        </w:tc>
        <w:tc>
          <w:tcPr>
            <w:tcW w:w="3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A471B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DataColor Elite、3nh、林上</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22F32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0F7FA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r>
      <w:tr w14:paraId="7EE2C71F">
        <w:tblPrEx>
          <w:tblCellMar>
            <w:top w:w="0" w:type="dxa"/>
            <w:left w:w="108" w:type="dxa"/>
            <w:bottom w:w="0" w:type="dxa"/>
            <w:right w:w="108" w:type="dxa"/>
          </w:tblCellMar>
        </w:tblPrEx>
        <w:trPr>
          <w:trHeight w:val="4159" w:hRule="atLeast"/>
        </w:trPr>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9FA5B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w:t>
            </w:r>
          </w:p>
        </w:tc>
        <w:tc>
          <w:tcPr>
            <w:tcW w:w="33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DC947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光谱色彩分析仪</w:t>
            </w:r>
          </w:p>
        </w:tc>
        <w:tc>
          <w:tcPr>
            <w:tcW w:w="60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49622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波长范围:380nm~780nm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分光模式:长焦交叉非对称CT分光系统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传感器:高精度CCD。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光谱带宽(FWHMD:2nmP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光谐分辨率:0.2nm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波长准确度:士0.5nm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波长数据输出间隔：lnm</w:t>
            </w:r>
          </w:p>
        </w:tc>
        <w:tc>
          <w:tcPr>
            <w:tcW w:w="3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4D4A0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NCS、DataColor Elite、3nh</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0A02E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E805A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r>
      <w:tr w14:paraId="5D1A4634">
        <w:tblPrEx>
          <w:tblCellMar>
            <w:top w:w="0" w:type="dxa"/>
            <w:left w:w="108" w:type="dxa"/>
            <w:bottom w:w="0" w:type="dxa"/>
            <w:right w:w="108" w:type="dxa"/>
          </w:tblCellMar>
        </w:tblPrEx>
        <w:trPr>
          <w:trHeight w:val="2940" w:hRule="atLeast"/>
        </w:trPr>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B3E59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w:t>
            </w:r>
          </w:p>
        </w:tc>
        <w:tc>
          <w:tcPr>
            <w:tcW w:w="33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5E9D1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眼动追踪VR一体机</w:t>
            </w:r>
          </w:p>
        </w:tc>
        <w:tc>
          <w:tcPr>
            <w:tcW w:w="60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58621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屏幕：LCD面板 ×2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分辨率：单眼 2448×2448，双眼 4896×2448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刷新率：90Hz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视场角（FOV）：最高可达120度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音频：双麦克风，具备噪声和回声消除功能；双驱动定向扬声器 ×2；隐私模式可减少音泄露；支持3.5mm音频接口输出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输入：头戴设备按钮、音量 +/- 按键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处理器：高通骁龙XR2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数据存储器和内存：12GB LPDDR5 RAM，128GB ROM，支持MicroSD扩展（最高2TB）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连接：USB 3.2 Gen-1 Type-C ×1，支持DisplayPort的USB 3.2 Gen Type-C ×1，蓝牙5.2 + BLE，Wi-Fi 6/6E</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传感器：追踪摄像头 ×4，眼球追踪摄像头 ×2，高分辨率全彩透视摄像头 ×2，G-sensor校正，距离传感器，深度传感器，红外照明灯，陀螺仪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眼球追踪：120Hz数据输出频率（双眼），视角范围20°，精度为0.5°–1.1°，5点位校准，自动瞳距（IPD）调节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人体工学设计：重力平衡设计，PU材质面料磁性吸附，150mm宽的面部接口，适配宽框眼镜，支持IPD范围57–72mm，快速释放头带设计，配调节拨盘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电池：可拆卸、可更换，续航最长2小时，支持30W快充，30分钟充至50%，支持热插拔，内置备用电池，待机20分钟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操控手柄 – 传感器：板机和抓握键带霍尔传感器，板机、摇杆、拇指托带电容传感器，G-sensor校正，陀螺仪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操控手柄 – 输入：人体工学抓握键，模拟板机按钮，AB/XY按钮，系统/菜单按钮，摇杆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操控手柄 – 电池：续航最长15小时，集成充电电池（USB-C充电）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追踪区域：站姿/坐姿，VIVE inside-out追踪区域最大10m×10m；VIVE Business解决方案支持最多1000㎡区域追踪</w:t>
            </w:r>
          </w:p>
        </w:tc>
        <w:tc>
          <w:tcPr>
            <w:tcW w:w="3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9ECE3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HTC VIVE FOCUS VISION、PICO 4E、OCULUS</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5FFA7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81EA5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r>
      <w:tr w14:paraId="707617F5">
        <w:tblPrEx>
          <w:tblCellMar>
            <w:top w:w="0" w:type="dxa"/>
            <w:left w:w="108" w:type="dxa"/>
            <w:bottom w:w="0" w:type="dxa"/>
            <w:right w:w="108" w:type="dxa"/>
          </w:tblCellMar>
        </w:tblPrEx>
        <w:trPr>
          <w:trHeight w:val="3019" w:hRule="atLeast"/>
        </w:trPr>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6F29C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w:t>
            </w:r>
          </w:p>
        </w:tc>
        <w:tc>
          <w:tcPr>
            <w:tcW w:w="33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6E000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皮肤电反应测量仪</w:t>
            </w:r>
          </w:p>
        </w:tc>
        <w:tc>
          <w:tcPr>
            <w:tcW w:w="60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D6B47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1.数据同步技术：Psyhub TPSN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2.内置处理器：24Mhz16 位 CPU</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3.皮电阻测量范围档位：3 档可调（覆盖 750KOhm-4.0MOhm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范围）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4.加速度测量范围档位：4 档（±2g/±4g/±8g/±16g 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5.采样率：256Hz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6.电极数量：3 导（含皮电输入 2 电极；红外光脉搏 1 电极）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7.输入保护：静电放电和射频/电磁干扰滤波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8.无线协议：蓝牙 2.4GHz/IEEE802.15.4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9.电池规格：450mAh 可重复充电锂电池供电，工作电压 3.7V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10.功耗：60μA</w:t>
            </w:r>
          </w:p>
        </w:tc>
        <w:tc>
          <w:tcPr>
            <w:tcW w:w="3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0152B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Eyeso、Shimmer、美立康</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D5E56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BFE50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r>
      <w:tr w14:paraId="53D5C5BB">
        <w:tblPrEx>
          <w:tblCellMar>
            <w:top w:w="0" w:type="dxa"/>
            <w:left w:w="108" w:type="dxa"/>
            <w:bottom w:w="0" w:type="dxa"/>
            <w:right w:w="108" w:type="dxa"/>
          </w:tblCellMar>
        </w:tblPrEx>
        <w:trPr>
          <w:trHeight w:val="2299" w:hRule="atLeast"/>
        </w:trPr>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11897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w:t>
            </w:r>
          </w:p>
        </w:tc>
        <w:tc>
          <w:tcPr>
            <w:tcW w:w="33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84FFD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智能音箱</w:t>
            </w:r>
          </w:p>
        </w:tc>
        <w:tc>
          <w:tcPr>
            <w:tcW w:w="60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225EC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扬声器：1*10W，音腔容积：630CC，支持智能语音控制 </w:t>
            </w:r>
          </w:p>
        </w:tc>
        <w:tc>
          <w:tcPr>
            <w:tcW w:w="3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5A37A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天猫精灵、小度、小米</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51127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E9DE6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r>
      <w:tr w14:paraId="0234969B">
        <w:tblPrEx>
          <w:tblCellMar>
            <w:top w:w="0" w:type="dxa"/>
            <w:left w:w="108" w:type="dxa"/>
            <w:bottom w:w="0" w:type="dxa"/>
            <w:right w:w="108" w:type="dxa"/>
          </w:tblCellMar>
        </w:tblPrEx>
        <w:trPr>
          <w:trHeight w:val="4460" w:hRule="atLeast"/>
        </w:trPr>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60632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33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87A1E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动作捕捉系统</w:t>
            </w:r>
          </w:p>
        </w:tc>
        <w:tc>
          <w:tcPr>
            <w:tcW w:w="60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E97E5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1、输出数据：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3轴角度3轴加速度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3轴角速度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3轴磁场强度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2、角度精度：俯仰角 0.75航向角 1.5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3、延时：30 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4、电池时长：最高6h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5、工作温度：0℃-50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6、防护等级：IP68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7、通讯协议：Awinda 协议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8、输出频率：1-5 只传感器 120 Hz11-20 只传感器 60 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9、传输距离：室外最高 50m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室内最高20m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10、量程：士2000/s|+16g</w:t>
            </w:r>
          </w:p>
        </w:tc>
        <w:tc>
          <w:tcPr>
            <w:tcW w:w="3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A9BE8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Xsens MTw Awinda、ROKOKO、诺亦腾</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BBB69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C7111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r>
      <w:tr w14:paraId="0DEE9E31">
        <w:tblPrEx>
          <w:tblCellMar>
            <w:top w:w="0" w:type="dxa"/>
            <w:left w:w="108" w:type="dxa"/>
            <w:bottom w:w="0" w:type="dxa"/>
            <w:right w:w="108" w:type="dxa"/>
          </w:tblCellMar>
        </w:tblPrEx>
        <w:trPr>
          <w:trHeight w:val="3162" w:hRule="atLeast"/>
        </w:trPr>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8BA7E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21</w:t>
            </w:r>
          </w:p>
        </w:tc>
        <w:tc>
          <w:tcPr>
            <w:tcW w:w="33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DBC9CA">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头戴式眼动仪+户外实验电源包</w:t>
            </w:r>
          </w:p>
        </w:tc>
        <w:tc>
          <w:tcPr>
            <w:tcW w:w="60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A96B63">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1.眼动追踪功能：单/双眼追踪、2D眼球追踪、3D眼球追踪</w:t>
            </w:r>
          </w:p>
          <w:p w14:paraId="6489654B">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2.眼动采样率≥380FPS</w:t>
            </w:r>
          </w:p>
          <w:p w14:paraId="05FFCE28">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3.眼动准确度（精确度）≤0.5度（0.12度）</w:t>
            </w:r>
          </w:p>
          <w:p w14:paraId="41949B30">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4.校准模式类型≥6种（含5点屏幕或投影标记校准、自然特征校准、中心/缩放/枕型/梯形二次校准）</w:t>
            </w:r>
          </w:p>
          <w:p w14:paraId="7D12654A">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rPr>
              <w:t>▲</w:t>
            </w:r>
            <w:r>
              <w:rPr>
                <w:rFonts w:hint="eastAsia" w:ascii="宋体" w:hAnsi="宋体" w:eastAsia="宋体" w:cs="宋体"/>
                <w:color w:val="000000"/>
                <w:kern w:val="0"/>
                <w:szCs w:val="21"/>
                <w:lang w:bidi="ar"/>
              </w:rPr>
              <w:t>5.场景镜头可调角度≥60°（在投标文件中提供实物照片证明并加盖生产厂家公章）</w:t>
            </w:r>
          </w:p>
          <w:p w14:paraId="45C4B474">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6.眼动模组可调角度≥俯仰40°，水平120°</w:t>
            </w:r>
          </w:p>
          <w:p w14:paraId="264BA7A0">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7.校准质量评估：支持准确度和精确度测试结果自动评估显示，可视化校准区域和质量</w:t>
            </w:r>
          </w:p>
          <w:p w14:paraId="3F6A64AA">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8.眼球2D识别数据≥5种（含瞳孔中心位置xy坐标、瞳孔ab轴、角度、瞳孔直径、置信度）</w:t>
            </w:r>
          </w:p>
          <w:p w14:paraId="6FA4A8CB">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9.眼球3D识别数据≥12种（含瞳孔眼球中心xyz坐标、眼球半径、瞳孔中心xyz坐标、theta值、phi值）</w:t>
            </w:r>
          </w:p>
          <w:p w14:paraId="1AEC6830">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10.瞳孔识别模式≥3种（含Alogrithm模式）</w:t>
            </w:r>
          </w:p>
          <w:p w14:paraId="7A65B766">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11.场景摄像可测范围≥50°-110°（含4枚可更换镜头）</w:t>
            </w:r>
          </w:p>
          <w:p w14:paraId="2B39CC93">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12.系统主要功能：实验回放、热点图分析、轨迹分析、注视分析、兴趣区绘制分析、兴趣区图表、指标计算</w:t>
            </w:r>
          </w:p>
          <w:p w14:paraId="6369FB71">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13.同步多模态记录：支持Psyhub TPSN同步触发协议，支持同步触发眼动与其他包含此协议的脑电生理设备</w:t>
            </w:r>
          </w:p>
          <w:p w14:paraId="73E0084C">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rPr>
              <w:t>▲</w:t>
            </w:r>
            <w:r>
              <w:rPr>
                <w:rFonts w:hint="eastAsia" w:ascii="宋体" w:hAnsi="宋体" w:eastAsia="宋体" w:cs="宋体"/>
                <w:color w:val="000000"/>
                <w:kern w:val="0"/>
                <w:szCs w:val="21"/>
                <w:lang w:bidi="ar"/>
              </w:rPr>
              <w:t>14.眼动分析指标总数量≥130项（在投标文件中提供至少130项眼动分析指标名称和算法表格文件并加盖生产厂家公章）</w:t>
            </w:r>
          </w:p>
          <w:p w14:paraId="74AB3B2D">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15.兴趣区特征指标≥17项（含权重、游览基线时间、契合度、访问次数、回访次数、单位面积注视时间、扫视首次进入方向、扫视首次离开方向）</w:t>
            </w:r>
          </w:p>
          <w:p w14:paraId="680A1904">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16.注视点细分类型≥4种（含意识注视、无意识注视、焦点注视、扫描注视）</w:t>
            </w:r>
          </w:p>
          <w:p w14:paraId="666EAF67">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rPr>
              <w:t>▲</w:t>
            </w:r>
            <w:r>
              <w:rPr>
                <w:rFonts w:hint="eastAsia" w:ascii="宋体" w:hAnsi="宋体" w:eastAsia="宋体" w:cs="宋体"/>
                <w:color w:val="000000"/>
                <w:kern w:val="0"/>
                <w:szCs w:val="21"/>
                <w:lang w:bidi="ar"/>
              </w:rPr>
              <w:t>17.注视分布分析指标≥14项（在投标文件中提供至少14项注视分布分析指标名称和算法表格文件并加盖生产厂家公章）</w:t>
            </w:r>
          </w:p>
          <w:p w14:paraId="3F4BF369">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18.眨眼及瞳孔分析指标≥10项（含眨眼频率，眨眼平均持续时间，瞳孔平均直径）</w:t>
            </w:r>
          </w:p>
          <w:p w14:paraId="5FC5D9AF">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19.系统进阶功能：Levenshtein相似度计算，显著图（含Std、SurpStd、PNO3contrast、Variance、Scorr预定义算法组合）</w:t>
            </w:r>
          </w:p>
          <w:p w14:paraId="443D06E9">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20.记录主机备用电池容量≥7500mAh</w:t>
            </w:r>
          </w:p>
          <w:p w14:paraId="743EE78B">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21.记录主机备用电池输入接口：Type-c；Micro；IP</w:t>
            </w:r>
          </w:p>
          <w:p w14:paraId="2C45A39A">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22.记录主机备用电池输出接口：2USB</w:t>
            </w:r>
          </w:p>
          <w:p w14:paraId="06A21833">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23.记录主机备用电池最大输出功率≥40W</w:t>
            </w:r>
          </w:p>
          <w:p w14:paraId="13871A6C">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24.插座：带65W四口电源适配器</w:t>
            </w:r>
          </w:p>
          <w:p w14:paraId="410D560F">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25.记录主机备用电池数量：1</w:t>
            </w:r>
          </w:p>
          <w:p w14:paraId="27AB77C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26.无线中继站UPS不间断电源数量≥1</w:t>
            </w:r>
          </w:p>
        </w:tc>
        <w:tc>
          <w:tcPr>
            <w:tcW w:w="3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52513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Eyeso、Tobii、七鑫易维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A5BCB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BD31F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r>
      <w:tr w14:paraId="2269E944">
        <w:tblPrEx>
          <w:tblCellMar>
            <w:top w:w="0" w:type="dxa"/>
            <w:left w:w="108" w:type="dxa"/>
            <w:bottom w:w="0" w:type="dxa"/>
            <w:right w:w="108" w:type="dxa"/>
          </w:tblCellMar>
        </w:tblPrEx>
        <w:trPr>
          <w:trHeight w:val="3559" w:hRule="atLeast"/>
        </w:trPr>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D65D9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33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E7AE2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遥测式眼动仪</w:t>
            </w:r>
          </w:p>
        </w:tc>
        <w:tc>
          <w:tcPr>
            <w:tcW w:w="60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1E4A5A">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1.眼动追踪性能：采样率≥150FPS；准确度≤0.5度；精确度≤0.12度</w:t>
            </w:r>
          </w:p>
          <w:p w14:paraId="781762B7">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2.眼动追踪功能：明暗瞳双光源切换，双眼追踪</w:t>
            </w:r>
          </w:p>
          <w:p w14:paraId="343308C8">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3.眼动校准≥6种（含5/9点校准，中心/缩放/枕型/梯形二次校准）</w:t>
            </w:r>
          </w:p>
          <w:p w14:paraId="24E4B5B4">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rPr>
              <w:t>▲</w:t>
            </w:r>
            <w:r>
              <w:rPr>
                <w:rFonts w:hint="eastAsia" w:ascii="宋体" w:hAnsi="宋体" w:eastAsia="宋体" w:cs="宋体"/>
                <w:color w:val="000000"/>
                <w:kern w:val="0"/>
                <w:szCs w:val="21"/>
                <w:lang w:bidi="ar"/>
              </w:rPr>
              <w:t>4.可更换易损部位：磁吸式红外滤光片（在投标文件中提供实物照片证明并加盖生产厂家公章）</w:t>
            </w:r>
          </w:p>
          <w:p w14:paraId="751B7415">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5.瞳孔直径标定：像素标定或二维码标定法</w:t>
            </w:r>
          </w:p>
          <w:p w14:paraId="39414496">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6.面部识别点数量≥50个，所有校准点可视化可输出原始数据</w:t>
            </w:r>
          </w:p>
          <w:p w14:paraId="17F10B2E">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7.表情识别速率≥30FPS</w:t>
            </w:r>
          </w:p>
          <w:p w14:paraId="1546B1A4">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8.表情识别类型≥6种（含愉悦、惊奇、愤怒、厌恶、恐惧、悲伤）</w:t>
            </w:r>
          </w:p>
          <w:p w14:paraId="54199075">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9.实验室模式：一体式测试平台（配件包括27英寸实验显示器，实验主机，面部表情摄像头及一体式支架）</w:t>
            </w:r>
          </w:p>
          <w:p w14:paraId="73C7B4F6">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10.便携模式：便携式手提箱（配件包括18.5英寸便携显示器，显示器支架、三脚架及手提箱）</w:t>
            </w:r>
          </w:p>
          <w:p w14:paraId="4F76471D">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11.设备高度调节≥实验室模式8cm；便携模式4cm</w:t>
            </w:r>
          </w:p>
          <w:p w14:paraId="07930638">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12.系统功能：实验设计、实验回放、热点图分析、轨迹分析、注视分析、兴趣区绘制分析、兴趣区图表、指标计算</w:t>
            </w:r>
          </w:p>
          <w:p w14:paraId="2E624E4A">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13.同步多模态记录：支持Psyhub TPSN同步触发协议，同步触发眼动、鼠标、键盘、表情数据；并支持包含此协议的拓展模块</w:t>
            </w:r>
          </w:p>
          <w:p w14:paraId="0C622C5A">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14.数据库类型：SQLite数据库管理系统</w:t>
            </w:r>
          </w:p>
          <w:p w14:paraId="2D4C2667">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15.原始数据类型：采集眼动、瞳孔空间 xyz 坐标，瞳孔直径、鼠标数据、刺激材料、被试信息、面部表情数据</w:t>
            </w:r>
          </w:p>
          <w:p w14:paraId="5D6A0F9D">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rPr>
              <w:t>▲</w:t>
            </w:r>
            <w:r>
              <w:rPr>
                <w:rFonts w:hint="eastAsia" w:ascii="宋体" w:hAnsi="宋体" w:eastAsia="宋体" w:cs="宋体"/>
                <w:color w:val="000000"/>
                <w:kern w:val="0"/>
                <w:szCs w:val="21"/>
                <w:lang w:bidi="ar"/>
              </w:rPr>
              <w:t>16.眼动分析指标总数量≥130项（在投标文件中提供至少130项眼动分析指标名称和算法表格文件并加盖生产厂家公章）</w:t>
            </w:r>
          </w:p>
          <w:p w14:paraId="48E5DDD7">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rPr>
              <w:t>▲</w:t>
            </w:r>
            <w:r>
              <w:rPr>
                <w:rFonts w:hint="eastAsia" w:ascii="宋体" w:hAnsi="宋体" w:eastAsia="宋体" w:cs="宋体"/>
                <w:color w:val="000000"/>
                <w:kern w:val="0"/>
                <w:szCs w:val="21"/>
                <w:lang w:bidi="ar"/>
              </w:rPr>
              <w:t>17.表情分析指标总数量≥132项（在投标文件中提供至少132项表情分析指标名称和算法表格文件并加盖生产厂家公章）</w:t>
            </w:r>
          </w:p>
          <w:p w14:paraId="357C58D9">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18.鼠标分析指标总数量≥22项（含到鼠标留置点总个数、鼠标平均滑跃长度、AOI鼠标点击次数、鼠标移动总长度、在第一次鼠标点击前鼠标留置点个数）</w:t>
            </w:r>
          </w:p>
          <w:p w14:paraId="7E694B34">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19.刺激类型数量≥10种（含文字、图片、形状，空白、视频、音频、富文本混编、屏幕捕获刺激、网页测试、问卷测试）</w:t>
            </w:r>
          </w:p>
          <w:p w14:paraId="287709F2">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20.被试及测试统计≥14项（含刺激材料结束事件、指定区域交互判断）</w:t>
            </w:r>
          </w:p>
          <w:p w14:paraId="79C54CB9">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21.问卷统计≥4项（含提交计分、计分点击记录、提交选项和选项点击记录）</w:t>
            </w:r>
          </w:p>
          <w:p w14:paraId="211D3DCF">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22.兴趣区特征指标≥17项（含权重、游览基线时间、契合度、访问次数、回访次数、单位面积注视时间、扫视首次进入方向、扫视首次离开方向）</w:t>
            </w:r>
          </w:p>
          <w:p w14:paraId="79D8F78D">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23.注视点细分类型≥4种（含意识注视、无意识注视、焦点注视、扫描注视）</w:t>
            </w:r>
          </w:p>
          <w:p w14:paraId="139DD5C2">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rPr>
              <w:t>▲</w:t>
            </w:r>
            <w:r>
              <w:rPr>
                <w:rFonts w:hint="eastAsia" w:ascii="宋体" w:hAnsi="宋体" w:eastAsia="宋体" w:cs="宋体"/>
                <w:color w:val="000000"/>
                <w:kern w:val="0"/>
                <w:szCs w:val="21"/>
                <w:lang w:bidi="ar"/>
              </w:rPr>
              <w:t>24.注视分布分析指标≥14项（在投标文件中提供至少14项注视分布分析指标名称和算法表格文件并加盖生产厂家公章）</w:t>
            </w:r>
          </w:p>
          <w:p w14:paraId="291E3EEE">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25.眨眼及瞳孔分析指标≥10项（含眨眼频率，眨眼平均持续时间，瞳孔平均直径）</w:t>
            </w:r>
          </w:p>
          <w:p w14:paraId="086106EF">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26.系统进阶功能：Levenshtein相似度计算，显著图（含Std、SurpStd、PNO3contrast、Variance、Scorr预定义算法组合）</w:t>
            </w:r>
          </w:p>
          <w:p w14:paraId="6893728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27.二次开发API：TCP/IP通信，数据格式XML</w:t>
            </w:r>
          </w:p>
        </w:tc>
        <w:tc>
          <w:tcPr>
            <w:tcW w:w="3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49339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Eyeso、Tobii、七鑫易维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A3D3F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DEAB7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r>
      <w:tr w14:paraId="2B6B4B3B">
        <w:tblPrEx>
          <w:tblCellMar>
            <w:top w:w="0" w:type="dxa"/>
            <w:left w:w="108" w:type="dxa"/>
            <w:bottom w:w="0" w:type="dxa"/>
            <w:right w:w="108" w:type="dxa"/>
          </w:tblCellMar>
        </w:tblPrEx>
        <w:trPr>
          <w:trHeight w:val="2400" w:hRule="atLeast"/>
        </w:trPr>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BA4EB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w:t>
            </w:r>
          </w:p>
        </w:tc>
        <w:tc>
          <w:tcPr>
            <w:tcW w:w="33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1140B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运动相机</w:t>
            </w:r>
          </w:p>
        </w:tc>
        <w:tc>
          <w:tcPr>
            <w:tcW w:w="603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5CFF9BA">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尺寸：</w:t>
            </w:r>
            <w:r>
              <w:rPr>
                <w:rFonts w:hint="eastAsia" w:ascii="宋体" w:hAnsi="宋体" w:eastAsia="宋体" w:cs="宋体"/>
                <w:color w:val="000000"/>
                <w:kern w:val="0"/>
                <w:szCs w:val="21"/>
                <w:lang w:val="en-US" w:eastAsia="zh-CN" w:bidi="ar"/>
              </w:rPr>
              <w:t>约</w:t>
            </w:r>
            <w:r>
              <w:rPr>
                <w:rFonts w:hint="eastAsia" w:ascii="宋体" w:hAnsi="宋体" w:eastAsia="宋体" w:cs="宋体"/>
                <w:color w:val="000000"/>
                <w:kern w:val="0"/>
                <w:szCs w:val="21"/>
                <w:lang w:bidi="ar"/>
              </w:rPr>
              <w:t>长 70.5 毫米，宽 44.2 毫米，高 32.8 毫米；重量：</w:t>
            </w:r>
            <w:r>
              <w:rPr>
                <w:rFonts w:hint="eastAsia" w:ascii="宋体" w:hAnsi="宋体" w:eastAsia="宋体" w:cs="宋体"/>
                <w:color w:val="000000"/>
                <w:kern w:val="0"/>
                <w:szCs w:val="21"/>
                <w:lang w:val="en-US" w:eastAsia="zh-CN" w:bidi="ar"/>
              </w:rPr>
              <w:t>约</w:t>
            </w:r>
            <w:r>
              <w:rPr>
                <w:rFonts w:hint="eastAsia" w:ascii="宋体" w:hAnsi="宋体" w:eastAsia="宋体" w:cs="宋体"/>
                <w:color w:val="000000"/>
                <w:kern w:val="0"/>
                <w:szCs w:val="21"/>
                <w:lang w:bidi="ar"/>
              </w:rPr>
              <w:t xml:space="preserve">146 克；防水裸机 </w:t>
            </w:r>
            <w:r>
              <w:rPr>
                <w:rFonts w:hint="eastAsia" w:ascii="宋体" w:hAnsi="宋体" w:eastAsia="宋体" w:cs="宋体"/>
                <w:color w:val="000000"/>
                <w:kern w:val="0"/>
                <w:szCs w:val="21"/>
                <w:lang w:val="en-US" w:eastAsia="zh-CN" w:bidi="ar"/>
              </w:rPr>
              <w:t>约</w:t>
            </w:r>
            <w:r>
              <w:rPr>
                <w:rFonts w:hint="eastAsia" w:ascii="宋体" w:hAnsi="宋体" w:eastAsia="宋体" w:cs="宋体"/>
                <w:color w:val="000000"/>
                <w:kern w:val="0"/>
                <w:szCs w:val="21"/>
                <w:lang w:bidi="ar"/>
              </w:rPr>
              <w:t xml:space="preserve">20 米，加防水壳 </w:t>
            </w:r>
            <w:r>
              <w:rPr>
                <w:rFonts w:hint="eastAsia" w:ascii="宋体" w:hAnsi="宋体" w:eastAsia="宋体" w:cs="宋体"/>
                <w:color w:val="000000"/>
                <w:kern w:val="0"/>
                <w:szCs w:val="21"/>
                <w:lang w:val="en-US" w:eastAsia="zh-CN" w:bidi="ar"/>
              </w:rPr>
              <w:t>约</w:t>
            </w:r>
            <w:r>
              <w:rPr>
                <w:rFonts w:hint="eastAsia" w:ascii="宋体" w:hAnsi="宋体" w:eastAsia="宋体" w:cs="宋体"/>
                <w:color w:val="000000"/>
                <w:kern w:val="0"/>
                <w:szCs w:val="21"/>
                <w:lang w:bidi="ar"/>
              </w:rPr>
              <w:t>60 米；触控屏前屏：</w:t>
            </w:r>
            <w:r>
              <w:rPr>
                <w:rFonts w:hint="eastAsia" w:ascii="宋体" w:hAnsi="宋体" w:eastAsia="宋体" w:cs="宋体"/>
                <w:color w:val="000000"/>
                <w:kern w:val="0"/>
                <w:szCs w:val="21"/>
                <w:lang w:val="en-US" w:eastAsia="zh-CN" w:bidi="ar"/>
              </w:rPr>
              <w:t>约</w:t>
            </w:r>
            <w:r>
              <w:rPr>
                <w:rFonts w:hint="eastAsia" w:ascii="宋体" w:hAnsi="宋体" w:eastAsia="宋体" w:cs="宋体"/>
                <w:color w:val="000000"/>
                <w:kern w:val="0"/>
                <w:szCs w:val="21"/>
                <w:lang w:bidi="ar"/>
              </w:rPr>
              <w:t>1.46 英寸 331 ppi 342 × 342800 cd/㎡ 最大亮度（典型）后屏：</w:t>
            </w:r>
            <w:r>
              <w:rPr>
                <w:rFonts w:hint="eastAsia" w:ascii="宋体" w:hAnsi="宋体" w:eastAsia="宋体" w:cs="宋体"/>
                <w:color w:val="000000"/>
                <w:kern w:val="0"/>
                <w:szCs w:val="21"/>
                <w:lang w:val="en-US" w:eastAsia="zh-CN" w:bidi="ar"/>
              </w:rPr>
              <w:t>约</w:t>
            </w:r>
            <w:r>
              <w:rPr>
                <w:rFonts w:hint="eastAsia" w:ascii="宋体" w:hAnsi="宋体" w:eastAsia="宋体" w:cs="宋体"/>
                <w:color w:val="000000"/>
                <w:kern w:val="0"/>
                <w:szCs w:val="21"/>
                <w:lang w:bidi="ar"/>
              </w:rPr>
              <w:t>2.5 英寸 326 ppi 400 × 712800 cd/㎡ 最大亮度（典型），1000 cd/㎡ 峰值亮度；支持存储卡类型microSD 卡（最大支持 1TB）；</w:t>
            </w:r>
          </w:p>
        </w:tc>
        <w:tc>
          <w:tcPr>
            <w:tcW w:w="3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2A9FC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大疆/Insta360 /GoPro</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DE3E2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71BE5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r>
      <w:tr w14:paraId="4D2378A6">
        <w:tblPrEx>
          <w:tblCellMar>
            <w:top w:w="0" w:type="dxa"/>
            <w:left w:w="108" w:type="dxa"/>
            <w:bottom w:w="0" w:type="dxa"/>
            <w:right w:w="108" w:type="dxa"/>
          </w:tblCellMar>
        </w:tblPrEx>
        <w:trPr>
          <w:trHeight w:val="2400" w:hRule="atLeast"/>
        </w:trPr>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279AC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w:t>
            </w:r>
          </w:p>
        </w:tc>
        <w:tc>
          <w:tcPr>
            <w:tcW w:w="33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B4781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360°全景运动相机</w:t>
            </w:r>
          </w:p>
        </w:tc>
        <w:tc>
          <w:tcPr>
            <w:tcW w:w="603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E902CA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照片&amp;视频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传感器尺寸：</w:t>
            </w:r>
            <w:r>
              <w:rPr>
                <w:rFonts w:hint="eastAsia" w:ascii="宋体" w:hAnsi="宋体" w:eastAsia="宋体" w:cs="宋体"/>
                <w:color w:val="000000"/>
                <w:kern w:val="0"/>
                <w:szCs w:val="21"/>
                <w:lang w:val="en-US" w:eastAsia="zh-CN" w:bidi="ar"/>
              </w:rPr>
              <w:t>约</w:t>
            </w:r>
            <w:r>
              <w:rPr>
                <w:rFonts w:hint="eastAsia" w:ascii="宋体" w:hAnsi="宋体" w:eastAsia="宋体" w:cs="宋体"/>
                <w:color w:val="000000"/>
                <w:kern w:val="0"/>
                <w:szCs w:val="21"/>
                <w:lang w:bidi="ar"/>
              </w:rPr>
              <w:t>1/1.28 英寸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光圈：F2.0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35mm 等效焦距：6mm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视频分辨率（全景模式）：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8K: 7680x3840@30/25/24fps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5.7K+: 5760x2880@30/25/24fps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5.7K: 5760x2880@60/50/48/30/25/24fps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4K: 3840x1920@120/100/60/50/48/30/25/24fps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动态跟拍模式：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5.7K+ &amp; 1080p：30/25/24fps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5.7K &amp; 1080p：30/25/24fps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夜景录像：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8K: 7680x3840@30/25/24fps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5.7K: 5760x2880@30/25/24fps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4K: 3840x1920@30/25/24fps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视频分辨率（单镜头模式）：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4K: 3840x2160@60/50/30/25/24fps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2.7K: 2720x1536@60/50/30/25/24fps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1080p: 1920x1080@120/100/60/50/30/25/24fps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自由比例录像：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4K: 3840x3840@30/25/24fps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2.7K: 2720x2720@60/50/30/25/24fps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1080p: 1920x1080@60/50/30/25/24fps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跟拍模式：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4K: 3840x2160@30/25/24fps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2.7K: 2720x1536@120/100/60/50/30/25/24fps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1080p: 1920x1080@120/100/60/50/30/25/24fps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照片分辨率：约 7200 万像素（11904x5952）、约 1800 万像素（5888x2944）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视频格式：单镜头模式为 MP4，360° 全景模式为 INSV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照片格式：INSP（可通过 APP 或 Studio 导出）、DNG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视频模式：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全景模式支持录像（含运动 HDR）、夜景录像、动态跟拍、延时摄影、移动延时、子弹时间、循环录影、行车记录模式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单镜头模式支持录像、自由比例录像、跟拍模式、循环录影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照片模式：拍照（支持 HDR）、间隔拍照、星空延时、连拍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色彩预设：标准、鲜艳、灰调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I-Log：支持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视频编码格式：H.264、H.265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视频最大码率：180Mbps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曝光补偿：±4EV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ISO 范围：100-6400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快门速度：拍照 1/8000–120s，录像 1/8000–帧率限制快门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白平衡：2000K–10000K</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音频模式：智能降风噪（强弱两档）、智能人声增强、立体声、全景声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音频格式：48 kHz, 16 位，AAC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硬件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重量：约200g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尺寸：约46.0×124.5×38.18 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内存：microSD（支持 UHS-I V30 或更高）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电池容量：2400mAh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充电时间：20 分钟充至 80%，35 分钟充至 100%（使用 9V 3A PD3.0 PPS 充电器）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续航时间：8K30fps 为 88 分钟，5.7K30fps 为 135 分钟，5.7K24fps（长续航模式）为 185 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使用环境温度：-20°C 到 40°C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防水能力：裸机 15 米防水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蓝牙：BLE 5.2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Wi-Fi：802.11a/n/ac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USB：Type-C USB 3.0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陀螺仪：6 轴陀螺仪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接口：1/4" 螺纹接口、磁吸快拆接口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颜色：黑色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可兼容设备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iOS：A12 芯片及以上，iOS 13.0 或更高版本，包括 iPhone XS 至 iPhone 16 系列及部分 iPad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Android：麒麟990、骁龙855、Exynos 2200 及以上芯片，Android 10.0 或 HarmonyOS 2.0 及以上系统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p>
        </w:tc>
        <w:tc>
          <w:tcPr>
            <w:tcW w:w="3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31EF8A">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Insta360 X5/mentech/GoPro</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0C502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90BB0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r>
      <w:tr w14:paraId="37A03AA0">
        <w:tblPrEx>
          <w:tblCellMar>
            <w:top w:w="0" w:type="dxa"/>
            <w:left w:w="108" w:type="dxa"/>
            <w:bottom w:w="0" w:type="dxa"/>
            <w:right w:w="108" w:type="dxa"/>
          </w:tblCellMar>
        </w:tblPrEx>
        <w:trPr>
          <w:trHeight w:val="3740" w:hRule="atLeast"/>
        </w:trPr>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ABB93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56A8D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串口触摸屏</w:t>
            </w:r>
          </w:p>
        </w:tc>
        <w:tc>
          <w:tcPr>
            <w:tcW w:w="60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D49DA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系列&amp;尺寸：X5 10.1寸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比例：16：9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触摸模式：C:电容式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分辨率：1024×600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TFT类型：IPS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亮度：300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有效显示尺寸：222.72（L）×125.28（W）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工作电压：4.65-6.5V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工作电流：800mA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休眠电流：170mA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工作温度：-20~+70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flash容量：120M（Bytes）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运行内存：512K（Bytes）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串口指令缓存区：4K（Bytes）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RTC时钟：有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扩展I/O：无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主控频率：200M 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音视频：有</w:t>
            </w:r>
          </w:p>
        </w:tc>
        <w:tc>
          <w:tcPr>
            <w:tcW w:w="3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1ED4A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淘晶驰、金玺、大彩</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9BD76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85377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r>
      <w:tr w14:paraId="080B1FF5">
        <w:tblPrEx>
          <w:tblCellMar>
            <w:top w:w="0" w:type="dxa"/>
            <w:left w:w="108" w:type="dxa"/>
            <w:bottom w:w="0" w:type="dxa"/>
            <w:right w:w="108" w:type="dxa"/>
          </w:tblCellMar>
        </w:tblPrEx>
        <w:trPr>
          <w:trHeight w:val="2460" w:hRule="atLeast"/>
        </w:trPr>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78AB0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B420DC">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分屏控制器</w:t>
            </w:r>
          </w:p>
        </w:tc>
        <w:tc>
          <w:tcPr>
            <w:tcW w:w="60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4571F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16口HDMI分屏器</w:t>
            </w:r>
          </w:p>
        </w:tc>
        <w:tc>
          <w:tcPr>
            <w:tcW w:w="3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CF050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迈拓维矩、跃创兴、绿联</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F3BDC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FA841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r>
      <w:tr w14:paraId="3DEB34C6">
        <w:tblPrEx>
          <w:tblCellMar>
            <w:top w:w="0" w:type="dxa"/>
            <w:left w:w="108" w:type="dxa"/>
            <w:bottom w:w="0" w:type="dxa"/>
            <w:right w:w="108" w:type="dxa"/>
          </w:tblCellMar>
        </w:tblPrEx>
        <w:trPr>
          <w:trHeight w:val="2899" w:hRule="atLeast"/>
        </w:trPr>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281DB7">
            <w:pPr>
              <w:widowControl/>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CN" w:bidi="ar"/>
              </w:rPr>
              <w:t>7</w:t>
            </w:r>
          </w:p>
        </w:tc>
        <w:tc>
          <w:tcPr>
            <w:tcW w:w="33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EDF79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三维重建系统</w:t>
            </w:r>
          </w:p>
        </w:tc>
        <w:tc>
          <w:tcPr>
            <w:tcW w:w="603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3E38F42">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1、可见光二三维重建：导入航拍原图，输出高精度二维正射影像与实景三维模型。</w:t>
            </w:r>
          </w:p>
          <w:p w14:paraId="7BFBCABD">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2、激光雷达数据处理：配合DJI 禅思激光雷达，一键式输出真彩点云、分类点云等高精度成果。</w:t>
            </w:r>
          </w:p>
          <w:p w14:paraId="059DA6EE">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3、多光谱重建：支持辐射校正，输出反射率地图用于遥感科学研究；也可直接生成 NDVI、NDRE 等植被指数图。</w:t>
            </w:r>
          </w:p>
          <w:p w14:paraId="0C19AC17">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4、实时重建：在飞行过程中实时生成二维正射影像或三维模型，实现边飞边出图。</w:t>
            </w:r>
          </w:p>
          <w:p w14:paraId="4FEBA79A">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5、精细化巡检：基于模型或点云设置拍摄目标，自动生成可执行的无人机巡检航线，实现巡检作业流程自动化。</w:t>
            </w:r>
          </w:p>
          <w:p w14:paraId="744CAC9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6、模型应用：轻松测量目标对象的坐标、距离、面积、体积等多种关键数据，并可对测量结果进行命名、导出等操作。</w:t>
            </w:r>
          </w:p>
        </w:tc>
        <w:tc>
          <w:tcPr>
            <w:tcW w:w="3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FA7EF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大疆智图、商汤科技、动态时空</w:t>
            </w: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ADDC6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ADE29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r>
      <w:tr w14:paraId="7F3B83A9">
        <w:tblPrEx>
          <w:tblCellMar>
            <w:top w:w="0" w:type="dxa"/>
            <w:left w:w="108" w:type="dxa"/>
            <w:bottom w:w="0" w:type="dxa"/>
            <w:right w:w="108" w:type="dxa"/>
          </w:tblCellMar>
        </w:tblPrEx>
        <w:trPr>
          <w:trHeight w:val="2442" w:hRule="atLeast"/>
        </w:trPr>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8087E8">
            <w:pPr>
              <w:widowControl/>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CN" w:bidi="ar"/>
              </w:rPr>
              <w:t>8</w:t>
            </w:r>
          </w:p>
        </w:tc>
        <w:tc>
          <w:tcPr>
            <w:tcW w:w="33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9A4CDC">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交互设计及开发平台</w:t>
            </w:r>
          </w:p>
        </w:tc>
        <w:tc>
          <w:tcPr>
            <w:tcW w:w="603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4552BDC">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1、支持HTC Vive、OpenVR和Oculus VR系统</w:t>
            </w:r>
          </w:p>
          <w:p w14:paraId="32808BA9">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2、HTC开发环境，让项目快速启动和运行。</w:t>
            </w:r>
          </w:p>
          <w:p w14:paraId="087AAC16">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 支持HTC Vive控制器和新的Vive跟踪器，以及Oculus控制器。</w:t>
            </w:r>
          </w:p>
          <w:p w14:paraId="65288BBA">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4、具有本机高帧速率（75-90Hz）的实时开发。</w:t>
            </w:r>
          </w:p>
          <w:p w14:paraId="5F854033">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5、实时和VR电影播放工具中的多摄像机拼接解决方案。</w:t>
            </w:r>
          </w:p>
          <w:p w14:paraId="15FCD85F">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 利用Nvidia和AMD的最新渲染技术，让硬件获得最佳性能。</w:t>
            </w:r>
          </w:p>
          <w:p w14:paraId="200560F2">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7、实时GPU加速合成和渲染。</w:t>
            </w:r>
          </w:p>
          <w:p w14:paraId="0964F2BE">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8、基于物理的渲染（PBR）材质并直接加载Substance Designer材质。</w:t>
            </w:r>
          </w:p>
          <w:p w14:paraId="00C119CD">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9、环境灯光使PBR材质看起来更逼真。</w:t>
            </w:r>
          </w:p>
          <w:p w14:paraId="0B07787C">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10、使用FBX和OBJ文件格式导入和导出几何体和场景。</w:t>
            </w:r>
          </w:p>
          <w:p w14:paraId="38A5EA91">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11、 高性能高清和4K视频输入和输出。</w:t>
            </w:r>
          </w:p>
          <w:p w14:paraId="50248086">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12、创建自定义GLSL着色器、几何体着色器、计算着色器等（在Windows上为GLSL 4.5，在macOS上为3.3）。</w:t>
            </w:r>
          </w:p>
          <w:p w14:paraId="23636D8C">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13、支持3D纹理、2D纹理阵列和多层纹理。</w:t>
            </w:r>
          </w:p>
          <w:p w14:paraId="386E57AC">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14、从3D纹理到32位浮点、16位固定等多种像素格式。支持10位彩色显示器。</w:t>
            </w:r>
          </w:p>
          <w:p w14:paraId="7C2623B8">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15、通过OpenColorIO进行行业标准颜色校正。</w:t>
            </w:r>
          </w:p>
          <w:p w14:paraId="60A8040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16、支持多种投影格式，用于贴图、穹顶、VR、拼接和环境光。</w:t>
            </w:r>
          </w:p>
        </w:tc>
        <w:tc>
          <w:tcPr>
            <w:tcW w:w="3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D735C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touch designer PRO、商汤科技、动态时空</w:t>
            </w: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B8A92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A9959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r>
    </w:tbl>
    <w:p w14:paraId="04A980F4"/>
    <w:p w14:paraId="169830FB"/>
    <w:p w14:paraId="044C0105"/>
    <w:p w14:paraId="383922A4"/>
    <w:p w14:paraId="412B8F05"/>
    <w:p w14:paraId="70CBDA4F"/>
    <w:p w14:paraId="6263256E"/>
    <w:p w14:paraId="128628CE"/>
    <w:p w14:paraId="3803F3CF"/>
    <w:p w14:paraId="2C176328"/>
    <w:p w14:paraId="6CBB22CB">
      <w:r>
        <w:rPr>
          <w:rFonts w:hint="eastAsia"/>
        </w:rPr>
        <w:t>附件2：</w:t>
      </w:r>
    </w:p>
    <w:p w14:paraId="14A7B0A7">
      <w:pPr>
        <w:snapToGrid w:val="0"/>
        <w:spacing w:before="50" w:after="156" w:afterLines="50" w:line="360" w:lineRule="auto"/>
        <w:jc w:val="center"/>
        <w:rPr>
          <w:rFonts w:hint="eastAsia" w:ascii="仿宋" w:hAnsi="仿宋" w:eastAsia="仿宋"/>
          <w:b/>
          <w:sz w:val="32"/>
          <w:szCs w:val="32"/>
        </w:rPr>
      </w:pPr>
      <w:r>
        <w:rPr>
          <w:rFonts w:hint="eastAsia" w:ascii="仿宋" w:hAnsi="仿宋" w:eastAsia="仿宋"/>
          <w:b/>
          <w:sz w:val="32"/>
          <w:szCs w:val="32"/>
        </w:rPr>
        <w:t>投标人直接控股、管理关系信息表</w:t>
      </w:r>
    </w:p>
    <w:tbl>
      <w:tblPr>
        <w:tblStyle w:val="6"/>
        <w:tblW w:w="12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09"/>
        <w:gridCol w:w="1384"/>
        <w:gridCol w:w="4163"/>
        <w:gridCol w:w="4536"/>
      </w:tblGrid>
      <w:tr w14:paraId="6B5D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673" w:type="dxa"/>
            <w:gridSpan w:val="4"/>
            <w:shd w:val="clear" w:color="auto" w:fill="F2DBDB"/>
            <w:vAlign w:val="center"/>
          </w:tcPr>
          <w:p w14:paraId="7B605525">
            <w:pPr>
              <w:snapToGrid w:val="0"/>
              <w:spacing w:before="156" w:beforeLines="50" w:after="50"/>
              <w:jc w:val="center"/>
              <w:rPr>
                <w:rFonts w:hint="eastAsia" w:ascii="仿宋" w:hAnsi="仿宋" w:eastAsia="仿宋"/>
                <w:b/>
                <w:szCs w:val="21"/>
              </w:rPr>
            </w:pPr>
            <w:r>
              <w:rPr>
                <w:rFonts w:ascii="仿宋" w:hAnsi="仿宋" w:eastAsia="仿宋"/>
                <w:b/>
                <w:szCs w:val="21"/>
              </w:rPr>
              <w:t>投标人直接控股股东信息表</w:t>
            </w:r>
          </w:p>
        </w:tc>
        <w:tc>
          <w:tcPr>
            <w:tcW w:w="4536" w:type="dxa"/>
            <w:shd w:val="clear" w:color="auto" w:fill="F2DBDB"/>
            <w:vAlign w:val="center"/>
          </w:tcPr>
          <w:p w14:paraId="79DB757A">
            <w:pPr>
              <w:snapToGrid w:val="0"/>
              <w:spacing w:before="156" w:beforeLines="50" w:after="50"/>
              <w:jc w:val="center"/>
              <w:rPr>
                <w:rFonts w:hint="eastAsia" w:ascii="仿宋" w:hAnsi="仿宋" w:eastAsia="仿宋"/>
                <w:b/>
                <w:szCs w:val="21"/>
              </w:rPr>
            </w:pPr>
            <w:r>
              <w:rPr>
                <w:rFonts w:ascii="仿宋" w:hAnsi="仿宋" w:eastAsia="仿宋"/>
                <w:b/>
                <w:szCs w:val="21"/>
              </w:rPr>
              <w:t>说明</w:t>
            </w:r>
          </w:p>
        </w:tc>
      </w:tr>
      <w:tr w14:paraId="5D21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463E447E">
            <w:pPr>
              <w:spacing w:line="360" w:lineRule="exact"/>
              <w:jc w:val="center"/>
              <w:rPr>
                <w:rFonts w:hint="eastAsia" w:ascii="仿宋" w:hAnsi="仿宋" w:eastAsia="仿宋" w:cs="宋体"/>
                <w:b/>
                <w:bCs/>
                <w:kern w:val="0"/>
                <w:szCs w:val="21"/>
              </w:rPr>
            </w:pPr>
            <w:r>
              <w:rPr>
                <w:rFonts w:ascii="仿宋" w:hAnsi="仿宋" w:eastAsia="仿宋" w:cs="宋体"/>
                <w:b/>
                <w:bCs/>
                <w:kern w:val="0"/>
                <w:szCs w:val="21"/>
              </w:rPr>
              <w:t>序号</w:t>
            </w:r>
          </w:p>
        </w:tc>
        <w:tc>
          <w:tcPr>
            <w:tcW w:w="1309" w:type="dxa"/>
            <w:vAlign w:val="center"/>
          </w:tcPr>
          <w:p w14:paraId="43FFC6E5">
            <w:pPr>
              <w:spacing w:line="360" w:lineRule="exact"/>
              <w:jc w:val="center"/>
              <w:rPr>
                <w:rFonts w:hint="eastAsia" w:ascii="仿宋" w:hAnsi="仿宋" w:eastAsia="仿宋" w:cs="宋体"/>
                <w:b/>
                <w:bCs/>
                <w:kern w:val="0"/>
                <w:szCs w:val="21"/>
              </w:rPr>
            </w:pPr>
            <w:r>
              <w:rPr>
                <w:rFonts w:ascii="仿宋" w:hAnsi="仿宋" w:eastAsia="仿宋" w:cs="宋体"/>
                <w:b/>
                <w:bCs/>
                <w:kern w:val="0"/>
                <w:szCs w:val="21"/>
              </w:rPr>
              <w:t>直接控股股东名称</w:t>
            </w:r>
          </w:p>
        </w:tc>
        <w:tc>
          <w:tcPr>
            <w:tcW w:w="1384" w:type="dxa"/>
            <w:vAlign w:val="center"/>
          </w:tcPr>
          <w:p w14:paraId="74F847EF">
            <w:pPr>
              <w:spacing w:line="360" w:lineRule="exact"/>
              <w:jc w:val="center"/>
              <w:rPr>
                <w:rFonts w:hint="eastAsia" w:ascii="仿宋" w:hAnsi="仿宋" w:eastAsia="仿宋" w:cs="宋体"/>
                <w:b/>
                <w:bCs/>
                <w:kern w:val="0"/>
                <w:szCs w:val="21"/>
              </w:rPr>
            </w:pPr>
            <w:r>
              <w:rPr>
                <w:rFonts w:ascii="仿宋" w:hAnsi="仿宋" w:eastAsia="仿宋" w:cs="宋体"/>
                <w:b/>
                <w:bCs/>
                <w:kern w:val="0"/>
                <w:szCs w:val="21"/>
              </w:rPr>
              <w:t>出资比例</w:t>
            </w:r>
          </w:p>
        </w:tc>
        <w:tc>
          <w:tcPr>
            <w:tcW w:w="4163" w:type="dxa"/>
            <w:vAlign w:val="center"/>
          </w:tcPr>
          <w:p w14:paraId="235077EF">
            <w:pPr>
              <w:spacing w:line="360" w:lineRule="exact"/>
              <w:jc w:val="center"/>
              <w:rPr>
                <w:rFonts w:hint="eastAsia" w:ascii="仿宋" w:hAnsi="仿宋" w:eastAsia="仿宋" w:cs="宋体"/>
                <w:b/>
                <w:bCs/>
                <w:kern w:val="0"/>
                <w:szCs w:val="21"/>
              </w:rPr>
            </w:pPr>
            <w:r>
              <w:rPr>
                <w:rFonts w:ascii="仿宋" w:hAnsi="仿宋" w:eastAsia="仿宋" w:cs="宋体"/>
                <w:b/>
                <w:bCs/>
                <w:kern w:val="0"/>
                <w:szCs w:val="21"/>
              </w:rPr>
              <w:t>身份证号码或者统一社会信用代码</w:t>
            </w:r>
          </w:p>
        </w:tc>
        <w:tc>
          <w:tcPr>
            <w:tcW w:w="4536" w:type="dxa"/>
            <w:vMerge w:val="restart"/>
            <w:vAlign w:val="center"/>
          </w:tcPr>
          <w:p w14:paraId="30677715">
            <w:pPr>
              <w:snapToGrid w:val="0"/>
              <w:jc w:val="left"/>
              <w:rPr>
                <w:rFonts w:hint="eastAsia" w:ascii="仿宋" w:hAnsi="仿宋" w:eastAsia="仿宋"/>
                <w:szCs w:val="21"/>
              </w:rPr>
            </w:pPr>
            <w:r>
              <w:rPr>
                <w:rFonts w:ascii="仿宋" w:hAnsi="仿宋" w:eastAsia="仿宋"/>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BA4FE84">
            <w:pPr>
              <w:snapToGrid w:val="0"/>
              <w:jc w:val="left"/>
              <w:rPr>
                <w:rFonts w:hint="eastAsia" w:ascii="仿宋" w:hAnsi="仿宋" w:eastAsia="仿宋"/>
                <w:szCs w:val="21"/>
              </w:rPr>
            </w:pPr>
            <w:r>
              <w:rPr>
                <w:rFonts w:ascii="仿宋" w:hAnsi="仿宋" w:eastAsia="仿宋"/>
                <w:szCs w:val="21"/>
              </w:rPr>
              <w:t>2.本表所指的控股关系仅限于直接控股关系，不包括间接的控股关系。公司实际控制人与公司之间的关系不属于本表所指的直接控股关系。</w:t>
            </w:r>
          </w:p>
          <w:p w14:paraId="4F02FDDE">
            <w:pPr>
              <w:snapToGrid w:val="0"/>
              <w:jc w:val="left"/>
              <w:rPr>
                <w:rFonts w:hint="eastAsia" w:ascii="仿宋" w:hAnsi="仿宋" w:eastAsia="仿宋" w:cs="宋体"/>
                <w:b/>
                <w:bCs/>
                <w:kern w:val="0"/>
                <w:szCs w:val="21"/>
              </w:rPr>
            </w:pPr>
            <w:r>
              <w:rPr>
                <w:rFonts w:ascii="仿宋" w:hAnsi="仿宋" w:eastAsia="仿宋"/>
                <w:szCs w:val="21"/>
              </w:rPr>
              <w:t>3.供应商不存在直接控股股东的，则填“无”。</w:t>
            </w:r>
          </w:p>
        </w:tc>
      </w:tr>
      <w:tr w14:paraId="1863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Pr>
          <w:p w14:paraId="5FAF252D">
            <w:pPr>
              <w:snapToGrid w:val="0"/>
              <w:spacing w:before="156" w:beforeLines="50" w:after="50"/>
              <w:jc w:val="center"/>
              <w:rPr>
                <w:rFonts w:hint="eastAsia" w:ascii="仿宋" w:hAnsi="仿宋" w:eastAsia="仿宋"/>
                <w:b/>
                <w:szCs w:val="21"/>
              </w:rPr>
            </w:pPr>
            <w:r>
              <w:rPr>
                <w:rFonts w:ascii="仿宋" w:hAnsi="仿宋" w:eastAsia="仿宋"/>
                <w:b/>
                <w:szCs w:val="21"/>
              </w:rPr>
              <w:t>1</w:t>
            </w:r>
          </w:p>
        </w:tc>
        <w:tc>
          <w:tcPr>
            <w:tcW w:w="1309" w:type="dxa"/>
          </w:tcPr>
          <w:p w14:paraId="4CB76A6E">
            <w:pPr>
              <w:snapToGrid w:val="0"/>
              <w:spacing w:before="156" w:beforeLines="50" w:after="50"/>
              <w:jc w:val="left"/>
              <w:rPr>
                <w:rFonts w:hint="eastAsia" w:ascii="仿宋" w:hAnsi="仿宋" w:eastAsia="仿宋"/>
                <w:b/>
                <w:szCs w:val="21"/>
              </w:rPr>
            </w:pPr>
          </w:p>
        </w:tc>
        <w:tc>
          <w:tcPr>
            <w:tcW w:w="1384" w:type="dxa"/>
          </w:tcPr>
          <w:p w14:paraId="6677D9CC">
            <w:pPr>
              <w:snapToGrid w:val="0"/>
              <w:spacing w:before="156" w:beforeLines="50" w:after="50"/>
              <w:jc w:val="left"/>
              <w:rPr>
                <w:rFonts w:hint="eastAsia" w:ascii="仿宋" w:hAnsi="仿宋" w:eastAsia="仿宋"/>
                <w:b/>
                <w:szCs w:val="21"/>
              </w:rPr>
            </w:pPr>
          </w:p>
        </w:tc>
        <w:tc>
          <w:tcPr>
            <w:tcW w:w="4163" w:type="dxa"/>
          </w:tcPr>
          <w:p w14:paraId="7471893F">
            <w:pPr>
              <w:snapToGrid w:val="0"/>
              <w:spacing w:before="156" w:beforeLines="50" w:after="50"/>
              <w:jc w:val="left"/>
              <w:rPr>
                <w:rFonts w:hint="eastAsia" w:ascii="仿宋" w:hAnsi="仿宋" w:eastAsia="仿宋"/>
                <w:b/>
                <w:szCs w:val="21"/>
              </w:rPr>
            </w:pPr>
          </w:p>
        </w:tc>
        <w:tc>
          <w:tcPr>
            <w:tcW w:w="4536" w:type="dxa"/>
            <w:vMerge w:val="continue"/>
          </w:tcPr>
          <w:p w14:paraId="6E223151">
            <w:pPr>
              <w:snapToGrid w:val="0"/>
              <w:jc w:val="left"/>
              <w:rPr>
                <w:rFonts w:hint="eastAsia" w:ascii="仿宋" w:hAnsi="仿宋" w:eastAsia="仿宋"/>
                <w:szCs w:val="21"/>
              </w:rPr>
            </w:pPr>
          </w:p>
        </w:tc>
      </w:tr>
      <w:tr w14:paraId="0E15D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Pr>
          <w:p w14:paraId="2045C714">
            <w:pPr>
              <w:snapToGrid w:val="0"/>
              <w:spacing w:before="156" w:beforeLines="50" w:after="50"/>
              <w:jc w:val="center"/>
              <w:rPr>
                <w:rFonts w:hint="eastAsia" w:ascii="仿宋" w:hAnsi="仿宋" w:eastAsia="仿宋"/>
                <w:b/>
                <w:szCs w:val="21"/>
              </w:rPr>
            </w:pPr>
            <w:r>
              <w:rPr>
                <w:rFonts w:ascii="仿宋" w:hAnsi="仿宋" w:eastAsia="仿宋"/>
                <w:b/>
                <w:szCs w:val="21"/>
              </w:rPr>
              <w:t>2</w:t>
            </w:r>
          </w:p>
        </w:tc>
        <w:tc>
          <w:tcPr>
            <w:tcW w:w="1309" w:type="dxa"/>
          </w:tcPr>
          <w:p w14:paraId="459F22F6">
            <w:pPr>
              <w:snapToGrid w:val="0"/>
              <w:spacing w:before="156" w:beforeLines="50" w:after="50"/>
              <w:jc w:val="left"/>
              <w:rPr>
                <w:rFonts w:hint="eastAsia" w:ascii="仿宋" w:hAnsi="仿宋" w:eastAsia="仿宋"/>
                <w:b/>
                <w:szCs w:val="21"/>
              </w:rPr>
            </w:pPr>
          </w:p>
        </w:tc>
        <w:tc>
          <w:tcPr>
            <w:tcW w:w="1384" w:type="dxa"/>
          </w:tcPr>
          <w:p w14:paraId="41683AF1">
            <w:pPr>
              <w:snapToGrid w:val="0"/>
              <w:spacing w:before="156" w:beforeLines="50" w:after="50"/>
              <w:jc w:val="left"/>
              <w:rPr>
                <w:rFonts w:hint="eastAsia" w:ascii="仿宋" w:hAnsi="仿宋" w:eastAsia="仿宋"/>
                <w:b/>
                <w:szCs w:val="21"/>
              </w:rPr>
            </w:pPr>
          </w:p>
        </w:tc>
        <w:tc>
          <w:tcPr>
            <w:tcW w:w="4163" w:type="dxa"/>
          </w:tcPr>
          <w:p w14:paraId="31A3DD7E">
            <w:pPr>
              <w:snapToGrid w:val="0"/>
              <w:spacing w:before="156" w:beforeLines="50" w:after="50"/>
              <w:jc w:val="left"/>
              <w:rPr>
                <w:rFonts w:hint="eastAsia" w:ascii="仿宋" w:hAnsi="仿宋" w:eastAsia="仿宋"/>
                <w:b/>
                <w:szCs w:val="21"/>
              </w:rPr>
            </w:pPr>
          </w:p>
        </w:tc>
        <w:tc>
          <w:tcPr>
            <w:tcW w:w="4536" w:type="dxa"/>
            <w:vMerge w:val="continue"/>
          </w:tcPr>
          <w:p w14:paraId="4278126A">
            <w:pPr>
              <w:snapToGrid w:val="0"/>
              <w:spacing w:before="156" w:beforeLines="50" w:after="50"/>
              <w:jc w:val="left"/>
              <w:rPr>
                <w:rFonts w:hint="eastAsia" w:ascii="仿宋" w:hAnsi="仿宋" w:eastAsia="仿宋"/>
                <w:b/>
                <w:szCs w:val="21"/>
              </w:rPr>
            </w:pPr>
          </w:p>
        </w:tc>
      </w:tr>
      <w:tr w14:paraId="5601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bottom w:val="single" w:color="auto" w:sz="4" w:space="0"/>
            </w:tcBorders>
          </w:tcPr>
          <w:p w14:paraId="6F308D51">
            <w:pPr>
              <w:snapToGrid w:val="0"/>
              <w:spacing w:before="156" w:beforeLines="50" w:after="50"/>
              <w:jc w:val="center"/>
              <w:rPr>
                <w:rFonts w:hint="eastAsia" w:ascii="仿宋" w:hAnsi="仿宋" w:eastAsia="仿宋"/>
                <w:b/>
                <w:szCs w:val="21"/>
              </w:rPr>
            </w:pPr>
            <w:r>
              <w:rPr>
                <w:rFonts w:ascii="仿宋" w:hAnsi="仿宋" w:eastAsia="仿宋" w:cs="宋体"/>
                <w:kern w:val="0"/>
                <w:szCs w:val="21"/>
              </w:rPr>
              <w:t>……</w:t>
            </w:r>
          </w:p>
        </w:tc>
        <w:tc>
          <w:tcPr>
            <w:tcW w:w="1309" w:type="dxa"/>
            <w:tcBorders>
              <w:bottom w:val="single" w:color="auto" w:sz="4" w:space="0"/>
            </w:tcBorders>
          </w:tcPr>
          <w:p w14:paraId="11FB19EA">
            <w:pPr>
              <w:snapToGrid w:val="0"/>
              <w:spacing w:before="156" w:beforeLines="50" w:after="50"/>
              <w:jc w:val="left"/>
              <w:rPr>
                <w:rFonts w:hint="eastAsia" w:ascii="仿宋" w:hAnsi="仿宋" w:eastAsia="仿宋"/>
                <w:b/>
                <w:szCs w:val="21"/>
              </w:rPr>
            </w:pPr>
          </w:p>
        </w:tc>
        <w:tc>
          <w:tcPr>
            <w:tcW w:w="1384" w:type="dxa"/>
            <w:tcBorders>
              <w:bottom w:val="single" w:color="auto" w:sz="4" w:space="0"/>
            </w:tcBorders>
          </w:tcPr>
          <w:p w14:paraId="161784AA">
            <w:pPr>
              <w:snapToGrid w:val="0"/>
              <w:spacing w:before="156" w:beforeLines="50" w:after="50"/>
              <w:jc w:val="left"/>
              <w:rPr>
                <w:rFonts w:hint="eastAsia" w:ascii="仿宋" w:hAnsi="仿宋" w:eastAsia="仿宋"/>
                <w:b/>
                <w:szCs w:val="21"/>
              </w:rPr>
            </w:pPr>
          </w:p>
        </w:tc>
        <w:tc>
          <w:tcPr>
            <w:tcW w:w="4163" w:type="dxa"/>
            <w:tcBorders>
              <w:bottom w:val="single" w:color="auto" w:sz="4" w:space="0"/>
            </w:tcBorders>
          </w:tcPr>
          <w:p w14:paraId="4C98F250">
            <w:pPr>
              <w:snapToGrid w:val="0"/>
              <w:spacing w:before="156" w:beforeLines="50" w:after="50"/>
              <w:jc w:val="left"/>
              <w:rPr>
                <w:rFonts w:hint="eastAsia" w:ascii="仿宋" w:hAnsi="仿宋" w:eastAsia="仿宋"/>
                <w:b/>
                <w:szCs w:val="21"/>
              </w:rPr>
            </w:pPr>
          </w:p>
        </w:tc>
        <w:tc>
          <w:tcPr>
            <w:tcW w:w="4536" w:type="dxa"/>
            <w:vMerge w:val="continue"/>
            <w:tcBorders>
              <w:bottom w:val="single" w:color="auto" w:sz="4" w:space="0"/>
            </w:tcBorders>
          </w:tcPr>
          <w:p w14:paraId="25E36D15">
            <w:pPr>
              <w:snapToGrid w:val="0"/>
              <w:spacing w:before="156" w:beforeLines="50" w:after="50"/>
              <w:jc w:val="left"/>
              <w:rPr>
                <w:rFonts w:hint="eastAsia" w:ascii="仿宋" w:hAnsi="仿宋" w:eastAsia="仿宋"/>
                <w:b/>
                <w:szCs w:val="21"/>
              </w:rPr>
            </w:pPr>
          </w:p>
        </w:tc>
      </w:tr>
      <w:tr w14:paraId="63AD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673" w:type="dxa"/>
            <w:gridSpan w:val="4"/>
            <w:shd w:val="clear" w:color="auto" w:fill="F2DBDB"/>
            <w:vAlign w:val="center"/>
          </w:tcPr>
          <w:p w14:paraId="72061FF8">
            <w:pPr>
              <w:snapToGrid w:val="0"/>
              <w:spacing w:before="156" w:beforeLines="50" w:after="50"/>
              <w:jc w:val="center"/>
              <w:rPr>
                <w:rFonts w:hint="eastAsia" w:ascii="仿宋" w:hAnsi="仿宋" w:eastAsia="仿宋"/>
                <w:b/>
                <w:szCs w:val="21"/>
              </w:rPr>
            </w:pPr>
            <w:r>
              <w:rPr>
                <w:rFonts w:ascii="仿宋" w:hAnsi="仿宋" w:eastAsia="仿宋"/>
                <w:b/>
                <w:szCs w:val="21"/>
              </w:rPr>
              <w:t>投标人直接管理关系信息表</w:t>
            </w:r>
          </w:p>
        </w:tc>
        <w:tc>
          <w:tcPr>
            <w:tcW w:w="4536" w:type="dxa"/>
            <w:shd w:val="clear" w:color="auto" w:fill="F2DBDB"/>
            <w:vAlign w:val="center"/>
          </w:tcPr>
          <w:p w14:paraId="4B889ED3">
            <w:pPr>
              <w:snapToGrid w:val="0"/>
              <w:spacing w:before="156" w:beforeLines="50" w:after="50"/>
              <w:jc w:val="center"/>
              <w:rPr>
                <w:rFonts w:hint="eastAsia" w:ascii="仿宋" w:hAnsi="仿宋" w:eastAsia="仿宋"/>
                <w:b/>
                <w:szCs w:val="21"/>
              </w:rPr>
            </w:pPr>
            <w:r>
              <w:rPr>
                <w:rFonts w:ascii="仿宋" w:hAnsi="仿宋" w:eastAsia="仿宋"/>
                <w:b/>
                <w:szCs w:val="21"/>
              </w:rPr>
              <w:t>说明</w:t>
            </w:r>
          </w:p>
        </w:tc>
      </w:tr>
      <w:tr w14:paraId="130D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318EEAC5">
            <w:pPr>
              <w:snapToGrid w:val="0"/>
              <w:spacing w:before="156" w:beforeLines="50" w:after="50"/>
              <w:jc w:val="center"/>
              <w:rPr>
                <w:rFonts w:hint="eastAsia" w:ascii="仿宋" w:hAnsi="仿宋" w:eastAsia="仿宋"/>
                <w:b/>
                <w:szCs w:val="21"/>
              </w:rPr>
            </w:pPr>
            <w:r>
              <w:rPr>
                <w:rFonts w:ascii="仿宋" w:hAnsi="仿宋" w:eastAsia="仿宋" w:cs="宋体"/>
                <w:b/>
                <w:bCs/>
                <w:kern w:val="0"/>
                <w:szCs w:val="21"/>
              </w:rPr>
              <w:t>序号</w:t>
            </w:r>
          </w:p>
        </w:tc>
        <w:tc>
          <w:tcPr>
            <w:tcW w:w="2693" w:type="dxa"/>
            <w:gridSpan w:val="2"/>
            <w:vAlign w:val="center"/>
          </w:tcPr>
          <w:p w14:paraId="3B62DEF5">
            <w:pPr>
              <w:snapToGrid w:val="0"/>
              <w:spacing w:before="156" w:beforeLines="50" w:after="50"/>
              <w:jc w:val="center"/>
              <w:rPr>
                <w:rFonts w:hint="eastAsia" w:ascii="仿宋" w:hAnsi="仿宋" w:eastAsia="仿宋"/>
                <w:b/>
                <w:szCs w:val="21"/>
              </w:rPr>
            </w:pPr>
            <w:r>
              <w:rPr>
                <w:rFonts w:ascii="仿宋" w:hAnsi="仿宋" w:eastAsia="仿宋" w:cs="宋体"/>
                <w:b/>
                <w:bCs/>
                <w:kern w:val="0"/>
                <w:szCs w:val="21"/>
              </w:rPr>
              <w:t>直接管理关系单位名称</w:t>
            </w:r>
          </w:p>
        </w:tc>
        <w:tc>
          <w:tcPr>
            <w:tcW w:w="4163" w:type="dxa"/>
            <w:vAlign w:val="center"/>
          </w:tcPr>
          <w:p w14:paraId="6CAD11EF">
            <w:pPr>
              <w:snapToGrid w:val="0"/>
              <w:spacing w:before="156" w:beforeLines="50" w:after="50"/>
              <w:jc w:val="center"/>
              <w:rPr>
                <w:rFonts w:hint="eastAsia" w:ascii="仿宋" w:hAnsi="仿宋" w:eastAsia="仿宋"/>
                <w:b/>
                <w:szCs w:val="21"/>
              </w:rPr>
            </w:pPr>
            <w:r>
              <w:rPr>
                <w:rFonts w:ascii="仿宋" w:hAnsi="仿宋" w:eastAsia="仿宋" w:cs="宋体"/>
                <w:b/>
                <w:bCs/>
                <w:kern w:val="0"/>
                <w:szCs w:val="21"/>
              </w:rPr>
              <w:t>统一社会信用代码</w:t>
            </w:r>
          </w:p>
        </w:tc>
        <w:tc>
          <w:tcPr>
            <w:tcW w:w="4536" w:type="dxa"/>
            <w:vMerge w:val="restart"/>
            <w:vAlign w:val="center"/>
          </w:tcPr>
          <w:p w14:paraId="28A57631">
            <w:pPr>
              <w:snapToGrid w:val="0"/>
              <w:jc w:val="left"/>
              <w:rPr>
                <w:rFonts w:hint="eastAsia" w:ascii="仿宋" w:hAnsi="仿宋" w:eastAsia="仿宋"/>
                <w:szCs w:val="21"/>
              </w:rPr>
            </w:pPr>
            <w:r>
              <w:rPr>
                <w:rFonts w:ascii="仿宋" w:hAnsi="仿宋" w:eastAsia="仿宋"/>
                <w:szCs w:val="21"/>
              </w:rPr>
              <w:t>1.管理关系：是指不具有出资持股关系的其他单位之间存在的管理与被管理关系，如一些上下级关系的事业单位和团体组织。</w:t>
            </w:r>
          </w:p>
          <w:p w14:paraId="2F1DD5E1">
            <w:pPr>
              <w:snapToGrid w:val="0"/>
              <w:jc w:val="left"/>
              <w:rPr>
                <w:rFonts w:hint="eastAsia" w:ascii="仿宋" w:hAnsi="仿宋" w:eastAsia="仿宋"/>
                <w:szCs w:val="21"/>
              </w:rPr>
            </w:pPr>
            <w:r>
              <w:rPr>
                <w:rFonts w:ascii="仿宋" w:hAnsi="仿宋" w:eastAsia="仿宋"/>
                <w:szCs w:val="21"/>
              </w:rPr>
              <w:t>2.本表所指的管理关系仅限于直接管理关系，不包括间接的管理关系。</w:t>
            </w:r>
          </w:p>
          <w:p w14:paraId="4CD8F99D">
            <w:pPr>
              <w:snapToGrid w:val="0"/>
              <w:jc w:val="left"/>
              <w:rPr>
                <w:rFonts w:hint="eastAsia" w:ascii="仿宋" w:hAnsi="仿宋" w:eastAsia="仿宋"/>
                <w:szCs w:val="21"/>
              </w:rPr>
            </w:pPr>
            <w:r>
              <w:rPr>
                <w:rFonts w:ascii="仿宋" w:hAnsi="仿宋" w:eastAsia="仿宋"/>
                <w:szCs w:val="21"/>
              </w:rPr>
              <w:t>3.供应商不存在直接管理关系的，则填“无”。</w:t>
            </w:r>
          </w:p>
        </w:tc>
      </w:tr>
      <w:tr w14:paraId="49BA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Pr>
          <w:p w14:paraId="60545E59">
            <w:pPr>
              <w:snapToGrid w:val="0"/>
              <w:spacing w:before="156" w:beforeLines="50" w:after="50"/>
              <w:jc w:val="center"/>
              <w:rPr>
                <w:rFonts w:hint="eastAsia" w:ascii="仿宋" w:hAnsi="仿宋" w:eastAsia="仿宋"/>
                <w:b/>
                <w:szCs w:val="21"/>
              </w:rPr>
            </w:pPr>
            <w:r>
              <w:rPr>
                <w:rFonts w:ascii="仿宋" w:hAnsi="仿宋" w:eastAsia="仿宋"/>
                <w:b/>
                <w:szCs w:val="21"/>
              </w:rPr>
              <w:t>1</w:t>
            </w:r>
          </w:p>
        </w:tc>
        <w:tc>
          <w:tcPr>
            <w:tcW w:w="2693" w:type="dxa"/>
            <w:gridSpan w:val="2"/>
            <w:vAlign w:val="center"/>
          </w:tcPr>
          <w:p w14:paraId="566F4D5B">
            <w:pPr>
              <w:snapToGrid w:val="0"/>
              <w:spacing w:before="156" w:beforeLines="50" w:after="50"/>
              <w:jc w:val="center"/>
              <w:rPr>
                <w:rFonts w:hint="eastAsia" w:ascii="仿宋" w:hAnsi="仿宋" w:eastAsia="仿宋" w:cs="宋体"/>
                <w:b/>
                <w:bCs/>
                <w:kern w:val="0"/>
                <w:szCs w:val="21"/>
              </w:rPr>
            </w:pPr>
          </w:p>
        </w:tc>
        <w:tc>
          <w:tcPr>
            <w:tcW w:w="4163" w:type="dxa"/>
            <w:vAlign w:val="center"/>
          </w:tcPr>
          <w:p w14:paraId="3D236EA3">
            <w:pPr>
              <w:snapToGrid w:val="0"/>
              <w:spacing w:before="156" w:beforeLines="50" w:after="50"/>
              <w:jc w:val="center"/>
              <w:rPr>
                <w:rFonts w:hint="eastAsia" w:ascii="仿宋" w:hAnsi="仿宋" w:eastAsia="仿宋" w:cs="宋体"/>
                <w:b/>
                <w:bCs/>
                <w:kern w:val="0"/>
                <w:szCs w:val="21"/>
              </w:rPr>
            </w:pPr>
          </w:p>
        </w:tc>
        <w:tc>
          <w:tcPr>
            <w:tcW w:w="4536" w:type="dxa"/>
            <w:vMerge w:val="continue"/>
            <w:vAlign w:val="center"/>
          </w:tcPr>
          <w:p w14:paraId="713196E9">
            <w:pPr>
              <w:snapToGrid w:val="0"/>
              <w:jc w:val="left"/>
              <w:rPr>
                <w:rFonts w:hint="eastAsia" w:ascii="仿宋" w:hAnsi="仿宋" w:eastAsia="仿宋"/>
                <w:szCs w:val="21"/>
              </w:rPr>
            </w:pPr>
          </w:p>
        </w:tc>
      </w:tr>
      <w:tr w14:paraId="060A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Pr>
          <w:p w14:paraId="2F83240D">
            <w:pPr>
              <w:snapToGrid w:val="0"/>
              <w:spacing w:before="156" w:beforeLines="50" w:after="50"/>
              <w:jc w:val="center"/>
              <w:rPr>
                <w:rFonts w:hint="eastAsia" w:ascii="仿宋" w:hAnsi="仿宋" w:eastAsia="仿宋"/>
                <w:b/>
                <w:szCs w:val="21"/>
              </w:rPr>
            </w:pPr>
            <w:r>
              <w:rPr>
                <w:rFonts w:ascii="仿宋" w:hAnsi="仿宋" w:eastAsia="仿宋"/>
                <w:b/>
                <w:szCs w:val="21"/>
              </w:rPr>
              <w:t>2</w:t>
            </w:r>
          </w:p>
        </w:tc>
        <w:tc>
          <w:tcPr>
            <w:tcW w:w="2693" w:type="dxa"/>
            <w:gridSpan w:val="2"/>
            <w:vAlign w:val="center"/>
          </w:tcPr>
          <w:p w14:paraId="01D518E8">
            <w:pPr>
              <w:snapToGrid w:val="0"/>
              <w:spacing w:before="156" w:beforeLines="50" w:after="50"/>
              <w:jc w:val="center"/>
              <w:rPr>
                <w:rFonts w:hint="eastAsia" w:ascii="仿宋" w:hAnsi="仿宋" w:eastAsia="仿宋" w:cs="宋体"/>
                <w:b/>
                <w:bCs/>
                <w:kern w:val="0"/>
                <w:szCs w:val="21"/>
              </w:rPr>
            </w:pPr>
          </w:p>
        </w:tc>
        <w:tc>
          <w:tcPr>
            <w:tcW w:w="4163" w:type="dxa"/>
            <w:vAlign w:val="center"/>
          </w:tcPr>
          <w:p w14:paraId="1587044B">
            <w:pPr>
              <w:snapToGrid w:val="0"/>
              <w:spacing w:before="156" w:beforeLines="50" w:after="50"/>
              <w:jc w:val="center"/>
              <w:rPr>
                <w:rFonts w:hint="eastAsia" w:ascii="仿宋" w:hAnsi="仿宋" w:eastAsia="仿宋" w:cs="宋体"/>
                <w:b/>
                <w:bCs/>
                <w:kern w:val="0"/>
                <w:szCs w:val="21"/>
              </w:rPr>
            </w:pPr>
          </w:p>
        </w:tc>
        <w:tc>
          <w:tcPr>
            <w:tcW w:w="4536" w:type="dxa"/>
            <w:vMerge w:val="continue"/>
            <w:vAlign w:val="center"/>
          </w:tcPr>
          <w:p w14:paraId="299029C1">
            <w:pPr>
              <w:snapToGrid w:val="0"/>
              <w:jc w:val="left"/>
              <w:rPr>
                <w:rFonts w:hint="eastAsia" w:ascii="仿宋" w:hAnsi="仿宋" w:eastAsia="仿宋"/>
                <w:szCs w:val="21"/>
              </w:rPr>
            </w:pPr>
          </w:p>
        </w:tc>
      </w:tr>
      <w:tr w14:paraId="5CDC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5120B8BF">
            <w:pPr>
              <w:snapToGrid w:val="0"/>
              <w:spacing w:before="156" w:beforeLines="50" w:after="50"/>
              <w:jc w:val="center"/>
              <w:rPr>
                <w:rFonts w:hint="eastAsia" w:ascii="仿宋" w:hAnsi="仿宋" w:eastAsia="仿宋"/>
                <w:b/>
                <w:szCs w:val="21"/>
              </w:rPr>
            </w:pPr>
            <w:r>
              <w:rPr>
                <w:rFonts w:ascii="仿宋" w:hAnsi="仿宋" w:eastAsia="仿宋" w:cs="宋体"/>
                <w:kern w:val="0"/>
                <w:szCs w:val="21"/>
              </w:rPr>
              <w:t>……</w:t>
            </w:r>
          </w:p>
        </w:tc>
        <w:tc>
          <w:tcPr>
            <w:tcW w:w="2693" w:type="dxa"/>
            <w:gridSpan w:val="2"/>
            <w:vAlign w:val="center"/>
          </w:tcPr>
          <w:p w14:paraId="17FD4101">
            <w:pPr>
              <w:snapToGrid w:val="0"/>
              <w:spacing w:before="156" w:beforeLines="50" w:after="50"/>
              <w:jc w:val="center"/>
              <w:rPr>
                <w:rFonts w:hint="eastAsia" w:ascii="仿宋" w:hAnsi="仿宋" w:eastAsia="仿宋" w:cs="宋体"/>
                <w:b/>
                <w:bCs/>
                <w:kern w:val="0"/>
                <w:szCs w:val="21"/>
              </w:rPr>
            </w:pPr>
          </w:p>
        </w:tc>
        <w:tc>
          <w:tcPr>
            <w:tcW w:w="4163" w:type="dxa"/>
            <w:vAlign w:val="center"/>
          </w:tcPr>
          <w:p w14:paraId="689AA734">
            <w:pPr>
              <w:snapToGrid w:val="0"/>
              <w:spacing w:before="156" w:beforeLines="50" w:after="50"/>
              <w:jc w:val="center"/>
              <w:rPr>
                <w:rFonts w:hint="eastAsia" w:ascii="仿宋" w:hAnsi="仿宋" w:eastAsia="仿宋" w:cs="宋体"/>
                <w:b/>
                <w:bCs/>
                <w:kern w:val="0"/>
                <w:szCs w:val="21"/>
              </w:rPr>
            </w:pPr>
          </w:p>
        </w:tc>
        <w:tc>
          <w:tcPr>
            <w:tcW w:w="4536" w:type="dxa"/>
            <w:vMerge w:val="continue"/>
            <w:vAlign w:val="center"/>
          </w:tcPr>
          <w:p w14:paraId="6DE108A1">
            <w:pPr>
              <w:snapToGrid w:val="0"/>
              <w:jc w:val="left"/>
              <w:rPr>
                <w:rFonts w:hint="eastAsia" w:ascii="仿宋" w:hAnsi="仿宋" w:eastAsia="仿宋"/>
                <w:szCs w:val="21"/>
              </w:rPr>
            </w:pPr>
          </w:p>
        </w:tc>
      </w:tr>
    </w:tbl>
    <w:p w14:paraId="281EA2AE">
      <w:pPr>
        <w:snapToGrid w:val="0"/>
        <w:spacing w:line="360" w:lineRule="auto"/>
        <w:jc w:val="left"/>
        <w:rPr>
          <w:rFonts w:hint="eastAsia" w:ascii="仿宋" w:hAnsi="仿宋" w:eastAsia="仿宋"/>
          <w:sz w:val="24"/>
        </w:rPr>
      </w:pPr>
    </w:p>
    <w:p w14:paraId="7BA66D78">
      <w:pPr>
        <w:snapToGrid w:val="0"/>
        <w:spacing w:line="360" w:lineRule="auto"/>
        <w:ind w:firstLine="4840" w:firstLineChars="2200"/>
        <w:rPr>
          <w:rFonts w:hint="eastAsia" w:ascii="仿宋" w:hAnsi="仿宋" w:eastAsia="仿宋" w:cs="仿宋_GB2312"/>
          <w:kern w:val="0"/>
          <w:sz w:val="22"/>
          <w:u w:val="single"/>
        </w:rPr>
      </w:pPr>
      <w:r>
        <w:rPr>
          <w:rFonts w:hint="eastAsia" w:ascii="仿宋" w:hAnsi="仿宋" w:eastAsia="仿宋" w:cs="仿宋_GB2312"/>
          <w:kern w:val="0"/>
          <w:sz w:val="22"/>
          <w:lang w:val="zh-CN"/>
        </w:rPr>
        <w:t>投标人名称(</w:t>
      </w:r>
      <w:r>
        <w:rPr>
          <w:rFonts w:hint="eastAsia" w:ascii="仿宋" w:hAnsi="仿宋" w:eastAsia="仿宋" w:cs="仿宋_GB2312"/>
          <w:kern w:val="0"/>
          <w:sz w:val="22"/>
        </w:rPr>
        <w:t>公章</w:t>
      </w:r>
      <w:r>
        <w:rPr>
          <w:rFonts w:hint="eastAsia" w:ascii="仿宋" w:hAnsi="仿宋" w:eastAsia="仿宋" w:cs="仿宋_GB2312"/>
          <w:kern w:val="0"/>
          <w:sz w:val="22"/>
          <w:lang w:val="zh-CN"/>
        </w:rPr>
        <w:t>)：</w:t>
      </w:r>
      <w:r>
        <w:rPr>
          <w:rFonts w:hint="eastAsia" w:ascii="仿宋" w:hAnsi="仿宋" w:eastAsia="仿宋" w:cs="仿宋_GB2312"/>
          <w:kern w:val="0"/>
          <w:sz w:val="22"/>
          <w:u w:val="single"/>
          <w:lang w:val="zh-CN"/>
        </w:rPr>
        <w:t xml:space="preserve"> </w:t>
      </w:r>
      <w:r>
        <w:rPr>
          <w:rFonts w:ascii="仿宋" w:hAnsi="仿宋" w:eastAsia="仿宋" w:cs="仿宋_GB2312"/>
          <w:kern w:val="0"/>
          <w:sz w:val="22"/>
          <w:u w:val="single"/>
          <w:lang w:val="zh-CN"/>
        </w:rPr>
        <w:t xml:space="preserve">         </w:t>
      </w:r>
    </w:p>
    <w:p w14:paraId="1D15B4AD">
      <w:pPr>
        <w:snapToGrid w:val="0"/>
        <w:spacing w:line="360" w:lineRule="auto"/>
        <w:ind w:firstLine="4730" w:firstLineChars="2150"/>
        <w:rPr>
          <w:rFonts w:hint="eastAsia" w:ascii="仿宋" w:hAnsi="仿宋" w:eastAsia="仿宋" w:cs="仿宋_GB2312"/>
          <w:kern w:val="0"/>
          <w:sz w:val="22"/>
          <w:lang w:val="zh-CN"/>
        </w:rPr>
      </w:pPr>
      <w:r>
        <w:rPr>
          <w:rFonts w:hint="eastAsia" w:ascii="仿宋" w:hAnsi="仿宋" w:eastAsia="仿宋" w:cs="仿宋_GB2312"/>
          <w:kern w:val="0"/>
          <w:sz w:val="22"/>
          <w:lang w:val="zh-CN"/>
        </w:rPr>
        <w:t>日期</w:t>
      </w:r>
      <w:r>
        <w:rPr>
          <w:rFonts w:hint="eastAsia" w:ascii="仿宋" w:hAnsi="仿宋" w:eastAsia="仿宋" w:cs="仿宋_GB2312"/>
          <w:kern w:val="0"/>
          <w:sz w:val="22"/>
        </w:rPr>
        <w:t xml:space="preserve">：  年  </w:t>
      </w:r>
      <w:r>
        <w:rPr>
          <w:rFonts w:hint="eastAsia" w:ascii="仿宋" w:hAnsi="仿宋" w:eastAsia="仿宋" w:cs="仿宋_GB2312"/>
          <w:kern w:val="0"/>
          <w:sz w:val="22"/>
          <w:lang w:val="zh-CN"/>
        </w:rPr>
        <w:t>月</w:t>
      </w:r>
      <w:r>
        <w:rPr>
          <w:rFonts w:hint="eastAsia" w:ascii="仿宋" w:hAnsi="仿宋" w:eastAsia="仿宋" w:cs="仿宋_GB2312"/>
          <w:kern w:val="0"/>
          <w:sz w:val="22"/>
        </w:rPr>
        <w:t xml:space="preserve">   </w:t>
      </w:r>
      <w:r>
        <w:rPr>
          <w:rFonts w:hint="eastAsia" w:ascii="仿宋" w:hAnsi="仿宋" w:eastAsia="仿宋" w:cs="仿宋_GB2312"/>
          <w:kern w:val="0"/>
          <w:sz w:val="22"/>
          <w:lang w:val="zh-CN"/>
        </w:rPr>
        <w:t>日</w:t>
      </w:r>
    </w:p>
    <w:p w14:paraId="6D1234EA"/>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Che">
    <w:altName w:val="Malgun Gothic"/>
    <w:panose1 w:val="00000000000000000000"/>
    <w:charset w:val="81"/>
    <w:family w:val="modern"/>
    <w:pitch w:val="default"/>
    <w:sig w:usb0="00000000" w:usb1="00000000" w:usb2="00000030" w:usb3="00000000" w:csb0="0008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B7E3FE"/>
    <w:multiLevelType w:val="singleLevel"/>
    <w:tmpl w:val="38B7E3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393C70"/>
    <w:rsid w:val="00094FB9"/>
    <w:rsid w:val="0023493C"/>
    <w:rsid w:val="002564EF"/>
    <w:rsid w:val="00257960"/>
    <w:rsid w:val="002708EE"/>
    <w:rsid w:val="00672783"/>
    <w:rsid w:val="00774F02"/>
    <w:rsid w:val="00833E7E"/>
    <w:rsid w:val="00861DAB"/>
    <w:rsid w:val="009707EA"/>
    <w:rsid w:val="009828F2"/>
    <w:rsid w:val="00A209A2"/>
    <w:rsid w:val="00A8660E"/>
    <w:rsid w:val="00BF2C1E"/>
    <w:rsid w:val="00CB313D"/>
    <w:rsid w:val="00E14424"/>
    <w:rsid w:val="00E3300D"/>
    <w:rsid w:val="00EC5BFB"/>
    <w:rsid w:val="05393C70"/>
    <w:rsid w:val="0BA94FA7"/>
    <w:rsid w:val="0C6F55EB"/>
    <w:rsid w:val="0E26793E"/>
    <w:rsid w:val="124B4370"/>
    <w:rsid w:val="14A66120"/>
    <w:rsid w:val="15267B68"/>
    <w:rsid w:val="17CD02BE"/>
    <w:rsid w:val="19874772"/>
    <w:rsid w:val="20A951E7"/>
    <w:rsid w:val="20C4005A"/>
    <w:rsid w:val="217F0425"/>
    <w:rsid w:val="22251BDB"/>
    <w:rsid w:val="23845BBE"/>
    <w:rsid w:val="241148CA"/>
    <w:rsid w:val="277D26EF"/>
    <w:rsid w:val="2D483DC1"/>
    <w:rsid w:val="2DE3752E"/>
    <w:rsid w:val="33303667"/>
    <w:rsid w:val="34C75711"/>
    <w:rsid w:val="45C014AB"/>
    <w:rsid w:val="4B8B74BE"/>
    <w:rsid w:val="4BA803F5"/>
    <w:rsid w:val="4C562CFB"/>
    <w:rsid w:val="4C9635CE"/>
    <w:rsid w:val="4EC060A1"/>
    <w:rsid w:val="4F31425D"/>
    <w:rsid w:val="4FD65C39"/>
    <w:rsid w:val="51A85ED4"/>
    <w:rsid w:val="54BA6AA3"/>
    <w:rsid w:val="587255D7"/>
    <w:rsid w:val="59D206C1"/>
    <w:rsid w:val="5B1F3848"/>
    <w:rsid w:val="613876CD"/>
    <w:rsid w:val="664824DD"/>
    <w:rsid w:val="67C175CE"/>
    <w:rsid w:val="67F72090"/>
    <w:rsid w:val="6BEB1F0C"/>
    <w:rsid w:val="6C846289"/>
    <w:rsid w:val="6CB467A2"/>
    <w:rsid w:val="6E746365"/>
    <w:rsid w:val="6EDA5CB4"/>
    <w:rsid w:val="6F8E3370"/>
    <w:rsid w:val="6FCF1767"/>
    <w:rsid w:val="71566079"/>
    <w:rsid w:val="72C15774"/>
    <w:rsid w:val="7CE37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20"/>
    <w:qFormat/>
    <w:uiPriority w:val="0"/>
    <w:pPr>
      <w:tabs>
        <w:tab w:val="center" w:pos="4153"/>
        <w:tab w:val="right" w:pos="8306"/>
      </w:tabs>
      <w:snapToGrid w:val="0"/>
      <w:jc w:val="left"/>
    </w:pPr>
    <w:rPr>
      <w:sz w:val="18"/>
      <w:szCs w:val="18"/>
    </w:rPr>
  </w:style>
  <w:style w:type="paragraph" w:styleId="4">
    <w:name w:val="header"/>
    <w:basedOn w:val="1"/>
    <w:link w:val="19"/>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8">
    <w:name w:val="Strong"/>
    <w:qFormat/>
    <w:uiPriority w:val="0"/>
    <w:rPr>
      <w:b/>
    </w:rPr>
  </w:style>
  <w:style w:type="character" w:styleId="9">
    <w:name w:val="Hyperlink"/>
    <w:qFormat/>
    <w:uiPriority w:val="0"/>
    <w:rPr>
      <w:color w:val="0000FF"/>
      <w:u w:val="single"/>
    </w:rPr>
  </w:style>
  <w:style w:type="character" w:styleId="10">
    <w:name w:val="annotation reference"/>
    <w:basedOn w:val="7"/>
    <w:qFormat/>
    <w:uiPriority w:val="0"/>
    <w:rPr>
      <w:sz w:val="21"/>
      <w:szCs w:val="21"/>
    </w:rPr>
  </w:style>
  <w:style w:type="character" w:customStyle="1" w:styleId="11">
    <w:name w:val="font31"/>
    <w:basedOn w:val="7"/>
    <w:qFormat/>
    <w:uiPriority w:val="0"/>
    <w:rPr>
      <w:rFonts w:hint="eastAsia" w:ascii="宋体" w:hAnsi="宋体" w:eastAsia="宋体" w:cs="宋体"/>
      <w:color w:val="000000"/>
      <w:sz w:val="21"/>
      <w:szCs w:val="21"/>
      <w:u w:val="none"/>
    </w:rPr>
  </w:style>
  <w:style w:type="character" w:customStyle="1" w:styleId="12">
    <w:name w:val="font51"/>
    <w:basedOn w:val="7"/>
    <w:qFormat/>
    <w:uiPriority w:val="0"/>
    <w:rPr>
      <w:rFonts w:hint="eastAsia" w:ascii="宋体" w:hAnsi="宋体" w:eastAsia="宋体" w:cs="宋体"/>
      <w:b/>
      <w:bCs/>
      <w:color w:val="FF0000"/>
      <w:sz w:val="21"/>
      <w:szCs w:val="21"/>
      <w:u w:val="none"/>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61"/>
    <w:basedOn w:val="7"/>
    <w:qFormat/>
    <w:uiPriority w:val="0"/>
    <w:rPr>
      <w:rFonts w:hint="eastAsia" w:ascii="宋体" w:hAnsi="宋体" w:eastAsia="宋体" w:cs="宋体"/>
      <w:b/>
      <w:bCs/>
      <w:color w:val="FF0000"/>
      <w:sz w:val="22"/>
      <w:szCs w:val="22"/>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 w:type="character" w:customStyle="1" w:styleId="16">
    <w:name w:val="font81"/>
    <w:basedOn w:val="7"/>
    <w:qFormat/>
    <w:uiPriority w:val="0"/>
    <w:rPr>
      <w:rFonts w:ascii="BatangChe" w:hAnsi="BatangChe" w:eastAsia="BatangChe" w:cs="BatangChe"/>
      <w:color w:val="000000"/>
      <w:sz w:val="24"/>
      <w:szCs w:val="24"/>
      <w:u w:val="none"/>
    </w:rPr>
  </w:style>
  <w:style w:type="character" w:customStyle="1" w:styleId="17">
    <w:name w:val="font21"/>
    <w:basedOn w:val="7"/>
    <w:qFormat/>
    <w:uiPriority w:val="0"/>
    <w:rPr>
      <w:rFonts w:hint="eastAsia" w:ascii="宋体" w:hAnsi="宋体" w:eastAsia="宋体" w:cs="宋体"/>
      <w:b/>
      <w:bCs/>
      <w:color w:val="000000"/>
      <w:sz w:val="24"/>
      <w:szCs w:val="24"/>
      <w:u w:val="none"/>
    </w:rPr>
  </w:style>
  <w:style w:type="paragraph" w:customStyle="1" w:styleId="18">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9">
    <w:name w:val="页眉 字符"/>
    <w:basedOn w:val="7"/>
    <w:link w:val="4"/>
    <w:qFormat/>
    <w:uiPriority w:val="0"/>
    <w:rPr>
      <w:rFonts w:asciiTheme="minorHAnsi" w:hAnsiTheme="minorHAnsi" w:eastAsiaTheme="minorEastAsia" w:cstheme="minorBidi"/>
      <w:kern w:val="2"/>
      <w:sz w:val="18"/>
      <w:szCs w:val="18"/>
    </w:rPr>
  </w:style>
  <w:style w:type="character" w:customStyle="1" w:styleId="20">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1324</Words>
  <Characters>1377</Characters>
  <Lines>677</Lines>
  <Paragraphs>413</Paragraphs>
  <TotalTime>39</TotalTime>
  <ScaleCrop>false</ScaleCrop>
  <LinksUpToDate>false</LinksUpToDate>
  <CharactersWithSpaces>1386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2025-06-20T07:50:00Z</dcterms:created>
  <dc:creator>黄冲</dc:creator>
  <cp:lastModifiedBy>李建波</cp:lastModifiedBy>
  <cp:lastPrinted>2025-05-16T07:28:00Z</cp:lastPrinted>
  <dcterms:modified xsi:type="dcterms:W3CDTF">2025-06-27T03:17:31Z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D1AB9789351A40C0A582B4C1F26FF8FD_13</vt:lpwstr>
  </property>
  <property fmtid="{D5CDD505-2E9C-101B-9397-08002B2CF9AE}" pid="4" name="KSOTemplateDocerSaveRecord">
    <vt:lpwstr>eyJoZGlkIjoiMTUyNDhmOWU4ZDRkMzNmMmFkYWMwMmFjZTJmOGM4YjgiLCJ1c2VySWQiOiI3MTkzODkwMDUifQ==</vt:lpwstr>
  </property>
</Properties>
</file>