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CE0D">
      <w:pPr>
        <w:pStyle w:val="13"/>
        <w:widowControl/>
        <w:numPr>
          <w:ilvl w:val="0"/>
          <w:numId w:val="0"/>
        </w:numPr>
        <w:spacing w:line="330" w:lineRule="atLeast"/>
        <w:jc w:val="center"/>
        <w:rPr>
          <w:rFonts w:hint="eastAsia" w:asciiTheme="minorHAnsi" w:hAnsiTheme="minorHAnsi" w:eastAsiaTheme="minorEastAsia" w:cstheme="minorBidi"/>
          <w:b/>
          <w:bCs/>
          <w:color w:val="auto"/>
          <w:kern w:val="2"/>
          <w:sz w:val="32"/>
          <w:szCs w:val="32"/>
          <w:highlight w:val="none"/>
          <w:lang w:val="en-US" w:eastAsia="zh-CN" w:bidi="ar-SA"/>
        </w:rPr>
      </w:pPr>
      <w:r>
        <w:rPr>
          <w:rFonts w:hint="eastAsia" w:asciiTheme="minorHAnsi" w:hAnsiTheme="minorHAnsi" w:eastAsiaTheme="minorEastAsia" w:cstheme="minorBidi"/>
          <w:b/>
          <w:bCs/>
          <w:color w:val="auto"/>
          <w:kern w:val="2"/>
          <w:sz w:val="32"/>
          <w:szCs w:val="32"/>
          <w:highlight w:val="none"/>
          <w:lang w:val="en-US" w:eastAsia="zh-CN" w:bidi="ar-SA"/>
        </w:rPr>
        <w:t>广西艺术学院2025级新生入学体检服务项目采购文件</w:t>
      </w:r>
    </w:p>
    <w:p w14:paraId="3CC36C71">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color w:val="auto"/>
          <w:sz w:val="24"/>
          <w:szCs w:val="24"/>
          <w:highlight w:val="none"/>
          <w:lang w:val="en-US" w:eastAsia="zh-CN"/>
        </w:rPr>
      </w:pPr>
    </w:p>
    <w:p w14:paraId="50068B7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根据《教育部、卫生部、中国残疾人联合会关于印发&lt;普通高等学校招生体检工作指导意见&gt;的通知》（教学〔2003〕3号），现开展广西艺术学院2025级新生入学体检服务项目。</w:t>
      </w:r>
    </w:p>
    <w:p w14:paraId="650B8205">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项目概况</w:t>
      </w:r>
    </w:p>
    <w:p w14:paraId="43D6D241">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广西艺术学院2025级新生约3141人。体检人数以当年实际参加人数为准，可能变更的浮动范围：±10%。体检要求及诊断依据参照（全国学生常见病综合防治方案技术规范）执行。</w:t>
      </w:r>
    </w:p>
    <w:p w14:paraId="739EC61F">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采购需求</w:t>
      </w:r>
    </w:p>
    <w:p w14:paraId="12C2432C">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广西艺术学院学生体检项目</w:t>
      </w:r>
    </w:p>
    <w:p w14:paraId="1FD186BA">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一般</w:t>
      </w:r>
      <w:r>
        <w:rPr>
          <w:rFonts w:hint="eastAsia"/>
          <w:color w:val="auto"/>
          <w:sz w:val="24"/>
          <w:szCs w:val="24"/>
          <w:highlight w:val="none"/>
          <w:lang w:val="en-US" w:eastAsia="zh-CN"/>
        </w:rPr>
        <w:t>检查</w:t>
      </w:r>
      <w:r>
        <w:rPr>
          <w:rFonts w:hint="eastAsia"/>
          <w:color w:val="auto"/>
          <w:sz w:val="24"/>
          <w:szCs w:val="24"/>
          <w:highlight w:val="none"/>
          <w:lang w:eastAsia="zh-CN"/>
        </w:rPr>
        <w:t>：</w:t>
      </w:r>
      <w:r>
        <w:rPr>
          <w:rFonts w:hint="eastAsia"/>
          <w:color w:val="auto"/>
          <w:sz w:val="24"/>
          <w:szCs w:val="24"/>
          <w:highlight w:val="none"/>
        </w:rPr>
        <w:t>内科、外科、五官 （眼 、耳 、鼻 、喉、 口腔）、眼科</w:t>
      </w:r>
      <w:r>
        <w:rPr>
          <w:rFonts w:hint="eastAsia"/>
          <w:color w:val="auto"/>
          <w:sz w:val="24"/>
          <w:szCs w:val="24"/>
          <w:highlight w:val="none"/>
          <w:lang w:eastAsia="zh-CN"/>
        </w:rPr>
        <w:t>（</w:t>
      </w:r>
      <w:r>
        <w:rPr>
          <w:rFonts w:hint="eastAsia"/>
          <w:color w:val="auto"/>
          <w:sz w:val="24"/>
          <w:szCs w:val="24"/>
          <w:highlight w:val="none"/>
        </w:rPr>
        <w:t>视力、</w:t>
      </w:r>
      <w:r>
        <w:rPr>
          <w:rFonts w:hint="eastAsia"/>
          <w:color w:val="auto"/>
          <w:sz w:val="24"/>
          <w:szCs w:val="24"/>
          <w:highlight w:val="none"/>
          <w:lang w:val="en-US" w:eastAsia="zh-CN"/>
        </w:rPr>
        <w:t>辨</w:t>
      </w:r>
      <w:r>
        <w:rPr>
          <w:rFonts w:hint="eastAsia"/>
          <w:color w:val="auto"/>
          <w:sz w:val="24"/>
          <w:szCs w:val="24"/>
          <w:highlight w:val="none"/>
        </w:rPr>
        <w:t>色力</w:t>
      </w:r>
      <w:r>
        <w:rPr>
          <w:rFonts w:hint="eastAsia"/>
          <w:color w:val="auto"/>
          <w:sz w:val="24"/>
          <w:szCs w:val="24"/>
          <w:highlight w:val="none"/>
          <w:lang w:eastAsia="zh-CN"/>
        </w:rPr>
        <w:t>）</w:t>
      </w:r>
      <w:r>
        <w:rPr>
          <w:rFonts w:hint="eastAsia"/>
          <w:color w:val="auto"/>
          <w:sz w:val="24"/>
          <w:szCs w:val="24"/>
          <w:highlight w:val="none"/>
        </w:rPr>
        <w:t>、听力、身高、体重、血压。</w:t>
      </w:r>
    </w:p>
    <w:p w14:paraId="5795F006">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eastAsiaTheme="minorEastAsia"/>
          <w:color w:val="auto"/>
          <w:sz w:val="24"/>
          <w:szCs w:val="24"/>
          <w:highlight w:val="none"/>
          <w:lang w:eastAsia="zh-CN"/>
        </w:rPr>
      </w:pPr>
      <w:r>
        <w:rPr>
          <w:rFonts w:hint="eastAsia"/>
          <w:color w:val="auto"/>
          <w:sz w:val="24"/>
          <w:szCs w:val="24"/>
          <w:highlight w:val="none"/>
        </w:rPr>
        <w:t>血常规</w:t>
      </w:r>
      <w:r>
        <w:rPr>
          <w:rFonts w:hint="eastAsia"/>
          <w:color w:val="auto"/>
          <w:sz w:val="24"/>
          <w:szCs w:val="24"/>
          <w:highlight w:val="none"/>
          <w:lang w:eastAsia="zh-CN"/>
        </w:rPr>
        <w:t>（</w:t>
      </w:r>
      <w:r>
        <w:rPr>
          <w:rFonts w:hint="eastAsia"/>
          <w:color w:val="auto"/>
          <w:sz w:val="24"/>
          <w:szCs w:val="24"/>
          <w:highlight w:val="none"/>
          <w:lang w:val="en-US" w:eastAsia="zh-CN"/>
        </w:rPr>
        <w:t>全血细胞计数3分类</w:t>
      </w:r>
      <w:r>
        <w:rPr>
          <w:rFonts w:hint="eastAsia"/>
          <w:color w:val="auto"/>
          <w:sz w:val="24"/>
          <w:szCs w:val="24"/>
          <w:highlight w:val="none"/>
          <w:lang w:eastAsia="zh-CN"/>
        </w:rPr>
        <w:t>）</w:t>
      </w:r>
    </w:p>
    <w:p w14:paraId="23D6C4ED">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肝功能</w:t>
      </w:r>
      <w:r>
        <w:rPr>
          <w:rFonts w:hint="eastAsia"/>
          <w:color w:val="auto"/>
          <w:sz w:val="24"/>
          <w:szCs w:val="24"/>
          <w:highlight w:val="none"/>
          <w:lang w:eastAsia="zh-CN"/>
        </w:rPr>
        <w:t>：</w:t>
      </w:r>
      <w:r>
        <w:rPr>
          <w:rFonts w:hint="eastAsia"/>
          <w:color w:val="auto"/>
          <w:sz w:val="24"/>
          <w:szCs w:val="24"/>
          <w:highlight w:val="none"/>
        </w:rPr>
        <w:t>血清丙氨酸氨基转移酶测定、总胆红素测定</w:t>
      </w:r>
    </w:p>
    <w:p w14:paraId="1D5F5E14">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eastAsiaTheme="minorEastAsia"/>
          <w:color w:val="auto"/>
          <w:sz w:val="24"/>
          <w:szCs w:val="24"/>
          <w:highlight w:val="none"/>
          <w:lang w:eastAsia="zh-CN"/>
        </w:rPr>
      </w:pPr>
      <w:r>
        <w:rPr>
          <w:rFonts w:hint="eastAsia"/>
          <w:color w:val="auto"/>
          <w:sz w:val="24"/>
          <w:szCs w:val="24"/>
          <w:highlight w:val="none"/>
        </w:rPr>
        <w:t>胸部数字化摄影DR</w:t>
      </w:r>
      <w:r>
        <w:rPr>
          <w:rFonts w:hint="eastAsia"/>
          <w:color w:val="auto"/>
          <w:sz w:val="24"/>
          <w:szCs w:val="24"/>
          <w:highlight w:val="none"/>
          <w:lang w:eastAsia="zh-CN"/>
        </w:rPr>
        <w:t>（</w:t>
      </w:r>
      <w:r>
        <w:rPr>
          <w:rFonts w:hint="eastAsia"/>
          <w:color w:val="auto"/>
          <w:sz w:val="24"/>
          <w:szCs w:val="24"/>
          <w:highlight w:val="none"/>
          <w:lang w:val="en-US" w:eastAsia="zh-CN"/>
        </w:rPr>
        <w:t>不含胶片</w:t>
      </w:r>
      <w:r>
        <w:rPr>
          <w:rFonts w:hint="eastAsia"/>
          <w:color w:val="auto"/>
          <w:sz w:val="24"/>
          <w:szCs w:val="24"/>
          <w:highlight w:val="none"/>
          <w:lang w:eastAsia="zh-CN"/>
        </w:rPr>
        <w:t>）</w:t>
      </w:r>
    </w:p>
    <w:p w14:paraId="1423FF1E">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艾滋病检测。</w:t>
      </w:r>
    </w:p>
    <w:p w14:paraId="0FE14216">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时间及地点</w:t>
      </w:r>
    </w:p>
    <w:p w14:paraId="2A92440F">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时间：按采购方指定的时间提供体检服务。</w:t>
      </w:r>
    </w:p>
    <w:p w14:paraId="495AAB0E">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default"/>
          <w:color w:val="auto"/>
          <w:sz w:val="24"/>
          <w:szCs w:val="24"/>
          <w:highlight w:val="none"/>
          <w:lang w:val="en-US" w:eastAsia="zh-CN"/>
        </w:rPr>
      </w:pPr>
      <w:r>
        <w:rPr>
          <w:rFonts w:hint="eastAsia"/>
          <w:color w:val="auto"/>
          <w:sz w:val="24"/>
          <w:szCs w:val="24"/>
          <w:highlight w:val="none"/>
          <w:lang w:val="en-US" w:eastAsia="zh-CN"/>
        </w:rPr>
        <w:t>地点：广西壮族自治区南宁市青秀区教育路7号广西艺术学院南湖校区、南宁市西乡塘区罗文大道8号广西艺术学院相思湖校区。</w:t>
      </w:r>
    </w:p>
    <w:p w14:paraId="32B5459D">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服务要求</w:t>
      </w:r>
    </w:p>
    <w:p w14:paraId="133B053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rPr>
      </w:pPr>
      <w:r>
        <w:rPr>
          <w:rFonts w:hint="eastAsia"/>
          <w:color w:val="auto"/>
          <w:sz w:val="24"/>
          <w:szCs w:val="24"/>
          <w:highlight w:val="none"/>
          <w:lang w:val="en-US" w:eastAsia="zh-CN"/>
        </w:rPr>
        <w:t>1、供应商必须具有独立法人资格及医疗机构执业许可证，是南宁市范围内公立性质的具备健康体检资质的医疗卫生机构。</w:t>
      </w:r>
      <w:r>
        <w:rPr>
          <w:rFonts w:hint="eastAsia"/>
          <w:color w:val="auto"/>
          <w:sz w:val="24"/>
          <w:szCs w:val="24"/>
          <w:highlight w:val="none"/>
        </w:rPr>
        <w:t>必须按照采购文件要求和响应文件承诺签署合同，并严格履行合同，承诺按行业技术标准，按既定体检项目，开展体检服务。以人为本 、认真负责 、确保质量 、优质服务</w:t>
      </w:r>
      <w:r>
        <w:rPr>
          <w:rFonts w:hint="eastAsia"/>
          <w:color w:val="auto"/>
          <w:sz w:val="24"/>
          <w:szCs w:val="24"/>
          <w:highlight w:val="none"/>
          <w:lang w:eastAsia="zh-CN"/>
        </w:rPr>
        <w:t>，</w:t>
      </w:r>
      <w:r>
        <w:rPr>
          <w:rFonts w:hint="eastAsia"/>
          <w:color w:val="auto"/>
          <w:sz w:val="24"/>
          <w:szCs w:val="24"/>
          <w:highlight w:val="none"/>
        </w:rPr>
        <w:t>严格按照体检的技术指标和操作规范，确保体检质量和检查结果的准确性，做到不漏检、不误检。</w:t>
      </w:r>
      <w:r>
        <w:rPr>
          <w:rFonts w:hint="eastAsia" w:eastAsia="宋体"/>
          <w:color w:val="auto"/>
          <w:sz w:val="24"/>
          <w:szCs w:val="24"/>
          <w:highlight w:val="none"/>
          <w:lang w:val="en-US" w:eastAsia="zh-CN"/>
        </w:rPr>
        <w:t>供应商须提供有关资质证明复印件材料。</w:t>
      </w:r>
    </w:p>
    <w:p w14:paraId="1C3AC98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eastAsia="宋体"/>
          <w:color w:val="auto"/>
          <w:sz w:val="24"/>
          <w:szCs w:val="24"/>
          <w:highlight w:val="none"/>
          <w:lang w:val="en-US" w:eastAsia="zh-CN"/>
        </w:rPr>
        <w:t>2、供应商须具有1日内承接至少2000名高校新生入学体检的能力，组织不少于20人的体检团队为体检服务，允许采购人调整体检人数。供应商须提供自2020年1月1日以来的至少一个类似业绩证明材料复印件。</w:t>
      </w:r>
    </w:p>
    <w:p w14:paraId="286D4B9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3、</w:t>
      </w:r>
      <w:r>
        <w:rPr>
          <w:rFonts w:hint="eastAsia"/>
          <w:color w:val="auto"/>
          <w:sz w:val="24"/>
          <w:szCs w:val="24"/>
          <w:highlight w:val="none"/>
          <w:lang w:eastAsia="zh-CN"/>
        </w:rPr>
        <w:t>按照学校体检工作时间安排</w:t>
      </w:r>
      <w:r>
        <w:rPr>
          <w:rFonts w:hint="eastAsia"/>
          <w:color w:val="auto"/>
          <w:sz w:val="24"/>
          <w:szCs w:val="24"/>
          <w:highlight w:val="none"/>
        </w:rPr>
        <w:t>，体检前一周发送《体检温馨提示》</w:t>
      </w:r>
      <w:r>
        <w:rPr>
          <w:rFonts w:hint="eastAsia"/>
          <w:color w:val="auto"/>
          <w:sz w:val="24"/>
          <w:szCs w:val="24"/>
          <w:highlight w:val="none"/>
          <w:lang w:eastAsia="zh-CN"/>
        </w:rPr>
        <w:t>；发放体检材料，</w:t>
      </w:r>
      <w:r>
        <w:rPr>
          <w:rFonts w:hint="eastAsia"/>
          <w:color w:val="auto"/>
          <w:sz w:val="24"/>
          <w:szCs w:val="24"/>
          <w:highlight w:val="none"/>
        </w:rPr>
        <w:t>上门体检提前考察场地及体检车用电需求满足</w:t>
      </w:r>
      <w:r>
        <w:rPr>
          <w:rFonts w:hint="eastAsia"/>
          <w:color w:val="auto"/>
          <w:sz w:val="24"/>
          <w:szCs w:val="24"/>
          <w:highlight w:val="none"/>
          <w:lang w:eastAsia="zh-CN"/>
        </w:rPr>
        <w:t>情况，保证按约定时间到达学校布置体检场所，开展体检工作，并及时收回体检表。</w:t>
      </w:r>
    </w:p>
    <w:p w14:paraId="033B888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val="en-US" w:eastAsia="zh-CN"/>
        </w:rPr>
        <w:t>、</w:t>
      </w:r>
      <w:r>
        <w:rPr>
          <w:rFonts w:hint="default"/>
          <w:color w:val="auto"/>
          <w:sz w:val="24"/>
          <w:szCs w:val="24"/>
          <w:highlight w:val="none"/>
        </w:rPr>
        <w:t>供应商</w:t>
      </w:r>
      <w:r>
        <w:rPr>
          <w:color w:val="auto"/>
          <w:sz w:val="24"/>
          <w:szCs w:val="24"/>
          <w:highlight w:val="none"/>
        </w:rPr>
        <w:t>需配备</w:t>
      </w:r>
      <w:r>
        <w:rPr>
          <w:rFonts w:hint="eastAsia"/>
          <w:color w:val="auto"/>
          <w:sz w:val="24"/>
          <w:szCs w:val="24"/>
          <w:highlight w:val="none"/>
          <w:lang w:val="en-US" w:eastAsia="zh-CN"/>
        </w:rPr>
        <w:t>至少2</w:t>
      </w:r>
      <w:r>
        <w:rPr>
          <w:color w:val="auto"/>
          <w:sz w:val="24"/>
          <w:szCs w:val="24"/>
          <w:highlight w:val="none"/>
        </w:rPr>
        <w:t>台性能良好、符合国家标准的DR车，用于胸部DR检查，设备需在有效期内且定期维护。</w:t>
      </w:r>
    </w:p>
    <w:p w14:paraId="66CDADE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按双方预定时间段，安排上门体检</w:t>
      </w:r>
      <w:r>
        <w:rPr>
          <w:rFonts w:hint="eastAsia"/>
          <w:color w:val="auto"/>
          <w:sz w:val="24"/>
          <w:szCs w:val="24"/>
          <w:highlight w:val="none"/>
          <w:lang w:eastAsia="zh-CN"/>
        </w:rPr>
        <w:t>。</w:t>
      </w:r>
      <w:r>
        <w:rPr>
          <w:rFonts w:hint="eastAsia"/>
          <w:color w:val="auto"/>
          <w:sz w:val="24"/>
          <w:szCs w:val="24"/>
          <w:highlight w:val="none"/>
        </w:rPr>
        <w:t>新生注册当日，分别安排1台DR体检车到两个校区为新生进行胸部DR检测，检查异常（肺结核、胸腔积液等）的学生，当日立即通报学校</w:t>
      </w:r>
      <w:r>
        <w:rPr>
          <w:rFonts w:hint="eastAsia"/>
          <w:color w:val="auto"/>
          <w:sz w:val="24"/>
          <w:szCs w:val="24"/>
          <w:highlight w:val="none"/>
          <w:lang w:val="en-US" w:eastAsia="zh-CN"/>
        </w:rPr>
        <w:t>医务</w:t>
      </w:r>
      <w:r>
        <w:rPr>
          <w:rFonts w:hint="eastAsia"/>
          <w:color w:val="auto"/>
          <w:sz w:val="24"/>
          <w:szCs w:val="24"/>
          <w:highlight w:val="none"/>
        </w:rPr>
        <w:t>所工作人员。新生注册第二</w:t>
      </w:r>
      <w:r>
        <w:rPr>
          <w:rFonts w:hint="eastAsia"/>
          <w:color w:val="auto"/>
          <w:sz w:val="24"/>
          <w:szCs w:val="24"/>
          <w:highlight w:val="none"/>
          <w:lang w:eastAsia="zh-CN"/>
        </w:rPr>
        <w:t>、</w:t>
      </w:r>
      <w:r>
        <w:rPr>
          <w:rFonts w:hint="eastAsia"/>
          <w:color w:val="auto"/>
          <w:sz w:val="24"/>
          <w:szCs w:val="24"/>
          <w:highlight w:val="none"/>
          <w:lang w:val="en-US" w:eastAsia="zh-CN"/>
        </w:rPr>
        <w:t>三</w:t>
      </w:r>
      <w:r>
        <w:rPr>
          <w:rFonts w:hint="eastAsia"/>
          <w:color w:val="auto"/>
          <w:sz w:val="24"/>
          <w:szCs w:val="24"/>
          <w:highlight w:val="none"/>
        </w:rPr>
        <w:t>日，自备</w:t>
      </w:r>
      <w:r>
        <w:rPr>
          <w:rFonts w:hint="eastAsia"/>
          <w:color w:val="auto"/>
          <w:sz w:val="24"/>
          <w:szCs w:val="24"/>
          <w:highlight w:val="none"/>
          <w:lang w:val="en-US" w:eastAsia="zh-CN"/>
        </w:rPr>
        <w:t>体检器械</w:t>
      </w:r>
      <w:r>
        <w:rPr>
          <w:rFonts w:hint="eastAsia"/>
          <w:color w:val="auto"/>
          <w:sz w:val="24"/>
          <w:szCs w:val="24"/>
          <w:highlight w:val="none"/>
        </w:rPr>
        <w:t>、</w:t>
      </w:r>
      <w:r>
        <w:rPr>
          <w:rFonts w:hint="eastAsia"/>
          <w:color w:val="auto"/>
          <w:sz w:val="24"/>
          <w:szCs w:val="24"/>
          <w:highlight w:val="none"/>
          <w:lang w:val="en-US" w:eastAsia="zh-CN"/>
        </w:rPr>
        <w:t>医疗耗材</w:t>
      </w:r>
      <w:r>
        <w:rPr>
          <w:rFonts w:hint="eastAsia"/>
          <w:color w:val="auto"/>
          <w:sz w:val="24"/>
          <w:szCs w:val="24"/>
          <w:highlight w:val="none"/>
        </w:rPr>
        <w:t>，将专业体检设备</w:t>
      </w:r>
      <w:r>
        <w:rPr>
          <w:rFonts w:hint="eastAsia"/>
          <w:color w:val="auto"/>
          <w:sz w:val="24"/>
          <w:szCs w:val="24"/>
          <w:highlight w:val="none"/>
          <w:lang w:val="en-US" w:eastAsia="zh-CN"/>
        </w:rPr>
        <w:t>耗材</w:t>
      </w:r>
      <w:r>
        <w:rPr>
          <w:rFonts w:hint="eastAsia"/>
          <w:color w:val="auto"/>
          <w:sz w:val="24"/>
          <w:szCs w:val="24"/>
          <w:highlight w:val="none"/>
        </w:rPr>
        <w:t>运到学校</w:t>
      </w:r>
      <w:r>
        <w:rPr>
          <w:rFonts w:hint="eastAsia"/>
          <w:color w:val="auto"/>
          <w:sz w:val="24"/>
          <w:szCs w:val="24"/>
          <w:highlight w:val="none"/>
          <w:lang w:val="en-US" w:eastAsia="zh-CN"/>
        </w:rPr>
        <w:t>体检场地</w:t>
      </w:r>
      <w:r>
        <w:rPr>
          <w:rFonts w:hint="eastAsia"/>
          <w:color w:val="auto"/>
          <w:sz w:val="24"/>
          <w:szCs w:val="24"/>
          <w:highlight w:val="none"/>
        </w:rPr>
        <w:t>，在校内完成新生全部体检项目</w:t>
      </w:r>
      <w:r>
        <w:rPr>
          <w:rFonts w:hint="eastAsia"/>
          <w:color w:val="auto"/>
          <w:sz w:val="24"/>
          <w:szCs w:val="24"/>
          <w:highlight w:val="none"/>
          <w:lang w:eastAsia="zh-CN"/>
        </w:rPr>
        <w:t>；体检时</w:t>
      </w:r>
      <w:r>
        <w:rPr>
          <w:rFonts w:hint="eastAsia"/>
          <w:color w:val="auto"/>
          <w:sz w:val="24"/>
          <w:szCs w:val="24"/>
          <w:highlight w:val="none"/>
          <w:lang w:val="en-US" w:eastAsia="zh-CN"/>
        </w:rPr>
        <w:t>配置足够采</w:t>
      </w:r>
      <w:r>
        <w:rPr>
          <w:rFonts w:hint="eastAsia"/>
          <w:color w:val="auto"/>
          <w:sz w:val="24"/>
          <w:szCs w:val="24"/>
          <w:highlight w:val="none"/>
          <w:lang w:eastAsia="zh-CN"/>
        </w:rPr>
        <w:t>血人员，确保在当日1</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lang w:val="en-US" w:eastAsia="zh-CN"/>
        </w:rPr>
        <w:t>0</w:t>
      </w:r>
      <w:r>
        <w:rPr>
          <w:rFonts w:hint="eastAsia"/>
          <w:color w:val="auto"/>
          <w:sz w:val="24"/>
          <w:szCs w:val="24"/>
          <w:highlight w:val="none"/>
          <w:lang w:eastAsia="zh-CN"/>
        </w:rPr>
        <w:t>0前完成抽血。</w:t>
      </w:r>
    </w:p>
    <w:p w14:paraId="77B35C1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rPr>
      </w:pPr>
      <w:r>
        <w:rPr>
          <w:rFonts w:hint="eastAsia"/>
          <w:color w:val="auto"/>
          <w:sz w:val="24"/>
          <w:szCs w:val="24"/>
          <w:highlight w:val="none"/>
          <w:lang w:val="en-US" w:eastAsia="zh-CN"/>
        </w:rPr>
        <w:t>6、体检医务人员必须为供应商在职工作人员， 不允许有非供应商员工。拟投入医务人员中级职称比例不少于 50%，高级职称至少 3名，且体检医师必须具备医师资质和执业证书，其中DR检测的影像医生必须至少为中级职称；并为本项目指定一名项目负责人（兼总检医师，下同）， 项目负责人须具有副主任医师或以上职称。投标时提供相关人员及职责情况说明表，并提供人员资质、职称等证明材料以及投标前半年内投标人为其缴纳的任意一个月社保缴费证明材料。</w:t>
      </w:r>
    </w:p>
    <w:p w14:paraId="3C6C5D6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rPr>
        <w:t>体检过程中发现有心血管杂音的，怀疑有心血管疾病的，要求当场免费做心电图检查进行排查（心内科及心电图检查医生要求主治及以上职称的医生检查）</w:t>
      </w:r>
      <w:r>
        <w:rPr>
          <w:rFonts w:hint="eastAsia"/>
          <w:color w:val="auto"/>
          <w:sz w:val="24"/>
          <w:szCs w:val="24"/>
          <w:highlight w:val="none"/>
          <w:lang w:eastAsia="zh-CN"/>
        </w:rPr>
        <w:t>。</w:t>
      </w:r>
    </w:p>
    <w:p w14:paraId="30514D7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人员分流：体检项目根据场地合理规划区域，现场安排工作人员疏导分流学生；</w:t>
      </w:r>
    </w:p>
    <w:p w14:paraId="0CAF563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设置应急处置区，</w:t>
      </w:r>
      <w:r>
        <w:rPr>
          <w:rFonts w:hint="eastAsia"/>
          <w:color w:val="auto"/>
          <w:sz w:val="24"/>
          <w:szCs w:val="24"/>
          <w:highlight w:val="none"/>
          <w:lang w:val="en-US" w:eastAsia="zh-CN"/>
        </w:rPr>
        <w:t>设置</w:t>
      </w:r>
      <w:r>
        <w:rPr>
          <w:rFonts w:hint="eastAsia"/>
          <w:color w:val="auto"/>
          <w:sz w:val="24"/>
          <w:szCs w:val="24"/>
          <w:highlight w:val="none"/>
        </w:rPr>
        <w:t>应急救治小组</w:t>
      </w:r>
      <w:r>
        <w:rPr>
          <w:rFonts w:hint="eastAsia"/>
          <w:color w:val="auto"/>
          <w:sz w:val="24"/>
          <w:szCs w:val="24"/>
          <w:highlight w:val="none"/>
          <w:lang w:eastAsia="zh-CN"/>
        </w:rPr>
        <w:t>，</w:t>
      </w:r>
      <w:r>
        <w:rPr>
          <w:rFonts w:hint="eastAsia"/>
          <w:color w:val="auto"/>
          <w:sz w:val="24"/>
          <w:szCs w:val="24"/>
          <w:highlight w:val="none"/>
        </w:rPr>
        <w:t>携带应急用品及药品，</w:t>
      </w:r>
      <w:r>
        <w:rPr>
          <w:rFonts w:hint="eastAsia"/>
          <w:color w:val="auto"/>
          <w:sz w:val="24"/>
          <w:szCs w:val="24"/>
          <w:highlight w:val="none"/>
          <w:lang w:val="en-US" w:eastAsia="zh-CN"/>
        </w:rPr>
        <w:t>负责现场抢救处置、</w:t>
      </w:r>
      <w:r>
        <w:rPr>
          <w:rFonts w:hint="eastAsia"/>
          <w:color w:val="auto"/>
          <w:sz w:val="24"/>
          <w:szCs w:val="24"/>
          <w:highlight w:val="none"/>
        </w:rPr>
        <w:t>晕血、晕针、低血糖等突发情况；</w:t>
      </w:r>
    </w:p>
    <w:p w14:paraId="22F04A0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10、体检现场产生的医疗垃圾由供应商负责管理，体检完毕，由供应商负责将所有的医疗垃圾回收后带走集中处理。</w:t>
      </w:r>
    </w:p>
    <w:p w14:paraId="1A78DB8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11、对体检发现有异常检查结果的学生，要提出针对性对策建议，协助安排后续复查、指导就诊，所有异常结果提供免费复查1次；发现传染病或其它重大疾病应按有关规定及时以书面形式向学生本人和学校反馈。</w:t>
      </w:r>
    </w:p>
    <w:p w14:paraId="1E0A5C0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eastAsiaTheme="minorEastAsia"/>
          <w:color w:val="auto"/>
          <w:sz w:val="24"/>
          <w:szCs w:val="24"/>
          <w:highlight w:val="none"/>
          <w:lang w:val="en-US" w:eastAsia="zh-CN"/>
        </w:rPr>
      </w:pPr>
      <w:r>
        <w:rPr>
          <w:rFonts w:hint="eastAsia"/>
          <w:color w:val="auto"/>
          <w:sz w:val="24"/>
          <w:szCs w:val="24"/>
          <w:highlight w:val="none"/>
          <w:lang w:val="en-US" w:eastAsia="zh-CN"/>
        </w:rPr>
        <w:t>12、</w:t>
      </w:r>
      <w:r>
        <w:rPr>
          <w:color w:val="auto"/>
          <w:sz w:val="24"/>
          <w:szCs w:val="24"/>
          <w:highlight w:val="none"/>
        </w:rPr>
        <w:t>补检服务：为因特殊原因未能在集中体检日参加体检的学生提供补检服务，</w:t>
      </w:r>
      <w:r>
        <w:rPr>
          <w:rFonts w:hint="eastAsia"/>
          <w:color w:val="auto"/>
          <w:sz w:val="24"/>
          <w:szCs w:val="24"/>
          <w:highlight w:val="none"/>
        </w:rPr>
        <w:t>在规定时间内，可以自行前往</w:t>
      </w:r>
      <w:r>
        <w:rPr>
          <w:rFonts w:hint="eastAsia"/>
          <w:color w:val="auto"/>
          <w:sz w:val="24"/>
          <w:szCs w:val="24"/>
          <w:highlight w:val="none"/>
          <w:lang w:eastAsia="zh-CN"/>
        </w:rPr>
        <w:t>供应商</w:t>
      </w:r>
      <w:r>
        <w:rPr>
          <w:rFonts w:hint="eastAsia"/>
          <w:color w:val="auto"/>
          <w:sz w:val="24"/>
          <w:szCs w:val="24"/>
          <w:highlight w:val="none"/>
        </w:rPr>
        <w:t>体检中心补检</w:t>
      </w:r>
      <w:r>
        <w:rPr>
          <w:rFonts w:hint="eastAsia"/>
          <w:color w:val="auto"/>
          <w:sz w:val="24"/>
          <w:szCs w:val="24"/>
          <w:highlight w:val="none"/>
          <w:lang w:eastAsia="zh-CN"/>
        </w:rPr>
        <w:t>，</w:t>
      </w:r>
      <w:r>
        <w:rPr>
          <w:color w:val="auto"/>
          <w:sz w:val="24"/>
          <w:szCs w:val="24"/>
          <w:highlight w:val="none"/>
        </w:rPr>
        <w:t>流程和质量与集中体检一致</w:t>
      </w:r>
      <w:r>
        <w:rPr>
          <w:rFonts w:hint="eastAsia"/>
          <w:color w:val="auto"/>
          <w:sz w:val="24"/>
          <w:szCs w:val="24"/>
          <w:highlight w:val="none"/>
          <w:lang w:eastAsia="zh-CN"/>
        </w:rPr>
        <w:t>，补检不额外收费；</w:t>
      </w:r>
    </w:p>
    <w:p w14:paraId="01AAC35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highlight w:val="none"/>
          <w:lang w:val="en-US" w:eastAsia="zh-CN"/>
        </w:rPr>
      </w:pPr>
      <w:r>
        <w:rPr>
          <w:rFonts w:hint="eastAsia"/>
          <w:color w:val="auto"/>
          <w:sz w:val="24"/>
          <w:szCs w:val="24"/>
          <w:highlight w:val="none"/>
          <w:lang w:val="en-US" w:eastAsia="zh-CN"/>
        </w:rPr>
        <w:t>13、学校</w:t>
      </w:r>
      <w:r>
        <w:rPr>
          <w:color w:val="auto"/>
          <w:sz w:val="24"/>
          <w:szCs w:val="24"/>
          <w:highlight w:val="none"/>
        </w:rPr>
        <w:t>体检结束后</w:t>
      </w:r>
      <w:r>
        <w:rPr>
          <w:rFonts w:hint="eastAsia"/>
          <w:color w:val="auto"/>
          <w:sz w:val="24"/>
          <w:szCs w:val="24"/>
          <w:highlight w:val="none"/>
          <w:lang w:val="en-US" w:eastAsia="zh-CN"/>
        </w:rPr>
        <w:t>1</w:t>
      </w:r>
      <w:r>
        <w:rPr>
          <w:color w:val="auto"/>
          <w:sz w:val="24"/>
          <w:szCs w:val="24"/>
          <w:highlight w:val="none"/>
        </w:rPr>
        <w:t>5个</w:t>
      </w:r>
      <w:r>
        <w:rPr>
          <w:rFonts w:hint="eastAsia"/>
          <w:color w:val="auto"/>
          <w:sz w:val="24"/>
          <w:szCs w:val="24"/>
          <w:highlight w:val="none"/>
          <w:lang w:val="en-US" w:eastAsia="zh-CN"/>
        </w:rPr>
        <w:t>日历</w:t>
      </w:r>
      <w:r>
        <w:rPr>
          <w:color w:val="auto"/>
          <w:sz w:val="24"/>
          <w:szCs w:val="24"/>
          <w:highlight w:val="none"/>
        </w:rPr>
        <w:t>日内，完成体检数据的统计、分析和汇总工作，为每个学生出具详细的体检报告</w:t>
      </w:r>
      <w:r>
        <w:rPr>
          <w:rFonts w:hint="eastAsia"/>
          <w:color w:val="auto"/>
          <w:sz w:val="24"/>
          <w:szCs w:val="24"/>
          <w:highlight w:val="none"/>
          <w:lang w:val="en-US" w:eastAsia="zh-CN"/>
        </w:rPr>
        <w:t>及匹配的化验单</w:t>
      </w:r>
      <w:r>
        <w:rPr>
          <w:color w:val="auto"/>
          <w:sz w:val="24"/>
          <w:szCs w:val="24"/>
          <w:highlight w:val="none"/>
        </w:rPr>
        <w:t>，并提供整体的</w:t>
      </w:r>
      <w:r>
        <w:rPr>
          <w:rFonts w:hint="eastAsia"/>
          <w:color w:val="auto"/>
          <w:sz w:val="24"/>
          <w:szCs w:val="24"/>
          <w:highlight w:val="none"/>
          <w:lang w:val="en-US" w:eastAsia="zh-CN"/>
        </w:rPr>
        <w:t>加盖公章的</w:t>
      </w:r>
      <w:r>
        <w:rPr>
          <w:color w:val="auto"/>
          <w:sz w:val="24"/>
          <w:szCs w:val="24"/>
          <w:highlight w:val="none"/>
        </w:rPr>
        <w:t>体检总结报告</w:t>
      </w:r>
      <w:r>
        <w:rPr>
          <w:rFonts w:hint="eastAsia"/>
          <w:color w:val="auto"/>
          <w:sz w:val="24"/>
          <w:szCs w:val="24"/>
          <w:highlight w:val="none"/>
          <w:lang w:val="en-US" w:eastAsia="zh-CN"/>
        </w:rPr>
        <w:t>及异常结果汇总表，</w:t>
      </w:r>
      <w:r>
        <w:rPr>
          <w:color w:val="auto"/>
          <w:sz w:val="24"/>
          <w:szCs w:val="24"/>
          <w:highlight w:val="none"/>
        </w:rPr>
        <w:t>报告需以纸质版和电子版两种形式提交</w:t>
      </w:r>
      <w:r>
        <w:rPr>
          <w:rFonts w:hint="eastAsia"/>
          <w:color w:val="auto"/>
          <w:sz w:val="24"/>
          <w:szCs w:val="24"/>
          <w:highlight w:val="none"/>
        </w:rPr>
        <w:t>送至采购方指定签收处</w:t>
      </w:r>
      <w:r>
        <w:rPr>
          <w:rFonts w:hint="eastAsia"/>
          <w:color w:val="auto"/>
          <w:sz w:val="24"/>
          <w:szCs w:val="24"/>
          <w:highlight w:val="none"/>
          <w:lang w:eastAsia="zh-CN"/>
        </w:rPr>
        <w:t>，</w:t>
      </w:r>
      <w:r>
        <w:rPr>
          <w:rFonts w:hint="eastAsia"/>
          <w:color w:val="auto"/>
          <w:sz w:val="24"/>
          <w:szCs w:val="24"/>
          <w:highlight w:val="none"/>
          <w:lang w:val="en-US" w:eastAsia="zh-CN"/>
        </w:rPr>
        <w:t>在收到体检汇款后开具正规发票。</w:t>
      </w:r>
    </w:p>
    <w:p w14:paraId="404184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14、供应商在为学生体检过程中一切操作规程必须符合国家法律法规，如因操作不规范所造成的人身安全事故由供应商承担。</w:t>
      </w:r>
    </w:p>
    <w:p w14:paraId="489B70D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15、</w:t>
      </w:r>
      <w:r>
        <w:rPr>
          <w:color w:val="auto"/>
          <w:sz w:val="24"/>
          <w:szCs w:val="24"/>
          <w:highlight w:val="none"/>
        </w:rPr>
        <w:t>严格保护学生的个人隐私和体检信息，不得向任何第三方泄露</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除法律、法规规定的范围之内</w:t>
      </w:r>
      <w:r>
        <w:rPr>
          <w:rFonts w:hint="eastAsia" w:eastAsia="宋体"/>
          <w:color w:val="auto"/>
          <w:sz w:val="24"/>
          <w:szCs w:val="24"/>
          <w:highlight w:val="none"/>
          <w:lang w:eastAsia="zh-CN"/>
        </w:rPr>
        <w:t>）</w:t>
      </w:r>
      <w:r>
        <w:rPr>
          <w:color w:val="auto"/>
          <w:sz w:val="24"/>
          <w:szCs w:val="24"/>
          <w:highlight w:val="none"/>
        </w:rPr>
        <w:t>，体检数据的存储和传输需采取安全加密措施</w:t>
      </w:r>
      <w:r>
        <w:rPr>
          <w:rFonts w:hint="eastAsia"/>
          <w:color w:val="auto"/>
          <w:sz w:val="24"/>
          <w:szCs w:val="24"/>
          <w:highlight w:val="none"/>
          <w:lang w:eastAsia="zh-CN"/>
        </w:rPr>
        <w:t>，</w:t>
      </w:r>
      <w:r>
        <w:rPr>
          <w:rFonts w:hint="eastAsia"/>
          <w:color w:val="auto"/>
          <w:sz w:val="24"/>
          <w:szCs w:val="24"/>
          <w:highlight w:val="none"/>
          <w:lang w:val="en-US" w:eastAsia="zh-CN"/>
        </w:rPr>
        <w:t>泄密引起的一切后果由供应商承担。</w:t>
      </w:r>
    </w:p>
    <w:p w14:paraId="6D678DE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16、协助保障：采购方学校内出现传染病疫情（如肺结核），</w:t>
      </w:r>
      <w:r>
        <w:rPr>
          <w:rFonts w:hint="default"/>
          <w:color w:val="auto"/>
          <w:sz w:val="24"/>
          <w:szCs w:val="24"/>
          <w:highlight w:val="none"/>
        </w:rPr>
        <w:t>供应商</w:t>
      </w:r>
      <w:r>
        <w:rPr>
          <w:rFonts w:hint="eastAsia"/>
          <w:color w:val="auto"/>
          <w:sz w:val="24"/>
          <w:szCs w:val="24"/>
          <w:highlight w:val="none"/>
          <w:lang w:val="en-US" w:eastAsia="zh-CN"/>
        </w:rPr>
        <w:t>接到学校协助排查密接者的通知，须第一时间派出DR车到学校协助排查。</w:t>
      </w:r>
    </w:p>
    <w:p w14:paraId="265DC64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17、体检</w:t>
      </w:r>
      <w:r>
        <w:rPr>
          <w:rFonts w:hint="eastAsia"/>
          <w:color w:val="auto"/>
          <w:sz w:val="24"/>
          <w:szCs w:val="24"/>
          <w:highlight w:val="none"/>
        </w:rPr>
        <w:t>报告解读咨询服务。合同期限内，可提供定期健康讲座、大型项目期间的医疗救助支持。</w:t>
      </w:r>
    </w:p>
    <w:p w14:paraId="0173D39A">
      <w:pPr>
        <w:pStyle w:val="7"/>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18、该项目不接受联合体竞标，不允许转包。</w:t>
      </w:r>
    </w:p>
    <w:p w14:paraId="2492BAEF">
      <w:pPr>
        <w:pStyle w:val="7"/>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19、本项目服务期限为自合同签订之日起一年。</w:t>
      </w:r>
    </w:p>
    <w:p w14:paraId="311CFD26">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采购控制价</w:t>
      </w:r>
    </w:p>
    <w:p w14:paraId="66762A59">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本项目每个学生体检费用采购控制价为85.6元/人。供应商须报出每个学生体检费用的价格（价格超过控制价的投标视为无效投标，本项目不允许负偏离）。本项目实际支出总费用=每个学生体检费用的成交价格</w:t>
      </w:r>
      <w:r>
        <w:rPr>
          <w:rFonts w:hint="default" w:ascii="Arial" w:hAnsi="Arial" w:cs="Arial"/>
          <w:b w:val="0"/>
          <w:bCs w:val="0"/>
          <w:color w:val="auto"/>
          <w:sz w:val="24"/>
          <w:szCs w:val="24"/>
          <w:highlight w:val="none"/>
          <w:lang w:val="en-US" w:eastAsia="zh-CN"/>
        </w:rPr>
        <w:t>×</w:t>
      </w:r>
      <w:r>
        <w:rPr>
          <w:rFonts w:hint="eastAsia" w:asciiTheme="minorHAnsi" w:hAnsiTheme="minorHAnsi" w:cstheme="minorBidi"/>
          <w:b w:val="0"/>
          <w:bCs w:val="0"/>
          <w:color w:val="auto"/>
          <w:sz w:val="24"/>
          <w:szCs w:val="24"/>
          <w:highlight w:val="none"/>
          <w:lang w:val="en-US" w:eastAsia="zh-CN"/>
        </w:rPr>
        <w:t>实际参与体检的学生人数。</w:t>
      </w:r>
    </w:p>
    <w:p w14:paraId="6665DF5B">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投标人资质要求</w:t>
      </w:r>
    </w:p>
    <w:p w14:paraId="6F197EB9">
      <w:pPr>
        <w:pStyle w:val="8"/>
        <w:keepNext w:val="0"/>
        <w:keepLines w:val="0"/>
        <w:pageBreakBefore w:val="0"/>
        <w:numPr>
          <w:ilvl w:val="0"/>
          <w:numId w:val="3"/>
        </w:numPr>
        <w:kinsoku/>
        <w:wordWrap/>
        <w:overflowPunct/>
        <w:topLinePunct w:val="0"/>
        <w:autoSpaceDE/>
        <w:autoSpaceDN/>
        <w:bidi w:val="0"/>
        <w:adjustRightInd/>
        <w:snapToGrid/>
        <w:spacing w:line="360" w:lineRule="auto"/>
        <w:ind w:left="360" w:firstLine="0"/>
        <w:jc w:val="both"/>
        <w:textAlignment w:val="auto"/>
        <w:rPr>
          <w:rFonts w:hint="eastAsia"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供应商必须具有独立法人资格及医疗机构执业许可证，是南宁市范围内公立性质</w:t>
      </w:r>
    </w:p>
    <w:p w14:paraId="5CE5F5C8">
      <w:pPr>
        <w:pStyle w:val="8"/>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的具备健康体检资质的医疗卫生机构。投标时提供营业执照及相关资质证明文件复印件。</w:t>
      </w:r>
    </w:p>
    <w:p w14:paraId="2F43FB4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供应商须提供自2020年1月1日以来的至少一个类似业绩证明材料复印件，以</w:t>
      </w:r>
    </w:p>
    <w:p w14:paraId="1776DF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合同复印件或中标（成交）通知书为准。</w:t>
      </w:r>
    </w:p>
    <w:p w14:paraId="0719C0E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供应商拟投入的体检医务人员必须为供应商在职工作人员， 且</w:t>
      </w:r>
      <w:r>
        <w:rPr>
          <w:color w:val="auto"/>
          <w:spacing w:val="-3"/>
          <w:sz w:val="24"/>
          <w:szCs w:val="24"/>
          <w:highlight w:val="none"/>
        </w:rPr>
        <w:t>拟投入项目实施医</w:t>
      </w:r>
    </w:p>
    <w:p w14:paraId="055CA1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color w:val="auto"/>
          <w:spacing w:val="-3"/>
          <w:sz w:val="24"/>
          <w:szCs w:val="24"/>
          <w:highlight w:val="none"/>
        </w:rPr>
        <w:t xml:space="preserve">务人员不少于 </w:t>
      </w:r>
      <w:r>
        <w:rPr>
          <w:rFonts w:hint="eastAsia"/>
          <w:color w:val="auto"/>
          <w:spacing w:val="-3"/>
          <w:sz w:val="24"/>
          <w:szCs w:val="24"/>
          <w:highlight w:val="none"/>
          <w:lang w:val="en-US" w:eastAsia="zh-CN"/>
        </w:rPr>
        <w:t>20</w:t>
      </w:r>
      <w:r>
        <w:rPr>
          <w:color w:val="auto"/>
          <w:spacing w:val="-3"/>
          <w:sz w:val="24"/>
          <w:szCs w:val="24"/>
          <w:highlight w:val="none"/>
        </w:rPr>
        <w:t xml:space="preserve"> 人</w:t>
      </w:r>
      <w:r>
        <w:rPr>
          <w:rFonts w:hint="eastAsia"/>
          <w:color w:val="auto"/>
          <w:spacing w:val="-3"/>
          <w:sz w:val="24"/>
          <w:szCs w:val="24"/>
          <w:highlight w:val="none"/>
          <w:lang w:eastAsia="zh-CN"/>
        </w:rPr>
        <w:t>，</w:t>
      </w:r>
      <w:r>
        <w:rPr>
          <w:rFonts w:hint="eastAsia"/>
          <w:color w:val="auto"/>
          <w:sz w:val="24"/>
          <w:szCs w:val="24"/>
          <w:highlight w:val="none"/>
          <w:lang w:val="en-US" w:eastAsia="zh-CN"/>
        </w:rPr>
        <w:t>不允许有非供应商员工。拟投入医务人员中级职称比例不少于 50%，高级职称至少 3名，且体检医师必须具备医师资质和执业证书，其中DR检测的影像医生必须至少为中级职称；并为本项目指定一名项目负责人（兼总检医师，下同），项目负责人须具有副主任医师或以上职称。投标时提供相关人员及职责情况说明表，并提供人员资质、职称等证明材料以及投标前半年内投标人为其缴纳的任意一个月社保缴费证明材料。</w:t>
      </w:r>
    </w:p>
    <w:p w14:paraId="387F6C1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未被列入失信被执行人名单、重大税收违法案件当事人名单、政府采购严重违法</w:t>
      </w:r>
    </w:p>
    <w:p w14:paraId="0A3A01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失信行为记录名单，信用信息以最新的信用中国网站和中国政府采购网公布为准，请提供最新的信用中国网站和中国政府采购网的截图证明信息。</w:t>
      </w:r>
    </w:p>
    <w:p w14:paraId="7A10084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HAnsi" w:hAnsiTheme="minorHAnsi" w:eastAsiaTheme="minorEastAsia" w:cstheme="minorBidi"/>
          <w:i w:val="0"/>
          <w:iCs w:val="0"/>
          <w:caps w:val="0"/>
          <w:color w:val="auto"/>
          <w:spacing w:val="0"/>
          <w:kern w:val="2"/>
          <w:sz w:val="24"/>
          <w:szCs w:val="24"/>
          <w:highlight w:val="none"/>
          <w:shd w:val="clear"/>
          <w:lang w:bidi="ar-SA"/>
        </w:rPr>
      </w:pPr>
      <w:r>
        <w:rPr>
          <w:rFonts w:hint="eastAsia" w:asciiTheme="minorHAnsi" w:hAnsiTheme="minorHAnsi" w:eastAsiaTheme="minorEastAsia" w:cstheme="minorBidi"/>
          <w:b w:val="0"/>
          <w:i w:val="0"/>
          <w:iCs w:val="0"/>
          <w:caps w:val="0"/>
          <w:color w:val="auto"/>
          <w:spacing w:val="0"/>
          <w:kern w:val="2"/>
          <w:sz w:val="24"/>
          <w:szCs w:val="24"/>
          <w:highlight w:val="none"/>
          <w:shd w:val="clear"/>
          <w:lang w:bidi="ar-SA"/>
        </w:rPr>
        <w:t>  “信用中国”</w:t>
      </w:r>
      <w:r>
        <w:rPr>
          <w:rFonts w:hint="eastAsia" w:asciiTheme="minorHAnsi" w:hAnsiTheme="minorHAnsi" w:eastAsiaTheme="minorEastAsia" w:cstheme="minorBidi"/>
          <w:i w:val="0"/>
          <w:iCs w:val="0"/>
          <w:caps w:val="0"/>
          <w:color w:val="auto"/>
          <w:spacing w:val="0"/>
          <w:kern w:val="2"/>
          <w:sz w:val="24"/>
          <w:szCs w:val="24"/>
          <w:highlight w:val="none"/>
          <w:shd w:val="clear"/>
          <w:lang w:bidi="ar-SA"/>
        </w:rPr>
        <w:t>网站查询方法：投标人在本项目投标截止时间前10日内,进入投标人基本信息页面，点击“下载信用报告”后点击“下载”。</w:t>
      </w:r>
      <w:r>
        <w:rPr>
          <w:rFonts w:hint="eastAsia" w:asciiTheme="minorHAnsi" w:hAnsiTheme="minorHAnsi" w:eastAsiaTheme="minorEastAsia" w:cstheme="minorBidi"/>
          <w:b w:val="0"/>
          <w:i w:val="0"/>
          <w:iCs w:val="0"/>
          <w:caps w:val="0"/>
          <w:color w:val="auto"/>
          <w:spacing w:val="0"/>
          <w:kern w:val="2"/>
          <w:sz w:val="24"/>
          <w:szCs w:val="24"/>
          <w:highlight w:val="none"/>
          <w:shd w:val="clear"/>
          <w:lang w:bidi="ar-SA"/>
        </w:rPr>
        <w:t>“中国政府采购网”</w:t>
      </w:r>
      <w:r>
        <w:rPr>
          <w:rFonts w:hint="eastAsia" w:asciiTheme="minorHAnsi" w:hAnsiTheme="minorHAnsi" w:eastAsiaTheme="minorEastAsia" w:cstheme="minorBidi"/>
          <w:i w:val="0"/>
          <w:iCs w:val="0"/>
          <w:caps w:val="0"/>
          <w:color w:val="auto"/>
          <w:spacing w:val="0"/>
          <w:kern w:val="2"/>
          <w:sz w:val="24"/>
          <w:szCs w:val="24"/>
          <w:highlight w:val="none"/>
          <w:shd w:val="clear"/>
          <w:lang w:bidi="ar-SA"/>
        </w:rPr>
        <w:t>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5F6CA3BB">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leftChars="0" w:right="0" w:firstLine="0" w:firstLineChars="0"/>
        <w:jc w:val="left"/>
        <w:textAlignment w:val="auto"/>
        <w:rPr>
          <w:rFonts w:hint="eastAsia" w:asciiTheme="minorHAnsi" w:hAnsiTheme="minorHAnsi" w:eastAsiaTheme="minorEastAsia" w:cstheme="minorBidi"/>
          <w:i w:val="0"/>
          <w:iCs w:val="0"/>
          <w:caps w:val="0"/>
          <w:color w:val="auto"/>
          <w:spacing w:val="0"/>
          <w:kern w:val="2"/>
          <w:sz w:val="24"/>
          <w:szCs w:val="24"/>
          <w:highlight w:val="none"/>
          <w:lang w:bidi="ar-SA"/>
        </w:rPr>
      </w:pPr>
      <w:r>
        <w:rPr>
          <w:rFonts w:hint="eastAsia" w:asciiTheme="minorHAnsi" w:hAnsiTheme="minorHAnsi" w:eastAsiaTheme="minorEastAsia" w:cstheme="minorBidi"/>
          <w:i w:val="0"/>
          <w:iCs w:val="0"/>
          <w:caps w:val="0"/>
          <w:color w:val="auto"/>
          <w:spacing w:val="0"/>
          <w:kern w:val="2"/>
          <w:sz w:val="24"/>
          <w:szCs w:val="24"/>
          <w:highlight w:val="none"/>
          <w:lang w:bidi="ar-SA"/>
        </w:rPr>
        <w:t>单位负责人为同一人或者存在直接控股、管理关系的不同供应商，不得参加同一</w:t>
      </w:r>
    </w:p>
    <w:p w14:paraId="5AC5C3A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HAnsi" w:hAnsiTheme="minorHAnsi" w:eastAsiaTheme="minorEastAsia" w:cstheme="minorBidi"/>
          <w:i w:val="0"/>
          <w:iCs w:val="0"/>
          <w:caps w:val="0"/>
          <w:color w:val="auto"/>
          <w:spacing w:val="0"/>
          <w:kern w:val="2"/>
          <w:sz w:val="24"/>
          <w:szCs w:val="24"/>
          <w:highlight w:val="none"/>
          <w:lang w:bidi="ar-SA"/>
        </w:rPr>
      </w:pPr>
      <w:r>
        <w:rPr>
          <w:rFonts w:hint="eastAsia" w:asciiTheme="minorHAnsi" w:hAnsiTheme="minorHAnsi" w:eastAsiaTheme="minorEastAsia" w:cstheme="minorBidi"/>
          <w:i w:val="0"/>
          <w:iCs w:val="0"/>
          <w:caps w:val="0"/>
          <w:color w:val="auto"/>
          <w:spacing w:val="0"/>
          <w:kern w:val="2"/>
          <w:sz w:val="24"/>
          <w:szCs w:val="24"/>
          <w:highlight w:val="none"/>
          <w:lang w:bidi="ar-SA"/>
        </w:rPr>
        <w:t>合同项下的采购活动。本项目不接受联合体。（投标时提供附件</w:t>
      </w:r>
      <w:r>
        <w:rPr>
          <w:rFonts w:hint="eastAsia" w:asciiTheme="minorHAnsi" w:hAnsiTheme="minorHAnsi" w:eastAsiaTheme="minorEastAsia" w:cstheme="minorBidi"/>
          <w:i w:val="0"/>
          <w:iCs w:val="0"/>
          <w:caps w:val="0"/>
          <w:color w:val="auto"/>
          <w:spacing w:val="0"/>
          <w:kern w:val="2"/>
          <w:sz w:val="24"/>
          <w:szCs w:val="24"/>
          <w:highlight w:val="none"/>
          <w:lang w:val="en-US" w:eastAsia="zh-CN" w:bidi="ar-SA"/>
        </w:rPr>
        <w:t>投标人直接控股、管理关系表</w:t>
      </w:r>
      <w:r>
        <w:rPr>
          <w:rFonts w:hint="eastAsia" w:asciiTheme="minorHAnsi" w:hAnsiTheme="minorHAnsi" w:eastAsiaTheme="minorEastAsia" w:cstheme="minorBidi"/>
          <w:i w:val="0"/>
          <w:iCs w:val="0"/>
          <w:caps w:val="0"/>
          <w:color w:val="auto"/>
          <w:spacing w:val="0"/>
          <w:kern w:val="2"/>
          <w:sz w:val="24"/>
          <w:szCs w:val="24"/>
          <w:highlight w:val="none"/>
          <w:lang w:bidi="ar-SA"/>
        </w:rPr>
        <w:t>）</w:t>
      </w:r>
    </w:p>
    <w:p w14:paraId="1097385D">
      <w:pPr>
        <w:pStyle w:val="1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leftChars="0" w:right="0" w:rightChars="0" w:firstLine="0" w:firstLineChars="0"/>
        <w:jc w:val="left"/>
        <w:textAlignment w:val="auto"/>
        <w:rPr>
          <w:rFonts w:hint="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五、投标要求</w:t>
      </w:r>
    </w:p>
    <w:p w14:paraId="16666AB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（一）提供法人授权委托书（格式自拟）、有效的营业执照复印件（加盖单位公章）、被授权人身份证（复印件）及按第四大点资格要求列明的证明材料。</w:t>
      </w:r>
    </w:p>
    <w:p w14:paraId="288FBA8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（二）报价函（格式自拟，</w:t>
      </w:r>
      <w:r>
        <w:rPr>
          <w:rFonts w:hint="eastAsia" w:asciiTheme="minorHAnsi" w:hAnsiTheme="minorHAnsi" w:cstheme="minorBidi"/>
          <w:b w:val="0"/>
          <w:bCs w:val="0"/>
          <w:color w:val="auto"/>
          <w:sz w:val="24"/>
          <w:szCs w:val="24"/>
          <w:highlight w:val="none"/>
          <w:lang w:val="en-US" w:eastAsia="zh-CN"/>
        </w:rPr>
        <w:t>供应商须报出每个学生体检</w:t>
      </w:r>
      <w:r>
        <w:rPr>
          <w:rFonts w:hint="eastAsia" w:cstheme="minorBidi"/>
          <w:b w:val="0"/>
          <w:bCs w:val="0"/>
          <w:color w:val="auto"/>
          <w:sz w:val="24"/>
          <w:szCs w:val="24"/>
          <w:highlight w:val="none"/>
          <w:lang w:val="en-US" w:eastAsia="zh-CN"/>
        </w:rPr>
        <w:t>费用</w:t>
      </w:r>
      <w:r>
        <w:rPr>
          <w:rFonts w:hint="eastAsia" w:asciiTheme="minorHAnsi" w:hAnsiTheme="minorHAnsi" w:cstheme="minorBidi"/>
          <w:b w:val="0"/>
          <w:bCs w:val="0"/>
          <w:color w:val="auto"/>
          <w:sz w:val="24"/>
          <w:szCs w:val="24"/>
          <w:highlight w:val="none"/>
          <w:lang w:val="en-US" w:eastAsia="zh-CN"/>
        </w:rPr>
        <w:t>的价格</w:t>
      </w:r>
      <w:r>
        <w:rPr>
          <w:rFonts w:hint="eastAsia" w:asciiTheme="minorHAnsi" w:hAnsiTheme="minorHAnsi" w:eastAsiaTheme="minorEastAsia" w:cstheme="minorBidi"/>
          <w:color w:val="auto"/>
          <w:kern w:val="2"/>
          <w:sz w:val="24"/>
          <w:szCs w:val="24"/>
          <w:highlight w:val="none"/>
          <w:lang w:val="en-US" w:eastAsia="zh-CN" w:bidi="ar-SA"/>
        </w:rPr>
        <w:t>）。</w:t>
      </w:r>
    </w:p>
    <w:p w14:paraId="71AB44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（三）关于本项目的服务需求响应偏离表（格式自拟，需与本项目服务需求逐项比对，写明偏离情况）</w:t>
      </w:r>
      <w:r>
        <w:rPr>
          <w:rFonts w:hint="eastAsia" w:cstheme="minorBidi"/>
          <w:color w:val="auto"/>
          <w:kern w:val="2"/>
          <w:sz w:val="24"/>
          <w:szCs w:val="24"/>
          <w:highlight w:val="none"/>
          <w:lang w:val="en-US" w:eastAsia="zh-CN" w:bidi="ar-SA"/>
        </w:rPr>
        <w:t>、</w:t>
      </w:r>
      <w:r>
        <w:rPr>
          <w:rFonts w:hint="eastAsia" w:asciiTheme="minorHAnsi" w:hAnsiTheme="minorHAnsi" w:eastAsiaTheme="minorEastAsia" w:cstheme="minorBidi"/>
          <w:color w:val="auto"/>
          <w:kern w:val="2"/>
          <w:sz w:val="24"/>
          <w:szCs w:val="24"/>
          <w:highlight w:val="none"/>
          <w:lang w:val="en-US" w:eastAsia="zh-CN" w:bidi="ar-SA"/>
        </w:rPr>
        <w:t>服务方案与服务承诺（格式自拟）。</w:t>
      </w:r>
    </w:p>
    <w:p w14:paraId="0991B3F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（四）根据评审标准提供的相关证明材料。</w:t>
      </w:r>
    </w:p>
    <w:p w14:paraId="7BEED5A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注：所有投标材料必须一正一副，且须加盖公章后密封提供。</w:t>
      </w:r>
    </w:p>
    <w:p w14:paraId="25B9F353">
      <w:pPr>
        <w:keepNext w:val="0"/>
        <w:keepLines w:val="0"/>
        <w:pageBreakBefore w:val="0"/>
        <w:widowControl w:val="0"/>
        <w:numPr>
          <w:ilvl w:val="-1"/>
          <w:numId w:val="0"/>
        </w:numPr>
        <w:kinsoku/>
        <w:wordWrap/>
        <w:overflowPunct/>
        <w:topLinePunct w:val="0"/>
        <w:bidi w:val="0"/>
        <w:adjustRightInd/>
        <w:snapToGrid/>
        <w:spacing w:line="360" w:lineRule="auto"/>
        <w:ind w:left="420" w:leftChars="0" w:firstLine="0" w:firstLineChars="0"/>
        <w:textAlignment w:val="auto"/>
        <w:rPr>
          <w:rFonts w:hint="eastAsia"/>
          <w:color w:val="auto"/>
          <w:highlight w:val="none"/>
          <w:lang w:val="en-US" w:eastAsia="zh-CN"/>
        </w:rPr>
      </w:pPr>
      <w:r>
        <w:rPr>
          <w:rFonts w:hint="eastAsia"/>
          <w:color w:val="auto"/>
          <w:sz w:val="24"/>
          <w:szCs w:val="24"/>
          <w:highlight w:val="none"/>
          <w:lang w:val="en-US" w:eastAsia="zh-CN"/>
        </w:rPr>
        <w:t>六、中标方式：综合评分法。详见附件评审标准。</w:t>
      </w:r>
    </w:p>
    <w:p w14:paraId="68FEA8C1">
      <w:pPr>
        <w:keepNext w:val="0"/>
        <w:keepLines w:val="0"/>
        <w:pageBreakBefore w:val="0"/>
        <w:widowControl w:val="0"/>
        <w:numPr>
          <w:ilvl w:val="-1"/>
          <w:numId w:val="0"/>
        </w:numPr>
        <w:kinsoku/>
        <w:wordWrap/>
        <w:overflowPunct/>
        <w:topLinePunct w:val="0"/>
        <w:bidi w:val="0"/>
        <w:adjustRightInd/>
        <w:snapToGrid/>
        <w:spacing w:line="360" w:lineRule="auto"/>
        <w:ind w:left="42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七、</w:t>
      </w:r>
      <w:r>
        <w:rPr>
          <w:rFonts w:hint="default"/>
          <w:color w:val="auto"/>
          <w:sz w:val="24"/>
          <w:szCs w:val="24"/>
          <w:highlight w:val="none"/>
          <w:lang w:val="en-US" w:eastAsia="zh-CN"/>
        </w:rPr>
        <w:t>投标截止时间和地点</w:t>
      </w:r>
    </w:p>
    <w:p w14:paraId="772F05F7">
      <w:pPr>
        <w:keepNext w:val="0"/>
        <w:keepLines w:val="0"/>
        <w:pageBreakBefore w:val="0"/>
        <w:widowControl w:val="0"/>
        <w:numPr>
          <w:ilvl w:val="0"/>
          <w:numId w:val="0"/>
        </w:numPr>
        <w:kinsoku/>
        <w:wordWrap/>
        <w:overflowPunct/>
        <w:topLinePunct w:val="0"/>
        <w:bidi w:val="0"/>
        <w:adjustRightInd/>
        <w:snapToGrid/>
        <w:spacing w:line="360" w:lineRule="auto"/>
        <w:ind w:left="420" w:left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投标时间：凡愿意且符合条件投标人，请于2025年6月</w:t>
      </w:r>
      <w:r>
        <w:rPr>
          <w:rFonts w:hint="eastAsia"/>
          <w:color w:val="auto"/>
          <w:sz w:val="24"/>
          <w:szCs w:val="24"/>
          <w:highlight w:val="none"/>
          <w:lang w:val="en-US" w:eastAsia="zh-CN"/>
        </w:rPr>
        <w:t>16</w:t>
      </w:r>
      <w:r>
        <w:rPr>
          <w:rFonts w:hint="default"/>
          <w:color w:val="auto"/>
          <w:sz w:val="24"/>
          <w:szCs w:val="24"/>
          <w:highlight w:val="none"/>
          <w:lang w:val="en-US" w:eastAsia="zh-CN"/>
        </w:rPr>
        <w:t>日上午9点至11点之间，将</w:t>
      </w:r>
    </w:p>
    <w:p w14:paraId="5EBF9179">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default"/>
          <w:color w:val="auto"/>
          <w:sz w:val="24"/>
          <w:szCs w:val="24"/>
          <w:highlight w:val="none"/>
          <w:lang w:val="en-US" w:eastAsia="zh-CN"/>
        </w:rPr>
      </w:pPr>
      <w:r>
        <w:rPr>
          <w:rFonts w:hint="default"/>
          <w:color w:val="auto"/>
          <w:sz w:val="24"/>
          <w:szCs w:val="24"/>
          <w:highlight w:val="none"/>
          <w:lang w:val="en-US" w:eastAsia="zh-CN"/>
        </w:rPr>
        <w:t>投标文件送达广西艺术学院财务资产处，其他时间不接收报名材料。投标地点：南宁市青秀区教育路7号广西艺术学院雕塑办公楼107室财务资产处采购管理科。联系人：李老师，高老师，联系电话：07715327987.</w:t>
      </w:r>
    </w:p>
    <w:p w14:paraId="7130E9D5">
      <w:pPr>
        <w:keepNext w:val="0"/>
        <w:keepLines w:val="0"/>
        <w:pageBreakBefore w:val="0"/>
        <w:widowControl w:val="0"/>
        <w:numPr>
          <w:ilvl w:val="0"/>
          <w:numId w:val="4"/>
        </w:numPr>
        <w:kinsoku/>
        <w:wordWrap/>
        <w:overflowPunct/>
        <w:topLinePunct w:val="0"/>
        <w:bidi w:val="0"/>
        <w:adjustRightInd/>
        <w:snapToGrid/>
        <w:spacing w:line="360" w:lineRule="auto"/>
        <w:ind w:left="420" w:leftChars="0" w:firstLine="0" w:firstLine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本次采购的相关信息（包括但不限于采购公告与附件及其修改、补充、澄清等，下同）在</w:t>
      </w:r>
    </w:p>
    <w:p w14:paraId="1ED27821">
      <w:pPr>
        <w:keepNext w:val="0"/>
        <w:keepLines w:val="0"/>
        <w:pageBreakBefore w:val="0"/>
        <w:widowControl w:val="0"/>
        <w:numPr>
          <w:ilvl w:val="-1"/>
          <w:numId w:val="0"/>
        </w:numPr>
        <w:kinsoku/>
        <w:wordWrap/>
        <w:overflowPunct/>
        <w:topLinePunct w:val="0"/>
        <w:bidi w:val="0"/>
        <w:adjustRightInd/>
        <w:snapToGrid/>
        <w:spacing w:line="360" w:lineRule="auto"/>
        <w:ind w:left="0" w:leftChars="0" w:firstLine="0" w:firstLineChars="0"/>
        <w:textAlignment w:val="auto"/>
        <w:rPr>
          <w:rFonts w:hint="default"/>
          <w:color w:val="auto"/>
          <w:sz w:val="24"/>
          <w:szCs w:val="24"/>
          <w:highlight w:val="none"/>
          <w:lang w:val="en-US" w:eastAsia="zh-CN"/>
        </w:rPr>
      </w:pPr>
      <w:bookmarkStart w:id="0" w:name="_GoBack"/>
      <w:bookmarkEnd w:id="0"/>
      <w:r>
        <w:rPr>
          <w:rFonts w:hint="default"/>
          <w:color w:val="auto"/>
          <w:sz w:val="24"/>
          <w:szCs w:val="24"/>
          <w:highlight w:val="none"/>
          <w:lang w:val="en-US" w:eastAsia="zh-CN"/>
        </w:rPr>
        <w:t>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14:paraId="14F86982">
      <w:pPr>
        <w:pStyle w:val="7"/>
        <w:rPr>
          <w:rFonts w:hint="default"/>
          <w:color w:val="auto"/>
          <w:highlight w:val="none"/>
          <w:lang w:val="en-US" w:eastAsia="zh-CN"/>
        </w:rPr>
      </w:pPr>
      <w:r>
        <w:rPr>
          <w:rFonts w:hint="eastAsia"/>
          <w:color w:val="auto"/>
          <w:sz w:val="24"/>
          <w:szCs w:val="24"/>
          <w:highlight w:val="none"/>
          <w:lang w:val="en-US" w:eastAsia="zh-CN"/>
        </w:rPr>
        <w:t xml:space="preserve">   </w:t>
      </w:r>
    </w:p>
    <w:p w14:paraId="0572E99F">
      <w:pPr>
        <w:pStyle w:val="7"/>
        <w:rPr>
          <w:rFonts w:hint="eastAsia"/>
          <w:color w:val="auto"/>
          <w:highlight w:val="none"/>
          <w:lang w:val="en-US" w:eastAsia="zh-CN"/>
        </w:rPr>
      </w:pPr>
    </w:p>
    <w:p w14:paraId="6C4DD5E0">
      <w:pPr>
        <w:pStyle w:val="7"/>
        <w:rPr>
          <w:rFonts w:hint="eastAsia"/>
          <w:color w:val="auto"/>
          <w:sz w:val="24"/>
          <w:szCs w:val="24"/>
          <w:highlight w:val="none"/>
          <w:lang w:val="en-US" w:eastAsia="zh-CN"/>
        </w:rPr>
      </w:pPr>
    </w:p>
    <w:p w14:paraId="7CD3C3DF">
      <w:pPr>
        <w:pStyle w:val="8"/>
        <w:rPr>
          <w:rFonts w:hint="eastAsia"/>
          <w:color w:val="auto"/>
          <w:highlight w:val="none"/>
          <w:lang w:val="en-US" w:eastAsia="zh-CN"/>
        </w:rPr>
      </w:pPr>
    </w:p>
    <w:p w14:paraId="4F8A64F6">
      <w:pPr>
        <w:pStyle w:val="7"/>
        <w:numPr>
          <w:ilvl w:val="0"/>
          <w:numId w:val="0"/>
        </w:numPr>
        <w:ind w:left="360" w:leftChars="0"/>
        <w:rPr>
          <w:rFonts w:hint="default" w:asciiTheme="minorHAnsi" w:hAnsiTheme="minorHAnsi" w:eastAsiaTheme="minorEastAsia" w:cstheme="minorBidi"/>
          <w:color w:val="auto"/>
          <w:kern w:val="2"/>
          <w:sz w:val="24"/>
          <w:szCs w:val="24"/>
          <w:highlight w:val="none"/>
          <w:lang w:val="en-US" w:eastAsia="zh-CN" w:bidi="ar-SA"/>
        </w:rPr>
      </w:pPr>
    </w:p>
    <w:p w14:paraId="5E6F14B6">
      <w:pPr>
        <w:pStyle w:val="7"/>
        <w:numPr>
          <w:ilvl w:val="-1"/>
          <w:numId w:val="0"/>
        </w:numPr>
        <w:ind w:left="0"/>
        <w:rPr>
          <w:rFonts w:hint="default"/>
          <w:color w:val="auto"/>
          <w:highlight w:val="none"/>
          <w:lang w:val="en-US" w:eastAsia="zh-CN"/>
        </w:rPr>
      </w:pPr>
    </w:p>
    <w:p w14:paraId="09438DEA">
      <w:pPr>
        <w:pStyle w:val="8"/>
        <w:numPr>
          <w:ilvl w:val="-1"/>
          <w:numId w:val="0"/>
        </w:numPr>
        <w:ind w:left="360" w:firstLine="0"/>
        <w:jc w:val="both"/>
        <w:rPr>
          <w:rFonts w:hint="eastAsia"/>
          <w:b w:val="0"/>
          <w:bCs w:val="0"/>
          <w:color w:val="auto"/>
          <w:sz w:val="24"/>
          <w:szCs w:val="24"/>
          <w:highlight w:val="none"/>
          <w:lang w:val="en-US" w:eastAsia="zh-CN"/>
        </w:rPr>
      </w:pPr>
    </w:p>
    <w:p w14:paraId="0D11CF0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019496F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25223EC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699B485A">
      <w:pPr>
        <w:spacing w:before="86" w:line="188" w:lineRule="auto"/>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b/>
          <w:bCs/>
          <w:color w:val="auto"/>
          <w:spacing w:val="3"/>
          <w:sz w:val="32"/>
          <w:szCs w:val="32"/>
          <w:highlight w:val="none"/>
          <w:lang w:val="en-US" w:eastAsia="zh-CN"/>
        </w:rPr>
        <w:t>附件一：</w:t>
      </w:r>
      <w:r>
        <w:rPr>
          <w:rFonts w:ascii="微软雅黑" w:hAnsi="微软雅黑" w:eastAsia="微软雅黑" w:cs="微软雅黑"/>
          <w:b/>
          <w:bCs/>
          <w:color w:val="auto"/>
          <w:spacing w:val="3"/>
          <w:sz w:val="32"/>
          <w:szCs w:val="32"/>
          <w:highlight w:val="none"/>
        </w:rPr>
        <w:t>评审标准</w:t>
      </w:r>
    </w:p>
    <w:p w14:paraId="5C0B8522">
      <w:pPr>
        <w:spacing w:before="81" w:line="177" w:lineRule="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8"/>
          <w:sz w:val="20"/>
          <w:szCs w:val="20"/>
          <w:highlight w:val="none"/>
        </w:rPr>
        <w:t>评分细则</w:t>
      </w:r>
      <w:r>
        <w:rPr>
          <w:rFonts w:ascii="微软雅黑" w:hAnsi="微软雅黑" w:eastAsia="微软雅黑" w:cs="微软雅黑"/>
          <w:color w:val="auto"/>
          <w:spacing w:val="-19"/>
          <w:sz w:val="20"/>
          <w:szCs w:val="20"/>
          <w:highlight w:val="none"/>
        </w:rPr>
        <w:t>：</w:t>
      </w:r>
      <w:r>
        <w:rPr>
          <w:rFonts w:ascii="微软雅黑" w:hAnsi="微软雅黑" w:eastAsia="微软雅黑" w:cs="微软雅黑"/>
          <w:color w:val="auto"/>
          <w:spacing w:val="-11"/>
          <w:sz w:val="20"/>
          <w:szCs w:val="20"/>
          <w:highlight w:val="none"/>
        </w:rPr>
        <w:t xml:space="preserve"> </w:t>
      </w:r>
      <w:r>
        <w:rPr>
          <w:rFonts w:ascii="微软雅黑" w:hAnsi="微软雅黑" w:eastAsia="微软雅黑" w:cs="微软雅黑"/>
          <w:color w:val="auto"/>
          <w:spacing w:val="-19"/>
          <w:sz w:val="20"/>
          <w:szCs w:val="20"/>
          <w:highlight w:val="none"/>
        </w:rPr>
        <w:t>（</w:t>
      </w:r>
      <w:r>
        <w:rPr>
          <w:rFonts w:ascii="微软雅黑" w:hAnsi="微软雅黑" w:eastAsia="微软雅黑" w:cs="微软雅黑"/>
          <w:color w:val="auto"/>
          <w:spacing w:val="8"/>
          <w:sz w:val="20"/>
          <w:szCs w:val="20"/>
          <w:highlight w:val="none"/>
        </w:rPr>
        <w:t>按四舍五入取至小数点后二位）</w:t>
      </w:r>
    </w:p>
    <w:tbl>
      <w:tblPr>
        <w:tblStyle w:val="34"/>
        <w:tblW w:w="101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720"/>
        <w:gridCol w:w="901"/>
        <w:gridCol w:w="7549"/>
      </w:tblGrid>
      <w:tr w14:paraId="6053D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981" w:type="dxa"/>
            <w:vAlign w:val="top"/>
          </w:tcPr>
          <w:p w14:paraId="57570979">
            <w:pPr>
              <w:pStyle w:val="41"/>
              <w:spacing w:before="155" w:line="171" w:lineRule="auto"/>
              <w:ind w:left="286"/>
              <w:rPr>
                <w:color w:val="auto"/>
                <w:highlight w:val="none"/>
              </w:rPr>
            </w:pPr>
            <w:r>
              <w:rPr>
                <w:b/>
                <w:bCs/>
                <w:color w:val="auto"/>
                <w:spacing w:val="5"/>
                <w:highlight w:val="none"/>
              </w:rPr>
              <w:t>项目</w:t>
            </w:r>
          </w:p>
        </w:tc>
        <w:tc>
          <w:tcPr>
            <w:tcW w:w="720" w:type="dxa"/>
            <w:vAlign w:val="top"/>
          </w:tcPr>
          <w:p w14:paraId="2DC750B8">
            <w:pPr>
              <w:pStyle w:val="41"/>
              <w:spacing w:before="154" w:line="172" w:lineRule="auto"/>
              <w:ind w:left="176"/>
              <w:rPr>
                <w:color w:val="auto"/>
                <w:highlight w:val="none"/>
              </w:rPr>
            </w:pPr>
            <w:r>
              <w:rPr>
                <w:b/>
                <w:bCs/>
                <w:color w:val="auto"/>
                <w:spacing w:val="-6"/>
                <w:highlight w:val="none"/>
              </w:rPr>
              <w:t>内容</w:t>
            </w:r>
          </w:p>
        </w:tc>
        <w:tc>
          <w:tcPr>
            <w:tcW w:w="901" w:type="dxa"/>
            <w:vAlign w:val="top"/>
          </w:tcPr>
          <w:p w14:paraId="198A08CA">
            <w:pPr>
              <w:pStyle w:val="41"/>
              <w:spacing w:before="152" w:line="173" w:lineRule="auto"/>
              <w:ind w:left="320"/>
              <w:rPr>
                <w:color w:val="auto"/>
                <w:highlight w:val="none"/>
              </w:rPr>
            </w:pPr>
            <w:r>
              <w:rPr>
                <w:b/>
                <w:bCs/>
                <w:color w:val="auto"/>
                <w:spacing w:val="7"/>
                <w:highlight w:val="none"/>
              </w:rPr>
              <w:t>分值</w:t>
            </w:r>
          </w:p>
        </w:tc>
        <w:tc>
          <w:tcPr>
            <w:tcW w:w="7549" w:type="dxa"/>
            <w:vAlign w:val="top"/>
          </w:tcPr>
          <w:p w14:paraId="34731FE1">
            <w:pPr>
              <w:pStyle w:val="41"/>
              <w:spacing w:before="154" w:line="172" w:lineRule="auto"/>
              <w:ind w:left="3355"/>
              <w:rPr>
                <w:color w:val="auto"/>
                <w:highlight w:val="none"/>
              </w:rPr>
            </w:pPr>
            <w:r>
              <w:rPr>
                <w:b/>
                <w:bCs/>
                <w:color w:val="auto"/>
                <w:spacing w:val="8"/>
                <w:highlight w:val="none"/>
              </w:rPr>
              <w:t>评分标准</w:t>
            </w:r>
          </w:p>
        </w:tc>
      </w:tr>
      <w:tr w14:paraId="0ACD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jc w:val="center"/>
        </w:trPr>
        <w:tc>
          <w:tcPr>
            <w:tcW w:w="981" w:type="dxa"/>
            <w:vAlign w:val="top"/>
          </w:tcPr>
          <w:p w14:paraId="32638D86">
            <w:pPr>
              <w:pStyle w:val="41"/>
              <w:tabs>
                <w:tab w:val="left" w:pos="735"/>
              </w:tabs>
              <w:spacing w:before="85" w:line="282" w:lineRule="auto"/>
              <w:ind w:left="113" w:right="239" w:firstLine="1"/>
              <w:jc w:val="center"/>
              <w:rPr>
                <w:color w:val="auto"/>
                <w:spacing w:val="7"/>
                <w:highlight w:val="none"/>
              </w:rPr>
            </w:pPr>
            <w:r>
              <w:rPr>
                <w:color w:val="auto"/>
                <w:spacing w:val="7"/>
                <w:highlight w:val="none"/>
              </w:rPr>
              <w:t>价</w:t>
            </w:r>
          </w:p>
          <w:p w14:paraId="71F091F3">
            <w:pPr>
              <w:pStyle w:val="41"/>
              <w:tabs>
                <w:tab w:val="left" w:pos="735"/>
              </w:tabs>
              <w:spacing w:before="85" w:line="282" w:lineRule="auto"/>
              <w:ind w:left="113" w:right="239" w:firstLine="1"/>
              <w:jc w:val="center"/>
              <w:rPr>
                <w:color w:val="auto"/>
                <w:spacing w:val="7"/>
                <w:highlight w:val="none"/>
              </w:rPr>
            </w:pPr>
            <w:r>
              <w:rPr>
                <w:color w:val="auto"/>
                <w:spacing w:val="7"/>
                <w:highlight w:val="none"/>
              </w:rPr>
              <w:t>格</w:t>
            </w:r>
          </w:p>
          <w:p w14:paraId="73EBEC3C">
            <w:pPr>
              <w:pStyle w:val="41"/>
              <w:tabs>
                <w:tab w:val="left" w:pos="735"/>
              </w:tabs>
              <w:spacing w:before="85" w:line="282" w:lineRule="auto"/>
              <w:ind w:left="113" w:right="239" w:firstLine="1"/>
              <w:jc w:val="center"/>
              <w:rPr>
                <w:color w:val="auto"/>
                <w:highlight w:val="none"/>
              </w:rPr>
            </w:pPr>
            <w:r>
              <w:rPr>
                <w:color w:val="auto"/>
                <w:spacing w:val="7"/>
                <w:highlight w:val="none"/>
              </w:rPr>
              <w:t>分</w:t>
            </w:r>
            <w:r>
              <w:rPr>
                <w:color w:val="auto"/>
                <w:highlight w:val="none"/>
              </w:rPr>
              <w:t xml:space="preserve"> </w:t>
            </w:r>
            <w:r>
              <w:rPr>
                <w:color w:val="auto"/>
                <w:spacing w:val="-17"/>
                <w:highlight w:val="none"/>
              </w:rPr>
              <w:t>（</w:t>
            </w:r>
            <w:r>
              <w:rPr>
                <w:color w:val="auto"/>
                <w:spacing w:val="-31"/>
                <w:highlight w:val="none"/>
              </w:rPr>
              <w:t xml:space="preserve"> </w:t>
            </w:r>
            <w:r>
              <w:rPr>
                <w:color w:val="auto"/>
                <w:spacing w:val="-17"/>
                <w:highlight w:val="none"/>
              </w:rPr>
              <w:t>20</w:t>
            </w:r>
            <w:r>
              <w:rPr>
                <w:color w:val="auto"/>
                <w:highlight w:val="none"/>
              </w:rPr>
              <w:tab/>
            </w:r>
            <w:r>
              <w:rPr>
                <w:color w:val="auto"/>
                <w:highlight w:val="none"/>
              </w:rPr>
              <w:t xml:space="preserve"> </w:t>
            </w:r>
            <w:r>
              <w:rPr>
                <w:color w:val="auto"/>
                <w:spacing w:val="1"/>
                <w:highlight w:val="none"/>
              </w:rPr>
              <w:t>分）</w:t>
            </w:r>
          </w:p>
        </w:tc>
        <w:tc>
          <w:tcPr>
            <w:tcW w:w="720" w:type="dxa"/>
            <w:vAlign w:val="center"/>
          </w:tcPr>
          <w:p w14:paraId="654F15DE">
            <w:pPr>
              <w:pStyle w:val="41"/>
              <w:spacing w:before="156" w:line="224" w:lineRule="auto"/>
              <w:ind w:left="151" w:right="151" w:firstLine="3"/>
              <w:jc w:val="center"/>
              <w:rPr>
                <w:color w:val="auto"/>
                <w:spacing w:val="4"/>
                <w:highlight w:val="none"/>
              </w:rPr>
            </w:pPr>
            <w:r>
              <w:rPr>
                <w:color w:val="auto"/>
                <w:spacing w:val="4"/>
                <w:highlight w:val="none"/>
              </w:rPr>
              <w:t>价格 分</w:t>
            </w:r>
          </w:p>
        </w:tc>
        <w:tc>
          <w:tcPr>
            <w:tcW w:w="901" w:type="dxa"/>
            <w:vAlign w:val="center"/>
          </w:tcPr>
          <w:p w14:paraId="0116B149">
            <w:pPr>
              <w:pStyle w:val="41"/>
              <w:spacing w:before="86" w:line="167" w:lineRule="auto"/>
              <w:jc w:val="center"/>
              <w:rPr>
                <w:color w:val="auto"/>
                <w:highlight w:val="none"/>
              </w:rPr>
            </w:pPr>
            <w:r>
              <w:rPr>
                <w:color w:val="auto"/>
                <w:spacing w:val="-10"/>
                <w:highlight w:val="none"/>
              </w:rPr>
              <w:t>20</w:t>
            </w:r>
          </w:p>
        </w:tc>
        <w:tc>
          <w:tcPr>
            <w:tcW w:w="7549" w:type="dxa"/>
            <w:vAlign w:val="top"/>
          </w:tcPr>
          <w:p w14:paraId="5C4E0E0E">
            <w:pPr>
              <w:pStyle w:val="41"/>
              <w:spacing w:before="146" w:line="218" w:lineRule="auto"/>
              <w:ind w:left="126"/>
              <w:rPr>
                <w:color w:val="auto"/>
                <w:highlight w:val="none"/>
              </w:rPr>
            </w:pPr>
            <w:r>
              <w:rPr>
                <w:color w:val="auto"/>
                <w:spacing w:val="6"/>
                <w:highlight w:val="none"/>
              </w:rPr>
              <w:t>1.价格分以有效供应商的最终报价计算</w:t>
            </w:r>
            <w:r>
              <w:rPr>
                <w:color w:val="auto"/>
                <w:spacing w:val="-27"/>
                <w:highlight w:val="none"/>
              </w:rPr>
              <w:t xml:space="preserve"> </w:t>
            </w:r>
            <w:r>
              <w:rPr>
                <w:color w:val="auto"/>
                <w:spacing w:val="6"/>
                <w:highlight w:val="none"/>
              </w:rPr>
              <w:t>。评标价=有效供应商的最</w:t>
            </w:r>
            <w:r>
              <w:rPr>
                <w:color w:val="auto"/>
                <w:spacing w:val="5"/>
                <w:highlight w:val="none"/>
              </w:rPr>
              <w:t>终报价。</w:t>
            </w:r>
          </w:p>
          <w:p w14:paraId="1D0F843A">
            <w:pPr>
              <w:pStyle w:val="41"/>
              <w:spacing w:before="89" w:line="277" w:lineRule="auto"/>
              <w:ind w:left="113" w:right="143" w:hanging="3"/>
              <w:rPr>
                <w:color w:val="auto"/>
                <w:highlight w:val="none"/>
              </w:rPr>
            </w:pPr>
            <w:r>
              <w:rPr>
                <w:color w:val="auto"/>
                <w:spacing w:val="7"/>
                <w:highlight w:val="none"/>
              </w:rPr>
              <w:t>2.有效报价范围：</w:t>
            </w:r>
            <w:r>
              <w:rPr>
                <w:color w:val="auto"/>
                <w:spacing w:val="-22"/>
                <w:highlight w:val="none"/>
              </w:rPr>
              <w:t xml:space="preserve"> </w:t>
            </w:r>
            <w:r>
              <w:rPr>
                <w:color w:val="auto"/>
                <w:spacing w:val="7"/>
                <w:highlight w:val="none"/>
              </w:rPr>
              <w:t>为通过资格和符合性审查</w:t>
            </w:r>
            <w:r>
              <w:rPr>
                <w:color w:val="auto"/>
                <w:spacing w:val="-25"/>
                <w:highlight w:val="none"/>
              </w:rPr>
              <w:t xml:space="preserve"> </w:t>
            </w:r>
            <w:r>
              <w:rPr>
                <w:color w:val="auto"/>
                <w:spacing w:val="7"/>
                <w:highlight w:val="none"/>
              </w:rPr>
              <w:t>、最终报价低于或等于采购控制价的</w:t>
            </w:r>
            <w:r>
              <w:rPr>
                <w:color w:val="auto"/>
                <w:spacing w:val="2"/>
                <w:highlight w:val="none"/>
              </w:rPr>
              <w:t>报价。</w:t>
            </w:r>
          </w:p>
          <w:p w14:paraId="3520400B">
            <w:pPr>
              <w:pStyle w:val="41"/>
              <w:spacing w:before="7" w:line="226" w:lineRule="auto"/>
              <w:ind w:left="111" w:right="1649"/>
              <w:rPr>
                <w:color w:val="auto"/>
                <w:highlight w:val="none"/>
              </w:rPr>
            </w:pPr>
            <w:r>
              <w:rPr>
                <w:color w:val="auto"/>
                <w:spacing w:val="3"/>
                <w:highlight w:val="none"/>
              </w:rPr>
              <w:t>3.评标基准价=有效供应商的最低最终报</w:t>
            </w:r>
            <w:r>
              <w:rPr>
                <w:color w:val="auto"/>
                <w:spacing w:val="2"/>
                <w:highlight w:val="none"/>
              </w:rPr>
              <w:t>价，</w:t>
            </w:r>
            <w:r>
              <w:rPr>
                <w:color w:val="auto"/>
                <w:spacing w:val="-27"/>
                <w:highlight w:val="none"/>
              </w:rPr>
              <w:t xml:space="preserve"> </w:t>
            </w:r>
            <w:r>
              <w:rPr>
                <w:color w:val="auto"/>
                <w:spacing w:val="2"/>
                <w:highlight w:val="none"/>
              </w:rPr>
              <w:t>其价格分得 20 分。</w:t>
            </w:r>
            <w:r>
              <w:rPr>
                <w:color w:val="auto"/>
                <w:highlight w:val="none"/>
              </w:rPr>
              <w:t xml:space="preserve"> </w:t>
            </w:r>
            <w:r>
              <w:rPr>
                <w:color w:val="auto"/>
                <w:spacing w:val="3"/>
                <w:highlight w:val="none"/>
              </w:rPr>
              <w:t>其他供应商报价分=评标基准价/评标价*20。</w:t>
            </w:r>
          </w:p>
        </w:tc>
      </w:tr>
      <w:tr w14:paraId="6556D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jc w:val="center"/>
        </w:trPr>
        <w:tc>
          <w:tcPr>
            <w:tcW w:w="981" w:type="dxa"/>
            <w:vMerge w:val="restart"/>
            <w:tcBorders>
              <w:bottom w:val="nil"/>
            </w:tcBorders>
            <w:vAlign w:val="top"/>
          </w:tcPr>
          <w:p w14:paraId="0A5F340A">
            <w:pPr>
              <w:rPr>
                <w:rFonts w:ascii="Arial"/>
                <w:color w:val="auto"/>
                <w:sz w:val="21"/>
                <w:highlight w:val="none"/>
              </w:rPr>
            </w:pPr>
          </w:p>
          <w:p w14:paraId="65B47304">
            <w:pPr>
              <w:pStyle w:val="41"/>
              <w:tabs>
                <w:tab w:val="left" w:pos="735"/>
              </w:tabs>
              <w:spacing w:before="86" w:line="282" w:lineRule="auto"/>
              <w:ind w:left="113" w:right="239" w:hanging="1"/>
              <w:jc w:val="center"/>
              <w:rPr>
                <w:color w:val="auto"/>
                <w:spacing w:val="8"/>
                <w:highlight w:val="none"/>
              </w:rPr>
            </w:pPr>
            <w:r>
              <w:rPr>
                <w:color w:val="auto"/>
                <w:spacing w:val="8"/>
                <w:highlight w:val="none"/>
              </w:rPr>
              <w:t>商</w:t>
            </w:r>
          </w:p>
          <w:p w14:paraId="41DC565B">
            <w:pPr>
              <w:pStyle w:val="41"/>
              <w:tabs>
                <w:tab w:val="left" w:pos="735"/>
              </w:tabs>
              <w:spacing w:before="86" w:line="282" w:lineRule="auto"/>
              <w:ind w:left="113" w:right="239" w:hanging="1"/>
              <w:jc w:val="center"/>
              <w:rPr>
                <w:color w:val="auto"/>
                <w:spacing w:val="8"/>
                <w:highlight w:val="none"/>
              </w:rPr>
            </w:pPr>
            <w:r>
              <w:rPr>
                <w:color w:val="auto"/>
                <w:spacing w:val="8"/>
                <w:highlight w:val="none"/>
              </w:rPr>
              <w:t>务</w:t>
            </w:r>
          </w:p>
          <w:p w14:paraId="0630A83E">
            <w:pPr>
              <w:pStyle w:val="41"/>
              <w:tabs>
                <w:tab w:val="left" w:pos="735"/>
              </w:tabs>
              <w:spacing w:before="86" w:line="282" w:lineRule="auto"/>
              <w:ind w:left="113" w:right="239" w:hanging="1"/>
              <w:jc w:val="center"/>
              <w:rPr>
                <w:color w:val="auto"/>
                <w:spacing w:val="8"/>
                <w:highlight w:val="none"/>
              </w:rPr>
            </w:pPr>
            <w:r>
              <w:rPr>
                <w:color w:val="auto"/>
                <w:spacing w:val="8"/>
                <w:highlight w:val="none"/>
              </w:rPr>
              <w:t>分</w:t>
            </w:r>
          </w:p>
          <w:p w14:paraId="24B7FB81">
            <w:pPr>
              <w:pStyle w:val="41"/>
              <w:tabs>
                <w:tab w:val="left" w:pos="735"/>
              </w:tabs>
              <w:spacing w:before="86" w:line="282" w:lineRule="auto"/>
              <w:ind w:left="113" w:right="239" w:hanging="1"/>
              <w:jc w:val="center"/>
              <w:rPr>
                <w:color w:val="auto"/>
                <w:highlight w:val="none"/>
              </w:rPr>
            </w:pPr>
            <w:r>
              <w:rPr>
                <w:color w:val="auto"/>
                <w:highlight w:val="none"/>
              </w:rPr>
              <w:t xml:space="preserve"> </w:t>
            </w:r>
            <w:r>
              <w:rPr>
                <w:color w:val="auto"/>
                <w:spacing w:val="-18"/>
                <w:highlight w:val="none"/>
              </w:rPr>
              <w:t>（</w:t>
            </w:r>
            <w:r>
              <w:rPr>
                <w:rFonts w:hint="eastAsia"/>
                <w:color w:val="auto"/>
                <w:spacing w:val="-28"/>
                <w:highlight w:val="none"/>
                <w:lang w:val="en-US" w:eastAsia="zh-CN"/>
              </w:rPr>
              <w:t>21</w:t>
            </w:r>
            <w:r>
              <w:rPr>
                <w:color w:val="auto"/>
                <w:spacing w:val="1"/>
                <w:highlight w:val="none"/>
              </w:rPr>
              <w:t>分）</w:t>
            </w:r>
          </w:p>
        </w:tc>
        <w:tc>
          <w:tcPr>
            <w:tcW w:w="720" w:type="dxa"/>
            <w:vAlign w:val="top"/>
          </w:tcPr>
          <w:p w14:paraId="7CFE0CDD">
            <w:pPr>
              <w:pStyle w:val="41"/>
              <w:spacing w:before="156" w:line="224" w:lineRule="auto"/>
              <w:ind w:left="151" w:right="151" w:firstLine="3"/>
              <w:jc w:val="center"/>
              <w:rPr>
                <w:color w:val="auto"/>
                <w:spacing w:val="4"/>
                <w:highlight w:val="none"/>
              </w:rPr>
            </w:pPr>
            <w:r>
              <w:rPr>
                <w:color w:val="auto"/>
                <w:spacing w:val="4"/>
                <w:highlight w:val="none"/>
              </w:rPr>
              <w:t>业绩 分</w:t>
            </w:r>
          </w:p>
        </w:tc>
        <w:tc>
          <w:tcPr>
            <w:tcW w:w="901" w:type="dxa"/>
            <w:vAlign w:val="center"/>
          </w:tcPr>
          <w:p w14:paraId="326B4600">
            <w:pPr>
              <w:pStyle w:val="41"/>
              <w:spacing w:before="86" w:line="165" w:lineRule="auto"/>
              <w:jc w:val="center"/>
              <w:rPr>
                <w:rFonts w:hint="eastAsia" w:eastAsia="微软雅黑"/>
                <w:color w:val="auto"/>
                <w:highlight w:val="none"/>
                <w:lang w:eastAsia="zh-CN"/>
              </w:rPr>
            </w:pPr>
            <w:r>
              <w:rPr>
                <w:color w:val="auto"/>
                <w:spacing w:val="-18"/>
                <w:highlight w:val="none"/>
              </w:rPr>
              <w:t>1</w:t>
            </w:r>
            <w:r>
              <w:rPr>
                <w:rFonts w:hint="eastAsia"/>
                <w:color w:val="auto"/>
                <w:spacing w:val="-18"/>
                <w:highlight w:val="none"/>
                <w:lang w:val="en-US" w:eastAsia="zh-CN"/>
              </w:rPr>
              <w:t>5</w:t>
            </w:r>
          </w:p>
        </w:tc>
        <w:tc>
          <w:tcPr>
            <w:tcW w:w="7549" w:type="dxa"/>
            <w:vAlign w:val="top"/>
          </w:tcPr>
          <w:p w14:paraId="35B4984C">
            <w:pPr>
              <w:pStyle w:val="41"/>
              <w:spacing w:before="147" w:line="272" w:lineRule="auto"/>
              <w:ind w:left="108" w:right="107" w:hanging="1"/>
              <w:jc w:val="both"/>
              <w:rPr>
                <w:color w:val="auto"/>
                <w:highlight w:val="none"/>
              </w:rPr>
            </w:pPr>
            <w:r>
              <w:rPr>
                <w:color w:val="auto"/>
                <w:spacing w:val="4"/>
                <w:highlight w:val="none"/>
              </w:rPr>
              <w:t>供应商 20</w:t>
            </w:r>
            <w:r>
              <w:rPr>
                <w:rFonts w:hint="eastAsia"/>
                <w:color w:val="auto"/>
                <w:spacing w:val="4"/>
                <w:highlight w:val="none"/>
                <w:lang w:val="en-US" w:eastAsia="zh-CN"/>
              </w:rPr>
              <w:t>20</w:t>
            </w:r>
            <w:r>
              <w:rPr>
                <w:color w:val="auto"/>
                <w:spacing w:val="4"/>
                <w:highlight w:val="none"/>
              </w:rPr>
              <w:t xml:space="preserve"> 年</w:t>
            </w:r>
            <w:r>
              <w:rPr>
                <w:rFonts w:hint="eastAsia"/>
                <w:color w:val="auto"/>
                <w:spacing w:val="4"/>
                <w:highlight w:val="none"/>
                <w:lang w:val="en-US" w:eastAsia="zh-CN"/>
              </w:rPr>
              <w:t>1月1日</w:t>
            </w:r>
            <w:r>
              <w:rPr>
                <w:color w:val="auto"/>
                <w:spacing w:val="4"/>
                <w:highlight w:val="none"/>
              </w:rPr>
              <w:t>至今的同类项目业绩且无不良记录的，</w:t>
            </w:r>
            <w:r>
              <w:rPr>
                <w:color w:val="auto"/>
                <w:spacing w:val="3"/>
                <w:highlight w:val="none"/>
              </w:rPr>
              <w:t>每有一项</w:t>
            </w:r>
            <w:r>
              <w:rPr>
                <w:rFonts w:hint="eastAsia"/>
                <w:color w:val="auto"/>
                <w:spacing w:val="3"/>
                <w:highlight w:val="none"/>
              </w:rPr>
              <w:t>为机关、企 、事业单位等提供体检项目的同类项目</w:t>
            </w:r>
            <w:r>
              <w:rPr>
                <w:color w:val="auto"/>
                <w:spacing w:val="4"/>
                <w:highlight w:val="none"/>
              </w:rPr>
              <w:t>业绩的得</w:t>
            </w:r>
            <w:r>
              <w:rPr>
                <w:rFonts w:hint="eastAsia"/>
                <w:color w:val="auto"/>
                <w:spacing w:val="4"/>
                <w:highlight w:val="none"/>
                <w:lang w:val="en-US" w:eastAsia="zh-CN"/>
              </w:rPr>
              <w:t>3</w:t>
            </w:r>
            <w:r>
              <w:rPr>
                <w:color w:val="auto"/>
                <w:spacing w:val="4"/>
                <w:highlight w:val="none"/>
              </w:rPr>
              <w:t xml:space="preserve"> 分，</w:t>
            </w:r>
            <w:r>
              <w:rPr>
                <w:color w:val="auto"/>
                <w:spacing w:val="-22"/>
                <w:highlight w:val="none"/>
              </w:rPr>
              <w:t xml:space="preserve"> </w:t>
            </w:r>
            <w:r>
              <w:rPr>
                <w:color w:val="auto"/>
                <w:spacing w:val="4"/>
                <w:highlight w:val="none"/>
              </w:rPr>
              <w:t xml:space="preserve">满分 </w:t>
            </w:r>
            <w:r>
              <w:rPr>
                <w:rFonts w:hint="eastAsia"/>
                <w:color w:val="auto"/>
                <w:spacing w:val="4"/>
                <w:highlight w:val="none"/>
                <w:lang w:val="en-US" w:eastAsia="zh-CN"/>
              </w:rPr>
              <w:t>15</w:t>
            </w:r>
            <w:r>
              <w:rPr>
                <w:color w:val="auto"/>
                <w:spacing w:val="4"/>
                <w:highlight w:val="none"/>
              </w:rPr>
              <w:t xml:space="preserve"> 分</w:t>
            </w:r>
            <w:r>
              <w:rPr>
                <w:color w:val="auto"/>
                <w:spacing w:val="-30"/>
                <w:highlight w:val="none"/>
              </w:rPr>
              <w:t xml:space="preserve"> </w:t>
            </w:r>
            <w:r>
              <w:rPr>
                <w:color w:val="auto"/>
                <w:spacing w:val="4"/>
                <w:highlight w:val="none"/>
              </w:rPr>
              <w:t>。</w:t>
            </w:r>
            <w:r>
              <w:rPr>
                <w:color w:val="auto"/>
                <w:spacing w:val="-32"/>
                <w:highlight w:val="none"/>
              </w:rPr>
              <w:t xml:space="preserve"> </w:t>
            </w:r>
            <w:r>
              <w:rPr>
                <w:color w:val="auto"/>
                <w:spacing w:val="4"/>
                <w:highlight w:val="none"/>
              </w:rPr>
              <w:t>（需提供合同复印件或</w:t>
            </w:r>
            <w:r>
              <w:rPr>
                <w:rFonts w:hint="eastAsia"/>
                <w:color w:val="auto"/>
                <w:spacing w:val="4"/>
                <w:highlight w:val="none"/>
                <w:lang w:val="en-US" w:eastAsia="zh-CN"/>
              </w:rPr>
              <w:t>中标（成交）通知书</w:t>
            </w:r>
            <w:r>
              <w:rPr>
                <w:color w:val="auto"/>
                <w:spacing w:val="4"/>
                <w:highlight w:val="none"/>
              </w:rPr>
              <w:t>，</w:t>
            </w:r>
            <w:r>
              <w:rPr>
                <w:color w:val="auto"/>
                <w:spacing w:val="-23"/>
                <w:highlight w:val="none"/>
              </w:rPr>
              <w:t xml:space="preserve"> </w:t>
            </w:r>
            <w:r>
              <w:rPr>
                <w:color w:val="auto"/>
                <w:spacing w:val="4"/>
                <w:highlight w:val="none"/>
              </w:rPr>
              <w:t>否则不计分）</w:t>
            </w:r>
          </w:p>
        </w:tc>
      </w:tr>
      <w:tr w14:paraId="4F438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jc w:val="center"/>
        </w:trPr>
        <w:tc>
          <w:tcPr>
            <w:tcW w:w="981" w:type="dxa"/>
            <w:vMerge w:val="continue"/>
            <w:tcBorders>
              <w:top w:val="nil"/>
            </w:tcBorders>
            <w:vAlign w:val="top"/>
          </w:tcPr>
          <w:p w14:paraId="45B250EF">
            <w:pPr>
              <w:rPr>
                <w:rFonts w:ascii="Arial"/>
                <w:color w:val="auto"/>
                <w:sz w:val="21"/>
                <w:highlight w:val="none"/>
              </w:rPr>
            </w:pPr>
          </w:p>
        </w:tc>
        <w:tc>
          <w:tcPr>
            <w:tcW w:w="720" w:type="dxa"/>
            <w:vAlign w:val="top"/>
          </w:tcPr>
          <w:p w14:paraId="5F045070">
            <w:pPr>
              <w:pStyle w:val="41"/>
              <w:spacing w:before="156" w:line="224" w:lineRule="auto"/>
              <w:ind w:left="151" w:right="151" w:firstLine="3"/>
              <w:jc w:val="center"/>
              <w:rPr>
                <w:color w:val="auto"/>
                <w:highlight w:val="none"/>
              </w:rPr>
            </w:pPr>
            <w:r>
              <w:rPr>
                <w:color w:val="auto"/>
                <w:spacing w:val="4"/>
                <w:highlight w:val="none"/>
              </w:rPr>
              <w:t>履约能力分</w:t>
            </w:r>
          </w:p>
        </w:tc>
        <w:tc>
          <w:tcPr>
            <w:tcW w:w="901" w:type="dxa"/>
            <w:vAlign w:val="center"/>
          </w:tcPr>
          <w:p w14:paraId="001AEAF5">
            <w:pPr>
              <w:pStyle w:val="41"/>
              <w:spacing w:before="86" w:line="165" w:lineRule="auto"/>
              <w:jc w:val="center"/>
              <w:rPr>
                <w:rFonts w:hint="eastAsia" w:eastAsia="微软雅黑"/>
                <w:color w:val="auto"/>
                <w:highlight w:val="none"/>
                <w:lang w:eastAsia="zh-CN"/>
              </w:rPr>
            </w:pPr>
            <w:r>
              <w:rPr>
                <w:rFonts w:hint="eastAsia"/>
                <w:color w:val="auto"/>
                <w:spacing w:val="-18"/>
                <w:highlight w:val="none"/>
                <w:lang w:val="en-US" w:eastAsia="zh-CN"/>
              </w:rPr>
              <w:t>6</w:t>
            </w:r>
          </w:p>
        </w:tc>
        <w:tc>
          <w:tcPr>
            <w:tcW w:w="7549" w:type="dxa"/>
            <w:vAlign w:val="top"/>
          </w:tcPr>
          <w:p w14:paraId="71DACB61">
            <w:pPr>
              <w:pStyle w:val="41"/>
              <w:spacing w:before="92" w:line="247" w:lineRule="auto"/>
              <w:ind w:left="112" w:right="142" w:firstLine="40"/>
              <w:rPr>
                <w:color w:val="auto"/>
                <w:highlight w:val="none"/>
              </w:rPr>
            </w:pPr>
            <w:r>
              <w:rPr>
                <w:rFonts w:hint="eastAsia"/>
                <w:color w:val="auto"/>
                <w:spacing w:val="3"/>
                <w:highlight w:val="none"/>
                <w:lang w:val="en-US" w:eastAsia="zh-CN"/>
              </w:rPr>
              <w:t>1.</w:t>
            </w:r>
            <w:r>
              <w:rPr>
                <w:color w:val="auto"/>
                <w:spacing w:val="-38"/>
                <w:highlight w:val="none"/>
              </w:rPr>
              <w:t xml:space="preserve"> </w:t>
            </w:r>
            <w:r>
              <w:rPr>
                <w:color w:val="auto"/>
                <w:spacing w:val="3"/>
                <w:highlight w:val="none"/>
              </w:rPr>
              <w:t>供应商有专门体检中心或体检部且成立了 5 年或</w:t>
            </w:r>
            <w:r>
              <w:rPr>
                <w:color w:val="auto"/>
                <w:spacing w:val="2"/>
                <w:highlight w:val="none"/>
              </w:rPr>
              <w:t xml:space="preserve">以上的得 </w:t>
            </w:r>
            <w:r>
              <w:rPr>
                <w:rFonts w:hint="eastAsia"/>
                <w:color w:val="auto"/>
                <w:spacing w:val="2"/>
                <w:highlight w:val="none"/>
                <w:lang w:val="en-US" w:eastAsia="zh-CN"/>
              </w:rPr>
              <w:t>2</w:t>
            </w:r>
            <w:r>
              <w:rPr>
                <w:color w:val="auto"/>
                <w:spacing w:val="2"/>
                <w:highlight w:val="none"/>
              </w:rPr>
              <w:t xml:space="preserve"> 分，</w:t>
            </w:r>
            <w:r>
              <w:rPr>
                <w:color w:val="auto"/>
                <w:spacing w:val="-24"/>
                <w:highlight w:val="none"/>
              </w:rPr>
              <w:t xml:space="preserve"> </w:t>
            </w:r>
            <w:r>
              <w:rPr>
                <w:color w:val="auto"/>
                <w:spacing w:val="2"/>
                <w:highlight w:val="none"/>
              </w:rPr>
              <w:t>成立了 10</w:t>
            </w:r>
            <w:r>
              <w:rPr>
                <w:color w:val="auto"/>
                <w:highlight w:val="none"/>
              </w:rPr>
              <w:t xml:space="preserve"> </w:t>
            </w:r>
            <w:r>
              <w:rPr>
                <w:color w:val="auto"/>
                <w:spacing w:val="4"/>
                <w:highlight w:val="none"/>
              </w:rPr>
              <w:t xml:space="preserve">年或以上的得 </w:t>
            </w:r>
            <w:r>
              <w:rPr>
                <w:rFonts w:hint="eastAsia"/>
                <w:color w:val="auto"/>
                <w:spacing w:val="4"/>
                <w:highlight w:val="none"/>
                <w:lang w:val="en-US" w:eastAsia="zh-CN"/>
              </w:rPr>
              <w:t>5</w:t>
            </w:r>
            <w:r>
              <w:rPr>
                <w:color w:val="auto"/>
                <w:spacing w:val="4"/>
                <w:highlight w:val="none"/>
              </w:rPr>
              <w:t>分</w:t>
            </w:r>
            <w:r>
              <w:rPr>
                <w:color w:val="auto"/>
                <w:spacing w:val="-29"/>
                <w:highlight w:val="none"/>
              </w:rPr>
              <w:t xml:space="preserve"> </w:t>
            </w:r>
            <w:r>
              <w:rPr>
                <w:color w:val="auto"/>
                <w:spacing w:val="4"/>
                <w:highlight w:val="none"/>
              </w:rPr>
              <w:t>。</w:t>
            </w:r>
            <w:r>
              <w:rPr>
                <w:color w:val="auto"/>
                <w:spacing w:val="-31"/>
                <w:highlight w:val="none"/>
              </w:rPr>
              <w:t xml:space="preserve"> </w:t>
            </w:r>
            <w:r>
              <w:rPr>
                <w:color w:val="auto"/>
                <w:spacing w:val="4"/>
                <w:highlight w:val="none"/>
              </w:rPr>
              <w:t>（需提供证明材料，</w:t>
            </w:r>
            <w:r>
              <w:rPr>
                <w:color w:val="auto"/>
                <w:spacing w:val="-26"/>
                <w:highlight w:val="none"/>
              </w:rPr>
              <w:t xml:space="preserve"> </w:t>
            </w:r>
            <w:r>
              <w:rPr>
                <w:color w:val="auto"/>
                <w:spacing w:val="4"/>
                <w:highlight w:val="none"/>
              </w:rPr>
              <w:t>加盖单位公章，</w:t>
            </w:r>
            <w:r>
              <w:rPr>
                <w:color w:val="auto"/>
                <w:spacing w:val="-28"/>
                <w:highlight w:val="none"/>
              </w:rPr>
              <w:t xml:space="preserve"> </w:t>
            </w:r>
            <w:r>
              <w:rPr>
                <w:color w:val="auto"/>
                <w:spacing w:val="4"/>
                <w:highlight w:val="none"/>
              </w:rPr>
              <w:t>否则不计分）</w:t>
            </w:r>
          </w:p>
          <w:p w14:paraId="70FA3DBA">
            <w:pPr>
              <w:pStyle w:val="41"/>
              <w:spacing w:before="96" w:line="225" w:lineRule="auto"/>
              <w:ind w:left="112" w:right="162" w:firstLine="41"/>
              <w:rPr>
                <w:color w:val="auto"/>
                <w:highlight w:val="none"/>
              </w:rPr>
            </w:pPr>
            <w:r>
              <w:rPr>
                <w:rFonts w:hint="eastAsia"/>
                <w:color w:val="auto"/>
                <w:spacing w:val="3"/>
                <w:highlight w:val="none"/>
                <w:lang w:val="en-US" w:eastAsia="zh-CN"/>
              </w:rPr>
              <w:t>2.</w:t>
            </w:r>
            <w:r>
              <w:rPr>
                <w:color w:val="auto"/>
                <w:spacing w:val="-32"/>
                <w:highlight w:val="none"/>
              </w:rPr>
              <w:t xml:space="preserve"> </w:t>
            </w:r>
            <w:r>
              <w:rPr>
                <w:color w:val="auto"/>
                <w:spacing w:val="3"/>
                <w:highlight w:val="none"/>
              </w:rPr>
              <w:t>体检部门</w:t>
            </w:r>
            <w:r>
              <w:rPr>
                <w:rFonts w:hint="eastAsia"/>
                <w:color w:val="auto"/>
                <w:spacing w:val="3"/>
                <w:highlight w:val="none"/>
                <w:lang w:val="en-US" w:eastAsia="zh-CN"/>
              </w:rPr>
              <w:t>须至少</w:t>
            </w:r>
            <w:r>
              <w:rPr>
                <w:color w:val="auto"/>
                <w:spacing w:val="3"/>
                <w:highlight w:val="none"/>
              </w:rPr>
              <w:t>配备有本单位</w:t>
            </w:r>
            <w:r>
              <w:rPr>
                <w:rFonts w:hint="eastAsia"/>
                <w:color w:val="auto"/>
                <w:spacing w:val="3"/>
                <w:highlight w:val="none"/>
                <w:lang w:val="en-US" w:eastAsia="zh-CN"/>
              </w:rPr>
              <w:t>2台车载DR体检</w:t>
            </w:r>
            <w:r>
              <w:rPr>
                <w:color w:val="auto"/>
                <w:spacing w:val="3"/>
                <w:highlight w:val="none"/>
              </w:rPr>
              <w:t>车</w:t>
            </w:r>
            <w:r>
              <w:rPr>
                <w:rFonts w:hint="eastAsia"/>
                <w:color w:val="auto"/>
                <w:spacing w:val="3"/>
                <w:highlight w:val="none"/>
                <w:lang w:val="en-US" w:eastAsia="zh-CN"/>
              </w:rPr>
              <w:t>，3台或以上得</w:t>
            </w:r>
            <w:r>
              <w:rPr>
                <w:color w:val="auto"/>
                <w:spacing w:val="3"/>
                <w:highlight w:val="none"/>
              </w:rPr>
              <w:t xml:space="preserve"> </w:t>
            </w:r>
            <w:r>
              <w:rPr>
                <w:rFonts w:hint="eastAsia"/>
                <w:color w:val="auto"/>
                <w:spacing w:val="3"/>
                <w:highlight w:val="none"/>
                <w:lang w:val="en-US" w:eastAsia="zh-CN"/>
              </w:rPr>
              <w:t>1</w:t>
            </w:r>
            <w:r>
              <w:rPr>
                <w:color w:val="auto"/>
                <w:spacing w:val="3"/>
                <w:highlight w:val="none"/>
              </w:rPr>
              <w:t xml:space="preserve"> 分</w:t>
            </w:r>
            <w:r>
              <w:rPr>
                <w:color w:val="auto"/>
                <w:spacing w:val="-30"/>
                <w:highlight w:val="none"/>
              </w:rPr>
              <w:t xml:space="preserve"> </w:t>
            </w:r>
            <w:r>
              <w:rPr>
                <w:color w:val="auto"/>
                <w:spacing w:val="3"/>
                <w:highlight w:val="none"/>
              </w:rPr>
              <w:t>。</w:t>
            </w:r>
            <w:r>
              <w:rPr>
                <w:color w:val="auto"/>
                <w:spacing w:val="-32"/>
                <w:highlight w:val="none"/>
              </w:rPr>
              <w:t xml:space="preserve"> </w:t>
            </w:r>
            <w:r>
              <w:rPr>
                <w:color w:val="auto"/>
                <w:spacing w:val="3"/>
                <w:highlight w:val="none"/>
              </w:rPr>
              <w:t>（需提供</w:t>
            </w:r>
            <w:r>
              <w:rPr>
                <w:color w:val="auto"/>
                <w:spacing w:val="2"/>
                <w:highlight w:val="none"/>
              </w:rPr>
              <w:t>证明材料，</w:t>
            </w:r>
            <w:r>
              <w:rPr>
                <w:color w:val="auto"/>
                <w:spacing w:val="-26"/>
                <w:highlight w:val="none"/>
              </w:rPr>
              <w:t xml:space="preserve"> </w:t>
            </w:r>
            <w:r>
              <w:rPr>
                <w:color w:val="auto"/>
                <w:spacing w:val="2"/>
                <w:highlight w:val="none"/>
              </w:rPr>
              <w:t>加盖单</w:t>
            </w:r>
            <w:r>
              <w:rPr>
                <w:color w:val="auto"/>
                <w:spacing w:val="4"/>
                <w:highlight w:val="none"/>
              </w:rPr>
              <w:t>位公章，</w:t>
            </w:r>
            <w:r>
              <w:rPr>
                <w:color w:val="auto"/>
                <w:spacing w:val="-20"/>
                <w:highlight w:val="none"/>
              </w:rPr>
              <w:t xml:space="preserve"> </w:t>
            </w:r>
            <w:r>
              <w:rPr>
                <w:color w:val="auto"/>
                <w:spacing w:val="4"/>
                <w:highlight w:val="none"/>
              </w:rPr>
              <w:t>否则不计分）</w:t>
            </w:r>
          </w:p>
        </w:tc>
      </w:tr>
      <w:tr w14:paraId="6A8DB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3" w:hRule="atLeast"/>
          <w:jc w:val="center"/>
        </w:trPr>
        <w:tc>
          <w:tcPr>
            <w:tcW w:w="981" w:type="dxa"/>
            <w:vMerge w:val="restart"/>
            <w:tcBorders>
              <w:bottom w:val="nil"/>
            </w:tcBorders>
            <w:vAlign w:val="top"/>
          </w:tcPr>
          <w:p w14:paraId="7E1CEAA0">
            <w:pPr>
              <w:spacing w:line="257" w:lineRule="auto"/>
              <w:rPr>
                <w:rFonts w:ascii="Arial"/>
                <w:color w:val="auto"/>
                <w:sz w:val="21"/>
                <w:highlight w:val="none"/>
              </w:rPr>
            </w:pPr>
          </w:p>
          <w:p w14:paraId="268AB53A">
            <w:pPr>
              <w:spacing w:line="257" w:lineRule="auto"/>
              <w:rPr>
                <w:rFonts w:ascii="Arial"/>
                <w:color w:val="auto"/>
                <w:sz w:val="21"/>
                <w:highlight w:val="none"/>
              </w:rPr>
            </w:pPr>
          </w:p>
          <w:p w14:paraId="07A8C39A">
            <w:pPr>
              <w:spacing w:line="257" w:lineRule="auto"/>
              <w:rPr>
                <w:rFonts w:ascii="Arial"/>
                <w:color w:val="auto"/>
                <w:sz w:val="21"/>
                <w:highlight w:val="none"/>
              </w:rPr>
            </w:pPr>
          </w:p>
          <w:p w14:paraId="718942C4">
            <w:pPr>
              <w:spacing w:line="257" w:lineRule="auto"/>
              <w:rPr>
                <w:rFonts w:ascii="Arial"/>
                <w:color w:val="auto"/>
                <w:sz w:val="21"/>
                <w:highlight w:val="none"/>
              </w:rPr>
            </w:pPr>
          </w:p>
          <w:p w14:paraId="09B058A4">
            <w:pPr>
              <w:spacing w:line="257" w:lineRule="auto"/>
              <w:rPr>
                <w:rFonts w:ascii="Arial"/>
                <w:color w:val="auto"/>
                <w:sz w:val="21"/>
                <w:highlight w:val="none"/>
              </w:rPr>
            </w:pPr>
          </w:p>
          <w:p w14:paraId="191136F6">
            <w:pPr>
              <w:spacing w:line="258" w:lineRule="auto"/>
              <w:rPr>
                <w:rFonts w:ascii="Arial"/>
                <w:color w:val="auto"/>
                <w:sz w:val="21"/>
                <w:highlight w:val="none"/>
              </w:rPr>
            </w:pPr>
          </w:p>
          <w:p w14:paraId="7AC4A1F4">
            <w:pPr>
              <w:spacing w:line="258" w:lineRule="auto"/>
              <w:rPr>
                <w:rFonts w:ascii="Arial"/>
                <w:color w:val="auto"/>
                <w:sz w:val="21"/>
                <w:highlight w:val="none"/>
              </w:rPr>
            </w:pPr>
          </w:p>
          <w:p w14:paraId="1206ED76">
            <w:pPr>
              <w:spacing w:line="258" w:lineRule="auto"/>
              <w:rPr>
                <w:rFonts w:ascii="Arial"/>
                <w:color w:val="auto"/>
                <w:sz w:val="21"/>
                <w:highlight w:val="none"/>
              </w:rPr>
            </w:pPr>
          </w:p>
          <w:p w14:paraId="0DFF6215">
            <w:pPr>
              <w:pStyle w:val="41"/>
              <w:tabs>
                <w:tab w:val="left" w:pos="735"/>
              </w:tabs>
              <w:spacing w:before="86" w:line="283" w:lineRule="auto"/>
              <w:ind w:left="113" w:right="239" w:firstLine="4"/>
              <w:jc w:val="both"/>
              <w:rPr>
                <w:color w:val="auto"/>
                <w:spacing w:val="6"/>
                <w:highlight w:val="none"/>
              </w:rPr>
            </w:pPr>
            <w:r>
              <w:rPr>
                <w:color w:val="auto"/>
                <w:spacing w:val="6"/>
                <w:highlight w:val="none"/>
              </w:rPr>
              <w:t>技</w:t>
            </w:r>
          </w:p>
          <w:p w14:paraId="2156F90A">
            <w:pPr>
              <w:pStyle w:val="41"/>
              <w:tabs>
                <w:tab w:val="left" w:pos="735"/>
              </w:tabs>
              <w:spacing w:before="86" w:line="283" w:lineRule="auto"/>
              <w:ind w:left="113" w:right="239" w:firstLine="4"/>
              <w:jc w:val="both"/>
              <w:rPr>
                <w:color w:val="auto"/>
                <w:spacing w:val="6"/>
                <w:highlight w:val="none"/>
              </w:rPr>
            </w:pPr>
            <w:r>
              <w:rPr>
                <w:color w:val="auto"/>
                <w:spacing w:val="6"/>
                <w:highlight w:val="none"/>
              </w:rPr>
              <w:t>术</w:t>
            </w:r>
          </w:p>
          <w:p w14:paraId="68BD959D">
            <w:pPr>
              <w:pStyle w:val="41"/>
              <w:tabs>
                <w:tab w:val="left" w:pos="735"/>
              </w:tabs>
              <w:spacing w:before="86" w:line="283" w:lineRule="auto"/>
              <w:ind w:left="113" w:right="239" w:firstLine="4"/>
              <w:jc w:val="both"/>
              <w:rPr>
                <w:color w:val="auto"/>
                <w:spacing w:val="6"/>
                <w:highlight w:val="none"/>
              </w:rPr>
            </w:pPr>
            <w:r>
              <w:rPr>
                <w:color w:val="auto"/>
                <w:spacing w:val="6"/>
                <w:highlight w:val="none"/>
              </w:rPr>
              <w:t>分</w:t>
            </w:r>
          </w:p>
          <w:p w14:paraId="37BB1BDF">
            <w:pPr>
              <w:pStyle w:val="41"/>
              <w:tabs>
                <w:tab w:val="left" w:pos="735"/>
              </w:tabs>
              <w:spacing w:before="86" w:line="283" w:lineRule="auto"/>
              <w:ind w:left="113" w:right="239" w:firstLine="4"/>
              <w:jc w:val="both"/>
              <w:rPr>
                <w:color w:val="auto"/>
                <w:highlight w:val="none"/>
              </w:rPr>
            </w:pPr>
            <w:r>
              <w:rPr>
                <w:color w:val="auto"/>
                <w:highlight w:val="none"/>
              </w:rPr>
              <w:t xml:space="preserve"> </w:t>
            </w:r>
            <w:r>
              <w:rPr>
                <w:color w:val="auto"/>
                <w:spacing w:val="-17"/>
                <w:highlight w:val="none"/>
              </w:rPr>
              <w:t>（</w:t>
            </w:r>
            <w:r>
              <w:rPr>
                <w:rFonts w:hint="eastAsia"/>
                <w:color w:val="auto"/>
                <w:spacing w:val="-17"/>
                <w:highlight w:val="none"/>
                <w:lang w:val="en-US" w:eastAsia="zh-CN"/>
              </w:rPr>
              <w:t>59</w:t>
            </w:r>
            <w:r>
              <w:rPr>
                <w:color w:val="auto"/>
                <w:highlight w:val="none"/>
              </w:rPr>
              <w:t xml:space="preserve"> </w:t>
            </w:r>
            <w:r>
              <w:rPr>
                <w:color w:val="auto"/>
                <w:spacing w:val="1"/>
                <w:highlight w:val="none"/>
              </w:rPr>
              <w:t>分）</w:t>
            </w:r>
          </w:p>
        </w:tc>
        <w:tc>
          <w:tcPr>
            <w:tcW w:w="720" w:type="dxa"/>
            <w:vAlign w:val="top"/>
          </w:tcPr>
          <w:p w14:paraId="47AC39E9">
            <w:pPr>
              <w:spacing w:line="276" w:lineRule="auto"/>
              <w:rPr>
                <w:rFonts w:ascii="Arial"/>
                <w:color w:val="auto"/>
                <w:sz w:val="21"/>
                <w:highlight w:val="none"/>
              </w:rPr>
            </w:pPr>
          </w:p>
          <w:p w14:paraId="04C5ACB8">
            <w:pPr>
              <w:spacing w:line="276" w:lineRule="auto"/>
              <w:rPr>
                <w:rFonts w:ascii="Arial"/>
                <w:color w:val="auto"/>
                <w:sz w:val="21"/>
                <w:highlight w:val="none"/>
              </w:rPr>
            </w:pPr>
          </w:p>
          <w:p w14:paraId="25FFCA31">
            <w:pPr>
              <w:pStyle w:val="41"/>
              <w:spacing w:before="156" w:line="224" w:lineRule="auto"/>
              <w:ind w:left="151" w:right="151" w:firstLine="3"/>
              <w:jc w:val="center"/>
              <w:rPr>
                <w:color w:val="auto"/>
                <w:highlight w:val="none"/>
              </w:rPr>
            </w:pPr>
            <w:r>
              <w:rPr>
                <w:color w:val="auto"/>
                <w:spacing w:val="4"/>
                <w:highlight w:val="none"/>
              </w:rPr>
              <w:t>项目 实施 人员</w:t>
            </w:r>
          </w:p>
        </w:tc>
        <w:tc>
          <w:tcPr>
            <w:tcW w:w="901" w:type="dxa"/>
            <w:vAlign w:val="center"/>
          </w:tcPr>
          <w:p w14:paraId="1B097DD7">
            <w:pPr>
              <w:pStyle w:val="41"/>
              <w:spacing w:before="86" w:line="167" w:lineRule="auto"/>
              <w:jc w:val="center"/>
              <w:rPr>
                <w:color w:val="auto"/>
                <w:highlight w:val="none"/>
              </w:rPr>
            </w:pPr>
            <w:r>
              <w:rPr>
                <w:color w:val="auto"/>
                <w:spacing w:val="-10"/>
                <w:highlight w:val="none"/>
              </w:rPr>
              <w:t>20</w:t>
            </w:r>
          </w:p>
        </w:tc>
        <w:tc>
          <w:tcPr>
            <w:tcW w:w="7549" w:type="dxa"/>
            <w:vAlign w:val="top"/>
          </w:tcPr>
          <w:p w14:paraId="227078F2">
            <w:pPr>
              <w:pStyle w:val="41"/>
              <w:spacing w:before="151" w:line="257" w:lineRule="auto"/>
              <w:ind w:left="113" w:right="107" w:firstLine="40"/>
              <w:rPr>
                <w:color w:val="auto"/>
                <w:highlight w:val="none"/>
              </w:rPr>
            </w:pPr>
            <w:r>
              <w:rPr>
                <w:rFonts w:hint="eastAsia"/>
                <w:color w:val="auto"/>
                <w:spacing w:val="-3"/>
                <w:highlight w:val="none"/>
                <w:lang w:val="en-US" w:eastAsia="zh-CN"/>
              </w:rPr>
              <w:t>1.</w:t>
            </w:r>
            <w:r>
              <w:rPr>
                <w:color w:val="auto"/>
                <w:spacing w:val="-3"/>
                <w:highlight w:val="none"/>
              </w:rPr>
              <w:t xml:space="preserve">拟投入项目实施医务人员不少于 </w:t>
            </w:r>
            <w:r>
              <w:rPr>
                <w:rFonts w:hint="eastAsia"/>
                <w:color w:val="auto"/>
                <w:spacing w:val="-3"/>
                <w:highlight w:val="none"/>
                <w:lang w:val="en-US" w:eastAsia="zh-CN"/>
              </w:rPr>
              <w:t>20</w:t>
            </w:r>
            <w:r>
              <w:rPr>
                <w:color w:val="auto"/>
                <w:spacing w:val="-3"/>
                <w:highlight w:val="none"/>
              </w:rPr>
              <w:t xml:space="preserve"> 人，</w:t>
            </w:r>
            <w:r>
              <w:rPr>
                <w:color w:val="auto"/>
                <w:spacing w:val="-25"/>
                <w:highlight w:val="none"/>
              </w:rPr>
              <w:t xml:space="preserve"> </w:t>
            </w:r>
            <w:r>
              <w:rPr>
                <w:rFonts w:hint="eastAsia"/>
                <w:color w:val="auto"/>
                <w:spacing w:val="-3"/>
                <w:highlight w:val="none"/>
                <w:lang w:val="en-US" w:eastAsia="zh-CN"/>
              </w:rPr>
              <w:t>20</w:t>
            </w:r>
            <w:r>
              <w:rPr>
                <w:color w:val="auto"/>
                <w:spacing w:val="-3"/>
                <w:highlight w:val="none"/>
              </w:rPr>
              <w:t xml:space="preserve"> 人至 </w:t>
            </w:r>
            <w:r>
              <w:rPr>
                <w:rFonts w:hint="eastAsia"/>
                <w:color w:val="auto"/>
                <w:spacing w:val="-3"/>
                <w:highlight w:val="none"/>
                <w:lang w:val="en-US" w:eastAsia="zh-CN"/>
              </w:rPr>
              <w:t>29</w:t>
            </w:r>
            <w:r>
              <w:rPr>
                <w:color w:val="auto"/>
                <w:spacing w:val="-3"/>
                <w:highlight w:val="none"/>
              </w:rPr>
              <w:t xml:space="preserve"> 人得 3 分，</w:t>
            </w:r>
            <w:r>
              <w:rPr>
                <w:color w:val="auto"/>
                <w:spacing w:val="-23"/>
                <w:highlight w:val="none"/>
              </w:rPr>
              <w:t xml:space="preserve"> </w:t>
            </w:r>
            <w:r>
              <w:rPr>
                <w:rFonts w:hint="eastAsia"/>
                <w:color w:val="auto"/>
                <w:spacing w:val="-3"/>
                <w:highlight w:val="none"/>
                <w:lang w:val="en-US" w:eastAsia="zh-CN"/>
              </w:rPr>
              <w:t>30</w:t>
            </w:r>
            <w:r>
              <w:rPr>
                <w:color w:val="auto"/>
                <w:spacing w:val="-3"/>
                <w:highlight w:val="none"/>
              </w:rPr>
              <w:t xml:space="preserve"> 人至 </w:t>
            </w:r>
            <w:r>
              <w:rPr>
                <w:rFonts w:hint="eastAsia"/>
                <w:color w:val="auto"/>
                <w:spacing w:val="-3"/>
                <w:highlight w:val="none"/>
                <w:lang w:val="en-US" w:eastAsia="zh-CN"/>
              </w:rPr>
              <w:t>39</w:t>
            </w:r>
            <w:r>
              <w:rPr>
                <w:color w:val="auto"/>
                <w:highlight w:val="none"/>
              </w:rPr>
              <w:t xml:space="preserve">   </w:t>
            </w:r>
            <w:r>
              <w:rPr>
                <w:color w:val="auto"/>
                <w:spacing w:val="3"/>
                <w:highlight w:val="none"/>
              </w:rPr>
              <w:t xml:space="preserve">人得 </w:t>
            </w:r>
            <w:r>
              <w:rPr>
                <w:rFonts w:hint="eastAsia"/>
                <w:color w:val="auto"/>
                <w:spacing w:val="3"/>
                <w:highlight w:val="none"/>
                <w:lang w:val="en-US" w:eastAsia="zh-CN"/>
              </w:rPr>
              <w:t>4</w:t>
            </w:r>
            <w:r>
              <w:rPr>
                <w:color w:val="auto"/>
                <w:spacing w:val="3"/>
                <w:highlight w:val="none"/>
              </w:rPr>
              <w:t xml:space="preserve"> 分，</w:t>
            </w:r>
            <w:r>
              <w:rPr>
                <w:rFonts w:hint="eastAsia"/>
                <w:color w:val="auto"/>
                <w:spacing w:val="-36"/>
                <w:highlight w:val="none"/>
                <w:lang w:val="en-US" w:eastAsia="zh-CN"/>
              </w:rPr>
              <w:t>40</w:t>
            </w:r>
            <w:r>
              <w:rPr>
                <w:color w:val="auto"/>
                <w:spacing w:val="3"/>
                <w:highlight w:val="none"/>
              </w:rPr>
              <w:t xml:space="preserve"> 人以上（含）得 </w:t>
            </w:r>
            <w:r>
              <w:rPr>
                <w:rFonts w:hint="eastAsia"/>
                <w:color w:val="auto"/>
                <w:spacing w:val="3"/>
                <w:highlight w:val="none"/>
                <w:lang w:val="en-US" w:eastAsia="zh-CN"/>
              </w:rPr>
              <w:t>5</w:t>
            </w:r>
            <w:r>
              <w:rPr>
                <w:color w:val="auto"/>
                <w:spacing w:val="2"/>
                <w:highlight w:val="none"/>
              </w:rPr>
              <w:t xml:space="preserve"> 分，</w:t>
            </w:r>
            <w:r>
              <w:rPr>
                <w:color w:val="auto"/>
                <w:spacing w:val="-37"/>
                <w:highlight w:val="none"/>
              </w:rPr>
              <w:t xml:space="preserve"> </w:t>
            </w:r>
            <w:r>
              <w:rPr>
                <w:color w:val="auto"/>
                <w:spacing w:val="2"/>
                <w:highlight w:val="none"/>
              </w:rPr>
              <w:t>满分</w:t>
            </w:r>
            <w:r>
              <w:rPr>
                <w:rFonts w:hint="eastAsia"/>
                <w:color w:val="auto"/>
                <w:spacing w:val="2"/>
                <w:highlight w:val="none"/>
                <w:lang w:val="en-US" w:eastAsia="zh-CN"/>
              </w:rPr>
              <w:t>5</w:t>
            </w:r>
            <w:r>
              <w:rPr>
                <w:color w:val="auto"/>
                <w:spacing w:val="2"/>
                <w:highlight w:val="none"/>
              </w:rPr>
              <w:t>分</w:t>
            </w:r>
            <w:r>
              <w:rPr>
                <w:color w:val="auto"/>
                <w:spacing w:val="-25"/>
                <w:highlight w:val="none"/>
              </w:rPr>
              <w:t>；</w:t>
            </w:r>
            <w:r>
              <w:rPr>
                <w:color w:val="auto"/>
                <w:spacing w:val="-34"/>
                <w:highlight w:val="none"/>
              </w:rPr>
              <w:t xml:space="preserve"> </w:t>
            </w:r>
            <w:r>
              <w:rPr>
                <w:color w:val="auto"/>
                <w:spacing w:val="-25"/>
                <w:highlight w:val="none"/>
              </w:rPr>
              <w:t>（</w:t>
            </w:r>
            <w:r>
              <w:rPr>
                <w:color w:val="auto"/>
                <w:spacing w:val="2"/>
                <w:highlight w:val="none"/>
              </w:rPr>
              <w:t>响应文件中提供项目实施人员</w:t>
            </w:r>
            <w:r>
              <w:rPr>
                <w:color w:val="auto"/>
                <w:spacing w:val="4"/>
                <w:highlight w:val="none"/>
              </w:rPr>
              <w:t>清单，</w:t>
            </w:r>
            <w:r>
              <w:rPr>
                <w:color w:val="auto"/>
                <w:spacing w:val="-28"/>
                <w:highlight w:val="none"/>
              </w:rPr>
              <w:t xml:space="preserve"> </w:t>
            </w:r>
            <w:r>
              <w:rPr>
                <w:color w:val="auto"/>
                <w:spacing w:val="4"/>
                <w:highlight w:val="none"/>
              </w:rPr>
              <w:t>否则不计分）</w:t>
            </w:r>
          </w:p>
          <w:p w14:paraId="2D80A454">
            <w:pPr>
              <w:pStyle w:val="41"/>
              <w:spacing w:before="96" w:line="213" w:lineRule="auto"/>
              <w:ind w:left="153"/>
              <w:rPr>
                <w:color w:val="auto"/>
                <w:highlight w:val="none"/>
              </w:rPr>
            </w:pPr>
            <w:r>
              <w:rPr>
                <w:rFonts w:hint="eastAsia"/>
                <w:color w:val="auto"/>
                <w:spacing w:val="3"/>
                <w:highlight w:val="none"/>
                <w:lang w:val="en-US" w:eastAsia="zh-CN"/>
              </w:rPr>
              <w:t>2.项目负责人为主任医师或以上的，得5分，满分5分</w:t>
            </w:r>
            <w:r>
              <w:rPr>
                <w:color w:val="auto"/>
                <w:spacing w:val="2"/>
                <w:highlight w:val="none"/>
              </w:rPr>
              <w:t>；</w:t>
            </w:r>
            <w:r>
              <w:rPr>
                <w:color w:val="auto"/>
                <w:spacing w:val="8"/>
                <w:highlight w:val="none"/>
              </w:rPr>
              <w:t>（响应文件提供项目</w:t>
            </w:r>
            <w:r>
              <w:rPr>
                <w:rFonts w:hint="eastAsia"/>
                <w:color w:val="auto"/>
                <w:spacing w:val="8"/>
                <w:highlight w:val="none"/>
                <w:lang w:val="en-US" w:eastAsia="zh-CN"/>
              </w:rPr>
              <w:t>负责人</w:t>
            </w:r>
            <w:r>
              <w:rPr>
                <w:color w:val="auto"/>
                <w:spacing w:val="8"/>
                <w:highlight w:val="none"/>
              </w:rPr>
              <w:t>的职称证书复印件和执业资格证复印件，否则不计</w:t>
            </w:r>
            <w:r>
              <w:rPr>
                <w:color w:val="auto"/>
                <w:spacing w:val="1"/>
                <w:highlight w:val="none"/>
              </w:rPr>
              <w:t>分）</w:t>
            </w:r>
          </w:p>
          <w:p w14:paraId="4FE2E03F">
            <w:pPr>
              <w:pStyle w:val="41"/>
              <w:spacing w:before="25" w:line="274" w:lineRule="auto"/>
              <w:ind w:left="109" w:right="108" w:firstLine="44"/>
              <w:jc w:val="both"/>
              <w:rPr>
                <w:color w:val="auto"/>
                <w:highlight w:val="none"/>
              </w:rPr>
            </w:pPr>
            <w:r>
              <w:rPr>
                <w:rFonts w:hint="eastAsia"/>
                <w:color w:val="auto"/>
                <w:spacing w:val="4"/>
                <w:highlight w:val="none"/>
                <w:lang w:val="en-US" w:eastAsia="zh-CN"/>
              </w:rPr>
              <w:t>3.</w:t>
            </w:r>
            <w:r>
              <w:rPr>
                <w:color w:val="auto"/>
                <w:spacing w:val="4"/>
                <w:highlight w:val="none"/>
              </w:rPr>
              <w:t>拟投入项目实施人员中具有高级职称的医护人员在 3 人的基础上，</w:t>
            </w:r>
            <w:r>
              <w:rPr>
                <w:color w:val="auto"/>
                <w:spacing w:val="3"/>
                <w:highlight w:val="none"/>
              </w:rPr>
              <w:t>每增加 1</w:t>
            </w:r>
            <w:r>
              <w:rPr>
                <w:color w:val="auto"/>
                <w:highlight w:val="none"/>
              </w:rPr>
              <w:t xml:space="preserve"> </w:t>
            </w:r>
            <w:r>
              <w:rPr>
                <w:color w:val="auto"/>
                <w:spacing w:val="6"/>
                <w:highlight w:val="none"/>
              </w:rPr>
              <w:t>人加 2 分，</w:t>
            </w:r>
            <w:r>
              <w:rPr>
                <w:color w:val="auto"/>
                <w:spacing w:val="-28"/>
                <w:highlight w:val="none"/>
              </w:rPr>
              <w:t xml:space="preserve"> </w:t>
            </w:r>
            <w:r>
              <w:rPr>
                <w:color w:val="auto"/>
                <w:spacing w:val="6"/>
                <w:highlight w:val="none"/>
              </w:rPr>
              <w:t xml:space="preserve">满分 </w:t>
            </w:r>
            <w:r>
              <w:rPr>
                <w:rFonts w:hint="eastAsia"/>
                <w:color w:val="auto"/>
                <w:spacing w:val="6"/>
                <w:highlight w:val="none"/>
                <w:lang w:val="en-US" w:eastAsia="zh-CN"/>
              </w:rPr>
              <w:t>10</w:t>
            </w:r>
            <w:r>
              <w:rPr>
                <w:color w:val="auto"/>
                <w:spacing w:val="6"/>
                <w:highlight w:val="none"/>
              </w:rPr>
              <w:t xml:space="preserve"> 分</w:t>
            </w:r>
            <w:r>
              <w:rPr>
                <w:color w:val="auto"/>
                <w:spacing w:val="-19"/>
                <w:highlight w:val="none"/>
              </w:rPr>
              <w:t>；</w:t>
            </w:r>
            <w:r>
              <w:rPr>
                <w:color w:val="auto"/>
                <w:spacing w:val="-22"/>
                <w:highlight w:val="none"/>
              </w:rPr>
              <w:t xml:space="preserve"> </w:t>
            </w:r>
            <w:r>
              <w:rPr>
                <w:color w:val="auto"/>
                <w:spacing w:val="-19"/>
                <w:highlight w:val="none"/>
              </w:rPr>
              <w:t>（</w:t>
            </w:r>
            <w:r>
              <w:rPr>
                <w:color w:val="auto"/>
                <w:spacing w:val="6"/>
                <w:highlight w:val="none"/>
              </w:rPr>
              <w:t>响应文件提供项目实施人员的职称证书复印件和执业资</w:t>
            </w:r>
            <w:r>
              <w:rPr>
                <w:color w:val="auto"/>
                <w:spacing w:val="5"/>
                <w:highlight w:val="none"/>
              </w:rPr>
              <w:t>格证复印件，否则不计）</w:t>
            </w:r>
          </w:p>
        </w:tc>
      </w:tr>
      <w:tr w14:paraId="55298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jc w:val="center"/>
        </w:trPr>
        <w:tc>
          <w:tcPr>
            <w:tcW w:w="981" w:type="dxa"/>
            <w:vMerge w:val="continue"/>
            <w:tcBorders>
              <w:top w:val="nil"/>
            </w:tcBorders>
            <w:vAlign w:val="top"/>
          </w:tcPr>
          <w:p w14:paraId="1E506BEE">
            <w:pPr>
              <w:rPr>
                <w:rFonts w:ascii="Arial"/>
                <w:color w:val="auto"/>
                <w:sz w:val="21"/>
                <w:highlight w:val="none"/>
              </w:rPr>
            </w:pPr>
          </w:p>
        </w:tc>
        <w:tc>
          <w:tcPr>
            <w:tcW w:w="720" w:type="dxa"/>
            <w:vAlign w:val="top"/>
          </w:tcPr>
          <w:p w14:paraId="0E011795">
            <w:pPr>
              <w:pStyle w:val="41"/>
              <w:spacing w:before="156" w:line="224" w:lineRule="auto"/>
              <w:ind w:left="151" w:right="151" w:firstLine="3"/>
              <w:rPr>
                <w:color w:val="auto"/>
                <w:spacing w:val="4"/>
                <w:highlight w:val="none"/>
              </w:rPr>
            </w:pPr>
          </w:p>
          <w:p w14:paraId="6B058043">
            <w:pPr>
              <w:pStyle w:val="41"/>
              <w:spacing w:before="156" w:line="224" w:lineRule="auto"/>
              <w:ind w:left="151" w:right="151" w:firstLine="3"/>
              <w:jc w:val="center"/>
              <w:rPr>
                <w:color w:val="auto"/>
                <w:highlight w:val="none"/>
              </w:rPr>
            </w:pPr>
            <w:r>
              <w:rPr>
                <w:color w:val="auto"/>
                <w:spacing w:val="4"/>
                <w:highlight w:val="none"/>
              </w:rPr>
              <w:t>体检</w:t>
            </w:r>
            <w:r>
              <w:rPr>
                <w:color w:val="auto"/>
                <w:highlight w:val="none"/>
              </w:rPr>
              <w:t xml:space="preserve"> </w:t>
            </w:r>
            <w:r>
              <w:rPr>
                <w:color w:val="auto"/>
                <w:spacing w:val="6"/>
                <w:highlight w:val="none"/>
              </w:rPr>
              <w:t>相关</w:t>
            </w:r>
            <w:r>
              <w:rPr>
                <w:color w:val="auto"/>
                <w:spacing w:val="5"/>
                <w:highlight w:val="none"/>
              </w:rPr>
              <w:t>配套</w:t>
            </w:r>
            <w:r>
              <w:rPr>
                <w:color w:val="auto"/>
                <w:highlight w:val="none"/>
              </w:rPr>
              <w:t xml:space="preserve"> </w:t>
            </w:r>
            <w:r>
              <w:rPr>
                <w:color w:val="auto"/>
                <w:spacing w:val="5"/>
                <w:highlight w:val="none"/>
              </w:rPr>
              <w:t>服务</w:t>
            </w:r>
          </w:p>
        </w:tc>
        <w:tc>
          <w:tcPr>
            <w:tcW w:w="901" w:type="dxa"/>
            <w:vAlign w:val="center"/>
          </w:tcPr>
          <w:p w14:paraId="4230D2AE">
            <w:pPr>
              <w:pStyle w:val="41"/>
              <w:spacing w:before="85" w:line="167" w:lineRule="auto"/>
              <w:jc w:val="center"/>
              <w:rPr>
                <w:rFonts w:hint="default" w:eastAsia="微软雅黑"/>
                <w:color w:val="auto"/>
                <w:highlight w:val="none"/>
                <w:lang w:val="en-US" w:eastAsia="zh-CN"/>
              </w:rPr>
            </w:pPr>
            <w:r>
              <w:rPr>
                <w:rFonts w:hint="eastAsia"/>
                <w:color w:val="auto"/>
                <w:spacing w:val="-18"/>
                <w:highlight w:val="none"/>
                <w:lang w:val="en-US" w:eastAsia="zh-CN"/>
              </w:rPr>
              <w:t>15</w:t>
            </w:r>
          </w:p>
        </w:tc>
        <w:tc>
          <w:tcPr>
            <w:tcW w:w="7549" w:type="dxa"/>
            <w:vAlign w:val="top"/>
          </w:tcPr>
          <w:p w14:paraId="0D0C7B02">
            <w:pPr>
              <w:pStyle w:val="41"/>
              <w:spacing w:before="153" w:line="225" w:lineRule="auto"/>
              <w:ind w:left="110" w:right="109" w:firstLine="24"/>
              <w:rPr>
                <w:color w:val="auto"/>
                <w:spacing w:val="3"/>
                <w:highlight w:val="none"/>
              </w:rPr>
            </w:pPr>
            <w:r>
              <w:rPr>
                <w:color w:val="auto"/>
                <w:spacing w:val="8"/>
                <w:highlight w:val="none"/>
              </w:rPr>
              <w:t>根据供应商提供体检相关配套服务进行打分，体检相关配套服务</w:t>
            </w:r>
            <w:r>
              <w:rPr>
                <w:color w:val="auto"/>
                <w:spacing w:val="7"/>
                <w:highlight w:val="none"/>
              </w:rPr>
              <w:t>包含但不限于一般的体检相关配套服务</w:t>
            </w:r>
            <w:r>
              <w:rPr>
                <w:color w:val="auto"/>
                <w:spacing w:val="-16"/>
                <w:highlight w:val="none"/>
              </w:rPr>
              <w:t xml:space="preserve"> </w:t>
            </w:r>
            <w:r>
              <w:rPr>
                <w:color w:val="auto"/>
                <w:spacing w:val="7"/>
                <w:highlight w:val="none"/>
              </w:rPr>
              <w:t>、对体检结果的处理措施</w:t>
            </w:r>
            <w:r>
              <w:rPr>
                <w:color w:val="auto"/>
                <w:spacing w:val="-25"/>
                <w:highlight w:val="none"/>
              </w:rPr>
              <w:t xml:space="preserve"> </w:t>
            </w:r>
            <w:r>
              <w:rPr>
                <w:color w:val="auto"/>
                <w:spacing w:val="7"/>
                <w:highlight w:val="none"/>
              </w:rPr>
              <w:t>、体检人员健康</w:t>
            </w:r>
            <w:r>
              <w:rPr>
                <w:color w:val="auto"/>
                <w:spacing w:val="3"/>
                <w:highlight w:val="none"/>
              </w:rPr>
              <w:t>总体评价</w:t>
            </w:r>
            <w:r>
              <w:rPr>
                <w:color w:val="auto"/>
                <w:spacing w:val="-9"/>
                <w:highlight w:val="none"/>
              </w:rPr>
              <w:t xml:space="preserve"> </w:t>
            </w:r>
            <w:r>
              <w:rPr>
                <w:color w:val="auto"/>
                <w:spacing w:val="3"/>
                <w:highlight w:val="none"/>
              </w:rPr>
              <w:t>、建立健康档案</w:t>
            </w:r>
            <w:r>
              <w:rPr>
                <w:color w:val="auto"/>
                <w:spacing w:val="-28"/>
                <w:highlight w:val="none"/>
              </w:rPr>
              <w:t xml:space="preserve"> </w:t>
            </w:r>
            <w:r>
              <w:rPr>
                <w:color w:val="auto"/>
                <w:spacing w:val="3"/>
                <w:highlight w:val="none"/>
              </w:rPr>
              <w:t>、增值服务等，</w:t>
            </w:r>
            <w:r>
              <w:rPr>
                <w:color w:val="auto"/>
                <w:spacing w:val="-24"/>
                <w:highlight w:val="none"/>
              </w:rPr>
              <w:t xml:space="preserve"> </w:t>
            </w:r>
            <w:r>
              <w:rPr>
                <w:color w:val="auto"/>
                <w:spacing w:val="3"/>
                <w:highlight w:val="none"/>
              </w:rPr>
              <w:t>不提供不得分。</w:t>
            </w:r>
          </w:p>
          <w:p w14:paraId="6530C8C8">
            <w:pPr>
              <w:pStyle w:val="41"/>
              <w:spacing w:before="151" w:line="257" w:lineRule="auto"/>
              <w:ind w:left="113" w:right="107" w:firstLine="40"/>
              <w:rPr>
                <w:rFonts w:hint="eastAsia"/>
                <w:color w:val="auto"/>
                <w:spacing w:val="-3"/>
                <w:highlight w:val="none"/>
                <w:lang w:eastAsia="zh-CN"/>
              </w:rPr>
            </w:pPr>
            <w:r>
              <w:rPr>
                <w:rFonts w:hint="eastAsia"/>
                <w:color w:val="auto"/>
                <w:spacing w:val="-3"/>
                <w:highlight w:val="none"/>
                <w:lang w:eastAsia="zh-CN"/>
              </w:rPr>
              <w:t>一档 （</w:t>
            </w:r>
            <w:r>
              <w:rPr>
                <w:rFonts w:hint="eastAsia"/>
                <w:color w:val="auto"/>
                <w:spacing w:val="-3"/>
                <w:highlight w:val="none"/>
                <w:lang w:val="en-US" w:eastAsia="zh-CN"/>
              </w:rPr>
              <w:t>9</w:t>
            </w:r>
            <w:r>
              <w:rPr>
                <w:rFonts w:hint="eastAsia"/>
                <w:color w:val="auto"/>
                <w:spacing w:val="-3"/>
                <w:highlight w:val="none"/>
                <w:lang w:eastAsia="zh-CN"/>
              </w:rPr>
              <w:t xml:space="preserve"> 分）： 有针对体检结果的处理、个人隐私资料的保密措施，体检相关配套服务简单， 无针对性。</w:t>
            </w:r>
          </w:p>
          <w:p w14:paraId="1FB3AD0F">
            <w:pPr>
              <w:pStyle w:val="41"/>
              <w:spacing w:before="21" w:line="258" w:lineRule="auto"/>
              <w:ind w:left="105" w:right="143" w:firstLine="5"/>
              <w:rPr>
                <w:color w:val="auto"/>
                <w:highlight w:val="none"/>
              </w:rPr>
            </w:pPr>
            <w:r>
              <w:rPr>
                <w:color w:val="auto"/>
                <w:spacing w:val="7"/>
                <w:highlight w:val="none"/>
              </w:rPr>
              <w:t>二档</w:t>
            </w:r>
            <w:r>
              <w:rPr>
                <w:color w:val="auto"/>
                <w:spacing w:val="-37"/>
                <w:highlight w:val="none"/>
              </w:rPr>
              <w:t xml:space="preserve"> </w:t>
            </w:r>
            <w:r>
              <w:rPr>
                <w:color w:val="auto"/>
                <w:spacing w:val="7"/>
                <w:highlight w:val="none"/>
              </w:rPr>
              <w:t>（</w:t>
            </w:r>
            <w:r>
              <w:rPr>
                <w:rFonts w:hint="eastAsia"/>
                <w:color w:val="auto"/>
                <w:spacing w:val="7"/>
                <w:highlight w:val="none"/>
                <w:lang w:val="en-US" w:eastAsia="zh-CN"/>
              </w:rPr>
              <w:t>12</w:t>
            </w:r>
            <w:r>
              <w:rPr>
                <w:color w:val="auto"/>
                <w:spacing w:val="7"/>
                <w:highlight w:val="none"/>
              </w:rPr>
              <w:t>分</w:t>
            </w:r>
            <w:r>
              <w:rPr>
                <w:color w:val="auto"/>
                <w:spacing w:val="-5"/>
                <w:highlight w:val="none"/>
              </w:rPr>
              <w:t>）：</w:t>
            </w:r>
            <w:r>
              <w:rPr>
                <w:color w:val="auto"/>
                <w:spacing w:val="-22"/>
                <w:highlight w:val="none"/>
              </w:rPr>
              <w:t xml:space="preserve"> </w:t>
            </w:r>
            <w:r>
              <w:rPr>
                <w:color w:val="auto"/>
                <w:spacing w:val="7"/>
                <w:highlight w:val="none"/>
              </w:rPr>
              <w:t>体检相关配套服务较详细，</w:t>
            </w:r>
            <w:r>
              <w:rPr>
                <w:color w:val="auto"/>
                <w:spacing w:val="-28"/>
                <w:highlight w:val="none"/>
              </w:rPr>
              <w:t xml:space="preserve"> </w:t>
            </w:r>
            <w:r>
              <w:rPr>
                <w:rFonts w:hint="eastAsia"/>
                <w:color w:val="auto"/>
                <w:spacing w:val="-3"/>
                <w:highlight w:val="none"/>
                <w:lang w:eastAsia="zh-CN"/>
              </w:rPr>
              <w:t>有针对体检结果的处理、个人隐私资料的保密措施，</w:t>
            </w:r>
            <w:r>
              <w:rPr>
                <w:color w:val="auto"/>
                <w:spacing w:val="7"/>
                <w:highlight w:val="none"/>
              </w:rPr>
              <w:t>有针对体检结果的处</w:t>
            </w:r>
            <w:r>
              <w:rPr>
                <w:color w:val="auto"/>
                <w:spacing w:val="6"/>
                <w:highlight w:val="none"/>
              </w:rPr>
              <w:t>理及增值服务承</w:t>
            </w:r>
            <w:r>
              <w:rPr>
                <w:color w:val="auto"/>
                <w:spacing w:val="4"/>
                <w:highlight w:val="none"/>
              </w:rPr>
              <w:t>诺。</w:t>
            </w:r>
          </w:p>
          <w:p w14:paraId="429FA10A">
            <w:pPr>
              <w:pStyle w:val="41"/>
              <w:spacing w:before="153" w:line="225" w:lineRule="auto"/>
              <w:ind w:left="110" w:right="109" w:firstLine="24"/>
              <w:rPr>
                <w:rFonts w:hint="eastAsia" w:eastAsia="微软雅黑"/>
                <w:color w:val="auto"/>
                <w:spacing w:val="3"/>
                <w:highlight w:val="none"/>
                <w:lang w:eastAsia="zh-CN"/>
              </w:rPr>
            </w:pPr>
            <w:r>
              <w:rPr>
                <w:color w:val="auto"/>
                <w:spacing w:val="5"/>
                <w:highlight w:val="none"/>
              </w:rPr>
              <w:t>三档（</w:t>
            </w:r>
            <w:r>
              <w:rPr>
                <w:color w:val="auto"/>
                <w:spacing w:val="-17"/>
                <w:highlight w:val="none"/>
              </w:rPr>
              <w:t xml:space="preserve"> </w:t>
            </w:r>
            <w:r>
              <w:rPr>
                <w:rFonts w:hint="eastAsia"/>
                <w:color w:val="auto"/>
                <w:spacing w:val="5"/>
                <w:highlight w:val="none"/>
                <w:lang w:val="en-US" w:eastAsia="zh-CN"/>
              </w:rPr>
              <w:t>15</w:t>
            </w:r>
            <w:r>
              <w:rPr>
                <w:color w:val="auto"/>
                <w:spacing w:val="5"/>
                <w:highlight w:val="none"/>
              </w:rPr>
              <w:t>分</w:t>
            </w:r>
            <w:r>
              <w:rPr>
                <w:color w:val="auto"/>
                <w:spacing w:val="-8"/>
                <w:highlight w:val="none"/>
              </w:rPr>
              <w:t>）：</w:t>
            </w:r>
            <w:r>
              <w:rPr>
                <w:color w:val="auto"/>
                <w:spacing w:val="-34"/>
                <w:highlight w:val="none"/>
              </w:rPr>
              <w:t xml:space="preserve"> </w:t>
            </w:r>
            <w:r>
              <w:rPr>
                <w:color w:val="auto"/>
                <w:spacing w:val="5"/>
                <w:highlight w:val="none"/>
              </w:rPr>
              <w:t>体检相关配套服务详细，有针对体检结果的处理、个人隐私资料</w:t>
            </w:r>
            <w:r>
              <w:rPr>
                <w:color w:val="auto"/>
                <w:spacing w:val="7"/>
                <w:highlight w:val="none"/>
              </w:rPr>
              <w:t>的保密措施，</w:t>
            </w:r>
            <w:r>
              <w:rPr>
                <w:color w:val="auto"/>
                <w:spacing w:val="-33"/>
                <w:highlight w:val="none"/>
              </w:rPr>
              <w:t xml:space="preserve"> </w:t>
            </w:r>
            <w:r>
              <w:rPr>
                <w:color w:val="auto"/>
                <w:spacing w:val="7"/>
                <w:highlight w:val="none"/>
              </w:rPr>
              <w:t>有体检人员健康总体评价，</w:t>
            </w:r>
            <w:r>
              <w:rPr>
                <w:color w:val="auto"/>
                <w:spacing w:val="-25"/>
                <w:highlight w:val="none"/>
              </w:rPr>
              <w:t xml:space="preserve"> </w:t>
            </w:r>
            <w:r>
              <w:rPr>
                <w:color w:val="auto"/>
                <w:spacing w:val="7"/>
                <w:highlight w:val="none"/>
              </w:rPr>
              <w:t>能做到</w:t>
            </w:r>
            <w:r>
              <w:rPr>
                <w:color w:val="auto"/>
                <w:spacing w:val="6"/>
                <w:highlight w:val="none"/>
              </w:rPr>
              <w:t>检后的健康监控跟踪等</w:t>
            </w:r>
            <w:r>
              <w:rPr>
                <w:color w:val="auto"/>
                <w:spacing w:val="8"/>
                <w:highlight w:val="none"/>
              </w:rPr>
              <w:t>，</w:t>
            </w:r>
            <w:r>
              <w:rPr>
                <w:color w:val="auto"/>
                <w:spacing w:val="-19"/>
                <w:highlight w:val="none"/>
              </w:rPr>
              <w:t xml:space="preserve"> </w:t>
            </w:r>
            <w:r>
              <w:rPr>
                <w:color w:val="auto"/>
                <w:spacing w:val="8"/>
                <w:highlight w:val="none"/>
              </w:rPr>
              <w:t>能建立精准健康档案及</w:t>
            </w:r>
            <w:r>
              <w:rPr>
                <w:rFonts w:hint="eastAsia"/>
                <w:color w:val="auto"/>
                <w:spacing w:val="8"/>
                <w:highlight w:val="none"/>
                <w:lang w:val="en-US" w:eastAsia="zh-CN"/>
              </w:rPr>
              <w:t>至少</w:t>
            </w:r>
            <w:r>
              <w:rPr>
                <w:color w:val="auto"/>
                <w:spacing w:val="8"/>
                <w:highlight w:val="none"/>
              </w:rPr>
              <w:t>两项增值服务承诺</w:t>
            </w:r>
            <w:r>
              <w:rPr>
                <w:rFonts w:hint="eastAsia"/>
                <w:color w:val="auto"/>
                <w:spacing w:val="8"/>
                <w:highlight w:val="none"/>
                <w:lang w:eastAsia="zh-CN"/>
              </w:rPr>
              <w:t>。</w:t>
            </w:r>
          </w:p>
        </w:tc>
      </w:tr>
    </w:tbl>
    <w:p w14:paraId="22427A86">
      <w:pPr>
        <w:spacing w:before="38"/>
        <w:rPr>
          <w:color w:val="auto"/>
          <w:highlight w:val="none"/>
        </w:rPr>
      </w:pPr>
    </w:p>
    <w:tbl>
      <w:tblPr>
        <w:tblStyle w:val="34"/>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720"/>
        <w:gridCol w:w="901"/>
        <w:gridCol w:w="7549"/>
      </w:tblGrid>
      <w:tr w14:paraId="196FB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81" w:type="dxa"/>
            <w:tcBorders>
              <w:top w:val="nil"/>
            </w:tcBorders>
            <w:vAlign w:val="top"/>
          </w:tcPr>
          <w:p w14:paraId="50E0CC7B">
            <w:pPr>
              <w:rPr>
                <w:rFonts w:ascii="Arial"/>
                <w:color w:val="auto"/>
                <w:sz w:val="21"/>
                <w:highlight w:val="none"/>
              </w:rPr>
            </w:pPr>
          </w:p>
        </w:tc>
        <w:tc>
          <w:tcPr>
            <w:tcW w:w="720" w:type="dxa"/>
            <w:vAlign w:val="top"/>
          </w:tcPr>
          <w:p w14:paraId="4A354C51">
            <w:pPr>
              <w:spacing w:line="275" w:lineRule="auto"/>
              <w:rPr>
                <w:rFonts w:ascii="Arial"/>
                <w:color w:val="auto"/>
                <w:sz w:val="21"/>
                <w:highlight w:val="none"/>
              </w:rPr>
            </w:pPr>
          </w:p>
          <w:p w14:paraId="03F7970F">
            <w:pPr>
              <w:spacing w:line="276" w:lineRule="auto"/>
              <w:rPr>
                <w:rFonts w:ascii="Arial"/>
                <w:color w:val="auto"/>
                <w:sz w:val="21"/>
                <w:highlight w:val="none"/>
              </w:rPr>
            </w:pPr>
          </w:p>
          <w:p w14:paraId="49D8B2DB">
            <w:pPr>
              <w:spacing w:line="276" w:lineRule="auto"/>
              <w:rPr>
                <w:rFonts w:ascii="Arial"/>
                <w:color w:val="auto"/>
                <w:sz w:val="21"/>
                <w:highlight w:val="none"/>
              </w:rPr>
            </w:pPr>
          </w:p>
          <w:p w14:paraId="179326B0">
            <w:pPr>
              <w:spacing w:line="276" w:lineRule="auto"/>
              <w:jc w:val="center"/>
              <w:rPr>
                <w:rFonts w:ascii="Arial"/>
                <w:color w:val="auto"/>
                <w:sz w:val="21"/>
                <w:highlight w:val="none"/>
              </w:rPr>
            </w:pPr>
          </w:p>
          <w:p w14:paraId="21F0DC94">
            <w:pPr>
              <w:pStyle w:val="41"/>
              <w:spacing w:before="85" w:line="280" w:lineRule="auto"/>
              <w:ind w:left="151" w:right="151" w:firstLine="1"/>
              <w:jc w:val="center"/>
              <w:rPr>
                <w:color w:val="auto"/>
                <w:highlight w:val="none"/>
              </w:rPr>
            </w:pPr>
            <w:r>
              <w:rPr>
                <w:color w:val="auto"/>
                <w:spacing w:val="5"/>
                <w:highlight w:val="none"/>
              </w:rPr>
              <w:t>服务</w:t>
            </w:r>
            <w:r>
              <w:rPr>
                <w:color w:val="auto"/>
                <w:highlight w:val="none"/>
              </w:rPr>
              <w:t xml:space="preserve"> </w:t>
            </w:r>
            <w:r>
              <w:rPr>
                <w:color w:val="auto"/>
                <w:spacing w:val="6"/>
                <w:highlight w:val="none"/>
              </w:rPr>
              <w:t>方案</w:t>
            </w:r>
          </w:p>
        </w:tc>
        <w:tc>
          <w:tcPr>
            <w:tcW w:w="901" w:type="dxa"/>
            <w:vAlign w:val="top"/>
          </w:tcPr>
          <w:p w14:paraId="259B96EE">
            <w:pPr>
              <w:spacing w:line="269" w:lineRule="auto"/>
              <w:rPr>
                <w:rFonts w:ascii="Arial"/>
                <w:color w:val="auto"/>
                <w:sz w:val="21"/>
                <w:highlight w:val="none"/>
              </w:rPr>
            </w:pPr>
          </w:p>
          <w:p w14:paraId="0BEB90C0">
            <w:pPr>
              <w:spacing w:line="270" w:lineRule="auto"/>
              <w:rPr>
                <w:rFonts w:ascii="Arial"/>
                <w:color w:val="auto"/>
                <w:sz w:val="21"/>
                <w:highlight w:val="none"/>
              </w:rPr>
            </w:pPr>
          </w:p>
          <w:p w14:paraId="4257C841">
            <w:pPr>
              <w:spacing w:line="270" w:lineRule="auto"/>
              <w:rPr>
                <w:rFonts w:ascii="Arial"/>
                <w:color w:val="auto"/>
                <w:sz w:val="21"/>
                <w:highlight w:val="none"/>
              </w:rPr>
            </w:pPr>
          </w:p>
          <w:p w14:paraId="4A2A6687">
            <w:pPr>
              <w:spacing w:line="270" w:lineRule="auto"/>
              <w:rPr>
                <w:rFonts w:ascii="Arial"/>
                <w:color w:val="auto"/>
                <w:sz w:val="21"/>
                <w:highlight w:val="none"/>
              </w:rPr>
            </w:pPr>
          </w:p>
          <w:p w14:paraId="67CD0B5B">
            <w:pPr>
              <w:spacing w:line="270" w:lineRule="auto"/>
              <w:rPr>
                <w:rFonts w:ascii="Arial"/>
                <w:color w:val="auto"/>
                <w:sz w:val="21"/>
                <w:highlight w:val="none"/>
              </w:rPr>
            </w:pPr>
          </w:p>
          <w:p w14:paraId="244BF8C6">
            <w:pPr>
              <w:spacing w:line="270" w:lineRule="auto"/>
              <w:rPr>
                <w:rFonts w:ascii="Arial"/>
                <w:color w:val="auto"/>
                <w:sz w:val="21"/>
                <w:highlight w:val="none"/>
              </w:rPr>
            </w:pPr>
          </w:p>
          <w:p w14:paraId="52C539F8">
            <w:pPr>
              <w:spacing w:line="270" w:lineRule="auto"/>
              <w:rPr>
                <w:rFonts w:ascii="Arial"/>
                <w:color w:val="auto"/>
                <w:sz w:val="21"/>
                <w:highlight w:val="none"/>
              </w:rPr>
            </w:pPr>
          </w:p>
          <w:p w14:paraId="62F7A3D4">
            <w:pPr>
              <w:pStyle w:val="41"/>
              <w:spacing w:before="85" w:line="167" w:lineRule="auto"/>
              <w:ind w:left="362"/>
              <w:rPr>
                <w:rFonts w:hint="default" w:eastAsia="微软雅黑"/>
                <w:color w:val="auto"/>
                <w:highlight w:val="none"/>
                <w:lang w:val="en-US" w:eastAsia="zh-CN"/>
              </w:rPr>
            </w:pPr>
            <w:r>
              <w:rPr>
                <w:rFonts w:hint="eastAsia"/>
                <w:color w:val="auto"/>
                <w:spacing w:val="-18"/>
                <w:highlight w:val="none"/>
                <w:lang w:val="en-US" w:eastAsia="zh-CN"/>
              </w:rPr>
              <w:t>24</w:t>
            </w:r>
          </w:p>
        </w:tc>
        <w:tc>
          <w:tcPr>
            <w:tcW w:w="7549" w:type="dxa"/>
            <w:vAlign w:val="top"/>
          </w:tcPr>
          <w:p w14:paraId="2D4BB60D">
            <w:pPr>
              <w:pStyle w:val="41"/>
              <w:spacing w:before="149" w:line="263" w:lineRule="auto"/>
              <w:ind w:left="107" w:right="107" w:firstLine="27"/>
              <w:jc w:val="both"/>
              <w:rPr>
                <w:color w:val="auto"/>
                <w:highlight w:val="none"/>
              </w:rPr>
            </w:pPr>
            <w:r>
              <w:rPr>
                <w:color w:val="auto"/>
                <w:spacing w:val="9"/>
                <w:highlight w:val="none"/>
              </w:rPr>
              <w:t>根据供应商提供的服务方案进行</w:t>
            </w:r>
            <w:r>
              <w:rPr>
                <w:color w:val="auto"/>
                <w:spacing w:val="8"/>
                <w:highlight w:val="none"/>
              </w:rPr>
              <w:t>打分，服务方案包含但不限于体</w:t>
            </w:r>
            <w:r>
              <w:rPr>
                <w:color w:val="auto"/>
                <w:spacing w:val="6"/>
                <w:highlight w:val="none"/>
              </w:rPr>
              <w:t>检服务方案，</w:t>
            </w:r>
            <w:r>
              <w:rPr>
                <w:color w:val="auto"/>
                <w:spacing w:val="-18"/>
                <w:highlight w:val="none"/>
              </w:rPr>
              <w:t xml:space="preserve"> </w:t>
            </w:r>
            <w:r>
              <w:rPr>
                <w:color w:val="auto"/>
                <w:spacing w:val="6"/>
                <w:highlight w:val="none"/>
              </w:rPr>
              <w:t>医疗保障方案，</w:t>
            </w:r>
            <w:r>
              <w:rPr>
                <w:color w:val="auto"/>
                <w:spacing w:val="-29"/>
                <w:highlight w:val="none"/>
              </w:rPr>
              <w:t xml:space="preserve"> </w:t>
            </w:r>
            <w:r>
              <w:rPr>
                <w:color w:val="auto"/>
                <w:spacing w:val="6"/>
                <w:highlight w:val="none"/>
              </w:rPr>
              <w:t>职业健康安全保障制度，</w:t>
            </w:r>
            <w:r>
              <w:rPr>
                <w:color w:val="auto"/>
                <w:spacing w:val="-28"/>
                <w:highlight w:val="none"/>
              </w:rPr>
              <w:t xml:space="preserve"> </w:t>
            </w:r>
            <w:r>
              <w:rPr>
                <w:color w:val="auto"/>
                <w:spacing w:val="6"/>
                <w:highlight w:val="none"/>
              </w:rPr>
              <w:t>应急措施（预案</w:t>
            </w:r>
            <w:r>
              <w:rPr>
                <w:color w:val="auto"/>
                <w:spacing w:val="-3"/>
                <w:highlight w:val="none"/>
              </w:rPr>
              <w:t>），</w:t>
            </w:r>
            <w:r>
              <w:rPr>
                <w:color w:val="auto"/>
                <w:spacing w:val="-28"/>
                <w:highlight w:val="none"/>
              </w:rPr>
              <w:t xml:space="preserve"> </w:t>
            </w:r>
            <w:r>
              <w:rPr>
                <w:color w:val="auto"/>
                <w:spacing w:val="6"/>
                <w:highlight w:val="none"/>
              </w:rPr>
              <w:t>不提</w:t>
            </w:r>
            <w:r>
              <w:rPr>
                <w:color w:val="auto"/>
                <w:spacing w:val="7"/>
                <w:highlight w:val="none"/>
              </w:rPr>
              <w:t>供不得分。</w:t>
            </w:r>
          </w:p>
          <w:p w14:paraId="6973D175">
            <w:pPr>
              <w:pStyle w:val="41"/>
              <w:spacing w:before="72" w:line="213" w:lineRule="auto"/>
              <w:ind w:left="110"/>
              <w:rPr>
                <w:color w:val="auto"/>
                <w:highlight w:val="none"/>
              </w:rPr>
            </w:pPr>
            <w:r>
              <w:rPr>
                <w:color w:val="auto"/>
                <w:spacing w:val="6"/>
                <w:highlight w:val="none"/>
              </w:rPr>
              <w:t>一档</w:t>
            </w:r>
            <w:r>
              <w:rPr>
                <w:color w:val="auto"/>
                <w:spacing w:val="-37"/>
                <w:highlight w:val="none"/>
              </w:rPr>
              <w:t xml:space="preserve"> </w:t>
            </w:r>
            <w:r>
              <w:rPr>
                <w:color w:val="auto"/>
                <w:spacing w:val="6"/>
                <w:highlight w:val="none"/>
              </w:rPr>
              <w:t>（</w:t>
            </w:r>
            <w:r>
              <w:rPr>
                <w:rFonts w:hint="eastAsia"/>
                <w:color w:val="auto"/>
                <w:spacing w:val="6"/>
                <w:highlight w:val="none"/>
                <w:lang w:val="en-US" w:eastAsia="zh-CN"/>
              </w:rPr>
              <w:t>18</w:t>
            </w:r>
            <w:r>
              <w:rPr>
                <w:color w:val="auto"/>
                <w:spacing w:val="6"/>
                <w:highlight w:val="none"/>
              </w:rPr>
              <w:t>分</w:t>
            </w:r>
            <w:r>
              <w:rPr>
                <w:color w:val="auto"/>
                <w:spacing w:val="-5"/>
                <w:highlight w:val="none"/>
              </w:rPr>
              <w:t>）：</w:t>
            </w:r>
            <w:r>
              <w:rPr>
                <w:color w:val="auto"/>
                <w:spacing w:val="-24"/>
                <w:highlight w:val="none"/>
              </w:rPr>
              <w:t xml:space="preserve"> </w:t>
            </w:r>
            <w:r>
              <w:rPr>
                <w:color w:val="auto"/>
                <w:spacing w:val="6"/>
                <w:highlight w:val="none"/>
              </w:rPr>
              <w:t>服务方案简单基本满足项目要</w:t>
            </w:r>
            <w:r>
              <w:rPr>
                <w:color w:val="auto"/>
                <w:spacing w:val="5"/>
                <w:highlight w:val="none"/>
              </w:rPr>
              <w:t>求。</w:t>
            </w:r>
          </w:p>
          <w:p w14:paraId="6787ED45">
            <w:pPr>
              <w:pStyle w:val="41"/>
              <w:spacing w:before="93" w:line="256" w:lineRule="auto"/>
              <w:ind w:left="113" w:right="143" w:hanging="3"/>
              <w:rPr>
                <w:color w:val="auto"/>
                <w:highlight w:val="none"/>
              </w:rPr>
            </w:pPr>
            <w:r>
              <w:rPr>
                <w:color w:val="auto"/>
                <w:spacing w:val="6"/>
                <w:highlight w:val="none"/>
              </w:rPr>
              <w:t>二档</w:t>
            </w:r>
            <w:r>
              <w:rPr>
                <w:color w:val="auto"/>
                <w:spacing w:val="-38"/>
                <w:highlight w:val="none"/>
              </w:rPr>
              <w:t xml:space="preserve"> </w:t>
            </w:r>
            <w:r>
              <w:rPr>
                <w:color w:val="auto"/>
                <w:spacing w:val="6"/>
                <w:highlight w:val="none"/>
              </w:rPr>
              <w:t>（</w:t>
            </w:r>
            <w:r>
              <w:rPr>
                <w:rFonts w:hint="eastAsia"/>
                <w:color w:val="auto"/>
                <w:spacing w:val="6"/>
                <w:highlight w:val="none"/>
                <w:lang w:val="en-US" w:eastAsia="zh-CN"/>
              </w:rPr>
              <w:t>21</w:t>
            </w:r>
            <w:r>
              <w:rPr>
                <w:color w:val="auto"/>
                <w:spacing w:val="6"/>
                <w:highlight w:val="none"/>
              </w:rPr>
              <w:t>分</w:t>
            </w:r>
            <w:r>
              <w:rPr>
                <w:color w:val="auto"/>
                <w:spacing w:val="-5"/>
                <w:highlight w:val="none"/>
              </w:rPr>
              <w:t>）：</w:t>
            </w:r>
            <w:r>
              <w:rPr>
                <w:color w:val="auto"/>
                <w:spacing w:val="-23"/>
                <w:highlight w:val="none"/>
              </w:rPr>
              <w:t xml:space="preserve"> </w:t>
            </w:r>
            <w:r>
              <w:rPr>
                <w:color w:val="auto"/>
                <w:spacing w:val="6"/>
                <w:highlight w:val="none"/>
              </w:rPr>
              <w:t>服务方案满足项目要求，</w:t>
            </w:r>
            <w:r>
              <w:rPr>
                <w:color w:val="auto"/>
                <w:spacing w:val="-27"/>
                <w:highlight w:val="none"/>
              </w:rPr>
              <w:t xml:space="preserve"> </w:t>
            </w:r>
            <w:r>
              <w:rPr>
                <w:color w:val="auto"/>
                <w:spacing w:val="6"/>
                <w:highlight w:val="none"/>
              </w:rPr>
              <w:t>提供的方案较为健全，</w:t>
            </w:r>
            <w:r>
              <w:rPr>
                <w:color w:val="auto"/>
                <w:spacing w:val="-28"/>
                <w:highlight w:val="none"/>
              </w:rPr>
              <w:t xml:space="preserve"> </w:t>
            </w:r>
            <w:r>
              <w:rPr>
                <w:color w:val="auto"/>
                <w:spacing w:val="6"/>
                <w:highlight w:val="none"/>
              </w:rPr>
              <w:t>措施得当</w:t>
            </w:r>
            <w:r>
              <w:rPr>
                <w:color w:val="auto"/>
                <w:spacing w:val="5"/>
                <w:highlight w:val="none"/>
              </w:rPr>
              <w:t>并符合</w:t>
            </w:r>
            <w:r>
              <w:rPr>
                <w:color w:val="auto"/>
                <w:spacing w:val="4"/>
                <w:highlight w:val="none"/>
              </w:rPr>
              <w:t>实际的。</w:t>
            </w:r>
          </w:p>
          <w:p w14:paraId="56D51BD1">
            <w:pPr>
              <w:pStyle w:val="41"/>
              <w:spacing w:before="71" w:line="252" w:lineRule="auto"/>
              <w:ind w:left="110" w:right="44" w:firstLine="2"/>
              <w:jc w:val="both"/>
              <w:rPr>
                <w:color w:val="auto"/>
                <w:highlight w:val="none"/>
              </w:rPr>
            </w:pPr>
            <w:r>
              <w:rPr>
                <w:color w:val="auto"/>
                <w:spacing w:val="3"/>
                <w:highlight w:val="none"/>
              </w:rPr>
              <w:t>三档（</w:t>
            </w:r>
            <w:r>
              <w:rPr>
                <w:rFonts w:hint="eastAsia"/>
                <w:color w:val="auto"/>
                <w:spacing w:val="-35"/>
                <w:highlight w:val="none"/>
                <w:lang w:val="en-US" w:eastAsia="zh-CN"/>
              </w:rPr>
              <w:t>24</w:t>
            </w:r>
            <w:r>
              <w:rPr>
                <w:color w:val="auto"/>
                <w:spacing w:val="3"/>
                <w:highlight w:val="none"/>
              </w:rPr>
              <w:t>分</w:t>
            </w:r>
            <w:r>
              <w:rPr>
                <w:color w:val="auto"/>
                <w:spacing w:val="-20"/>
                <w:highlight w:val="none"/>
              </w:rPr>
              <w:t>）：</w:t>
            </w:r>
            <w:r>
              <w:rPr>
                <w:color w:val="auto"/>
                <w:spacing w:val="3"/>
                <w:highlight w:val="none"/>
              </w:rPr>
              <w:t>提供的方案较为健全，措施得当并符合实际的，现场有医生讲解、</w:t>
            </w:r>
            <w:r>
              <w:rPr>
                <w:color w:val="auto"/>
                <w:highlight w:val="none"/>
              </w:rPr>
              <w:t xml:space="preserve"> </w:t>
            </w:r>
            <w:r>
              <w:rPr>
                <w:color w:val="auto"/>
                <w:spacing w:val="7"/>
                <w:highlight w:val="none"/>
              </w:rPr>
              <w:t>有体检服务后义诊</w:t>
            </w:r>
            <w:r>
              <w:rPr>
                <w:color w:val="auto"/>
                <w:spacing w:val="-13"/>
                <w:highlight w:val="none"/>
              </w:rPr>
              <w:t xml:space="preserve"> </w:t>
            </w:r>
            <w:r>
              <w:rPr>
                <w:color w:val="auto"/>
                <w:spacing w:val="7"/>
                <w:highlight w:val="none"/>
              </w:rPr>
              <w:t>、提供健康讲座</w:t>
            </w:r>
            <w:r>
              <w:rPr>
                <w:color w:val="auto"/>
                <w:spacing w:val="-25"/>
                <w:highlight w:val="none"/>
              </w:rPr>
              <w:t xml:space="preserve"> </w:t>
            </w:r>
            <w:r>
              <w:rPr>
                <w:color w:val="auto"/>
                <w:spacing w:val="6"/>
                <w:highlight w:val="none"/>
              </w:rPr>
              <w:t>、有单位汇总报告分析</w:t>
            </w:r>
            <w:r>
              <w:rPr>
                <w:color w:val="auto"/>
                <w:spacing w:val="-26"/>
                <w:highlight w:val="none"/>
              </w:rPr>
              <w:t xml:space="preserve"> </w:t>
            </w:r>
            <w:r>
              <w:rPr>
                <w:rFonts w:hint="eastAsia"/>
                <w:color w:val="auto"/>
                <w:spacing w:val="6"/>
                <w:highlight w:val="none"/>
                <w:lang w:eastAsia="zh-CN"/>
              </w:rPr>
              <w:t>，</w:t>
            </w:r>
            <w:r>
              <w:rPr>
                <w:rFonts w:hint="eastAsia"/>
                <w:color w:val="auto"/>
                <w:spacing w:val="6"/>
                <w:highlight w:val="none"/>
                <w:lang w:val="en-US" w:eastAsia="zh-CN"/>
              </w:rPr>
              <w:t>能到学校为传染病（如肺结核）筛查提供协助服务的，</w:t>
            </w:r>
            <w:r>
              <w:rPr>
                <w:color w:val="auto"/>
                <w:spacing w:val="6"/>
                <w:highlight w:val="none"/>
              </w:rPr>
              <w:t>或提出优于</w:t>
            </w:r>
            <w:r>
              <w:rPr>
                <w:rFonts w:hint="eastAsia"/>
                <w:color w:val="auto"/>
                <w:spacing w:val="6"/>
                <w:highlight w:val="none"/>
                <w:lang w:val="en-US" w:eastAsia="zh-CN"/>
              </w:rPr>
              <w:t>采购</w:t>
            </w:r>
            <w:r>
              <w:rPr>
                <w:color w:val="auto"/>
                <w:spacing w:val="6"/>
                <w:highlight w:val="none"/>
              </w:rPr>
              <w:t>文件售后服务要求的</w:t>
            </w:r>
            <w:r>
              <w:rPr>
                <w:color w:val="auto"/>
                <w:spacing w:val="9"/>
                <w:highlight w:val="none"/>
              </w:rPr>
              <w:t>其他有利于采购人的优化服务措施且被</w:t>
            </w:r>
            <w:r>
              <w:rPr>
                <w:rFonts w:hint="eastAsia"/>
                <w:color w:val="auto"/>
                <w:spacing w:val="9"/>
                <w:highlight w:val="none"/>
                <w:lang w:val="en-US" w:eastAsia="zh-CN"/>
              </w:rPr>
              <w:t>评审</w:t>
            </w:r>
            <w:r>
              <w:rPr>
                <w:color w:val="auto"/>
                <w:spacing w:val="9"/>
                <w:highlight w:val="none"/>
              </w:rPr>
              <w:t>小组接受。</w:t>
            </w:r>
          </w:p>
        </w:tc>
      </w:tr>
      <w:tr w14:paraId="153EF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1" w:type="dxa"/>
            <w:gridSpan w:val="2"/>
            <w:vAlign w:val="top"/>
          </w:tcPr>
          <w:p w14:paraId="4007E36A">
            <w:pPr>
              <w:pStyle w:val="41"/>
              <w:spacing w:before="298" w:line="186" w:lineRule="auto"/>
              <w:ind w:left="645"/>
              <w:rPr>
                <w:color w:val="auto"/>
                <w:highlight w:val="none"/>
              </w:rPr>
            </w:pPr>
            <w:r>
              <w:rPr>
                <w:color w:val="auto"/>
                <w:spacing w:val="5"/>
                <w:highlight w:val="none"/>
              </w:rPr>
              <w:t>合计</w:t>
            </w:r>
          </w:p>
        </w:tc>
        <w:tc>
          <w:tcPr>
            <w:tcW w:w="901" w:type="dxa"/>
            <w:vAlign w:val="top"/>
          </w:tcPr>
          <w:p w14:paraId="6B3173E6">
            <w:pPr>
              <w:spacing w:line="245" w:lineRule="auto"/>
              <w:rPr>
                <w:rFonts w:ascii="Arial"/>
                <w:color w:val="auto"/>
                <w:sz w:val="21"/>
                <w:highlight w:val="none"/>
              </w:rPr>
            </w:pPr>
          </w:p>
          <w:p w14:paraId="08FEE429">
            <w:pPr>
              <w:pStyle w:val="41"/>
              <w:spacing w:before="86" w:line="167" w:lineRule="auto"/>
              <w:ind w:left="309"/>
              <w:rPr>
                <w:color w:val="auto"/>
                <w:highlight w:val="none"/>
              </w:rPr>
            </w:pPr>
            <w:r>
              <w:rPr>
                <w:color w:val="auto"/>
                <w:spacing w:val="-17"/>
                <w:highlight w:val="none"/>
              </w:rPr>
              <w:t>100</w:t>
            </w:r>
          </w:p>
        </w:tc>
        <w:tc>
          <w:tcPr>
            <w:tcW w:w="7549" w:type="dxa"/>
            <w:vAlign w:val="top"/>
          </w:tcPr>
          <w:p w14:paraId="7D78A269">
            <w:pPr>
              <w:pStyle w:val="41"/>
              <w:spacing w:before="297" w:line="217" w:lineRule="auto"/>
              <w:ind w:left="112"/>
              <w:rPr>
                <w:color w:val="auto"/>
                <w:highlight w:val="none"/>
              </w:rPr>
            </w:pPr>
            <w:r>
              <w:rPr>
                <w:color w:val="auto"/>
                <w:spacing w:val="1"/>
                <w:highlight w:val="none"/>
              </w:rPr>
              <w:t>综合得分=价格分+商务分+技术分</w:t>
            </w:r>
          </w:p>
        </w:tc>
      </w:tr>
      <w:tr w14:paraId="391C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0151" w:type="dxa"/>
            <w:gridSpan w:val="4"/>
            <w:vAlign w:val="top"/>
          </w:tcPr>
          <w:p w14:paraId="5F469EA2">
            <w:pPr>
              <w:pStyle w:val="41"/>
              <w:spacing w:before="298" w:line="213" w:lineRule="auto"/>
              <w:ind w:left="1341"/>
              <w:rPr>
                <w:color w:val="auto"/>
                <w:highlight w:val="none"/>
              </w:rPr>
            </w:pPr>
            <w:r>
              <w:rPr>
                <w:color w:val="auto"/>
                <w:spacing w:val="5"/>
                <w:highlight w:val="none"/>
              </w:rPr>
              <w:t>（注：</w:t>
            </w:r>
            <w:r>
              <w:rPr>
                <w:color w:val="auto"/>
                <w:spacing w:val="-16"/>
                <w:highlight w:val="none"/>
              </w:rPr>
              <w:t xml:space="preserve"> </w:t>
            </w:r>
            <w:r>
              <w:rPr>
                <w:color w:val="auto"/>
                <w:spacing w:val="5"/>
                <w:highlight w:val="none"/>
              </w:rPr>
              <w:t>若</w:t>
            </w:r>
            <w:r>
              <w:rPr>
                <w:rFonts w:hint="eastAsia"/>
                <w:color w:val="auto"/>
                <w:spacing w:val="5"/>
                <w:highlight w:val="none"/>
                <w:lang w:val="en-US" w:eastAsia="zh-CN"/>
              </w:rPr>
              <w:t>投标</w:t>
            </w:r>
            <w:r>
              <w:rPr>
                <w:color w:val="auto"/>
                <w:spacing w:val="5"/>
                <w:highlight w:val="none"/>
              </w:rPr>
              <w:t>人有违法违规行为而不说明的，</w:t>
            </w:r>
            <w:r>
              <w:rPr>
                <w:color w:val="auto"/>
                <w:spacing w:val="-22"/>
                <w:highlight w:val="none"/>
              </w:rPr>
              <w:t xml:space="preserve"> </w:t>
            </w:r>
            <w:r>
              <w:rPr>
                <w:color w:val="auto"/>
                <w:spacing w:val="5"/>
                <w:highlight w:val="none"/>
              </w:rPr>
              <w:t>经查属实的，</w:t>
            </w:r>
            <w:r>
              <w:rPr>
                <w:color w:val="auto"/>
                <w:spacing w:val="-28"/>
                <w:highlight w:val="none"/>
              </w:rPr>
              <w:t xml:space="preserve"> </w:t>
            </w:r>
            <w:r>
              <w:rPr>
                <w:color w:val="auto"/>
                <w:spacing w:val="5"/>
                <w:highlight w:val="none"/>
              </w:rPr>
              <w:t>直接取消成交资格）</w:t>
            </w:r>
          </w:p>
        </w:tc>
      </w:tr>
    </w:tbl>
    <w:p w14:paraId="0CBF5DF3">
      <w:pPr>
        <w:rPr>
          <w:color w:val="auto"/>
          <w:highlight w:val="none"/>
        </w:rPr>
      </w:pPr>
    </w:p>
    <w:p w14:paraId="0B02DD0B">
      <w:pPr>
        <w:pStyle w:val="7"/>
        <w:rPr>
          <w:color w:val="auto"/>
          <w:highlight w:val="none"/>
        </w:rPr>
      </w:pPr>
    </w:p>
    <w:p w14:paraId="321B41C1">
      <w:pPr>
        <w:pStyle w:val="8"/>
        <w:rPr>
          <w:color w:val="auto"/>
          <w:highlight w:val="none"/>
        </w:rPr>
        <w:sectPr>
          <w:footerReference r:id="rId3" w:type="default"/>
          <w:pgSz w:w="11906" w:h="16839"/>
          <w:pgMar w:top="1138" w:right="875" w:bottom="1156" w:left="874" w:header="859" w:footer="994" w:gutter="0"/>
          <w:pgNumType w:fmt="decimal"/>
          <w:cols w:space="720" w:num="1"/>
        </w:sectPr>
      </w:pPr>
    </w:p>
    <w:p w14:paraId="374FAEA9">
      <w:pPr>
        <w:pStyle w:val="13"/>
        <w:widowControl/>
        <w:numPr>
          <w:ilvl w:val="0"/>
          <w:numId w:val="0"/>
        </w:numPr>
        <w:spacing w:line="240" w:lineRule="auto"/>
        <w:ind w:firstLine="1280" w:firstLineChars="400"/>
        <w:jc w:val="left"/>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附件二：2025级新生入学体检报价表</w:t>
      </w:r>
    </w:p>
    <w:p w14:paraId="22DF3A6B">
      <w:pPr>
        <w:pStyle w:val="13"/>
        <w:widowControl/>
        <w:numPr>
          <w:ilvl w:val="0"/>
          <w:numId w:val="0"/>
        </w:numPr>
        <w:spacing w:line="240" w:lineRule="auto"/>
        <w:ind w:firstLine="1280" w:firstLineChars="400"/>
        <w:jc w:val="left"/>
        <w:rPr>
          <w:rFonts w:hint="eastAsia" w:ascii="微软雅黑" w:hAnsi="微软雅黑" w:eastAsia="微软雅黑" w:cs="微软雅黑"/>
          <w:color w:val="auto"/>
          <w:sz w:val="32"/>
          <w:szCs w:val="32"/>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2190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42BE3C86">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项目名称</w:t>
            </w:r>
          </w:p>
        </w:tc>
        <w:tc>
          <w:tcPr>
            <w:tcW w:w="4644" w:type="dxa"/>
          </w:tcPr>
          <w:p w14:paraId="28D03716">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含税单价（元）</w:t>
            </w:r>
          </w:p>
        </w:tc>
      </w:tr>
      <w:tr w14:paraId="6AF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0842C7A0">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kern w:val="2"/>
                <w:sz w:val="20"/>
                <w:szCs w:val="20"/>
                <w:highlight w:val="none"/>
                <w:vertAlign w:val="baseline"/>
                <w:lang w:val="en-US" w:eastAsia="zh-CN" w:bidi="ar-SA"/>
              </w:rPr>
              <w:t>一般检查：（身高、体重、血压）</w:t>
            </w:r>
          </w:p>
        </w:tc>
        <w:tc>
          <w:tcPr>
            <w:tcW w:w="4644" w:type="dxa"/>
          </w:tcPr>
          <w:p w14:paraId="6B4719D9">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vertAlign w:val="baseline"/>
                <w:lang w:val="en-US" w:eastAsia="zh-CN"/>
              </w:rPr>
            </w:pPr>
          </w:p>
        </w:tc>
      </w:tr>
      <w:tr w14:paraId="363A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2825081F">
            <w:pPr>
              <w:keepNext w:val="0"/>
              <w:keepLines w:val="0"/>
              <w:pageBreakBefore w:val="0"/>
              <w:widowControl w:val="0"/>
              <w:kinsoku/>
              <w:wordWrap/>
              <w:overflowPunct/>
              <w:topLinePunct w:val="0"/>
              <w:bidi w:val="0"/>
              <w:adjustRightInd/>
              <w:snapToGrid/>
              <w:spacing w:line="360" w:lineRule="auto"/>
              <w:ind w:firstLine="1800" w:firstLineChars="900"/>
              <w:jc w:val="both"/>
              <w:textAlignment w:val="auto"/>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内科检查</w:t>
            </w:r>
          </w:p>
        </w:tc>
        <w:tc>
          <w:tcPr>
            <w:tcW w:w="4644" w:type="dxa"/>
          </w:tcPr>
          <w:p w14:paraId="322F6E86">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vertAlign w:val="baseline"/>
                <w:lang w:val="en-US" w:eastAsia="zh-CN"/>
              </w:rPr>
            </w:pPr>
          </w:p>
        </w:tc>
      </w:tr>
      <w:tr w14:paraId="4CB4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535A3781">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外科检查</w:t>
            </w:r>
          </w:p>
        </w:tc>
        <w:tc>
          <w:tcPr>
            <w:tcW w:w="4644" w:type="dxa"/>
          </w:tcPr>
          <w:p w14:paraId="32C09719">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3A3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60D419B1">
            <w:pPr>
              <w:pStyle w:val="13"/>
              <w:widowControl/>
              <w:numPr>
                <w:ilvl w:val="0"/>
                <w:numId w:val="0"/>
              </w:numPr>
              <w:spacing w:line="240" w:lineRule="auto"/>
              <w:jc w:val="left"/>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五官科一般检查（眼视力、辨色力 、耳听力 、鼻 、喉、 口腔）</w:t>
            </w:r>
          </w:p>
        </w:tc>
        <w:tc>
          <w:tcPr>
            <w:tcW w:w="4644" w:type="dxa"/>
          </w:tcPr>
          <w:p w14:paraId="4A675F10">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4E0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BC9F740">
            <w:pPr>
              <w:keepNext w:val="0"/>
              <w:keepLines w:val="0"/>
              <w:pageBreakBefore w:val="0"/>
              <w:widowControl w:val="0"/>
              <w:kinsoku/>
              <w:wordWrap/>
              <w:overflowPunct/>
              <w:topLinePunct w:val="0"/>
              <w:bidi w:val="0"/>
              <w:adjustRightInd/>
              <w:snapToGrid/>
              <w:spacing w:line="360" w:lineRule="auto"/>
              <w:ind w:firstLine="800" w:firstLineChars="400"/>
              <w:jc w:val="both"/>
              <w:textAlignment w:val="auto"/>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血常规（全血细胞计数3分类）</w:t>
            </w:r>
          </w:p>
        </w:tc>
        <w:tc>
          <w:tcPr>
            <w:tcW w:w="4644" w:type="dxa"/>
          </w:tcPr>
          <w:p w14:paraId="7A77FFDC">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0A6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69A49E4">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kern w:val="2"/>
                <w:sz w:val="20"/>
                <w:szCs w:val="20"/>
                <w:highlight w:val="none"/>
                <w:vertAlign w:val="baseline"/>
                <w:lang w:val="en-US" w:eastAsia="zh-CN" w:bidi="ar-SA"/>
              </w:rPr>
              <w:t>肝功能:血清丙氨酸氨基转移酶测定、总胆红素测定</w:t>
            </w:r>
          </w:p>
        </w:tc>
        <w:tc>
          <w:tcPr>
            <w:tcW w:w="4644" w:type="dxa"/>
          </w:tcPr>
          <w:p w14:paraId="5B56F9CE">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6A8D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4A5E2042">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胸部DR（不含胶片）</w:t>
            </w:r>
          </w:p>
        </w:tc>
        <w:tc>
          <w:tcPr>
            <w:tcW w:w="4644" w:type="dxa"/>
          </w:tcPr>
          <w:p w14:paraId="0575A0ED">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6395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5462A559">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艾滋病HIV检测</w:t>
            </w:r>
          </w:p>
        </w:tc>
        <w:tc>
          <w:tcPr>
            <w:tcW w:w="4644" w:type="dxa"/>
          </w:tcPr>
          <w:p w14:paraId="6447BAD2">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4112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188DE5F">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合计报价（元）</w:t>
            </w:r>
          </w:p>
        </w:tc>
        <w:tc>
          <w:tcPr>
            <w:tcW w:w="4644" w:type="dxa"/>
          </w:tcPr>
          <w:p w14:paraId="5F979EDD">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bl>
    <w:p w14:paraId="0F54871F">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lang w:val="en-US" w:eastAsia="zh-CN"/>
        </w:rPr>
      </w:pPr>
    </w:p>
    <w:p w14:paraId="481A6F90">
      <w:pPr>
        <w:snapToGrid w:val="0"/>
        <w:spacing w:before="50" w:after="156" w:afterLines="50" w:line="360" w:lineRule="auto"/>
        <w:jc w:val="center"/>
        <w:rPr>
          <w:rFonts w:ascii="仿宋" w:hAnsi="仿宋" w:eastAsia="仿宋"/>
          <w:b/>
          <w:bCs/>
          <w:color w:val="auto"/>
          <w:sz w:val="32"/>
          <w:szCs w:val="32"/>
          <w:highlight w:val="none"/>
        </w:rPr>
      </w:pPr>
      <w:r>
        <w:rPr>
          <w:rFonts w:hint="eastAsia" w:ascii="仿宋_GB2312" w:eastAsia="仿宋_GB2312"/>
          <w:b/>
          <w:bCs/>
          <w:color w:val="auto"/>
          <w:sz w:val="28"/>
          <w:szCs w:val="28"/>
          <w:highlight w:val="none"/>
        </w:rPr>
        <w:t>附件</w:t>
      </w:r>
      <w:r>
        <w:rPr>
          <w:rFonts w:hint="eastAsia" w:ascii="仿宋_GB2312" w:eastAsia="仿宋_GB2312"/>
          <w:b/>
          <w:bCs/>
          <w:color w:val="auto"/>
          <w:sz w:val="28"/>
          <w:szCs w:val="28"/>
          <w:highlight w:val="none"/>
          <w:lang w:val="en-US" w:eastAsia="zh-CN"/>
        </w:rPr>
        <w:t>三</w:t>
      </w:r>
      <w:r>
        <w:rPr>
          <w:rFonts w:hint="eastAsia" w:ascii="仿宋_GB2312" w:eastAsia="仿宋_GB2312"/>
          <w:b/>
          <w:bCs/>
          <w:color w:val="auto"/>
          <w:sz w:val="28"/>
          <w:szCs w:val="28"/>
          <w:highlight w:val="none"/>
        </w:rPr>
        <w:t>：</w:t>
      </w:r>
      <w:r>
        <w:rPr>
          <w:rFonts w:hint="eastAsia" w:ascii="仿宋" w:hAnsi="仿宋" w:eastAsia="仿宋"/>
          <w:b/>
          <w:bCs/>
          <w:color w:val="auto"/>
          <w:sz w:val="32"/>
          <w:szCs w:val="32"/>
          <w:highlight w:val="none"/>
        </w:rPr>
        <w:t>投标人直接控股、管理关系信息表</w:t>
      </w:r>
    </w:p>
    <w:tbl>
      <w:tblPr>
        <w:tblStyle w:val="1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9"/>
        <w:gridCol w:w="1384"/>
        <w:gridCol w:w="2685"/>
        <w:gridCol w:w="3368"/>
      </w:tblGrid>
      <w:tr w14:paraId="4A10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195" w:type="dxa"/>
            <w:gridSpan w:val="4"/>
            <w:shd w:val="clear" w:color="auto" w:fill="F2DBDB"/>
            <w:vAlign w:val="center"/>
          </w:tcPr>
          <w:p w14:paraId="60CF0665">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投标人直接控股股东信息表</w:t>
            </w:r>
          </w:p>
        </w:tc>
        <w:tc>
          <w:tcPr>
            <w:tcW w:w="3368" w:type="dxa"/>
            <w:shd w:val="clear" w:color="auto" w:fill="F2DBDB"/>
            <w:vAlign w:val="center"/>
          </w:tcPr>
          <w:p w14:paraId="5729DAA9">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说明</w:t>
            </w:r>
          </w:p>
        </w:tc>
      </w:tr>
      <w:tr w14:paraId="34CC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6831999B">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序号</w:t>
            </w:r>
          </w:p>
        </w:tc>
        <w:tc>
          <w:tcPr>
            <w:tcW w:w="1309" w:type="dxa"/>
            <w:vAlign w:val="center"/>
          </w:tcPr>
          <w:p w14:paraId="4F68C352">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直接控股股东名称</w:t>
            </w:r>
          </w:p>
        </w:tc>
        <w:tc>
          <w:tcPr>
            <w:tcW w:w="1384" w:type="dxa"/>
            <w:vAlign w:val="center"/>
          </w:tcPr>
          <w:p w14:paraId="6D3F9CDD">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出资比例</w:t>
            </w:r>
          </w:p>
        </w:tc>
        <w:tc>
          <w:tcPr>
            <w:tcW w:w="2685" w:type="dxa"/>
            <w:vAlign w:val="center"/>
          </w:tcPr>
          <w:p w14:paraId="7C2942CC">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身份证号码或者统一社会信用代码</w:t>
            </w:r>
          </w:p>
        </w:tc>
        <w:tc>
          <w:tcPr>
            <w:tcW w:w="3368" w:type="dxa"/>
            <w:vMerge w:val="restart"/>
            <w:vAlign w:val="center"/>
          </w:tcPr>
          <w:p w14:paraId="06FD6415">
            <w:pPr>
              <w:snapToGrid w:val="0"/>
              <w:jc w:val="left"/>
              <w:rPr>
                <w:rFonts w:ascii="仿宋" w:hAnsi="仿宋" w:eastAsia="仿宋"/>
                <w:color w:val="auto"/>
                <w:szCs w:val="21"/>
                <w:highlight w:val="none"/>
              </w:rPr>
            </w:pPr>
            <w:r>
              <w:rPr>
                <w:rFonts w:ascii="仿宋" w:hAnsi="仿宋" w:eastAsia="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86BC42">
            <w:pPr>
              <w:snapToGrid w:val="0"/>
              <w:jc w:val="left"/>
              <w:rPr>
                <w:rFonts w:ascii="仿宋" w:hAnsi="仿宋" w:eastAsia="仿宋"/>
                <w:color w:val="auto"/>
                <w:szCs w:val="21"/>
                <w:highlight w:val="none"/>
              </w:rPr>
            </w:pPr>
            <w:r>
              <w:rPr>
                <w:rFonts w:ascii="仿宋" w:hAnsi="仿宋" w:eastAsia="仿宋"/>
                <w:color w:val="auto"/>
                <w:szCs w:val="21"/>
                <w:highlight w:val="none"/>
              </w:rPr>
              <w:t>2.本表所指的控股关系仅限于直接控股关系，不包括间接的控股关系。公司实际控制人与公司之间的关系不属于本表所指的直接控股关系。</w:t>
            </w:r>
          </w:p>
          <w:p w14:paraId="4BD5AF84">
            <w:pPr>
              <w:snapToGrid w:val="0"/>
              <w:jc w:val="left"/>
              <w:rPr>
                <w:rFonts w:ascii="仿宋" w:hAnsi="仿宋" w:eastAsia="仿宋" w:cs="宋体"/>
                <w:b/>
                <w:bCs/>
                <w:color w:val="auto"/>
                <w:kern w:val="0"/>
                <w:szCs w:val="21"/>
                <w:highlight w:val="none"/>
              </w:rPr>
            </w:pPr>
            <w:r>
              <w:rPr>
                <w:rFonts w:ascii="仿宋" w:hAnsi="仿宋" w:eastAsia="仿宋"/>
                <w:color w:val="auto"/>
                <w:szCs w:val="21"/>
                <w:highlight w:val="none"/>
              </w:rPr>
              <w:t>3.供应商不存在直接控股股东的，则填“无”。</w:t>
            </w:r>
          </w:p>
        </w:tc>
      </w:tr>
      <w:tr w14:paraId="5968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42F3B592">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1</w:t>
            </w:r>
          </w:p>
        </w:tc>
        <w:tc>
          <w:tcPr>
            <w:tcW w:w="1309" w:type="dxa"/>
          </w:tcPr>
          <w:p w14:paraId="6BA24C73">
            <w:pPr>
              <w:snapToGrid w:val="0"/>
              <w:spacing w:before="156" w:beforeLines="50" w:after="50"/>
              <w:jc w:val="left"/>
              <w:rPr>
                <w:rFonts w:ascii="仿宋" w:hAnsi="仿宋" w:eastAsia="仿宋"/>
                <w:b/>
                <w:color w:val="auto"/>
                <w:szCs w:val="21"/>
                <w:highlight w:val="none"/>
              </w:rPr>
            </w:pPr>
          </w:p>
        </w:tc>
        <w:tc>
          <w:tcPr>
            <w:tcW w:w="1384" w:type="dxa"/>
          </w:tcPr>
          <w:p w14:paraId="53B74799">
            <w:pPr>
              <w:snapToGrid w:val="0"/>
              <w:spacing w:before="156" w:beforeLines="50" w:after="50"/>
              <w:jc w:val="left"/>
              <w:rPr>
                <w:rFonts w:ascii="仿宋" w:hAnsi="仿宋" w:eastAsia="仿宋"/>
                <w:b/>
                <w:color w:val="auto"/>
                <w:szCs w:val="21"/>
                <w:highlight w:val="none"/>
              </w:rPr>
            </w:pPr>
          </w:p>
        </w:tc>
        <w:tc>
          <w:tcPr>
            <w:tcW w:w="2685" w:type="dxa"/>
          </w:tcPr>
          <w:p w14:paraId="4E3384C0">
            <w:pPr>
              <w:snapToGrid w:val="0"/>
              <w:spacing w:before="156" w:beforeLines="50" w:after="50"/>
              <w:jc w:val="left"/>
              <w:rPr>
                <w:rFonts w:ascii="仿宋" w:hAnsi="仿宋" w:eastAsia="仿宋"/>
                <w:b/>
                <w:color w:val="auto"/>
                <w:szCs w:val="21"/>
                <w:highlight w:val="none"/>
              </w:rPr>
            </w:pPr>
          </w:p>
        </w:tc>
        <w:tc>
          <w:tcPr>
            <w:tcW w:w="3368" w:type="dxa"/>
            <w:vMerge w:val="continue"/>
          </w:tcPr>
          <w:p w14:paraId="7821025A">
            <w:pPr>
              <w:snapToGrid w:val="0"/>
              <w:jc w:val="left"/>
              <w:rPr>
                <w:rFonts w:ascii="仿宋" w:hAnsi="仿宋" w:eastAsia="仿宋"/>
                <w:color w:val="auto"/>
                <w:szCs w:val="21"/>
                <w:highlight w:val="none"/>
              </w:rPr>
            </w:pPr>
          </w:p>
        </w:tc>
      </w:tr>
      <w:tr w14:paraId="44E7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0744CDA1">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2</w:t>
            </w:r>
          </w:p>
        </w:tc>
        <w:tc>
          <w:tcPr>
            <w:tcW w:w="1309" w:type="dxa"/>
          </w:tcPr>
          <w:p w14:paraId="67C0C416">
            <w:pPr>
              <w:snapToGrid w:val="0"/>
              <w:spacing w:before="156" w:beforeLines="50" w:after="50"/>
              <w:jc w:val="left"/>
              <w:rPr>
                <w:rFonts w:ascii="仿宋" w:hAnsi="仿宋" w:eastAsia="仿宋"/>
                <w:b/>
                <w:color w:val="auto"/>
                <w:szCs w:val="21"/>
                <w:highlight w:val="none"/>
              </w:rPr>
            </w:pPr>
          </w:p>
        </w:tc>
        <w:tc>
          <w:tcPr>
            <w:tcW w:w="1384" w:type="dxa"/>
          </w:tcPr>
          <w:p w14:paraId="490AD0CD">
            <w:pPr>
              <w:snapToGrid w:val="0"/>
              <w:spacing w:before="156" w:beforeLines="50" w:after="50"/>
              <w:jc w:val="left"/>
              <w:rPr>
                <w:rFonts w:ascii="仿宋" w:hAnsi="仿宋" w:eastAsia="仿宋"/>
                <w:b/>
                <w:color w:val="auto"/>
                <w:szCs w:val="21"/>
                <w:highlight w:val="none"/>
              </w:rPr>
            </w:pPr>
          </w:p>
        </w:tc>
        <w:tc>
          <w:tcPr>
            <w:tcW w:w="2685" w:type="dxa"/>
          </w:tcPr>
          <w:p w14:paraId="44C56875">
            <w:pPr>
              <w:snapToGrid w:val="0"/>
              <w:spacing w:before="156" w:beforeLines="50" w:after="50"/>
              <w:jc w:val="left"/>
              <w:rPr>
                <w:rFonts w:ascii="仿宋" w:hAnsi="仿宋" w:eastAsia="仿宋"/>
                <w:b/>
                <w:color w:val="auto"/>
                <w:szCs w:val="21"/>
                <w:highlight w:val="none"/>
              </w:rPr>
            </w:pPr>
          </w:p>
        </w:tc>
        <w:tc>
          <w:tcPr>
            <w:tcW w:w="3368" w:type="dxa"/>
            <w:vMerge w:val="continue"/>
          </w:tcPr>
          <w:p w14:paraId="39A831C6">
            <w:pPr>
              <w:snapToGrid w:val="0"/>
              <w:spacing w:before="156" w:beforeLines="50" w:after="50"/>
              <w:jc w:val="left"/>
              <w:rPr>
                <w:rFonts w:ascii="仿宋" w:hAnsi="仿宋" w:eastAsia="仿宋"/>
                <w:b/>
                <w:color w:val="auto"/>
                <w:szCs w:val="21"/>
                <w:highlight w:val="none"/>
              </w:rPr>
            </w:pPr>
          </w:p>
        </w:tc>
      </w:tr>
      <w:tr w14:paraId="7CF0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bottom w:val="single" w:color="auto" w:sz="4" w:space="0"/>
            </w:tcBorders>
          </w:tcPr>
          <w:p w14:paraId="2589ABE0">
            <w:pPr>
              <w:snapToGrid w:val="0"/>
              <w:spacing w:before="156" w:beforeLines="50" w:after="50"/>
              <w:jc w:val="center"/>
              <w:rPr>
                <w:rFonts w:ascii="仿宋" w:hAnsi="仿宋" w:eastAsia="仿宋"/>
                <w:b/>
                <w:color w:val="auto"/>
                <w:szCs w:val="21"/>
                <w:highlight w:val="none"/>
              </w:rPr>
            </w:pPr>
            <w:r>
              <w:rPr>
                <w:rFonts w:ascii="仿宋" w:hAnsi="仿宋" w:eastAsia="仿宋" w:cs="宋体"/>
                <w:color w:val="auto"/>
                <w:kern w:val="0"/>
                <w:szCs w:val="21"/>
                <w:highlight w:val="none"/>
              </w:rPr>
              <w:t>……</w:t>
            </w:r>
          </w:p>
        </w:tc>
        <w:tc>
          <w:tcPr>
            <w:tcW w:w="1309" w:type="dxa"/>
            <w:tcBorders>
              <w:bottom w:val="single" w:color="auto" w:sz="4" w:space="0"/>
            </w:tcBorders>
          </w:tcPr>
          <w:p w14:paraId="739A2729">
            <w:pPr>
              <w:snapToGrid w:val="0"/>
              <w:spacing w:before="156" w:beforeLines="50" w:after="50"/>
              <w:jc w:val="left"/>
              <w:rPr>
                <w:rFonts w:ascii="仿宋" w:hAnsi="仿宋" w:eastAsia="仿宋"/>
                <w:b/>
                <w:color w:val="auto"/>
                <w:szCs w:val="21"/>
                <w:highlight w:val="none"/>
              </w:rPr>
            </w:pPr>
          </w:p>
        </w:tc>
        <w:tc>
          <w:tcPr>
            <w:tcW w:w="1384" w:type="dxa"/>
            <w:tcBorders>
              <w:bottom w:val="single" w:color="auto" w:sz="4" w:space="0"/>
            </w:tcBorders>
          </w:tcPr>
          <w:p w14:paraId="5B691B51">
            <w:pPr>
              <w:snapToGrid w:val="0"/>
              <w:spacing w:before="156" w:beforeLines="50" w:after="50"/>
              <w:jc w:val="left"/>
              <w:rPr>
                <w:rFonts w:ascii="仿宋" w:hAnsi="仿宋" w:eastAsia="仿宋"/>
                <w:b/>
                <w:color w:val="auto"/>
                <w:szCs w:val="21"/>
                <w:highlight w:val="none"/>
              </w:rPr>
            </w:pPr>
          </w:p>
        </w:tc>
        <w:tc>
          <w:tcPr>
            <w:tcW w:w="2685" w:type="dxa"/>
            <w:tcBorders>
              <w:bottom w:val="single" w:color="auto" w:sz="4" w:space="0"/>
            </w:tcBorders>
          </w:tcPr>
          <w:p w14:paraId="2DA0DFDC">
            <w:pPr>
              <w:snapToGrid w:val="0"/>
              <w:spacing w:before="156" w:beforeLines="50" w:after="50"/>
              <w:jc w:val="left"/>
              <w:rPr>
                <w:rFonts w:ascii="仿宋" w:hAnsi="仿宋" w:eastAsia="仿宋"/>
                <w:b/>
                <w:color w:val="auto"/>
                <w:szCs w:val="21"/>
                <w:highlight w:val="none"/>
              </w:rPr>
            </w:pPr>
          </w:p>
        </w:tc>
        <w:tc>
          <w:tcPr>
            <w:tcW w:w="3368" w:type="dxa"/>
            <w:vMerge w:val="continue"/>
            <w:tcBorders>
              <w:bottom w:val="single" w:color="auto" w:sz="4" w:space="0"/>
            </w:tcBorders>
          </w:tcPr>
          <w:p w14:paraId="2339507D">
            <w:pPr>
              <w:snapToGrid w:val="0"/>
              <w:spacing w:before="156" w:beforeLines="50" w:after="50"/>
              <w:jc w:val="left"/>
              <w:rPr>
                <w:rFonts w:ascii="仿宋" w:hAnsi="仿宋" w:eastAsia="仿宋"/>
                <w:b/>
                <w:color w:val="auto"/>
                <w:szCs w:val="21"/>
                <w:highlight w:val="none"/>
              </w:rPr>
            </w:pPr>
          </w:p>
        </w:tc>
      </w:tr>
      <w:tr w14:paraId="630A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195" w:type="dxa"/>
            <w:gridSpan w:val="4"/>
            <w:shd w:val="clear" w:color="auto" w:fill="F2DBDB"/>
            <w:vAlign w:val="center"/>
          </w:tcPr>
          <w:p w14:paraId="0190808E">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投标人直接管理关系信息表</w:t>
            </w:r>
          </w:p>
        </w:tc>
        <w:tc>
          <w:tcPr>
            <w:tcW w:w="3368" w:type="dxa"/>
            <w:shd w:val="clear" w:color="auto" w:fill="F2DBDB"/>
            <w:vAlign w:val="center"/>
          </w:tcPr>
          <w:p w14:paraId="1F5A9A09">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说明</w:t>
            </w:r>
          </w:p>
        </w:tc>
      </w:tr>
      <w:tr w14:paraId="1686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108AB46">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序号</w:t>
            </w:r>
          </w:p>
        </w:tc>
        <w:tc>
          <w:tcPr>
            <w:tcW w:w="2693" w:type="dxa"/>
            <w:gridSpan w:val="2"/>
            <w:vAlign w:val="center"/>
          </w:tcPr>
          <w:p w14:paraId="3A7B7B99">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直接管理关系单位名称</w:t>
            </w:r>
          </w:p>
        </w:tc>
        <w:tc>
          <w:tcPr>
            <w:tcW w:w="2685" w:type="dxa"/>
            <w:vAlign w:val="center"/>
          </w:tcPr>
          <w:p w14:paraId="33D1949F">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统一社会信用代码</w:t>
            </w:r>
          </w:p>
        </w:tc>
        <w:tc>
          <w:tcPr>
            <w:tcW w:w="3368" w:type="dxa"/>
            <w:vMerge w:val="restart"/>
            <w:vAlign w:val="center"/>
          </w:tcPr>
          <w:p w14:paraId="7C664608">
            <w:pPr>
              <w:snapToGrid w:val="0"/>
              <w:jc w:val="left"/>
              <w:rPr>
                <w:rFonts w:ascii="仿宋" w:hAnsi="仿宋" w:eastAsia="仿宋"/>
                <w:color w:val="auto"/>
                <w:szCs w:val="21"/>
                <w:highlight w:val="none"/>
              </w:rPr>
            </w:pPr>
            <w:r>
              <w:rPr>
                <w:rFonts w:ascii="仿宋" w:hAnsi="仿宋" w:eastAsia="仿宋"/>
                <w:color w:val="auto"/>
                <w:szCs w:val="21"/>
                <w:highlight w:val="none"/>
              </w:rPr>
              <w:t>1.管理关系：是指不具有出资持股关系的其他单位之间存在的管理与被管理关系，如一些上下级关系的事业单位和团体组织。</w:t>
            </w:r>
          </w:p>
          <w:p w14:paraId="10C8CFDC">
            <w:pPr>
              <w:snapToGrid w:val="0"/>
              <w:jc w:val="left"/>
              <w:rPr>
                <w:rFonts w:ascii="仿宋" w:hAnsi="仿宋" w:eastAsia="仿宋"/>
                <w:color w:val="auto"/>
                <w:szCs w:val="21"/>
                <w:highlight w:val="none"/>
              </w:rPr>
            </w:pPr>
            <w:r>
              <w:rPr>
                <w:rFonts w:ascii="仿宋" w:hAnsi="仿宋" w:eastAsia="仿宋"/>
                <w:color w:val="auto"/>
                <w:szCs w:val="21"/>
                <w:highlight w:val="none"/>
              </w:rPr>
              <w:t>2.本表所指的管理关系仅限于直接管理关系，不包括间接的管理关系。</w:t>
            </w:r>
          </w:p>
          <w:p w14:paraId="5286BDF1">
            <w:pPr>
              <w:snapToGrid w:val="0"/>
              <w:jc w:val="left"/>
              <w:rPr>
                <w:rFonts w:ascii="仿宋" w:hAnsi="仿宋" w:eastAsia="仿宋"/>
                <w:color w:val="auto"/>
                <w:szCs w:val="21"/>
                <w:highlight w:val="none"/>
              </w:rPr>
            </w:pPr>
            <w:r>
              <w:rPr>
                <w:rFonts w:ascii="仿宋" w:hAnsi="仿宋" w:eastAsia="仿宋"/>
                <w:color w:val="auto"/>
                <w:szCs w:val="21"/>
                <w:highlight w:val="none"/>
              </w:rPr>
              <w:t>3.供应商不存在直接管理关系的，则填“无”。</w:t>
            </w:r>
          </w:p>
        </w:tc>
      </w:tr>
      <w:tr w14:paraId="6D6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48C6606C">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1</w:t>
            </w:r>
          </w:p>
        </w:tc>
        <w:tc>
          <w:tcPr>
            <w:tcW w:w="2693" w:type="dxa"/>
            <w:gridSpan w:val="2"/>
            <w:vAlign w:val="center"/>
          </w:tcPr>
          <w:p w14:paraId="5D43CA4D">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15CCE948">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3173E98E">
            <w:pPr>
              <w:snapToGrid w:val="0"/>
              <w:jc w:val="left"/>
              <w:rPr>
                <w:rFonts w:ascii="仿宋" w:hAnsi="仿宋" w:eastAsia="仿宋"/>
                <w:color w:val="auto"/>
                <w:szCs w:val="21"/>
                <w:highlight w:val="none"/>
              </w:rPr>
            </w:pPr>
          </w:p>
        </w:tc>
      </w:tr>
      <w:tr w14:paraId="7C74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5BCC7B43">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2</w:t>
            </w:r>
          </w:p>
        </w:tc>
        <w:tc>
          <w:tcPr>
            <w:tcW w:w="2693" w:type="dxa"/>
            <w:gridSpan w:val="2"/>
            <w:vAlign w:val="center"/>
          </w:tcPr>
          <w:p w14:paraId="59D07F14">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02674504">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63CBDD48">
            <w:pPr>
              <w:snapToGrid w:val="0"/>
              <w:jc w:val="left"/>
              <w:rPr>
                <w:rFonts w:ascii="仿宋" w:hAnsi="仿宋" w:eastAsia="仿宋"/>
                <w:color w:val="auto"/>
                <w:szCs w:val="21"/>
                <w:highlight w:val="none"/>
              </w:rPr>
            </w:pPr>
          </w:p>
        </w:tc>
      </w:tr>
      <w:tr w14:paraId="311E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E10E092">
            <w:pPr>
              <w:snapToGrid w:val="0"/>
              <w:spacing w:before="156" w:beforeLines="50" w:after="50"/>
              <w:jc w:val="center"/>
              <w:rPr>
                <w:rFonts w:ascii="仿宋" w:hAnsi="仿宋" w:eastAsia="仿宋"/>
                <w:b/>
                <w:color w:val="auto"/>
                <w:szCs w:val="21"/>
                <w:highlight w:val="none"/>
              </w:rPr>
            </w:pPr>
            <w:r>
              <w:rPr>
                <w:rFonts w:ascii="仿宋" w:hAnsi="仿宋" w:eastAsia="仿宋" w:cs="宋体"/>
                <w:color w:val="auto"/>
                <w:kern w:val="0"/>
                <w:szCs w:val="21"/>
                <w:highlight w:val="none"/>
              </w:rPr>
              <w:t>……</w:t>
            </w:r>
          </w:p>
        </w:tc>
        <w:tc>
          <w:tcPr>
            <w:tcW w:w="2693" w:type="dxa"/>
            <w:gridSpan w:val="2"/>
            <w:vAlign w:val="center"/>
          </w:tcPr>
          <w:p w14:paraId="50389B34">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03C11789">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0CB73414">
            <w:pPr>
              <w:snapToGrid w:val="0"/>
              <w:jc w:val="left"/>
              <w:rPr>
                <w:rFonts w:ascii="仿宋" w:hAnsi="仿宋" w:eastAsia="仿宋"/>
                <w:color w:val="auto"/>
                <w:szCs w:val="21"/>
                <w:highlight w:val="none"/>
              </w:rPr>
            </w:pPr>
          </w:p>
        </w:tc>
      </w:tr>
    </w:tbl>
    <w:p w14:paraId="7611A1C4">
      <w:pPr>
        <w:snapToGrid w:val="0"/>
        <w:spacing w:line="360" w:lineRule="auto"/>
        <w:jc w:val="left"/>
        <w:rPr>
          <w:rFonts w:ascii="仿宋" w:hAnsi="仿宋" w:eastAsia="仿宋"/>
          <w:color w:val="auto"/>
          <w:sz w:val="24"/>
          <w:highlight w:val="none"/>
        </w:rPr>
      </w:pPr>
    </w:p>
    <w:p w14:paraId="141346B8">
      <w:pPr>
        <w:snapToGrid w:val="0"/>
        <w:spacing w:line="360" w:lineRule="auto"/>
        <w:ind w:firstLine="4840" w:firstLineChars="2200"/>
        <w:rPr>
          <w:rFonts w:ascii="仿宋" w:hAnsi="仿宋" w:eastAsia="仿宋" w:cs="仿宋_GB2312"/>
          <w:color w:val="auto"/>
          <w:kern w:val="0"/>
          <w:sz w:val="22"/>
          <w:highlight w:val="none"/>
          <w:u w:val="single"/>
        </w:rPr>
      </w:pPr>
      <w:r>
        <w:rPr>
          <w:rFonts w:hint="eastAsia" w:ascii="仿宋" w:hAnsi="仿宋" w:eastAsia="仿宋" w:cs="仿宋_GB2312"/>
          <w:color w:val="auto"/>
          <w:kern w:val="0"/>
          <w:sz w:val="22"/>
          <w:highlight w:val="none"/>
          <w:lang w:val="zh-CN"/>
        </w:rPr>
        <w:t>投标人名称(</w:t>
      </w:r>
      <w:r>
        <w:rPr>
          <w:rFonts w:hint="eastAsia" w:ascii="仿宋" w:hAnsi="仿宋" w:eastAsia="仿宋" w:cs="仿宋_GB2312"/>
          <w:color w:val="auto"/>
          <w:kern w:val="0"/>
          <w:sz w:val="22"/>
          <w:highlight w:val="none"/>
        </w:rPr>
        <w:t>公章</w:t>
      </w:r>
      <w:r>
        <w:rPr>
          <w:rFonts w:hint="eastAsia" w:ascii="仿宋" w:hAnsi="仿宋" w:eastAsia="仿宋" w:cs="仿宋_GB2312"/>
          <w:color w:val="auto"/>
          <w:kern w:val="0"/>
          <w:sz w:val="22"/>
          <w:highlight w:val="none"/>
          <w:lang w:val="zh-CN"/>
        </w:rPr>
        <w:t>)：</w:t>
      </w:r>
      <w:r>
        <w:rPr>
          <w:rFonts w:hint="eastAsia" w:ascii="仿宋" w:hAnsi="仿宋" w:eastAsia="仿宋" w:cs="仿宋_GB2312"/>
          <w:color w:val="auto"/>
          <w:kern w:val="0"/>
          <w:sz w:val="22"/>
          <w:highlight w:val="none"/>
          <w:u w:val="single"/>
          <w:lang w:val="zh-CN"/>
        </w:rPr>
        <w:t xml:space="preserve"> </w:t>
      </w:r>
      <w:r>
        <w:rPr>
          <w:rFonts w:ascii="仿宋" w:hAnsi="仿宋" w:eastAsia="仿宋" w:cs="仿宋_GB2312"/>
          <w:color w:val="auto"/>
          <w:kern w:val="0"/>
          <w:sz w:val="22"/>
          <w:highlight w:val="none"/>
          <w:u w:val="single"/>
          <w:lang w:val="zh-CN"/>
        </w:rPr>
        <w:t xml:space="preserve">         </w:t>
      </w:r>
    </w:p>
    <w:p w14:paraId="28AD62F2">
      <w:pPr>
        <w:snapToGrid w:val="0"/>
        <w:spacing w:line="360" w:lineRule="auto"/>
        <w:ind w:firstLine="4730" w:firstLineChars="2150"/>
        <w:rPr>
          <w:rFonts w:ascii="仿宋" w:hAnsi="仿宋" w:eastAsia="仿宋" w:cs="仿宋_GB2312"/>
          <w:color w:val="auto"/>
          <w:kern w:val="0"/>
          <w:sz w:val="22"/>
          <w:highlight w:val="none"/>
          <w:lang w:val="zh-CN"/>
        </w:rPr>
      </w:pPr>
      <w:r>
        <w:rPr>
          <w:rFonts w:hint="eastAsia" w:ascii="仿宋" w:hAnsi="仿宋" w:eastAsia="仿宋" w:cs="仿宋_GB2312"/>
          <w:color w:val="auto"/>
          <w:kern w:val="0"/>
          <w:sz w:val="22"/>
          <w:highlight w:val="none"/>
          <w:lang w:val="zh-CN"/>
        </w:rPr>
        <w:t>日期</w:t>
      </w:r>
      <w:r>
        <w:rPr>
          <w:rFonts w:hint="eastAsia" w:ascii="仿宋" w:hAnsi="仿宋" w:eastAsia="仿宋" w:cs="仿宋_GB2312"/>
          <w:color w:val="auto"/>
          <w:kern w:val="0"/>
          <w:sz w:val="22"/>
          <w:highlight w:val="none"/>
        </w:rPr>
        <w:t xml:space="preserve">：  年  </w:t>
      </w:r>
      <w:r>
        <w:rPr>
          <w:rFonts w:hint="eastAsia" w:ascii="仿宋" w:hAnsi="仿宋" w:eastAsia="仿宋" w:cs="仿宋_GB2312"/>
          <w:color w:val="auto"/>
          <w:kern w:val="0"/>
          <w:sz w:val="22"/>
          <w:highlight w:val="none"/>
          <w:lang w:val="zh-CN"/>
        </w:rPr>
        <w:t>月</w:t>
      </w:r>
      <w:r>
        <w:rPr>
          <w:rFonts w:hint="eastAsia" w:ascii="仿宋" w:hAnsi="仿宋" w:eastAsia="仿宋" w:cs="仿宋_GB2312"/>
          <w:color w:val="auto"/>
          <w:kern w:val="0"/>
          <w:sz w:val="22"/>
          <w:highlight w:val="none"/>
        </w:rPr>
        <w:t xml:space="preserve">   </w:t>
      </w:r>
      <w:r>
        <w:rPr>
          <w:rFonts w:hint="eastAsia" w:ascii="仿宋" w:hAnsi="仿宋" w:eastAsia="仿宋" w:cs="仿宋_GB2312"/>
          <w:color w:val="auto"/>
          <w:kern w:val="0"/>
          <w:sz w:val="22"/>
          <w:highlight w:val="none"/>
          <w:lang w:val="zh-CN"/>
        </w:rPr>
        <w:t>日</w:t>
      </w:r>
    </w:p>
    <w:p w14:paraId="27CA4166">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lang w:val="en-US" w:eastAsia="zh-CN"/>
        </w:rPr>
      </w:pPr>
    </w:p>
    <w:sectPr>
      <w:headerReference r:id="rId4" w:type="default"/>
      <w:footerReference r:id="rId5" w:type="default"/>
      <w:pgSz w:w="11906" w:h="16838"/>
      <w:pgMar w:top="808" w:right="1417" w:bottom="910" w:left="1417" w:header="851" w:footer="992" w:gutter="0"/>
      <w:pgBorders>
        <w:top w:val="none" w:sz="0" w:space="0"/>
        <w:left w:val="none" w:sz="0" w:space="0"/>
        <w:bottom w:val="none" w:sz="0" w:space="0"/>
        <w:right w:val="none" w:sz="0" w:space="0"/>
      </w:pgBorders>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FD86E2-72CC-4009-8E51-6DB94C0943E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476E1E-634A-44EC-A405-C88CD6F81768}"/>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92446EBC-4228-4836-855A-CBF2D02DDA08}"/>
  </w:font>
  <w:font w:name="方正大黑体_GBK">
    <w:altName w:val="黑体"/>
    <w:panose1 w:val="02010600010101010101"/>
    <w:charset w:val="86"/>
    <w:family w:val="auto"/>
    <w:pitch w:val="default"/>
    <w:sig w:usb0="00000000" w:usb1="00000000" w:usb2="00000000" w:usb3="00000000" w:csb0="40040001" w:csb1="C0D60000"/>
  </w:font>
  <w:font w:name="微软雅黑">
    <w:panose1 w:val="020B0503020204020204"/>
    <w:charset w:val="86"/>
    <w:family w:val="auto"/>
    <w:pitch w:val="default"/>
    <w:sig w:usb0="80000287" w:usb1="2ACF3C50" w:usb2="00000016" w:usb3="00000000" w:csb0="0004001F" w:csb1="00000000"/>
    <w:embedRegular r:id="rId4" w:fontKey="{A6327915-3771-49C1-8FB4-CF946F10D4EF}"/>
  </w:font>
  <w:font w:name="仿宋">
    <w:panose1 w:val="02010609060101010101"/>
    <w:charset w:val="86"/>
    <w:family w:val="modern"/>
    <w:pitch w:val="default"/>
    <w:sig w:usb0="800002BF" w:usb1="38CF7CFA" w:usb2="00000016" w:usb3="00000000" w:csb0="00040001" w:csb1="00000000"/>
    <w:embedRegular r:id="rId5" w:fontKey="{9E3CE270-DFA9-4C7B-AF63-3ADFE68B7C62}"/>
  </w:font>
  <w:font w:name="Tahoma">
    <w:panose1 w:val="020B0604030504040204"/>
    <w:charset w:val="00"/>
    <w:family w:val="swiss"/>
    <w:pitch w:val="default"/>
    <w:sig w:usb0="E1002EFF" w:usb1="C000605B" w:usb2="00000029" w:usb3="00000000" w:csb0="200101FF" w:csb1="20280000"/>
    <w:embedRegular r:id="rId6" w:fontKey="{0485C068-77B6-47DA-895A-BDD1DA59DD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F77">
    <w:pPr>
      <w:spacing w:line="176" w:lineRule="auto"/>
      <w:ind w:left="49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7D05">
    <w:pPr>
      <w:pStyle w:val="11"/>
      <w:rPr>
        <w:rFonts w:hint="default" w:ascii="Tahoma" w:hAnsi="Tahoma" w:cs="Tahoma"/>
        <w:sz w:val="28"/>
        <w:szCs w:val="28"/>
      </w:rPr>
    </w:pPr>
  </w:p>
  <w:p w14:paraId="7FA6FAF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0BE8">
    <w:pPr>
      <w:spacing w:before="19" w:line="181" w:lineRule="auto"/>
      <w:ind w:left="549"/>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DC271"/>
    <w:multiLevelType w:val="singleLevel"/>
    <w:tmpl w:val="9F0DC271"/>
    <w:lvl w:ilvl="0" w:tentative="0">
      <w:start w:val="1"/>
      <w:numFmt w:val="chineseCounting"/>
      <w:suff w:val="nothing"/>
      <w:lvlText w:val="（%1）"/>
      <w:lvlJc w:val="left"/>
      <w:rPr>
        <w:rFonts w:hint="eastAsia"/>
      </w:rPr>
    </w:lvl>
  </w:abstractNum>
  <w:abstractNum w:abstractNumId="1">
    <w:nsid w:val="F1DCF730"/>
    <w:multiLevelType w:val="singleLevel"/>
    <w:tmpl w:val="F1DCF730"/>
    <w:lvl w:ilvl="0" w:tentative="0">
      <w:start w:val="8"/>
      <w:numFmt w:val="chineseCounting"/>
      <w:suff w:val="nothing"/>
      <w:lvlText w:val="%1、"/>
      <w:lvlJc w:val="left"/>
      <w:rPr>
        <w:rFonts w:hint="eastAsia"/>
      </w:rPr>
    </w:lvl>
  </w:abstractNum>
  <w:abstractNum w:abstractNumId="2">
    <w:nsid w:val="0D5F56B5"/>
    <w:multiLevelType w:val="singleLevel"/>
    <w:tmpl w:val="0D5F56B5"/>
    <w:lvl w:ilvl="0" w:tentative="0">
      <w:start w:val="1"/>
      <w:numFmt w:val="chineseCounting"/>
      <w:suff w:val="nothing"/>
      <w:lvlText w:val="（%1）"/>
      <w:lvlJc w:val="left"/>
      <w:pPr>
        <w:ind w:left="0" w:firstLine="420"/>
      </w:pPr>
      <w:rPr>
        <w:rFonts w:hint="eastAsia"/>
      </w:rPr>
    </w:lvl>
  </w:abstractNum>
  <w:abstractNum w:abstractNumId="3">
    <w:nsid w:val="7D11AC2B"/>
    <w:multiLevelType w:val="singleLevel"/>
    <w:tmpl w:val="7D11AC2B"/>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DBlYjg2ZDRhNDRlNjM4Zjg5YzFjNTgyMjM1YzcifQ=="/>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8D5B6D"/>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1446F89"/>
    <w:rsid w:val="01673758"/>
    <w:rsid w:val="02186320"/>
    <w:rsid w:val="029A7D90"/>
    <w:rsid w:val="02C5044A"/>
    <w:rsid w:val="02CF108D"/>
    <w:rsid w:val="032A1BD7"/>
    <w:rsid w:val="03305C8C"/>
    <w:rsid w:val="033A7A3F"/>
    <w:rsid w:val="03681C3C"/>
    <w:rsid w:val="039D75DA"/>
    <w:rsid w:val="041A2F36"/>
    <w:rsid w:val="04662851"/>
    <w:rsid w:val="04B61493"/>
    <w:rsid w:val="04D619B9"/>
    <w:rsid w:val="053162DA"/>
    <w:rsid w:val="05522BE1"/>
    <w:rsid w:val="05C47AAD"/>
    <w:rsid w:val="0653788D"/>
    <w:rsid w:val="069F5975"/>
    <w:rsid w:val="06D41F76"/>
    <w:rsid w:val="07057571"/>
    <w:rsid w:val="074A33AB"/>
    <w:rsid w:val="0794105F"/>
    <w:rsid w:val="079E54CA"/>
    <w:rsid w:val="07B96F31"/>
    <w:rsid w:val="08613153"/>
    <w:rsid w:val="08C14F4B"/>
    <w:rsid w:val="08FD1DB4"/>
    <w:rsid w:val="09902E28"/>
    <w:rsid w:val="0A0C21E3"/>
    <w:rsid w:val="0A66469A"/>
    <w:rsid w:val="0A79472F"/>
    <w:rsid w:val="0A892BF3"/>
    <w:rsid w:val="0ABA0B82"/>
    <w:rsid w:val="0ACE4444"/>
    <w:rsid w:val="0B224DC6"/>
    <w:rsid w:val="0B5D1CFF"/>
    <w:rsid w:val="0C873133"/>
    <w:rsid w:val="0CF72514"/>
    <w:rsid w:val="0D054CBB"/>
    <w:rsid w:val="0D5053F0"/>
    <w:rsid w:val="0D566513"/>
    <w:rsid w:val="0E2C6F64"/>
    <w:rsid w:val="0EE77EB2"/>
    <w:rsid w:val="0F272DFF"/>
    <w:rsid w:val="0F4F6FB5"/>
    <w:rsid w:val="0FD20DA7"/>
    <w:rsid w:val="0FE41AF5"/>
    <w:rsid w:val="105827E4"/>
    <w:rsid w:val="10B61448"/>
    <w:rsid w:val="113308DE"/>
    <w:rsid w:val="11686ADC"/>
    <w:rsid w:val="11BA7B07"/>
    <w:rsid w:val="11BD72A3"/>
    <w:rsid w:val="124521A1"/>
    <w:rsid w:val="12AF720F"/>
    <w:rsid w:val="13D146EF"/>
    <w:rsid w:val="141D612B"/>
    <w:rsid w:val="142B201C"/>
    <w:rsid w:val="143567A2"/>
    <w:rsid w:val="14AC592C"/>
    <w:rsid w:val="14B425D4"/>
    <w:rsid w:val="14D709D0"/>
    <w:rsid w:val="14E42289"/>
    <w:rsid w:val="14E90E7C"/>
    <w:rsid w:val="14F055ED"/>
    <w:rsid w:val="14FF1AD6"/>
    <w:rsid w:val="1505422E"/>
    <w:rsid w:val="1531724E"/>
    <w:rsid w:val="15624F32"/>
    <w:rsid w:val="15657D89"/>
    <w:rsid w:val="163C6A26"/>
    <w:rsid w:val="16F5372F"/>
    <w:rsid w:val="17245C94"/>
    <w:rsid w:val="175E39F3"/>
    <w:rsid w:val="1776002C"/>
    <w:rsid w:val="17B40F6E"/>
    <w:rsid w:val="17BB4A77"/>
    <w:rsid w:val="17CD1C16"/>
    <w:rsid w:val="17D520F8"/>
    <w:rsid w:val="17F50486"/>
    <w:rsid w:val="1800157C"/>
    <w:rsid w:val="183930F9"/>
    <w:rsid w:val="18461A78"/>
    <w:rsid w:val="18567339"/>
    <w:rsid w:val="187529D9"/>
    <w:rsid w:val="187D318C"/>
    <w:rsid w:val="188E06F3"/>
    <w:rsid w:val="18F424D5"/>
    <w:rsid w:val="194653FF"/>
    <w:rsid w:val="19642F38"/>
    <w:rsid w:val="19A46172"/>
    <w:rsid w:val="19A90DF7"/>
    <w:rsid w:val="19BF4D4C"/>
    <w:rsid w:val="19CA42E5"/>
    <w:rsid w:val="19CE05F3"/>
    <w:rsid w:val="1A3B524D"/>
    <w:rsid w:val="1A402B73"/>
    <w:rsid w:val="1AEA183A"/>
    <w:rsid w:val="1BC44511"/>
    <w:rsid w:val="1C1036BB"/>
    <w:rsid w:val="1C7E7A7E"/>
    <w:rsid w:val="1CDD02E8"/>
    <w:rsid w:val="1D1449A8"/>
    <w:rsid w:val="1D372D62"/>
    <w:rsid w:val="1D3D4638"/>
    <w:rsid w:val="1D453804"/>
    <w:rsid w:val="1D9E19C0"/>
    <w:rsid w:val="1DC75A85"/>
    <w:rsid w:val="1DCA105F"/>
    <w:rsid w:val="1DDB529D"/>
    <w:rsid w:val="1E184330"/>
    <w:rsid w:val="1E2C67C9"/>
    <w:rsid w:val="1E841173"/>
    <w:rsid w:val="1EA36CAE"/>
    <w:rsid w:val="1FD0002A"/>
    <w:rsid w:val="1FF7480F"/>
    <w:rsid w:val="200C2A88"/>
    <w:rsid w:val="205F0A49"/>
    <w:rsid w:val="20633AEA"/>
    <w:rsid w:val="20D90B9C"/>
    <w:rsid w:val="211803A6"/>
    <w:rsid w:val="21375482"/>
    <w:rsid w:val="21532E1D"/>
    <w:rsid w:val="21642DD9"/>
    <w:rsid w:val="21B11DC6"/>
    <w:rsid w:val="21B25AB0"/>
    <w:rsid w:val="21DB0CB5"/>
    <w:rsid w:val="220A2E72"/>
    <w:rsid w:val="22540413"/>
    <w:rsid w:val="22684354"/>
    <w:rsid w:val="22C10E6C"/>
    <w:rsid w:val="22E85076"/>
    <w:rsid w:val="22F0282B"/>
    <w:rsid w:val="23F41DBF"/>
    <w:rsid w:val="250C393D"/>
    <w:rsid w:val="255C47C4"/>
    <w:rsid w:val="256E29AF"/>
    <w:rsid w:val="263E440B"/>
    <w:rsid w:val="26774F67"/>
    <w:rsid w:val="268C3CC4"/>
    <w:rsid w:val="273701DE"/>
    <w:rsid w:val="276E3A21"/>
    <w:rsid w:val="27A8519A"/>
    <w:rsid w:val="27B31A45"/>
    <w:rsid w:val="27C713CD"/>
    <w:rsid w:val="288C10C3"/>
    <w:rsid w:val="28D611AE"/>
    <w:rsid w:val="28E8779B"/>
    <w:rsid w:val="292E4C0A"/>
    <w:rsid w:val="29BF5862"/>
    <w:rsid w:val="29CB762A"/>
    <w:rsid w:val="29D15596"/>
    <w:rsid w:val="2A395345"/>
    <w:rsid w:val="2A3E5BB5"/>
    <w:rsid w:val="2AE23E5C"/>
    <w:rsid w:val="2B433D52"/>
    <w:rsid w:val="2B736E91"/>
    <w:rsid w:val="2C0C3C63"/>
    <w:rsid w:val="2C370497"/>
    <w:rsid w:val="2C4E49EC"/>
    <w:rsid w:val="2C8A79A6"/>
    <w:rsid w:val="2C9D5D44"/>
    <w:rsid w:val="2CA70BCA"/>
    <w:rsid w:val="2CB53162"/>
    <w:rsid w:val="2CF96FE2"/>
    <w:rsid w:val="2D216D06"/>
    <w:rsid w:val="2D446173"/>
    <w:rsid w:val="2D7B0827"/>
    <w:rsid w:val="2E0E7FCC"/>
    <w:rsid w:val="2E87592D"/>
    <w:rsid w:val="2E9D4B8E"/>
    <w:rsid w:val="2ECC6A32"/>
    <w:rsid w:val="2EDC2A13"/>
    <w:rsid w:val="2EEE26BB"/>
    <w:rsid w:val="2F5913E3"/>
    <w:rsid w:val="2F650FAE"/>
    <w:rsid w:val="2F9961C8"/>
    <w:rsid w:val="2F9B3BFE"/>
    <w:rsid w:val="3052543F"/>
    <w:rsid w:val="30760465"/>
    <w:rsid w:val="31140B8A"/>
    <w:rsid w:val="312958BE"/>
    <w:rsid w:val="31B2397C"/>
    <w:rsid w:val="32047AE4"/>
    <w:rsid w:val="322D3583"/>
    <w:rsid w:val="32917FB8"/>
    <w:rsid w:val="32AE563A"/>
    <w:rsid w:val="32D37FEB"/>
    <w:rsid w:val="33046F06"/>
    <w:rsid w:val="33D3238D"/>
    <w:rsid w:val="344D7F0F"/>
    <w:rsid w:val="34700847"/>
    <w:rsid w:val="34FE6F39"/>
    <w:rsid w:val="35A94D5C"/>
    <w:rsid w:val="35D844B2"/>
    <w:rsid w:val="367438E7"/>
    <w:rsid w:val="36750A67"/>
    <w:rsid w:val="368776BD"/>
    <w:rsid w:val="36E251F9"/>
    <w:rsid w:val="37076A9B"/>
    <w:rsid w:val="37384E4F"/>
    <w:rsid w:val="373E3EE9"/>
    <w:rsid w:val="377D0E9A"/>
    <w:rsid w:val="381F0604"/>
    <w:rsid w:val="38242918"/>
    <w:rsid w:val="38951730"/>
    <w:rsid w:val="39000C4C"/>
    <w:rsid w:val="397E6243"/>
    <w:rsid w:val="399B17D0"/>
    <w:rsid w:val="39C57BBE"/>
    <w:rsid w:val="39E11A28"/>
    <w:rsid w:val="39E470D2"/>
    <w:rsid w:val="3A0B4861"/>
    <w:rsid w:val="3A0E04D6"/>
    <w:rsid w:val="3A2D66A0"/>
    <w:rsid w:val="3A97579C"/>
    <w:rsid w:val="3AAD5BAB"/>
    <w:rsid w:val="3B0A4335"/>
    <w:rsid w:val="3B2260B4"/>
    <w:rsid w:val="3B5F22E4"/>
    <w:rsid w:val="3B6E4EE3"/>
    <w:rsid w:val="3BC13A98"/>
    <w:rsid w:val="3C1A644D"/>
    <w:rsid w:val="3C1E0E80"/>
    <w:rsid w:val="3C6F1279"/>
    <w:rsid w:val="3C793F4B"/>
    <w:rsid w:val="3C8B7990"/>
    <w:rsid w:val="3D1A157C"/>
    <w:rsid w:val="3D2342E5"/>
    <w:rsid w:val="3DD81240"/>
    <w:rsid w:val="3E117E09"/>
    <w:rsid w:val="3E1F3AA8"/>
    <w:rsid w:val="3E5A7DF8"/>
    <w:rsid w:val="3E931F32"/>
    <w:rsid w:val="3F7A0C2B"/>
    <w:rsid w:val="400524B6"/>
    <w:rsid w:val="405B35B3"/>
    <w:rsid w:val="409F12B2"/>
    <w:rsid w:val="40AC09C5"/>
    <w:rsid w:val="412E1016"/>
    <w:rsid w:val="417B0FDF"/>
    <w:rsid w:val="421F0B45"/>
    <w:rsid w:val="42460CC9"/>
    <w:rsid w:val="42E5365A"/>
    <w:rsid w:val="430C07FC"/>
    <w:rsid w:val="4328219C"/>
    <w:rsid w:val="43D01F9B"/>
    <w:rsid w:val="449A7EB1"/>
    <w:rsid w:val="44C10289"/>
    <w:rsid w:val="44D025C7"/>
    <w:rsid w:val="44E07221"/>
    <w:rsid w:val="450124F9"/>
    <w:rsid w:val="451E4F47"/>
    <w:rsid w:val="454378DC"/>
    <w:rsid w:val="45703652"/>
    <w:rsid w:val="459C6C79"/>
    <w:rsid w:val="45E221D5"/>
    <w:rsid w:val="47234594"/>
    <w:rsid w:val="479B239F"/>
    <w:rsid w:val="479C29CC"/>
    <w:rsid w:val="48111527"/>
    <w:rsid w:val="481267EE"/>
    <w:rsid w:val="483F6570"/>
    <w:rsid w:val="48431E3E"/>
    <w:rsid w:val="48502FA7"/>
    <w:rsid w:val="48545746"/>
    <w:rsid w:val="485A6197"/>
    <w:rsid w:val="4868127A"/>
    <w:rsid w:val="487F112C"/>
    <w:rsid w:val="48CC74E4"/>
    <w:rsid w:val="48DD5EEF"/>
    <w:rsid w:val="48F16926"/>
    <w:rsid w:val="48FA73DE"/>
    <w:rsid w:val="49147934"/>
    <w:rsid w:val="495E6611"/>
    <w:rsid w:val="49751C4E"/>
    <w:rsid w:val="4A4D05DD"/>
    <w:rsid w:val="4A8134AC"/>
    <w:rsid w:val="4ABF2B74"/>
    <w:rsid w:val="4ACC0A1E"/>
    <w:rsid w:val="4B50680B"/>
    <w:rsid w:val="4B6B0339"/>
    <w:rsid w:val="4BAF79DD"/>
    <w:rsid w:val="4BEF0422"/>
    <w:rsid w:val="4C2A7CF2"/>
    <w:rsid w:val="4CA126E6"/>
    <w:rsid w:val="4CDA49A2"/>
    <w:rsid w:val="4CDD1900"/>
    <w:rsid w:val="4CE81D0E"/>
    <w:rsid w:val="4D2B308B"/>
    <w:rsid w:val="4D5F4317"/>
    <w:rsid w:val="4D70255A"/>
    <w:rsid w:val="4DA4187B"/>
    <w:rsid w:val="4DC76717"/>
    <w:rsid w:val="4E5148AA"/>
    <w:rsid w:val="4EF764A1"/>
    <w:rsid w:val="4F0510ED"/>
    <w:rsid w:val="4F1A33B7"/>
    <w:rsid w:val="4F50502B"/>
    <w:rsid w:val="507A207D"/>
    <w:rsid w:val="5088751F"/>
    <w:rsid w:val="50B6056A"/>
    <w:rsid w:val="50C307C2"/>
    <w:rsid w:val="513D15DF"/>
    <w:rsid w:val="51890874"/>
    <w:rsid w:val="51AA04BD"/>
    <w:rsid w:val="51CB0999"/>
    <w:rsid w:val="5244717C"/>
    <w:rsid w:val="526D37FE"/>
    <w:rsid w:val="527F2466"/>
    <w:rsid w:val="52A04FA9"/>
    <w:rsid w:val="52A80D08"/>
    <w:rsid w:val="52BC7724"/>
    <w:rsid w:val="52EE750C"/>
    <w:rsid w:val="53806989"/>
    <w:rsid w:val="53C633CD"/>
    <w:rsid w:val="53E915AA"/>
    <w:rsid w:val="53FF708A"/>
    <w:rsid w:val="5450579E"/>
    <w:rsid w:val="548613FB"/>
    <w:rsid w:val="54D9581B"/>
    <w:rsid w:val="5516017D"/>
    <w:rsid w:val="552E7FF6"/>
    <w:rsid w:val="55385D47"/>
    <w:rsid w:val="558A11FC"/>
    <w:rsid w:val="56751C39"/>
    <w:rsid w:val="56B03028"/>
    <w:rsid w:val="56D82740"/>
    <w:rsid w:val="56FE05B4"/>
    <w:rsid w:val="57445842"/>
    <w:rsid w:val="57607DD5"/>
    <w:rsid w:val="57A41913"/>
    <w:rsid w:val="57BA470D"/>
    <w:rsid w:val="58115A9C"/>
    <w:rsid w:val="5815647A"/>
    <w:rsid w:val="589D2551"/>
    <w:rsid w:val="58D20246"/>
    <w:rsid w:val="590F461E"/>
    <w:rsid w:val="591946E0"/>
    <w:rsid w:val="595B44E5"/>
    <w:rsid w:val="59652546"/>
    <w:rsid w:val="597964B7"/>
    <w:rsid w:val="59AB6683"/>
    <w:rsid w:val="59B416EC"/>
    <w:rsid w:val="59B9557B"/>
    <w:rsid w:val="59EF77A4"/>
    <w:rsid w:val="5A517EA9"/>
    <w:rsid w:val="5A9B5741"/>
    <w:rsid w:val="5AAF70D9"/>
    <w:rsid w:val="5AB250DD"/>
    <w:rsid w:val="5B707B45"/>
    <w:rsid w:val="5B9E688A"/>
    <w:rsid w:val="5BC71707"/>
    <w:rsid w:val="5BC87CF7"/>
    <w:rsid w:val="5BD13050"/>
    <w:rsid w:val="5BDC16C9"/>
    <w:rsid w:val="5C330FDC"/>
    <w:rsid w:val="5C3F3891"/>
    <w:rsid w:val="5C702D94"/>
    <w:rsid w:val="5C881AF1"/>
    <w:rsid w:val="5C9E059F"/>
    <w:rsid w:val="5CA923DE"/>
    <w:rsid w:val="5CC86C1B"/>
    <w:rsid w:val="5D1E38ED"/>
    <w:rsid w:val="5D4210D8"/>
    <w:rsid w:val="5D49605C"/>
    <w:rsid w:val="5DA072A6"/>
    <w:rsid w:val="5E2A543A"/>
    <w:rsid w:val="5E895966"/>
    <w:rsid w:val="5E8D73D4"/>
    <w:rsid w:val="5E9622EF"/>
    <w:rsid w:val="5F1F563F"/>
    <w:rsid w:val="5F2E18E1"/>
    <w:rsid w:val="5F842979"/>
    <w:rsid w:val="60536729"/>
    <w:rsid w:val="60665985"/>
    <w:rsid w:val="60D65412"/>
    <w:rsid w:val="611D2893"/>
    <w:rsid w:val="61607DA6"/>
    <w:rsid w:val="61F7505B"/>
    <w:rsid w:val="62223638"/>
    <w:rsid w:val="623B56C7"/>
    <w:rsid w:val="624F18D2"/>
    <w:rsid w:val="62536E5E"/>
    <w:rsid w:val="62BC59A6"/>
    <w:rsid w:val="63FC058B"/>
    <w:rsid w:val="640B1448"/>
    <w:rsid w:val="641849C6"/>
    <w:rsid w:val="645A5DA2"/>
    <w:rsid w:val="6470392E"/>
    <w:rsid w:val="648D173D"/>
    <w:rsid w:val="648F7BCB"/>
    <w:rsid w:val="64B66B24"/>
    <w:rsid w:val="65311352"/>
    <w:rsid w:val="654D5439"/>
    <w:rsid w:val="65EF7158"/>
    <w:rsid w:val="65F355A7"/>
    <w:rsid w:val="6639552D"/>
    <w:rsid w:val="66602562"/>
    <w:rsid w:val="66EC0361"/>
    <w:rsid w:val="66EF060B"/>
    <w:rsid w:val="67226DA1"/>
    <w:rsid w:val="676F2E77"/>
    <w:rsid w:val="67D47775"/>
    <w:rsid w:val="67E9054B"/>
    <w:rsid w:val="6869400D"/>
    <w:rsid w:val="6934718B"/>
    <w:rsid w:val="694125ED"/>
    <w:rsid w:val="6A5F215C"/>
    <w:rsid w:val="6A954EF9"/>
    <w:rsid w:val="6AF919F0"/>
    <w:rsid w:val="6B2C5F2F"/>
    <w:rsid w:val="6BB57148"/>
    <w:rsid w:val="6BDF2F63"/>
    <w:rsid w:val="6BE734D8"/>
    <w:rsid w:val="6BFE3C8E"/>
    <w:rsid w:val="6C1A50DD"/>
    <w:rsid w:val="6C655E11"/>
    <w:rsid w:val="6D0E1772"/>
    <w:rsid w:val="6D0E7DBD"/>
    <w:rsid w:val="6DD0418A"/>
    <w:rsid w:val="6E0A5995"/>
    <w:rsid w:val="6E3F1F8A"/>
    <w:rsid w:val="6E44539C"/>
    <w:rsid w:val="6EEB2223"/>
    <w:rsid w:val="6F004D45"/>
    <w:rsid w:val="6F3B0904"/>
    <w:rsid w:val="6F8C7934"/>
    <w:rsid w:val="6F9D7FAA"/>
    <w:rsid w:val="6F9F252E"/>
    <w:rsid w:val="700D1289"/>
    <w:rsid w:val="702B2DC7"/>
    <w:rsid w:val="70881FEA"/>
    <w:rsid w:val="70D70CB1"/>
    <w:rsid w:val="70F1020D"/>
    <w:rsid w:val="71C16911"/>
    <w:rsid w:val="71D7083C"/>
    <w:rsid w:val="71F70D37"/>
    <w:rsid w:val="72065474"/>
    <w:rsid w:val="72B86ACD"/>
    <w:rsid w:val="72B94FED"/>
    <w:rsid w:val="72E859FC"/>
    <w:rsid w:val="72F37E87"/>
    <w:rsid w:val="73012080"/>
    <w:rsid w:val="732A5D0E"/>
    <w:rsid w:val="735623D1"/>
    <w:rsid w:val="73625E1E"/>
    <w:rsid w:val="736C2CF9"/>
    <w:rsid w:val="73833F56"/>
    <w:rsid w:val="7384594D"/>
    <w:rsid w:val="73942E89"/>
    <w:rsid w:val="73AF1A71"/>
    <w:rsid w:val="73F370D4"/>
    <w:rsid w:val="745A2E85"/>
    <w:rsid w:val="74C22986"/>
    <w:rsid w:val="74F9603A"/>
    <w:rsid w:val="751A23BE"/>
    <w:rsid w:val="752124FA"/>
    <w:rsid w:val="753E0AC3"/>
    <w:rsid w:val="754C5EA7"/>
    <w:rsid w:val="7573688E"/>
    <w:rsid w:val="75FE280E"/>
    <w:rsid w:val="76034F1C"/>
    <w:rsid w:val="762F22EA"/>
    <w:rsid w:val="764B2FE7"/>
    <w:rsid w:val="76936D72"/>
    <w:rsid w:val="77207C41"/>
    <w:rsid w:val="772738EA"/>
    <w:rsid w:val="775250D6"/>
    <w:rsid w:val="77A56E45"/>
    <w:rsid w:val="77BA5131"/>
    <w:rsid w:val="77C248B0"/>
    <w:rsid w:val="78222CD3"/>
    <w:rsid w:val="787943FB"/>
    <w:rsid w:val="78880717"/>
    <w:rsid w:val="78B34AF4"/>
    <w:rsid w:val="78F52F0A"/>
    <w:rsid w:val="795046FC"/>
    <w:rsid w:val="79537AC4"/>
    <w:rsid w:val="79581023"/>
    <w:rsid w:val="79C972E5"/>
    <w:rsid w:val="7A4949EF"/>
    <w:rsid w:val="7A752EA5"/>
    <w:rsid w:val="7A7676C5"/>
    <w:rsid w:val="7A7F58CD"/>
    <w:rsid w:val="7B666D37"/>
    <w:rsid w:val="7B8A5355"/>
    <w:rsid w:val="7BDD4A8F"/>
    <w:rsid w:val="7BED7392"/>
    <w:rsid w:val="7C1C5EC7"/>
    <w:rsid w:val="7C375DAA"/>
    <w:rsid w:val="7C3D3992"/>
    <w:rsid w:val="7CA0023C"/>
    <w:rsid w:val="7CA1121C"/>
    <w:rsid w:val="7CBC47AF"/>
    <w:rsid w:val="7EBC4E80"/>
    <w:rsid w:val="7EFE1AFE"/>
    <w:rsid w:val="7FB87B50"/>
    <w:rsid w:val="7FF8479F"/>
    <w:rsid w:val="F6F709AA"/>
    <w:rsid w:val="FFDF8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40"/>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semiHidden/>
    <w:unhideWhenUsed/>
    <w:qFormat/>
    <w:uiPriority w:val="99"/>
    <w:pPr>
      <w:jc w:val="left"/>
    </w:pPr>
  </w:style>
  <w:style w:type="paragraph" w:styleId="7">
    <w:name w:val="Body Text"/>
    <w:basedOn w:val="1"/>
    <w:next w:val="8"/>
    <w:link w:val="26"/>
    <w:autoRedefine/>
    <w:qFormat/>
    <w:uiPriority w:val="1"/>
    <w:pPr>
      <w:autoSpaceDE w:val="0"/>
      <w:autoSpaceDN w:val="0"/>
      <w:jc w:val="left"/>
    </w:pPr>
    <w:rPr>
      <w:rFonts w:ascii="宋体" w:hAnsi="宋体" w:eastAsia="宋体" w:cs="宋体"/>
      <w:kern w:val="0"/>
      <w:sz w:val="32"/>
      <w:szCs w:val="32"/>
      <w:lang w:val="zh-CN" w:bidi="zh-CN"/>
    </w:rPr>
  </w:style>
  <w:style w:type="paragraph" w:styleId="8">
    <w:name w:val="Title"/>
    <w:basedOn w:val="1"/>
    <w:next w:val="1"/>
    <w:qFormat/>
    <w:uiPriority w:val="0"/>
    <w:pPr>
      <w:spacing w:before="240" w:after="60"/>
      <w:jc w:val="center"/>
      <w:outlineLvl w:val="0"/>
    </w:pPr>
    <w:rPr>
      <w:rFonts w:ascii="Arial" w:hAnsi="Arial" w:cs="Arial"/>
      <w:b/>
      <w:bCs/>
      <w:sz w:val="32"/>
      <w:szCs w:val="32"/>
    </w:rPr>
  </w:style>
  <w:style w:type="paragraph" w:styleId="9">
    <w:name w:val="Body Text Indent"/>
    <w:basedOn w:val="1"/>
    <w:autoRedefine/>
    <w:qFormat/>
    <w:uiPriority w:val="0"/>
    <w:pPr>
      <w:spacing w:after="120"/>
      <w:ind w:left="420" w:leftChars="200"/>
    </w:pPr>
  </w:style>
  <w:style w:type="paragraph" w:styleId="10">
    <w:name w:val="Plain Text"/>
    <w:basedOn w:val="1"/>
    <w:next w:val="1"/>
    <w:qFormat/>
    <w:uiPriority w:val="0"/>
    <w:rPr>
      <w:rFonts w:ascii="宋体" w:hAnsi="Courier New"/>
      <w:kern w:val="0"/>
      <w:sz w:val="20"/>
      <w:szCs w:val="21"/>
    </w:rPr>
  </w:style>
  <w:style w:type="paragraph" w:styleId="11">
    <w:name w:val="footer"/>
    <w:basedOn w:val="1"/>
    <w:link w:val="25"/>
    <w:autoRedefine/>
    <w:unhideWhenUsed/>
    <w:qFormat/>
    <w:uiPriority w:val="0"/>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99"/>
    <w:pPr>
      <w:widowControl w:val="0"/>
      <w:spacing w:after="120" w:line="276" w:lineRule="auto"/>
      <w:ind w:firstLine="420" w:firstLineChars="100"/>
      <w:jc w:val="both"/>
    </w:pPr>
    <w:rPr>
      <w:rFonts w:ascii="Times New Roman" w:hAnsi="Times New Roman" w:eastAsia="宋体" w:cs="Times New Roman"/>
      <w:kern w:val="2"/>
      <w:sz w:val="21"/>
      <w:szCs w:val="21"/>
      <w:lang w:val="en-US" w:eastAsia="zh-CN" w:bidi="ar-SA"/>
    </w:rPr>
  </w:style>
  <w:style w:type="paragraph" w:styleId="16">
    <w:name w:val="Body Text First Indent 2"/>
    <w:basedOn w:val="9"/>
    <w:autoRedefine/>
    <w:unhideWhenUsed/>
    <w:qFormat/>
    <w:uiPriority w:val="99"/>
    <w:pPr>
      <w:ind w:firstLine="420" w:firstLineChars="200"/>
    </w:pPr>
  </w:style>
  <w:style w:type="table" w:styleId="18">
    <w:name w:val="Table Grid"/>
    <w:basedOn w:val="1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character" w:customStyle="1" w:styleId="23">
    <w:name w:val="标题 2 Char"/>
    <w:basedOn w:val="19"/>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24">
    <w:name w:val="页眉 Char"/>
    <w:basedOn w:val="19"/>
    <w:link w:val="12"/>
    <w:autoRedefine/>
    <w:qFormat/>
    <w:uiPriority w:val="99"/>
    <w:rPr>
      <w:sz w:val="18"/>
      <w:szCs w:val="18"/>
    </w:rPr>
  </w:style>
  <w:style w:type="character" w:customStyle="1" w:styleId="25">
    <w:name w:val="页脚 Char"/>
    <w:basedOn w:val="19"/>
    <w:link w:val="11"/>
    <w:autoRedefine/>
    <w:qFormat/>
    <w:uiPriority w:val="0"/>
    <w:rPr>
      <w:sz w:val="18"/>
      <w:szCs w:val="18"/>
    </w:rPr>
  </w:style>
  <w:style w:type="character" w:customStyle="1" w:styleId="26">
    <w:name w:val="正文文本 Char"/>
    <w:basedOn w:val="19"/>
    <w:link w:val="7"/>
    <w:autoRedefine/>
    <w:qFormat/>
    <w:uiPriority w:val="1"/>
    <w:rPr>
      <w:rFonts w:ascii="宋体" w:hAnsi="宋体" w:eastAsia="宋体" w:cs="宋体"/>
      <w:kern w:val="0"/>
      <w:sz w:val="32"/>
      <w:szCs w:val="32"/>
      <w:lang w:val="zh-CN" w:bidi="zh-CN"/>
    </w:rPr>
  </w:style>
  <w:style w:type="paragraph" w:styleId="27">
    <w:name w:val="List Paragraph"/>
    <w:basedOn w:val="1"/>
    <w:autoRedefine/>
    <w:qFormat/>
    <w:uiPriority w:val="34"/>
    <w:pPr>
      <w:ind w:firstLine="420" w:firstLineChars="200"/>
    </w:pPr>
  </w:style>
  <w:style w:type="paragraph" w:customStyle="1" w:styleId="28">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Other|1"/>
    <w:basedOn w:val="1"/>
    <w:autoRedefine/>
    <w:qFormat/>
    <w:uiPriority w:val="0"/>
    <w:rPr>
      <w:rFonts w:ascii="宋体" w:hAnsi="宋体" w:cs="宋体"/>
      <w:sz w:val="20"/>
      <w:szCs w:val="20"/>
      <w:lang w:val="zh-TW" w:eastAsia="zh-TW" w:bidi="zh-TW"/>
    </w:rPr>
  </w:style>
  <w:style w:type="paragraph" w:customStyle="1" w:styleId="30">
    <w:name w:val="p0"/>
    <w:basedOn w:val="1"/>
    <w:autoRedefine/>
    <w:qFormat/>
    <w:uiPriority w:val="0"/>
    <w:pPr>
      <w:widowControl/>
    </w:pPr>
    <w:rPr>
      <w:kern w:val="0"/>
      <w:szCs w:val="21"/>
    </w:rPr>
  </w:style>
  <w:style w:type="paragraph" w:customStyle="1" w:styleId="31">
    <w:name w:val="Table Paragraph"/>
    <w:basedOn w:val="1"/>
    <w:autoRedefine/>
    <w:qFormat/>
    <w:uiPriority w:val="1"/>
    <w:rPr>
      <w:rFonts w:ascii="宋体" w:hAnsi="宋体" w:eastAsia="宋体" w:cs="宋体"/>
      <w:lang w:val="zh-CN" w:eastAsia="zh-CN" w:bidi="zh-CN"/>
    </w:rPr>
  </w:style>
  <w:style w:type="character" w:customStyle="1" w:styleId="32">
    <w:name w:val="bjh-p"/>
    <w:autoRedefine/>
    <w:qFormat/>
    <w:uiPriority w:val="0"/>
  </w:style>
  <w:style w:type="character" w:customStyle="1" w:styleId="33">
    <w:name w:val="richtext"/>
    <w:basedOn w:val="19"/>
    <w:autoRedefine/>
    <w:qFormat/>
    <w:uiPriority w:val="0"/>
  </w:style>
  <w:style w:type="table" w:customStyle="1" w:styleId="34">
    <w:name w:val="Table Normal"/>
    <w:autoRedefine/>
    <w:semiHidden/>
    <w:unhideWhenUsed/>
    <w:qFormat/>
    <w:uiPriority w:val="0"/>
    <w:tblPr>
      <w:tblCellMar>
        <w:top w:w="0" w:type="dxa"/>
        <w:left w:w="0" w:type="dxa"/>
        <w:bottom w:w="0" w:type="dxa"/>
        <w:right w:w="0" w:type="dxa"/>
      </w:tblCellMar>
    </w:tblPr>
  </w:style>
  <w:style w:type="character" w:customStyle="1" w:styleId="35">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6">
    <w:name w:val="font11"/>
    <w:basedOn w:val="19"/>
    <w:autoRedefine/>
    <w:qFormat/>
    <w:uiPriority w:val="0"/>
    <w:rPr>
      <w:rFonts w:hint="eastAsia" w:ascii="仿宋_GB2312" w:eastAsia="仿宋_GB2312" w:cs="仿宋_GB2312"/>
      <w:color w:val="000000"/>
      <w:sz w:val="24"/>
      <w:szCs w:val="24"/>
      <w:u w:val="none"/>
    </w:rPr>
  </w:style>
  <w:style w:type="character" w:customStyle="1" w:styleId="37">
    <w:name w:val="font21"/>
    <w:basedOn w:val="19"/>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8">
    <w:name w:val="font51"/>
    <w:basedOn w:val="19"/>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9">
    <w:name w:val="font01"/>
    <w:basedOn w:val="19"/>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40">
    <w:name w:val="标题 2 字符"/>
    <w:link w:val="3"/>
    <w:autoRedefine/>
    <w:qFormat/>
    <w:uiPriority w:val="0"/>
    <w:rPr>
      <w:rFonts w:ascii="宋体" w:hAnsi="宋体" w:cs="宋体"/>
      <w:b/>
      <w:kern w:val="0"/>
      <w:sz w:val="24"/>
    </w:rPr>
  </w:style>
  <w:style w:type="paragraph" w:customStyle="1" w:styleId="41">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5187</Words>
  <Characters>5342</Characters>
  <Lines>65</Lines>
  <Paragraphs>18</Paragraphs>
  <TotalTime>18</TotalTime>
  <ScaleCrop>false</ScaleCrop>
  <LinksUpToDate>false</LinksUpToDate>
  <CharactersWithSpaces>5504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2021-01-18T19:16:00Z</dcterms:created>
  <dc:creator>李华伟</dc:creator>
  <cp:lastModifiedBy>李建波</cp:lastModifiedBy>
  <cp:lastPrinted>2025-05-07T08:48:00Z</cp:lastPrinted>
  <dcterms:modified xsi:type="dcterms:W3CDTF">2025-06-09T08:46:14Z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281570273_cloud</vt:lpwstr>
  </property>
  <property fmtid="{D5CDD505-2E9C-101B-9397-08002B2CF9AE}" pid="4" name="ICV">
    <vt:lpwstr>7B3BA4F389534480B7EA22689FEFC83A_13</vt:lpwstr>
  </property>
  <property fmtid="{D5CDD505-2E9C-101B-9397-08002B2CF9AE}" pid="5" name="KSOTemplateDocerSaveRecord">
    <vt:lpwstr>eyJoZGlkIjoiMTUyNDhmOWU4ZDRkMzNmMmFkYWMwMmFjZTJmOGM4YjgiLCJ1c2VySWQiOiI3MTkzODkwMDUifQ==</vt:lpwstr>
  </property>
</Properties>
</file>