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24DFE">
      <w:pPr>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广西艺术学院快递服务采购项目采购公告（重）</w:t>
      </w:r>
    </w:p>
    <w:p w14:paraId="5E4119AF">
      <w:p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一、</w:t>
      </w:r>
      <w:r>
        <w:rPr>
          <w:rFonts w:hint="eastAsia" w:asciiTheme="minorEastAsia" w:hAnsiTheme="minorEastAsia" w:cstheme="minorEastAsia"/>
          <w:b/>
          <w:bCs/>
          <w:color w:val="auto"/>
          <w:sz w:val="24"/>
        </w:rPr>
        <w:t>项目概述</w:t>
      </w:r>
    </w:p>
    <w:p w14:paraId="6C41DB5D">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1.项目内容:为便利师生生活，保障师生及校园寄取快递包裹渠道安全，维</w:t>
      </w:r>
      <w:bookmarkStart w:id="10" w:name="_GoBack"/>
      <w:bookmarkEnd w:id="10"/>
      <w:r>
        <w:rPr>
          <w:rFonts w:hint="eastAsia" w:asciiTheme="minorEastAsia" w:hAnsiTheme="minorEastAsia" w:cstheme="minorEastAsia"/>
          <w:color w:val="auto"/>
          <w:sz w:val="24"/>
        </w:rPr>
        <w:t>护校园正常的教学、生活秩序，解决校园快递“最后一公里”问题，学校对南湖校区及相思湖校区快递服务进行采购。</w:t>
      </w:r>
    </w:p>
    <w:p w14:paraId="510494A3">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南湖校区及相思湖校区场地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3207"/>
        <w:gridCol w:w="1134"/>
        <w:gridCol w:w="1674"/>
        <w:gridCol w:w="901"/>
      </w:tblGrid>
      <w:tr w14:paraId="6814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21" w:type="dxa"/>
            <w:vAlign w:val="center"/>
          </w:tcPr>
          <w:p w14:paraId="065C4F5F">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序号</w:t>
            </w:r>
          </w:p>
        </w:tc>
        <w:tc>
          <w:tcPr>
            <w:tcW w:w="3207" w:type="dxa"/>
            <w:vAlign w:val="center"/>
          </w:tcPr>
          <w:p w14:paraId="5907E947">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名称</w:t>
            </w:r>
          </w:p>
        </w:tc>
        <w:tc>
          <w:tcPr>
            <w:tcW w:w="1134" w:type="dxa"/>
            <w:vAlign w:val="center"/>
          </w:tcPr>
          <w:p w14:paraId="224010B5">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单位（㎡）</w:t>
            </w:r>
          </w:p>
        </w:tc>
        <w:tc>
          <w:tcPr>
            <w:tcW w:w="1674" w:type="dxa"/>
            <w:vAlign w:val="center"/>
          </w:tcPr>
          <w:p w14:paraId="7865FBB7">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数量</w:t>
            </w:r>
          </w:p>
        </w:tc>
        <w:tc>
          <w:tcPr>
            <w:tcW w:w="901" w:type="dxa"/>
            <w:vAlign w:val="center"/>
          </w:tcPr>
          <w:p w14:paraId="1EA38159">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备注</w:t>
            </w:r>
          </w:p>
        </w:tc>
      </w:tr>
      <w:tr w14:paraId="5FD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21" w:type="dxa"/>
            <w:vAlign w:val="center"/>
          </w:tcPr>
          <w:p w14:paraId="395242C6">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3207" w:type="dxa"/>
            <w:vAlign w:val="center"/>
          </w:tcPr>
          <w:p w14:paraId="17A240F5">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南湖校区</w:t>
            </w:r>
          </w:p>
        </w:tc>
        <w:tc>
          <w:tcPr>
            <w:tcW w:w="1134" w:type="dxa"/>
            <w:vAlign w:val="center"/>
          </w:tcPr>
          <w:p w14:paraId="63E34001">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约3</w:t>
            </w:r>
            <w:r>
              <w:rPr>
                <w:rFonts w:asciiTheme="minorEastAsia" w:hAnsiTheme="minorEastAsia" w:cstheme="minorEastAsia"/>
                <w:color w:val="auto"/>
                <w:sz w:val="24"/>
              </w:rPr>
              <w:t>00</w:t>
            </w:r>
          </w:p>
        </w:tc>
        <w:tc>
          <w:tcPr>
            <w:tcW w:w="1674" w:type="dxa"/>
            <w:vAlign w:val="center"/>
          </w:tcPr>
          <w:p w14:paraId="1686C731">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901" w:type="dxa"/>
            <w:vAlign w:val="center"/>
          </w:tcPr>
          <w:p w14:paraId="5CBF798F">
            <w:pPr>
              <w:jc w:val="center"/>
              <w:outlineLvl w:val="1"/>
              <w:rPr>
                <w:rFonts w:asciiTheme="minorEastAsia" w:hAnsiTheme="minorEastAsia" w:cstheme="minorEastAsia"/>
                <w:color w:val="auto"/>
                <w:sz w:val="24"/>
              </w:rPr>
            </w:pPr>
          </w:p>
        </w:tc>
      </w:tr>
      <w:tr w14:paraId="474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21" w:type="dxa"/>
            <w:vAlign w:val="center"/>
          </w:tcPr>
          <w:p w14:paraId="29C45AB4">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3207" w:type="dxa"/>
            <w:vAlign w:val="center"/>
          </w:tcPr>
          <w:p w14:paraId="373058DC">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相思湖校区</w:t>
            </w:r>
          </w:p>
        </w:tc>
        <w:tc>
          <w:tcPr>
            <w:tcW w:w="1134" w:type="dxa"/>
            <w:vAlign w:val="center"/>
          </w:tcPr>
          <w:p w14:paraId="783057DB">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约4</w:t>
            </w:r>
            <w:r>
              <w:rPr>
                <w:rFonts w:asciiTheme="minorEastAsia" w:hAnsiTheme="minorEastAsia" w:cstheme="minorEastAsia"/>
                <w:color w:val="auto"/>
                <w:sz w:val="24"/>
              </w:rPr>
              <w:t>00</w:t>
            </w:r>
          </w:p>
        </w:tc>
        <w:tc>
          <w:tcPr>
            <w:tcW w:w="1674" w:type="dxa"/>
            <w:vAlign w:val="center"/>
          </w:tcPr>
          <w:p w14:paraId="39C201A2">
            <w:pPr>
              <w:jc w:val="center"/>
              <w:outlineLvl w:val="1"/>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901" w:type="dxa"/>
            <w:vAlign w:val="center"/>
          </w:tcPr>
          <w:p w14:paraId="61FE6CD5">
            <w:pPr>
              <w:jc w:val="center"/>
              <w:outlineLvl w:val="1"/>
              <w:rPr>
                <w:rFonts w:asciiTheme="minorEastAsia" w:hAnsiTheme="minorEastAsia" w:cstheme="minorEastAsia"/>
                <w:color w:val="auto"/>
                <w:sz w:val="24"/>
              </w:rPr>
            </w:pPr>
          </w:p>
        </w:tc>
      </w:tr>
    </w:tbl>
    <w:p w14:paraId="690F4D3D">
      <w:pPr>
        <w:pStyle w:val="12"/>
        <w:ind w:firstLine="480"/>
        <w:rPr>
          <w:rFonts w:asciiTheme="minorEastAsia" w:hAnsiTheme="minorEastAsia" w:cstheme="minorEastAsia"/>
          <w:color w:val="auto"/>
          <w:sz w:val="24"/>
        </w:rPr>
      </w:pPr>
      <w:r>
        <w:rPr>
          <w:rFonts w:asciiTheme="minorEastAsia" w:hAnsiTheme="minorEastAsia" w:cstheme="minorEastAsia"/>
          <w:color w:val="auto"/>
          <w:sz w:val="24"/>
        </w:rPr>
        <w:t>2</w:t>
      </w:r>
      <w:r>
        <w:rPr>
          <w:rFonts w:hint="eastAsia" w:asciiTheme="minorEastAsia" w:hAnsiTheme="minorEastAsia" w:cstheme="minorEastAsia"/>
          <w:color w:val="auto"/>
          <w:sz w:val="24"/>
        </w:rPr>
        <w:t>.</w:t>
      </w:r>
      <w:r>
        <w:rPr>
          <w:rFonts w:hint="eastAsia" w:asciiTheme="minorEastAsia" w:hAnsiTheme="minorEastAsia" w:cstheme="minorEastAsia"/>
          <w:b/>
          <w:bCs/>
          <w:color w:val="auto"/>
          <w:sz w:val="24"/>
        </w:rPr>
        <w:t>服务年限：5年。</w:t>
      </w:r>
    </w:p>
    <w:p w14:paraId="39BFAE21">
      <w:pPr>
        <w:adjustRightInd w:val="0"/>
        <w:snapToGrid w:val="0"/>
        <w:spacing w:line="360" w:lineRule="auto"/>
        <w:rPr>
          <w:rFonts w:asciiTheme="minorEastAsia" w:hAnsiTheme="minorEastAsia" w:cstheme="minorEastAsia"/>
          <w:b/>
          <w:color w:val="auto"/>
          <w:kern w:val="0"/>
          <w:sz w:val="24"/>
        </w:rPr>
      </w:pPr>
      <w:r>
        <w:rPr>
          <w:rFonts w:hint="eastAsia" w:asciiTheme="minorEastAsia" w:hAnsiTheme="minorEastAsia" w:cstheme="minorEastAsia"/>
          <w:b/>
          <w:color w:val="auto"/>
          <w:kern w:val="0"/>
          <w:sz w:val="24"/>
        </w:rPr>
        <w:t>二、整体要求</w:t>
      </w:r>
    </w:p>
    <w:p w14:paraId="502D7165">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1.场地的建设、装修、运营等所需费用均由中标方全额投资，且场地只限于经营快递类业务。中标方的投入须满足服务方案的需要，采购人不对成交人的投资负责，投资风险由成交人自行承担。</w:t>
      </w:r>
    </w:p>
    <w:p w14:paraId="47AE8000">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2.针对本项目实际情况及特点提出服务总体设想，可持续发展的合作目标、管理架构、运营机制、管理规章制度、档案建立等内容。</w:t>
      </w:r>
    </w:p>
    <w:p w14:paraId="13C73EA1">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3.应配备相应的人员服务设施，制定完善的运营管理方案。</w:t>
      </w:r>
    </w:p>
    <w:p w14:paraId="1B21E446">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4.根据项目要求建立完善的智慧物流管理系统平台，以实现入库、派件、揽件、盘点、结算、查询、管理等智能化服务。</w:t>
      </w:r>
    </w:p>
    <w:p w14:paraId="4F02CAF9">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5.日常公共秩序维护和车辆管理工作方案。</w:t>
      </w:r>
    </w:p>
    <w:p w14:paraId="0FB014D0">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6.快递服务人员培训方案。</w:t>
      </w:r>
    </w:p>
    <w:p w14:paraId="278CC21B">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7.必须按照《邮政业安全生产设备配置规范》标准及快递末端服务规范要求，</w:t>
      </w:r>
      <w:r>
        <w:rPr>
          <w:rFonts w:hint="eastAsia" w:asciiTheme="minorEastAsia" w:hAnsiTheme="minorEastAsia" w:cstheme="minorEastAsia"/>
          <w:color w:val="auto"/>
          <w:kern w:val="0"/>
          <w:sz w:val="24"/>
        </w:rPr>
        <w:t>在快递服务区域配置必要的安全、消防等安全生产设备设施。</w:t>
      </w:r>
    </w:p>
    <w:p w14:paraId="24245BA7">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8.服务方案和承诺。</w:t>
      </w:r>
    </w:p>
    <w:p w14:paraId="55BD71A8">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9.在原快递驿站自助取件的方式外，原邮政收发室的人员和费用列入本项目，由中标人承担，并根据学校师生需求，适当增加24小时取件柜、定时定点送件上门与定点取件等模式相结合的方式，尽可能的满足师生们的使用需求。</w:t>
      </w:r>
    </w:p>
    <w:p w14:paraId="41391B51">
      <w:pPr>
        <w:adjustRightInd w:val="0"/>
        <w:snapToGrid w:val="0"/>
        <w:spacing w:line="360" w:lineRule="auto"/>
        <w:rPr>
          <w:rFonts w:asciiTheme="minorEastAsia" w:hAnsiTheme="minorEastAsia" w:cstheme="minorEastAsia"/>
          <w:b/>
          <w:color w:val="auto"/>
          <w:kern w:val="0"/>
          <w:sz w:val="24"/>
        </w:rPr>
      </w:pPr>
      <w:r>
        <w:rPr>
          <w:rFonts w:hint="eastAsia" w:asciiTheme="minorEastAsia" w:hAnsiTheme="minorEastAsia" w:cstheme="minorEastAsia"/>
          <w:b/>
          <w:color w:val="auto"/>
          <w:kern w:val="0"/>
          <w:sz w:val="24"/>
        </w:rPr>
        <w:t>三、商务要求</w:t>
      </w:r>
    </w:p>
    <w:p w14:paraId="359DD172">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1.财务状况：</w:t>
      </w:r>
      <w:r>
        <w:rPr>
          <w:rFonts w:hint="eastAsia" w:ascii="宋体" w:hAnsi="宋体" w:eastAsia="宋体" w:cs="宋体"/>
          <w:color w:val="auto"/>
          <w:kern w:val="0"/>
          <w:szCs w:val="21"/>
        </w:rPr>
        <w:t>提供</w:t>
      </w:r>
      <w:r>
        <w:rPr>
          <w:rFonts w:hint="eastAsia" w:ascii="宋体" w:hAnsi="宋体" w:eastAsia="宋体" w:cs="宋体"/>
          <w:color w:val="auto"/>
          <w:kern w:val="0"/>
          <w:szCs w:val="21"/>
          <w:lang w:val="en-US" w:eastAsia="zh-CN"/>
        </w:rPr>
        <w:t>近三年（</w:t>
      </w: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1年至</w:t>
      </w: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年</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的财务报表</w:t>
      </w:r>
      <w:r>
        <w:rPr>
          <w:rFonts w:hint="eastAsia" w:ascii="宋体" w:hAnsi="宋体" w:cs="宋体"/>
          <w:color w:val="auto"/>
          <w:kern w:val="0"/>
          <w:szCs w:val="21"/>
        </w:rPr>
        <w:t>。</w:t>
      </w:r>
      <w:r>
        <w:rPr>
          <w:rFonts w:ascii="Arial" w:hAnsi="Arial" w:eastAsia="宋体" w:cs="Arial"/>
          <w:i w:val="0"/>
          <w:iCs w:val="0"/>
          <w:caps w:val="0"/>
          <w:color w:val="auto"/>
          <w:spacing w:val="0"/>
          <w:sz w:val="21"/>
          <w:szCs w:val="21"/>
          <w:shd w:val="clear" w:fill="FFFFFF"/>
        </w:rPr>
        <w:t>成立不足三年的投标人须提供成立以来所有年度财务</w:t>
      </w:r>
      <w:r>
        <w:rPr>
          <w:rFonts w:hint="eastAsia" w:ascii="Arial" w:hAnsi="Arial" w:eastAsia="宋体" w:cs="Arial"/>
          <w:i w:val="0"/>
          <w:iCs w:val="0"/>
          <w:caps w:val="0"/>
          <w:color w:val="auto"/>
          <w:spacing w:val="0"/>
          <w:sz w:val="21"/>
          <w:szCs w:val="21"/>
          <w:shd w:val="clear" w:fill="FFFFFF"/>
          <w:lang w:val="en-US" w:eastAsia="zh-CN"/>
        </w:rPr>
        <w:t>报表</w:t>
      </w:r>
      <w:r>
        <w:rPr>
          <w:rFonts w:hint="eastAsia" w:ascii="Arial" w:hAnsi="Arial" w:eastAsia="宋体" w:cs="Arial"/>
          <w:i w:val="0"/>
          <w:iCs w:val="0"/>
          <w:caps w:val="0"/>
          <w:color w:val="auto"/>
          <w:spacing w:val="0"/>
          <w:sz w:val="21"/>
          <w:szCs w:val="21"/>
          <w:shd w:val="clear" w:fill="FFFFFF"/>
          <w:lang w:eastAsia="zh-CN"/>
        </w:rPr>
        <w:t>，</w:t>
      </w:r>
      <w:r>
        <w:rPr>
          <w:rFonts w:ascii="Arial" w:hAnsi="Arial" w:eastAsia="宋体" w:cs="Arial"/>
          <w:i w:val="0"/>
          <w:iCs w:val="0"/>
          <w:caps w:val="0"/>
          <w:color w:val="auto"/>
          <w:spacing w:val="0"/>
          <w:sz w:val="21"/>
          <w:szCs w:val="21"/>
          <w:shd w:val="clear" w:fill="FFFFFF"/>
        </w:rPr>
        <w:t>成立不足一年的提供银行资信证明</w:t>
      </w:r>
      <w:r>
        <w:rPr>
          <w:rFonts w:hint="eastAsia" w:ascii="Arial" w:hAnsi="Arial" w:eastAsia="宋体" w:cs="Arial"/>
          <w:i w:val="0"/>
          <w:iCs w:val="0"/>
          <w:caps w:val="0"/>
          <w:color w:val="auto"/>
          <w:spacing w:val="0"/>
          <w:sz w:val="21"/>
          <w:szCs w:val="21"/>
          <w:shd w:val="clear" w:fill="FFFFFF"/>
          <w:lang w:eastAsia="zh-CN"/>
        </w:rPr>
        <w:t>。</w:t>
      </w:r>
    </w:p>
    <w:p w14:paraId="36DC0221">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2.企业</w:t>
      </w:r>
      <w:r>
        <w:rPr>
          <w:rFonts w:hint="eastAsia" w:asciiTheme="minorEastAsia" w:hAnsiTheme="minorEastAsia" w:cstheme="minorEastAsia"/>
          <w:color w:val="auto"/>
          <w:kern w:val="0"/>
          <w:sz w:val="24"/>
          <w:lang w:val="en-US" w:eastAsia="zh-CN"/>
        </w:rPr>
        <w:t>获得荣誉情况</w:t>
      </w:r>
      <w:r>
        <w:rPr>
          <w:rFonts w:hint="eastAsia" w:asciiTheme="minorEastAsia" w:hAnsiTheme="minorEastAsia" w:cstheme="minorEastAsia"/>
          <w:color w:val="auto"/>
          <w:kern w:val="0"/>
          <w:sz w:val="24"/>
        </w:rPr>
        <w:t>：</w:t>
      </w:r>
      <w:r>
        <w:rPr>
          <w:rFonts w:hint="eastAsia" w:ascii="宋体" w:hAnsi="宋体" w:eastAsia="宋体" w:cs="宋体"/>
          <w:color w:val="auto"/>
          <w:kern w:val="0"/>
          <w:szCs w:val="21"/>
        </w:rPr>
        <w:t>提供2022</w:t>
      </w:r>
      <w:r>
        <w:rPr>
          <w:rFonts w:hint="eastAsia" w:ascii="宋体" w:hAnsi="宋体" w:eastAsia="宋体" w:cs="宋体"/>
          <w:color w:val="auto"/>
          <w:kern w:val="0"/>
          <w:szCs w:val="21"/>
          <w:lang w:val="en-US" w:eastAsia="zh-CN"/>
        </w:rPr>
        <w:t>年至</w:t>
      </w:r>
      <w:r>
        <w:rPr>
          <w:rFonts w:hint="eastAsia" w:ascii="宋体" w:hAnsi="宋体" w:eastAsia="宋体" w:cs="宋体"/>
          <w:color w:val="auto"/>
          <w:kern w:val="0"/>
          <w:szCs w:val="21"/>
        </w:rPr>
        <w:t>2024年的获奖情况</w:t>
      </w:r>
      <w:r>
        <w:rPr>
          <w:rFonts w:hint="eastAsia" w:asciiTheme="minorEastAsia" w:hAnsiTheme="minorEastAsia" w:cstheme="minorEastAsia"/>
          <w:color w:val="auto"/>
          <w:kern w:val="0"/>
          <w:sz w:val="24"/>
        </w:rPr>
        <w:t>。</w:t>
      </w:r>
    </w:p>
    <w:p w14:paraId="7ECCF36B">
      <w:pPr>
        <w:adjustRightInd w:val="0"/>
        <w:snapToGrid w:val="0"/>
        <w:spacing w:line="360" w:lineRule="auto"/>
        <w:ind w:firstLine="480" w:firstLineChars="200"/>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3.业务合作情况：</w:t>
      </w:r>
      <w:r>
        <w:rPr>
          <w:rFonts w:hint="eastAsia"/>
          <w:color w:val="auto"/>
          <w:szCs w:val="21"/>
        </w:rPr>
        <w:t>提供</w:t>
      </w:r>
      <w:r>
        <w:rPr>
          <w:rFonts w:hint="eastAsia" w:ascii="宋体" w:hAnsi="宋体" w:eastAsia="宋体" w:cs="宋体"/>
          <w:color w:val="auto"/>
          <w:szCs w:val="21"/>
        </w:rPr>
        <w:t>2020</w:t>
      </w:r>
      <w:r>
        <w:rPr>
          <w:rFonts w:hint="eastAsia" w:ascii="宋体" w:hAnsi="宋体" w:eastAsia="宋体" w:cs="宋体"/>
          <w:color w:val="auto"/>
          <w:szCs w:val="21"/>
          <w:lang w:val="en-US" w:eastAsia="zh-CN"/>
        </w:rPr>
        <w:t>年至</w:t>
      </w:r>
      <w:r>
        <w:rPr>
          <w:rFonts w:hint="eastAsia" w:ascii="宋体" w:hAnsi="宋体" w:eastAsia="宋体" w:cs="宋体"/>
          <w:color w:val="auto"/>
          <w:szCs w:val="21"/>
        </w:rPr>
        <w:t>2024年</w:t>
      </w:r>
      <w:r>
        <w:rPr>
          <w:rFonts w:hint="eastAsia"/>
          <w:color w:val="auto"/>
          <w:szCs w:val="21"/>
        </w:rPr>
        <w:t>同类快递服务项目业绩，</w:t>
      </w:r>
      <w:r>
        <w:rPr>
          <w:rFonts w:hint="eastAsia" w:ascii="宋体" w:hAnsi="宋体" w:cs="宋体"/>
          <w:color w:val="auto"/>
          <w:szCs w:val="21"/>
          <w:lang w:bidi="ar"/>
        </w:rPr>
        <w:t>以中标（成交）通知书或合同（协议）复印件为准</w:t>
      </w:r>
      <w:r>
        <w:rPr>
          <w:rFonts w:hint="eastAsia" w:ascii="宋体" w:hAnsi="宋体" w:cs="宋体"/>
          <w:color w:val="auto"/>
          <w:sz w:val="24"/>
          <w:lang w:bidi="ar"/>
        </w:rPr>
        <w:t>，原件备查。</w:t>
      </w:r>
    </w:p>
    <w:p w14:paraId="17D7D393">
      <w:pPr>
        <w:spacing w:line="360" w:lineRule="auto"/>
        <w:rPr>
          <w:rFonts w:ascii="宋体" w:hAnsi="宋体" w:cs="宋体"/>
          <w:b/>
          <w:bCs/>
          <w:color w:val="auto"/>
          <w:sz w:val="24"/>
          <w:szCs w:val="28"/>
        </w:rPr>
      </w:pPr>
      <w:r>
        <w:rPr>
          <w:rFonts w:hint="eastAsia" w:ascii="宋体" w:hAnsi="宋体" w:cs="宋体"/>
          <w:b/>
          <w:bCs/>
          <w:color w:val="auto"/>
          <w:sz w:val="24"/>
          <w:szCs w:val="28"/>
        </w:rPr>
        <w:t>四、投标人资格要求</w:t>
      </w:r>
    </w:p>
    <w:p w14:paraId="0D42BDE3">
      <w:pPr>
        <w:pStyle w:val="9"/>
        <w:widowControl/>
        <w:shd w:val="clear" w:color="auto" w:fill="FFFFFF"/>
        <w:spacing w:before="0" w:beforeAutospacing="0" w:after="0" w:afterAutospacing="0" w:line="360" w:lineRule="auto"/>
        <w:ind w:firstLine="480" w:firstLineChars="200"/>
        <w:jc w:val="both"/>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1.必须是在中华人民共和国境内注册，具有独立法人或负责人，并持有工商行政管理部门核发的法人或负责人营业执照，</w:t>
      </w:r>
      <w:r>
        <w:rPr>
          <w:color w:val="auto"/>
        </w:rPr>
        <w:t>具备有效的《中华人民共和国快递业务经营许可证》，具备快递经营服务资格和能力。</w:t>
      </w:r>
    </w:p>
    <w:p w14:paraId="297C7E40">
      <w:pPr>
        <w:pStyle w:val="9"/>
        <w:widowControl/>
        <w:shd w:val="clear" w:color="auto" w:fill="FFFFFF"/>
        <w:spacing w:before="0" w:beforeAutospacing="0" w:after="0" w:afterAutospacing="0" w:line="360" w:lineRule="auto"/>
        <w:ind w:firstLine="480" w:firstLineChars="200"/>
        <w:jc w:val="both"/>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2.未被列入失信被执行人名单、重大税收违法案件当事人名单、政府采购严重违法失信行为记录名单，信用信息以最新的信用中国网站和中国政府采购网公布为准，请提供最新的信用中国网站和中国政府采购网的截图证明信息。“信用中国”网站查询方法：投标人在本项目投标截止时间前10日内,进入投标人基本信息页面，点击“下载信用报告”后点击“下载”。“中国政府采购网”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44030C0A">
      <w:pPr>
        <w:pStyle w:val="9"/>
        <w:widowControl/>
        <w:shd w:val="clear" w:color="auto" w:fill="FFFFFF"/>
        <w:spacing w:before="0" w:beforeAutospacing="0" w:after="0" w:afterAutospacing="0" w:line="360" w:lineRule="auto"/>
        <w:ind w:firstLine="480" w:firstLineChars="200"/>
        <w:jc w:val="both"/>
        <w:rPr>
          <w:rFonts w:ascii="宋体" w:hAnsi="宋体" w:cs="宋体"/>
          <w:b/>
          <w:bCs/>
          <w:color w:val="auto"/>
          <w:szCs w:val="28"/>
        </w:rPr>
      </w:pPr>
      <w:r>
        <w:rPr>
          <w:rFonts w:hint="eastAsia" w:ascii="宋体" w:hAnsi="宋体" w:eastAsia="宋体" w:cs="宋体"/>
          <w:color w:val="auto"/>
          <w:shd w:val="clear" w:color="auto" w:fill="FFFFFF"/>
        </w:rPr>
        <w:t>3.单位负责人为同一人或者存在直接控股、管理关系的不同供应商，不得参加同一合同项下的采购活动。本项目不接受联合体。</w:t>
      </w:r>
    </w:p>
    <w:p w14:paraId="586776E2">
      <w:pPr>
        <w:spacing w:line="360" w:lineRule="auto"/>
        <w:rPr>
          <w:rFonts w:ascii="宋体" w:hAnsi="宋体" w:cs="宋体"/>
          <w:b/>
          <w:bCs/>
          <w:color w:val="auto"/>
          <w:sz w:val="24"/>
          <w:szCs w:val="28"/>
        </w:rPr>
      </w:pPr>
      <w:r>
        <w:rPr>
          <w:rFonts w:hint="eastAsia" w:ascii="宋体" w:hAnsi="宋体" w:cs="宋体"/>
          <w:b/>
          <w:bCs/>
          <w:color w:val="auto"/>
          <w:sz w:val="24"/>
          <w:szCs w:val="28"/>
        </w:rPr>
        <w:t>五、投标要求</w:t>
      </w:r>
    </w:p>
    <w:p w14:paraId="4414B768">
      <w:pPr>
        <w:pStyle w:val="9"/>
        <w:widowControl/>
        <w:shd w:val="clear" w:color="auto" w:fill="FFFFFF"/>
        <w:spacing w:before="0" w:beforeAutospacing="0" w:after="0" w:afterAutospacing="0" w:line="360" w:lineRule="auto"/>
        <w:ind w:firstLine="480" w:firstLineChars="200"/>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报名时请携带以下有效证件的原件及加盖公章的复印件（复印件留存,原件备查），所有材料一正一副。</w:t>
      </w:r>
    </w:p>
    <w:p w14:paraId="650EDE89">
      <w:pPr>
        <w:pStyle w:val="9"/>
        <w:widowControl/>
        <w:shd w:val="clear" w:color="auto" w:fill="FFFFFF"/>
        <w:spacing w:before="0" w:beforeAutospacing="0" w:after="0" w:afterAutospacing="0" w:line="360" w:lineRule="auto"/>
        <w:ind w:firstLine="480" w:firstLineChars="200"/>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1.根据第</w:t>
      </w:r>
      <w:r>
        <w:rPr>
          <w:rFonts w:hint="eastAsia" w:ascii="宋体" w:hAnsi="宋体" w:eastAsia="宋体" w:cs="宋体"/>
          <w:color w:val="auto"/>
          <w:shd w:val="clear" w:color="auto" w:fill="FFFFFF"/>
          <w:lang w:val="en-US" w:eastAsia="zh-CN"/>
        </w:rPr>
        <w:t>四大</w:t>
      </w:r>
      <w:r>
        <w:rPr>
          <w:rFonts w:hint="eastAsia" w:ascii="宋体" w:hAnsi="宋体" w:eastAsia="宋体" w:cs="宋体"/>
          <w:color w:val="auto"/>
          <w:shd w:val="clear" w:color="auto" w:fill="FFFFFF"/>
        </w:rPr>
        <w:t>点资格要求里列明的相关证明材料；</w:t>
      </w:r>
    </w:p>
    <w:p w14:paraId="6284A823">
      <w:pPr>
        <w:pStyle w:val="9"/>
        <w:widowControl/>
        <w:shd w:val="clear" w:color="auto" w:fill="FFFFFF"/>
        <w:spacing w:before="0" w:beforeAutospacing="0" w:after="0" w:afterAutospacing="0" w:line="360" w:lineRule="auto"/>
        <w:ind w:firstLine="480" w:firstLineChars="200"/>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2.法人代表授权书、法人代表身份证复印件，被授权人身份证；</w:t>
      </w:r>
    </w:p>
    <w:p w14:paraId="6B2698FA">
      <w:pPr>
        <w:pStyle w:val="9"/>
        <w:widowControl/>
        <w:shd w:val="clear" w:color="auto" w:fill="FFFFFF"/>
        <w:spacing w:before="0" w:beforeAutospacing="0" w:after="0" w:afterAutospacing="0" w:line="360" w:lineRule="auto"/>
        <w:ind w:firstLine="480" w:firstLineChars="200"/>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3.根据评分办法准备的相关材料（密封，加盖公章）。</w:t>
      </w:r>
    </w:p>
    <w:p w14:paraId="5718C629">
      <w:pPr>
        <w:pStyle w:val="9"/>
        <w:widowControl/>
        <w:shd w:val="clear" w:color="auto" w:fill="FFFFFF"/>
        <w:spacing w:before="0" w:beforeAutospacing="0" w:after="0" w:afterAutospacing="0" w:line="360" w:lineRule="auto"/>
        <w:ind w:firstLine="480" w:firstLineChars="200"/>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4.报价单（密封，并加盖公章）。</w:t>
      </w:r>
    </w:p>
    <w:p w14:paraId="263BB953">
      <w:pPr>
        <w:widowControl/>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所有材料必须密封并加盖公章。</w:t>
      </w:r>
    </w:p>
    <w:p w14:paraId="4A1A6235">
      <w:pPr>
        <w:spacing w:line="360" w:lineRule="auto"/>
        <w:rPr>
          <w:rFonts w:ascii="宋体" w:hAnsi="宋体" w:cs="宋体"/>
          <w:b/>
          <w:bCs/>
          <w:color w:val="auto"/>
          <w:sz w:val="24"/>
          <w:szCs w:val="28"/>
        </w:rPr>
      </w:pPr>
      <w:r>
        <w:rPr>
          <w:rFonts w:hint="eastAsia" w:ascii="宋体" w:hAnsi="宋体" w:cs="宋体"/>
          <w:b/>
          <w:bCs/>
          <w:color w:val="auto"/>
          <w:sz w:val="24"/>
          <w:szCs w:val="28"/>
        </w:rPr>
        <w:t>六、成交人确定方式</w:t>
      </w:r>
    </w:p>
    <w:p w14:paraId="7196C560">
      <w:pPr>
        <w:pStyle w:val="9"/>
        <w:widowControl/>
        <w:shd w:val="clear" w:color="auto" w:fill="FFFFFF"/>
        <w:spacing w:before="0" w:beforeAutospacing="0" w:after="0" w:afterAutospacing="0" w:line="360" w:lineRule="auto"/>
        <w:ind w:firstLine="480" w:firstLineChars="200"/>
        <w:jc w:val="both"/>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本项目以综合评分与实地考察方式确定最终成交人。</w:t>
      </w:r>
    </w:p>
    <w:p w14:paraId="212AAC74">
      <w:pPr>
        <w:pStyle w:val="9"/>
        <w:widowControl/>
        <w:shd w:val="clear" w:color="auto" w:fill="FFFFFF"/>
        <w:spacing w:before="0" w:beforeAutospacing="0" w:after="0" w:afterAutospacing="0" w:line="360" w:lineRule="auto"/>
        <w:ind w:firstLine="480" w:firstLineChars="200"/>
        <w:jc w:val="both"/>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1.综合评分办法见附件：评分</w:t>
      </w:r>
      <w:r>
        <w:rPr>
          <w:rFonts w:hint="eastAsia" w:ascii="宋体" w:hAnsi="宋体" w:cs="宋体"/>
          <w:color w:val="auto"/>
          <w:shd w:val="clear" w:color="auto" w:fill="FFFFFF"/>
        </w:rPr>
        <w:t>标准</w:t>
      </w:r>
      <w:r>
        <w:rPr>
          <w:rFonts w:hint="eastAsia" w:ascii="宋体" w:hAnsi="宋体" w:eastAsia="宋体" w:cs="宋体"/>
          <w:color w:val="auto"/>
          <w:shd w:val="clear" w:color="auto" w:fill="FFFFFF"/>
        </w:rPr>
        <w:t>。</w:t>
      </w:r>
    </w:p>
    <w:p w14:paraId="743558D3">
      <w:pPr>
        <w:pStyle w:val="9"/>
        <w:widowControl/>
        <w:shd w:val="clear" w:color="auto" w:fill="FFFFFF"/>
        <w:spacing w:before="0" w:beforeAutospacing="0" w:after="0" w:afterAutospacing="0" w:line="360" w:lineRule="auto"/>
        <w:ind w:firstLine="480" w:firstLineChars="200"/>
        <w:jc w:val="both"/>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2.实地考察评分办法见附件：评分</w:t>
      </w:r>
      <w:r>
        <w:rPr>
          <w:rFonts w:hint="eastAsia" w:ascii="宋体" w:hAnsi="宋体" w:cs="宋体"/>
          <w:color w:val="auto"/>
          <w:shd w:val="clear" w:color="auto" w:fill="FFFFFF"/>
        </w:rPr>
        <w:t>标准</w:t>
      </w:r>
      <w:r>
        <w:rPr>
          <w:rFonts w:hint="eastAsia"/>
          <w:color w:val="auto"/>
        </w:rPr>
        <w:t>。</w:t>
      </w:r>
    </w:p>
    <w:p w14:paraId="35F17220">
      <w:pPr>
        <w:pStyle w:val="9"/>
        <w:widowControl/>
        <w:shd w:val="clear" w:color="auto" w:fill="FFFFFF"/>
        <w:spacing w:before="0" w:beforeAutospacing="0" w:after="0" w:afterAutospacing="0" w:line="360" w:lineRule="auto"/>
        <w:ind w:firstLine="480" w:firstLineChars="200"/>
        <w:jc w:val="both"/>
        <w:rPr>
          <w:rFonts w:ascii="微软雅黑" w:hAnsi="微软雅黑" w:eastAsia="微软雅黑" w:cs="微软雅黑"/>
          <w:color w:val="auto"/>
          <w:sz w:val="21"/>
          <w:szCs w:val="21"/>
        </w:rPr>
      </w:pPr>
      <w:r>
        <w:rPr>
          <w:rFonts w:hint="eastAsia" w:ascii="宋体" w:hAnsi="宋体" w:eastAsia="宋体" w:cs="宋体"/>
          <w:color w:val="auto"/>
          <w:shd w:val="clear" w:color="auto" w:fill="FFFFFF"/>
        </w:rPr>
        <w:t>3.以综合得分和实地考察结果最终确定本项目成交人。</w:t>
      </w:r>
    </w:p>
    <w:p w14:paraId="5211AD12">
      <w:pPr>
        <w:pStyle w:val="9"/>
        <w:widowControl/>
        <w:shd w:val="clear" w:color="auto" w:fill="FFFFFF"/>
        <w:spacing w:before="0" w:beforeAutospacing="0" w:after="0" w:afterAutospacing="0" w:line="360" w:lineRule="auto"/>
        <w:ind w:firstLine="480" w:firstLineChars="20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注：实地考察具体时间采购人将另行通知。</w:t>
      </w:r>
    </w:p>
    <w:p w14:paraId="15E38F5A">
      <w:pPr>
        <w:spacing w:line="360" w:lineRule="auto"/>
        <w:rPr>
          <w:rFonts w:ascii="宋体" w:hAnsi="宋体" w:cs="宋体"/>
          <w:b/>
          <w:bCs/>
          <w:color w:val="auto"/>
          <w:sz w:val="24"/>
          <w:szCs w:val="28"/>
        </w:rPr>
      </w:pPr>
      <w:r>
        <w:rPr>
          <w:rFonts w:hint="eastAsia" w:ascii="宋体" w:hAnsi="宋体" w:cs="宋体"/>
          <w:b/>
          <w:bCs/>
          <w:color w:val="auto"/>
          <w:sz w:val="24"/>
          <w:szCs w:val="28"/>
        </w:rPr>
        <w:t>七、现场踏勘</w:t>
      </w:r>
    </w:p>
    <w:p w14:paraId="30B17225">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投标人须自行组织现场踏勘，了解项目现场情况。踏勘现场所发生的费用由投标人自行承担。投标人未到服务现场实地踏勘的，成交后签订合同时和履约过程中，不得以不完全了解现场情况为由，提出任何形式的增加合同价款或索赔的要求。</w:t>
      </w:r>
    </w:p>
    <w:p w14:paraId="1ABFCF85">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集中踏勘时间：</w:t>
      </w:r>
    </w:p>
    <w:p w14:paraId="401651AC">
      <w:pPr>
        <w:spacing w:line="360" w:lineRule="auto"/>
        <w:ind w:firstLine="480" w:firstLineChars="200"/>
        <w:rPr>
          <w:rFonts w:ascii="宋体" w:hAnsi="宋体" w:eastAsia="宋体" w:cs="宋体"/>
          <w:color w:val="auto"/>
          <w:sz w:val="24"/>
          <w:shd w:val="clear" w:color="auto" w:fill="FFFFFF"/>
        </w:rPr>
      </w:pPr>
      <w:r>
        <w:rPr>
          <w:rFonts w:hint="eastAsia" w:ascii="宋体" w:hAnsi="宋体" w:cs="宋体"/>
          <w:color w:val="auto"/>
          <w:sz w:val="24"/>
          <w:szCs w:val="28"/>
        </w:rPr>
        <w:t>2025年</w:t>
      </w:r>
      <w:r>
        <w:rPr>
          <w:rFonts w:hint="eastAsia" w:ascii="宋体" w:hAnsi="宋体" w:cs="宋体"/>
          <w:color w:val="auto"/>
          <w:sz w:val="24"/>
          <w:szCs w:val="28"/>
          <w:lang w:val="en-US" w:eastAsia="zh-CN"/>
        </w:rPr>
        <w:t>2</w:t>
      </w:r>
      <w:r>
        <w:rPr>
          <w:rFonts w:hint="eastAsia" w:ascii="宋体" w:hAnsi="宋体" w:cs="宋体"/>
          <w:color w:val="auto"/>
          <w:sz w:val="24"/>
          <w:szCs w:val="28"/>
          <w:highlight w:val="none"/>
        </w:rPr>
        <w:t>月</w:t>
      </w:r>
      <w:r>
        <w:rPr>
          <w:rFonts w:hint="eastAsia" w:ascii="宋体" w:hAnsi="宋体" w:cs="宋体"/>
          <w:color w:val="auto"/>
          <w:sz w:val="24"/>
          <w:szCs w:val="28"/>
          <w:highlight w:val="none"/>
          <w:lang w:val="en-US" w:eastAsia="zh-CN"/>
        </w:rPr>
        <w:t>24</w:t>
      </w:r>
      <w:r>
        <w:rPr>
          <w:rFonts w:hint="eastAsia" w:ascii="宋体" w:hAnsi="宋体" w:cs="宋体"/>
          <w:color w:val="auto"/>
          <w:sz w:val="24"/>
          <w:szCs w:val="28"/>
          <w:highlight w:val="none"/>
        </w:rPr>
        <w:t>日</w:t>
      </w:r>
      <w:r>
        <w:rPr>
          <w:rFonts w:hint="eastAsia" w:ascii="宋体" w:hAnsi="宋体" w:cs="宋体"/>
          <w:color w:val="auto"/>
          <w:sz w:val="24"/>
          <w:szCs w:val="28"/>
        </w:rPr>
        <w:t>上午10:00至1</w:t>
      </w:r>
      <w:r>
        <w:rPr>
          <w:rFonts w:hint="eastAsia" w:ascii="宋体" w:hAnsi="宋体" w:cs="宋体"/>
          <w:color w:val="auto"/>
          <w:sz w:val="24"/>
          <w:szCs w:val="28"/>
          <w:lang w:val="en-US" w:eastAsia="zh-CN"/>
        </w:rPr>
        <w:t>1</w:t>
      </w:r>
      <w:r>
        <w:rPr>
          <w:rFonts w:hint="eastAsia" w:ascii="宋体" w:hAnsi="宋体" w:cs="宋体"/>
          <w:color w:val="auto"/>
          <w:sz w:val="24"/>
          <w:szCs w:val="28"/>
        </w:rPr>
        <w:t>:</w:t>
      </w:r>
      <w:r>
        <w:rPr>
          <w:rFonts w:hint="eastAsia" w:ascii="宋体" w:hAnsi="宋体" w:cs="宋体"/>
          <w:color w:val="auto"/>
          <w:sz w:val="24"/>
          <w:szCs w:val="28"/>
          <w:lang w:val="en-US" w:eastAsia="zh-CN"/>
        </w:rPr>
        <w:t>3</w:t>
      </w:r>
      <w:r>
        <w:rPr>
          <w:rFonts w:hint="eastAsia" w:ascii="宋体" w:hAnsi="宋体" w:cs="宋体"/>
          <w:color w:val="auto"/>
          <w:sz w:val="24"/>
          <w:szCs w:val="28"/>
        </w:rPr>
        <w:t>0</w:t>
      </w:r>
      <w:r>
        <w:rPr>
          <w:rFonts w:hint="eastAsia" w:ascii="宋体" w:hAnsi="宋体" w:eastAsia="宋体" w:cs="宋体"/>
          <w:color w:val="auto"/>
          <w:sz w:val="24"/>
          <w:shd w:val="clear" w:color="auto" w:fill="FFFFFF"/>
        </w:rPr>
        <w:t>南湖校区（南宁市青秀区教育路7号）</w:t>
      </w:r>
    </w:p>
    <w:p w14:paraId="2C900F77">
      <w:pPr>
        <w:spacing w:line="360" w:lineRule="auto"/>
        <w:ind w:firstLine="480" w:firstLineChars="200"/>
        <w:rPr>
          <w:rFonts w:ascii="宋体" w:hAnsi="宋体" w:eastAsia="宋体" w:cs="宋体"/>
          <w:color w:val="auto"/>
          <w:sz w:val="24"/>
          <w:shd w:val="clear" w:color="auto" w:fill="FFFFFF"/>
        </w:rPr>
      </w:pPr>
      <w:r>
        <w:rPr>
          <w:rFonts w:hint="eastAsia" w:ascii="宋体" w:hAnsi="宋体" w:cs="宋体"/>
          <w:color w:val="auto"/>
          <w:sz w:val="24"/>
          <w:szCs w:val="28"/>
        </w:rPr>
        <w:t>202</w:t>
      </w:r>
      <w:r>
        <w:rPr>
          <w:rFonts w:hint="eastAsia" w:ascii="宋体" w:hAnsi="宋体" w:cs="宋体"/>
          <w:color w:val="auto"/>
          <w:sz w:val="24"/>
          <w:szCs w:val="28"/>
          <w:highlight w:val="none"/>
        </w:rPr>
        <w:t>5年</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月</w:t>
      </w:r>
      <w:r>
        <w:rPr>
          <w:rFonts w:hint="eastAsia" w:ascii="宋体" w:hAnsi="宋体" w:cs="宋体"/>
          <w:color w:val="auto"/>
          <w:sz w:val="24"/>
          <w:szCs w:val="28"/>
          <w:highlight w:val="none"/>
          <w:lang w:val="en-US" w:eastAsia="zh-CN"/>
        </w:rPr>
        <w:t>24</w:t>
      </w:r>
      <w:r>
        <w:rPr>
          <w:rFonts w:hint="eastAsia" w:ascii="宋体" w:hAnsi="宋体" w:cs="宋体"/>
          <w:color w:val="auto"/>
          <w:sz w:val="24"/>
          <w:szCs w:val="28"/>
          <w:highlight w:val="none"/>
        </w:rPr>
        <w:t>日</w:t>
      </w:r>
      <w:r>
        <w:rPr>
          <w:rFonts w:hint="eastAsia" w:ascii="宋体" w:hAnsi="宋体" w:cs="宋体"/>
          <w:color w:val="auto"/>
          <w:sz w:val="24"/>
          <w:szCs w:val="28"/>
        </w:rPr>
        <w:t>下午16:00至1</w:t>
      </w:r>
      <w:r>
        <w:rPr>
          <w:rFonts w:hint="eastAsia" w:ascii="宋体" w:hAnsi="宋体" w:cs="宋体"/>
          <w:color w:val="auto"/>
          <w:sz w:val="24"/>
          <w:szCs w:val="28"/>
          <w:lang w:val="en-US" w:eastAsia="zh-CN"/>
        </w:rPr>
        <w:t>7</w:t>
      </w:r>
      <w:r>
        <w:rPr>
          <w:rFonts w:hint="eastAsia" w:ascii="宋体" w:hAnsi="宋体" w:cs="宋体"/>
          <w:color w:val="auto"/>
          <w:sz w:val="24"/>
          <w:szCs w:val="28"/>
        </w:rPr>
        <w:t>:</w:t>
      </w:r>
      <w:r>
        <w:rPr>
          <w:rFonts w:hint="eastAsia" w:ascii="宋体" w:hAnsi="宋体" w:cs="宋体"/>
          <w:color w:val="auto"/>
          <w:sz w:val="24"/>
          <w:szCs w:val="28"/>
          <w:lang w:val="en-US" w:eastAsia="zh-CN"/>
        </w:rPr>
        <w:t>3</w:t>
      </w:r>
      <w:r>
        <w:rPr>
          <w:rFonts w:hint="eastAsia" w:ascii="宋体" w:hAnsi="宋体" w:cs="宋体"/>
          <w:color w:val="auto"/>
          <w:sz w:val="24"/>
          <w:szCs w:val="28"/>
        </w:rPr>
        <w:t>0</w:t>
      </w:r>
      <w:r>
        <w:rPr>
          <w:rFonts w:hint="eastAsia" w:ascii="宋体" w:hAnsi="宋体" w:eastAsia="宋体" w:cs="宋体"/>
          <w:color w:val="auto"/>
          <w:sz w:val="24"/>
          <w:shd w:val="clear" w:color="auto" w:fill="FFFFFF"/>
        </w:rPr>
        <w:t>相思湖校区（南宁市西乡塘区罗文大道8号）</w:t>
      </w:r>
    </w:p>
    <w:p w14:paraId="5588112F">
      <w:pPr>
        <w:spacing w:line="360" w:lineRule="auto"/>
        <w:ind w:firstLine="480" w:firstLineChars="200"/>
        <w:rPr>
          <w:rFonts w:ascii="宋体" w:hAnsi="宋体" w:eastAsia="宋体" w:cs="宋体"/>
          <w:b/>
          <w:bCs/>
          <w:color w:val="auto"/>
          <w:shd w:val="clear" w:color="auto" w:fill="FFFFFF"/>
        </w:rPr>
      </w:pPr>
      <w:r>
        <w:rPr>
          <w:rFonts w:hint="eastAsia" w:ascii="宋体" w:hAnsi="宋体" w:cs="宋体"/>
          <w:color w:val="auto"/>
          <w:sz w:val="24"/>
          <w:szCs w:val="28"/>
        </w:rPr>
        <w:t>现场踏勘联系人：</w:t>
      </w:r>
      <w:r>
        <w:rPr>
          <w:rFonts w:hint="eastAsia" w:ascii="宋体" w:hAnsi="宋体" w:cs="宋体"/>
          <w:color w:val="auto"/>
          <w:sz w:val="24"/>
          <w:szCs w:val="28"/>
          <w:u w:val="single"/>
        </w:rPr>
        <w:t>潘老师</w:t>
      </w:r>
      <w:r>
        <w:rPr>
          <w:rFonts w:hint="eastAsia" w:ascii="宋体" w:hAnsi="宋体" w:cs="宋体"/>
          <w:color w:val="auto"/>
          <w:sz w:val="24"/>
          <w:szCs w:val="28"/>
        </w:rPr>
        <w:t>； 电话：</w:t>
      </w:r>
      <w:r>
        <w:rPr>
          <w:rFonts w:hint="eastAsia" w:ascii="宋体" w:hAnsi="宋体" w:cs="宋体"/>
          <w:color w:val="auto"/>
          <w:sz w:val="24"/>
          <w:szCs w:val="28"/>
          <w:u w:val="single"/>
        </w:rPr>
        <w:t>17607710667</w:t>
      </w:r>
      <w:r>
        <w:rPr>
          <w:rFonts w:hint="eastAsia" w:ascii="宋体" w:hAnsi="宋体" w:cs="宋体"/>
          <w:color w:val="auto"/>
          <w:sz w:val="24"/>
          <w:szCs w:val="28"/>
        </w:rPr>
        <w:t>。</w:t>
      </w:r>
    </w:p>
    <w:p w14:paraId="19AB705E">
      <w:pPr>
        <w:pStyle w:val="9"/>
        <w:widowControl/>
        <w:shd w:val="clear" w:color="auto" w:fill="FFFFFF"/>
        <w:spacing w:before="0" w:beforeAutospacing="0" w:after="0" w:afterAutospacing="0" w:line="360" w:lineRule="auto"/>
        <w:jc w:val="both"/>
        <w:rPr>
          <w:rFonts w:ascii="宋体" w:hAnsi="宋体" w:eastAsia="宋体" w:cs="宋体"/>
          <w:b/>
          <w:bCs/>
          <w:color w:val="auto"/>
          <w:shd w:val="clear" w:color="auto" w:fill="FFFFFF"/>
        </w:rPr>
      </w:pPr>
      <w:r>
        <w:rPr>
          <w:rFonts w:hint="eastAsia" w:ascii="宋体" w:hAnsi="宋体" w:eastAsia="宋体" w:cs="宋体"/>
          <w:b/>
          <w:bCs/>
          <w:color w:val="auto"/>
          <w:shd w:val="clear" w:color="auto" w:fill="FFFFFF"/>
        </w:rPr>
        <w:t>八、投标时间与地点</w:t>
      </w:r>
    </w:p>
    <w:p w14:paraId="4D739CFC">
      <w:pPr>
        <w:pStyle w:val="9"/>
        <w:widowControl/>
        <w:shd w:val="clear" w:color="auto" w:fill="FFFFFF"/>
        <w:spacing w:before="0" w:beforeAutospacing="0" w:after="0" w:afterAutospacing="0" w:line="360" w:lineRule="auto"/>
        <w:ind w:firstLine="480" w:firstLineChars="20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1.</w:t>
      </w:r>
      <w:r>
        <w:rPr>
          <w:rFonts w:hint="eastAsia" w:ascii="宋体" w:hAnsi="宋体" w:eastAsia="宋体" w:cs="宋体"/>
          <w:color w:val="auto"/>
          <w:shd w:val="clear" w:color="auto" w:fill="FFFFFF"/>
        </w:rPr>
        <w:t>投标时间：</w:t>
      </w:r>
      <w:r>
        <w:rPr>
          <w:rFonts w:hint="eastAsia" w:ascii="宋体" w:hAnsi="宋体" w:eastAsia="宋体" w:cs="宋体"/>
          <w:color w:val="auto"/>
          <w:shd w:val="clear" w:color="auto" w:fill="FFFFFF"/>
        </w:rPr>
        <w:t>2025年</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月</w:t>
      </w:r>
      <w:r>
        <w:rPr>
          <w:rFonts w:hint="eastAsia" w:ascii="宋体" w:hAnsi="宋体" w:eastAsia="宋体" w:cs="宋体"/>
          <w:color w:val="auto"/>
          <w:highlight w:val="none"/>
          <w:shd w:val="clear" w:color="auto" w:fill="FFFFFF"/>
          <w:lang w:val="en-US" w:eastAsia="zh-CN"/>
        </w:rPr>
        <w:t>25</w:t>
      </w:r>
      <w:r>
        <w:rPr>
          <w:rFonts w:hint="eastAsia" w:ascii="宋体" w:hAnsi="宋体" w:eastAsia="宋体" w:cs="宋体"/>
          <w:color w:val="auto"/>
          <w:highlight w:val="none"/>
          <w:shd w:val="clear" w:color="auto" w:fill="FFFFFF"/>
        </w:rPr>
        <w:t>日</w:t>
      </w:r>
      <w:r>
        <w:rPr>
          <w:rFonts w:hint="eastAsia" w:ascii="宋体" w:hAnsi="宋体" w:eastAsia="宋体" w:cs="宋体"/>
          <w:color w:val="auto"/>
          <w:shd w:val="clear" w:color="auto" w:fill="FFFFFF"/>
        </w:rPr>
        <w:t>上午9:00至11:00之间</w:t>
      </w:r>
      <w:r>
        <w:rPr>
          <w:rFonts w:hint="eastAsia" w:ascii="宋体" w:hAnsi="宋体" w:eastAsia="宋体" w:cs="宋体"/>
          <w:color w:val="auto"/>
          <w:shd w:val="clear" w:color="auto" w:fill="FFFFFF"/>
        </w:rPr>
        <w:t>，其他时间不接收投标材料，在规定时间内未投标者视为自动弃权。</w:t>
      </w:r>
    </w:p>
    <w:p w14:paraId="5451E92E">
      <w:pPr>
        <w:pStyle w:val="9"/>
        <w:widowControl/>
        <w:shd w:val="clear" w:color="auto" w:fill="FFFFFF"/>
        <w:spacing w:before="0" w:beforeAutospacing="0" w:after="0" w:afterAutospacing="0" w:line="360" w:lineRule="auto"/>
        <w:ind w:firstLine="480" w:firstLineChars="200"/>
        <w:jc w:val="both"/>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2.投标地点：南宁市青秀区教育路7号广西艺术学院雕塑楼107室，联系人：高老师，联系电话：0771-5327987。</w:t>
      </w:r>
      <w:r>
        <w:rPr>
          <w:rFonts w:hint="eastAsia" w:ascii="宋体" w:hAnsi="宋体" w:eastAsia="宋体" w:cs="宋体"/>
          <w:color w:val="auto"/>
          <w:shd w:val="clear" w:color="auto" w:fill="FFFFFF"/>
          <w:lang w:val="en-US" w:eastAsia="zh-CN"/>
        </w:rPr>
        <w:t>如有疑问，请将材料（加盖公章）扫描件发送至邮箱：gzb@gxau.edu.cn.</w:t>
      </w:r>
    </w:p>
    <w:p w14:paraId="0BEE54F9">
      <w:pPr>
        <w:pStyle w:val="9"/>
        <w:widowControl/>
        <w:shd w:val="clear" w:color="auto" w:fill="FFFFFF"/>
        <w:spacing w:before="0" w:beforeAutospacing="0" w:after="0" w:afterAutospacing="0" w:line="360" w:lineRule="auto"/>
        <w:jc w:val="both"/>
        <w:rPr>
          <w:rFonts w:asciiTheme="minorEastAsia" w:hAnsiTheme="minorEastAsia" w:cstheme="minorEastAsia"/>
          <w:b/>
          <w:bCs/>
          <w:color w:val="auto"/>
          <w:sz w:val="36"/>
          <w:szCs w:val="36"/>
        </w:rPr>
      </w:pPr>
      <w:r>
        <w:rPr>
          <w:rFonts w:hint="eastAsia" w:ascii="宋体" w:hAnsi="宋体" w:eastAsia="宋体" w:cs="宋体"/>
          <w:b/>
          <w:bCs/>
          <w:color w:val="auto"/>
          <w:shd w:val="clear" w:color="auto" w:fill="FFFFFF"/>
        </w:rPr>
        <w:t>九、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r>
        <w:rPr>
          <w:rFonts w:hint="eastAsia" w:ascii="宋体" w:hAnsi="宋体" w:eastAsia="宋体" w:cs="宋体"/>
          <w:color w:val="auto"/>
          <w:shd w:val="clear" w:color="auto" w:fill="FFFFFF"/>
        </w:rPr>
        <w:t>。</w:t>
      </w:r>
    </w:p>
    <w:p w14:paraId="58F9FAAF">
      <w:pP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br w:type="page"/>
      </w:r>
    </w:p>
    <w:p w14:paraId="59E69D72">
      <w:pPr>
        <w:widowControl/>
        <w:spacing w:line="276" w:lineRule="auto"/>
        <w:jc w:val="center"/>
        <w:rPr>
          <w:rFonts w:asciiTheme="minorEastAsia" w:hAnsiTheme="minorEastAsia" w:cstheme="minorEastAsia"/>
          <w:b/>
          <w:bCs/>
          <w:color w:val="auto"/>
          <w:sz w:val="36"/>
          <w:szCs w:val="36"/>
        </w:rPr>
      </w:pPr>
      <w:r>
        <w:rPr>
          <w:rFonts w:hint="eastAsia" w:asciiTheme="minorEastAsia" w:hAnsiTheme="minorEastAsia" w:cstheme="minorEastAsia"/>
          <w:b/>
          <w:bCs/>
          <w:color w:val="auto"/>
          <w:sz w:val="36"/>
          <w:szCs w:val="36"/>
        </w:rPr>
        <w:t>评分标准</w:t>
      </w:r>
    </w:p>
    <w:p w14:paraId="2E7A79F8">
      <w:pPr>
        <w:widowControl/>
        <w:spacing w:line="276" w:lineRule="auto"/>
        <w:rPr>
          <w:rFonts w:asciiTheme="minorEastAsia" w:hAnsiTheme="minorEastAsia" w:cstheme="minorEastAsia"/>
          <w:b/>
          <w:bCs/>
          <w:color w:val="auto"/>
          <w:sz w:val="24"/>
        </w:rPr>
      </w:pPr>
      <w:r>
        <w:rPr>
          <w:rFonts w:hint="eastAsia" w:asciiTheme="minorEastAsia" w:hAnsiTheme="minorEastAsia" w:cstheme="minorEastAsia"/>
          <w:b/>
          <w:bCs/>
          <w:color w:val="auto"/>
          <w:sz w:val="24"/>
        </w:rPr>
        <w:t>1.评分标准</w:t>
      </w:r>
    </w:p>
    <w:p w14:paraId="15E7C04E">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评委根据采购内容初步评审投标人的投标文件，并逐项列出投标文件的全部投标偏差。</w:t>
      </w:r>
    </w:p>
    <w:p w14:paraId="7370EA0A">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评分应考虑到投标文件与采购文件之间的细微偏差。细微偏差是指投标文件在实质上响应采购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14:paraId="607C42FF">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评委对投标文件的服务及商务响应情况进行评分。评分采用量化方法。</w:t>
      </w:r>
    </w:p>
    <w:p w14:paraId="040D5B70">
      <w:pPr>
        <w:spacing w:line="360" w:lineRule="auto"/>
        <w:rPr>
          <w:rFonts w:asciiTheme="minorEastAsia" w:hAnsiTheme="minorEastAsia" w:cstheme="minorEastAsia"/>
          <w:color w:val="auto"/>
          <w:sz w:val="24"/>
        </w:rPr>
      </w:pPr>
      <w:r>
        <w:rPr>
          <w:rFonts w:hint="eastAsia" w:asciiTheme="minorEastAsia" w:hAnsiTheme="minorEastAsia" w:cstheme="minorEastAsia"/>
          <w:b/>
          <w:bCs/>
          <w:color w:val="auto"/>
          <w:sz w:val="24"/>
        </w:rPr>
        <w:t>2.价格评审</w:t>
      </w:r>
    </w:p>
    <w:p w14:paraId="13F0AF8D">
      <w:pPr>
        <w:numPr>
          <w:ilvl w:val="0"/>
          <w:numId w:val="1"/>
        </w:numPr>
        <w:spacing w:line="360" w:lineRule="auto"/>
        <w:ind w:left="105" w:firstLine="420"/>
        <w:rPr>
          <w:rFonts w:asciiTheme="minorEastAsia" w:hAnsiTheme="minorEastAsia" w:cstheme="minorEastAsia"/>
          <w:color w:val="auto"/>
          <w:sz w:val="24"/>
        </w:rPr>
      </w:pPr>
      <w:r>
        <w:rPr>
          <w:rFonts w:hint="eastAsia" w:asciiTheme="minorEastAsia" w:hAnsiTheme="minorEastAsia" w:cstheme="minorEastAsia"/>
          <w:color w:val="auto"/>
          <w:sz w:val="24"/>
        </w:rPr>
        <w:t>评委详细分析、核准价格表，检查其是否存在计算上或累加上的算术错误，修正错误的原则如下：</w:t>
      </w:r>
    </w:p>
    <w:p w14:paraId="3E285A72">
      <w:pPr>
        <w:tabs>
          <w:tab w:val="left" w:pos="1050"/>
        </w:tabs>
        <w:spacing w:line="360" w:lineRule="auto"/>
        <w:ind w:left="630"/>
        <w:rPr>
          <w:rFonts w:asciiTheme="minorEastAsia" w:hAnsiTheme="minorEastAsia" w:cstheme="minorEastAsia"/>
          <w:color w:val="auto"/>
          <w:sz w:val="24"/>
        </w:rPr>
      </w:pPr>
      <w:r>
        <w:rPr>
          <w:rFonts w:hint="eastAsia" w:asciiTheme="minorEastAsia" w:hAnsiTheme="minorEastAsia" w:cstheme="minorEastAsia"/>
          <w:color w:val="auto"/>
          <w:sz w:val="24"/>
        </w:rPr>
        <w:t>1）投标文件中的大写金额和小写金额不一致的，以大写金额为准；</w:t>
      </w:r>
    </w:p>
    <w:p w14:paraId="7FEFA14F">
      <w:pPr>
        <w:tabs>
          <w:tab w:val="left" w:pos="1050"/>
        </w:tabs>
        <w:spacing w:line="360" w:lineRule="auto"/>
        <w:ind w:left="630"/>
        <w:rPr>
          <w:rFonts w:asciiTheme="minorEastAsia" w:hAnsiTheme="minorEastAsia" w:cstheme="minorEastAsia"/>
          <w:color w:val="auto"/>
          <w:sz w:val="24"/>
        </w:rPr>
      </w:pPr>
      <w:r>
        <w:rPr>
          <w:rFonts w:hint="eastAsia" w:asciiTheme="minorEastAsia" w:hAnsiTheme="minorEastAsia" w:cstheme="minorEastAsia"/>
          <w:color w:val="auto"/>
          <w:sz w:val="24"/>
        </w:rPr>
        <w:t>2）总价金额与单价金额和数量乘积不一致的，以单价金额为准，但单价金额小数点有明显错误的除外；</w:t>
      </w:r>
    </w:p>
    <w:p w14:paraId="763DA4BC">
      <w:pPr>
        <w:tabs>
          <w:tab w:val="left" w:pos="1050"/>
        </w:tabs>
        <w:spacing w:line="360" w:lineRule="auto"/>
        <w:ind w:left="630"/>
        <w:rPr>
          <w:rFonts w:asciiTheme="minorEastAsia" w:hAnsiTheme="minorEastAsia" w:cstheme="minorEastAsia"/>
          <w:color w:val="auto"/>
          <w:sz w:val="24"/>
        </w:rPr>
      </w:pPr>
      <w:r>
        <w:rPr>
          <w:rFonts w:hint="eastAsia" w:asciiTheme="minorEastAsia" w:hAnsiTheme="minorEastAsia" w:cstheme="minorEastAsia"/>
          <w:color w:val="auto"/>
          <w:sz w:val="24"/>
        </w:rPr>
        <w:t>3）对不同文字文本投标文件的解释发生异议的，以中文文本为准；</w:t>
      </w:r>
    </w:p>
    <w:p w14:paraId="4AF532F8">
      <w:pPr>
        <w:numPr>
          <w:ilvl w:val="0"/>
          <w:numId w:val="1"/>
        </w:numPr>
        <w:spacing w:line="360" w:lineRule="auto"/>
        <w:ind w:left="105" w:firstLine="420"/>
        <w:rPr>
          <w:rFonts w:asciiTheme="minorEastAsia" w:hAnsiTheme="minorEastAsia" w:cstheme="minorEastAsia"/>
          <w:color w:val="auto"/>
          <w:sz w:val="24"/>
        </w:rPr>
      </w:pPr>
      <w:r>
        <w:rPr>
          <w:rFonts w:hint="eastAsia" w:asciiTheme="minorEastAsia" w:hAnsiTheme="minorEastAsia" w:cstheme="minorEastAsia"/>
          <w:color w:val="auto"/>
          <w:sz w:val="24"/>
        </w:rPr>
        <w:t>评委将按照上述修正错误的方法调整投标文件中投标报价，调整后的价格对投标人具有约束力。如果投标人不接受修正后的投标价格，则其投标将被拒绝。</w:t>
      </w:r>
    </w:p>
    <w:p w14:paraId="28C2917E">
      <w:pPr>
        <w:numPr>
          <w:ilvl w:val="0"/>
          <w:numId w:val="1"/>
        </w:numPr>
        <w:spacing w:line="360" w:lineRule="auto"/>
        <w:ind w:left="105" w:firstLine="420"/>
        <w:rPr>
          <w:rFonts w:asciiTheme="minorEastAsia" w:hAnsiTheme="minorEastAsia" w:cstheme="minorEastAsia"/>
          <w:color w:val="auto"/>
          <w:sz w:val="24"/>
        </w:rPr>
      </w:pPr>
      <w:r>
        <w:rPr>
          <w:rFonts w:hint="eastAsia" w:asciiTheme="minorEastAsia" w:hAnsiTheme="minorEastAsia" w:cstheme="minorEastAsia"/>
          <w:color w:val="auto"/>
          <w:sz w:val="24"/>
        </w:rPr>
        <w:t>标准价格评分：取经过修正后的所有投标人的最低投标价作为基准价格。</w:t>
      </w:r>
    </w:p>
    <w:p w14:paraId="04EFD029">
      <w:pPr>
        <w:spacing w:line="360" w:lineRule="auto"/>
        <w:ind w:firstLine="480" w:firstLineChars="200"/>
        <w:jc w:val="left"/>
        <w:rPr>
          <w:rFonts w:asciiTheme="minorEastAsia" w:hAnsiTheme="minorEastAsia" w:cstheme="minorEastAsia"/>
          <w:color w:val="auto"/>
          <w:sz w:val="24"/>
        </w:rPr>
      </w:pPr>
      <w:r>
        <w:rPr>
          <w:rFonts w:hint="eastAsia" w:asciiTheme="minorEastAsia" w:hAnsiTheme="minorEastAsia" w:cstheme="minorEastAsia"/>
          <w:color w:val="auto"/>
          <w:sz w:val="24"/>
        </w:rPr>
        <w:t>计算公式（四舍五入保留两位小数）：</w:t>
      </w:r>
    </w:p>
    <w:p w14:paraId="4D071A1B">
      <w:pPr>
        <w:spacing w:line="360" w:lineRule="auto"/>
        <w:ind w:firstLine="480" w:firstLineChars="200"/>
        <w:jc w:val="left"/>
        <w:rPr>
          <w:rFonts w:asciiTheme="minorEastAsia" w:hAnsiTheme="minorEastAsia" w:cstheme="minorEastAsia"/>
          <w:color w:val="auto"/>
          <w:sz w:val="24"/>
        </w:rPr>
      </w:pPr>
      <w:r>
        <w:rPr>
          <w:rFonts w:hint="eastAsia" w:asciiTheme="minorEastAsia" w:hAnsiTheme="minorEastAsia" w:cstheme="minorEastAsia"/>
          <w:color w:val="auto"/>
          <w:sz w:val="24"/>
        </w:rPr>
        <w:t>价格评分=[基准价格÷经修正的投标报价]×100</w:t>
      </w:r>
    </w:p>
    <w:p w14:paraId="0E8BC96C">
      <w:pPr>
        <w:widowControl/>
        <w:spacing w:line="276"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价格得分=价格评分×价格部分权重</w:t>
      </w:r>
    </w:p>
    <w:p w14:paraId="6D38662B">
      <w:pPr>
        <w:spacing w:line="360" w:lineRule="auto"/>
        <w:jc w:val="left"/>
        <w:rPr>
          <w:rFonts w:asciiTheme="minorEastAsia" w:hAnsiTheme="minorEastAsia" w:cstheme="minorEastAsia"/>
          <w:color w:val="auto"/>
          <w:sz w:val="24"/>
        </w:rPr>
      </w:pPr>
      <w:r>
        <w:rPr>
          <w:rFonts w:hint="eastAsia" w:asciiTheme="minorEastAsia" w:hAnsiTheme="minorEastAsia" w:cstheme="minorEastAsia"/>
          <w:b/>
          <w:bCs/>
          <w:color w:val="auto"/>
          <w:sz w:val="24"/>
        </w:rPr>
        <w:t>3.权重分配</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2288"/>
        <w:gridCol w:w="2288"/>
        <w:gridCol w:w="2288"/>
      </w:tblGrid>
      <w:tr w14:paraId="6B5FD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7" w:type="dxa"/>
            <w:tcBorders>
              <w:top w:val="single" w:color="auto" w:sz="4" w:space="0"/>
              <w:left w:val="single" w:color="auto" w:sz="4" w:space="0"/>
              <w:bottom w:val="single" w:color="auto" w:sz="4" w:space="0"/>
              <w:right w:val="single" w:color="auto" w:sz="4" w:space="0"/>
            </w:tcBorders>
            <w:vAlign w:val="center"/>
          </w:tcPr>
          <w:p w14:paraId="2EAB226A">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评分项目</w:t>
            </w:r>
          </w:p>
        </w:tc>
        <w:tc>
          <w:tcPr>
            <w:tcW w:w="2288" w:type="dxa"/>
            <w:tcBorders>
              <w:top w:val="single" w:color="auto" w:sz="4" w:space="0"/>
              <w:left w:val="single" w:color="auto" w:sz="4" w:space="0"/>
              <w:bottom w:val="single" w:color="auto" w:sz="4" w:space="0"/>
              <w:right w:val="single" w:color="auto" w:sz="4" w:space="0"/>
            </w:tcBorders>
            <w:vAlign w:val="center"/>
          </w:tcPr>
          <w:p w14:paraId="1C7061CC">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服务部分</w:t>
            </w:r>
          </w:p>
        </w:tc>
        <w:tc>
          <w:tcPr>
            <w:tcW w:w="2288" w:type="dxa"/>
            <w:tcBorders>
              <w:top w:val="single" w:color="auto" w:sz="4" w:space="0"/>
              <w:left w:val="single" w:color="auto" w:sz="4" w:space="0"/>
              <w:bottom w:val="single" w:color="auto" w:sz="4" w:space="0"/>
              <w:right w:val="single" w:color="auto" w:sz="4" w:space="0"/>
            </w:tcBorders>
            <w:vAlign w:val="center"/>
          </w:tcPr>
          <w:p w14:paraId="402CF6C6">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商务部分</w:t>
            </w:r>
          </w:p>
        </w:tc>
        <w:tc>
          <w:tcPr>
            <w:tcW w:w="2288" w:type="dxa"/>
            <w:tcBorders>
              <w:top w:val="single" w:color="auto" w:sz="4" w:space="0"/>
              <w:left w:val="single" w:color="auto" w:sz="4" w:space="0"/>
              <w:bottom w:val="single" w:color="auto" w:sz="4" w:space="0"/>
              <w:right w:val="single" w:color="auto" w:sz="4" w:space="0"/>
            </w:tcBorders>
            <w:vAlign w:val="center"/>
          </w:tcPr>
          <w:p w14:paraId="36A38381">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价格部分</w:t>
            </w:r>
          </w:p>
        </w:tc>
      </w:tr>
      <w:tr w14:paraId="4C2B5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87" w:type="dxa"/>
            <w:tcBorders>
              <w:top w:val="single" w:color="auto" w:sz="4" w:space="0"/>
              <w:left w:val="single" w:color="auto" w:sz="4" w:space="0"/>
              <w:bottom w:val="single" w:color="auto" w:sz="4" w:space="0"/>
              <w:right w:val="single" w:color="auto" w:sz="4" w:space="0"/>
            </w:tcBorders>
            <w:vAlign w:val="center"/>
          </w:tcPr>
          <w:p w14:paraId="35C8C8A1">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权重</w:t>
            </w:r>
          </w:p>
        </w:tc>
        <w:tc>
          <w:tcPr>
            <w:tcW w:w="2288" w:type="dxa"/>
            <w:tcBorders>
              <w:top w:val="single" w:color="auto" w:sz="4" w:space="0"/>
              <w:left w:val="single" w:color="auto" w:sz="4" w:space="0"/>
              <w:bottom w:val="single" w:color="auto" w:sz="4" w:space="0"/>
              <w:right w:val="single" w:color="auto" w:sz="4" w:space="0"/>
            </w:tcBorders>
            <w:vAlign w:val="center"/>
          </w:tcPr>
          <w:p w14:paraId="62EBD706">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60%</w:t>
            </w:r>
          </w:p>
        </w:tc>
        <w:tc>
          <w:tcPr>
            <w:tcW w:w="2288" w:type="dxa"/>
            <w:tcBorders>
              <w:top w:val="single" w:color="auto" w:sz="4" w:space="0"/>
              <w:left w:val="single" w:color="auto" w:sz="4" w:space="0"/>
              <w:bottom w:val="single" w:color="auto" w:sz="4" w:space="0"/>
              <w:right w:val="single" w:color="auto" w:sz="4" w:space="0"/>
            </w:tcBorders>
            <w:vAlign w:val="center"/>
          </w:tcPr>
          <w:p w14:paraId="747E9B20">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10%</w:t>
            </w:r>
          </w:p>
        </w:tc>
        <w:tc>
          <w:tcPr>
            <w:tcW w:w="2288" w:type="dxa"/>
            <w:tcBorders>
              <w:top w:val="single" w:color="auto" w:sz="4" w:space="0"/>
              <w:left w:val="single" w:color="auto" w:sz="4" w:space="0"/>
              <w:bottom w:val="single" w:color="auto" w:sz="4" w:space="0"/>
              <w:right w:val="single" w:color="auto" w:sz="4" w:space="0"/>
            </w:tcBorders>
            <w:vAlign w:val="center"/>
          </w:tcPr>
          <w:p w14:paraId="5C84AB51">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30%</w:t>
            </w:r>
          </w:p>
        </w:tc>
      </w:tr>
    </w:tbl>
    <w:p w14:paraId="6AD96609">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综合得分=服务得分+商务得分+价格得分。</w:t>
      </w:r>
    </w:p>
    <w:p w14:paraId="7822B1DB">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评标委员会根据投标人综合得分由高至低排定名次。</w:t>
      </w:r>
      <w:bookmarkStart w:id="0" w:name="_Toc130180937"/>
      <w:bookmarkStart w:id="1" w:name="_Toc130180751"/>
      <w:bookmarkStart w:id="2" w:name="_Toc130697248"/>
      <w:bookmarkStart w:id="3" w:name="_Toc130695656"/>
      <w:bookmarkStart w:id="4" w:name="_Toc266659644"/>
      <w:bookmarkStart w:id="5" w:name="_Toc263153463"/>
      <w:bookmarkStart w:id="6" w:name="_Toc130180856"/>
      <w:bookmarkStart w:id="7" w:name="_Toc287345774"/>
    </w:p>
    <w:bookmarkEnd w:id="0"/>
    <w:bookmarkEnd w:id="1"/>
    <w:bookmarkEnd w:id="2"/>
    <w:bookmarkEnd w:id="3"/>
    <w:bookmarkEnd w:id="4"/>
    <w:bookmarkEnd w:id="5"/>
    <w:bookmarkEnd w:id="6"/>
    <w:bookmarkEnd w:id="7"/>
    <w:p w14:paraId="635DDCFE">
      <w:pPr>
        <w:spacing w:line="360" w:lineRule="auto"/>
        <w:rPr>
          <w:rFonts w:asciiTheme="minorEastAsia" w:hAnsiTheme="minorEastAsia" w:cstheme="minorEastAsia"/>
          <w:b/>
          <w:bCs/>
          <w:color w:val="auto"/>
          <w:sz w:val="24"/>
        </w:rPr>
      </w:pPr>
      <w:r>
        <w:rPr>
          <w:rFonts w:hint="eastAsia" w:asciiTheme="minorEastAsia" w:hAnsiTheme="minorEastAsia" w:cstheme="minorEastAsia"/>
          <w:b/>
          <w:bCs/>
          <w:color w:val="auto"/>
          <w:sz w:val="24"/>
        </w:rPr>
        <w:t>3.实地考察</w:t>
      </w:r>
    </w:p>
    <w:p w14:paraId="7A982198">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学校对最终入围前三名投标公司同类业务运营中的服务对象站点现场进行考核（由投标人提供与我校目前人数相当或者运营面积相当的经营点进行考察）。具体如下：</w:t>
      </w:r>
    </w:p>
    <w:p w14:paraId="3BBD0B3D">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1）取件点管理是否规范，是否有明确的快递出入记录。</w:t>
      </w:r>
    </w:p>
    <w:p w14:paraId="1575DAB5">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2）办公场所，办公环境是否整洁、有序，能否满足日常办公需求；查询拟投入人员是否在公司任职。</w:t>
      </w:r>
    </w:p>
    <w:p w14:paraId="12C62EB5">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3）服务对象的意见反馈，服务是否到位，投诉处理是否到位，服务对象满意度等。</w:t>
      </w:r>
    </w:p>
    <w:p w14:paraId="51D92829">
      <w:pPr>
        <w:spacing w:line="360" w:lineRule="auto"/>
        <w:ind w:firstLine="480" w:firstLineChars="200"/>
        <w:rPr>
          <w:rFonts w:asciiTheme="minorEastAsia" w:hAnsiTheme="minorEastAsia" w:cstheme="minorEastAsia"/>
          <w:color w:val="auto"/>
          <w:sz w:val="24"/>
        </w:rPr>
      </w:pPr>
    </w:p>
    <w:p w14:paraId="5B6F18E7">
      <w:pPr>
        <w:pStyle w:val="9"/>
        <w:widowControl/>
        <w:shd w:val="clear" w:color="auto" w:fill="FFFFFF"/>
        <w:spacing w:before="0" w:beforeAutospacing="0" w:after="0" w:afterAutospacing="0" w:line="360" w:lineRule="auto"/>
        <w:ind w:firstLine="480" w:firstLineChars="200"/>
        <w:jc w:val="both"/>
        <w:rPr>
          <w:rFonts w:asciiTheme="minorEastAsia" w:hAnsiTheme="minorEastAsia" w:cstheme="minorEastAsia"/>
          <w:color w:val="auto"/>
          <w:kern w:val="2"/>
        </w:rPr>
      </w:pPr>
      <w:r>
        <w:rPr>
          <w:rFonts w:hint="eastAsia" w:asciiTheme="minorEastAsia" w:hAnsiTheme="minorEastAsia" w:cstheme="minorEastAsia"/>
          <w:color w:val="auto"/>
          <w:kern w:val="2"/>
        </w:rPr>
        <w:t>以综合得分和实地考察结果最终确定本项目成交人。综合评分满分为100分，实地考察满分为100分，最终结果以综合得分（占比80%）和实地考察结果（占比20%）确定快递服务供应商，即投标人总分=综合得分*80%</w:t>
      </w:r>
      <w:r>
        <w:rPr>
          <w:rFonts w:hint="eastAsia" w:ascii="Segoe UI Symbol" w:hAnsi="Segoe UI Symbol" w:cs="Segoe UI Symbol"/>
          <w:color w:val="auto"/>
          <w:kern w:val="2"/>
        </w:rPr>
        <w:t>+</w:t>
      </w:r>
      <w:r>
        <w:rPr>
          <w:rFonts w:hint="eastAsia" w:ascii="宋体" w:hAnsi="宋体" w:eastAsia="宋体" w:cs="宋体"/>
          <w:color w:val="auto"/>
          <w:kern w:val="2"/>
        </w:rPr>
        <w:t>实地考察结果</w:t>
      </w:r>
      <w:r>
        <w:rPr>
          <w:rFonts w:hint="eastAsia" w:asciiTheme="minorEastAsia" w:hAnsiTheme="minorEastAsia" w:cstheme="minorEastAsia"/>
          <w:color w:val="auto"/>
          <w:kern w:val="2"/>
        </w:rPr>
        <w:t>*20%。</w:t>
      </w:r>
      <w:r>
        <w:rPr>
          <w:rFonts w:hint="eastAsia" w:asciiTheme="minorEastAsia" w:hAnsiTheme="minorEastAsia" w:eastAsiaTheme="minorEastAsia" w:cstheme="minorEastAsia"/>
          <w:i w:val="0"/>
          <w:iCs w:val="0"/>
          <w:caps w:val="0"/>
          <w:color w:val="auto"/>
          <w:spacing w:val="0"/>
          <w:kern w:val="2"/>
          <w:sz w:val="24"/>
          <w:szCs w:val="24"/>
          <w:shd w:val="clear"/>
        </w:rPr>
        <w:t>总分最高的投标人为本项目成交人。总分相同的以综合得分最高的为本项目成交人；总分、综合得分、实地考察得分均相同的，从相同总分的投标人中随机抽取一家作为本项目成交人。</w:t>
      </w:r>
    </w:p>
    <w:p w14:paraId="589FC33B">
      <w:pPr>
        <w:spacing w:line="360" w:lineRule="auto"/>
        <w:jc w:val="left"/>
        <w:rPr>
          <w:rFonts w:cs="Times New Roman"/>
          <w:color w:val="auto"/>
          <w:kern w:val="0"/>
          <w:sz w:val="24"/>
        </w:rPr>
      </w:pPr>
      <w:r>
        <w:rPr>
          <w:rFonts w:hint="eastAsia" w:cs="Times New Roman"/>
          <w:color w:val="auto"/>
          <w:kern w:val="0"/>
          <w:sz w:val="24"/>
        </w:rPr>
        <w:t>（详见实地考察评分表）</w:t>
      </w:r>
    </w:p>
    <w:p w14:paraId="4C3EBCEC">
      <w:pPr>
        <w:spacing w:line="360" w:lineRule="auto"/>
        <w:ind w:firstLine="480" w:firstLineChars="200"/>
        <w:jc w:val="left"/>
        <w:rPr>
          <w:rFonts w:asciiTheme="minorEastAsia" w:hAnsiTheme="minorEastAsia" w:cstheme="minorEastAsia"/>
          <w:color w:val="auto"/>
          <w:sz w:val="24"/>
        </w:rPr>
      </w:pPr>
    </w:p>
    <w:p w14:paraId="39D13895">
      <w:pPr>
        <w:spacing w:line="360" w:lineRule="auto"/>
        <w:ind w:firstLine="480" w:firstLineChars="200"/>
        <w:jc w:val="left"/>
        <w:rPr>
          <w:rFonts w:asciiTheme="minorEastAsia" w:hAnsiTheme="minorEastAsia" w:cstheme="minorEastAsia"/>
          <w:color w:val="auto"/>
          <w:sz w:val="24"/>
        </w:rPr>
      </w:pPr>
    </w:p>
    <w:p w14:paraId="7F45F423">
      <w:pPr>
        <w:spacing w:line="360" w:lineRule="auto"/>
        <w:ind w:firstLine="480" w:firstLineChars="200"/>
        <w:jc w:val="left"/>
        <w:rPr>
          <w:rFonts w:asciiTheme="minorEastAsia" w:hAnsiTheme="minorEastAsia" w:cstheme="minorEastAsia"/>
          <w:color w:val="auto"/>
          <w:sz w:val="24"/>
        </w:rPr>
      </w:pPr>
    </w:p>
    <w:p w14:paraId="698B9235">
      <w:pPr>
        <w:spacing w:line="360" w:lineRule="auto"/>
        <w:ind w:firstLine="480" w:firstLineChars="200"/>
        <w:jc w:val="left"/>
        <w:rPr>
          <w:rFonts w:asciiTheme="minorEastAsia" w:hAnsiTheme="minorEastAsia" w:cstheme="minorEastAsia"/>
          <w:color w:val="auto"/>
          <w:sz w:val="24"/>
        </w:rPr>
      </w:pPr>
      <w:r>
        <w:rPr>
          <w:rFonts w:hint="eastAsia" w:asciiTheme="minorEastAsia" w:hAnsiTheme="minorEastAsia" w:cstheme="minorEastAsia"/>
          <w:color w:val="auto"/>
          <w:sz w:val="24"/>
        </w:rPr>
        <w:t>本评标文件包括以下评标过程中所需文件附表：</w:t>
      </w:r>
    </w:p>
    <w:p w14:paraId="45F3A2F3">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 xml:space="preserve">附表一   </w:t>
      </w:r>
      <w:r>
        <w:rPr>
          <w:color w:val="auto"/>
        </w:rPr>
        <w:fldChar w:fldCharType="begin"/>
      </w:r>
      <w:r>
        <w:rPr>
          <w:color w:val="auto"/>
        </w:rPr>
        <w:instrText xml:space="preserve"> HYPERLINK \l "附表2" </w:instrText>
      </w:r>
      <w:r>
        <w:rPr>
          <w:color w:val="auto"/>
        </w:rPr>
        <w:fldChar w:fldCharType="separate"/>
      </w:r>
      <w:r>
        <w:rPr>
          <w:rStyle w:val="16"/>
          <w:rFonts w:hint="eastAsia" w:asciiTheme="minorEastAsia" w:hAnsiTheme="minorEastAsia" w:cstheme="minorEastAsia"/>
          <w:color w:val="auto"/>
          <w:sz w:val="24"/>
          <w:u w:val="none"/>
        </w:rPr>
        <w:t>服务评分表</w:t>
      </w:r>
      <w:r>
        <w:rPr>
          <w:rStyle w:val="16"/>
          <w:rFonts w:hint="eastAsia" w:asciiTheme="minorEastAsia" w:hAnsiTheme="minorEastAsia" w:cstheme="minorEastAsia"/>
          <w:color w:val="auto"/>
          <w:sz w:val="24"/>
          <w:u w:val="none"/>
        </w:rPr>
        <w:fldChar w:fldCharType="end"/>
      </w:r>
    </w:p>
    <w:p w14:paraId="26A6F1AF">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 xml:space="preserve">附表二   </w:t>
      </w:r>
      <w:r>
        <w:rPr>
          <w:color w:val="auto"/>
        </w:rPr>
        <w:fldChar w:fldCharType="begin"/>
      </w:r>
      <w:r>
        <w:rPr>
          <w:color w:val="auto"/>
        </w:rPr>
        <w:instrText xml:space="preserve"> HYPERLINK \l "附表3" </w:instrText>
      </w:r>
      <w:r>
        <w:rPr>
          <w:color w:val="auto"/>
        </w:rPr>
        <w:fldChar w:fldCharType="separate"/>
      </w:r>
      <w:r>
        <w:rPr>
          <w:rStyle w:val="16"/>
          <w:rFonts w:hint="eastAsia" w:asciiTheme="minorEastAsia" w:hAnsiTheme="minorEastAsia" w:cstheme="minorEastAsia"/>
          <w:color w:val="auto"/>
          <w:sz w:val="24"/>
          <w:u w:val="none"/>
        </w:rPr>
        <w:t>商务评分表</w:t>
      </w:r>
      <w:r>
        <w:rPr>
          <w:rStyle w:val="16"/>
          <w:rFonts w:hint="eastAsia" w:asciiTheme="minorEastAsia" w:hAnsiTheme="minorEastAsia" w:cstheme="minorEastAsia"/>
          <w:color w:val="auto"/>
          <w:sz w:val="24"/>
          <w:u w:val="none"/>
        </w:rPr>
        <w:fldChar w:fldCharType="end"/>
      </w:r>
    </w:p>
    <w:p w14:paraId="0632818E">
      <w:pPr>
        <w:spacing w:line="360" w:lineRule="auto"/>
        <w:ind w:firstLine="480" w:firstLineChars="200"/>
        <w:rPr>
          <w:rStyle w:val="16"/>
          <w:rFonts w:asciiTheme="minorEastAsia" w:hAnsiTheme="minorEastAsia" w:cstheme="minorEastAsia"/>
          <w:color w:val="auto"/>
          <w:sz w:val="24"/>
          <w:u w:val="none"/>
        </w:rPr>
      </w:pPr>
      <w:r>
        <w:rPr>
          <w:rFonts w:hint="eastAsia" w:asciiTheme="minorEastAsia" w:hAnsiTheme="minorEastAsia" w:cstheme="minorEastAsia"/>
          <w:color w:val="auto"/>
          <w:sz w:val="24"/>
        </w:rPr>
        <w:t xml:space="preserve">附表三   </w:t>
      </w:r>
      <w:r>
        <w:rPr>
          <w:rStyle w:val="16"/>
          <w:rFonts w:hint="eastAsia" w:asciiTheme="minorEastAsia" w:hAnsiTheme="minorEastAsia" w:cstheme="minorEastAsia"/>
          <w:color w:val="auto"/>
          <w:sz w:val="24"/>
          <w:u w:val="none"/>
        </w:rPr>
        <w:t>价格评分表</w:t>
      </w:r>
    </w:p>
    <w:p w14:paraId="02CD6ACD">
      <w:pPr>
        <w:spacing w:line="360" w:lineRule="auto"/>
        <w:ind w:firstLine="480" w:firstLineChars="200"/>
        <w:rPr>
          <w:rStyle w:val="16"/>
          <w:rFonts w:asciiTheme="minorEastAsia" w:hAnsiTheme="minorEastAsia" w:cstheme="minorEastAsia"/>
          <w:color w:val="auto"/>
          <w:sz w:val="24"/>
          <w:u w:val="none"/>
        </w:rPr>
      </w:pPr>
      <w:r>
        <w:rPr>
          <w:rFonts w:asciiTheme="minorEastAsia" w:hAnsiTheme="minorEastAsia" w:cstheme="minorEastAsia"/>
          <w:color w:val="auto"/>
          <w:sz w:val="24"/>
        </w:rPr>
        <w:t>附表四</w:t>
      </w:r>
      <w:r>
        <w:rPr>
          <w:rFonts w:hint="eastAsia" w:asciiTheme="minorEastAsia" w:hAnsiTheme="minorEastAsia" w:cstheme="minorEastAsia"/>
          <w:color w:val="auto"/>
          <w:sz w:val="24"/>
        </w:rPr>
        <w:t xml:space="preserve">   </w:t>
      </w:r>
      <w:r>
        <w:rPr>
          <w:rStyle w:val="16"/>
          <w:rFonts w:hint="eastAsia" w:asciiTheme="minorEastAsia" w:hAnsiTheme="minorEastAsia" w:cstheme="minorEastAsia"/>
          <w:color w:val="auto"/>
          <w:sz w:val="24"/>
          <w:u w:val="none"/>
        </w:rPr>
        <w:t>实地考察评分表</w:t>
      </w:r>
    </w:p>
    <w:p w14:paraId="56FD3D39">
      <w:pPr>
        <w:rPr>
          <w:rStyle w:val="16"/>
          <w:rFonts w:ascii="宋体" w:hAnsi="宋体"/>
          <w:color w:val="auto"/>
          <w:sz w:val="24"/>
        </w:rPr>
      </w:pPr>
    </w:p>
    <w:p w14:paraId="753F18B3">
      <w:pPr>
        <w:pStyle w:val="12"/>
        <w:ind w:firstLine="480"/>
        <w:rPr>
          <w:rStyle w:val="16"/>
          <w:rFonts w:ascii="宋体" w:hAnsi="宋体"/>
          <w:color w:val="auto"/>
          <w:sz w:val="24"/>
        </w:rPr>
      </w:pPr>
    </w:p>
    <w:p w14:paraId="620668B3">
      <w:pPr>
        <w:pStyle w:val="12"/>
        <w:ind w:firstLine="480"/>
        <w:rPr>
          <w:rStyle w:val="16"/>
          <w:rFonts w:ascii="宋体" w:hAnsi="宋体"/>
          <w:color w:val="auto"/>
          <w:sz w:val="24"/>
        </w:rPr>
      </w:pPr>
    </w:p>
    <w:p w14:paraId="4EF80EEB">
      <w:pPr>
        <w:pStyle w:val="12"/>
        <w:ind w:firstLine="480"/>
        <w:rPr>
          <w:rStyle w:val="16"/>
          <w:rFonts w:ascii="宋体" w:hAnsi="宋体"/>
          <w:color w:val="auto"/>
          <w:sz w:val="24"/>
        </w:rPr>
      </w:pPr>
    </w:p>
    <w:p w14:paraId="64E55AF8">
      <w:pPr>
        <w:pStyle w:val="12"/>
        <w:ind w:firstLine="480"/>
        <w:rPr>
          <w:rStyle w:val="16"/>
          <w:rFonts w:ascii="宋体" w:hAnsi="宋体"/>
          <w:color w:val="auto"/>
          <w:sz w:val="24"/>
        </w:rPr>
      </w:pPr>
    </w:p>
    <w:p w14:paraId="45AB78F1">
      <w:pPr>
        <w:pStyle w:val="12"/>
        <w:ind w:firstLine="480"/>
        <w:rPr>
          <w:rStyle w:val="16"/>
          <w:rFonts w:ascii="宋体" w:hAnsi="宋体"/>
          <w:color w:val="auto"/>
          <w:sz w:val="24"/>
        </w:rPr>
      </w:pPr>
    </w:p>
    <w:p w14:paraId="2155D766">
      <w:pPr>
        <w:rPr>
          <w:color w:val="auto"/>
          <w:sz w:val="24"/>
        </w:rPr>
      </w:pPr>
      <w:r>
        <w:rPr>
          <w:rFonts w:hint="eastAsia"/>
          <w:color w:val="auto"/>
          <w:sz w:val="24"/>
        </w:rPr>
        <w:br w:type="page"/>
      </w:r>
    </w:p>
    <w:p w14:paraId="4175601D">
      <w:pPr>
        <w:pStyle w:val="2"/>
        <w:keepLines w:val="0"/>
        <w:spacing w:before="156" w:beforeLines="50" w:after="0" w:line="360" w:lineRule="auto"/>
        <w:rPr>
          <w:color w:val="auto"/>
          <w:sz w:val="24"/>
        </w:rPr>
      </w:pPr>
      <w:r>
        <w:rPr>
          <w:rFonts w:hint="eastAsia"/>
          <w:color w:val="auto"/>
          <w:sz w:val="24"/>
        </w:rPr>
        <w:t>附表一  服务评分表（60分）</w:t>
      </w:r>
    </w:p>
    <w:p w14:paraId="3450085E">
      <w:pPr>
        <w:rPr>
          <w:rStyle w:val="16"/>
          <w:rFonts w:ascii="宋体" w:hAnsi="宋体"/>
          <w:color w:val="auto"/>
          <w:sz w:val="24"/>
        </w:rPr>
      </w:pPr>
    </w:p>
    <w:tbl>
      <w:tblPr>
        <w:tblStyle w:val="13"/>
        <w:tblW w:w="7980" w:type="dxa"/>
        <w:jc w:val="center"/>
        <w:tblLayout w:type="fixed"/>
        <w:tblCellMar>
          <w:top w:w="0" w:type="dxa"/>
          <w:left w:w="0" w:type="dxa"/>
          <w:bottom w:w="0" w:type="dxa"/>
          <w:right w:w="0" w:type="dxa"/>
        </w:tblCellMar>
      </w:tblPr>
      <w:tblGrid>
        <w:gridCol w:w="1335"/>
        <w:gridCol w:w="5355"/>
        <w:gridCol w:w="1290"/>
      </w:tblGrid>
      <w:tr w14:paraId="4AD906EE">
        <w:tblPrEx>
          <w:tblCellMar>
            <w:top w:w="0" w:type="dxa"/>
            <w:left w:w="0" w:type="dxa"/>
            <w:bottom w:w="0" w:type="dxa"/>
            <w:right w:w="0" w:type="dxa"/>
          </w:tblCellMar>
        </w:tblPrEx>
        <w:trPr>
          <w:trHeight w:val="308"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8CA22">
            <w:pPr>
              <w:spacing w:line="360" w:lineRule="auto"/>
              <w:jc w:val="center"/>
              <w:rPr>
                <w:rFonts w:ascii="宋体" w:hAnsi="宋体" w:eastAsia="宋体" w:cs="宋体"/>
                <w:color w:val="auto"/>
                <w:kern w:val="0"/>
                <w:szCs w:val="21"/>
              </w:rPr>
            </w:pPr>
            <w:r>
              <w:rPr>
                <w:rFonts w:hint="eastAsia" w:ascii="宋体" w:hAnsi="宋体" w:cs="宋体"/>
                <w:color w:val="auto"/>
                <w:szCs w:val="21"/>
              </w:rPr>
              <w:t>评分因素</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FCA4C">
            <w:pPr>
              <w:spacing w:line="360" w:lineRule="auto"/>
              <w:jc w:val="center"/>
              <w:rPr>
                <w:rFonts w:ascii="宋体" w:hAnsi="宋体" w:eastAsia="宋体" w:cs="宋体"/>
                <w:color w:val="auto"/>
                <w:kern w:val="0"/>
                <w:szCs w:val="21"/>
              </w:rPr>
            </w:pPr>
            <w:r>
              <w:rPr>
                <w:rFonts w:hint="eastAsia" w:ascii="宋体" w:hAnsi="宋体" w:cs="宋体"/>
                <w:color w:val="auto"/>
                <w:szCs w:val="21"/>
              </w:rPr>
              <w:t>评审内容</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A0648">
            <w:pPr>
              <w:tabs>
                <w:tab w:val="left" w:pos="0"/>
              </w:tabs>
              <w:spacing w:line="360" w:lineRule="auto"/>
              <w:jc w:val="center"/>
              <w:rPr>
                <w:rFonts w:ascii="宋体" w:hAnsi="宋体" w:eastAsia="宋体" w:cs="宋体"/>
                <w:color w:val="auto"/>
                <w:kern w:val="0"/>
                <w:szCs w:val="21"/>
              </w:rPr>
            </w:pPr>
            <w:r>
              <w:rPr>
                <w:rFonts w:hint="eastAsia" w:ascii="宋体" w:hAnsi="宋体" w:cs="宋体"/>
                <w:color w:val="auto"/>
                <w:szCs w:val="21"/>
              </w:rPr>
              <w:t>分值</w:t>
            </w:r>
          </w:p>
        </w:tc>
      </w:tr>
      <w:tr w14:paraId="3E61E279">
        <w:tblPrEx>
          <w:tblCellMar>
            <w:top w:w="0" w:type="dxa"/>
            <w:left w:w="0" w:type="dxa"/>
            <w:bottom w:w="0" w:type="dxa"/>
            <w:right w:w="0" w:type="dxa"/>
          </w:tblCellMar>
        </w:tblPrEx>
        <w:trPr>
          <w:trHeight w:val="332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B7D0D">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 xml:space="preserve">管理方案   </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8928A">
            <w:pPr>
              <w:widowControl/>
              <w:jc w:val="left"/>
              <w:textAlignment w:val="center"/>
              <w:rPr>
                <w:rFonts w:ascii="宋体" w:hAnsi="宋体" w:cs="宋体"/>
                <w:color w:val="auto"/>
                <w:kern w:val="0"/>
                <w:szCs w:val="21"/>
              </w:rPr>
            </w:pPr>
            <w:r>
              <w:rPr>
                <w:rFonts w:hint="eastAsia" w:ascii="宋体" w:hAnsi="宋体" w:cs="宋体"/>
                <w:color w:val="auto"/>
                <w:kern w:val="0"/>
                <w:szCs w:val="21"/>
              </w:rPr>
              <w:t>针对本项目实际情况及特点提出总体设计建设设想、可持续发展的合作目标、管理架构、运营机制（含激励机制、监督机制、自我约束机制、信息反馈处理机制）、管理规章制度、档案建立等内容。不提供相关内容或方案不得分。</w:t>
            </w:r>
          </w:p>
          <w:p w14:paraId="797D010D">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一档（</w:t>
            </w:r>
            <w:r>
              <w:rPr>
                <w:rFonts w:ascii="宋体" w:hAnsi="宋体" w:cs="宋体"/>
                <w:color w:val="auto"/>
                <w:kern w:val="0"/>
                <w:szCs w:val="21"/>
              </w:rPr>
              <w:t>3</w:t>
            </w:r>
            <w:r>
              <w:rPr>
                <w:rFonts w:hint="eastAsia" w:ascii="宋体" w:hAnsi="宋体" w:eastAsia="宋体" w:cs="宋体"/>
                <w:color w:val="auto"/>
                <w:kern w:val="0"/>
                <w:szCs w:val="21"/>
              </w:rPr>
              <w:t>分）：</w:t>
            </w:r>
            <w:r>
              <w:rPr>
                <w:rFonts w:hint="eastAsia" w:ascii="宋体" w:hAnsi="宋体" w:cs="宋体"/>
                <w:color w:val="auto"/>
                <w:kern w:val="0"/>
                <w:szCs w:val="21"/>
              </w:rPr>
              <w:t>总体方案对本项目需求针对性不强、有欠缺、亮点不多，方案操作性尚可；</w:t>
            </w:r>
          </w:p>
          <w:p w14:paraId="67649C0E">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二档（</w:t>
            </w:r>
            <w:r>
              <w:rPr>
                <w:rFonts w:ascii="宋体" w:hAnsi="宋体" w:cs="宋体"/>
                <w:color w:val="auto"/>
                <w:kern w:val="0"/>
                <w:szCs w:val="21"/>
              </w:rPr>
              <w:t>8</w:t>
            </w:r>
            <w:r>
              <w:rPr>
                <w:rFonts w:hint="eastAsia" w:ascii="宋体" w:hAnsi="宋体" w:eastAsia="宋体" w:cs="宋体"/>
                <w:color w:val="auto"/>
                <w:kern w:val="0"/>
                <w:szCs w:val="21"/>
              </w:rPr>
              <w:t>分）：</w:t>
            </w:r>
            <w:r>
              <w:rPr>
                <w:rFonts w:hint="eastAsia" w:ascii="宋体" w:hAnsi="宋体" w:cs="宋体"/>
                <w:color w:val="auto"/>
                <w:kern w:val="0"/>
                <w:szCs w:val="21"/>
              </w:rPr>
              <w:t>总体方案基本适用本项目需求，方案架构基本完整，有针对性，机构设置较为合理，方案可行；</w:t>
            </w:r>
          </w:p>
          <w:p w14:paraId="792B3F57">
            <w:pPr>
              <w:widowControl/>
              <w:jc w:val="left"/>
              <w:textAlignment w:val="center"/>
              <w:rPr>
                <w:color w:val="auto"/>
                <w:szCs w:val="21"/>
              </w:rPr>
            </w:pPr>
            <w:r>
              <w:rPr>
                <w:rFonts w:hint="eastAsia" w:ascii="宋体" w:hAnsi="宋体" w:eastAsia="宋体" w:cs="宋体"/>
                <w:color w:val="auto"/>
                <w:kern w:val="0"/>
                <w:szCs w:val="21"/>
              </w:rPr>
              <w:t>三档（</w:t>
            </w:r>
            <w:r>
              <w:rPr>
                <w:rFonts w:hint="eastAsia" w:ascii="宋体" w:hAnsi="宋体" w:cs="宋体"/>
                <w:color w:val="auto"/>
                <w:kern w:val="0"/>
                <w:szCs w:val="21"/>
              </w:rPr>
              <w:t>15</w:t>
            </w:r>
            <w:r>
              <w:rPr>
                <w:rFonts w:hint="eastAsia" w:ascii="宋体" w:hAnsi="宋体" w:eastAsia="宋体" w:cs="宋体"/>
                <w:color w:val="auto"/>
                <w:kern w:val="0"/>
                <w:szCs w:val="21"/>
              </w:rPr>
              <w:t>分）：</w:t>
            </w:r>
            <w:r>
              <w:rPr>
                <w:rFonts w:hint="eastAsia" w:ascii="宋体" w:hAnsi="宋体" w:cs="宋体"/>
                <w:color w:val="auto"/>
                <w:kern w:val="0"/>
                <w:szCs w:val="21"/>
              </w:rPr>
              <w:t>提供的服务设想符合本项目实际，管理制度及档案建立完整，完全适用本项目需求，有较强针对性，完整详细。科学合理，亮点多，可行性强，能满足可持续发展需要。</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B0CF8">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15分</w:t>
            </w:r>
          </w:p>
        </w:tc>
      </w:tr>
      <w:tr w14:paraId="3CC7DF34">
        <w:tblPrEx>
          <w:tblCellMar>
            <w:top w:w="0" w:type="dxa"/>
            <w:left w:w="0" w:type="dxa"/>
            <w:bottom w:w="0" w:type="dxa"/>
            <w:right w:w="0" w:type="dxa"/>
          </w:tblCellMar>
        </w:tblPrEx>
        <w:trPr>
          <w:trHeight w:val="414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3826F">
            <w:pPr>
              <w:widowControl/>
              <w:jc w:val="center"/>
              <w:textAlignment w:val="center"/>
              <w:rPr>
                <w:rFonts w:ascii="宋体" w:hAnsi="宋体" w:cs="宋体"/>
                <w:color w:val="auto"/>
                <w:kern w:val="0"/>
                <w:szCs w:val="21"/>
              </w:rPr>
            </w:pPr>
            <w:r>
              <w:rPr>
                <w:rFonts w:hint="eastAsia" w:ascii="宋体" w:hAnsi="宋体" w:cs="宋体"/>
                <w:color w:val="auto"/>
                <w:kern w:val="0"/>
                <w:szCs w:val="21"/>
              </w:rPr>
              <w:t>运营管理方案</w:t>
            </w:r>
          </w:p>
          <w:p w14:paraId="54DC6CD6">
            <w:pPr>
              <w:pStyle w:val="12"/>
              <w:ind w:firstLine="0" w:firstLineChars="0"/>
              <w:jc w:val="center"/>
              <w:rPr>
                <w:color w:val="auto"/>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17863">
            <w:pPr>
              <w:widowControl/>
              <w:jc w:val="left"/>
              <w:textAlignment w:val="center"/>
              <w:rPr>
                <w:rFonts w:ascii="宋体" w:hAnsi="宋体" w:eastAsia="宋体" w:cs="宋体"/>
                <w:color w:val="auto"/>
                <w:kern w:val="0"/>
                <w:szCs w:val="21"/>
              </w:rPr>
            </w:pPr>
            <w:r>
              <w:rPr>
                <w:rFonts w:hint="eastAsia" w:ascii="宋体" w:hAnsi="宋体" w:cs="宋体"/>
                <w:color w:val="auto"/>
                <w:kern w:val="0"/>
                <w:szCs w:val="21"/>
              </w:rPr>
              <w:t>供应商应配备相应的人员服务设施，制定完善的运营管理方案，包括：日常快递服务方案、人流高峰期服务方案、相关服务管理制度（以上方案制度包括：在原快递驿站取件的方式外，将原来的邮政收发室业务并入快递服务站点，并根据学校师生需求，适当增加24小时取件柜、定时定点送件上门与定点取件等最少两种模式相结合的取件方式，人员管理制度，安全管理制度，运输车辆管理制度，对快递服务中心快递的收寄、存放、投递的规范操作流程，异常快件[拒付件、拒收件、错发件、无着快件、破损件、损毁件和丢失件等]的处理制度，投诉制度，赔偿制度等运营管理方案）（不提供相关内容或方案不得分）</w:t>
            </w:r>
          </w:p>
          <w:p w14:paraId="7592627A">
            <w:pPr>
              <w:pStyle w:val="12"/>
              <w:ind w:firstLine="0" w:firstLineChars="0"/>
              <w:rPr>
                <w:rFonts w:ascii="宋体" w:hAnsi="宋体" w:cs="宋体"/>
                <w:color w:val="auto"/>
                <w:kern w:val="0"/>
                <w:szCs w:val="21"/>
              </w:rPr>
            </w:pPr>
            <w:r>
              <w:rPr>
                <w:rFonts w:hint="eastAsia" w:ascii="宋体" w:hAnsi="宋体" w:cs="宋体"/>
                <w:color w:val="auto"/>
                <w:kern w:val="0"/>
                <w:szCs w:val="21"/>
              </w:rPr>
              <w:t>一档（</w:t>
            </w:r>
            <w:r>
              <w:rPr>
                <w:rFonts w:ascii="宋体" w:hAnsi="宋体" w:cs="宋体"/>
                <w:color w:val="auto"/>
                <w:kern w:val="0"/>
                <w:szCs w:val="21"/>
              </w:rPr>
              <w:t>3</w:t>
            </w:r>
            <w:r>
              <w:rPr>
                <w:rFonts w:hint="eastAsia" w:ascii="宋体" w:hAnsi="宋体" w:cs="宋体"/>
                <w:color w:val="auto"/>
                <w:kern w:val="0"/>
                <w:szCs w:val="21"/>
              </w:rPr>
              <w:t>分）：运营管理方案较简单，相关制度及运作流程有一定科学性、可操作性；</w:t>
            </w:r>
          </w:p>
          <w:p w14:paraId="68B82F5D">
            <w:pPr>
              <w:pStyle w:val="12"/>
              <w:ind w:firstLine="0" w:firstLineChars="0"/>
              <w:rPr>
                <w:rFonts w:ascii="宋体" w:hAnsi="宋体" w:cs="宋体"/>
                <w:color w:val="auto"/>
                <w:kern w:val="0"/>
                <w:szCs w:val="21"/>
              </w:rPr>
            </w:pPr>
            <w:r>
              <w:rPr>
                <w:rFonts w:hint="eastAsia" w:ascii="宋体" w:hAnsi="宋体" w:cs="宋体"/>
                <w:color w:val="auto"/>
                <w:kern w:val="0"/>
                <w:szCs w:val="21"/>
              </w:rPr>
              <w:t>二档（</w:t>
            </w:r>
            <w:r>
              <w:rPr>
                <w:rFonts w:ascii="宋体" w:hAnsi="宋体" w:cs="宋体"/>
                <w:color w:val="auto"/>
                <w:kern w:val="0"/>
                <w:szCs w:val="21"/>
              </w:rPr>
              <w:t>8</w:t>
            </w:r>
            <w:r>
              <w:rPr>
                <w:rFonts w:hint="eastAsia" w:ascii="宋体" w:hAnsi="宋体" w:cs="宋体"/>
                <w:color w:val="auto"/>
                <w:kern w:val="0"/>
                <w:szCs w:val="21"/>
              </w:rPr>
              <w:t>分）：运营管理方案详细完整，管理制度完善，操作规程明确，运作流程比较科学合理，基本满足采购人实际需求；</w:t>
            </w:r>
          </w:p>
          <w:p w14:paraId="4B940834">
            <w:pPr>
              <w:pStyle w:val="12"/>
              <w:ind w:firstLine="0" w:firstLineChars="0"/>
              <w:rPr>
                <w:rFonts w:ascii="宋体" w:hAnsi="宋体" w:cs="宋体"/>
                <w:color w:val="auto"/>
                <w:kern w:val="0"/>
                <w:szCs w:val="21"/>
              </w:rPr>
            </w:pPr>
            <w:r>
              <w:rPr>
                <w:rFonts w:hint="eastAsia" w:ascii="宋体" w:hAnsi="宋体" w:cs="宋体"/>
                <w:color w:val="auto"/>
                <w:kern w:val="0"/>
                <w:szCs w:val="21"/>
              </w:rPr>
              <w:t>三档（15分）：运营管理方案详细完整，管理制度完善，操作规程清晰，可操作性强，运作流程科学合理，能在满足采购人实际需求基础上，提出优化管理方案。</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2D118">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15分</w:t>
            </w:r>
          </w:p>
        </w:tc>
      </w:tr>
      <w:tr w14:paraId="33E9BDF4">
        <w:tblPrEx>
          <w:tblCellMar>
            <w:top w:w="0" w:type="dxa"/>
            <w:left w:w="0" w:type="dxa"/>
            <w:bottom w:w="0" w:type="dxa"/>
            <w:right w:w="0" w:type="dxa"/>
          </w:tblCellMar>
        </w:tblPrEx>
        <w:trPr>
          <w:trHeight w:val="222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87A5A">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系统智能化管理平台建设</w:t>
            </w: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05E5F">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供应商应根据项目要求建立完善的智慧物流管理系统平台，以实现入库、派件、揽件、盘点、结算、查询、管理等智能化服务</w:t>
            </w:r>
            <w:r>
              <w:rPr>
                <w:rFonts w:hint="eastAsia" w:ascii="宋体" w:hAnsi="宋体" w:cs="宋体"/>
                <w:color w:val="auto"/>
                <w:kern w:val="0"/>
                <w:szCs w:val="21"/>
              </w:rPr>
              <w:t>（不提供相关内容或方案不得分）</w:t>
            </w:r>
          </w:p>
          <w:p w14:paraId="083A20DE">
            <w:pPr>
              <w:pStyle w:val="12"/>
              <w:rPr>
                <w:rFonts w:ascii="宋体" w:hAnsi="宋体" w:eastAsia="宋体" w:cs="宋体"/>
                <w:color w:val="auto"/>
                <w:kern w:val="0"/>
                <w:szCs w:val="21"/>
              </w:rPr>
            </w:pPr>
            <w:r>
              <w:rPr>
                <w:rFonts w:hint="eastAsia" w:ascii="宋体" w:hAnsi="宋体" w:cs="宋体"/>
                <w:color w:val="auto"/>
                <w:kern w:val="0"/>
                <w:szCs w:val="21"/>
              </w:rPr>
              <w:t>一、</w:t>
            </w:r>
            <w:r>
              <w:rPr>
                <w:rFonts w:hint="eastAsia" w:ascii="宋体" w:hAnsi="宋体" w:eastAsia="宋体" w:cs="宋体"/>
                <w:color w:val="auto"/>
                <w:kern w:val="0"/>
                <w:szCs w:val="21"/>
              </w:rPr>
              <w:t>具有支持多家快递公司入库、派件、盘点、管理功能的</w:t>
            </w:r>
            <w:r>
              <w:rPr>
                <w:rFonts w:hint="eastAsia" w:ascii="宋体" w:hAnsi="宋体" w:cs="宋体"/>
                <w:color w:val="auto"/>
                <w:kern w:val="0"/>
                <w:szCs w:val="21"/>
              </w:rPr>
              <w:t>自有品牌</w:t>
            </w:r>
            <w:r>
              <w:rPr>
                <w:rFonts w:hint="eastAsia" w:ascii="宋体" w:hAnsi="宋体" w:eastAsia="宋体" w:cs="宋体"/>
                <w:color w:val="auto"/>
                <w:kern w:val="0"/>
                <w:szCs w:val="21"/>
              </w:rPr>
              <w:t>系统，得</w:t>
            </w:r>
            <w:r>
              <w:rPr>
                <w:rFonts w:ascii="宋体" w:hAnsi="宋体" w:eastAsia="宋体" w:cs="宋体"/>
                <w:color w:val="auto"/>
                <w:kern w:val="0"/>
                <w:szCs w:val="21"/>
              </w:rPr>
              <w:t>2</w:t>
            </w:r>
            <w:r>
              <w:rPr>
                <w:rFonts w:hint="eastAsia" w:ascii="宋体" w:hAnsi="宋体" w:eastAsia="宋体" w:cs="宋体"/>
                <w:color w:val="auto"/>
                <w:kern w:val="0"/>
                <w:szCs w:val="21"/>
              </w:rPr>
              <w:t>分；</w:t>
            </w:r>
          </w:p>
          <w:p w14:paraId="6B49CEE9">
            <w:pPr>
              <w:pStyle w:val="12"/>
              <w:rPr>
                <w:rFonts w:ascii="宋体" w:hAnsi="宋体" w:eastAsia="宋体" w:cs="宋体"/>
                <w:color w:val="auto"/>
                <w:kern w:val="0"/>
                <w:szCs w:val="21"/>
              </w:rPr>
            </w:pPr>
            <w:r>
              <w:rPr>
                <w:rFonts w:hint="eastAsia" w:ascii="宋体" w:hAnsi="宋体" w:cs="宋体"/>
                <w:color w:val="auto"/>
                <w:kern w:val="0"/>
                <w:szCs w:val="21"/>
              </w:rPr>
              <w:t>二、</w:t>
            </w:r>
            <w:r>
              <w:rPr>
                <w:rFonts w:hint="eastAsia" w:ascii="宋体" w:hAnsi="宋体" w:eastAsia="宋体" w:cs="宋体"/>
                <w:color w:val="auto"/>
                <w:kern w:val="0"/>
                <w:szCs w:val="21"/>
              </w:rPr>
              <w:t>具有自助出库设备功能，得</w:t>
            </w:r>
            <w:r>
              <w:rPr>
                <w:rFonts w:ascii="宋体" w:hAnsi="宋体" w:eastAsia="宋体" w:cs="宋体"/>
                <w:color w:val="auto"/>
                <w:kern w:val="0"/>
                <w:szCs w:val="21"/>
              </w:rPr>
              <w:t>1</w:t>
            </w:r>
            <w:r>
              <w:rPr>
                <w:rFonts w:hint="eastAsia" w:ascii="宋体" w:hAnsi="宋体" w:eastAsia="宋体" w:cs="宋体"/>
                <w:color w:val="auto"/>
                <w:kern w:val="0"/>
                <w:szCs w:val="21"/>
              </w:rPr>
              <w:t>分；</w:t>
            </w:r>
          </w:p>
          <w:p w14:paraId="5C333D44">
            <w:pPr>
              <w:pStyle w:val="12"/>
              <w:rPr>
                <w:rFonts w:ascii="宋体" w:hAnsi="宋体" w:eastAsia="宋体" w:cs="宋体"/>
                <w:color w:val="auto"/>
                <w:kern w:val="0"/>
                <w:szCs w:val="21"/>
              </w:rPr>
            </w:pPr>
            <w:r>
              <w:rPr>
                <w:rFonts w:hint="eastAsia" w:ascii="宋体" w:hAnsi="宋体" w:cs="宋体"/>
                <w:color w:val="auto"/>
                <w:kern w:val="0"/>
                <w:szCs w:val="21"/>
              </w:rPr>
              <w:t>三、</w:t>
            </w:r>
            <w:r>
              <w:rPr>
                <w:rFonts w:hint="eastAsia" w:ascii="宋体" w:hAnsi="宋体" w:eastAsia="宋体" w:cs="宋体"/>
                <w:color w:val="auto"/>
                <w:kern w:val="0"/>
                <w:szCs w:val="21"/>
              </w:rPr>
              <w:t>具有PDA货架模式入库功能，得</w:t>
            </w:r>
            <w:r>
              <w:rPr>
                <w:rFonts w:ascii="宋体" w:hAnsi="宋体" w:eastAsia="宋体" w:cs="宋体"/>
                <w:color w:val="auto"/>
                <w:kern w:val="0"/>
                <w:szCs w:val="21"/>
              </w:rPr>
              <w:t>1</w:t>
            </w:r>
            <w:r>
              <w:rPr>
                <w:rFonts w:hint="eastAsia" w:ascii="宋体" w:hAnsi="宋体" w:eastAsia="宋体" w:cs="宋体"/>
                <w:color w:val="auto"/>
                <w:kern w:val="0"/>
                <w:szCs w:val="21"/>
              </w:rPr>
              <w:t>分；</w:t>
            </w:r>
          </w:p>
          <w:p w14:paraId="248B6DA7">
            <w:pPr>
              <w:pStyle w:val="12"/>
              <w:rPr>
                <w:rFonts w:ascii="宋体" w:hAnsi="宋体" w:eastAsia="宋体" w:cs="宋体"/>
                <w:color w:val="auto"/>
                <w:kern w:val="0"/>
                <w:szCs w:val="21"/>
              </w:rPr>
            </w:pPr>
            <w:r>
              <w:rPr>
                <w:rFonts w:hint="eastAsia" w:ascii="宋体" w:hAnsi="宋体" w:cs="宋体"/>
                <w:color w:val="auto"/>
                <w:kern w:val="0"/>
                <w:szCs w:val="21"/>
              </w:rPr>
              <w:t>四、</w:t>
            </w:r>
            <w:r>
              <w:rPr>
                <w:rFonts w:hint="eastAsia" w:ascii="宋体" w:hAnsi="宋体" w:eastAsia="宋体" w:cs="宋体"/>
                <w:color w:val="auto"/>
                <w:kern w:val="0"/>
                <w:szCs w:val="21"/>
              </w:rPr>
              <w:t>具有预约上门取件的功能，得</w:t>
            </w:r>
            <w:r>
              <w:rPr>
                <w:rFonts w:ascii="宋体" w:hAnsi="宋体" w:eastAsia="宋体" w:cs="宋体"/>
                <w:color w:val="auto"/>
                <w:kern w:val="0"/>
                <w:szCs w:val="21"/>
              </w:rPr>
              <w:t>1</w:t>
            </w:r>
            <w:r>
              <w:rPr>
                <w:rFonts w:hint="eastAsia" w:ascii="宋体" w:hAnsi="宋体" w:eastAsia="宋体" w:cs="宋体"/>
                <w:color w:val="auto"/>
                <w:kern w:val="0"/>
                <w:szCs w:val="21"/>
              </w:rPr>
              <w:t>分。</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28EFD">
            <w:pPr>
              <w:pStyle w:val="12"/>
              <w:rPr>
                <w:rFonts w:ascii="宋体" w:hAnsi="宋体" w:cs="宋体"/>
                <w:color w:val="auto"/>
                <w:kern w:val="0"/>
                <w:szCs w:val="21"/>
              </w:rPr>
            </w:pPr>
            <w:r>
              <w:rPr>
                <w:rFonts w:hint="eastAsia" w:ascii="宋体" w:hAnsi="宋体" w:cs="宋体"/>
                <w:color w:val="auto"/>
                <w:kern w:val="0"/>
                <w:szCs w:val="21"/>
              </w:rPr>
              <w:t>5分</w:t>
            </w:r>
          </w:p>
        </w:tc>
      </w:tr>
      <w:tr w14:paraId="6EBB61D6">
        <w:tblPrEx>
          <w:tblCellMar>
            <w:top w:w="0" w:type="dxa"/>
            <w:left w:w="0" w:type="dxa"/>
            <w:bottom w:w="0" w:type="dxa"/>
            <w:right w:w="0" w:type="dxa"/>
          </w:tblCellMar>
        </w:tblPrEx>
        <w:trPr>
          <w:trHeight w:val="194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18D39">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秩序管理</w:t>
            </w:r>
          </w:p>
          <w:p w14:paraId="25D4CC31">
            <w:pPr>
              <w:pStyle w:val="12"/>
              <w:ind w:firstLine="0" w:firstLineChars="0"/>
              <w:jc w:val="center"/>
              <w:rPr>
                <w:rFonts w:ascii="宋体" w:hAnsi="宋体" w:cs="宋体"/>
                <w:color w:val="auto"/>
                <w:kern w:val="0"/>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7F8F9">
            <w:pPr>
              <w:pStyle w:val="12"/>
              <w:ind w:firstLine="0" w:firstLineChars="0"/>
              <w:rPr>
                <w:rFonts w:ascii="宋体" w:hAnsi="宋体" w:cs="宋体"/>
                <w:color w:val="auto"/>
                <w:kern w:val="0"/>
                <w:szCs w:val="21"/>
              </w:rPr>
            </w:pPr>
            <w:r>
              <w:rPr>
                <w:rFonts w:hint="eastAsia" w:ascii="宋体" w:hAnsi="宋体" w:cs="宋体"/>
                <w:color w:val="auto"/>
                <w:kern w:val="0"/>
                <w:szCs w:val="21"/>
              </w:rPr>
              <w:t>秩序管理内容包括但不限于：日常公共秩序维护和车辆管理工作等。</w:t>
            </w:r>
          </w:p>
          <w:p w14:paraId="32EFF713">
            <w:pPr>
              <w:pStyle w:val="12"/>
              <w:ind w:firstLine="0" w:firstLineChars="0"/>
              <w:rPr>
                <w:rFonts w:ascii="宋体" w:hAnsi="宋体" w:cs="宋体"/>
                <w:color w:val="auto"/>
                <w:kern w:val="0"/>
                <w:szCs w:val="21"/>
              </w:rPr>
            </w:pPr>
            <w:r>
              <w:rPr>
                <w:rFonts w:hint="eastAsia" w:ascii="宋体" w:hAnsi="宋体" w:cs="宋体"/>
                <w:color w:val="auto"/>
                <w:kern w:val="0"/>
                <w:szCs w:val="21"/>
              </w:rPr>
              <w:t>一档（1分）：有相应的管理措施，但一般的；</w:t>
            </w:r>
          </w:p>
          <w:p w14:paraId="15BEDAF9">
            <w:pPr>
              <w:pStyle w:val="12"/>
              <w:ind w:firstLine="0" w:firstLineChars="0"/>
              <w:rPr>
                <w:rFonts w:ascii="宋体" w:hAnsi="宋体" w:cs="宋体"/>
                <w:color w:val="auto"/>
                <w:kern w:val="0"/>
                <w:szCs w:val="21"/>
              </w:rPr>
            </w:pPr>
            <w:r>
              <w:rPr>
                <w:rFonts w:hint="eastAsia" w:ascii="宋体" w:hAnsi="宋体" w:cs="宋体"/>
                <w:color w:val="auto"/>
                <w:kern w:val="0"/>
                <w:szCs w:val="21"/>
              </w:rPr>
              <w:t>二档（3分）：内容基本完整、工作流程清晰，管理措施一般，具有操作性；</w:t>
            </w:r>
          </w:p>
          <w:p w14:paraId="18C247EE">
            <w:pPr>
              <w:pStyle w:val="12"/>
              <w:ind w:firstLine="0" w:firstLineChars="0"/>
              <w:rPr>
                <w:rFonts w:ascii="宋体" w:hAnsi="宋体" w:cs="宋体"/>
                <w:color w:val="auto"/>
                <w:kern w:val="0"/>
                <w:szCs w:val="21"/>
              </w:rPr>
            </w:pPr>
            <w:r>
              <w:rPr>
                <w:rFonts w:hint="eastAsia" w:ascii="宋体" w:hAnsi="宋体" w:cs="宋体"/>
                <w:color w:val="auto"/>
                <w:kern w:val="0"/>
                <w:szCs w:val="21"/>
              </w:rPr>
              <w:t>三档（5分）：内容完整、工作流程清晰、管理措施得当，针对性与操作性强。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E9227">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5分</w:t>
            </w:r>
          </w:p>
        </w:tc>
      </w:tr>
      <w:tr w14:paraId="324B3896">
        <w:tblPrEx>
          <w:tblCellMar>
            <w:top w:w="0" w:type="dxa"/>
            <w:left w:w="0" w:type="dxa"/>
            <w:bottom w:w="0" w:type="dxa"/>
            <w:right w:w="0" w:type="dxa"/>
          </w:tblCellMar>
        </w:tblPrEx>
        <w:trPr>
          <w:trHeight w:val="167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F0992">
            <w:pPr>
              <w:widowControl/>
              <w:jc w:val="center"/>
              <w:textAlignment w:val="center"/>
              <w:rPr>
                <w:rFonts w:ascii="宋体" w:hAnsi="宋体" w:cs="宋体"/>
                <w:color w:val="auto"/>
                <w:kern w:val="0"/>
                <w:szCs w:val="21"/>
              </w:rPr>
            </w:pPr>
            <w:r>
              <w:rPr>
                <w:rFonts w:hint="eastAsia" w:ascii="宋体" w:hAnsi="宋体" w:cs="宋体"/>
                <w:color w:val="auto"/>
                <w:kern w:val="0"/>
                <w:szCs w:val="21"/>
              </w:rPr>
              <w:t>快递服务人员培训方案</w:t>
            </w:r>
          </w:p>
          <w:p w14:paraId="490588E9">
            <w:pPr>
              <w:pStyle w:val="12"/>
              <w:ind w:firstLine="0" w:firstLineChars="0"/>
              <w:rPr>
                <w:color w:val="auto"/>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8F67F">
            <w:pPr>
              <w:pStyle w:val="12"/>
              <w:ind w:firstLine="0" w:firstLineChars="0"/>
              <w:rPr>
                <w:rFonts w:ascii="宋体" w:hAnsi="宋体" w:cs="宋体"/>
                <w:color w:val="auto"/>
                <w:kern w:val="0"/>
                <w:szCs w:val="21"/>
              </w:rPr>
            </w:pPr>
            <w:r>
              <w:rPr>
                <w:rFonts w:hint="eastAsia" w:ascii="宋体" w:hAnsi="宋体" w:cs="宋体"/>
                <w:color w:val="auto"/>
                <w:kern w:val="0"/>
                <w:szCs w:val="21"/>
              </w:rPr>
              <w:t>不提供相关内容或方案不得分</w:t>
            </w:r>
          </w:p>
          <w:p w14:paraId="04509E6B">
            <w:pPr>
              <w:pStyle w:val="12"/>
              <w:ind w:firstLine="0" w:firstLineChars="0"/>
              <w:rPr>
                <w:rFonts w:ascii="宋体" w:hAnsi="宋体" w:cs="宋体"/>
                <w:color w:val="auto"/>
                <w:kern w:val="0"/>
                <w:szCs w:val="21"/>
              </w:rPr>
            </w:pPr>
            <w:r>
              <w:rPr>
                <w:rFonts w:hint="eastAsia" w:ascii="宋体" w:hAnsi="宋体" w:cs="宋体"/>
                <w:color w:val="auto"/>
                <w:kern w:val="0"/>
                <w:szCs w:val="21"/>
              </w:rPr>
              <w:t>一档（1分）：方案简单，亮点不多，针对性不强；</w:t>
            </w:r>
          </w:p>
          <w:p w14:paraId="1EFE08F9">
            <w:pPr>
              <w:pStyle w:val="12"/>
              <w:ind w:firstLine="0" w:firstLineChars="0"/>
              <w:rPr>
                <w:rFonts w:ascii="宋体" w:hAnsi="宋体" w:cs="宋体"/>
                <w:color w:val="auto"/>
                <w:kern w:val="0"/>
                <w:szCs w:val="21"/>
              </w:rPr>
            </w:pPr>
            <w:r>
              <w:rPr>
                <w:rFonts w:hint="eastAsia" w:ascii="宋体" w:hAnsi="宋体" w:cs="宋体"/>
                <w:color w:val="auto"/>
                <w:kern w:val="0"/>
                <w:szCs w:val="21"/>
              </w:rPr>
              <w:t>二档（3分）：方案基本完善，较为合理，基本满足本项目服务需求；</w:t>
            </w:r>
          </w:p>
          <w:p w14:paraId="4F795E91">
            <w:pPr>
              <w:pStyle w:val="12"/>
              <w:ind w:firstLine="0" w:firstLineChars="0"/>
              <w:rPr>
                <w:rFonts w:ascii="宋体" w:hAnsi="宋体" w:eastAsia="宋体" w:cs="宋体"/>
                <w:color w:val="auto"/>
                <w:kern w:val="0"/>
                <w:szCs w:val="21"/>
              </w:rPr>
            </w:pPr>
            <w:r>
              <w:rPr>
                <w:rFonts w:hint="eastAsia" w:ascii="宋体" w:hAnsi="宋体" w:cs="宋体"/>
                <w:color w:val="auto"/>
                <w:kern w:val="0"/>
                <w:szCs w:val="21"/>
              </w:rPr>
              <w:t>三档（5分）：方案完整详细，科学合理，针对性强，适合工作实际，特色和亮点多，完全满足本项目服务需求。</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F1AD2">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5分</w:t>
            </w:r>
          </w:p>
        </w:tc>
      </w:tr>
      <w:tr w14:paraId="2E09162B">
        <w:tblPrEx>
          <w:tblCellMar>
            <w:top w:w="0" w:type="dxa"/>
            <w:left w:w="0" w:type="dxa"/>
            <w:bottom w:w="0" w:type="dxa"/>
            <w:right w:w="0" w:type="dxa"/>
          </w:tblCellMar>
        </w:tblPrEx>
        <w:trPr>
          <w:trHeight w:val="3322"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103DB">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安全管理</w:t>
            </w:r>
          </w:p>
          <w:p w14:paraId="693C73A6">
            <w:pPr>
              <w:pStyle w:val="12"/>
              <w:ind w:firstLine="0" w:firstLineChars="0"/>
              <w:jc w:val="center"/>
              <w:rPr>
                <w:rFonts w:ascii="宋体" w:hAnsi="宋体" w:eastAsia="宋体" w:cs="宋体"/>
                <w:color w:val="auto"/>
                <w:kern w:val="0"/>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AF5CD">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供应商必须按照《邮政业安全生产设备配置规范》标准及快递末端服务规范要求，在快递服务区域配置必要的安全、消防等安全生产设备设施，保障快递收寄过程有记录，安全问题能追溯。</w:t>
            </w:r>
            <w:r>
              <w:rPr>
                <w:rFonts w:hint="eastAsia" w:ascii="宋体" w:hAnsi="宋体" w:cs="宋体"/>
                <w:color w:val="auto"/>
                <w:kern w:val="0"/>
                <w:szCs w:val="21"/>
              </w:rPr>
              <w:t>（不提供相关内容或方案不得分）</w:t>
            </w:r>
          </w:p>
          <w:p w14:paraId="5D652AE7">
            <w:pPr>
              <w:pStyle w:val="12"/>
              <w:tabs>
                <w:tab w:val="left" w:pos="312"/>
              </w:tabs>
              <w:ind w:firstLineChars="0"/>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供应商简历有安全管理（包括消防安全、财产安全、人身安全等）制度，有消防应急预案和落实“门前三包”责任承诺等。（</w:t>
            </w:r>
            <w:r>
              <w:rPr>
                <w:rFonts w:hint="eastAsia" w:ascii="宋体" w:hAnsi="宋体" w:cs="宋体"/>
                <w:color w:val="auto"/>
                <w:kern w:val="0"/>
                <w:szCs w:val="21"/>
              </w:rPr>
              <w:t>1</w:t>
            </w:r>
            <w:r>
              <w:rPr>
                <w:rFonts w:hint="eastAsia" w:ascii="宋体" w:hAnsi="宋体" w:eastAsia="宋体" w:cs="宋体"/>
                <w:color w:val="auto"/>
                <w:kern w:val="0"/>
                <w:szCs w:val="21"/>
              </w:rPr>
              <w:t>分）</w:t>
            </w:r>
          </w:p>
          <w:p w14:paraId="6BFE39EA">
            <w:pPr>
              <w:pStyle w:val="12"/>
              <w:tabs>
                <w:tab w:val="left" w:pos="312"/>
              </w:tabs>
              <w:ind w:firstLineChars="0"/>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w:t>
            </w:r>
            <w:r>
              <w:rPr>
                <w:rFonts w:hint="eastAsia" w:ascii="宋体" w:hAnsi="宋体" w:eastAsia="宋体" w:cs="宋体"/>
                <w:color w:val="auto"/>
                <w:kern w:val="0"/>
                <w:szCs w:val="21"/>
              </w:rPr>
              <w:t>供应商对快递综合服务点进出通道设计合理，配备消防设施齐全，配有火警报警装置和灭火器等必备的消防设施。（</w:t>
            </w:r>
            <w:r>
              <w:rPr>
                <w:rFonts w:hint="eastAsia" w:ascii="宋体" w:hAnsi="宋体" w:cs="宋体"/>
                <w:color w:val="auto"/>
                <w:kern w:val="0"/>
                <w:szCs w:val="21"/>
              </w:rPr>
              <w:t>3</w:t>
            </w:r>
            <w:r>
              <w:rPr>
                <w:rFonts w:hint="eastAsia" w:ascii="宋体" w:hAnsi="宋体" w:eastAsia="宋体" w:cs="宋体"/>
                <w:color w:val="auto"/>
                <w:kern w:val="0"/>
                <w:szCs w:val="21"/>
              </w:rPr>
              <w:t>分）</w:t>
            </w:r>
          </w:p>
          <w:p w14:paraId="798807E5">
            <w:pPr>
              <w:pStyle w:val="12"/>
              <w:tabs>
                <w:tab w:val="left" w:pos="312"/>
              </w:tabs>
              <w:ind w:firstLineChars="0"/>
              <w:rPr>
                <w:rFonts w:ascii="宋体" w:hAnsi="宋体" w:eastAsia="宋体" w:cs="宋体"/>
                <w:color w:val="auto"/>
                <w:kern w:val="0"/>
                <w:szCs w:val="21"/>
              </w:rPr>
            </w:pPr>
            <w:r>
              <w:rPr>
                <w:rFonts w:hint="eastAsia" w:ascii="宋体" w:hAnsi="宋体" w:eastAsia="宋体" w:cs="宋体"/>
                <w:color w:val="auto"/>
                <w:kern w:val="0"/>
                <w:szCs w:val="21"/>
              </w:rPr>
              <w:t>3</w:t>
            </w:r>
            <w:r>
              <w:rPr>
                <w:rFonts w:ascii="宋体" w:hAnsi="宋体" w:eastAsia="宋体" w:cs="宋体"/>
                <w:color w:val="auto"/>
                <w:kern w:val="0"/>
                <w:szCs w:val="21"/>
              </w:rPr>
              <w:t>.</w:t>
            </w:r>
            <w:r>
              <w:rPr>
                <w:rFonts w:hint="eastAsia" w:ascii="宋体" w:hAnsi="宋体" w:eastAsia="宋体" w:cs="宋体"/>
                <w:color w:val="auto"/>
                <w:kern w:val="0"/>
                <w:szCs w:val="21"/>
              </w:rPr>
              <w:t>供应商在本项目快递服务区域安装配备有充足的视频监控设施，能满足图像资料保存不少于30天。（</w:t>
            </w:r>
            <w:r>
              <w:rPr>
                <w:rFonts w:hint="eastAsia" w:ascii="宋体" w:hAnsi="宋体" w:cs="宋体"/>
                <w:color w:val="auto"/>
                <w:kern w:val="0"/>
                <w:szCs w:val="21"/>
              </w:rPr>
              <w:t>1</w:t>
            </w:r>
            <w:r>
              <w:rPr>
                <w:rFonts w:hint="eastAsia" w:ascii="宋体" w:hAnsi="宋体" w:eastAsia="宋体" w:cs="宋体"/>
                <w:color w:val="auto"/>
                <w:kern w:val="0"/>
                <w:szCs w:val="21"/>
              </w:rPr>
              <w:t>分）</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A5F7F">
            <w:pPr>
              <w:pStyle w:val="12"/>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5分</w:t>
            </w:r>
          </w:p>
        </w:tc>
      </w:tr>
      <w:tr w14:paraId="0803B778">
        <w:tblPrEx>
          <w:tblCellMar>
            <w:top w:w="0" w:type="dxa"/>
            <w:left w:w="0" w:type="dxa"/>
            <w:bottom w:w="0" w:type="dxa"/>
            <w:right w:w="0" w:type="dxa"/>
          </w:tblCellMar>
        </w:tblPrEx>
        <w:trPr>
          <w:trHeight w:val="194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B76BD">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突发事件应急处理措施</w:t>
            </w:r>
          </w:p>
          <w:p w14:paraId="17CEA193">
            <w:pPr>
              <w:pStyle w:val="12"/>
              <w:ind w:firstLine="0" w:firstLineChars="0"/>
              <w:jc w:val="center"/>
              <w:rPr>
                <w:rFonts w:ascii="宋体" w:hAnsi="宋体" w:cs="宋体"/>
                <w:color w:val="auto"/>
                <w:kern w:val="0"/>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900EE">
            <w:pPr>
              <w:pStyle w:val="12"/>
              <w:ind w:firstLine="0" w:firstLineChars="0"/>
              <w:rPr>
                <w:rFonts w:ascii="宋体" w:hAnsi="宋体" w:cs="宋体"/>
                <w:color w:val="auto"/>
                <w:kern w:val="0"/>
                <w:szCs w:val="21"/>
              </w:rPr>
            </w:pPr>
            <w:r>
              <w:rPr>
                <w:rFonts w:hint="eastAsia" w:ascii="宋体" w:hAnsi="宋体" w:cs="宋体"/>
                <w:color w:val="auto"/>
                <w:kern w:val="0"/>
                <w:szCs w:val="21"/>
              </w:rPr>
              <w:t>内容包括但不限于：各项突发事件应急方案、日常演习方案、有疫情（传染病）防控方案等。不提供相关内容或方案不得分</w:t>
            </w:r>
          </w:p>
          <w:p w14:paraId="34BD10D1">
            <w:pPr>
              <w:pStyle w:val="12"/>
              <w:ind w:firstLine="0" w:firstLineChars="0"/>
              <w:rPr>
                <w:rFonts w:ascii="宋体" w:hAnsi="宋体" w:cs="宋体"/>
                <w:color w:val="auto"/>
                <w:kern w:val="0"/>
                <w:szCs w:val="21"/>
              </w:rPr>
            </w:pPr>
            <w:r>
              <w:rPr>
                <w:rFonts w:hint="eastAsia" w:ascii="宋体" w:hAnsi="宋体" w:cs="宋体"/>
                <w:color w:val="auto"/>
                <w:kern w:val="0"/>
                <w:szCs w:val="21"/>
              </w:rPr>
              <w:t>一档（1分）：有相应的管理措施，但一般的；</w:t>
            </w:r>
          </w:p>
          <w:p w14:paraId="3C26C314">
            <w:pPr>
              <w:pStyle w:val="12"/>
              <w:ind w:firstLine="0" w:firstLineChars="0"/>
              <w:rPr>
                <w:rFonts w:ascii="宋体" w:hAnsi="宋体" w:cs="宋体"/>
                <w:color w:val="auto"/>
                <w:kern w:val="0"/>
                <w:szCs w:val="21"/>
              </w:rPr>
            </w:pPr>
            <w:r>
              <w:rPr>
                <w:rFonts w:hint="eastAsia" w:ascii="宋体" w:hAnsi="宋体" w:cs="宋体"/>
                <w:color w:val="auto"/>
                <w:kern w:val="0"/>
                <w:szCs w:val="21"/>
              </w:rPr>
              <w:t>二档（3分）：条理清晰，管理措施得当，具有操作性；</w:t>
            </w:r>
          </w:p>
          <w:p w14:paraId="35423ED0">
            <w:pPr>
              <w:pStyle w:val="12"/>
              <w:ind w:firstLine="0" w:firstLineChars="0"/>
              <w:rPr>
                <w:rFonts w:ascii="宋体" w:hAnsi="宋体" w:cs="宋体"/>
                <w:color w:val="auto"/>
                <w:kern w:val="0"/>
                <w:szCs w:val="21"/>
              </w:rPr>
            </w:pPr>
            <w:r>
              <w:rPr>
                <w:rFonts w:hint="eastAsia" w:ascii="宋体" w:hAnsi="宋体" w:cs="宋体"/>
                <w:color w:val="auto"/>
                <w:kern w:val="0"/>
                <w:szCs w:val="21"/>
              </w:rPr>
              <w:t>三档（5分）：条理清晰，管理明确，管理措施得当，针对性和操作性强。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BEC30">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5分</w:t>
            </w:r>
          </w:p>
        </w:tc>
      </w:tr>
      <w:tr w14:paraId="3B6C1267">
        <w:tblPrEx>
          <w:tblCellMar>
            <w:top w:w="0" w:type="dxa"/>
            <w:left w:w="0" w:type="dxa"/>
            <w:bottom w:w="0" w:type="dxa"/>
            <w:right w:w="0" w:type="dxa"/>
          </w:tblCellMar>
        </w:tblPrEx>
        <w:trPr>
          <w:trHeight w:val="2497"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0AA09">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服务承诺分</w:t>
            </w:r>
          </w:p>
          <w:p w14:paraId="65E86E7D">
            <w:pPr>
              <w:pStyle w:val="12"/>
              <w:ind w:firstLine="0" w:firstLineChars="0"/>
              <w:jc w:val="center"/>
              <w:rPr>
                <w:rFonts w:ascii="宋体" w:hAnsi="宋体" w:cs="宋体"/>
                <w:color w:val="auto"/>
                <w:kern w:val="0"/>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18523">
            <w:pPr>
              <w:pStyle w:val="12"/>
              <w:ind w:firstLine="0" w:firstLineChars="0"/>
              <w:rPr>
                <w:rFonts w:ascii="宋体" w:hAnsi="宋体" w:cs="宋体"/>
                <w:color w:val="auto"/>
                <w:kern w:val="0"/>
                <w:szCs w:val="21"/>
              </w:rPr>
            </w:pPr>
            <w:r>
              <w:rPr>
                <w:rFonts w:hint="eastAsia" w:ascii="宋体" w:hAnsi="宋体" w:cs="宋体"/>
                <w:color w:val="auto"/>
                <w:kern w:val="0"/>
                <w:szCs w:val="21"/>
              </w:rPr>
              <w:t>服务承诺内容包括但不限于：服务差错率、完好率、派件/揽件时间等；固定工作人员配置数量（人员为公司人员并能提供近三个月的社保证明，且不少于1名项目经理、两校区各1名负责人，共3人），未提供承诺或未满足要求不得分。</w:t>
            </w:r>
          </w:p>
          <w:p w14:paraId="5EAFC5B2">
            <w:pPr>
              <w:pStyle w:val="12"/>
              <w:ind w:firstLine="0" w:firstLineChars="0"/>
              <w:rPr>
                <w:rFonts w:ascii="宋体" w:hAnsi="宋体" w:cs="宋体"/>
                <w:color w:val="auto"/>
                <w:kern w:val="0"/>
                <w:szCs w:val="21"/>
              </w:rPr>
            </w:pPr>
            <w:r>
              <w:rPr>
                <w:rFonts w:hint="eastAsia" w:ascii="宋体" w:hAnsi="宋体" w:cs="宋体"/>
                <w:color w:val="auto"/>
                <w:kern w:val="0"/>
                <w:szCs w:val="21"/>
              </w:rPr>
              <w:t>一档（1分）：承诺基本可行，基本符合项目需求；</w:t>
            </w:r>
          </w:p>
          <w:p w14:paraId="2B059DBF">
            <w:pPr>
              <w:pStyle w:val="12"/>
              <w:ind w:firstLine="0" w:firstLineChars="0"/>
              <w:rPr>
                <w:rFonts w:ascii="宋体" w:hAnsi="宋体" w:cs="宋体"/>
                <w:color w:val="auto"/>
                <w:kern w:val="0"/>
                <w:szCs w:val="21"/>
              </w:rPr>
            </w:pPr>
            <w:r>
              <w:rPr>
                <w:rFonts w:hint="eastAsia" w:ascii="宋体" w:hAnsi="宋体" w:cs="宋体"/>
                <w:color w:val="auto"/>
                <w:kern w:val="0"/>
                <w:szCs w:val="21"/>
              </w:rPr>
              <w:t>二档（3分）：提供的服务承诺有合理的保障，能较好的满足项目需求；</w:t>
            </w:r>
          </w:p>
          <w:p w14:paraId="34E3528D">
            <w:pPr>
              <w:pStyle w:val="12"/>
              <w:ind w:firstLine="0" w:firstLineChars="0"/>
              <w:rPr>
                <w:rFonts w:ascii="宋体" w:hAnsi="宋体" w:cs="宋体"/>
                <w:color w:val="auto"/>
                <w:kern w:val="0"/>
                <w:szCs w:val="21"/>
              </w:rPr>
            </w:pPr>
            <w:r>
              <w:rPr>
                <w:rFonts w:hint="eastAsia" w:ascii="宋体" w:hAnsi="宋体" w:cs="宋体"/>
                <w:color w:val="auto"/>
                <w:kern w:val="0"/>
                <w:szCs w:val="21"/>
              </w:rPr>
              <w:t>三档（5分）：提供优质服务承诺，优于项目需求，有保障，有特色，有创新，可行性强。</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3B63B">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5分</w:t>
            </w:r>
          </w:p>
        </w:tc>
      </w:tr>
      <w:tr w14:paraId="0848F37B">
        <w:tblPrEx>
          <w:tblCellMar>
            <w:top w:w="0" w:type="dxa"/>
            <w:left w:w="0" w:type="dxa"/>
            <w:bottom w:w="0" w:type="dxa"/>
            <w:right w:w="0" w:type="dxa"/>
          </w:tblCellMar>
        </w:tblPrEx>
        <w:trPr>
          <w:trHeight w:val="533" w:hRule="atLeast"/>
          <w:jc w:val="center"/>
        </w:trPr>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5C7AE">
            <w:pPr>
              <w:pStyle w:val="12"/>
              <w:ind w:firstLine="0" w:firstLineChars="0"/>
              <w:jc w:val="center"/>
              <w:rPr>
                <w:rFonts w:ascii="宋体" w:hAnsi="宋体" w:cs="宋体"/>
                <w:color w:val="auto"/>
                <w:kern w:val="0"/>
                <w:szCs w:val="21"/>
              </w:rPr>
            </w:pPr>
          </w:p>
        </w:tc>
        <w:tc>
          <w:tcPr>
            <w:tcW w:w="5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BB820">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合计</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30A34">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60分</w:t>
            </w:r>
          </w:p>
        </w:tc>
      </w:tr>
    </w:tbl>
    <w:p w14:paraId="6BC3EAAB">
      <w:pPr>
        <w:pStyle w:val="2"/>
        <w:keepLines w:val="0"/>
        <w:spacing w:before="156" w:beforeLines="50" w:after="0" w:line="360" w:lineRule="auto"/>
        <w:rPr>
          <w:color w:val="auto"/>
          <w:sz w:val="24"/>
        </w:rPr>
      </w:pPr>
      <w:r>
        <w:rPr>
          <w:rFonts w:hint="eastAsia"/>
          <w:color w:val="auto"/>
          <w:sz w:val="24"/>
        </w:rPr>
        <w:t>附表二 商务评分表（10分）</w:t>
      </w:r>
    </w:p>
    <w:tbl>
      <w:tblPr>
        <w:tblStyle w:val="13"/>
        <w:tblW w:w="8471" w:type="dxa"/>
        <w:jc w:val="center"/>
        <w:tblLayout w:type="fixed"/>
        <w:tblCellMar>
          <w:top w:w="0" w:type="dxa"/>
          <w:left w:w="0" w:type="dxa"/>
          <w:bottom w:w="0" w:type="dxa"/>
          <w:right w:w="0" w:type="dxa"/>
        </w:tblCellMar>
      </w:tblPr>
      <w:tblGrid>
        <w:gridCol w:w="1525"/>
        <w:gridCol w:w="6240"/>
        <w:gridCol w:w="706"/>
      </w:tblGrid>
      <w:tr w14:paraId="3D00BBDE">
        <w:tblPrEx>
          <w:tblCellMar>
            <w:top w:w="0" w:type="dxa"/>
            <w:left w:w="0" w:type="dxa"/>
            <w:bottom w:w="0" w:type="dxa"/>
            <w:right w:w="0" w:type="dxa"/>
          </w:tblCellMar>
        </w:tblPrEx>
        <w:trPr>
          <w:trHeight w:val="308"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683F3">
            <w:pPr>
              <w:spacing w:line="360" w:lineRule="auto"/>
              <w:jc w:val="center"/>
              <w:rPr>
                <w:rFonts w:ascii="宋体" w:hAnsi="宋体" w:eastAsia="宋体" w:cs="宋体"/>
                <w:color w:val="auto"/>
                <w:kern w:val="0"/>
                <w:szCs w:val="21"/>
              </w:rPr>
            </w:pPr>
            <w:r>
              <w:rPr>
                <w:rFonts w:hint="eastAsia" w:ascii="宋体" w:hAnsi="宋体" w:cs="宋体"/>
                <w:color w:val="auto"/>
                <w:szCs w:val="21"/>
              </w:rPr>
              <w:t>评分因素</w:t>
            </w:r>
          </w:p>
        </w:tc>
        <w:tc>
          <w:tcPr>
            <w:tcW w:w="6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FF4EB">
            <w:pPr>
              <w:spacing w:line="360" w:lineRule="auto"/>
              <w:jc w:val="center"/>
              <w:rPr>
                <w:rFonts w:ascii="宋体" w:hAnsi="宋体" w:eastAsia="宋体" w:cs="宋体"/>
                <w:color w:val="auto"/>
                <w:kern w:val="0"/>
                <w:szCs w:val="21"/>
              </w:rPr>
            </w:pPr>
            <w:r>
              <w:rPr>
                <w:rFonts w:hint="eastAsia" w:ascii="宋体" w:hAnsi="宋体" w:cs="宋体"/>
                <w:color w:val="auto"/>
                <w:szCs w:val="21"/>
              </w:rPr>
              <w:t>评审内容</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B979C">
            <w:pPr>
              <w:tabs>
                <w:tab w:val="left" w:pos="0"/>
              </w:tabs>
              <w:spacing w:line="360" w:lineRule="auto"/>
              <w:jc w:val="center"/>
              <w:rPr>
                <w:rFonts w:ascii="宋体" w:hAnsi="宋体" w:eastAsia="宋体" w:cs="宋体"/>
                <w:color w:val="auto"/>
                <w:kern w:val="0"/>
                <w:szCs w:val="21"/>
              </w:rPr>
            </w:pPr>
            <w:r>
              <w:rPr>
                <w:rFonts w:hint="eastAsia" w:ascii="宋体" w:hAnsi="宋体" w:cs="宋体"/>
                <w:color w:val="auto"/>
                <w:szCs w:val="21"/>
              </w:rPr>
              <w:t>分值</w:t>
            </w:r>
          </w:p>
        </w:tc>
      </w:tr>
      <w:tr w14:paraId="227B7DBC">
        <w:tblPrEx>
          <w:tblCellMar>
            <w:top w:w="0" w:type="dxa"/>
            <w:left w:w="0" w:type="dxa"/>
            <w:bottom w:w="0" w:type="dxa"/>
            <w:right w:w="0" w:type="dxa"/>
          </w:tblCellMar>
        </w:tblPrEx>
        <w:trPr>
          <w:trHeight w:val="552"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107BD">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 xml:space="preserve">财务状况   </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066B">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提供</w:t>
            </w:r>
            <w:r>
              <w:rPr>
                <w:rFonts w:hint="eastAsia" w:ascii="宋体" w:hAnsi="宋体" w:eastAsia="宋体" w:cs="宋体"/>
                <w:color w:val="auto"/>
                <w:kern w:val="0"/>
                <w:szCs w:val="21"/>
                <w:lang w:val="en-US" w:eastAsia="zh-CN"/>
              </w:rPr>
              <w:t>近三年（</w:t>
            </w: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1年至</w:t>
            </w: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年</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的财务报表</w:t>
            </w:r>
            <w:r>
              <w:rPr>
                <w:rFonts w:hint="eastAsia" w:ascii="宋体" w:hAnsi="宋体" w:cs="宋体"/>
                <w:color w:val="auto"/>
                <w:kern w:val="0"/>
                <w:szCs w:val="21"/>
              </w:rPr>
              <w:t>。</w:t>
            </w:r>
            <w:r>
              <w:rPr>
                <w:rFonts w:ascii="Arial" w:hAnsi="Arial" w:eastAsia="宋体" w:cs="Arial"/>
                <w:i w:val="0"/>
                <w:iCs w:val="0"/>
                <w:caps w:val="0"/>
                <w:color w:val="auto"/>
                <w:spacing w:val="0"/>
                <w:sz w:val="21"/>
                <w:szCs w:val="21"/>
                <w:shd w:val="clear" w:fill="FFFFFF"/>
              </w:rPr>
              <w:t>成立不足三年的投标人须提供成立以来所有年度财务</w:t>
            </w:r>
            <w:r>
              <w:rPr>
                <w:rFonts w:hint="eastAsia" w:ascii="Arial" w:hAnsi="Arial" w:eastAsia="宋体" w:cs="Arial"/>
                <w:i w:val="0"/>
                <w:iCs w:val="0"/>
                <w:caps w:val="0"/>
                <w:color w:val="auto"/>
                <w:spacing w:val="0"/>
                <w:sz w:val="21"/>
                <w:szCs w:val="21"/>
                <w:shd w:val="clear" w:fill="FFFFFF"/>
                <w:lang w:val="en-US" w:eastAsia="zh-CN"/>
              </w:rPr>
              <w:t>报表</w:t>
            </w:r>
            <w:r>
              <w:rPr>
                <w:rFonts w:hint="eastAsia" w:ascii="Arial" w:hAnsi="Arial" w:eastAsia="宋体" w:cs="Arial"/>
                <w:i w:val="0"/>
                <w:iCs w:val="0"/>
                <w:caps w:val="0"/>
                <w:color w:val="auto"/>
                <w:spacing w:val="0"/>
                <w:sz w:val="21"/>
                <w:szCs w:val="21"/>
                <w:shd w:val="clear" w:fill="FFFFFF"/>
                <w:lang w:eastAsia="zh-CN"/>
              </w:rPr>
              <w:t>，</w:t>
            </w:r>
            <w:r>
              <w:rPr>
                <w:rFonts w:ascii="Arial" w:hAnsi="Arial" w:eastAsia="宋体" w:cs="Arial"/>
                <w:i w:val="0"/>
                <w:iCs w:val="0"/>
                <w:caps w:val="0"/>
                <w:color w:val="auto"/>
                <w:spacing w:val="0"/>
                <w:sz w:val="21"/>
                <w:szCs w:val="21"/>
                <w:shd w:val="clear" w:fill="FFFFFF"/>
              </w:rPr>
              <w:t>成立不足一年的提供银行资信证明</w:t>
            </w:r>
            <w:r>
              <w:rPr>
                <w:rFonts w:hint="eastAsia" w:ascii="Arial" w:hAnsi="Arial" w:eastAsia="宋体" w:cs="Arial"/>
                <w:i w:val="0"/>
                <w:iCs w:val="0"/>
                <w:caps w:val="0"/>
                <w:color w:val="auto"/>
                <w:spacing w:val="0"/>
                <w:sz w:val="21"/>
                <w:szCs w:val="21"/>
                <w:shd w:val="clear" w:fill="FFFFFF"/>
                <w:lang w:eastAsia="zh-CN"/>
              </w:rPr>
              <w:t>。</w:t>
            </w:r>
            <w:r>
              <w:rPr>
                <w:rFonts w:hint="eastAsia" w:ascii="宋体" w:hAnsi="宋体" w:cs="宋体"/>
                <w:color w:val="auto"/>
                <w:kern w:val="0"/>
                <w:szCs w:val="21"/>
              </w:rPr>
              <w:t>（不提供相关内容不得分）</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2027C">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2分</w:t>
            </w:r>
          </w:p>
        </w:tc>
      </w:tr>
      <w:tr w14:paraId="3F55F6AB">
        <w:tblPrEx>
          <w:tblCellMar>
            <w:top w:w="0" w:type="dxa"/>
            <w:left w:w="0" w:type="dxa"/>
            <w:bottom w:w="0" w:type="dxa"/>
            <w:right w:w="0" w:type="dxa"/>
          </w:tblCellMar>
        </w:tblPrEx>
        <w:trPr>
          <w:trHeight w:val="782"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62ED2">
            <w:pPr>
              <w:pStyle w:val="12"/>
              <w:ind w:firstLine="0" w:firstLineChars="0"/>
              <w:jc w:val="center"/>
              <w:rPr>
                <w:rFonts w:eastAsia="宋体"/>
                <w:color w:val="auto"/>
                <w:szCs w:val="21"/>
              </w:rPr>
            </w:pPr>
            <w:r>
              <w:rPr>
                <w:rFonts w:hint="eastAsia" w:ascii="宋体" w:hAnsi="宋体" w:eastAsia="宋体" w:cs="宋体"/>
                <w:color w:val="auto"/>
                <w:kern w:val="0"/>
                <w:szCs w:val="21"/>
              </w:rPr>
              <w:t>企业获得荣誉情况</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FFDA">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提供2022</w:t>
            </w:r>
            <w:r>
              <w:rPr>
                <w:rFonts w:hint="eastAsia" w:ascii="宋体" w:hAnsi="宋体" w:eastAsia="宋体" w:cs="宋体"/>
                <w:color w:val="auto"/>
                <w:kern w:val="0"/>
                <w:szCs w:val="21"/>
                <w:lang w:val="en-US" w:eastAsia="zh-CN"/>
              </w:rPr>
              <w:t>年至</w:t>
            </w:r>
            <w:r>
              <w:rPr>
                <w:rFonts w:hint="eastAsia" w:ascii="宋体" w:hAnsi="宋体" w:eastAsia="宋体" w:cs="宋体"/>
                <w:color w:val="auto"/>
                <w:kern w:val="0"/>
                <w:szCs w:val="21"/>
              </w:rPr>
              <w:t>2024年的获奖情况，满分</w:t>
            </w:r>
            <w:r>
              <w:rPr>
                <w:rFonts w:hint="eastAsia" w:ascii="宋体" w:hAnsi="宋体" w:cs="宋体"/>
                <w:color w:val="auto"/>
                <w:kern w:val="0"/>
                <w:szCs w:val="21"/>
              </w:rPr>
              <w:t>3</w:t>
            </w:r>
            <w:r>
              <w:rPr>
                <w:rFonts w:hint="eastAsia" w:ascii="宋体" w:hAnsi="宋体" w:eastAsia="宋体" w:cs="宋体"/>
                <w:color w:val="auto"/>
                <w:kern w:val="0"/>
                <w:szCs w:val="21"/>
              </w:rPr>
              <w:t>分，国家级每个1分，区级每个0.</w:t>
            </w:r>
            <w:r>
              <w:rPr>
                <w:rFonts w:hint="eastAsia" w:ascii="宋体" w:hAnsi="宋体" w:cs="宋体"/>
                <w:color w:val="auto"/>
                <w:kern w:val="0"/>
                <w:szCs w:val="21"/>
              </w:rPr>
              <w:t>5</w:t>
            </w:r>
            <w:r>
              <w:rPr>
                <w:rFonts w:hint="eastAsia" w:ascii="宋体" w:hAnsi="宋体" w:eastAsia="宋体" w:cs="宋体"/>
                <w:color w:val="auto"/>
                <w:kern w:val="0"/>
                <w:szCs w:val="21"/>
              </w:rPr>
              <w:t>分。</w:t>
            </w:r>
            <w:r>
              <w:rPr>
                <w:rFonts w:hint="eastAsia" w:ascii="宋体" w:hAnsi="宋体" w:cs="宋体"/>
                <w:color w:val="auto"/>
                <w:kern w:val="0"/>
                <w:szCs w:val="21"/>
              </w:rPr>
              <w:t>（</w:t>
            </w:r>
            <w:r>
              <w:rPr>
                <w:rFonts w:hint="eastAsia" w:ascii="宋体" w:hAnsi="宋体" w:eastAsia="宋体" w:cs="宋体"/>
                <w:color w:val="auto"/>
                <w:kern w:val="0"/>
                <w:szCs w:val="21"/>
              </w:rPr>
              <w:t>不提供相关内容不得分</w:t>
            </w:r>
            <w:r>
              <w:rPr>
                <w:rFonts w:hint="eastAsia" w:ascii="宋体" w:hAnsi="宋体" w:cs="宋体"/>
                <w:color w:val="auto"/>
                <w:kern w:val="0"/>
                <w:szCs w:val="21"/>
              </w:rPr>
              <w:t>）</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0FD5B">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3分</w:t>
            </w:r>
          </w:p>
        </w:tc>
      </w:tr>
      <w:tr w14:paraId="196940FE">
        <w:tblPrEx>
          <w:tblCellMar>
            <w:top w:w="0" w:type="dxa"/>
            <w:left w:w="0" w:type="dxa"/>
            <w:bottom w:w="0" w:type="dxa"/>
            <w:right w:w="0" w:type="dxa"/>
          </w:tblCellMar>
        </w:tblPrEx>
        <w:trPr>
          <w:trHeight w:val="1192" w:hRule="atLeast"/>
          <w:jc w:val="center"/>
        </w:trPr>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7B3BF">
            <w:pPr>
              <w:pStyle w:val="12"/>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业务合作情况</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03D2">
            <w:pPr>
              <w:widowControl/>
              <w:jc w:val="left"/>
              <w:textAlignment w:val="center"/>
              <w:rPr>
                <w:rFonts w:ascii="宋体" w:hAnsi="宋体" w:eastAsia="宋体" w:cs="宋体"/>
                <w:color w:val="auto"/>
                <w:kern w:val="0"/>
                <w:szCs w:val="21"/>
              </w:rPr>
            </w:pPr>
            <w:r>
              <w:rPr>
                <w:rFonts w:hint="eastAsia"/>
                <w:color w:val="auto"/>
                <w:szCs w:val="21"/>
              </w:rPr>
              <w:t>提供</w:t>
            </w:r>
            <w:r>
              <w:rPr>
                <w:rFonts w:hint="eastAsia" w:ascii="宋体" w:hAnsi="宋体" w:eastAsia="宋体" w:cs="宋体"/>
                <w:color w:val="auto"/>
                <w:szCs w:val="21"/>
              </w:rPr>
              <w:t>2020</w:t>
            </w:r>
            <w:r>
              <w:rPr>
                <w:rFonts w:hint="eastAsia" w:ascii="宋体" w:hAnsi="宋体" w:eastAsia="宋体" w:cs="宋体"/>
                <w:color w:val="auto"/>
                <w:szCs w:val="21"/>
                <w:lang w:val="en-US" w:eastAsia="zh-CN"/>
              </w:rPr>
              <w:t>年至</w:t>
            </w:r>
            <w:r>
              <w:rPr>
                <w:rFonts w:hint="eastAsia" w:ascii="宋体" w:hAnsi="宋体" w:eastAsia="宋体" w:cs="宋体"/>
                <w:color w:val="auto"/>
                <w:szCs w:val="21"/>
              </w:rPr>
              <w:t>2024年</w:t>
            </w:r>
            <w:r>
              <w:rPr>
                <w:rFonts w:hint="eastAsia"/>
                <w:color w:val="auto"/>
                <w:szCs w:val="21"/>
              </w:rPr>
              <w:t>同类快递服务项目业绩，</w:t>
            </w:r>
            <w:r>
              <w:rPr>
                <w:rFonts w:hint="eastAsia" w:ascii="宋体" w:hAnsi="宋体" w:cs="宋体"/>
                <w:color w:val="auto"/>
                <w:szCs w:val="21"/>
                <w:lang w:bidi="ar"/>
              </w:rPr>
              <w:t>以中标（成交）通知书或合同（协议）复印件为准，</w:t>
            </w:r>
            <w:r>
              <w:rPr>
                <w:rFonts w:hint="eastAsia" w:ascii="宋体" w:hAnsi="宋体" w:cs="宋体"/>
                <w:color w:val="auto"/>
                <w:kern w:val="0"/>
                <w:szCs w:val="21"/>
              </w:rPr>
              <w:t>提供一份得1分。满分5分。（原件备查，不提供相关内容不得分）</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9E166">
            <w:pPr>
              <w:pStyle w:val="12"/>
              <w:ind w:firstLine="0" w:firstLineChars="0"/>
              <w:jc w:val="center"/>
              <w:rPr>
                <w:rFonts w:ascii="宋体" w:hAnsi="宋体" w:cs="宋体"/>
                <w:color w:val="auto"/>
                <w:kern w:val="0"/>
                <w:szCs w:val="21"/>
              </w:rPr>
            </w:pPr>
            <w:r>
              <w:rPr>
                <w:rFonts w:hint="eastAsia" w:ascii="宋体" w:hAnsi="宋体" w:cs="宋体"/>
                <w:color w:val="auto"/>
                <w:kern w:val="0"/>
                <w:szCs w:val="21"/>
              </w:rPr>
              <w:t>5分</w:t>
            </w:r>
          </w:p>
        </w:tc>
      </w:tr>
    </w:tbl>
    <w:p w14:paraId="6EA75BA4">
      <w:pPr>
        <w:spacing w:line="360" w:lineRule="auto"/>
        <w:rPr>
          <w:b/>
          <w:bCs/>
          <w:color w:val="auto"/>
          <w:sz w:val="24"/>
        </w:rPr>
      </w:pPr>
    </w:p>
    <w:p w14:paraId="6F7C80AB">
      <w:pPr>
        <w:pStyle w:val="12"/>
        <w:ind w:firstLine="0" w:firstLineChars="0"/>
        <w:rPr>
          <w:rFonts w:ascii="Times New Roman" w:hAnsi="Times New Roman" w:eastAsia="宋体" w:cs="Times New Roman"/>
          <w:b/>
          <w:bCs/>
          <w:color w:val="auto"/>
          <w:sz w:val="24"/>
          <w:szCs w:val="32"/>
        </w:rPr>
      </w:pPr>
      <w:r>
        <w:rPr>
          <w:rFonts w:hint="eastAsia" w:ascii="Times New Roman" w:hAnsi="Times New Roman" w:eastAsia="宋体" w:cs="Times New Roman"/>
          <w:b/>
          <w:bCs/>
          <w:color w:val="auto"/>
          <w:sz w:val="24"/>
          <w:szCs w:val="32"/>
        </w:rPr>
        <w:t>附表三  价格评分表（30分）</w:t>
      </w:r>
    </w:p>
    <w:tbl>
      <w:tblPr>
        <w:tblStyle w:val="13"/>
        <w:tblpPr w:leftFromText="180" w:rightFromText="180" w:vertAnchor="text" w:horzAnchor="page" w:tblpXSpec="center" w:tblpY="232"/>
        <w:tblOverlap w:val="never"/>
        <w:tblW w:w="8482" w:type="dxa"/>
        <w:jc w:val="center"/>
        <w:tblLayout w:type="fixed"/>
        <w:tblCellMar>
          <w:top w:w="0" w:type="dxa"/>
          <w:left w:w="108" w:type="dxa"/>
          <w:bottom w:w="0" w:type="dxa"/>
          <w:right w:w="108" w:type="dxa"/>
        </w:tblCellMar>
      </w:tblPr>
      <w:tblGrid>
        <w:gridCol w:w="555"/>
        <w:gridCol w:w="750"/>
        <w:gridCol w:w="645"/>
        <w:gridCol w:w="675"/>
        <w:gridCol w:w="735"/>
        <w:gridCol w:w="645"/>
        <w:gridCol w:w="675"/>
        <w:gridCol w:w="682"/>
        <w:gridCol w:w="698"/>
        <w:gridCol w:w="720"/>
        <w:gridCol w:w="750"/>
        <w:gridCol w:w="952"/>
      </w:tblGrid>
      <w:tr w14:paraId="3A4544D5">
        <w:tblPrEx>
          <w:tblCellMar>
            <w:top w:w="0" w:type="dxa"/>
            <w:left w:w="108" w:type="dxa"/>
            <w:bottom w:w="0" w:type="dxa"/>
            <w:right w:w="108" w:type="dxa"/>
          </w:tblCellMar>
        </w:tblPrEx>
        <w:trPr>
          <w:trHeight w:val="385"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54F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8B48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投标人</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C0FE">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管理费报价</w:t>
            </w: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3A2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快递揽件报价</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C142">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总报价得分</w:t>
            </w:r>
          </w:p>
        </w:tc>
      </w:tr>
      <w:tr w14:paraId="7565030C">
        <w:tblPrEx>
          <w:tblCellMar>
            <w:top w:w="0" w:type="dxa"/>
            <w:left w:w="108" w:type="dxa"/>
            <w:bottom w:w="0" w:type="dxa"/>
            <w:right w:w="108" w:type="dxa"/>
          </w:tblCellMar>
        </w:tblPrEx>
        <w:trPr>
          <w:trHeight w:val="3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65EB">
            <w:pPr>
              <w:jc w:val="center"/>
              <w:rPr>
                <w:rFonts w:ascii="宋体" w:hAnsi="宋体" w:eastAsia="宋体" w:cs="宋体"/>
                <w:color w:val="auto"/>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C6F11">
            <w:pPr>
              <w:jc w:val="center"/>
              <w:rPr>
                <w:rFonts w:ascii="宋体" w:hAnsi="宋体" w:eastAsia="宋体" w:cs="宋体"/>
                <w:color w:val="auto"/>
                <w:szCs w:val="21"/>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CCB5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报价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F823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基准价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A241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报价得分</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F06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陆运</w:t>
            </w:r>
          </w:p>
        </w:tc>
        <w:tc>
          <w:tcPr>
            <w:tcW w:w="21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BF1F">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航空</w:t>
            </w: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A652">
            <w:pPr>
              <w:jc w:val="center"/>
              <w:rPr>
                <w:rFonts w:ascii="宋体" w:hAnsi="宋体" w:eastAsia="宋体" w:cs="宋体"/>
                <w:color w:val="auto"/>
                <w:sz w:val="22"/>
                <w:szCs w:val="22"/>
              </w:rPr>
            </w:pPr>
          </w:p>
        </w:tc>
      </w:tr>
      <w:tr w14:paraId="2BBF180B">
        <w:tblPrEx>
          <w:tblCellMar>
            <w:top w:w="0" w:type="dxa"/>
            <w:left w:w="108" w:type="dxa"/>
            <w:bottom w:w="0" w:type="dxa"/>
            <w:right w:w="108" w:type="dxa"/>
          </w:tblCellMar>
        </w:tblPrEx>
        <w:trPr>
          <w:trHeight w:val="7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EF443">
            <w:pPr>
              <w:jc w:val="center"/>
              <w:rPr>
                <w:rFonts w:ascii="宋体" w:hAnsi="宋体" w:eastAsia="宋体" w:cs="宋体"/>
                <w:color w:val="auto"/>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DE2A">
            <w:pPr>
              <w:jc w:val="center"/>
              <w:rPr>
                <w:rFonts w:ascii="宋体" w:hAnsi="宋体" w:eastAsia="宋体" w:cs="宋体"/>
                <w:color w:val="auto"/>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D6EE">
            <w:pPr>
              <w:jc w:val="center"/>
              <w:rPr>
                <w:rFonts w:ascii="宋体" w:hAnsi="宋体" w:eastAsia="宋体" w:cs="宋体"/>
                <w:color w:val="auto"/>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97B2A">
            <w:pPr>
              <w:jc w:val="center"/>
              <w:rPr>
                <w:rFonts w:ascii="宋体" w:hAnsi="宋体" w:eastAsia="宋体" w:cs="宋体"/>
                <w:color w:val="auto"/>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6BF1">
            <w:pPr>
              <w:jc w:val="cente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E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报价折扣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2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基准折扣</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9C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报价得分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4A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报价折扣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2F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基准折扣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ED7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报价得分</w:t>
            </w: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FC9F">
            <w:pPr>
              <w:jc w:val="center"/>
              <w:rPr>
                <w:rFonts w:ascii="宋体" w:hAnsi="宋体" w:eastAsia="宋体" w:cs="宋体"/>
                <w:color w:val="auto"/>
                <w:sz w:val="22"/>
                <w:szCs w:val="22"/>
              </w:rPr>
            </w:pPr>
          </w:p>
        </w:tc>
      </w:tr>
      <w:tr w14:paraId="625B10F1">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Pr>
          <w:p w14:paraId="02CC10CE">
            <w:pPr>
              <w:rPr>
                <w:rFonts w:ascii="宋体" w:hAnsi="宋体" w:eastAsia="宋体" w:cs="宋体"/>
                <w:color w:val="auto"/>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28E0098D">
            <w:pP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63E757F9">
            <w:pPr>
              <w:rPr>
                <w:rFonts w:ascii="宋体" w:hAnsi="宋体" w:eastAsia="宋体" w:cs="宋体"/>
                <w:color w:val="auto"/>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1A5">
            <w:pPr>
              <w:rPr>
                <w:rFonts w:ascii="宋体" w:hAnsi="宋体" w:eastAsia="宋体" w:cs="宋体"/>
                <w:color w:val="auto"/>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C75A">
            <w:pP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2A62">
            <w:pPr>
              <w:rPr>
                <w:rFonts w:ascii="宋体" w:hAnsi="宋体" w:eastAsia="宋体" w:cs="宋体"/>
                <w:color w:val="auto"/>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040">
            <w:pPr>
              <w:jc w:val="center"/>
              <w:rPr>
                <w:rFonts w:ascii="宋体" w:hAnsi="宋体" w:eastAsia="宋体" w:cs="宋体"/>
                <w:color w:val="auto"/>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0798">
            <w:pPr>
              <w:rPr>
                <w:rFonts w:ascii="宋体" w:hAnsi="宋体" w:eastAsia="宋体" w:cs="宋体"/>
                <w:color w:val="auto"/>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027F">
            <w:pPr>
              <w:rPr>
                <w:rFonts w:ascii="宋体" w:hAnsi="宋体" w:eastAsia="宋体" w:cs="宋体"/>
                <w:color w:val="auto"/>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913A">
            <w:pPr>
              <w:rPr>
                <w:rFonts w:ascii="宋体" w:hAnsi="宋体" w:eastAsia="宋体" w:cs="宋体"/>
                <w:color w:val="auto"/>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FF7F">
            <w:pPr>
              <w:rPr>
                <w:rFonts w:ascii="宋体" w:hAnsi="宋体" w:eastAsia="宋体" w:cs="宋体"/>
                <w:color w:val="auto"/>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779F">
            <w:pPr>
              <w:rPr>
                <w:rFonts w:ascii="宋体" w:hAnsi="宋体" w:eastAsia="宋体" w:cs="宋体"/>
                <w:color w:val="auto"/>
                <w:sz w:val="22"/>
                <w:szCs w:val="22"/>
              </w:rPr>
            </w:pPr>
          </w:p>
        </w:tc>
      </w:tr>
      <w:tr w14:paraId="38609978">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Pr>
          <w:p w14:paraId="25954E67">
            <w:pPr>
              <w:rPr>
                <w:rFonts w:ascii="宋体" w:hAnsi="宋体" w:eastAsia="宋体" w:cs="宋体"/>
                <w:color w:val="auto"/>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06552E20">
            <w:pP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67BAAE36">
            <w:pPr>
              <w:rPr>
                <w:rFonts w:ascii="宋体" w:hAnsi="宋体" w:eastAsia="宋体" w:cs="宋体"/>
                <w:color w:val="auto"/>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14:paraId="3C7602A9">
            <w:pPr>
              <w:rPr>
                <w:rFonts w:ascii="宋体" w:hAnsi="宋体" w:eastAsia="宋体" w:cs="宋体"/>
                <w:color w:val="auto"/>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14:paraId="4FBCCD2B">
            <w:pP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5B59659">
            <w:pPr>
              <w:rPr>
                <w:rFonts w:ascii="宋体" w:hAnsi="宋体" w:eastAsia="宋体" w:cs="宋体"/>
                <w:color w:val="auto"/>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14:paraId="5D4E87C2">
            <w:pPr>
              <w:rPr>
                <w:rFonts w:ascii="宋体" w:hAnsi="宋体" w:eastAsia="宋体" w:cs="宋体"/>
                <w:color w:val="auto"/>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721D">
            <w:pPr>
              <w:rPr>
                <w:rFonts w:ascii="宋体" w:hAnsi="宋体" w:eastAsia="宋体" w:cs="宋体"/>
                <w:color w:val="auto"/>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1D47">
            <w:pPr>
              <w:rPr>
                <w:rFonts w:ascii="宋体" w:hAnsi="宋体" w:eastAsia="宋体" w:cs="宋体"/>
                <w:color w:val="auto"/>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8D6E">
            <w:pPr>
              <w:rPr>
                <w:rFonts w:ascii="宋体" w:hAnsi="宋体" w:eastAsia="宋体" w:cs="宋体"/>
                <w:color w:val="auto"/>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4443">
            <w:pPr>
              <w:rPr>
                <w:rFonts w:ascii="宋体" w:hAnsi="宋体" w:eastAsia="宋体" w:cs="宋体"/>
                <w:color w:val="auto"/>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8C2A">
            <w:pPr>
              <w:rPr>
                <w:rFonts w:ascii="宋体" w:hAnsi="宋体" w:eastAsia="宋体" w:cs="宋体"/>
                <w:color w:val="auto"/>
                <w:sz w:val="22"/>
                <w:szCs w:val="22"/>
              </w:rPr>
            </w:pPr>
          </w:p>
        </w:tc>
      </w:tr>
      <w:tr w14:paraId="71BBAE18">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Pr>
          <w:p w14:paraId="2DBA7B9F">
            <w:pPr>
              <w:rPr>
                <w:rFonts w:ascii="宋体" w:hAnsi="宋体" w:eastAsia="宋体" w:cs="宋体"/>
                <w:color w:val="auto"/>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Pr>
          <w:p w14:paraId="51775F5C">
            <w:pP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0F39EFDE">
            <w:pPr>
              <w:rPr>
                <w:rFonts w:ascii="宋体" w:hAnsi="宋体" w:eastAsia="宋体" w:cs="宋体"/>
                <w:color w:val="auto"/>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14:paraId="1C378F70">
            <w:pPr>
              <w:rPr>
                <w:rFonts w:ascii="宋体" w:hAnsi="宋体" w:eastAsia="宋体" w:cs="宋体"/>
                <w:color w:val="auto"/>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Pr>
          <w:p w14:paraId="7DBF5729">
            <w:pPr>
              <w:rPr>
                <w:rFonts w:ascii="宋体" w:hAnsi="宋体" w:eastAsia="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4F2F88CC">
            <w:pPr>
              <w:rPr>
                <w:rFonts w:ascii="宋体" w:hAnsi="宋体" w:eastAsia="宋体" w:cs="宋体"/>
                <w:color w:val="auto"/>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Pr>
          <w:p w14:paraId="6792E17B">
            <w:pPr>
              <w:rPr>
                <w:rFonts w:ascii="宋体" w:hAnsi="宋体" w:eastAsia="宋体" w:cs="宋体"/>
                <w:color w:val="auto"/>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DE8B">
            <w:pPr>
              <w:rPr>
                <w:rFonts w:ascii="宋体" w:hAnsi="宋体" w:eastAsia="宋体" w:cs="宋体"/>
                <w:color w:val="auto"/>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8CD1">
            <w:pPr>
              <w:rPr>
                <w:rFonts w:ascii="宋体" w:hAnsi="宋体" w:eastAsia="宋体" w:cs="宋体"/>
                <w:color w:val="auto"/>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DB54">
            <w:pPr>
              <w:rPr>
                <w:rFonts w:ascii="宋体" w:hAnsi="宋体" w:eastAsia="宋体" w:cs="宋体"/>
                <w:color w:val="auto"/>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95C0">
            <w:pPr>
              <w:rPr>
                <w:rFonts w:ascii="宋体" w:hAnsi="宋体" w:eastAsia="宋体" w:cs="宋体"/>
                <w:color w:val="auto"/>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4CD1">
            <w:pPr>
              <w:rPr>
                <w:rFonts w:ascii="宋体" w:hAnsi="宋体" w:eastAsia="宋体" w:cs="宋体"/>
                <w:color w:val="auto"/>
                <w:sz w:val="22"/>
                <w:szCs w:val="22"/>
              </w:rPr>
            </w:pPr>
          </w:p>
        </w:tc>
      </w:tr>
    </w:tbl>
    <w:p w14:paraId="6A814D2E">
      <w:pPr>
        <w:tabs>
          <w:tab w:val="left" w:pos="720"/>
        </w:tabs>
        <w:adjustRightInd w:val="0"/>
        <w:snapToGrid w:val="0"/>
        <w:spacing w:line="360" w:lineRule="auto"/>
        <w:ind w:left="360"/>
        <w:rPr>
          <w:color w:val="auto"/>
          <w:szCs w:val="21"/>
        </w:rPr>
      </w:pPr>
      <w:r>
        <w:rPr>
          <w:rFonts w:hint="eastAsia"/>
          <w:color w:val="auto"/>
          <w:szCs w:val="21"/>
        </w:rPr>
        <w:t>注：</w:t>
      </w:r>
    </w:p>
    <w:p w14:paraId="0195DE0E">
      <w:pPr>
        <w:numPr>
          <w:ilvl w:val="2"/>
          <w:numId w:val="2"/>
        </w:numPr>
        <w:tabs>
          <w:tab w:val="left" w:pos="720"/>
        </w:tabs>
        <w:adjustRightInd w:val="0"/>
        <w:snapToGrid w:val="0"/>
        <w:spacing w:line="360" w:lineRule="auto"/>
        <w:ind w:left="0" w:firstLine="360"/>
        <w:rPr>
          <w:color w:val="auto"/>
          <w:szCs w:val="21"/>
        </w:rPr>
      </w:pPr>
      <w:r>
        <w:rPr>
          <w:rFonts w:hint="eastAsia"/>
          <w:color w:val="auto"/>
          <w:szCs w:val="21"/>
        </w:rPr>
        <w:t>评委对各投标人的投标报价按下述原则进行校核、评标或作出必要的修正后的价格为核实价，如果出现多种处理原则所产生的结果不一致的情况，以最高的修正价作为核实价。</w:t>
      </w:r>
    </w:p>
    <w:p w14:paraId="5A14E713">
      <w:pPr>
        <w:numPr>
          <w:ilvl w:val="2"/>
          <w:numId w:val="2"/>
        </w:numPr>
        <w:tabs>
          <w:tab w:val="left" w:pos="720"/>
        </w:tabs>
        <w:adjustRightInd w:val="0"/>
        <w:snapToGrid w:val="0"/>
        <w:spacing w:line="360" w:lineRule="auto"/>
        <w:ind w:left="0" w:firstLine="360"/>
        <w:rPr>
          <w:color w:val="auto"/>
          <w:szCs w:val="21"/>
        </w:rPr>
      </w:pPr>
      <w:r>
        <w:rPr>
          <w:rFonts w:hint="eastAsia"/>
          <w:color w:val="auto"/>
          <w:szCs w:val="21"/>
        </w:rPr>
        <w:t>报价的错误修正原则：</w:t>
      </w:r>
    </w:p>
    <w:p w14:paraId="64FDE84E">
      <w:pPr>
        <w:tabs>
          <w:tab w:val="left" w:pos="720"/>
        </w:tabs>
        <w:adjustRightInd w:val="0"/>
        <w:snapToGrid w:val="0"/>
        <w:spacing w:line="360" w:lineRule="auto"/>
        <w:ind w:firstLine="420" w:firstLineChars="200"/>
        <w:rPr>
          <w:color w:val="auto"/>
          <w:szCs w:val="21"/>
        </w:rPr>
      </w:pPr>
      <w:r>
        <w:rPr>
          <w:rFonts w:hint="eastAsia"/>
          <w:color w:val="auto"/>
          <w:szCs w:val="21"/>
        </w:rPr>
        <w:t>（1）大写金额与小写金额不一致的，以大写金额为准；</w:t>
      </w:r>
    </w:p>
    <w:p w14:paraId="77A7B4DC">
      <w:pPr>
        <w:tabs>
          <w:tab w:val="left" w:pos="720"/>
        </w:tabs>
        <w:adjustRightInd w:val="0"/>
        <w:snapToGrid w:val="0"/>
        <w:spacing w:line="360" w:lineRule="auto"/>
        <w:ind w:firstLine="420" w:firstLineChars="200"/>
        <w:rPr>
          <w:color w:val="auto"/>
          <w:szCs w:val="21"/>
        </w:rPr>
      </w:pPr>
      <w:r>
        <w:rPr>
          <w:rFonts w:hint="eastAsia"/>
          <w:color w:val="auto"/>
          <w:szCs w:val="21"/>
        </w:rPr>
        <w:t>（2）总价金额与按单价汇总金额不一致的，以单价金额计算结果为准；</w:t>
      </w:r>
    </w:p>
    <w:p w14:paraId="3F394B0E">
      <w:pPr>
        <w:tabs>
          <w:tab w:val="left" w:pos="720"/>
        </w:tabs>
        <w:adjustRightInd w:val="0"/>
        <w:snapToGrid w:val="0"/>
        <w:spacing w:line="360" w:lineRule="auto"/>
        <w:ind w:firstLine="420" w:firstLineChars="200"/>
        <w:rPr>
          <w:color w:val="auto"/>
          <w:szCs w:val="21"/>
        </w:rPr>
      </w:pPr>
      <w:r>
        <w:rPr>
          <w:rFonts w:hint="eastAsia"/>
          <w:color w:val="auto"/>
          <w:szCs w:val="21"/>
        </w:rPr>
        <w:t>（3）单价金额小数点有明显错位的，应以总价为准，并修改单价；</w:t>
      </w:r>
    </w:p>
    <w:p w14:paraId="691939FE">
      <w:pPr>
        <w:tabs>
          <w:tab w:val="left" w:pos="720"/>
        </w:tabs>
        <w:adjustRightInd w:val="0"/>
        <w:snapToGrid w:val="0"/>
        <w:spacing w:line="360" w:lineRule="auto"/>
        <w:ind w:firstLine="420" w:firstLineChars="200"/>
        <w:rPr>
          <w:color w:val="auto"/>
          <w:szCs w:val="21"/>
        </w:rPr>
      </w:pPr>
      <w:r>
        <w:rPr>
          <w:rFonts w:hint="eastAsia"/>
          <w:color w:val="auto"/>
          <w:szCs w:val="21"/>
        </w:rPr>
        <w:t>（4）修正价后的价格作为核实价。</w:t>
      </w:r>
    </w:p>
    <w:p w14:paraId="5069309C">
      <w:pPr>
        <w:numPr>
          <w:ilvl w:val="2"/>
          <w:numId w:val="2"/>
        </w:numPr>
        <w:tabs>
          <w:tab w:val="left" w:pos="720"/>
        </w:tabs>
        <w:adjustRightInd w:val="0"/>
        <w:snapToGrid w:val="0"/>
        <w:spacing w:line="360" w:lineRule="auto"/>
        <w:ind w:left="0" w:firstLine="360"/>
        <w:rPr>
          <w:color w:val="auto"/>
          <w:szCs w:val="21"/>
        </w:rPr>
      </w:pPr>
      <w:r>
        <w:rPr>
          <w:rFonts w:hint="eastAsia"/>
          <w:color w:val="auto"/>
          <w:szCs w:val="21"/>
        </w:rPr>
        <w:t>价格评分：</w:t>
      </w:r>
    </w:p>
    <w:p w14:paraId="6C72A3B4">
      <w:pPr>
        <w:tabs>
          <w:tab w:val="left" w:pos="720"/>
        </w:tabs>
        <w:adjustRightInd w:val="0"/>
        <w:snapToGrid w:val="0"/>
        <w:spacing w:line="360" w:lineRule="auto"/>
        <w:ind w:firstLine="420" w:firstLineChars="200"/>
        <w:rPr>
          <w:color w:val="auto"/>
          <w:szCs w:val="21"/>
        </w:rPr>
      </w:pPr>
      <w:r>
        <w:rPr>
          <w:rFonts w:hint="eastAsia"/>
          <w:color w:val="auto"/>
          <w:szCs w:val="21"/>
        </w:rPr>
        <w:t>（1）评标价的确定：按上述条款的原则校核修正后的价格为评标价。</w:t>
      </w:r>
    </w:p>
    <w:p w14:paraId="5E85E4D4">
      <w:pPr>
        <w:tabs>
          <w:tab w:val="left" w:pos="300"/>
        </w:tabs>
        <w:adjustRightInd w:val="0"/>
        <w:snapToGrid w:val="0"/>
        <w:spacing w:line="360" w:lineRule="auto"/>
        <w:ind w:firstLine="420" w:firstLineChars="200"/>
        <w:rPr>
          <w:color w:val="auto"/>
          <w:szCs w:val="21"/>
        </w:rPr>
      </w:pPr>
      <w:r>
        <w:rPr>
          <w:rFonts w:hint="eastAsia"/>
          <w:color w:val="auto"/>
          <w:szCs w:val="21"/>
        </w:rPr>
        <w:t>（2）计算价格评分：价格评分满分为30分，报价部分分为管理费报价分及国内陆运、航空快递揽件报价。</w:t>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ab/>
      </w:r>
    </w:p>
    <w:p w14:paraId="7334D6DD">
      <w:pPr>
        <w:tabs>
          <w:tab w:val="left" w:pos="720"/>
        </w:tabs>
        <w:adjustRightInd w:val="0"/>
        <w:snapToGrid w:val="0"/>
        <w:spacing w:line="360" w:lineRule="auto"/>
        <w:ind w:left="420" w:leftChars="200" w:firstLine="420" w:firstLineChars="200"/>
        <w:rPr>
          <w:color w:val="auto"/>
          <w:szCs w:val="21"/>
        </w:rPr>
      </w:pPr>
      <w:r>
        <w:rPr>
          <w:rFonts w:hint="eastAsia"/>
          <w:color w:val="auto"/>
          <w:szCs w:val="21"/>
        </w:rPr>
        <w:t>A.管理费报价（满分10分）</w:t>
      </w:r>
    </w:p>
    <w:p w14:paraId="35354A2C">
      <w:pPr>
        <w:adjustRightInd w:val="0"/>
        <w:snapToGrid w:val="0"/>
        <w:spacing w:line="360" w:lineRule="auto"/>
        <w:ind w:left="840" w:leftChars="400" w:firstLine="218" w:firstLineChars="104"/>
        <w:rPr>
          <w:color w:val="auto"/>
          <w:szCs w:val="21"/>
        </w:rPr>
      </w:pPr>
      <w:r>
        <w:rPr>
          <w:rFonts w:hint="eastAsia"/>
          <w:color w:val="auto"/>
          <w:szCs w:val="21"/>
        </w:rPr>
        <w:t>a.以进入比较与评价环节的最高的报价为基准价。</w:t>
      </w:r>
    </w:p>
    <w:p w14:paraId="47EE328D">
      <w:pPr>
        <w:adjustRightInd w:val="0"/>
        <w:snapToGrid w:val="0"/>
        <w:spacing w:line="360" w:lineRule="auto"/>
        <w:ind w:left="840" w:leftChars="400" w:firstLine="218" w:firstLineChars="104"/>
        <w:rPr>
          <w:color w:val="auto"/>
          <w:szCs w:val="21"/>
        </w:rPr>
      </w:pPr>
      <w:r>
        <w:rPr>
          <w:rFonts w:hint="eastAsia"/>
          <w:color w:val="auto"/>
          <w:szCs w:val="21"/>
        </w:rPr>
        <w:t>b.计算公式：</w:t>
      </w:r>
    </w:p>
    <w:p w14:paraId="190FF149">
      <w:pPr>
        <w:adjustRightInd w:val="0"/>
        <w:snapToGrid w:val="0"/>
        <w:spacing w:line="360" w:lineRule="auto"/>
        <w:ind w:left="840" w:leftChars="400" w:firstLine="218" w:firstLineChars="104"/>
        <w:rPr>
          <w:color w:val="auto"/>
          <w:szCs w:val="21"/>
        </w:rPr>
      </w:pPr>
      <w:r>
        <w:rPr>
          <w:rFonts w:hint="eastAsia"/>
          <w:color w:val="auto"/>
          <w:szCs w:val="21"/>
        </w:rPr>
        <w:t>管理费报价得分=（报价/基准价）×10分，（供应商报价保留两位小数）。</w:t>
      </w:r>
    </w:p>
    <w:p w14:paraId="21CE4EBF">
      <w:pPr>
        <w:adjustRightInd w:val="0"/>
        <w:snapToGrid w:val="0"/>
        <w:spacing w:line="360" w:lineRule="auto"/>
        <w:ind w:left="840" w:leftChars="400" w:firstLine="218" w:firstLineChars="104"/>
        <w:rPr>
          <w:rFonts w:hint="eastAsia" w:eastAsiaTheme="minorEastAsia"/>
          <w:color w:val="auto"/>
          <w:szCs w:val="21"/>
          <w:lang w:eastAsia="zh-CN"/>
        </w:rPr>
      </w:pPr>
      <w:r>
        <w:rPr>
          <w:rFonts w:hint="eastAsia"/>
          <w:color w:val="auto"/>
          <w:szCs w:val="21"/>
        </w:rPr>
        <w:t>注明：</w:t>
      </w:r>
      <w:bookmarkStart w:id="8" w:name="OLE_LINK2"/>
      <w:r>
        <w:rPr>
          <w:rFonts w:hint="eastAsia"/>
          <w:color w:val="auto"/>
          <w:szCs w:val="21"/>
        </w:rPr>
        <w:t>管理费报价范围为:100000元/年≤报价＜200000元/年。报价以元为单位，取小数点后两位；报价低于100000元/年作废标处理；报价等于或高于200000元/年不得分。</w:t>
      </w:r>
      <w:bookmarkEnd w:id="8"/>
    </w:p>
    <w:p w14:paraId="60CE77CE">
      <w:pPr>
        <w:tabs>
          <w:tab w:val="left" w:pos="720"/>
        </w:tabs>
        <w:adjustRightInd w:val="0"/>
        <w:snapToGrid w:val="0"/>
        <w:spacing w:line="360" w:lineRule="auto"/>
        <w:ind w:left="420" w:leftChars="200" w:firstLine="420" w:firstLineChars="200"/>
        <w:rPr>
          <w:color w:val="auto"/>
          <w:szCs w:val="21"/>
        </w:rPr>
      </w:pPr>
      <w:r>
        <w:rPr>
          <w:rFonts w:hint="eastAsia"/>
          <w:color w:val="auto"/>
          <w:szCs w:val="21"/>
        </w:rPr>
        <w:t>B.快递揽件报价（满分20分）</w:t>
      </w:r>
    </w:p>
    <w:p w14:paraId="74E7C9A7">
      <w:pPr>
        <w:adjustRightInd w:val="0"/>
        <w:snapToGrid w:val="0"/>
        <w:spacing w:line="360" w:lineRule="auto"/>
        <w:ind w:left="1257" w:leftChars="503" w:hanging="201" w:hangingChars="96"/>
        <w:rPr>
          <w:color w:val="auto"/>
          <w:szCs w:val="21"/>
        </w:rPr>
      </w:pPr>
      <w:r>
        <w:rPr>
          <w:rFonts w:hint="eastAsia"/>
          <w:color w:val="auto"/>
          <w:szCs w:val="21"/>
        </w:rPr>
        <w:t>a.报价最低的首重折扣为基准折扣</w:t>
      </w:r>
      <w:r>
        <w:rPr>
          <w:rFonts w:hint="eastAsia"/>
          <w:color w:val="auto"/>
          <w:szCs w:val="21"/>
          <w:lang w:eastAsia="zh-CN"/>
        </w:rPr>
        <w:t>，</w:t>
      </w:r>
      <w:r>
        <w:rPr>
          <w:rFonts w:hint="eastAsia"/>
          <w:color w:val="auto"/>
          <w:szCs w:val="21"/>
          <w:highlight w:val="none"/>
        </w:rPr>
        <w:t>陆运资费折扣最低为6折，航空资费折扣最低为7折</w:t>
      </w:r>
      <w:r>
        <w:rPr>
          <w:rFonts w:hint="eastAsia"/>
          <w:color w:val="auto"/>
          <w:szCs w:val="21"/>
        </w:rPr>
        <w:t>，低于上述2个资费折扣的属恶意竞标，不得分。</w:t>
      </w:r>
    </w:p>
    <w:p w14:paraId="7AE73595">
      <w:pPr>
        <w:adjustRightInd w:val="0"/>
        <w:snapToGrid w:val="0"/>
        <w:spacing w:line="360" w:lineRule="auto"/>
        <w:ind w:left="840" w:leftChars="400" w:firstLine="218" w:firstLineChars="104"/>
        <w:rPr>
          <w:color w:val="auto"/>
          <w:szCs w:val="21"/>
        </w:rPr>
      </w:pPr>
      <w:r>
        <w:rPr>
          <w:rFonts w:hint="eastAsia"/>
          <w:color w:val="auto"/>
          <w:szCs w:val="21"/>
        </w:rPr>
        <w:t>b.计算公式：</w:t>
      </w:r>
    </w:p>
    <w:p w14:paraId="2BFE19C7">
      <w:pPr>
        <w:adjustRightInd w:val="0"/>
        <w:snapToGrid w:val="0"/>
        <w:spacing w:line="360" w:lineRule="auto"/>
        <w:ind w:left="840" w:leftChars="400" w:firstLine="218" w:firstLineChars="104"/>
        <w:rPr>
          <w:color w:val="auto"/>
          <w:szCs w:val="21"/>
        </w:rPr>
      </w:pPr>
      <w:r>
        <w:rPr>
          <w:rFonts w:hint="eastAsia"/>
          <w:color w:val="auto"/>
          <w:szCs w:val="21"/>
        </w:rPr>
        <w:t>陆运报价得分=（基准折扣/报价折扣）×10分，（供应商报价保留两位小数）。</w:t>
      </w:r>
    </w:p>
    <w:p w14:paraId="77AE739E">
      <w:pPr>
        <w:tabs>
          <w:tab w:val="left" w:pos="720"/>
        </w:tabs>
        <w:adjustRightInd w:val="0"/>
        <w:snapToGrid w:val="0"/>
        <w:spacing w:line="360" w:lineRule="auto"/>
        <w:ind w:left="840" w:leftChars="400" w:firstLine="218" w:firstLineChars="104"/>
        <w:rPr>
          <w:rFonts w:hint="eastAsia"/>
          <w:color w:val="auto"/>
          <w:szCs w:val="21"/>
        </w:rPr>
      </w:pPr>
      <w:r>
        <w:rPr>
          <w:rFonts w:hint="eastAsia"/>
          <w:color w:val="auto"/>
          <w:szCs w:val="21"/>
        </w:rPr>
        <w:t>航空报价得分=（基准折扣/报价折扣）×10分，（供应商报价保留两位小数）。</w:t>
      </w:r>
    </w:p>
    <w:p w14:paraId="71F1B61C">
      <w:pPr>
        <w:tabs>
          <w:tab w:val="left" w:pos="720"/>
        </w:tabs>
        <w:adjustRightInd w:val="0"/>
        <w:snapToGrid w:val="0"/>
        <w:spacing w:line="360" w:lineRule="auto"/>
        <w:ind w:left="840" w:leftChars="400" w:firstLine="218" w:firstLineChars="104"/>
        <w:rPr>
          <w:rFonts w:hint="default" w:eastAsiaTheme="minorEastAsia"/>
          <w:color w:val="auto"/>
          <w:szCs w:val="21"/>
          <w:lang w:val="en-US" w:eastAsia="zh-CN"/>
        </w:rPr>
      </w:pPr>
      <w:r>
        <w:rPr>
          <w:rFonts w:hint="eastAsia"/>
          <w:color w:val="auto"/>
          <w:szCs w:val="21"/>
          <w:lang w:val="en-US" w:eastAsia="zh-CN"/>
        </w:rPr>
        <w:t>C.须根据采购文件中《国内陆运/航空寄件收费参考表》报统一的折扣价，不能自行修改表格原有内容；不按规定报价的不计分。</w:t>
      </w:r>
    </w:p>
    <w:tbl>
      <w:tblPr>
        <w:tblStyle w:val="13"/>
        <w:tblpPr w:leftFromText="180" w:rightFromText="180" w:vertAnchor="text" w:horzAnchor="page" w:tblpX="2013" w:tblpY="651"/>
        <w:tblOverlap w:val="never"/>
        <w:tblW w:w="8880" w:type="dxa"/>
        <w:tblInd w:w="0" w:type="dxa"/>
        <w:tblLayout w:type="autofit"/>
        <w:tblCellMar>
          <w:top w:w="0" w:type="dxa"/>
          <w:left w:w="108" w:type="dxa"/>
          <w:bottom w:w="0" w:type="dxa"/>
          <w:right w:w="108" w:type="dxa"/>
        </w:tblCellMar>
      </w:tblPr>
      <w:tblGrid>
        <w:gridCol w:w="1080"/>
        <w:gridCol w:w="1080"/>
        <w:gridCol w:w="3384"/>
        <w:gridCol w:w="1316"/>
        <w:gridCol w:w="1320"/>
        <w:gridCol w:w="700"/>
      </w:tblGrid>
      <w:tr w14:paraId="56F563D3">
        <w:tblPrEx>
          <w:tblCellMar>
            <w:top w:w="0" w:type="dxa"/>
            <w:left w:w="108" w:type="dxa"/>
            <w:bottom w:w="0" w:type="dxa"/>
            <w:right w:w="108" w:type="dxa"/>
          </w:tblCellMar>
        </w:tblPrEx>
        <w:trPr>
          <w:trHeight w:val="390" w:hRule="atLeast"/>
        </w:trPr>
        <w:tc>
          <w:tcPr>
            <w:tcW w:w="88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4C9246">
            <w:pPr>
              <w:widowControl/>
              <w:jc w:val="center"/>
              <w:rPr>
                <w:rFonts w:ascii="宋体" w:hAnsi="宋体" w:eastAsia="宋体" w:cs="宋体"/>
                <w:b/>
                <w:bCs/>
                <w:color w:val="auto"/>
                <w:kern w:val="0"/>
                <w:sz w:val="36"/>
                <w:szCs w:val="36"/>
              </w:rPr>
            </w:pPr>
            <w:r>
              <w:rPr>
                <w:rFonts w:hint="eastAsia" w:ascii="宋体" w:hAnsi="宋体" w:eastAsia="宋体" w:cs="宋体"/>
                <w:b/>
                <w:bCs/>
                <w:color w:val="auto"/>
                <w:kern w:val="0"/>
                <w:sz w:val="24"/>
              </w:rPr>
              <w:t>国内陆运快递寄件收费参考表</w:t>
            </w:r>
          </w:p>
        </w:tc>
      </w:tr>
      <w:tr w14:paraId="41F61D42">
        <w:tblPrEx>
          <w:tblCellMar>
            <w:top w:w="0" w:type="dxa"/>
            <w:left w:w="108" w:type="dxa"/>
            <w:bottom w:w="0" w:type="dxa"/>
            <w:right w:w="108" w:type="dxa"/>
          </w:tblCellMar>
        </w:tblPrEx>
        <w:trPr>
          <w:trHeight w:val="36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9F1E029">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交寄地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91CAAF4">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寄达区</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13B6825E">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寄达地</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3C609DAE">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起重（1kg）</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7B4618A4">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续重（500g）</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35988482">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折扣</w:t>
            </w:r>
          </w:p>
        </w:tc>
      </w:tr>
      <w:tr w14:paraId="47CAB891">
        <w:tblPrEx>
          <w:tblCellMar>
            <w:top w:w="0" w:type="dxa"/>
            <w:left w:w="108" w:type="dxa"/>
            <w:bottom w:w="0" w:type="dxa"/>
            <w:right w:w="108" w:type="dxa"/>
          </w:tblCellMar>
        </w:tblPrEx>
        <w:trPr>
          <w:trHeight w:val="33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0BD09C">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广西艺术学院南湖及相思湖校区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8D3E0A">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同城</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04D54E23">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同城</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5E28960B">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972E0E6">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F41CAB">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14:paraId="12EBAA54">
        <w:tblPrEx>
          <w:tblCellMar>
            <w:top w:w="0" w:type="dxa"/>
            <w:left w:w="108" w:type="dxa"/>
            <w:bottom w:w="0" w:type="dxa"/>
            <w:right w:w="108" w:type="dxa"/>
          </w:tblCellMar>
        </w:tblPrEx>
        <w:trPr>
          <w:trHeight w:val="34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8DEDA2">
            <w:pPr>
              <w:widowControl/>
              <w:jc w:val="left"/>
              <w:rPr>
                <w:rFonts w:ascii="仿宋" w:hAnsi="仿宋" w:eastAsia="仿宋" w:cs="宋体"/>
                <w:color w:val="auto"/>
                <w:kern w:val="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B212B9E">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区内</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392DC4D1">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区内</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59D18AB5">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CFC089E">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156FEEFD">
            <w:pPr>
              <w:widowControl/>
              <w:jc w:val="left"/>
              <w:rPr>
                <w:rFonts w:ascii="宋体" w:hAnsi="宋体" w:eastAsia="宋体" w:cs="宋体"/>
                <w:color w:val="auto"/>
                <w:kern w:val="0"/>
                <w:szCs w:val="21"/>
              </w:rPr>
            </w:pPr>
          </w:p>
        </w:tc>
      </w:tr>
      <w:tr w14:paraId="58510272">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ED9120">
            <w:pPr>
              <w:widowControl/>
              <w:jc w:val="left"/>
              <w:rPr>
                <w:rFonts w:ascii="仿宋" w:hAnsi="仿宋" w:eastAsia="仿宋" w:cs="宋体"/>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C325B">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区外</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75542454">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重庆 云南 湖南 海南 贵州 广东</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774DF770">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C62F2CE">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6718F768">
            <w:pPr>
              <w:widowControl/>
              <w:jc w:val="left"/>
              <w:rPr>
                <w:rFonts w:ascii="宋体" w:hAnsi="宋体" w:eastAsia="宋体" w:cs="宋体"/>
                <w:color w:val="auto"/>
                <w:kern w:val="0"/>
                <w:szCs w:val="21"/>
              </w:rPr>
            </w:pPr>
          </w:p>
        </w:tc>
      </w:tr>
      <w:tr w14:paraId="4BF1B776">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FDE5888">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E12C1FE">
            <w:pPr>
              <w:widowControl/>
              <w:jc w:val="left"/>
              <w:rPr>
                <w:rFonts w:ascii="仿宋" w:hAnsi="仿宋" w:eastAsia="仿宋" w:cs="宋体"/>
                <w:color w:val="auto"/>
                <w:kern w:val="0"/>
                <w:szCs w:val="21"/>
              </w:rPr>
            </w:pP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57005C06">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江西 湖北 四川</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047410FC">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EB6F78B">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4C0D2166">
            <w:pPr>
              <w:widowControl/>
              <w:jc w:val="left"/>
              <w:rPr>
                <w:rFonts w:ascii="宋体" w:hAnsi="宋体" w:eastAsia="宋体" w:cs="宋体"/>
                <w:color w:val="auto"/>
                <w:kern w:val="0"/>
                <w:szCs w:val="21"/>
              </w:rPr>
            </w:pPr>
          </w:p>
        </w:tc>
      </w:tr>
      <w:tr w14:paraId="29CDD2A0">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DE6739">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8D1C67">
            <w:pPr>
              <w:widowControl/>
              <w:jc w:val="left"/>
              <w:rPr>
                <w:rFonts w:ascii="仿宋" w:hAnsi="仿宋" w:eastAsia="仿宋" w:cs="宋体"/>
                <w:color w:val="auto"/>
                <w:kern w:val="0"/>
                <w:szCs w:val="21"/>
              </w:rPr>
            </w:pP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4B306C7C">
            <w:pPr>
              <w:widowControl/>
              <w:jc w:val="left"/>
              <w:rPr>
                <w:rFonts w:ascii="仿宋" w:hAnsi="仿宋" w:eastAsia="仿宋" w:cs="宋体"/>
                <w:color w:val="auto"/>
                <w:kern w:val="0"/>
                <w:szCs w:val="21"/>
              </w:rPr>
            </w:pPr>
            <w:r>
              <w:rPr>
                <w:rFonts w:hint="eastAsia" w:ascii="仿宋" w:hAnsi="仿宋" w:eastAsia="仿宋" w:cs="宋体"/>
                <w:color w:val="auto"/>
                <w:kern w:val="0"/>
                <w:szCs w:val="21"/>
              </w:rPr>
              <w:t>上海 江苏 浙江 安徽 福建 河南 陕西</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6254CCD1">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FEA28CB">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1FB7D579">
            <w:pPr>
              <w:widowControl/>
              <w:jc w:val="left"/>
              <w:rPr>
                <w:rFonts w:ascii="宋体" w:hAnsi="宋体" w:eastAsia="宋体" w:cs="宋体"/>
                <w:color w:val="auto"/>
                <w:kern w:val="0"/>
                <w:szCs w:val="21"/>
              </w:rPr>
            </w:pPr>
          </w:p>
        </w:tc>
      </w:tr>
      <w:tr w14:paraId="2AFF5FCF">
        <w:tblPrEx>
          <w:tblCellMar>
            <w:top w:w="0" w:type="dxa"/>
            <w:left w:w="108" w:type="dxa"/>
            <w:bottom w:w="0" w:type="dxa"/>
            <w:right w:w="108" w:type="dxa"/>
          </w:tblCellMar>
        </w:tblPrEx>
        <w:trPr>
          <w:trHeight w:val="5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47F339D">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35C1B77">
            <w:pPr>
              <w:widowControl/>
              <w:jc w:val="left"/>
              <w:rPr>
                <w:rFonts w:ascii="仿宋" w:hAnsi="仿宋" w:eastAsia="仿宋" w:cs="宋体"/>
                <w:color w:val="auto"/>
                <w:kern w:val="0"/>
                <w:szCs w:val="21"/>
              </w:rPr>
            </w:pP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4E5840C8">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北京 天津 河北 山西 内蒙古 辽宁 吉林</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A15053">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18</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503329">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4</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0D2DCB10">
            <w:pPr>
              <w:widowControl/>
              <w:jc w:val="left"/>
              <w:rPr>
                <w:rFonts w:ascii="宋体" w:hAnsi="宋体" w:eastAsia="宋体" w:cs="宋体"/>
                <w:color w:val="auto"/>
                <w:kern w:val="0"/>
                <w:szCs w:val="21"/>
              </w:rPr>
            </w:pPr>
          </w:p>
        </w:tc>
      </w:tr>
      <w:tr w14:paraId="66E026E2">
        <w:tblPrEx>
          <w:tblCellMar>
            <w:top w:w="0" w:type="dxa"/>
            <w:left w:w="108" w:type="dxa"/>
            <w:bottom w:w="0" w:type="dxa"/>
            <w:right w:w="108" w:type="dxa"/>
          </w:tblCellMar>
        </w:tblPrEx>
        <w:trPr>
          <w:trHeight w:val="31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1D677F">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58D08F">
            <w:pPr>
              <w:widowControl/>
              <w:jc w:val="left"/>
              <w:rPr>
                <w:rFonts w:ascii="仿宋" w:hAnsi="仿宋" w:eastAsia="仿宋" w:cs="宋体"/>
                <w:color w:val="auto"/>
                <w:kern w:val="0"/>
                <w:szCs w:val="21"/>
              </w:rPr>
            </w:pP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50DE6BF1">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黑龙江 山东  甘肃  宁夏 青海</w:t>
            </w:r>
          </w:p>
        </w:tc>
        <w:tc>
          <w:tcPr>
            <w:tcW w:w="1316" w:type="dxa"/>
            <w:vMerge w:val="continue"/>
            <w:tcBorders>
              <w:top w:val="single" w:color="auto" w:sz="4" w:space="0"/>
              <w:left w:val="single" w:color="auto" w:sz="4" w:space="0"/>
              <w:bottom w:val="single" w:color="auto" w:sz="4" w:space="0"/>
              <w:right w:val="single" w:color="auto" w:sz="4" w:space="0"/>
            </w:tcBorders>
            <w:vAlign w:val="center"/>
          </w:tcPr>
          <w:p w14:paraId="591D3B68">
            <w:pPr>
              <w:widowControl/>
              <w:jc w:val="left"/>
              <w:rPr>
                <w:rFonts w:ascii="仿宋" w:hAnsi="仿宋" w:eastAsia="仿宋" w:cs="宋体"/>
                <w:color w:val="auto"/>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6F7D87C1">
            <w:pPr>
              <w:widowControl/>
              <w:jc w:val="left"/>
              <w:rPr>
                <w:rFonts w:ascii="仿宋" w:hAnsi="仿宋" w:eastAsia="仿宋" w:cs="宋体"/>
                <w:color w:val="auto"/>
                <w:kern w:val="0"/>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694E494D">
            <w:pPr>
              <w:widowControl/>
              <w:jc w:val="left"/>
              <w:rPr>
                <w:rFonts w:ascii="宋体" w:hAnsi="宋体" w:eastAsia="宋体" w:cs="宋体"/>
                <w:color w:val="auto"/>
                <w:kern w:val="0"/>
                <w:szCs w:val="21"/>
              </w:rPr>
            </w:pPr>
          </w:p>
        </w:tc>
      </w:tr>
      <w:tr w14:paraId="742BA67A">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BEE990">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98EFAD">
            <w:pPr>
              <w:widowControl/>
              <w:jc w:val="left"/>
              <w:rPr>
                <w:rFonts w:ascii="仿宋" w:hAnsi="仿宋" w:eastAsia="仿宋" w:cs="宋体"/>
                <w:color w:val="auto"/>
                <w:kern w:val="0"/>
                <w:szCs w:val="21"/>
              </w:rPr>
            </w:pP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5FE8E501">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新疆</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12D19E68">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6C7060C">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8</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0CB48095">
            <w:pPr>
              <w:widowControl/>
              <w:jc w:val="left"/>
              <w:rPr>
                <w:rFonts w:ascii="宋体" w:hAnsi="宋体" w:eastAsia="宋体" w:cs="宋体"/>
                <w:color w:val="auto"/>
                <w:kern w:val="0"/>
                <w:szCs w:val="21"/>
              </w:rPr>
            </w:pPr>
          </w:p>
        </w:tc>
      </w:tr>
      <w:tr w14:paraId="2D820B12">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1FF9663">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2A141E1">
            <w:pPr>
              <w:widowControl/>
              <w:jc w:val="left"/>
              <w:rPr>
                <w:rFonts w:ascii="仿宋" w:hAnsi="仿宋" w:eastAsia="仿宋" w:cs="宋体"/>
                <w:color w:val="auto"/>
                <w:kern w:val="0"/>
                <w:szCs w:val="21"/>
              </w:rPr>
            </w:pP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14:paraId="1FD8974B">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西藏</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431F3D53">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9B07F73">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465C2577">
            <w:pPr>
              <w:widowControl/>
              <w:jc w:val="left"/>
              <w:rPr>
                <w:rFonts w:ascii="宋体" w:hAnsi="宋体" w:eastAsia="宋体" w:cs="宋体"/>
                <w:color w:val="auto"/>
                <w:kern w:val="0"/>
                <w:szCs w:val="21"/>
              </w:rPr>
            </w:pPr>
          </w:p>
        </w:tc>
      </w:tr>
    </w:tbl>
    <w:p w14:paraId="3EA589E2">
      <w:pPr>
        <w:tabs>
          <w:tab w:val="left" w:pos="720"/>
        </w:tabs>
        <w:adjustRightInd w:val="0"/>
        <w:snapToGrid w:val="0"/>
        <w:spacing w:line="360" w:lineRule="auto"/>
        <w:ind w:left="0" w:leftChars="0" w:firstLine="0" w:firstLineChars="0"/>
        <w:rPr>
          <w:color w:val="auto"/>
          <w:szCs w:val="21"/>
        </w:rPr>
      </w:pPr>
    </w:p>
    <w:tbl>
      <w:tblPr>
        <w:tblStyle w:val="13"/>
        <w:tblpPr w:leftFromText="180" w:rightFromText="180" w:vertAnchor="text" w:horzAnchor="page" w:tblpX="2023" w:tblpY="451"/>
        <w:tblOverlap w:val="never"/>
        <w:tblW w:w="8880" w:type="dxa"/>
        <w:tblInd w:w="0" w:type="dxa"/>
        <w:tblLayout w:type="fixed"/>
        <w:tblCellMar>
          <w:top w:w="0" w:type="dxa"/>
          <w:left w:w="108" w:type="dxa"/>
          <w:bottom w:w="0" w:type="dxa"/>
          <w:right w:w="108" w:type="dxa"/>
        </w:tblCellMar>
      </w:tblPr>
      <w:tblGrid>
        <w:gridCol w:w="1080"/>
        <w:gridCol w:w="1080"/>
        <w:gridCol w:w="3394"/>
        <w:gridCol w:w="1306"/>
        <w:gridCol w:w="1320"/>
        <w:gridCol w:w="700"/>
      </w:tblGrid>
      <w:tr w14:paraId="196CA6F8">
        <w:tblPrEx>
          <w:tblCellMar>
            <w:top w:w="0" w:type="dxa"/>
            <w:left w:w="108" w:type="dxa"/>
            <w:bottom w:w="0" w:type="dxa"/>
            <w:right w:w="108" w:type="dxa"/>
          </w:tblCellMar>
        </w:tblPrEx>
        <w:trPr>
          <w:trHeight w:val="440" w:hRule="atLeast"/>
        </w:trPr>
        <w:tc>
          <w:tcPr>
            <w:tcW w:w="88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6FC3EF">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国内航空快递寄件收费参考表</w:t>
            </w:r>
          </w:p>
        </w:tc>
      </w:tr>
      <w:tr w14:paraId="69BA6EF8">
        <w:trPr>
          <w:trHeight w:val="40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8931918">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交寄地</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5EC00DA">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寄达区</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69135E66">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寄达地</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DC91E54">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起重（1kg）</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08D09B7">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续重（500g）</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DB3280E">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折扣</w:t>
            </w:r>
          </w:p>
        </w:tc>
      </w:tr>
      <w:tr w14:paraId="1CB4203C">
        <w:tblPrEx>
          <w:tblCellMar>
            <w:top w:w="0" w:type="dxa"/>
            <w:left w:w="108" w:type="dxa"/>
            <w:bottom w:w="0" w:type="dxa"/>
            <w:right w:w="108" w:type="dxa"/>
          </w:tblCellMar>
        </w:tblPrEx>
        <w:trPr>
          <w:trHeight w:val="30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5BC12D">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广西艺术学院南湖及相思湖校区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6B7CED">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同城</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5BA3FDB5">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同城</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643AD20B">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FD68CDD">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505D22">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w:t>
            </w:r>
          </w:p>
        </w:tc>
      </w:tr>
      <w:tr w14:paraId="4E55C210">
        <w:tblPrEx>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5B1EDA">
            <w:pPr>
              <w:widowControl/>
              <w:jc w:val="left"/>
              <w:rPr>
                <w:rFonts w:ascii="仿宋" w:hAnsi="仿宋" w:eastAsia="仿宋" w:cs="宋体"/>
                <w:color w:val="auto"/>
                <w:kern w:val="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7CF1F61">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区内</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1E768A3E">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区内</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1476D889">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717E3FF">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0AD1D2C4">
            <w:pPr>
              <w:widowControl/>
              <w:jc w:val="left"/>
              <w:rPr>
                <w:rFonts w:ascii="宋体" w:hAnsi="宋体" w:eastAsia="宋体" w:cs="宋体"/>
                <w:color w:val="auto"/>
                <w:kern w:val="0"/>
                <w:szCs w:val="21"/>
              </w:rPr>
            </w:pPr>
          </w:p>
        </w:tc>
      </w:tr>
      <w:tr w14:paraId="04990FA0">
        <w:tblPrEx>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3922EF">
            <w:pPr>
              <w:widowControl/>
              <w:jc w:val="left"/>
              <w:rPr>
                <w:rFonts w:ascii="仿宋" w:hAnsi="仿宋" w:eastAsia="仿宋" w:cs="宋体"/>
                <w:color w:val="auto"/>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76CE88">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区外</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161900F3">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广东</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80762">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CCF42">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3D1A2974">
            <w:pPr>
              <w:widowControl/>
              <w:jc w:val="left"/>
              <w:rPr>
                <w:rFonts w:ascii="宋体" w:hAnsi="宋体" w:eastAsia="宋体" w:cs="宋体"/>
                <w:color w:val="auto"/>
                <w:kern w:val="0"/>
                <w:szCs w:val="21"/>
              </w:rPr>
            </w:pPr>
          </w:p>
        </w:tc>
      </w:tr>
      <w:tr w14:paraId="28AA32DD">
        <w:tblPrEx>
          <w:tblCellMar>
            <w:top w:w="0" w:type="dxa"/>
            <w:left w:w="108" w:type="dxa"/>
            <w:bottom w:w="0" w:type="dxa"/>
            <w:right w:w="108" w:type="dxa"/>
          </w:tblCellMar>
        </w:tblPrEx>
        <w:trPr>
          <w:trHeight w:val="31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FF44119">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D41A478">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60ACCDAA">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福建、湖南、海南、重庆、贵州</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50BB0">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056B7">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032BE8D8">
            <w:pPr>
              <w:widowControl/>
              <w:jc w:val="left"/>
              <w:rPr>
                <w:rFonts w:ascii="宋体" w:hAnsi="宋体" w:eastAsia="宋体" w:cs="宋体"/>
                <w:color w:val="auto"/>
                <w:kern w:val="0"/>
                <w:szCs w:val="21"/>
              </w:rPr>
            </w:pPr>
          </w:p>
        </w:tc>
      </w:tr>
      <w:tr w14:paraId="3EAEBCB9">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CF44B28">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915055D">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4077D93B">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四川、云南</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9B1AC">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2F799">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008517A6">
            <w:pPr>
              <w:widowControl/>
              <w:jc w:val="left"/>
              <w:rPr>
                <w:rFonts w:ascii="宋体" w:hAnsi="宋体" w:eastAsia="宋体" w:cs="宋体"/>
                <w:color w:val="auto"/>
                <w:kern w:val="0"/>
                <w:szCs w:val="21"/>
              </w:rPr>
            </w:pPr>
          </w:p>
        </w:tc>
      </w:tr>
      <w:tr w14:paraId="1F65F552">
        <w:tblPrEx>
          <w:tblCellMar>
            <w:top w:w="0" w:type="dxa"/>
            <w:left w:w="108" w:type="dxa"/>
            <w:bottom w:w="0" w:type="dxa"/>
            <w:right w:w="108" w:type="dxa"/>
          </w:tblCellMar>
        </w:tblPrEx>
        <w:trPr>
          <w:trHeight w:val="76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967118">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DDB82F6">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5C167628">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北京、天津、上海、江苏、浙江、山西、安徽、江西、河南、湖北、陕西</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2AB23">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1E369">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780F5925">
            <w:pPr>
              <w:widowControl/>
              <w:jc w:val="left"/>
              <w:rPr>
                <w:rFonts w:ascii="宋体" w:hAnsi="宋体" w:eastAsia="宋体" w:cs="宋体"/>
                <w:color w:val="auto"/>
                <w:kern w:val="0"/>
                <w:szCs w:val="21"/>
              </w:rPr>
            </w:pPr>
          </w:p>
        </w:tc>
      </w:tr>
      <w:tr w14:paraId="015CCDD0">
        <w:tblPrEx>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DFAF12">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297A6BA">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1E2605E9">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河北、辽宁、山东</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906CE">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68786">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173C1FD7">
            <w:pPr>
              <w:widowControl/>
              <w:jc w:val="left"/>
              <w:rPr>
                <w:rFonts w:ascii="宋体" w:hAnsi="宋体" w:eastAsia="宋体" w:cs="宋体"/>
                <w:color w:val="auto"/>
                <w:kern w:val="0"/>
                <w:szCs w:val="21"/>
              </w:rPr>
            </w:pPr>
          </w:p>
        </w:tc>
      </w:tr>
      <w:tr w14:paraId="19B11010">
        <w:tblPrEx>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ACF24A7">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4D593D8">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0A3D0706">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内蒙古、甘肃、青海、宁夏</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D2BB7">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477E">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3E3DA033">
            <w:pPr>
              <w:widowControl/>
              <w:jc w:val="left"/>
              <w:rPr>
                <w:rFonts w:ascii="宋体" w:hAnsi="宋体" w:eastAsia="宋体" w:cs="宋体"/>
                <w:color w:val="auto"/>
                <w:kern w:val="0"/>
                <w:szCs w:val="21"/>
              </w:rPr>
            </w:pPr>
          </w:p>
        </w:tc>
      </w:tr>
      <w:tr w14:paraId="00B63EFD">
        <w:tblPrEx>
          <w:tblCellMar>
            <w:top w:w="0" w:type="dxa"/>
            <w:left w:w="108" w:type="dxa"/>
            <w:bottom w:w="0" w:type="dxa"/>
            <w:right w:w="108" w:type="dxa"/>
          </w:tblCellMar>
        </w:tblPrEx>
        <w:trPr>
          <w:trHeight w:val="31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975B4F6">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152F60">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10867F23">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吉林、黑龙江</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C7F06">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BC5B7">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4896F9F2">
            <w:pPr>
              <w:widowControl/>
              <w:jc w:val="left"/>
              <w:rPr>
                <w:rFonts w:ascii="宋体" w:hAnsi="宋体" w:eastAsia="宋体" w:cs="宋体"/>
                <w:color w:val="auto"/>
                <w:kern w:val="0"/>
                <w:szCs w:val="21"/>
              </w:rPr>
            </w:pPr>
          </w:p>
        </w:tc>
      </w:tr>
      <w:tr w14:paraId="1549A2B1">
        <w:tblPrEx>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B1D332">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77E43D7">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05A32EE2">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西藏</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A095A">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E6CC9">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1809C459">
            <w:pPr>
              <w:widowControl/>
              <w:jc w:val="left"/>
              <w:rPr>
                <w:rFonts w:ascii="宋体" w:hAnsi="宋体" w:eastAsia="宋体" w:cs="宋体"/>
                <w:color w:val="auto"/>
                <w:kern w:val="0"/>
                <w:szCs w:val="21"/>
              </w:rPr>
            </w:pPr>
          </w:p>
        </w:tc>
      </w:tr>
      <w:tr w14:paraId="35942F0A">
        <w:tblPrEx>
          <w:tblCellMar>
            <w:top w:w="0" w:type="dxa"/>
            <w:left w:w="108" w:type="dxa"/>
            <w:bottom w:w="0" w:type="dxa"/>
            <w:right w:w="108" w:type="dxa"/>
          </w:tblCellMar>
        </w:tblPrEx>
        <w:trPr>
          <w:trHeight w:val="36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63F2A37">
            <w:pPr>
              <w:widowControl/>
              <w:jc w:val="left"/>
              <w:rPr>
                <w:rFonts w:ascii="仿宋" w:hAnsi="仿宋" w:eastAsia="仿宋"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5B0C40B">
            <w:pPr>
              <w:widowControl/>
              <w:jc w:val="left"/>
              <w:rPr>
                <w:rFonts w:ascii="仿宋" w:hAnsi="仿宋" w:eastAsia="仿宋" w:cs="宋体"/>
                <w:color w:val="auto"/>
                <w:kern w:val="0"/>
                <w:szCs w:val="21"/>
              </w:rPr>
            </w:pP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14:paraId="42BCC9B3">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新疆</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2192A">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0C99C">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39DD4F69">
            <w:pPr>
              <w:widowControl/>
              <w:jc w:val="left"/>
              <w:rPr>
                <w:rFonts w:ascii="宋体" w:hAnsi="宋体" w:eastAsia="宋体" w:cs="宋体"/>
                <w:color w:val="auto"/>
                <w:kern w:val="0"/>
                <w:szCs w:val="21"/>
              </w:rPr>
            </w:pPr>
          </w:p>
        </w:tc>
      </w:tr>
    </w:tbl>
    <w:p w14:paraId="50A8CA3A">
      <w:pPr>
        <w:adjustRightInd w:val="0"/>
        <w:snapToGrid w:val="0"/>
        <w:spacing w:line="360" w:lineRule="auto"/>
        <w:ind w:left="840" w:leftChars="400" w:firstLine="420" w:firstLineChars="200"/>
        <w:rPr>
          <w:color w:val="auto"/>
          <w:szCs w:val="21"/>
        </w:rPr>
      </w:pPr>
    </w:p>
    <w:p w14:paraId="43EE63DE">
      <w:pPr>
        <w:pStyle w:val="12"/>
        <w:ind w:firstLine="0" w:firstLineChars="0"/>
        <w:rPr>
          <w:color w:val="auto"/>
          <w:szCs w:val="21"/>
        </w:rPr>
      </w:pPr>
    </w:p>
    <w:p w14:paraId="4A1D7511">
      <w:pPr>
        <w:pStyle w:val="12"/>
        <w:spacing w:line="360" w:lineRule="auto"/>
        <w:ind w:firstLine="0" w:firstLineChars="0"/>
        <w:rPr>
          <w:rFonts w:ascii="Times New Roman" w:hAnsi="Times New Roman" w:eastAsia="宋体" w:cs="Times New Roman"/>
          <w:b/>
          <w:bCs/>
          <w:color w:val="auto"/>
          <w:sz w:val="24"/>
          <w:szCs w:val="32"/>
        </w:rPr>
      </w:pPr>
      <w:r>
        <w:rPr>
          <w:rFonts w:hint="eastAsia" w:ascii="Times New Roman" w:hAnsi="Times New Roman" w:eastAsia="宋体" w:cs="Times New Roman"/>
          <w:b/>
          <w:bCs/>
          <w:color w:val="auto"/>
          <w:sz w:val="24"/>
          <w:szCs w:val="32"/>
        </w:rPr>
        <w:t>附表四  实地考察评分表（</w:t>
      </w:r>
      <w:r>
        <w:rPr>
          <w:rFonts w:ascii="Times New Roman" w:hAnsi="Times New Roman" w:eastAsia="宋体" w:cs="Times New Roman"/>
          <w:b/>
          <w:bCs/>
          <w:color w:val="auto"/>
          <w:sz w:val="24"/>
          <w:szCs w:val="32"/>
        </w:rPr>
        <w:t>100</w:t>
      </w:r>
      <w:r>
        <w:rPr>
          <w:rFonts w:hint="eastAsia" w:ascii="Times New Roman" w:hAnsi="Times New Roman" w:eastAsia="宋体" w:cs="Times New Roman"/>
          <w:b/>
          <w:bCs/>
          <w:color w:val="auto"/>
          <w:sz w:val="24"/>
          <w:szCs w:val="32"/>
        </w:rPr>
        <w:t>分）</w:t>
      </w:r>
    </w:p>
    <w:p w14:paraId="777668A1">
      <w:pPr>
        <w:pStyle w:val="12"/>
        <w:spacing w:line="360" w:lineRule="auto"/>
        <w:rPr>
          <w:rFonts w:ascii="Times New Roman" w:hAnsi="Times New Roman" w:eastAsia="宋体" w:cs="Times New Roman"/>
          <w:color w:val="auto"/>
          <w:sz w:val="24"/>
          <w:szCs w:val="32"/>
        </w:rPr>
      </w:pPr>
      <w:r>
        <w:rPr>
          <w:rFonts w:hint="eastAsia"/>
          <w:color w:val="auto"/>
        </w:rPr>
        <w:t>由投标人提供与我校目前人数相当或者运营面积相当的经营点进行考察。</w:t>
      </w:r>
    </w:p>
    <w:tbl>
      <w:tblPr>
        <w:tblStyle w:val="13"/>
        <w:tblW w:w="822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86"/>
        <w:gridCol w:w="1535"/>
      </w:tblGrid>
      <w:tr w14:paraId="00515A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86" w:type="dxa"/>
            <w:tcBorders>
              <w:top w:val="single" w:color="000000" w:sz="6" w:space="0"/>
              <w:left w:val="single" w:color="000000" w:sz="6" w:space="0"/>
              <w:bottom w:val="single" w:color="000000" w:sz="6" w:space="0"/>
              <w:right w:val="single" w:color="000000" w:sz="6" w:space="0"/>
            </w:tcBorders>
            <w:vAlign w:val="center"/>
          </w:tcPr>
          <w:p w14:paraId="013DF9FF">
            <w:pPr>
              <w:snapToGrid w:val="0"/>
              <w:spacing w:before="156" w:beforeLines="50" w:line="360" w:lineRule="auto"/>
              <w:jc w:val="center"/>
              <w:rPr>
                <w:rFonts w:ascii="宋体" w:hAnsi="宋体"/>
                <w:color w:val="auto"/>
              </w:rPr>
            </w:pPr>
            <w:r>
              <w:rPr>
                <w:rFonts w:hint="eastAsia" w:ascii="宋体" w:hAnsi="宋体"/>
                <w:color w:val="auto"/>
              </w:rPr>
              <w:t>实地考察内容</w:t>
            </w:r>
          </w:p>
        </w:tc>
        <w:tc>
          <w:tcPr>
            <w:tcW w:w="1535" w:type="dxa"/>
            <w:tcBorders>
              <w:top w:val="single" w:color="000000" w:sz="6" w:space="0"/>
              <w:left w:val="single" w:color="000000" w:sz="6" w:space="0"/>
              <w:bottom w:val="single" w:color="000000" w:sz="6" w:space="0"/>
              <w:right w:val="single" w:color="000000" w:sz="6" w:space="0"/>
            </w:tcBorders>
            <w:vAlign w:val="center"/>
          </w:tcPr>
          <w:p w14:paraId="22E7BDFE">
            <w:pPr>
              <w:snapToGrid w:val="0"/>
              <w:spacing w:before="156" w:beforeLines="50" w:line="360" w:lineRule="auto"/>
              <w:jc w:val="center"/>
              <w:rPr>
                <w:rFonts w:ascii="宋体" w:hAnsi="宋体"/>
                <w:color w:val="auto"/>
              </w:rPr>
            </w:pPr>
            <w:r>
              <w:rPr>
                <w:rFonts w:hint="eastAsia" w:ascii="宋体" w:hAnsi="宋体"/>
                <w:color w:val="auto"/>
              </w:rPr>
              <w:t>实地考察得分</w:t>
            </w:r>
          </w:p>
        </w:tc>
      </w:tr>
      <w:tr w14:paraId="74C640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6686" w:type="dxa"/>
            <w:tcBorders>
              <w:top w:val="single" w:color="000000" w:sz="6" w:space="0"/>
              <w:left w:val="single" w:color="000000" w:sz="6" w:space="0"/>
              <w:bottom w:val="single" w:color="000000" w:sz="6" w:space="0"/>
              <w:right w:val="single" w:color="000000" w:sz="6" w:space="0"/>
            </w:tcBorders>
          </w:tcPr>
          <w:p w14:paraId="5514964A">
            <w:pPr>
              <w:adjustRightInd w:val="0"/>
              <w:snapToGrid w:val="0"/>
              <w:spacing w:before="156" w:beforeLines="50" w:line="360" w:lineRule="auto"/>
              <w:jc w:val="left"/>
              <w:rPr>
                <w:rFonts w:ascii="宋体" w:hAnsi="宋体"/>
                <w:color w:val="auto"/>
              </w:rPr>
            </w:pPr>
            <w:r>
              <w:rPr>
                <w:rFonts w:hint="eastAsia" w:ascii="宋体" w:hAnsi="宋体"/>
                <w:color w:val="auto"/>
              </w:rPr>
              <w:t>一档（30分）：取件点管理一般，没有明确的快递出入记录；办公场所及办公环境整洁、有序状况一般，勉强能满足办公需求；查询拟投入人员少于一半在公司任职；服务对象意见反馈一般，服务不是很到位，投诉问题较多，服务对象满意度一般。</w:t>
            </w:r>
          </w:p>
          <w:p w14:paraId="1349B3BD">
            <w:pPr>
              <w:adjustRightInd w:val="0"/>
              <w:snapToGrid w:val="0"/>
              <w:spacing w:before="156" w:beforeLines="50" w:line="360" w:lineRule="auto"/>
              <w:jc w:val="left"/>
              <w:rPr>
                <w:rFonts w:ascii="宋体" w:hAnsi="宋体"/>
                <w:color w:val="auto"/>
              </w:rPr>
            </w:pPr>
            <w:r>
              <w:rPr>
                <w:rFonts w:hint="eastAsia" w:ascii="宋体" w:hAnsi="宋体"/>
                <w:color w:val="auto"/>
              </w:rPr>
              <w:t>二档（60分）：取件点管理较好，有明确的快递出入记录；办公场所及办公环境较整洁、有序，能满足办公需求；查询拟投入人员超过一半在公司任职；服务对象意见反馈较好，服务不是很到位，投诉问题较少，服务对象满意度较好。</w:t>
            </w:r>
          </w:p>
          <w:p w14:paraId="36AF4292">
            <w:pPr>
              <w:adjustRightInd w:val="0"/>
              <w:snapToGrid w:val="0"/>
              <w:spacing w:before="156" w:beforeLines="50" w:line="360" w:lineRule="auto"/>
              <w:jc w:val="left"/>
              <w:rPr>
                <w:rFonts w:ascii="宋体" w:hAnsi="宋体"/>
                <w:color w:val="auto"/>
              </w:rPr>
            </w:pPr>
            <w:r>
              <w:rPr>
                <w:rFonts w:hint="eastAsia" w:ascii="宋体" w:hAnsi="宋体"/>
                <w:color w:val="auto"/>
              </w:rPr>
              <w:t>三档（100分）：取件点管理优秀，有明确的快递出入记录；办公场所及办公环境整洁、有序，能满足办公需求；查询拟投入人员全部在公司任职；服务对象意见反馈好，服务很到位，投诉问题极少，服务对象满意度好。</w:t>
            </w:r>
          </w:p>
        </w:tc>
        <w:tc>
          <w:tcPr>
            <w:tcW w:w="1535" w:type="dxa"/>
            <w:tcBorders>
              <w:top w:val="single" w:color="000000" w:sz="6" w:space="0"/>
              <w:left w:val="single" w:color="000000" w:sz="6" w:space="0"/>
              <w:bottom w:val="single" w:color="000000" w:sz="6" w:space="0"/>
              <w:right w:val="single" w:color="000000" w:sz="6" w:space="0"/>
            </w:tcBorders>
            <w:vAlign w:val="center"/>
          </w:tcPr>
          <w:p w14:paraId="73BBEF09">
            <w:pPr>
              <w:snapToGrid w:val="0"/>
              <w:spacing w:line="360" w:lineRule="auto"/>
              <w:rPr>
                <w:rFonts w:ascii="宋体" w:hAnsi="宋体"/>
                <w:color w:val="auto"/>
              </w:rPr>
            </w:pPr>
          </w:p>
        </w:tc>
      </w:tr>
    </w:tbl>
    <w:p w14:paraId="551F4366">
      <w:pPr>
        <w:jc w:val="left"/>
        <w:rPr>
          <w:rFonts w:ascii="宋体" w:hAnsi="宋体" w:eastAsia="宋体"/>
          <w:b/>
          <w:color w:val="auto"/>
          <w:sz w:val="36"/>
          <w:szCs w:val="36"/>
        </w:rPr>
      </w:pPr>
    </w:p>
    <w:p w14:paraId="0E7C3151">
      <w:pPr>
        <w:rPr>
          <w:rFonts w:ascii="宋体" w:hAnsi="宋体" w:eastAsia="宋体"/>
          <w:b/>
          <w:color w:val="auto"/>
          <w:sz w:val="36"/>
          <w:szCs w:val="36"/>
        </w:rPr>
      </w:pPr>
      <w:r>
        <w:rPr>
          <w:rFonts w:hint="eastAsia" w:ascii="宋体" w:hAnsi="宋体" w:eastAsia="宋体"/>
          <w:b/>
          <w:color w:val="auto"/>
          <w:sz w:val="36"/>
          <w:szCs w:val="36"/>
        </w:rPr>
        <w:br w:type="page"/>
      </w:r>
    </w:p>
    <w:p w14:paraId="4D454A10">
      <w:pPr>
        <w:jc w:val="center"/>
        <w:rPr>
          <w:rFonts w:ascii="宋体" w:hAnsi="宋体" w:eastAsia="宋体"/>
          <w:b/>
          <w:color w:val="auto"/>
          <w:sz w:val="36"/>
          <w:szCs w:val="36"/>
        </w:rPr>
      </w:pPr>
      <w:r>
        <w:rPr>
          <w:rFonts w:hint="eastAsia" w:ascii="宋体" w:hAnsi="宋体" w:eastAsia="宋体"/>
          <w:b/>
          <w:color w:val="auto"/>
          <w:sz w:val="36"/>
          <w:szCs w:val="36"/>
        </w:rPr>
        <w:t>广西艺术学院快递服务经营合同</w:t>
      </w:r>
    </w:p>
    <w:p w14:paraId="01FBDD66">
      <w:pPr>
        <w:rPr>
          <w:rFonts w:ascii="宋体" w:hAnsi="宋体" w:eastAsia="宋体"/>
          <w:color w:val="auto"/>
          <w:sz w:val="24"/>
        </w:rPr>
      </w:pPr>
    </w:p>
    <w:p w14:paraId="23E3F8B6">
      <w:pPr>
        <w:rPr>
          <w:rFonts w:ascii="宋体" w:hAnsi="宋体" w:eastAsia="宋体"/>
          <w:color w:val="auto"/>
          <w:sz w:val="24"/>
        </w:rPr>
      </w:pPr>
      <w:r>
        <w:rPr>
          <w:rFonts w:hint="eastAsia" w:ascii="宋体" w:hAnsi="宋体" w:eastAsia="宋体"/>
          <w:color w:val="auto"/>
          <w:sz w:val="24"/>
        </w:rPr>
        <w:t>采购单位</w:t>
      </w:r>
      <w:r>
        <w:rPr>
          <w:rFonts w:ascii="宋体" w:hAnsi="宋体" w:eastAsia="宋体"/>
          <w:color w:val="auto"/>
          <w:sz w:val="24"/>
        </w:rPr>
        <w:t>(以下简称甲方):   广西艺术学院</w:t>
      </w:r>
    </w:p>
    <w:p w14:paraId="1E551D54">
      <w:pPr>
        <w:rPr>
          <w:rFonts w:ascii="宋体" w:hAnsi="宋体" w:eastAsia="宋体"/>
          <w:color w:val="auto"/>
          <w:sz w:val="24"/>
        </w:rPr>
      </w:pPr>
      <w:r>
        <w:rPr>
          <w:rFonts w:hint="eastAsia" w:ascii="宋体" w:hAnsi="宋体" w:eastAsia="宋体"/>
          <w:color w:val="auto"/>
          <w:sz w:val="24"/>
        </w:rPr>
        <w:t>中标供应商</w:t>
      </w:r>
      <w:r>
        <w:rPr>
          <w:rFonts w:ascii="宋体" w:hAnsi="宋体" w:eastAsia="宋体"/>
          <w:color w:val="auto"/>
          <w:sz w:val="24"/>
        </w:rPr>
        <w:t xml:space="preserve">(以下简称乙方):   </w:t>
      </w:r>
    </w:p>
    <w:p w14:paraId="3A9F2AFD">
      <w:pPr>
        <w:rPr>
          <w:rFonts w:ascii="宋体" w:hAnsi="宋体" w:eastAsia="宋体"/>
          <w:color w:val="auto"/>
          <w:sz w:val="24"/>
        </w:rPr>
      </w:pPr>
    </w:p>
    <w:p w14:paraId="1D8BD643">
      <w:pPr>
        <w:rPr>
          <w:rFonts w:ascii="宋体" w:hAnsi="宋体" w:eastAsia="宋体"/>
          <w:color w:val="auto"/>
          <w:sz w:val="24"/>
        </w:rPr>
      </w:pPr>
    </w:p>
    <w:p w14:paraId="5C75F056">
      <w:pPr>
        <w:ind w:firstLine="480" w:firstLineChars="200"/>
        <w:rPr>
          <w:rFonts w:ascii="宋体" w:hAnsi="宋体" w:eastAsia="宋体"/>
          <w:color w:val="auto"/>
          <w:sz w:val="24"/>
        </w:rPr>
      </w:pPr>
      <w:r>
        <w:rPr>
          <w:rFonts w:hint="eastAsia" w:ascii="宋体" w:hAnsi="宋体" w:eastAsia="宋体"/>
          <w:color w:val="auto"/>
          <w:sz w:val="24"/>
        </w:rPr>
        <w:t>根据评审结果和《中华人民共和国民法典》等法律、法规规定，鉴于乙</w:t>
      </w:r>
      <w:r>
        <w:rPr>
          <w:rFonts w:ascii="宋体" w:hAnsi="宋体" w:eastAsia="宋体"/>
          <w:color w:val="auto"/>
          <w:sz w:val="24"/>
        </w:rPr>
        <w:t xml:space="preserve"> 方作为甲方校园快递服务项目的</w:t>
      </w:r>
      <w:r>
        <w:rPr>
          <w:rFonts w:hint="eastAsia" w:ascii="宋体" w:hAnsi="宋体" w:eastAsia="宋体"/>
          <w:color w:val="auto"/>
          <w:sz w:val="24"/>
        </w:rPr>
        <w:t>成交人</w:t>
      </w:r>
      <w:r>
        <w:rPr>
          <w:rFonts w:ascii="宋体" w:hAnsi="宋体" w:eastAsia="宋体"/>
          <w:color w:val="auto"/>
          <w:sz w:val="24"/>
        </w:rPr>
        <w:t>，甲、乙双方按照</w:t>
      </w:r>
      <w:r>
        <w:rPr>
          <w:rFonts w:hint="eastAsia" w:ascii="宋体" w:hAnsi="宋体" w:eastAsia="宋体"/>
          <w:color w:val="auto"/>
          <w:sz w:val="24"/>
        </w:rPr>
        <w:t>采购</w:t>
      </w:r>
      <w:r>
        <w:rPr>
          <w:rFonts w:ascii="宋体" w:hAnsi="宋体" w:eastAsia="宋体"/>
          <w:color w:val="auto"/>
          <w:sz w:val="24"/>
        </w:rPr>
        <w:t>文件、投标</w:t>
      </w:r>
      <w:r>
        <w:rPr>
          <w:rFonts w:hint="eastAsia" w:ascii="宋体" w:hAnsi="宋体" w:eastAsia="宋体"/>
          <w:color w:val="auto"/>
          <w:sz w:val="24"/>
        </w:rPr>
        <w:t>（响应）</w:t>
      </w:r>
      <w:r>
        <w:rPr>
          <w:rFonts w:ascii="宋体" w:hAnsi="宋体" w:eastAsia="宋体"/>
          <w:color w:val="auto"/>
          <w:sz w:val="24"/>
        </w:rPr>
        <w:t>文件规定条款和</w:t>
      </w:r>
      <w:r>
        <w:rPr>
          <w:rFonts w:hint="eastAsia" w:ascii="宋体" w:hAnsi="宋体" w:eastAsia="宋体"/>
          <w:color w:val="auto"/>
          <w:sz w:val="24"/>
        </w:rPr>
        <w:t>成交人</w:t>
      </w:r>
      <w:r>
        <w:rPr>
          <w:rFonts w:ascii="宋体" w:hAnsi="宋体" w:eastAsia="宋体"/>
          <w:color w:val="auto"/>
          <w:sz w:val="24"/>
        </w:rPr>
        <w:t>承诺，本着为全体师生员工提供更好的智慧物流服务，以及平等自愿、诚实信用的原则，经友好协商一致，签订本合同。</w:t>
      </w:r>
    </w:p>
    <w:p w14:paraId="74A17827">
      <w:pPr>
        <w:ind w:firstLine="482" w:firstLineChars="200"/>
        <w:rPr>
          <w:rFonts w:ascii="宋体" w:hAnsi="宋体" w:eastAsia="宋体"/>
          <w:b/>
          <w:color w:val="auto"/>
          <w:sz w:val="24"/>
        </w:rPr>
      </w:pPr>
      <w:r>
        <w:rPr>
          <w:rFonts w:hint="eastAsia" w:ascii="宋体" w:hAnsi="宋体" w:eastAsia="宋体"/>
          <w:b/>
          <w:color w:val="auto"/>
          <w:sz w:val="24"/>
        </w:rPr>
        <w:t>第一条 合同标的</w:t>
      </w:r>
    </w:p>
    <w:p w14:paraId="3B0016A1">
      <w:pPr>
        <w:pStyle w:val="4"/>
        <w:spacing w:before="82" w:line="217" w:lineRule="auto"/>
        <w:ind w:firstLine="506" w:firstLineChars="200"/>
        <w:rPr>
          <w:b/>
          <w:color w:val="auto"/>
          <w:sz w:val="25"/>
          <w:szCs w:val="25"/>
          <w:lang w:eastAsia="zh-CN"/>
        </w:rPr>
      </w:pPr>
      <w:r>
        <w:rPr>
          <w:b/>
          <w:color w:val="auto"/>
          <w:spacing w:val="1"/>
          <w:sz w:val="25"/>
          <w:szCs w:val="25"/>
          <w:lang w:eastAsia="zh-CN"/>
        </w:rPr>
        <w:t>1.项目一览表</w:t>
      </w:r>
    </w:p>
    <w:tbl>
      <w:tblPr>
        <w:tblStyle w:val="13"/>
        <w:tblW w:w="8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960"/>
        <w:gridCol w:w="2475"/>
        <w:gridCol w:w="2184"/>
        <w:gridCol w:w="2256"/>
      </w:tblGrid>
      <w:tr w14:paraId="7EA6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08" w:type="dxa"/>
            <w:vAlign w:val="center"/>
          </w:tcPr>
          <w:p w14:paraId="4BEA9054">
            <w:pPr>
              <w:pStyle w:val="18"/>
              <w:spacing w:line="221" w:lineRule="auto"/>
              <w:jc w:val="center"/>
              <w:rPr>
                <w:b/>
                <w:color w:val="auto"/>
              </w:rPr>
            </w:pPr>
            <w:r>
              <w:rPr>
                <w:b/>
                <w:color w:val="auto"/>
                <w:spacing w:val="7"/>
              </w:rPr>
              <w:t>序</w:t>
            </w:r>
            <w:r>
              <w:rPr>
                <w:rFonts w:hint="eastAsia"/>
                <w:b/>
                <w:color w:val="auto"/>
                <w:spacing w:val="7"/>
                <w:lang w:eastAsia="zh-CN"/>
              </w:rPr>
              <w:t xml:space="preserve"> </w:t>
            </w:r>
            <w:r>
              <w:rPr>
                <w:b/>
                <w:color w:val="auto"/>
                <w:spacing w:val="7"/>
              </w:rPr>
              <w:t>号</w:t>
            </w:r>
          </w:p>
        </w:tc>
        <w:tc>
          <w:tcPr>
            <w:tcW w:w="960" w:type="dxa"/>
            <w:vAlign w:val="center"/>
          </w:tcPr>
          <w:p w14:paraId="43E1F1C3">
            <w:pPr>
              <w:pStyle w:val="18"/>
              <w:spacing w:line="221" w:lineRule="auto"/>
              <w:jc w:val="center"/>
              <w:rPr>
                <w:b/>
                <w:color w:val="auto"/>
              </w:rPr>
            </w:pPr>
            <w:r>
              <w:rPr>
                <w:b/>
                <w:color w:val="auto"/>
                <w:spacing w:val="6"/>
              </w:rPr>
              <w:t>名</w:t>
            </w:r>
            <w:r>
              <w:rPr>
                <w:rFonts w:hint="eastAsia"/>
                <w:b/>
                <w:color w:val="auto"/>
                <w:spacing w:val="6"/>
                <w:lang w:eastAsia="zh-CN"/>
              </w:rPr>
              <w:t xml:space="preserve"> </w:t>
            </w:r>
            <w:r>
              <w:rPr>
                <w:b/>
                <w:color w:val="auto"/>
                <w:spacing w:val="6"/>
              </w:rPr>
              <w:t>称</w:t>
            </w:r>
          </w:p>
        </w:tc>
        <w:tc>
          <w:tcPr>
            <w:tcW w:w="2475" w:type="dxa"/>
            <w:vAlign w:val="center"/>
          </w:tcPr>
          <w:p w14:paraId="4287A400">
            <w:pPr>
              <w:pStyle w:val="18"/>
              <w:spacing w:line="220" w:lineRule="auto"/>
              <w:jc w:val="center"/>
              <w:rPr>
                <w:b/>
                <w:color w:val="auto"/>
              </w:rPr>
            </w:pPr>
            <w:r>
              <w:rPr>
                <w:b/>
                <w:color w:val="auto"/>
                <w:spacing w:val="7"/>
              </w:rPr>
              <w:t>面</w:t>
            </w:r>
            <w:r>
              <w:rPr>
                <w:rFonts w:hint="eastAsia"/>
                <w:b/>
                <w:color w:val="auto"/>
                <w:spacing w:val="7"/>
                <w:lang w:eastAsia="zh-CN"/>
              </w:rPr>
              <w:t xml:space="preserve"> </w:t>
            </w:r>
            <w:r>
              <w:rPr>
                <w:b/>
                <w:color w:val="auto"/>
                <w:spacing w:val="7"/>
              </w:rPr>
              <w:t>积</w:t>
            </w:r>
          </w:p>
        </w:tc>
        <w:tc>
          <w:tcPr>
            <w:tcW w:w="2184" w:type="dxa"/>
            <w:vAlign w:val="center"/>
          </w:tcPr>
          <w:p w14:paraId="29608596">
            <w:pPr>
              <w:pStyle w:val="18"/>
              <w:spacing w:line="219" w:lineRule="auto"/>
              <w:jc w:val="center"/>
              <w:rPr>
                <w:b/>
                <w:color w:val="auto"/>
              </w:rPr>
            </w:pPr>
            <w:r>
              <w:rPr>
                <w:b/>
                <w:color w:val="auto"/>
                <w:spacing w:val="6"/>
              </w:rPr>
              <w:t>内</w:t>
            </w:r>
            <w:r>
              <w:rPr>
                <w:rFonts w:hint="eastAsia"/>
                <w:b/>
                <w:color w:val="auto"/>
                <w:spacing w:val="6"/>
                <w:lang w:eastAsia="zh-CN"/>
              </w:rPr>
              <w:t xml:space="preserve"> </w:t>
            </w:r>
            <w:r>
              <w:rPr>
                <w:b/>
                <w:color w:val="auto"/>
                <w:spacing w:val="6"/>
              </w:rPr>
              <w:t>容</w:t>
            </w:r>
          </w:p>
        </w:tc>
        <w:tc>
          <w:tcPr>
            <w:tcW w:w="2256" w:type="dxa"/>
            <w:vAlign w:val="center"/>
          </w:tcPr>
          <w:p w14:paraId="2DC29DC4">
            <w:pPr>
              <w:pStyle w:val="18"/>
              <w:spacing w:line="261" w:lineRule="auto"/>
              <w:ind w:left="727" w:right="575" w:hanging="139"/>
              <w:jc w:val="center"/>
              <w:rPr>
                <w:b/>
                <w:color w:val="auto"/>
                <w:spacing w:val="-11"/>
                <w:lang w:eastAsia="zh-CN"/>
              </w:rPr>
            </w:pPr>
            <w:r>
              <w:rPr>
                <w:rFonts w:hint="eastAsia"/>
                <w:b/>
                <w:color w:val="auto"/>
                <w:spacing w:val="-11"/>
                <w:lang w:eastAsia="zh-CN"/>
              </w:rPr>
              <w:t>金 额</w:t>
            </w:r>
          </w:p>
          <w:p w14:paraId="7C4B1D1F">
            <w:pPr>
              <w:pStyle w:val="18"/>
              <w:spacing w:line="261" w:lineRule="auto"/>
              <w:ind w:left="727" w:right="575" w:hanging="139"/>
              <w:jc w:val="center"/>
              <w:rPr>
                <w:b/>
                <w:color w:val="auto"/>
              </w:rPr>
            </w:pPr>
            <w:r>
              <w:rPr>
                <w:rFonts w:hint="eastAsia"/>
                <w:b/>
                <w:color w:val="auto"/>
                <w:spacing w:val="-11"/>
                <w:lang w:eastAsia="zh-CN"/>
              </w:rPr>
              <w:t>（元）</w:t>
            </w:r>
          </w:p>
        </w:tc>
      </w:tr>
      <w:tr w14:paraId="764E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608" w:type="dxa"/>
            <w:vAlign w:val="center"/>
          </w:tcPr>
          <w:p w14:paraId="7ED196C4">
            <w:pPr>
              <w:pStyle w:val="18"/>
              <w:spacing w:before="78" w:line="184" w:lineRule="auto"/>
              <w:ind w:firstLine="240" w:firstLineChars="100"/>
              <w:jc w:val="center"/>
              <w:rPr>
                <w:color w:val="auto"/>
              </w:rPr>
            </w:pPr>
            <w:r>
              <w:rPr>
                <w:color w:val="auto"/>
              </w:rPr>
              <w:t>1</w:t>
            </w:r>
          </w:p>
        </w:tc>
        <w:tc>
          <w:tcPr>
            <w:tcW w:w="960" w:type="dxa"/>
            <w:vAlign w:val="center"/>
          </w:tcPr>
          <w:p w14:paraId="597202DB">
            <w:pPr>
              <w:pStyle w:val="18"/>
              <w:spacing w:before="78" w:line="293" w:lineRule="auto"/>
              <w:ind w:left="218" w:leftChars="104" w:right="127"/>
              <w:jc w:val="center"/>
              <w:rPr>
                <w:color w:val="auto"/>
              </w:rPr>
            </w:pPr>
            <w:r>
              <w:rPr>
                <w:rFonts w:hint="eastAsia"/>
                <w:color w:val="auto"/>
                <w:spacing w:val="6"/>
                <w:lang w:eastAsia="zh-CN"/>
              </w:rPr>
              <w:t>校园快递服务</w:t>
            </w:r>
          </w:p>
        </w:tc>
        <w:tc>
          <w:tcPr>
            <w:tcW w:w="2475" w:type="dxa"/>
            <w:vAlign w:val="center"/>
          </w:tcPr>
          <w:p w14:paraId="6E7A4EEC">
            <w:pPr>
              <w:pStyle w:val="18"/>
              <w:tabs>
                <w:tab w:val="left" w:pos="2320"/>
              </w:tabs>
              <w:spacing w:before="102" w:line="220" w:lineRule="auto"/>
              <w:rPr>
                <w:color w:val="auto"/>
                <w:lang w:eastAsia="zh-CN"/>
              </w:rPr>
            </w:pPr>
            <w:r>
              <w:rPr>
                <w:color w:val="auto"/>
                <w:spacing w:val="2"/>
                <w:lang w:eastAsia="zh-CN"/>
              </w:rPr>
              <w:t>学校快递站点分为</w:t>
            </w:r>
            <w:r>
              <w:rPr>
                <w:rFonts w:hint="eastAsia"/>
                <w:color w:val="auto"/>
                <w:spacing w:val="2"/>
                <w:lang w:eastAsia="zh-CN"/>
              </w:rPr>
              <w:t>南湖校区和相思湖</w:t>
            </w:r>
            <w:r>
              <w:rPr>
                <w:color w:val="auto"/>
                <w:spacing w:val="-2"/>
                <w:lang w:eastAsia="zh-CN"/>
              </w:rPr>
              <w:t>，其中</w:t>
            </w:r>
            <w:r>
              <w:rPr>
                <w:rFonts w:hint="eastAsia"/>
                <w:color w:val="auto"/>
                <w:spacing w:val="-2"/>
                <w:lang w:eastAsia="zh-CN"/>
              </w:rPr>
              <w:t>南湖校区场地</w:t>
            </w:r>
            <w:r>
              <w:rPr>
                <w:color w:val="auto"/>
                <w:spacing w:val="2"/>
                <w:lang w:eastAsia="zh-CN"/>
              </w:rPr>
              <w:t>面积约为</w:t>
            </w:r>
            <w:r>
              <w:rPr>
                <w:color w:val="auto"/>
                <w:lang w:eastAsia="zh-CN"/>
              </w:rPr>
              <w:t xml:space="preserve">300平方米， </w:t>
            </w:r>
            <w:r>
              <w:rPr>
                <w:rFonts w:hint="eastAsia"/>
                <w:color w:val="auto"/>
                <w:lang w:eastAsia="zh-CN"/>
              </w:rPr>
              <w:t>相思湖校区场地面积</w:t>
            </w:r>
            <w:r>
              <w:rPr>
                <w:color w:val="auto"/>
                <w:spacing w:val="1"/>
                <w:lang w:eastAsia="zh-CN"/>
              </w:rPr>
              <w:t>约为400平</w:t>
            </w:r>
            <w:r>
              <w:rPr>
                <w:color w:val="auto"/>
                <w:lang w:eastAsia="zh-CN"/>
              </w:rPr>
              <w:t>方米。</w:t>
            </w:r>
          </w:p>
        </w:tc>
        <w:tc>
          <w:tcPr>
            <w:tcW w:w="2184" w:type="dxa"/>
            <w:vAlign w:val="center"/>
          </w:tcPr>
          <w:p w14:paraId="563C6015">
            <w:pPr>
              <w:pStyle w:val="18"/>
              <w:spacing w:before="61" w:line="219" w:lineRule="auto"/>
              <w:rPr>
                <w:color w:val="auto"/>
                <w:lang w:eastAsia="zh-CN"/>
              </w:rPr>
            </w:pPr>
            <w:r>
              <w:rPr>
                <w:color w:val="auto"/>
                <w:spacing w:val="1"/>
                <w:lang w:eastAsia="zh-CN"/>
              </w:rPr>
              <w:t>乙方负责整体投资建</w:t>
            </w:r>
            <w:r>
              <w:rPr>
                <w:color w:val="auto"/>
                <w:lang w:eastAsia="zh-CN"/>
              </w:rPr>
              <w:t>设运营，乙方须向甲方缴</w:t>
            </w:r>
            <w:r>
              <w:rPr>
                <w:color w:val="auto"/>
                <w:spacing w:val="1"/>
                <w:lang w:eastAsia="zh-CN"/>
              </w:rPr>
              <w:t>纳场地管理费，承担运营成本自负盈亏。</w:t>
            </w:r>
            <w:r>
              <w:rPr>
                <w:rFonts w:hint="eastAsia"/>
                <w:color w:val="auto"/>
                <w:spacing w:val="1"/>
                <w:lang w:eastAsia="zh-CN"/>
              </w:rPr>
              <w:t>详见采购人采购需求。</w:t>
            </w:r>
          </w:p>
        </w:tc>
        <w:tc>
          <w:tcPr>
            <w:tcW w:w="2256" w:type="dxa"/>
            <w:vAlign w:val="center"/>
          </w:tcPr>
          <w:p w14:paraId="1A8F182D">
            <w:pPr>
              <w:pStyle w:val="18"/>
              <w:spacing w:before="78" w:line="287" w:lineRule="auto"/>
              <w:ind w:left="218" w:leftChars="104" w:right="65"/>
              <w:rPr>
                <w:color w:val="auto"/>
                <w:spacing w:val="-1"/>
                <w:lang w:eastAsia="zh-CN"/>
              </w:rPr>
            </w:pPr>
            <w:r>
              <w:rPr>
                <w:color w:val="auto"/>
                <w:spacing w:val="-2"/>
                <w:lang w:eastAsia="zh-CN"/>
              </w:rPr>
              <w:t>每年场地管理</w:t>
            </w:r>
            <w:r>
              <w:rPr>
                <w:color w:val="auto"/>
                <w:spacing w:val="-1"/>
                <w:lang w:eastAsia="zh-CN"/>
              </w:rPr>
              <w:t>费：</w:t>
            </w:r>
          </w:p>
          <w:p w14:paraId="02B0488A">
            <w:pPr>
              <w:pStyle w:val="18"/>
              <w:spacing w:before="78" w:line="287" w:lineRule="auto"/>
              <w:ind w:left="218" w:leftChars="104" w:right="65"/>
              <w:rPr>
                <w:color w:val="auto"/>
                <w:lang w:eastAsia="zh-CN"/>
              </w:rPr>
            </w:pPr>
            <w:r>
              <w:rPr>
                <w:color w:val="auto"/>
                <w:spacing w:val="-1"/>
                <w:lang w:eastAsia="zh-CN"/>
              </w:rPr>
              <w:t>大写</w:t>
            </w:r>
            <w:r>
              <w:rPr>
                <w:rFonts w:hint="eastAsia"/>
                <w:color w:val="auto"/>
                <w:spacing w:val="-1"/>
                <w:lang w:eastAsia="zh-CN"/>
              </w:rPr>
              <w:t>：</w:t>
            </w:r>
            <w:r>
              <w:rPr>
                <w:rFonts w:hint="eastAsia"/>
                <w:color w:val="auto"/>
                <w:spacing w:val="-1"/>
                <w:u w:val="single"/>
                <w:lang w:eastAsia="zh-CN"/>
              </w:rPr>
              <w:t xml:space="preserve">     </w:t>
            </w:r>
            <w:r>
              <w:rPr>
                <w:color w:val="auto"/>
                <w:spacing w:val="3"/>
                <w:lang w:eastAsia="zh-CN"/>
              </w:rPr>
              <w:t>元/年</w:t>
            </w:r>
          </w:p>
          <w:p w14:paraId="3B4AC32B">
            <w:pPr>
              <w:pStyle w:val="18"/>
              <w:spacing w:before="72" w:line="292" w:lineRule="auto"/>
              <w:ind w:left="218" w:leftChars="104" w:right="52"/>
              <w:rPr>
                <w:color w:val="auto"/>
              </w:rPr>
            </w:pPr>
            <w:r>
              <w:rPr>
                <w:color w:val="auto"/>
                <w:spacing w:val="11"/>
              </w:rPr>
              <w:t>小写</w:t>
            </w:r>
            <w:r>
              <w:rPr>
                <w:rFonts w:hint="eastAsia"/>
                <w:color w:val="auto"/>
                <w:spacing w:val="11"/>
                <w:lang w:eastAsia="zh-CN"/>
              </w:rPr>
              <w:t>：</w:t>
            </w:r>
            <w:r>
              <w:rPr>
                <w:rFonts w:hint="eastAsia"/>
                <w:color w:val="auto"/>
                <w:spacing w:val="11"/>
                <w:u w:val="single"/>
                <w:lang w:eastAsia="zh-CN"/>
              </w:rPr>
              <w:t xml:space="preserve">   </w:t>
            </w:r>
            <w:r>
              <w:rPr>
                <w:color w:val="auto"/>
                <w:spacing w:val="3"/>
              </w:rPr>
              <w:t>元/年</w:t>
            </w:r>
          </w:p>
        </w:tc>
      </w:tr>
    </w:tbl>
    <w:p w14:paraId="05D86F30">
      <w:pPr>
        <w:pStyle w:val="4"/>
        <w:spacing w:before="82" w:line="219" w:lineRule="auto"/>
        <w:outlineLvl w:val="0"/>
        <w:rPr>
          <w:b/>
          <w:bCs/>
          <w:color w:val="auto"/>
          <w:spacing w:val="-4"/>
          <w:sz w:val="25"/>
          <w:szCs w:val="25"/>
          <w:lang w:eastAsia="zh-CN"/>
        </w:rPr>
      </w:pPr>
    </w:p>
    <w:p w14:paraId="6112B74B">
      <w:pPr>
        <w:pStyle w:val="4"/>
        <w:spacing w:before="82" w:line="219" w:lineRule="auto"/>
        <w:ind w:firstLine="486" w:firstLineChars="200"/>
        <w:outlineLvl w:val="0"/>
        <w:rPr>
          <w:color w:val="auto"/>
          <w:sz w:val="25"/>
          <w:szCs w:val="25"/>
          <w:lang w:eastAsia="zh-CN"/>
        </w:rPr>
      </w:pPr>
      <w:r>
        <w:rPr>
          <w:b/>
          <w:bCs/>
          <w:color w:val="auto"/>
          <w:spacing w:val="-4"/>
          <w:sz w:val="25"/>
          <w:szCs w:val="25"/>
          <w:lang w:eastAsia="zh-CN"/>
        </w:rPr>
        <w:t>第二条</w:t>
      </w:r>
      <w:r>
        <w:rPr>
          <w:rFonts w:hint="eastAsia"/>
          <w:b/>
          <w:bCs/>
          <w:color w:val="auto"/>
          <w:spacing w:val="-4"/>
          <w:sz w:val="25"/>
          <w:szCs w:val="25"/>
          <w:lang w:eastAsia="zh-CN"/>
        </w:rPr>
        <w:t xml:space="preserve"> </w:t>
      </w:r>
      <w:r>
        <w:rPr>
          <w:b/>
          <w:bCs/>
          <w:color w:val="auto"/>
          <w:spacing w:val="-4"/>
          <w:sz w:val="25"/>
          <w:szCs w:val="25"/>
          <w:lang w:eastAsia="zh-CN"/>
        </w:rPr>
        <w:t>质量保证</w:t>
      </w:r>
    </w:p>
    <w:p w14:paraId="75B189CC">
      <w:pPr>
        <w:ind w:firstLine="480" w:firstLineChars="200"/>
        <w:rPr>
          <w:rFonts w:ascii="宋体" w:hAnsi="宋体" w:eastAsia="宋体"/>
          <w:color w:val="auto"/>
          <w:sz w:val="24"/>
        </w:rPr>
      </w:pPr>
      <w:r>
        <w:rPr>
          <w:rFonts w:hint="eastAsia" w:ascii="宋体" w:hAnsi="宋体" w:eastAsia="宋体"/>
          <w:color w:val="auto"/>
          <w:sz w:val="24"/>
        </w:rPr>
        <w:t>乙方所建设的项目质量和提供的服务质量必须与采购文件、响应文件和承诺</w:t>
      </w:r>
      <w:r>
        <w:rPr>
          <w:rFonts w:ascii="宋体" w:hAnsi="宋体" w:eastAsia="宋体"/>
          <w:color w:val="auto"/>
          <w:sz w:val="24"/>
        </w:rPr>
        <w:t xml:space="preserve"> 相一致。</w:t>
      </w:r>
    </w:p>
    <w:p w14:paraId="2751CECA">
      <w:pPr>
        <w:ind w:firstLine="482" w:firstLineChars="200"/>
        <w:rPr>
          <w:rFonts w:ascii="宋体" w:hAnsi="宋体" w:eastAsia="宋体"/>
          <w:b/>
          <w:color w:val="auto"/>
          <w:sz w:val="24"/>
        </w:rPr>
      </w:pPr>
      <w:r>
        <w:rPr>
          <w:rFonts w:hint="eastAsia" w:ascii="宋体" w:hAnsi="宋体" w:eastAsia="宋体"/>
          <w:b/>
          <w:color w:val="auto"/>
          <w:sz w:val="24"/>
        </w:rPr>
        <w:t>第三条 交付和验收</w:t>
      </w:r>
    </w:p>
    <w:p w14:paraId="305F47E2">
      <w:pPr>
        <w:ind w:firstLine="480" w:firstLineChars="200"/>
        <w:rPr>
          <w:rFonts w:ascii="宋体" w:hAnsi="宋体" w:eastAsia="宋体"/>
          <w:color w:val="auto"/>
          <w:sz w:val="24"/>
        </w:rPr>
      </w:pPr>
      <w:r>
        <w:rPr>
          <w:rFonts w:ascii="宋体" w:hAnsi="宋体" w:eastAsia="宋体"/>
          <w:color w:val="auto"/>
          <w:sz w:val="24"/>
        </w:rPr>
        <w:t>1.项目投入运行使用时间：乙方须于合同签订之日后10个工作日内投入使用，主要满足甲方师生员工的基本生活需求。</w:t>
      </w:r>
    </w:p>
    <w:p w14:paraId="078683E1">
      <w:pPr>
        <w:ind w:firstLine="480" w:firstLineChars="200"/>
        <w:rPr>
          <w:rFonts w:ascii="宋体" w:hAnsi="宋体" w:eastAsia="宋体"/>
          <w:color w:val="auto"/>
          <w:sz w:val="24"/>
        </w:rPr>
      </w:pPr>
      <w:r>
        <w:rPr>
          <w:rFonts w:ascii="宋体" w:hAnsi="宋体" w:eastAsia="宋体"/>
          <w:color w:val="auto"/>
          <w:sz w:val="24"/>
        </w:rPr>
        <w:t>2.合作期限：自合同签订之日起5年。</w:t>
      </w:r>
    </w:p>
    <w:p w14:paraId="455D5853">
      <w:pPr>
        <w:ind w:firstLine="482" w:firstLineChars="200"/>
        <w:rPr>
          <w:rFonts w:ascii="宋体" w:hAnsi="宋体" w:eastAsia="宋体"/>
          <w:b/>
          <w:color w:val="auto"/>
          <w:sz w:val="24"/>
        </w:rPr>
      </w:pPr>
      <w:r>
        <w:rPr>
          <w:rFonts w:hint="eastAsia" w:ascii="宋体" w:hAnsi="宋体" w:eastAsia="宋体"/>
          <w:b/>
          <w:color w:val="auto"/>
          <w:sz w:val="24"/>
        </w:rPr>
        <w:t>第四条 相关费用缴纳</w:t>
      </w:r>
    </w:p>
    <w:p w14:paraId="7A8E8F73">
      <w:pPr>
        <w:ind w:firstLine="480" w:firstLineChars="200"/>
        <w:rPr>
          <w:rFonts w:ascii="宋体" w:hAnsi="宋体" w:eastAsia="宋体"/>
          <w:color w:val="auto"/>
          <w:sz w:val="24"/>
        </w:rPr>
      </w:pPr>
      <w:r>
        <w:rPr>
          <w:rFonts w:hint="eastAsia" w:ascii="宋体" w:hAnsi="宋体" w:eastAsia="宋体"/>
          <w:color w:val="auto"/>
          <w:sz w:val="24"/>
        </w:rPr>
        <w:t>（一）</w:t>
      </w:r>
      <w:r>
        <w:rPr>
          <w:rFonts w:ascii="宋体" w:hAnsi="宋体" w:eastAsia="宋体"/>
          <w:color w:val="auto"/>
          <w:sz w:val="24"/>
        </w:rPr>
        <w:t>场地管理费</w:t>
      </w:r>
    </w:p>
    <w:p w14:paraId="17A3DE0E">
      <w:pPr>
        <w:ind w:firstLine="480" w:firstLineChars="200"/>
        <w:rPr>
          <w:rFonts w:ascii="宋体" w:hAnsi="宋体" w:eastAsia="宋体"/>
          <w:color w:val="auto"/>
          <w:sz w:val="24"/>
        </w:rPr>
      </w:pPr>
      <w:r>
        <w:rPr>
          <w:rFonts w:hint="eastAsia" w:ascii="宋体" w:hAnsi="宋体" w:eastAsia="宋体"/>
          <w:color w:val="auto"/>
          <w:sz w:val="24"/>
        </w:rPr>
        <w:t>自签订合同之日起，甲方按每年</w:t>
      </w:r>
      <w:r>
        <w:rPr>
          <w:rFonts w:ascii="宋体" w:hAnsi="宋体" w:eastAsia="宋体" w:cs="Calibri"/>
          <w:color w:val="auto"/>
          <w:sz w:val="24"/>
        </w:rPr>
        <w:t>¥</w:t>
      </w:r>
      <w:r>
        <w:rPr>
          <w:rFonts w:ascii="宋体" w:hAnsi="宋体" w:eastAsia="宋体"/>
          <w:color w:val="auto"/>
          <w:sz w:val="24"/>
        </w:rPr>
        <w:t>XXXXXX元收取场地管理费。场地管理费本着先缴纳后使用的原则，每年度结算一次，第一年场地管理费在合同签订15</w:t>
      </w:r>
      <w:r>
        <w:rPr>
          <w:rFonts w:hint="eastAsia" w:ascii="宋体" w:hAnsi="宋体" w:eastAsia="宋体"/>
          <w:color w:val="auto"/>
          <w:sz w:val="24"/>
        </w:rPr>
        <w:t>个</w:t>
      </w:r>
      <w:r>
        <w:rPr>
          <w:rFonts w:ascii="宋体" w:hAnsi="宋体" w:eastAsia="宋体"/>
          <w:color w:val="auto"/>
          <w:sz w:val="24"/>
        </w:rPr>
        <w:t>工作日内缴清，</w:t>
      </w:r>
      <w:r>
        <w:rPr>
          <w:rFonts w:hint="eastAsia" w:ascii="宋体" w:hAnsi="宋体" w:eastAsia="宋体"/>
          <w:color w:val="auto"/>
          <w:sz w:val="24"/>
        </w:rPr>
        <w:t>往后每年</w:t>
      </w:r>
      <w:r>
        <w:rPr>
          <w:rFonts w:ascii="宋体" w:hAnsi="宋体" w:eastAsia="宋体"/>
          <w:color w:val="auto"/>
          <w:sz w:val="24"/>
        </w:rPr>
        <w:t>场地管理费用在</w:t>
      </w:r>
      <w:r>
        <w:rPr>
          <w:rFonts w:hint="eastAsia" w:ascii="宋体" w:hAnsi="宋体" w:eastAsia="宋体"/>
          <w:color w:val="auto"/>
          <w:sz w:val="24"/>
        </w:rPr>
        <w:t>前一</w:t>
      </w:r>
      <w:r>
        <w:rPr>
          <w:rFonts w:ascii="宋体" w:hAnsi="宋体" w:eastAsia="宋体"/>
          <w:color w:val="auto"/>
          <w:sz w:val="24"/>
        </w:rPr>
        <w:t>年的12月</w:t>
      </w:r>
      <w:r>
        <w:rPr>
          <w:rFonts w:hint="eastAsia" w:ascii="宋体" w:hAnsi="宋体" w:eastAsia="宋体"/>
          <w:color w:val="auto"/>
          <w:sz w:val="24"/>
        </w:rPr>
        <w:t>1</w:t>
      </w:r>
      <w:r>
        <w:rPr>
          <w:rFonts w:ascii="宋体" w:hAnsi="宋体" w:eastAsia="宋体"/>
          <w:color w:val="auto"/>
          <w:sz w:val="24"/>
        </w:rPr>
        <w:t>5日之前缴清。乙方以转账方式支付给甲方，甲方在收款后出具发票给乙方。转账时需备注：“</w:t>
      </w:r>
      <w:r>
        <w:rPr>
          <w:rFonts w:hint="eastAsia" w:ascii="宋体" w:hAnsi="宋体" w:eastAsia="宋体"/>
          <w:color w:val="auto"/>
          <w:sz w:val="24"/>
        </w:rPr>
        <w:t>广艺快递服务</w:t>
      </w:r>
      <w:r>
        <w:rPr>
          <w:rFonts w:ascii="宋体" w:hAnsi="宋体" w:eastAsia="宋体"/>
          <w:color w:val="auto"/>
          <w:sz w:val="24"/>
        </w:rPr>
        <w:t>20XX年场地管理费”。</w:t>
      </w:r>
    </w:p>
    <w:p w14:paraId="44F97321">
      <w:pPr>
        <w:ind w:firstLine="480" w:firstLineChars="200"/>
        <w:rPr>
          <w:rFonts w:ascii="宋体" w:hAnsi="宋体" w:eastAsia="宋体"/>
          <w:color w:val="auto"/>
          <w:sz w:val="24"/>
        </w:rPr>
      </w:pPr>
      <w:r>
        <w:rPr>
          <w:rFonts w:hint="eastAsia" w:ascii="宋体" w:hAnsi="宋体" w:eastAsia="宋体"/>
          <w:color w:val="auto"/>
          <w:sz w:val="24"/>
        </w:rPr>
        <w:t>（二）</w:t>
      </w:r>
      <w:r>
        <w:rPr>
          <w:rFonts w:ascii="宋体" w:hAnsi="宋体" w:eastAsia="宋体"/>
          <w:color w:val="auto"/>
          <w:sz w:val="24"/>
        </w:rPr>
        <w:t>水电费和水电押金</w:t>
      </w:r>
    </w:p>
    <w:p w14:paraId="09BD9330">
      <w:pPr>
        <w:ind w:firstLine="480" w:firstLineChars="200"/>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w:t>
      </w:r>
      <w:r>
        <w:rPr>
          <w:rFonts w:hint="eastAsia" w:ascii="宋体" w:hAnsi="宋体" w:eastAsia="宋体"/>
          <w:color w:val="auto"/>
          <w:sz w:val="24"/>
        </w:rPr>
        <w:t>中标方所使用的场地按学校标准要求安装水、电表，以实际使用量承担水电</w:t>
      </w:r>
      <w:r>
        <w:rPr>
          <w:rFonts w:ascii="宋体" w:hAnsi="宋体" w:eastAsia="宋体"/>
          <w:color w:val="auto"/>
          <w:sz w:val="24"/>
        </w:rPr>
        <w:t xml:space="preserve"> 费用，费用按表计量，其中水费按自来水公司给甲方同类性质用水价格100% 收取，电费按供电部门给甲方电价的100%收取。</w:t>
      </w:r>
      <w:r>
        <w:rPr>
          <w:rFonts w:hint="eastAsia" w:ascii="宋体" w:hAnsi="宋体" w:eastAsia="宋体"/>
          <w:color w:val="auto"/>
          <w:sz w:val="24"/>
        </w:rPr>
        <w:t>水电费须在甲方出具双方确认后的水电费单（通常按一个季度收取一次，实际以学校规定的时间为准）7个工作日内缴清。</w:t>
      </w:r>
      <w:r>
        <w:rPr>
          <w:rFonts w:ascii="宋体" w:hAnsi="宋体" w:eastAsia="宋体"/>
          <w:color w:val="auto"/>
          <w:sz w:val="24"/>
        </w:rPr>
        <w:t>水电押金为人民币10000元，在</w:t>
      </w:r>
      <w:r>
        <w:rPr>
          <w:rFonts w:hint="eastAsia" w:ascii="宋体" w:hAnsi="宋体" w:eastAsia="宋体"/>
          <w:color w:val="auto"/>
          <w:sz w:val="24"/>
        </w:rPr>
        <w:t>合同签订</w:t>
      </w:r>
      <w:r>
        <w:rPr>
          <w:rFonts w:ascii="宋体" w:hAnsi="宋体" w:eastAsia="宋体"/>
          <w:color w:val="auto"/>
          <w:sz w:val="24"/>
        </w:rPr>
        <w:t>后5个工作日交到校方账户</w:t>
      </w:r>
      <w:r>
        <w:rPr>
          <w:rFonts w:hint="eastAsia" w:ascii="宋体" w:hAnsi="宋体" w:eastAsia="宋体"/>
          <w:color w:val="auto"/>
          <w:sz w:val="24"/>
        </w:rPr>
        <w:t>，若出现水电缴费不及时的情况，甲方有权从水电押金中扣除，并要求乙方在5个人工作日内按合同约定金额缴齐水电押金，否则甲方有权解除合同。</w:t>
      </w:r>
    </w:p>
    <w:p w14:paraId="156BBBBC">
      <w:pPr>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 合同期满，乙方无影响本合同实质要件的违约行为，款项结算清楚，财物归还手续办妥后，甲方扣除违约金等后无息退还剩余的</w:t>
      </w:r>
      <w:r>
        <w:rPr>
          <w:rFonts w:hint="eastAsia" w:ascii="宋体" w:hAnsi="宋体" w:eastAsia="宋体"/>
          <w:color w:val="auto"/>
          <w:sz w:val="24"/>
        </w:rPr>
        <w:t>水电押金</w:t>
      </w:r>
      <w:r>
        <w:rPr>
          <w:rFonts w:ascii="宋体" w:hAnsi="宋体" w:eastAsia="宋体"/>
          <w:color w:val="auto"/>
          <w:sz w:val="24"/>
        </w:rPr>
        <w:t>。</w:t>
      </w:r>
    </w:p>
    <w:p w14:paraId="6C7241A2">
      <w:pPr>
        <w:ind w:firstLine="480" w:firstLineChars="200"/>
        <w:rPr>
          <w:rFonts w:ascii="宋体" w:hAnsi="宋体" w:eastAsia="宋体"/>
          <w:color w:val="auto"/>
          <w:sz w:val="24"/>
        </w:rPr>
      </w:pPr>
      <w:r>
        <w:rPr>
          <w:rFonts w:ascii="宋体" w:hAnsi="宋体" w:eastAsia="宋体"/>
          <w:color w:val="auto"/>
          <w:sz w:val="24"/>
        </w:rPr>
        <w:t>(</w:t>
      </w:r>
      <w:r>
        <w:rPr>
          <w:rFonts w:hint="eastAsia" w:ascii="宋体" w:hAnsi="宋体" w:eastAsia="宋体"/>
          <w:color w:val="auto"/>
          <w:sz w:val="24"/>
        </w:rPr>
        <w:t>三</w:t>
      </w:r>
      <w:r>
        <w:rPr>
          <w:rFonts w:ascii="宋体" w:hAnsi="宋体" w:eastAsia="宋体"/>
          <w:color w:val="auto"/>
          <w:sz w:val="24"/>
        </w:rPr>
        <w:t>)履约保证金</w:t>
      </w:r>
    </w:p>
    <w:p w14:paraId="48E344D7">
      <w:pPr>
        <w:ind w:firstLine="480" w:firstLineChars="200"/>
        <w:rPr>
          <w:rFonts w:ascii="宋体" w:hAnsi="宋体" w:eastAsia="宋体"/>
          <w:color w:val="auto"/>
          <w:sz w:val="24"/>
        </w:rPr>
      </w:pPr>
      <w:r>
        <w:rPr>
          <w:rFonts w:ascii="宋体" w:hAnsi="宋体" w:eastAsia="宋体"/>
          <w:color w:val="auto"/>
          <w:sz w:val="24"/>
        </w:rPr>
        <w:t>1.履约保证金按一年场地费中标金额的30%缴纳，即大写：XXXXXX(小写：</w:t>
      </w:r>
      <w:r>
        <w:rPr>
          <w:rFonts w:ascii="宋体" w:hAnsi="宋体" w:eastAsia="宋体" w:cs="Calibri"/>
          <w:color w:val="auto"/>
          <w:sz w:val="24"/>
        </w:rPr>
        <w:t>¥</w:t>
      </w:r>
      <w:r>
        <w:rPr>
          <w:rFonts w:ascii="宋体" w:hAnsi="宋体" w:eastAsia="宋体"/>
          <w:color w:val="auto"/>
          <w:sz w:val="24"/>
        </w:rPr>
        <w:t>XXXXX)。在</w:t>
      </w:r>
      <w:r>
        <w:rPr>
          <w:rFonts w:hint="eastAsia" w:ascii="宋体" w:hAnsi="宋体" w:eastAsia="宋体"/>
          <w:color w:val="auto"/>
          <w:sz w:val="24"/>
        </w:rPr>
        <w:t>合同签订</w:t>
      </w:r>
      <w:r>
        <w:rPr>
          <w:rFonts w:ascii="宋体" w:hAnsi="宋体" w:eastAsia="宋体"/>
          <w:color w:val="auto"/>
          <w:sz w:val="24"/>
        </w:rPr>
        <w:t>后5个工作日交到校方账户</w:t>
      </w:r>
      <w:r>
        <w:rPr>
          <w:rFonts w:hint="eastAsia" w:ascii="宋体" w:hAnsi="宋体" w:eastAsia="宋体"/>
          <w:color w:val="auto"/>
          <w:sz w:val="24"/>
        </w:rPr>
        <w:t>，</w:t>
      </w:r>
      <w:r>
        <w:rPr>
          <w:rFonts w:ascii="宋体" w:hAnsi="宋体" w:eastAsia="宋体"/>
          <w:color w:val="auto"/>
          <w:sz w:val="24"/>
        </w:rPr>
        <w:t>缴纳时注明：“智慧物流中心履约保证金”</w:t>
      </w:r>
      <w:r>
        <w:rPr>
          <w:rFonts w:hint="eastAsia" w:ascii="宋体" w:hAnsi="宋体" w:eastAsia="宋体"/>
          <w:color w:val="auto"/>
          <w:sz w:val="24"/>
        </w:rPr>
        <w:t>。若出现合同约定的违约情况，甲方有权从履约保证金中扣除，并要求乙方在5个人工作日内按合同约定金额缴齐履约保证金，否则甲方有权解除合同。</w:t>
      </w:r>
    </w:p>
    <w:p w14:paraId="7597A704">
      <w:pPr>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.合同期满，乙方无影响本合同实质要件的违约行为，款项结算清楚，财物归还手续办妥后，甲方扣除违约金等后无息退还剩余的履约保证金。</w:t>
      </w:r>
    </w:p>
    <w:p w14:paraId="4B9231A0">
      <w:pPr>
        <w:ind w:firstLine="480" w:firstLineChars="200"/>
        <w:rPr>
          <w:rFonts w:ascii="宋体" w:hAnsi="宋体" w:eastAsia="宋体"/>
          <w:color w:val="auto"/>
          <w:sz w:val="24"/>
        </w:rPr>
      </w:pPr>
      <w:r>
        <w:rPr>
          <w:rFonts w:hint="eastAsia" w:ascii="宋体" w:hAnsi="宋体" w:eastAsia="宋体"/>
          <w:color w:val="auto"/>
          <w:sz w:val="24"/>
        </w:rPr>
        <w:t>（四）</w:t>
      </w:r>
      <w:r>
        <w:rPr>
          <w:rFonts w:ascii="宋体" w:hAnsi="宋体" w:eastAsia="宋体"/>
          <w:color w:val="auto"/>
          <w:sz w:val="24"/>
        </w:rPr>
        <w:t>税费</w:t>
      </w:r>
    </w:p>
    <w:p w14:paraId="250E138F">
      <w:pPr>
        <w:ind w:firstLine="480" w:firstLineChars="200"/>
        <w:rPr>
          <w:rFonts w:ascii="宋体" w:hAnsi="宋体" w:eastAsia="宋体"/>
          <w:color w:val="auto"/>
          <w:sz w:val="24"/>
        </w:rPr>
      </w:pPr>
      <w:r>
        <w:rPr>
          <w:rFonts w:hint="eastAsia" w:ascii="宋体" w:hAnsi="宋体" w:eastAsia="宋体"/>
          <w:color w:val="auto"/>
          <w:sz w:val="24"/>
        </w:rPr>
        <w:t>项目建设和服务过程中产生的一切税费，均由乙方负担。</w:t>
      </w:r>
    </w:p>
    <w:p w14:paraId="68152325">
      <w:pPr>
        <w:ind w:firstLine="482" w:firstLineChars="200"/>
        <w:rPr>
          <w:rFonts w:ascii="宋体" w:hAnsi="宋体" w:eastAsia="宋体"/>
          <w:b/>
          <w:color w:val="auto"/>
          <w:sz w:val="24"/>
        </w:rPr>
      </w:pPr>
      <w:r>
        <w:rPr>
          <w:rFonts w:hint="eastAsia" w:ascii="宋体" w:hAnsi="宋体" w:eastAsia="宋体"/>
          <w:b/>
          <w:color w:val="auto"/>
          <w:sz w:val="24"/>
        </w:rPr>
        <w:t>第五条 设施设备维护与使用</w:t>
      </w:r>
    </w:p>
    <w:p w14:paraId="27D41BC9">
      <w:pPr>
        <w:ind w:firstLine="480" w:firstLineChars="200"/>
        <w:rPr>
          <w:rFonts w:ascii="宋体" w:hAnsi="宋体" w:eastAsia="宋体"/>
          <w:color w:val="auto"/>
          <w:sz w:val="24"/>
        </w:rPr>
      </w:pPr>
      <w:r>
        <w:rPr>
          <w:rFonts w:ascii="宋体" w:hAnsi="宋体" w:eastAsia="宋体"/>
          <w:color w:val="auto"/>
          <w:sz w:val="24"/>
        </w:rPr>
        <w:t>1.合同期内，甲方应保证房屋及其附属设施在安全、环保、消防等方面均 符合本合同约定用途。房屋及其原附属设施的维修责任除双方在本合同及投标</w:t>
      </w:r>
      <w:r>
        <w:rPr>
          <w:rFonts w:hint="eastAsia" w:ascii="宋体" w:hAnsi="宋体" w:eastAsia="宋体"/>
          <w:color w:val="auto"/>
          <w:sz w:val="24"/>
        </w:rPr>
        <w:t>（响应）</w:t>
      </w:r>
      <w:r>
        <w:rPr>
          <w:rFonts w:ascii="宋体" w:hAnsi="宋体" w:eastAsia="宋体"/>
          <w:color w:val="auto"/>
          <w:sz w:val="24"/>
        </w:rPr>
        <w:t>文件中约定外，均由甲方负责(乙方对房屋进行现代化的升级装修和因经营需要添 置的新设备除外)。</w:t>
      </w:r>
    </w:p>
    <w:p w14:paraId="7BDECFC9">
      <w:pPr>
        <w:ind w:firstLine="480" w:firstLineChars="200"/>
        <w:rPr>
          <w:rFonts w:ascii="宋体" w:hAnsi="宋体" w:eastAsia="宋体"/>
          <w:color w:val="auto"/>
          <w:sz w:val="24"/>
        </w:rPr>
      </w:pPr>
      <w:r>
        <w:rPr>
          <w:rFonts w:ascii="宋体" w:hAnsi="宋体" w:eastAsia="宋体"/>
          <w:color w:val="auto"/>
          <w:sz w:val="24"/>
        </w:rPr>
        <w:t>2.乙方应合理使用房屋及其附属设施。因乙方保管不当或使用不当造成房屋 及其附属设施发生损坏或故障的，乙方应当负责维修或承担赔偿责任。</w:t>
      </w:r>
    </w:p>
    <w:p w14:paraId="1A7308BE">
      <w:pPr>
        <w:ind w:firstLine="480" w:firstLineChars="200"/>
        <w:rPr>
          <w:rFonts w:ascii="宋体" w:hAnsi="宋体" w:eastAsia="宋体"/>
          <w:color w:val="auto"/>
          <w:sz w:val="24"/>
        </w:rPr>
      </w:pPr>
      <w:r>
        <w:rPr>
          <w:rFonts w:ascii="宋体" w:hAnsi="宋体" w:eastAsia="宋体"/>
          <w:color w:val="auto"/>
          <w:sz w:val="24"/>
        </w:rPr>
        <w:t>3.乙方如改变房屋的内部结构、装修或增设对房屋结构有影响的设备，设计 规模、范围、工艺、用料等方案均须事先征得甲方的书面同意后方可施工。合同</w:t>
      </w:r>
      <w:r>
        <w:rPr>
          <w:rFonts w:hint="eastAsia" w:ascii="宋体" w:hAnsi="宋体" w:eastAsia="宋体"/>
          <w:color w:val="auto"/>
          <w:sz w:val="24"/>
        </w:rPr>
        <w:t>期满或因乙方责任导致提前终止合同的，除双方另有约定外，甲方有权选择以下权利的一种：</w:t>
      </w:r>
      <w:r>
        <w:rPr>
          <w:rFonts w:ascii="宋体" w:hAnsi="宋体" w:eastAsia="宋体"/>
          <w:color w:val="auto"/>
          <w:sz w:val="24"/>
        </w:rPr>
        <w:t>(1)依附于房屋的装修归甲方所有；(2)要求乙方</w:t>
      </w:r>
      <w:r>
        <w:rPr>
          <w:rFonts w:hint="eastAsia" w:ascii="宋体" w:hAnsi="宋体" w:eastAsia="宋体"/>
          <w:color w:val="auto"/>
          <w:sz w:val="24"/>
        </w:rPr>
        <w:t>限期</w:t>
      </w:r>
      <w:r>
        <w:rPr>
          <w:rFonts w:ascii="宋体" w:hAnsi="宋体" w:eastAsia="宋体"/>
          <w:color w:val="auto"/>
          <w:sz w:val="24"/>
        </w:rPr>
        <w:t>恢复原状；(3) 如果乙方不恢复原状，向乙方收取恢复工程的合理费用，费用从履约保证金扣除。</w:t>
      </w:r>
    </w:p>
    <w:p w14:paraId="4C535A84">
      <w:pPr>
        <w:ind w:firstLine="482" w:firstLineChars="200"/>
        <w:rPr>
          <w:rFonts w:ascii="宋体" w:hAnsi="宋体" w:eastAsia="宋体"/>
          <w:b/>
          <w:color w:val="auto"/>
          <w:sz w:val="24"/>
        </w:rPr>
      </w:pPr>
      <w:r>
        <w:rPr>
          <w:rFonts w:hint="eastAsia" w:ascii="宋体" w:hAnsi="宋体" w:eastAsia="宋体"/>
          <w:b/>
          <w:color w:val="auto"/>
          <w:sz w:val="24"/>
        </w:rPr>
        <w:t>第六条 双方的权利义务</w:t>
      </w:r>
    </w:p>
    <w:p w14:paraId="3E1022FC">
      <w:pPr>
        <w:ind w:firstLine="480" w:firstLineChars="200"/>
        <w:rPr>
          <w:rFonts w:ascii="宋体" w:hAnsi="宋体" w:eastAsia="宋体"/>
          <w:color w:val="auto"/>
          <w:sz w:val="24"/>
        </w:rPr>
      </w:pPr>
      <w:r>
        <w:rPr>
          <w:rFonts w:hint="eastAsia" w:ascii="宋体" w:hAnsi="宋体" w:eastAsia="宋体"/>
          <w:color w:val="auto"/>
          <w:sz w:val="24"/>
        </w:rPr>
        <w:t>（一）</w:t>
      </w:r>
      <w:r>
        <w:rPr>
          <w:rFonts w:ascii="宋体" w:hAnsi="宋体" w:eastAsia="宋体"/>
          <w:color w:val="auto"/>
          <w:sz w:val="24"/>
        </w:rPr>
        <w:t>甲方的权利</w:t>
      </w:r>
    </w:p>
    <w:p w14:paraId="30E97106">
      <w:pPr>
        <w:ind w:firstLine="480" w:firstLineChars="200"/>
        <w:rPr>
          <w:rFonts w:ascii="宋体" w:hAnsi="宋体" w:eastAsia="宋体"/>
          <w:color w:val="auto"/>
          <w:sz w:val="24"/>
        </w:rPr>
      </w:pPr>
      <w:r>
        <w:rPr>
          <w:rFonts w:ascii="宋体" w:hAnsi="宋体" w:eastAsia="宋体"/>
          <w:color w:val="auto"/>
          <w:sz w:val="24"/>
        </w:rPr>
        <w:t>1.对委托给乙方经营管理的场地、设施、设备等资产享有法定所有权，并享 有监督使用权。</w:t>
      </w:r>
    </w:p>
    <w:p w14:paraId="7A983913">
      <w:pPr>
        <w:ind w:firstLine="480" w:firstLineChars="200"/>
        <w:rPr>
          <w:rFonts w:ascii="宋体" w:hAnsi="宋体" w:eastAsia="宋体"/>
          <w:color w:val="auto"/>
          <w:sz w:val="24"/>
        </w:rPr>
      </w:pPr>
      <w:r>
        <w:rPr>
          <w:rFonts w:ascii="宋体" w:hAnsi="宋体" w:eastAsia="宋体"/>
          <w:color w:val="auto"/>
          <w:sz w:val="24"/>
        </w:rPr>
        <w:t>2.监督乙方履行合同约定的条款，不干预乙方的正常经营活动。</w:t>
      </w:r>
    </w:p>
    <w:p w14:paraId="13013F78">
      <w:pPr>
        <w:ind w:firstLine="480" w:firstLineChars="200"/>
        <w:rPr>
          <w:rFonts w:ascii="宋体" w:hAnsi="宋体" w:eastAsia="宋体"/>
          <w:color w:val="auto"/>
          <w:sz w:val="24"/>
        </w:rPr>
      </w:pPr>
      <w:r>
        <w:rPr>
          <w:rFonts w:ascii="宋体" w:hAnsi="宋体" w:eastAsia="宋体"/>
          <w:color w:val="auto"/>
          <w:sz w:val="24"/>
        </w:rPr>
        <w:t>3.监督乙方履行合同、依法经营，可对价格、服务质量、员工管理等进行定 期和不定期监督检查。对乙方服务水平及卫生状况进行监督，甲方管理人员可进 入进行监督检查，提出整改意见，乙方必须马上予以整改。</w:t>
      </w:r>
    </w:p>
    <w:p w14:paraId="312F8BDF">
      <w:pPr>
        <w:ind w:firstLine="480" w:firstLineChars="200"/>
        <w:rPr>
          <w:rFonts w:ascii="宋体" w:hAnsi="宋体" w:eastAsia="宋体"/>
          <w:color w:val="auto"/>
          <w:sz w:val="24"/>
        </w:rPr>
      </w:pPr>
      <w:r>
        <w:rPr>
          <w:rFonts w:ascii="宋体" w:hAnsi="宋体" w:eastAsia="宋体"/>
          <w:color w:val="auto"/>
          <w:sz w:val="24"/>
        </w:rPr>
        <w:t>4.对乙方的经营活动涉及到甲方权益、声誉、综治、计生以及其他合法权益 方面的问题进行监督。发现问题的，甲方予以书面通知或其它方式通知乙方，乙 方收到通知5个工作日内进行整改，经甲方通知后，乙方在规定期限内仍未予以 整改的，</w:t>
      </w:r>
      <w:r>
        <w:rPr>
          <w:rFonts w:hint="eastAsia" w:ascii="宋体" w:hAnsi="宋体" w:eastAsia="宋体"/>
          <w:color w:val="auto"/>
          <w:sz w:val="24"/>
        </w:rPr>
        <w:t>甲方每次扣除1</w:t>
      </w:r>
      <w:r>
        <w:rPr>
          <w:rFonts w:ascii="宋体" w:hAnsi="宋体" w:eastAsia="宋体"/>
          <w:color w:val="auto"/>
          <w:sz w:val="24"/>
        </w:rPr>
        <w:t>000</w:t>
      </w:r>
      <w:r>
        <w:rPr>
          <w:rFonts w:hint="eastAsia" w:ascii="宋体" w:hAnsi="宋体" w:eastAsia="宋体"/>
          <w:color w:val="auto"/>
          <w:sz w:val="24"/>
        </w:rPr>
        <w:t>元履约保证金，并</w:t>
      </w:r>
      <w:r>
        <w:rPr>
          <w:rFonts w:ascii="宋体" w:hAnsi="宋体" w:eastAsia="宋体"/>
          <w:color w:val="auto"/>
          <w:sz w:val="24"/>
        </w:rPr>
        <w:t>有权向有关部门反映情况并作相应处理。</w:t>
      </w:r>
    </w:p>
    <w:p w14:paraId="5B5C47D6">
      <w:pPr>
        <w:ind w:firstLine="480" w:firstLineChars="200"/>
        <w:rPr>
          <w:rFonts w:ascii="宋体" w:hAnsi="宋体" w:eastAsia="宋体"/>
          <w:color w:val="auto"/>
          <w:sz w:val="24"/>
        </w:rPr>
      </w:pPr>
      <w:r>
        <w:rPr>
          <w:rFonts w:ascii="宋体" w:hAnsi="宋体" w:eastAsia="宋体"/>
          <w:color w:val="auto"/>
          <w:sz w:val="24"/>
        </w:rPr>
        <w:t xml:space="preserve">5.有权取缔乙方违反学校各种规章制度和校园文明建设规定的活动。 </w:t>
      </w:r>
    </w:p>
    <w:p w14:paraId="23F51FF6">
      <w:pPr>
        <w:ind w:firstLine="480" w:firstLineChars="200"/>
        <w:rPr>
          <w:rFonts w:ascii="宋体" w:hAnsi="宋体" w:eastAsia="宋体"/>
          <w:color w:val="auto"/>
          <w:sz w:val="24"/>
        </w:rPr>
      </w:pPr>
      <w:r>
        <w:rPr>
          <w:rFonts w:ascii="宋体" w:hAnsi="宋体" w:eastAsia="宋体"/>
          <w:color w:val="auto"/>
          <w:sz w:val="24"/>
        </w:rPr>
        <w:t>6.甲方有权要求乙方更换多次违纪和严重违纪职工。</w:t>
      </w:r>
    </w:p>
    <w:p w14:paraId="6BA7F2D9">
      <w:pPr>
        <w:ind w:firstLine="480" w:firstLineChars="200"/>
        <w:rPr>
          <w:rFonts w:ascii="宋体" w:hAnsi="宋体" w:eastAsia="宋体"/>
          <w:color w:val="auto"/>
          <w:sz w:val="24"/>
        </w:rPr>
      </w:pPr>
      <w:r>
        <w:rPr>
          <w:rFonts w:ascii="宋体" w:hAnsi="宋体" w:eastAsia="宋体"/>
          <w:color w:val="auto"/>
          <w:sz w:val="24"/>
        </w:rPr>
        <w:t xml:space="preserve">7.在合同生效之日起10个工作日内，按规定向乙方提供本项目场地，并保 </w:t>
      </w:r>
      <w:r>
        <w:rPr>
          <w:rFonts w:ascii="宋体" w:hAnsi="宋体" w:eastAsia="宋体"/>
          <w:color w:val="auto"/>
          <w:sz w:val="24"/>
        </w:rPr>
        <w:t>证通水通电及排污通畅。</w:t>
      </w:r>
    </w:p>
    <w:p w14:paraId="406AD88F">
      <w:pPr>
        <w:ind w:firstLine="480" w:firstLineChars="200"/>
        <w:rPr>
          <w:rFonts w:ascii="宋体" w:hAnsi="宋体" w:eastAsia="宋体"/>
          <w:color w:val="auto"/>
          <w:sz w:val="24"/>
        </w:rPr>
      </w:pPr>
      <w:r>
        <w:rPr>
          <w:rFonts w:ascii="宋体" w:hAnsi="宋体" w:eastAsia="宋体"/>
          <w:color w:val="auto"/>
          <w:sz w:val="24"/>
        </w:rPr>
        <w:t>8.在合作期内，如因国家或学校政策、规划需要而调整场地时，采购人有权 收回场地，采购人不予赔偿或补偿，</w:t>
      </w:r>
      <w:r>
        <w:rPr>
          <w:rFonts w:hint="eastAsia" w:ascii="宋体" w:hAnsi="宋体" w:eastAsia="宋体"/>
          <w:color w:val="auto"/>
          <w:sz w:val="24"/>
        </w:rPr>
        <w:t>成交人</w:t>
      </w:r>
      <w:r>
        <w:rPr>
          <w:rFonts w:ascii="宋体" w:hAnsi="宋体" w:eastAsia="宋体"/>
          <w:color w:val="auto"/>
          <w:sz w:val="24"/>
        </w:rPr>
        <w:t>应给予理解支持，双方可协商校内其 他处迁建平台，费用由乙方承担。</w:t>
      </w:r>
    </w:p>
    <w:p w14:paraId="05137127">
      <w:pPr>
        <w:ind w:firstLine="480" w:firstLineChars="200"/>
        <w:rPr>
          <w:rFonts w:ascii="宋体" w:hAnsi="宋体" w:eastAsia="宋体"/>
          <w:color w:val="auto"/>
          <w:sz w:val="24"/>
        </w:rPr>
      </w:pPr>
      <w:r>
        <w:rPr>
          <w:rFonts w:ascii="宋体" w:hAnsi="宋体" w:eastAsia="宋体"/>
          <w:color w:val="auto"/>
          <w:sz w:val="24"/>
        </w:rPr>
        <w:t>(二)甲方的义务</w:t>
      </w:r>
    </w:p>
    <w:p w14:paraId="16B81B1A">
      <w:pPr>
        <w:ind w:firstLine="480" w:firstLineChars="200"/>
        <w:rPr>
          <w:rFonts w:ascii="宋体" w:hAnsi="宋体" w:eastAsia="宋体"/>
          <w:color w:val="auto"/>
          <w:sz w:val="24"/>
        </w:rPr>
      </w:pPr>
      <w:r>
        <w:rPr>
          <w:rFonts w:ascii="宋体" w:hAnsi="宋体" w:eastAsia="宋体"/>
          <w:color w:val="auto"/>
          <w:sz w:val="24"/>
        </w:rPr>
        <w:t>1.为乙方经营提供水电气等必要方便。</w:t>
      </w:r>
    </w:p>
    <w:p w14:paraId="1FEEA7EC">
      <w:pPr>
        <w:ind w:firstLine="480" w:firstLineChars="200"/>
        <w:rPr>
          <w:rFonts w:ascii="宋体" w:hAnsi="宋体" w:eastAsia="宋体"/>
          <w:color w:val="auto"/>
          <w:sz w:val="24"/>
        </w:rPr>
      </w:pPr>
      <w:r>
        <w:rPr>
          <w:rFonts w:ascii="宋体" w:hAnsi="宋体" w:eastAsia="宋体"/>
          <w:color w:val="auto"/>
          <w:sz w:val="24"/>
        </w:rPr>
        <w:t>2.协助联系安装、维修维护、管理收费系统，系统设备、安装及维护费用由 乙方支付。</w:t>
      </w:r>
    </w:p>
    <w:p w14:paraId="514735F3">
      <w:pPr>
        <w:ind w:firstLine="480" w:firstLineChars="200"/>
        <w:rPr>
          <w:rFonts w:ascii="宋体" w:hAnsi="宋体" w:eastAsia="宋体"/>
          <w:color w:val="auto"/>
          <w:sz w:val="24"/>
        </w:rPr>
      </w:pPr>
      <w:r>
        <w:rPr>
          <w:rFonts w:ascii="宋体" w:hAnsi="宋体" w:eastAsia="宋体"/>
          <w:color w:val="auto"/>
          <w:sz w:val="24"/>
        </w:rPr>
        <w:t>3.协助乙方维持治安秩序，并加强对员工和学生的教育。</w:t>
      </w:r>
    </w:p>
    <w:p w14:paraId="35CCDBC6">
      <w:pPr>
        <w:ind w:firstLine="480" w:firstLineChars="200"/>
        <w:rPr>
          <w:rFonts w:ascii="宋体" w:hAnsi="宋体" w:eastAsia="宋体"/>
          <w:color w:val="auto"/>
          <w:sz w:val="24"/>
        </w:rPr>
      </w:pPr>
      <w:r>
        <w:rPr>
          <w:rFonts w:ascii="宋体" w:hAnsi="宋体" w:eastAsia="宋体"/>
          <w:color w:val="auto"/>
          <w:sz w:val="24"/>
        </w:rPr>
        <w:t>(三)乙方的权利</w:t>
      </w:r>
    </w:p>
    <w:p w14:paraId="70B7E36C">
      <w:pPr>
        <w:ind w:firstLine="480" w:firstLineChars="200"/>
        <w:rPr>
          <w:rFonts w:ascii="宋体" w:hAnsi="宋体" w:eastAsia="宋体"/>
          <w:color w:val="auto"/>
          <w:sz w:val="24"/>
        </w:rPr>
      </w:pPr>
      <w:r>
        <w:rPr>
          <w:rFonts w:ascii="宋体" w:hAnsi="宋体" w:eastAsia="宋体"/>
          <w:color w:val="auto"/>
          <w:sz w:val="24"/>
        </w:rPr>
        <w:t>1.对甲方提供合同约定的场地、设备享有使用权。</w:t>
      </w:r>
    </w:p>
    <w:p w14:paraId="07CA4DEC">
      <w:pPr>
        <w:ind w:firstLine="480" w:firstLineChars="200"/>
        <w:rPr>
          <w:rFonts w:ascii="宋体" w:hAnsi="宋体" w:eastAsia="宋体"/>
          <w:color w:val="auto"/>
          <w:sz w:val="24"/>
        </w:rPr>
      </w:pPr>
      <w:r>
        <w:rPr>
          <w:rFonts w:ascii="宋体" w:hAnsi="宋体" w:eastAsia="宋体"/>
          <w:color w:val="auto"/>
          <w:sz w:val="24"/>
        </w:rPr>
        <w:t>2.合同期内对自购的设施、设备(动产)拥有法定的所有权。</w:t>
      </w:r>
    </w:p>
    <w:p w14:paraId="3B0E1EB5">
      <w:pPr>
        <w:ind w:firstLine="480" w:firstLineChars="200"/>
        <w:rPr>
          <w:rFonts w:ascii="宋体" w:hAnsi="宋体" w:eastAsia="宋体"/>
          <w:color w:val="auto"/>
          <w:sz w:val="24"/>
        </w:rPr>
      </w:pPr>
      <w:r>
        <w:rPr>
          <w:rFonts w:ascii="宋体" w:hAnsi="宋体" w:eastAsia="宋体"/>
          <w:color w:val="auto"/>
          <w:sz w:val="24"/>
        </w:rPr>
        <w:t>3.由于经营需要，项目的对外名称由乙方自行决定，但未经甲方同意不得使 用甲方的校名、校标及注册商标。在校园内进行经营宜传和广告必须经甲方同意 后方可实施。</w:t>
      </w:r>
    </w:p>
    <w:p w14:paraId="16A2B0A3">
      <w:pPr>
        <w:ind w:firstLine="480" w:firstLineChars="200"/>
        <w:rPr>
          <w:rFonts w:ascii="宋体" w:hAnsi="宋体" w:eastAsia="宋体"/>
          <w:color w:val="auto"/>
          <w:sz w:val="24"/>
        </w:rPr>
      </w:pPr>
      <w:r>
        <w:rPr>
          <w:rFonts w:ascii="宋体" w:hAnsi="宋体" w:eastAsia="宋体"/>
          <w:color w:val="auto"/>
          <w:sz w:val="24"/>
        </w:rPr>
        <w:t>4.根据有关法律法规及本合同的约定，合法经营，并按照规定办理相关的证 照。制定该项目的各项管理办法、规章制度、岗位职责，按投标</w:t>
      </w:r>
      <w:r>
        <w:rPr>
          <w:rFonts w:hint="eastAsia" w:ascii="宋体" w:hAnsi="宋体" w:eastAsia="宋体"/>
          <w:color w:val="auto"/>
          <w:sz w:val="24"/>
        </w:rPr>
        <w:t>（响应）</w:t>
      </w:r>
      <w:r>
        <w:rPr>
          <w:rFonts w:ascii="宋体" w:hAnsi="宋体" w:eastAsia="宋体"/>
          <w:color w:val="auto"/>
          <w:sz w:val="24"/>
        </w:rPr>
        <w:t>文件要求配齐项 目负责人或相关管理人员及卫生管理员，为甲方提供专业、规范、安全、高质量</w:t>
      </w:r>
      <w:r>
        <w:rPr>
          <w:rFonts w:hint="eastAsia" w:ascii="宋体" w:hAnsi="宋体" w:eastAsia="宋体"/>
          <w:color w:val="auto"/>
          <w:sz w:val="24"/>
        </w:rPr>
        <w:t>的服务。</w:t>
      </w:r>
    </w:p>
    <w:p w14:paraId="48E93ACD">
      <w:pPr>
        <w:ind w:firstLine="480" w:firstLineChars="200"/>
        <w:rPr>
          <w:rFonts w:ascii="宋体" w:hAnsi="宋体" w:eastAsia="宋体"/>
          <w:color w:val="auto"/>
          <w:sz w:val="24"/>
        </w:rPr>
      </w:pPr>
      <w:r>
        <w:rPr>
          <w:rFonts w:ascii="宋体" w:hAnsi="宋体" w:eastAsia="宋体"/>
          <w:color w:val="auto"/>
          <w:sz w:val="24"/>
        </w:rPr>
        <w:t>5.做好安全、防盗、防火和应急等工作，承担经营期间全部的安全、卫生、 质量、效益、风险等责任。</w:t>
      </w:r>
    </w:p>
    <w:p w14:paraId="28BE9419">
      <w:pPr>
        <w:ind w:firstLine="480" w:firstLineChars="200"/>
        <w:rPr>
          <w:rFonts w:ascii="宋体" w:hAnsi="宋体" w:eastAsia="宋体"/>
          <w:color w:val="auto"/>
          <w:sz w:val="24"/>
        </w:rPr>
      </w:pPr>
      <w:r>
        <w:rPr>
          <w:rFonts w:ascii="宋体" w:hAnsi="宋体" w:eastAsia="宋体"/>
          <w:color w:val="auto"/>
          <w:sz w:val="24"/>
        </w:rPr>
        <w:t>6.除不可抗力事件外，乙方不得以任何理由不提供服务。</w:t>
      </w:r>
    </w:p>
    <w:p w14:paraId="68BC84D4">
      <w:pPr>
        <w:ind w:firstLine="480" w:firstLineChars="200"/>
        <w:rPr>
          <w:rFonts w:ascii="宋体" w:hAnsi="宋体" w:eastAsia="宋体"/>
          <w:color w:val="auto"/>
          <w:sz w:val="24"/>
        </w:rPr>
      </w:pPr>
      <w:r>
        <w:rPr>
          <w:rFonts w:ascii="宋体" w:hAnsi="宋体" w:eastAsia="宋体"/>
          <w:color w:val="auto"/>
          <w:sz w:val="24"/>
        </w:rPr>
        <w:t>(四)乙方的义务</w:t>
      </w:r>
    </w:p>
    <w:p w14:paraId="36E9A0AE">
      <w:pPr>
        <w:ind w:firstLine="480" w:firstLineChars="200"/>
        <w:rPr>
          <w:rFonts w:ascii="宋体" w:hAnsi="宋体" w:eastAsia="宋体"/>
          <w:color w:val="auto"/>
          <w:sz w:val="24"/>
        </w:rPr>
      </w:pPr>
      <w:r>
        <w:rPr>
          <w:rFonts w:ascii="宋体" w:hAnsi="宋体" w:eastAsia="宋体"/>
          <w:color w:val="auto"/>
          <w:sz w:val="24"/>
        </w:rPr>
        <w:t>1.遵守甲方相关规章制度，认真做好服务工作，为全校师生提供安全、卫生、 优质的服务，维护学校稳定大局。</w:t>
      </w:r>
    </w:p>
    <w:p w14:paraId="14800409">
      <w:pPr>
        <w:ind w:firstLine="480" w:firstLineChars="200"/>
        <w:rPr>
          <w:rFonts w:ascii="宋体" w:hAnsi="宋体" w:eastAsia="宋体"/>
          <w:color w:val="auto"/>
          <w:sz w:val="24"/>
        </w:rPr>
      </w:pPr>
      <w:r>
        <w:rPr>
          <w:rFonts w:ascii="宋体" w:hAnsi="宋体" w:eastAsia="宋体"/>
          <w:color w:val="auto"/>
          <w:sz w:val="24"/>
        </w:rPr>
        <w:t>2.保证加强甲方卫生、消防和安全管理规定，设立内部安全管理岗位，专设 安全管理人员；制定安全责任制度、卫生管理制度和消防安全管理制度等，确保</w:t>
      </w:r>
      <w:r>
        <w:rPr>
          <w:rFonts w:hint="eastAsia" w:ascii="宋体" w:hAnsi="宋体" w:eastAsia="宋体"/>
          <w:color w:val="auto"/>
          <w:sz w:val="24"/>
        </w:rPr>
        <w:t>杜绝</w:t>
      </w:r>
      <w:r>
        <w:rPr>
          <w:rFonts w:ascii="宋体" w:hAnsi="宋体" w:eastAsia="宋体"/>
          <w:color w:val="auto"/>
          <w:sz w:val="24"/>
        </w:rPr>
        <w:t>火灾、重大盗窃、重大人身安全责任事故</w:t>
      </w:r>
      <w:r>
        <w:rPr>
          <w:rFonts w:hint="eastAsia" w:ascii="宋体" w:hAnsi="宋体" w:eastAsia="宋体"/>
          <w:color w:val="auto"/>
          <w:sz w:val="24"/>
        </w:rPr>
        <w:t>的</w:t>
      </w:r>
      <w:r>
        <w:rPr>
          <w:rFonts w:ascii="宋体" w:hAnsi="宋体" w:eastAsia="宋体"/>
          <w:color w:val="auto"/>
          <w:sz w:val="24"/>
        </w:rPr>
        <w:t>发生。</w:t>
      </w:r>
    </w:p>
    <w:p w14:paraId="7AEB983B">
      <w:pPr>
        <w:ind w:firstLine="480" w:firstLineChars="200"/>
        <w:rPr>
          <w:rFonts w:ascii="宋体" w:hAnsi="宋体" w:eastAsia="宋体"/>
          <w:color w:val="auto"/>
          <w:sz w:val="24"/>
        </w:rPr>
      </w:pPr>
      <w:r>
        <w:rPr>
          <w:rFonts w:hint="eastAsia" w:ascii="宋体" w:hAnsi="宋体" w:eastAsia="宋体"/>
          <w:color w:val="auto"/>
          <w:sz w:val="24"/>
        </w:rPr>
        <w:t>如因乙方制度不周、管理不善、设备设施等原因导致包括快递丢失、灭损、寄派件延误等人身、财产损失由乙方承担。</w:t>
      </w:r>
    </w:p>
    <w:p w14:paraId="0B755FED">
      <w:pPr>
        <w:ind w:firstLine="480" w:firstLineChars="200"/>
        <w:rPr>
          <w:rFonts w:ascii="宋体" w:hAnsi="宋体" w:eastAsia="宋体"/>
          <w:color w:val="auto"/>
          <w:sz w:val="24"/>
        </w:rPr>
      </w:pPr>
      <w:r>
        <w:rPr>
          <w:rFonts w:ascii="宋体" w:hAnsi="宋体" w:eastAsia="宋体"/>
          <w:color w:val="auto"/>
          <w:sz w:val="24"/>
        </w:rPr>
        <w:t>3.保证加强甲方资产的管理，做好设施、设备的维护、保养和维修，未经学 校同意，不改变资产使用性质。</w:t>
      </w:r>
    </w:p>
    <w:p w14:paraId="07736FA4">
      <w:pPr>
        <w:ind w:firstLine="480" w:firstLineChars="200"/>
        <w:rPr>
          <w:rFonts w:ascii="宋体" w:hAnsi="宋体" w:eastAsia="宋体"/>
          <w:color w:val="auto"/>
          <w:sz w:val="24"/>
        </w:rPr>
      </w:pPr>
      <w:r>
        <w:rPr>
          <w:rFonts w:ascii="宋体" w:hAnsi="宋体" w:eastAsia="宋体"/>
          <w:color w:val="auto"/>
          <w:sz w:val="24"/>
        </w:rPr>
        <w:t>4.公司自主经营，独立核算，自负盈亏，所产生债权债务与学校无关。</w:t>
      </w:r>
    </w:p>
    <w:p w14:paraId="4CD750BD">
      <w:pPr>
        <w:ind w:firstLine="480" w:firstLineChars="200"/>
        <w:rPr>
          <w:rFonts w:ascii="宋体" w:hAnsi="宋体" w:eastAsia="宋体"/>
          <w:color w:val="auto"/>
          <w:sz w:val="24"/>
        </w:rPr>
      </w:pPr>
      <w:r>
        <w:rPr>
          <w:rFonts w:ascii="宋体" w:hAnsi="宋体" w:eastAsia="宋体"/>
          <w:color w:val="auto"/>
          <w:sz w:val="24"/>
        </w:rPr>
        <w:t>5.</w:t>
      </w:r>
      <w:r>
        <w:rPr>
          <w:rFonts w:hint="eastAsia" w:ascii="宋体" w:hAnsi="宋体" w:eastAsia="宋体"/>
          <w:color w:val="auto"/>
          <w:sz w:val="24"/>
        </w:rPr>
        <w:t>乙方投资的装修、新增设施设备、系统建设等应满足校园快递服务的要求，并自行承担投资运营风险。甲方有权监督、核验乙方设备设施的适用性与合约性，但不对乙方投资负责。</w:t>
      </w:r>
    </w:p>
    <w:p w14:paraId="241C095E">
      <w:pPr>
        <w:ind w:firstLine="480" w:firstLineChars="200"/>
        <w:rPr>
          <w:rFonts w:ascii="宋体" w:hAnsi="宋体" w:eastAsia="宋体"/>
          <w:color w:val="auto"/>
          <w:sz w:val="24"/>
        </w:rPr>
      </w:pPr>
      <w:r>
        <w:rPr>
          <w:rFonts w:hint="eastAsia" w:ascii="宋体" w:hAnsi="宋体" w:eastAsia="宋体"/>
          <w:color w:val="auto"/>
          <w:sz w:val="24"/>
        </w:rPr>
        <w:t>6.</w:t>
      </w:r>
      <w:r>
        <w:rPr>
          <w:rFonts w:ascii="宋体" w:hAnsi="宋体" w:eastAsia="宋体"/>
          <w:color w:val="auto"/>
          <w:sz w:val="24"/>
        </w:rPr>
        <w:t>经营期间，按甲方及有关规定缴纳相关费用，经营场所内水电费由乙方按 时缴纳，并负责场地内垃圾清运及物流中心门前三包。</w:t>
      </w:r>
    </w:p>
    <w:p w14:paraId="644AA30A">
      <w:pPr>
        <w:ind w:firstLine="480" w:firstLineChars="200"/>
        <w:rPr>
          <w:rFonts w:ascii="宋体" w:hAnsi="宋体" w:eastAsia="宋体"/>
          <w:color w:val="auto"/>
          <w:sz w:val="24"/>
        </w:rPr>
      </w:pPr>
      <w:r>
        <w:rPr>
          <w:rFonts w:hint="eastAsia" w:ascii="宋体" w:hAnsi="宋体" w:eastAsia="宋体"/>
          <w:color w:val="auto"/>
          <w:sz w:val="24"/>
        </w:rPr>
        <w:t>7</w:t>
      </w:r>
      <w:r>
        <w:rPr>
          <w:rFonts w:ascii="宋体" w:hAnsi="宋体" w:eastAsia="宋体"/>
          <w:color w:val="auto"/>
          <w:sz w:val="24"/>
        </w:rPr>
        <w:t>.服从学校管理，根据学校要求承担学校大型活动和节假日、假期开放服务 任务。</w:t>
      </w:r>
    </w:p>
    <w:p w14:paraId="15A7CED6">
      <w:pPr>
        <w:ind w:firstLine="480" w:firstLineChars="200"/>
        <w:rPr>
          <w:rFonts w:ascii="宋体" w:hAnsi="宋体" w:eastAsia="宋体"/>
          <w:color w:val="auto"/>
          <w:sz w:val="24"/>
        </w:rPr>
      </w:pPr>
      <w:r>
        <w:rPr>
          <w:rFonts w:hint="eastAsia" w:ascii="宋体" w:hAnsi="宋体" w:eastAsia="宋体"/>
          <w:color w:val="auto"/>
          <w:sz w:val="24"/>
        </w:rPr>
        <w:t>8.原来的邮政收发室业务包括：校方信件收发工作，将日常邮件和校方年度所订阅的各种邮发报刊，按相关规定每天准时、准确无误地投送到校方的办公室或指定的信报箱内等邮政收发室业务，且乙方须保证不漏投（寄）、不误投（寄）、不少投（寄），确保邮件的完好、安全和保密，如有漏投（寄）或错投（寄）发生，校方有权要求乙方补投（寄）、退回报刊款或按邮政法相关规定赔偿损失。</w:t>
      </w:r>
    </w:p>
    <w:p w14:paraId="5F52727D">
      <w:pPr>
        <w:ind w:firstLine="482" w:firstLineChars="200"/>
        <w:rPr>
          <w:rFonts w:ascii="宋体" w:hAnsi="宋体" w:eastAsia="宋体"/>
          <w:b/>
          <w:color w:val="auto"/>
          <w:sz w:val="24"/>
        </w:rPr>
      </w:pPr>
      <w:r>
        <w:rPr>
          <w:rFonts w:hint="eastAsia" w:ascii="宋体" w:hAnsi="宋体" w:eastAsia="宋体"/>
          <w:b/>
          <w:color w:val="auto"/>
          <w:sz w:val="24"/>
        </w:rPr>
        <w:t>第七条 用工管理要求</w:t>
      </w:r>
    </w:p>
    <w:p w14:paraId="7C2148CF">
      <w:pPr>
        <w:ind w:firstLine="480" w:firstLineChars="200"/>
        <w:rPr>
          <w:rFonts w:ascii="宋体" w:hAnsi="宋体" w:eastAsia="宋体"/>
          <w:color w:val="auto"/>
          <w:sz w:val="24"/>
        </w:rPr>
      </w:pPr>
      <w:r>
        <w:rPr>
          <w:rFonts w:ascii="宋体" w:hAnsi="宋体" w:eastAsia="宋体"/>
          <w:color w:val="auto"/>
          <w:sz w:val="24"/>
        </w:rPr>
        <w:t>1.乙方自行招聘、管理员工，甲方有权对用工情况进行监督检查。乙方所聘 人员与甲方无劳动人事关系。</w:t>
      </w:r>
    </w:p>
    <w:p w14:paraId="353FA67B">
      <w:pPr>
        <w:ind w:firstLine="480" w:firstLineChars="200"/>
        <w:rPr>
          <w:rFonts w:ascii="宋体" w:hAnsi="宋体" w:eastAsia="宋体"/>
          <w:color w:val="auto"/>
          <w:sz w:val="24"/>
        </w:rPr>
      </w:pPr>
      <w:r>
        <w:rPr>
          <w:rFonts w:ascii="宋体" w:hAnsi="宋体" w:eastAsia="宋体"/>
          <w:color w:val="auto"/>
          <w:sz w:val="24"/>
        </w:rPr>
        <w:t>2.乙方所聘员工要证件齐</w:t>
      </w:r>
      <w:r>
        <w:rPr>
          <w:rFonts w:ascii="宋体" w:hAnsi="宋体" w:eastAsia="宋体"/>
          <w:color w:val="auto"/>
          <w:sz w:val="24"/>
        </w:rPr>
        <w:t>全(居民身份证、健康证等),并报甲方相关职能 部门登记备案。</w:t>
      </w:r>
    </w:p>
    <w:p w14:paraId="5C580774">
      <w:pPr>
        <w:ind w:firstLine="480" w:firstLineChars="200"/>
        <w:rPr>
          <w:rFonts w:ascii="宋体" w:hAnsi="宋体" w:eastAsia="宋体"/>
          <w:color w:val="auto"/>
          <w:sz w:val="24"/>
        </w:rPr>
      </w:pPr>
      <w:r>
        <w:rPr>
          <w:rFonts w:ascii="宋体" w:hAnsi="宋体" w:eastAsia="宋体"/>
          <w:color w:val="auto"/>
          <w:sz w:val="24"/>
        </w:rPr>
        <w:t>3.按照《劳动合同法》要求招聘员工、订立劳动合同并履行规定的义务。</w:t>
      </w:r>
    </w:p>
    <w:p w14:paraId="052542BC">
      <w:pPr>
        <w:ind w:firstLine="480" w:firstLineChars="200"/>
        <w:rPr>
          <w:rFonts w:ascii="宋体" w:hAnsi="宋体" w:eastAsia="宋体"/>
          <w:color w:val="auto"/>
          <w:sz w:val="24"/>
        </w:rPr>
      </w:pPr>
      <w:r>
        <w:rPr>
          <w:rFonts w:ascii="宋体" w:hAnsi="宋体" w:eastAsia="宋体"/>
          <w:color w:val="auto"/>
          <w:sz w:val="24"/>
        </w:rPr>
        <w:t>4.合同期内，乙方依法依规做好用工管理，若乙方违法违规用工给甲方造成 损失，由乙方负责赔偿相关损失。</w:t>
      </w:r>
    </w:p>
    <w:p w14:paraId="7EB8F17F">
      <w:pPr>
        <w:ind w:firstLine="482" w:firstLineChars="200"/>
        <w:rPr>
          <w:rFonts w:ascii="宋体" w:hAnsi="宋体" w:eastAsia="宋体"/>
          <w:b/>
          <w:color w:val="auto"/>
          <w:sz w:val="24"/>
        </w:rPr>
      </w:pPr>
      <w:r>
        <w:rPr>
          <w:rFonts w:hint="eastAsia" w:ascii="宋体" w:hAnsi="宋体" w:eastAsia="宋体"/>
          <w:b/>
          <w:color w:val="auto"/>
          <w:sz w:val="24"/>
        </w:rPr>
        <w:t>第八条 合同的变更、解除与终止</w:t>
      </w:r>
    </w:p>
    <w:p w14:paraId="2147A41D">
      <w:pPr>
        <w:ind w:firstLine="480" w:firstLineChars="200"/>
        <w:rPr>
          <w:rFonts w:ascii="宋体" w:hAnsi="宋体" w:eastAsia="宋体"/>
          <w:color w:val="auto"/>
          <w:sz w:val="24"/>
        </w:rPr>
      </w:pPr>
      <w:r>
        <w:rPr>
          <w:rFonts w:ascii="宋体" w:hAnsi="宋体" w:eastAsia="宋体"/>
          <w:color w:val="auto"/>
          <w:sz w:val="24"/>
        </w:rPr>
        <w:t>1.经甲、乙双方协商达成书面一致，可以变更或解除、终止本合同。</w:t>
      </w:r>
    </w:p>
    <w:p w14:paraId="5CAF40F4">
      <w:pPr>
        <w:ind w:firstLine="480" w:firstLineChars="200"/>
        <w:rPr>
          <w:rFonts w:ascii="宋体" w:hAnsi="宋体" w:eastAsia="宋体"/>
          <w:color w:val="auto"/>
          <w:sz w:val="24"/>
        </w:rPr>
      </w:pPr>
      <w:r>
        <w:rPr>
          <w:rFonts w:ascii="宋体" w:hAnsi="宋体" w:eastAsia="宋体"/>
          <w:color w:val="auto"/>
          <w:sz w:val="24"/>
        </w:rPr>
        <w:t>2.甲方未在合同生效之日起10个工作日内向乙方交付场地使用权逾期达到 三十日的，乙方有权单方解除合同，并要求甲方退还履约保证金(不计息)。</w:t>
      </w:r>
    </w:p>
    <w:p w14:paraId="5EF10208">
      <w:pPr>
        <w:ind w:firstLine="480" w:firstLineChars="200"/>
        <w:rPr>
          <w:rFonts w:ascii="宋体" w:hAnsi="宋体" w:eastAsia="宋体"/>
          <w:color w:val="auto"/>
          <w:sz w:val="24"/>
        </w:rPr>
      </w:pPr>
      <w:r>
        <w:rPr>
          <w:rFonts w:ascii="宋体" w:hAnsi="宋体" w:eastAsia="宋体"/>
          <w:color w:val="auto"/>
          <w:sz w:val="24"/>
        </w:rPr>
        <w:t>3.乙方有下列情形之一的，甲方有权单方解除合同，收回场地，并要求乙方 赔偿经济损失：</w:t>
      </w:r>
    </w:p>
    <w:p w14:paraId="0304FE19">
      <w:pPr>
        <w:ind w:firstLine="480" w:firstLineChars="200"/>
        <w:rPr>
          <w:rFonts w:ascii="宋体" w:hAnsi="宋体" w:eastAsia="宋体"/>
          <w:color w:val="auto"/>
          <w:sz w:val="24"/>
        </w:rPr>
      </w:pPr>
      <w:r>
        <w:rPr>
          <w:rFonts w:ascii="宋体" w:hAnsi="宋体" w:eastAsia="宋体"/>
          <w:color w:val="auto"/>
          <w:sz w:val="24"/>
        </w:rPr>
        <w:t>(1)不支付或者不按约定时间支付应当由乙方交纳的管理服务费及其它费 用逾期达到三十日的；</w:t>
      </w:r>
    </w:p>
    <w:p w14:paraId="043EAD91">
      <w:pPr>
        <w:ind w:firstLine="480" w:firstLineChars="200"/>
        <w:rPr>
          <w:rFonts w:ascii="宋体" w:hAnsi="宋体" w:eastAsia="宋体"/>
          <w:color w:val="auto"/>
          <w:sz w:val="24"/>
        </w:rPr>
      </w:pPr>
      <w:r>
        <w:rPr>
          <w:rFonts w:ascii="宋体" w:hAnsi="宋体" w:eastAsia="宋体"/>
          <w:color w:val="auto"/>
          <w:sz w:val="24"/>
        </w:rPr>
        <w:t>(2)擅自将本合同约定的权利义务，部分或全部转让</w:t>
      </w:r>
      <w:r>
        <w:rPr>
          <w:rFonts w:hint="eastAsia" w:ascii="宋体" w:hAnsi="宋体" w:eastAsia="宋体"/>
          <w:color w:val="auto"/>
          <w:sz w:val="24"/>
        </w:rPr>
        <w:t>/转包</w:t>
      </w:r>
      <w:r>
        <w:rPr>
          <w:rFonts w:ascii="宋体" w:hAnsi="宋体" w:eastAsia="宋体"/>
          <w:color w:val="auto"/>
          <w:sz w:val="24"/>
        </w:rPr>
        <w:t>给任何第三方行使；</w:t>
      </w:r>
    </w:p>
    <w:p w14:paraId="51712D8A">
      <w:pPr>
        <w:ind w:firstLine="480" w:firstLineChars="200"/>
        <w:rPr>
          <w:rFonts w:ascii="宋体" w:hAnsi="宋体" w:eastAsia="宋体"/>
          <w:color w:val="auto"/>
          <w:sz w:val="24"/>
        </w:rPr>
      </w:pPr>
      <w:r>
        <w:rPr>
          <w:rFonts w:ascii="宋体" w:hAnsi="宋体" w:eastAsia="宋体"/>
          <w:color w:val="auto"/>
          <w:sz w:val="24"/>
        </w:rPr>
        <w:t>(3)擅自改变场地用途或利用房屋存放危险物品，从事违法活动的；</w:t>
      </w:r>
    </w:p>
    <w:p w14:paraId="708CAC5B">
      <w:pPr>
        <w:ind w:firstLine="480" w:firstLineChars="200"/>
        <w:rPr>
          <w:rFonts w:ascii="宋体" w:hAnsi="宋体" w:eastAsia="宋体"/>
          <w:color w:val="auto"/>
          <w:sz w:val="24"/>
        </w:rPr>
      </w:pPr>
      <w:r>
        <w:rPr>
          <w:rFonts w:ascii="宋体" w:hAnsi="宋体" w:eastAsia="宋体"/>
          <w:color w:val="auto"/>
          <w:sz w:val="24"/>
        </w:rPr>
        <w:t>(4)擅自拆改变动或损坏房屋主体结构的；</w:t>
      </w:r>
    </w:p>
    <w:p w14:paraId="6A8902A3">
      <w:pPr>
        <w:ind w:firstLine="480" w:firstLineChars="200"/>
        <w:rPr>
          <w:rFonts w:ascii="宋体" w:hAnsi="宋体" w:eastAsia="宋体"/>
          <w:color w:val="auto"/>
          <w:sz w:val="24"/>
        </w:rPr>
      </w:pPr>
      <w:r>
        <w:rPr>
          <w:rFonts w:ascii="宋体" w:hAnsi="宋体" w:eastAsia="宋体"/>
          <w:color w:val="auto"/>
          <w:sz w:val="24"/>
        </w:rPr>
        <w:t>(5)损坏房屋，在甲方提出的合理期限内仍未修复的；</w:t>
      </w:r>
    </w:p>
    <w:p w14:paraId="1E7BA588">
      <w:pPr>
        <w:ind w:firstLine="480" w:firstLineChars="200"/>
        <w:rPr>
          <w:rFonts w:ascii="宋体" w:hAnsi="宋体" w:eastAsia="宋体"/>
          <w:color w:val="auto"/>
          <w:sz w:val="24"/>
        </w:rPr>
      </w:pPr>
      <w:r>
        <w:rPr>
          <w:rFonts w:ascii="宋体" w:hAnsi="宋体" w:eastAsia="宋体"/>
          <w:color w:val="auto"/>
          <w:sz w:val="24"/>
        </w:rPr>
        <w:t>(6)未按照约定的经营范围使用场地或变更经营品种，经甲方2次书面通知未整改的；</w:t>
      </w:r>
    </w:p>
    <w:p w14:paraId="6E638A39">
      <w:pPr>
        <w:ind w:firstLine="480" w:firstLineChars="200"/>
        <w:rPr>
          <w:rFonts w:ascii="宋体" w:hAnsi="宋体" w:eastAsia="宋体"/>
          <w:color w:val="auto"/>
          <w:sz w:val="24"/>
        </w:rPr>
      </w:pPr>
      <w:r>
        <w:rPr>
          <w:rFonts w:ascii="宋体" w:hAnsi="宋体" w:eastAsia="宋体"/>
          <w:color w:val="auto"/>
          <w:sz w:val="24"/>
        </w:rPr>
        <w:t>(7)违反规定被新闻媒体曝光造成恶劣影响的；</w:t>
      </w:r>
    </w:p>
    <w:p w14:paraId="596C89EC">
      <w:pPr>
        <w:ind w:firstLine="480" w:firstLineChars="200"/>
        <w:rPr>
          <w:rFonts w:hint="eastAsia" w:ascii="宋体" w:hAnsi="宋体" w:eastAsia="宋体"/>
          <w:color w:val="auto"/>
          <w:sz w:val="24"/>
          <w:lang w:eastAsia="zh-CN"/>
        </w:rPr>
      </w:pPr>
      <w:r>
        <w:rPr>
          <w:rFonts w:ascii="宋体" w:hAnsi="宋体" w:eastAsia="宋体"/>
          <w:color w:val="auto"/>
          <w:sz w:val="24"/>
        </w:rPr>
        <w:t>(8)因乙方违反本合同导致甲方被行政机关或司法机关裁判赔偿责任的， 乙方要承担全部责任</w:t>
      </w:r>
      <w:r>
        <w:rPr>
          <w:rFonts w:hint="eastAsia" w:ascii="宋体" w:hAnsi="宋体" w:eastAsia="宋体"/>
          <w:color w:val="auto"/>
          <w:sz w:val="24"/>
          <w:lang w:eastAsia="zh-CN"/>
        </w:rPr>
        <w:t>；</w:t>
      </w:r>
    </w:p>
    <w:p w14:paraId="70721ED2">
      <w:pPr>
        <w:ind w:firstLine="480" w:firstLineChars="200"/>
        <w:rPr>
          <w:rFonts w:hint="eastAsia" w:ascii="宋体" w:hAnsi="宋体" w:eastAsia="宋体"/>
          <w:color w:val="auto"/>
          <w:sz w:val="24"/>
          <w:lang w:eastAsia="zh-CN"/>
        </w:rPr>
      </w:pPr>
      <w:r>
        <w:rPr>
          <w:rFonts w:ascii="宋体" w:hAnsi="宋体" w:eastAsia="宋体"/>
          <w:color w:val="auto"/>
          <w:sz w:val="24"/>
        </w:rPr>
        <w:t>(9)乙方未按本合同和投标</w:t>
      </w:r>
      <w:r>
        <w:rPr>
          <w:rFonts w:hint="eastAsia" w:ascii="宋体" w:hAnsi="宋体" w:eastAsia="宋体"/>
          <w:color w:val="auto"/>
          <w:sz w:val="24"/>
        </w:rPr>
        <w:t>（响应）</w:t>
      </w:r>
      <w:r>
        <w:rPr>
          <w:rFonts w:ascii="宋体" w:hAnsi="宋体" w:eastAsia="宋体"/>
          <w:color w:val="auto"/>
          <w:sz w:val="24"/>
        </w:rPr>
        <w:t>文件的要求和承诺提供服务的，经甲方2次提出整改后仍不整改或整改不符合约定的</w:t>
      </w:r>
      <w:r>
        <w:rPr>
          <w:rFonts w:hint="eastAsia" w:ascii="宋体" w:hAnsi="宋体" w:eastAsia="宋体"/>
          <w:color w:val="auto"/>
          <w:sz w:val="24"/>
          <w:lang w:eastAsia="zh-CN"/>
        </w:rPr>
        <w:t>；</w:t>
      </w:r>
    </w:p>
    <w:p w14:paraId="69102EFF">
      <w:pPr>
        <w:ind w:firstLine="480" w:firstLineChars="200"/>
        <w:rPr>
          <w:rFonts w:ascii="宋体" w:hAnsi="宋体" w:eastAsia="宋体"/>
          <w:color w:val="auto"/>
          <w:sz w:val="24"/>
        </w:rPr>
      </w:pPr>
      <w:bookmarkStart w:id="9" w:name="OLE_LINK1"/>
      <w:r>
        <w:rPr>
          <w:rFonts w:ascii="宋体" w:hAnsi="宋体" w:eastAsia="宋体"/>
          <w:color w:val="auto"/>
          <w:sz w:val="24"/>
        </w:rPr>
        <w:t>(10)乙方无故停业的，每次至少承担违约金3000元， 一年内累计出现两</w:t>
      </w:r>
    </w:p>
    <w:p w14:paraId="4C9D9A09">
      <w:pPr>
        <w:rPr>
          <w:rFonts w:ascii="宋体" w:hAnsi="宋体" w:eastAsia="宋体"/>
          <w:color w:val="auto"/>
          <w:sz w:val="24"/>
        </w:rPr>
      </w:pPr>
      <w:r>
        <w:rPr>
          <w:rFonts w:hint="eastAsia" w:ascii="宋体" w:hAnsi="宋体" w:eastAsia="宋体"/>
          <w:color w:val="auto"/>
          <w:sz w:val="24"/>
        </w:rPr>
        <w:t>次</w:t>
      </w:r>
      <w:r>
        <w:rPr>
          <w:rFonts w:ascii="宋体" w:hAnsi="宋体" w:eastAsia="宋体"/>
          <w:color w:val="auto"/>
          <w:sz w:val="24"/>
        </w:rPr>
        <w:t>(含两次)的，履约保证金不予退还，并立即解除合同。</w:t>
      </w:r>
    </w:p>
    <w:bookmarkEnd w:id="9"/>
    <w:p w14:paraId="5D907792">
      <w:pPr>
        <w:ind w:firstLine="480" w:firstLineChars="200"/>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1</w:t>
      </w:r>
      <w:r>
        <w:rPr>
          <w:rFonts w:ascii="宋体" w:hAnsi="宋体" w:eastAsia="宋体"/>
          <w:color w:val="auto"/>
          <w:sz w:val="24"/>
        </w:rPr>
        <w:t>)</w:t>
      </w:r>
      <w:r>
        <w:rPr>
          <w:rFonts w:hint="eastAsia" w:ascii="宋体" w:hAnsi="宋体" w:eastAsia="宋体"/>
          <w:color w:val="auto"/>
          <w:sz w:val="24"/>
        </w:rPr>
        <w:t>乙方未经甲方同意擅自涨价的（物价局或快递行业主管部门另有规定除外），发现一次则须向甲方支付违约金10000元并限期整改，超过限期不整改或合同期内累计出现两次（含两次）擅自涨价情况的，履约保证金不予退还，并且甲方有权解除合同，所有损失及责任由乙方承担。</w:t>
      </w:r>
    </w:p>
    <w:p w14:paraId="6496D1A3">
      <w:pPr>
        <w:ind w:firstLine="480" w:firstLineChars="200"/>
        <w:rPr>
          <w:rFonts w:ascii="宋体" w:hAnsi="宋体" w:eastAsia="宋体"/>
          <w:color w:val="auto"/>
          <w:sz w:val="24"/>
        </w:rPr>
      </w:pPr>
      <w:r>
        <w:rPr>
          <w:rFonts w:ascii="宋体" w:hAnsi="宋体" w:eastAsia="宋体"/>
          <w:color w:val="auto"/>
          <w:sz w:val="24"/>
        </w:rPr>
        <w:t>4.因地震等不可抗力致使房屋毁损、灭失或造成其他损失，房屋无法满足乙 方正常使用要求的，本合同终止，甲乙双方互不承担违约责任。</w:t>
      </w:r>
    </w:p>
    <w:p w14:paraId="4F889553">
      <w:pPr>
        <w:ind w:firstLine="480" w:firstLineChars="200"/>
        <w:rPr>
          <w:rFonts w:ascii="宋体" w:hAnsi="宋体" w:eastAsia="宋体"/>
          <w:color w:val="auto"/>
          <w:sz w:val="24"/>
        </w:rPr>
      </w:pPr>
      <w:r>
        <w:rPr>
          <w:rFonts w:ascii="宋体" w:hAnsi="宋体" w:eastAsia="宋体"/>
          <w:color w:val="auto"/>
          <w:sz w:val="24"/>
        </w:rPr>
        <w:t>5.甲方因拆除、维修或改造等不可抗拒因素不能继续履行合同的可提前解除</w:t>
      </w:r>
    </w:p>
    <w:p w14:paraId="4ED9802B">
      <w:pPr>
        <w:rPr>
          <w:rFonts w:ascii="宋体" w:hAnsi="宋体" w:eastAsia="宋体"/>
          <w:color w:val="auto"/>
          <w:sz w:val="24"/>
        </w:rPr>
      </w:pPr>
      <w:r>
        <w:rPr>
          <w:rFonts w:hint="eastAsia" w:ascii="宋体" w:hAnsi="宋体" w:eastAsia="宋体"/>
          <w:color w:val="auto"/>
          <w:sz w:val="24"/>
        </w:rPr>
        <w:t>本合同，且不对乙方进行任何形式的补偿。</w:t>
      </w:r>
    </w:p>
    <w:p w14:paraId="11F9BF9C">
      <w:pPr>
        <w:ind w:firstLine="482" w:firstLineChars="200"/>
        <w:rPr>
          <w:rFonts w:ascii="宋体" w:hAnsi="宋体" w:eastAsia="宋体"/>
          <w:b/>
          <w:color w:val="auto"/>
          <w:sz w:val="24"/>
        </w:rPr>
      </w:pPr>
      <w:r>
        <w:rPr>
          <w:rFonts w:hint="eastAsia" w:ascii="宋体" w:hAnsi="宋体" w:eastAsia="宋体"/>
          <w:b/>
          <w:color w:val="auto"/>
          <w:sz w:val="24"/>
        </w:rPr>
        <w:t>第九条 违约责任</w:t>
      </w:r>
    </w:p>
    <w:p w14:paraId="15A2B0F6">
      <w:pPr>
        <w:ind w:firstLine="480" w:firstLineChars="200"/>
        <w:rPr>
          <w:rFonts w:ascii="宋体" w:hAnsi="宋体" w:eastAsia="宋体"/>
          <w:color w:val="auto"/>
          <w:sz w:val="24"/>
        </w:rPr>
      </w:pPr>
      <w:r>
        <w:rPr>
          <w:rFonts w:ascii="宋体" w:hAnsi="宋体" w:eastAsia="宋体"/>
          <w:color w:val="auto"/>
          <w:sz w:val="24"/>
        </w:rPr>
        <w:t>(一)甲方违约责任</w:t>
      </w:r>
    </w:p>
    <w:p w14:paraId="10B023D5">
      <w:pPr>
        <w:ind w:firstLine="480" w:firstLineChars="200"/>
        <w:rPr>
          <w:rFonts w:ascii="宋体" w:hAnsi="宋体" w:eastAsia="宋体"/>
          <w:color w:val="auto"/>
          <w:sz w:val="24"/>
        </w:rPr>
      </w:pPr>
      <w:r>
        <w:rPr>
          <w:rFonts w:ascii="宋体" w:hAnsi="宋体" w:eastAsia="宋体"/>
          <w:color w:val="auto"/>
          <w:sz w:val="24"/>
        </w:rPr>
        <w:t>1.合同期内，在乙方没有发生约定的可终止合同的违约行为时，甲方不得单 方面终止合同，否则，要向乙方双倍返还全部履约保证金，并赔偿由此引起的乙 方的经济损失。</w:t>
      </w:r>
    </w:p>
    <w:p w14:paraId="600E24E3">
      <w:pPr>
        <w:ind w:firstLine="480" w:firstLineChars="200"/>
        <w:rPr>
          <w:rFonts w:ascii="宋体" w:hAnsi="宋体" w:eastAsia="宋体"/>
          <w:color w:val="auto"/>
          <w:sz w:val="24"/>
        </w:rPr>
      </w:pPr>
      <w:r>
        <w:rPr>
          <w:rFonts w:ascii="宋体" w:hAnsi="宋体" w:eastAsia="宋体"/>
          <w:color w:val="auto"/>
          <w:sz w:val="24"/>
        </w:rPr>
        <w:t>2.合同期满后，乙方向甲方提出退保证金申请，甲方在收到乙方申请且乙方 清理退场后20个工作日内，扣除违约金后将剩余的履约保证金返还乙方(不计 息),否则每延迟1日，每日要按应退还的履约保证金的1%向乙方支付违约金。</w:t>
      </w:r>
    </w:p>
    <w:p w14:paraId="43F4C026">
      <w:pPr>
        <w:ind w:firstLine="480" w:firstLineChars="200"/>
        <w:rPr>
          <w:rFonts w:ascii="宋体" w:hAnsi="宋体" w:eastAsia="宋体"/>
          <w:color w:val="auto"/>
          <w:sz w:val="24"/>
        </w:rPr>
      </w:pPr>
      <w:r>
        <w:rPr>
          <w:rFonts w:ascii="宋体" w:hAnsi="宋体" w:eastAsia="宋体"/>
          <w:color w:val="auto"/>
          <w:sz w:val="24"/>
        </w:rPr>
        <w:t>(二)乙方违约责任</w:t>
      </w:r>
    </w:p>
    <w:p w14:paraId="56C100AB">
      <w:pPr>
        <w:ind w:firstLine="480" w:firstLineChars="200"/>
        <w:rPr>
          <w:rFonts w:ascii="宋体" w:hAnsi="宋体" w:eastAsia="宋体"/>
          <w:color w:val="auto"/>
          <w:sz w:val="24"/>
        </w:rPr>
      </w:pPr>
      <w:r>
        <w:rPr>
          <w:rFonts w:ascii="宋体" w:hAnsi="宋体" w:eastAsia="宋体"/>
          <w:color w:val="auto"/>
          <w:sz w:val="24"/>
        </w:rPr>
        <w:t>1.乙方有本合同第</w:t>
      </w:r>
      <w:r>
        <w:rPr>
          <w:rFonts w:hint="eastAsia" w:ascii="宋体" w:hAnsi="宋体" w:eastAsia="宋体"/>
          <w:color w:val="auto"/>
          <w:sz w:val="24"/>
        </w:rPr>
        <w:t>八</w:t>
      </w:r>
      <w:r>
        <w:rPr>
          <w:rFonts w:ascii="宋体" w:hAnsi="宋体" w:eastAsia="宋体"/>
          <w:color w:val="auto"/>
          <w:sz w:val="24"/>
        </w:rPr>
        <w:t>条第三款约定的情形之一的，甲方有权终止合同，收回 场地经营权，并扣除乙方已交纳的全部履约保证金。</w:t>
      </w:r>
    </w:p>
    <w:p w14:paraId="7D7BE81A">
      <w:pPr>
        <w:ind w:firstLine="480" w:firstLineChars="200"/>
        <w:rPr>
          <w:rFonts w:ascii="宋体" w:hAnsi="宋体" w:eastAsia="宋体"/>
          <w:color w:val="auto"/>
          <w:sz w:val="24"/>
        </w:rPr>
      </w:pPr>
      <w:r>
        <w:rPr>
          <w:rFonts w:ascii="宋体" w:hAnsi="宋体" w:eastAsia="宋体"/>
          <w:color w:val="auto"/>
          <w:sz w:val="24"/>
        </w:rPr>
        <w:t>2.在合作期限内，如因乙方经营不善或其它原因而中途退出的，乙方已缴纳 的场地管理费、履约保证金不予退还。</w:t>
      </w:r>
    </w:p>
    <w:p w14:paraId="4ABF7A24">
      <w:pPr>
        <w:ind w:firstLine="480" w:firstLineChars="200"/>
        <w:rPr>
          <w:rFonts w:ascii="宋体" w:hAnsi="宋体" w:eastAsia="宋体"/>
          <w:color w:val="auto"/>
          <w:sz w:val="24"/>
        </w:rPr>
      </w:pPr>
      <w:r>
        <w:rPr>
          <w:rFonts w:ascii="宋体" w:hAnsi="宋体" w:eastAsia="宋体"/>
          <w:color w:val="auto"/>
          <w:sz w:val="24"/>
        </w:rPr>
        <w:t>3.合同期满或终止或被解除的，经甲方通知，乙方应在7天内按甲方要求移交的房屋、设施等资产，并将乙方设备设施清运出场及恢复原状，否则每延迟1日，每日要按履约保证金的3%向甲方支付违约金并按每天1000元支付场地占用费。超过7天未移交并清场恢复原状的，甲方有权对现场所有设施设备进行处置，所产生的费用由乙方承担。</w:t>
      </w:r>
    </w:p>
    <w:p w14:paraId="75302ABA">
      <w:pPr>
        <w:ind w:firstLine="480" w:firstLineChars="200"/>
        <w:rPr>
          <w:rFonts w:ascii="宋体" w:hAnsi="宋体" w:eastAsia="宋体"/>
          <w:color w:val="auto"/>
          <w:sz w:val="24"/>
        </w:rPr>
      </w:pPr>
      <w:r>
        <w:rPr>
          <w:rFonts w:ascii="宋体" w:hAnsi="宋体" w:eastAsia="宋体"/>
          <w:color w:val="auto"/>
          <w:sz w:val="24"/>
        </w:rPr>
        <w:t>4.</w:t>
      </w:r>
      <w:r>
        <w:rPr>
          <w:rFonts w:hint="eastAsia" w:ascii="宋体" w:hAnsi="宋体" w:eastAsia="宋体"/>
          <w:color w:val="auto"/>
          <w:sz w:val="24"/>
        </w:rPr>
        <w:t>乙方与服务对象</w:t>
      </w:r>
      <w:r>
        <w:rPr>
          <w:rFonts w:ascii="宋体" w:hAnsi="宋体" w:eastAsia="宋体"/>
          <w:color w:val="auto"/>
          <w:sz w:val="24"/>
        </w:rPr>
        <w:t>每发生一次争吵扣除乙方</w:t>
      </w:r>
      <w:r>
        <w:rPr>
          <w:rFonts w:hint="eastAsia" w:ascii="宋体" w:hAnsi="宋体" w:eastAsia="宋体"/>
          <w:color w:val="auto"/>
          <w:sz w:val="24"/>
        </w:rPr>
        <w:t>5</w:t>
      </w:r>
      <w:r>
        <w:rPr>
          <w:rFonts w:ascii="宋体" w:hAnsi="宋体" w:eastAsia="宋体"/>
          <w:color w:val="auto"/>
          <w:sz w:val="24"/>
        </w:rPr>
        <w:t>00</w:t>
      </w:r>
      <w:r>
        <w:rPr>
          <w:rFonts w:hint="eastAsia" w:ascii="宋体" w:hAnsi="宋体" w:eastAsia="宋体"/>
          <w:color w:val="auto"/>
          <w:sz w:val="24"/>
        </w:rPr>
        <w:t>元</w:t>
      </w:r>
      <w:r>
        <w:rPr>
          <w:rFonts w:ascii="宋体" w:hAnsi="宋体" w:eastAsia="宋体"/>
          <w:color w:val="auto"/>
          <w:sz w:val="24"/>
        </w:rPr>
        <w:t>的履约保证金</w:t>
      </w:r>
      <w:r>
        <w:rPr>
          <w:rFonts w:hint="eastAsia" w:ascii="宋体" w:hAnsi="宋体" w:eastAsia="宋体"/>
          <w:color w:val="auto"/>
          <w:sz w:val="24"/>
        </w:rPr>
        <w:t>，</w:t>
      </w:r>
      <w:r>
        <w:rPr>
          <w:rFonts w:ascii="宋体" w:hAnsi="宋体" w:eastAsia="宋体"/>
          <w:color w:val="auto"/>
          <w:sz w:val="24"/>
        </w:rPr>
        <w:t>如发生</w:t>
      </w:r>
      <w:r>
        <w:rPr>
          <w:rFonts w:hint="eastAsia" w:ascii="宋体" w:hAnsi="宋体" w:eastAsia="宋体"/>
          <w:color w:val="auto"/>
          <w:sz w:val="24"/>
        </w:rPr>
        <w:t>一次</w:t>
      </w:r>
      <w:r>
        <w:rPr>
          <w:rFonts w:ascii="宋体" w:hAnsi="宋体" w:eastAsia="宋体"/>
          <w:color w:val="auto"/>
          <w:sz w:val="24"/>
        </w:rPr>
        <w:t>打架斗殴扣除乙方10000</w:t>
      </w:r>
      <w:r>
        <w:rPr>
          <w:rFonts w:hint="eastAsia" w:ascii="宋体" w:hAnsi="宋体" w:eastAsia="宋体"/>
          <w:color w:val="auto"/>
          <w:sz w:val="24"/>
        </w:rPr>
        <w:t>元</w:t>
      </w:r>
      <w:r>
        <w:rPr>
          <w:rFonts w:ascii="宋体" w:hAnsi="宋体" w:eastAsia="宋体"/>
          <w:color w:val="auto"/>
          <w:sz w:val="24"/>
        </w:rPr>
        <w:t>的履约保证金，确属乙方责任的由乙方承担一切后果</w:t>
      </w:r>
      <w:r>
        <w:rPr>
          <w:rFonts w:hint="eastAsia" w:ascii="宋体" w:hAnsi="宋体" w:eastAsia="宋体"/>
          <w:color w:val="auto"/>
          <w:sz w:val="24"/>
        </w:rPr>
        <w:t>，并且甲方有权合同。</w:t>
      </w:r>
    </w:p>
    <w:p w14:paraId="36B0A807">
      <w:pPr>
        <w:spacing w:before="33"/>
        <w:ind w:left="31" w:right="31" w:firstLine="421"/>
        <w:rPr>
          <w:rFonts w:ascii="宋体" w:hAnsi="宋体" w:eastAsia="宋体"/>
          <w:color w:val="auto"/>
          <w:sz w:val="24"/>
        </w:rPr>
      </w:pPr>
      <w:r>
        <w:rPr>
          <w:rFonts w:hint="eastAsia" w:ascii="宋体" w:hAnsi="宋体" w:eastAsia="宋体"/>
          <w:color w:val="auto"/>
          <w:sz w:val="24"/>
        </w:rPr>
        <w:t>5、乙方出现与服务对象发生纠纷的情况，需要自行与对方沟通并在3日内解决，否则投诉的师生有赔偿的诉求，甲方有权从履约保证金中赔付给诉求者。</w:t>
      </w:r>
    </w:p>
    <w:p w14:paraId="491A4871">
      <w:pPr>
        <w:ind w:firstLine="480" w:firstLineChars="200"/>
        <w:rPr>
          <w:rFonts w:ascii="宋体" w:hAnsi="宋体" w:eastAsia="宋体"/>
          <w:color w:val="auto"/>
          <w:sz w:val="24"/>
        </w:rPr>
      </w:pPr>
      <w:r>
        <w:rPr>
          <w:rFonts w:hint="eastAsia" w:ascii="宋体" w:hAnsi="宋体" w:eastAsia="宋体"/>
          <w:color w:val="auto"/>
          <w:sz w:val="24"/>
        </w:rPr>
        <w:t>6、赔偿情况并且扣减的保证金乙方需要在5个工作日内按合同约定的金额补齐，</w:t>
      </w:r>
      <w:r>
        <w:rPr>
          <w:rFonts w:ascii="宋体" w:hAnsi="宋体" w:eastAsia="宋体"/>
          <w:color w:val="auto"/>
          <w:sz w:val="24"/>
        </w:rPr>
        <w:t>如出现违规运营、服务态度差</w:t>
      </w:r>
      <w:r>
        <w:rPr>
          <w:rFonts w:hint="eastAsia" w:ascii="宋体" w:hAnsi="宋体" w:eastAsia="宋体"/>
          <w:color w:val="auto"/>
          <w:sz w:val="24"/>
        </w:rPr>
        <w:t>、质量差</w:t>
      </w:r>
      <w:r>
        <w:rPr>
          <w:rFonts w:ascii="宋体" w:hAnsi="宋体" w:eastAsia="宋体"/>
          <w:color w:val="auto"/>
          <w:sz w:val="24"/>
        </w:rPr>
        <w:t>，师生意见大，反映强烈，甲方有权采取应急措施，并终止合同，且不退还履约保证金。</w:t>
      </w:r>
    </w:p>
    <w:p w14:paraId="160D982A">
      <w:pPr>
        <w:ind w:firstLine="482" w:firstLineChars="200"/>
        <w:rPr>
          <w:rFonts w:ascii="宋体" w:hAnsi="宋体" w:eastAsia="宋体"/>
          <w:b/>
          <w:color w:val="auto"/>
          <w:sz w:val="24"/>
        </w:rPr>
      </w:pPr>
      <w:r>
        <w:rPr>
          <w:rFonts w:hint="eastAsia" w:ascii="宋体" w:hAnsi="宋体" w:eastAsia="宋体"/>
          <w:b/>
          <w:color w:val="auto"/>
          <w:sz w:val="24"/>
        </w:rPr>
        <w:t>第十条 不可抗力事件处理</w:t>
      </w:r>
    </w:p>
    <w:p w14:paraId="027FAF81">
      <w:pPr>
        <w:ind w:firstLine="480" w:firstLineChars="200"/>
        <w:rPr>
          <w:rFonts w:ascii="宋体" w:hAnsi="宋体" w:eastAsia="宋体"/>
          <w:color w:val="auto"/>
          <w:sz w:val="24"/>
        </w:rPr>
      </w:pPr>
      <w:r>
        <w:rPr>
          <w:rFonts w:ascii="宋体" w:hAnsi="宋体" w:eastAsia="宋体"/>
          <w:color w:val="auto"/>
          <w:sz w:val="24"/>
        </w:rPr>
        <w:t>1.因不可抗力致使本合同不能继续履行或造成损失的，甲、乙双方互不承担 责任。</w:t>
      </w:r>
    </w:p>
    <w:p w14:paraId="433ADCCF">
      <w:pPr>
        <w:ind w:firstLine="480" w:firstLineChars="200"/>
        <w:rPr>
          <w:rFonts w:ascii="宋体" w:hAnsi="宋体" w:eastAsia="宋体"/>
          <w:color w:val="auto"/>
          <w:sz w:val="24"/>
        </w:rPr>
      </w:pPr>
      <w:r>
        <w:rPr>
          <w:rFonts w:ascii="宋体" w:hAnsi="宋体" w:eastAsia="宋体"/>
          <w:color w:val="auto"/>
          <w:sz w:val="24"/>
        </w:rPr>
        <w:t>2.若遇国家政策调整或学校上级部门要求等非甲方原因，需提前终止合同， 甲乙双方必须执行，甲乙双方互不承担违约责任。</w:t>
      </w:r>
    </w:p>
    <w:p w14:paraId="2FEE13EF">
      <w:pPr>
        <w:rPr>
          <w:rFonts w:ascii="宋体" w:hAnsi="宋体" w:eastAsia="宋体"/>
          <w:color w:val="auto"/>
          <w:sz w:val="24"/>
        </w:rPr>
      </w:pPr>
      <w:r>
        <w:rPr>
          <w:rFonts w:ascii="宋体" w:hAnsi="宋体" w:eastAsia="宋体"/>
          <w:color w:val="auto"/>
          <w:sz w:val="24"/>
        </w:rPr>
        <w:t xml:space="preserve"> </w:t>
      </w:r>
      <w:r>
        <w:rPr>
          <w:rFonts w:hint="eastAsia" w:ascii="宋体" w:hAnsi="宋体" w:eastAsia="宋体"/>
          <w:color w:val="auto"/>
          <w:sz w:val="24"/>
        </w:rPr>
        <w:t xml:space="preserve"> </w:t>
      </w:r>
      <w:r>
        <w:rPr>
          <w:rFonts w:ascii="宋体" w:hAnsi="宋体" w:eastAsia="宋体"/>
          <w:color w:val="auto"/>
          <w:sz w:val="24"/>
        </w:rPr>
        <w:t xml:space="preserve"> </w:t>
      </w:r>
      <w:r>
        <w:rPr>
          <w:rFonts w:hint="eastAsia" w:ascii="宋体" w:hAnsi="宋体" w:eastAsia="宋体"/>
          <w:b/>
          <w:color w:val="auto"/>
          <w:sz w:val="24"/>
        </w:rPr>
        <w:t>第十</w:t>
      </w:r>
      <w:r>
        <w:rPr>
          <w:rFonts w:ascii="宋体" w:hAnsi="宋体" w:eastAsia="宋体"/>
          <w:b/>
          <w:color w:val="auto"/>
          <w:sz w:val="24"/>
        </w:rPr>
        <w:t>一条</w:t>
      </w:r>
      <w:r>
        <w:rPr>
          <w:rFonts w:hint="eastAsia" w:ascii="宋体" w:hAnsi="宋体" w:eastAsia="宋体"/>
          <w:b/>
          <w:color w:val="auto"/>
          <w:sz w:val="24"/>
        </w:rPr>
        <w:t xml:space="preserve"> </w:t>
      </w:r>
      <w:r>
        <w:rPr>
          <w:rFonts w:ascii="宋体" w:hAnsi="宋体" w:eastAsia="宋体"/>
          <w:b/>
          <w:color w:val="auto"/>
          <w:sz w:val="24"/>
        </w:rPr>
        <w:t>合同修订</w:t>
      </w:r>
    </w:p>
    <w:p w14:paraId="42F46ACB">
      <w:pPr>
        <w:ind w:firstLine="480" w:firstLineChars="200"/>
        <w:rPr>
          <w:rFonts w:ascii="宋体" w:hAnsi="宋体" w:eastAsia="宋体"/>
          <w:color w:val="auto"/>
          <w:sz w:val="24"/>
        </w:rPr>
      </w:pPr>
      <w:r>
        <w:rPr>
          <w:rFonts w:ascii="宋体" w:hAnsi="宋体" w:eastAsia="宋体"/>
          <w:color w:val="auto"/>
          <w:sz w:val="24"/>
        </w:rPr>
        <w:t>1.本合同未尽事宜，经甲、乙双方协商一致，可订立补充条款，补充条款及 附件均为本合同组成部分，与本合同具有同等的法律效力。补充条款与本合同规 定不一致时，以书面补充条款为准。</w:t>
      </w:r>
    </w:p>
    <w:p w14:paraId="63005EC1">
      <w:pPr>
        <w:ind w:firstLine="480" w:firstLineChars="200"/>
        <w:rPr>
          <w:rFonts w:ascii="宋体" w:hAnsi="宋体" w:eastAsia="宋体"/>
          <w:color w:val="auto"/>
          <w:sz w:val="24"/>
        </w:rPr>
      </w:pPr>
      <w:r>
        <w:rPr>
          <w:rFonts w:ascii="宋体" w:hAnsi="宋体" w:eastAsia="宋体"/>
          <w:color w:val="auto"/>
          <w:sz w:val="24"/>
        </w:rPr>
        <w:t>2.投标</w:t>
      </w:r>
      <w:r>
        <w:rPr>
          <w:rFonts w:hint="eastAsia" w:ascii="宋体" w:hAnsi="宋体" w:eastAsia="宋体"/>
          <w:color w:val="auto"/>
          <w:sz w:val="24"/>
        </w:rPr>
        <w:t>（响应）</w:t>
      </w:r>
      <w:r>
        <w:rPr>
          <w:rFonts w:ascii="宋体" w:hAnsi="宋体" w:eastAsia="宋体"/>
          <w:color w:val="auto"/>
          <w:sz w:val="24"/>
        </w:rPr>
        <w:t>文件及附件与本合同具有同等法律效力。</w:t>
      </w:r>
    </w:p>
    <w:p w14:paraId="6954A259">
      <w:pPr>
        <w:ind w:firstLine="482" w:firstLineChars="200"/>
        <w:rPr>
          <w:rFonts w:ascii="宋体" w:hAnsi="宋体" w:eastAsia="宋体"/>
          <w:b/>
          <w:color w:val="auto"/>
          <w:sz w:val="24"/>
        </w:rPr>
      </w:pPr>
      <w:r>
        <w:rPr>
          <w:rFonts w:hint="eastAsia" w:ascii="宋体" w:hAnsi="宋体" w:eastAsia="宋体"/>
          <w:b/>
          <w:color w:val="auto"/>
          <w:sz w:val="24"/>
        </w:rPr>
        <w:t>第十二条 适用法律及争议解决</w:t>
      </w:r>
    </w:p>
    <w:p w14:paraId="0A91A397">
      <w:pPr>
        <w:ind w:firstLine="480" w:firstLineChars="200"/>
        <w:rPr>
          <w:rFonts w:ascii="宋体" w:hAnsi="宋体" w:eastAsia="宋体"/>
          <w:color w:val="auto"/>
          <w:sz w:val="24"/>
        </w:rPr>
      </w:pPr>
      <w:r>
        <w:rPr>
          <w:rFonts w:ascii="宋体" w:hAnsi="宋体" w:eastAsia="宋体"/>
          <w:color w:val="auto"/>
          <w:sz w:val="24"/>
        </w:rPr>
        <w:t>1.因服务质量问题发生争议的，应邀请国家认可的质量检测机构对服务质 量进行鉴定。服务符合标准或要求的，鉴定费由甲方承担；服务不符合标准或要 求的，鉴定费由乙方承担。</w:t>
      </w:r>
    </w:p>
    <w:p w14:paraId="56E1C84B">
      <w:pPr>
        <w:ind w:firstLine="480" w:firstLineChars="200"/>
        <w:rPr>
          <w:rFonts w:ascii="宋体" w:hAnsi="宋体" w:eastAsia="宋体"/>
          <w:color w:val="auto"/>
          <w:sz w:val="24"/>
        </w:rPr>
      </w:pPr>
      <w:r>
        <w:rPr>
          <w:rFonts w:ascii="宋体" w:hAnsi="宋体" w:eastAsia="宋体"/>
          <w:color w:val="auto"/>
          <w:sz w:val="24"/>
        </w:rPr>
        <w:t>2.因履行本合同引起的或与本合同有关的争议，甲乙双方应首先通过友好 协商解决，如果协商不能解决，可向甲方所在地人民法院提起诉讼。</w:t>
      </w:r>
    </w:p>
    <w:p w14:paraId="12ED5093">
      <w:pPr>
        <w:ind w:firstLine="480" w:firstLineChars="200"/>
        <w:rPr>
          <w:rFonts w:ascii="宋体" w:hAnsi="宋体" w:eastAsia="宋体"/>
          <w:color w:val="auto"/>
          <w:sz w:val="24"/>
        </w:rPr>
      </w:pPr>
      <w:r>
        <w:rPr>
          <w:rFonts w:ascii="宋体" w:hAnsi="宋体" w:eastAsia="宋体"/>
          <w:color w:val="auto"/>
          <w:sz w:val="24"/>
        </w:rPr>
        <w:t>3.诉讼期间，本合同继续履行。</w:t>
      </w:r>
    </w:p>
    <w:p w14:paraId="4C453144">
      <w:pPr>
        <w:ind w:firstLine="482" w:firstLineChars="200"/>
        <w:rPr>
          <w:rFonts w:ascii="宋体" w:hAnsi="宋体" w:eastAsia="宋体"/>
          <w:b/>
          <w:color w:val="auto"/>
          <w:sz w:val="24"/>
        </w:rPr>
      </w:pPr>
      <w:r>
        <w:rPr>
          <w:rFonts w:hint="eastAsia" w:ascii="宋体" w:hAnsi="宋体" w:eastAsia="宋体"/>
          <w:b/>
          <w:color w:val="auto"/>
          <w:sz w:val="24"/>
        </w:rPr>
        <w:t>第十三条 合同生效</w:t>
      </w:r>
    </w:p>
    <w:p w14:paraId="1D3228DA">
      <w:pPr>
        <w:ind w:firstLine="480" w:firstLineChars="200"/>
        <w:rPr>
          <w:rFonts w:ascii="宋体" w:hAnsi="宋体" w:eastAsia="宋体"/>
          <w:color w:val="auto"/>
          <w:sz w:val="24"/>
        </w:rPr>
      </w:pPr>
      <w:r>
        <w:rPr>
          <w:rFonts w:ascii="宋体" w:hAnsi="宋体" w:eastAsia="宋体"/>
          <w:color w:val="auto"/>
          <w:sz w:val="24"/>
        </w:rPr>
        <w:t>1.本合同经甲乙双方法定代表人或委托代理人签字并加盖单位公章后生效。</w:t>
      </w:r>
    </w:p>
    <w:p w14:paraId="191FA99D">
      <w:pPr>
        <w:ind w:firstLine="480" w:firstLineChars="200"/>
        <w:rPr>
          <w:rFonts w:ascii="宋体" w:hAnsi="宋体" w:eastAsia="宋体"/>
          <w:color w:val="auto"/>
          <w:sz w:val="24"/>
        </w:rPr>
      </w:pPr>
      <w:r>
        <w:rPr>
          <w:rFonts w:ascii="宋体" w:hAnsi="宋体" w:eastAsia="宋体"/>
          <w:color w:val="auto"/>
          <w:sz w:val="24"/>
        </w:rPr>
        <w:t>2.本合同一式四份，具有同等法律效力，甲方三份、乙方一份。</w:t>
      </w:r>
    </w:p>
    <w:p w14:paraId="65C828F1">
      <w:pPr>
        <w:ind w:firstLine="482" w:firstLineChars="200"/>
        <w:rPr>
          <w:rFonts w:ascii="宋体" w:hAnsi="宋体" w:eastAsia="宋体"/>
          <w:b/>
          <w:color w:val="auto"/>
          <w:sz w:val="24"/>
        </w:rPr>
      </w:pPr>
      <w:r>
        <w:rPr>
          <w:rFonts w:hint="eastAsia" w:ascii="宋体" w:hAnsi="宋体" w:eastAsia="宋体"/>
          <w:b/>
          <w:color w:val="auto"/>
          <w:sz w:val="24"/>
        </w:rPr>
        <w:t>第十四条 其他约定事项</w:t>
      </w:r>
    </w:p>
    <w:p w14:paraId="0B3CFFA9">
      <w:pPr>
        <w:ind w:firstLine="480" w:firstLineChars="200"/>
        <w:rPr>
          <w:rFonts w:ascii="宋体" w:hAnsi="宋体" w:eastAsia="宋体"/>
          <w:color w:val="auto"/>
          <w:sz w:val="24"/>
        </w:rPr>
      </w:pPr>
      <w:r>
        <w:rPr>
          <w:rFonts w:hint="eastAsia" w:ascii="宋体" w:hAnsi="宋体" w:eastAsia="宋体"/>
          <w:color w:val="auto"/>
          <w:sz w:val="24"/>
        </w:rPr>
        <w:t>本合同未尽事宜，按采购文件的要求和投标（响应）文件的承诺执行，采购文件及投标（响应）文件均不涉及的，遵照《中华人民共和国民法典》有关条文执行，由甲、乙双方协商解决，并签订补充合同进一步明确各方的权利义务。甲方的采购采购文</w:t>
      </w:r>
      <w:r>
        <w:rPr>
          <w:rFonts w:ascii="宋体" w:hAnsi="宋体" w:eastAsia="宋体"/>
          <w:color w:val="auto"/>
          <w:sz w:val="24"/>
        </w:rPr>
        <w:t>件、乙方的投标</w:t>
      </w:r>
      <w:r>
        <w:rPr>
          <w:rFonts w:hint="eastAsia" w:ascii="宋体" w:hAnsi="宋体" w:eastAsia="宋体"/>
          <w:color w:val="auto"/>
          <w:sz w:val="24"/>
        </w:rPr>
        <w:t>（响应）</w:t>
      </w:r>
      <w:r>
        <w:rPr>
          <w:rFonts w:ascii="宋体" w:hAnsi="宋体" w:eastAsia="宋体"/>
          <w:color w:val="auto"/>
          <w:sz w:val="24"/>
        </w:rPr>
        <w:t>文件及书面往来文件等为本合同的有效组成部分。</w:t>
      </w:r>
    </w:p>
    <w:p w14:paraId="45DCE46E">
      <w:pPr>
        <w:ind w:firstLine="482" w:firstLineChars="200"/>
        <w:rPr>
          <w:rFonts w:ascii="宋体" w:hAnsi="宋体" w:eastAsia="宋体"/>
          <w:b/>
          <w:color w:val="auto"/>
          <w:sz w:val="24"/>
        </w:rPr>
      </w:pPr>
      <w:r>
        <w:rPr>
          <w:rFonts w:hint="eastAsia" w:ascii="宋体" w:hAnsi="宋体" w:eastAsia="宋体"/>
          <w:b/>
          <w:color w:val="auto"/>
          <w:sz w:val="24"/>
        </w:rPr>
        <w:t>第十五条 签订本合同依据</w:t>
      </w:r>
    </w:p>
    <w:p w14:paraId="0108DD3F">
      <w:pPr>
        <w:ind w:firstLine="480" w:firstLineChars="200"/>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rPr>
        <w:t>采购</w:t>
      </w:r>
      <w:r>
        <w:rPr>
          <w:rFonts w:ascii="宋体" w:hAnsi="宋体" w:eastAsia="宋体"/>
          <w:color w:val="auto"/>
          <w:sz w:val="24"/>
        </w:rPr>
        <w:t>文件；</w:t>
      </w:r>
    </w:p>
    <w:p w14:paraId="3DC172AD">
      <w:pPr>
        <w:ind w:firstLine="480" w:firstLineChars="200"/>
        <w:rPr>
          <w:rFonts w:ascii="宋体" w:hAnsi="宋体" w:eastAsia="宋体"/>
          <w:color w:val="auto"/>
          <w:sz w:val="24"/>
        </w:rPr>
      </w:pPr>
      <w:r>
        <w:rPr>
          <w:rFonts w:ascii="宋体" w:hAnsi="宋体" w:eastAsia="宋体"/>
          <w:color w:val="auto"/>
          <w:sz w:val="24"/>
        </w:rPr>
        <w:t>2.乙方提供的响应文件</w:t>
      </w:r>
      <w:r>
        <w:rPr>
          <w:rFonts w:hint="eastAsia" w:ascii="宋体" w:hAnsi="宋体" w:eastAsia="宋体"/>
          <w:color w:val="auto"/>
          <w:sz w:val="24"/>
        </w:rPr>
        <w:t>；</w:t>
      </w:r>
    </w:p>
    <w:p w14:paraId="33482C98">
      <w:pPr>
        <w:ind w:firstLine="480" w:firstLineChars="200"/>
        <w:rPr>
          <w:rFonts w:ascii="宋体" w:hAnsi="宋体" w:eastAsia="宋体"/>
          <w:color w:val="auto"/>
          <w:sz w:val="24"/>
        </w:rPr>
      </w:pPr>
      <w:r>
        <w:rPr>
          <w:rFonts w:ascii="宋体" w:hAnsi="宋体" w:eastAsia="宋体"/>
          <w:color w:val="auto"/>
          <w:sz w:val="24"/>
        </w:rPr>
        <w:t>3.中标通知书。</w:t>
      </w:r>
    </w:p>
    <w:p w14:paraId="5F953D54">
      <w:pPr>
        <w:ind w:firstLine="480" w:firstLineChars="200"/>
        <w:rPr>
          <w:rFonts w:ascii="宋体" w:hAnsi="宋体" w:eastAsia="宋体"/>
          <w:color w:val="auto"/>
          <w:sz w:val="24"/>
        </w:rPr>
      </w:pPr>
    </w:p>
    <w:tbl>
      <w:tblPr>
        <w:tblStyle w:val="13"/>
        <w:tblW w:w="8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380"/>
        <w:gridCol w:w="4245"/>
      </w:tblGrid>
      <w:tr w14:paraId="7A6F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4073" w:type="dxa"/>
            <w:gridSpan w:val="2"/>
          </w:tcPr>
          <w:p w14:paraId="3CED666C">
            <w:pPr>
              <w:pStyle w:val="18"/>
              <w:spacing w:before="233" w:line="219" w:lineRule="auto"/>
              <w:ind w:left="85"/>
              <w:rPr>
                <w:color w:val="auto"/>
              </w:rPr>
            </w:pPr>
            <w:r>
              <w:rPr>
                <w:color w:val="auto"/>
              </w:rPr>
              <w:t>甲方(章)</w:t>
            </w:r>
            <w:r>
              <w:rPr>
                <w:rFonts w:hint="eastAsia"/>
                <w:color w:val="auto"/>
                <w:lang w:eastAsia="zh-CN"/>
              </w:rPr>
              <w:t>广西艺术学院</w:t>
            </w:r>
          </w:p>
        </w:tc>
        <w:tc>
          <w:tcPr>
            <w:tcW w:w="4245" w:type="dxa"/>
          </w:tcPr>
          <w:p w14:paraId="6BB56E8C">
            <w:pPr>
              <w:pStyle w:val="18"/>
              <w:spacing w:before="13" w:line="219" w:lineRule="auto"/>
              <w:ind w:left="114"/>
              <w:rPr>
                <w:color w:val="auto"/>
              </w:rPr>
            </w:pPr>
            <w:r>
              <w:rPr>
                <w:color w:val="auto"/>
                <w:lang w:eastAsia="zh-CN"/>
              </w:rPr>
              <w:t>乙方(章)</w:t>
            </w:r>
          </w:p>
        </w:tc>
      </w:tr>
      <w:tr w14:paraId="46F3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073" w:type="dxa"/>
            <w:gridSpan w:val="2"/>
          </w:tcPr>
          <w:p w14:paraId="30F81E8F">
            <w:pPr>
              <w:pStyle w:val="18"/>
              <w:spacing w:before="91" w:line="219" w:lineRule="auto"/>
              <w:ind w:left="85"/>
              <w:rPr>
                <w:color w:val="auto"/>
              </w:rPr>
            </w:pPr>
            <w:r>
              <w:rPr>
                <w:color w:val="auto"/>
              </w:rPr>
              <w:t>单位地址：</w:t>
            </w:r>
          </w:p>
        </w:tc>
        <w:tc>
          <w:tcPr>
            <w:tcW w:w="4245" w:type="dxa"/>
          </w:tcPr>
          <w:p w14:paraId="359ABC2E">
            <w:pPr>
              <w:pStyle w:val="18"/>
              <w:spacing w:before="79" w:line="219" w:lineRule="auto"/>
              <w:ind w:left="114"/>
              <w:rPr>
                <w:color w:val="auto"/>
                <w:lang w:eastAsia="zh-CN"/>
              </w:rPr>
            </w:pPr>
            <w:r>
              <w:rPr>
                <w:color w:val="auto"/>
                <w:lang w:eastAsia="zh-CN"/>
              </w:rPr>
              <w:t xml:space="preserve">单位地址： </w:t>
            </w:r>
          </w:p>
        </w:tc>
      </w:tr>
      <w:tr w14:paraId="44E22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693" w:type="dxa"/>
            <w:tcBorders>
              <w:right w:val="nil"/>
            </w:tcBorders>
          </w:tcPr>
          <w:p w14:paraId="36890712">
            <w:pPr>
              <w:pStyle w:val="18"/>
              <w:spacing w:before="112" w:line="219" w:lineRule="auto"/>
              <w:ind w:left="85"/>
              <w:rPr>
                <w:color w:val="auto"/>
              </w:rPr>
            </w:pPr>
            <w:r>
              <w:rPr>
                <w:color w:val="auto"/>
                <w:spacing w:val="-1"/>
              </w:rPr>
              <w:t>法定代表人：</w:t>
            </w:r>
          </w:p>
        </w:tc>
        <w:tc>
          <w:tcPr>
            <w:tcW w:w="2380" w:type="dxa"/>
            <w:tcBorders>
              <w:left w:val="nil"/>
            </w:tcBorders>
          </w:tcPr>
          <w:p w14:paraId="6DEAF06C">
            <w:pPr>
              <w:spacing w:line="639" w:lineRule="exact"/>
              <w:ind w:firstLine="226"/>
              <w:rPr>
                <w:rFonts w:ascii="Arial" w:hAnsi="Arial" w:cs="Arial"/>
                <w:color w:val="auto"/>
                <w:kern w:val="0"/>
                <w:sz w:val="24"/>
              </w:rPr>
            </w:pPr>
          </w:p>
        </w:tc>
        <w:tc>
          <w:tcPr>
            <w:tcW w:w="4245" w:type="dxa"/>
          </w:tcPr>
          <w:p w14:paraId="64C2544F">
            <w:pPr>
              <w:pStyle w:val="18"/>
              <w:spacing w:before="122" w:line="219" w:lineRule="auto"/>
              <w:ind w:left="114"/>
              <w:rPr>
                <w:color w:val="auto"/>
              </w:rPr>
            </w:pPr>
            <w:r>
              <w:rPr>
                <w:color w:val="auto"/>
                <w:spacing w:val="-1"/>
              </w:rPr>
              <w:t>法定代表人：</w:t>
            </w:r>
          </w:p>
        </w:tc>
      </w:tr>
      <w:tr w14:paraId="694B1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073" w:type="dxa"/>
            <w:gridSpan w:val="2"/>
          </w:tcPr>
          <w:p w14:paraId="06DF30BD">
            <w:pPr>
              <w:pStyle w:val="18"/>
              <w:spacing w:before="113" w:line="219" w:lineRule="auto"/>
              <w:ind w:left="85"/>
              <w:rPr>
                <w:color w:val="auto"/>
              </w:rPr>
            </w:pPr>
            <w:r>
              <w:rPr>
                <w:color w:val="auto"/>
                <w:spacing w:val="-1"/>
              </w:rPr>
              <w:t>委托代理人：</w:t>
            </w:r>
          </w:p>
        </w:tc>
        <w:tc>
          <w:tcPr>
            <w:tcW w:w="4245" w:type="dxa"/>
          </w:tcPr>
          <w:p w14:paraId="2168F442">
            <w:pPr>
              <w:pStyle w:val="18"/>
              <w:spacing w:before="113" w:line="219" w:lineRule="auto"/>
              <w:ind w:left="114"/>
              <w:rPr>
                <w:color w:val="auto"/>
              </w:rPr>
            </w:pPr>
            <w:r>
              <w:rPr>
                <w:color w:val="auto"/>
                <w:spacing w:val="6"/>
              </w:rPr>
              <w:t>委托代理人：</w:t>
            </w:r>
          </w:p>
        </w:tc>
      </w:tr>
      <w:tr w14:paraId="6FC44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073" w:type="dxa"/>
            <w:gridSpan w:val="2"/>
          </w:tcPr>
          <w:p w14:paraId="4C38F7A7">
            <w:pPr>
              <w:pStyle w:val="18"/>
              <w:spacing w:before="117" w:line="221" w:lineRule="auto"/>
              <w:ind w:left="85"/>
              <w:rPr>
                <w:color w:val="auto"/>
              </w:rPr>
            </w:pPr>
            <w:r>
              <w:rPr>
                <w:color w:val="auto"/>
              </w:rPr>
              <w:t>电话：</w:t>
            </w:r>
          </w:p>
        </w:tc>
        <w:tc>
          <w:tcPr>
            <w:tcW w:w="4245" w:type="dxa"/>
          </w:tcPr>
          <w:p w14:paraId="4DE70989">
            <w:pPr>
              <w:pStyle w:val="18"/>
              <w:spacing w:before="127" w:line="221" w:lineRule="auto"/>
              <w:ind w:left="114"/>
              <w:rPr>
                <w:color w:val="auto"/>
              </w:rPr>
            </w:pPr>
            <w:r>
              <w:rPr>
                <w:color w:val="auto"/>
                <w:spacing w:val="-2"/>
              </w:rPr>
              <w:t>电话：</w:t>
            </w:r>
          </w:p>
        </w:tc>
      </w:tr>
      <w:tr w14:paraId="35D72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073" w:type="dxa"/>
            <w:gridSpan w:val="2"/>
          </w:tcPr>
          <w:p w14:paraId="7AB159F5">
            <w:pPr>
              <w:pStyle w:val="18"/>
              <w:spacing w:before="246" w:line="220" w:lineRule="auto"/>
              <w:ind w:left="85"/>
              <w:rPr>
                <w:color w:val="auto"/>
              </w:rPr>
            </w:pPr>
            <w:r>
              <w:rPr>
                <w:color w:val="auto"/>
              </w:rPr>
              <w:t>开户名称：</w:t>
            </w:r>
          </w:p>
        </w:tc>
        <w:tc>
          <w:tcPr>
            <w:tcW w:w="4245" w:type="dxa"/>
          </w:tcPr>
          <w:p w14:paraId="18DE6829">
            <w:pPr>
              <w:pStyle w:val="18"/>
              <w:spacing w:before="14" w:line="334" w:lineRule="auto"/>
              <w:ind w:left="114"/>
              <w:rPr>
                <w:color w:val="auto"/>
              </w:rPr>
            </w:pPr>
            <w:r>
              <w:rPr>
                <w:color w:val="auto"/>
                <w:spacing w:val="-7"/>
              </w:rPr>
              <w:t>开户名称：</w:t>
            </w:r>
          </w:p>
        </w:tc>
      </w:tr>
      <w:tr w14:paraId="75417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073" w:type="dxa"/>
            <w:gridSpan w:val="2"/>
          </w:tcPr>
          <w:p w14:paraId="390A6532">
            <w:pPr>
              <w:pStyle w:val="18"/>
              <w:spacing w:before="117" w:line="220" w:lineRule="auto"/>
              <w:ind w:left="85"/>
              <w:rPr>
                <w:color w:val="auto"/>
              </w:rPr>
            </w:pPr>
            <w:r>
              <w:rPr>
                <w:color w:val="auto"/>
              </w:rPr>
              <w:t>纳税人识别号：</w:t>
            </w:r>
          </w:p>
        </w:tc>
        <w:tc>
          <w:tcPr>
            <w:tcW w:w="4245" w:type="dxa"/>
          </w:tcPr>
          <w:p w14:paraId="718D2F5B">
            <w:pPr>
              <w:pStyle w:val="18"/>
              <w:spacing w:before="127" w:line="220" w:lineRule="auto"/>
              <w:ind w:left="114"/>
              <w:rPr>
                <w:color w:val="auto"/>
              </w:rPr>
            </w:pPr>
            <w:r>
              <w:rPr>
                <w:color w:val="auto"/>
              </w:rPr>
              <w:t>纳税人识别号：</w:t>
            </w:r>
          </w:p>
        </w:tc>
      </w:tr>
      <w:tr w14:paraId="7079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073" w:type="dxa"/>
            <w:gridSpan w:val="2"/>
          </w:tcPr>
          <w:p w14:paraId="1AF1521B">
            <w:pPr>
              <w:pStyle w:val="18"/>
              <w:spacing w:before="197" w:line="219" w:lineRule="auto"/>
              <w:ind w:left="85"/>
              <w:rPr>
                <w:color w:val="auto"/>
              </w:rPr>
            </w:pPr>
            <w:r>
              <w:rPr>
                <w:color w:val="auto"/>
              </w:rPr>
              <w:t>开户银行：</w:t>
            </w:r>
          </w:p>
        </w:tc>
        <w:tc>
          <w:tcPr>
            <w:tcW w:w="4245" w:type="dxa"/>
          </w:tcPr>
          <w:p w14:paraId="2D4827D1">
            <w:pPr>
              <w:pStyle w:val="18"/>
              <w:spacing w:before="26" w:line="219" w:lineRule="auto"/>
              <w:ind w:left="114"/>
              <w:rPr>
                <w:color w:val="auto"/>
              </w:rPr>
            </w:pPr>
            <w:r>
              <w:rPr>
                <w:color w:val="auto"/>
                <w:spacing w:val="-7"/>
              </w:rPr>
              <w:t>开户银行：</w:t>
            </w:r>
          </w:p>
        </w:tc>
      </w:tr>
      <w:tr w14:paraId="3F64B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73" w:type="dxa"/>
            <w:gridSpan w:val="2"/>
          </w:tcPr>
          <w:p w14:paraId="402A4A3D">
            <w:pPr>
              <w:pStyle w:val="18"/>
              <w:spacing w:before="208" w:line="221" w:lineRule="auto"/>
              <w:ind w:left="85"/>
              <w:rPr>
                <w:color w:val="auto"/>
              </w:rPr>
            </w:pPr>
            <w:r>
              <w:rPr>
                <w:color w:val="auto"/>
              </w:rPr>
              <w:t>账号：</w:t>
            </w:r>
          </w:p>
        </w:tc>
        <w:tc>
          <w:tcPr>
            <w:tcW w:w="4245" w:type="dxa"/>
          </w:tcPr>
          <w:p w14:paraId="01CAD424">
            <w:pPr>
              <w:pStyle w:val="18"/>
              <w:spacing w:before="208" w:line="221" w:lineRule="auto"/>
              <w:ind w:left="114"/>
              <w:rPr>
                <w:color w:val="auto"/>
              </w:rPr>
            </w:pPr>
            <w:r>
              <w:rPr>
                <w:color w:val="auto"/>
              </w:rPr>
              <w:t>账号：</w:t>
            </w:r>
          </w:p>
        </w:tc>
      </w:tr>
      <w:tr w14:paraId="7FD6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073" w:type="dxa"/>
            <w:gridSpan w:val="2"/>
          </w:tcPr>
          <w:p w14:paraId="4E44E6A5">
            <w:pPr>
              <w:pStyle w:val="18"/>
              <w:spacing w:before="208" w:line="219" w:lineRule="auto"/>
              <w:ind w:left="85"/>
              <w:rPr>
                <w:color w:val="auto"/>
              </w:rPr>
            </w:pPr>
            <w:r>
              <w:rPr>
                <w:color w:val="auto"/>
                <w:spacing w:val="1"/>
              </w:rPr>
              <w:t>邮政编码：</w:t>
            </w:r>
          </w:p>
        </w:tc>
        <w:tc>
          <w:tcPr>
            <w:tcW w:w="4245" w:type="dxa"/>
          </w:tcPr>
          <w:p w14:paraId="3F7E176A">
            <w:pPr>
              <w:pStyle w:val="18"/>
              <w:spacing w:before="208" w:line="219" w:lineRule="auto"/>
              <w:ind w:left="114"/>
              <w:rPr>
                <w:color w:val="auto"/>
              </w:rPr>
            </w:pPr>
            <w:r>
              <w:rPr>
                <w:color w:val="auto"/>
                <w:spacing w:val="-1"/>
              </w:rPr>
              <w:t>邮政编码：</w:t>
            </w:r>
          </w:p>
        </w:tc>
      </w:tr>
      <w:tr w14:paraId="546BC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18" w:type="dxa"/>
            <w:gridSpan w:val="3"/>
          </w:tcPr>
          <w:p w14:paraId="60D8C7A1">
            <w:pPr>
              <w:pStyle w:val="18"/>
              <w:spacing w:before="129"/>
              <w:ind w:left="94"/>
              <w:rPr>
                <w:color w:val="auto"/>
              </w:rPr>
            </w:pPr>
            <w:r>
              <w:rPr>
                <w:color w:val="auto"/>
                <w:spacing w:val="3"/>
              </w:rPr>
              <w:t>签订日期：</w:t>
            </w:r>
          </w:p>
        </w:tc>
      </w:tr>
    </w:tbl>
    <w:p w14:paraId="657D2F3F">
      <w:pPr>
        <w:ind w:firstLine="480" w:firstLineChars="200"/>
        <w:rPr>
          <w:rFonts w:ascii="宋体" w:hAnsi="宋体" w:eastAsia="宋体"/>
          <w:color w:val="auto"/>
          <w:sz w:val="24"/>
        </w:rPr>
      </w:pPr>
    </w:p>
    <w:p w14:paraId="3B428388">
      <w:pPr>
        <w:ind w:firstLine="398" w:firstLineChars="200"/>
        <w:jc w:val="center"/>
        <w:rPr>
          <w:rFonts w:ascii="宋体" w:hAnsi="宋体" w:eastAsia="宋体"/>
          <w:color w:val="auto"/>
          <w:sz w:val="24"/>
        </w:rPr>
      </w:pPr>
      <w:r>
        <w:rPr>
          <w:rFonts w:ascii="宋体" w:hAnsi="宋体" w:eastAsia="宋体"/>
          <w:b/>
          <w:bCs/>
          <w:color w:val="auto"/>
          <w:spacing w:val="-21"/>
          <w:sz w:val="24"/>
        </w:rPr>
        <w:t>合</w:t>
      </w:r>
      <w:r>
        <w:rPr>
          <w:rFonts w:hint="eastAsia" w:ascii="宋体" w:hAnsi="宋体" w:eastAsia="宋体"/>
          <w:b/>
          <w:bCs/>
          <w:color w:val="auto"/>
          <w:spacing w:val="-21"/>
          <w:sz w:val="24"/>
        </w:rPr>
        <w:t xml:space="preserve"> </w:t>
      </w:r>
      <w:r>
        <w:rPr>
          <w:rFonts w:ascii="宋体" w:hAnsi="宋体" w:eastAsia="宋体"/>
          <w:b/>
          <w:bCs/>
          <w:color w:val="auto"/>
          <w:spacing w:val="-21"/>
          <w:sz w:val="24"/>
        </w:rPr>
        <w:t>同</w:t>
      </w:r>
      <w:r>
        <w:rPr>
          <w:rFonts w:hint="eastAsia" w:ascii="宋体" w:hAnsi="宋体" w:eastAsia="宋体"/>
          <w:b/>
          <w:bCs/>
          <w:color w:val="auto"/>
          <w:spacing w:val="-21"/>
          <w:sz w:val="24"/>
        </w:rPr>
        <w:t xml:space="preserve"> </w:t>
      </w:r>
      <w:r>
        <w:rPr>
          <w:rFonts w:ascii="宋体" w:hAnsi="宋体" w:eastAsia="宋体"/>
          <w:b/>
          <w:bCs/>
          <w:color w:val="auto"/>
          <w:spacing w:val="-21"/>
          <w:sz w:val="24"/>
        </w:rPr>
        <w:t>附</w:t>
      </w:r>
      <w:r>
        <w:rPr>
          <w:rFonts w:ascii="宋体" w:hAnsi="宋体" w:eastAsia="宋体"/>
          <w:color w:val="auto"/>
          <w:spacing w:val="-41"/>
          <w:sz w:val="24"/>
        </w:rPr>
        <w:t xml:space="preserve">  </w:t>
      </w:r>
      <w:r>
        <w:rPr>
          <w:rFonts w:ascii="宋体" w:hAnsi="宋体" w:eastAsia="宋体"/>
          <w:b/>
          <w:bCs/>
          <w:color w:val="auto"/>
          <w:spacing w:val="-21"/>
          <w:sz w:val="24"/>
        </w:rPr>
        <w:t>件</w:t>
      </w:r>
    </w:p>
    <w:tbl>
      <w:tblPr>
        <w:tblStyle w:val="13"/>
        <w:tblW w:w="8440"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3"/>
        <w:gridCol w:w="4187"/>
      </w:tblGrid>
      <w:tr w14:paraId="5962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440" w:type="dxa"/>
            <w:gridSpan w:val="2"/>
            <w:tcBorders>
              <w:bottom w:val="nil"/>
            </w:tcBorders>
          </w:tcPr>
          <w:p w14:paraId="2C5D07BD">
            <w:pPr>
              <w:pStyle w:val="18"/>
              <w:spacing w:before="212" w:line="219" w:lineRule="auto"/>
              <w:ind w:left="85"/>
              <w:rPr>
                <w:color w:val="auto"/>
                <w:lang w:eastAsia="zh-CN"/>
              </w:rPr>
            </w:pPr>
            <w:r>
              <w:rPr>
                <w:color w:val="auto"/>
                <w:lang w:eastAsia="zh-CN"/>
              </w:rPr>
              <w:t>1.成交供应商承诺具体事项： “门前三包”责任承诺书、经营服务承诺书、</w:t>
            </w:r>
            <w:r>
              <w:rPr>
                <w:rFonts w:hint="eastAsia"/>
                <w:color w:val="auto"/>
                <w:lang w:eastAsia="zh-CN"/>
              </w:rPr>
              <w:t>广西艺术学院年度快递服务监管考核细则、</w:t>
            </w:r>
            <w:r>
              <w:rPr>
                <w:color w:val="auto"/>
                <w:lang w:eastAsia="zh-CN"/>
              </w:rPr>
              <w:t>中标通知书。</w:t>
            </w:r>
          </w:p>
        </w:tc>
      </w:tr>
      <w:tr w14:paraId="53447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8440" w:type="dxa"/>
            <w:gridSpan w:val="2"/>
            <w:tcBorders>
              <w:top w:val="nil"/>
            </w:tcBorders>
          </w:tcPr>
          <w:p w14:paraId="11B83C28">
            <w:pPr>
              <w:pStyle w:val="10"/>
              <w:jc w:val="both"/>
              <w:rPr>
                <w:rFonts w:ascii="宋体" w:hAnsi="宋体" w:eastAsia="宋体" w:cs="宋体"/>
                <w:b w:val="0"/>
                <w:bCs w:val="0"/>
                <w:color w:val="auto"/>
                <w:sz w:val="24"/>
                <w:szCs w:val="24"/>
                <w:lang w:eastAsia="zh-CN"/>
              </w:rPr>
            </w:pPr>
            <w:r>
              <w:rPr>
                <w:rFonts w:ascii="宋体" w:hAnsi="宋体" w:eastAsia="宋体" w:cs="宋体"/>
                <w:b w:val="0"/>
                <w:bCs w:val="0"/>
                <w:color w:val="auto"/>
                <w:sz w:val="24"/>
                <w:szCs w:val="24"/>
                <w:lang w:eastAsia="zh-CN"/>
              </w:rPr>
              <w:t>详见附件：1、2、3</w:t>
            </w:r>
            <w:r>
              <w:rPr>
                <w:rFonts w:hint="eastAsia" w:ascii="宋体" w:hAnsi="宋体" w:eastAsia="宋体" w:cs="宋体"/>
                <w:b w:val="0"/>
                <w:bCs w:val="0"/>
                <w:color w:val="auto"/>
                <w:sz w:val="24"/>
                <w:szCs w:val="24"/>
                <w:lang w:eastAsia="zh-CN"/>
              </w:rPr>
              <w:t>、4</w:t>
            </w:r>
          </w:p>
          <w:p w14:paraId="2472AD21">
            <w:pPr>
              <w:pStyle w:val="18"/>
              <w:spacing w:before="145" w:line="219" w:lineRule="auto"/>
              <w:ind w:left="85"/>
              <w:rPr>
                <w:color w:val="auto"/>
                <w:lang w:eastAsia="zh-CN"/>
              </w:rPr>
            </w:pPr>
          </w:p>
        </w:tc>
      </w:tr>
      <w:tr w14:paraId="1504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8440" w:type="dxa"/>
            <w:gridSpan w:val="2"/>
          </w:tcPr>
          <w:p w14:paraId="353A2312">
            <w:pPr>
              <w:pStyle w:val="18"/>
              <w:spacing w:before="222" w:line="219" w:lineRule="auto"/>
              <w:ind w:left="85"/>
              <w:rPr>
                <w:color w:val="auto"/>
              </w:rPr>
            </w:pPr>
            <w:r>
              <w:rPr>
                <w:color w:val="auto"/>
              </w:rPr>
              <w:t>2.质保期责任：</w:t>
            </w:r>
          </w:p>
          <w:p w14:paraId="1F38625D">
            <w:pPr>
              <w:spacing w:line="268" w:lineRule="auto"/>
              <w:rPr>
                <w:rFonts w:ascii="宋体" w:hAnsi="宋体" w:eastAsia="宋体" w:cs="Arial"/>
                <w:color w:val="auto"/>
                <w:kern w:val="0"/>
                <w:sz w:val="24"/>
              </w:rPr>
            </w:pPr>
          </w:p>
          <w:p w14:paraId="6E9A7418">
            <w:pPr>
              <w:spacing w:line="269" w:lineRule="auto"/>
              <w:rPr>
                <w:rFonts w:ascii="宋体" w:hAnsi="宋体" w:eastAsia="宋体" w:cs="Arial"/>
                <w:color w:val="auto"/>
                <w:kern w:val="0"/>
                <w:sz w:val="24"/>
              </w:rPr>
            </w:pPr>
          </w:p>
          <w:p w14:paraId="4DAD4802">
            <w:pPr>
              <w:spacing w:line="39" w:lineRule="exact"/>
              <w:ind w:firstLine="2328"/>
              <w:rPr>
                <w:rFonts w:ascii="宋体" w:hAnsi="宋体" w:eastAsia="宋体" w:cs="Arial"/>
                <w:color w:val="auto"/>
                <w:kern w:val="0"/>
                <w:sz w:val="24"/>
              </w:rPr>
            </w:pPr>
            <w:r>
              <w:rPr>
                <w:rFonts w:ascii="宋体" w:hAnsi="宋体" w:eastAsia="宋体" w:cs="Arial"/>
                <w:color w:val="auto"/>
                <w:kern w:val="0"/>
                <w:sz w:val="24"/>
              </w:rPr>
              <w:drawing>
                <wp:inline distT="0" distB="0" distL="114300" distR="114300">
                  <wp:extent cx="37465" cy="24765"/>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465" cy="24765"/>
                          </a:xfrm>
                          <a:prstGeom prst="rect">
                            <a:avLst/>
                          </a:prstGeom>
                          <a:noFill/>
                          <a:ln>
                            <a:noFill/>
                          </a:ln>
                        </pic:spPr>
                      </pic:pic>
                    </a:graphicData>
                  </a:graphic>
                </wp:inline>
              </w:drawing>
            </w:r>
          </w:p>
        </w:tc>
      </w:tr>
      <w:tr w14:paraId="64608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8440" w:type="dxa"/>
            <w:gridSpan w:val="2"/>
          </w:tcPr>
          <w:p w14:paraId="2CE17074">
            <w:pPr>
              <w:pStyle w:val="18"/>
              <w:spacing w:before="235" w:line="220" w:lineRule="auto"/>
              <w:ind w:left="85"/>
              <w:rPr>
                <w:color w:val="auto"/>
              </w:rPr>
            </w:pPr>
            <w:r>
              <w:rPr>
                <w:color w:val="auto"/>
              </w:rPr>
              <w:t>3.其他具体事项：</w:t>
            </w:r>
          </w:p>
        </w:tc>
      </w:tr>
      <w:tr w14:paraId="5D16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2" w:hRule="atLeast"/>
        </w:trPr>
        <w:tc>
          <w:tcPr>
            <w:tcW w:w="4253" w:type="dxa"/>
          </w:tcPr>
          <w:p w14:paraId="31A99B9E">
            <w:pPr>
              <w:pStyle w:val="18"/>
              <w:spacing w:before="225" w:line="219" w:lineRule="auto"/>
              <w:ind w:left="114"/>
              <w:rPr>
                <w:color w:val="auto"/>
              </w:rPr>
            </w:pPr>
            <w:r>
              <w:rPr>
                <w:color w:val="auto"/>
                <w:spacing w:val="9"/>
              </w:rPr>
              <w:t>甲方(章)</w:t>
            </w:r>
          </w:p>
          <w:p w14:paraId="355D5950">
            <w:pPr>
              <w:spacing w:line="252" w:lineRule="auto"/>
              <w:rPr>
                <w:rFonts w:ascii="宋体" w:hAnsi="宋体" w:eastAsia="宋体" w:cs="Arial"/>
                <w:color w:val="auto"/>
                <w:kern w:val="0"/>
                <w:sz w:val="24"/>
              </w:rPr>
            </w:pPr>
          </w:p>
          <w:p w14:paraId="67CA7150">
            <w:pPr>
              <w:spacing w:line="253" w:lineRule="auto"/>
              <w:rPr>
                <w:rFonts w:ascii="宋体" w:hAnsi="宋体" w:eastAsia="宋体" w:cs="Arial"/>
                <w:color w:val="auto"/>
                <w:kern w:val="0"/>
                <w:sz w:val="24"/>
              </w:rPr>
            </w:pPr>
          </w:p>
          <w:p w14:paraId="64FFBFDE">
            <w:pPr>
              <w:spacing w:line="253" w:lineRule="auto"/>
              <w:rPr>
                <w:rFonts w:ascii="宋体" w:hAnsi="宋体" w:eastAsia="宋体" w:cs="Arial"/>
                <w:color w:val="auto"/>
                <w:kern w:val="0"/>
                <w:sz w:val="24"/>
              </w:rPr>
            </w:pPr>
          </w:p>
          <w:p w14:paraId="5661FFC1">
            <w:pPr>
              <w:spacing w:line="253" w:lineRule="auto"/>
              <w:rPr>
                <w:rFonts w:ascii="宋体" w:hAnsi="宋体" w:eastAsia="宋体" w:cs="Arial"/>
                <w:color w:val="auto"/>
                <w:kern w:val="0"/>
                <w:sz w:val="24"/>
              </w:rPr>
            </w:pPr>
          </w:p>
          <w:p w14:paraId="2770708B">
            <w:pPr>
              <w:spacing w:line="253" w:lineRule="auto"/>
              <w:rPr>
                <w:rFonts w:ascii="宋体" w:hAnsi="宋体" w:eastAsia="宋体" w:cs="Arial"/>
                <w:color w:val="auto"/>
                <w:kern w:val="0"/>
                <w:sz w:val="24"/>
              </w:rPr>
            </w:pPr>
          </w:p>
          <w:p w14:paraId="790D3712">
            <w:pPr>
              <w:spacing w:line="253" w:lineRule="auto"/>
              <w:rPr>
                <w:rFonts w:ascii="宋体" w:hAnsi="宋体" w:eastAsia="宋体" w:cs="Arial"/>
                <w:color w:val="auto"/>
                <w:kern w:val="0"/>
                <w:sz w:val="24"/>
              </w:rPr>
            </w:pPr>
          </w:p>
          <w:p w14:paraId="62FEC277">
            <w:pPr>
              <w:spacing w:line="253" w:lineRule="auto"/>
              <w:rPr>
                <w:rFonts w:ascii="宋体" w:hAnsi="宋体" w:eastAsia="宋体" w:cs="Arial"/>
                <w:color w:val="auto"/>
                <w:kern w:val="0"/>
                <w:sz w:val="24"/>
              </w:rPr>
            </w:pPr>
          </w:p>
          <w:p w14:paraId="05A50FCC">
            <w:pPr>
              <w:spacing w:line="253" w:lineRule="auto"/>
              <w:rPr>
                <w:rFonts w:ascii="宋体" w:hAnsi="宋体" w:eastAsia="宋体" w:cs="Arial"/>
                <w:color w:val="auto"/>
                <w:kern w:val="0"/>
                <w:sz w:val="24"/>
              </w:rPr>
            </w:pPr>
          </w:p>
          <w:p w14:paraId="7B8AF320">
            <w:pPr>
              <w:spacing w:line="253" w:lineRule="auto"/>
              <w:rPr>
                <w:rFonts w:ascii="宋体" w:hAnsi="宋体" w:eastAsia="宋体" w:cs="Arial"/>
                <w:color w:val="auto"/>
                <w:kern w:val="0"/>
                <w:sz w:val="24"/>
              </w:rPr>
            </w:pPr>
          </w:p>
          <w:p w14:paraId="4E1EEE49">
            <w:pPr>
              <w:spacing w:line="253" w:lineRule="auto"/>
              <w:rPr>
                <w:rFonts w:ascii="宋体" w:hAnsi="宋体" w:eastAsia="宋体" w:cs="Arial"/>
                <w:color w:val="auto"/>
                <w:kern w:val="0"/>
                <w:sz w:val="24"/>
              </w:rPr>
            </w:pPr>
          </w:p>
          <w:p w14:paraId="46368F98">
            <w:pPr>
              <w:spacing w:line="253" w:lineRule="auto"/>
              <w:rPr>
                <w:rFonts w:ascii="宋体" w:hAnsi="宋体" w:eastAsia="宋体" w:cs="Arial"/>
                <w:color w:val="auto"/>
                <w:kern w:val="0"/>
                <w:sz w:val="24"/>
              </w:rPr>
            </w:pPr>
          </w:p>
          <w:p w14:paraId="798E0CD4">
            <w:pPr>
              <w:spacing w:line="253" w:lineRule="auto"/>
              <w:rPr>
                <w:rFonts w:ascii="宋体" w:hAnsi="宋体" w:eastAsia="宋体" w:cs="Arial"/>
                <w:color w:val="auto"/>
                <w:kern w:val="0"/>
                <w:sz w:val="24"/>
              </w:rPr>
            </w:pPr>
          </w:p>
          <w:p w14:paraId="37D9BC1F">
            <w:pPr>
              <w:spacing w:line="253" w:lineRule="auto"/>
              <w:rPr>
                <w:rFonts w:ascii="宋体" w:hAnsi="宋体" w:eastAsia="宋体" w:cs="Arial"/>
                <w:color w:val="auto"/>
                <w:kern w:val="0"/>
                <w:sz w:val="24"/>
              </w:rPr>
            </w:pPr>
          </w:p>
          <w:p w14:paraId="60A4B49E">
            <w:pPr>
              <w:pStyle w:val="18"/>
              <w:spacing w:before="72" w:line="214" w:lineRule="auto"/>
              <w:jc w:val="right"/>
              <w:rPr>
                <w:color w:val="auto"/>
              </w:rPr>
            </w:pPr>
            <w:r>
              <w:rPr>
                <w:color w:val="auto"/>
                <w:spacing w:val="-24"/>
              </w:rPr>
              <w:t>年</w:t>
            </w:r>
            <w:r>
              <w:rPr>
                <w:color w:val="auto"/>
                <w:spacing w:val="6"/>
              </w:rPr>
              <w:t xml:space="preserve">   </w:t>
            </w:r>
            <w:r>
              <w:rPr>
                <w:color w:val="auto"/>
                <w:spacing w:val="-24"/>
              </w:rPr>
              <w:t>月</w:t>
            </w:r>
            <w:r>
              <w:rPr>
                <w:color w:val="auto"/>
                <w:spacing w:val="17"/>
              </w:rPr>
              <w:t xml:space="preserve">   </w:t>
            </w:r>
            <w:r>
              <w:rPr>
                <w:color w:val="auto"/>
                <w:spacing w:val="-24"/>
              </w:rPr>
              <w:t>日</w:t>
            </w:r>
          </w:p>
        </w:tc>
        <w:tc>
          <w:tcPr>
            <w:tcW w:w="4187" w:type="dxa"/>
          </w:tcPr>
          <w:p w14:paraId="44A8B803">
            <w:pPr>
              <w:pStyle w:val="18"/>
              <w:spacing w:before="215" w:line="219" w:lineRule="auto"/>
              <w:ind w:left="115"/>
              <w:rPr>
                <w:color w:val="auto"/>
              </w:rPr>
            </w:pPr>
            <w:r>
              <w:rPr>
                <w:color w:val="auto"/>
                <w:spacing w:val="9"/>
              </w:rPr>
              <w:t>乙方(章)</w:t>
            </w:r>
          </w:p>
          <w:p w14:paraId="03223D7F">
            <w:pPr>
              <w:spacing w:line="251" w:lineRule="auto"/>
              <w:rPr>
                <w:rFonts w:ascii="宋体" w:hAnsi="宋体" w:eastAsia="宋体" w:cs="Arial"/>
                <w:color w:val="auto"/>
                <w:kern w:val="0"/>
                <w:sz w:val="24"/>
              </w:rPr>
            </w:pPr>
          </w:p>
          <w:p w14:paraId="69727501">
            <w:pPr>
              <w:spacing w:line="251" w:lineRule="auto"/>
              <w:rPr>
                <w:rFonts w:ascii="宋体" w:hAnsi="宋体" w:eastAsia="宋体" w:cs="Arial"/>
                <w:color w:val="auto"/>
                <w:kern w:val="0"/>
                <w:sz w:val="24"/>
              </w:rPr>
            </w:pPr>
          </w:p>
          <w:p w14:paraId="07FF721A">
            <w:pPr>
              <w:spacing w:line="251" w:lineRule="auto"/>
              <w:rPr>
                <w:rFonts w:ascii="宋体" w:hAnsi="宋体" w:eastAsia="宋体" w:cs="Arial"/>
                <w:color w:val="auto"/>
                <w:kern w:val="0"/>
                <w:sz w:val="24"/>
              </w:rPr>
            </w:pPr>
          </w:p>
          <w:p w14:paraId="150370AF">
            <w:pPr>
              <w:spacing w:line="251" w:lineRule="auto"/>
              <w:rPr>
                <w:rFonts w:ascii="宋体" w:hAnsi="宋体" w:eastAsia="宋体" w:cs="Arial"/>
                <w:color w:val="auto"/>
                <w:kern w:val="0"/>
                <w:sz w:val="24"/>
              </w:rPr>
            </w:pPr>
          </w:p>
          <w:p w14:paraId="1FBE1579">
            <w:pPr>
              <w:spacing w:line="251" w:lineRule="auto"/>
              <w:rPr>
                <w:rFonts w:ascii="宋体" w:hAnsi="宋体" w:eastAsia="宋体" w:cs="Arial"/>
                <w:color w:val="auto"/>
                <w:kern w:val="0"/>
                <w:sz w:val="24"/>
              </w:rPr>
            </w:pPr>
          </w:p>
          <w:p w14:paraId="3DFF9678">
            <w:pPr>
              <w:spacing w:line="251" w:lineRule="auto"/>
              <w:rPr>
                <w:rFonts w:ascii="宋体" w:hAnsi="宋体" w:eastAsia="宋体" w:cs="Arial"/>
                <w:color w:val="auto"/>
                <w:kern w:val="0"/>
                <w:sz w:val="24"/>
              </w:rPr>
            </w:pPr>
          </w:p>
          <w:p w14:paraId="316CB7F0">
            <w:pPr>
              <w:spacing w:line="251" w:lineRule="auto"/>
              <w:rPr>
                <w:rFonts w:ascii="宋体" w:hAnsi="宋体" w:eastAsia="宋体" w:cs="Arial"/>
                <w:color w:val="auto"/>
                <w:kern w:val="0"/>
                <w:sz w:val="24"/>
              </w:rPr>
            </w:pPr>
          </w:p>
          <w:p w14:paraId="123D5BA1">
            <w:pPr>
              <w:spacing w:line="251" w:lineRule="auto"/>
              <w:rPr>
                <w:rFonts w:ascii="宋体" w:hAnsi="宋体" w:eastAsia="宋体" w:cs="Arial"/>
                <w:color w:val="auto"/>
                <w:kern w:val="0"/>
                <w:sz w:val="24"/>
              </w:rPr>
            </w:pPr>
          </w:p>
          <w:p w14:paraId="4033F5DE">
            <w:pPr>
              <w:spacing w:line="252" w:lineRule="auto"/>
              <w:rPr>
                <w:rFonts w:ascii="宋体" w:hAnsi="宋体" w:eastAsia="宋体" w:cs="Arial"/>
                <w:color w:val="auto"/>
                <w:kern w:val="0"/>
                <w:sz w:val="24"/>
              </w:rPr>
            </w:pPr>
          </w:p>
          <w:p w14:paraId="64FBD8AB">
            <w:pPr>
              <w:spacing w:line="252" w:lineRule="auto"/>
              <w:rPr>
                <w:rFonts w:ascii="宋体" w:hAnsi="宋体" w:eastAsia="宋体" w:cs="Arial"/>
                <w:color w:val="auto"/>
                <w:kern w:val="0"/>
                <w:sz w:val="24"/>
              </w:rPr>
            </w:pPr>
          </w:p>
          <w:p w14:paraId="316FFB5D">
            <w:pPr>
              <w:spacing w:line="252" w:lineRule="auto"/>
              <w:rPr>
                <w:rFonts w:ascii="宋体" w:hAnsi="宋体" w:eastAsia="宋体" w:cs="Arial"/>
                <w:color w:val="auto"/>
                <w:kern w:val="0"/>
                <w:sz w:val="24"/>
              </w:rPr>
            </w:pPr>
          </w:p>
          <w:p w14:paraId="389CE66F">
            <w:pPr>
              <w:spacing w:line="252" w:lineRule="auto"/>
              <w:rPr>
                <w:rFonts w:ascii="宋体" w:hAnsi="宋体" w:eastAsia="宋体" w:cs="Arial"/>
                <w:color w:val="auto"/>
                <w:kern w:val="0"/>
                <w:sz w:val="24"/>
              </w:rPr>
            </w:pPr>
          </w:p>
          <w:p w14:paraId="0D008E37">
            <w:pPr>
              <w:spacing w:line="252" w:lineRule="auto"/>
              <w:rPr>
                <w:rFonts w:ascii="宋体" w:hAnsi="宋体" w:eastAsia="宋体" w:cs="Arial"/>
                <w:color w:val="auto"/>
                <w:kern w:val="0"/>
                <w:sz w:val="24"/>
              </w:rPr>
            </w:pPr>
          </w:p>
          <w:p w14:paraId="3E8E5B3E">
            <w:pPr>
              <w:pStyle w:val="18"/>
              <w:spacing w:before="72" w:line="219" w:lineRule="auto"/>
              <w:jc w:val="right"/>
              <w:rPr>
                <w:color w:val="auto"/>
              </w:rPr>
            </w:pPr>
            <w:r>
              <w:rPr>
                <w:color w:val="auto"/>
                <w:spacing w:val="-24"/>
              </w:rPr>
              <w:t>年</w:t>
            </w:r>
            <w:r>
              <w:rPr>
                <w:color w:val="auto"/>
                <w:spacing w:val="6"/>
              </w:rPr>
              <w:t xml:space="preserve">   </w:t>
            </w:r>
            <w:r>
              <w:rPr>
                <w:color w:val="auto"/>
                <w:spacing w:val="-24"/>
              </w:rPr>
              <w:t>月</w:t>
            </w:r>
            <w:r>
              <w:rPr>
                <w:color w:val="auto"/>
                <w:spacing w:val="17"/>
              </w:rPr>
              <w:t xml:space="preserve">   </w:t>
            </w:r>
            <w:r>
              <w:rPr>
                <w:color w:val="auto"/>
                <w:spacing w:val="-24"/>
              </w:rPr>
              <w:t>日</w:t>
            </w:r>
          </w:p>
        </w:tc>
      </w:tr>
    </w:tbl>
    <w:p w14:paraId="5A0505E7">
      <w:pPr>
        <w:ind w:firstLine="480" w:firstLineChars="200"/>
        <w:rPr>
          <w:rFonts w:ascii="宋体" w:hAnsi="宋体" w:eastAsia="宋体"/>
          <w:color w:val="auto"/>
          <w:sz w:val="24"/>
        </w:rPr>
      </w:pPr>
    </w:p>
    <w:p w14:paraId="4FDBBB9A">
      <w:pPr>
        <w:ind w:firstLine="480" w:firstLineChars="200"/>
        <w:rPr>
          <w:rFonts w:ascii="宋体" w:hAnsi="宋体" w:eastAsia="宋体"/>
          <w:color w:val="auto"/>
          <w:sz w:val="24"/>
        </w:rPr>
      </w:pPr>
    </w:p>
    <w:p w14:paraId="05D82F76">
      <w:pPr>
        <w:ind w:firstLine="480" w:firstLineChars="200"/>
        <w:rPr>
          <w:rFonts w:ascii="宋体" w:hAnsi="宋体" w:eastAsia="宋体"/>
          <w:color w:val="auto"/>
          <w:sz w:val="24"/>
        </w:rPr>
      </w:pPr>
    </w:p>
    <w:p w14:paraId="1ECF42E2">
      <w:pPr>
        <w:rPr>
          <w:rFonts w:ascii="宋体" w:hAnsi="宋体" w:eastAsia="宋体"/>
          <w:color w:val="auto"/>
          <w:sz w:val="24"/>
        </w:rPr>
      </w:pPr>
      <w:r>
        <w:rPr>
          <w:rFonts w:hint="eastAsia" w:ascii="宋体" w:hAnsi="宋体" w:eastAsia="宋体"/>
          <w:color w:val="auto"/>
          <w:sz w:val="24"/>
        </w:rPr>
        <w:br w:type="page"/>
      </w:r>
    </w:p>
    <w:p w14:paraId="3A48A8E4">
      <w:pPr>
        <w:spacing w:line="360" w:lineRule="exact"/>
        <w:rPr>
          <w:rFonts w:ascii="宋体" w:hAnsi="宋体" w:eastAsia="宋体"/>
          <w:color w:val="auto"/>
          <w:szCs w:val="21"/>
        </w:rPr>
      </w:pPr>
      <w:r>
        <w:rPr>
          <w:rFonts w:hint="eastAsia" w:ascii="宋体" w:hAnsi="宋体" w:eastAsia="宋体"/>
          <w:color w:val="auto"/>
          <w:szCs w:val="21"/>
        </w:rPr>
        <w:t>附件</w:t>
      </w:r>
      <w:r>
        <w:rPr>
          <w:rFonts w:ascii="宋体" w:hAnsi="宋体" w:eastAsia="宋体"/>
          <w:color w:val="auto"/>
          <w:szCs w:val="21"/>
        </w:rPr>
        <w:t>1</w:t>
      </w:r>
    </w:p>
    <w:p w14:paraId="5E1EDF93">
      <w:pPr>
        <w:spacing w:line="360" w:lineRule="exact"/>
        <w:jc w:val="center"/>
        <w:rPr>
          <w:rFonts w:ascii="宋体" w:hAnsi="宋体" w:eastAsia="宋体"/>
          <w:b/>
          <w:color w:val="auto"/>
          <w:sz w:val="28"/>
          <w:szCs w:val="28"/>
        </w:rPr>
      </w:pPr>
      <w:r>
        <w:rPr>
          <w:rFonts w:hint="eastAsia" w:ascii="宋体" w:hAnsi="宋体" w:eastAsia="宋体"/>
          <w:b/>
          <w:color w:val="auto"/>
          <w:sz w:val="28"/>
          <w:szCs w:val="28"/>
        </w:rPr>
        <w:t>“门前三包”责任承诺书</w:t>
      </w:r>
    </w:p>
    <w:p w14:paraId="34421098">
      <w:pPr>
        <w:spacing w:line="360" w:lineRule="exact"/>
        <w:ind w:firstLine="420" w:firstLineChars="200"/>
        <w:rPr>
          <w:rFonts w:ascii="宋体" w:hAnsi="宋体" w:eastAsia="宋体"/>
          <w:color w:val="auto"/>
          <w:szCs w:val="21"/>
        </w:rPr>
      </w:pPr>
    </w:p>
    <w:p w14:paraId="64E4570C">
      <w:pPr>
        <w:spacing w:line="360" w:lineRule="exact"/>
        <w:ind w:firstLine="420" w:firstLineChars="200"/>
        <w:rPr>
          <w:rFonts w:ascii="宋体" w:hAnsi="宋体" w:eastAsia="宋体"/>
          <w:color w:val="auto"/>
          <w:szCs w:val="21"/>
        </w:rPr>
      </w:pPr>
    </w:p>
    <w:p w14:paraId="0B068005">
      <w:pPr>
        <w:spacing w:line="360" w:lineRule="exact"/>
        <w:ind w:firstLine="420" w:firstLineChars="200"/>
        <w:rPr>
          <w:rFonts w:ascii="宋体" w:hAnsi="宋体" w:eastAsia="宋体"/>
          <w:color w:val="auto"/>
          <w:szCs w:val="21"/>
        </w:rPr>
      </w:pPr>
      <w:r>
        <w:rPr>
          <w:rFonts w:hint="eastAsia" w:ascii="宋体" w:hAnsi="宋体" w:eastAsia="宋体"/>
          <w:color w:val="auto"/>
          <w:szCs w:val="21"/>
        </w:rPr>
        <w:t>根据校方要求，智慧物流服务中心落实好“门前三包”制度，和校方共同营造良好的</w:t>
      </w:r>
      <w:r>
        <w:rPr>
          <w:rFonts w:ascii="宋体" w:hAnsi="宋体" w:eastAsia="宋体"/>
          <w:color w:val="auto"/>
          <w:szCs w:val="21"/>
        </w:rPr>
        <w:t xml:space="preserve"> 服务氛围，特此签订责任承诺书。</w:t>
      </w:r>
    </w:p>
    <w:p w14:paraId="4551A887">
      <w:pPr>
        <w:spacing w:line="360" w:lineRule="exact"/>
        <w:ind w:firstLine="420" w:firstLineChars="200"/>
        <w:rPr>
          <w:rFonts w:ascii="宋体" w:hAnsi="宋体" w:eastAsia="宋体"/>
          <w:color w:val="auto"/>
          <w:szCs w:val="21"/>
        </w:rPr>
      </w:pPr>
      <w:r>
        <w:rPr>
          <w:rFonts w:hint="eastAsia" w:ascii="宋体" w:hAnsi="宋体" w:eastAsia="宋体"/>
          <w:color w:val="auto"/>
          <w:szCs w:val="21"/>
        </w:rPr>
        <w:t>“门前三包”主要任务：</w:t>
      </w:r>
    </w:p>
    <w:p w14:paraId="1680E700">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包卫生，即做到门前无垃圾杂物、无污水、无污垢、无油渍或严重积尘，遮阳棚规范、</w:t>
      </w:r>
      <w:r>
        <w:rPr>
          <w:rFonts w:ascii="宋体" w:hAnsi="宋体" w:eastAsia="宋体"/>
          <w:color w:val="auto"/>
          <w:szCs w:val="21"/>
        </w:rPr>
        <w:t xml:space="preserve"> 整洁，无破损；卫生设施完好整洁，无破损：</w:t>
      </w:r>
    </w:p>
    <w:p w14:paraId="2B553230">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包绿化，即协助校方绿化管理部门管护好树木花草和绿化设施，及时清理门前花坛内</w:t>
      </w:r>
      <w:r>
        <w:rPr>
          <w:rFonts w:ascii="宋体" w:hAnsi="宋体" w:eastAsia="宋体"/>
          <w:color w:val="auto"/>
          <w:szCs w:val="21"/>
        </w:rPr>
        <w:t xml:space="preserve"> 的垃圾杂物，不攀树折枝，采摘花朵，不得在树干、树枝上钉钉子和乱挂杂物等：</w:t>
      </w:r>
    </w:p>
    <w:p w14:paraId="4B0856BE">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包秩序，即禁止乱挂晒、乱占道、乱堆放、乱张贴等影响校容秩序的行为，对其他行</w:t>
      </w:r>
      <w:r>
        <w:rPr>
          <w:rFonts w:ascii="宋体" w:hAnsi="宋体" w:eastAsia="宋体"/>
          <w:color w:val="auto"/>
          <w:szCs w:val="21"/>
        </w:rPr>
        <w:t xml:space="preserve"> 为人的乱停、乱靠、乱摆摊设点、乱挖掘等影响校容秩序的行为有监督、劝说和举报的责 任等。</w:t>
      </w:r>
    </w:p>
    <w:p w14:paraId="140B1860">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如上责任和义务我方已熟知，并严格遵守以上相关规定，如违反规定无条件服从校方</w:t>
      </w:r>
      <w:r>
        <w:rPr>
          <w:rFonts w:ascii="宋体" w:hAnsi="宋体" w:eastAsia="宋体"/>
          <w:color w:val="auto"/>
          <w:szCs w:val="21"/>
        </w:rPr>
        <w:t xml:space="preserve"> 整改要求，特此承诺。</w:t>
      </w:r>
    </w:p>
    <w:p w14:paraId="5F559EA1">
      <w:pPr>
        <w:spacing w:line="360" w:lineRule="exact"/>
        <w:ind w:firstLine="420" w:firstLineChars="200"/>
        <w:rPr>
          <w:rFonts w:ascii="宋体" w:hAnsi="宋体" w:eastAsia="宋体"/>
          <w:color w:val="auto"/>
          <w:szCs w:val="21"/>
        </w:rPr>
      </w:pPr>
    </w:p>
    <w:p w14:paraId="0FA51BA2">
      <w:pPr>
        <w:spacing w:line="360" w:lineRule="exact"/>
        <w:ind w:firstLine="420" w:firstLineChars="200"/>
        <w:rPr>
          <w:rFonts w:ascii="宋体" w:hAnsi="宋体" w:eastAsia="宋体"/>
          <w:color w:val="auto"/>
          <w:szCs w:val="21"/>
        </w:rPr>
      </w:pPr>
    </w:p>
    <w:p w14:paraId="35189C02">
      <w:pPr>
        <w:spacing w:line="360" w:lineRule="exact"/>
        <w:ind w:firstLine="420" w:firstLineChars="200"/>
        <w:rPr>
          <w:rFonts w:ascii="宋体" w:hAnsi="宋体" w:eastAsia="宋体"/>
          <w:color w:val="auto"/>
          <w:szCs w:val="21"/>
        </w:rPr>
      </w:pPr>
    </w:p>
    <w:p w14:paraId="38623A37">
      <w:pPr>
        <w:spacing w:line="360" w:lineRule="exact"/>
        <w:ind w:firstLine="420" w:firstLineChars="200"/>
        <w:rPr>
          <w:rFonts w:ascii="宋体" w:hAnsi="宋体" w:eastAsia="宋体"/>
          <w:color w:val="auto"/>
          <w:szCs w:val="21"/>
        </w:rPr>
      </w:pPr>
    </w:p>
    <w:p w14:paraId="61673AAB">
      <w:pPr>
        <w:spacing w:line="360" w:lineRule="exact"/>
        <w:ind w:firstLine="4410" w:firstLineChars="2100"/>
        <w:rPr>
          <w:rFonts w:ascii="宋体" w:hAnsi="宋体" w:eastAsia="宋体"/>
          <w:color w:val="auto"/>
          <w:szCs w:val="21"/>
        </w:rPr>
      </w:pPr>
      <w:r>
        <w:rPr>
          <w:rFonts w:hint="eastAsia" w:ascii="宋体" w:hAnsi="宋体" w:eastAsia="宋体"/>
          <w:color w:val="auto"/>
          <w:szCs w:val="21"/>
        </w:rPr>
        <w:t>承诺单位：</w:t>
      </w:r>
      <w:r>
        <w:rPr>
          <w:rFonts w:ascii="宋体" w:hAnsi="宋体" w:eastAsia="宋体"/>
          <w:color w:val="auto"/>
          <w:szCs w:val="21"/>
        </w:rPr>
        <w:t xml:space="preserve"> </w:t>
      </w:r>
    </w:p>
    <w:p w14:paraId="7B6A2010">
      <w:pPr>
        <w:spacing w:line="360" w:lineRule="exact"/>
        <w:ind w:firstLine="4410" w:firstLineChars="2100"/>
        <w:rPr>
          <w:rFonts w:ascii="宋体" w:hAnsi="宋体" w:eastAsia="宋体"/>
          <w:color w:val="auto"/>
          <w:szCs w:val="21"/>
        </w:rPr>
      </w:pPr>
      <w:r>
        <w:rPr>
          <w:rFonts w:hint="eastAsia" w:ascii="宋体" w:hAnsi="宋体" w:eastAsia="宋体"/>
          <w:color w:val="auto"/>
          <w:szCs w:val="21"/>
        </w:rPr>
        <w:t xml:space="preserve">      </w:t>
      </w:r>
      <w:r>
        <w:rPr>
          <w:rFonts w:ascii="宋体" w:hAnsi="宋体" w:eastAsia="宋体"/>
          <w:color w:val="auto"/>
          <w:szCs w:val="21"/>
        </w:rPr>
        <w:t>年</w:t>
      </w:r>
      <w:r>
        <w:rPr>
          <w:rFonts w:hint="eastAsia" w:ascii="宋体" w:hAnsi="宋体" w:eastAsia="宋体"/>
          <w:color w:val="auto"/>
          <w:szCs w:val="21"/>
        </w:rPr>
        <w:t xml:space="preserve">   </w:t>
      </w:r>
      <w:r>
        <w:rPr>
          <w:rFonts w:ascii="宋体" w:hAnsi="宋体" w:eastAsia="宋体"/>
          <w:color w:val="auto"/>
          <w:szCs w:val="21"/>
        </w:rPr>
        <w:t>月</w:t>
      </w:r>
      <w:r>
        <w:rPr>
          <w:rFonts w:hint="eastAsia" w:ascii="宋体" w:hAnsi="宋体" w:eastAsia="宋体"/>
          <w:color w:val="auto"/>
          <w:szCs w:val="21"/>
        </w:rPr>
        <w:t xml:space="preserve">   </w:t>
      </w:r>
      <w:r>
        <w:rPr>
          <w:rFonts w:ascii="宋体" w:hAnsi="宋体" w:eastAsia="宋体"/>
          <w:color w:val="auto"/>
          <w:szCs w:val="21"/>
        </w:rPr>
        <w:t>日</w:t>
      </w:r>
    </w:p>
    <w:p w14:paraId="0A9E0852">
      <w:pPr>
        <w:spacing w:line="360" w:lineRule="exact"/>
        <w:ind w:firstLine="480" w:firstLineChars="200"/>
        <w:rPr>
          <w:rFonts w:ascii="宋体" w:hAnsi="宋体" w:eastAsia="宋体"/>
          <w:color w:val="auto"/>
          <w:sz w:val="24"/>
        </w:rPr>
      </w:pPr>
    </w:p>
    <w:p w14:paraId="2077EE88">
      <w:pPr>
        <w:ind w:firstLine="480" w:firstLineChars="200"/>
        <w:rPr>
          <w:rFonts w:ascii="宋体" w:hAnsi="宋体" w:eastAsia="宋体"/>
          <w:color w:val="auto"/>
          <w:sz w:val="24"/>
        </w:rPr>
      </w:pPr>
    </w:p>
    <w:p w14:paraId="30D313B3">
      <w:pPr>
        <w:ind w:firstLine="480" w:firstLineChars="200"/>
        <w:rPr>
          <w:rFonts w:ascii="宋体" w:hAnsi="宋体" w:eastAsia="宋体"/>
          <w:color w:val="auto"/>
          <w:sz w:val="24"/>
        </w:rPr>
      </w:pPr>
    </w:p>
    <w:p w14:paraId="1AF14845">
      <w:pPr>
        <w:ind w:firstLine="480" w:firstLineChars="200"/>
        <w:rPr>
          <w:rFonts w:ascii="宋体" w:hAnsi="宋体" w:eastAsia="宋体"/>
          <w:color w:val="auto"/>
          <w:sz w:val="24"/>
        </w:rPr>
      </w:pPr>
    </w:p>
    <w:p w14:paraId="460F2B88">
      <w:pPr>
        <w:rPr>
          <w:rFonts w:ascii="宋体" w:hAnsi="宋体" w:eastAsia="宋体"/>
          <w:color w:val="auto"/>
          <w:sz w:val="24"/>
        </w:rPr>
      </w:pPr>
      <w:r>
        <w:rPr>
          <w:rFonts w:hint="eastAsia" w:ascii="宋体" w:hAnsi="宋体" w:eastAsia="宋体"/>
          <w:color w:val="auto"/>
          <w:sz w:val="24"/>
        </w:rPr>
        <w:br w:type="page"/>
      </w:r>
    </w:p>
    <w:p w14:paraId="03F1AC60">
      <w:pPr>
        <w:spacing w:line="360" w:lineRule="exact"/>
        <w:rPr>
          <w:rFonts w:ascii="宋体" w:hAnsi="宋体" w:eastAsia="宋体"/>
          <w:color w:val="auto"/>
          <w:szCs w:val="21"/>
        </w:rPr>
      </w:pPr>
      <w:r>
        <w:rPr>
          <w:rFonts w:hint="eastAsia" w:ascii="宋体" w:hAnsi="宋体" w:eastAsia="宋体"/>
          <w:color w:val="auto"/>
          <w:szCs w:val="21"/>
        </w:rPr>
        <w:t>附件</w:t>
      </w:r>
      <w:r>
        <w:rPr>
          <w:rFonts w:ascii="宋体" w:hAnsi="宋体" w:eastAsia="宋体"/>
          <w:color w:val="auto"/>
          <w:szCs w:val="21"/>
        </w:rPr>
        <w:t>2</w:t>
      </w:r>
    </w:p>
    <w:p w14:paraId="46928525">
      <w:pPr>
        <w:spacing w:line="360" w:lineRule="exact"/>
        <w:jc w:val="center"/>
        <w:rPr>
          <w:rFonts w:ascii="宋体" w:hAnsi="宋体" w:eastAsia="宋体"/>
          <w:b/>
          <w:color w:val="auto"/>
          <w:sz w:val="28"/>
          <w:szCs w:val="28"/>
        </w:rPr>
      </w:pPr>
      <w:r>
        <w:rPr>
          <w:rFonts w:hint="eastAsia" w:ascii="宋体" w:hAnsi="宋体" w:eastAsia="宋体"/>
          <w:b/>
          <w:color w:val="auto"/>
          <w:sz w:val="28"/>
          <w:szCs w:val="28"/>
        </w:rPr>
        <w:t>经营服务承诺书</w:t>
      </w:r>
    </w:p>
    <w:p w14:paraId="2AA38014">
      <w:pPr>
        <w:spacing w:line="360" w:lineRule="exact"/>
        <w:rPr>
          <w:rFonts w:ascii="宋体" w:hAnsi="宋体" w:eastAsia="宋体"/>
          <w:color w:val="auto"/>
          <w:szCs w:val="21"/>
        </w:rPr>
      </w:pPr>
    </w:p>
    <w:p w14:paraId="0A0936E2">
      <w:pPr>
        <w:spacing w:line="360" w:lineRule="exact"/>
        <w:rPr>
          <w:rFonts w:ascii="宋体" w:hAnsi="宋体" w:eastAsia="宋体"/>
          <w:color w:val="auto"/>
          <w:szCs w:val="21"/>
        </w:rPr>
      </w:pPr>
      <w:r>
        <w:rPr>
          <w:rFonts w:hint="eastAsia" w:ascii="宋体" w:hAnsi="宋体" w:eastAsia="宋体"/>
          <w:color w:val="auto"/>
          <w:szCs w:val="21"/>
        </w:rPr>
        <w:t>致：</w:t>
      </w:r>
    </w:p>
    <w:p w14:paraId="27D68C29">
      <w:pPr>
        <w:spacing w:line="360" w:lineRule="exact"/>
        <w:ind w:firstLine="420" w:firstLineChars="200"/>
        <w:rPr>
          <w:rFonts w:ascii="宋体" w:hAnsi="宋体" w:eastAsia="宋体"/>
          <w:color w:val="auto"/>
          <w:szCs w:val="21"/>
        </w:rPr>
      </w:pPr>
      <w:r>
        <w:rPr>
          <w:rFonts w:hint="eastAsia" w:ascii="宋体" w:hAnsi="宋体" w:eastAsia="宋体"/>
          <w:color w:val="auto"/>
          <w:szCs w:val="21"/>
        </w:rPr>
        <w:t>为了保障双方的合法权益，促进双方健康良好的合作，规范企业经营管理，营造阳光康</w:t>
      </w:r>
      <w:r>
        <w:rPr>
          <w:rFonts w:ascii="宋体" w:hAnsi="宋体" w:eastAsia="宋体"/>
          <w:color w:val="auto"/>
          <w:szCs w:val="21"/>
        </w:rPr>
        <w:t xml:space="preserve"> 洁的从业环境，维护</w:t>
      </w:r>
      <w:r>
        <w:rPr>
          <w:rFonts w:hint="eastAsia" w:ascii="宋体" w:hAnsi="宋体" w:eastAsia="宋体"/>
          <w:color w:val="auto"/>
          <w:szCs w:val="21"/>
        </w:rPr>
        <w:t>市场经济秩序及</w:t>
      </w:r>
      <w:r>
        <w:rPr>
          <w:rFonts w:ascii="宋体" w:hAnsi="宋体" w:eastAsia="宋体"/>
          <w:color w:val="auto"/>
          <w:szCs w:val="21"/>
        </w:rPr>
        <w:t>弘扬</w:t>
      </w:r>
      <w:r>
        <w:rPr>
          <w:rFonts w:hint="eastAsia" w:ascii="宋体" w:hAnsi="宋体" w:eastAsia="宋体"/>
          <w:color w:val="auto"/>
          <w:szCs w:val="21"/>
        </w:rPr>
        <w:t>诚信</w:t>
      </w:r>
      <w:r>
        <w:rPr>
          <w:rFonts w:ascii="宋体" w:hAnsi="宋体" w:eastAsia="宋体"/>
          <w:color w:val="auto"/>
          <w:szCs w:val="21"/>
        </w:rPr>
        <w:t>经营理念，我方承诺，在与资方合作过程中，</w:t>
      </w:r>
    </w:p>
    <w:p w14:paraId="7DBEECA3">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包括但不限于：业务洽谈阶段、资格入围阶段、采购阶段、签约阶段、履行阶段、验收阶</w:t>
      </w:r>
      <w:r>
        <w:rPr>
          <w:rFonts w:ascii="宋体" w:hAnsi="宋体" w:eastAsia="宋体"/>
          <w:color w:val="auto"/>
          <w:szCs w:val="21"/>
        </w:rPr>
        <w:t xml:space="preserve"> 段、付款阶段、结算阶段、保修维护等阶段，将严格遵守以下</w:t>
      </w:r>
      <w:r>
        <w:rPr>
          <w:rFonts w:hint="eastAsia" w:ascii="宋体" w:hAnsi="宋体" w:eastAsia="宋体"/>
          <w:color w:val="auto"/>
          <w:szCs w:val="21"/>
        </w:rPr>
        <w:t>廉洁合作</w:t>
      </w:r>
      <w:r>
        <w:rPr>
          <w:rFonts w:ascii="宋体" w:hAnsi="宋体" w:eastAsia="宋体"/>
          <w:color w:val="auto"/>
          <w:szCs w:val="21"/>
        </w:rPr>
        <w:t>的行为准则：</w:t>
      </w:r>
    </w:p>
    <w:p w14:paraId="11217CA7">
      <w:pPr>
        <w:spacing w:line="360" w:lineRule="exact"/>
        <w:ind w:firstLine="420" w:firstLineChars="200"/>
        <w:rPr>
          <w:rFonts w:ascii="宋体" w:hAnsi="宋体" w:eastAsia="宋体"/>
          <w:color w:val="auto"/>
          <w:szCs w:val="21"/>
        </w:rPr>
      </w:pPr>
      <w:r>
        <w:rPr>
          <w:rFonts w:hint="eastAsia" w:ascii="宋体" w:hAnsi="宋体" w:eastAsia="宋体"/>
          <w:color w:val="auto"/>
          <w:szCs w:val="21"/>
        </w:rPr>
        <w:t>一、在合作过程中，严格遵守各项法律法规，守法经营、诚信履约，坚决杜绝商业套路、</w:t>
      </w:r>
      <w:r>
        <w:rPr>
          <w:rFonts w:ascii="宋体" w:hAnsi="宋体" w:eastAsia="宋体"/>
          <w:color w:val="auto"/>
          <w:szCs w:val="21"/>
        </w:rPr>
        <w:t>合同款诈、恶意串通等违法犯罪行为，严格按照双方签订的</w:t>
      </w:r>
      <w:r>
        <w:rPr>
          <w:rFonts w:hint="eastAsia" w:ascii="宋体" w:hAnsi="宋体" w:eastAsia="宋体"/>
          <w:color w:val="auto"/>
          <w:szCs w:val="21"/>
        </w:rPr>
        <w:t>合同</w:t>
      </w:r>
      <w:r>
        <w:rPr>
          <w:rFonts w:ascii="宋体" w:hAnsi="宋体" w:eastAsia="宋体"/>
          <w:color w:val="auto"/>
          <w:szCs w:val="21"/>
        </w:rPr>
        <w:t>履行义务，不会出现偷工减料、以次充好、消极</w:t>
      </w:r>
      <w:r>
        <w:rPr>
          <w:rFonts w:hint="eastAsia" w:ascii="宋体" w:hAnsi="宋体" w:eastAsia="宋体"/>
          <w:color w:val="auto"/>
          <w:szCs w:val="21"/>
        </w:rPr>
        <w:t>怠工</w:t>
      </w:r>
      <w:r>
        <w:rPr>
          <w:rFonts w:ascii="宋体" w:hAnsi="宋体" w:eastAsia="宋体"/>
          <w:color w:val="auto"/>
          <w:szCs w:val="21"/>
        </w:rPr>
        <w:t>、弄虚作假等违约行为。</w:t>
      </w:r>
    </w:p>
    <w:p w14:paraId="20A2324B">
      <w:pPr>
        <w:spacing w:line="360" w:lineRule="exact"/>
        <w:ind w:firstLine="420" w:firstLineChars="200"/>
        <w:rPr>
          <w:rFonts w:ascii="宋体" w:hAnsi="宋体" w:eastAsia="宋体"/>
          <w:color w:val="auto"/>
          <w:szCs w:val="21"/>
        </w:rPr>
      </w:pPr>
      <w:r>
        <w:rPr>
          <w:rFonts w:hint="eastAsia" w:ascii="宋体" w:hAnsi="宋体" w:eastAsia="宋体"/>
          <w:color w:val="auto"/>
          <w:szCs w:val="21"/>
        </w:rPr>
        <w:t>二、在合作过程中，不会以任何形式向贵方人员及其亲属：</w:t>
      </w:r>
    </w:p>
    <w:p w14:paraId="3926742C">
      <w:pPr>
        <w:spacing w:line="360" w:lineRule="exact"/>
        <w:ind w:firstLine="420" w:firstLineChars="200"/>
        <w:rPr>
          <w:rFonts w:ascii="宋体" w:hAnsi="宋体" w:eastAsia="宋体"/>
          <w:color w:val="auto"/>
          <w:szCs w:val="21"/>
        </w:rPr>
      </w:pPr>
      <w:r>
        <w:rPr>
          <w:rFonts w:ascii="宋体" w:hAnsi="宋体" w:eastAsia="宋体"/>
          <w:color w:val="auto"/>
          <w:szCs w:val="21"/>
        </w:rPr>
        <w:t>1</w:t>
      </w:r>
      <w:r>
        <w:rPr>
          <w:rFonts w:hint="eastAsia" w:ascii="宋体" w:hAnsi="宋体" w:eastAsia="宋体"/>
          <w:color w:val="auto"/>
          <w:szCs w:val="21"/>
        </w:rPr>
        <w:t>.</w:t>
      </w:r>
      <w:r>
        <w:rPr>
          <w:rFonts w:ascii="宋体" w:hAnsi="宋体" w:eastAsia="宋体"/>
          <w:color w:val="auto"/>
          <w:szCs w:val="21"/>
        </w:rPr>
        <w:t>支付任何名义的回扣费、手续费、喝茶费、好处费、合作分成等金钱款项</w:t>
      </w:r>
      <w:r>
        <w:rPr>
          <w:rFonts w:hint="eastAsia" w:ascii="宋体" w:hAnsi="宋体" w:eastAsia="宋体"/>
          <w:color w:val="auto"/>
          <w:szCs w:val="21"/>
        </w:rPr>
        <w:t>；</w:t>
      </w:r>
    </w:p>
    <w:p w14:paraId="4643F114">
      <w:pPr>
        <w:spacing w:line="360" w:lineRule="exact"/>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w:t>
      </w:r>
      <w:r>
        <w:rPr>
          <w:rFonts w:ascii="宋体" w:hAnsi="宋体" w:eastAsia="宋体"/>
          <w:color w:val="auto"/>
          <w:szCs w:val="21"/>
        </w:rPr>
        <w:t>赠送礼券、礼品、购物卡、彩票、</w:t>
      </w:r>
      <w:r>
        <w:rPr>
          <w:rFonts w:hint="eastAsia" w:ascii="宋体" w:hAnsi="宋体" w:eastAsia="宋体"/>
          <w:color w:val="auto"/>
          <w:szCs w:val="21"/>
        </w:rPr>
        <w:t>赌博</w:t>
      </w:r>
      <w:r>
        <w:rPr>
          <w:rFonts w:ascii="宋体" w:hAnsi="宋体" w:eastAsia="宋体"/>
          <w:color w:val="auto"/>
          <w:szCs w:val="21"/>
        </w:rPr>
        <w:t>筹码等财物</w:t>
      </w:r>
      <w:r>
        <w:rPr>
          <w:rFonts w:hint="eastAsia" w:ascii="宋体" w:hAnsi="宋体" w:eastAsia="宋体"/>
          <w:color w:val="auto"/>
          <w:szCs w:val="21"/>
        </w:rPr>
        <w:t>；</w:t>
      </w:r>
    </w:p>
    <w:p w14:paraId="7DF3F1CF">
      <w:pPr>
        <w:spacing w:line="360" w:lineRule="exact"/>
        <w:ind w:firstLine="420" w:firstLineChars="200"/>
        <w:rPr>
          <w:rFonts w:ascii="宋体" w:hAnsi="宋体" w:eastAsia="宋体"/>
          <w:color w:val="auto"/>
          <w:szCs w:val="21"/>
        </w:rPr>
      </w:pPr>
      <w:r>
        <w:rPr>
          <w:rFonts w:ascii="宋体" w:hAnsi="宋体" w:eastAsia="宋体"/>
          <w:color w:val="auto"/>
          <w:szCs w:val="21"/>
        </w:rPr>
        <w:t>3</w:t>
      </w:r>
      <w:r>
        <w:rPr>
          <w:rFonts w:hint="eastAsia" w:ascii="宋体" w:hAnsi="宋体" w:eastAsia="宋体"/>
          <w:color w:val="auto"/>
          <w:szCs w:val="21"/>
        </w:rPr>
        <w:t>.</w:t>
      </w:r>
      <w:r>
        <w:rPr>
          <w:rFonts w:ascii="宋体" w:hAnsi="宋体" w:eastAsia="宋体"/>
          <w:color w:val="auto"/>
          <w:szCs w:val="21"/>
        </w:rPr>
        <w:t>私自安排参加</w:t>
      </w:r>
      <w:r>
        <w:rPr>
          <w:rFonts w:hint="eastAsia" w:ascii="宋体" w:hAnsi="宋体" w:eastAsia="宋体"/>
          <w:color w:val="auto"/>
          <w:szCs w:val="21"/>
        </w:rPr>
        <w:t>旅游</w:t>
      </w:r>
      <w:r>
        <w:rPr>
          <w:rFonts w:ascii="宋体" w:hAnsi="宋体" w:eastAsia="宋体"/>
          <w:color w:val="auto"/>
          <w:szCs w:val="21"/>
        </w:rPr>
        <w:t>、娱乐项目、宴请招待等活动</w:t>
      </w:r>
      <w:r>
        <w:rPr>
          <w:rFonts w:hint="eastAsia" w:ascii="宋体" w:hAnsi="宋体" w:eastAsia="宋体"/>
          <w:color w:val="auto"/>
          <w:szCs w:val="21"/>
        </w:rPr>
        <w:t>；</w:t>
      </w:r>
    </w:p>
    <w:p w14:paraId="4DFD656F">
      <w:pPr>
        <w:spacing w:line="360" w:lineRule="exact"/>
        <w:ind w:firstLine="420" w:firstLineChars="200"/>
        <w:rPr>
          <w:rFonts w:ascii="宋体" w:hAnsi="宋体" w:eastAsia="宋体"/>
          <w:color w:val="auto"/>
          <w:szCs w:val="21"/>
        </w:rPr>
      </w:pPr>
      <w:r>
        <w:rPr>
          <w:rFonts w:ascii="宋体" w:hAnsi="宋体" w:eastAsia="宋体"/>
          <w:color w:val="auto"/>
          <w:szCs w:val="21"/>
        </w:rPr>
        <w:t>4</w:t>
      </w:r>
      <w:r>
        <w:rPr>
          <w:rFonts w:hint="eastAsia" w:ascii="宋体" w:hAnsi="宋体" w:eastAsia="宋体"/>
          <w:color w:val="auto"/>
          <w:szCs w:val="21"/>
        </w:rPr>
        <w:t>.</w:t>
      </w:r>
      <w:r>
        <w:rPr>
          <w:rFonts w:ascii="宋体" w:hAnsi="宋体" w:eastAsia="宋体"/>
          <w:color w:val="auto"/>
          <w:szCs w:val="21"/>
        </w:rPr>
        <w:t>打探贵方的商业秘密、内幕信息、技术成果等保密信息</w:t>
      </w:r>
      <w:r>
        <w:rPr>
          <w:rFonts w:hint="eastAsia" w:ascii="宋体" w:hAnsi="宋体" w:eastAsia="宋体"/>
          <w:color w:val="auto"/>
          <w:szCs w:val="21"/>
        </w:rPr>
        <w:t>；</w:t>
      </w:r>
    </w:p>
    <w:p w14:paraId="12670F28">
      <w:pPr>
        <w:spacing w:line="360" w:lineRule="exact"/>
        <w:ind w:firstLine="420" w:firstLineChars="200"/>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w:t>
      </w:r>
      <w:r>
        <w:rPr>
          <w:rFonts w:ascii="宋体" w:hAnsi="宋体" w:eastAsia="宋体"/>
          <w:color w:val="auto"/>
          <w:szCs w:val="21"/>
        </w:rPr>
        <w:t>提供借款、货款抵押、安排工作、接受其推荐的供应商或分包单位等其他帮助。</w:t>
      </w:r>
    </w:p>
    <w:p w14:paraId="6E19DE3F">
      <w:pPr>
        <w:spacing w:line="360" w:lineRule="exact"/>
        <w:ind w:firstLine="420" w:firstLineChars="200"/>
        <w:rPr>
          <w:rFonts w:ascii="宋体" w:hAnsi="宋体" w:eastAsia="宋体"/>
          <w:color w:val="auto"/>
          <w:szCs w:val="21"/>
        </w:rPr>
      </w:pPr>
      <w:r>
        <w:rPr>
          <w:rFonts w:hint="eastAsia" w:ascii="宋体" w:hAnsi="宋体" w:eastAsia="宋体"/>
          <w:color w:val="auto"/>
          <w:szCs w:val="21"/>
        </w:rPr>
        <w:t>三、在合作过程中，如我方发现贵方人员存在任何形式的以权谋私、徇私舞弊、滥用职</w:t>
      </w:r>
      <w:r>
        <w:rPr>
          <w:rFonts w:ascii="宋体" w:hAnsi="宋体" w:eastAsia="宋体"/>
          <w:color w:val="auto"/>
          <w:szCs w:val="21"/>
        </w:rPr>
        <w:t>权、失职</w:t>
      </w:r>
      <w:r>
        <w:rPr>
          <w:rFonts w:hint="eastAsia" w:ascii="宋体" w:hAnsi="宋体" w:eastAsia="宋体"/>
          <w:color w:val="auto"/>
          <w:szCs w:val="21"/>
        </w:rPr>
        <w:t>渎职</w:t>
      </w:r>
      <w:r>
        <w:rPr>
          <w:rFonts w:ascii="宋体" w:hAnsi="宋体" w:eastAsia="宋体"/>
          <w:color w:val="auto"/>
          <w:szCs w:val="21"/>
        </w:rPr>
        <w:t>、</w:t>
      </w:r>
      <w:r>
        <w:rPr>
          <w:rFonts w:hint="eastAsia" w:ascii="宋体" w:hAnsi="宋体" w:eastAsia="宋体"/>
          <w:color w:val="auto"/>
          <w:szCs w:val="21"/>
        </w:rPr>
        <w:t>索贿</w:t>
      </w:r>
      <w:r>
        <w:rPr>
          <w:rFonts w:ascii="宋体" w:hAnsi="宋体" w:eastAsia="宋体"/>
          <w:color w:val="auto"/>
          <w:szCs w:val="21"/>
        </w:rPr>
        <w:t>受贿、侵占财物、挪用资金、</w:t>
      </w:r>
      <w:r>
        <w:rPr>
          <w:rFonts w:hint="eastAsia" w:ascii="宋体" w:hAnsi="宋体" w:eastAsia="宋体"/>
          <w:color w:val="auto"/>
          <w:szCs w:val="21"/>
        </w:rPr>
        <w:t>泄露</w:t>
      </w:r>
      <w:r>
        <w:rPr>
          <w:rFonts w:ascii="宋体" w:hAnsi="宋体" w:eastAsia="宋体"/>
          <w:color w:val="auto"/>
          <w:szCs w:val="21"/>
        </w:rPr>
        <w:t>保密信息等行为的，我方均会及时采取措施予以制止，</w:t>
      </w:r>
      <w:r>
        <w:rPr>
          <w:rFonts w:hint="eastAsia" w:ascii="宋体" w:hAnsi="宋体" w:eastAsia="宋体"/>
          <w:color w:val="auto"/>
          <w:szCs w:val="21"/>
        </w:rPr>
        <w:t>并</w:t>
      </w:r>
      <w:r>
        <w:rPr>
          <w:rFonts w:ascii="宋体" w:hAnsi="宋体" w:eastAsia="宋体"/>
          <w:color w:val="auto"/>
          <w:szCs w:val="21"/>
        </w:rPr>
        <w:t>及时向贵方审计监察等部门进行实名举报。</w:t>
      </w:r>
    </w:p>
    <w:p w14:paraId="79BBF7DE">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四、在合作过程中，对贵方有关廉洁合作的要求、举报途径、举报信息等，我方会配合</w:t>
      </w:r>
      <w:r>
        <w:rPr>
          <w:rFonts w:ascii="宋体" w:hAnsi="宋体" w:eastAsia="宋体"/>
          <w:color w:val="auto"/>
          <w:szCs w:val="21"/>
        </w:rPr>
        <w:t>进行宜传，并告知及公示给我方有关员工，严格遵照执行。</w:t>
      </w:r>
    </w:p>
    <w:p w14:paraId="7416DD35">
      <w:pPr>
        <w:spacing w:line="360" w:lineRule="exact"/>
        <w:ind w:firstLine="420" w:firstLineChars="200"/>
        <w:rPr>
          <w:rFonts w:ascii="宋体" w:hAnsi="宋体" w:eastAsia="宋体"/>
          <w:color w:val="auto"/>
          <w:szCs w:val="21"/>
        </w:rPr>
      </w:pPr>
      <w:r>
        <w:rPr>
          <w:rFonts w:hint="eastAsia" w:ascii="宋体" w:hAnsi="宋体" w:eastAsia="宋体"/>
          <w:color w:val="auto"/>
          <w:szCs w:val="21"/>
        </w:rPr>
        <w:t>五</w:t>
      </w:r>
      <w:r>
        <w:rPr>
          <w:rFonts w:ascii="宋体" w:hAnsi="宋体" w:eastAsia="宋体"/>
          <w:color w:val="auto"/>
          <w:szCs w:val="21"/>
        </w:rPr>
        <w:t xml:space="preserve"> 、在合作过程中，我方会对本公司员工进行廉洁</w:t>
      </w:r>
      <w:r>
        <w:rPr>
          <w:rFonts w:hint="eastAsia" w:ascii="宋体" w:hAnsi="宋体" w:eastAsia="宋体"/>
          <w:color w:val="auto"/>
          <w:szCs w:val="21"/>
        </w:rPr>
        <w:t>从业</w:t>
      </w:r>
      <w:r>
        <w:rPr>
          <w:rFonts w:ascii="宋体" w:hAnsi="宋体" w:eastAsia="宋体"/>
          <w:color w:val="auto"/>
          <w:szCs w:val="21"/>
        </w:rPr>
        <w:t>等方面的教育培训，对违反廉洁从业规定的员工，我方会依据相关规定予以处罚，对于触犯刑法的，将移送司法机关处理。</w:t>
      </w:r>
    </w:p>
    <w:p w14:paraId="3DC02CBB">
      <w:pPr>
        <w:spacing w:line="360" w:lineRule="exact"/>
        <w:ind w:firstLine="420" w:firstLineChars="200"/>
        <w:rPr>
          <w:rFonts w:ascii="宋体" w:hAnsi="宋体" w:eastAsia="宋体"/>
          <w:color w:val="auto"/>
          <w:szCs w:val="21"/>
        </w:rPr>
      </w:pPr>
      <w:r>
        <w:rPr>
          <w:rFonts w:hint="eastAsia" w:ascii="宋体" w:hAnsi="宋体" w:eastAsia="宋体"/>
          <w:color w:val="auto"/>
          <w:szCs w:val="21"/>
        </w:rPr>
        <w:t>六、在合作过程中，我方同意接受贵方审计监察等部门对我方康洁合作执行情况的监督。</w:t>
      </w:r>
      <w:r>
        <w:rPr>
          <w:rFonts w:ascii="宋体" w:hAnsi="宋体" w:eastAsia="宋体"/>
          <w:color w:val="auto"/>
          <w:szCs w:val="21"/>
        </w:rPr>
        <w:t>并有义务积极配合贵方审计监察等部门的有关</w:t>
      </w:r>
      <w:r>
        <w:rPr>
          <w:rFonts w:hint="eastAsia" w:ascii="宋体" w:hAnsi="宋体" w:eastAsia="宋体"/>
          <w:color w:val="auto"/>
          <w:szCs w:val="21"/>
        </w:rPr>
        <w:t>廉洁</w:t>
      </w:r>
      <w:r>
        <w:rPr>
          <w:rFonts w:ascii="宋体" w:hAnsi="宋体" w:eastAsia="宋体"/>
          <w:color w:val="auto"/>
          <w:szCs w:val="21"/>
        </w:rPr>
        <w:t>从业方面的调查，包括但不限于向贵方提供调查人员名单、联系方式、相关证据材料等。</w:t>
      </w:r>
    </w:p>
    <w:p w14:paraId="574B7004">
      <w:pPr>
        <w:spacing w:line="360" w:lineRule="exact"/>
        <w:ind w:firstLine="420" w:firstLineChars="200"/>
        <w:rPr>
          <w:rFonts w:ascii="宋体" w:hAnsi="宋体" w:eastAsia="宋体"/>
          <w:color w:val="auto"/>
          <w:szCs w:val="21"/>
        </w:rPr>
      </w:pPr>
      <w:r>
        <w:rPr>
          <w:rFonts w:hint="eastAsia" w:ascii="宋体" w:hAnsi="宋体" w:eastAsia="宋体"/>
          <w:color w:val="auto"/>
          <w:szCs w:val="21"/>
        </w:rPr>
        <w:t>七、如我方单位及人员在合作过程中贿赂贵方人员或违反本承诺书的内容的，则合同相关的价款调整、工作量调整、权利义务变更、结算验收确认等内容按排无效。贵方有权停</w:t>
      </w:r>
      <w:r>
        <w:rPr>
          <w:rFonts w:ascii="宋体" w:hAnsi="宋体" w:eastAsia="宋体"/>
          <w:color w:val="auto"/>
          <w:szCs w:val="21"/>
        </w:rPr>
        <w:t>止结算、停止</w:t>
      </w:r>
      <w:r>
        <w:rPr>
          <w:rFonts w:hint="eastAsia" w:ascii="宋体" w:hAnsi="宋体" w:eastAsia="宋体"/>
          <w:color w:val="auto"/>
          <w:szCs w:val="21"/>
        </w:rPr>
        <w:t>付款</w:t>
      </w:r>
      <w:r>
        <w:rPr>
          <w:rFonts w:ascii="宋体" w:hAnsi="宋体" w:eastAsia="宋体"/>
          <w:color w:val="auto"/>
          <w:szCs w:val="21"/>
        </w:rPr>
        <w:t>，有权单方解除</w:t>
      </w:r>
      <w:r>
        <w:rPr>
          <w:rFonts w:hint="eastAsia" w:ascii="宋体" w:hAnsi="宋体" w:eastAsia="宋体"/>
          <w:color w:val="auto"/>
          <w:szCs w:val="21"/>
        </w:rPr>
        <w:t>贵我双方</w:t>
      </w:r>
      <w:r>
        <w:rPr>
          <w:rFonts w:ascii="宋体" w:hAnsi="宋体" w:eastAsia="宋体"/>
          <w:color w:val="auto"/>
          <w:szCs w:val="21"/>
        </w:rPr>
        <w:t>之间签订的合同，有权追究我方经济和法律责任，将我方纳入贵方公司“</w:t>
      </w:r>
      <w:r>
        <w:rPr>
          <w:rFonts w:hint="eastAsia" w:ascii="宋体" w:hAnsi="宋体" w:eastAsia="宋体"/>
          <w:color w:val="auto"/>
          <w:szCs w:val="21"/>
        </w:rPr>
        <w:t>黑</w:t>
      </w:r>
      <w:r>
        <w:rPr>
          <w:rFonts w:ascii="宋体" w:hAnsi="宋体" w:eastAsia="宋体"/>
          <w:color w:val="auto"/>
          <w:szCs w:val="21"/>
        </w:rPr>
        <w:t>名单”,永不再合作，并在贵方公司外网平台上公布我方的违法违约行为，对于触犯刑法的，贵方有权</w:t>
      </w:r>
      <w:r>
        <w:rPr>
          <w:rFonts w:hint="eastAsia" w:ascii="宋体" w:hAnsi="宋体" w:eastAsia="宋体"/>
          <w:color w:val="auto"/>
          <w:szCs w:val="21"/>
        </w:rPr>
        <w:t>移交</w:t>
      </w:r>
      <w:r>
        <w:rPr>
          <w:rFonts w:ascii="宋体" w:hAnsi="宋体" w:eastAsia="宋体"/>
          <w:color w:val="auto"/>
          <w:szCs w:val="21"/>
        </w:rPr>
        <w:t>司法机关追究刑事责任。</w:t>
      </w:r>
    </w:p>
    <w:p w14:paraId="670ADD5B">
      <w:pPr>
        <w:spacing w:line="360" w:lineRule="exact"/>
        <w:ind w:firstLine="420" w:firstLineChars="200"/>
        <w:rPr>
          <w:rFonts w:ascii="宋体" w:hAnsi="宋体" w:eastAsia="宋体"/>
          <w:color w:val="auto"/>
          <w:szCs w:val="21"/>
        </w:rPr>
      </w:pPr>
      <w:r>
        <w:rPr>
          <w:rFonts w:hint="eastAsia" w:ascii="宋体" w:hAnsi="宋体" w:eastAsia="宋体"/>
          <w:color w:val="auto"/>
          <w:szCs w:val="21"/>
        </w:rPr>
        <w:t>本承诺作为贵我双方鉴订或拟签订合同的不可分割的部分，并且具有独立性，贵我双方签订的合网变更、解除、终止或者无效，均不影响本承诺函的法律效力。</w:t>
      </w:r>
    </w:p>
    <w:p w14:paraId="42F211B6">
      <w:pPr>
        <w:spacing w:line="360" w:lineRule="exact"/>
        <w:ind w:firstLine="420" w:firstLineChars="200"/>
        <w:rPr>
          <w:rFonts w:ascii="宋体" w:hAnsi="宋体" w:eastAsia="宋体"/>
          <w:color w:val="auto"/>
          <w:szCs w:val="21"/>
        </w:rPr>
      </w:pPr>
      <w:r>
        <w:rPr>
          <w:rFonts w:hint="eastAsia" w:ascii="宋体" w:hAnsi="宋体" w:eastAsia="宋体"/>
          <w:color w:val="auto"/>
          <w:szCs w:val="21"/>
        </w:rPr>
        <w:t>特此承诺。</w:t>
      </w:r>
    </w:p>
    <w:p w14:paraId="7044E87E">
      <w:pPr>
        <w:spacing w:line="360" w:lineRule="exact"/>
        <w:ind w:firstLine="2940" w:firstLineChars="1400"/>
        <w:rPr>
          <w:rFonts w:ascii="宋体" w:hAnsi="宋体" w:eastAsia="宋体"/>
          <w:color w:val="auto"/>
          <w:szCs w:val="21"/>
        </w:rPr>
      </w:pPr>
      <w:r>
        <w:rPr>
          <w:rFonts w:hint="eastAsia" w:ascii="宋体" w:hAnsi="宋体" w:eastAsia="宋体"/>
          <w:color w:val="auto"/>
          <w:szCs w:val="21"/>
        </w:rPr>
        <w:t>承诺人：</w:t>
      </w:r>
    </w:p>
    <w:p w14:paraId="75FEF28B">
      <w:pPr>
        <w:spacing w:line="360" w:lineRule="exact"/>
        <w:ind w:firstLine="2940" w:firstLineChars="1400"/>
        <w:rPr>
          <w:rFonts w:ascii="宋体" w:hAnsi="宋体" w:eastAsia="宋体"/>
          <w:color w:val="auto"/>
          <w:szCs w:val="21"/>
        </w:rPr>
      </w:pPr>
      <w:r>
        <w:rPr>
          <w:rFonts w:hint="eastAsia" w:ascii="宋体" w:hAnsi="宋体" w:eastAsia="宋体"/>
          <w:color w:val="auto"/>
          <w:szCs w:val="21"/>
        </w:rPr>
        <w:t>法人代表或授权委托人</w:t>
      </w:r>
      <w:r>
        <w:rPr>
          <w:rFonts w:ascii="宋体" w:hAnsi="宋体" w:eastAsia="宋体"/>
          <w:color w:val="auto"/>
          <w:szCs w:val="21"/>
        </w:rPr>
        <w:t xml:space="preserve"> </w:t>
      </w:r>
      <w:r>
        <w:rPr>
          <w:rFonts w:hint="eastAsia" w:ascii="宋体" w:hAnsi="宋体" w:eastAsia="宋体"/>
          <w:color w:val="auto"/>
          <w:szCs w:val="21"/>
        </w:rPr>
        <w:t>：</w:t>
      </w:r>
      <w:r>
        <w:rPr>
          <w:rFonts w:ascii="宋体" w:hAnsi="宋体" w:eastAsia="宋体"/>
          <w:color w:val="auto"/>
          <w:szCs w:val="21"/>
        </w:rPr>
        <w:t xml:space="preserve">     </w:t>
      </w:r>
    </w:p>
    <w:p w14:paraId="7C99DD36">
      <w:pPr>
        <w:spacing w:line="360" w:lineRule="exact"/>
        <w:ind w:firstLine="2940" w:firstLineChars="1400"/>
        <w:rPr>
          <w:rFonts w:ascii="宋体" w:hAnsi="宋体" w:eastAsia="宋体"/>
          <w:color w:val="auto"/>
          <w:szCs w:val="21"/>
        </w:rPr>
      </w:pPr>
      <w:r>
        <w:rPr>
          <w:rFonts w:hint="eastAsia" w:ascii="宋体" w:hAnsi="宋体" w:eastAsia="宋体"/>
          <w:color w:val="auto"/>
          <w:szCs w:val="21"/>
        </w:rPr>
        <w:t>签</w:t>
      </w:r>
      <w:r>
        <w:rPr>
          <w:rFonts w:ascii="宋体" w:hAnsi="宋体" w:eastAsia="宋体"/>
          <w:color w:val="auto"/>
          <w:szCs w:val="21"/>
        </w:rPr>
        <w:t>署时间</w:t>
      </w:r>
      <w:r>
        <w:rPr>
          <w:rFonts w:hint="eastAsia" w:ascii="宋体" w:hAnsi="宋体" w:eastAsia="宋体"/>
          <w:color w:val="auto"/>
          <w:szCs w:val="21"/>
        </w:rPr>
        <w:t>：</w:t>
      </w:r>
    </w:p>
    <w:p w14:paraId="6D365299">
      <w:pPr>
        <w:rPr>
          <w:rFonts w:ascii="宋体" w:hAnsi="宋体" w:eastAsia="宋体" w:cs="宋体"/>
          <w:color w:val="auto"/>
          <w:szCs w:val="21"/>
          <w:highlight w:val="cyan"/>
        </w:rPr>
      </w:pPr>
      <w:r>
        <w:rPr>
          <w:rFonts w:hint="eastAsia" w:ascii="宋体" w:hAnsi="宋体" w:eastAsia="宋体" w:cs="宋体"/>
          <w:color w:val="auto"/>
          <w:szCs w:val="21"/>
          <w:highlight w:val="cyan"/>
        </w:rPr>
        <w:br w:type="page"/>
      </w:r>
    </w:p>
    <w:p w14:paraId="2867E449">
      <w:pPr>
        <w:pStyle w:val="10"/>
        <w:spacing w:line="360" w:lineRule="exact"/>
        <w:jc w:val="left"/>
        <w:rPr>
          <w:rFonts w:ascii="宋体" w:hAnsi="宋体" w:eastAsia="宋体" w:cs="宋体"/>
          <w:b w:val="0"/>
          <w:color w:val="auto"/>
          <w:sz w:val="21"/>
          <w:szCs w:val="21"/>
          <w:lang w:eastAsia="zh-CN"/>
        </w:rPr>
      </w:pPr>
      <w:r>
        <w:rPr>
          <w:rFonts w:hint="eastAsia" w:ascii="宋体" w:hAnsi="宋体" w:eastAsia="宋体" w:cs="宋体"/>
          <w:b w:val="0"/>
          <w:color w:val="auto"/>
          <w:sz w:val="21"/>
          <w:szCs w:val="21"/>
          <w:lang w:eastAsia="zh-CN"/>
        </w:rPr>
        <w:t>附件3</w:t>
      </w:r>
    </w:p>
    <w:p w14:paraId="5AAC2396">
      <w:pPr>
        <w:pStyle w:val="10"/>
        <w:spacing w:before="0" w:after="0" w:line="360" w:lineRule="exact"/>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广西艺术学院年度快递服务监管考核细则</w:t>
      </w:r>
    </w:p>
    <w:p w14:paraId="2630563B">
      <w:pPr>
        <w:rPr>
          <w:color w:val="auto"/>
        </w:rPr>
      </w:pPr>
    </w:p>
    <w:p w14:paraId="67716A91">
      <w:pPr>
        <w:shd w:val="clear" w:color="auto" w:fill="FFFFFF"/>
        <w:spacing w:line="360" w:lineRule="exact"/>
        <w:ind w:firstLine="420"/>
        <w:rPr>
          <w:rFonts w:ascii="宋体" w:hAnsi="宋体" w:eastAsia="宋体" w:cs="宋体"/>
          <w:color w:val="auto"/>
          <w:szCs w:val="21"/>
        </w:rPr>
      </w:pPr>
      <w:r>
        <w:rPr>
          <w:rFonts w:hint="eastAsia" w:ascii="宋体" w:hAnsi="宋体" w:eastAsia="宋体" w:cs="宋体"/>
          <w:color w:val="auto"/>
          <w:szCs w:val="21"/>
        </w:rPr>
        <w:t>为提高学校快递服务的管理水平，不断提升学生校园生活满意度，根据《中华人民共和国民法典》等相关法律法规，结合工作实际，制定本监管考核办法。</w:t>
      </w:r>
    </w:p>
    <w:p w14:paraId="29FEAB96">
      <w:pPr>
        <w:shd w:val="clear" w:color="auto" w:fill="FFFFFF"/>
        <w:spacing w:line="360" w:lineRule="exact"/>
        <w:rPr>
          <w:rFonts w:ascii="宋体" w:hAnsi="宋体" w:eastAsia="宋体" w:cs="宋体"/>
          <w:b/>
          <w:bCs/>
          <w:color w:val="auto"/>
          <w:szCs w:val="21"/>
        </w:rPr>
      </w:pPr>
      <w:r>
        <w:rPr>
          <w:rFonts w:hint="eastAsia" w:ascii="宋体" w:hAnsi="宋体" w:eastAsia="宋体" w:cs="宋体"/>
          <w:b/>
          <w:bCs/>
          <w:color w:val="auto"/>
          <w:szCs w:val="21"/>
        </w:rPr>
        <w:t>一、监管对象与监管内容</w:t>
      </w:r>
    </w:p>
    <w:p w14:paraId="0C61322D">
      <w:pPr>
        <w:shd w:val="clear" w:color="auto" w:fill="FFFFFF"/>
        <w:spacing w:line="360" w:lineRule="exact"/>
        <w:ind w:firstLine="420" w:firstLineChars="200"/>
        <w:rPr>
          <w:rFonts w:ascii="宋体" w:hAnsi="宋体" w:eastAsia="宋体" w:cs="宋体"/>
          <w:b/>
          <w:bCs/>
          <w:color w:val="auto"/>
          <w:szCs w:val="21"/>
        </w:rPr>
      </w:pPr>
      <w:r>
        <w:rPr>
          <w:rFonts w:hint="eastAsia" w:ascii="宋体" w:hAnsi="宋体" w:eastAsia="宋体" w:cs="宋体"/>
          <w:color w:val="auto"/>
          <w:szCs w:val="21"/>
        </w:rPr>
        <w:t>（一）学校按照相关法律法规与学校制定的采购管理办法采购广西艺术学院快递服务项目，委托具有相应资质的服务企业提供服务。</w:t>
      </w:r>
    </w:p>
    <w:p w14:paraId="0CC1DC85">
      <w:pPr>
        <w:shd w:val="clear" w:color="auto" w:fill="FFFFFF"/>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（二）依据采购文件和合同条款对服务企业进行监管。</w:t>
      </w:r>
    </w:p>
    <w:p w14:paraId="292342E3">
      <w:pPr>
        <w:spacing w:line="360" w:lineRule="exact"/>
        <w:rPr>
          <w:rFonts w:ascii="宋体" w:hAnsi="宋体" w:eastAsia="宋体" w:cs="宋体"/>
          <w:b/>
          <w:bCs/>
          <w:color w:val="auto"/>
          <w:szCs w:val="21"/>
        </w:rPr>
      </w:pPr>
      <w:r>
        <w:rPr>
          <w:rFonts w:hint="eastAsia" w:ascii="宋体" w:hAnsi="宋体" w:eastAsia="宋体" w:cs="宋体"/>
          <w:b/>
          <w:bCs/>
          <w:color w:val="auto"/>
          <w:szCs w:val="21"/>
        </w:rPr>
        <w:t>二、监管方式与结果认定</w:t>
      </w:r>
    </w:p>
    <w:p w14:paraId="3A0998AE">
      <w:pPr>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（一）突出“过程监管”原则，主要采取日常监管、年度考核、满意度测评相结合的方式，具体由学校主管部门负责考核实施。</w:t>
      </w:r>
    </w:p>
    <w:p w14:paraId="665B9927">
      <w:pPr>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（二）考核结果主要分为优秀、良好、合格、不合格四个等次。分值与等次对应关系如下图所示：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3065"/>
        <w:gridCol w:w="3066"/>
      </w:tblGrid>
      <w:tr w14:paraId="0059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14:paraId="4889B0EA">
            <w:pPr>
              <w:spacing w:line="360" w:lineRule="exact"/>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3065" w:type="dxa"/>
            <w:vAlign w:val="center"/>
          </w:tcPr>
          <w:p w14:paraId="6497E33C">
            <w:pPr>
              <w:spacing w:line="360" w:lineRule="exact"/>
              <w:jc w:val="center"/>
              <w:rPr>
                <w:rFonts w:ascii="宋体" w:hAnsi="宋体" w:eastAsia="宋体" w:cs="宋体"/>
                <w:b/>
                <w:bCs/>
                <w:color w:val="auto"/>
                <w:szCs w:val="21"/>
              </w:rPr>
            </w:pPr>
            <w:r>
              <w:rPr>
                <w:rFonts w:hint="eastAsia" w:ascii="宋体" w:hAnsi="宋体" w:eastAsia="宋体" w:cs="宋体"/>
                <w:b/>
                <w:bCs/>
                <w:color w:val="auto"/>
                <w:szCs w:val="21"/>
              </w:rPr>
              <w:t>分值</w:t>
            </w:r>
          </w:p>
        </w:tc>
        <w:tc>
          <w:tcPr>
            <w:tcW w:w="3066" w:type="dxa"/>
            <w:vAlign w:val="center"/>
          </w:tcPr>
          <w:p w14:paraId="15B9B6E4">
            <w:pPr>
              <w:spacing w:line="360" w:lineRule="exact"/>
              <w:jc w:val="center"/>
              <w:rPr>
                <w:rFonts w:ascii="宋体" w:hAnsi="宋体" w:eastAsia="宋体" w:cs="宋体"/>
                <w:b/>
                <w:bCs/>
                <w:color w:val="auto"/>
                <w:szCs w:val="21"/>
              </w:rPr>
            </w:pPr>
            <w:r>
              <w:rPr>
                <w:rFonts w:hint="eastAsia" w:ascii="宋体" w:hAnsi="宋体" w:eastAsia="宋体" w:cs="宋体"/>
                <w:b/>
                <w:bCs/>
                <w:color w:val="auto"/>
                <w:szCs w:val="21"/>
              </w:rPr>
              <w:t>结果</w:t>
            </w:r>
          </w:p>
        </w:tc>
      </w:tr>
      <w:tr w14:paraId="678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14:paraId="7223ECD0">
            <w:pPr>
              <w:spacing w:line="36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3065" w:type="dxa"/>
            <w:vAlign w:val="center"/>
          </w:tcPr>
          <w:p w14:paraId="6678A3DB">
            <w:pPr>
              <w:spacing w:line="360" w:lineRule="exact"/>
              <w:jc w:val="center"/>
              <w:rPr>
                <w:rFonts w:ascii="宋体" w:hAnsi="宋体" w:eastAsia="宋体" w:cs="宋体"/>
                <w:color w:val="auto"/>
                <w:szCs w:val="21"/>
              </w:rPr>
            </w:pPr>
            <w:r>
              <w:rPr>
                <w:rFonts w:hint="eastAsia" w:ascii="宋体" w:hAnsi="宋体" w:eastAsia="宋体" w:cs="宋体"/>
                <w:color w:val="auto"/>
                <w:szCs w:val="21"/>
              </w:rPr>
              <w:t>90分—100分</w:t>
            </w:r>
          </w:p>
        </w:tc>
        <w:tc>
          <w:tcPr>
            <w:tcW w:w="3066" w:type="dxa"/>
            <w:vAlign w:val="center"/>
          </w:tcPr>
          <w:p w14:paraId="186D7585">
            <w:pPr>
              <w:spacing w:line="360" w:lineRule="exact"/>
              <w:jc w:val="center"/>
              <w:rPr>
                <w:rFonts w:ascii="宋体" w:hAnsi="宋体" w:eastAsia="宋体" w:cs="宋体"/>
                <w:color w:val="auto"/>
                <w:szCs w:val="21"/>
              </w:rPr>
            </w:pPr>
            <w:r>
              <w:rPr>
                <w:rFonts w:hint="eastAsia" w:ascii="宋体" w:hAnsi="宋体" w:eastAsia="宋体" w:cs="宋体"/>
                <w:color w:val="auto"/>
                <w:szCs w:val="21"/>
              </w:rPr>
              <w:t>优秀</w:t>
            </w:r>
          </w:p>
        </w:tc>
      </w:tr>
      <w:tr w14:paraId="6163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14:paraId="0E511BCA">
            <w:pPr>
              <w:spacing w:line="360" w:lineRule="exact"/>
              <w:jc w:val="center"/>
              <w:rPr>
                <w:rFonts w:ascii="宋体" w:hAnsi="宋体" w:eastAsia="宋体" w:cs="宋体"/>
                <w:color w:val="auto"/>
                <w:szCs w:val="21"/>
              </w:rPr>
            </w:pPr>
            <w:r>
              <w:rPr>
                <w:rFonts w:hint="eastAsia" w:ascii="宋体" w:hAnsi="宋体" w:eastAsia="宋体" w:cs="宋体"/>
                <w:color w:val="auto"/>
                <w:szCs w:val="21"/>
              </w:rPr>
              <w:t>2</w:t>
            </w:r>
          </w:p>
        </w:tc>
        <w:tc>
          <w:tcPr>
            <w:tcW w:w="3065" w:type="dxa"/>
            <w:vAlign w:val="center"/>
          </w:tcPr>
          <w:p w14:paraId="44D482D2">
            <w:pPr>
              <w:spacing w:line="360" w:lineRule="exact"/>
              <w:jc w:val="center"/>
              <w:rPr>
                <w:rFonts w:ascii="宋体" w:hAnsi="宋体" w:eastAsia="宋体" w:cs="宋体"/>
                <w:color w:val="auto"/>
                <w:szCs w:val="21"/>
              </w:rPr>
            </w:pPr>
            <w:r>
              <w:rPr>
                <w:rFonts w:hint="eastAsia" w:ascii="宋体" w:hAnsi="宋体" w:eastAsia="宋体" w:cs="宋体"/>
                <w:color w:val="auto"/>
                <w:szCs w:val="21"/>
              </w:rPr>
              <w:t>80分—89分</w:t>
            </w:r>
          </w:p>
        </w:tc>
        <w:tc>
          <w:tcPr>
            <w:tcW w:w="3066" w:type="dxa"/>
            <w:vAlign w:val="center"/>
          </w:tcPr>
          <w:p w14:paraId="6BDF0C13">
            <w:pPr>
              <w:spacing w:line="360" w:lineRule="exact"/>
              <w:jc w:val="center"/>
              <w:rPr>
                <w:rFonts w:ascii="宋体" w:hAnsi="宋体" w:eastAsia="宋体" w:cs="宋体"/>
                <w:color w:val="auto"/>
                <w:szCs w:val="21"/>
              </w:rPr>
            </w:pPr>
            <w:r>
              <w:rPr>
                <w:rFonts w:hint="eastAsia" w:ascii="宋体" w:hAnsi="宋体" w:eastAsia="宋体" w:cs="宋体"/>
                <w:color w:val="auto"/>
                <w:szCs w:val="21"/>
              </w:rPr>
              <w:t>良好</w:t>
            </w:r>
          </w:p>
        </w:tc>
      </w:tr>
      <w:tr w14:paraId="1DEC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14:paraId="62C5D054">
            <w:pPr>
              <w:spacing w:line="360" w:lineRule="exact"/>
              <w:jc w:val="center"/>
              <w:rPr>
                <w:rFonts w:ascii="宋体" w:hAnsi="宋体" w:eastAsia="宋体" w:cs="宋体"/>
                <w:color w:val="auto"/>
                <w:szCs w:val="21"/>
              </w:rPr>
            </w:pPr>
            <w:r>
              <w:rPr>
                <w:rFonts w:hint="eastAsia" w:ascii="宋体" w:hAnsi="宋体" w:eastAsia="宋体" w:cs="宋体"/>
                <w:color w:val="auto"/>
                <w:szCs w:val="21"/>
              </w:rPr>
              <w:t>3</w:t>
            </w:r>
          </w:p>
        </w:tc>
        <w:tc>
          <w:tcPr>
            <w:tcW w:w="3065" w:type="dxa"/>
            <w:vAlign w:val="center"/>
          </w:tcPr>
          <w:p w14:paraId="63024227">
            <w:pPr>
              <w:spacing w:line="360" w:lineRule="exact"/>
              <w:jc w:val="center"/>
              <w:rPr>
                <w:rFonts w:ascii="宋体" w:hAnsi="宋体" w:eastAsia="宋体" w:cs="宋体"/>
                <w:color w:val="auto"/>
                <w:szCs w:val="21"/>
              </w:rPr>
            </w:pPr>
            <w:r>
              <w:rPr>
                <w:rFonts w:hint="eastAsia" w:ascii="宋体" w:hAnsi="宋体" w:eastAsia="宋体" w:cs="宋体"/>
                <w:color w:val="auto"/>
                <w:szCs w:val="21"/>
              </w:rPr>
              <w:t>70分—79分</w:t>
            </w:r>
          </w:p>
        </w:tc>
        <w:tc>
          <w:tcPr>
            <w:tcW w:w="3066" w:type="dxa"/>
            <w:vAlign w:val="center"/>
          </w:tcPr>
          <w:p w14:paraId="1EFF2C52">
            <w:pPr>
              <w:spacing w:line="360" w:lineRule="exact"/>
              <w:jc w:val="center"/>
              <w:rPr>
                <w:rFonts w:ascii="宋体" w:hAnsi="宋体" w:eastAsia="宋体" w:cs="宋体"/>
                <w:color w:val="auto"/>
                <w:szCs w:val="21"/>
              </w:rPr>
            </w:pPr>
            <w:r>
              <w:rPr>
                <w:rFonts w:hint="eastAsia" w:ascii="宋体" w:hAnsi="宋体" w:eastAsia="宋体" w:cs="宋体"/>
                <w:color w:val="auto"/>
                <w:szCs w:val="21"/>
              </w:rPr>
              <w:t>合格</w:t>
            </w:r>
          </w:p>
        </w:tc>
      </w:tr>
      <w:tr w14:paraId="4C01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Align w:val="center"/>
          </w:tcPr>
          <w:p w14:paraId="36BA73DD">
            <w:pPr>
              <w:spacing w:line="360" w:lineRule="exact"/>
              <w:jc w:val="center"/>
              <w:rPr>
                <w:rFonts w:ascii="宋体" w:hAnsi="宋体" w:eastAsia="宋体" w:cs="宋体"/>
                <w:color w:val="auto"/>
                <w:szCs w:val="21"/>
              </w:rPr>
            </w:pPr>
            <w:r>
              <w:rPr>
                <w:rFonts w:hint="eastAsia" w:ascii="宋体" w:hAnsi="宋体" w:eastAsia="宋体" w:cs="宋体"/>
                <w:color w:val="auto"/>
                <w:szCs w:val="21"/>
              </w:rPr>
              <w:t>4</w:t>
            </w:r>
          </w:p>
        </w:tc>
        <w:tc>
          <w:tcPr>
            <w:tcW w:w="3065" w:type="dxa"/>
            <w:vAlign w:val="center"/>
          </w:tcPr>
          <w:p w14:paraId="28738BF7">
            <w:pPr>
              <w:spacing w:line="360" w:lineRule="exact"/>
              <w:jc w:val="center"/>
              <w:rPr>
                <w:rFonts w:ascii="宋体" w:hAnsi="宋体" w:eastAsia="宋体" w:cs="宋体"/>
                <w:color w:val="auto"/>
                <w:szCs w:val="21"/>
              </w:rPr>
            </w:pPr>
            <w:r>
              <w:rPr>
                <w:rFonts w:hint="eastAsia" w:ascii="宋体" w:hAnsi="宋体" w:eastAsia="宋体" w:cs="宋体"/>
                <w:color w:val="auto"/>
                <w:szCs w:val="21"/>
              </w:rPr>
              <w:t>70分以下</w:t>
            </w:r>
          </w:p>
        </w:tc>
        <w:tc>
          <w:tcPr>
            <w:tcW w:w="3066" w:type="dxa"/>
            <w:vAlign w:val="center"/>
          </w:tcPr>
          <w:p w14:paraId="257EB125">
            <w:pPr>
              <w:spacing w:line="360" w:lineRule="exact"/>
              <w:jc w:val="center"/>
              <w:rPr>
                <w:rFonts w:ascii="宋体" w:hAnsi="宋体" w:eastAsia="宋体" w:cs="宋体"/>
                <w:color w:val="auto"/>
                <w:szCs w:val="21"/>
              </w:rPr>
            </w:pPr>
            <w:r>
              <w:rPr>
                <w:rFonts w:hint="eastAsia" w:ascii="宋体" w:hAnsi="宋体" w:eastAsia="宋体" w:cs="宋体"/>
                <w:color w:val="auto"/>
                <w:szCs w:val="21"/>
              </w:rPr>
              <w:t>不合格</w:t>
            </w:r>
          </w:p>
        </w:tc>
      </w:tr>
    </w:tbl>
    <w:p w14:paraId="67F5939A">
      <w:pPr>
        <w:shd w:val="clear" w:color="auto" w:fill="FFFFFF"/>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日常监管：学校管理人员不定期深入现场巡查快递服务企业履约情况并及时做好记录，对不符合规范和要求的服务提出整改意见并下达整改通知，限期内未整改或整改不到位，学校管理部门依据合同规定提出违约处置建议。</w:t>
      </w:r>
    </w:p>
    <w:p w14:paraId="729CEAE2">
      <w:pPr>
        <w:shd w:val="clear" w:color="auto" w:fill="FFFFFF"/>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（四）年度考核：每个年度的最后一个月内，学校管理部门对服务企业开展年度考核工作。对屡次出现投诉，服务质量多次整改不达标的服务企业，年度考核结果即为不合格。</w:t>
      </w:r>
    </w:p>
    <w:p w14:paraId="58306981">
      <w:pPr>
        <w:shd w:val="clear" w:color="auto" w:fill="FFFFFF"/>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（五）满意度测评：合同到期的前一个月内，服务企业面向师生开展快递服务满意度测评工作，学校管理部门监督执行。</w:t>
      </w:r>
    </w:p>
    <w:p w14:paraId="11580D1B">
      <w:pPr>
        <w:shd w:val="clear" w:color="auto" w:fill="FFFFFF"/>
        <w:spacing w:line="3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（六）合同期考核：主要从快递服务质量年度考核、学生满意度测评两个维度综合评议。</w:t>
      </w:r>
    </w:p>
    <w:p w14:paraId="0103C4A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76481"/>
    <w:multiLevelType w:val="multilevel"/>
    <w:tmpl w:val="04D76481"/>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6E86A37"/>
    <w:multiLevelType w:val="multilevel"/>
    <w:tmpl w:val="76E86A37"/>
    <w:lvl w:ilvl="0" w:tentative="0">
      <w:start w:val="1"/>
      <w:numFmt w:val="decimal"/>
      <w:lvlText w:val="（%1）"/>
      <w:lvlJc w:val="left"/>
      <w:pPr>
        <w:tabs>
          <w:tab w:val="left" w:pos="930"/>
        </w:tabs>
        <w:ind w:left="630" w:hanging="420"/>
      </w:pPr>
      <w:rPr>
        <w:rFonts w:hint="eastAsia"/>
      </w:rPr>
    </w:lvl>
    <w:lvl w:ilvl="1" w:tentative="0">
      <w:start w:val="1"/>
      <w:numFmt w:val="lowerLetter"/>
      <w:lvlText w:val="%2)"/>
      <w:lvlJc w:val="left"/>
      <w:pPr>
        <w:tabs>
          <w:tab w:val="left" w:pos="-30"/>
        </w:tabs>
        <w:ind w:left="-30" w:hanging="420"/>
      </w:pPr>
    </w:lvl>
    <w:lvl w:ilvl="2" w:tentative="0">
      <w:start w:val="1"/>
      <w:numFmt w:val="lowerRoman"/>
      <w:lvlText w:val="%3."/>
      <w:lvlJc w:val="right"/>
      <w:pPr>
        <w:tabs>
          <w:tab w:val="left" w:pos="390"/>
        </w:tabs>
        <w:ind w:left="390" w:hanging="420"/>
      </w:pPr>
    </w:lvl>
    <w:lvl w:ilvl="3" w:tentative="0">
      <w:start w:val="1"/>
      <w:numFmt w:val="decimal"/>
      <w:lvlText w:val="%4."/>
      <w:lvlJc w:val="left"/>
      <w:pPr>
        <w:tabs>
          <w:tab w:val="left" w:pos="810"/>
        </w:tabs>
        <w:ind w:left="810" w:hanging="420"/>
      </w:pPr>
    </w:lvl>
    <w:lvl w:ilvl="4" w:tentative="0">
      <w:start w:val="1"/>
      <w:numFmt w:val="lowerLetter"/>
      <w:lvlText w:val="%5)"/>
      <w:lvlJc w:val="left"/>
      <w:pPr>
        <w:tabs>
          <w:tab w:val="left" w:pos="1230"/>
        </w:tabs>
        <w:ind w:left="1230" w:hanging="420"/>
      </w:pPr>
    </w:lvl>
    <w:lvl w:ilvl="5" w:tentative="0">
      <w:start w:val="1"/>
      <w:numFmt w:val="lowerRoman"/>
      <w:lvlText w:val="%6."/>
      <w:lvlJc w:val="right"/>
      <w:pPr>
        <w:tabs>
          <w:tab w:val="left" w:pos="1650"/>
        </w:tabs>
        <w:ind w:left="1650" w:hanging="420"/>
      </w:pPr>
    </w:lvl>
    <w:lvl w:ilvl="6" w:tentative="0">
      <w:start w:val="1"/>
      <w:numFmt w:val="decimal"/>
      <w:lvlText w:val="%7."/>
      <w:lvlJc w:val="left"/>
      <w:pPr>
        <w:tabs>
          <w:tab w:val="left" w:pos="2070"/>
        </w:tabs>
        <w:ind w:left="2070" w:hanging="420"/>
      </w:pPr>
    </w:lvl>
    <w:lvl w:ilvl="7" w:tentative="0">
      <w:start w:val="1"/>
      <w:numFmt w:val="lowerLetter"/>
      <w:lvlText w:val="%8)"/>
      <w:lvlJc w:val="left"/>
      <w:pPr>
        <w:tabs>
          <w:tab w:val="left" w:pos="2490"/>
        </w:tabs>
        <w:ind w:left="2490" w:hanging="420"/>
      </w:pPr>
    </w:lvl>
    <w:lvl w:ilvl="8" w:tentative="0">
      <w:start w:val="1"/>
      <w:numFmt w:val="lowerRoman"/>
      <w:lvlText w:val="%9."/>
      <w:lvlJc w:val="right"/>
      <w:pPr>
        <w:tabs>
          <w:tab w:val="left" w:pos="2910"/>
        </w:tabs>
        <w:ind w:left="291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NzBhZjYyYTg2N2ExNTIwYmEzZmQxMTUwZmFjZjkifQ=="/>
  </w:docVars>
  <w:rsids>
    <w:rsidRoot w:val="009A4ECB"/>
    <w:rsid w:val="00012EC7"/>
    <w:rsid w:val="000414D5"/>
    <w:rsid w:val="00075755"/>
    <w:rsid w:val="000F6023"/>
    <w:rsid w:val="0012599B"/>
    <w:rsid w:val="0017130D"/>
    <w:rsid w:val="002A1590"/>
    <w:rsid w:val="00351B0F"/>
    <w:rsid w:val="00353BBC"/>
    <w:rsid w:val="003745CD"/>
    <w:rsid w:val="003970E1"/>
    <w:rsid w:val="003B0BCE"/>
    <w:rsid w:val="003B43DF"/>
    <w:rsid w:val="003E6418"/>
    <w:rsid w:val="00413F92"/>
    <w:rsid w:val="00442659"/>
    <w:rsid w:val="004A7E15"/>
    <w:rsid w:val="004B11B5"/>
    <w:rsid w:val="0061435D"/>
    <w:rsid w:val="006161D6"/>
    <w:rsid w:val="00624FB3"/>
    <w:rsid w:val="00775378"/>
    <w:rsid w:val="00914708"/>
    <w:rsid w:val="00980CDC"/>
    <w:rsid w:val="0099442B"/>
    <w:rsid w:val="009A4ECB"/>
    <w:rsid w:val="00A308A9"/>
    <w:rsid w:val="00A30DC3"/>
    <w:rsid w:val="00A505D8"/>
    <w:rsid w:val="00AC22C4"/>
    <w:rsid w:val="00AC2777"/>
    <w:rsid w:val="00B0053E"/>
    <w:rsid w:val="00B313B6"/>
    <w:rsid w:val="00B42765"/>
    <w:rsid w:val="00BA1710"/>
    <w:rsid w:val="00BF5298"/>
    <w:rsid w:val="00C631EE"/>
    <w:rsid w:val="00DF3836"/>
    <w:rsid w:val="00EC7406"/>
    <w:rsid w:val="00F03666"/>
    <w:rsid w:val="00F27774"/>
    <w:rsid w:val="00F64DA1"/>
    <w:rsid w:val="00F7758D"/>
    <w:rsid w:val="01522213"/>
    <w:rsid w:val="03627C97"/>
    <w:rsid w:val="0475711B"/>
    <w:rsid w:val="04C55A91"/>
    <w:rsid w:val="0545050A"/>
    <w:rsid w:val="076E0098"/>
    <w:rsid w:val="09000249"/>
    <w:rsid w:val="09BD37BF"/>
    <w:rsid w:val="0A16281C"/>
    <w:rsid w:val="0AE74F15"/>
    <w:rsid w:val="10621AAE"/>
    <w:rsid w:val="11B33EF4"/>
    <w:rsid w:val="15590710"/>
    <w:rsid w:val="1820372F"/>
    <w:rsid w:val="19A755AF"/>
    <w:rsid w:val="1A8D3466"/>
    <w:rsid w:val="1C9B6FF4"/>
    <w:rsid w:val="1D5D7699"/>
    <w:rsid w:val="209C65D2"/>
    <w:rsid w:val="2349046F"/>
    <w:rsid w:val="23C0390F"/>
    <w:rsid w:val="23D55BD0"/>
    <w:rsid w:val="27123E49"/>
    <w:rsid w:val="27CB43C4"/>
    <w:rsid w:val="293F4979"/>
    <w:rsid w:val="29C76519"/>
    <w:rsid w:val="2A3A0F04"/>
    <w:rsid w:val="2BA16D3D"/>
    <w:rsid w:val="2E750F5A"/>
    <w:rsid w:val="2F386BEB"/>
    <w:rsid w:val="2F7E0CFF"/>
    <w:rsid w:val="30AE6DA3"/>
    <w:rsid w:val="31EA4F1B"/>
    <w:rsid w:val="38591333"/>
    <w:rsid w:val="38AD4871"/>
    <w:rsid w:val="38E626EF"/>
    <w:rsid w:val="39DF5AAD"/>
    <w:rsid w:val="3A3D7671"/>
    <w:rsid w:val="3ABB11F1"/>
    <w:rsid w:val="3AD010AF"/>
    <w:rsid w:val="3B327DC8"/>
    <w:rsid w:val="3B9767FB"/>
    <w:rsid w:val="3D0A2DA9"/>
    <w:rsid w:val="3D1C0B03"/>
    <w:rsid w:val="3E0F5602"/>
    <w:rsid w:val="3F6251F8"/>
    <w:rsid w:val="40281967"/>
    <w:rsid w:val="403059BB"/>
    <w:rsid w:val="41E838FF"/>
    <w:rsid w:val="4268566E"/>
    <w:rsid w:val="42FC4672"/>
    <w:rsid w:val="46F43381"/>
    <w:rsid w:val="489F470B"/>
    <w:rsid w:val="49FB2772"/>
    <w:rsid w:val="4CF85F6B"/>
    <w:rsid w:val="4D257AFF"/>
    <w:rsid w:val="4D857429"/>
    <w:rsid w:val="4DA22C22"/>
    <w:rsid w:val="4E200DCF"/>
    <w:rsid w:val="4F157B71"/>
    <w:rsid w:val="4F19262F"/>
    <w:rsid w:val="518F7281"/>
    <w:rsid w:val="53611D6B"/>
    <w:rsid w:val="547E59F8"/>
    <w:rsid w:val="54A16890"/>
    <w:rsid w:val="5696734D"/>
    <w:rsid w:val="579E26AC"/>
    <w:rsid w:val="5B803C76"/>
    <w:rsid w:val="5DF96C0F"/>
    <w:rsid w:val="5E232C70"/>
    <w:rsid w:val="5F80548D"/>
    <w:rsid w:val="604B689E"/>
    <w:rsid w:val="60D55B8E"/>
    <w:rsid w:val="61FA3EC6"/>
    <w:rsid w:val="62745031"/>
    <w:rsid w:val="63E81CB6"/>
    <w:rsid w:val="68DE3E09"/>
    <w:rsid w:val="6AD9410E"/>
    <w:rsid w:val="6B5F6096"/>
    <w:rsid w:val="6FE37B14"/>
    <w:rsid w:val="7116116C"/>
    <w:rsid w:val="71B66151"/>
    <w:rsid w:val="71DF55D9"/>
    <w:rsid w:val="727A1ECF"/>
    <w:rsid w:val="730F63AE"/>
    <w:rsid w:val="731B3A37"/>
    <w:rsid w:val="73DA31F2"/>
    <w:rsid w:val="77192A07"/>
    <w:rsid w:val="79CF15DC"/>
    <w:rsid w:val="7ACA3E4C"/>
    <w:rsid w:val="7B500DA1"/>
    <w:rsid w:val="7B66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3"/>
      <w:szCs w:val="23"/>
      <w:lang w:eastAsia="en-US"/>
    </w:rPr>
  </w:style>
  <w:style w:type="paragraph" w:styleId="5">
    <w:name w:val="Balloon Text"/>
    <w:basedOn w:val="1"/>
    <w:link w:val="19"/>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9">
    <w:name w:val="Normal (Web)"/>
    <w:basedOn w:val="1"/>
    <w:unhideWhenUsed/>
    <w:qFormat/>
    <w:uiPriority w:val="99"/>
    <w:pPr>
      <w:spacing w:before="100" w:beforeAutospacing="1" w:after="100" w:afterAutospacing="1"/>
      <w:jc w:val="left"/>
    </w:pPr>
    <w:rPr>
      <w:rFonts w:cs="Times New Roman"/>
      <w:kern w:val="0"/>
      <w:sz w:val="24"/>
    </w:rPr>
  </w:style>
  <w:style w:type="paragraph" w:styleId="10">
    <w:name w:val="Title"/>
    <w:basedOn w:val="1"/>
    <w:next w:val="1"/>
    <w:link w:val="22"/>
    <w:qFormat/>
    <w:uiPriority w:val="0"/>
    <w:pPr>
      <w:widowControl/>
      <w:kinsoku w:val="0"/>
      <w:autoSpaceDE w:val="0"/>
      <w:autoSpaceDN w:val="0"/>
      <w:adjustRightInd w:val="0"/>
      <w:snapToGrid w:val="0"/>
      <w:spacing w:before="240" w:after="60"/>
      <w:jc w:val="center"/>
      <w:textAlignment w:val="baseline"/>
      <w:outlineLvl w:val="0"/>
    </w:pPr>
    <w:rPr>
      <w:rFonts w:ascii="Cambria" w:hAnsi="Cambria" w:eastAsia="Arial" w:cs="Times New Roman"/>
      <w:b/>
      <w:bCs/>
      <w:snapToGrid w:val="0"/>
      <w:color w:val="000000"/>
      <w:kern w:val="0"/>
      <w:sz w:val="32"/>
      <w:szCs w:val="32"/>
      <w:lang w:eastAsia="en-US"/>
    </w:rPr>
  </w:style>
  <w:style w:type="paragraph" w:styleId="11">
    <w:name w:val="annotation subject"/>
    <w:basedOn w:val="3"/>
    <w:next w:val="3"/>
    <w:link w:val="24"/>
    <w:qFormat/>
    <w:uiPriority w:val="0"/>
    <w:rPr>
      <w:b/>
      <w:bCs/>
    </w:rPr>
  </w:style>
  <w:style w:type="paragraph" w:styleId="12">
    <w:name w:val="Body Text First Indent 2"/>
    <w:basedOn w:val="1"/>
    <w:qFormat/>
    <w:uiPriority w:val="99"/>
    <w:pPr>
      <w:ind w:firstLine="420" w:firstLineChars="200"/>
    </w:pPr>
  </w:style>
  <w:style w:type="character" w:styleId="15">
    <w:name w:val="Strong"/>
    <w:basedOn w:val="14"/>
    <w:qFormat/>
    <w:uiPriority w:val="0"/>
    <w:rPr>
      <w:b/>
    </w:rPr>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character" w:customStyle="1" w:styleId="19">
    <w:name w:val="批注框文本 字符"/>
    <w:basedOn w:val="14"/>
    <w:link w:val="5"/>
    <w:qFormat/>
    <w:uiPriority w:val="0"/>
    <w:rPr>
      <w:rFonts w:asciiTheme="minorHAnsi" w:hAnsiTheme="minorHAnsi" w:eastAsiaTheme="minorEastAsia" w:cstheme="minorBidi"/>
      <w:kern w:val="2"/>
      <w:sz w:val="18"/>
      <w:szCs w:val="18"/>
    </w:rPr>
  </w:style>
  <w:style w:type="character" w:customStyle="1" w:styleId="20">
    <w:name w:val="页眉 字符"/>
    <w:basedOn w:val="14"/>
    <w:link w:val="7"/>
    <w:qFormat/>
    <w:uiPriority w:val="0"/>
    <w:rPr>
      <w:rFonts w:asciiTheme="minorHAnsi" w:hAnsiTheme="minorHAnsi" w:eastAsiaTheme="minorEastAsia" w:cstheme="minorBidi"/>
      <w:kern w:val="2"/>
      <w:sz w:val="18"/>
      <w:szCs w:val="18"/>
    </w:rPr>
  </w:style>
  <w:style w:type="character" w:customStyle="1" w:styleId="21">
    <w:name w:val="页脚 字符"/>
    <w:basedOn w:val="14"/>
    <w:link w:val="6"/>
    <w:qFormat/>
    <w:uiPriority w:val="0"/>
    <w:rPr>
      <w:rFonts w:asciiTheme="minorHAnsi" w:hAnsiTheme="minorHAnsi" w:eastAsiaTheme="minorEastAsia" w:cstheme="minorBidi"/>
      <w:kern w:val="2"/>
      <w:sz w:val="18"/>
      <w:szCs w:val="18"/>
    </w:rPr>
  </w:style>
  <w:style w:type="character" w:customStyle="1" w:styleId="22">
    <w:name w:val="标题 字符"/>
    <w:basedOn w:val="14"/>
    <w:link w:val="10"/>
    <w:qFormat/>
    <w:uiPriority w:val="0"/>
    <w:rPr>
      <w:rFonts w:ascii="Cambria" w:hAnsi="Cambria" w:eastAsia="Arial"/>
      <w:b/>
      <w:bCs/>
      <w:snapToGrid w:val="0"/>
      <w:color w:val="000000"/>
      <w:sz w:val="32"/>
      <w:szCs w:val="32"/>
      <w:lang w:eastAsia="en-US"/>
    </w:rPr>
  </w:style>
  <w:style w:type="character" w:customStyle="1" w:styleId="23">
    <w:name w:val="批注文字 字符"/>
    <w:basedOn w:val="14"/>
    <w:link w:val="3"/>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3018</Words>
  <Characters>3198</Characters>
  <Lines>105</Lines>
  <Paragraphs>29</Paragraphs>
  <TotalTime>16</TotalTime>
  <ScaleCrop>false</ScaleCrop>
  <LinksUpToDate>false</LinksUpToDate>
  <CharactersWithSpaces>3211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2025-02-14T04:57:00Z</dcterms:created>
  <dc:creator>Administrator</dc:creator>
  <cp:lastModifiedBy>Jianbo_Lee</cp:lastModifiedBy>
  <cp:lastPrinted>2024-12-24T03:17:00Z</cp:lastPrinted>
  <dcterms:modified xsi:type="dcterms:W3CDTF">2025-02-19T10:13:15Z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ECB138248E2D4E80A06AA9C1A4BB9F1F_13</vt:lpwstr>
  </property>
  <property fmtid="{D5CDD505-2E9C-101B-9397-08002B2CF9AE}" pid="4" name="KSOTemplateDocerSaveRecord">
    <vt:lpwstr>eyJoZGlkIjoiN2U1ZDM2ZmU5ZDNhNjBhNTFjZjQxNTAwYTg4NjAzODgiLCJ1c2VySWQiOiI3MTkzODkwMDUifQ==</vt:lpwstr>
  </property>
</Properties>
</file>