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4CFCE">
      <w:pPr>
        <w:pStyle w:val="6"/>
        <w:widowControl/>
        <w:shd w:val="clear" w:color="auto" w:fill="FFFFFF"/>
        <w:spacing w:before="0" w:beforeAutospacing="0" w:after="0" w:afterAutospacing="0"/>
        <w:jc w:val="center"/>
        <w:rPr>
          <w:rFonts w:ascii="宋体" w:hAnsi="宋体" w:cs="宋体"/>
          <w:color w:val="333333"/>
          <w:sz w:val="28"/>
          <w:szCs w:val="28"/>
          <w:shd w:val="clear" w:color="auto" w:fill="FFFFFF"/>
        </w:rPr>
      </w:pPr>
      <w:r>
        <w:rPr>
          <w:rFonts w:hint="eastAsia" w:ascii="宋体" w:hAnsi="宋体" w:cs="宋体"/>
          <w:b/>
          <w:bCs/>
          <w:sz w:val="36"/>
          <w:szCs w:val="36"/>
          <w:shd w:val="clear" w:color="auto" w:fill="FFFFFF"/>
        </w:rPr>
        <w:t>广西艺术学院附属中等艺术学校2024年无纸化办公系统及移动音响设备采购公告</w:t>
      </w:r>
    </w:p>
    <w:p w14:paraId="2E14CD8C">
      <w:pPr>
        <w:pStyle w:val="6"/>
        <w:widowControl/>
        <w:shd w:val="clear" w:color="auto" w:fill="FFFFFF"/>
        <w:spacing w:before="0" w:beforeAutospacing="0" w:after="0" w:afterAutospacing="0"/>
        <w:ind w:firstLine="560" w:firstLineChars="200"/>
        <w:rPr>
          <w:sz w:val="28"/>
          <w:szCs w:val="28"/>
        </w:rPr>
      </w:pPr>
      <w:r>
        <w:rPr>
          <w:rFonts w:hint="eastAsia" w:ascii="宋体" w:hAnsi="宋体" w:cs="宋体"/>
          <w:color w:val="333333"/>
          <w:sz w:val="28"/>
          <w:szCs w:val="28"/>
          <w:shd w:val="clear" w:color="auto" w:fill="FFFFFF"/>
        </w:rPr>
        <w:t>根据有关规定，我校开展广西艺术学院附属中等艺术学校2024年无纸化办公系统及移动音响设备采购，现将本次采购有关事项公告如下：</w:t>
      </w:r>
    </w:p>
    <w:p w14:paraId="3E1FFF4F">
      <w:pPr>
        <w:pStyle w:val="6"/>
        <w:widowControl/>
        <w:numPr>
          <w:ilvl w:val="0"/>
          <w:numId w:val="1"/>
        </w:numPr>
        <w:shd w:val="clear" w:color="auto" w:fill="FFFFFF"/>
        <w:spacing w:before="0" w:beforeAutospacing="0" w:after="0" w:afterAutospacing="0"/>
        <w:ind w:firstLine="480"/>
        <w:rPr>
          <w:rFonts w:ascii="宋体" w:hAnsi="宋体" w:cs="宋体"/>
          <w:bCs/>
          <w:color w:val="333333"/>
          <w:sz w:val="28"/>
          <w:szCs w:val="28"/>
          <w:shd w:val="clear" w:color="auto" w:fill="FFFFFF"/>
        </w:rPr>
      </w:pPr>
      <w:r>
        <w:rPr>
          <w:rStyle w:val="10"/>
          <w:rFonts w:hint="eastAsia" w:ascii="宋体" w:hAnsi="宋体" w:cs="宋体"/>
          <w:color w:val="333333"/>
          <w:sz w:val="28"/>
          <w:szCs w:val="28"/>
          <w:shd w:val="clear" w:color="auto" w:fill="FFFFFF"/>
        </w:rPr>
        <w:t>项目名称</w:t>
      </w:r>
      <w:r>
        <w:rPr>
          <w:rStyle w:val="10"/>
          <w:rFonts w:hint="eastAsia" w:ascii="宋体" w:hAnsi="宋体" w:cs="宋体"/>
          <w:b w:val="0"/>
          <w:bCs/>
          <w:color w:val="333333"/>
          <w:sz w:val="28"/>
          <w:szCs w:val="28"/>
          <w:shd w:val="clear" w:color="auto" w:fill="FFFFFF"/>
        </w:rPr>
        <w:t>：</w:t>
      </w:r>
      <w:r>
        <w:rPr>
          <w:rFonts w:hint="eastAsia" w:ascii="宋体" w:hAnsi="宋体" w:cs="宋体"/>
          <w:color w:val="333333"/>
          <w:sz w:val="28"/>
          <w:szCs w:val="28"/>
          <w:shd w:val="clear" w:color="auto" w:fill="FFFFFF"/>
        </w:rPr>
        <w:t>广西艺术学院附属中等艺术学校2024年无纸化办公系统及移动音响设备采购</w:t>
      </w:r>
    </w:p>
    <w:p w14:paraId="1E4E5378">
      <w:pPr>
        <w:pStyle w:val="6"/>
        <w:widowControl/>
        <w:numPr>
          <w:ilvl w:val="0"/>
          <w:numId w:val="1"/>
        </w:numPr>
        <w:shd w:val="clear" w:color="auto" w:fill="FFFFFF"/>
        <w:spacing w:before="0" w:beforeAutospacing="0" w:after="0" w:afterAutospacing="0"/>
        <w:ind w:firstLine="480"/>
        <w:rPr>
          <w:rStyle w:val="10"/>
          <w:rFonts w:ascii="宋体" w:hAnsi="宋体" w:cs="宋体"/>
          <w:color w:val="333333"/>
          <w:sz w:val="28"/>
          <w:szCs w:val="28"/>
          <w:shd w:val="clear" w:color="auto" w:fill="FFFFFF"/>
        </w:rPr>
      </w:pPr>
      <w:r>
        <w:rPr>
          <w:rStyle w:val="10"/>
          <w:rFonts w:hint="eastAsia" w:ascii="宋体" w:hAnsi="宋体" w:cs="宋体"/>
          <w:color w:val="333333"/>
          <w:sz w:val="28"/>
          <w:szCs w:val="28"/>
          <w:shd w:val="clear" w:color="auto" w:fill="FFFFFF"/>
        </w:rPr>
        <w:t>采购需求内容</w:t>
      </w:r>
    </w:p>
    <w:p w14:paraId="50CE3858">
      <w:pPr>
        <w:pStyle w:val="6"/>
        <w:widowControl/>
        <w:shd w:val="clear" w:color="auto" w:fill="FFFFFF"/>
        <w:spacing w:before="0" w:beforeAutospacing="0" w:after="0" w:afterAutospacing="0"/>
        <w:ind w:left="480"/>
        <w:rPr>
          <w:rStyle w:val="10"/>
          <w:rFonts w:ascii="宋体" w:hAnsi="宋体" w:cs="宋体"/>
          <w:sz w:val="28"/>
          <w:szCs w:val="28"/>
          <w:highlight w:val="none"/>
          <w:shd w:val="clear" w:color="auto" w:fill="FFFFFF"/>
        </w:rPr>
      </w:pPr>
      <w:r>
        <w:rPr>
          <w:rStyle w:val="10"/>
          <w:rFonts w:hint="eastAsia" w:ascii="宋体" w:hAnsi="宋体" w:cs="宋体"/>
          <w:sz w:val="28"/>
          <w:szCs w:val="28"/>
          <w:shd w:val="clear" w:color="auto" w:fill="FFFFFF"/>
        </w:rPr>
        <w:t>总采购预算</w:t>
      </w:r>
      <w:r>
        <w:rPr>
          <w:rStyle w:val="10"/>
          <w:rFonts w:hint="eastAsia" w:ascii="宋体" w:hAnsi="宋体" w:cs="宋体"/>
          <w:sz w:val="28"/>
          <w:szCs w:val="28"/>
          <w:highlight w:val="none"/>
          <w:shd w:val="clear" w:color="auto" w:fill="FFFFFF"/>
        </w:rPr>
        <w:t>为：35.8万元。</w:t>
      </w:r>
    </w:p>
    <w:p w14:paraId="7B1A7816">
      <w:pPr>
        <w:pStyle w:val="6"/>
        <w:widowControl/>
        <w:shd w:val="clear" w:color="auto" w:fill="FFFFFF"/>
        <w:spacing w:before="0" w:beforeAutospacing="0" w:after="0" w:afterAutospacing="0"/>
        <w:ind w:firstLine="562" w:firstLineChars="200"/>
        <w:rPr>
          <w:rStyle w:val="10"/>
          <w:rFonts w:ascii="宋体" w:hAnsi="宋体" w:cs="宋体"/>
          <w:b w:val="0"/>
          <w:bCs/>
          <w:sz w:val="28"/>
          <w:szCs w:val="28"/>
          <w:shd w:val="clear" w:color="auto" w:fill="FFFFFF"/>
        </w:rPr>
      </w:pPr>
      <w:r>
        <w:rPr>
          <w:rStyle w:val="10"/>
          <w:rFonts w:hint="eastAsia" w:ascii="宋体" w:hAnsi="宋体" w:cs="宋体"/>
          <w:sz w:val="28"/>
          <w:szCs w:val="28"/>
          <w:highlight w:val="none"/>
          <w:shd w:val="clear" w:color="auto" w:fill="FFFFFF"/>
        </w:rPr>
        <w:t>A分标（无纸化办公系统）：采购控制价27.3万</w:t>
      </w:r>
      <w:r>
        <w:rPr>
          <w:rStyle w:val="10"/>
          <w:rFonts w:hint="eastAsia" w:ascii="宋体" w:hAnsi="宋体" w:cs="宋体"/>
          <w:b w:val="0"/>
          <w:bCs/>
          <w:sz w:val="28"/>
          <w:szCs w:val="28"/>
          <w:highlight w:val="none"/>
          <w:shd w:val="clear" w:color="auto" w:fill="FFFFFF"/>
        </w:rPr>
        <w:t>，</w:t>
      </w:r>
      <w:r>
        <w:rPr>
          <w:rStyle w:val="10"/>
          <w:rFonts w:hint="eastAsia" w:ascii="宋体" w:hAnsi="宋体" w:cs="宋体"/>
          <w:b w:val="0"/>
          <w:bCs/>
          <w:sz w:val="28"/>
          <w:szCs w:val="28"/>
          <w:shd w:val="clear" w:color="auto" w:fill="FFFFFF"/>
        </w:rPr>
        <w:t>建设一套移动平板无纸化办公信息系统。详见附件。</w:t>
      </w:r>
    </w:p>
    <w:p w14:paraId="2541140C">
      <w:pPr>
        <w:pStyle w:val="6"/>
        <w:widowControl/>
        <w:shd w:val="clear" w:color="auto" w:fill="FFFFFF"/>
        <w:spacing w:before="0" w:beforeAutospacing="0" w:after="0" w:afterAutospacing="0"/>
        <w:ind w:firstLine="560"/>
        <w:rPr>
          <w:rStyle w:val="10"/>
          <w:rFonts w:ascii="宋体" w:hAnsi="宋体" w:cs="宋体"/>
          <w:b w:val="0"/>
          <w:bCs/>
          <w:sz w:val="28"/>
          <w:szCs w:val="28"/>
          <w:shd w:val="clear" w:color="auto" w:fill="FFFFFF"/>
        </w:rPr>
      </w:pPr>
      <w:r>
        <w:rPr>
          <w:rStyle w:val="10"/>
          <w:rFonts w:hint="eastAsia" w:ascii="宋体" w:hAnsi="宋体" w:cs="宋体"/>
          <w:sz w:val="28"/>
          <w:szCs w:val="28"/>
          <w:shd w:val="clear" w:color="auto" w:fill="FFFFFF"/>
        </w:rPr>
        <w:t>B分标（移动音响采购）：采购控制价8.5万</w:t>
      </w:r>
      <w:r>
        <w:rPr>
          <w:rStyle w:val="10"/>
          <w:rFonts w:hint="eastAsia" w:ascii="宋体" w:hAnsi="宋体" w:cs="宋体"/>
          <w:b w:val="0"/>
          <w:bCs/>
          <w:sz w:val="28"/>
          <w:szCs w:val="28"/>
          <w:shd w:val="clear" w:color="auto" w:fill="FFFFFF"/>
        </w:rPr>
        <w:t>，为了户外教学活动的开展，拟购买移动式音响系统一套。详见附件。</w:t>
      </w:r>
    </w:p>
    <w:p w14:paraId="053B9553">
      <w:pPr>
        <w:pStyle w:val="6"/>
        <w:widowControl/>
        <w:numPr>
          <w:ilvl w:val="0"/>
          <w:numId w:val="1"/>
        </w:numPr>
        <w:shd w:val="clear" w:color="auto" w:fill="FFFFFF"/>
        <w:spacing w:before="0" w:beforeAutospacing="0" w:after="0" w:afterAutospacing="0"/>
        <w:ind w:firstLine="480"/>
        <w:rPr>
          <w:rStyle w:val="10"/>
          <w:rFonts w:ascii="宋体" w:hAnsi="宋体" w:cs="宋体"/>
          <w:color w:val="333333"/>
          <w:sz w:val="28"/>
          <w:szCs w:val="28"/>
          <w:shd w:val="clear" w:color="auto" w:fill="FFFFFF"/>
        </w:rPr>
      </w:pPr>
      <w:r>
        <w:rPr>
          <w:rStyle w:val="10"/>
          <w:rFonts w:hint="eastAsia" w:ascii="宋体" w:hAnsi="宋体" w:cs="宋体"/>
          <w:color w:val="333333"/>
          <w:sz w:val="28"/>
          <w:szCs w:val="28"/>
          <w:shd w:val="clear" w:color="auto" w:fill="FFFFFF"/>
        </w:rPr>
        <w:t>投标人资格要求</w:t>
      </w:r>
    </w:p>
    <w:p w14:paraId="2329AA75">
      <w:pPr>
        <w:pStyle w:val="6"/>
        <w:widowControl/>
        <w:shd w:val="clear" w:color="auto" w:fill="FFFFFF"/>
        <w:spacing w:before="0" w:beforeAutospacing="0" w:after="0" w:afterAutospacing="0"/>
        <w:ind w:firstLine="480"/>
        <w:rPr>
          <w:sz w:val="28"/>
          <w:szCs w:val="28"/>
        </w:rPr>
      </w:pPr>
      <w:r>
        <w:rPr>
          <w:rFonts w:hint="eastAsia" w:ascii="宋体" w:hAnsi="宋体" w:cs="宋体"/>
          <w:color w:val="333333"/>
          <w:sz w:val="28"/>
          <w:szCs w:val="28"/>
          <w:shd w:val="clear" w:color="auto" w:fill="FFFFFF"/>
        </w:rPr>
        <w:t>（一）必须是在中华人民共和国境内注册，具有独立法人，并持有工商行政管理部门核发的法人营业执照。</w:t>
      </w:r>
    </w:p>
    <w:p w14:paraId="309B8919">
      <w:pPr>
        <w:pStyle w:val="6"/>
        <w:widowControl/>
        <w:shd w:val="clear" w:color="auto" w:fill="FFFFFF"/>
        <w:spacing w:before="0" w:beforeAutospacing="0" w:after="0" w:afterAutospacing="0"/>
        <w:ind w:firstLine="480"/>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（二）未被列入失信被执行人名单、重大税收违法案件当事人名单、政府采购严重违法失信行为记录名单，信用信息以最新的信用中国网站</w:t>
      </w:r>
      <w:r>
        <w:rPr>
          <w:rFonts w:hint="eastAsia" w:ascii="宋体" w:hAnsi="宋体" w:cs="宋体"/>
          <w:color w:val="333333"/>
          <w:sz w:val="28"/>
          <w:szCs w:val="28"/>
          <w:shd w:val="clear" w:color="auto" w:fill="FFFFFF"/>
          <w:lang w:val="en-US" w:eastAsia="zh-CN"/>
        </w:rPr>
        <w:t>和</w:t>
      </w:r>
      <w:r>
        <w:rPr>
          <w:rFonts w:hint="eastAsia" w:ascii="宋体" w:hAnsi="宋体" w:cs="宋体"/>
          <w:color w:val="333333"/>
          <w:sz w:val="28"/>
          <w:szCs w:val="28"/>
          <w:shd w:val="clear" w:color="auto" w:fill="FFFFFF"/>
        </w:rPr>
        <w:t>中国政府采购网公布为准。</w:t>
      </w:r>
    </w:p>
    <w:p w14:paraId="12ADB6C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480"/>
        <w:textAlignment w:val="auto"/>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“信用中国”网站查询方法：投标人在本项目投标截止时间前10日内,进入投标人基本信息页面，点击“下载信用报告”后点击“下载”。</w:t>
      </w:r>
    </w:p>
    <w:p w14:paraId="30A72A2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480"/>
        <w:textAlignment w:val="auto"/>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14:paraId="641D14CF">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480"/>
        <w:textAlignment w:val="auto"/>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采购人将对供应商信用记录进行甄别，对列入失信被执行人、重大税收违法案件当事人名单、政府采购严重违法失信行为记录名单及其他不符合《中华人民共和国政府采购法》第二十二条规定条件的供应商，将拒绝其参与采购活动。</w:t>
      </w:r>
    </w:p>
    <w:p w14:paraId="050EA8BB">
      <w:pPr>
        <w:pStyle w:val="6"/>
        <w:widowControl/>
        <w:shd w:val="clear" w:color="auto" w:fill="FFFFFF"/>
        <w:spacing w:before="0" w:beforeAutospacing="0" w:after="0" w:afterAutospacing="0"/>
        <w:ind w:firstLine="480"/>
        <w:rPr>
          <w:sz w:val="28"/>
          <w:szCs w:val="28"/>
        </w:rPr>
      </w:pPr>
      <w:r>
        <w:rPr>
          <w:rFonts w:hint="eastAsia" w:ascii="宋体" w:hAnsi="宋体" w:cs="宋体"/>
          <w:color w:val="333333"/>
          <w:sz w:val="28"/>
          <w:szCs w:val="28"/>
          <w:shd w:val="clear" w:color="auto" w:fill="FFFFFF"/>
        </w:rPr>
        <w:t>（三）单位负责人为同一人或者存在直接控股、管理关系的不同供应商，不得参加同一合同项下的采购活动。本项目不接受联合体。</w:t>
      </w:r>
    </w:p>
    <w:p w14:paraId="0B4D91FB">
      <w:pPr>
        <w:pStyle w:val="6"/>
        <w:widowControl/>
        <w:numPr>
          <w:ilvl w:val="0"/>
          <w:numId w:val="1"/>
        </w:numPr>
        <w:shd w:val="clear" w:color="auto" w:fill="FFFFFF"/>
        <w:spacing w:before="0" w:beforeAutospacing="0" w:after="0" w:afterAutospacing="0"/>
        <w:ind w:firstLine="480"/>
        <w:rPr>
          <w:rStyle w:val="10"/>
          <w:rFonts w:ascii="宋体" w:hAnsi="宋体" w:cs="宋体"/>
          <w:color w:val="333333"/>
          <w:sz w:val="28"/>
          <w:szCs w:val="28"/>
          <w:shd w:val="clear" w:color="auto" w:fill="FFFFFF"/>
        </w:rPr>
      </w:pPr>
      <w:r>
        <w:rPr>
          <w:rStyle w:val="10"/>
          <w:rFonts w:hint="eastAsia" w:ascii="宋体" w:hAnsi="宋体" w:cs="宋体"/>
          <w:color w:val="333333"/>
          <w:sz w:val="28"/>
          <w:szCs w:val="28"/>
          <w:shd w:val="clear" w:color="auto" w:fill="FFFFFF"/>
        </w:rPr>
        <w:t>投标要求</w:t>
      </w:r>
    </w:p>
    <w:p w14:paraId="0D5256D5">
      <w:pPr>
        <w:pStyle w:val="6"/>
        <w:widowControl/>
        <w:shd w:val="clear" w:color="auto" w:fill="FFFFFF"/>
        <w:spacing w:before="0" w:beforeAutospacing="0" w:after="0" w:afterAutospacing="0"/>
        <w:ind w:firstLine="480"/>
        <w:rPr>
          <w:sz w:val="28"/>
          <w:szCs w:val="28"/>
        </w:rPr>
      </w:pPr>
      <w:r>
        <w:rPr>
          <w:rFonts w:hint="eastAsia" w:ascii="宋体" w:hAnsi="宋体" w:cs="宋体"/>
          <w:color w:val="333333"/>
          <w:sz w:val="28"/>
          <w:szCs w:val="28"/>
          <w:shd w:val="clear" w:color="auto" w:fill="FFFFFF"/>
        </w:rPr>
        <w:t>（一）提供法人授权委托书（格式自拟）、有效的营业执照复印件（加盖单位公章）、被授权人身份证（复印件）及信用中国网站</w:t>
      </w:r>
      <w:r>
        <w:rPr>
          <w:rFonts w:hint="eastAsia" w:ascii="宋体" w:hAnsi="宋体" w:cs="宋体"/>
          <w:color w:val="333333"/>
          <w:sz w:val="28"/>
          <w:szCs w:val="28"/>
          <w:shd w:val="clear" w:color="auto" w:fill="FFFFFF"/>
          <w:lang w:val="en-US" w:eastAsia="zh-CN"/>
        </w:rPr>
        <w:t>和</w:t>
      </w:r>
      <w:r>
        <w:rPr>
          <w:rFonts w:hint="eastAsia" w:ascii="宋体" w:hAnsi="宋体" w:cs="宋体"/>
          <w:color w:val="333333"/>
          <w:sz w:val="28"/>
          <w:szCs w:val="28"/>
          <w:shd w:val="clear" w:color="auto" w:fill="FFFFFF"/>
        </w:rPr>
        <w:t>中国政府采购网的相关证明材料。</w:t>
      </w:r>
    </w:p>
    <w:p w14:paraId="207A2092">
      <w:pPr>
        <w:pStyle w:val="6"/>
        <w:widowControl/>
        <w:shd w:val="clear" w:color="auto" w:fill="FFFFFF"/>
        <w:spacing w:before="0" w:beforeAutospacing="0" w:after="0" w:afterAutospacing="0"/>
        <w:ind w:firstLine="480"/>
        <w:rPr>
          <w:sz w:val="28"/>
          <w:szCs w:val="28"/>
        </w:rPr>
      </w:pPr>
      <w:r>
        <w:rPr>
          <w:rFonts w:hint="eastAsia" w:ascii="宋体" w:hAnsi="宋体" w:cs="宋体"/>
          <w:color w:val="333333"/>
          <w:sz w:val="28"/>
          <w:szCs w:val="28"/>
          <w:shd w:val="clear" w:color="auto" w:fill="FFFFFF"/>
        </w:rPr>
        <w:t>（二）报价函（格式自拟，写清楚所投产品品牌、型号、技术参数等，报价必须包含但不限于运输、调试、安装、税金等本项目所有费用）、技术参数偏离表（格式自拟，必须与采购需求表里的技术参数逐项比对）。</w:t>
      </w:r>
    </w:p>
    <w:p w14:paraId="55317CDB">
      <w:pPr>
        <w:pStyle w:val="6"/>
        <w:widowControl/>
        <w:shd w:val="clear" w:color="auto" w:fill="FFFFFF"/>
        <w:spacing w:before="0" w:beforeAutospacing="0" w:after="0" w:afterAutospacing="0"/>
        <w:ind w:firstLine="480"/>
        <w:rPr>
          <w:rFonts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（三）关于本项目的服务承诺（格式自拟，包含但不限于售后、培训、免费质保期等）。</w:t>
      </w:r>
    </w:p>
    <w:p w14:paraId="74B37AED">
      <w:pPr>
        <w:pStyle w:val="6"/>
        <w:widowControl/>
        <w:shd w:val="clear" w:color="auto" w:fill="FFFFFF"/>
        <w:spacing w:before="0" w:beforeAutospacing="0" w:after="0" w:afterAutospacing="0"/>
        <w:ind w:firstLine="480"/>
        <w:rPr>
          <w:rFonts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（四）采购需求里要求提供的其他证明材料。</w:t>
      </w:r>
    </w:p>
    <w:p w14:paraId="441078D7">
      <w:pPr>
        <w:pStyle w:val="6"/>
        <w:widowControl/>
        <w:shd w:val="clear" w:color="auto" w:fill="FFFFFF"/>
        <w:spacing w:before="0" w:beforeAutospacing="0" w:after="0" w:afterAutospacing="0"/>
        <w:ind w:firstLine="480"/>
        <w:rPr>
          <w:sz w:val="28"/>
          <w:szCs w:val="28"/>
        </w:rPr>
      </w:pPr>
      <w:r>
        <w:rPr>
          <w:rStyle w:val="10"/>
          <w:rFonts w:hint="eastAsia" w:ascii="宋体" w:hAnsi="宋体" w:cs="宋体"/>
          <w:color w:val="FF0000"/>
          <w:sz w:val="28"/>
          <w:szCs w:val="28"/>
          <w:shd w:val="clear" w:color="auto" w:fill="FFFFFF"/>
        </w:rPr>
        <w:t>注：所有投标材料必须一正一副，且须加盖公章后密封提供。</w:t>
      </w:r>
    </w:p>
    <w:p w14:paraId="35EE32F3">
      <w:pPr>
        <w:pStyle w:val="6"/>
        <w:widowControl/>
        <w:shd w:val="clear" w:color="auto" w:fill="FFFFFF"/>
        <w:spacing w:before="0" w:beforeAutospacing="0" w:after="0" w:afterAutospacing="0"/>
        <w:ind w:firstLine="480"/>
        <w:rPr>
          <w:sz w:val="28"/>
          <w:szCs w:val="28"/>
        </w:rPr>
      </w:pPr>
      <w:r>
        <w:rPr>
          <w:rStyle w:val="10"/>
          <w:rFonts w:hint="eastAsia" w:ascii="宋体" w:hAnsi="宋体" w:cs="宋体"/>
          <w:color w:val="333333"/>
          <w:sz w:val="28"/>
          <w:szCs w:val="28"/>
          <w:shd w:val="clear" w:color="auto" w:fill="FFFFFF"/>
        </w:rPr>
        <w:t>五、中标方式</w:t>
      </w:r>
      <w:r>
        <w:rPr>
          <w:rFonts w:hint="eastAsia"/>
          <w:sz w:val="28"/>
          <w:szCs w:val="28"/>
        </w:rPr>
        <w:t>：</w:t>
      </w:r>
      <w:r>
        <w:rPr>
          <w:rFonts w:hint="eastAsia" w:ascii="宋体" w:hAnsi="宋体" w:cs="宋体"/>
          <w:color w:val="333333"/>
          <w:sz w:val="28"/>
          <w:szCs w:val="28"/>
          <w:shd w:val="clear" w:color="auto" w:fill="FFFFFF"/>
        </w:rPr>
        <w:t>根据投标人的投标材料，在满足采购需求的基础上，采取</w:t>
      </w:r>
      <w:r>
        <w:rPr>
          <w:rFonts w:hint="eastAsia" w:ascii="宋体" w:hAnsi="宋体" w:cs="宋体"/>
          <w:color w:val="FF0000"/>
          <w:sz w:val="28"/>
          <w:szCs w:val="28"/>
          <w:shd w:val="clear" w:color="auto" w:fill="FFFFFF"/>
        </w:rPr>
        <w:t>低价中标方式</w:t>
      </w:r>
      <w:r>
        <w:rPr>
          <w:rFonts w:hint="eastAsia" w:ascii="宋体" w:hAnsi="宋体" w:cs="宋体"/>
          <w:color w:val="333333"/>
          <w:sz w:val="28"/>
          <w:szCs w:val="28"/>
          <w:shd w:val="clear" w:color="auto" w:fill="FFFFFF"/>
        </w:rPr>
        <w:t>选定该项目中标单位，若价格相同，则采取抽签方式确定中标单位。</w:t>
      </w:r>
    </w:p>
    <w:p w14:paraId="024688B9">
      <w:pPr>
        <w:pStyle w:val="6"/>
        <w:widowControl/>
        <w:shd w:val="clear" w:color="auto" w:fill="FFFFFF"/>
        <w:spacing w:before="0" w:beforeAutospacing="0" w:after="0" w:afterAutospacing="0"/>
        <w:ind w:firstLine="480"/>
        <w:rPr>
          <w:sz w:val="28"/>
          <w:szCs w:val="28"/>
        </w:rPr>
      </w:pPr>
      <w:r>
        <w:rPr>
          <w:rStyle w:val="10"/>
          <w:rFonts w:hint="eastAsia" w:ascii="宋体" w:hAnsi="宋体" w:cs="宋体"/>
          <w:color w:val="333333"/>
          <w:sz w:val="28"/>
          <w:szCs w:val="28"/>
          <w:shd w:val="clear" w:color="auto" w:fill="FFFFFF"/>
        </w:rPr>
        <w:t>六、投标截止时间和地点</w:t>
      </w:r>
    </w:p>
    <w:p w14:paraId="2902EFE7">
      <w:pPr>
        <w:pStyle w:val="6"/>
        <w:widowControl/>
        <w:shd w:val="clear" w:color="auto" w:fill="FFFFFF"/>
        <w:spacing w:before="0" w:beforeAutospacing="0" w:after="0" w:afterAutospacing="0"/>
        <w:ind w:firstLine="480"/>
        <w:rPr>
          <w:sz w:val="28"/>
          <w:szCs w:val="28"/>
        </w:rPr>
      </w:pPr>
      <w:r>
        <w:rPr>
          <w:rFonts w:hint="eastAsia" w:ascii="宋体" w:hAnsi="宋体" w:cs="宋体"/>
          <w:color w:val="333333"/>
          <w:sz w:val="28"/>
          <w:szCs w:val="28"/>
          <w:shd w:val="clear" w:color="auto" w:fill="FFFFFF"/>
        </w:rPr>
        <w:t>投标时间：凡愿意且符合条件投标人，请于</w:t>
      </w:r>
      <w:r>
        <w:rPr>
          <w:rFonts w:hint="eastAsia" w:ascii="宋体" w:hAnsi="宋体" w:cs="宋体"/>
          <w:color w:val="FF0000"/>
          <w:sz w:val="28"/>
          <w:szCs w:val="28"/>
          <w:shd w:val="clear" w:color="auto" w:fill="FFFFFF"/>
        </w:rPr>
        <w:t>2024年1</w:t>
      </w:r>
      <w:r>
        <w:rPr>
          <w:rFonts w:hint="eastAsia" w:ascii="宋体" w:hAnsi="宋体" w:cs="宋体"/>
          <w:color w:val="FF0000"/>
          <w:sz w:val="28"/>
          <w:szCs w:val="28"/>
          <w:shd w:val="clear" w:color="auto" w:fill="FFFFFF"/>
          <w:lang w:val="en-US" w:eastAsia="zh-CN"/>
        </w:rPr>
        <w:t>1</w:t>
      </w:r>
      <w:r>
        <w:rPr>
          <w:rFonts w:hint="eastAsia" w:ascii="宋体" w:hAnsi="宋体" w:cs="宋体"/>
          <w:color w:val="FF0000"/>
          <w:sz w:val="28"/>
          <w:szCs w:val="28"/>
          <w:shd w:val="clear" w:color="auto" w:fill="FFFFFF"/>
        </w:rPr>
        <w:t>月</w:t>
      </w:r>
      <w:r>
        <w:rPr>
          <w:rFonts w:hint="eastAsia" w:ascii="宋体" w:hAnsi="宋体" w:cs="宋体"/>
          <w:color w:val="FF0000"/>
          <w:sz w:val="28"/>
          <w:szCs w:val="28"/>
          <w:shd w:val="clear" w:color="auto" w:fill="FFFFFF"/>
          <w:lang w:val="en-US" w:eastAsia="zh-CN"/>
        </w:rPr>
        <w:t>12</w:t>
      </w:r>
      <w:bookmarkStart w:id="0" w:name="_GoBack"/>
      <w:bookmarkEnd w:id="0"/>
      <w:r>
        <w:rPr>
          <w:rFonts w:hint="eastAsia" w:ascii="宋体" w:hAnsi="宋体" w:cs="宋体"/>
          <w:color w:val="FF0000"/>
          <w:sz w:val="28"/>
          <w:szCs w:val="28"/>
          <w:shd w:val="clear" w:color="auto" w:fill="FFFFFF"/>
        </w:rPr>
        <w:t>日上午9点至11点之间</w:t>
      </w:r>
      <w:r>
        <w:rPr>
          <w:rFonts w:hint="eastAsia" w:ascii="宋体" w:hAnsi="宋体" w:cs="宋体"/>
          <w:color w:val="333333"/>
          <w:sz w:val="28"/>
          <w:szCs w:val="28"/>
          <w:shd w:val="clear" w:color="auto" w:fill="FFFFFF"/>
        </w:rPr>
        <w:t>，将投标文件送达广西艺术学院财务资产处，其他时间不接收报名材料。投标地点：南宁市教育路7号广西艺术学院雕塑办公楼107室财务资产处采购管理科。联系人：李老师，联系电话：07715327987.</w:t>
      </w:r>
    </w:p>
    <w:p w14:paraId="32812204">
      <w:pPr>
        <w:pStyle w:val="6"/>
        <w:widowControl/>
        <w:shd w:val="clear" w:color="auto" w:fill="FFFFFF"/>
        <w:spacing w:before="0" w:beforeAutospacing="0" w:after="0" w:afterAutospacing="0"/>
        <w:ind w:firstLine="480"/>
        <w:rPr>
          <w:rFonts w:ascii="宋体" w:hAnsi="宋体" w:cs="宋体"/>
          <w:sz w:val="28"/>
          <w:szCs w:val="28"/>
          <w:shd w:val="clear" w:color="auto" w:fill="FFFFFF"/>
        </w:rPr>
      </w:pPr>
      <w:r>
        <w:rPr>
          <w:rFonts w:hint="eastAsia" w:ascii="宋体" w:hAnsi="宋体" w:cs="宋体"/>
          <w:color w:val="333333"/>
          <w:sz w:val="28"/>
          <w:szCs w:val="28"/>
          <w:shd w:val="clear" w:color="auto" w:fill="FFFFFF"/>
        </w:rPr>
        <w:t>七、本次采购的相关信息（包括但不限于采购公告与附件及其修改、补充、澄清等，下同）在广西艺术学院主页的“机构设置-财务资产处-招标公告”栏（网址：</w:t>
      </w:r>
      <w:r>
        <w:fldChar w:fldCharType="begin"/>
      </w:r>
      <w:r>
        <w:instrText xml:space="preserve"> HYPERLINK "https://cwc.gxau.edu.cn/zbgg2）上发布，本次采购的相关信息一经在上述网站发布，即视为已发送给投标人。投标人据此参与本次采购活动，即视为对本次采购的相关信息、内容及规则没有异议。" </w:instrText>
      </w:r>
      <w:r>
        <w:fldChar w:fldCharType="separate"/>
      </w:r>
      <w:r>
        <w:rPr>
          <w:rStyle w:val="11"/>
          <w:rFonts w:hint="eastAsia" w:ascii="宋体" w:hAnsi="宋体" w:cs="宋体"/>
          <w:sz w:val="28"/>
          <w:szCs w:val="28"/>
          <w:shd w:val="clear" w:color="auto" w:fill="FFFFFF"/>
        </w:rPr>
        <w:t>https://cwc.gxau.edu.cn/zbgg2）上发布，本次采购的相关信息一经在上述网站发布，即视为已发送给投标人。投标人据此参与本次采购活动，即视为对本次采购的相关信息、内容及规则没有异议。</w:t>
      </w:r>
      <w:r>
        <w:rPr>
          <w:rStyle w:val="11"/>
          <w:rFonts w:ascii="宋体" w:hAnsi="宋体" w:cs="宋体"/>
          <w:sz w:val="28"/>
          <w:szCs w:val="28"/>
          <w:shd w:val="clear" w:color="auto" w:fill="FFFFFF"/>
        </w:rPr>
        <w:fldChar w:fldCharType="end"/>
      </w:r>
    </w:p>
    <w:p w14:paraId="3315C0C3">
      <w:pPr>
        <w:jc w:val="center"/>
        <w:rPr>
          <w:rStyle w:val="10"/>
          <w:rFonts w:ascii="宋体" w:hAnsi="宋体" w:cs="宋体"/>
          <w:color w:val="333333"/>
          <w:sz w:val="28"/>
          <w:szCs w:val="28"/>
          <w:shd w:val="clear" w:color="auto" w:fill="FFFFFF"/>
        </w:rPr>
      </w:pPr>
    </w:p>
    <w:p w14:paraId="163CF19F">
      <w:pPr>
        <w:jc w:val="center"/>
        <w:rPr>
          <w:rStyle w:val="10"/>
          <w:rFonts w:ascii="宋体" w:hAnsi="宋体" w:cs="宋体"/>
          <w:color w:val="333333"/>
          <w:sz w:val="28"/>
          <w:szCs w:val="28"/>
          <w:shd w:val="clear" w:color="auto" w:fill="FFFFFF"/>
        </w:rPr>
      </w:pPr>
    </w:p>
    <w:p w14:paraId="17330326">
      <w:pPr>
        <w:jc w:val="center"/>
        <w:rPr>
          <w:rStyle w:val="10"/>
          <w:rFonts w:ascii="宋体" w:hAnsi="宋体" w:cs="宋体"/>
          <w:color w:val="333333"/>
          <w:sz w:val="28"/>
          <w:szCs w:val="28"/>
          <w:shd w:val="clear" w:color="auto" w:fill="FFFFFF"/>
        </w:rPr>
      </w:pPr>
    </w:p>
    <w:p w14:paraId="136C091F">
      <w:pPr>
        <w:jc w:val="center"/>
        <w:rPr>
          <w:rStyle w:val="10"/>
          <w:rFonts w:ascii="宋体" w:hAnsi="宋体" w:cs="宋体"/>
          <w:color w:val="333333"/>
          <w:sz w:val="28"/>
          <w:szCs w:val="28"/>
          <w:shd w:val="clear" w:color="auto" w:fill="FFFFFF"/>
        </w:rPr>
      </w:pPr>
    </w:p>
    <w:p w14:paraId="2DD462A2">
      <w:pPr>
        <w:jc w:val="center"/>
        <w:rPr>
          <w:rStyle w:val="10"/>
          <w:rFonts w:ascii="宋体" w:hAnsi="宋体" w:cs="宋体"/>
          <w:color w:val="333333"/>
          <w:sz w:val="28"/>
          <w:szCs w:val="28"/>
          <w:shd w:val="clear" w:color="auto" w:fill="FFFFFF"/>
        </w:rPr>
      </w:pPr>
    </w:p>
    <w:p w14:paraId="28FB73B6">
      <w:pPr>
        <w:jc w:val="center"/>
        <w:rPr>
          <w:rStyle w:val="10"/>
          <w:rFonts w:ascii="宋体" w:hAnsi="宋体" w:cs="宋体"/>
          <w:color w:val="333333"/>
          <w:sz w:val="28"/>
          <w:szCs w:val="28"/>
          <w:shd w:val="clear" w:color="auto" w:fill="FFFFFF"/>
        </w:rPr>
      </w:pPr>
    </w:p>
    <w:p w14:paraId="47769E5C">
      <w:pPr>
        <w:jc w:val="center"/>
        <w:rPr>
          <w:rStyle w:val="10"/>
          <w:rFonts w:ascii="宋体" w:hAnsi="宋体" w:cs="宋体"/>
          <w:color w:val="333333"/>
          <w:sz w:val="28"/>
          <w:szCs w:val="28"/>
          <w:shd w:val="clear" w:color="auto" w:fill="FFFFFF"/>
        </w:rPr>
      </w:pPr>
    </w:p>
    <w:p w14:paraId="1BBBDE68">
      <w:pPr>
        <w:jc w:val="both"/>
        <w:rPr>
          <w:rStyle w:val="10"/>
          <w:rFonts w:ascii="宋体" w:hAnsi="宋体" w:cs="宋体"/>
          <w:color w:val="333333"/>
          <w:sz w:val="28"/>
          <w:szCs w:val="28"/>
          <w:shd w:val="clear" w:color="auto" w:fill="FFFFFF"/>
        </w:rPr>
        <w:sectPr>
          <w:pgSz w:w="11906" w:h="16838"/>
          <w:pgMar w:top="1440" w:right="1800" w:bottom="1440" w:left="1800" w:header="851" w:footer="992" w:gutter="0"/>
          <w:cols w:space="720" w:num="1"/>
          <w:docGrid w:type="lines" w:linePitch="312" w:charSpace="0"/>
        </w:sectPr>
      </w:pPr>
    </w:p>
    <w:p w14:paraId="3770C3D2">
      <w:pPr>
        <w:jc w:val="both"/>
        <w:rPr>
          <w:rStyle w:val="10"/>
          <w:rFonts w:ascii="宋体" w:hAnsi="宋体" w:cs="宋体"/>
          <w:color w:val="333333"/>
          <w:sz w:val="28"/>
          <w:szCs w:val="28"/>
          <w:shd w:val="clear" w:color="auto" w:fill="FFFFFF"/>
        </w:rPr>
      </w:pPr>
    </w:p>
    <w:p w14:paraId="7920C10E">
      <w:pPr>
        <w:jc w:val="center"/>
        <w:rPr>
          <w:b/>
          <w:bCs/>
          <w:sz w:val="32"/>
          <w:szCs w:val="32"/>
        </w:rPr>
      </w:pPr>
      <w:r>
        <w:rPr>
          <w:rFonts w:hint="eastAsia"/>
          <w:b/>
          <w:bCs/>
          <w:sz w:val="32"/>
          <w:szCs w:val="32"/>
        </w:rPr>
        <w:t>广西艺术学院附属中等艺术学校2024年</w:t>
      </w:r>
      <w:r>
        <w:rPr>
          <w:rFonts w:hint="eastAsia" w:ascii="宋体" w:hAnsi="宋体" w:cs="宋体"/>
          <w:b/>
          <w:bCs/>
          <w:sz w:val="36"/>
          <w:szCs w:val="36"/>
          <w:shd w:val="clear" w:color="auto" w:fill="FFFFFF"/>
        </w:rPr>
        <w:t>无纸化办公系统及移动音响设备</w:t>
      </w:r>
      <w:r>
        <w:rPr>
          <w:rFonts w:hint="eastAsia"/>
          <w:b/>
          <w:bCs/>
          <w:sz w:val="32"/>
          <w:szCs w:val="32"/>
        </w:rPr>
        <w:t>采购需求表</w:t>
      </w:r>
    </w:p>
    <w:p w14:paraId="5D59C509">
      <w:pPr>
        <w:jc w:val="center"/>
        <w:rPr>
          <w:rStyle w:val="10"/>
          <w:rFonts w:ascii="宋体" w:hAnsi="宋体" w:cs="宋体"/>
          <w:color w:val="333333"/>
          <w:sz w:val="28"/>
          <w:szCs w:val="28"/>
          <w:shd w:val="clear" w:color="auto" w:fill="FFFFFF"/>
        </w:rPr>
      </w:pPr>
    </w:p>
    <w:p w14:paraId="6A7EA872">
      <w:pPr>
        <w:numPr>
          <w:ilvl w:val="0"/>
          <w:numId w:val="0"/>
        </w:numPr>
        <w:ind w:firstLine="422" w:firstLineChars="200"/>
        <w:rPr>
          <w:rStyle w:val="14"/>
          <w:color w:val="FF0000"/>
          <w:szCs w:val="21"/>
          <w:lang w:bidi="ar"/>
        </w:rPr>
      </w:pPr>
      <w:r>
        <w:rPr>
          <w:rStyle w:val="10"/>
          <w:rFonts w:hint="eastAsia" w:ascii="宋体" w:hAnsi="宋体" w:cs="宋体"/>
          <w:color w:val="333333"/>
          <w:szCs w:val="21"/>
          <w:shd w:val="clear" w:color="auto" w:fill="FFFFFF"/>
          <w:lang w:val="en-US" w:eastAsia="zh-CN"/>
        </w:rPr>
        <w:t>1、</w:t>
      </w:r>
      <w:r>
        <w:rPr>
          <w:rStyle w:val="10"/>
          <w:rFonts w:hint="eastAsia" w:ascii="宋体" w:hAnsi="宋体" w:cs="宋体"/>
          <w:color w:val="333333"/>
          <w:szCs w:val="21"/>
          <w:shd w:val="clear" w:color="auto" w:fill="FFFFFF"/>
        </w:rPr>
        <w:t>A分标（无纸化办公系统）</w:t>
      </w:r>
      <w:r>
        <w:rPr>
          <w:rFonts w:hint="eastAsia"/>
          <w:color w:val="FF0000"/>
          <w:szCs w:val="21"/>
        </w:rPr>
        <w:t>标</w:t>
      </w:r>
      <w:r>
        <w:rPr>
          <w:rStyle w:val="14"/>
          <w:color w:val="FF0000"/>
          <w:szCs w:val="21"/>
          <w:lang w:bidi="ar"/>
        </w:rPr>
        <w:t>▲</w:t>
      </w:r>
      <w:r>
        <w:rPr>
          <w:rStyle w:val="14"/>
          <w:rFonts w:hint="eastAsia"/>
          <w:color w:val="FF0000"/>
          <w:szCs w:val="21"/>
          <w:lang w:bidi="ar"/>
        </w:rPr>
        <w:t>为实质性响应参数，投标人须完全满足，否则视为无效投标。</w:t>
      </w:r>
    </w:p>
    <w:tbl>
      <w:tblPr>
        <w:tblStyle w:val="8"/>
        <w:tblW w:w="13288" w:type="dxa"/>
        <w:jc w:val="center"/>
        <w:tblLayout w:type="autofit"/>
        <w:tblCellMar>
          <w:top w:w="0" w:type="dxa"/>
          <w:left w:w="108" w:type="dxa"/>
          <w:bottom w:w="0" w:type="dxa"/>
          <w:right w:w="108" w:type="dxa"/>
        </w:tblCellMar>
      </w:tblPr>
      <w:tblGrid>
        <w:gridCol w:w="1007"/>
        <w:gridCol w:w="1417"/>
        <w:gridCol w:w="992"/>
        <w:gridCol w:w="1134"/>
        <w:gridCol w:w="8738"/>
      </w:tblGrid>
      <w:tr w14:paraId="4CC53F5C">
        <w:trPr>
          <w:trHeight w:val="255" w:hRule="atLeast"/>
          <w:jc w:val="center"/>
        </w:trPr>
        <w:tc>
          <w:tcPr>
            <w:tcW w:w="1007" w:type="dxa"/>
            <w:tcBorders>
              <w:top w:val="single" w:color="000000" w:sz="4" w:space="0"/>
              <w:left w:val="single" w:color="000000" w:sz="4" w:space="0"/>
              <w:bottom w:val="single" w:color="000000" w:sz="4" w:space="0"/>
              <w:right w:val="single" w:color="000000" w:sz="4" w:space="0"/>
            </w:tcBorders>
          </w:tcPr>
          <w:p w14:paraId="1E39AFCD">
            <w:pPr>
              <w:widowControl/>
              <w:jc w:val="center"/>
              <w:textAlignment w:val="center"/>
              <w:rPr>
                <w:rFonts w:ascii="Arial" w:hAnsi="Arial" w:cs="Arial"/>
                <w:b/>
                <w:bCs/>
                <w:color w:val="000000"/>
                <w:kern w:val="0"/>
                <w:sz w:val="20"/>
                <w:szCs w:val="20"/>
                <w:lang w:bidi="ar"/>
              </w:rPr>
            </w:pPr>
            <w:r>
              <w:rPr>
                <w:rFonts w:hint="eastAsia" w:ascii="Arial" w:hAnsi="Arial" w:cs="Arial"/>
                <w:b/>
                <w:bCs/>
                <w:color w:val="000000"/>
                <w:kern w:val="0"/>
                <w:sz w:val="20"/>
                <w:szCs w:val="20"/>
                <w:lang w:bidi="ar"/>
              </w:rPr>
              <w:t>序号</w:t>
            </w:r>
          </w:p>
        </w:tc>
        <w:tc>
          <w:tcPr>
            <w:tcW w:w="1417" w:type="dxa"/>
            <w:tcBorders>
              <w:top w:val="single" w:color="000000" w:sz="4" w:space="0"/>
              <w:left w:val="single" w:color="000000" w:sz="4" w:space="0"/>
              <w:bottom w:val="single" w:color="000000" w:sz="4" w:space="0"/>
              <w:right w:val="single" w:color="000000" w:sz="4" w:space="0"/>
            </w:tcBorders>
            <w:vAlign w:val="center"/>
          </w:tcPr>
          <w:p w14:paraId="06039046">
            <w:pPr>
              <w:widowControl/>
              <w:jc w:val="center"/>
              <w:textAlignment w:val="center"/>
              <w:rPr>
                <w:rFonts w:ascii="Arial" w:hAnsi="Arial" w:cs="Arial"/>
                <w:b/>
                <w:bCs/>
                <w:color w:val="000000"/>
                <w:sz w:val="20"/>
                <w:szCs w:val="20"/>
              </w:rPr>
            </w:pPr>
            <w:r>
              <w:rPr>
                <w:rFonts w:ascii="Arial" w:hAnsi="Arial" w:cs="Arial"/>
                <w:b/>
                <w:bCs/>
                <w:color w:val="000000"/>
                <w:kern w:val="0"/>
                <w:sz w:val="20"/>
                <w:szCs w:val="20"/>
                <w:lang w:bidi="ar"/>
              </w:rPr>
              <w:t>名称</w:t>
            </w:r>
          </w:p>
        </w:tc>
        <w:tc>
          <w:tcPr>
            <w:tcW w:w="992" w:type="dxa"/>
            <w:tcBorders>
              <w:top w:val="single" w:color="000000" w:sz="4" w:space="0"/>
              <w:left w:val="single" w:color="000000" w:sz="4" w:space="0"/>
              <w:bottom w:val="single" w:color="000000" w:sz="4" w:space="0"/>
              <w:right w:val="single" w:color="000000" w:sz="4" w:space="0"/>
            </w:tcBorders>
            <w:vAlign w:val="center"/>
          </w:tcPr>
          <w:p w14:paraId="670858AF">
            <w:pPr>
              <w:widowControl/>
              <w:jc w:val="center"/>
              <w:textAlignment w:val="center"/>
              <w:rPr>
                <w:rFonts w:ascii="Arial" w:hAnsi="Arial" w:cs="Arial"/>
                <w:b/>
                <w:bCs/>
                <w:color w:val="000000"/>
                <w:sz w:val="20"/>
                <w:szCs w:val="20"/>
              </w:rPr>
            </w:pPr>
            <w:r>
              <w:rPr>
                <w:rFonts w:ascii="Arial" w:hAnsi="Arial" w:cs="Arial"/>
                <w:b/>
                <w:bCs/>
                <w:color w:val="000000"/>
                <w:kern w:val="0"/>
                <w:sz w:val="20"/>
                <w:szCs w:val="20"/>
                <w:lang w:bidi="ar"/>
              </w:rPr>
              <w:t>计量单位</w:t>
            </w:r>
          </w:p>
        </w:tc>
        <w:tc>
          <w:tcPr>
            <w:tcW w:w="1134" w:type="dxa"/>
            <w:tcBorders>
              <w:top w:val="single" w:color="000000" w:sz="4" w:space="0"/>
              <w:left w:val="single" w:color="000000" w:sz="4" w:space="0"/>
              <w:bottom w:val="single" w:color="000000" w:sz="4" w:space="0"/>
              <w:right w:val="single" w:color="000000" w:sz="4" w:space="0"/>
            </w:tcBorders>
            <w:vAlign w:val="center"/>
          </w:tcPr>
          <w:p w14:paraId="368340A0">
            <w:pPr>
              <w:widowControl/>
              <w:jc w:val="center"/>
              <w:textAlignment w:val="center"/>
              <w:rPr>
                <w:rFonts w:ascii="Arial" w:hAnsi="Arial" w:cs="Arial"/>
                <w:b/>
                <w:bCs/>
                <w:color w:val="000000"/>
                <w:sz w:val="20"/>
                <w:szCs w:val="20"/>
              </w:rPr>
            </w:pPr>
            <w:r>
              <w:rPr>
                <w:rFonts w:ascii="Arial" w:hAnsi="Arial" w:cs="Arial"/>
                <w:b/>
                <w:bCs/>
                <w:color w:val="000000"/>
                <w:kern w:val="0"/>
                <w:sz w:val="20"/>
                <w:szCs w:val="20"/>
                <w:lang w:bidi="ar"/>
              </w:rPr>
              <w:t>数量</w:t>
            </w:r>
          </w:p>
        </w:tc>
        <w:tc>
          <w:tcPr>
            <w:tcW w:w="8738" w:type="dxa"/>
            <w:tcBorders>
              <w:top w:val="single" w:color="000000" w:sz="4" w:space="0"/>
              <w:left w:val="single" w:color="000000" w:sz="4" w:space="0"/>
              <w:bottom w:val="single" w:color="000000" w:sz="4" w:space="0"/>
              <w:right w:val="single" w:color="000000" w:sz="4" w:space="0"/>
            </w:tcBorders>
            <w:vAlign w:val="center"/>
          </w:tcPr>
          <w:p w14:paraId="4EA025E2">
            <w:pPr>
              <w:widowControl/>
              <w:jc w:val="center"/>
              <w:textAlignment w:val="center"/>
              <w:rPr>
                <w:rFonts w:ascii="Arial" w:hAnsi="Arial" w:cs="Arial"/>
                <w:b/>
                <w:bCs/>
                <w:color w:val="000000"/>
                <w:sz w:val="20"/>
                <w:szCs w:val="20"/>
              </w:rPr>
            </w:pPr>
            <w:r>
              <w:rPr>
                <w:rFonts w:hint="eastAsia" w:ascii="Arial" w:hAnsi="Arial" w:cs="Arial"/>
                <w:b/>
                <w:bCs/>
                <w:color w:val="000000"/>
                <w:sz w:val="20"/>
                <w:szCs w:val="20"/>
              </w:rPr>
              <w:t>技术参数要求</w:t>
            </w:r>
          </w:p>
        </w:tc>
      </w:tr>
      <w:tr w14:paraId="4F84B15B">
        <w:tblPrEx>
          <w:tblCellMar>
            <w:top w:w="0" w:type="dxa"/>
            <w:left w:w="108" w:type="dxa"/>
            <w:bottom w:w="0" w:type="dxa"/>
            <w:right w:w="108" w:type="dxa"/>
          </w:tblCellMar>
        </w:tblPrEx>
        <w:trPr>
          <w:trHeight w:val="2805" w:hRule="atLeast"/>
          <w:jc w:val="center"/>
        </w:trPr>
        <w:tc>
          <w:tcPr>
            <w:tcW w:w="1007" w:type="dxa"/>
            <w:tcBorders>
              <w:top w:val="single" w:color="000000" w:sz="4" w:space="0"/>
              <w:left w:val="single" w:color="000000" w:sz="4" w:space="0"/>
              <w:bottom w:val="single" w:color="000000" w:sz="4" w:space="0"/>
              <w:right w:val="single" w:color="000000" w:sz="4" w:space="0"/>
            </w:tcBorders>
            <w:vAlign w:val="center"/>
          </w:tcPr>
          <w:p w14:paraId="271D7978">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1417" w:type="dxa"/>
            <w:tcBorders>
              <w:top w:val="single" w:color="000000" w:sz="4" w:space="0"/>
              <w:left w:val="single" w:color="000000" w:sz="4" w:space="0"/>
              <w:bottom w:val="single" w:color="000000" w:sz="4" w:space="0"/>
              <w:right w:val="single" w:color="000000" w:sz="4" w:space="0"/>
            </w:tcBorders>
            <w:vAlign w:val="center"/>
          </w:tcPr>
          <w:p w14:paraId="4411EAD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无纸化主机</w:t>
            </w:r>
          </w:p>
        </w:tc>
        <w:tc>
          <w:tcPr>
            <w:tcW w:w="992" w:type="dxa"/>
            <w:tcBorders>
              <w:top w:val="single" w:color="000000" w:sz="4" w:space="0"/>
              <w:left w:val="single" w:color="000000" w:sz="4" w:space="0"/>
              <w:bottom w:val="single" w:color="000000" w:sz="4" w:space="0"/>
              <w:right w:val="single" w:color="000000" w:sz="4" w:space="0"/>
            </w:tcBorders>
            <w:vAlign w:val="center"/>
          </w:tcPr>
          <w:p w14:paraId="27DC953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1134" w:type="dxa"/>
            <w:tcBorders>
              <w:top w:val="single" w:color="000000" w:sz="4" w:space="0"/>
              <w:left w:val="single" w:color="000000" w:sz="4" w:space="0"/>
              <w:bottom w:val="single" w:color="000000" w:sz="4" w:space="0"/>
              <w:right w:val="single" w:color="000000" w:sz="4" w:space="0"/>
            </w:tcBorders>
            <w:vAlign w:val="center"/>
          </w:tcPr>
          <w:p w14:paraId="79FFB3F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8738" w:type="dxa"/>
            <w:tcBorders>
              <w:top w:val="single" w:color="000000" w:sz="4" w:space="0"/>
              <w:left w:val="single" w:color="000000" w:sz="4" w:space="0"/>
              <w:bottom w:val="single" w:color="000000" w:sz="4" w:space="0"/>
              <w:right w:val="single" w:color="000000" w:sz="4" w:space="0"/>
            </w:tcBorders>
            <w:vAlign w:val="center"/>
          </w:tcPr>
          <w:p w14:paraId="2D0C97AE">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1.无纸化服务主机搭配管理软件CH系列，负责处理会议功能模块、会议主题、参会人员信息、会议议题、投票内容等会前信息预设，具有会议各类文件资料的上传分发、人员的权限管理设置、会议信息的实时记录等应用功能。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2.采用CPU配置不低于四核（参考的配置不低于I7）。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3.采用内存配置不低于8G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4.采用硬盘容量不低于1TB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5.具有千兆网络接口≥2×LAN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▲6.具有视频输出接口：≥1×DVI,≥1× HDMI，≥1×VGA；具备音频接口：≥1×MIC in,≥1× Line out,≥1× Line in；具备其他接口：≥2×USB2.0,≥4×USB3.0 ，≥2×COM RS232，≥1×PS/2。（投标时提供接口图佐证，并加盖供应商公章）。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7.为确保数据安全，要求产品使用国家密码管理局制定的SM2、SM4国产加密算法，对数据文件进行加密处理，并在传输过程中保持加密状态。</w:t>
            </w:r>
          </w:p>
        </w:tc>
      </w:tr>
      <w:tr w14:paraId="13582AC6">
        <w:tblPrEx>
          <w:tblCellMar>
            <w:top w:w="0" w:type="dxa"/>
            <w:left w:w="108" w:type="dxa"/>
            <w:bottom w:w="0" w:type="dxa"/>
            <w:right w:w="108" w:type="dxa"/>
          </w:tblCellMar>
        </w:tblPrEx>
        <w:trPr>
          <w:trHeight w:val="5190" w:hRule="atLeast"/>
          <w:jc w:val="center"/>
        </w:trPr>
        <w:tc>
          <w:tcPr>
            <w:tcW w:w="1007" w:type="dxa"/>
            <w:tcBorders>
              <w:top w:val="single" w:color="000000" w:sz="4" w:space="0"/>
              <w:left w:val="single" w:color="000000" w:sz="4" w:space="0"/>
              <w:bottom w:val="single" w:color="000000" w:sz="4" w:space="0"/>
              <w:right w:val="single" w:color="000000" w:sz="4" w:space="0"/>
            </w:tcBorders>
            <w:vAlign w:val="center"/>
          </w:tcPr>
          <w:p w14:paraId="4E3F22E4">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1417" w:type="dxa"/>
            <w:tcBorders>
              <w:top w:val="single" w:color="000000" w:sz="4" w:space="0"/>
              <w:left w:val="single" w:color="000000" w:sz="4" w:space="0"/>
              <w:bottom w:val="single" w:color="000000" w:sz="4" w:space="0"/>
              <w:right w:val="single" w:color="000000" w:sz="4" w:space="0"/>
            </w:tcBorders>
            <w:vAlign w:val="center"/>
          </w:tcPr>
          <w:p w14:paraId="3111E20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智能无纸化会议管理服务器软件</w:t>
            </w:r>
          </w:p>
        </w:tc>
        <w:tc>
          <w:tcPr>
            <w:tcW w:w="992" w:type="dxa"/>
            <w:tcBorders>
              <w:top w:val="single" w:color="000000" w:sz="4" w:space="0"/>
              <w:left w:val="single" w:color="000000" w:sz="4" w:space="0"/>
              <w:bottom w:val="single" w:color="000000" w:sz="4" w:space="0"/>
              <w:right w:val="single" w:color="000000" w:sz="4" w:space="0"/>
            </w:tcBorders>
            <w:vAlign w:val="center"/>
          </w:tcPr>
          <w:p w14:paraId="39CC7C2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1134" w:type="dxa"/>
            <w:tcBorders>
              <w:top w:val="single" w:color="000000" w:sz="4" w:space="0"/>
              <w:left w:val="single" w:color="000000" w:sz="4" w:space="0"/>
              <w:bottom w:val="single" w:color="000000" w:sz="4" w:space="0"/>
              <w:right w:val="single" w:color="000000" w:sz="4" w:space="0"/>
            </w:tcBorders>
            <w:vAlign w:val="center"/>
          </w:tcPr>
          <w:p w14:paraId="1525C9F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8738" w:type="dxa"/>
            <w:tcBorders>
              <w:top w:val="single" w:color="000000" w:sz="4" w:space="0"/>
              <w:left w:val="single" w:color="000000" w:sz="4" w:space="0"/>
              <w:bottom w:val="single" w:color="000000" w:sz="4" w:space="0"/>
              <w:right w:val="single" w:color="000000" w:sz="4" w:space="0"/>
            </w:tcBorders>
            <w:vAlign w:val="center"/>
          </w:tcPr>
          <w:p w14:paraId="0D9130BB">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1.为确保数据安全，要求产品使用国家密码管理局制定的SM2、SM4国产加密算法，对数据文件进行加密处理，并在传输过程中保持加密状态。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2.具有自定义无纸化系统功能，包括控制客户端界面显示或隐藏当前时间、开启或关闭个人中心上传文件、会议自动结束、议题通知、三员管理；同时还具备选择广播/主讲模式，包括自由模式、申请模式、自主模式；自由模式下，用户发起屏幕广播/主讲时，无需其他操作，一键进入到屏幕广播/主讲功能；申请模式，用户发起屏幕广播/主讲时，需等待管理员管理配置确认后，进入到屏幕广播/主讲功能；自主模式，用户发起屏幕广播/主讲时，可选择可查看本次同屏广播的人员；支持广播计时功能，可切换无需计时模式、正计时模式、倒计时模式，倒计时可设置时间。（投标时提供功能界面截图佐证，并加盖供应商公章）。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▲3.具有切换客户端个性化主题功能，可切换≥四种会议主题风格，包括浅色风格、商务风格、政务风格、黑色风格，提供不同软件界面。（投标时提供功能界面截图佐证，并加盖供应商公章）。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4.具有自定义客户端界面模块功能，能够根据用户的个性化需求，设置欢迎界面、参会名单、查看批注、会议交流、会议笔记、网页浏览、读取U盘、电子白板、计数器、放大器、聚光灯、会议标语、集中控制、信号管理、屏幕广播、申请发言、手写批注、会议服务等功能模块显示与隐藏，实现界面布局的精准定制；用户可选择将功能模块直接展示于首页，以供即时便捷访问；对于暂时无需频繁使用的功能，则可将其置于收纳弹窗内，确保界面整洁。（投标时提供功能界面截图佐证，并加盖供应商公章）。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5.具备切换客户端会议模式功能，能够根据用户的需求切换≥4种不同布局方式，包括卡片模式、简介模式、导航模式、经典模式；卡片模式，将议题以卡片形式在首页呈现，通过横向滑动查看，在首页可以查看所有议题（包括议程）；简洁模式：将议程以节目表形式在首页进行呈现，纵向滑动查看；导航模式：首页界面具有导航目录，同时展示对应功能列表签到、投票、评分、纪要、视频内容；经典模式，点击对应的功能模块，层级式进入功能详情界面，展示对应功能相关查看和操作内容。（投标时提供功能界面截图佐证，并加盖供应商公章）。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6.具备创建会议功能，创建会议时可填写会议名称、会议时间、会议主持人及会议主要内容、绑定会议室，具备提前预设无纸化客户端界面不同会议模式，包括卡片模式、简介模式、导航模式、经典模式；可根据会议需求选择会议属性，包括普通会议、保密会议，保密会议具有防截屏、阅后即焚、文档水印等保密机制。（投标时提供功能界面截图佐证，并加盖供应商公章）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7.具有多种会议模式，包括普通模式和保密会议模式，保密会议模式启用后可以自定义防截屏（安卓无纸化）、参会人文件水印、文件阅后即焚保密机制，保障会议文件安全。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8.支持创建议题、签到、投票、评分、提前上传文件、对接外部视频流、新增外部信号功能，可设置议题、签到、投票、评分、上传文件内容、外部视频流查看权限，支持手动或者全选选择参会人员查看权限。（</w:t>
            </w:r>
            <w:r>
              <w:rPr>
                <w:rFonts w:hint="eastAsia" w:ascii="宋体" w:hAnsi="宋体" w:cs="宋体"/>
                <w:color w:val="2F5597" w:themeColor="accent1" w:themeShade="BF"/>
                <w:kern w:val="0"/>
                <w:szCs w:val="21"/>
                <w:lang w:bidi="ar"/>
              </w:rPr>
              <w:t>投标时提供功能界面截图佐证）。</w:t>
            </w:r>
            <w:r>
              <w:rPr>
                <w:rFonts w:hint="eastAsia" w:ascii="宋体" w:hAnsi="宋体" w:cs="宋体"/>
                <w:color w:val="000000"/>
                <w:kern w:val="0"/>
                <w:szCs w:val="21"/>
                <w:lang w:bidi="ar"/>
              </w:rPr>
              <w:t xml:space="preserve">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9.支持角色权限管理，包含系统超级管理员、系统普通管理员、审计员、会务人员、普通用户，不同部门会务人员创建的会议相互保密，同部门下会务人员创建的会议相互可见；系统超级管理员有管理所有会议的权限。（投标时提供功能界面截图佐证，并加盖供应商公章）。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10.支持三员管理功能。开启该功能后系统将分为系统管理员、安全管理员、安全审计员三种角色，不同角色功能不同；系统管理员负责系统管理，包含人员、服务器、会议室、升级、系统等模块管理；安全管理员负责会议管理，创建会议、编辑会议、删除会议；安全审计员负责日志审计查看、追溯无纸化管理系统的人员操作记录。（</w:t>
            </w:r>
            <w:r>
              <w:rPr>
                <w:rFonts w:hint="eastAsia" w:ascii="宋体" w:hAnsi="宋体" w:cs="宋体"/>
                <w:color w:val="2F5597" w:themeColor="accent1" w:themeShade="BF"/>
                <w:kern w:val="0"/>
                <w:szCs w:val="21"/>
                <w:lang w:bidi="ar"/>
              </w:rPr>
              <w:t xml:space="preserve">投标时提供功能界面截图佐证，并加盖供应商公章）。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11.支持会中暂停会议，管理员点击暂停会议，所有用户页面锁屏无法操作。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12.支持个人中心H5网页展示，可会前、会中上传资料，查看资料，支持会后下载参加过的会议的资料及批注文件，保密会议会前会后需申请权限才能查看会议资料。（投标时提供功能界面截图佐证，并加盖供应商公章）。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▲13.具有会议统计功能，可以按周、按月、按年统计会议次数、参会人次、会议时长、纸张节约数量。</w:t>
            </w:r>
            <w:r>
              <w:rPr>
                <w:rFonts w:hint="eastAsia" w:ascii="宋体" w:hAnsi="宋体" w:cs="宋体"/>
                <w:color w:val="2F5597" w:themeColor="accent1" w:themeShade="BF"/>
                <w:kern w:val="0"/>
                <w:szCs w:val="21"/>
                <w:lang w:bidi="ar"/>
              </w:rPr>
              <w:t xml:space="preserve">（投标时提供功能界面截图佐证，并加盖供应商公章）。 </w:t>
            </w:r>
            <w:r>
              <w:rPr>
                <w:rFonts w:hint="eastAsia" w:ascii="宋体" w:hAnsi="宋体" w:cs="宋体"/>
                <w:color w:val="2F5597" w:themeColor="accent1" w:themeShade="BF"/>
                <w:kern w:val="0"/>
                <w:szCs w:val="21"/>
                <w:lang w:bidi="ar"/>
              </w:rPr>
              <w:br w:type="textWrapping"/>
            </w:r>
            <w:r>
              <w:rPr>
                <w:rFonts w:hint="eastAsia" w:ascii="宋体" w:hAnsi="宋体" w:cs="宋体"/>
                <w:color w:val="000000"/>
                <w:kern w:val="0"/>
                <w:szCs w:val="21"/>
                <w:lang w:bidi="ar"/>
              </w:rPr>
              <w:t xml:space="preserve">14.支持服务器监控，可查看服务器cpu使用率、内存使用率、磁盘空间、网络传输速率，可设置阈值警告。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15.具备服务器列表显示功能，支持显示所有服务器ID、服务器名称、服务器类型、服务器在线/离线状态、服务器版本信息；具备服务器管理功能，无需搭配中控系统可通过后台软件对服务器进行管理，包括启用、停用、重启、升级、导出操作日志功能。</w:t>
            </w:r>
          </w:p>
        </w:tc>
      </w:tr>
      <w:tr w14:paraId="1CE308FC">
        <w:tblPrEx>
          <w:tblCellMar>
            <w:top w:w="0" w:type="dxa"/>
            <w:left w:w="108" w:type="dxa"/>
            <w:bottom w:w="0" w:type="dxa"/>
            <w:right w:w="108" w:type="dxa"/>
          </w:tblCellMar>
        </w:tblPrEx>
        <w:trPr>
          <w:trHeight w:val="678" w:hRule="atLeast"/>
          <w:jc w:val="center"/>
        </w:trPr>
        <w:tc>
          <w:tcPr>
            <w:tcW w:w="1007" w:type="dxa"/>
            <w:tcBorders>
              <w:top w:val="single" w:color="000000" w:sz="4" w:space="0"/>
              <w:left w:val="single" w:color="000000" w:sz="4" w:space="0"/>
              <w:bottom w:val="single" w:color="000000" w:sz="4" w:space="0"/>
              <w:right w:val="single" w:color="000000" w:sz="4" w:space="0"/>
            </w:tcBorders>
            <w:vAlign w:val="center"/>
          </w:tcPr>
          <w:p w14:paraId="66E78F85">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w:t>
            </w:r>
          </w:p>
        </w:tc>
        <w:tc>
          <w:tcPr>
            <w:tcW w:w="1417" w:type="dxa"/>
            <w:tcBorders>
              <w:top w:val="single" w:color="000000" w:sz="4" w:space="0"/>
              <w:left w:val="single" w:color="000000" w:sz="4" w:space="0"/>
              <w:bottom w:val="single" w:color="000000" w:sz="4" w:space="0"/>
              <w:right w:val="single" w:color="000000" w:sz="4" w:space="0"/>
            </w:tcBorders>
            <w:vAlign w:val="center"/>
          </w:tcPr>
          <w:p w14:paraId="7BEB485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无纸化流媒体主机</w:t>
            </w:r>
          </w:p>
        </w:tc>
        <w:tc>
          <w:tcPr>
            <w:tcW w:w="992" w:type="dxa"/>
            <w:tcBorders>
              <w:top w:val="single" w:color="000000" w:sz="4" w:space="0"/>
              <w:left w:val="single" w:color="000000" w:sz="4" w:space="0"/>
              <w:bottom w:val="single" w:color="000000" w:sz="4" w:space="0"/>
              <w:right w:val="single" w:color="000000" w:sz="4" w:space="0"/>
            </w:tcBorders>
            <w:vAlign w:val="center"/>
          </w:tcPr>
          <w:p w14:paraId="353448D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1134" w:type="dxa"/>
            <w:tcBorders>
              <w:top w:val="single" w:color="000000" w:sz="4" w:space="0"/>
              <w:left w:val="single" w:color="000000" w:sz="4" w:space="0"/>
              <w:bottom w:val="single" w:color="000000" w:sz="4" w:space="0"/>
              <w:right w:val="single" w:color="000000" w:sz="4" w:space="0"/>
            </w:tcBorders>
            <w:vAlign w:val="center"/>
          </w:tcPr>
          <w:p w14:paraId="3B17588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8738" w:type="dxa"/>
            <w:tcBorders>
              <w:top w:val="single" w:color="000000" w:sz="4" w:space="0"/>
              <w:left w:val="single" w:color="000000" w:sz="4" w:space="0"/>
              <w:bottom w:val="single" w:color="000000" w:sz="4" w:space="0"/>
              <w:right w:val="single" w:color="000000" w:sz="4" w:space="0"/>
            </w:tcBorders>
            <w:vAlign w:val="center"/>
          </w:tcPr>
          <w:p w14:paraId="1F55B8DF">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1.无纸化智能流媒体服务器用于无纸化会议系统外部高清视频信号采集与编码，以及音视频信号输出。可以为无纸化会议系统提供外部音视频信号和内部音视频信号互联互通，同时支持无纸化会议签到、投票、同屏等会议信息的展示功能。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2..要求服务器的CPU配置不低于四核（参考配置不低于I5），内存配置不低于8G，硬盘为固态硬盘且容量至少128GB。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3.具有千兆网络接口≥2×LAN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▲4.具备视频接口：≥1×DVI,≥1× HDMI，≥1×VGA；具备音频接口：≥1×MIC in,≥1× Line out,≥1× Line in；具备其他接口≥2×USB2.0,≥4×USB3.0 ，≥2×COM RS232，≥1×PS/2。</w:t>
            </w:r>
            <w:r>
              <w:rPr>
                <w:rFonts w:hint="eastAsia" w:ascii="宋体" w:hAnsi="宋体" w:cs="宋体"/>
                <w:color w:val="2F5597" w:themeColor="accent1" w:themeShade="BF"/>
                <w:kern w:val="0"/>
                <w:szCs w:val="21"/>
                <w:lang w:bidi="ar"/>
              </w:rPr>
              <w:t xml:space="preserve">（投标时提供接口图佐证，并加盖供应商公章）。 </w:t>
            </w:r>
          </w:p>
        </w:tc>
      </w:tr>
      <w:tr w14:paraId="226A2681">
        <w:tblPrEx>
          <w:tblCellMar>
            <w:top w:w="0" w:type="dxa"/>
            <w:left w:w="108" w:type="dxa"/>
            <w:bottom w:w="0" w:type="dxa"/>
            <w:right w:w="108" w:type="dxa"/>
          </w:tblCellMar>
        </w:tblPrEx>
        <w:trPr>
          <w:trHeight w:val="1490" w:hRule="atLeast"/>
          <w:jc w:val="center"/>
        </w:trPr>
        <w:tc>
          <w:tcPr>
            <w:tcW w:w="1007" w:type="dxa"/>
            <w:tcBorders>
              <w:top w:val="single" w:color="000000" w:sz="4" w:space="0"/>
              <w:left w:val="single" w:color="000000" w:sz="4" w:space="0"/>
              <w:bottom w:val="single" w:color="000000" w:sz="4" w:space="0"/>
              <w:right w:val="single" w:color="000000" w:sz="4" w:space="0"/>
            </w:tcBorders>
            <w:vAlign w:val="center"/>
          </w:tcPr>
          <w:p w14:paraId="12FCAF7E">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w:t>
            </w:r>
          </w:p>
        </w:tc>
        <w:tc>
          <w:tcPr>
            <w:tcW w:w="1417" w:type="dxa"/>
            <w:tcBorders>
              <w:top w:val="single" w:color="000000" w:sz="4" w:space="0"/>
              <w:left w:val="single" w:color="000000" w:sz="4" w:space="0"/>
              <w:bottom w:val="single" w:color="000000" w:sz="4" w:space="0"/>
              <w:right w:val="single" w:color="000000" w:sz="4" w:space="0"/>
            </w:tcBorders>
            <w:vAlign w:val="center"/>
          </w:tcPr>
          <w:p w14:paraId="6499CA6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无纸化流媒体服务器嵌入软件</w:t>
            </w:r>
          </w:p>
        </w:tc>
        <w:tc>
          <w:tcPr>
            <w:tcW w:w="992" w:type="dxa"/>
            <w:tcBorders>
              <w:top w:val="single" w:color="000000" w:sz="4" w:space="0"/>
              <w:left w:val="single" w:color="000000" w:sz="4" w:space="0"/>
              <w:bottom w:val="single" w:color="000000" w:sz="4" w:space="0"/>
              <w:right w:val="single" w:color="000000" w:sz="4" w:space="0"/>
            </w:tcBorders>
            <w:vAlign w:val="center"/>
          </w:tcPr>
          <w:p w14:paraId="1562011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1134" w:type="dxa"/>
            <w:tcBorders>
              <w:top w:val="single" w:color="000000" w:sz="4" w:space="0"/>
              <w:left w:val="single" w:color="000000" w:sz="4" w:space="0"/>
              <w:bottom w:val="single" w:color="000000" w:sz="4" w:space="0"/>
              <w:right w:val="single" w:color="000000" w:sz="4" w:space="0"/>
            </w:tcBorders>
            <w:vAlign w:val="center"/>
          </w:tcPr>
          <w:p w14:paraId="23EA46F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8738" w:type="dxa"/>
            <w:tcBorders>
              <w:top w:val="single" w:color="000000" w:sz="4" w:space="0"/>
              <w:left w:val="single" w:color="000000" w:sz="4" w:space="0"/>
              <w:bottom w:val="single" w:color="000000" w:sz="4" w:space="0"/>
              <w:right w:val="single" w:color="000000" w:sz="4" w:space="0"/>
            </w:tcBorders>
            <w:vAlign w:val="center"/>
          </w:tcPr>
          <w:p w14:paraId="4AE8B6A8">
            <w:pPr>
              <w:widowControl/>
              <w:numPr>
                <w:ilvl w:val="0"/>
                <w:numId w:val="2"/>
              </w:numPr>
              <w:jc w:val="left"/>
              <w:textAlignment w:val="center"/>
              <w:rPr>
                <w:rFonts w:ascii="宋体" w:hAnsi="宋体" w:cs="宋体"/>
                <w:color w:val="2F5597" w:themeColor="accent1" w:themeShade="BF"/>
                <w:kern w:val="0"/>
                <w:szCs w:val="21"/>
                <w:lang w:bidi="ar"/>
              </w:rPr>
            </w:pPr>
            <w:r>
              <w:rPr>
                <w:rFonts w:hint="eastAsia" w:ascii="宋体" w:hAnsi="宋体" w:cs="宋体"/>
                <w:color w:val="000000"/>
                <w:kern w:val="0"/>
                <w:szCs w:val="21"/>
                <w:lang w:bidi="ar"/>
              </w:rPr>
              <w:t xml:space="preserve">支持签到投屏功能，将签到过程、签到结果展示在大屏上。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2.支持将电子白板、会议标语、文档主讲、外部信号等信息广播到大屏展示。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3.支持多媒体(桌面同屏、电子白板、文档资料等)分组投屏功能， 可支持≥4分屏画面同时投屏输出显示。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▲4.支持大屏点播功能，直接播放服务器原生视频文件；支持大屏广播功能，将大屏的画面广播同步到各个终端并显示。（投标时提供功能界面截图，并加盖供应商公章）。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▲5.支持大屏视频矩阵功能，同时支持多路多媒体源进行播放功能。</w:t>
            </w:r>
            <w:r>
              <w:rPr>
                <w:rFonts w:hint="eastAsia" w:ascii="宋体" w:hAnsi="宋体" w:cs="宋体"/>
                <w:color w:val="2F5597" w:themeColor="accent1" w:themeShade="BF"/>
                <w:kern w:val="0"/>
                <w:szCs w:val="21"/>
                <w:lang w:bidi="ar"/>
              </w:rPr>
              <w:t>（投标时提供功能界面截图，并加盖供应商公章）。</w:t>
            </w:r>
          </w:p>
          <w:p w14:paraId="0C8981BD">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6.支持投票投屏功能，将投票过程、投票结果以文字、柱状图、饼状图方式展示在大屏上。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▲7.支持评分投屏功能，评分过程中查看评分人数、未提交人数。支持评分结束后以柱状图（≥10项）或表格（≥10项）的形式投屏显示评分结果。</w:t>
            </w:r>
            <w:r>
              <w:rPr>
                <w:rFonts w:hint="eastAsia" w:ascii="宋体" w:hAnsi="宋体" w:cs="宋体"/>
                <w:color w:val="2F5597" w:themeColor="accent1" w:themeShade="BF"/>
                <w:kern w:val="0"/>
                <w:szCs w:val="21"/>
                <w:lang w:bidi="ar"/>
              </w:rPr>
              <w:t>（投标时提供功能界面截图，并加盖供应商公章）。</w:t>
            </w:r>
          </w:p>
          <w:p w14:paraId="381175FF">
            <w:pPr>
              <w:widowControl/>
              <w:jc w:val="left"/>
              <w:textAlignment w:val="center"/>
              <w:rPr>
                <w:rFonts w:ascii="宋体" w:hAnsi="宋体" w:cs="宋体"/>
                <w:color w:val="0000FF"/>
                <w:kern w:val="0"/>
                <w:szCs w:val="21"/>
                <w:lang w:bidi="ar"/>
              </w:rPr>
            </w:pPr>
            <w:r>
              <w:rPr>
                <w:rFonts w:hint="eastAsia" w:ascii="宋体" w:hAnsi="宋体" w:cs="宋体"/>
                <w:color w:val="0000FF"/>
                <w:kern w:val="0"/>
                <w:szCs w:val="21"/>
                <w:lang w:bidi="ar"/>
              </w:rPr>
              <w:t>▲8.提供在线服务小程序，可通过微信小程序提交售前、售中或售后问题，厂家客服人员在线或回电及时解答。（投标时提供功能界面截图佐证，并加盖供应商公章）。</w:t>
            </w:r>
          </w:p>
          <w:p w14:paraId="231EF18D">
            <w:pPr>
              <w:widowControl/>
              <w:jc w:val="left"/>
              <w:textAlignment w:val="center"/>
              <w:rPr>
                <w:rFonts w:ascii="宋体" w:hAnsi="宋体" w:cs="宋体"/>
                <w:color w:val="0000FF"/>
                <w:kern w:val="0"/>
                <w:szCs w:val="21"/>
                <w:lang w:bidi="ar"/>
              </w:rPr>
            </w:pPr>
            <w:r>
              <w:rPr>
                <w:rFonts w:hint="eastAsia" w:ascii="宋体" w:hAnsi="宋体" w:cs="宋体"/>
                <w:color w:val="0000FF"/>
                <w:kern w:val="0"/>
                <w:szCs w:val="21"/>
                <w:lang w:bidi="ar"/>
              </w:rPr>
              <w:t>▲9.可提交的服务类型包括“维护”、“指导调试”、“指导安装”、“指导布线”、“远程调试”、“400电话”等类别可选。（投标时提供功能界面截图佐证，并加盖供应商公章）。</w:t>
            </w:r>
          </w:p>
          <w:p w14:paraId="23238CAC">
            <w:pPr>
              <w:widowControl/>
              <w:jc w:val="left"/>
              <w:textAlignment w:val="center"/>
              <w:rPr>
                <w:rFonts w:ascii="宋体" w:hAnsi="宋体" w:cs="宋体"/>
                <w:color w:val="0000FF"/>
                <w:kern w:val="0"/>
                <w:szCs w:val="21"/>
                <w:lang w:bidi="ar"/>
              </w:rPr>
            </w:pPr>
            <w:r>
              <w:rPr>
                <w:rFonts w:hint="eastAsia" w:ascii="宋体" w:hAnsi="宋体" w:cs="宋体"/>
                <w:color w:val="0000FF"/>
                <w:kern w:val="0"/>
                <w:szCs w:val="21"/>
                <w:lang w:bidi="ar"/>
              </w:rPr>
              <w:t>▲10.在线服务可以实时查询处理进度，具有“待处理”、“处理中”及“已处理”等版块。（投标时提供功能界面截图佐证，并加盖供应商公章）。</w:t>
            </w:r>
          </w:p>
          <w:p w14:paraId="209D590B">
            <w:pPr>
              <w:widowControl/>
              <w:jc w:val="left"/>
              <w:textAlignment w:val="center"/>
              <w:rPr>
                <w:rFonts w:ascii="宋体" w:hAnsi="宋体" w:cs="宋体"/>
                <w:color w:val="000000"/>
                <w:kern w:val="0"/>
                <w:szCs w:val="21"/>
                <w:lang w:bidi="ar"/>
              </w:rPr>
            </w:pPr>
            <w:r>
              <w:rPr>
                <w:rFonts w:hint="eastAsia" w:ascii="宋体" w:hAnsi="宋体" w:cs="宋体"/>
                <w:color w:val="0000FF"/>
                <w:kern w:val="0"/>
                <w:szCs w:val="21"/>
                <w:lang w:bidi="ar"/>
              </w:rPr>
              <w:t>▲11.“已处理”版块具有历史记录功能，可通过联系电话搜索历史条目，条目信息记录申请人姓名、联系电话、申请时间、问题描述、处理状态、处理人、处理用时和处理后信息反馈。并且具有“再次申请”功能。（投标时提供功能界面截图佐证，并加盖供应商公章）。</w:t>
            </w:r>
          </w:p>
        </w:tc>
      </w:tr>
      <w:tr w14:paraId="255860C3">
        <w:tblPrEx>
          <w:tblCellMar>
            <w:top w:w="0" w:type="dxa"/>
            <w:left w:w="108" w:type="dxa"/>
            <w:bottom w:w="0" w:type="dxa"/>
            <w:right w:w="108" w:type="dxa"/>
          </w:tblCellMar>
        </w:tblPrEx>
        <w:trPr>
          <w:trHeight w:val="1530" w:hRule="atLeast"/>
          <w:jc w:val="center"/>
        </w:trPr>
        <w:tc>
          <w:tcPr>
            <w:tcW w:w="1007" w:type="dxa"/>
            <w:tcBorders>
              <w:top w:val="single" w:color="000000" w:sz="4" w:space="0"/>
              <w:left w:val="single" w:color="000000" w:sz="4" w:space="0"/>
              <w:bottom w:val="single" w:color="000000" w:sz="4" w:space="0"/>
              <w:right w:val="single" w:color="000000" w:sz="4" w:space="0"/>
            </w:tcBorders>
            <w:vAlign w:val="center"/>
          </w:tcPr>
          <w:p w14:paraId="4832EC85">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w:t>
            </w:r>
          </w:p>
        </w:tc>
        <w:tc>
          <w:tcPr>
            <w:tcW w:w="1417" w:type="dxa"/>
            <w:tcBorders>
              <w:top w:val="single" w:color="000000" w:sz="4" w:space="0"/>
              <w:left w:val="single" w:color="000000" w:sz="4" w:space="0"/>
              <w:bottom w:val="single" w:color="000000" w:sz="4" w:space="0"/>
              <w:right w:val="single" w:color="000000" w:sz="4" w:space="0"/>
            </w:tcBorders>
            <w:vAlign w:val="center"/>
          </w:tcPr>
          <w:p w14:paraId="52C05D3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平板电脑</w:t>
            </w:r>
          </w:p>
        </w:tc>
        <w:tc>
          <w:tcPr>
            <w:tcW w:w="992" w:type="dxa"/>
            <w:tcBorders>
              <w:top w:val="single" w:color="000000" w:sz="4" w:space="0"/>
              <w:left w:val="single" w:color="000000" w:sz="4" w:space="0"/>
              <w:bottom w:val="single" w:color="000000" w:sz="4" w:space="0"/>
              <w:right w:val="single" w:color="000000" w:sz="4" w:space="0"/>
            </w:tcBorders>
            <w:vAlign w:val="center"/>
          </w:tcPr>
          <w:p w14:paraId="2970410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1134" w:type="dxa"/>
            <w:tcBorders>
              <w:top w:val="single" w:color="000000" w:sz="4" w:space="0"/>
              <w:left w:val="single" w:color="000000" w:sz="4" w:space="0"/>
              <w:bottom w:val="single" w:color="000000" w:sz="4" w:space="0"/>
              <w:right w:val="single" w:color="000000" w:sz="4" w:space="0"/>
            </w:tcBorders>
            <w:vAlign w:val="center"/>
          </w:tcPr>
          <w:p w14:paraId="723C86F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21</w:t>
            </w:r>
          </w:p>
        </w:tc>
        <w:tc>
          <w:tcPr>
            <w:tcW w:w="8738" w:type="dxa"/>
            <w:tcBorders>
              <w:top w:val="single" w:color="000000" w:sz="4" w:space="0"/>
              <w:left w:val="single" w:color="000000" w:sz="4" w:space="0"/>
              <w:bottom w:val="single" w:color="000000" w:sz="4" w:space="0"/>
              <w:right w:val="single" w:color="000000" w:sz="4" w:space="0"/>
            </w:tcBorders>
            <w:vAlign w:val="center"/>
          </w:tcPr>
          <w:p w14:paraId="16B5DE6F">
            <w:pPr>
              <w:widowControl/>
              <w:jc w:val="left"/>
              <w:textAlignment w:val="center"/>
              <w:rPr>
                <w:rFonts w:ascii="宋体" w:hAnsi="宋体" w:cs="宋体"/>
                <w:color w:val="0070C0"/>
                <w:szCs w:val="21"/>
              </w:rPr>
            </w:pPr>
            <w:r>
              <w:rPr>
                <w:rFonts w:hint="eastAsia" w:ascii="宋体" w:hAnsi="宋体" w:cs="宋体"/>
                <w:color w:val="0070C0"/>
                <w:szCs w:val="21"/>
              </w:rPr>
              <w:t>▲1.运行内存：12G 。</w:t>
            </w:r>
          </w:p>
          <w:p w14:paraId="3C5F2BE4">
            <w:pPr>
              <w:widowControl/>
              <w:jc w:val="left"/>
              <w:textAlignment w:val="center"/>
              <w:rPr>
                <w:rFonts w:ascii="宋体" w:hAnsi="宋体" w:cs="宋体"/>
                <w:color w:val="0070C0"/>
                <w:szCs w:val="21"/>
              </w:rPr>
            </w:pPr>
            <w:r>
              <w:rPr>
                <w:rFonts w:hint="eastAsia" w:ascii="宋体" w:hAnsi="宋体" w:cs="宋体"/>
                <w:color w:val="0070C0"/>
                <w:szCs w:val="21"/>
              </w:rPr>
              <w:t>▲2.硬盘存储：256G 。</w:t>
            </w:r>
          </w:p>
          <w:p w14:paraId="58C9944A">
            <w:pPr>
              <w:widowControl/>
              <w:jc w:val="left"/>
              <w:textAlignment w:val="center"/>
              <w:rPr>
                <w:rFonts w:ascii="宋体" w:hAnsi="宋体" w:cs="宋体"/>
                <w:color w:val="0070C0"/>
                <w:szCs w:val="21"/>
              </w:rPr>
            </w:pPr>
            <w:r>
              <w:rPr>
                <w:rFonts w:hint="eastAsia" w:ascii="宋体" w:hAnsi="宋体" w:cs="宋体"/>
                <w:color w:val="0070C0"/>
                <w:szCs w:val="21"/>
              </w:rPr>
              <w:t xml:space="preserve">3.屏幕尺寸：13.2英寸 。 </w:t>
            </w:r>
          </w:p>
          <w:p w14:paraId="26C86656">
            <w:pPr>
              <w:widowControl/>
              <w:jc w:val="left"/>
              <w:textAlignment w:val="center"/>
              <w:rPr>
                <w:rFonts w:ascii="宋体" w:hAnsi="宋体" w:cs="宋体"/>
                <w:color w:val="0070C0"/>
                <w:szCs w:val="21"/>
              </w:rPr>
            </w:pPr>
            <w:r>
              <w:rPr>
                <w:rFonts w:hint="eastAsia" w:ascii="宋体" w:hAnsi="宋体" w:cs="宋体"/>
                <w:color w:val="0070C0"/>
                <w:szCs w:val="21"/>
              </w:rPr>
              <w:t>4.分辨率：2880*1920。</w:t>
            </w:r>
          </w:p>
          <w:p w14:paraId="2C5DEE50">
            <w:pPr>
              <w:widowControl/>
              <w:jc w:val="left"/>
              <w:textAlignment w:val="center"/>
              <w:rPr>
                <w:rFonts w:ascii="宋体" w:hAnsi="宋体" w:cs="宋体"/>
                <w:color w:val="0070C0"/>
                <w:szCs w:val="21"/>
              </w:rPr>
            </w:pPr>
            <w:r>
              <w:rPr>
                <w:rFonts w:hint="eastAsia" w:ascii="宋体" w:hAnsi="宋体" w:cs="宋体"/>
                <w:color w:val="0070C0"/>
                <w:szCs w:val="21"/>
              </w:rPr>
              <w:t>5、网络类型：WIFI版。</w:t>
            </w:r>
          </w:p>
          <w:p w14:paraId="2D68301C">
            <w:pPr>
              <w:widowControl/>
              <w:jc w:val="left"/>
              <w:textAlignment w:val="center"/>
              <w:rPr>
                <w:rFonts w:ascii="宋体" w:hAnsi="宋体" w:cs="宋体"/>
                <w:color w:val="0070C0"/>
                <w:szCs w:val="21"/>
              </w:rPr>
            </w:pPr>
            <w:r>
              <w:rPr>
                <w:rFonts w:hint="eastAsia" w:ascii="宋体" w:hAnsi="宋体" w:cs="宋体"/>
                <w:color w:val="0070C0"/>
                <w:szCs w:val="21"/>
              </w:rPr>
              <w:t>6、屏幕特性：OLED。</w:t>
            </w:r>
          </w:p>
          <w:p w14:paraId="631EE411">
            <w:pPr>
              <w:widowControl/>
              <w:jc w:val="left"/>
              <w:textAlignment w:val="center"/>
              <w:rPr>
                <w:rFonts w:ascii="宋体" w:hAnsi="宋体" w:cs="宋体"/>
                <w:color w:val="0070C0"/>
                <w:szCs w:val="21"/>
              </w:rPr>
            </w:pPr>
            <w:r>
              <w:rPr>
                <w:rFonts w:hint="eastAsia" w:ascii="宋体" w:hAnsi="宋体" w:cs="宋体"/>
                <w:color w:val="0070C0"/>
                <w:szCs w:val="21"/>
              </w:rPr>
              <w:t>7、摄像头：</w:t>
            </w:r>
            <w:r>
              <w:rPr>
                <w:rFonts w:hint="eastAsia" w:ascii="宋体" w:hAnsi="宋体" w:cs="宋体"/>
                <w:color w:val="000000"/>
                <w:kern w:val="0"/>
                <w:szCs w:val="21"/>
                <w:lang w:bidi="ar"/>
              </w:rPr>
              <w:t>≥</w:t>
            </w:r>
            <w:r>
              <w:rPr>
                <w:rFonts w:hint="eastAsia" w:ascii="宋体" w:hAnsi="宋体" w:cs="宋体"/>
                <w:color w:val="0070C0"/>
                <w:szCs w:val="21"/>
              </w:rPr>
              <w:t>1600万前置摄像头，</w:t>
            </w:r>
            <w:r>
              <w:rPr>
                <w:rFonts w:hint="eastAsia" w:ascii="宋体" w:hAnsi="宋体" w:cs="宋体"/>
                <w:color w:val="000000"/>
                <w:kern w:val="0"/>
                <w:szCs w:val="21"/>
                <w:lang w:bidi="ar"/>
              </w:rPr>
              <w:t>≥</w:t>
            </w:r>
            <w:r>
              <w:rPr>
                <w:rFonts w:hint="eastAsia" w:ascii="宋体" w:hAnsi="宋体" w:cs="宋体"/>
                <w:color w:val="0070C0"/>
                <w:szCs w:val="21"/>
              </w:rPr>
              <w:t>1300W后置摄像头像素。</w:t>
            </w:r>
          </w:p>
          <w:p w14:paraId="2687D5FA">
            <w:pPr>
              <w:widowControl/>
              <w:jc w:val="left"/>
              <w:textAlignment w:val="center"/>
              <w:rPr>
                <w:rFonts w:ascii="宋体" w:hAnsi="宋体" w:cs="宋体"/>
                <w:color w:val="0070C0"/>
                <w:szCs w:val="21"/>
              </w:rPr>
            </w:pPr>
            <w:r>
              <w:rPr>
                <w:rFonts w:hint="eastAsia" w:ascii="宋体" w:hAnsi="宋体" w:cs="宋体"/>
                <w:color w:val="0070C0"/>
                <w:szCs w:val="21"/>
              </w:rPr>
              <w:t>8、功能：多点触控、指南针、AI语音，分屏功能。</w:t>
            </w:r>
          </w:p>
          <w:p w14:paraId="04736219">
            <w:pPr>
              <w:widowControl/>
              <w:jc w:val="left"/>
              <w:textAlignment w:val="center"/>
              <w:rPr>
                <w:rFonts w:ascii="宋体" w:hAnsi="宋体" w:cs="宋体"/>
                <w:color w:val="000000"/>
                <w:szCs w:val="21"/>
              </w:rPr>
            </w:pPr>
            <w:r>
              <w:rPr>
                <w:rFonts w:hint="eastAsia" w:ascii="宋体" w:hAnsi="宋体" w:cs="宋体"/>
                <w:color w:val="0070C0"/>
                <w:szCs w:val="21"/>
              </w:rPr>
              <w:t>9、开机画面定制（如：广西艺术学院）。</w:t>
            </w:r>
          </w:p>
        </w:tc>
      </w:tr>
      <w:tr w14:paraId="160B8E31">
        <w:tblPrEx>
          <w:tblCellMar>
            <w:top w:w="0" w:type="dxa"/>
            <w:left w:w="108" w:type="dxa"/>
            <w:bottom w:w="0" w:type="dxa"/>
            <w:right w:w="108" w:type="dxa"/>
          </w:tblCellMar>
        </w:tblPrEx>
        <w:trPr>
          <w:trHeight w:val="1625" w:hRule="atLeast"/>
          <w:jc w:val="center"/>
        </w:trPr>
        <w:tc>
          <w:tcPr>
            <w:tcW w:w="1007" w:type="dxa"/>
            <w:tcBorders>
              <w:top w:val="single" w:color="000000" w:sz="4" w:space="0"/>
              <w:left w:val="single" w:color="000000" w:sz="4" w:space="0"/>
              <w:bottom w:val="single" w:color="000000" w:sz="4" w:space="0"/>
              <w:right w:val="single" w:color="000000" w:sz="4" w:space="0"/>
            </w:tcBorders>
            <w:vAlign w:val="center"/>
          </w:tcPr>
          <w:p w14:paraId="0FBDA8C3">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w:t>
            </w:r>
          </w:p>
        </w:tc>
        <w:tc>
          <w:tcPr>
            <w:tcW w:w="1417" w:type="dxa"/>
            <w:tcBorders>
              <w:top w:val="single" w:color="000000" w:sz="4" w:space="0"/>
              <w:left w:val="single" w:color="000000" w:sz="4" w:space="0"/>
              <w:bottom w:val="single" w:color="000000" w:sz="4" w:space="0"/>
              <w:right w:val="single" w:color="000000" w:sz="4" w:space="0"/>
            </w:tcBorders>
            <w:vAlign w:val="center"/>
          </w:tcPr>
          <w:p w14:paraId="14F9410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平板电脑</w:t>
            </w:r>
          </w:p>
        </w:tc>
        <w:tc>
          <w:tcPr>
            <w:tcW w:w="992" w:type="dxa"/>
            <w:tcBorders>
              <w:top w:val="single" w:color="000000" w:sz="4" w:space="0"/>
              <w:left w:val="single" w:color="000000" w:sz="4" w:space="0"/>
              <w:bottom w:val="single" w:color="000000" w:sz="4" w:space="0"/>
              <w:right w:val="single" w:color="000000" w:sz="4" w:space="0"/>
            </w:tcBorders>
            <w:vAlign w:val="center"/>
          </w:tcPr>
          <w:p w14:paraId="5084AE6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1134" w:type="dxa"/>
            <w:tcBorders>
              <w:top w:val="single" w:color="000000" w:sz="4" w:space="0"/>
              <w:left w:val="single" w:color="000000" w:sz="4" w:space="0"/>
              <w:bottom w:val="single" w:color="000000" w:sz="4" w:space="0"/>
              <w:right w:val="single" w:color="000000" w:sz="4" w:space="0"/>
            </w:tcBorders>
            <w:vAlign w:val="center"/>
          </w:tcPr>
          <w:p w14:paraId="549407D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8738" w:type="dxa"/>
            <w:tcBorders>
              <w:top w:val="single" w:color="000000" w:sz="4" w:space="0"/>
              <w:left w:val="single" w:color="000000" w:sz="4" w:space="0"/>
              <w:bottom w:val="single" w:color="000000" w:sz="4" w:space="0"/>
              <w:right w:val="single" w:color="000000" w:sz="4" w:space="0"/>
            </w:tcBorders>
            <w:vAlign w:val="center"/>
          </w:tcPr>
          <w:p w14:paraId="2A66B2E3">
            <w:pPr>
              <w:pStyle w:val="3"/>
              <w:rPr>
                <w:color w:val="0070C0"/>
              </w:rPr>
            </w:pPr>
            <w:r>
              <w:rPr>
                <w:rFonts w:hint="eastAsia"/>
              </w:rPr>
              <w:t xml:space="preserve"> ▲</w:t>
            </w:r>
            <w:r>
              <w:rPr>
                <w:color w:val="0070C0"/>
              </w:rPr>
              <w:t>1</w:t>
            </w:r>
            <w:r>
              <w:rPr>
                <w:rFonts w:hint="eastAsia"/>
                <w:color w:val="0070C0"/>
              </w:rPr>
              <w:t>、运行内存：8G 。</w:t>
            </w:r>
          </w:p>
          <w:p w14:paraId="27142DCC">
            <w:pPr>
              <w:pStyle w:val="3"/>
              <w:rPr>
                <w:color w:val="0070C0"/>
              </w:rPr>
            </w:pPr>
            <w:r>
              <w:rPr>
                <w:rFonts w:hint="eastAsia"/>
                <w:color w:val="0070C0"/>
              </w:rPr>
              <w:t>▲</w:t>
            </w:r>
            <w:r>
              <w:rPr>
                <w:color w:val="0070C0"/>
              </w:rPr>
              <w:t>2</w:t>
            </w:r>
            <w:r>
              <w:rPr>
                <w:rFonts w:hint="eastAsia"/>
                <w:color w:val="0070C0"/>
              </w:rPr>
              <w:t>、硬盘存储：256G 。</w:t>
            </w:r>
          </w:p>
          <w:p w14:paraId="166DEB6F">
            <w:pPr>
              <w:pStyle w:val="3"/>
              <w:rPr>
                <w:color w:val="0070C0"/>
              </w:rPr>
            </w:pPr>
            <w:r>
              <w:rPr>
                <w:color w:val="0070C0"/>
              </w:rPr>
              <w:t>3</w:t>
            </w:r>
            <w:r>
              <w:rPr>
                <w:rFonts w:hint="eastAsia"/>
                <w:color w:val="0070C0"/>
              </w:rPr>
              <w:t xml:space="preserve">、屏幕尺寸：11英寸。  </w:t>
            </w:r>
          </w:p>
          <w:p w14:paraId="4F484D00">
            <w:pPr>
              <w:pStyle w:val="3"/>
              <w:rPr>
                <w:color w:val="0070C0"/>
              </w:rPr>
            </w:pPr>
            <w:r>
              <w:rPr>
                <w:color w:val="0070C0"/>
              </w:rPr>
              <w:t>4</w:t>
            </w:r>
            <w:r>
              <w:rPr>
                <w:rFonts w:hint="eastAsia"/>
                <w:color w:val="0070C0"/>
              </w:rPr>
              <w:t>、网络类型：W</w:t>
            </w:r>
            <w:r>
              <w:rPr>
                <w:color w:val="0070C0"/>
              </w:rPr>
              <w:t>IFIT</w:t>
            </w:r>
            <w:r>
              <w:rPr>
                <w:rFonts w:hint="eastAsia"/>
                <w:color w:val="0070C0"/>
              </w:rPr>
              <w:t>版。</w:t>
            </w:r>
          </w:p>
          <w:p w14:paraId="122A87E5">
            <w:pPr>
              <w:pStyle w:val="3"/>
              <w:rPr>
                <w:color w:val="0070C0"/>
              </w:rPr>
            </w:pPr>
            <w:r>
              <w:rPr>
                <w:rFonts w:hint="eastAsia"/>
                <w:color w:val="0070C0"/>
              </w:rPr>
              <w:t>5、摄像头：</w:t>
            </w:r>
            <w:r>
              <w:rPr>
                <w:rFonts w:hint="eastAsia" w:ascii="宋体" w:hAnsi="宋体" w:cs="宋体"/>
                <w:color w:val="000000"/>
                <w:kern w:val="0"/>
                <w:szCs w:val="21"/>
                <w:lang w:bidi="ar"/>
              </w:rPr>
              <w:t>≥</w:t>
            </w:r>
            <w:r>
              <w:rPr>
                <w:rFonts w:hint="eastAsia"/>
                <w:color w:val="0070C0"/>
              </w:rPr>
              <w:t>5</w:t>
            </w:r>
            <w:r>
              <w:rPr>
                <w:color w:val="0070C0"/>
              </w:rPr>
              <w:t>00W</w:t>
            </w:r>
            <w:r>
              <w:rPr>
                <w:rFonts w:hint="eastAsia"/>
                <w:color w:val="0070C0"/>
              </w:rPr>
              <w:t>前置摄像头像素;</w:t>
            </w:r>
            <w:r>
              <w:rPr>
                <w:rFonts w:hint="eastAsia" w:ascii="宋体" w:hAnsi="宋体" w:cs="宋体"/>
                <w:color w:val="000000"/>
                <w:kern w:val="0"/>
                <w:szCs w:val="21"/>
                <w:lang w:bidi="ar"/>
              </w:rPr>
              <w:t xml:space="preserve"> ≥</w:t>
            </w:r>
            <w:r>
              <w:rPr>
                <w:color w:val="0070C0"/>
              </w:rPr>
              <w:t>800</w:t>
            </w:r>
            <w:r>
              <w:rPr>
                <w:rFonts w:hint="eastAsia"/>
                <w:color w:val="0070C0"/>
              </w:rPr>
              <w:t>W后置摄像头。</w:t>
            </w:r>
          </w:p>
          <w:p w14:paraId="1C2B8C5E">
            <w:pPr>
              <w:pStyle w:val="3"/>
              <w:rPr>
                <w:color w:val="0070C0"/>
              </w:rPr>
            </w:pPr>
            <w:r>
              <w:rPr>
                <w:rFonts w:hint="eastAsia"/>
                <w:color w:val="0070C0"/>
              </w:rPr>
              <w:t>6、</w:t>
            </w:r>
            <w:r>
              <w:rPr>
                <w:rFonts w:hint="eastAsia" w:ascii="宋体" w:hAnsi="宋体" w:cs="宋体"/>
                <w:color w:val="0070C0"/>
                <w:szCs w:val="21"/>
              </w:rPr>
              <w:t>开机画面定制（如：广西艺术学院）。</w:t>
            </w:r>
          </w:p>
          <w:p w14:paraId="2A702E67">
            <w:pPr>
              <w:widowControl/>
              <w:jc w:val="left"/>
              <w:textAlignment w:val="center"/>
              <w:rPr>
                <w:rFonts w:ascii="宋体" w:hAnsi="宋体" w:cs="宋体"/>
                <w:color w:val="000000"/>
                <w:szCs w:val="21"/>
              </w:rPr>
            </w:pPr>
          </w:p>
        </w:tc>
      </w:tr>
      <w:tr w14:paraId="4852ABBB">
        <w:tblPrEx>
          <w:tblCellMar>
            <w:top w:w="0" w:type="dxa"/>
            <w:left w:w="108" w:type="dxa"/>
            <w:bottom w:w="0" w:type="dxa"/>
            <w:right w:w="108" w:type="dxa"/>
          </w:tblCellMar>
        </w:tblPrEx>
        <w:trPr>
          <w:trHeight w:val="1625" w:hRule="atLeast"/>
          <w:jc w:val="center"/>
        </w:trPr>
        <w:tc>
          <w:tcPr>
            <w:tcW w:w="1007" w:type="dxa"/>
            <w:tcBorders>
              <w:top w:val="single" w:color="000000" w:sz="4" w:space="0"/>
              <w:left w:val="single" w:color="000000" w:sz="4" w:space="0"/>
              <w:bottom w:val="single" w:color="000000" w:sz="4" w:space="0"/>
              <w:right w:val="single" w:color="000000" w:sz="4" w:space="0"/>
            </w:tcBorders>
            <w:vAlign w:val="center"/>
          </w:tcPr>
          <w:p w14:paraId="3C150320">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w:t>
            </w:r>
          </w:p>
        </w:tc>
        <w:tc>
          <w:tcPr>
            <w:tcW w:w="1417" w:type="dxa"/>
            <w:tcBorders>
              <w:top w:val="single" w:color="000000" w:sz="4" w:space="0"/>
              <w:left w:val="single" w:color="000000" w:sz="4" w:space="0"/>
              <w:bottom w:val="single" w:color="000000" w:sz="4" w:space="0"/>
              <w:right w:val="single" w:color="000000" w:sz="4" w:space="0"/>
            </w:tcBorders>
            <w:vAlign w:val="center"/>
          </w:tcPr>
          <w:p w14:paraId="54C3C63F">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无纸化会议终端客户端软件</w:t>
            </w:r>
          </w:p>
        </w:tc>
        <w:tc>
          <w:tcPr>
            <w:tcW w:w="992" w:type="dxa"/>
            <w:tcBorders>
              <w:top w:val="single" w:color="000000" w:sz="4" w:space="0"/>
              <w:left w:val="single" w:color="000000" w:sz="4" w:space="0"/>
              <w:bottom w:val="single" w:color="000000" w:sz="4" w:space="0"/>
              <w:right w:val="single" w:color="000000" w:sz="4" w:space="0"/>
            </w:tcBorders>
            <w:vAlign w:val="center"/>
          </w:tcPr>
          <w:p w14:paraId="468BC497">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套</w:t>
            </w:r>
          </w:p>
        </w:tc>
        <w:tc>
          <w:tcPr>
            <w:tcW w:w="1134" w:type="dxa"/>
            <w:tcBorders>
              <w:top w:val="single" w:color="000000" w:sz="4" w:space="0"/>
              <w:left w:val="single" w:color="000000" w:sz="4" w:space="0"/>
              <w:bottom w:val="single" w:color="000000" w:sz="4" w:space="0"/>
              <w:right w:val="single" w:color="000000" w:sz="4" w:space="0"/>
            </w:tcBorders>
            <w:vAlign w:val="center"/>
          </w:tcPr>
          <w:p w14:paraId="71F80137">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w:t>
            </w:r>
          </w:p>
        </w:tc>
        <w:tc>
          <w:tcPr>
            <w:tcW w:w="8738" w:type="dxa"/>
            <w:tcBorders>
              <w:top w:val="single" w:color="000000" w:sz="4" w:space="0"/>
              <w:left w:val="single" w:color="000000" w:sz="4" w:space="0"/>
              <w:bottom w:val="single" w:color="000000" w:sz="4" w:space="0"/>
              <w:right w:val="single" w:color="000000" w:sz="4" w:space="0"/>
            </w:tcBorders>
            <w:vAlign w:val="center"/>
          </w:tcPr>
          <w:p w14:paraId="6D5BEB24">
            <w:pPr>
              <w:pStyle w:val="3"/>
              <w:rPr>
                <w:rFonts w:hint="eastAsia"/>
                <w:highlight w:val="none"/>
              </w:rPr>
            </w:pPr>
            <w:r>
              <w:rPr>
                <w:rFonts w:hint="eastAsia"/>
                <w:highlight w:val="none"/>
              </w:rPr>
              <w:t xml:space="preserve">1.支持显示参会人的基本信息，并支持在座位表展示个人名称；支持会议信息展示。 </w:t>
            </w:r>
          </w:p>
          <w:p w14:paraId="0726324D">
            <w:pPr>
              <w:pStyle w:val="3"/>
              <w:rPr>
                <w:rFonts w:hint="eastAsia"/>
                <w:highlight w:val="none"/>
              </w:rPr>
            </w:pPr>
            <w:r>
              <w:rPr>
                <w:rFonts w:hint="eastAsia"/>
                <w:highlight w:val="none"/>
              </w:rPr>
              <w:t xml:space="preserve">2.文件阅览：可查看进行中或未开始的议题及其文件；支持文档批注功能；支持查看会议临时文件，支持上传本地文件。 </w:t>
            </w:r>
          </w:p>
          <w:p w14:paraId="0EB25E25">
            <w:pPr>
              <w:pStyle w:val="3"/>
              <w:rPr>
                <w:rFonts w:hint="eastAsia"/>
                <w:highlight w:val="none"/>
              </w:rPr>
            </w:pPr>
            <w:r>
              <w:rPr>
                <w:rFonts w:hint="eastAsia"/>
                <w:highlight w:val="none"/>
              </w:rPr>
              <w:t xml:space="preserve">3.支持网络浏览功能，可浏览以太网网络，并可在服务端统一配置预设的网页地址，用户可在App中直接打开配置好的网页。 </w:t>
            </w:r>
          </w:p>
          <w:p w14:paraId="4201EEB9">
            <w:pPr>
              <w:pStyle w:val="3"/>
              <w:rPr>
                <w:rFonts w:hint="eastAsia"/>
                <w:highlight w:val="none"/>
              </w:rPr>
            </w:pPr>
            <w:r>
              <w:rPr>
                <w:rFonts w:hint="eastAsia"/>
                <w:highlight w:val="none"/>
              </w:rPr>
              <w:t xml:space="preserve">4.支持会议签到功能。可查看当前签到情况，支持签到的过程与结果进行实时投屏。支持签名签到、登录即签到、按钮签到、人脸签到、拍照签到。（指纹、人脸身份认证功能需要相应硬件支持和人脸识别服务器） </w:t>
            </w:r>
          </w:p>
          <w:p w14:paraId="30A5D804">
            <w:pPr>
              <w:pStyle w:val="3"/>
              <w:rPr>
                <w:rFonts w:hint="eastAsia"/>
                <w:highlight w:val="none"/>
              </w:rPr>
            </w:pPr>
            <w:r>
              <w:rPr>
                <w:rFonts w:hint="eastAsia"/>
                <w:highlight w:val="none"/>
              </w:rPr>
              <w:t xml:space="preserve">▲5.支持会议投票功能，支持投票过程实时投屏。支持投屏签名确认、拍照确认、人脸认证。（投标时提供功能界面截图，并加盖供应商公章） </w:t>
            </w:r>
          </w:p>
          <w:p w14:paraId="5B4C955F">
            <w:pPr>
              <w:pStyle w:val="3"/>
              <w:rPr>
                <w:rFonts w:hint="eastAsia"/>
                <w:highlight w:val="none"/>
              </w:rPr>
            </w:pPr>
            <w:r>
              <w:rPr>
                <w:rFonts w:hint="eastAsia"/>
                <w:highlight w:val="none"/>
              </w:rPr>
              <w:t xml:space="preserve">▲6.支持会议评分功能，支持评分过程实时投屏。支持评分签名确认、拍照确认、人脸认证。（投标时提供功能界面截图，并加盖供应商公章） </w:t>
            </w:r>
          </w:p>
          <w:p w14:paraId="6D18896F">
            <w:pPr>
              <w:pStyle w:val="3"/>
              <w:rPr>
                <w:rFonts w:hint="eastAsia"/>
                <w:highlight w:val="none"/>
              </w:rPr>
            </w:pPr>
            <w:r>
              <w:rPr>
                <w:rFonts w:hint="eastAsia"/>
                <w:highlight w:val="none"/>
              </w:rPr>
              <w:t xml:space="preserve">7.支持参会人查看会议纪要文件，确认纪要文件，以及提出意见，并生成最终纪要文件。 </w:t>
            </w:r>
          </w:p>
          <w:p w14:paraId="6E488A39">
            <w:pPr>
              <w:pStyle w:val="3"/>
              <w:rPr>
                <w:rFonts w:hint="eastAsia"/>
                <w:highlight w:val="none"/>
              </w:rPr>
            </w:pPr>
            <w:r>
              <w:rPr>
                <w:rFonts w:hint="eastAsia"/>
                <w:highlight w:val="none"/>
              </w:rPr>
              <w:t xml:space="preserve">8.支持会议议题功能，支持下发议题至侯会屏进行显示；支持会议标语功能，支持多个会议标语切换，并支持推送至大屏和客户端显示。 </w:t>
            </w:r>
          </w:p>
          <w:p w14:paraId="11153B55">
            <w:pPr>
              <w:pStyle w:val="3"/>
              <w:rPr>
                <w:rFonts w:hint="eastAsia"/>
                <w:highlight w:val="none"/>
              </w:rPr>
            </w:pPr>
            <w:r>
              <w:rPr>
                <w:rFonts w:hint="eastAsia"/>
                <w:highlight w:val="none"/>
              </w:rPr>
              <w:t xml:space="preserve">9.支持在会议中统一控制终端显示欢迎欢迎界面、会议信息、显示标语、退出标语、显示铭牌、退出铭牌、结束会议等操作。 </w:t>
            </w:r>
          </w:p>
          <w:p w14:paraId="61094B3E">
            <w:pPr>
              <w:pStyle w:val="3"/>
              <w:rPr>
                <w:rFonts w:hint="eastAsia"/>
                <w:highlight w:val="none"/>
              </w:rPr>
            </w:pPr>
            <w:r>
              <w:rPr>
                <w:rFonts w:hint="eastAsia"/>
                <w:highlight w:val="none"/>
              </w:rPr>
              <w:t xml:space="preserve">10.系统支持侯会信息发布显示，支持开始议题前进行提示。 </w:t>
            </w:r>
          </w:p>
          <w:p w14:paraId="71495B7A">
            <w:pPr>
              <w:pStyle w:val="3"/>
              <w:rPr>
                <w:rFonts w:hint="eastAsia"/>
                <w:highlight w:val="none"/>
              </w:rPr>
            </w:pPr>
            <w:r>
              <w:rPr>
                <w:rFonts w:hint="eastAsia"/>
                <w:highlight w:val="none"/>
              </w:rPr>
              <w:t>▲11.支持免密登录、账号密码、人脸识别入会。（投标时提供功能界面截图，并加盖供应商公章）</w:t>
            </w:r>
          </w:p>
          <w:p w14:paraId="559237E7">
            <w:pPr>
              <w:pStyle w:val="3"/>
              <w:rPr>
                <w:rFonts w:hint="eastAsia"/>
                <w:highlight w:val="yellow"/>
              </w:rPr>
            </w:pPr>
          </w:p>
        </w:tc>
      </w:tr>
      <w:tr w14:paraId="00610791">
        <w:tblPrEx>
          <w:tblCellMar>
            <w:top w:w="0" w:type="dxa"/>
            <w:left w:w="108" w:type="dxa"/>
            <w:bottom w:w="0" w:type="dxa"/>
            <w:right w:w="108" w:type="dxa"/>
          </w:tblCellMar>
        </w:tblPrEx>
        <w:trPr>
          <w:trHeight w:val="1275" w:hRule="atLeast"/>
          <w:jc w:val="center"/>
        </w:trPr>
        <w:tc>
          <w:tcPr>
            <w:tcW w:w="1007" w:type="dxa"/>
            <w:tcBorders>
              <w:top w:val="single" w:color="000000" w:sz="4" w:space="0"/>
              <w:left w:val="single" w:color="000000" w:sz="4" w:space="0"/>
              <w:bottom w:val="single" w:color="000000" w:sz="4" w:space="0"/>
              <w:right w:val="single" w:color="000000" w:sz="4" w:space="0"/>
            </w:tcBorders>
            <w:vAlign w:val="center"/>
          </w:tcPr>
          <w:p w14:paraId="7B0C7211">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w:t>
            </w:r>
          </w:p>
        </w:tc>
        <w:tc>
          <w:tcPr>
            <w:tcW w:w="1417" w:type="dxa"/>
            <w:tcBorders>
              <w:top w:val="single" w:color="000000" w:sz="4" w:space="0"/>
              <w:left w:val="single" w:color="000000" w:sz="4" w:space="0"/>
              <w:bottom w:val="single" w:color="000000" w:sz="4" w:space="0"/>
              <w:right w:val="single" w:color="000000" w:sz="4" w:space="0"/>
            </w:tcBorders>
            <w:vAlign w:val="center"/>
          </w:tcPr>
          <w:p w14:paraId="2255179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发射器</w:t>
            </w:r>
          </w:p>
        </w:tc>
        <w:tc>
          <w:tcPr>
            <w:tcW w:w="992" w:type="dxa"/>
            <w:tcBorders>
              <w:top w:val="single" w:color="000000" w:sz="4" w:space="0"/>
              <w:left w:val="single" w:color="000000" w:sz="4" w:space="0"/>
              <w:bottom w:val="single" w:color="000000" w:sz="4" w:space="0"/>
              <w:right w:val="single" w:color="000000" w:sz="4" w:space="0"/>
            </w:tcBorders>
            <w:vAlign w:val="center"/>
          </w:tcPr>
          <w:p w14:paraId="70B03F8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1134" w:type="dxa"/>
            <w:tcBorders>
              <w:top w:val="single" w:color="000000" w:sz="4" w:space="0"/>
              <w:left w:val="single" w:color="000000" w:sz="4" w:space="0"/>
              <w:bottom w:val="single" w:color="000000" w:sz="4" w:space="0"/>
              <w:right w:val="single" w:color="000000" w:sz="4" w:space="0"/>
            </w:tcBorders>
            <w:vAlign w:val="center"/>
          </w:tcPr>
          <w:p w14:paraId="671B4B5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8738" w:type="dxa"/>
            <w:tcBorders>
              <w:top w:val="single" w:color="000000" w:sz="4" w:space="0"/>
              <w:left w:val="single" w:color="000000" w:sz="4" w:space="0"/>
              <w:bottom w:val="single" w:color="000000" w:sz="4" w:space="0"/>
              <w:right w:val="single" w:color="000000" w:sz="4" w:space="0"/>
            </w:tcBorders>
            <w:vAlign w:val="center"/>
          </w:tcPr>
          <w:p w14:paraId="47AD287B">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1.Wi-Fi 6高性能无线接入点，采用独立的三射频设计，向下兼容802.11a/b/g/n/ac/Wave2，支持MU-MIMO，整机传输速率可达≥1.901Gbps，满足室内大容量，高吞吐量的应用需求。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2.支持本地供电与PoE远程供电方式。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3.支持包括OPEN，WEP, WPA，WPA2，WPA-PSK，WPA2-PSK，802.11i在内的多种认证加密标准。</w:t>
            </w:r>
          </w:p>
        </w:tc>
      </w:tr>
      <w:tr w14:paraId="7922ED45">
        <w:tblPrEx>
          <w:tblCellMar>
            <w:top w:w="0" w:type="dxa"/>
            <w:left w:w="108" w:type="dxa"/>
            <w:bottom w:w="0" w:type="dxa"/>
            <w:right w:w="108" w:type="dxa"/>
          </w:tblCellMar>
        </w:tblPrEx>
        <w:trPr>
          <w:trHeight w:val="1530" w:hRule="atLeast"/>
          <w:jc w:val="center"/>
        </w:trPr>
        <w:tc>
          <w:tcPr>
            <w:tcW w:w="1007" w:type="dxa"/>
            <w:tcBorders>
              <w:top w:val="single" w:color="000000" w:sz="4" w:space="0"/>
              <w:left w:val="single" w:color="000000" w:sz="4" w:space="0"/>
              <w:bottom w:val="single" w:color="000000" w:sz="4" w:space="0"/>
              <w:right w:val="single" w:color="000000" w:sz="4" w:space="0"/>
            </w:tcBorders>
            <w:vAlign w:val="center"/>
          </w:tcPr>
          <w:p w14:paraId="438E0375">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w:t>
            </w:r>
          </w:p>
        </w:tc>
        <w:tc>
          <w:tcPr>
            <w:tcW w:w="1417" w:type="dxa"/>
            <w:tcBorders>
              <w:top w:val="single" w:color="000000" w:sz="4" w:space="0"/>
              <w:left w:val="single" w:color="000000" w:sz="4" w:space="0"/>
              <w:bottom w:val="single" w:color="000000" w:sz="4" w:space="0"/>
              <w:right w:val="single" w:color="000000" w:sz="4" w:space="0"/>
            </w:tcBorders>
            <w:vAlign w:val="center"/>
          </w:tcPr>
          <w:p w14:paraId="3A6024B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布线机柜</w:t>
            </w:r>
          </w:p>
        </w:tc>
        <w:tc>
          <w:tcPr>
            <w:tcW w:w="992" w:type="dxa"/>
            <w:tcBorders>
              <w:top w:val="single" w:color="000000" w:sz="4" w:space="0"/>
              <w:left w:val="single" w:color="000000" w:sz="4" w:space="0"/>
              <w:bottom w:val="single" w:color="000000" w:sz="4" w:space="0"/>
              <w:right w:val="single" w:color="000000" w:sz="4" w:space="0"/>
            </w:tcBorders>
            <w:vAlign w:val="center"/>
          </w:tcPr>
          <w:p w14:paraId="09363E9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1134" w:type="dxa"/>
            <w:tcBorders>
              <w:top w:val="single" w:color="000000" w:sz="4" w:space="0"/>
              <w:left w:val="single" w:color="000000" w:sz="4" w:space="0"/>
              <w:bottom w:val="single" w:color="000000" w:sz="4" w:space="0"/>
              <w:right w:val="single" w:color="000000" w:sz="4" w:space="0"/>
            </w:tcBorders>
            <w:vAlign w:val="center"/>
          </w:tcPr>
          <w:p w14:paraId="1B09F540">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8738" w:type="dxa"/>
            <w:tcBorders>
              <w:top w:val="single" w:color="000000" w:sz="4" w:space="0"/>
              <w:left w:val="single" w:color="000000" w:sz="4" w:space="0"/>
              <w:bottom w:val="single" w:color="000000" w:sz="4" w:space="0"/>
              <w:right w:val="single" w:color="000000" w:sz="4" w:space="0"/>
            </w:tcBorders>
            <w:vAlign w:val="center"/>
          </w:tcPr>
          <w:p w14:paraId="68654292">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规格：</w:t>
            </w:r>
            <w:r>
              <w:rPr>
                <w:rFonts w:hint="eastAsia" w:ascii="宋体" w:hAnsi="宋体" w:cs="宋体"/>
                <w:color w:val="FF0000"/>
                <w:kern w:val="0"/>
                <w:szCs w:val="21"/>
                <w:lang w:bidi="ar"/>
              </w:rPr>
              <w:t>参考尺寸约WDH/600mm×800mm×1445mm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配置：1块300mm深固定层板/1条标准10A五插电源插座/2把220V交流散热风扇/30套M6安装套件。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描述：机柜采用全模块化组装结构，内置4根19寸标高28U（1U=44.45mm）安装立柱；前门为单开带锁钢制嵌边式玻璃门，侧门和后门为快速拆卸式钢制门，</w:t>
            </w:r>
            <w:r>
              <w:rPr>
                <w:rFonts w:hint="eastAsia" w:ascii="宋体" w:hAnsi="宋体" w:cs="宋体"/>
                <w:color w:val="FF0000"/>
                <w:kern w:val="0"/>
                <w:szCs w:val="21"/>
                <w:lang w:bidi="ar"/>
              </w:rPr>
              <w:t>机柜静态载重约850KG。</w:t>
            </w:r>
          </w:p>
        </w:tc>
      </w:tr>
      <w:tr w14:paraId="0CB99770">
        <w:tblPrEx>
          <w:tblCellMar>
            <w:top w:w="0" w:type="dxa"/>
            <w:left w:w="108" w:type="dxa"/>
            <w:bottom w:w="0" w:type="dxa"/>
            <w:right w:w="108" w:type="dxa"/>
          </w:tblCellMar>
        </w:tblPrEx>
        <w:trPr>
          <w:trHeight w:val="510" w:hRule="atLeast"/>
          <w:jc w:val="center"/>
        </w:trPr>
        <w:tc>
          <w:tcPr>
            <w:tcW w:w="1007" w:type="dxa"/>
            <w:tcBorders>
              <w:top w:val="single" w:color="000000" w:sz="4" w:space="0"/>
              <w:left w:val="single" w:color="000000" w:sz="4" w:space="0"/>
              <w:bottom w:val="single" w:color="000000" w:sz="4" w:space="0"/>
              <w:right w:val="single" w:color="000000" w:sz="4" w:space="0"/>
            </w:tcBorders>
            <w:vAlign w:val="center"/>
          </w:tcPr>
          <w:p w14:paraId="0F792A1A">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ascii="宋体" w:hAnsi="宋体" w:cs="宋体"/>
                <w:color w:val="000000"/>
                <w:kern w:val="0"/>
                <w:szCs w:val="21"/>
                <w:lang w:bidi="ar"/>
              </w:rPr>
              <w:t>0</w:t>
            </w:r>
          </w:p>
        </w:tc>
        <w:tc>
          <w:tcPr>
            <w:tcW w:w="1417" w:type="dxa"/>
            <w:tcBorders>
              <w:top w:val="single" w:color="000000" w:sz="4" w:space="0"/>
              <w:left w:val="single" w:color="000000" w:sz="4" w:space="0"/>
              <w:bottom w:val="single" w:color="000000" w:sz="4" w:space="0"/>
              <w:right w:val="single" w:color="000000" w:sz="4" w:space="0"/>
            </w:tcBorders>
            <w:vAlign w:val="center"/>
          </w:tcPr>
          <w:p w14:paraId="28160DC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充电柜</w:t>
            </w:r>
          </w:p>
        </w:tc>
        <w:tc>
          <w:tcPr>
            <w:tcW w:w="992" w:type="dxa"/>
            <w:tcBorders>
              <w:top w:val="single" w:color="000000" w:sz="4" w:space="0"/>
              <w:left w:val="single" w:color="000000" w:sz="4" w:space="0"/>
              <w:bottom w:val="single" w:color="000000" w:sz="4" w:space="0"/>
              <w:right w:val="single" w:color="000000" w:sz="4" w:space="0"/>
            </w:tcBorders>
            <w:vAlign w:val="center"/>
          </w:tcPr>
          <w:p w14:paraId="1C69D3B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1134" w:type="dxa"/>
            <w:tcBorders>
              <w:top w:val="single" w:color="000000" w:sz="4" w:space="0"/>
              <w:left w:val="single" w:color="000000" w:sz="4" w:space="0"/>
              <w:bottom w:val="single" w:color="000000" w:sz="4" w:space="0"/>
              <w:right w:val="single" w:color="000000" w:sz="4" w:space="0"/>
            </w:tcBorders>
            <w:vAlign w:val="center"/>
          </w:tcPr>
          <w:p w14:paraId="27B9473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8738" w:type="dxa"/>
            <w:tcBorders>
              <w:top w:val="single" w:color="000000" w:sz="4" w:space="0"/>
              <w:left w:val="single" w:color="000000" w:sz="4" w:space="0"/>
              <w:bottom w:val="single" w:color="000000" w:sz="4" w:space="0"/>
              <w:right w:val="single" w:color="000000" w:sz="4" w:space="0"/>
            </w:tcBorders>
            <w:vAlign w:val="center"/>
          </w:tcPr>
          <w:p w14:paraId="0D583E26">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1、办公牛插座式平板充电柜。</w:t>
            </w:r>
          </w:p>
          <w:p w14:paraId="0FC3D403">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w:t>
            </w:r>
            <w:r>
              <w:rPr>
                <w:rFonts w:hint="eastAsia" w:ascii="宋体" w:hAnsi="宋体" w:cs="宋体"/>
                <w:color w:val="000000"/>
                <w:kern w:val="0"/>
                <w:szCs w:val="21"/>
                <w:lang w:bidi="ar"/>
              </w:rPr>
              <w:t>、教室集中充电存放柜 。</w:t>
            </w:r>
          </w:p>
          <w:p w14:paraId="77C9069E">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3</w:t>
            </w:r>
            <w:r>
              <w:rPr>
                <w:rFonts w:hint="eastAsia" w:ascii="宋体" w:hAnsi="宋体" w:cs="宋体"/>
                <w:color w:val="000000"/>
                <w:kern w:val="0"/>
                <w:szCs w:val="21"/>
                <w:lang w:bidi="ar"/>
              </w:rPr>
              <w:t>、30位平板充电柜 。</w:t>
            </w:r>
          </w:p>
          <w:p w14:paraId="480964C3">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4、五孔插座式平板充电柜 。</w:t>
            </w:r>
          </w:p>
        </w:tc>
      </w:tr>
      <w:tr w14:paraId="76B11710">
        <w:tblPrEx>
          <w:tblCellMar>
            <w:top w:w="0" w:type="dxa"/>
            <w:left w:w="108" w:type="dxa"/>
            <w:bottom w:w="0" w:type="dxa"/>
            <w:right w:w="108" w:type="dxa"/>
          </w:tblCellMar>
        </w:tblPrEx>
        <w:trPr>
          <w:trHeight w:val="2295" w:hRule="atLeast"/>
          <w:jc w:val="center"/>
        </w:trPr>
        <w:tc>
          <w:tcPr>
            <w:tcW w:w="1007" w:type="dxa"/>
            <w:tcBorders>
              <w:top w:val="single" w:color="000000" w:sz="4" w:space="0"/>
              <w:left w:val="single" w:color="000000" w:sz="4" w:space="0"/>
              <w:bottom w:val="single" w:color="000000" w:sz="4" w:space="0"/>
              <w:right w:val="single" w:color="000000" w:sz="4" w:space="0"/>
            </w:tcBorders>
            <w:vAlign w:val="center"/>
          </w:tcPr>
          <w:p w14:paraId="2D0D4213">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ascii="宋体" w:hAnsi="宋体" w:cs="宋体"/>
                <w:color w:val="000000"/>
                <w:kern w:val="0"/>
                <w:szCs w:val="21"/>
                <w:lang w:bidi="ar"/>
              </w:rPr>
              <w:t>1</w:t>
            </w:r>
          </w:p>
        </w:tc>
        <w:tc>
          <w:tcPr>
            <w:tcW w:w="1417" w:type="dxa"/>
            <w:tcBorders>
              <w:top w:val="single" w:color="000000" w:sz="4" w:space="0"/>
              <w:left w:val="single" w:color="000000" w:sz="4" w:space="0"/>
              <w:bottom w:val="single" w:color="000000" w:sz="4" w:space="0"/>
              <w:right w:val="single" w:color="000000" w:sz="4" w:space="0"/>
            </w:tcBorders>
            <w:vAlign w:val="center"/>
          </w:tcPr>
          <w:p w14:paraId="7329582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交换机</w:t>
            </w:r>
          </w:p>
        </w:tc>
        <w:tc>
          <w:tcPr>
            <w:tcW w:w="992" w:type="dxa"/>
            <w:tcBorders>
              <w:top w:val="single" w:color="000000" w:sz="4" w:space="0"/>
              <w:left w:val="single" w:color="000000" w:sz="4" w:space="0"/>
              <w:bottom w:val="single" w:color="000000" w:sz="4" w:space="0"/>
              <w:right w:val="single" w:color="000000" w:sz="4" w:space="0"/>
            </w:tcBorders>
            <w:vAlign w:val="center"/>
          </w:tcPr>
          <w:p w14:paraId="1FB5A25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1134" w:type="dxa"/>
            <w:tcBorders>
              <w:top w:val="single" w:color="000000" w:sz="4" w:space="0"/>
              <w:left w:val="single" w:color="000000" w:sz="4" w:space="0"/>
              <w:bottom w:val="single" w:color="000000" w:sz="4" w:space="0"/>
              <w:right w:val="single" w:color="000000" w:sz="4" w:space="0"/>
            </w:tcBorders>
            <w:vAlign w:val="center"/>
          </w:tcPr>
          <w:p w14:paraId="69ED203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8738" w:type="dxa"/>
            <w:tcBorders>
              <w:top w:val="single" w:color="000000" w:sz="4" w:space="0"/>
              <w:left w:val="single" w:color="000000" w:sz="4" w:space="0"/>
              <w:bottom w:val="single" w:color="000000" w:sz="4" w:space="0"/>
              <w:right w:val="single" w:color="000000" w:sz="4" w:space="0"/>
            </w:tcBorders>
            <w:vAlign w:val="center"/>
          </w:tcPr>
          <w:p w14:paraId="6286E1AC">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w:t>
            </w:r>
            <w:r>
              <w:rPr>
                <w:rFonts w:hint="eastAsia"/>
              </w:rPr>
              <w:t xml:space="preserve"> </w:t>
            </w:r>
            <w:r>
              <w:rPr>
                <w:rFonts w:hint="eastAsia" w:ascii="宋体" w:hAnsi="宋体" w:cs="宋体"/>
                <w:color w:val="FF0000"/>
                <w:kern w:val="0"/>
                <w:szCs w:val="21"/>
                <w:lang w:bidi="ar"/>
              </w:rPr>
              <w:t>▲</w:t>
            </w:r>
            <w:r>
              <w:rPr>
                <w:rFonts w:hint="eastAsia" w:ascii="宋体" w:hAnsi="宋体" w:cs="宋体"/>
                <w:color w:val="000000"/>
                <w:kern w:val="0"/>
                <w:szCs w:val="21"/>
                <w:lang w:bidi="ar"/>
              </w:rPr>
              <w:t xml:space="preserve">要求设备固化 24 个千兆 PoE 电口，2 个千兆 SFP 光口，整机 POE 功率 370W。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2.金属外壳，标准 1U 设备，可上架 19 寸机柜安装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3.交换容量≥56Gbps，包转发率≥72Mpps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w:t>
            </w:r>
            <w:r>
              <w:rPr>
                <w:rFonts w:hint="eastAsia"/>
              </w:rPr>
              <w:t xml:space="preserve"> </w:t>
            </w:r>
            <w:r>
              <w:rPr>
                <w:rFonts w:hint="eastAsia" w:ascii="宋体" w:hAnsi="宋体" w:cs="宋体"/>
                <w:color w:val="FF0000"/>
                <w:kern w:val="0"/>
                <w:szCs w:val="21"/>
                <w:lang w:bidi="ar"/>
              </w:rPr>
              <w:t>▲</w:t>
            </w:r>
            <w:r>
              <w:rPr>
                <w:rFonts w:hint="eastAsia" w:ascii="宋体" w:hAnsi="宋体" w:cs="宋体"/>
                <w:color w:val="000000"/>
                <w:kern w:val="0"/>
                <w:szCs w:val="21"/>
                <w:lang w:bidi="ar"/>
              </w:rPr>
              <w:t xml:space="preserve">支持智能流控硬件开关，可以有效的减少网络引起的延时，丢包，重传增加。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网络资源不能用的问题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5.</w:t>
            </w:r>
            <w:r>
              <w:rPr>
                <w:rFonts w:hint="eastAsia"/>
              </w:rPr>
              <w:t xml:space="preserve"> </w:t>
            </w:r>
            <w:r>
              <w:rPr>
                <w:rFonts w:hint="eastAsia" w:ascii="宋体" w:hAnsi="宋体" w:cs="宋体"/>
                <w:color w:val="FF0000"/>
                <w:kern w:val="0"/>
                <w:szCs w:val="21"/>
                <w:lang w:bidi="ar"/>
              </w:rPr>
              <w:t>▲</w:t>
            </w:r>
            <w:r>
              <w:rPr>
                <w:rFonts w:hint="eastAsia" w:ascii="宋体" w:hAnsi="宋体" w:cs="宋体"/>
                <w:color w:val="000000"/>
                <w:kern w:val="0"/>
                <w:szCs w:val="21"/>
                <w:lang w:bidi="ar"/>
              </w:rPr>
              <w:t xml:space="preserve">支持三种模式切换：普通模式、端口隔离模式、网络延长模式。 </w:t>
            </w:r>
            <w:r>
              <w:rPr>
                <w:rFonts w:hint="eastAsia" w:ascii="宋体" w:hAnsi="宋体" w:cs="宋体"/>
                <w:color w:val="000000"/>
                <w:kern w:val="0"/>
                <w:szCs w:val="21"/>
                <w:lang w:bidi="ar"/>
              </w:rPr>
              <w:br w:type="textWrapping"/>
            </w:r>
          </w:p>
        </w:tc>
      </w:tr>
      <w:tr w14:paraId="78CC82EC">
        <w:tblPrEx>
          <w:tblCellMar>
            <w:top w:w="0" w:type="dxa"/>
            <w:left w:w="108" w:type="dxa"/>
            <w:bottom w:w="0" w:type="dxa"/>
            <w:right w:w="108" w:type="dxa"/>
          </w:tblCellMar>
        </w:tblPrEx>
        <w:trPr>
          <w:trHeight w:val="1530" w:hRule="atLeast"/>
          <w:jc w:val="center"/>
        </w:trPr>
        <w:tc>
          <w:tcPr>
            <w:tcW w:w="1007" w:type="dxa"/>
            <w:tcBorders>
              <w:top w:val="single" w:color="000000" w:sz="4" w:space="0"/>
              <w:left w:val="single" w:color="000000" w:sz="4" w:space="0"/>
              <w:bottom w:val="single" w:color="000000" w:sz="4" w:space="0"/>
              <w:right w:val="single" w:color="000000" w:sz="4" w:space="0"/>
            </w:tcBorders>
            <w:vAlign w:val="center"/>
          </w:tcPr>
          <w:p w14:paraId="0E95A28D">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ascii="宋体" w:hAnsi="宋体" w:cs="宋体"/>
                <w:color w:val="000000"/>
                <w:kern w:val="0"/>
                <w:szCs w:val="21"/>
                <w:lang w:bidi="ar"/>
              </w:rPr>
              <w:t>2</w:t>
            </w:r>
          </w:p>
        </w:tc>
        <w:tc>
          <w:tcPr>
            <w:tcW w:w="1417" w:type="dxa"/>
            <w:tcBorders>
              <w:top w:val="single" w:color="000000" w:sz="4" w:space="0"/>
              <w:left w:val="single" w:color="000000" w:sz="4" w:space="0"/>
              <w:bottom w:val="single" w:color="000000" w:sz="4" w:space="0"/>
              <w:right w:val="single" w:color="000000" w:sz="4" w:space="0"/>
            </w:tcBorders>
            <w:vAlign w:val="center"/>
          </w:tcPr>
          <w:p w14:paraId="601FEF5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电源管理器</w:t>
            </w:r>
          </w:p>
        </w:tc>
        <w:tc>
          <w:tcPr>
            <w:tcW w:w="992" w:type="dxa"/>
            <w:tcBorders>
              <w:top w:val="single" w:color="000000" w:sz="4" w:space="0"/>
              <w:left w:val="single" w:color="000000" w:sz="4" w:space="0"/>
              <w:bottom w:val="single" w:color="000000" w:sz="4" w:space="0"/>
              <w:right w:val="single" w:color="000000" w:sz="4" w:space="0"/>
            </w:tcBorders>
            <w:vAlign w:val="center"/>
          </w:tcPr>
          <w:p w14:paraId="634171C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台</w:t>
            </w:r>
          </w:p>
        </w:tc>
        <w:tc>
          <w:tcPr>
            <w:tcW w:w="1134" w:type="dxa"/>
            <w:tcBorders>
              <w:top w:val="single" w:color="000000" w:sz="4" w:space="0"/>
              <w:left w:val="single" w:color="000000" w:sz="4" w:space="0"/>
              <w:bottom w:val="single" w:color="000000" w:sz="4" w:space="0"/>
              <w:right w:val="single" w:color="000000" w:sz="4" w:space="0"/>
            </w:tcBorders>
            <w:vAlign w:val="center"/>
          </w:tcPr>
          <w:p w14:paraId="6610A04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8738" w:type="dxa"/>
            <w:tcBorders>
              <w:top w:val="single" w:color="000000" w:sz="4" w:space="0"/>
              <w:left w:val="single" w:color="000000" w:sz="4" w:space="0"/>
              <w:bottom w:val="single" w:color="000000" w:sz="4" w:space="0"/>
              <w:right w:val="single" w:color="000000" w:sz="4" w:space="0"/>
            </w:tcBorders>
            <w:vAlign w:val="center"/>
          </w:tcPr>
          <w:p w14:paraId="196D9F22">
            <w:pPr>
              <w:widowControl/>
              <w:jc w:val="left"/>
              <w:textAlignment w:val="center"/>
              <w:rPr>
                <w:rFonts w:ascii="宋体" w:hAnsi="宋体" w:cs="宋体"/>
                <w:color w:val="000000"/>
                <w:szCs w:val="21"/>
              </w:rPr>
            </w:pPr>
            <w:r>
              <w:rPr>
                <w:rFonts w:hint="eastAsia" w:ascii="宋体" w:hAnsi="宋体" w:cs="宋体"/>
                <w:color w:val="000000"/>
                <w:kern w:val="0"/>
                <w:szCs w:val="21"/>
                <w:lang w:bidi="ar"/>
              </w:rPr>
              <w:t xml:space="preserve">1.支持≥8通道电源时序打开/关闭，每路动作延时时间：≤1秒，支持远程控制（上电+24V直流信号）8通道电源时序打开/关闭—当电源开关处于off位置时有效。支持配置CH1和CH2通道为受控或不受控状态。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2.当远程控制有效时同时控制后板ALARM（报警）端口导通以起到级联控制ALARM（报警）功能。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3.单个通道最大负载功率≥2200W，所有通道负载总功率≥6000W。输出连接器：多用途电源插座。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4.具有一路及以上USB输出接口。</w:t>
            </w:r>
          </w:p>
        </w:tc>
      </w:tr>
      <w:tr w14:paraId="2ACA78FD">
        <w:tblPrEx>
          <w:tblCellMar>
            <w:top w:w="0" w:type="dxa"/>
            <w:left w:w="108" w:type="dxa"/>
            <w:bottom w:w="0" w:type="dxa"/>
            <w:right w:w="108" w:type="dxa"/>
          </w:tblCellMar>
        </w:tblPrEx>
        <w:trPr>
          <w:trHeight w:val="510" w:hRule="atLeast"/>
          <w:jc w:val="center"/>
        </w:trPr>
        <w:tc>
          <w:tcPr>
            <w:tcW w:w="1007" w:type="dxa"/>
            <w:tcBorders>
              <w:top w:val="single" w:color="000000" w:sz="4" w:space="0"/>
              <w:left w:val="single" w:color="000000" w:sz="4" w:space="0"/>
              <w:bottom w:val="single" w:color="000000" w:sz="4" w:space="0"/>
              <w:right w:val="single" w:color="000000" w:sz="4" w:space="0"/>
            </w:tcBorders>
            <w:vAlign w:val="center"/>
          </w:tcPr>
          <w:p w14:paraId="5EDE28B1">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ascii="宋体" w:hAnsi="宋体" w:cs="宋体"/>
                <w:color w:val="000000"/>
                <w:kern w:val="0"/>
                <w:szCs w:val="21"/>
                <w:lang w:bidi="ar"/>
              </w:rPr>
              <w:t>3</w:t>
            </w:r>
          </w:p>
        </w:tc>
        <w:tc>
          <w:tcPr>
            <w:tcW w:w="1417" w:type="dxa"/>
            <w:tcBorders>
              <w:top w:val="single" w:color="000000" w:sz="4" w:space="0"/>
              <w:left w:val="single" w:color="000000" w:sz="4" w:space="0"/>
              <w:bottom w:val="single" w:color="000000" w:sz="4" w:space="0"/>
              <w:right w:val="single" w:color="000000" w:sz="4" w:space="0"/>
            </w:tcBorders>
            <w:vAlign w:val="center"/>
          </w:tcPr>
          <w:p w14:paraId="53FCED8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音频连接线</w:t>
            </w:r>
          </w:p>
        </w:tc>
        <w:tc>
          <w:tcPr>
            <w:tcW w:w="992" w:type="dxa"/>
            <w:tcBorders>
              <w:top w:val="single" w:color="000000" w:sz="4" w:space="0"/>
              <w:left w:val="single" w:color="000000" w:sz="4" w:space="0"/>
              <w:bottom w:val="single" w:color="000000" w:sz="4" w:space="0"/>
              <w:right w:val="single" w:color="000000" w:sz="4" w:space="0"/>
            </w:tcBorders>
            <w:vAlign w:val="center"/>
          </w:tcPr>
          <w:p w14:paraId="3920EA8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条</w:t>
            </w:r>
          </w:p>
        </w:tc>
        <w:tc>
          <w:tcPr>
            <w:tcW w:w="1134" w:type="dxa"/>
            <w:tcBorders>
              <w:top w:val="single" w:color="000000" w:sz="4" w:space="0"/>
              <w:left w:val="single" w:color="000000" w:sz="4" w:space="0"/>
              <w:bottom w:val="single" w:color="000000" w:sz="4" w:space="0"/>
              <w:right w:val="single" w:color="000000" w:sz="4" w:space="0"/>
            </w:tcBorders>
            <w:vAlign w:val="center"/>
          </w:tcPr>
          <w:p w14:paraId="4B3768B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8738" w:type="dxa"/>
            <w:tcBorders>
              <w:top w:val="single" w:color="000000" w:sz="4" w:space="0"/>
              <w:left w:val="single" w:color="000000" w:sz="4" w:space="0"/>
              <w:bottom w:val="single" w:color="000000" w:sz="4" w:space="0"/>
              <w:right w:val="single" w:color="000000" w:sz="4" w:space="0"/>
            </w:tcBorders>
            <w:vAlign w:val="center"/>
          </w:tcPr>
          <w:p w14:paraId="0680595C">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1.8米音频连接线：3.5（耳机插头）*1,6.35话筒插头*1,线径：0.3mm 。</w:t>
            </w:r>
          </w:p>
        </w:tc>
      </w:tr>
      <w:tr w14:paraId="3BE3935B">
        <w:tblPrEx>
          <w:tblCellMar>
            <w:top w:w="0" w:type="dxa"/>
            <w:left w:w="108" w:type="dxa"/>
            <w:bottom w:w="0" w:type="dxa"/>
            <w:right w:w="108" w:type="dxa"/>
          </w:tblCellMar>
        </w:tblPrEx>
        <w:trPr>
          <w:trHeight w:val="510" w:hRule="atLeast"/>
          <w:jc w:val="center"/>
        </w:trPr>
        <w:tc>
          <w:tcPr>
            <w:tcW w:w="1007" w:type="dxa"/>
            <w:tcBorders>
              <w:top w:val="single" w:color="000000" w:sz="4" w:space="0"/>
              <w:left w:val="single" w:color="000000" w:sz="4" w:space="0"/>
              <w:bottom w:val="single" w:color="000000" w:sz="4" w:space="0"/>
              <w:right w:val="single" w:color="000000" w:sz="4" w:space="0"/>
            </w:tcBorders>
            <w:vAlign w:val="center"/>
          </w:tcPr>
          <w:p w14:paraId="530638CA">
            <w:pPr>
              <w:widowControl/>
              <w:jc w:val="center"/>
              <w:textAlignment w:val="center"/>
              <w:rPr>
                <w:rFonts w:hint="eastAsia" w:ascii="宋体" w:hAnsi="宋体" w:cs="宋体"/>
                <w:color w:val="FF0000"/>
                <w:kern w:val="0"/>
                <w:szCs w:val="21"/>
                <w:lang w:bidi="ar"/>
              </w:rPr>
            </w:pPr>
            <w:r>
              <w:rPr>
                <w:rFonts w:hint="eastAsia" w:ascii="宋体" w:hAnsi="宋体" w:cs="宋体"/>
                <w:color w:val="FF0000"/>
                <w:kern w:val="0"/>
                <w:szCs w:val="21"/>
                <w:lang w:bidi="ar"/>
              </w:rPr>
              <w:t>1</w:t>
            </w:r>
            <w:r>
              <w:rPr>
                <w:rFonts w:ascii="宋体" w:hAnsi="宋体" w:cs="宋体"/>
                <w:color w:val="FF0000"/>
                <w:kern w:val="0"/>
                <w:szCs w:val="21"/>
                <w:lang w:bidi="ar"/>
              </w:rPr>
              <w:t>4</w:t>
            </w:r>
          </w:p>
        </w:tc>
        <w:tc>
          <w:tcPr>
            <w:tcW w:w="1417" w:type="dxa"/>
            <w:tcBorders>
              <w:top w:val="single" w:color="000000" w:sz="4" w:space="0"/>
              <w:left w:val="single" w:color="000000" w:sz="4" w:space="0"/>
              <w:bottom w:val="single" w:color="000000" w:sz="4" w:space="0"/>
              <w:right w:val="single" w:color="000000" w:sz="4" w:space="0"/>
            </w:tcBorders>
            <w:vAlign w:val="center"/>
          </w:tcPr>
          <w:p w14:paraId="328177C8">
            <w:pPr>
              <w:widowControl/>
              <w:jc w:val="center"/>
              <w:textAlignment w:val="center"/>
              <w:rPr>
                <w:rFonts w:ascii="宋体" w:hAnsi="宋体" w:cs="宋体"/>
                <w:color w:val="000000"/>
                <w:szCs w:val="21"/>
              </w:rPr>
            </w:pPr>
            <w:r>
              <w:rPr>
                <w:rFonts w:hint="eastAsia" w:ascii="宋体" w:hAnsi="宋体" w:cs="宋体"/>
                <w:color w:val="FF0000"/>
                <w:kern w:val="0"/>
                <w:szCs w:val="21"/>
                <w:lang w:bidi="ar"/>
              </w:rPr>
              <w:t>智能磁吸键盘</w:t>
            </w:r>
          </w:p>
        </w:tc>
        <w:tc>
          <w:tcPr>
            <w:tcW w:w="992" w:type="dxa"/>
            <w:tcBorders>
              <w:top w:val="single" w:color="000000" w:sz="4" w:space="0"/>
              <w:left w:val="single" w:color="000000" w:sz="4" w:space="0"/>
              <w:bottom w:val="single" w:color="000000" w:sz="4" w:space="0"/>
              <w:right w:val="single" w:color="000000" w:sz="4" w:space="0"/>
            </w:tcBorders>
            <w:vAlign w:val="center"/>
          </w:tcPr>
          <w:p w14:paraId="23BE3D9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1134" w:type="dxa"/>
            <w:tcBorders>
              <w:top w:val="single" w:color="000000" w:sz="4" w:space="0"/>
              <w:left w:val="single" w:color="000000" w:sz="4" w:space="0"/>
              <w:bottom w:val="single" w:color="000000" w:sz="4" w:space="0"/>
              <w:right w:val="single" w:color="000000" w:sz="4" w:space="0"/>
            </w:tcBorders>
            <w:vAlign w:val="center"/>
          </w:tcPr>
          <w:p w14:paraId="60F850C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21</w:t>
            </w:r>
          </w:p>
        </w:tc>
        <w:tc>
          <w:tcPr>
            <w:tcW w:w="8738" w:type="dxa"/>
            <w:tcBorders>
              <w:top w:val="single" w:color="000000" w:sz="4" w:space="0"/>
              <w:left w:val="single" w:color="000000" w:sz="4" w:space="0"/>
              <w:bottom w:val="single" w:color="000000" w:sz="4" w:space="0"/>
              <w:right w:val="single" w:color="000000" w:sz="4" w:space="0"/>
            </w:tcBorders>
            <w:vAlign w:val="center"/>
          </w:tcPr>
          <w:p w14:paraId="5B0BB465">
            <w:pPr>
              <w:widowControl/>
              <w:jc w:val="left"/>
              <w:textAlignment w:val="center"/>
              <w:rPr>
                <w:rFonts w:ascii="宋体" w:hAnsi="宋体" w:cs="宋体"/>
                <w:color w:val="000000"/>
                <w:szCs w:val="21"/>
              </w:rPr>
            </w:pPr>
          </w:p>
          <w:p w14:paraId="5567F9A3">
            <w:pPr>
              <w:widowControl/>
              <w:jc w:val="left"/>
              <w:textAlignment w:val="center"/>
              <w:rPr>
                <w:rFonts w:ascii="宋体" w:hAnsi="宋体" w:cs="宋体"/>
                <w:color w:val="000000"/>
                <w:szCs w:val="21"/>
              </w:rPr>
            </w:pPr>
            <w:r>
              <w:rPr>
                <w:rFonts w:hint="eastAsia" w:ascii="宋体" w:hAnsi="宋体" w:cs="宋体"/>
                <w:color w:val="2F5597" w:themeColor="accent1" w:themeShade="BF"/>
                <w:szCs w:val="21"/>
              </w:rPr>
              <w:t>配套21台平板使用，智能磁吸键盘，超轻超薄，一贴即充键盘与主机后壳底部采用了创新的魔吸连接设计:应用海尔贝克阵列，实现超强连接可靠性。内置超薄无线充电线圈，带来平板一吸即充的便捷感，全新升级的隐藏式悬浮天线，采用 2.0天线增强技术，通过增强平板 Wi-Fi 信号的接收能力提升平板上网速度，信号增强，实力更强，更大面积的触控板，实现全域压力感知覆盖。现在，你可以在触控板上自由操作，无论是点击、滑动、拖放还是翻页，均能快速反应，一触即达。更支持多种手势操作，使用更灵活，操作更便捷。6 排 79 键全尺寸键盘，尺寸更大更顺手，全景拟PC键盘布局，深度还原熟悉的笔记本打字体验;打字舒适回弹，输入更畅快，办公更高效。</w:t>
            </w:r>
          </w:p>
        </w:tc>
      </w:tr>
      <w:tr w14:paraId="24A4E7AF">
        <w:tblPrEx>
          <w:tblCellMar>
            <w:top w:w="0" w:type="dxa"/>
            <w:left w:w="108" w:type="dxa"/>
            <w:bottom w:w="0" w:type="dxa"/>
            <w:right w:w="108" w:type="dxa"/>
          </w:tblCellMar>
        </w:tblPrEx>
        <w:trPr>
          <w:trHeight w:val="510" w:hRule="atLeast"/>
          <w:jc w:val="center"/>
        </w:trPr>
        <w:tc>
          <w:tcPr>
            <w:tcW w:w="1007" w:type="dxa"/>
            <w:tcBorders>
              <w:top w:val="single" w:color="000000" w:sz="4" w:space="0"/>
              <w:left w:val="single" w:color="000000" w:sz="4" w:space="0"/>
              <w:bottom w:val="single" w:color="000000" w:sz="4" w:space="0"/>
              <w:right w:val="single" w:color="000000" w:sz="4" w:space="0"/>
            </w:tcBorders>
            <w:vAlign w:val="center"/>
          </w:tcPr>
          <w:p w14:paraId="5B863D88">
            <w:pPr>
              <w:widowControl/>
              <w:jc w:val="center"/>
              <w:textAlignment w:val="center"/>
              <w:rPr>
                <w:rFonts w:hint="eastAsia" w:ascii="宋体" w:hAnsi="宋体" w:cs="宋体"/>
                <w:color w:val="2F5597" w:themeColor="accent1" w:themeShade="BF"/>
                <w:szCs w:val="21"/>
              </w:rPr>
            </w:pPr>
            <w:r>
              <w:rPr>
                <w:rFonts w:hint="eastAsia" w:ascii="宋体" w:hAnsi="宋体" w:cs="宋体"/>
                <w:color w:val="2F5597" w:themeColor="accent1" w:themeShade="BF"/>
                <w:szCs w:val="21"/>
              </w:rPr>
              <w:t>1</w:t>
            </w:r>
            <w:r>
              <w:rPr>
                <w:rFonts w:ascii="宋体" w:hAnsi="宋体" w:cs="宋体"/>
                <w:color w:val="2F5597" w:themeColor="accent1" w:themeShade="BF"/>
                <w:szCs w:val="21"/>
              </w:rPr>
              <w:t>5</w:t>
            </w:r>
          </w:p>
        </w:tc>
        <w:tc>
          <w:tcPr>
            <w:tcW w:w="1417" w:type="dxa"/>
            <w:tcBorders>
              <w:top w:val="single" w:color="000000" w:sz="4" w:space="0"/>
              <w:left w:val="single" w:color="000000" w:sz="4" w:space="0"/>
              <w:bottom w:val="single" w:color="000000" w:sz="4" w:space="0"/>
              <w:right w:val="single" w:color="000000" w:sz="4" w:space="0"/>
            </w:tcBorders>
            <w:vAlign w:val="center"/>
          </w:tcPr>
          <w:p w14:paraId="54709E9B">
            <w:pPr>
              <w:widowControl/>
              <w:jc w:val="center"/>
              <w:textAlignment w:val="center"/>
              <w:rPr>
                <w:rFonts w:ascii="宋体" w:hAnsi="宋体" w:cs="宋体"/>
                <w:color w:val="000000"/>
                <w:szCs w:val="21"/>
              </w:rPr>
            </w:pPr>
            <w:r>
              <w:rPr>
                <w:rFonts w:hint="eastAsia" w:ascii="宋体" w:hAnsi="宋体" w:cs="宋体"/>
                <w:color w:val="2F5597" w:themeColor="accent1" w:themeShade="BF"/>
                <w:szCs w:val="21"/>
              </w:rPr>
              <w:t>手写笔</w:t>
            </w:r>
          </w:p>
        </w:tc>
        <w:tc>
          <w:tcPr>
            <w:tcW w:w="992" w:type="dxa"/>
            <w:tcBorders>
              <w:top w:val="single" w:color="000000" w:sz="4" w:space="0"/>
              <w:left w:val="single" w:color="000000" w:sz="4" w:space="0"/>
              <w:bottom w:val="single" w:color="000000" w:sz="4" w:space="0"/>
              <w:right w:val="single" w:color="000000" w:sz="4" w:space="0"/>
            </w:tcBorders>
            <w:vAlign w:val="center"/>
          </w:tcPr>
          <w:p w14:paraId="5AF423EA">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条</w:t>
            </w:r>
          </w:p>
        </w:tc>
        <w:tc>
          <w:tcPr>
            <w:tcW w:w="1134" w:type="dxa"/>
            <w:tcBorders>
              <w:top w:val="single" w:color="000000" w:sz="4" w:space="0"/>
              <w:left w:val="single" w:color="000000" w:sz="4" w:space="0"/>
              <w:bottom w:val="single" w:color="000000" w:sz="4" w:space="0"/>
              <w:right w:val="single" w:color="000000" w:sz="4" w:space="0"/>
            </w:tcBorders>
            <w:vAlign w:val="center"/>
          </w:tcPr>
          <w:p w14:paraId="297735D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21</w:t>
            </w:r>
          </w:p>
        </w:tc>
        <w:tc>
          <w:tcPr>
            <w:tcW w:w="8738" w:type="dxa"/>
            <w:tcBorders>
              <w:top w:val="single" w:color="000000" w:sz="4" w:space="0"/>
              <w:left w:val="single" w:color="000000" w:sz="4" w:space="0"/>
              <w:bottom w:val="single" w:color="000000" w:sz="4" w:space="0"/>
              <w:right w:val="single" w:color="000000" w:sz="4" w:space="0"/>
            </w:tcBorders>
            <w:vAlign w:val="center"/>
          </w:tcPr>
          <w:p w14:paraId="133674C0">
            <w:pPr>
              <w:widowControl/>
              <w:jc w:val="left"/>
              <w:textAlignment w:val="center"/>
              <w:rPr>
                <w:rFonts w:ascii="宋体" w:hAnsi="宋体" w:cs="宋体"/>
                <w:color w:val="000000"/>
                <w:szCs w:val="21"/>
              </w:rPr>
            </w:pPr>
          </w:p>
          <w:p w14:paraId="5DD0C8CA">
            <w:pPr>
              <w:widowControl/>
              <w:jc w:val="left"/>
              <w:textAlignment w:val="center"/>
              <w:rPr>
                <w:rFonts w:ascii="宋体" w:hAnsi="宋体" w:cs="宋体"/>
                <w:color w:val="000000"/>
                <w:szCs w:val="21"/>
              </w:rPr>
            </w:pPr>
            <w:r>
              <w:rPr>
                <w:rFonts w:hint="eastAsia" w:ascii="宋体" w:hAnsi="宋体" w:cs="宋体"/>
                <w:color w:val="2F5597" w:themeColor="accent1" w:themeShade="BF"/>
                <w:szCs w:val="21"/>
              </w:rPr>
              <w:t>配套21台平板使用，配对后可实现手写功能，通过磁吸方式为手写笔充电，一个替换笔尖。双击切换，擦写自如。</w:t>
            </w:r>
          </w:p>
        </w:tc>
      </w:tr>
      <w:tr w14:paraId="354E26B1">
        <w:tblPrEx>
          <w:tblCellMar>
            <w:top w:w="0" w:type="dxa"/>
            <w:left w:w="108" w:type="dxa"/>
            <w:bottom w:w="0" w:type="dxa"/>
            <w:right w:w="108" w:type="dxa"/>
          </w:tblCellMar>
        </w:tblPrEx>
        <w:trPr>
          <w:trHeight w:val="255" w:hRule="atLeast"/>
          <w:jc w:val="center"/>
        </w:trPr>
        <w:tc>
          <w:tcPr>
            <w:tcW w:w="1007" w:type="dxa"/>
            <w:tcBorders>
              <w:top w:val="single" w:color="000000" w:sz="4" w:space="0"/>
              <w:left w:val="single" w:color="000000" w:sz="4" w:space="0"/>
              <w:bottom w:val="single" w:color="000000" w:sz="4" w:space="0"/>
              <w:right w:val="single" w:color="000000" w:sz="4" w:space="0"/>
            </w:tcBorders>
            <w:vAlign w:val="center"/>
          </w:tcPr>
          <w:p w14:paraId="643F4CDB">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ascii="宋体" w:hAnsi="宋体" w:cs="宋体"/>
                <w:color w:val="000000"/>
                <w:kern w:val="0"/>
                <w:szCs w:val="21"/>
                <w:lang w:bidi="ar"/>
              </w:rPr>
              <w:t>6</w:t>
            </w:r>
          </w:p>
        </w:tc>
        <w:tc>
          <w:tcPr>
            <w:tcW w:w="1417" w:type="dxa"/>
            <w:tcBorders>
              <w:top w:val="single" w:color="000000" w:sz="4" w:space="0"/>
              <w:left w:val="single" w:color="000000" w:sz="4" w:space="0"/>
              <w:bottom w:val="single" w:color="000000" w:sz="4" w:space="0"/>
              <w:right w:val="single" w:color="000000" w:sz="4" w:space="0"/>
            </w:tcBorders>
            <w:vAlign w:val="center"/>
          </w:tcPr>
          <w:p w14:paraId="60A7456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安装调试</w:t>
            </w:r>
          </w:p>
        </w:tc>
        <w:tc>
          <w:tcPr>
            <w:tcW w:w="992" w:type="dxa"/>
            <w:tcBorders>
              <w:top w:val="single" w:color="000000" w:sz="4" w:space="0"/>
              <w:left w:val="single" w:color="000000" w:sz="4" w:space="0"/>
              <w:bottom w:val="single" w:color="000000" w:sz="4" w:space="0"/>
              <w:right w:val="single" w:color="000000" w:sz="4" w:space="0"/>
            </w:tcBorders>
            <w:vAlign w:val="center"/>
          </w:tcPr>
          <w:p w14:paraId="6C2DC02D">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1134" w:type="dxa"/>
            <w:tcBorders>
              <w:top w:val="single" w:color="000000" w:sz="4" w:space="0"/>
              <w:left w:val="single" w:color="000000" w:sz="4" w:space="0"/>
              <w:bottom w:val="single" w:color="000000" w:sz="4" w:space="0"/>
              <w:right w:val="single" w:color="000000" w:sz="4" w:space="0"/>
            </w:tcBorders>
            <w:vAlign w:val="center"/>
          </w:tcPr>
          <w:p w14:paraId="58817E9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8738" w:type="dxa"/>
            <w:tcBorders>
              <w:top w:val="single" w:color="000000" w:sz="4" w:space="0"/>
              <w:left w:val="single" w:color="000000" w:sz="4" w:space="0"/>
              <w:bottom w:val="single" w:color="000000" w:sz="4" w:space="0"/>
              <w:right w:val="single" w:color="000000" w:sz="4" w:space="0"/>
            </w:tcBorders>
            <w:vAlign w:val="center"/>
          </w:tcPr>
          <w:p w14:paraId="39B69913">
            <w:pPr>
              <w:rPr>
                <w:rFonts w:ascii="宋体" w:hAnsi="宋体" w:cs="宋体"/>
                <w:color w:val="000000"/>
                <w:szCs w:val="21"/>
              </w:rPr>
            </w:pPr>
            <w:r>
              <w:rPr>
                <w:rFonts w:hint="eastAsia" w:ascii="宋体" w:hAnsi="宋体" w:cs="宋体"/>
                <w:color w:val="000000"/>
                <w:szCs w:val="21"/>
              </w:rPr>
              <w:t>安装调试</w:t>
            </w:r>
          </w:p>
        </w:tc>
      </w:tr>
      <w:tr w14:paraId="70FAB470">
        <w:tblPrEx>
          <w:tblCellMar>
            <w:top w:w="0" w:type="dxa"/>
            <w:left w:w="108" w:type="dxa"/>
            <w:bottom w:w="0" w:type="dxa"/>
            <w:right w:w="108" w:type="dxa"/>
          </w:tblCellMar>
        </w:tblPrEx>
        <w:trPr>
          <w:trHeight w:val="510" w:hRule="atLeast"/>
          <w:jc w:val="center"/>
        </w:trPr>
        <w:tc>
          <w:tcPr>
            <w:tcW w:w="1007" w:type="dxa"/>
            <w:tcBorders>
              <w:top w:val="single" w:color="000000" w:sz="4" w:space="0"/>
              <w:left w:val="single" w:color="000000" w:sz="4" w:space="0"/>
              <w:bottom w:val="single" w:color="000000" w:sz="4" w:space="0"/>
              <w:right w:val="single" w:color="000000" w:sz="4" w:space="0"/>
            </w:tcBorders>
            <w:vAlign w:val="center"/>
          </w:tcPr>
          <w:p w14:paraId="7EFBC34D">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r>
              <w:rPr>
                <w:rFonts w:ascii="宋体" w:hAnsi="宋体" w:cs="宋体"/>
                <w:color w:val="000000"/>
                <w:kern w:val="0"/>
                <w:szCs w:val="21"/>
                <w:lang w:bidi="ar"/>
              </w:rPr>
              <w:t>7</w:t>
            </w:r>
          </w:p>
        </w:tc>
        <w:tc>
          <w:tcPr>
            <w:tcW w:w="1417" w:type="dxa"/>
            <w:tcBorders>
              <w:top w:val="single" w:color="000000" w:sz="4" w:space="0"/>
              <w:left w:val="single" w:color="000000" w:sz="4" w:space="0"/>
              <w:bottom w:val="single" w:color="000000" w:sz="4" w:space="0"/>
              <w:right w:val="single" w:color="000000" w:sz="4" w:space="0"/>
            </w:tcBorders>
            <w:vAlign w:val="center"/>
          </w:tcPr>
          <w:p w14:paraId="383B89F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安装辅材</w:t>
            </w:r>
          </w:p>
        </w:tc>
        <w:tc>
          <w:tcPr>
            <w:tcW w:w="992" w:type="dxa"/>
            <w:tcBorders>
              <w:top w:val="single" w:color="000000" w:sz="4" w:space="0"/>
              <w:left w:val="single" w:color="000000" w:sz="4" w:space="0"/>
              <w:bottom w:val="single" w:color="000000" w:sz="4" w:space="0"/>
              <w:right w:val="single" w:color="000000" w:sz="4" w:space="0"/>
            </w:tcBorders>
            <w:vAlign w:val="center"/>
          </w:tcPr>
          <w:p w14:paraId="0C254A75">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套</w:t>
            </w:r>
          </w:p>
        </w:tc>
        <w:tc>
          <w:tcPr>
            <w:tcW w:w="1134" w:type="dxa"/>
            <w:tcBorders>
              <w:top w:val="single" w:color="000000" w:sz="4" w:space="0"/>
              <w:left w:val="single" w:color="000000" w:sz="4" w:space="0"/>
              <w:bottom w:val="single" w:color="000000" w:sz="4" w:space="0"/>
              <w:right w:val="single" w:color="000000" w:sz="4" w:space="0"/>
            </w:tcBorders>
            <w:vAlign w:val="center"/>
          </w:tcPr>
          <w:p w14:paraId="6E38A77F">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8738" w:type="dxa"/>
            <w:tcBorders>
              <w:top w:val="single" w:color="000000" w:sz="4" w:space="0"/>
              <w:left w:val="single" w:color="000000" w:sz="4" w:space="0"/>
              <w:bottom w:val="single" w:color="000000" w:sz="4" w:space="0"/>
              <w:right w:val="single" w:color="000000" w:sz="4" w:space="0"/>
            </w:tcBorders>
            <w:vAlign w:val="center"/>
          </w:tcPr>
          <w:p w14:paraId="3DADCA0B">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网线.水晶头等施工辅材 。</w:t>
            </w:r>
          </w:p>
        </w:tc>
      </w:tr>
      <w:tr w14:paraId="298AB42F">
        <w:tblPrEx>
          <w:tblCellMar>
            <w:top w:w="0" w:type="dxa"/>
            <w:left w:w="108" w:type="dxa"/>
            <w:bottom w:w="0" w:type="dxa"/>
            <w:right w:w="108" w:type="dxa"/>
          </w:tblCellMar>
        </w:tblPrEx>
        <w:trPr>
          <w:trHeight w:val="510" w:hRule="atLeast"/>
          <w:jc w:val="center"/>
        </w:trPr>
        <w:tc>
          <w:tcPr>
            <w:tcW w:w="1007" w:type="dxa"/>
            <w:tcBorders>
              <w:top w:val="single" w:color="000000" w:sz="4" w:space="0"/>
              <w:left w:val="single" w:color="000000" w:sz="4" w:space="0"/>
              <w:bottom w:val="single" w:color="000000" w:sz="4" w:space="0"/>
              <w:right w:val="single" w:color="000000" w:sz="4" w:space="0"/>
            </w:tcBorders>
            <w:vAlign w:val="center"/>
          </w:tcPr>
          <w:p w14:paraId="5E509274">
            <w:pPr>
              <w:widowControl/>
              <w:jc w:val="left"/>
              <w:textAlignment w:val="center"/>
              <w:rPr>
                <w:rFonts w:hint="eastAsia"/>
                <w:szCs w:val="21"/>
              </w:rPr>
            </w:pPr>
          </w:p>
        </w:tc>
        <w:tc>
          <w:tcPr>
            <w:tcW w:w="12281" w:type="dxa"/>
            <w:gridSpan w:val="4"/>
            <w:tcBorders>
              <w:top w:val="single" w:color="000000" w:sz="4" w:space="0"/>
              <w:left w:val="single" w:color="000000" w:sz="4" w:space="0"/>
              <w:bottom w:val="single" w:color="000000" w:sz="4" w:space="0"/>
              <w:right w:val="single" w:color="000000" w:sz="4" w:space="0"/>
            </w:tcBorders>
            <w:vAlign w:val="center"/>
          </w:tcPr>
          <w:p w14:paraId="2694702A">
            <w:pPr>
              <w:widowControl/>
              <w:jc w:val="left"/>
              <w:textAlignment w:val="center"/>
              <w:rPr>
                <w:rFonts w:ascii="Arial" w:hAnsi="Arial" w:cs="Arial"/>
                <w:color w:val="000000"/>
                <w:kern w:val="0"/>
                <w:sz w:val="20"/>
                <w:szCs w:val="20"/>
                <w:lang w:bidi="ar"/>
              </w:rPr>
            </w:pPr>
            <w:r>
              <w:rPr>
                <w:rFonts w:hint="eastAsia"/>
                <w:szCs w:val="21"/>
              </w:rPr>
              <w:t>供应商报价需</w:t>
            </w:r>
            <w:r>
              <w:rPr>
                <w:rFonts w:hint="eastAsia" w:ascii="宋体" w:hAnsi="宋体" w:cs="宋体"/>
                <w:szCs w:val="21"/>
              </w:rPr>
              <w:t>包含货物价款、标准附件、备品备件、专用工具、辅材（含安装所需的HDMI线、音频线、PVC线槽等）、安装部署调试（包括但不限于各类设备的安装、系统集成、试运行、升级、软件匹配调试、培训等费用）、人工费、材料费、机械费、运卸费（含二次运输）、保管费等，采购人不再另行支付费用。</w:t>
            </w:r>
          </w:p>
        </w:tc>
      </w:tr>
    </w:tbl>
    <w:p w14:paraId="6327C669">
      <w:pPr>
        <w:rPr>
          <w:szCs w:val="21"/>
        </w:rPr>
      </w:pPr>
    </w:p>
    <w:p w14:paraId="34335120"/>
    <w:p w14:paraId="117534CE">
      <w:pPr>
        <w:pStyle w:val="6"/>
        <w:keepNext w:val="0"/>
        <w:keepLines w:val="0"/>
        <w:widowControl/>
        <w:suppressLineNumbers w:val="0"/>
        <w:shd w:val="clear" w:fill="FFFFFF"/>
        <w:spacing w:before="0" w:beforeAutospacing="0" w:after="0" w:afterAutospacing="0"/>
        <w:ind w:left="0" w:right="0" w:firstLine="480"/>
        <w:rPr>
          <w:rFonts w:hint="eastAsia" w:ascii="宋体" w:hAnsi="宋体" w:eastAsia="宋体" w:cs="宋体"/>
          <w:color w:val="333333"/>
          <w:sz w:val="21"/>
          <w:szCs w:val="21"/>
          <w:shd w:val="clear" w:fill="FFFFFF"/>
          <w:lang w:val="en-US"/>
        </w:rPr>
      </w:pPr>
    </w:p>
    <w:p w14:paraId="47D22F5C">
      <w:pPr>
        <w:keepNext w:val="0"/>
        <w:keepLines w:val="0"/>
        <w:widowControl w:val="0"/>
        <w:numPr>
          <w:ilvl w:val="0"/>
          <w:numId w:val="0"/>
        </w:numPr>
        <w:suppressLineNumbers w:val="0"/>
        <w:spacing w:before="0" w:beforeAutospacing="0" w:after="0" w:afterAutospacing="0"/>
        <w:ind w:leftChars="0" w:right="0" w:rightChars="0"/>
        <w:jc w:val="both"/>
        <w:rPr>
          <w:color w:val="FF0000"/>
          <w:sz w:val="20"/>
          <w:szCs w:val="21"/>
          <w:lang w:val="en-US" w:bidi="ar"/>
        </w:rPr>
      </w:pPr>
      <w:r>
        <w:rPr>
          <w:rFonts w:hint="eastAsia" w:cs="Times New Roman"/>
          <w:b/>
          <w:bCs/>
          <w:kern w:val="2"/>
          <w:sz w:val="21"/>
          <w:szCs w:val="21"/>
          <w:lang w:val="en-US" w:eastAsia="zh-CN" w:bidi="ar"/>
        </w:rPr>
        <w:t>2、</w:t>
      </w:r>
      <w:r>
        <w:rPr>
          <w:rFonts w:hint="default" w:ascii="Calibri" w:hAnsi="Calibri" w:eastAsia="宋体" w:cs="Times New Roman"/>
          <w:b/>
          <w:bCs/>
          <w:kern w:val="2"/>
          <w:sz w:val="21"/>
          <w:szCs w:val="21"/>
          <w:lang w:val="en-US" w:eastAsia="zh-CN" w:bidi="ar"/>
        </w:rPr>
        <w:t>B</w:t>
      </w:r>
      <w:r>
        <w:rPr>
          <w:rFonts w:hint="eastAsia" w:ascii="Calibri" w:hAnsi="Calibri" w:eastAsia="宋体" w:cs="宋体"/>
          <w:b/>
          <w:bCs/>
          <w:kern w:val="2"/>
          <w:sz w:val="21"/>
          <w:szCs w:val="21"/>
          <w:lang w:val="en-US" w:eastAsia="zh-CN" w:bidi="ar"/>
        </w:rPr>
        <w:t>分标（移动音响）：</w:t>
      </w:r>
      <w:r>
        <w:rPr>
          <w:rFonts w:hint="eastAsia" w:ascii="Calibri" w:hAnsi="Calibri" w:eastAsia="宋体" w:cs="宋体"/>
          <w:color w:val="FF0000"/>
          <w:kern w:val="2"/>
          <w:sz w:val="21"/>
          <w:szCs w:val="21"/>
          <w:lang w:val="en-US" w:eastAsia="zh-CN" w:bidi="ar"/>
        </w:rPr>
        <w:t>标</w:t>
      </w:r>
      <w:r>
        <w:rPr>
          <w:rFonts w:hint="default" w:ascii="Arial" w:hAnsi="Arial" w:eastAsia="宋体" w:cs="Arial"/>
          <w:i w:val="0"/>
          <w:iCs w:val="0"/>
          <w:color w:val="FF0000"/>
          <w:kern w:val="2"/>
          <w:sz w:val="20"/>
          <w:szCs w:val="21"/>
          <w:u w:val="none"/>
          <w:lang w:val="en-US" w:eastAsia="zh-CN" w:bidi="ar"/>
        </w:rPr>
        <w:t>▲</w:t>
      </w:r>
      <w:r>
        <w:rPr>
          <w:rFonts w:hint="eastAsia" w:ascii="Arial" w:hAnsi="Arial" w:eastAsia="宋体" w:cs="宋体"/>
          <w:i w:val="0"/>
          <w:iCs w:val="0"/>
          <w:color w:val="FF0000"/>
          <w:kern w:val="2"/>
          <w:sz w:val="20"/>
          <w:szCs w:val="21"/>
          <w:u w:val="none"/>
          <w:lang w:val="en-US" w:eastAsia="zh-CN" w:bidi="ar"/>
        </w:rPr>
        <w:t>为实质性响应参数，投标人须完全满足，否则视为无效投标。</w:t>
      </w:r>
    </w:p>
    <w:tbl>
      <w:tblPr>
        <w:tblStyle w:val="8"/>
        <w:tblW w:w="13770" w:type="dxa"/>
        <w:tblInd w:w="-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0"/>
        <w:gridCol w:w="1650"/>
        <w:gridCol w:w="1650"/>
        <w:gridCol w:w="8820"/>
      </w:tblGrid>
      <w:tr w14:paraId="7EC2B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C3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Cs w:val="21"/>
                <w:lang w:val="en-US"/>
              </w:rPr>
            </w:pPr>
            <w:r>
              <w:rPr>
                <w:rFonts w:hint="eastAsia" w:ascii="宋体" w:hAnsi="宋体" w:eastAsia="宋体" w:cs="宋体"/>
                <w:b/>
                <w:bCs/>
                <w:color w:val="000000"/>
                <w:kern w:val="0"/>
                <w:sz w:val="21"/>
                <w:szCs w:val="21"/>
                <w:lang w:val="en-US" w:eastAsia="zh-CN" w:bidi="ar"/>
              </w:rPr>
              <w:t>名称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D2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Cs w:val="21"/>
                <w:lang w:val="en-US"/>
              </w:rPr>
            </w:pPr>
            <w:r>
              <w:rPr>
                <w:rFonts w:hint="eastAsia" w:ascii="宋体" w:hAnsi="宋体" w:eastAsia="宋体" w:cs="宋体"/>
                <w:b/>
                <w:bCs/>
                <w:color w:val="000000"/>
                <w:kern w:val="0"/>
                <w:sz w:val="21"/>
                <w:szCs w:val="21"/>
                <w:lang w:val="en-US" w:eastAsia="zh-CN" w:bidi="ar"/>
              </w:rPr>
              <w:t>计量单位</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D2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Cs w:val="21"/>
                <w:lang w:val="en-US"/>
              </w:rPr>
            </w:pPr>
            <w:r>
              <w:rPr>
                <w:rFonts w:hint="eastAsia" w:ascii="宋体" w:hAnsi="宋体" w:eastAsia="宋体" w:cs="宋体"/>
                <w:b/>
                <w:bCs/>
                <w:color w:val="000000"/>
                <w:kern w:val="0"/>
                <w:sz w:val="21"/>
                <w:szCs w:val="21"/>
                <w:lang w:val="en-US" w:eastAsia="zh-CN" w:bidi="ar"/>
              </w:rPr>
              <w:t>数量</w:t>
            </w:r>
          </w:p>
        </w:tc>
        <w:tc>
          <w:tcPr>
            <w:tcW w:w="8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76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Cs w:val="21"/>
                <w:lang w:val="en-US"/>
              </w:rPr>
            </w:pPr>
            <w:r>
              <w:rPr>
                <w:rFonts w:hint="eastAsia" w:ascii="宋体" w:hAnsi="宋体" w:eastAsia="宋体" w:cs="宋体"/>
                <w:b/>
                <w:bCs/>
                <w:color w:val="000000"/>
                <w:kern w:val="2"/>
                <w:sz w:val="21"/>
                <w:szCs w:val="21"/>
                <w:lang w:val="en-US" w:eastAsia="zh-CN" w:bidi="ar"/>
              </w:rPr>
              <w:t>技术参数要求</w:t>
            </w:r>
          </w:p>
        </w:tc>
      </w:tr>
      <w:tr w14:paraId="13859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C8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便捷式音柱系统</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7D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82F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2</w:t>
            </w:r>
          </w:p>
        </w:tc>
        <w:tc>
          <w:tcPr>
            <w:tcW w:w="8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49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Cs w:val="21"/>
                <w:lang w:val="en-US"/>
              </w:rPr>
            </w:pPr>
            <w:r>
              <w:rPr>
                <w:rFonts w:hint="default" w:ascii="Arial" w:hAnsi="Arial" w:eastAsia="宋体" w:cs="Arial"/>
                <w:i w:val="0"/>
                <w:iCs w:val="0"/>
                <w:color w:val="000000"/>
                <w:kern w:val="2"/>
                <w:sz w:val="20"/>
                <w:szCs w:val="21"/>
                <w:u w:val="none"/>
                <w:lang w:val="en-US" w:eastAsia="zh-CN" w:bidi="ar"/>
              </w:rPr>
              <w:t>▲</w:t>
            </w:r>
            <w:r>
              <w:rPr>
                <w:rFonts w:hint="eastAsia" w:ascii="宋体" w:hAnsi="宋体" w:eastAsia="宋体" w:cs="宋体"/>
                <w:color w:val="000000"/>
                <w:kern w:val="0"/>
                <w:sz w:val="21"/>
                <w:szCs w:val="21"/>
                <w:lang w:val="en-US" w:eastAsia="zh-CN" w:bidi="ar"/>
              </w:rPr>
              <w:t>1.</w:t>
            </w:r>
            <w:r>
              <w:rPr>
                <w:rFonts w:hint="default" w:ascii="Arial" w:hAnsi="Arial" w:eastAsia="宋体" w:cs="Arial"/>
                <w:i w:val="0"/>
                <w:iCs w:val="0"/>
                <w:color w:val="FF0000"/>
                <w:kern w:val="2"/>
                <w:sz w:val="20"/>
                <w:szCs w:val="21"/>
                <w:u w:val="none"/>
                <w:lang w:val="en-US" w:eastAsia="zh-CN" w:bidi="ar"/>
              </w:rPr>
              <w:t xml:space="preserve"> </w:t>
            </w:r>
            <w:r>
              <w:rPr>
                <w:rFonts w:hint="eastAsia" w:ascii="宋体" w:hAnsi="宋体" w:eastAsia="宋体" w:cs="宋体"/>
                <w:color w:val="000000"/>
                <w:kern w:val="0"/>
                <w:sz w:val="21"/>
                <w:szCs w:val="21"/>
                <w:lang w:val="en-US" w:eastAsia="zh-CN" w:bidi="ar"/>
              </w:rPr>
              <w:t xml:space="preserve">M-A9有源音柱系统，频率响应范围：45Hz to 17kHz </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 xml:space="preserve">2.覆盖范围：130°x 20°， </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 xml:space="preserve">3.峰值声压级：141dB,  </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 xml:space="preserve">4.持续最大声压级：129dB,  </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 xml:space="preserve">5.系统类型：四分频，有源系统  </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 xml:space="preserve">6.分频频点：低频：150Hz, 中低频：130Hz to 400Hz 中频：130Hz to 2.5kHz 高频：2.5kHz </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 xml:space="preserve">7.喇叭单元：低音单元：1x 18, 中低音单元：12x3.5, 中音单元：6 x3.5 高音单元：4x0.5 </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 xml:space="preserve">8.箱体类型：低音：倒相箱  音柱(LF/MF):密闭箱体  音柱（HF）:带多层波导管阵列密闭箱体 </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 xml:space="preserve">9.功放类型：D类功放，带SMPS </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 xml:space="preserve">10.总功率：2000w  每通道：低音1000w ,重低音500w,中音250w,高音250w </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 xml:space="preserve">11.保护：短路保护，过热保护，过流保护，限压        </w:t>
            </w:r>
          </w:p>
        </w:tc>
      </w:tr>
      <w:tr w14:paraId="43B27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99D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调音台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62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4EF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1</w:t>
            </w:r>
          </w:p>
        </w:tc>
        <w:tc>
          <w:tcPr>
            <w:tcW w:w="8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443D">
            <w:pPr>
              <w:keepNext w:val="0"/>
              <w:keepLines w:val="0"/>
              <w:widowControl/>
              <w:suppressLineNumbers w:val="0"/>
              <w:shd w:val="clear" w:fill="FFFFFF"/>
              <w:spacing w:before="0" w:beforeAutospacing="1" w:after="0" w:afterAutospacing="1" w:line="390" w:lineRule="atLeast"/>
              <w:ind w:left="0" w:right="0"/>
              <w:jc w:val="left"/>
              <w:rPr>
                <w:rFonts w:hint="default" w:ascii="Arial" w:hAnsi="Arial" w:cs="Arial"/>
                <w:color w:val="333333"/>
                <w:kern w:val="0"/>
                <w:szCs w:val="21"/>
                <w:shd w:val="clear" w:fill="FFFFFF"/>
                <w:lang w:val="en-US"/>
              </w:rPr>
            </w:pPr>
            <w:r>
              <w:rPr>
                <w:rFonts w:hint="default" w:ascii="Arial" w:hAnsi="Arial" w:eastAsia="宋体" w:cs="Arial"/>
                <w:color w:val="333333"/>
                <w:kern w:val="0"/>
                <w:sz w:val="21"/>
                <w:szCs w:val="21"/>
                <w:shd w:val="clear" w:fill="FFFFFF"/>
                <w:lang w:val="en-US" w:eastAsia="zh-CN" w:bidi="ar"/>
              </w:rPr>
              <w:t>1.</w:t>
            </w:r>
            <w:r>
              <w:rPr>
                <w:rFonts w:hint="eastAsia" w:ascii="Arial" w:hAnsi="Arial" w:eastAsia="宋体" w:cs="Arial"/>
                <w:b/>
                <w:bCs/>
                <w:color w:val="333333"/>
                <w:kern w:val="0"/>
                <w:sz w:val="21"/>
                <w:szCs w:val="24"/>
                <w:shd w:val="clear" w:fill="FFFFFF"/>
                <w:lang w:val="en-US" w:eastAsia="zh-CN" w:bidi="ar"/>
              </w:rPr>
              <w:t>频率响应</w:t>
            </w:r>
            <w:r>
              <w:rPr>
                <w:rFonts w:hint="default" w:ascii="Arial" w:hAnsi="Arial" w:eastAsia="宋体" w:cs="Arial"/>
                <w:color w:val="333333"/>
                <w:kern w:val="0"/>
                <w:sz w:val="21"/>
                <w:szCs w:val="21"/>
                <w:shd w:val="clear" w:fill="FFFFFF"/>
                <w:lang w:val="en-US" w:eastAsia="zh-CN" w:bidi="ar"/>
              </w:rPr>
              <w:t>‌</w:t>
            </w:r>
            <w:r>
              <w:rPr>
                <w:rFonts w:hint="eastAsia" w:ascii="Arial" w:hAnsi="Arial" w:eastAsia="宋体" w:cs="Arial"/>
                <w:color w:val="333333"/>
                <w:kern w:val="0"/>
                <w:sz w:val="21"/>
                <w:szCs w:val="21"/>
                <w:shd w:val="clear" w:fill="FFFFFF"/>
                <w:lang w:val="en-US" w:eastAsia="zh-CN" w:bidi="ar"/>
              </w:rPr>
              <w:t>：话筒</w:t>
            </w:r>
            <w:r>
              <w:rPr>
                <w:rFonts w:hint="default" w:ascii="Arial" w:hAnsi="Arial" w:eastAsia="宋体" w:cs="Arial"/>
                <w:color w:val="333333"/>
                <w:kern w:val="0"/>
                <w:sz w:val="21"/>
                <w:szCs w:val="21"/>
                <w:shd w:val="clear" w:fill="FFFFFF"/>
                <w:lang w:val="en-US" w:eastAsia="zh-CN" w:bidi="ar"/>
              </w:rPr>
              <w:t>/</w:t>
            </w:r>
            <w:r>
              <w:rPr>
                <w:rFonts w:hint="eastAsia" w:ascii="Arial" w:hAnsi="Arial" w:eastAsia="宋体" w:cs="Arial"/>
                <w:color w:val="333333"/>
                <w:kern w:val="0"/>
                <w:sz w:val="21"/>
                <w:szCs w:val="21"/>
                <w:shd w:val="clear" w:fill="FFFFFF"/>
                <w:lang w:val="en-US" w:eastAsia="zh-CN" w:bidi="ar"/>
              </w:rPr>
              <w:t>线路输入到任何输出端</w:t>
            </w:r>
            <w:r>
              <w:rPr>
                <w:rFonts w:hint="default" w:ascii="Arial" w:hAnsi="Arial" w:eastAsia="宋体" w:cs="Arial"/>
                <w:color w:val="333333"/>
                <w:kern w:val="0"/>
                <w:sz w:val="21"/>
                <w:szCs w:val="21"/>
                <w:shd w:val="clear" w:fill="FFFFFF"/>
                <w:lang w:val="en-US" w:eastAsia="zh-CN" w:bidi="ar"/>
              </w:rPr>
              <w:t>±1.5dB</w:t>
            </w:r>
            <w:r>
              <w:rPr>
                <w:rFonts w:hint="eastAsia" w:ascii="Arial" w:hAnsi="Arial" w:eastAsia="宋体" w:cs="Arial"/>
                <w:color w:val="333333"/>
                <w:kern w:val="0"/>
                <w:sz w:val="21"/>
                <w:szCs w:val="21"/>
                <w:shd w:val="clear" w:fill="FFFFFF"/>
                <w:lang w:val="en-US" w:eastAsia="zh-CN" w:bidi="ar"/>
              </w:rPr>
              <w:t>，</w:t>
            </w:r>
            <w:r>
              <w:rPr>
                <w:rFonts w:hint="default" w:ascii="Arial" w:hAnsi="Arial" w:eastAsia="宋体" w:cs="Arial"/>
                <w:color w:val="333333"/>
                <w:kern w:val="0"/>
                <w:sz w:val="21"/>
                <w:szCs w:val="21"/>
                <w:shd w:val="clear" w:fill="FFFFFF"/>
                <w:lang w:val="en-US" w:eastAsia="zh-CN" w:bidi="ar"/>
              </w:rPr>
              <w:t>20Hz - 20kHz‌</w:t>
            </w:r>
            <w:r>
              <w:rPr>
                <w:rFonts w:hint="default" w:ascii="Arial" w:hAnsi="Arial" w:eastAsia="宋体" w:cs="Arial"/>
                <w:color w:val="333333"/>
                <w:kern w:val="0"/>
                <w:sz w:val="18"/>
                <w:szCs w:val="24"/>
                <w:shd w:val="clear" w:fill="FFFFFF"/>
                <w:lang w:val="en-US" w:eastAsia="zh-CN" w:bidi="ar"/>
              </w:rPr>
              <w:t>.</w:t>
            </w:r>
          </w:p>
          <w:p w14:paraId="086EAC2D">
            <w:pPr>
              <w:keepNext w:val="0"/>
              <w:keepLines w:val="0"/>
              <w:widowControl/>
              <w:suppressLineNumbers w:val="0"/>
              <w:shd w:val="clear" w:fill="FFFFFF"/>
              <w:spacing w:before="0" w:beforeAutospacing="1" w:after="0" w:afterAutospacing="1" w:line="390" w:lineRule="atLeast"/>
              <w:ind w:left="0" w:right="0"/>
              <w:jc w:val="left"/>
              <w:rPr>
                <w:rFonts w:hint="default" w:ascii="Arial" w:hAnsi="Arial" w:cs="Arial"/>
                <w:color w:val="333333"/>
                <w:kern w:val="0"/>
                <w:szCs w:val="21"/>
                <w:shd w:val="clear" w:fill="FFFFFF"/>
                <w:lang w:val="en-US"/>
              </w:rPr>
            </w:pPr>
            <w:r>
              <w:rPr>
                <w:rFonts w:hint="default" w:ascii="Arial" w:hAnsi="Arial" w:eastAsia="宋体" w:cs="Arial"/>
                <w:color w:val="333333"/>
                <w:kern w:val="0"/>
                <w:sz w:val="21"/>
                <w:szCs w:val="21"/>
                <w:shd w:val="clear" w:fill="FFFFFF"/>
                <w:lang w:val="en-US" w:eastAsia="zh-CN" w:bidi="ar"/>
              </w:rPr>
              <w:t>2.</w:t>
            </w:r>
            <w:r>
              <w:rPr>
                <w:rFonts w:hint="eastAsia" w:ascii="Arial" w:hAnsi="Arial" w:eastAsia="宋体" w:cs="Arial"/>
                <w:b/>
                <w:bCs/>
                <w:color w:val="333333"/>
                <w:kern w:val="0"/>
                <w:sz w:val="21"/>
                <w:szCs w:val="24"/>
                <w:shd w:val="clear" w:fill="FFFFFF"/>
                <w:lang w:val="en-US" w:eastAsia="zh-CN" w:bidi="ar"/>
              </w:rPr>
              <w:t>总谐波失真</w:t>
            </w:r>
            <w:r>
              <w:rPr>
                <w:rFonts w:hint="default" w:ascii="Arial" w:hAnsi="Arial" w:eastAsia="宋体" w:cs="Arial"/>
                <w:b/>
                <w:bCs/>
                <w:color w:val="333333"/>
                <w:kern w:val="0"/>
                <w:sz w:val="21"/>
                <w:szCs w:val="24"/>
                <w:shd w:val="clear" w:fill="FFFFFF"/>
                <w:lang w:val="en-US" w:eastAsia="zh-CN" w:bidi="ar"/>
              </w:rPr>
              <w:t>+</w:t>
            </w:r>
            <w:r>
              <w:rPr>
                <w:rFonts w:hint="eastAsia" w:ascii="Arial" w:hAnsi="Arial" w:eastAsia="宋体" w:cs="Arial"/>
                <w:b/>
                <w:bCs/>
                <w:color w:val="333333"/>
                <w:kern w:val="0"/>
                <w:sz w:val="21"/>
                <w:szCs w:val="24"/>
                <w:shd w:val="clear" w:fill="FFFFFF"/>
                <w:lang w:val="en-US" w:eastAsia="zh-CN" w:bidi="ar"/>
              </w:rPr>
              <w:t>噪声</w:t>
            </w:r>
            <w:r>
              <w:rPr>
                <w:rFonts w:hint="default" w:ascii="Arial" w:hAnsi="Arial" w:eastAsia="宋体" w:cs="Arial"/>
                <w:color w:val="333333"/>
                <w:kern w:val="0"/>
                <w:sz w:val="21"/>
                <w:szCs w:val="21"/>
                <w:shd w:val="clear" w:fill="FFFFFF"/>
                <w:lang w:val="en-US" w:eastAsia="zh-CN" w:bidi="ar"/>
              </w:rPr>
              <w:t>‌</w:t>
            </w:r>
            <w:r>
              <w:rPr>
                <w:rFonts w:hint="eastAsia" w:ascii="Arial" w:hAnsi="Arial" w:eastAsia="宋体" w:cs="Arial"/>
                <w:color w:val="333333"/>
                <w:kern w:val="0"/>
                <w:sz w:val="21"/>
                <w:szCs w:val="21"/>
                <w:shd w:val="clear" w:fill="FFFFFF"/>
                <w:lang w:val="en-US" w:eastAsia="zh-CN" w:bidi="ar"/>
              </w:rPr>
              <w:t>：话筒灵敏度</w:t>
            </w:r>
            <w:r>
              <w:rPr>
                <w:rFonts w:hint="default" w:ascii="Arial" w:hAnsi="Arial" w:eastAsia="宋体" w:cs="Arial"/>
                <w:color w:val="333333"/>
                <w:kern w:val="0"/>
                <w:sz w:val="21"/>
                <w:szCs w:val="21"/>
                <w:shd w:val="clear" w:fill="FFFFFF"/>
                <w:lang w:val="en-US" w:eastAsia="zh-CN" w:bidi="ar"/>
              </w:rPr>
              <w:t>-30dB</w:t>
            </w:r>
            <w:r>
              <w:rPr>
                <w:rFonts w:hint="eastAsia" w:ascii="Arial" w:hAnsi="Arial" w:eastAsia="宋体" w:cs="Arial"/>
                <w:color w:val="333333"/>
                <w:kern w:val="0"/>
                <w:sz w:val="21"/>
                <w:szCs w:val="21"/>
                <w:shd w:val="clear" w:fill="FFFFFF"/>
                <w:lang w:val="en-US" w:eastAsia="zh-CN" w:bidi="ar"/>
              </w:rPr>
              <w:t>、混音输出</w:t>
            </w:r>
            <w:r>
              <w:rPr>
                <w:rFonts w:hint="default" w:ascii="Arial" w:hAnsi="Arial" w:eastAsia="宋体" w:cs="Arial"/>
                <w:color w:val="333333"/>
                <w:kern w:val="0"/>
                <w:sz w:val="21"/>
                <w:szCs w:val="21"/>
                <w:shd w:val="clear" w:fill="FFFFFF"/>
                <w:lang w:val="en-US" w:eastAsia="zh-CN" w:bidi="ar"/>
              </w:rPr>
              <w:t>+14dBu&lt;0.02% @1kHz‌</w:t>
            </w:r>
            <w:r>
              <w:rPr>
                <w:rFonts w:hint="default" w:ascii="Arial" w:hAnsi="Arial" w:eastAsia="宋体" w:cs="Arial"/>
                <w:color w:val="333333"/>
                <w:kern w:val="0"/>
                <w:sz w:val="18"/>
                <w:szCs w:val="24"/>
                <w:shd w:val="clear" w:fill="FFFFFF"/>
                <w:lang w:val="en-US" w:eastAsia="zh-CN" w:bidi="ar"/>
              </w:rPr>
              <w:t>.</w:t>
            </w:r>
          </w:p>
          <w:p w14:paraId="539C371D">
            <w:pPr>
              <w:keepNext w:val="0"/>
              <w:keepLines w:val="0"/>
              <w:widowControl/>
              <w:suppressLineNumbers w:val="0"/>
              <w:shd w:val="clear" w:fill="FFFFFF"/>
              <w:spacing w:before="0" w:beforeAutospacing="1" w:after="0" w:afterAutospacing="1" w:line="390" w:lineRule="atLeast"/>
              <w:ind w:left="0" w:right="0"/>
              <w:jc w:val="left"/>
              <w:rPr>
                <w:rFonts w:hint="default" w:ascii="Arial" w:hAnsi="Arial" w:cs="Arial"/>
                <w:color w:val="333333"/>
                <w:kern w:val="0"/>
                <w:szCs w:val="21"/>
                <w:shd w:val="clear" w:fill="FFFFFF"/>
                <w:lang w:val="en-US"/>
              </w:rPr>
            </w:pPr>
            <w:r>
              <w:rPr>
                <w:rFonts w:hint="default" w:ascii="Arial" w:hAnsi="Arial" w:eastAsia="宋体" w:cs="Arial"/>
                <w:color w:val="333333"/>
                <w:kern w:val="0"/>
                <w:sz w:val="21"/>
                <w:szCs w:val="21"/>
                <w:shd w:val="clear" w:fill="FFFFFF"/>
                <w:lang w:val="en-US" w:eastAsia="zh-CN" w:bidi="ar"/>
              </w:rPr>
              <w:t>3.</w:t>
            </w:r>
            <w:r>
              <w:rPr>
                <w:rFonts w:hint="eastAsia" w:ascii="Arial" w:hAnsi="Arial" w:eastAsia="宋体" w:cs="Arial"/>
                <w:b/>
                <w:bCs/>
                <w:color w:val="333333"/>
                <w:kern w:val="0"/>
                <w:sz w:val="21"/>
                <w:szCs w:val="24"/>
                <w:shd w:val="clear" w:fill="FFFFFF"/>
                <w:lang w:val="en-US" w:eastAsia="zh-CN" w:bidi="ar"/>
              </w:rPr>
              <w:t>噪声水平</w:t>
            </w:r>
            <w:r>
              <w:rPr>
                <w:rFonts w:hint="default" w:ascii="Arial" w:hAnsi="Arial" w:eastAsia="宋体" w:cs="Arial"/>
                <w:color w:val="333333"/>
                <w:kern w:val="0"/>
                <w:sz w:val="21"/>
                <w:szCs w:val="21"/>
                <w:shd w:val="clear" w:fill="FFFFFF"/>
                <w:lang w:val="en-US" w:eastAsia="zh-CN" w:bidi="ar"/>
              </w:rPr>
              <w:t>‌</w:t>
            </w:r>
            <w:r>
              <w:rPr>
                <w:rFonts w:hint="eastAsia" w:ascii="Arial" w:hAnsi="Arial" w:eastAsia="宋体" w:cs="Arial"/>
                <w:color w:val="333333"/>
                <w:kern w:val="0"/>
                <w:sz w:val="21"/>
                <w:szCs w:val="21"/>
                <w:shd w:val="clear" w:fill="FFFFFF"/>
                <w:lang w:val="en-US" w:eastAsia="zh-CN" w:bidi="ar"/>
              </w:rPr>
              <w:t>：话筒输入等效噪声</w:t>
            </w:r>
            <w:r>
              <w:rPr>
                <w:rFonts w:hint="default" w:ascii="Arial" w:hAnsi="Arial" w:eastAsia="宋体" w:cs="Arial"/>
                <w:color w:val="333333"/>
                <w:kern w:val="0"/>
                <w:sz w:val="21"/>
                <w:szCs w:val="21"/>
                <w:shd w:val="clear" w:fill="FFFFFF"/>
                <w:lang w:val="en-US" w:eastAsia="zh-CN" w:bidi="ar"/>
              </w:rPr>
              <w:t>EIN(</w:t>
            </w:r>
            <w:r>
              <w:rPr>
                <w:rFonts w:hint="eastAsia" w:ascii="Arial" w:hAnsi="Arial" w:eastAsia="宋体" w:cs="Arial"/>
                <w:color w:val="333333"/>
                <w:kern w:val="0"/>
                <w:sz w:val="21"/>
                <w:szCs w:val="21"/>
                <w:shd w:val="clear" w:fill="FFFFFF"/>
                <w:lang w:val="en-US" w:eastAsia="zh-CN" w:bidi="ar"/>
              </w:rPr>
              <w:t>最大增益</w:t>
            </w:r>
            <w:r>
              <w:rPr>
                <w:rFonts w:hint="default" w:ascii="Arial" w:hAnsi="Arial" w:eastAsia="宋体" w:cs="Arial"/>
                <w:color w:val="333333"/>
                <w:kern w:val="0"/>
                <w:sz w:val="21"/>
                <w:szCs w:val="21"/>
                <w:shd w:val="clear" w:fill="FFFFFF"/>
                <w:lang w:val="en-US" w:eastAsia="zh-CN" w:bidi="ar"/>
              </w:rPr>
              <w:t>)-127dB (</w:t>
            </w:r>
            <w:r>
              <w:rPr>
                <w:rFonts w:hint="eastAsia" w:ascii="Arial" w:hAnsi="Arial" w:eastAsia="宋体" w:cs="Arial"/>
                <w:color w:val="333333"/>
                <w:kern w:val="0"/>
                <w:sz w:val="21"/>
                <w:szCs w:val="21"/>
                <w:shd w:val="clear" w:fill="FFFFFF"/>
                <w:lang w:val="en-US" w:eastAsia="zh-CN" w:bidi="ar"/>
              </w:rPr>
              <w:t>原阻抗</w:t>
            </w:r>
            <w:r>
              <w:rPr>
                <w:rFonts w:hint="default" w:ascii="Arial" w:hAnsi="Arial" w:eastAsia="宋体" w:cs="Arial"/>
                <w:color w:val="333333"/>
                <w:kern w:val="0"/>
                <w:sz w:val="21"/>
                <w:szCs w:val="21"/>
                <w:shd w:val="clear" w:fill="FFFFFF"/>
                <w:lang w:val="en-US" w:eastAsia="zh-CN" w:bidi="ar"/>
              </w:rPr>
              <w:t xml:space="preserve"> 150Ω)‌</w:t>
            </w:r>
            <w:r>
              <w:rPr>
                <w:rFonts w:hint="default" w:ascii="Arial" w:hAnsi="Arial" w:eastAsia="宋体" w:cs="Arial"/>
                <w:color w:val="333333"/>
                <w:kern w:val="0"/>
                <w:sz w:val="18"/>
                <w:szCs w:val="24"/>
                <w:shd w:val="clear" w:fill="FFFFFF"/>
                <w:lang w:val="en-US" w:eastAsia="zh-CN" w:bidi="ar"/>
              </w:rPr>
              <w:t>.</w:t>
            </w:r>
          </w:p>
          <w:p w14:paraId="5E7A59EF">
            <w:pPr>
              <w:keepNext w:val="0"/>
              <w:keepLines w:val="0"/>
              <w:widowControl/>
              <w:suppressLineNumbers w:val="0"/>
              <w:shd w:val="clear" w:fill="FFFFFF"/>
              <w:spacing w:before="0" w:beforeAutospacing="1" w:after="0" w:afterAutospacing="1" w:line="390" w:lineRule="atLeast"/>
              <w:ind w:left="0" w:right="0"/>
              <w:jc w:val="left"/>
              <w:rPr>
                <w:rFonts w:hint="default" w:ascii="Arial" w:hAnsi="Arial" w:cs="Arial"/>
                <w:color w:val="333333"/>
                <w:kern w:val="0"/>
                <w:szCs w:val="21"/>
                <w:shd w:val="clear" w:fill="FFFFFF"/>
                <w:lang w:val="en-US"/>
              </w:rPr>
            </w:pPr>
            <w:r>
              <w:rPr>
                <w:rFonts w:hint="default" w:ascii="Arial" w:hAnsi="Arial" w:eastAsia="宋体" w:cs="Arial"/>
                <w:color w:val="333333"/>
                <w:kern w:val="0"/>
                <w:sz w:val="21"/>
                <w:szCs w:val="21"/>
                <w:shd w:val="clear" w:fill="FFFFFF"/>
                <w:lang w:val="en-US" w:eastAsia="zh-CN" w:bidi="ar"/>
              </w:rPr>
              <w:t>4.</w:t>
            </w:r>
            <w:r>
              <w:rPr>
                <w:rFonts w:hint="eastAsia" w:ascii="Arial" w:hAnsi="Arial" w:eastAsia="宋体" w:cs="Arial"/>
                <w:b/>
                <w:bCs/>
                <w:color w:val="333333"/>
                <w:kern w:val="0"/>
                <w:sz w:val="21"/>
                <w:szCs w:val="24"/>
                <w:shd w:val="clear" w:fill="FFFFFF"/>
                <w:lang w:val="en-US" w:eastAsia="zh-CN" w:bidi="ar"/>
              </w:rPr>
              <w:t>输入</w:t>
            </w:r>
            <w:r>
              <w:rPr>
                <w:rFonts w:hint="default" w:ascii="Arial" w:hAnsi="Arial" w:eastAsia="宋体" w:cs="Arial"/>
                <w:b/>
                <w:bCs/>
                <w:color w:val="333333"/>
                <w:kern w:val="0"/>
                <w:sz w:val="21"/>
                <w:szCs w:val="24"/>
                <w:shd w:val="clear" w:fill="FFFFFF"/>
                <w:lang w:val="en-US" w:eastAsia="zh-CN" w:bidi="ar"/>
              </w:rPr>
              <w:t>/</w:t>
            </w:r>
            <w:r>
              <w:rPr>
                <w:rFonts w:hint="eastAsia" w:ascii="Arial" w:hAnsi="Arial" w:eastAsia="宋体" w:cs="Arial"/>
                <w:b/>
                <w:bCs/>
                <w:color w:val="333333"/>
                <w:kern w:val="0"/>
                <w:sz w:val="21"/>
                <w:szCs w:val="24"/>
                <w:shd w:val="clear" w:fill="FFFFFF"/>
                <w:lang w:val="en-US" w:eastAsia="zh-CN" w:bidi="ar"/>
              </w:rPr>
              <w:t>输出电平</w:t>
            </w:r>
            <w:r>
              <w:rPr>
                <w:rFonts w:hint="default" w:ascii="Arial" w:hAnsi="Arial" w:eastAsia="宋体" w:cs="Arial"/>
                <w:color w:val="333333"/>
                <w:kern w:val="0"/>
                <w:sz w:val="21"/>
                <w:szCs w:val="21"/>
                <w:shd w:val="clear" w:fill="FFFFFF"/>
                <w:lang w:val="en-US" w:eastAsia="zh-CN" w:bidi="ar"/>
              </w:rPr>
              <w:t>‌</w:t>
            </w:r>
            <w:r>
              <w:rPr>
                <w:rFonts w:hint="eastAsia" w:ascii="Arial" w:hAnsi="Arial" w:eastAsia="宋体" w:cs="Arial"/>
                <w:color w:val="333333"/>
                <w:kern w:val="0"/>
                <w:sz w:val="21"/>
                <w:szCs w:val="21"/>
                <w:shd w:val="clear" w:fill="FFFFFF"/>
                <w:lang w:val="en-US" w:eastAsia="zh-CN" w:bidi="ar"/>
              </w:rPr>
              <w:t>：话筒输入最大</w:t>
            </w:r>
            <w:r>
              <w:rPr>
                <w:rFonts w:hint="default" w:ascii="Arial" w:hAnsi="Arial" w:eastAsia="宋体" w:cs="Arial"/>
                <w:color w:val="333333"/>
                <w:kern w:val="0"/>
                <w:sz w:val="21"/>
                <w:szCs w:val="21"/>
                <w:shd w:val="clear" w:fill="FFFFFF"/>
                <w:lang w:val="en-US" w:eastAsia="zh-CN" w:bidi="ar"/>
              </w:rPr>
              <w:t>+15dBu</w:t>
            </w:r>
            <w:r>
              <w:rPr>
                <w:rFonts w:hint="eastAsia" w:ascii="Arial" w:hAnsi="Arial" w:eastAsia="宋体" w:cs="Arial"/>
                <w:color w:val="333333"/>
                <w:kern w:val="0"/>
                <w:sz w:val="21"/>
                <w:szCs w:val="21"/>
                <w:shd w:val="clear" w:fill="FFFFFF"/>
                <w:lang w:val="en-US" w:eastAsia="zh-CN" w:bidi="ar"/>
              </w:rPr>
              <w:t>，线路输入最大</w:t>
            </w:r>
            <w:r>
              <w:rPr>
                <w:rFonts w:hint="default" w:ascii="Arial" w:hAnsi="Arial" w:eastAsia="宋体" w:cs="Arial"/>
                <w:color w:val="333333"/>
                <w:kern w:val="0"/>
                <w:sz w:val="21"/>
                <w:szCs w:val="21"/>
                <w:shd w:val="clear" w:fill="FFFFFF"/>
                <w:lang w:val="en-US" w:eastAsia="zh-CN" w:bidi="ar"/>
              </w:rPr>
              <w:t>+30dBu</w:t>
            </w:r>
            <w:r>
              <w:rPr>
                <w:rFonts w:hint="eastAsia" w:ascii="Arial" w:hAnsi="Arial" w:eastAsia="宋体" w:cs="Arial"/>
                <w:color w:val="333333"/>
                <w:kern w:val="0"/>
                <w:sz w:val="21"/>
                <w:szCs w:val="21"/>
                <w:shd w:val="clear" w:fill="FFFFFF"/>
                <w:lang w:val="en-US" w:eastAsia="zh-CN" w:bidi="ar"/>
              </w:rPr>
              <w:t>，混音输出最大</w:t>
            </w:r>
            <w:r>
              <w:rPr>
                <w:rFonts w:hint="default" w:ascii="Arial" w:hAnsi="Arial" w:eastAsia="宋体" w:cs="Arial"/>
                <w:color w:val="333333"/>
                <w:kern w:val="0"/>
                <w:sz w:val="21"/>
                <w:szCs w:val="21"/>
                <w:shd w:val="clear" w:fill="FFFFFF"/>
                <w:lang w:val="en-US" w:eastAsia="zh-CN" w:bidi="ar"/>
              </w:rPr>
              <w:t>20dBu‌</w:t>
            </w:r>
            <w:r>
              <w:rPr>
                <w:rFonts w:hint="default" w:ascii="Arial" w:hAnsi="Arial" w:eastAsia="宋体" w:cs="Arial"/>
                <w:color w:val="333333"/>
                <w:kern w:val="0"/>
                <w:sz w:val="18"/>
                <w:szCs w:val="24"/>
                <w:shd w:val="clear" w:fill="FFFFFF"/>
                <w:lang w:val="en-US" w:eastAsia="zh-CN" w:bidi="ar"/>
              </w:rPr>
              <w:t>.</w:t>
            </w:r>
          </w:p>
          <w:p w14:paraId="70F9BAD0">
            <w:pPr>
              <w:keepNext w:val="0"/>
              <w:keepLines w:val="0"/>
              <w:widowControl/>
              <w:suppressLineNumbers w:val="0"/>
              <w:shd w:val="clear" w:fill="FFFFFF"/>
              <w:spacing w:before="0" w:beforeAutospacing="1" w:after="0" w:afterAutospacing="1" w:line="390" w:lineRule="atLeast"/>
              <w:ind w:left="0" w:right="0"/>
              <w:jc w:val="left"/>
              <w:rPr>
                <w:rFonts w:hint="default" w:ascii="Arial" w:hAnsi="Arial" w:cs="Arial"/>
                <w:color w:val="333333"/>
                <w:kern w:val="0"/>
                <w:szCs w:val="21"/>
                <w:shd w:val="clear" w:fill="FFFFFF"/>
                <w:lang w:val="en-US"/>
              </w:rPr>
            </w:pPr>
            <w:r>
              <w:rPr>
                <w:rFonts w:hint="default" w:ascii="Arial" w:hAnsi="Arial" w:eastAsia="宋体" w:cs="Arial"/>
                <w:color w:val="333333"/>
                <w:kern w:val="0"/>
                <w:sz w:val="21"/>
                <w:szCs w:val="21"/>
                <w:shd w:val="clear" w:fill="FFFFFF"/>
                <w:lang w:val="en-US" w:eastAsia="zh-CN" w:bidi="ar"/>
              </w:rPr>
              <w:t>5.</w:t>
            </w:r>
            <w:r>
              <w:rPr>
                <w:rFonts w:hint="default" w:ascii="Arial" w:hAnsi="Arial" w:eastAsia="宋体" w:cs="Arial"/>
                <w:b/>
                <w:bCs/>
                <w:color w:val="333333"/>
                <w:kern w:val="0"/>
                <w:sz w:val="21"/>
                <w:szCs w:val="24"/>
                <w:shd w:val="clear" w:fill="FFFFFF"/>
                <w:lang w:val="en-US" w:eastAsia="zh-CN" w:bidi="ar"/>
              </w:rPr>
              <w:t>EQ</w:t>
            </w:r>
            <w:r>
              <w:rPr>
                <w:rFonts w:hint="eastAsia" w:ascii="Arial" w:hAnsi="Arial" w:eastAsia="宋体" w:cs="Arial"/>
                <w:b/>
                <w:bCs/>
                <w:color w:val="333333"/>
                <w:kern w:val="0"/>
                <w:sz w:val="21"/>
                <w:szCs w:val="24"/>
                <w:shd w:val="clear" w:fill="FFFFFF"/>
                <w:lang w:val="en-US" w:eastAsia="zh-CN" w:bidi="ar"/>
              </w:rPr>
              <w:t>（等化器）</w:t>
            </w:r>
            <w:r>
              <w:rPr>
                <w:rFonts w:hint="default" w:ascii="Arial" w:hAnsi="Arial" w:eastAsia="宋体" w:cs="Arial"/>
                <w:color w:val="333333"/>
                <w:kern w:val="0"/>
                <w:sz w:val="21"/>
                <w:szCs w:val="21"/>
                <w:shd w:val="clear" w:fill="FFFFFF"/>
                <w:lang w:val="en-US" w:eastAsia="zh-CN" w:bidi="ar"/>
              </w:rPr>
              <w:t>‌</w:t>
            </w:r>
            <w:r>
              <w:rPr>
                <w:rFonts w:hint="eastAsia" w:ascii="Arial" w:hAnsi="Arial" w:eastAsia="宋体" w:cs="Arial"/>
                <w:color w:val="333333"/>
                <w:kern w:val="0"/>
                <w:sz w:val="21"/>
                <w:szCs w:val="21"/>
                <w:shd w:val="clear" w:fill="FFFFFF"/>
                <w:lang w:val="en-US" w:eastAsia="zh-CN" w:bidi="ar"/>
              </w:rPr>
              <w:t>：</w:t>
            </w:r>
            <w:r>
              <w:rPr>
                <w:rFonts w:hint="default" w:ascii="Arial" w:hAnsi="Arial" w:eastAsia="宋体" w:cs="Arial"/>
                <w:color w:val="333333"/>
                <w:kern w:val="0"/>
                <w:sz w:val="21"/>
                <w:szCs w:val="21"/>
                <w:shd w:val="clear" w:fill="FFFFFF"/>
                <w:lang w:val="en-US" w:eastAsia="zh-CN" w:bidi="ar"/>
              </w:rPr>
              <w:t>HF 12kHz ±15dB</w:t>
            </w:r>
            <w:r>
              <w:rPr>
                <w:rFonts w:hint="eastAsia" w:ascii="Arial" w:hAnsi="Arial" w:eastAsia="宋体" w:cs="Arial"/>
                <w:color w:val="333333"/>
                <w:kern w:val="0"/>
                <w:sz w:val="21"/>
                <w:szCs w:val="21"/>
                <w:shd w:val="clear" w:fill="FFFFFF"/>
                <w:lang w:val="en-US" w:eastAsia="zh-CN" w:bidi="ar"/>
              </w:rPr>
              <w:t>，</w:t>
            </w:r>
            <w:r>
              <w:rPr>
                <w:rFonts w:hint="default" w:ascii="Arial" w:hAnsi="Arial" w:eastAsia="宋体" w:cs="Arial"/>
                <w:color w:val="333333"/>
                <w:kern w:val="0"/>
                <w:sz w:val="21"/>
                <w:szCs w:val="21"/>
                <w:shd w:val="clear" w:fill="FFFFFF"/>
                <w:lang w:val="en-US" w:eastAsia="zh-CN" w:bidi="ar"/>
              </w:rPr>
              <w:t>MF 150Hz - 3.5kHz ±15dB</w:t>
            </w:r>
            <w:r>
              <w:rPr>
                <w:rFonts w:hint="eastAsia" w:ascii="Arial" w:hAnsi="Arial" w:eastAsia="宋体" w:cs="Arial"/>
                <w:color w:val="333333"/>
                <w:kern w:val="0"/>
                <w:sz w:val="21"/>
                <w:szCs w:val="21"/>
                <w:shd w:val="clear" w:fill="FFFFFF"/>
                <w:lang w:val="en-US" w:eastAsia="zh-CN" w:bidi="ar"/>
              </w:rPr>
              <w:t>，</w:t>
            </w:r>
            <w:r>
              <w:rPr>
                <w:rFonts w:hint="default" w:ascii="Arial" w:hAnsi="Arial" w:eastAsia="宋体" w:cs="Arial"/>
                <w:color w:val="333333"/>
                <w:kern w:val="0"/>
                <w:sz w:val="21"/>
                <w:szCs w:val="21"/>
                <w:shd w:val="clear" w:fill="FFFFFF"/>
                <w:lang w:val="en-US" w:eastAsia="zh-CN" w:bidi="ar"/>
              </w:rPr>
              <w:t>LF 80Hz ±15dB.</w:t>
            </w:r>
          </w:p>
          <w:p w14:paraId="5C17DC81">
            <w:pPr>
              <w:keepNext w:val="0"/>
              <w:keepLines w:val="0"/>
              <w:widowControl/>
              <w:suppressLineNumbers w:val="0"/>
              <w:shd w:val="clear" w:fill="FFFFFF"/>
              <w:spacing w:before="0" w:beforeAutospacing="1" w:after="0" w:afterAutospacing="1" w:line="390" w:lineRule="atLeast"/>
              <w:ind w:left="0" w:right="0"/>
              <w:jc w:val="left"/>
              <w:rPr>
                <w:rFonts w:hint="default" w:ascii="Arial" w:hAnsi="Arial" w:cs="Arial"/>
                <w:color w:val="333333"/>
                <w:kern w:val="0"/>
                <w:szCs w:val="21"/>
                <w:shd w:val="clear" w:fill="FFFFFF"/>
                <w:lang w:val="en-US"/>
              </w:rPr>
            </w:pPr>
            <w:r>
              <w:rPr>
                <w:rFonts w:hint="default" w:ascii="Arial" w:hAnsi="Arial" w:eastAsia="宋体" w:cs="Arial"/>
                <w:b/>
                <w:bCs/>
                <w:color w:val="333333"/>
                <w:kern w:val="0"/>
                <w:sz w:val="21"/>
                <w:szCs w:val="24"/>
                <w:shd w:val="clear" w:fill="FFFFFF"/>
                <w:lang w:val="en-US" w:eastAsia="zh-CN" w:bidi="ar"/>
              </w:rPr>
              <w:t>6.</w:t>
            </w:r>
            <w:r>
              <w:rPr>
                <w:rFonts w:hint="eastAsia" w:ascii="Arial" w:hAnsi="Arial" w:eastAsia="宋体" w:cs="Arial"/>
                <w:b/>
                <w:bCs/>
                <w:color w:val="333333"/>
                <w:kern w:val="0"/>
                <w:sz w:val="21"/>
                <w:szCs w:val="24"/>
                <w:shd w:val="clear" w:fill="FFFFFF"/>
                <w:lang w:val="en-US" w:eastAsia="zh-CN" w:bidi="ar"/>
              </w:rPr>
              <w:t>内置效果器</w:t>
            </w:r>
            <w:r>
              <w:rPr>
                <w:rFonts w:hint="default" w:ascii="Arial" w:hAnsi="Arial" w:eastAsia="宋体" w:cs="Arial"/>
                <w:color w:val="333333"/>
                <w:kern w:val="0"/>
                <w:sz w:val="21"/>
                <w:szCs w:val="21"/>
                <w:shd w:val="clear" w:fill="FFFFFF"/>
                <w:lang w:val="en-US" w:eastAsia="zh-CN" w:bidi="ar"/>
              </w:rPr>
              <w:t>‌</w:t>
            </w:r>
            <w:r>
              <w:rPr>
                <w:rFonts w:hint="eastAsia" w:ascii="Arial" w:hAnsi="Arial" w:eastAsia="宋体" w:cs="Arial"/>
                <w:color w:val="333333"/>
                <w:kern w:val="0"/>
                <w:sz w:val="21"/>
                <w:szCs w:val="21"/>
                <w:shd w:val="clear" w:fill="FFFFFF"/>
                <w:lang w:val="en-US" w:eastAsia="zh-CN" w:bidi="ar"/>
              </w:rPr>
              <w:t>：调音台内置</w:t>
            </w:r>
            <w:r>
              <w:rPr>
                <w:rFonts w:hint="eastAsia" w:ascii="Arial" w:hAnsi="Arial" w:eastAsia="宋体" w:cs="Arial"/>
                <w:color w:val="0000FF"/>
                <w:kern w:val="0"/>
                <w:sz w:val="21"/>
                <w:szCs w:val="24"/>
                <w:u w:val="single"/>
                <w:shd w:val="clear" w:fill="FFFFFF"/>
                <w:lang w:val="en-US" w:eastAsia="zh-CN" w:bidi="ar"/>
              </w:rPr>
              <w:t>莱思康</w:t>
            </w:r>
            <w:r>
              <w:rPr>
                <w:rFonts w:hint="eastAsia" w:ascii="Arial" w:hAnsi="Arial" w:eastAsia="宋体" w:cs="Arial"/>
                <w:color w:val="333333"/>
                <w:kern w:val="0"/>
                <w:sz w:val="21"/>
                <w:szCs w:val="21"/>
                <w:shd w:val="clear" w:fill="FFFFFF"/>
                <w:lang w:val="en-US" w:eastAsia="zh-CN" w:bidi="ar"/>
              </w:rPr>
              <w:t>效果器，提供</w:t>
            </w:r>
            <w:r>
              <w:rPr>
                <w:rFonts w:hint="default" w:ascii="Arial" w:hAnsi="Arial" w:eastAsia="宋体" w:cs="Arial"/>
                <w:color w:val="333333"/>
                <w:kern w:val="0"/>
                <w:sz w:val="21"/>
                <w:szCs w:val="21"/>
                <w:shd w:val="clear" w:fill="FFFFFF"/>
                <w:lang w:val="en-US" w:eastAsia="zh-CN" w:bidi="ar"/>
              </w:rPr>
              <w:t>32</w:t>
            </w:r>
            <w:r>
              <w:rPr>
                <w:rFonts w:hint="eastAsia" w:ascii="Arial" w:hAnsi="Arial" w:eastAsia="宋体" w:cs="Arial"/>
                <w:color w:val="333333"/>
                <w:kern w:val="0"/>
                <w:sz w:val="21"/>
                <w:szCs w:val="21"/>
                <w:shd w:val="clear" w:fill="FFFFFF"/>
                <w:lang w:val="en-US" w:eastAsia="zh-CN" w:bidi="ar"/>
              </w:rPr>
              <w:t>种混响、延时和合唱效果</w:t>
            </w:r>
            <w:r>
              <w:rPr>
                <w:rFonts w:hint="default" w:ascii="Arial" w:hAnsi="Arial" w:eastAsia="宋体" w:cs="Arial"/>
                <w:color w:val="333333"/>
                <w:kern w:val="0"/>
                <w:sz w:val="21"/>
                <w:szCs w:val="21"/>
                <w:shd w:val="clear" w:fill="FFFFFF"/>
                <w:lang w:val="en-US" w:eastAsia="zh-CN" w:bidi="ar"/>
              </w:rPr>
              <w:t>.</w:t>
            </w:r>
          </w:p>
          <w:p w14:paraId="1724214F">
            <w:pPr>
              <w:keepNext w:val="0"/>
              <w:keepLines w:val="0"/>
              <w:widowControl/>
              <w:suppressLineNumbers w:val="0"/>
              <w:shd w:val="clear" w:fill="FFFFFF"/>
              <w:spacing w:before="0" w:beforeAutospacing="1" w:after="0" w:afterAutospacing="1" w:line="390" w:lineRule="atLeast"/>
              <w:ind w:left="0" w:right="0"/>
              <w:jc w:val="left"/>
              <w:rPr>
                <w:rFonts w:hint="default" w:ascii="Arial" w:hAnsi="Arial" w:cs="Arial"/>
                <w:color w:val="333333"/>
                <w:kern w:val="0"/>
                <w:szCs w:val="21"/>
                <w:shd w:val="clear" w:fill="FFFFFF"/>
                <w:lang w:val="en-US"/>
              </w:rPr>
            </w:pPr>
            <w:r>
              <w:rPr>
                <w:rFonts w:hint="default" w:ascii="Arial" w:hAnsi="Arial" w:eastAsia="宋体" w:cs="Arial"/>
                <w:color w:val="333333"/>
                <w:kern w:val="0"/>
                <w:sz w:val="21"/>
                <w:szCs w:val="21"/>
                <w:shd w:val="clear" w:fill="FFFFFF"/>
                <w:lang w:val="en-US" w:eastAsia="zh-CN" w:bidi="ar"/>
              </w:rPr>
              <w:t>7.</w:t>
            </w:r>
            <w:r>
              <w:rPr>
                <w:rFonts w:hint="eastAsia" w:ascii="Arial" w:hAnsi="Arial" w:eastAsia="宋体" w:cs="Arial"/>
                <w:b/>
                <w:bCs/>
                <w:color w:val="333333"/>
                <w:kern w:val="0"/>
                <w:sz w:val="21"/>
                <w:szCs w:val="24"/>
                <w:shd w:val="clear" w:fill="FFFFFF"/>
                <w:lang w:val="en-US" w:eastAsia="zh-CN" w:bidi="ar"/>
              </w:rPr>
              <w:t>机架安装</w:t>
            </w:r>
            <w:r>
              <w:rPr>
                <w:rFonts w:hint="default" w:ascii="Arial" w:hAnsi="Arial" w:eastAsia="宋体" w:cs="Arial"/>
                <w:color w:val="333333"/>
                <w:kern w:val="0"/>
                <w:sz w:val="21"/>
                <w:szCs w:val="21"/>
                <w:shd w:val="clear" w:fill="FFFFFF"/>
                <w:lang w:val="en-US" w:eastAsia="zh-CN" w:bidi="ar"/>
              </w:rPr>
              <w:t>‌</w:t>
            </w:r>
            <w:r>
              <w:rPr>
                <w:rFonts w:hint="eastAsia" w:ascii="Arial" w:hAnsi="Arial" w:eastAsia="宋体" w:cs="Arial"/>
                <w:color w:val="333333"/>
                <w:kern w:val="0"/>
                <w:sz w:val="21"/>
                <w:szCs w:val="21"/>
                <w:shd w:val="clear" w:fill="FFFFFF"/>
                <w:lang w:val="en-US" w:eastAsia="zh-CN" w:bidi="ar"/>
              </w:rPr>
              <w:t>：调音台可以轻松转换为机架安装，占用标准机架的</w:t>
            </w:r>
            <w:r>
              <w:rPr>
                <w:rFonts w:hint="default" w:ascii="Arial" w:hAnsi="Arial" w:eastAsia="宋体" w:cs="Arial"/>
                <w:color w:val="333333"/>
                <w:kern w:val="0"/>
                <w:sz w:val="21"/>
                <w:szCs w:val="21"/>
                <w:shd w:val="clear" w:fill="FFFFFF"/>
                <w:lang w:val="en-US" w:eastAsia="zh-CN" w:bidi="ar"/>
              </w:rPr>
              <w:t>8U</w:t>
            </w:r>
            <w:r>
              <w:rPr>
                <w:rFonts w:hint="eastAsia" w:ascii="Arial" w:hAnsi="Arial" w:eastAsia="宋体" w:cs="Arial"/>
                <w:color w:val="333333"/>
                <w:kern w:val="0"/>
                <w:sz w:val="21"/>
                <w:szCs w:val="21"/>
                <w:shd w:val="clear" w:fill="FFFFFF"/>
                <w:lang w:val="en-US" w:eastAsia="zh-CN" w:bidi="ar"/>
              </w:rPr>
              <w:t>高度</w:t>
            </w:r>
            <w:r>
              <w:rPr>
                <w:rFonts w:hint="default" w:ascii="Arial" w:hAnsi="Arial" w:eastAsia="宋体" w:cs="Arial"/>
                <w:color w:val="333333"/>
                <w:kern w:val="0"/>
                <w:sz w:val="21"/>
                <w:szCs w:val="21"/>
                <w:shd w:val="clear" w:fill="FFFFFF"/>
                <w:lang w:val="en-US" w:eastAsia="zh-CN" w:bidi="ar"/>
              </w:rPr>
              <w:t>‌.</w:t>
            </w:r>
          </w:p>
          <w:p w14:paraId="4A6C8E9C">
            <w:pPr>
              <w:keepNext w:val="0"/>
              <w:keepLines w:val="0"/>
              <w:widowControl/>
              <w:suppressLineNumbers w:val="0"/>
              <w:shd w:val="clear" w:fill="FFFFFF"/>
              <w:spacing w:before="0" w:beforeAutospacing="1" w:after="0" w:afterAutospacing="1" w:line="390" w:lineRule="atLeast"/>
              <w:ind w:left="0" w:right="0"/>
              <w:jc w:val="left"/>
              <w:rPr>
                <w:rFonts w:hint="default" w:ascii="Arial" w:hAnsi="Arial" w:cs="Arial"/>
                <w:color w:val="333333"/>
                <w:kern w:val="0"/>
                <w:szCs w:val="21"/>
                <w:shd w:val="clear" w:fill="FFFFFF"/>
                <w:lang w:val="en-US"/>
              </w:rPr>
            </w:pPr>
            <w:r>
              <w:rPr>
                <w:rFonts w:hint="default" w:ascii="Arial" w:hAnsi="Arial" w:eastAsia="宋体" w:cs="Arial"/>
                <w:b/>
                <w:bCs/>
                <w:color w:val="333333"/>
                <w:kern w:val="0"/>
                <w:sz w:val="21"/>
                <w:szCs w:val="24"/>
                <w:shd w:val="clear" w:fill="FFFFFF"/>
                <w:lang w:val="en-US" w:eastAsia="zh-CN" w:bidi="ar"/>
              </w:rPr>
              <w:t>8.</w:t>
            </w:r>
            <w:r>
              <w:rPr>
                <w:rFonts w:hint="eastAsia" w:ascii="Arial" w:hAnsi="Arial" w:eastAsia="宋体" w:cs="Arial"/>
                <w:b/>
                <w:bCs/>
                <w:color w:val="333333"/>
                <w:kern w:val="0"/>
                <w:sz w:val="21"/>
                <w:szCs w:val="24"/>
                <w:shd w:val="clear" w:fill="FFFFFF"/>
                <w:lang w:val="en-US" w:eastAsia="zh-CN" w:bidi="ar"/>
              </w:rPr>
              <w:t>应用范围</w:t>
            </w:r>
            <w:r>
              <w:rPr>
                <w:rFonts w:hint="default" w:ascii="Arial" w:hAnsi="Arial" w:eastAsia="宋体" w:cs="Arial"/>
                <w:color w:val="333333"/>
                <w:kern w:val="0"/>
                <w:sz w:val="21"/>
                <w:szCs w:val="21"/>
                <w:shd w:val="clear" w:fill="FFFFFF"/>
                <w:lang w:val="en-US" w:eastAsia="zh-CN" w:bidi="ar"/>
              </w:rPr>
              <w:t>‌</w:t>
            </w:r>
            <w:r>
              <w:rPr>
                <w:rFonts w:hint="eastAsia" w:ascii="Arial" w:hAnsi="Arial" w:eastAsia="宋体" w:cs="Arial"/>
                <w:color w:val="333333"/>
                <w:kern w:val="0"/>
                <w:sz w:val="21"/>
                <w:szCs w:val="21"/>
                <w:shd w:val="clear" w:fill="FFFFFF"/>
                <w:lang w:val="en-US" w:eastAsia="zh-CN" w:bidi="ar"/>
              </w:rPr>
              <w:t>：适用于小型场地、会议室、现场录音、实况演出等</w:t>
            </w:r>
            <w:r>
              <w:rPr>
                <w:rFonts w:hint="default" w:ascii="Arial" w:hAnsi="Arial" w:eastAsia="宋体" w:cs="Arial"/>
                <w:color w:val="333333"/>
                <w:kern w:val="0"/>
                <w:sz w:val="21"/>
                <w:szCs w:val="21"/>
                <w:shd w:val="clear" w:fill="FFFFFF"/>
                <w:lang w:val="en-US" w:eastAsia="zh-CN" w:bidi="ar"/>
              </w:rPr>
              <w:t>.</w:t>
            </w:r>
          </w:p>
          <w:p w14:paraId="0E1673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Cs w:val="21"/>
                <w:lang w:val="en-US"/>
              </w:rPr>
            </w:pPr>
          </w:p>
        </w:tc>
      </w:tr>
      <w:tr w14:paraId="3881C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0D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无线手持话筒</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4A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支</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127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4</w:t>
            </w:r>
          </w:p>
        </w:tc>
        <w:tc>
          <w:tcPr>
            <w:tcW w:w="8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E1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bidi="ar"/>
              </w:rPr>
            </w:pPr>
            <w:r>
              <w:rPr>
                <w:rFonts w:hint="default" w:ascii="Arial" w:hAnsi="Arial" w:eastAsia="宋体" w:cs="Arial"/>
                <w:i w:val="0"/>
                <w:iCs w:val="0"/>
                <w:color w:val="000000"/>
                <w:kern w:val="2"/>
                <w:sz w:val="20"/>
                <w:szCs w:val="21"/>
                <w:u w:val="none"/>
                <w:lang w:val="en-US" w:eastAsia="zh-CN" w:bidi="ar"/>
              </w:rPr>
              <w:t>▲1.</w:t>
            </w:r>
            <w:r>
              <w:rPr>
                <w:rFonts w:hint="eastAsia" w:ascii="宋体" w:hAnsi="宋体" w:eastAsia="宋体" w:cs="宋体"/>
                <w:color w:val="000000"/>
                <w:kern w:val="0"/>
                <w:sz w:val="21"/>
                <w:szCs w:val="24"/>
                <w:lang w:val="en-US" w:eastAsia="zh-CN" w:bidi="ar"/>
              </w:rPr>
              <w:t>系统音频频率响应范围</w:t>
            </w:r>
            <w:r>
              <w:rPr>
                <w:rFonts w:hint="eastAsia" w:ascii="宋体" w:hAnsi="宋体" w:eastAsia="宋体" w:cs="宋体"/>
                <w:color w:val="000000"/>
                <w:kern w:val="0"/>
                <w:sz w:val="21"/>
                <w:szCs w:val="21"/>
                <w:lang w:val="en-US" w:eastAsia="zh-CN" w:bidi="ar"/>
              </w:rPr>
              <w:t>：100HZ-10000HZ.投标时提供第三方检测报告并加盖公章.</w:t>
            </w:r>
          </w:p>
          <w:p w14:paraId="7B8B76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bidi="ar"/>
              </w:rPr>
            </w:pPr>
            <w:r>
              <w:rPr>
                <w:rFonts w:hint="default" w:ascii="Arial" w:hAnsi="Arial" w:eastAsia="宋体" w:cs="Arial"/>
                <w:i w:val="0"/>
                <w:iCs w:val="0"/>
                <w:color w:val="000000"/>
                <w:kern w:val="2"/>
                <w:sz w:val="20"/>
                <w:szCs w:val="21"/>
                <w:u w:val="none"/>
                <w:lang w:val="en-US" w:eastAsia="zh-CN" w:bidi="ar"/>
              </w:rPr>
              <w:t>▲2.</w:t>
            </w:r>
            <w:r>
              <w:rPr>
                <w:rFonts w:hint="eastAsia" w:ascii="宋体" w:hAnsi="宋体" w:eastAsia="宋体" w:cs="宋体"/>
                <w:color w:val="000000"/>
                <w:kern w:val="0"/>
                <w:sz w:val="21"/>
                <w:szCs w:val="21"/>
                <w:lang w:val="en-US" w:eastAsia="zh-CN" w:bidi="ar"/>
              </w:rPr>
              <w:t>系统总谐波失真＜5%.投标时提供第三方检测报告并加盖公章.</w:t>
            </w:r>
          </w:p>
          <w:p w14:paraId="0C3DD4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bidi="ar"/>
              </w:rPr>
            </w:pPr>
            <w:r>
              <w:rPr>
                <w:rFonts w:hint="default" w:ascii="Arial" w:hAnsi="Arial" w:eastAsia="宋体" w:cs="Arial"/>
                <w:i w:val="0"/>
                <w:iCs w:val="0"/>
                <w:color w:val="000000"/>
                <w:kern w:val="2"/>
                <w:sz w:val="20"/>
                <w:szCs w:val="21"/>
                <w:u w:val="none"/>
                <w:lang w:val="en-US" w:eastAsia="zh-CN" w:bidi="ar"/>
              </w:rPr>
              <w:t>▲3.</w:t>
            </w:r>
            <w:r>
              <w:rPr>
                <w:rFonts w:hint="eastAsia" w:ascii="宋体" w:hAnsi="宋体" w:eastAsia="宋体" w:cs="宋体"/>
                <w:color w:val="000000"/>
                <w:kern w:val="0"/>
                <w:sz w:val="21"/>
                <w:szCs w:val="21"/>
                <w:lang w:val="en-US" w:eastAsia="zh-CN" w:bidi="ar"/>
              </w:rPr>
              <w:t>系统信噪比≥50dB. 投标时提供第三方检测报告并加盖公章.</w:t>
            </w:r>
          </w:p>
          <w:p w14:paraId="655454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bidi="ar"/>
              </w:rPr>
            </w:pPr>
            <w:r>
              <w:rPr>
                <w:rFonts w:hint="eastAsia" w:ascii="宋体" w:hAnsi="宋体" w:eastAsia="宋体" w:cs="宋体"/>
                <w:color w:val="000000"/>
                <w:kern w:val="0"/>
                <w:sz w:val="21"/>
                <w:szCs w:val="21"/>
                <w:lang w:val="en-US" w:eastAsia="zh-CN" w:bidi="ar"/>
              </w:rPr>
              <w:t>接收机：</w:t>
            </w:r>
          </w:p>
          <w:p w14:paraId="2E0AB0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bidi="ar"/>
              </w:rPr>
            </w:pPr>
            <w:r>
              <w:rPr>
                <w:rFonts w:hint="eastAsia" w:ascii="宋体" w:hAnsi="宋体" w:eastAsia="宋体" w:cs="宋体"/>
                <w:color w:val="000000"/>
                <w:kern w:val="0"/>
                <w:sz w:val="21"/>
                <w:szCs w:val="21"/>
                <w:lang w:val="en-US" w:eastAsia="zh-CN" w:bidi="ar"/>
              </w:rPr>
              <w:t>1.无线双通道接收机，真分集接收设计</w:t>
            </w:r>
          </w:p>
          <w:p w14:paraId="72579C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bidi="ar"/>
              </w:rPr>
            </w:pPr>
            <w:r>
              <w:rPr>
                <w:rFonts w:hint="eastAsia" w:ascii="宋体" w:hAnsi="宋体" w:eastAsia="宋体" w:cs="宋体"/>
                <w:color w:val="000000"/>
                <w:kern w:val="0"/>
                <w:sz w:val="21"/>
                <w:szCs w:val="21"/>
                <w:lang w:val="en-US" w:eastAsia="zh-CN" w:bidi="ar"/>
              </w:rPr>
              <w:t>2.高分辨率大液晶点阵显示</w:t>
            </w:r>
          </w:p>
          <w:p w14:paraId="421A82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bidi="ar"/>
              </w:rPr>
            </w:pPr>
            <w:r>
              <w:rPr>
                <w:rFonts w:hint="eastAsia" w:ascii="宋体" w:hAnsi="宋体" w:eastAsia="宋体" w:cs="宋体"/>
                <w:color w:val="000000"/>
                <w:kern w:val="0"/>
                <w:sz w:val="21"/>
                <w:szCs w:val="21"/>
                <w:lang w:val="en-US" w:eastAsia="zh-CN" w:bidi="ar"/>
              </w:rPr>
              <w:t>3.可靠的射频性能，以及简便的设置</w:t>
            </w:r>
          </w:p>
          <w:p w14:paraId="380797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bidi="ar"/>
              </w:rPr>
            </w:pPr>
            <w:r>
              <w:rPr>
                <w:rFonts w:hint="eastAsia" w:ascii="宋体" w:hAnsi="宋体" w:eastAsia="宋体" w:cs="宋体"/>
                <w:color w:val="000000"/>
                <w:kern w:val="0"/>
                <w:sz w:val="21"/>
                <w:szCs w:val="21"/>
                <w:lang w:val="en-US" w:eastAsia="zh-CN" w:bidi="ar"/>
              </w:rPr>
              <w:t>4.出色的音色还原，满足中小型演出、固定安装项目。</w:t>
            </w:r>
          </w:p>
          <w:p w14:paraId="30092A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bidi="ar"/>
              </w:rPr>
            </w:pPr>
            <w:r>
              <w:rPr>
                <w:rFonts w:hint="eastAsia" w:ascii="宋体" w:hAnsi="宋体" w:eastAsia="宋体" w:cs="宋体"/>
                <w:color w:val="000000"/>
                <w:kern w:val="0"/>
                <w:sz w:val="21"/>
                <w:szCs w:val="21"/>
                <w:lang w:val="en-US" w:eastAsia="zh-CN" w:bidi="ar"/>
              </w:rPr>
              <w:t>5.频率范围：650-700MHz</w:t>
            </w:r>
          </w:p>
          <w:p w14:paraId="1EC4BD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bidi="ar"/>
              </w:rPr>
            </w:pPr>
            <w:r>
              <w:rPr>
                <w:rFonts w:hint="eastAsia" w:ascii="宋体" w:hAnsi="宋体" w:eastAsia="宋体" w:cs="宋体"/>
                <w:color w:val="000000"/>
                <w:kern w:val="0"/>
                <w:sz w:val="21"/>
                <w:szCs w:val="21"/>
                <w:lang w:val="en-US" w:eastAsia="zh-CN" w:bidi="ar"/>
              </w:rPr>
              <w:t>6.最大频道数：99+66</w:t>
            </w:r>
          </w:p>
          <w:p w14:paraId="6CD1D9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bidi="ar"/>
              </w:rPr>
            </w:pPr>
            <w:r>
              <w:rPr>
                <w:rFonts w:hint="eastAsia" w:ascii="宋体" w:hAnsi="宋体" w:eastAsia="宋体" w:cs="宋体"/>
                <w:color w:val="000000"/>
                <w:kern w:val="0"/>
                <w:sz w:val="21"/>
                <w:szCs w:val="21"/>
                <w:lang w:val="en-US" w:eastAsia="zh-CN" w:bidi="ar"/>
              </w:rPr>
              <w:t>7.最大频率个数：1000+1001</w:t>
            </w:r>
          </w:p>
          <w:p w14:paraId="6C7065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bidi="ar"/>
              </w:rPr>
            </w:pPr>
            <w:r>
              <w:rPr>
                <w:rFonts w:hint="eastAsia" w:ascii="宋体" w:hAnsi="宋体" w:eastAsia="宋体" w:cs="宋体"/>
                <w:color w:val="000000"/>
                <w:kern w:val="0"/>
                <w:sz w:val="21"/>
                <w:szCs w:val="21"/>
                <w:lang w:val="en-US" w:eastAsia="zh-CN" w:bidi="ar"/>
              </w:rPr>
              <w:t>8.频带宽度：25MHz+25MHz</w:t>
            </w:r>
          </w:p>
          <w:p w14:paraId="05AACF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bidi="ar"/>
              </w:rPr>
            </w:pPr>
            <w:r>
              <w:rPr>
                <w:rFonts w:hint="eastAsia" w:ascii="宋体" w:hAnsi="宋体" w:eastAsia="宋体" w:cs="宋体"/>
                <w:color w:val="000000"/>
                <w:kern w:val="0"/>
                <w:sz w:val="21"/>
                <w:szCs w:val="21"/>
                <w:lang w:val="en-US" w:eastAsia="zh-CN" w:bidi="ar"/>
              </w:rPr>
              <w:t>9.接收灵敏度：&lt;-95dBm for 30dB S/N Ra</w:t>
            </w:r>
          </w:p>
          <w:p w14:paraId="0EC7B2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bidi="ar"/>
              </w:rPr>
            </w:pPr>
            <w:r>
              <w:rPr>
                <w:rFonts w:hint="eastAsia" w:ascii="宋体" w:hAnsi="宋体" w:eastAsia="宋体" w:cs="宋体"/>
                <w:color w:val="000000"/>
                <w:kern w:val="0"/>
                <w:sz w:val="21"/>
                <w:szCs w:val="21"/>
                <w:lang w:val="en-US" w:eastAsia="zh-CN" w:bidi="ar"/>
              </w:rPr>
              <w:t>10.最大频偏：+/-60KHz</w:t>
            </w:r>
          </w:p>
          <w:p w14:paraId="71F6C1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bidi="ar"/>
              </w:rPr>
            </w:pPr>
            <w:r>
              <w:rPr>
                <w:rFonts w:hint="eastAsia" w:ascii="宋体" w:hAnsi="宋体" w:eastAsia="宋体" w:cs="宋体"/>
                <w:color w:val="000000"/>
                <w:kern w:val="0"/>
                <w:sz w:val="21"/>
                <w:szCs w:val="21"/>
                <w:lang w:val="en-US" w:eastAsia="zh-CN" w:bidi="ar"/>
              </w:rPr>
              <w:t>11.频率响应：50~15KHz(±3dB)</w:t>
            </w:r>
          </w:p>
          <w:p w14:paraId="15B693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bidi="ar"/>
              </w:rPr>
            </w:pPr>
            <w:r>
              <w:rPr>
                <w:rFonts w:hint="eastAsia" w:ascii="宋体" w:hAnsi="宋体" w:eastAsia="宋体" w:cs="宋体"/>
                <w:color w:val="000000"/>
                <w:kern w:val="0"/>
                <w:sz w:val="21"/>
                <w:szCs w:val="21"/>
                <w:lang w:val="en-US" w:eastAsia="zh-CN" w:bidi="ar"/>
              </w:rPr>
              <w:t>12.信噪比：&gt;102dB(A)</w:t>
            </w:r>
          </w:p>
          <w:p w14:paraId="32BE42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bidi="ar"/>
              </w:rPr>
            </w:pPr>
            <w:r>
              <w:rPr>
                <w:rFonts w:hint="eastAsia" w:ascii="宋体" w:hAnsi="宋体" w:eastAsia="宋体" w:cs="宋体"/>
                <w:color w:val="000000"/>
                <w:kern w:val="0"/>
                <w:sz w:val="21"/>
                <w:szCs w:val="21"/>
                <w:lang w:val="en-US" w:eastAsia="zh-CN" w:bidi="ar"/>
              </w:rPr>
              <w:t>13.失真度：&lt;0.6% to 1KHz</w:t>
            </w:r>
          </w:p>
          <w:p w14:paraId="396AC6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bidi="ar"/>
              </w:rPr>
            </w:pPr>
            <w:r>
              <w:rPr>
                <w:rFonts w:hint="eastAsia" w:ascii="宋体" w:hAnsi="宋体" w:eastAsia="宋体" w:cs="宋体"/>
                <w:color w:val="000000"/>
                <w:kern w:val="0"/>
                <w:sz w:val="21"/>
                <w:szCs w:val="21"/>
                <w:lang w:val="en-US" w:eastAsia="zh-CN" w:bidi="ar"/>
              </w:rPr>
              <w:t>14.动态范围：&gt;105dB</w:t>
            </w:r>
          </w:p>
          <w:p w14:paraId="35169F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bidi="ar"/>
              </w:rPr>
            </w:pPr>
            <w:r>
              <w:rPr>
                <w:rFonts w:hint="eastAsia" w:ascii="宋体" w:hAnsi="宋体" w:eastAsia="宋体" w:cs="宋体"/>
                <w:color w:val="000000"/>
                <w:kern w:val="0"/>
                <w:sz w:val="21"/>
                <w:szCs w:val="21"/>
                <w:lang w:val="en-US" w:eastAsia="zh-CN" w:bidi="ar"/>
              </w:rPr>
              <w:t>15.音频插座：XLR+jack</w:t>
            </w:r>
          </w:p>
          <w:p w14:paraId="373B61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bidi="ar"/>
              </w:rPr>
            </w:pPr>
            <w:r>
              <w:rPr>
                <w:rFonts w:hint="eastAsia" w:ascii="宋体" w:hAnsi="宋体" w:eastAsia="宋体" w:cs="宋体"/>
                <w:color w:val="000000"/>
                <w:kern w:val="0"/>
                <w:sz w:val="21"/>
                <w:szCs w:val="21"/>
                <w:lang w:val="en-US" w:eastAsia="zh-CN" w:bidi="ar"/>
              </w:rPr>
              <w:t>16.天线插座：2 BNC,50Ω</w:t>
            </w:r>
          </w:p>
          <w:p w14:paraId="0A4DB4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bidi="ar"/>
              </w:rPr>
            </w:pPr>
            <w:r>
              <w:rPr>
                <w:rFonts w:hint="eastAsia" w:ascii="宋体" w:hAnsi="宋体" w:eastAsia="宋体" w:cs="宋体"/>
                <w:color w:val="000000"/>
                <w:kern w:val="0"/>
                <w:sz w:val="21"/>
                <w:szCs w:val="21"/>
                <w:lang w:val="en-US" w:eastAsia="zh-CN" w:bidi="ar"/>
              </w:rPr>
              <w:t>17.音频输出电平：&gt;+8dBu max</w:t>
            </w:r>
          </w:p>
          <w:p w14:paraId="2CED97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bidi="ar"/>
              </w:rPr>
            </w:pPr>
            <w:r>
              <w:rPr>
                <w:rFonts w:hint="eastAsia" w:ascii="宋体" w:hAnsi="宋体" w:eastAsia="宋体" w:cs="宋体"/>
                <w:color w:val="000000"/>
                <w:kern w:val="0"/>
                <w:sz w:val="21"/>
                <w:szCs w:val="21"/>
                <w:lang w:val="en-US" w:eastAsia="zh-CN" w:bidi="ar"/>
              </w:rPr>
              <w:t>18.电源：12V  DC /500mA</w:t>
            </w:r>
          </w:p>
          <w:p w14:paraId="56EF89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bidi="ar"/>
              </w:rPr>
            </w:pPr>
            <w:r>
              <w:rPr>
                <w:rFonts w:hint="eastAsia" w:ascii="宋体" w:hAnsi="宋体" w:eastAsia="宋体" w:cs="宋体"/>
                <w:color w:val="000000"/>
                <w:kern w:val="0"/>
                <w:sz w:val="21"/>
                <w:szCs w:val="21"/>
                <w:lang w:val="en-US" w:eastAsia="zh-CN" w:bidi="ar"/>
              </w:rPr>
              <w:t>手持话筒：</w:t>
            </w:r>
          </w:p>
          <w:p w14:paraId="4AE676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bidi="ar"/>
              </w:rPr>
            </w:pPr>
            <w:r>
              <w:rPr>
                <w:rFonts w:hint="eastAsia" w:ascii="宋体" w:hAnsi="宋体" w:eastAsia="宋体" w:cs="宋体"/>
                <w:color w:val="000000"/>
                <w:kern w:val="0"/>
                <w:sz w:val="21"/>
                <w:szCs w:val="21"/>
                <w:lang w:val="en-US" w:eastAsia="zh-CN" w:bidi="ar"/>
              </w:rPr>
              <w:t>1.频率范围：650-700MHz</w:t>
            </w:r>
          </w:p>
          <w:p w14:paraId="70D80B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bidi="ar"/>
              </w:rPr>
            </w:pPr>
            <w:r>
              <w:rPr>
                <w:rFonts w:hint="eastAsia" w:ascii="宋体" w:hAnsi="宋体" w:eastAsia="宋体" w:cs="宋体"/>
                <w:color w:val="000000"/>
                <w:kern w:val="0"/>
                <w:sz w:val="21"/>
                <w:szCs w:val="21"/>
                <w:lang w:val="en-US" w:eastAsia="zh-CN" w:bidi="ar"/>
              </w:rPr>
              <w:t>2.最大频道数：99+66</w:t>
            </w:r>
          </w:p>
          <w:p w14:paraId="39D751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bidi="ar"/>
              </w:rPr>
            </w:pPr>
            <w:r>
              <w:rPr>
                <w:rFonts w:hint="eastAsia" w:ascii="宋体" w:hAnsi="宋体" w:eastAsia="宋体" w:cs="宋体"/>
                <w:color w:val="000000"/>
                <w:kern w:val="0"/>
                <w:sz w:val="21"/>
                <w:szCs w:val="21"/>
                <w:lang w:val="en-US" w:eastAsia="zh-CN" w:bidi="ar"/>
              </w:rPr>
              <w:t>3.输出功率：30mW/10mW/2mW</w:t>
            </w:r>
          </w:p>
          <w:p w14:paraId="27AEC4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bidi="ar"/>
              </w:rPr>
            </w:pPr>
            <w:r>
              <w:rPr>
                <w:rFonts w:hint="eastAsia" w:ascii="宋体" w:hAnsi="宋体" w:eastAsia="宋体" w:cs="宋体"/>
                <w:color w:val="000000"/>
                <w:kern w:val="0"/>
                <w:sz w:val="21"/>
                <w:szCs w:val="21"/>
                <w:lang w:val="en-US" w:eastAsia="zh-CN" w:bidi="ar"/>
              </w:rPr>
              <w:t>4.辐射功率：&gt;8dBm</w:t>
            </w:r>
          </w:p>
          <w:p w14:paraId="5D86DE0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bidi="ar"/>
              </w:rPr>
            </w:pPr>
            <w:r>
              <w:rPr>
                <w:rFonts w:hint="eastAsia" w:ascii="宋体" w:hAnsi="宋体" w:eastAsia="宋体" w:cs="宋体"/>
                <w:color w:val="000000"/>
                <w:kern w:val="0"/>
                <w:sz w:val="21"/>
                <w:szCs w:val="21"/>
                <w:lang w:val="en-US" w:eastAsia="zh-CN" w:bidi="ar"/>
              </w:rPr>
              <w:t>5.副波抑制：&gt;50dBc</w:t>
            </w:r>
          </w:p>
          <w:p w14:paraId="691856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bidi="ar"/>
              </w:rPr>
            </w:pPr>
            <w:r>
              <w:rPr>
                <w:rFonts w:hint="eastAsia" w:ascii="宋体" w:hAnsi="宋体" w:eastAsia="宋体" w:cs="宋体"/>
                <w:color w:val="000000"/>
                <w:kern w:val="0"/>
                <w:sz w:val="21"/>
                <w:szCs w:val="21"/>
                <w:lang w:val="en-US" w:eastAsia="zh-CN" w:bidi="ar"/>
              </w:rPr>
              <w:t>6.频带宽度：50MHz</w:t>
            </w:r>
          </w:p>
          <w:p w14:paraId="361BD1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bidi="ar"/>
              </w:rPr>
            </w:pPr>
            <w:r>
              <w:rPr>
                <w:rFonts w:hint="eastAsia" w:ascii="宋体" w:hAnsi="宋体" w:eastAsia="宋体" w:cs="宋体"/>
                <w:color w:val="000000"/>
                <w:kern w:val="0"/>
                <w:sz w:val="21"/>
                <w:szCs w:val="21"/>
                <w:lang w:val="en-US" w:eastAsia="zh-CN" w:bidi="ar"/>
              </w:rPr>
              <w:t>7.最大调制深度：+/-60KHz</w:t>
            </w:r>
          </w:p>
          <w:p w14:paraId="40D2F8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bidi="ar"/>
              </w:rPr>
            </w:pPr>
            <w:r>
              <w:rPr>
                <w:rFonts w:hint="eastAsia" w:ascii="宋体" w:hAnsi="宋体" w:eastAsia="宋体" w:cs="宋体"/>
                <w:color w:val="000000"/>
                <w:kern w:val="0"/>
                <w:sz w:val="21"/>
                <w:szCs w:val="21"/>
                <w:lang w:val="en-US" w:eastAsia="zh-CN" w:bidi="ar"/>
              </w:rPr>
              <w:t>8.频率响应：50~15KHz（±3dB）</w:t>
            </w:r>
          </w:p>
          <w:p w14:paraId="622A30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bidi="ar"/>
              </w:rPr>
            </w:pPr>
            <w:r>
              <w:rPr>
                <w:rFonts w:hint="eastAsia" w:ascii="宋体" w:hAnsi="宋体" w:eastAsia="宋体" w:cs="宋体"/>
                <w:color w:val="000000"/>
                <w:kern w:val="0"/>
                <w:sz w:val="21"/>
                <w:szCs w:val="21"/>
                <w:lang w:val="en-US" w:eastAsia="zh-CN" w:bidi="ar"/>
              </w:rPr>
              <w:t>9.信噪比：&gt;102dB（A）</w:t>
            </w:r>
          </w:p>
          <w:p w14:paraId="27820B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bidi="ar"/>
              </w:rPr>
            </w:pPr>
            <w:r>
              <w:rPr>
                <w:rFonts w:hint="eastAsia" w:ascii="宋体" w:hAnsi="宋体" w:eastAsia="宋体" w:cs="宋体"/>
                <w:color w:val="000000"/>
                <w:kern w:val="0"/>
                <w:sz w:val="21"/>
                <w:szCs w:val="21"/>
                <w:lang w:val="en-US" w:eastAsia="zh-CN" w:bidi="ar"/>
              </w:rPr>
              <w:t>10.失真度：&lt;0.6% to 1KHz</w:t>
            </w:r>
          </w:p>
          <w:p w14:paraId="664232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bidi="ar"/>
              </w:rPr>
            </w:pPr>
            <w:r>
              <w:rPr>
                <w:rFonts w:hint="eastAsia" w:ascii="宋体" w:hAnsi="宋体" w:eastAsia="宋体" w:cs="宋体"/>
                <w:color w:val="000000"/>
                <w:kern w:val="0"/>
                <w:sz w:val="21"/>
                <w:szCs w:val="21"/>
                <w:lang w:val="en-US" w:eastAsia="zh-CN" w:bidi="ar"/>
              </w:rPr>
              <w:t>11.增益调节范围：27dB</w:t>
            </w:r>
          </w:p>
          <w:p w14:paraId="7B27CA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bidi="ar"/>
              </w:rPr>
            </w:pPr>
            <w:r>
              <w:rPr>
                <w:rFonts w:hint="eastAsia" w:ascii="宋体" w:hAnsi="宋体" w:eastAsia="宋体" w:cs="宋体"/>
                <w:color w:val="000000"/>
                <w:kern w:val="0"/>
                <w:sz w:val="21"/>
                <w:szCs w:val="21"/>
                <w:lang w:val="en-US" w:eastAsia="zh-CN" w:bidi="ar"/>
              </w:rPr>
              <w:t>12.电源：2*1.5V（AA）</w:t>
            </w:r>
          </w:p>
          <w:p w14:paraId="53278E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bidi="ar"/>
              </w:rPr>
            </w:pPr>
            <w:r>
              <w:rPr>
                <w:rFonts w:hint="eastAsia" w:ascii="宋体" w:hAnsi="宋体" w:eastAsia="宋体" w:cs="宋体"/>
                <w:color w:val="000000"/>
                <w:kern w:val="0"/>
                <w:sz w:val="21"/>
                <w:szCs w:val="21"/>
                <w:lang w:val="en-US" w:eastAsia="zh-CN" w:bidi="ar"/>
              </w:rPr>
              <w:t>13.电池使用时间：&gt;8H/按1300mA计算</w:t>
            </w:r>
          </w:p>
          <w:p w14:paraId="24E6A1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Cs w:val="21"/>
                <w:lang w:val="en-US" w:bidi="ar"/>
              </w:rPr>
            </w:pPr>
            <w:r>
              <w:rPr>
                <w:rFonts w:hint="eastAsia" w:ascii="宋体" w:hAnsi="宋体" w:eastAsia="宋体" w:cs="宋体"/>
                <w:color w:val="000000"/>
                <w:kern w:val="0"/>
                <w:sz w:val="21"/>
                <w:szCs w:val="21"/>
                <w:lang w:val="en-US" w:eastAsia="zh-CN" w:bidi="ar"/>
              </w:rPr>
              <w:t>14.体积（包括话筒头）：256*50mm(直径）</w:t>
            </w:r>
          </w:p>
          <w:p w14:paraId="3966E4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br w:type="textWrapping"/>
            </w:r>
          </w:p>
        </w:tc>
      </w:tr>
      <w:tr w14:paraId="325DD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B5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航空箱</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DB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只</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8CD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2</w:t>
            </w:r>
          </w:p>
        </w:tc>
        <w:tc>
          <w:tcPr>
            <w:tcW w:w="8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92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 xml:space="preserve">航空箱：木结构板材 </w:t>
            </w:r>
          </w:p>
        </w:tc>
      </w:tr>
      <w:tr w14:paraId="0C638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23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电源线</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B1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A2C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3</w:t>
            </w:r>
          </w:p>
        </w:tc>
        <w:tc>
          <w:tcPr>
            <w:tcW w:w="8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F0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 xml:space="preserve">单相三线电缆 </w:t>
            </w:r>
          </w:p>
        </w:tc>
      </w:tr>
      <w:tr w14:paraId="50592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29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信号跳线</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41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1CA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3</w:t>
            </w:r>
          </w:p>
        </w:tc>
        <w:tc>
          <w:tcPr>
            <w:tcW w:w="8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03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 xml:space="preserve">卡农线 </w:t>
            </w:r>
          </w:p>
        </w:tc>
      </w:tr>
      <w:tr w14:paraId="2F2BA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4D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音响连接线</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81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E57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2</w:t>
            </w:r>
          </w:p>
        </w:tc>
        <w:tc>
          <w:tcPr>
            <w:tcW w:w="8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70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 xml:space="preserve">带屏蔽音响成品线 50米/条 </w:t>
            </w:r>
          </w:p>
        </w:tc>
      </w:tr>
      <w:tr w14:paraId="129E3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37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E37FE2">
            <w:pPr>
              <w:keepNext w:val="0"/>
              <w:keepLines w:val="0"/>
              <w:widowControl/>
              <w:suppressLineNumbers w:val="0"/>
              <w:spacing w:before="0" w:beforeAutospacing="0" w:after="0" w:afterAutospacing="0"/>
              <w:ind w:left="0" w:right="0"/>
              <w:jc w:val="left"/>
              <w:textAlignment w:val="center"/>
              <w:rPr>
                <w:rFonts w:hint="default" w:ascii="Arial" w:hAnsi="Arial" w:cs="Arial"/>
                <w:color w:val="000000"/>
                <w:kern w:val="0"/>
                <w:sz w:val="20"/>
                <w:szCs w:val="20"/>
                <w:lang w:val="en-US" w:bidi="ar"/>
              </w:rPr>
            </w:pPr>
            <w:r>
              <w:rPr>
                <w:rFonts w:hint="eastAsia" w:ascii="Calibri" w:hAnsi="Calibri" w:eastAsia="宋体" w:cs="宋体"/>
                <w:kern w:val="2"/>
                <w:sz w:val="21"/>
                <w:szCs w:val="21"/>
                <w:lang w:val="en-US" w:eastAsia="zh-CN" w:bidi="ar"/>
              </w:rPr>
              <w:t>供应商报价需</w:t>
            </w:r>
            <w:r>
              <w:rPr>
                <w:rFonts w:hint="eastAsia" w:ascii="宋体" w:hAnsi="宋体" w:eastAsia="宋体" w:cs="宋体"/>
                <w:kern w:val="2"/>
                <w:sz w:val="21"/>
                <w:szCs w:val="21"/>
                <w:lang w:val="en-US" w:eastAsia="zh-CN" w:bidi="ar"/>
              </w:rPr>
              <w:t>包含货物价款、标准附件、备品备件、专用工具、辅材（含安装所需的HDMI线、音频线、PVC线槽等）、安装部署调试（包括但不限于各类设备的安装、系统集成、试运行、升级、软件匹配调试、培训等费用）、人工费、材料费、机械费、运卸费（含二次运输）、保管费等，采购人不再另行支付费用。</w:t>
            </w:r>
          </w:p>
        </w:tc>
      </w:tr>
    </w:tbl>
    <w:p w14:paraId="243A8F81">
      <w:pPr>
        <w:keepNext w:val="0"/>
        <w:keepLines w:val="0"/>
        <w:widowControl w:val="0"/>
        <w:suppressLineNumbers w:val="0"/>
        <w:spacing w:before="0" w:beforeAutospacing="0" w:after="0" w:afterAutospacing="0"/>
        <w:ind w:left="0" w:right="0"/>
        <w:jc w:val="both"/>
        <w:rPr>
          <w:color w:val="FF0000"/>
          <w:sz w:val="20"/>
          <w:szCs w:val="21"/>
          <w:lang w:val="en-US" w:bidi="ar"/>
        </w:rPr>
      </w:pPr>
    </w:p>
    <w:p w14:paraId="45D829B2">
      <w:pPr>
        <w:keepNext w:val="0"/>
        <w:keepLines w:val="0"/>
        <w:widowControl w:val="0"/>
        <w:suppressLineNumbers w:val="0"/>
        <w:spacing w:before="0" w:beforeAutospacing="0" w:after="0" w:afterAutospacing="0"/>
        <w:ind w:left="0" w:right="0"/>
        <w:jc w:val="both"/>
        <w:rPr>
          <w:szCs w:val="21"/>
          <w:lang w:val="en-US"/>
        </w:rPr>
      </w:pPr>
    </w:p>
    <w:p w14:paraId="1B93633B">
      <w:pPr>
        <w:keepNext w:val="0"/>
        <w:keepLines w:val="0"/>
        <w:widowControl w:val="0"/>
        <w:suppressLineNumbers w:val="0"/>
        <w:spacing w:before="0" w:beforeAutospacing="0" w:after="0" w:afterAutospacing="0"/>
        <w:ind w:left="0" w:right="0"/>
        <w:jc w:val="both"/>
        <w:rPr>
          <w:szCs w:val="21"/>
          <w:lang w:val="en-US"/>
        </w:rPr>
      </w:pPr>
    </w:p>
    <w:p w14:paraId="4DB402D0">
      <w:pPr>
        <w:keepNext w:val="0"/>
        <w:keepLines w:val="0"/>
        <w:widowControl w:val="0"/>
        <w:suppressLineNumbers w:val="0"/>
        <w:spacing w:before="0" w:beforeAutospacing="0" w:after="0" w:afterAutospacing="0"/>
        <w:ind w:left="0" w:right="0"/>
        <w:jc w:val="both"/>
        <w:rPr>
          <w:lang w:val="en-US"/>
        </w:rPr>
      </w:pPr>
    </w:p>
    <w:p w14:paraId="3924EB88"/>
    <w:p w14:paraId="14D4EFE9"/>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B7E3FE"/>
    <w:multiLevelType w:val="singleLevel"/>
    <w:tmpl w:val="38B7E3FE"/>
    <w:lvl w:ilvl="0" w:tentative="0">
      <w:start w:val="1"/>
      <w:numFmt w:val="chineseCounting"/>
      <w:suff w:val="nothing"/>
      <w:lvlText w:val="%1、"/>
      <w:lvlJc w:val="left"/>
      <w:rPr>
        <w:rFonts w:hint="eastAsia"/>
      </w:rPr>
    </w:lvl>
  </w:abstractNum>
  <w:abstractNum w:abstractNumId="1">
    <w:nsid w:val="5614D952"/>
    <w:multiLevelType w:val="singleLevel"/>
    <w:tmpl w:val="5614D95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5ZGMyZDViNjA3MmU2NDJlOGMzZjY0ZWJmYzNjYzcifQ=="/>
  </w:docVars>
  <w:rsids>
    <w:rsidRoot w:val="003A5607"/>
    <w:rsid w:val="002337C1"/>
    <w:rsid w:val="00267FB6"/>
    <w:rsid w:val="0036674C"/>
    <w:rsid w:val="003A5607"/>
    <w:rsid w:val="00590AD5"/>
    <w:rsid w:val="00811DE7"/>
    <w:rsid w:val="008540CF"/>
    <w:rsid w:val="0088798E"/>
    <w:rsid w:val="0090586A"/>
    <w:rsid w:val="00A13EB1"/>
    <w:rsid w:val="00A21C5F"/>
    <w:rsid w:val="00AE0732"/>
    <w:rsid w:val="00B51E62"/>
    <w:rsid w:val="00BB19A9"/>
    <w:rsid w:val="00C537D7"/>
    <w:rsid w:val="00CC37F3"/>
    <w:rsid w:val="00F9470A"/>
    <w:rsid w:val="14932D57"/>
    <w:rsid w:val="17111305"/>
    <w:rsid w:val="171350E1"/>
    <w:rsid w:val="1DE3308C"/>
    <w:rsid w:val="1F1A71E3"/>
    <w:rsid w:val="35642D71"/>
    <w:rsid w:val="42D21882"/>
    <w:rsid w:val="4CD564D9"/>
    <w:rsid w:val="61397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0"/>
    <w:pPr>
      <w:tabs>
        <w:tab w:val="right" w:leader="dot" w:pos="8296"/>
        <w:tab w:val="right" w:leader="dot" w:pos="8398"/>
      </w:tabs>
      <w:spacing w:before="120" w:after="120" w:line="320" w:lineRule="exact"/>
      <w:ind w:firstLine="840" w:firstLineChars="400"/>
      <w:jc w:val="left"/>
    </w:pPr>
    <w:rPr>
      <w:rFonts w:ascii="仿宋_GB2312" w:hAnsi="宋体" w:eastAsia="仿宋_GB2312" w:cs="Courier New"/>
      <w:bCs/>
      <w:caps/>
      <w:szCs w:val="21"/>
    </w:rPr>
  </w:style>
  <w:style w:type="paragraph" w:styleId="3">
    <w:name w:val="annotation text"/>
    <w:basedOn w:val="1"/>
    <w:link w:val="13"/>
    <w:uiPriority w:val="0"/>
    <w:pPr>
      <w:jc w:val="left"/>
    </w:p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paragraph" w:styleId="7">
    <w:name w:val="annotation subject"/>
    <w:basedOn w:val="3"/>
    <w:next w:val="3"/>
    <w:link w:val="16"/>
    <w:semiHidden/>
    <w:unhideWhenUsed/>
    <w:uiPriority w:val="99"/>
    <w:rPr>
      <w:b/>
      <w:bCs/>
    </w:rPr>
  </w:style>
  <w:style w:type="character" w:styleId="10">
    <w:name w:val="Strong"/>
    <w:qFormat/>
    <w:uiPriority w:val="0"/>
    <w:rPr>
      <w:b/>
    </w:rPr>
  </w:style>
  <w:style w:type="character" w:styleId="11">
    <w:name w:val="Hyperlink"/>
    <w:qFormat/>
    <w:uiPriority w:val="0"/>
    <w:rPr>
      <w:color w:val="0000FF"/>
      <w:u w:val="single"/>
    </w:rPr>
  </w:style>
  <w:style w:type="character" w:styleId="12">
    <w:name w:val="annotation reference"/>
    <w:basedOn w:val="9"/>
    <w:unhideWhenUsed/>
    <w:uiPriority w:val="0"/>
    <w:rPr>
      <w:sz w:val="21"/>
      <w:szCs w:val="21"/>
    </w:rPr>
  </w:style>
  <w:style w:type="character" w:customStyle="1" w:styleId="13">
    <w:name w:val="批注文字 字符"/>
    <w:basedOn w:val="9"/>
    <w:link w:val="3"/>
    <w:qFormat/>
    <w:uiPriority w:val="0"/>
    <w:rPr>
      <w:rFonts w:ascii="Calibri" w:hAnsi="Calibri" w:eastAsia="宋体" w:cs="Times New Roman"/>
      <w:szCs w:val="24"/>
    </w:rPr>
  </w:style>
  <w:style w:type="character" w:customStyle="1" w:styleId="14">
    <w:name w:val="font01"/>
    <w:qFormat/>
    <w:uiPriority w:val="0"/>
    <w:rPr>
      <w:rFonts w:hint="default" w:ascii="Arial" w:hAnsi="Arial" w:cs="Arial"/>
      <w:color w:val="000000"/>
      <w:sz w:val="20"/>
      <w:szCs w:val="20"/>
      <w:u w:val="none"/>
    </w:rPr>
  </w:style>
  <w:style w:type="paragraph" w:styleId="15">
    <w:name w:val="List Paragraph"/>
    <w:basedOn w:val="1"/>
    <w:uiPriority w:val="99"/>
    <w:pPr>
      <w:ind w:firstLine="420" w:firstLineChars="200"/>
    </w:pPr>
  </w:style>
  <w:style w:type="character" w:customStyle="1" w:styleId="16">
    <w:name w:val="批注主题 字符"/>
    <w:basedOn w:val="13"/>
    <w:link w:val="7"/>
    <w:semiHidden/>
    <w:qFormat/>
    <w:uiPriority w:val="99"/>
    <w:rPr>
      <w:rFonts w:ascii="Calibri" w:hAnsi="Calibri" w:eastAsia="宋体" w:cs="Times New Roman"/>
      <w:b/>
      <w:bCs/>
      <w:kern w:val="2"/>
      <w:sz w:val="21"/>
      <w:szCs w:val="24"/>
    </w:rPr>
  </w:style>
  <w:style w:type="character" w:customStyle="1" w:styleId="17">
    <w:name w:val="页眉 字符"/>
    <w:basedOn w:val="9"/>
    <w:link w:val="5"/>
    <w:qFormat/>
    <w:uiPriority w:val="99"/>
    <w:rPr>
      <w:rFonts w:ascii="Calibri" w:hAnsi="Calibri" w:eastAsia="宋体" w:cs="Times New Roman"/>
      <w:kern w:val="2"/>
      <w:sz w:val="18"/>
      <w:szCs w:val="18"/>
    </w:rPr>
  </w:style>
  <w:style w:type="character" w:customStyle="1" w:styleId="18">
    <w:name w:val="页脚 字符"/>
    <w:basedOn w:val="9"/>
    <w:link w:val="4"/>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1363</Words>
  <Characters>1431</Characters>
  <Lines>52</Lines>
  <Paragraphs>14</Paragraphs>
  <TotalTime>2</TotalTime>
  <ScaleCrop>false</ScaleCrop>
  <LinksUpToDate>false</LinksUpToDate>
  <CharactersWithSpaces>1432</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2024-11-04T01:18:00Z</dcterms:created>
  <dc:creator>显娇 刘</dc:creator>
  <cp:lastModifiedBy>Jianbo_Lee</cp:lastModifiedBy>
  <dcterms:modified xsi:type="dcterms:W3CDTF">2024-11-06T07:46:38Z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05EE515FDCDA417099AD3E89E17FAAC1_13</vt:lpwstr>
  </property>
</Properties>
</file>