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before="240" w:beforeLines="100" w:after="240" w:afterLines="100"/>
        <w:jc w:val="center"/>
        <w:rPr>
          <w:rFonts w:ascii="微软雅黑" w:hAnsi="微软雅黑" w:cs="宋体"/>
          <w:b/>
          <w:bCs/>
          <w:color w:val="auto"/>
          <w:kern w:val="36"/>
          <w:sz w:val="32"/>
          <w:szCs w:val="32"/>
          <w:highlight w:val="none"/>
        </w:rPr>
      </w:pPr>
      <w:r>
        <w:rPr>
          <w:rFonts w:hint="eastAsia" w:ascii="微软雅黑" w:hAnsi="微软雅黑" w:cs="宋体"/>
          <w:b/>
          <w:bCs/>
          <w:color w:val="auto"/>
          <w:kern w:val="36"/>
          <w:sz w:val="32"/>
          <w:szCs w:val="32"/>
          <w:highlight w:val="none"/>
        </w:rPr>
        <w:t>广西艺术学院2025年招生网络考试专业技术服务采购</w:t>
      </w:r>
      <w:r>
        <w:rPr>
          <w:rFonts w:hint="eastAsia" w:ascii="微软雅黑" w:hAnsi="微软雅黑" w:cs="宋体"/>
          <w:b/>
          <w:bCs/>
          <w:color w:val="auto"/>
          <w:kern w:val="36"/>
          <w:sz w:val="32"/>
          <w:szCs w:val="32"/>
          <w:highlight w:val="none"/>
          <w:lang w:val="en-US" w:eastAsia="zh-CN"/>
        </w:rPr>
        <w:t>文件</w:t>
      </w:r>
    </w:p>
    <w:p>
      <w:pPr>
        <w:adjustRightInd/>
        <w:snapToGrid/>
        <w:spacing w:after="0" w:line="360" w:lineRule="auto"/>
        <w:ind w:firstLine="480"/>
        <w:jc w:val="both"/>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根据有关规定，我校开展广西艺术学院2025年招生网络考试专业技术服务采购，现将本次采购有关事项公告如下：</w:t>
      </w:r>
    </w:p>
    <w:p>
      <w:pPr>
        <w:numPr>
          <w:ilvl w:val="0"/>
          <w:numId w:val="1"/>
        </w:numPr>
        <w:adjustRightInd/>
        <w:snapToGrid/>
        <w:spacing w:after="0" w:line="360" w:lineRule="auto"/>
        <w:ind w:firstLine="480"/>
        <w:jc w:val="both"/>
        <w:rPr>
          <w:rFonts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项目名称</w:t>
      </w:r>
      <w:r>
        <w:rPr>
          <w:rFonts w:hint="eastAsia" w:ascii="宋体" w:hAnsi="宋体" w:eastAsia="宋体" w:cs="宋体"/>
          <w:color w:val="auto"/>
          <w:sz w:val="28"/>
          <w:szCs w:val="28"/>
          <w:highlight w:val="none"/>
        </w:rPr>
        <w:t>：广西艺术学院2025年招生网络考试专业技术服务采购</w:t>
      </w:r>
    </w:p>
    <w:p>
      <w:pPr>
        <w:numPr>
          <w:ilvl w:val="0"/>
          <w:numId w:val="1"/>
        </w:numPr>
        <w:adjustRightInd/>
        <w:snapToGrid/>
        <w:spacing w:after="0" w:line="360" w:lineRule="auto"/>
        <w:ind w:firstLine="480"/>
        <w:jc w:val="both"/>
        <w:rPr>
          <w:rFonts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采购内容及数量</w:t>
      </w:r>
    </w:p>
    <w:tbl>
      <w:tblPr>
        <w:tblStyle w:val="12"/>
        <w:tblW w:w="5000" w:type="pct"/>
        <w:jc w:val="center"/>
        <w:tblLayout w:type="autofit"/>
        <w:tblCellMar>
          <w:top w:w="0" w:type="dxa"/>
          <w:left w:w="0" w:type="dxa"/>
          <w:bottom w:w="0" w:type="dxa"/>
          <w:right w:w="0" w:type="dxa"/>
        </w:tblCellMar>
      </w:tblPr>
      <w:tblGrid>
        <w:gridCol w:w="997"/>
        <w:gridCol w:w="6828"/>
        <w:gridCol w:w="1019"/>
      </w:tblGrid>
      <w:tr>
        <w:tblPrEx>
          <w:tblCellMar>
            <w:top w:w="0" w:type="dxa"/>
            <w:left w:w="0" w:type="dxa"/>
            <w:bottom w:w="0" w:type="dxa"/>
            <w:right w:w="0" w:type="dxa"/>
          </w:tblCellMar>
        </w:tblPrEx>
        <w:trPr>
          <w:trHeight w:val="540" w:hRule="atLeast"/>
          <w:jc w:val="center"/>
        </w:trPr>
        <w:tc>
          <w:tcPr>
            <w:tcW w:w="564" w:type="pct"/>
            <w:tcBorders>
              <w:top w:val="single" w:color="auto" w:sz="8" w:space="0"/>
              <w:left w:val="single" w:color="auto" w:sz="8" w:space="0"/>
              <w:bottom w:val="single" w:color="auto" w:sz="8" w:space="0"/>
              <w:right w:val="single" w:color="auto" w:sz="8" w:space="0"/>
            </w:tcBorders>
            <w:tcMar>
              <w:top w:w="13" w:type="dxa"/>
              <w:left w:w="57" w:type="dxa"/>
              <w:bottom w:w="0" w:type="dxa"/>
              <w:right w:w="57" w:type="dxa"/>
            </w:tcMar>
            <w:vAlign w:val="center"/>
          </w:tcPr>
          <w:p>
            <w:pPr>
              <w:adjustRightInd/>
              <w:snapToGrid/>
              <w:spacing w:after="0" w:line="360" w:lineRule="auto"/>
              <w:jc w:val="center"/>
              <w:rPr>
                <w:rFonts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项号</w:t>
            </w:r>
          </w:p>
        </w:tc>
        <w:tc>
          <w:tcPr>
            <w:tcW w:w="3860" w:type="pct"/>
            <w:tcBorders>
              <w:top w:val="single" w:color="auto" w:sz="8" w:space="0"/>
              <w:left w:val="nil"/>
              <w:bottom w:val="single" w:color="auto" w:sz="8" w:space="0"/>
              <w:right w:val="single" w:color="auto" w:sz="8" w:space="0"/>
            </w:tcBorders>
            <w:vAlign w:val="center"/>
          </w:tcPr>
          <w:p>
            <w:pPr>
              <w:adjustRightInd/>
              <w:snapToGrid/>
              <w:spacing w:after="0" w:line="360" w:lineRule="auto"/>
              <w:jc w:val="center"/>
              <w:rPr>
                <w:rFonts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采购内容</w:t>
            </w:r>
          </w:p>
        </w:tc>
        <w:tc>
          <w:tcPr>
            <w:tcW w:w="574" w:type="pct"/>
            <w:tcBorders>
              <w:top w:val="single" w:color="auto" w:sz="8" w:space="0"/>
              <w:left w:val="nil"/>
              <w:bottom w:val="single" w:color="auto" w:sz="8" w:space="0"/>
              <w:right w:val="single" w:color="auto" w:sz="8" w:space="0"/>
            </w:tcBorders>
            <w:tcMar>
              <w:top w:w="13" w:type="dxa"/>
              <w:left w:w="57" w:type="dxa"/>
              <w:bottom w:w="0" w:type="dxa"/>
              <w:right w:w="57" w:type="dxa"/>
            </w:tcMar>
            <w:vAlign w:val="center"/>
          </w:tcPr>
          <w:p>
            <w:pPr>
              <w:adjustRightInd/>
              <w:snapToGrid/>
              <w:spacing w:after="0" w:line="360" w:lineRule="auto"/>
              <w:jc w:val="center"/>
              <w:rPr>
                <w:rFonts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数量及单位</w:t>
            </w:r>
          </w:p>
        </w:tc>
      </w:tr>
      <w:tr>
        <w:tblPrEx>
          <w:tblCellMar>
            <w:top w:w="0" w:type="dxa"/>
            <w:left w:w="0" w:type="dxa"/>
            <w:bottom w:w="0" w:type="dxa"/>
            <w:right w:w="0" w:type="dxa"/>
          </w:tblCellMar>
        </w:tblPrEx>
        <w:trPr>
          <w:trHeight w:val="360" w:hRule="atLeast"/>
          <w:jc w:val="center"/>
        </w:trPr>
        <w:tc>
          <w:tcPr>
            <w:tcW w:w="564" w:type="pct"/>
            <w:tcBorders>
              <w:top w:val="nil"/>
              <w:left w:val="single" w:color="auto" w:sz="8" w:space="0"/>
              <w:bottom w:val="single" w:color="auto" w:sz="4" w:space="0"/>
              <w:right w:val="single" w:color="auto" w:sz="8" w:space="0"/>
            </w:tcBorders>
            <w:tcMar>
              <w:top w:w="13" w:type="dxa"/>
              <w:left w:w="57" w:type="dxa"/>
              <w:bottom w:w="0" w:type="dxa"/>
              <w:right w:w="57" w:type="dxa"/>
            </w:tcMar>
            <w:vAlign w:val="center"/>
          </w:tcPr>
          <w:p>
            <w:pPr>
              <w:adjustRightInd/>
              <w:snapToGrid/>
              <w:spacing w:after="0" w:line="360" w:lineRule="auto"/>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3860" w:type="pct"/>
            <w:tcBorders>
              <w:top w:val="nil"/>
              <w:left w:val="nil"/>
              <w:bottom w:val="single" w:color="auto" w:sz="4" w:space="0"/>
              <w:right w:val="single" w:color="auto" w:sz="8" w:space="0"/>
            </w:tcBorders>
            <w:vAlign w:val="center"/>
          </w:tcPr>
          <w:p>
            <w:pPr>
              <w:adjustRightInd/>
              <w:snapToGrid/>
              <w:spacing w:after="0" w:line="360" w:lineRule="auto"/>
              <w:jc w:val="both"/>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广西艺术学院2025年招生网络考试专业技术服务采购（详见附件1报价函、附件2采购需求）</w:t>
            </w:r>
          </w:p>
        </w:tc>
        <w:tc>
          <w:tcPr>
            <w:tcW w:w="574" w:type="pct"/>
            <w:tcBorders>
              <w:top w:val="nil"/>
              <w:left w:val="nil"/>
              <w:bottom w:val="single" w:color="auto" w:sz="4" w:space="0"/>
              <w:right w:val="single" w:color="auto" w:sz="8" w:space="0"/>
            </w:tcBorders>
            <w:tcMar>
              <w:top w:w="13" w:type="dxa"/>
              <w:left w:w="57" w:type="dxa"/>
              <w:bottom w:w="0" w:type="dxa"/>
              <w:right w:w="57" w:type="dxa"/>
            </w:tcMar>
            <w:vAlign w:val="center"/>
          </w:tcPr>
          <w:p>
            <w:pPr>
              <w:adjustRightInd/>
              <w:snapToGrid/>
              <w:spacing w:after="0" w:line="360" w:lineRule="auto"/>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1项</w:t>
            </w:r>
          </w:p>
        </w:tc>
      </w:tr>
      <w:tr>
        <w:tblPrEx>
          <w:tblCellMar>
            <w:top w:w="0" w:type="dxa"/>
            <w:left w:w="0" w:type="dxa"/>
            <w:bottom w:w="0" w:type="dxa"/>
            <w:right w:w="0" w:type="dxa"/>
          </w:tblCellMar>
        </w:tblPrEx>
        <w:trPr>
          <w:trHeight w:val="360" w:hRule="atLeast"/>
          <w:jc w:val="center"/>
        </w:trPr>
        <w:tc>
          <w:tcPr>
            <w:tcW w:w="5000" w:type="pct"/>
            <w:gridSpan w:val="3"/>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adjustRightInd/>
              <w:snapToGrid/>
              <w:spacing w:after="0" w:line="360" w:lineRule="auto"/>
              <w:jc w:val="left"/>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其他要求：附件2采购需求须全部满足。</w:t>
            </w:r>
          </w:p>
        </w:tc>
      </w:tr>
    </w:tbl>
    <w:p>
      <w:pPr>
        <w:adjustRightInd/>
        <w:snapToGrid/>
        <w:spacing w:after="0" w:line="360" w:lineRule="auto"/>
        <w:ind w:firstLine="480"/>
        <w:jc w:val="both"/>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三、采购项目预算控制价金额（人民币）：</w:t>
      </w:r>
      <w:r>
        <w:rPr>
          <w:rFonts w:hint="eastAsia" w:ascii="宋体" w:hAnsi="宋体" w:eastAsia="宋体" w:cs="宋体"/>
          <w:b/>
          <w:bCs/>
          <w:color w:val="auto"/>
          <w:sz w:val="28"/>
          <w:szCs w:val="28"/>
          <w:highlight w:val="none"/>
          <w:u w:val="single"/>
        </w:rPr>
        <w:t>  </w:t>
      </w:r>
      <w:r>
        <w:rPr>
          <w:rFonts w:hint="eastAsia" w:ascii="宋体" w:hAnsi="宋体" w:eastAsia="宋体" w:cs="宋体"/>
          <w:b/>
          <w:bCs/>
          <w:color w:val="auto"/>
          <w:sz w:val="28"/>
          <w:szCs w:val="28"/>
          <w:highlight w:val="none"/>
          <w:u w:val="single"/>
          <w:lang w:val="en-US" w:eastAsia="zh-CN"/>
        </w:rPr>
        <w:t>28.7055</w:t>
      </w:r>
      <w:r>
        <w:rPr>
          <w:rFonts w:hint="eastAsia" w:ascii="宋体" w:hAnsi="宋体" w:eastAsia="宋体" w:cs="宋体"/>
          <w:color w:val="auto"/>
          <w:sz w:val="28"/>
          <w:szCs w:val="28"/>
          <w:highlight w:val="none"/>
          <w:u w:val="single"/>
        </w:rPr>
        <w:t>  </w:t>
      </w:r>
      <w:r>
        <w:rPr>
          <w:rFonts w:hint="eastAsia" w:ascii="宋体" w:hAnsi="宋体" w:eastAsia="宋体" w:cs="宋体"/>
          <w:b/>
          <w:bCs/>
          <w:color w:val="auto"/>
          <w:sz w:val="28"/>
          <w:szCs w:val="28"/>
          <w:highlight w:val="none"/>
        </w:rPr>
        <w:t>万元（大写：</w:t>
      </w:r>
      <w:r>
        <w:rPr>
          <w:rFonts w:hint="eastAsia" w:ascii="宋体" w:hAnsi="宋体" w:eastAsia="宋体" w:cs="宋体"/>
          <w:b/>
          <w:bCs/>
          <w:color w:val="auto"/>
          <w:sz w:val="28"/>
          <w:szCs w:val="28"/>
          <w:highlight w:val="none"/>
          <w:lang w:val="en-US" w:eastAsia="zh-CN"/>
        </w:rPr>
        <w:t>贰拾捌万柒仟零伍拾伍元</w:t>
      </w:r>
      <w:r>
        <w:rPr>
          <w:rFonts w:hint="eastAsia" w:ascii="宋体" w:hAnsi="宋体" w:eastAsia="宋体" w:cs="宋体"/>
          <w:b/>
          <w:bCs/>
          <w:color w:val="auto"/>
          <w:sz w:val="28"/>
          <w:szCs w:val="28"/>
          <w:highlight w:val="none"/>
        </w:rPr>
        <w:t>整）。</w:t>
      </w:r>
      <w:r>
        <w:rPr>
          <w:rFonts w:hint="eastAsia" w:ascii="宋体" w:hAnsi="宋体" w:eastAsia="宋体"/>
          <w:color w:val="auto"/>
          <w:sz w:val="28"/>
          <w:szCs w:val="28"/>
          <w:highlight w:val="none"/>
        </w:rPr>
        <w:t>结算时按实际人数据实计算；如结算总价超过中标总价，则按中标总价进行结算。</w:t>
      </w:r>
      <w:r>
        <w:rPr>
          <w:rFonts w:hint="eastAsia" w:ascii="宋体" w:hAnsi="宋体" w:eastAsia="宋体" w:cs="宋体"/>
          <w:b/>
          <w:bCs/>
          <w:color w:val="auto"/>
          <w:sz w:val="28"/>
          <w:szCs w:val="28"/>
          <w:highlight w:val="none"/>
        </w:rPr>
        <w:t>投标单位的投标报价必须在项目预算控制价内（含预算控制价），若超过预算控制价作废标处理。</w:t>
      </w:r>
    </w:p>
    <w:p>
      <w:pPr>
        <w:adjustRightInd/>
        <w:snapToGrid/>
        <w:spacing w:after="0" w:line="360" w:lineRule="auto"/>
        <w:ind w:firstLine="480"/>
        <w:jc w:val="both"/>
        <w:rPr>
          <w:rFonts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四、投标人资格要求</w:t>
      </w:r>
    </w:p>
    <w:p>
      <w:pPr>
        <w:adjustRightInd/>
        <w:snapToGrid/>
        <w:spacing w:after="0" w:line="360" w:lineRule="auto"/>
        <w:ind w:firstLine="480"/>
        <w:jc w:val="both"/>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（一）必须是在中华人民共和国境内注册，具有独立法人，并持有工商行政管理部门核发的法人营业执照；</w:t>
      </w:r>
    </w:p>
    <w:p>
      <w:pPr>
        <w:adjustRightInd/>
        <w:snapToGrid/>
        <w:spacing w:after="0" w:line="360" w:lineRule="auto"/>
        <w:ind w:firstLine="480"/>
        <w:jc w:val="both"/>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（二）未被列入失信被执行人名单、重大税收违法案件当事人名单、 政府采购严重违法失信行为记录名单，信用信息以中国网站、中国政府采购网公布为准；</w:t>
      </w:r>
    </w:p>
    <w:p>
      <w:pPr>
        <w:adjustRightInd/>
        <w:snapToGrid/>
        <w:spacing w:after="0" w:line="360" w:lineRule="auto"/>
        <w:ind w:firstLine="480"/>
        <w:jc w:val="both"/>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（三）单位负责人为同一人或者存在直接控股、管理关系的不同供应商， 不得参加同一合同项下的采购活动；</w:t>
      </w:r>
    </w:p>
    <w:p>
      <w:pPr>
        <w:adjustRightInd/>
        <w:snapToGrid/>
        <w:spacing w:after="0" w:line="360" w:lineRule="auto"/>
        <w:ind w:firstLine="480"/>
        <w:jc w:val="both"/>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（四）本项目不接受联合体。</w:t>
      </w:r>
    </w:p>
    <w:p>
      <w:pPr>
        <w:adjustRightInd/>
        <w:snapToGrid/>
        <w:spacing w:after="0" w:line="360" w:lineRule="auto"/>
        <w:ind w:firstLine="480"/>
        <w:jc w:val="both"/>
        <w:rPr>
          <w:rFonts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五、投标要求</w:t>
      </w:r>
    </w:p>
    <w:p>
      <w:pPr>
        <w:adjustRightInd/>
        <w:snapToGrid/>
        <w:spacing w:after="0" w:line="360" w:lineRule="auto"/>
        <w:ind w:firstLine="480"/>
        <w:jc w:val="both"/>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（一）提供法人授权委托书（原件</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格式自拟</w:t>
      </w:r>
      <w:r>
        <w:rPr>
          <w:rFonts w:hint="eastAsia" w:ascii="宋体" w:hAnsi="宋体" w:eastAsia="宋体" w:cs="宋体"/>
          <w:color w:val="auto"/>
          <w:sz w:val="28"/>
          <w:szCs w:val="28"/>
          <w:highlight w:val="none"/>
        </w:rPr>
        <w:t>）、有效的营业执照复印件（加盖单位公章）、被授权人身份证</w:t>
      </w:r>
      <w:r>
        <w:rPr>
          <w:rFonts w:hint="eastAsia" w:ascii="宋体" w:hAnsi="宋体" w:eastAsia="宋体" w:cs="宋体"/>
          <w:color w:val="auto"/>
          <w:sz w:val="28"/>
          <w:szCs w:val="28"/>
          <w:highlight w:val="none"/>
          <w:lang w:val="en-US" w:eastAsia="zh-CN"/>
        </w:rPr>
        <w:t>复印件</w:t>
      </w:r>
      <w:r>
        <w:rPr>
          <w:rFonts w:hint="eastAsia" w:ascii="宋体" w:hAnsi="宋体" w:eastAsia="宋体" w:cs="宋体"/>
          <w:color w:val="auto"/>
          <w:sz w:val="28"/>
          <w:szCs w:val="28"/>
          <w:highlight w:val="none"/>
        </w:rPr>
        <w:t>；</w:t>
      </w:r>
    </w:p>
    <w:p>
      <w:pPr>
        <w:adjustRightInd/>
        <w:snapToGrid/>
        <w:spacing w:after="0" w:line="360" w:lineRule="auto"/>
        <w:ind w:firstLine="480"/>
        <w:jc w:val="both"/>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（二）提供最新的信用中国网站和中国政府采购网无违法失信查询结果截图（加盖单位公章）；</w:t>
      </w:r>
    </w:p>
    <w:p>
      <w:pPr>
        <w:adjustRightInd/>
        <w:snapToGrid/>
        <w:spacing w:after="0" w:line="360" w:lineRule="auto"/>
        <w:ind w:firstLine="480"/>
        <w:jc w:val="both"/>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（三）报价函（详见附件1，密封，加盖公章）；</w:t>
      </w:r>
    </w:p>
    <w:p>
      <w:pPr>
        <w:adjustRightInd/>
        <w:snapToGrid/>
        <w:spacing w:after="0" w:line="360" w:lineRule="auto"/>
        <w:ind w:firstLine="480"/>
        <w:jc w:val="both"/>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（四）提供本次采购相关服务内容的组织实施方案及服务承诺。</w:t>
      </w:r>
    </w:p>
    <w:p>
      <w:pPr>
        <w:pStyle w:val="11"/>
        <w:ind w:left="0" w:leftChars="0" w:firstLine="560"/>
        <w:rPr>
          <w:rFonts w:eastAsia="宋体"/>
          <w:color w:val="auto"/>
          <w:highlight w:val="none"/>
        </w:rPr>
      </w:pPr>
      <w:r>
        <w:rPr>
          <w:rFonts w:hint="eastAsia" w:ascii="宋体" w:hAnsi="宋体" w:eastAsia="宋体" w:cs="宋体"/>
          <w:color w:val="auto"/>
          <w:sz w:val="28"/>
          <w:szCs w:val="28"/>
          <w:highlight w:val="none"/>
        </w:rPr>
        <w:t>（五）</w:t>
      </w:r>
      <w:r>
        <w:rPr>
          <w:rFonts w:hint="eastAsia" w:ascii="宋体" w:hAnsi="宋体" w:eastAsia="宋体" w:cs="宋体"/>
          <w:color w:val="auto"/>
          <w:sz w:val="28"/>
          <w:szCs w:val="28"/>
          <w:highlight w:val="none"/>
          <w:shd w:val="clear" w:color="auto" w:fill="FFFFFF"/>
        </w:rPr>
        <w:t>根据评分办法准备的相关材料。</w:t>
      </w:r>
    </w:p>
    <w:p>
      <w:pPr>
        <w:adjustRightInd/>
        <w:snapToGrid/>
        <w:spacing w:after="0" w:line="360" w:lineRule="auto"/>
        <w:ind w:firstLine="480"/>
        <w:jc w:val="both"/>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所有材料都必须密封且加盖公章，</w:t>
      </w:r>
      <w:r>
        <w:rPr>
          <w:rFonts w:hint="eastAsia" w:ascii="宋体" w:hAnsi="宋体" w:eastAsia="宋体" w:cs="宋体"/>
          <w:color w:val="auto"/>
          <w:sz w:val="28"/>
          <w:szCs w:val="28"/>
          <w:highlight w:val="none"/>
        </w:rPr>
        <w:t>如以上资料提供不全，将被视为不符合投标资格。</w:t>
      </w:r>
    </w:p>
    <w:p>
      <w:pPr>
        <w:adjustRightInd/>
        <w:snapToGrid/>
        <w:spacing w:after="0" w:line="360" w:lineRule="auto"/>
        <w:ind w:firstLine="480"/>
        <w:jc w:val="both"/>
        <w:rPr>
          <w:rFonts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六、中标方式</w:t>
      </w:r>
    </w:p>
    <w:p>
      <w:pPr>
        <w:adjustRightInd/>
        <w:snapToGrid/>
        <w:spacing w:after="0" w:line="360" w:lineRule="auto"/>
        <w:ind w:firstLine="480"/>
        <w:jc w:val="both"/>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在满足投标要求的情况下，采用综合评标的方式确定该项目成交供应商。评标办法详见附件3《评标办法》。</w:t>
      </w:r>
    </w:p>
    <w:p>
      <w:pPr>
        <w:adjustRightInd/>
        <w:snapToGrid/>
        <w:spacing w:after="0" w:line="360" w:lineRule="auto"/>
        <w:ind w:firstLine="480"/>
        <w:jc w:val="both"/>
        <w:rPr>
          <w:rFonts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七、附件2《采购需求》作为合同的一部分</w:t>
      </w:r>
    </w:p>
    <w:p>
      <w:pPr>
        <w:adjustRightInd/>
        <w:snapToGrid/>
        <w:spacing w:after="0" w:line="360" w:lineRule="auto"/>
        <w:ind w:firstLine="480"/>
        <w:jc w:val="both"/>
        <w:rPr>
          <w:rFonts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八、投标截止时间和地点</w:t>
      </w:r>
    </w:p>
    <w:p>
      <w:pPr>
        <w:adjustRightInd/>
        <w:snapToGrid/>
        <w:spacing w:after="0" w:line="360" w:lineRule="auto"/>
        <w:ind w:firstLine="480"/>
        <w:jc w:val="both"/>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（一）投标时间</w:t>
      </w:r>
    </w:p>
    <w:p>
      <w:pPr>
        <w:adjustRightInd/>
        <w:snapToGrid/>
        <w:spacing w:after="0" w:line="360" w:lineRule="auto"/>
        <w:ind w:firstLine="480"/>
        <w:jc w:val="both"/>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凡愿意且符合条件投标人，</w:t>
      </w:r>
      <w:r>
        <w:rPr>
          <w:rFonts w:hint="eastAsia" w:ascii="宋体" w:hAnsi="宋体" w:eastAsia="宋体" w:cs="宋体"/>
          <w:bCs/>
          <w:color w:val="auto"/>
          <w:sz w:val="28"/>
          <w:szCs w:val="28"/>
          <w:highlight w:val="none"/>
        </w:rPr>
        <w:t>请于2024年</w:t>
      </w:r>
      <w:r>
        <w:rPr>
          <w:rFonts w:hint="eastAsia" w:ascii="宋体" w:hAnsi="宋体" w:eastAsia="宋体" w:cs="宋体"/>
          <w:bCs/>
          <w:color w:val="auto"/>
          <w:sz w:val="28"/>
          <w:szCs w:val="28"/>
          <w:highlight w:val="none"/>
          <w:lang w:val="en-US" w:eastAsia="zh-CN"/>
        </w:rPr>
        <w:t>7</w:t>
      </w:r>
      <w:r>
        <w:rPr>
          <w:rFonts w:hint="eastAsia" w:ascii="宋体" w:hAnsi="宋体" w:eastAsia="宋体" w:cs="宋体"/>
          <w:bCs/>
          <w:color w:val="auto"/>
          <w:sz w:val="28"/>
          <w:szCs w:val="28"/>
          <w:highlight w:val="none"/>
        </w:rPr>
        <w:t>月</w:t>
      </w:r>
      <w:r>
        <w:rPr>
          <w:rFonts w:hint="eastAsia" w:ascii="宋体" w:hAnsi="宋体" w:eastAsia="宋体" w:cs="宋体"/>
          <w:bCs/>
          <w:color w:val="auto"/>
          <w:sz w:val="28"/>
          <w:szCs w:val="28"/>
          <w:highlight w:val="none"/>
          <w:lang w:val="en-US" w:eastAsia="zh-CN"/>
        </w:rPr>
        <w:t>9</w:t>
      </w:r>
      <w:r>
        <w:rPr>
          <w:rFonts w:hint="eastAsia" w:ascii="宋体" w:hAnsi="宋体" w:eastAsia="宋体" w:cs="宋体"/>
          <w:bCs/>
          <w:color w:val="auto"/>
          <w:sz w:val="28"/>
          <w:szCs w:val="28"/>
          <w:highlight w:val="none"/>
        </w:rPr>
        <w:t>日</w:t>
      </w:r>
      <w:r>
        <w:rPr>
          <w:rFonts w:hint="eastAsia" w:ascii="宋体" w:hAnsi="宋体" w:eastAsia="宋体" w:cs="宋体"/>
          <w:bCs/>
          <w:color w:val="auto"/>
          <w:sz w:val="28"/>
          <w:szCs w:val="28"/>
          <w:highlight w:val="none"/>
          <w:lang w:val="en-US" w:eastAsia="zh-CN"/>
        </w:rPr>
        <w:t>上</w:t>
      </w:r>
      <w:r>
        <w:rPr>
          <w:rFonts w:hint="eastAsia" w:ascii="宋体" w:hAnsi="宋体" w:eastAsia="宋体" w:cs="宋体"/>
          <w:bCs/>
          <w:color w:val="auto"/>
          <w:sz w:val="28"/>
          <w:szCs w:val="28"/>
          <w:highlight w:val="none"/>
        </w:rPr>
        <w:t>午</w:t>
      </w:r>
      <w:r>
        <w:rPr>
          <w:rFonts w:hint="eastAsia" w:ascii="宋体" w:hAnsi="宋体" w:eastAsia="宋体" w:cs="宋体"/>
          <w:bCs/>
          <w:color w:val="auto"/>
          <w:sz w:val="28"/>
          <w:szCs w:val="28"/>
          <w:highlight w:val="none"/>
          <w:lang w:val="en-US" w:eastAsia="zh-CN"/>
        </w:rPr>
        <w:t>9</w:t>
      </w:r>
      <w:r>
        <w:rPr>
          <w:rFonts w:hint="eastAsia" w:ascii="宋体" w:hAnsi="宋体" w:eastAsia="宋体" w:cs="宋体"/>
          <w:bCs/>
          <w:color w:val="auto"/>
          <w:sz w:val="28"/>
          <w:szCs w:val="28"/>
          <w:highlight w:val="none"/>
        </w:rPr>
        <w:t>：00至1</w:t>
      </w:r>
      <w:r>
        <w:rPr>
          <w:rFonts w:hint="eastAsia" w:ascii="宋体" w:hAnsi="宋体" w:eastAsia="宋体" w:cs="宋体"/>
          <w:bCs/>
          <w:color w:val="auto"/>
          <w:sz w:val="28"/>
          <w:szCs w:val="28"/>
          <w:highlight w:val="none"/>
          <w:lang w:val="en-US" w:eastAsia="zh-CN"/>
        </w:rPr>
        <w:t>1</w:t>
      </w:r>
      <w:r>
        <w:rPr>
          <w:rFonts w:hint="eastAsia" w:ascii="宋体" w:hAnsi="宋体" w:eastAsia="宋体" w:cs="宋体"/>
          <w:bCs/>
          <w:color w:val="auto"/>
          <w:sz w:val="28"/>
          <w:szCs w:val="28"/>
          <w:highlight w:val="none"/>
        </w:rPr>
        <w:t>：00，</w:t>
      </w:r>
      <w:r>
        <w:rPr>
          <w:rFonts w:hint="eastAsia" w:ascii="宋体" w:hAnsi="宋体" w:eastAsia="宋体" w:cs="宋体"/>
          <w:color w:val="auto"/>
          <w:sz w:val="28"/>
          <w:szCs w:val="28"/>
          <w:highlight w:val="none"/>
        </w:rPr>
        <w:t>将投标文件密封送达广西艺术学院财务资产处，其</w:t>
      </w:r>
      <w:r>
        <w:rPr>
          <w:rFonts w:hint="eastAsia" w:ascii="宋体" w:hAnsi="宋体" w:eastAsia="宋体" w:cs="宋体"/>
          <w:bCs/>
          <w:color w:val="auto"/>
          <w:sz w:val="28"/>
          <w:szCs w:val="28"/>
          <w:highlight w:val="none"/>
        </w:rPr>
        <w:t>他时间不接收报名材料。</w:t>
      </w:r>
      <w:r>
        <w:rPr>
          <w:rFonts w:hint="eastAsia" w:ascii="宋体" w:hAnsi="宋体" w:eastAsia="宋体" w:cs="宋体"/>
          <w:bCs/>
          <w:color w:val="auto"/>
          <w:sz w:val="28"/>
          <w:szCs w:val="28"/>
          <w:highlight w:val="none"/>
          <w:lang w:val="en-US" w:eastAsia="zh-CN"/>
        </w:rPr>
        <w:t>具体演示时间由我校另行通知。</w:t>
      </w:r>
      <w:bookmarkStart w:id="32" w:name="_GoBack"/>
      <w:bookmarkEnd w:id="32"/>
    </w:p>
    <w:p>
      <w:pPr>
        <w:adjustRightInd/>
        <w:snapToGrid/>
        <w:spacing w:after="0" w:line="360" w:lineRule="auto"/>
        <w:ind w:firstLine="480"/>
        <w:jc w:val="both"/>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（二）投标地点</w:t>
      </w:r>
    </w:p>
    <w:p>
      <w:pPr>
        <w:adjustRightInd/>
        <w:snapToGrid/>
        <w:spacing w:after="0" w:line="360" w:lineRule="auto"/>
        <w:ind w:firstLine="480"/>
        <w:jc w:val="both"/>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南宁市教育路7号广西艺术学院雕塑办公楼107室财务资产处采购管理科。</w:t>
      </w:r>
    </w:p>
    <w:p>
      <w:pPr>
        <w:adjustRightInd/>
        <w:snapToGrid/>
        <w:spacing w:after="0" w:line="360" w:lineRule="auto"/>
        <w:ind w:firstLine="48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联系人：李老师，联系电话：0771-5327987；荆老师（参数咨询），电话：0771-5333126、5</w:t>
      </w:r>
      <w:r>
        <w:rPr>
          <w:rFonts w:ascii="宋体" w:hAnsi="宋体" w:eastAsia="宋体" w:cs="宋体"/>
          <w:color w:val="auto"/>
          <w:sz w:val="28"/>
          <w:szCs w:val="28"/>
          <w:highlight w:val="none"/>
        </w:rPr>
        <w:t>327082</w:t>
      </w:r>
      <w:r>
        <w:rPr>
          <w:rFonts w:hint="eastAsia" w:ascii="宋体" w:hAnsi="宋体" w:eastAsia="宋体" w:cs="宋体"/>
          <w:color w:val="auto"/>
          <w:sz w:val="28"/>
          <w:szCs w:val="28"/>
          <w:highlight w:val="none"/>
        </w:rPr>
        <w:t>。</w:t>
      </w:r>
    </w:p>
    <w:p>
      <w:pPr>
        <w:pStyle w:val="9"/>
        <w:keepNext w:val="0"/>
        <w:keepLines w:val="0"/>
        <w:widowControl/>
        <w:suppressLineNumbers w:val="0"/>
        <w:spacing w:after="660" w:afterAutospacing="0" w:line="525" w:lineRule="atLeast"/>
        <w:ind w:left="0" w:right="0" w:firstLine="555"/>
        <w:jc w:val="left"/>
        <w:rPr>
          <w:rFonts w:hint="eastAsia"/>
          <w:color w:val="auto"/>
          <w:sz w:val="28"/>
          <w:szCs w:val="28"/>
          <w:highlight w:val="none"/>
        </w:rPr>
      </w:pPr>
      <w:r>
        <w:rPr>
          <w:rFonts w:hint="eastAsia" w:ascii="宋体" w:hAnsi="宋体" w:eastAsia="宋体" w:cs="宋体"/>
          <w:color w:val="auto"/>
          <w:sz w:val="28"/>
          <w:szCs w:val="28"/>
          <w:highlight w:val="none"/>
          <w:shd w:val="clear"/>
          <w:lang w:val="en-US" w:eastAsia="zh-CN"/>
        </w:rPr>
        <w:t>九、</w:t>
      </w:r>
      <w:r>
        <w:rPr>
          <w:rFonts w:hint="eastAsia" w:ascii="宋体" w:hAnsi="宋体" w:eastAsia="宋体" w:cs="宋体"/>
          <w:color w:val="auto"/>
          <w:sz w:val="28"/>
          <w:szCs w:val="28"/>
          <w:highlight w:val="none"/>
          <w:shd w:val="clear"/>
        </w:rPr>
        <w:t>本次采购的相关信息（包括但不限于采购公告与附件及其修改、补充、澄清等，下同）在广西艺术学院主页的“机构设置-财务资产处-招标公告”栏（网址：https://cwc.gxau.edu.cn/zbgg2）上发布，本次采购的相关信息一经在上述网站发布，即视为已发送给投标人。投标人据此参与本次采购活动，即视为对本次采购的相关信息、内容及规则没有异议。</w:t>
      </w:r>
    </w:p>
    <w:p>
      <w:pPr>
        <w:adjustRightInd/>
        <w:snapToGrid/>
        <w:spacing w:after="0" w:line="360" w:lineRule="auto"/>
        <w:ind w:firstLine="0"/>
        <w:rPr>
          <w:rFonts w:ascii="宋体" w:hAnsi="宋体" w:eastAsia="宋体" w:cs="宋体"/>
          <w:color w:val="auto"/>
          <w:sz w:val="28"/>
          <w:szCs w:val="28"/>
          <w:highlight w:val="none"/>
        </w:rPr>
      </w:pPr>
    </w:p>
    <w:p>
      <w:pPr>
        <w:wordWrap w:val="0"/>
        <w:adjustRightInd/>
        <w:snapToGrid/>
        <w:spacing w:after="240" w:line="360" w:lineRule="auto"/>
        <w:jc w:val="righ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广西艺术学院  </w:t>
      </w:r>
    </w:p>
    <w:p>
      <w:pPr>
        <w:pStyle w:val="10"/>
        <w:ind w:firstLine="280"/>
        <w:rPr>
          <w:rFonts w:ascii="宋体" w:hAnsi="宋体" w:eastAsia="宋体" w:cs="宋体"/>
          <w:color w:val="auto"/>
          <w:sz w:val="28"/>
          <w:szCs w:val="28"/>
          <w:highlight w:val="none"/>
          <w:lang w:eastAsia="zh-CN"/>
        </w:rPr>
        <w:sectPr>
          <w:pgSz w:w="11906" w:h="16838"/>
          <w:pgMar w:top="1021" w:right="1588" w:bottom="1021" w:left="1588" w:header="709" w:footer="709" w:gutter="0"/>
          <w:cols w:space="720" w:num="1"/>
          <w:docGrid w:linePitch="360" w:charSpace="0"/>
        </w:sectPr>
      </w:pPr>
    </w:p>
    <w:p>
      <w:pPr>
        <w:pStyle w:val="10"/>
        <w:ind w:firstLine="0" w:firstLineChars="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附件1：报价函</w:t>
      </w:r>
    </w:p>
    <w:tbl>
      <w:tblPr>
        <w:tblStyle w:val="12"/>
        <w:tblpPr w:leftFromText="180" w:rightFromText="180" w:vertAnchor="text" w:horzAnchor="page" w:tblpX="1011" w:tblpY="345"/>
        <w:tblOverlap w:val="never"/>
        <w:tblW w:w="5630" w:type="pct"/>
        <w:tblInd w:w="0" w:type="dxa"/>
        <w:tblLayout w:type="fixed"/>
        <w:tblCellMar>
          <w:top w:w="0" w:type="dxa"/>
          <w:left w:w="108" w:type="dxa"/>
          <w:bottom w:w="0" w:type="dxa"/>
          <w:right w:w="108" w:type="dxa"/>
        </w:tblCellMar>
      </w:tblPr>
      <w:tblGrid>
        <w:gridCol w:w="1635"/>
        <w:gridCol w:w="1407"/>
        <w:gridCol w:w="1495"/>
        <w:gridCol w:w="1385"/>
        <w:gridCol w:w="1336"/>
        <w:gridCol w:w="3198"/>
      </w:tblGrid>
      <w:tr>
        <w:tblPrEx>
          <w:tblCellMar>
            <w:top w:w="0" w:type="dxa"/>
            <w:left w:w="108" w:type="dxa"/>
            <w:bottom w:w="0" w:type="dxa"/>
            <w:right w:w="108" w:type="dxa"/>
          </w:tblCellMar>
        </w:tblPrEx>
        <w:trPr>
          <w:trHeight w:val="624" w:hRule="atLeast"/>
        </w:trPr>
        <w:tc>
          <w:tcPr>
            <w:tcW w:w="782"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spacing w:after="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类型/项目</w:t>
            </w:r>
          </w:p>
        </w:tc>
        <w:tc>
          <w:tcPr>
            <w:tcW w:w="673" w:type="pct"/>
            <w:tcBorders>
              <w:top w:val="single" w:color="auto" w:sz="4" w:space="0"/>
              <w:left w:val="nil"/>
              <w:bottom w:val="single" w:color="auto" w:sz="4" w:space="0"/>
              <w:right w:val="single" w:color="auto" w:sz="4" w:space="0"/>
            </w:tcBorders>
            <w:shd w:val="clear" w:color="auto" w:fill="auto"/>
            <w:noWrap/>
            <w:vAlign w:val="center"/>
          </w:tcPr>
          <w:p>
            <w:pPr>
              <w:snapToGrid/>
              <w:spacing w:after="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专业/名称</w:t>
            </w:r>
          </w:p>
        </w:tc>
        <w:tc>
          <w:tcPr>
            <w:tcW w:w="715" w:type="pct"/>
            <w:tcBorders>
              <w:top w:val="single" w:color="auto" w:sz="4" w:space="0"/>
              <w:left w:val="nil"/>
              <w:bottom w:val="single" w:color="auto" w:sz="4" w:space="0"/>
              <w:right w:val="single" w:color="auto" w:sz="4" w:space="0"/>
            </w:tcBorders>
            <w:shd w:val="clear" w:color="auto" w:fill="auto"/>
            <w:vAlign w:val="center"/>
          </w:tcPr>
          <w:p>
            <w:pPr>
              <w:snapToGrid/>
              <w:spacing w:after="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预计规模</w:t>
            </w:r>
          </w:p>
        </w:tc>
        <w:tc>
          <w:tcPr>
            <w:tcW w:w="661" w:type="pct"/>
            <w:tcBorders>
              <w:top w:val="single" w:color="auto" w:sz="4" w:space="0"/>
              <w:left w:val="nil"/>
              <w:bottom w:val="single" w:color="auto" w:sz="4" w:space="0"/>
              <w:right w:val="single" w:color="auto" w:sz="4" w:space="0"/>
            </w:tcBorders>
            <w:shd w:val="clear" w:color="auto" w:fill="auto"/>
            <w:vAlign w:val="center"/>
          </w:tcPr>
          <w:p>
            <w:pPr>
              <w:snapToGrid/>
              <w:spacing w:after="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单价（元）</w:t>
            </w:r>
          </w:p>
        </w:tc>
        <w:tc>
          <w:tcPr>
            <w:tcW w:w="639" w:type="pct"/>
            <w:tcBorders>
              <w:top w:val="single" w:color="auto" w:sz="4" w:space="0"/>
              <w:left w:val="nil"/>
              <w:bottom w:val="single" w:color="auto" w:sz="4" w:space="0"/>
              <w:right w:val="single" w:color="auto" w:sz="4" w:space="0"/>
            </w:tcBorders>
            <w:shd w:val="clear" w:color="auto" w:fill="auto"/>
            <w:vAlign w:val="center"/>
          </w:tcPr>
          <w:p>
            <w:pPr>
              <w:snapToGrid/>
              <w:spacing w:after="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小计（元）</w:t>
            </w:r>
          </w:p>
        </w:tc>
        <w:tc>
          <w:tcPr>
            <w:tcW w:w="1529" w:type="pct"/>
            <w:tcBorders>
              <w:top w:val="single" w:color="auto" w:sz="4" w:space="0"/>
              <w:left w:val="nil"/>
              <w:bottom w:val="single" w:color="auto" w:sz="4" w:space="0"/>
              <w:right w:val="single" w:color="auto" w:sz="4" w:space="0"/>
            </w:tcBorders>
            <w:shd w:val="clear" w:color="auto" w:fill="auto"/>
            <w:noWrap/>
            <w:vAlign w:val="center"/>
          </w:tcPr>
          <w:p>
            <w:pPr>
              <w:snapToGrid/>
              <w:spacing w:after="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tblPrEx>
          <w:tblCellMar>
            <w:top w:w="0" w:type="dxa"/>
            <w:left w:w="108" w:type="dxa"/>
            <w:bottom w:w="0" w:type="dxa"/>
            <w:right w:w="108" w:type="dxa"/>
          </w:tblCellMar>
        </w:tblPrEx>
        <w:trPr>
          <w:trHeight w:val="1644" w:hRule="atLeast"/>
        </w:trPr>
        <w:tc>
          <w:tcPr>
            <w:tcW w:w="78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spacing w:after="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2025年艺术类本科专业招生考试（校考）</w:t>
            </w:r>
          </w:p>
        </w:tc>
        <w:tc>
          <w:tcPr>
            <w:tcW w:w="673"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各专业方向</w:t>
            </w:r>
          </w:p>
        </w:tc>
        <w:tc>
          <w:tcPr>
            <w:tcW w:w="715" w:type="pct"/>
            <w:tcBorders>
              <w:top w:val="single" w:color="auto" w:sz="4" w:space="0"/>
              <w:left w:val="nil"/>
              <w:bottom w:val="single" w:color="auto" w:sz="4" w:space="0"/>
              <w:right w:val="single" w:color="auto" w:sz="4" w:space="0"/>
            </w:tcBorders>
            <w:shd w:val="clear" w:color="auto" w:fill="auto"/>
            <w:noWrap/>
            <w:vAlign w:val="center"/>
          </w:tcPr>
          <w:p>
            <w:pPr>
              <w:snapToGrid/>
              <w:spacing w:after="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ascii="宋体" w:hAnsi="宋体" w:eastAsia="宋体" w:cs="宋体"/>
                <w:color w:val="auto"/>
                <w:sz w:val="21"/>
                <w:szCs w:val="21"/>
                <w:highlight w:val="none"/>
              </w:rPr>
              <w:t>600</w:t>
            </w:r>
            <w:r>
              <w:rPr>
                <w:rFonts w:hint="eastAsia" w:ascii="宋体" w:hAnsi="宋体" w:eastAsia="宋体" w:cs="宋体"/>
                <w:color w:val="auto"/>
                <w:sz w:val="21"/>
                <w:szCs w:val="21"/>
                <w:highlight w:val="none"/>
              </w:rPr>
              <w:t>人</w:t>
            </w:r>
          </w:p>
        </w:tc>
        <w:tc>
          <w:tcPr>
            <w:tcW w:w="661" w:type="pct"/>
            <w:tcBorders>
              <w:top w:val="single" w:color="auto" w:sz="4" w:space="0"/>
              <w:left w:val="nil"/>
              <w:bottom w:val="single" w:color="auto" w:sz="4" w:space="0"/>
              <w:right w:val="single" w:color="auto" w:sz="4" w:space="0"/>
            </w:tcBorders>
            <w:shd w:val="clear" w:color="auto" w:fill="auto"/>
            <w:noWrap/>
            <w:vAlign w:val="center"/>
          </w:tcPr>
          <w:p>
            <w:pPr>
              <w:snapToGrid/>
              <w:spacing w:after="0"/>
              <w:jc w:val="center"/>
              <w:rPr>
                <w:rFonts w:ascii="宋体" w:hAnsi="宋体" w:eastAsia="宋体" w:cs="宋体"/>
                <w:color w:val="auto"/>
                <w:sz w:val="21"/>
                <w:szCs w:val="21"/>
                <w:highlight w:val="none"/>
              </w:rPr>
            </w:pPr>
          </w:p>
        </w:tc>
        <w:tc>
          <w:tcPr>
            <w:tcW w:w="639" w:type="pct"/>
            <w:tcBorders>
              <w:top w:val="single" w:color="auto" w:sz="4" w:space="0"/>
              <w:left w:val="nil"/>
              <w:bottom w:val="single" w:color="auto" w:sz="4" w:space="0"/>
              <w:right w:val="single" w:color="auto" w:sz="4" w:space="0"/>
            </w:tcBorders>
            <w:shd w:val="clear" w:color="auto" w:fill="auto"/>
            <w:noWrap/>
            <w:vAlign w:val="center"/>
          </w:tcPr>
          <w:p>
            <w:pPr>
              <w:snapToGrid/>
              <w:spacing w:after="0"/>
              <w:jc w:val="center"/>
              <w:rPr>
                <w:rFonts w:ascii="宋体" w:hAnsi="宋体" w:eastAsia="宋体" w:cs="宋体"/>
                <w:color w:val="auto"/>
                <w:sz w:val="21"/>
                <w:szCs w:val="21"/>
                <w:highlight w:val="none"/>
              </w:rPr>
            </w:pPr>
          </w:p>
        </w:tc>
        <w:tc>
          <w:tcPr>
            <w:tcW w:w="1529" w:type="pct"/>
            <w:tcBorders>
              <w:top w:val="single" w:color="auto" w:sz="4" w:space="0"/>
              <w:left w:val="nil"/>
              <w:bottom w:val="single" w:color="auto" w:sz="4" w:space="0"/>
              <w:right w:val="single" w:color="auto" w:sz="4" w:space="0"/>
            </w:tcBorders>
            <w:shd w:val="clear" w:color="auto" w:fill="auto"/>
            <w:vAlign w:val="center"/>
          </w:tcPr>
          <w:p>
            <w:pPr>
              <w:snapToGrid/>
              <w:spacing w:after="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包含报名、考试和评分服务（局域网评分，必要时可切换线上评分）。含服务器及云存储的使用等基础服务费。专业方向约4个。</w:t>
            </w:r>
          </w:p>
        </w:tc>
      </w:tr>
      <w:tr>
        <w:tblPrEx>
          <w:tblCellMar>
            <w:top w:w="0" w:type="dxa"/>
            <w:left w:w="108" w:type="dxa"/>
            <w:bottom w:w="0" w:type="dxa"/>
            <w:right w:w="108" w:type="dxa"/>
          </w:tblCellMar>
        </w:tblPrEx>
        <w:trPr>
          <w:trHeight w:val="1531" w:hRule="atLeast"/>
        </w:trPr>
        <w:tc>
          <w:tcPr>
            <w:tcW w:w="78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spacing w:after="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2025年硕士研究生招生考试（调剂）复试</w:t>
            </w:r>
          </w:p>
        </w:tc>
        <w:tc>
          <w:tcPr>
            <w:tcW w:w="673" w:type="pct"/>
            <w:tcBorders>
              <w:top w:val="single" w:color="auto" w:sz="4" w:space="0"/>
              <w:left w:val="nil"/>
              <w:bottom w:val="single" w:color="auto" w:sz="4" w:space="0"/>
              <w:right w:val="single" w:color="auto" w:sz="4" w:space="0"/>
            </w:tcBorders>
            <w:shd w:val="clear" w:color="auto" w:fill="auto"/>
            <w:noWrap/>
            <w:vAlign w:val="center"/>
          </w:tcPr>
          <w:p>
            <w:pPr>
              <w:snapToGrid/>
              <w:spacing w:after="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各专业方向</w:t>
            </w:r>
          </w:p>
        </w:tc>
        <w:tc>
          <w:tcPr>
            <w:tcW w:w="715" w:type="pct"/>
            <w:tcBorders>
              <w:top w:val="single" w:color="auto" w:sz="4" w:space="0"/>
              <w:left w:val="nil"/>
              <w:bottom w:val="single" w:color="auto" w:sz="4" w:space="0"/>
              <w:right w:val="single" w:color="auto" w:sz="4" w:space="0"/>
            </w:tcBorders>
            <w:shd w:val="clear" w:color="auto" w:fill="auto"/>
            <w:noWrap/>
            <w:vAlign w:val="center"/>
          </w:tcPr>
          <w:p>
            <w:pPr>
              <w:snapToGrid/>
              <w:spacing w:after="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500人</w:t>
            </w:r>
          </w:p>
        </w:tc>
        <w:tc>
          <w:tcPr>
            <w:tcW w:w="661" w:type="pct"/>
            <w:tcBorders>
              <w:top w:val="single" w:color="auto" w:sz="4" w:space="0"/>
              <w:left w:val="nil"/>
              <w:bottom w:val="single" w:color="auto" w:sz="4" w:space="0"/>
              <w:right w:val="single" w:color="auto" w:sz="4" w:space="0"/>
            </w:tcBorders>
            <w:shd w:val="clear" w:color="auto" w:fill="auto"/>
            <w:noWrap/>
            <w:vAlign w:val="center"/>
          </w:tcPr>
          <w:p>
            <w:pPr>
              <w:snapToGrid/>
              <w:spacing w:after="0"/>
              <w:jc w:val="center"/>
              <w:rPr>
                <w:rFonts w:ascii="宋体" w:hAnsi="宋体" w:eastAsia="宋体" w:cs="宋体"/>
                <w:color w:val="auto"/>
                <w:sz w:val="21"/>
                <w:szCs w:val="21"/>
                <w:highlight w:val="none"/>
              </w:rPr>
            </w:pPr>
          </w:p>
        </w:tc>
        <w:tc>
          <w:tcPr>
            <w:tcW w:w="639" w:type="pct"/>
            <w:tcBorders>
              <w:top w:val="single" w:color="auto" w:sz="4" w:space="0"/>
              <w:left w:val="nil"/>
              <w:bottom w:val="single" w:color="auto" w:sz="4" w:space="0"/>
              <w:right w:val="single" w:color="auto" w:sz="4" w:space="0"/>
            </w:tcBorders>
            <w:shd w:val="clear" w:color="auto" w:fill="auto"/>
            <w:noWrap/>
            <w:vAlign w:val="center"/>
          </w:tcPr>
          <w:p>
            <w:pPr>
              <w:snapToGrid/>
              <w:spacing w:after="0"/>
              <w:jc w:val="center"/>
              <w:rPr>
                <w:rFonts w:ascii="宋体" w:hAnsi="宋体" w:eastAsia="宋体" w:cs="宋体"/>
                <w:color w:val="auto"/>
                <w:sz w:val="21"/>
                <w:szCs w:val="21"/>
                <w:highlight w:val="none"/>
              </w:rPr>
            </w:pPr>
          </w:p>
        </w:tc>
        <w:tc>
          <w:tcPr>
            <w:tcW w:w="1529" w:type="pct"/>
            <w:tcBorders>
              <w:top w:val="single" w:color="auto" w:sz="4" w:space="0"/>
              <w:left w:val="nil"/>
              <w:bottom w:val="single" w:color="auto" w:sz="4" w:space="0"/>
              <w:right w:val="single" w:color="auto" w:sz="4" w:space="0"/>
            </w:tcBorders>
            <w:shd w:val="clear" w:color="auto" w:fill="auto"/>
            <w:vAlign w:val="center"/>
          </w:tcPr>
          <w:p>
            <w:pPr>
              <w:snapToGrid/>
              <w:spacing w:after="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一口价，包含网络报名、网络考试（提交视频）、网络考试（实时监考）、网络考试（直播面试）、网络评分等服务。专业方向预计50个以内。</w:t>
            </w:r>
          </w:p>
        </w:tc>
      </w:tr>
      <w:tr>
        <w:tblPrEx>
          <w:tblCellMar>
            <w:top w:w="0" w:type="dxa"/>
            <w:left w:w="108" w:type="dxa"/>
            <w:bottom w:w="0" w:type="dxa"/>
            <w:right w:w="108" w:type="dxa"/>
          </w:tblCellMar>
        </w:tblPrEx>
        <w:trPr>
          <w:trHeight w:val="907" w:hRule="atLeast"/>
        </w:trPr>
        <w:tc>
          <w:tcPr>
            <w:tcW w:w="78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spacing w:after="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2025年附属中等艺术学校招生考试</w:t>
            </w:r>
          </w:p>
        </w:tc>
        <w:tc>
          <w:tcPr>
            <w:tcW w:w="673" w:type="pct"/>
            <w:tcBorders>
              <w:top w:val="nil"/>
              <w:left w:val="nil"/>
              <w:bottom w:val="single" w:color="auto" w:sz="4" w:space="0"/>
              <w:right w:val="single" w:color="auto" w:sz="4" w:space="0"/>
            </w:tcBorders>
            <w:shd w:val="clear" w:color="auto" w:fill="auto"/>
            <w:noWrap/>
            <w:vAlign w:val="center"/>
          </w:tcPr>
          <w:p>
            <w:pPr>
              <w:snapToGrid/>
              <w:spacing w:after="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各专业方向</w:t>
            </w:r>
          </w:p>
        </w:tc>
        <w:tc>
          <w:tcPr>
            <w:tcW w:w="715" w:type="pct"/>
            <w:tcBorders>
              <w:top w:val="nil"/>
              <w:left w:val="nil"/>
              <w:bottom w:val="single" w:color="auto" w:sz="4" w:space="0"/>
              <w:right w:val="single" w:color="auto" w:sz="4" w:space="0"/>
            </w:tcBorders>
            <w:shd w:val="clear" w:color="auto" w:fill="auto"/>
            <w:noWrap/>
            <w:vAlign w:val="center"/>
          </w:tcPr>
          <w:p>
            <w:pPr>
              <w:snapToGrid/>
              <w:spacing w:after="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450人</w:t>
            </w:r>
          </w:p>
        </w:tc>
        <w:tc>
          <w:tcPr>
            <w:tcW w:w="661" w:type="pct"/>
            <w:tcBorders>
              <w:top w:val="nil"/>
              <w:left w:val="nil"/>
              <w:bottom w:val="single" w:color="auto" w:sz="4" w:space="0"/>
              <w:right w:val="single" w:color="auto" w:sz="4" w:space="0"/>
            </w:tcBorders>
            <w:shd w:val="clear" w:color="auto" w:fill="auto"/>
            <w:noWrap/>
            <w:vAlign w:val="center"/>
          </w:tcPr>
          <w:p>
            <w:pPr>
              <w:snapToGrid/>
              <w:spacing w:after="0"/>
              <w:jc w:val="center"/>
              <w:rPr>
                <w:rFonts w:ascii="宋体" w:hAnsi="宋体" w:eastAsia="宋体" w:cs="宋体"/>
                <w:color w:val="auto"/>
                <w:sz w:val="21"/>
                <w:szCs w:val="21"/>
                <w:highlight w:val="none"/>
              </w:rPr>
            </w:pPr>
          </w:p>
        </w:tc>
        <w:tc>
          <w:tcPr>
            <w:tcW w:w="639" w:type="pct"/>
            <w:tcBorders>
              <w:top w:val="nil"/>
              <w:left w:val="nil"/>
              <w:bottom w:val="single" w:color="auto" w:sz="4" w:space="0"/>
              <w:right w:val="single" w:color="auto" w:sz="4" w:space="0"/>
            </w:tcBorders>
            <w:shd w:val="clear" w:color="auto" w:fill="auto"/>
            <w:noWrap/>
            <w:vAlign w:val="center"/>
          </w:tcPr>
          <w:p>
            <w:pPr>
              <w:snapToGrid/>
              <w:spacing w:after="0"/>
              <w:jc w:val="center"/>
              <w:rPr>
                <w:rFonts w:ascii="宋体" w:hAnsi="宋体" w:eastAsia="宋体" w:cs="宋体"/>
                <w:color w:val="auto"/>
                <w:sz w:val="21"/>
                <w:szCs w:val="21"/>
                <w:highlight w:val="none"/>
              </w:rPr>
            </w:pPr>
          </w:p>
        </w:tc>
        <w:tc>
          <w:tcPr>
            <w:tcW w:w="1529" w:type="pct"/>
            <w:tcBorders>
              <w:top w:val="nil"/>
              <w:left w:val="nil"/>
              <w:bottom w:val="single" w:color="auto" w:sz="4" w:space="0"/>
              <w:right w:val="single" w:color="auto" w:sz="4" w:space="0"/>
            </w:tcBorders>
            <w:shd w:val="clear" w:color="auto" w:fill="auto"/>
            <w:vAlign w:val="center"/>
          </w:tcPr>
          <w:p>
            <w:pPr>
              <w:snapToGrid/>
              <w:spacing w:after="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仅含报名服务。</w:t>
            </w:r>
          </w:p>
        </w:tc>
      </w:tr>
      <w:tr>
        <w:tblPrEx>
          <w:tblCellMar>
            <w:top w:w="0" w:type="dxa"/>
            <w:left w:w="108" w:type="dxa"/>
            <w:bottom w:w="0" w:type="dxa"/>
            <w:right w:w="108" w:type="dxa"/>
          </w:tblCellMar>
        </w:tblPrEx>
        <w:trPr>
          <w:trHeight w:val="794" w:hRule="atLeast"/>
        </w:trPr>
        <w:tc>
          <w:tcPr>
            <w:tcW w:w="78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spacing w:after="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技术人员出差驻场服务</w:t>
            </w:r>
          </w:p>
        </w:tc>
        <w:tc>
          <w:tcPr>
            <w:tcW w:w="673" w:type="pct"/>
            <w:tcBorders>
              <w:top w:val="nil"/>
              <w:left w:val="nil"/>
              <w:bottom w:val="single" w:color="auto" w:sz="4" w:space="0"/>
              <w:right w:val="single" w:color="auto" w:sz="4" w:space="0"/>
            </w:tcBorders>
            <w:shd w:val="clear" w:color="auto" w:fill="auto"/>
            <w:noWrap/>
            <w:vAlign w:val="center"/>
          </w:tcPr>
          <w:p>
            <w:pPr>
              <w:snapToGrid/>
              <w:spacing w:after="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驻场服务</w:t>
            </w:r>
          </w:p>
        </w:tc>
        <w:tc>
          <w:tcPr>
            <w:tcW w:w="715" w:type="pct"/>
            <w:tcBorders>
              <w:top w:val="nil"/>
              <w:left w:val="nil"/>
              <w:bottom w:val="single" w:color="auto" w:sz="4" w:space="0"/>
              <w:right w:val="single" w:color="auto" w:sz="4" w:space="0"/>
            </w:tcBorders>
            <w:shd w:val="clear" w:color="auto" w:fill="auto"/>
            <w:noWrap/>
            <w:vAlign w:val="center"/>
          </w:tcPr>
          <w:p>
            <w:pPr>
              <w:snapToGrid/>
              <w:spacing w:after="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18人·天</w:t>
            </w:r>
          </w:p>
        </w:tc>
        <w:tc>
          <w:tcPr>
            <w:tcW w:w="661" w:type="pct"/>
            <w:tcBorders>
              <w:top w:val="nil"/>
              <w:left w:val="nil"/>
              <w:bottom w:val="single" w:color="auto" w:sz="4" w:space="0"/>
              <w:right w:val="single" w:color="auto" w:sz="4" w:space="0"/>
            </w:tcBorders>
            <w:shd w:val="clear" w:color="auto" w:fill="auto"/>
            <w:noWrap/>
            <w:vAlign w:val="center"/>
          </w:tcPr>
          <w:p>
            <w:pPr>
              <w:snapToGrid/>
              <w:spacing w:after="0"/>
              <w:jc w:val="center"/>
              <w:rPr>
                <w:rFonts w:ascii="宋体" w:hAnsi="宋体" w:eastAsia="宋体" w:cs="宋体"/>
                <w:color w:val="auto"/>
                <w:sz w:val="21"/>
                <w:szCs w:val="21"/>
                <w:highlight w:val="none"/>
              </w:rPr>
            </w:pPr>
          </w:p>
        </w:tc>
        <w:tc>
          <w:tcPr>
            <w:tcW w:w="639" w:type="pct"/>
            <w:tcBorders>
              <w:top w:val="nil"/>
              <w:left w:val="nil"/>
              <w:bottom w:val="single" w:color="auto" w:sz="4" w:space="0"/>
              <w:right w:val="single" w:color="auto" w:sz="4" w:space="0"/>
            </w:tcBorders>
            <w:shd w:val="clear" w:color="auto" w:fill="auto"/>
            <w:noWrap/>
            <w:vAlign w:val="center"/>
          </w:tcPr>
          <w:p>
            <w:pPr>
              <w:snapToGrid/>
              <w:spacing w:after="0"/>
              <w:jc w:val="center"/>
              <w:rPr>
                <w:rFonts w:ascii="宋体" w:hAnsi="宋体" w:eastAsia="宋体" w:cs="宋体"/>
                <w:color w:val="auto"/>
                <w:sz w:val="21"/>
                <w:szCs w:val="21"/>
                <w:highlight w:val="none"/>
              </w:rPr>
            </w:pPr>
          </w:p>
        </w:tc>
        <w:tc>
          <w:tcPr>
            <w:tcW w:w="1529" w:type="pct"/>
            <w:tcBorders>
              <w:top w:val="nil"/>
              <w:left w:val="nil"/>
              <w:bottom w:val="single" w:color="auto" w:sz="4" w:space="0"/>
              <w:right w:val="single" w:color="auto" w:sz="4" w:space="0"/>
            </w:tcBorders>
            <w:shd w:val="clear" w:color="auto" w:fill="auto"/>
            <w:vAlign w:val="center"/>
          </w:tcPr>
          <w:p>
            <w:pPr>
              <w:snapToGrid/>
              <w:spacing w:after="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学校指定的工作场地</w:t>
            </w:r>
          </w:p>
        </w:tc>
      </w:tr>
      <w:tr>
        <w:tblPrEx>
          <w:tblCellMar>
            <w:top w:w="0" w:type="dxa"/>
            <w:left w:w="108" w:type="dxa"/>
            <w:bottom w:w="0" w:type="dxa"/>
            <w:right w:w="108" w:type="dxa"/>
          </w:tblCellMar>
        </w:tblPrEx>
        <w:trPr>
          <w:trHeight w:val="737" w:hRule="atLeast"/>
        </w:trPr>
        <w:tc>
          <w:tcPr>
            <w:tcW w:w="283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snapToGrid/>
              <w:spacing w:after="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合计</w:t>
            </w:r>
          </w:p>
        </w:tc>
        <w:tc>
          <w:tcPr>
            <w:tcW w:w="639" w:type="pct"/>
            <w:tcBorders>
              <w:top w:val="nil"/>
              <w:left w:val="nil"/>
              <w:bottom w:val="single" w:color="auto" w:sz="4" w:space="0"/>
              <w:right w:val="single" w:color="auto" w:sz="4" w:space="0"/>
            </w:tcBorders>
            <w:shd w:val="clear" w:color="auto" w:fill="auto"/>
            <w:noWrap/>
            <w:vAlign w:val="center"/>
          </w:tcPr>
          <w:p>
            <w:pPr>
              <w:snapToGrid/>
              <w:jc w:val="center"/>
              <w:rPr>
                <w:rFonts w:ascii="宋体" w:hAnsi="宋体" w:eastAsia="宋体" w:cs="宋体"/>
                <w:b/>
                <w:bCs/>
                <w:color w:val="auto"/>
                <w:sz w:val="21"/>
                <w:szCs w:val="21"/>
                <w:highlight w:val="none"/>
              </w:rPr>
            </w:pPr>
          </w:p>
        </w:tc>
        <w:tc>
          <w:tcPr>
            <w:tcW w:w="1529" w:type="pct"/>
            <w:tcBorders>
              <w:top w:val="nil"/>
              <w:left w:val="nil"/>
              <w:bottom w:val="single" w:color="auto" w:sz="4" w:space="0"/>
              <w:right w:val="single" w:color="auto" w:sz="4" w:space="0"/>
            </w:tcBorders>
            <w:shd w:val="clear" w:color="auto" w:fill="auto"/>
            <w:noWrap/>
            <w:vAlign w:val="center"/>
          </w:tcPr>
          <w:p>
            <w:pPr>
              <w:snapToGrid/>
              <w:spacing w:after="0"/>
              <w:jc w:val="both"/>
              <w:rPr>
                <w:rFonts w:ascii="宋体" w:hAnsi="宋体" w:eastAsia="宋体" w:cs="宋体"/>
                <w:color w:val="auto"/>
                <w:sz w:val="21"/>
                <w:szCs w:val="21"/>
                <w:highlight w:val="none"/>
              </w:rPr>
            </w:pPr>
          </w:p>
        </w:tc>
      </w:tr>
    </w:tbl>
    <w:p>
      <w:pPr>
        <w:pStyle w:val="31"/>
        <w:ind w:firstLine="48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说明：</w:t>
      </w:r>
    </w:p>
    <w:p>
      <w:pPr>
        <w:pStyle w:val="31"/>
        <w:ind w:firstLine="480"/>
        <w:rPr>
          <w:rFonts w:ascii="宋体" w:hAnsi="宋体" w:eastAsia="宋体" w:cs="宋体"/>
          <w:color w:val="auto"/>
          <w:highlight w:val="none"/>
          <w:lang w:bidi="ar"/>
        </w:rPr>
      </w:pPr>
      <w:r>
        <w:rPr>
          <w:rFonts w:hint="eastAsia" w:ascii="宋体" w:hAnsi="宋体" w:eastAsia="宋体" w:cs="宋体"/>
          <w:color w:val="auto"/>
          <w:highlight w:val="none"/>
        </w:rPr>
        <w:t>1.表中专业及规模均为预计，具体以2025年考试实际为准。</w:t>
      </w:r>
    </w:p>
    <w:p>
      <w:pPr>
        <w:pStyle w:val="31"/>
        <w:ind w:firstLine="480"/>
        <w:rPr>
          <w:rFonts w:ascii="宋体" w:hAnsi="宋体" w:eastAsia="宋体" w:cs="宋体"/>
          <w:color w:val="auto"/>
          <w:highlight w:val="none"/>
          <w:lang w:bidi="ar"/>
        </w:rPr>
      </w:pPr>
      <w:r>
        <w:rPr>
          <w:rFonts w:hint="eastAsia" w:ascii="宋体" w:hAnsi="宋体" w:eastAsia="宋体" w:cs="宋体"/>
          <w:color w:val="auto"/>
          <w:highlight w:val="none"/>
        </w:rPr>
        <w:t>2.表中各服务项目结算时，按实际据实计算；如结算总价超过中标总价，则按中标总价进行结算。</w:t>
      </w:r>
    </w:p>
    <w:p>
      <w:pPr>
        <w:adjustRightInd/>
        <w:snapToGrid/>
        <w:spacing w:after="0"/>
        <w:rPr>
          <w:rFonts w:ascii="宋体" w:hAnsi="宋体" w:eastAsia="宋体" w:cs="宋体"/>
          <w:color w:val="auto"/>
          <w:sz w:val="28"/>
          <w:szCs w:val="28"/>
          <w:highlight w:val="none"/>
        </w:rPr>
      </w:pPr>
    </w:p>
    <w:p>
      <w:pPr>
        <w:spacing w:after="0" w:line="360" w:lineRule="auto"/>
        <w:ind w:right="660" w:rightChars="300" w:firstLine="6160" w:firstLineChars="2200"/>
        <w:jc w:val="both"/>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公司（盖章）：</w:t>
      </w:r>
    </w:p>
    <w:p>
      <w:pPr>
        <w:spacing w:before="163" w:beforeLines="50" w:after="163" w:afterLines="50" w:line="360" w:lineRule="auto"/>
        <w:jc w:val="both"/>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时间：</w:t>
      </w:r>
    </w:p>
    <w:p>
      <w:pPr>
        <w:spacing w:before="163" w:beforeLines="50" w:after="163" w:afterLines="50" w:line="360" w:lineRule="auto"/>
        <w:jc w:val="both"/>
        <w:rPr>
          <w:rFonts w:ascii="宋体" w:hAnsi="宋体" w:eastAsia="宋体" w:cs="宋体"/>
          <w:color w:val="auto"/>
          <w:sz w:val="28"/>
          <w:szCs w:val="28"/>
          <w:highlight w:val="none"/>
        </w:rPr>
      </w:pPr>
    </w:p>
    <w:p>
      <w:pPr>
        <w:spacing w:before="163" w:beforeLines="50" w:after="163" w:afterLines="50" w:line="360" w:lineRule="auto"/>
        <w:jc w:val="both"/>
        <w:rPr>
          <w:rFonts w:ascii="宋体" w:hAnsi="宋体" w:eastAsia="宋体" w:cs="宋体"/>
          <w:color w:val="auto"/>
          <w:sz w:val="28"/>
          <w:szCs w:val="28"/>
          <w:highlight w:val="none"/>
        </w:rPr>
      </w:pPr>
    </w:p>
    <w:p>
      <w:pPr>
        <w:adjustRightInd/>
        <w:snapToGrid/>
        <w:spacing w:after="0"/>
        <w:rPr>
          <w:rFonts w:ascii="宋体" w:hAnsi="宋体" w:eastAsia="宋体" w:cs="宋体"/>
          <w:color w:val="auto"/>
          <w:sz w:val="28"/>
          <w:szCs w:val="28"/>
          <w:highlight w:val="none"/>
        </w:rPr>
      </w:pPr>
      <w:r>
        <w:rPr>
          <w:rFonts w:ascii="宋体" w:hAnsi="宋体" w:eastAsia="宋体" w:cs="宋体"/>
          <w:color w:val="auto"/>
          <w:sz w:val="28"/>
          <w:szCs w:val="28"/>
          <w:highlight w:val="none"/>
        </w:rPr>
        <w:br w:type="page"/>
      </w:r>
    </w:p>
    <w:p>
      <w:pPr>
        <w:spacing w:before="163" w:beforeLines="50" w:after="163" w:afterLines="50" w:line="360" w:lineRule="auto"/>
        <w:jc w:val="both"/>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附件2：</w:t>
      </w:r>
    </w:p>
    <w:p>
      <w:pPr>
        <w:ind w:firstLine="723"/>
        <w:jc w:val="center"/>
        <w:rPr>
          <w:b/>
          <w:bCs/>
          <w:color w:val="auto"/>
          <w:highlight w:val="none"/>
        </w:rPr>
      </w:pPr>
      <w:r>
        <w:rPr>
          <w:rFonts w:hint="eastAsia" w:ascii="宋体" w:hAnsi="宋体" w:eastAsia="宋体" w:cs="宋体"/>
          <w:b/>
          <w:bCs/>
          <w:color w:val="auto"/>
          <w:sz w:val="28"/>
          <w:szCs w:val="28"/>
          <w:highlight w:val="none"/>
        </w:rPr>
        <w:t>广西艺术学院2025年网络考试专业技术服务采购需求</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bookmarkStart w:id="0" w:name="_Toc168568122"/>
      <w:r>
        <w:rPr>
          <w:rFonts w:hint="eastAsia" w:ascii="宋体" w:hAnsi="宋体" w:eastAsia="宋体" w:cs="宋体"/>
          <w:color w:val="auto"/>
          <w:sz w:val="24"/>
          <w:szCs w:val="24"/>
          <w:highlight w:val="none"/>
        </w:rPr>
        <w:t>一、专业技术服务采购目标</w:t>
      </w:r>
      <w:bookmarkEnd w:id="0"/>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我校是全国8所综合性普通本科高等艺术院校之一，部分艺术类本科专业经教育主管部门批准，可组织校考，面向全国及港澳台地区招生。同时我校具有硕士研究生招生资格，招生研究方向齐全，考试科目多。2025年预计招生普通本科生2000人左右，硕士研究生700余人。</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生工作把好学生“入口关”，是学校“十四五”期间实现内涵式发展的重要基础，也是学校各项工作中的重要环节。在招生过程中要确保报名、考试、评分等全过程的公平公正、安全有序。根据上级部门关于艺术类招生改革的相关政策和文件精神，结合我校招生工作实际，为满足网络考试需要，需采购一套成熟、稳定集报名、考试、评分于一体的专业技术服务平台。</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网络考试专业技术服务采购需实现以下目标：</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1、平台包含报名服务，解决招生系统存在的硬件投入成本高、峰值网络带宽压力大、系统并发能力弱、系统维护技术难、售后服务响应慢等问题，更好地为广大考生提供便捷的报名和在线缴费服务。</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平台包含多种形式的线上考试服务，包括但不限于网络提交视频，网络实时监考和网络直播面试等考试形式。确保线上考试管理和过程规范化、标准化，形式多样化，严格防范线上考试作弊行为，切实提高考试质量。</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3、平台包含线上评分服务，包括但不限于视频评分，图片评分和面试评分等评分形式。实现考评分离，确保评分环节公平公正，安全有序。</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4、平台的服务为我校2025年组织的本科校考、研究生复试及附校相关专业考试，服务内容如下：</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（1）本科专业校考，含线上报名缴费、线上考试、线上评分。</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（2）研究生招生考试（复试），含线上缴费、考生资料收集、线上考试、线上评分。</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（3）附属中等艺术学校网上报名服务。</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bookmarkStart w:id="1" w:name="_Toc29769"/>
      <w:bookmarkStart w:id="2" w:name="_Toc168568123"/>
      <w:r>
        <w:rPr>
          <w:rFonts w:hint="eastAsia" w:ascii="宋体" w:hAnsi="宋体" w:eastAsia="宋体" w:cs="宋体"/>
          <w:color w:val="auto"/>
          <w:sz w:val="24"/>
          <w:szCs w:val="24"/>
          <w:highlight w:val="none"/>
        </w:rPr>
        <w:t>二、服务平台参数指标要求</w:t>
      </w:r>
      <w:bookmarkEnd w:id="1"/>
      <w:bookmarkEnd w:id="2"/>
    </w:p>
    <w:p>
      <w:pPr>
        <w:pStyle w:val="31"/>
        <w:widowControl w:val="0"/>
        <w:spacing w:before="163" w:beforeLines="50" w:after="163" w:afterLines="50" w:line="360" w:lineRule="auto"/>
        <w:jc w:val="both"/>
        <w:rPr>
          <w:rFonts w:ascii="宋体" w:hAnsi="宋体" w:eastAsia="宋体" w:cs="宋体"/>
          <w:color w:val="auto"/>
          <w:sz w:val="24"/>
          <w:szCs w:val="24"/>
          <w:highlight w:val="none"/>
        </w:rPr>
      </w:pPr>
      <w:bookmarkStart w:id="3" w:name="_Toc168568124"/>
      <w:r>
        <w:rPr>
          <w:rFonts w:hint="eastAsia" w:ascii="宋体" w:hAnsi="宋体" w:eastAsia="宋体" w:cs="宋体"/>
          <w:color w:val="auto"/>
          <w:sz w:val="24"/>
          <w:szCs w:val="24"/>
          <w:highlight w:val="none"/>
        </w:rPr>
        <w:t>（一）架构要求</w:t>
      </w:r>
      <w:bookmarkEnd w:id="3"/>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1、实现各模块数据库分离，保障各业务数据库访问安全稳定；</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2、实现业务数据读写分离，使查询与写入操作互不影响数据库服务器性能，能合理利用缓存技术，有效降低数据库访问压力；</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3、能够将系统的多个应用分离部署，形成高可用的系统分布式集群，以保障业务运行的高可用性。</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4、服务提供方应提供系统运行所需要的硬件（系统本地部署时由院校提供服务器硬件）、软件及第三方软件，系统应完全满足艺术类专业同时开考网络考试的并发性要求。</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bookmarkStart w:id="4" w:name="_Toc168568125"/>
      <w:r>
        <w:rPr>
          <w:rFonts w:hint="eastAsia" w:ascii="宋体" w:hAnsi="宋体" w:eastAsia="宋体" w:cs="宋体"/>
          <w:color w:val="auto"/>
          <w:sz w:val="24"/>
          <w:szCs w:val="24"/>
          <w:highlight w:val="none"/>
        </w:rPr>
        <w:t>（二）性能要求</w:t>
      </w:r>
      <w:bookmarkEnd w:id="4"/>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1、系统请求响应时间：1秒以内；</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2、每分钟成功报名考生数：</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0万</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3、同时在线考试考生数：不少于20万人。同步上传考试视频支持不少于10万人，同时在线考试的监考支持不少于10万人，同时在线咨询支持不少于2万人，同时在线查询成绩不少于10万人，数据传输无上限。</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4、支持考生多并发、海量存储：支持文件存储服务器宽带入口10Gb/秒；支持OSS上传就近上传华北、华东、华南、西南5个区域，每个区拥有30Gbps。</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5、视频文件下载带宽满足50MB/S以上需求。</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6、云服务器300台以上，单台服务器规格在8核16G及以上，云数据库服务器2台，单台服务器规格在32核128G及以上，云数据库Redis实例规格256G集群（16节点）及以上。</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7、数据云存储容量满足无限扩展需求。</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bookmarkStart w:id="5" w:name="_Toc168568126"/>
      <w:r>
        <w:rPr>
          <w:rFonts w:hint="eastAsia" w:ascii="宋体" w:hAnsi="宋体" w:eastAsia="宋体" w:cs="宋体"/>
          <w:color w:val="auto"/>
          <w:sz w:val="24"/>
          <w:szCs w:val="24"/>
          <w:highlight w:val="none"/>
        </w:rPr>
        <w:t>（三）安全要求</w:t>
      </w:r>
      <w:bookmarkEnd w:id="5"/>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1、服务平台满足信息安全等级三级等保要求。</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2、考生关键信息加密存储，做到不丢失，不损坏，不被窃取，不被篡改，数据有备份，出错可恢复。</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3、系统数据不得非法访问，用户操作轨迹可查询。</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4、网络访问协议使用HTTPS等安全协议。</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5、已知系统漏洞、错误和缺陷等能及时采取必要措施，并做好系统升级。</w:t>
      </w:r>
    </w:p>
    <w:p>
      <w:pPr>
        <w:pStyle w:val="31"/>
        <w:widowControl w:val="0"/>
        <w:spacing w:before="163" w:beforeLines="50" w:after="163" w:afterLines="50" w:line="360" w:lineRule="auto"/>
        <w:jc w:val="both"/>
        <w:rPr>
          <w:rFonts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6.具备核心音视频技术独立开发能力，拥有丰富的实际应用经验，所提供的全部产品及服务为同一公司研发与提供，该公司拥有完全的掌控能力并须完成教育移动互联网应用程序备案管理，对院校的需求有能力快速而且灵活地满足。</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bookmarkStart w:id="6" w:name="_Toc168568127"/>
      <w:r>
        <w:rPr>
          <w:rFonts w:hint="eastAsia" w:ascii="宋体" w:hAnsi="宋体" w:eastAsia="宋体" w:cs="宋体"/>
          <w:color w:val="auto"/>
          <w:sz w:val="24"/>
          <w:szCs w:val="24"/>
          <w:highlight w:val="none"/>
        </w:rPr>
        <w:t>三、功能需求</w:t>
      </w:r>
      <w:bookmarkEnd w:id="6"/>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zh-TW" w:eastAsia="zh-TW"/>
        </w:rPr>
        <w:t>系统提供</w:t>
      </w:r>
      <w:r>
        <w:rPr>
          <w:rFonts w:hint="eastAsia" w:ascii="宋体" w:hAnsi="宋体" w:eastAsia="宋体" w:cs="宋体"/>
          <w:color w:val="auto"/>
          <w:sz w:val="24"/>
          <w:szCs w:val="24"/>
          <w:highlight w:val="none"/>
        </w:rPr>
        <w:t>满足学校招考、评分等一体化的平台。是实现学校管理、招考管理、信息管理、考生管理、客服平台、下载管理等一体化，且全程日志可追溯的系统。是为学校管理者更好的开展线上艺术类专业考试工作而开发的综合服务系统。</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使用现代信息技术将艺术类专业招生考试业务线上进行组织。根据需求，建设内容如下：</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zh-TW"/>
        </w:rPr>
        <w:t>平台</w:t>
      </w:r>
      <w:r>
        <w:rPr>
          <w:rFonts w:hint="eastAsia" w:ascii="宋体" w:hAnsi="宋体" w:eastAsia="宋体" w:cs="宋体"/>
          <w:color w:val="auto"/>
          <w:sz w:val="24"/>
          <w:szCs w:val="24"/>
          <w:highlight w:val="none"/>
        </w:rPr>
        <w:t>针对学校招生部门业务管理和考生服务需求设计，含在线报名、考试、在线评分三大模块。包括报名管理、考试管理及评分管理三大功能系统，实现报名、考试、评分的全流程服务，构建集管理、服务、宣传、统计分析于一体的艺术类专业招考综合服务体系。</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报名管理系统能够实现招考信息配置发布、考生认证、报名缴费等功能；</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考试系统能够实现考试配置，准考证编排和打印，在线考试（提交视频），在线考试（直播面试），在线考试（实时监考），视频资料下载等功能。</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评分系统能够实现评分配置，视频评分，图片评分，评分结果打印和导出等功能，满足考评分离要求。</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bookmarkStart w:id="7" w:name="_Toc168568128"/>
      <w:r>
        <w:rPr>
          <w:rFonts w:hint="eastAsia" w:ascii="宋体" w:hAnsi="宋体" w:eastAsia="宋体" w:cs="宋体"/>
          <w:color w:val="auto"/>
          <w:sz w:val="24"/>
          <w:szCs w:val="24"/>
          <w:highlight w:val="none"/>
        </w:rPr>
        <w:t>（一）报名管理系统</w:t>
      </w:r>
      <w:bookmarkEnd w:id="7"/>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报名管理系统，根据学校考试科目要求，对系统进行设置，实现考生可根据自己专业进行线上报名缴费功能。可对考生报名省市进行管理，对缴费功能进行配置，考生报名费用从系统直接交至学校指定账户。</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bookmarkStart w:id="8" w:name="_Toc168568129"/>
      <w:r>
        <w:rPr>
          <w:rFonts w:hint="eastAsia" w:ascii="宋体" w:hAnsi="宋体" w:eastAsia="宋体" w:cs="宋体"/>
          <w:color w:val="auto"/>
          <w:sz w:val="24"/>
          <w:szCs w:val="24"/>
          <w:highlight w:val="none"/>
        </w:rPr>
        <w:t>1、院校基础管理</w:t>
      </w:r>
      <w:bookmarkEnd w:id="8"/>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（1）支持显示或设置本次考试院校名称、考试地点、考试专业（科目）；</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（2）可以对学校专业以及专业下的方向、乐器、舞种或唱法进行设置；</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（3）支持学校能自定义添加多种内部管理账号，如客服、财务等，可针对每种账号实现权限独立设置；</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bookmarkStart w:id="9" w:name="_Toc3130"/>
      <w:bookmarkStart w:id="10" w:name="_Toc12686"/>
      <w:bookmarkStart w:id="11" w:name="_Toc168568130"/>
      <w:r>
        <w:rPr>
          <w:rFonts w:hint="eastAsia" w:ascii="宋体" w:hAnsi="宋体" w:eastAsia="宋体" w:cs="宋体"/>
          <w:color w:val="auto"/>
          <w:sz w:val="24"/>
          <w:szCs w:val="24"/>
          <w:highlight w:val="none"/>
        </w:rPr>
        <w:t>2、报名管理</w:t>
      </w:r>
      <w:bookmarkEnd w:id="9"/>
      <w:bookmarkEnd w:id="10"/>
      <w:bookmarkEnd w:id="11"/>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（1）可以新增设置多场考试的名称、考试年度、限考专业数、专业志愿填报数和开通标志，可通过限考专业数控制考生本次考试报考专业的最大数；</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（2）可根据专业、省市发布考试，每场考试可以单独选择专业、考试科目、报名时间、报名费用、报考省份、报名须知、考试时间等。</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（3）支持多种收费方式，提供基础报名费+考试科目费的形式进行收费或仅按考试科目进行收费，支持初试和复试分开缴费。</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（4）考试专业管理：可以通过“新增”或者“批量新增”的方式，设置考试对应的报考专业信息和专业下对应的考试科目信息；</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（5）支持APP、网站等入口报名，学校单独连接进行报名，系统批量导入考生信息报名，支持WEB端扫描二维码支付和支付宝APP支付，支付金额进入学校指定账户。</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（6）报名时间管理：设置各考点的报名起止时间、准考证打印起止时间，考生必须在指定的时间内进行报名，超过了时间就不允许报名，报名完成后考生可以在指定的时间进行打印准考证操作；</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（7）支持报名和考试功能分离，支持学校在系统上发布报名和考试，考生运用系统报名缴费且考试。同时也支持导入学生名单的形式组织考试。</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（8）支持各考点下对应专业的考试信息进行设置，包括考试时间，限报人数、报名费、准考证须知、性别限制、具体考试时间段等信息.</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（9）支持在报考的时候弹出提示对话框，告知考生本次考试的相关特殊信息，报考须知可以根据需要设置在考点上，也可以设置在专业上。</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bookmarkStart w:id="12" w:name="_Toc168568131"/>
      <w:r>
        <w:rPr>
          <w:rFonts w:hint="eastAsia" w:ascii="宋体" w:hAnsi="宋体" w:eastAsia="宋体" w:cs="宋体"/>
          <w:color w:val="auto"/>
          <w:sz w:val="24"/>
          <w:szCs w:val="24"/>
          <w:highlight w:val="none"/>
        </w:rPr>
        <w:t>3、考生认证和资料收集</w:t>
      </w:r>
      <w:bookmarkEnd w:id="12"/>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（1）支持院校定制化资料上传审核，可根据不同情况配置到报名或确认之前，收集考生个人材料，系统或人工对考生信息进行审核和在线肖像认证，认证后方可进行后续的准考证打印和考试。</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（2）支持院校自定义信息收集功能，针对不同的考试、专业，可要求考生上传除报名基础信息外其他如身高、体重、特长、成绩等自定义信息。</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（3）支持院校自定义文件收集，针对不同考试，可要求考生在报名后规定时间内上传院校需要的材料，可收集PDF、JPG、PNG、MP4等文件格式。</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bookmarkStart w:id="13" w:name="_Toc168568132"/>
      <w:r>
        <w:rPr>
          <w:rFonts w:hint="eastAsia" w:ascii="宋体" w:hAnsi="宋体" w:eastAsia="宋体" w:cs="宋体"/>
          <w:color w:val="auto"/>
          <w:sz w:val="24"/>
          <w:szCs w:val="24"/>
          <w:highlight w:val="none"/>
        </w:rPr>
        <w:t>4、报名规则设置</w:t>
      </w:r>
      <w:bookmarkEnd w:id="13"/>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（1）支持在报考的时候对考生的高考省份进行限制，只有指定的省份才能报考，省份限制可以根据考点设置，也可以根据专业考试日程设置；</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（2）支持考点容量设置可以控制每个考点每天的最大报考人数，一旦超过考点容量的人数，则不允许进行报考；</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（3）支持根据考试专业设置各个省份的文/理科或物理/历史的科类限制；</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（4）支持报考资格库设置，根据身份证号限定考生的报考资格，只有指定有资格的考生才能进行报考，没有资格的考生不允许报名。</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bookmarkStart w:id="14" w:name="_Toc168568133"/>
      <w:r>
        <w:rPr>
          <w:rFonts w:hint="eastAsia" w:ascii="宋体" w:hAnsi="宋体" w:eastAsia="宋体" w:cs="宋体"/>
          <w:color w:val="auto"/>
          <w:sz w:val="24"/>
          <w:szCs w:val="24"/>
          <w:highlight w:val="none"/>
        </w:rPr>
        <w:t>5、考生管理</w:t>
      </w:r>
      <w:bookmarkEnd w:id="14"/>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（1）可根据考生证件号码、姓名查询某个考生的详细信息，在查询过程中对考生的手机号码等敏感信息进行加密隐藏，在点击详细信息时才显示。</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（2）支持考生专业作废申请审核，考生报错专业可进行作废处理，可以单个操作，也可以批量操作，可以针对性给出审核意见。</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（3）考生订单管理，可单个查询或按日期等条件批量导出考生缴费订单信息，方便后期的财务对账和退费等操作。</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bookmarkStart w:id="15" w:name="_Toc168568134"/>
      <w:r>
        <w:rPr>
          <w:rFonts w:hint="eastAsia" w:ascii="宋体" w:hAnsi="宋体" w:eastAsia="宋体" w:cs="宋体"/>
          <w:color w:val="auto"/>
          <w:sz w:val="24"/>
          <w:szCs w:val="24"/>
          <w:highlight w:val="none"/>
        </w:rPr>
        <w:t>6、报名监控中心</w:t>
      </w:r>
      <w:bookmarkEnd w:id="15"/>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（1）支持实时监控和统计各考点各专业的报名人数情况。</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（2）支持多维度查询，例如分省、分专业查看报名情况，提供报名明细。</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（3）提供报名数据导出功能，导出格式为.xlsx文件。</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bookmarkStart w:id="16" w:name="_Toc168568135"/>
      <w:r>
        <w:rPr>
          <w:rFonts w:hint="eastAsia" w:ascii="宋体" w:hAnsi="宋体" w:eastAsia="宋体" w:cs="宋体"/>
          <w:color w:val="auto"/>
          <w:sz w:val="24"/>
          <w:szCs w:val="24"/>
          <w:highlight w:val="none"/>
        </w:rPr>
        <w:t>（二）考试管理系统</w:t>
      </w:r>
      <w:bookmarkEnd w:id="16"/>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考试管理系统服务于线上考试，可满足线上线上考试（提交视频）、线上考试（直播监考）和线上考试（直播面试）三种考试需求。</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bookmarkStart w:id="17" w:name="_Toc168568136"/>
      <w:bookmarkStart w:id="18" w:name="_Toc22829"/>
      <w:bookmarkStart w:id="19" w:name="_Toc28357"/>
      <w:r>
        <w:rPr>
          <w:rFonts w:hint="eastAsia" w:ascii="宋体" w:hAnsi="宋体" w:eastAsia="宋体" w:cs="宋体"/>
          <w:color w:val="auto"/>
          <w:sz w:val="24"/>
          <w:szCs w:val="24"/>
          <w:highlight w:val="none"/>
        </w:rPr>
        <w:t>1、考务管理</w:t>
      </w:r>
      <w:bookmarkEnd w:id="17"/>
      <w:bookmarkEnd w:id="18"/>
      <w:bookmarkEnd w:id="19"/>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（1）考场管理，支持单个新增或批量导入功能，方便管理人员快速维护考场信息。</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（2）考场编排，将准考证号码分配到对应到考场。要求支持打印考场安排表，打印门贴，打印签到单，打印考场记录，考场核对单等功能，方便考务人员进行考生的信息核对。</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（3）编排数据导入，支持按照学校准考证编排规则，将已编排好准考证号、考场、考试时间的编排数据导入系统。</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（4）支持同一个考生不同考试专业（或科目）使用相同准考证号或不同准考证号两种选项。</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线上考试（直播监考），提供监考人员管理功能，可系统随机将监考员分配到各个考场进行监考。也可指定监考员固定的考场，监考员登陆后，自动进入指定的考场监考。提供的监考人员帐号登录后可绑定到监考员真实姓名。</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（6）提供考生考试信息查询、考生状态查询、考生信息导出及考生照片、文件、视频下载功能。</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（7）支持准考证考生自取和随机分配两种功能，可自定义准考证格式和内容，准考证上需要条形码和二维码。</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线上考试（直播监考）科目，考前提供答题纸打印、条形码（二维码）打印、邮寄单打印功能。打印准考证时同时提供对应专业（或科目）的答题纸打印、条形码（二维码）和试卷邮寄单打印等。条形码支持多种形式的样式选择，条码数量可根据需求动态调整。</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（9）线上考试（提交视频）、线上考试（直播监考）两种考试形式提供考生试卷、考试视频下载功能，针对单个考生可增加考试次数设置。</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（10）线上考试（直播面试）提供考生排队功能，可设置考生排队顺序和设置评分项目、考场管理员、评委等。</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（11）线上考试（提交视频）、线上考试（直播监考）提供试题编排和指令编排，可根据设定的时间自动分发图片、文字或音频等试题。可将文字指令转成音频指令定时或按需分发给考生。</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（12）支持考生考前电子签订《考试安全保密责任书》配置。可配置考生第一个科目考试正式开始前签订责任书。</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bookmarkStart w:id="20" w:name="_Toc22195"/>
      <w:bookmarkStart w:id="21" w:name="_Toc4457"/>
      <w:bookmarkStart w:id="22" w:name="_Toc168568137"/>
      <w:r>
        <w:rPr>
          <w:rFonts w:hint="eastAsia" w:ascii="宋体" w:hAnsi="宋体" w:eastAsia="宋体" w:cs="宋体"/>
          <w:color w:val="auto"/>
          <w:sz w:val="24"/>
          <w:szCs w:val="24"/>
          <w:highlight w:val="none"/>
        </w:rPr>
        <w:t>2、线上考试（提交视频）</w:t>
      </w:r>
      <w:bookmarkEnd w:id="20"/>
      <w:bookmarkEnd w:id="21"/>
      <w:bookmarkEnd w:id="22"/>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系统能够基于学校要求，实现按专业或科目配置题库，题库形式多样。考前进行人脸认证确保考生身份真实和报考资格有效后进入考试。正式考试前能按需配置多次全真模拟考试，让考生完整体验并掌握正式考试流程。系统具有多种防作弊手段，记录考生操作轨迹，有效防止考试作弊。系统能够进行考试设备检查，确保考试设备性能、存储空间、摄像头、麦克风等满足需要。系统能够保障视频画质音质，兼容苹果和安卓主流品牌机型。系统整体安全、稳定、成熟、使用便捷，满足学校线上考试（提交视频）的要求。</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（1）支持双机位模式考试、支持次数限制，可根据拍摄限制，控制考生的视频拍摄次数或视频保存次数。双机位考试模式需要实现双机位直播、双机位录播和辅机位直播+主机位录播三种模式的考试形式。</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（2）支持拍摄方向设置：考试视频拍摄方向，分为两三种：横屏、竖屏及不限，当选择不限的时候，考生进行视频拍摄的时候，需要先进行拍摄方向的选择，之后再进入视频录制页面。</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（3）支持前后置摄像头设置：考试视频拍摄的摄像头选择，分为四种：默认前置不限制、默认后置不限制、前置摄像头和后置摄像头。</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（4）支持对看题过程进行录制：考生进行考题查看的时候，可以设置必须进入录制页面才可以进行考题查看。</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（5）支持在考试前检查手机机型、手机摄像头、声音、存储空间、电量是否满足考试需要，考试录制过程中，若检测到手机性能不足，可自适应调整录制帧率，防止录制意外中断。</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有多种放作弊手段，满足教育部明确提出的防缩屏、防外接设备、防音视频编辑等防作弊要求；系统可进行考生身份验证，启动后自动禁止任何与考试无关的外接设备采用任何形式进行连接使用，禁止使用有源或无线网络方式进行系统内容投屏展示，可防缩屏、放截屏、防录屏、防对口型，防音视频编辑、录制的视频限制上传时间等。</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（7）支持考题批次设置，报考了对应日程的考生进行考题获取的时候，只能获取到对应批次的考题。</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（8）支持考试引导阶段，考生在考试的时候，引导考生进行一步步操作。</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（9）支持图片考题、文字考题、视频考题、语音考题，针对图片文字混合考题提供分块显示，考生可以更清晰的确认考题。不同类型考题加载，分发流畅。</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（10）支持通知功能，对线上视频考试快要截止尚未参加考试的考生，系统可自动或手动推送APP消息或短信通知，通知考生按时参加考试。</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（11）支持查询功能，考生可查看考试科目的考试情况，系统管理员可查询考生的考试进度，考试结果，统计考试人数等。</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bookmarkStart w:id="23" w:name="_Toc168568138"/>
      <w:bookmarkStart w:id="24" w:name="_Toc12671"/>
      <w:bookmarkStart w:id="25" w:name="_Toc16941"/>
      <w:r>
        <w:rPr>
          <w:rFonts w:hint="eastAsia" w:ascii="宋体" w:hAnsi="宋体" w:eastAsia="宋体" w:cs="宋体"/>
          <w:color w:val="auto"/>
          <w:sz w:val="24"/>
          <w:szCs w:val="24"/>
          <w:highlight w:val="none"/>
        </w:rPr>
        <w:t>3、线上考试（直播监考）</w:t>
      </w:r>
      <w:bookmarkEnd w:id="23"/>
      <w:bookmarkEnd w:id="24"/>
      <w:bookmarkEnd w:id="25"/>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（1）提供多种监控模式：单机位直播监考、双机位辅机直播监考、双机位主机直播监考、双机位主辅机同时直播监考。</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（2）调整监考画面，监考人员后端监控的内容，大于考生在手机上看到的范围。</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（3）实时监考功能，监考员实时监控考生的考试内容，可通过设置考场编排实现每个监考屏幕16人、25人、30人等；监考屏幕人数较多时可多屏切换显示。</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（4）支持考试引导阶段，考生在考试的时候，引导考生进行一步步操作。</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（5）支持客观题和主观题，包括单选题、多选题、判断题、简答题、论述题等题型，选项及题目均支持使用图片类型，题目顺序和选项可随机打乱。</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（6）提供监考老师时间轴概念，监考老师根据监考时间进行操作。</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（7）支持辅机发放考题查看，直播管理员可以对考生的辅机进行单独的考题发题，使考生可以在辅机上查看考题。</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（8）提供辅机迟到功能，考生迟到之后辅机不能进入考场参加考试；</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提供全员指令功能，监考员可向本考场所有考生发布语音指令；提供考生指令功能，监考员可对考场内考生单独发布音指令，指令可为语音指令或文字指令；提供定时指令，指令可在开考后指定的时间向考生自动发布。</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（10）提供考生文字沟通功能，针对未开启手机音量或因其他原因导致无法听到音频的考生发送文字指令。</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（11）支持实时通信，考试期间监考老师可以通过主机或辅机与考生进行通信；提供云端实时存储功能，主机和辅机的监考视频实时存储在云端进行备份，防止丢失。</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（12）提供考场记录功能，监考老师在监控过程中可对考场情况进行记录，监考结束以后，要求监考老师填写和确认完整的考场记录表。系统生成PDF格式，供后台下载。</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（13）考试过程中，系统或监考员发现异常时，考试中和考试结束后监考员可回看考试视频，并一键截图，快速记录异常情况，支持预设常见异常情况分类，供监考员选择。</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监考过程中实现智能AI录制画面、手机画面异常情况检测技术，自动识别考试过程中的人员画面信息、手机屏幕信息，系统自动记录考生的考试异常行为、所有操作轨迹并提醒监考老师进行现场核验，有效识别和防止考试作弊。</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（15）支持单独展示试卷阶段的录制，考试结束之后要求考生按指定指令进行展示试卷，并拍摄照片。</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（16）在考生录制的视频中增加时间水印显示，方便院校后期进行视频巡查。</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17）监考员在监控界面上除了实时监考外，还支持收卷功能。提供交卷管理系统，考生提交的作品（图片）需要监考人员进行审核，符合要求之后才能完成交卷。不符合要求的试卷，监考员可以打回要求考生重新提交。针对误收卷的情况提供取消收卷功能，防止因误收卷导致考生试卷不符合要求。</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（18）支持误操作撤回，不合格答卷被打回后，被打回的试卷应后台保存，可随时调取查看。</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（19）支持监考员审核作品时无需跳转至其他页面并可在同一界面进行监考，同时可关注考生求助信息、查看及处理异常情况；每个监考员可通过后台监考直观看到考生收卷情况，便于对整场考试状态把控。</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（20）提供邮寄单号填写，可提前设置邮寄单号填写时间，方便在考试结束后进行邮寄单号登记。</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bookmarkStart w:id="26" w:name="_Toc168568139"/>
      <w:r>
        <w:rPr>
          <w:rFonts w:hint="eastAsia" w:ascii="宋体" w:hAnsi="宋体" w:eastAsia="宋体" w:cs="宋体"/>
          <w:color w:val="auto"/>
          <w:sz w:val="24"/>
          <w:szCs w:val="24"/>
          <w:highlight w:val="none"/>
        </w:rPr>
        <w:t>4、线上考试（直播面试）</w:t>
      </w:r>
      <w:bookmarkEnd w:id="26"/>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（1）支持双机位线上面试，评分端使用网页或客户端软件登录，能够同时显示出考生主机和辅机画面。考生主机可显示出评委端画面及考题信息。</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（2）考试过程的主机和辅机画面全程云录制，考试后，提供统一下载链接供下载。</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（3）提供排队功能，考生按顺序号参加面试考试，系统自动提醒考生参加考试和当前考试顺序号。考生考试时，系统能够直接呼叫考生，以便考生及时接入视频参加考试。</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（4）考试页面预加载和显示考生上传的个人资料和文件，供考场管理员（或考评教师）随时打开查看。</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（5）考场管理员操作面试客户端，负责给考生发题，可呼叫考生考试和移除考生出面试考场，也可跳过考生。</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考场支持至少5位评委老师评分，使用PAD或电脑进行打分。评分页面显示当前考生的评分项目（可能有多个）和评分框，同时显示当前考场考生的评分情况。评委按考场分组提交成绩，在本考场成绩未完全提交前，可对已打出的成绩做出修改，系统自动记录评委的修改过程。</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（7）可配置评委老师电子签名，评委老师在登录时进行电子签名，用于后期导出评分记录表使用。</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（8）评委可使用考场管理员麦克风实时通过主机或辅机与考生对话。</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（9）提供成绩导出和打印功能，按照考场，导出评分专家的评分记录表，供评委专家签字确认或使用专家的电子签名。</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bookmarkStart w:id="27" w:name="_Toc168568140"/>
      <w:r>
        <w:rPr>
          <w:rFonts w:hint="eastAsia" w:ascii="宋体" w:hAnsi="宋体" w:eastAsia="宋体" w:cs="宋体"/>
          <w:color w:val="auto"/>
          <w:sz w:val="24"/>
          <w:szCs w:val="24"/>
          <w:highlight w:val="none"/>
        </w:rPr>
        <w:t>5、考试监控中心</w:t>
      </w:r>
      <w:bookmarkEnd w:id="27"/>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（1）支持实时监控和统计各考点各专业的考试情况。</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（2）支持多维度查询，例如分省、分专业查看考试明细、重考记录、缺考信息等。</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（3）提供线上考试（直播监考）考试时，各监考员监考状态查询情况。</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bookmarkStart w:id="28" w:name="_Toc168568141"/>
      <w:r>
        <w:rPr>
          <w:rFonts w:hint="eastAsia" w:ascii="宋体" w:hAnsi="宋体" w:eastAsia="宋体" w:cs="宋体"/>
          <w:color w:val="auto"/>
          <w:sz w:val="24"/>
          <w:szCs w:val="24"/>
          <w:highlight w:val="none"/>
        </w:rPr>
        <w:t>（三）评分评卷系统</w:t>
      </w:r>
      <w:bookmarkEnd w:id="28"/>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评分评卷系统主要针对网络考试产生的视频、图片进行线上评分，支持多种评分方式、分组方式、评分规则。对评分进度、分数分布等评分情况进行实时监控，具备异常情况及时提醒和评分结果的导出打印功能。</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bookmarkStart w:id="29" w:name="_Toc168568142"/>
      <w:r>
        <w:rPr>
          <w:rFonts w:hint="eastAsia" w:ascii="宋体" w:hAnsi="宋体" w:eastAsia="宋体" w:cs="宋体"/>
          <w:color w:val="auto"/>
          <w:sz w:val="24"/>
          <w:szCs w:val="24"/>
          <w:highlight w:val="none"/>
        </w:rPr>
        <w:t>1、视频（图片）评分</w:t>
      </w:r>
      <w:bookmarkEnd w:id="29"/>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（1）支持阅卷系统部署在本地服务器使用，也支持阅卷系统部署云端，直接线上评分的方式使用。若服务器部署本地，评分时根据需要，提供1-2名技术人员现场支持。</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（2）视频评分，评分前对视频进行检查，以校验视频数量是否正确，同时发现无效的视频，如视频时长过短或无法播放。</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（3）图片评分，总评分专家需3人以上，每幅作品随机分给3位、5位或7位专家。专家评分时，每屏可显示1幅作品或多幅作品。</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（4）评分任务分配，可按专家每天的工作量将考生随机分配，分配时，可根据评委的身份如校内校外按比例随机分配，当评委人数大于5人时，也可随机分配和限制比例。</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（5）可按评委个人动态增加每天的工作量。</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（6）提供电子签名功能，评分专家登录评分系统后，可进行电子签名，用作后期导出评分记录表使用。</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（7）评分界面可根据设置，显示考生照片，性别，身高等个人信息。可显示考题（图片或文字）等考试信息。可显示评委每天的工作量和剩余的工作量等信息。</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（8）视频评分，评委按组提交，每组数据提交前，评委可修改分数，提交后，不允许修改。</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（9）评分界面操作友好，图片评分页面布局合理，具有单击可放大图片等功能；视频评分页面可旋转视频，可以使用键盘快捷键操作（打分，上一个，下一个，视频快进、后退和暂停播放等）。</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（10）评委评分时，限制评分速度，如可以设置考题倒计时功能。会先弹出考生的考题，在倒计时结束后才能播放视频和评分。也可限制评委在每个视频开始一段时间后才可打分。</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（11）提供异常标记功能，标记在考生科目和对应的评委专家上面，在后台可以筛选查询。 异常可以自定义设置。</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（12）提供志愿选择功能。评委在评分时可以设置考生的志愿，如设置考生乐器，唱法等。</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bookmarkStart w:id="30" w:name="_Toc168568143"/>
      <w:r>
        <w:rPr>
          <w:rFonts w:hint="eastAsia" w:ascii="宋体" w:hAnsi="宋体" w:eastAsia="宋体" w:cs="宋体"/>
          <w:color w:val="auto"/>
          <w:sz w:val="24"/>
          <w:szCs w:val="24"/>
          <w:highlight w:val="none"/>
        </w:rPr>
        <w:t>2、评分后台功能</w:t>
      </w:r>
      <w:bookmarkEnd w:id="30"/>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（1）视频（图片）类线上评分，提供实时监控功能，可在评分后台实时监控每位专家的评分进度。</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（2）视频（图片）类线上评分，提供成绩导出功能，每日专家评分结束以后，按每位专家的评分分组情况导出当天的评分数据，供专家签字确认使用（或使用专家的电子签名）。</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视频（图片）类线上评分，提供异常汇总和处理功能，分专业对异常评分进行汇总显示，由管理员进行审核，审核结果可以是确认成绩和打回重评，对打回重评的成绩，系统需做好记录。打回重评的考生在当天专家评分任务完成后，显示给专家重评。已审核异常和未审核异常分组显示。</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（4）数据导出功能，所有评分结束以后，可按照科目导出所有考生对应的经专家确认后的成绩，以便下一步的成绩处理使用。导出的成绩应包括小题成绩、每位评分专家单个成绩以及最终加权合成成绩。</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（5）数据库备份功能，评分过程中，每天或执行重要操作之前，备份数据库。</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bookmarkStart w:id="31" w:name="_Toc168568144"/>
      <w:r>
        <w:rPr>
          <w:rFonts w:hint="eastAsia" w:ascii="宋体" w:hAnsi="宋体" w:eastAsia="宋体" w:cs="宋体"/>
          <w:color w:val="auto"/>
          <w:sz w:val="24"/>
          <w:szCs w:val="24"/>
          <w:highlight w:val="none"/>
        </w:rPr>
        <w:t>四、其他需求</w:t>
      </w:r>
      <w:bookmarkEnd w:id="31"/>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1、提供网络考试（实时监考）科目考试，考生监考视频和提交作品查看工具，便于后期快速对考生考试情况进行复核。</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2、提供考试图片、文件和视频批量下载工具，便于考试后批量下载和整理考试数据。</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3、提供技术人员现场支持。考试和评分过程，根据需要，必要时提供合适人数的专业技术人员在现场提供支持。</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4、提供短信推送服务。因考试需要，可面向特定考生推送指定内容的短信。</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5、系统兼容性。考生端应用支持IOS及安卓系统近两年内主流机型，支持多种标准音视频格式：MP3、m4a、MP4。</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6、录制质量。涉及视频录制的场景，支持标清和高清多种分辨率录制。音质高保真无变声，画质清晰流畅，保证音画同步。</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7、提供考生考试时人脸识别相似度及结果下载。</w:t>
      </w:r>
    </w:p>
    <w:p>
      <w:pPr>
        <w:pStyle w:val="31"/>
        <w:widowControl w:val="0"/>
        <w:spacing w:before="163" w:beforeLines="50" w:after="163" w:afterLines="50" w:line="360" w:lineRule="auto"/>
        <w:jc w:val="both"/>
        <w:rPr>
          <w:rFonts w:ascii="宋体" w:hAnsi="宋体" w:eastAsia="宋体" w:cs="宋体"/>
          <w:color w:val="auto"/>
          <w:sz w:val="24"/>
          <w:szCs w:val="24"/>
          <w:highlight w:val="none"/>
        </w:rPr>
      </w:pPr>
    </w:p>
    <w:p>
      <w:pPr>
        <w:pStyle w:val="31"/>
        <w:spacing w:before="163" w:beforeLines="50" w:after="163" w:afterLines="50" w:line="360" w:lineRule="auto"/>
        <w:jc w:val="both"/>
        <w:rPr>
          <w:rFonts w:ascii="宋体" w:hAnsi="宋体" w:eastAsia="宋体" w:cs="宋体"/>
          <w:color w:val="auto"/>
          <w:sz w:val="28"/>
          <w:szCs w:val="28"/>
          <w:highlight w:val="none"/>
        </w:rPr>
        <w:sectPr>
          <w:footerReference r:id="rId4" w:type="default"/>
          <w:pgSz w:w="11906" w:h="16838"/>
          <w:pgMar w:top="1418" w:right="1418" w:bottom="1418" w:left="1418" w:header="851" w:footer="850" w:gutter="0"/>
          <w:pgNumType w:start="1"/>
          <w:cols w:space="425" w:num="1"/>
          <w:docGrid w:type="linesAndChars" w:linePitch="326" w:charSpace="0"/>
        </w:sectPr>
      </w:pPr>
    </w:p>
    <w:p>
      <w:pPr>
        <w:pStyle w:val="31"/>
        <w:jc w:val="both"/>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附件3：评标办法</w:t>
      </w:r>
    </w:p>
    <w:tbl>
      <w:tblPr>
        <w:tblStyle w:val="12"/>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072"/>
        <w:gridCol w:w="1134"/>
        <w:gridCol w:w="6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24" w:type="dxa"/>
            <w:vAlign w:val="center"/>
          </w:tcPr>
          <w:p>
            <w:pPr>
              <w:spacing w:after="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072" w:type="dxa"/>
            <w:vAlign w:val="center"/>
          </w:tcPr>
          <w:p>
            <w:pPr>
              <w:spacing w:after="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评分因素及权重</w:t>
            </w:r>
          </w:p>
        </w:tc>
        <w:tc>
          <w:tcPr>
            <w:tcW w:w="1134" w:type="dxa"/>
            <w:vAlign w:val="center"/>
          </w:tcPr>
          <w:p>
            <w:pPr>
              <w:spacing w:after="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6746" w:type="dxa"/>
            <w:vAlign w:val="center"/>
          </w:tcPr>
          <w:p>
            <w:pPr>
              <w:spacing w:after="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624" w:type="dxa"/>
            <w:vAlign w:val="center"/>
          </w:tcPr>
          <w:p>
            <w:pPr>
              <w:spacing w:after="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1072" w:type="dxa"/>
            <w:vAlign w:val="center"/>
          </w:tcPr>
          <w:p>
            <w:pPr>
              <w:spacing w:after="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p>
            <w:pPr>
              <w:spacing w:after="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w:t>
            </w:r>
          </w:p>
        </w:tc>
        <w:tc>
          <w:tcPr>
            <w:tcW w:w="1134" w:type="dxa"/>
            <w:vAlign w:val="center"/>
          </w:tcPr>
          <w:p>
            <w:pPr>
              <w:spacing w:after="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p>
          <w:p>
            <w:pPr>
              <w:spacing w:after="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c>
          <w:tcPr>
            <w:tcW w:w="6746" w:type="dxa"/>
            <w:vAlign w:val="center"/>
          </w:tcPr>
          <w:p>
            <w:pPr>
              <w:spacing w:after="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有效的投标报价中的最低价为评标基准价，其价格分为满分。其他投标人的价格分统一按照下列公式计算：</w:t>
            </w:r>
          </w:p>
          <w:p>
            <w:pPr>
              <w:spacing w:after="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投标报价得分＝（评审基准价/响应报价）×</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0分。</w:t>
            </w:r>
          </w:p>
          <w:p>
            <w:pPr>
              <w:pStyle w:val="11"/>
              <w:ind w:left="0" w:leftChars="0" w:firstLine="0" w:firstLineChars="0"/>
              <w:jc w:val="both"/>
              <w:rPr>
                <w:color w:val="auto"/>
                <w:sz w:val="21"/>
                <w:szCs w:val="21"/>
                <w:highlight w:val="none"/>
              </w:rPr>
            </w:pPr>
            <w:r>
              <w:rPr>
                <w:rFonts w:hint="eastAsia" w:ascii="宋体" w:hAnsi="宋体" w:eastAsia="宋体" w:cs="宋体"/>
                <w:color w:val="auto"/>
                <w:sz w:val="21"/>
                <w:szCs w:val="21"/>
                <w:highlight w:val="none"/>
              </w:rPr>
              <w:t>评审小组认为供应商的报价明显低于其他通过符合性审查供应商的报价，有可能影响产品（服务）质量或者不能诚信履约的，应当要求其在评标现场合理的时间内提供书面说明，必要时提交相关证明材料；供应商不能证明其报价合理性的，评审小组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jc w:val="center"/>
        </w:trPr>
        <w:tc>
          <w:tcPr>
            <w:tcW w:w="624" w:type="dxa"/>
            <w:vMerge w:val="restart"/>
            <w:vAlign w:val="center"/>
          </w:tcPr>
          <w:p>
            <w:pPr>
              <w:spacing w:after="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p>
        </w:tc>
        <w:tc>
          <w:tcPr>
            <w:tcW w:w="1072" w:type="dxa"/>
            <w:vMerge w:val="restart"/>
            <w:vAlign w:val="center"/>
          </w:tcPr>
          <w:p>
            <w:pPr>
              <w:spacing w:after="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w:t>
            </w:r>
          </w:p>
          <w:p>
            <w:pPr>
              <w:spacing w:after="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w:t>
            </w:r>
          </w:p>
        </w:tc>
        <w:tc>
          <w:tcPr>
            <w:tcW w:w="1134" w:type="dxa"/>
            <w:vAlign w:val="center"/>
          </w:tcPr>
          <w:p>
            <w:pPr>
              <w:spacing w:after="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技术方案</w:t>
            </w:r>
          </w:p>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15</w:t>
            </w:r>
            <w:r>
              <w:rPr>
                <w:rFonts w:hint="eastAsia" w:ascii="宋体" w:hAnsi="宋体" w:eastAsia="宋体"/>
                <w:color w:val="auto"/>
                <w:sz w:val="21"/>
                <w:szCs w:val="21"/>
                <w:highlight w:val="none"/>
              </w:rPr>
              <w:t>分)</w:t>
            </w:r>
          </w:p>
        </w:tc>
        <w:tc>
          <w:tcPr>
            <w:tcW w:w="6746" w:type="dxa"/>
            <w:vAlign w:val="center"/>
          </w:tcPr>
          <w:p>
            <w:pPr>
              <w:spacing w:after="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（1档）</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分：总体项目技术方案内容全面、功能叙述详尽，总体架构思路清晰；</w:t>
            </w:r>
          </w:p>
          <w:p>
            <w:pPr>
              <w:spacing w:after="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（2档）</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分：总体项目技术方案内容较全面、功能叙述详尽，总体架构思路清晰；</w:t>
            </w:r>
          </w:p>
          <w:p>
            <w:pPr>
              <w:spacing w:after="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档</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分：总体项目技术方案内容基本全面、功能叙述详尽，总体架构思路基本清晰；</w:t>
            </w:r>
          </w:p>
          <w:p>
            <w:pPr>
              <w:spacing w:after="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（4档）0分：总体项目技术方案内容不全面、功能叙述不详尽，总体架构思路不清晰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jc w:val="center"/>
        </w:trPr>
        <w:tc>
          <w:tcPr>
            <w:tcW w:w="624" w:type="dxa"/>
            <w:vMerge w:val="continue"/>
            <w:vAlign w:val="center"/>
          </w:tcPr>
          <w:p>
            <w:pPr>
              <w:rPr>
                <w:rFonts w:ascii="宋体" w:hAnsi="宋体" w:eastAsia="宋体" w:cs="宋体"/>
                <w:color w:val="auto"/>
                <w:sz w:val="21"/>
                <w:szCs w:val="21"/>
                <w:highlight w:val="none"/>
              </w:rPr>
            </w:pPr>
          </w:p>
        </w:tc>
        <w:tc>
          <w:tcPr>
            <w:tcW w:w="1072" w:type="dxa"/>
            <w:vMerge w:val="continue"/>
            <w:vAlign w:val="center"/>
          </w:tcPr>
          <w:p>
            <w:pPr>
              <w:rPr>
                <w:rFonts w:ascii="宋体" w:hAnsi="宋体" w:eastAsia="宋体" w:cs="宋体"/>
                <w:color w:val="auto"/>
                <w:sz w:val="21"/>
                <w:szCs w:val="21"/>
                <w:highlight w:val="none"/>
              </w:rPr>
            </w:pPr>
          </w:p>
        </w:tc>
        <w:tc>
          <w:tcPr>
            <w:tcW w:w="1134" w:type="dxa"/>
            <w:vAlign w:val="center"/>
          </w:tcPr>
          <w:p>
            <w:pPr>
              <w:spacing w:after="0"/>
              <w:jc w:val="center"/>
              <w:rPr>
                <w:rFonts w:ascii="宋体" w:hAnsi="宋体" w:eastAsia="宋体" w:cs="宋体"/>
                <w:color w:val="auto"/>
                <w:sz w:val="21"/>
                <w:szCs w:val="21"/>
                <w:highlight w:val="none"/>
              </w:rPr>
            </w:pPr>
            <w:r>
              <w:rPr>
                <w:rFonts w:hint="eastAsia" w:ascii="宋体" w:hAnsi="宋体" w:eastAsia="宋体"/>
                <w:color w:val="auto"/>
                <w:sz w:val="21"/>
                <w:szCs w:val="21"/>
                <w:highlight w:val="none"/>
              </w:rPr>
              <w:t>项目实施</w:t>
            </w:r>
            <w:r>
              <w:rPr>
                <w:rFonts w:hint="eastAsia" w:ascii="宋体" w:hAnsi="宋体" w:eastAsia="宋体" w:cs="宋体"/>
                <w:color w:val="auto"/>
                <w:sz w:val="21"/>
                <w:szCs w:val="21"/>
                <w:highlight w:val="none"/>
              </w:rPr>
              <w:t>方案</w:t>
            </w:r>
          </w:p>
          <w:p>
            <w:pPr>
              <w:spacing w:after="0"/>
              <w:jc w:val="center"/>
              <w:rPr>
                <w:rFonts w:ascii="宋体" w:hAnsi="宋体" w:eastAsia="宋体"/>
                <w:color w:val="auto"/>
                <w:kern w:val="2"/>
                <w:sz w:val="21"/>
                <w:szCs w:val="21"/>
                <w:highlight w:val="none"/>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0</w:t>
            </w:r>
            <w:r>
              <w:rPr>
                <w:rFonts w:hint="eastAsia" w:ascii="宋体" w:hAnsi="宋体" w:eastAsia="宋体"/>
                <w:color w:val="auto"/>
                <w:sz w:val="21"/>
                <w:szCs w:val="21"/>
                <w:highlight w:val="none"/>
              </w:rPr>
              <w:t>分)</w:t>
            </w:r>
          </w:p>
        </w:tc>
        <w:tc>
          <w:tcPr>
            <w:tcW w:w="6746" w:type="dxa"/>
            <w:vAlign w:val="center"/>
          </w:tcPr>
          <w:p>
            <w:pPr>
              <w:spacing w:after="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（1档）1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r>
              <w:rPr>
                <w:rFonts w:ascii="宋体" w:hAnsi="宋体" w:eastAsia="宋体" w:cs="宋体"/>
                <w:color w:val="auto"/>
                <w:sz w:val="21"/>
                <w:szCs w:val="21"/>
                <w:highlight w:val="none"/>
              </w:rPr>
              <w:t>项目整体实施方案内容科学全面</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部署明确合理</w:t>
            </w:r>
            <w:r>
              <w:rPr>
                <w:rFonts w:hint="eastAsia" w:ascii="宋体" w:hAnsi="宋体" w:eastAsia="宋体" w:cs="宋体"/>
                <w:color w:val="auto"/>
                <w:sz w:val="21"/>
                <w:szCs w:val="21"/>
                <w:highlight w:val="none"/>
              </w:rPr>
              <w:t>，有详实的培训方案，详实的应急方案，可行性强，针对性强，工作方法得当，对项目需求响应全面，完全能够保障项目实施；</w:t>
            </w:r>
          </w:p>
          <w:p>
            <w:pPr>
              <w:spacing w:after="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（2档）</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r>
              <w:rPr>
                <w:rFonts w:ascii="宋体" w:hAnsi="宋体" w:eastAsia="宋体" w:cs="宋体"/>
                <w:color w:val="auto"/>
                <w:sz w:val="21"/>
                <w:szCs w:val="21"/>
                <w:highlight w:val="none"/>
              </w:rPr>
              <w:t>项目整体实施方案内容较具体、部署得当，培训方案基本完善、应急方案基本完善</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对项目需求响应较全面，能够保障项目实施；</w:t>
            </w:r>
          </w:p>
          <w:p>
            <w:pPr>
              <w:spacing w:after="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档</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ascii="宋体" w:hAnsi="宋体" w:eastAsia="宋体" w:cs="宋体"/>
                <w:color w:val="auto"/>
                <w:sz w:val="21"/>
                <w:szCs w:val="21"/>
                <w:highlight w:val="none"/>
              </w:rPr>
              <w:t>项目整体实施方案内容</w:t>
            </w:r>
            <w:r>
              <w:rPr>
                <w:rFonts w:hint="eastAsia" w:ascii="宋体" w:hAnsi="宋体" w:eastAsia="宋体" w:cs="宋体"/>
                <w:color w:val="auto"/>
                <w:sz w:val="21"/>
                <w:szCs w:val="21"/>
                <w:highlight w:val="none"/>
              </w:rPr>
              <w:t>合理基本合理、欠完善，</w:t>
            </w:r>
            <w:r>
              <w:rPr>
                <w:rFonts w:ascii="宋体" w:hAnsi="宋体" w:eastAsia="宋体" w:cs="宋体"/>
                <w:color w:val="auto"/>
                <w:sz w:val="21"/>
                <w:szCs w:val="21"/>
                <w:highlight w:val="none"/>
              </w:rPr>
              <w:t>培训方案基本</w:t>
            </w:r>
            <w:r>
              <w:rPr>
                <w:rFonts w:hint="eastAsia" w:ascii="宋体" w:hAnsi="宋体" w:eastAsia="宋体" w:cs="宋体"/>
                <w:color w:val="auto"/>
                <w:sz w:val="21"/>
                <w:szCs w:val="21"/>
                <w:highlight w:val="none"/>
              </w:rPr>
              <w:t>合理、欠完善</w:t>
            </w:r>
            <w:r>
              <w:rPr>
                <w:rFonts w:ascii="宋体" w:hAnsi="宋体" w:eastAsia="宋体" w:cs="宋体"/>
                <w:color w:val="auto"/>
                <w:sz w:val="21"/>
                <w:szCs w:val="21"/>
                <w:highlight w:val="none"/>
              </w:rPr>
              <w:t>、应急方案基本</w:t>
            </w:r>
            <w:r>
              <w:rPr>
                <w:rFonts w:hint="eastAsia" w:ascii="宋体" w:hAnsi="宋体" w:eastAsia="宋体" w:cs="宋体"/>
                <w:color w:val="auto"/>
                <w:sz w:val="21"/>
                <w:szCs w:val="21"/>
                <w:highlight w:val="none"/>
              </w:rPr>
              <w:t>合理、欠完善，对项目需求响应不全面，无针对性，部分能够保障项目实施；</w:t>
            </w:r>
          </w:p>
          <w:p>
            <w:pPr>
              <w:spacing w:after="0"/>
              <w:jc w:val="both"/>
              <w:rPr>
                <w:rFonts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（4档）0分：未提供</w:t>
            </w:r>
            <w:r>
              <w:rPr>
                <w:rFonts w:ascii="宋体" w:hAnsi="宋体" w:eastAsia="宋体" w:cs="宋体"/>
                <w:color w:val="auto"/>
                <w:sz w:val="21"/>
                <w:szCs w:val="21"/>
                <w:highlight w:val="none"/>
              </w:rPr>
              <w:t>项目整体实施方案内容</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培训方案</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应急方案</w:t>
            </w:r>
            <w:r>
              <w:rPr>
                <w:rFonts w:hint="eastAsia" w:ascii="宋体" w:hAnsi="宋体" w:eastAsia="宋体" w:cs="宋体"/>
                <w:color w:val="auto"/>
                <w:sz w:val="21"/>
                <w:szCs w:val="21"/>
                <w:highlight w:val="none"/>
              </w:rPr>
              <w:t>，对项目需求不响应，可行性低，有缺陷或缺失，不</w:t>
            </w:r>
            <w:r>
              <w:rPr>
                <w:rFonts w:ascii="宋体" w:hAnsi="宋体" w:eastAsia="宋体" w:cs="宋体"/>
                <w:color w:val="auto"/>
                <w:sz w:val="21"/>
                <w:szCs w:val="21"/>
                <w:highlight w:val="none"/>
              </w:rPr>
              <w:t>能够保障项目实施</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624" w:type="dxa"/>
            <w:vMerge w:val="continue"/>
            <w:vAlign w:val="center"/>
          </w:tcPr>
          <w:p>
            <w:pPr>
              <w:rPr>
                <w:rFonts w:ascii="宋体" w:hAnsi="宋体" w:eastAsia="宋体" w:cs="宋体"/>
                <w:color w:val="auto"/>
                <w:sz w:val="21"/>
                <w:szCs w:val="21"/>
                <w:highlight w:val="none"/>
              </w:rPr>
            </w:pPr>
          </w:p>
        </w:tc>
        <w:tc>
          <w:tcPr>
            <w:tcW w:w="1072" w:type="dxa"/>
            <w:vMerge w:val="continue"/>
            <w:vAlign w:val="center"/>
          </w:tcPr>
          <w:p>
            <w:pPr>
              <w:rPr>
                <w:rFonts w:ascii="宋体" w:hAnsi="宋体" w:eastAsia="宋体" w:cs="宋体"/>
                <w:color w:val="auto"/>
                <w:sz w:val="21"/>
                <w:szCs w:val="21"/>
                <w:highlight w:val="none"/>
              </w:rPr>
            </w:pPr>
          </w:p>
        </w:tc>
        <w:tc>
          <w:tcPr>
            <w:tcW w:w="1134"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安全保障</w:t>
            </w:r>
            <w:r>
              <w:rPr>
                <w:rFonts w:hint="eastAsia" w:ascii="宋体" w:hAnsi="宋体" w:eastAsia="宋体" w:cs="宋体"/>
                <w:color w:val="auto"/>
                <w:sz w:val="21"/>
                <w:szCs w:val="21"/>
                <w:highlight w:val="none"/>
              </w:rPr>
              <w:t>方案</w:t>
            </w:r>
          </w:p>
          <w:p>
            <w:pPr>
              <w:spacing w:after="0"/>
              <w:jc w:val="center"/>
              <w:rPr>
                <w:rFonts w:ascii="宋体" w:hAnsi="宋体" w:eastAsia="宋体" w:cs="宋体"/>
                <w:color w:val="auto"/>
                <w:sz w:val="21"/>
                <w:szCs w:val="21"/>
                <w:highlight w:val="none"/>
              </w:rPr>
            </w:pPr>
            <w:r>
              <w:rPr>
                <w:rFonts w:hint="eastAsia" w:ascii="宋体" w:hAnsi="宋体" w:eastAsia="宋体"/>
                <w:color w:val="auto"/>
                <w:sz w:val="21"/>
                <w:szCs w:val="21"/>
                <w:highlight w:val="none"/>
              </w:rPr>
              <w:t>(</w:t>
            </w:r>
            <w:r>
              <w:rPr>
                <w:rFonts w:ascii="宋体" w:hAnsi="宋体" w:eastAsia="宋体" w:cs="宋体"/>
                <w:color w:val="auto"/>
                <w:sz w:val="21"/>
                <w:szCs w:val="21"/>
                <w:highlight w:val="none"/>
              </w:rPr>
              <w:t>1</w:t>
            </w:r>
            <w:r>
              <w:rPr>
                <w:rFonts w:hint="eastAsia" w:ascii="宋体" w:hAnsi="宋体" w:eastAsia="宋体" w:cs="宋体"/>
                <w:color w:val="auto"/>
                <w:sz w:val="21"/>
                <w:szCs w:val="21"/>
                <w:highlight w:val="none"/>
              </w:rPr>
              <w:t>5分</w:t>
            </w:r>
            <w:r>
              <w:rPr>
                <w:rFonts w:hint="eastAsia" w:ascii="宋体" w:hAnsi="宋体" w:eastAsia="宋体"/>
                <w:color w:val="auto"/>
                <w:sz w:val="21"/>
                <w:szCs w:val="21"/>
                <w:highlight w:val="none"/>
              </w:rPr>
              <w:t>)</w:t>
            </w:r>
          </w:p>
        </w:tc>
        <w:tc>
          <w:tcPr>
            <w:tcW w:w="6746" w:type="dxa"/>
            <w:vAlign w:val="center"/>
          </w:tcPr>
          <w:p>
            <w:pPr>
              <w:spacing w:after="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（1档）15分：</w:t>
            </w:r>
            <w:r>
              <w:rPr>
                <w:rFonts w:ascii="宋体" w:hAnsi="宋体" w:eastAsia="宋体" w:cs="宋体"/>
                <w:color w:val="auto"/>
                <w:sz w:val="21"/>
                <w:szCs w:val="21"/>
                <w:highlight w:val="none"/>
              </w:rPr>
              <w:t>项目整体</w:t>
            </w:r>
            <w:r>
              <w:rPr>
                <w:rFonts w:hint="eastAsia" w:ascii="宋体" w:hAnsi="宋体" w:eastAsia="宋体" w:cs="宋体"/>
                <w:color w:val="auto"/>
                <w:sz w:val="21"/>
                <w:szCs w:val="21"/>
                <w:highlight w:val="none"/>
              </w:rPr>
              <w:t>安全保障</w:t>
            </w:r>
            <w:r>
              <w:rPr>
                <w:rFonts w:ascii="宋体" w:hAnsi="宋体" w:eastAsia="宋体" w:cs="宋体"/>
                <w:color w:val="auto"/>
                <w:sz w:val="21"/>
                <w:szCs w:val="21"/>
                <w:highlight w:val="none"/>
              </w:rPr>
              <w:t>方案内容科学全面</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部署明确合理</w:t>
            </w:r>
            <w:r>
              <w:rPr>
                <w:rFonts w:hint="eastAsia" w:ascii="宋体" w:hAnsi="宋体" w:eastAsia="宋体" w:cs="宋体"/>
                <w:color w:val="auto"/>
                <w:sz w:val="21"/>
                <w:szCs w:val="21"/>
                <w:highlight w:val="none"/>
              </w:rPr>
              <w:t>，可行性强，针对性强，工作方法得当，对项目需求响应全面，完全能够保障项目安全；</w:t>
            </w:r>
          </w:p>
          <w:p>
            <w:pPr>
              <w:spacing w:after="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（2档）1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ascii="宋体" w:hAnsi="宋体" w:eastAsia="宋体" w:cs="宋体"/>
                <w:color w:val="auto"/>
                <w:sz w:val="21"/>
                <w:szCs w:val="21"/>
                <w:highlight w:val="none"/>
              </w:rPr>
              <w:t>项目整体</w:t>
            </w:r>
            <w:r>
              <w:rPr>
                <w:rFonts w:hint="eastAsia" w:ascii="宋体" w:hAnsi="宋体" w:eastAsia="宋体" w:cs="宋体"/>
                <w:color w:val="auto"/>
                <w:sz w:val="21"/>
                <w:szCs w:val="21"/>
                <w:highlight w:val="none"/>
              </w:rPr>
              <w:t>安全保障</w:t>
            </w:r>
            <w:r>
              <w:rPr>
                <w:rFonts w:ascii="宋体" w:hAnsi="宋体" w:eastAsia="宋体" w:cs="宋体"/>
                <w:color w:val="auto"/>
                <w:sz w:val="21"/>
                <w:szCs w:val="21"/>
                <w:highlight w:val="none"/>
              </w:rPr>
              <w:t>方案内容较具体</w:t>
            </w:r>
            <w:r>
              <w:rPr>
                <w:rFonts w:hint="eastAsia" w:ascii="宋体" w:hAnsi="宋体" w:eastAsia="宋体" w:cs="宋体"/>
                <w:color w:val="auto"/>
                <w:sz w:val="21"/>
                <w:szCs w:val="21"/>
                <w:highlight w:val="none"/>
              </w:rPr>
              <w:t>、部署得当，对项目需求响应较全面，能够基本保障项目安全；</w:t>
            </w:r>
          </w:p>
          <w:p>
            <w:pPr>
              <w:spacing w:after="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档</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r>
              <w:rPr>
                <w:rFonts w:ascii="宋体" w:hAnsi="宋体" w:eastAsia="宋体" w:cs="宋体"/>
                <w:color w:val="auto"/>
                <w:sz w:val="21"/>
                <w:szCs w:val="21"/>
                <w:highlight w:val="none"/>
              </w:rPr>
              <w:t>项目整体</w:t>
            </w:r>
            <w:r>
              <w:rPr>
                <w:rFonts w:hint="eastAsia" w:ascii="宋体" w:hAnsi="宋体" w:eastAsia="宋体" w:cs="宋体"/>
                <w:color w:val="auto"/>
                <w:sz w:val="21"/>
                <w:szCs w:val="21"/>
                <w:highlight w:val="none"/>
              </w:rPr>
              <w:t>安全保障</w:t>
            </w:r>
            <w:r>
              <w:rPr>
                <w:rFonts w:ascii="宋体" w:hAnsi="宋体" w:eastAsia="宋体" w:cs="宋体"/>
                <w:color w:val="auto"/>
                <w:sz w:val="21"/>
                <w:szCs w:val="21"/>
                <w:highlight w:val="none"/>
              </w:rPr>
              <w:t>方案内容</w:t>
            </w:r>
            <w:r>
              <w:rPr>
                <w:rFonts w:hint="eastAsia" w:ascii="宋体" w:hAnsi="宋体" w:eastAsia="宋体" w:cs="宋体"/>
                <w:color w:val="auto"/>
                <w:sz w:val="21"/>
                <w:szCs w:val="21"/>
                <w:highlight w:val="none"/>
              </w:rPr>
              <w:t>合理基本合理、欠完善，对项目需求响应不全面，无针对性，部分能够保障项目安全；</w:t>
            </w:r>
          </w:p>
          <w:p>
            <w:pPr>
              <w:spacing w:after="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（4档）0分：未提供</w:t>
            </w:r>
            <w:r>
              <w:rPr>
                <w:rFonts w:ascii="宋体" w:hAnsi="宋体" w:eastAsia="宋体" w:cs="宋体"/>
                <w:color w:val="auto"/>
                <w:sz w:val="21"/>
                <w:szCs w:val="21"/>
                <w:highlight w:val="none"/>
              </w:rPr>
              <w:t>项目整体</w:t>
            </w:r>
            <w:r>
              <w:rPr>
                <w:rFonts w:hint="eastAsia" w:ascii="宋体" w:hAnsi="宋体" w:eastAsia="宋体" w:cs="宋体"/>
                <w:color w:val="auto"/>
                <w:sz w:val="21"/>
                <w:szCs w:val="21"/>
                <w:highlight w:val="none"/>
              </w:rPr>
              <w:t>安全保障</w:t>
            </w:r>
            <w:r>
              <w:rPr>
                <w:rFonts w:ascii="宋体" w:hAnsi="宋体" w:eastAsia="宋体" w:cs="宋体"/>
                <w:color w:val="auto"/>
                <w:sz w:val="21"/>
                <w:szCs w:val="21"/>
                <w:highlight w:val="none"/>
              </w:rPr>
              <w:t>方案内容</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Merge w:val="continue"/>
            <w:vAlign w:val="center"/>
          </w:tcPr>
          <w:p>
            <w:pPr>
              <w:rPr>
                <w:rFonts w:ascii="宋体" w:hAnsi="宋体" w:eastAsia="宋体" w:cs="宋体"/>
                <w:color w:val="auto"/>
                <w:sz w:val="21"/>
                <w:szCs w:val="21"/>
                <w:highlight w:val="none"/>
              </w:rPr>
            </w:pPr>
          </w:p>
        </w:tc>
        <w:tc>
          <w:tcPr>
            <w:tcW w:w="1072" w:type="dxa"/>
            <w:vMerge w:val="continue"/>
            <w:vAlign w:val="center"/>
          </w:tcPr>
          <w:p>
            <w:pPr>
              <w:rPr>
                <w:rFonts w:ascii="宋体" w:hAnsi="宋体" w:eastAsia="宋体" w:cs="宋体"/>
                <w:color w:val="auto"/>
                <w:sz w:val="21"/>
                <w:szCs w:val="21"/>
                <w:highlight w:val="none"/>
              </w:rPr>
            </w:pPr>
          </w:p>
        </w:tc>
        <w:tc>
          <w:tcPr>
            <w:tcW w:w="1134" w:type="dxa"/>
            <w:vAlign w:val="center"/>
          </w:tcPr>
          <w:p>
            <w:pPr>
              <w:spacing w:after="0"/>
              <w:jc w:val="center"/>
              <w:rPr>
                <w:rFonts w:ascii="宋体" w:hAnsi="宋体" w:eastAsia="宋体"/>
                <w:color w:val="auto"/>
                <w:sz w:val="21"/>
                <w:szCs w:val="21"/>
                <w:highlight w:val="none"/>
              </w:rPr>
            </w:pPr>
            <w:r>
              <w:rPr>
                <w:rFonts w:ascii="宋体" w:hAnsi="宋体" w:eastAsia="宋体"/>
                <w:color w:val="auto"/>
                <w:sz w:val="21"/>
                <w:szCs w:val="21"/>
                <w:highlight w:val="none"/>
              </w:rPr>
              <w:t>人员</w:t>
            </w:r>
            <w:r>
              <w:rPr>
                <w:rFonts w:hint="eastAsia" w:ascii="宋体" w:hAnsi="宋体" w:eastAsia="宋体"/>
                <w:color w:val="auto"/>
                <w:sz w:val="21"/>
                <w:szCs w:val="21"/>
                <w:highlight w:val="none"/>
              </w:rPr>
              <w:t>保障</w:t>
            </w:r>
          </w:p>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(10</w:t>
            </w:r>
            <w:r>
              <w:rPr>
                <w:rFonts w:ascii="宋体" w:hAnsi="宋体" w:eastAsia="宋体"/>
                <w:color w:val="auto"/>
                <w:sz w:val="21"/>
                <w:szCs w:val="21"/>
                <w:highlight w:val="none"/>
              </w:rPr>
              <w:t>分</w:t>
            </w:r>
            <w:r>
              <w:rPr>
                <w:rFonts w:hint="eastAsia" w:ascii="宋体" w:hAnsi="宋体" w:eastAsia="宋体"/>
                <w:color w:val="auto"/>
                <w:sz w:val="21"/>
                <w:szCs w:val="21"/>
                <w:highlight w:val="none"/>
              </w:rPr>
              <w:t>)</w:t>
            </w:r>
          </w:p>
        </w:tc>
        <w:tc>
          <w:tcPr>
            <w:tcW w:w="6746" w:type="dxa"/>
            <w:vAlign w:val="center"/>
          </w:tcPr>
          <w:p>
            <w:pPr>
              <w:spacing w:after="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（1档）10分：人员安排和构成合理，项目核心成员稳定，成员具有计算机类相关专业不同类型高级职称证书</w:t>
            </w:r>
            <w:r>
              <w:rPr>
                <w:rFonts w:ascii="宋体" w:hAnsi="宋体" w:eastAsia="宋体" w:cs="宋体"/>
                <w:color w:val="auto"/>
                <w:sz w:val="21"/>
                <w:szCs w:val="21"/>
                <w:highlight w:val="none"/>
              </w:rPr>
              <w:t>2</w:t>
            </w:r>
            <w:r>
              <w:rPr>
                <w:rFonts w:hint="eastAsia" w:ascii="宋体" w:hAnsi="宋体" w:eastAsia="宋体" w:cs="宋体"/>
                <w:color w:val="auto"/>
                <w:sz w:val="21"/>
                <w:szCs w:val="21"/>
                <w:highlight w:val="none"/>
              </w:rPr>
              <w:t>人及以上（评审或考试获得均可，职称名称相同的按一人计算），权责分明，分工明确，成员相关经验丰富，具备较高的能力和行业水准；</w:t>
            </w:r>
          </w:p>
          <w:p>
            <w:pPr>
              <w:spacing w:after="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（2档）</w:t>
            </w:r>
            <w:r>
              <w:rPr>
                <w:rFonts w:ascii="宋体" w:hAnsi="宋体" w:eastAsia="宋体" w:cs="宋体"/>
                <w:color w:val="auto"/>
                <w:sz w:val="21"/>
                <w:szCs w:val="21"/>
                <w:highlight w:val="none"/>
              </w:rPr>
              <w:t>7</w:t>
            </w:r>
            <w:r>
              <w:rPr>
                <w:rFonts w:hint="eastAsia" w:ascii="宋体" w:hAnsi="宋体" w:eastAsia="宋体" w:cs="宋体"/>
                <w:color w:val="auto"/>
                <w:sz w:val="21"/>
                <w:szCs w:val="21"/>
                <w:highlight w:val="none"/>
              </w:rPr>
              <w:t>分：人员安排较合理完善，团队结构较清晰，分工较明确，成员相关经验较丰富，成员具有计算机类相关专业不同类型高级职称</w:t>
            </w:r>
            <w:r>
              <w:rPr>
                <w:rFonts w:ascii="宋体" w:hAnsi="宋体" w:eastAsia="宋体" w:cs="宋体"/>
                <w:color w:val="auto"/>
                <w:sz w:val="21"/>
                <w:szCs w:val="21"/>
                <w:highlight w:val="none"/>
              </w:rPr>
              <w:t>2</w:t>
            </w:r>
            <w:r>
              <w:rPr>
                <w:rFonts w:hint="eastAsia" w:ascii="宋体" w:hAnsi="宋体" w:eastAsia="宋体" w:cs="宋体"/>
                <w:color w:val="auto"/>
                <w:sz w:val="21"/>
                <w:szCs w:val="21"/>
                <w:highlight w:val="none"/>
              </w:rPr>
              <w:t>人以下（职称名称相同的按一人计算），能满足采购需求；</w:t>
            </w:r>
          </w:p>
          <w:p>
            <w:pPr>
              <w:spacing w:after="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档</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分：人员安排和构成基本完整，无针对性，责权分明程度一般，成员相关经验较少，基本能满足采购需求；</w:t>
            </w:r>
          </w:p>
          <w:p>
            <w:pPr>
              <w:spacing w:after="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（4档）0分：人员安排和构成不合理或分工不明确或未提供。</w:t>
            </w:r>
          </w:p>
          <w:p>
            <w:pPr>
              <w:pStyle w:val="11"/>
              <w:ind w:left="0" w:leftChars="0" w:firstLine="0" w:firstLineChars="0"/>
              <w:jc w:val="both"/>
              <w:rPr>
                <w:rFonts w:eastAsia="宋体"/>
                <w:color w:val="auto"/>
                <w:sz w:val="21"/>
                <w:szCs w:val="21"/>
                <w:highlight w:val="none"/>
              </w:rPr>
            </w:pPr>
            <w:r>
              <w:rPr>
                <w:rFonts w:hint="eastAsia" w:ascii="宋体" w:hAnsi="宋体" w:eastAsia="宋体" w:cs="宋体"/>
                <w:color w:val="auto"/>
                <w:sz w:val="21"/>
                <w:szCs w:val="21"/>
                <w:highlight w:val="none"/>
              </w:rPr>
              <w:t>项目高级职称成员需附</w:t>
            </w:r>
            <w:r>
              <w:rPr>
                <w:rFonts w:hint="eastAsia" w:ascii="宋体" w:hAnsi="宋体" w:eastAsia="宋体" w:cs="宋体"/>
                <w:color w:val="auto"/>
                <w:sz w:val="21"/>
                <w:szCs w:val="21"/>
                <w:highlight w:val="none"/>
                <w:lang w:val="en-US" w:eastAsia="zh-CN"/>
              </w:rPr>
              <w:t>有效</w:t>
            </w:r>
            <w:r>
              <w:rPr>
                <w:rFonts w:hint="eastAsia" w:ascii="宋体" w:hAnsi="宋体" w:eastAsia="宋体" w:cs="宋体"/>
                <w:color w:val="auto"/>
                <w:sz w:val="21"/>
                <w:szCs w:val="21"/>
                <w:highlight w:val="none"/>
              </w:rPr>
              <w:t>证书复印件及</w:t>
            </w:r>
            <w:r>
              <w:rPr>
                <w:rFonts w:hint="eastAsia" w:ascii="宋体" w:hAnsi="宋体" w:eastAsia="宋体" w:cs="宋体"/>
                <w:color w:val="auto"/>
                <w:sz w:val="21"/>
                <w:szCs w:val="21"/>
                <w:highlight w:val="none"/>
                <w:lang w:val="en-US" w:eastAsia="zh-CN"/>
              </w:rPr>
              <w:t>投标截止日前半年内任意一个月</w:t>
            </w:r>
            <w:r>
              <w:rPr>
                <w:rFonts w:hint="eastAsia" w:ascii="宋体" w:hAnsi="宋体" w:eastAsia="宋体" w:cs="宋体"/>
                <w:color w:val="auto"/>
                <w:sz w:val="21"/>
                <w:szCs w:val="21"/>
                <w:highlight w:val="none"/>
              </w:rPr>
              <w:t>社保证明</w:t>
            </w:r>
            <w:r>
              <w:rPr>
                <w:rFonts w:hint="eastAsia" w:ascii="宋体" w:hAnsi="宋体" w:eastAsia="宋体" w:cs="宋体"/>
                <w:color w:val="auto"/>
                <w:sz w:val="21"/>
                <w:szCs w:val="21"/>
                <w:highlight w:val="none"/>
                <w:lang w:val="en-US" w:eastAsia="zh-CN"/>
              </w:rPr>
              <w:t>或劳动协议复印件</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624" w:type="dxa"/>
            <w:vAlign w:val="center"/>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p>
        </w:tc>
        <w:tc>
          <w:tcPr>
            <w:tcW w:w="1072" w:type="dxa"/>
            <w:vAlign w:val="center"/>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演示部分</w:t>
            </w:r>
          </w:p>
        </w:tc>
        <w:tc>
          <w:tcPr>
            <w:tcW w:w="1134"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系统演示</w:t>
            </w:r>
          </w:p>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（15分）</w:t>
            </w:r>
          </w:p>
        </w:tc>
        <w:tc>
          <w:tcPr>
            <w:tcW w:w="6746" w:type="dxa"/>
            <w:vAlign w:val="center"/>
          </w:tcPr>
          <w:p>
            <w:pPr>
              <w:spacing w:after="0"/>
              <w:jc w:val="both"/>
              <w:rPr>
                <w:rFonts w:ascii="宋体" w:hAnsi="宋体" w:eastAsia="宋体"/>
                <w:color w:val="auto"/>
                <w:sz w:val="21"/>
                <w:szCs w:val="21"/>
                <w:highlight w:val="none"/>
              </w:rPr>
            </w:pPr>
            <w:r>
              <w:rPr>
                <w:rFonts w:ascii="宋体" w:hAnsi="宋体" w:eastAsia="宋体"/>
                <w:color w:val="auto"/>
                <w:sz w:val="21"/>
                <w:szCs w:val="21"/>
                <w:highlight w:val="none"/>
              </w:rPr>
              <w:t>现场演示时间不超过35分钟。</w:t>
            </w:r>
            <w:r>
              <w:rPr>
                <w:rFonts w:hint="eastAsia" w:ascii="宋体" w:hAnsi="宋体" w:eastAsia="宋体"/>
                <w:color w:val="auto"/>
                <w:sz w:val="21"/>
                <w:szCs w:val="21"/>
                <w:highlight w:val="none"/>
              </w:rPr>
              <w:t>须采用真实系统演示，其他采用Demo、PPT、Word、视频等演示的得不得分。完整演示一项得1分，共15分。</w:t>
            </w:r>
          </w:p>
          <w:p>
            <w:pPr>
              <w:spacing w:after="0"/>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以下演示内容：</w:t>
            </w:r>
          </w:p>
          <w:p>
            <w:pPr>
              <w:spacing w:after="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报名考生可随时退费，报名费在规定时间内实时原路退回，退费后可重新选择专业报考。</w:t>
            </w:r>
          </w:p>
          <w:p>
            <w:pPr>
              <w:spacing w:after="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支持院校定制化资料上传审核，可根据不同情况配置到报名或确认之前，考生上传个人材料，系统或人工对考生信息进行审核和在线肖像认证，认证后方可进行后续的准考证打印和考试。</w:t>
            </w:r>
          </w:p>
          <w:p>
            <w:pPr>
              <w:spacing w:after="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支持院校自定义信息收集功能，针对不同的考试、专业，可要求考生上传除报名基础信息外其他如身高、体重、特长、统考成绩等自定义信息。</w:t>
            </w:r>
          </w:p>
          <w:p>
            <w:pPr>
              <w:spacing w:after="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考场编排，将准考证号码分配到对应考场。按考场打印考场安排表，考场考生信息核对单等功能，方便考务人员进行考生的信息核对。</w:t>
            </w:r>
          </w:p>
          <w:p>
            <w:pPr>
              <w:spacing w:after="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线上考试，提供答题纸打印、条形码（二维码）打印、邮寄单打印功能，在打印准考证的时候下载打印对应专业的答题纸、条形码（二维码）和试卷邮寄单等，方便考生考试和邮寄试卷。条形码支持多种形式的样式选择，条码数量可根据需求动态调整。</w:t>
            </w:r>
          </w:p>
          <w:p>
            <w:pPr>
              <w:spacing w:after="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6.</w:t>
            </w:r>
            <w:r>
              <w:rPr>
                <w:rFonts w:hint="eastAsia" w:ascii="宋体" w:hAnsi="宋体" w:eastAsia="宋体" w:cs="宋体"/>
                <w:color w:val="auto"/>
                <w:sz w:val="21"/>
                <w:szCs w:val="21"/>
                <w:highlight w:val="none"/>
              </w:rPr>
              <w:t>监考端按考试科目提供监考时间轴，在时间轴上显示各时间点的工作任务，监考员根据时间轴上的要求进行操作；</w:t>
            </w:r>
          </w:p>
          <w:p>
            <w:pPr>
              <w:spacing w:after="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考试过程中，系统或监考员发现异常时，可一键截图，快速记录异常情况。在考试结束后可回看考试视频和监考记录并导出PDF格式存档。</w:t>
            </w:r>
          </w:p>
          <w:p>
            <w:pPr>
              <w:spacing w:after="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调整监考画面，监考人员后端监控的内容，大于考生在手机上看到的范围。</w:t>
            </w:r>
          </w:p>
          <w:p>
            <w:pPr>
              <w:spacing w:after="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不合格答卷被打回后，不应彻底删除，应存在后台，可再次调取查看或调整试卷状态为收卷。</w:t>
            </w:r>
          </w:p>
          <w:p>
            <w:pPr>
              <w:spacing w:after="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ascii="宋体" w:hAnsi="宋体" w:eastAsia="宋体" w:cs="宋体"/>
                <w:color w:val="auto"/>
                <w:sz w:val="21"/>
                <w:szCs w:val="21"/>
                <w:highlight w:val="none"/>
              </w:rPr>
              <w:t>0.</w:t>
            </w:r>
            <w:r>
              <w:rPr>
                <w:rFonts w:hint="eastAsia" w:ascii="宋体" w:hAnsi="宋体" w:eastAsia="宋体" w:cs="宋体"/>
                <w:color w:val="auto"/>
                <w:sz w:val="21"/>
                <w:szCs w:val="21"/>
                <w:highlight w:val="none"/>
              </w:rPr>
              <w:t>提供同席位双机位直播监考和非同席位双机位直播监考两种模式，监考老师可以实时查看考生的主机和辅机两个手机，并通过主机或辅机与考生进行实时通信。</w:t>
            </w:r>
          </w:p>
          <w:p>
            <w:pPr>
              <w:spacing w:after="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ascii="宋体" w:hAnsi="宋体" w:eastAsia="宋体" w:cs="宋体"/>
                <w:color w:val="auto"/>
                <w:sz w:val="21"/>
                <w:szCs w:val="21"/>
                <w:highlight w:val="none"/>
              </w:rPr>
              <w:t>1.</w:t>
            </w:r>
            <w:r>
              <w:rPr>
                <w:rFonts w:hint="eastAsia" w:ascii="宋体" w:hAnsi="宋体" w:eastAsia="宋体" w:cs="宋体"/>
                <w:color w:val="auto"/>
                <w:sz w:val="21"/>
                <w:szCs w:val="21"/>
                <w:highlight w:val="none"/>
              </w:rPr>
              <w:t>根据需要设置多个监考指令，监考指令有人工指令（通过监考员手动发送给全体考生）和定时指令（如开始考试，考试结束还有2分钟等）两种。</w:t>
            </w:r>
          </w:p>
          <w:p>
            <w:pPr>
              <w:spacing w:after="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ascii="宋体" w:hAnsi="宋体" w:eastAsia="宋体" w:cs="宋体"/>
                <w:color w:val="auto"/>
                <w:sz w:val="21"/>
                <w:szCs w:val="21"/>
                <w:highlight w:val="none"/>
              </w:rPr>
              <w:t>2.</w:t>
            </w:r>
            <w:r>
              <w:rPr>
                <w:rFonts w:hint="eastAsia" w:ascii="宋体" w:hAnsi="宋体" w:eastAsia="宋体" w:cs="宋体"/>
                <w:color w:val="auto"/>
                <w:sz w:val="21"/>
                <w:szCs w:val="21"/>
                <w:highlight w:val="none"/>
              </w:rPr>
              <w:t>评分界面可根据设置，显示性别，身高，考生照片等个人信息。可显示考题（图片或文字）等考试信息。可显示评委每天的工作量和剩余的工作量等信息。</w:t>
            </w:r>
          </w:p>
          <w:p>
            <w:pPr>
              <w:spacing w:after="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ascii="宋体" w:hAnsi="宋体" w:eastAsia="宋体" w:cs="宋体"/>
                <w:color w:val="auto"/>
                <w:sz w:val="21"/>
                <w:szCs w:val="21"/>
                <w:highlight w:val="none"/>
              </w:rPr>
              <w:t>3.</w:t>
            </w:r>
            <w:r>
              <w:rPr>
                <w:rFonts w:hint="eastAsia" w:ascii="宋体" w:hAnsi="宋体" w:eastAsia="宋体" w:cs="宋体"/>
                <w:color w:val="auto"/>
                <w:sz w:val="21"/>
                <w:szCs w:val="21"/>
                <w:highlight w:val="none"/>
              </w:rPr>
              <w:t>图片评分页面布局合理，有多张评分和单张评分两种方式，支持多评分项，具有单击可放大图片等功能；</w:t>
            </w:r>
          </w:p>
          <w:p>
            <w:pPr>
              <w:spacing w:after="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ascii="宋体" w:hAnsi="宋体" w:eastAsia="宋体" w:cs="宋体"/>
                <w:color w:val="auto"/>
                <w:sz w:val="21"/>
                <w:szCs w:val="21"/>
                <w:highlight w:val="none"/>
              </w:rPr>
              <w:t>4.</w:t>
            </w:r>
            <w:r>
              <w:rPr>
                <w:rFonts w:hint="eastAsia" w:ascii="宋体" w:hAnsi="宋体" w:eastAsia="宋体" w:cs="宋体"/>
                <w:color w:val="auto"/>
                <w:sz w:val="21"/>
                <w:szCs w:val="21"/>
                <w:highlight w:val="none"/>
              </w:rPr>
              <w:t>视频评分页面可旋转视频，控制评分时间，可使用键盘控制上一个、下一个、快进、快退、暂停等操作。一个考生有两个或以上科目时，给第二个或第三个科目评分时能够显示上一个科目的分数。</w:t>
            </w:r>
          </w:p>
          <w:p>
            <w:pPr>
              <w:spacing w:after="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ascii="宋体" w:hAnsi="宋体" w:eastAsia="宋体" w:cs="宋体"/>
                <w:color w:val="auto"/>
                <w:sz w:val="21"/>
                <w:szCs w:val="21"/>
                <w:highlight w:val="none"/>
              </w:rPr>
              <w:t>5.</w:t>
            </w:r>
            <w:r>
              <w:rPr>
                <w:rFonts w:hint="eastAsia" w:ascii="宋体" w:hAnsi="宋体" w:eastAsia="宋体" w:cs="宋体"/>
                <w:color w:val="auto"/>
                <w:sz w:val="21"/>
                <w:szCs w:val="21"/>
                <w:highlight w:val="none"/>
              </w:rPr>
              <w:t>提供志愿选择功能。评委在评分时可以设置考生的志愿，如设置考生乐器，唱法等。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624" w:type="dxa"/>
            <w:vMerge w:val="restart"/>
            <w:vAlign w:val="center"/>
          </w:tcPr>
          <w:p>
            <w:pPr>
              <w:spacing w:after="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w:t>
            </w:r>
          </w:p>
        </w:tc>
        <w:tc>
          <w:tcPr>
            <w:tcW w:w="1072" w:type="dxa"/>
            <w:vMerge w:val="restart"/>
            <w:vAlign w:val="center"/>
          </w:tcPr>
          <w:p>
            <w:pPr>
              <w:spacing w:after="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w:t>
            </w:r>
          </w:p>
          <w:p>
            <w:pPr>
              <w:spacing w:after="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1</w:t>
            </w:r>
            <w:r>
              <w:rPr>
                <w:rFonts w:hint="eastAsia" w:ascii="宋体" w:hAnsi="宋体" w:eastAsia="宋体" w:cs="宋体"/>
                <w:color w:val="auto"/>
                <w:sz w:val="21"/>
                <w:szCs w:val="21"/>
                <w:highlight w:val="none"/>
              </w:rPr>
              <w:t>5%)</w:t>
            </w:r>
          </w:p>
        </w:tc>
        <w:tc>
          <w:tcPr>
            <w:tcW w:w="1134" w:type="dxa"/>
            <w:vAlign w:val="center"/>
          </w:tcPr>
          <w:p>
            <w:pPr>
              <w:spacing w:after="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综合能力</w:t>
            </w:r>
          </w:p>
          <w:p>
            <w:pPr>
              <w:spacing w:after="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tc>
        <w:tc>
          <w:tcPr>
            <w:tcW w:w="6746" w:type="dxa"/>
            <w:vAlign w:val="center"/>
          </w:tcPr>
          <w:p>
            <w:pPr>
              <w:spacing w:after="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本项目投标人具有有效期内的以下证书及备案资质的，每提供一个得1分，最多</w:t>
            </w:r>
            <w:r>
              <w:rPr>
                <w:rFonts w:ascii="宋体" w:hAnsi="宋体" w:eastAsia="宋体" w:cs="宋体"/>
                <w:color w:val="auto"/>
                <w:sz w:val="21"/>
                <w:szCs w:val="21"/>
                <w:highlight w:val="none"/>
              </w:rPr>
              <w:t>8</w:t>
            </w:r>
            <w:r>
              <w:rPr>
                <w:rFonts w:hint="eastAsia" w:ascii="宋体" w:hAnsi="宋体" w:eastAsia="宋体" w:cs="宋体"/>
                <w:color w:val="auto"/>
                <w:sz w:val="21"/>
                <w:szCs w:val="21"/>
                <w:highlight w:val="none"/>
              </w:rPr>
              <w:t>分。</w:t>
            </w:r>
          </w:p>
          <w:p>
            <w:pPr>
              <w:spacing w:after="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1.信息系统安全等级保护备案证明（三级）；</w:t>
            </w:r>
          </w:p>
          <w:p>
            <w:pPr>
              <w:spacing w:after="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2.教育移动互联网应用程序备案证明；</w:t>
            </w:r>
          </w:p>
          <w:p>
            <w:pPr>
              <w:spacing w:after="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3</w:t>
            </w:r>
            <w:r>
              <w:rPr>
                <w:rFonts w:hint="eastAsia" w:ascii="宋体" w:hAnsi="宋体" w:eastAsia="宋体" w:cs="宋体"/>
                <w:color w:val="auto"/>
                <w:sz w:val="21"/>
                <w:szCs w:val="21"/>
                <w:highlight w:val="none"/>
              </w:rPr>
              <w:t>.信息安全管理体系认证证书；</w:t>
            </w:r>
          </w:p>
          <w:p>
            <w:pPr>
              <w:spacing w:after="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4</w:t>
            </w:r>
            <w:r>
              <w:rPr>
                <w:rFonts w:hint="eastAsia" w:ascii="宋体" w:hAnsi="宋体" w:eastAsia="宋体" w:cs="宋体"/>
                <w:color w:val="auto"/>
                <w:sz w:val="21"/>
                <w:szCs w:val="21"/>
                <w:highlight w:val="none"/>
              </w:rPr>
              <w:t>.信息技术服务管理体系认证证书；</w:t>
            </w:r>
          </w:p>
          <w:p>
            <w:pPr>
              <w:spacing w:after="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5</w:t>
            </w:r>
            <w:r>
              <w:rPr>
                <w:rFonts w:hint="eastAsia" w:ascii="宋体" w:hAnsi="宋体" w:eastAsia="宋体" w:cs="宋体"/>
                <w:color w:val="auto"/>
                <w:sz w:val="21"/>
                <w:szCs w:val="21"/>
                <w:highlight w:val="none"/>
              </w:rPr>
              <w:t>.隐私</w:t>
            </w:r>
            <w:r>
              <w:rPr>
                <w:rFonts w:hint="eastAsia" w:ascii="宋体" w:hAnsi="宋体" w:eastAsia="宋体" w:cs="宋体"/>
                <w:color w:val="auto"/>
                <w:sz w:val="21"/>
                <w:szCs w:val="21"/>
                <w:highlight w:val="none"/>
                <w:lang w:val="en-US" w:eastAsia="zh-CN"/>
              </w:rPr>
              <w:t>信息</w:t>
            </w:r>
            <w:r>
              <w:rPr>
                <w:rFonts w:hint="eastAsia" w:ascii="宋体" w:hAnsi="宋体" w:eastAsia="宋体" w:cs="宋体"/>
                <w:color w:val="auto"/>
                <w:sz w:val="21"/>
                <w:szCs w:val="21"/>
                <w:highlight w:val="none"/>
              </w:rPr>
              <w:t>管理体系认证证书；</w:t>
            </w:r>
          </w:p>
          <w:p>
            <w:pPr>
              <w:spacing w:after="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6</w:t>
            </w:r>
            <w:r>
              <w:rPr>
                <w:rFonts w:hint="eastAsia" w:ascii="宋体" w:hAnsi="宋体" w:eastAsia="宋体" w:cs="宋体"/>
                <w:color w:val="auto"/>
                <w:sz w:val="21"/>
                <w:szCs w:val="21"/>
                <w:highlight w:val="none"/>
              </w:rPr>
              <w:t>.公有云中个人身份信息管理体系认证证书；</w:t>
            </w:r>
          </w:p>
          <w:p>
            <w:pPr>
              <w:spacing w:after="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计算机软件著作权登记</w:t>
            </w:r>
            <w:r>
              <w:rPr>
                <w:rFonts w:hint="eastAsia" w:ascii="宋体" w:hAnsi="宋体" w:eastAsia="宋体" w:cs="宋体"/>
                <w:color w:val="auto"/>
                <w:sz w:val="21"/>
                <w:szCs w:val="21"/>
                <w:highlight w:val="none"/>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624" w:type="dxa"/>
            <w:vMerge w:val="continue"/>
            <w:vAlign w:val="center"/>
          </w:tcPr>
          <w:p>
            <w:pPr>
              <w:rPr>
                <w:rFonts w:ascii="宋体" w:hAnsi="宋体" w:eastAsia="宋体" w:cs="宋体"/>
                <w:color w:val="auto"/>
                <w:sz w:val="21"/>
                <w:szCs w:val="21"/>
                <w:highlight w:val="none"/>
              </w:rPr>
            </w:pPr>
          </w:p>
        </w:tc>
        <w:tc>
          <w:tcPr>
            <w:tcW w:w="1072" w:type="dxa"/>
            <w:vMerge w:val="continue"/>
            <w:vAlign w:val="center"/>
          </w:tcPr>
          <w:p>
            <w:pPr>
              <w:rPr>
                <w:rFonts w:ascii="宋体" w:hAnsi="宋体" w:eastAsia="宋体" w:cs="宋体"/>
                <w:color w:val="auto"/>
                <w:sz w:val="21"/>
                <w:szCs w:val="21"/>
                <w:highlight w:val="none"/>
              </w:rPr>
            </w:pPr>
          </w:p>
        </w:tc>
        <w:tc>
          <w:tcPr>
            <w:tcW w:w="1134" w:type="dxa"/>
            <w:vAlign w:val="center"/>
          </w:tcPr>
          <w:p>
            <w:pPr>
              <w:spacing w:after="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同类型项目案例</w:t>
            </w:r>
          </w:p>
          <w:p>
            <w:pPr>
              <w:spacing w:after="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6746" w:type="dxa"/>
            <w:vAlign w:val="center"/>
          </w:tcPr>
          <w:p>
            <w:pPr>
              <w:spacing w:after="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供应商需提供自202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年1月1日至今签订的同类项目业绩证明，每提供一个同类项目业绩证明材料的案例得1分，最多得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pPr>
              <w:spacing w:after="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投标文件中须提供合同复印件</w:t>
            </w:r>
            <w:r>
              <w:rPr>
                <w:rFonts w:hint="eastAsia" w:ascii="宋体" w:hAnsi="宋体" w:eastAsia="宋体" w:cs="宋体"/>
                <w:color w:val="auto"/>
                <w:sz w:val="21"/>
                <w:szCs w:val="21"/>
                <w:highlight w:val="none"/>
                <w:lang w:val="en-US" w:eastAsia="zh-CN"/>
              </w:rPr>
              <w:t>或中标通知书复印件并</w:t>
            </w:r>
            <w:r>
              <w:rPr>
                <w:rFonts w:hint="eastAsia" w:ascii="宋体" w:hAnsi="宋体" w:eastAsia="宋体" w:cs="宋体"/>
                <w:color w:val="auto"/>
                <w:sz w:val="21"/>
                <w:szCs w:val="21"/>
                <w:highlight w:val="none"/>
              </w:rPr>
              <w:t>加盖投标人公章，否则不予计分，同一个</w:t>
            </w:r>
            <w:r>
              <w:rPr>
                <w:rFonts w:hint="eastAsia" w:ascii="宋体" w:hAnsi="宋体" w:eastAsia="宋体" w:cs="宋体"/>
                <w:color w:val="auto"/>
                <w:sz w:val="21"/>
                <w:szCs w:val="21"/>
                <w:highlight w:val="none"/>
                <w:lang w:val="en-US" w:eastAsia="zh-CN"/>
              </w:rPr>
              <w:t>采购单位</w:t>
            </w:r>
            <w:r>
              <w:rPr>
                <w:rFonts w:hint="eastAsia" w:ascii="宋体" w:hAnsi="宋体" w:eastAsia="宋体" w:cs="宋体"/>
                <w:color w:val="auto"/>
                <w:sz w:val="21"/>
                <w:szCs w:val="21"/>
                <w:highlight w:val="none"/>
              </w:rPr>
              <w:t>不同年份</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同类项目业绩</w:t>
            </w:r>
            <w:r>
              <w:rPr>
                <w:rFonts w:hint="eastAsia" w:ascii="宋体" w:hAnsi="宋体" w:eastAsia="宋体" w:cs="宋体"/>
                <w:color w:val="auto"/>
                <w:sz w:val="21"/>
                <w:szCs w:val="21"/>
                <w:highlight w:val="none"/>
              </w:rPr>
              <w:t>仅记1分。</w:t>
            </w:r>
          </w:p>
        </w:tc>
      </w:tr>
    </w:tbl>
    <w:p>
      <w:pPr>
        <w:pStyle w:val="31"/>
        <w:jc w:val="both"/>
        <w:rPr>
          <w:rFonts w:ascii="宋体" w:hAnsi="宋体" w:eastAsia="宋体" w:cs="宋体"/>
          <w:color w:val="auto"/>
          <w:sz w:val="28"/>
          <w:szCs w:val="28"/>
          <w:highlight w:val="none"/>
        </w:rPr>
      </w:pPr>
    </w:p>
    <w:sectPr>
      <w:footerReference r:id="rId5" w:type="default"/>
      <w:pgSz w:w="11906" w:h="16838"/>
      <w:pgMar w:top="1021" w:right="1588" w:bottom="1021" w:left="1588"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480"/>
      <w:jc w:val="center"/>
      <w:rPr>
        <w:rFonts w:ascii="Times New Roman" w:hAnsi="Times New Roman"/>
        <w:sz w:val="24"/>
        <w:szCs w:val="28"/>
      </w:rPr>
    </w:pPr>
    <w:r>
      <w:rPr>
        <w:rFonts w:ascii="Times New Roman" w:hAnsi="Times New Roman"/>
        <w:sz w:val="24"/>
        <w:szCs w:val="28"/>
      </w:rPr>
      <w:fldChar w:fldCharType="begin"/>
    </w:r>
    <w:r>
      <w:rPr>
        <w:rFonts w:ascii="Times New Roman" w:hAnsi="Times New Roman"/>
        <w:sz w:val="24"/>
        <w:szCs w:val="28"/>
      </w:rPr>
      <w:instrText xml:space="preserve">PAGE   \* MERGEFORMAT</w:instrText>
    </w:r>
    <w:r>
      <w:rPr>
        <w:rFonts w:ascii="Times New Roman" w:hAnsi="Times New Roman"/>
        <w:sz w:val="24"/>
        <w:szCs w:val="28"/>
      </w:rPr>
      <w:fldChar w:fldCharType="separate"/>
    </w:r>
    <w:r>
      <w:rPr>
        <w:rFonts w:ascii="Times New Roman" w:hAnsi="Times New Roman"/>
        <w:sz w:val="24"/>
        <w:szCs w:val="28"/>
      </w:rPr>
      <w:t>11</w:t>
    </w:r>
    <w:r>
      <w:rPr>
        <w:rFonts w:ascii="Times New Roman" w:hAnsi="Times New Roman"/>
        <w:sz w:val="24"/>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480"/>
      <w:jc w:val="center"/>
      <w:rPr>
        <w:sz w:val="24"/>
        <w:szCs w:val="28"/>
      </w:rPr>
    </w:pPr>
    <w:r>
      <w:rPr>
        <w:sz w:val="24"/>
        <w:szCs w:val="28"/>
      </w:rPr>
      <w:fldChar w:fldCharType="begin"/>
    </w:r>
    <w:r>
      <w:rPr>
        <w:sz w:val="24"/>
        <w:szCs w:val="28"/>
      </w:rPr>
      <w:instrText xml:space="preserve">PAGE   \* MERGEFORMAT</w:instrText>
    </w:r>
    <w:r>
      <w:rPr>
        <w:sz w:val="24"/>
        <w:szCs w:val="28"/>
      </w:rPr>
      <w:fldChar w:fldCharType="separate"/>
    </w:r>
    <w:r>
      <w:rPr>
        <w:sz w:val="24"/>
        <w:szCs w:val="28"/>
      </w:rPr>
      <w:t>11</w:t>
    </w:r>
    <w:r>
      <w:rPr>
        <w:sz w:val="24"/>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0F1057"/>
    <w:multiLevelType w:val="singleLevel"/>
    <w:tmpl w:val="DB0F105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720"/>
  <w:drawingGridHorizontalSpacing w:val="0"/>
  <w:displayHorizontalDrawingGridEvery w:val="1"/>
  <w:displayVerticalDrawingGridEvery w:val="1"/>
  <w:noPunctuationKerning w:val="1"/>
  <w:characterSpacingControl w:val="doNotCompress"/>
  <w:footnotePr>
    <w:footnote w:id="0"/>
    <w:footnote w:id="1"/>
  </w:footnotePr>
  <w:compat>
    <w:spaceForUL/>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yNDhmOWU4ZDRkMzNmMmFkYWMwMmFjZTJmOGM4YjgifQ=="/>
  </w:docVars>
  <w:rsids>
    <w:rsidRoot w:val="007226F2"/>
    <w:rsid w:val="000039E2"/>
    <w:rsid w:val="000667D5"/>
    <w:rsid w:val="000C3691"/>
    <w:rsid w:val="000D1A53"/>
    <w:rsid w:val="001262F6"/>
    <w:rsid w:val="00152F92"/>
    <w:rsid w:val="00183C2F"/>
    <w:rsid w:val="00187EAB"/>
    <w:rsid w:val="00190570"/>
    <w:rsid w:val="001A3E96"/>
    <w:rsid w:val="001B2030"/>
    <w:rsid w:val="001C56AD"/>
    <w:rsid w:val="001E1E0D"/>
    <w:rsid w:val="002063E8"/>
    <w:rsid w:val="002139F2"/>
    <w:rsid w:val="002511EA"/>
    <w:rsid w:val="002538E3"/>
    <w:rsid w:val="00267227"/>
    <w:rsid w:val="002A4312"/>
    <w:rsid w:val="002B3CA4"/>
    <w:rsid w:val="002C288B"/>
    <w:rsid w:val="002D0A87"/>
    <w:rsid w:val="002D0EEC"/>
    <w:rsid w:val="002D3EFE"/>
    <w:rsid w:val="002E25B9"/>
    <w:rsid w:val="002F2E3C"/>
    <w:rsid w:val="002F34E0"/>
    <w:rsid w:val="003408F6"/>
    <w:rsid w:val="00367495"/>
    <w:rsid w:val="003A1701"/>
    <w:rsid w:val="003A63F5"/>
    <w:rsid w:val="004046EB"/>
    <w:rsid w:val="004067C0"/>
    <w:rsid w:val="0041309E"/>
    <w:rsid w:val="00413474"/>
    <w:rsid w:val="00456F80"/>
    <w:rsid w:val="004603DE"/>
    <w:rsid w:val="00470E40"/>
    <w:rsid w:val="00477BB8"/>
    <w:rsid w:val="00477C8C"/>
    <w:rsid w:val="004818AD"/>
    <w:rsid w:val="00481E66"/>
    <w:rsid w:val="00485D8E"/>
    <w:rsid w:val="004C39D4"/>
    <w:rsid w:val="004D511D"/>
    <w:rsid w:val="004E6B49"/>
    <w:rsid w:val="00511275"/>
    <w:rsid w:val="00542207"/>
    <w:rsid w:val="00551F12"/>
    <w:rsid w:val="0056195B"/>
    <w:rsid w:val="00564C71"/>
    <w:rsid w:val="00570912"/>
    <w:rsid w:val="00595443"/>
    <w:rsid w:val="005A37E1"/>
    <w:rsid w:val="005B2ACB"/>
    <w:rsid w:val="005B31D6"/>
    <w:rsid w:val="005B3B8E"/>
    <w:rsid w:val="005C7661"/>
    <w:rsid w:val="005E3A8A"/>
    <w:rsid w:val="005E58CD"/>
    <w:rsid w:val="00600840"/>
    <w:rsid w:val="006045E7"/>
    <w:rsid w:val="00644336"/>
    <w:rsid w:val="006666FE"/>
    <w:rsid w:val="006808D0"/>
    <w:rsid w:val="006D132A"/>
    <w:rsid w:val="007226F2"/>
    <w:rsid w:val="00732302"/>
    <w:rsid w:val="0078722A"/>
    <w:rsid w:val="007C188B"/>
    <w:rsid w:val="007C58E9"/>
    <w:rsid w:val="007D4BC5"/>
    <w:rsid w:val="00810E58"/>
    <w:rsid w:val="00877F37"/>
    <w:rsid w:val="0089130E"/>
    <w:rsid w:val="008E11A4"/>
    <w:rsid w:val="00911BD3"/>
    <w:rsid w:val="0092702C"/>
    <w:rsid w:val="009377F1"/>
    <w:rsid w:val="00943C89"/>
    <w:rsid w:val="00966E2E"/>
    <w:rsid w:val="009B269A"/>
    <w:rsid w:val="009C1838"/>
    <w:rsid w:val="009D6981"/>
    <w:rsid w:val="009E6301"/>
    <w:rsid w:val="009F6ED5"/>
    <w:rsid w:val="00A00F60"/>
    <w:rsid w:val="00A01E16"/>
    <w:rsid w:val="00A068D6"/>
    <w:rsid w:val="00A26343"/>
    <w:rsid w:val="00A4028B"/>
    <w:rsid w:val="00A84E79"/>
    <w:rsid w:val="00A90DF2"/>
    <w:rsid w:val="00A95C35"/>
    <w:rsid w:val="00AD1961"/>
    <w:rsid w:val="00AE567C"/>
    <w:rsid w:val="00B1591D"/>
    <w:rsid w:val="00B17A9A"/>
    <w:rsid w:val="00B2589B"/>
    <w:rsid w:val="00B338AA"/>
    <w:rsid w:val="00B4185A"/>
    <w:rsid w:val="00B43698"/>
    <w:rsid w:val="00B548F8"/>
    <w:rsid w:val="00B842A5"/>
    <w:rsid w:val="00B904F4"/>
    <w:rsid w:val="00B9257B"/>
    <w:rsid w:val="00B9286C"/>
    <w:rsid w:val="00BA65ED"/>
    <w:rsid w:val="00BD2699"/>
    <w:rsid w:val="00BE27F9"/>
    <w:rsid w:val="00BE56F1"/>
    <w:rsid w:val="00BF1B52"/>
    <w:rsid w:val="00BF30DD"/>
    <w:rsid w:val="00C52972"/>
    <w:rsid w:val="00C866AD"/>
    <w:rsid w:val="00C87B0F"/>
    <w:rsid w:val="00D059B6"/>
    <w:rsid w:val="00D16911"/>
    <w:rsid w:val="00D30B82"/>
    <w:rsid w:val="00D439F1"/>
    <w:rsid w:val="00D55C23"/>
    <w:rsid w:val="00D61734"/>
    <w:rsid w:val="00D677AD"/>
    <w:rsid w:val="00D76456"/>
    <w:rsid w:val="00D86579"/>
    <w:rsid w:val="00D921B6"/>
    <w:rsid w:val="00DA1E41"/>
    <w:rsid w:val="00DE6F17"/>
    <w:rsid w:val="00DE7E7F"/>
    <w:rsid w:val="00E215AE"/>
    <w:rsid w:val="00E22213"/>
    <w:rsid w:val="00E71247"/>
    <w:rsid w:val="00EA7FBB"/>
    <w:rsid w:val="00EC1AFF"/>
    <w:rsid w:val="00ED3972"/>
    <w:rsid w:val="00F14463"/>
    <w:rsid w:val="00F60BEE"/>
    <w:rsid w:val="00FB3383"/>
    <w:rsid w:val="00FB50E4"/>
    <w:rsid w:val="00FC405E"/>
    <w:rsid w:val="00FE5AE5"/>
    <w:rsid w:val="01FF1E15"/>
    <w:rsid w:val="050D4568"/>
    <w:rsid w:val="05A6245C"/>
    <w:rsid w:val="0830084B"/>
    <w:rsid w:val="096E6175"/>
    <w:rsid w:val="0A6B1808"/>
    <w:rsid w:val="0B7E024F"/>
    <w:rsid w:val="0FE663C2"/>
    <w:rsid w:val="10BB0DF8"/>
    <w:rsid w:val="11C20BFB"/>
    <w:rsid w:val="17C2743A"/>
    <w:rsid w:val="1B1A5525"/>
    <w:rsid w:val="1E98662C"/>
    <w:rsid w:val="20FD531A"/>
    <w:rsid w:val="23B066F1"/>
    <w:rsid w:val="27D6522C"/>
    <w:rsid w:val="2B355091"/>
    <w:rsid w:val="2D62399F"/>
    <w:rsid w:val="2DCA554B"/>
    <w:rsid w:val="2FA41DDE"/>
    <w:rsid w:val="373A29CC"/>
    <w:rsid w:val="38293343"/>
    <w:rsid w:val="38683C12"/>
    <w:rsid w:val="3998721D"/>
    <w:rsid w:val="3C022D1A"/>
    <w:rsid w:val="3C1579C4"/>
    <w:rsid w:val="3E944B7B"/>
    <w:rsid w:val="3F870779"/>
    <w:rsid w:val="3FF91E9E"/>
    <w:rsid w:val="43C86F72"/>
    <w:rsid w:val="478C11D2"/>
    <w:rsid w:val="4A7E43FB"/>
    <w:rsid w:val="4B1A6945"/>
    <w:rsid w:val="4B3B7AAC"/>
    <w:rsid w:val="4BA60A5C"/>
    <w:rsid w:val="4DA710B5"/>
    <w:rsid w:val="4E265601"/>
    <w:rsid w:val="4E413101"/>
    <w:rsid w:val="4F437856"/>
    <w:rsid w:val="50B15A59"/>
    <w:rsid w:val="544E5ABD"/>
    <w:rsid w:val="5C602671"/>
    <w:rsid w:val="5DFB4449"/>
    <w:rsid w:val="65C46736"/>
    <w:rsid w:val="67BF158C"/>
    <w:rsid w:val="69B90925"/>
    <w:rsid w:val="6AC9197B"/>
    <w:rsid w:val="700E7EBD"/>
    <w:rsid w:val="71C224FB"/>
    <w:rsid w:val="71F52F6F"/>
    <w:rsid w:val="72311205"/>
    <w:rsid w:val="76254620"/>
    <w:rsid w:val="76AA4B2B"/>
    <w:rsid w:val="77D63117"/>
    <w:rsid w:val="791D4F12"/>
    <w:rsid w:val="7AAE3787"/>
    <w:rsid w:val="7D9657BC"/>
    <w:rsid w:val="7E701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link w:val="28"/>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0"/>
  </w:style>
  <w:style w:type="paragraph" w:styleId="4">
    <w:name w:val="Body Text"/>
    <w:basedOn w:val="1"/>
    <w:qFormat/>
    <w:uiPriority w:val="0"/>
    <w:rPr>
      <w:sz w:val="20"/>
      <w:lang w:eastAsia="en-US"/>
    </w:rPr>
  </w:style>
  <w:style w:type="paragraph" w:styleId="5">
    <w:name w:val="Body Text Indent"/>
    <w:basedOn w:val="1"/>
    <w:qFormat/>
    <w:uiPriority w:val="0"/>
    <w:pPr>
      <w:spacing w:after="120"/>
      <w:ind w:left="420" w:leftChars="200"/>
    </w:pPr>
  </w:style>
  <w:style w:type="paragraph" w:styleId="6">
    <w:name w:val="Balloon Text"/>
    <w:basedOn w:val="1"/>
    <w:link w:val="29"/>
    <w:semiHidden/>
    <w:unhideWhenUsed/>
    <w:qFormat/>
    <w:uiPriority w:val="0"/>
    <w:pPr>
      <w:spacing w:after="0"/>
    </w:pPr>
    <w:rPr>
      <w:sz w:val="18"/>
      <w:szCs w:val="18"/>
    </w:rPr>
  </w:style>
  <w:style w:type="paragraph" w:styleId="7">
    <w:name w:val="footer"/>
    <w:basedOn w:val="1"/>
    <w:link w:val="27"/>
    <w:unhideWhenUsed/>
    <w:qFormat/>
    <w:uiPriority w:val="99"/>
    <w:pPr>
      <w:tabs>
        <w:tab w:val="center" w:pos="4153"/>
        <w:tab w:val="right" w:pos="8306"/>
      </w:tabs>
    </w:pPr>
    <w:rPr>
      <w:sz w:val="18"/>
      <w:szCs w:val="18"/>
    </w:rPr>
  </w:style>
  <w:style w:type="paragraph" w:styleId="8">
    <w:name w:val="header"/>
    <w:basedOn w:val="1"/>
    <w:link w:val="26"/>
    <w:unhideWhenUsed/>
    <w:qFormat/>
    <w:uiPriority w:val="99"/>
    <w:pPr>
      <w:pBdr>
        <w:bottom w:val="single" w:color="auto" w:sz="6" w:space="1"/>
      </w:pBdr>
      <w:tabs>
        <w:tab w:val="center" w:pos="4153"/>
        <w:tab w:val="right" w:pos="8306"/>
      </w:tabs>
      <w:jc w:val="center"/>
    </w:pPr>
    <w:rPr>
      <w:sz w:val="18"/>
      <w:szCs w:val="18"/>
    </w:rPr>
  </w:style>
  <w:style w:type="paragraph" w:styleId="9">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10">
    <w:name w:val="Body Text First Indent"/>
    <w:basedOn w:val="4"/>
    <w:qFormat/>
    <w:uiPriority w:val="0"/>
    <w:pPr>
      <w:widowControl w:val="0"/>
      <w:spacing w:after="120"/>
      <w:ind w:firstLine="420" w:firstLineChars="100"/>
    </w:pPr>
    <w:rPr>
      <w:kern w:val="2"/>
      <w:sz w:val="21"/>
      <w:szCs w:val="24"/>
    </w:rPr>
  </w:style>
  <w:style w:type="paragraph" w:styleId="11">
    <w:name w:val="Body Text First Indent 2"/>
    <w:basedOn w:val="5"/>
    <w:next w:val="10"/>
    <w:link w:val="36"/>
    <w:qFormat/>
    <w:uiPriority w:val="0"/>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22"/>
    <w:rPr>
      <w:b/>
      <w:bCs/>
    </w:rPr>
  </w:style>
  <w:style w:type="character" w:styleId="16">
    <w:name w:val="page number"/>
    <w:qFormat/>
    <w:uiPriority w:val="0"/>
  </w:style>
  <w:style w:type="character" w:styleId="17">
    <w:name w:val="FollowedHyperlink"/>
    <w:basedOn w:val="14"/>
    <w:semiHidden/>
    <w:unhideWhenUsed/>
    <w:qFormat/>
    <w:uiPriority w:val="0"/>
    <w:rPr>
      <w:color w:val="333333"/>
      <w:u w:val="none"/>
    </w:rPr>
  </w:style>
  <w:style w:type="character" w:styleId="18">
    <w:name w:val="Emphasis"/>
    <w:basedOn w:val="14"/>
    <w:qFormat/>
    <w:uiPriority w:val="20"/>
  </w:style>
  <w:style w:type="character" w:styleId="19">
    <w:name w:val="HTML Definition"/>
    <w:basedOn w:val="14"/>
    <w:semiHidden/>
    <w:unhideWhenUsed/>
    <w:qFormat/>
    <w:uiPriority w:val="0"/>
  </w:style>
  <w:style w:type="character" w:styleId="20">
    <w:name w:val="HTML Acronym"/>
    <w:basedOn w:val="14"/>
    <w:semiHidden/>
    <w:unhideWhenUsed/>
    <w:qFormat/>
    <w:uiPriority w:val="0"/>
  </w:style>
  <w:style w:type="character" w:styleId="21">
    <w:name w:val="HTML Variable"/>
    <w:basedOn w:val="14"/>
    <w:semiHidden/>
    <w:unhideWhenUsed/>
    <w:qFormat/>
    <w:uiPriority w:val="0"/>
  </w:style>
  <w:style w:type="character" w:styleId="22">
    <w:name w:val="Hyperlink"/>
    <w:unhideWhenUsed/>
    <w:qFormat/>
    <w:uiPriority w:val="99"/>
    <w:rPr>
      <w:color w:val="0000FF"/>
      <w:u w:val="single"/>
    </w:rPr>
  </w:style>
  <w:style w:type="character" w:styleId="23">
    <w:name w:val="HTML Code"/>
    <w:basedOn w:val="14"/>
    <w:semiHidden/>
    <w:unhideWhenUsed/>
    <w:qFormat/>
    <w:uiPriority w:val="0"/>
    <w:rPr>
      <w:rFonts w:ascii="Courier New" w:hAnsi="Courier New"/>
      <w:sz w:val="20"/>
    </w:rPr>
  </w:style>
  <w:style w:type="character" w:styleId="24">
    <w:name w:val="HTML Cite"/>
    <w:basedOn w:val="14"/>
    <w:semiHidden/>
    <w:unhideWhenUsed/>
    <w:qFormat/>
    <w:uiPriority w:val="0"/>
  </w:style>
  <w:style w:type="paragraph" w:customStyle="1" w:styleId="25">
    <w:name w:val="列出段落1"/>
    <w:basedOn w:val="1"/>
    <w:qFormat/>
    <w:uiPriority w:val="34"/>
    <w:pPr>
      <w:ind w:firstLine="420" w:firstLineChars="200"/>
    </w:pPr>
  </w:style>
  <w:style w:type="character" w:customStyle="1" w:styleId="26">
    <w:name w:val="页眉 字符"/>
    <w:link w:val="8"/>
    <w:qFormat/>
    <w:uiPriority w:val="99"/>
    <w:rPr>
      <w:rFonts w:ascii="Tahoma" w:hAnsi="Tahoma"/>
      <w:sz w:val="18"/>
      <w:szCs w:val="18"/>
    </w:rPr>
  </w:style>
  <w:style w:type="character" w:customStyle="1" w:styleId="27">
    <w:name w:val="页脚 字符"/>
    <w:link w:val="7"/>
    <w:qFormat/>
    <w:uiPriority w:val="99"/>
    <w:rPr>
      <w:rFonts w:ascii="Tahoma" w:hAnsi="Tahoma"/>
      <w:sz w:val="18"/>
      <w:szCs w:val="18"/>
    </w:rPr>
  </w:style>
  <w:style w:type="character" w:customStyle="1" w:styleId="28">
    <w:name w:val="标题 1 字符"/>
    <w:link w:val="2"/>
    <w:qFormat/>
    <w:uiPriority w:val="9"/>
    <w:rPr>
      <w:rFonts w:ascii="宋体" w:hAnsi="宋体" w:eastAsia="宋体" w:cs="宋体"/>
      <w:b/>
      <w:bCs/>
      <w:kern w:val="36"/>
      <w:sz w:val="48"/>
      <w:szCs w:val="48"/>
    </w:rPr>
  </w:style>
  <w:style w:type="character" w:customStyle="1" w:styleId="29">
    <w:name w:val="批注框文本 字符"/>
    <w:link w:val="6"/>
    <w:semiHidden/>
    <w:qFormat/>
    <w:uiPriority w:val="0"/>
    <w:rPr>
      <w:rFonts w:ascii="Tahoma" w:hAnsi="Tahoma"/>
      <w:sz w:val="18"/>
      <w:szCs w:val="18"/>
    </w:rPr>
  </w:style>
  <w:style w:type="paragraph" w:customStyle="1" w:styleId="30">
    <w:name w:val="自定义标题1"/>
    <w:qFormat/>
    <w:uiPriority w:val="0"/>
    <w:pPr>
      <w:spacing w:before="50" w:beforeLines="50" w:after="50" w:afterLines="50" w:line="360" w:lineRule="auto"/>
      <w:outlineLvl w:val="0"/>
    </w:pPr>
    <w:rPr>
      <w:rFonts w:ascii="Times New Roman" w:hAnsi="Times New Roman" w:eastAsia="黑体" w:cs="Times New Roman"/>
      <w:b/>
      <w:snapToGrid w:val="0"/>
      <w:kern w:val="44"/>
      <w:sz w:val="30"/>
      <w:lang w:val="en-US" w:eastAsia="zh-CN" w:bidi="ar-SA"/>
    </w:rPr>
  </w:style>
  <w:style w:type="paragraph" w:customStyle="1" w:styleId="31">
    <w:name w:val="自定义正文"/>
    <w:basedOn w:val="1"/>
    <w:qFormat/>
    <w:uiPriority w:val="0"/>
    <w:pPr>
      <w:snapToGrid/>
      <w:contextualSpacing/>
    </w:pPr>
  </w:style>
  <w:style w:type="paragraph" w:customStyle="1" w:styleId="32">
    <w:name w:val="自定义标题2"/>
    <w:qFormat/>
    <w:uiPriority w:val="0"/>
    <w:pPr>
      <w:spacing w:line="360" w:lineRule="auto"/>
      <w:jc w:val="both"/>
      <w:outlineLvl w:val="1"/>
    </w:pPr>
    <w:rPr>
      <w:rFonts w:ascii="Arial" w:hAnsi="Arial" w:eastAsia="宋体" w:cs="Times New Roman"/>
      <w:b/>
      <w:snapToGrid w:val="0"/>
      <w:kern w:val="44"/>
      <w:sz w:val="28"/>
      <w:lang w:val="en-US" w:eastAsia="zh-CN" w:bidi="ar-SA"/>
    </w:rPr>
  </w:style>
  <w:style w:type="paragraph" w:customStyle="1" w:styleId="33">
    <w:name w:val="自定义标题3"/>
    <w:qFormat/>
    <w:uiPriority w:val="0"/>
    <w:pPr>
      <w:spacing w:line="360" w:lineRule="auto"/>
      <w:ind w:firstLine="200" w:firstLineChars="200"/>
      <w:jc w:val="both"/>
      <w:outlineLvl w:val="2"/>
    </w:pPr>
    <w:rPr>
      <w:rFonts w:ascii="Times New Roman" w:hAnsi="Times New Roman" w:eastAsia="宋体" w:cs="Times New Roman"/>
      <w:b/>
      <w:snapToGrid w:val="0"/>
      <w:sz w:val="24"/>
      <w:lang w:val="en-US" w:eastAsia="zh-CN" w:bidi="ar-SA"/>
    </w:rPr>
  </w:style>
  <w:style w:type="paragraph" w:customStyle="1" w:styleId="34">
    <w:name w:val="修订1"/>
    <w:hidden/>
    <w:semiHidden/>
    <w:qFormat/>
    <w:uiPriority w:val="99"/>
    <w:rPr>
      <w:rFonts w:ascii="Tahoma" w:hAnsi="Tahoma" w:eastAsia="微软雅黑" w:cs="Times New Roman"/>
      <w:sz w:val="22"/>
      <w:szCs w:val="22"/>
      <w:lang w:val="en-US" w:eastAsia="zh-CN" w:bidi="ar-SA"/>
    </w:rPr>
  </w:style>
  <w:style w:type="paragraph" w:customStyle="1" w:styleId="35">
    <w:name w:val="Revision"/>
    <w:hidden/>
    <w:unhideWhenUsed/>
    <w:qFormat/>
    <w:uiPriority w:val="99"/>
    <w:rPr>
      <w:rFonts w:ascii="Tahoma" w:hAnsi="Tahoma" w:eastAsia="微软雅黑" w:cs="Times New Roman"/>
      <w:sz w:val="22"/>
      <w:szCs w:val="22"/>
      <w:lang w:val="en-US" w:eastAsia="zh-CN" w:bidi="ar-SA"/>
    </w:rPr>
  </w:style>
  <w:style w:type="character" w:customStyle="1" w:styleId="36">
    <w:name w:val="正文文本首行缩进 2 字符"/>
    <w:basedOn w:val="14"/>
    <w:link w:val="11"/>
    <w:qFormat/>
    <w:uiPriority w:val="0"/>
    <w:rPr>
      <w:rFonts w:ascii="Tahoma" w:hAnsi="Tahoma" w:eastAsia="微软雅黑"/>
      <w:sz w:val="22"/>
      <w:szCs w:val="22"/>
    </w:rPr>
  </w:style>
  <w:style w:type="paragraph" w:styleId="37">
    <w:name w:val="List Paragraph"/>
    <w:basedOn w:val="1"/>
    <w:unhideWhenUsed/>
    <w:qFormat/>
    <w:uiPriority w:val="99"/>
    <w:pPr>
      <w:ind w:firstLine="420" w:firstLineChars="200"/>
    </w:pPr>
  </w:style>
  <w:style w:type="character" w:customStyle="1" w:styleId="38">
    <w:name w:val="layui-this"/>
    <w:basedOn w:val="14"/>
    <w:qFormat/>
    <w:uiPriority w:val="0"/>
    <w:rPr>
      <w:bdr w:val="single" w:color="EEEEEE" w:sz="6" w:space="0"/>
      <w:shd w:val="clear" w:fill="FFFFFF"/>
    </w:rPr>
  </w:style>
  <w:style w:type="character" w:customStyle="1" w:styleId="39">
    <w:name w:val="hover10"/>
    <w:basedOn w:val="14"/>
    <w:qFormat/>
    <w:uiPriority w:val="0"/>
    <w:rPr>
      <w:color w:val="337AB7"/>
    </w:rPr>
  </w:style>
  <w:style w:type="character" w:customStyle="1" w:styleId="40">
    <w:name w:val="first-child"/>
    <w:basedOn w:val="1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12552</Words>
  <Characters>12848</Characters>
  <Lines>92</Lines>
  <Paragraphs>26</Paragraphs>
  <TotalTime>358</TotalTime>
  <ScaleCrop>false</ScaleCrop>
  <LinksUpToDate>false</LinksUpToDate>
  <CharactersWithSpaces>12901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2023-11-27T10:16:00Z</dcterms:created>
  <dc:creator>DELL</dc:creator>
  <cp:lastModifiedBy>Jianbo_Lee</cp:lastModifiedBy>
  <cp:lastPrinted>2018-01-04T08:52:00Z</cp:lastPrinted>
  <dcterms:modified xsi:type="dcterms:W3CDTF">2024-07-05T02:15:17Z</dcterms:modified>
  <dc:title>广西艺术学院2020年艺术类专业招生考试</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327B7D0F4EF0499D859BBE9DC9591205_13</vt:lpwstr>
  </property>
</Properties>
</file>