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bCs/>
          <w:kern w:val="2"/>
          <w:sz w:val="24"/>
          <w:szCs w:val="24"/>
          <w:lang w:val="en-US" w:eastAsia="zh-CN" w:bidi="ar-SA"/>
        </w:rPr>
      </w:pPr>
      <w:bookmarkStart w:id="0" w:name="_GoBack"/>
      <w:bookmarkEnd w:id="0"/>
      <w:r>
        <w:rPr>
          <w:rFonts w:hint="eastAsia" w:ascii="Times New Roman" w:hAnsi="Times New Roman" w:eastAsia="宋体" w:cs="Times New Roman"/>
          <w:b/>
          <w:bCs/>
          <w:kern w:val="2"/>
          <w:sz w:val="24"/>
          <w:szCs w:val="24"/>
          <w:lang w:val="en-US" w:eastAsia="zh-CN" w:bidi="ar-SA"/>
        </w:rPr>
        <w:t>附件1：采购需求表</w:t>
      </w:r>
    </w:p>
    <w:p>
      <w:pPr>
        <w:jc w:val="center"/>
        <w:rPr>
          <w:rFonts w:hint="eastAsia" w:ascii="宋体" w:hAnsi="宋体" w:eastAsia="宋体" w:cs="宋体"/>
          <w:b/>
          <w:bCs/>
          <w:color w:val="auto"/>
          <w:sz w:val="36"/>
          <w:szCs w:val="36"/>
        </w:rPr>
      </w:pPr>
    </w:p>
    <w:p>
      <w:pPr>
        <w:pStyle w:val="2"/>
        <w:numPr>
          <w:ilvl w:val="0"/>
          <w:numId w:val="1"/>
        </w:numPr>
        <w:rPr>
          <w:rFonts w:hint="eastAsia" w:eastAsia="宋体" w:cs="宋体"/>
          <w:b/>
          <w:bCs/>
          <w:color w:val="auto"/>
          <w:sz w:val="21"/>
          <w:szCs w:val="21"/>
          <w:lang w:val="en-US"/>
        </w:rPr>
      </w:pPr>
      <w:r>
        <w:rPr>
          <w:rFonts w:hint="eastAsia" w:eastAsia="宋体" w:cs="宋体"/>
          <w:b/>
          <w:bCs/>
          <w:color w:val="auto"/>
          <w:sz w:val="21"/>
          <w:szCs w:val="21"/>
          <w:lang w:val="en-US"/>
        </w:rPr>
        <w:t>设备采购清单</w:t>
      </w:r>
    </w:p>
    <w:tbl>
      <w:tblPr>
        <w:tblStyle w:val="3"/>
        <w:tblW w:w="64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601"/>
        <w:gridCol w:w="601"/>
        <w:gridCol w:w="601"/>
        <w:gridCol w:w="601"/>
        <w:gridCol w:w="1989"/>
        <w:gridCol w:w="3305"/>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品名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单位</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c>
          <w:tcPr>
            <w:tcW w:w="26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配置参数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安全知识竞赛</w:t>
            </w:r>
            <w:r>
              <w:rPr>
                <w:rFonts w:hint="eastAsia" w:ascii="宋体" w:hAnsi="宋体" w:eastAsia="宋体" w:cs="宋体"/>
                <w:i w:val="0"/>
                <w:iCs w:val="0"/>
                <w:color w:val="auto"/>
                <w:kern w:val="0"/>
                <w:sz w:val="21"/>
                <w:szCs w:val="21"/>
                <w:u w:val="none"/>
                <w:lang w:val="en-US"/>
              </w:rPr>
              <w:t>区</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智能一体机（壁挂）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49寸红外触摸屏；工业级主板；intel i3 处理器；4G内存；128G固态硬盘。</w:t>
            </w:r>
          </w:p>
        </w:tc>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default" w:ascii="宋体" w:hAnsi="宋体" w:eastAsia="宋体" w:cs="宋体"/>
                <w:i w:val="0"/>
                <w:iCs w:val="0"/>
                <w:color w:val="auto"/>
                <w:kern w:val="0"/>
                <w:sz w:val="21"/>
                <w:szCs w:val="21"/>
                <w:u w:val="none"/>
                <w:lang w:val="en-US"/>
              </w:rPr>
            </w:pPr>
            <w:r>
              <w:rPr>
                <w:rFonts w:hint="eastAsia" w:ascii="宋体" w:hAnsi="宋体" w:eastAsia="宋体" w:cs="宋体"/>
                <w:i w:val="0"/>
                <w:iCs w:val="0"/>
                <w:color w:val="auto"/>
                <w:kern w:val="0"/>
                <w:sz w:val="21"/>
                <w:szCs w:val="21"/>
                <w:u w:val="none"/>
                <w:lang w:val="en-US"/>
              </w:rPr>
              <w:t>设备操作培训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题库内容培训</w:t>
            </w:r>
            <w:r>
              <w:rPr>
                <w:rFonts w:hint="default" w:ascii="宋体" w:hAnsi="宋体" w:eastAsia="宋体" w:cs="宋体"/>
                <w:i w:val="0"/>
                <w:iCs w:val="0"/>
                <w:color w:val="auto"/>
                <w:kern w:val="0"/>
                <w:sz w:val="21"/>
                <w:szCs w:val="21"/>
                <w:u w:val="none"/>
              </w:rPr>
              <w:t>，</w:t>
            </w:r>
            <w:r>
              <w:rPr>
                <w:rFonts w:hint="eastAsia" w:ascii="宋体" w:hAnsi="宋体" w:eastAsia="宋体" w:cs="宋体"/>
                <w:i w:val="0"/>
                <w:iCs w:val="0"/>
                <w:color w:val="auto"/>
                <w:kern w:val="0"/>
                <w:sz w:val="21"/>
                <w:szCs w:val="21"/>
                <w:u w:val="none"/>
                <w:lang w:val="en-US"/>
              </w:rPr>
              <w:t>根据学校需求定制题库</w:t>
            </w:r>
            <w:r>
              <w:rPr>
                <w:rFonts w:hint="default" w:ascii="宋体" w:hAnsi="宋体" w:eastAsia="宋体" w:cs="宋体"/>
                <w:i w:val="0"/>
                <w:iCs w:val="0"/>
                <w:color w:val="auto"/>
                <w:kern w:val="0"/>
                <w:sz w:val="21"/>
                <w:szCs w:val="21"/>
                <w:u w:val="none"/>
              </w:rPr>
              <w:t>、</w:t>
            </w:r>
            <w:r>
              <w:rPr>
                <w:rFonts w:hint="eastAsia" w:ascii="宋体" w:hAnsi="宋体" w:eastAsia="宋体" w:cs="宋体"/>
                <w:i w:val="0"/>
                <w:iCs w:val="0"/>
                <w:color w:val="auto"/>
                <w:kern w:val="0"/>
                <w:sz w:val="21"/>
                <w:szCs w:val="21"/>
                <w:u w:val="none"/>
                <w:lang w:val="en-US"/>
              </w:rPr>
              <w:t>赛程</w:t>
            </w:r>
            <w:r>
              <w:rPr>
                <w:rFonts w:hint="default" w:ascii="宋体" w:hAnsi="宋体" w:eastAsia="宋体" w:cs="宋体"/>
                <w:i w:val="0"/>
                <w:iCs w:val="0"/>
                <w:color w:val="auto"/>
                <w:kern w:val="0"/>
                <w:sz w:val="21"/>
                <w:szCs w:val="21"/>
                <w:u w:val="none"/>
              </w:rPr>
              <w:t>、</w:t>
            </w:r>
            <w:r>
              <w:rPr>
                <w:rFonts w:hint="eastAsia" w:ascii="宋体" w:hAnsi="宋体" w:eastAsia="宋体" w:cs="宋体"/>
                <w:i w:val="0"/>
                <w:iCs w:val="0"/>
                <w:color w:val="auto"/>
                <w:kern w:val="0"/>
                <w:sz w:val="21"/>
                <w:szCs w:val="21"/>
                <w:u w:val="none"/>
                <w:lang w:val="en-US"/>
              </w:rPr>
              <w:t>规则等</w:t>
            </w:r>
            <w:r>
              <w:rPr>
                <w:rFonts w:hint="default" w:ascii="宋体" w:hAnsi="宋体" w:eastAsia="宋体" w:cs="宋体"/>
                <w:i w:val="0"/>
                <w:iCs w:val="0"/>
                <w:color w:val="auto"/>
                <w:kern w:val="0"/>
                <w:sz w:val="21"/>
                <w:szCs w:val="21"/>
                <w:u w:val="none"/>
              </w:rPr>
              <w:t>，</w:t>
            </w:r>
            <w:r>
              <w:rPr>
                <w:rFonts w:hint="eastAsia" w:ascii="宋体" w:hAnsi="宋体" w:eastAsia="宋体" w:cs="宋体"/>
                <w:i w:val="0"/>
                <w:iCs w:val="0"/>
                <w:color w:val="auto"/>
                <w:kern w:val="0"/>
                <w:sz w:val="21"/>
                <w:szCs w:val="21"/>
                <w:u w:val="none"/>
                <w:lang w:val="en-US"/>
              </w:rPr>
              <w:t>打造专属于学校的安全知识竞赛文化</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1"/>
                <w:szCs w:val="21"/>
                <w:u w:val="none"/>
              </w:rPr>
            </w:pP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设备定期检修维护</w:t>
            </w:r>
          </w:p>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抢答竞赛台</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定制竞赛台：板材、烤漆、无味、环保、内置LED炫光灯</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选项抢答器：红/绿/蓝色按钮各4个</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接收器：无线信号接收器一套</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知识竞赛软件</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3组抢答、随机选题、人工组卷功能、筛选最佳最优功能</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（1）可自定义试题库。</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（2）可按内容主题组织竞赛内容并自动计算竞赛成绩。</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（3）可根据参赛组织需求设定组数、定制赛程。</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★安全知识题库</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包括国家安全、防财产侵害、防范电信网络诈骗、禁毒防艾、交通安全、消防安全、人际交往安全、身心健康、急救安全、自然灾害等安全竞赛题库，题库为不低于300套。</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知识竞赛馆采用自定义题库，按内容主题组织竞赛内容，自动计算竞赛成绩，为学校组织安全教育活动提供一体化设备支持。可根据参赛组织需求设定组数、定制赛程。安全知识竞赛馆组题内容覆盖国家安全、防财产侵害、防范电信网络诈骗、禁毒防艾、交通安全、消防安全、人际交往安全、身心健康、急救安全、自然灾害、安全法律法规等全面适应各类安全知识竞赛要求。竞赛形式寓教于乐，激发参与者积极性，提升教育效果。</w:t>
            </w:r>
          </w:p>
        </w:tc>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结绳训练</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结绳教学系统</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通过触摸点播基础绳结、结绳绳结、固定绳结、保护绳结、学生生活实用绳结等视频演示教学，也可通过图文教学一步步学习结绳方法，每种绳结都配有小知识环节了解结绳所使用的环境及注意事项</w:t>
            </w:r>
          </w:p>
        </w:tc>
        <w:tc>
          <w:tcPr>
            <w:tcW w:w="1202"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设定定期检修维护</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协助学校完成主题性活动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结绳训练套装</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训练结绳图：20种以上</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风格：巨幅场景式背景</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材料：雪弗板+UV</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尺寸：每块不小于30×40cm</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训练架：不锈钢钢管</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智能一体机（壁挂）</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42寸红外触摸屏；intel I3处理器；4G内存；集成显卡；128G固态硬盘</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安全训练绳</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直径:8mm；长:3m；材料：丙纶。</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通过实物与图文结绳步骤展示配合点播式结绳教学系统，教导正确的结绳方法。学习并掌握当灾难突袭时在不同场景下的正确逃生技能。</w:t>
            </w:r>
          </w:p>
        </w:tc>
        <w:tc>
          <w:tcPr>
            <w:tcW w:w="1202"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消防标识互动学习</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消防标志展示背板</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尺寸：根据场地定制，不小于1.5m×1.5m×0.15m</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材质：木材、石膏板</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互动消防标示配件：无线控制器、usb无线接收线、电源适配器、接口专用电源</w:t>
            </w:r>
          </w:p>
        </w:tc>
        <w:tc>
          <w:tcPr>
            <w:tcW w:w="1202"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设备定期检修维护</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协助学校完成相关专题场馆内活动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触摸感应灯箱套装</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无线控制器×1</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触摸感应灯箱标志×20</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usb无线接收线×1</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12V/35W 20接口专用电源×1</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12V电源适配器×1</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标识教学软件</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消防标识触碰点播软件（含加密狗）</w:t>
            </w:r>
          </w:p>
        </w:tc>
        <w:tc>
          <w:tcPr>
            <w:tcW w:w="1202"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智能一体机（壁挂）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42寸红外触摸屏；工业级主板；intel I3处理器；4G内存；128G固态硬盘。</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消防标识电控系统是一款利用计算机软硬件共同结合，采用多媒体为主要展示方式，与硬件标识灯箱互动的一种体验设备。当使用者点击不同消防标志时，多媒体动画播放演示对应的标识作用含义，且实物灯箱高亮显示该标志的具体图样，可以让体验者深入学习消防标识知识，提醒人们预防危险，从而避免事故发生；当危险发生时，能够指示人们尽快逃离，或者指示人们采取正确、有效、得力的措施，对危害加以遏制。</w:t>
            </w:r>
          </w:p>
        </w:tc>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安全隐患查找（宿舍安全隐患）</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套</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安全隐患查找系统</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模拟真实宿舍环境，通过红外线排查宿舍内安全隐患物品、了解这些物品使用不当诱发的灾祸，其中包括常见的吹风机、电热毯、插线板、蚊香、小太阳、烟头等</w:t>
            </w:r>
          </w:p>
        </w:tc>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eastAsia="zh-CN"/>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设备定期检修维护</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协助学校完成相关专题内的场馆活动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摄像头</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感光部件：1/3 SONY CCD；DIP：750TVL</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镜头焦距范围：2.8~12MM；制式：PAL；采集比：4:3</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工作电压：DC12V；工作电流：≤2A；滤光类型：红外</w:t>
            </w:r>
            <w:r>
              <w:rPr>
                <w:rFonts w:hint="eastAsia" w:ascii="宋体" w:hAnsi="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 xml:space="preserve">电源/输出端口：DC5.5×2.1/BNC； </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固定方式：19CM万向底座吊装或立装</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2"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采集卡</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设备连接接口：USB2.0 400MB/S</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视频ADC位深：10BIT AD转换</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输入接口：AV1 输入RCA 阻抗75</w:t>
            </w:r>
            <w:r>
              <w:rPr>
                <w:rStyle w:val="5"/>
                <w:rFonts w:hint="eastAsia" w:ascii="宋体" w:hAnsi="宋体" w:eastAsia="宋体" w:cs="宋体"/>
                <w:color w:val="auto"/>
                <w:sz w:val="21"/>
                <w:szCs w:val="21"/>
                <w:lang w:val="en-US" w:eastAsia="zh-CN"/>
              </w:rPr>
              <w:t>Ώ</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AV2 输入RCA 阻抗75</w:t>
            </w:r>
            <w:r>
              <w:rPr>
                <w:rStyle w:val="5"/>
                <w:rFonts w:hint="eastAsia" w:ascii="宋体" w:hAnsi="宋体" w:eastAsia="宋体" w:cs="宋体"/>
                <w:color w:val="auto"/>
                <w:sz w:val="21"/>
                <w:szCs w:val="21"/>
                <w:lang w:val="en-US" w:eastAsia="zh-CN"/>
              </w:rPr>
              <w:t>Ώ</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SVIDEO输入（SVIDEO 4PIN接口阻抗75</w:t>
            </w:r>
            <w:r>
              <w:rPr>
                <w:rStyle w:val="5"/>
                <w:rFonts w:hint="eastAsia" w:ascii="宋体" w:hAnsi="宋体" w:eastAsia="宋体" w:cs="宋体"/>
                <w:color w:val="auto"/>
                <w:sz w:val="21"/>
                <w:szCs w:val="21"/>
                <w:lang w:val="en-US" w:eastAsia="zh-CN"/>
              </w:rPr>
              <w:t>Ώ</w:t>
            </w:r>
            <w:r>
              <w:rPr>
                <w:rFonts w:hint="eastAsia" w:ascii="宋体" w:hAnsi="宋体" w:eastAsia="宋体" w:cs="宋体"/>
                <w:i w:val="0"/>
                <w:iCs w:val="0"/>
                <w:color w:val="auto"/>
                <w:kern w:val="0"/>
                <w:sz w:val="21"/>
                <w:szCs w:val="21"/>
                <w:u w:val="none"/>
                <w:lang w:val="en-US" w:eastAsia="zh-CN"/>
              </w:rPr>
              <w:t>）</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说明：视频输入端口为切换输入，同时只支持一路输入</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产品尺寸 90.4×68.2×24.3MM</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智能一体机（壁挂）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42寸红外触摸屏；工业级主板，</w:t>
            </w:r>
            <w:r>
              <w:rPr>
                <w:rFonts w:hint="default" w:ascii="宋体" w:hAnsi="宋体" w:eastAsia="宋体" w:cs="宋体"/>
                <w:b w:val="0"/>
                <w:bCs w:val="0"/>
                <w:i w:val="0"/>
                <w:iCs w:val="0"/>
                <w:color w:val="auto"/>
                <w:kern w:val="0"/>
                <w:sz w:val="21"/>
                <w:szCs w:val="21"/>
                <w:highlight w:val="none"/>
                <w:vertAlign w:val="baseline"/>
                <w:lang w:val="en-US" w:eastAsia="zh-CN" w:bidi="ar-SA"/>
              </w:rPr>
              <w:t>intel i3 处理器</w:t>
            </w:r>
            <w:r>
              <w:rPr>
                <w:rFonts w:hint="eastAsia" w:ascii="宋体" w:hAnsi="宋体" w:eastAsia="宋体" w:cs="宋体"/>
                <w:i w:val="0"/>
                <w:iCs w:val="0"/>
                <w:color w:val="auto"/>
                <w:kern w:val="0"/>
                <w:sz w:val="21"/>
                <w:szCs w:val="21"/>
                <w:u w:val="none"/>
                <w:lang w:val="en-US" w:eastAsia="zh-CN"/>
              </w:rPr>
              <w:t>，4G内存，128G固态硬盘。</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隐患物品道具</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学生宿舍场景布置学生上下床、书桌、椅子、小太阳、蚊香、烟灰缸、插线板、电热毯、电暖宝、吹风机、充电器</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通过模拟真实宿舍环境，让体验者排查、了解哪些物品在宿舍内可能会出现安全隐患，在使用不当时出现的隐患后果，指导学生正确的使用可能会出现隐患的物品，养成良好的个人习惯。</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功能特点：</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模拟真实场景，通过红外光束寻找有安全隐患的物品，讲解相应物品起火原因，使用注意事项及正确使用方法等</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交通标识互动学习</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交通标志展示背板</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尺寸：根据场地定制，不小于1.5m×1.5m×0.15m</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材质：木材、石膏板</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互动消防标示配件：USB 40路电子开关控制器、电源输出线、专用电源</w:t>
            </w:r>
          </w:p>
        </w:tc>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设备定期检修维护</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协助学校完成交通专题内的场馆活动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联动灯箱套装</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USB 40路电子开关控制器×1</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三色（红、绿、蓝）交通标志小灯箱×40</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4米灯箱电源输出线×40</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12V/35W 专用电源×1</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标识教学软件</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交通标识触碰点播软件（含加密狗）标识识别功能、标识按钮和一体机联动功能、动画解说</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智能一体机（落地）</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32寸电容触摸屏；工业级主板；</w:t>
            </w:r>
            <w:r>
              <w:rPr>
                <w:rFonts w:hint="default" w:ascii="宋体" w:hAnsi="宋体" w:eastAsia="宋体" w:cs="宋体"/>
                <w:b w:val="0"/>
                <w:bCs w:val="0"/>
                <w:i w:val="0"/>
                <w:iCs w:val="0"/>
                <w:color w:val="auto"/>
                <w:kern w:val="0"/>
                <w:sz w:val="21"/>
                <w:szCs w:val="21"/>
                <w:highlight w:val="none"/>
                <w:vertAlign w:val="baseline"/>
                <w:lang w:val="en-US" w:eastAsia="zh-CN" w:bidi="ar-SA"/>
              </w:rPr>
              <w:t>intel i3 处理器</w:t>
            </w:r>
            <w:r>
              <w:rPr>
                <w:rFonts w:hint="eastAsia" w:ascii="宋体" w:hAnsi="宋体" w:eastAsia="宋体" w:cs="宋体"/>
                <w:i w:val="0"/>
                <w:iCs w:val="0"/>
                <w:color w:val="auto"/>
                <w:kern w:val="0"/>
                <w:sz w:val="21"/>
                <w:szCs w:val="21"/>
                <w:u w:val="none"/>
                <w:lang w:val="en-US" w:eastAsia="zh-CN"/>
              </w:rPr>
              <w:t>；4G内存；128G固态硬盘；</w:t>
            </w:r>
          </w:p>
        </w:tc>
        <w:tc>
          <w:tcPr>
            <w:tcW w:w="1202" w:type="pct"/>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学习交通标识能够在陌生的环境中，快速找到正确的目的地，并对路面交通状况进行合理分配，提高道路通行能力，加强个人交通道路意识，减少交通事故。</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体验者通过触摸智能一体机屏中的交通标识，可进行标识认知动画学习，伴随对应标识灯箱开始闪烁。在学习过程中可进行答题测试环节，系统会随机抽取5个标识进行提问，答错后会提示正确标识灯箱进行闪烁，增加互动学习趣味。</w:t>
            </w:r>
          </w:p>
        </w:tc>
        <w:tc>
          <w:tcPr>
            <w:tcW w:w="1202"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心肺复苏救护训练</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心肺复苏模拟人</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成年男性整体人模型，解剖标志明显，头部可左右摆动，水平转动180°，高分子材质环保无污染，高仿真度皮肤触感。内置传感芯片，可监测按压力度、频率、位置；有气道。</w:t>
            </w:r>
          </w:p>
        </w:tc>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设备定期检修维护</w:t>
            </w:r>
            <w:r>
              <w:rPr>
                <w:rFonts w:hint="eastAsia" w:ascii="宋体" w:hAnsi="宋体" w:eastAsia="宋体" w:cs="宋体"/>
                <w:i w:val="0"/>
                <w:iCs w:val="0"/>
                <w:color w:val="auto"/>
                <w:kern w:val="0"/>
                <w:sz w:val="21"/>
                <w:szCs w:val="21"/>
                <w:u w:val="none"/>
                <w:lang w:val="en-US"/>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实时监测系统</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训练、考核、竞赛3种模式，全程电子监控多项指标，可视化数字监测结果，成绩报告和统计功能。</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智能一体机（壁挂）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42寸红外触摸屏、工控主板、128G硬盘、DDR3 4G内存、</w:t>
            </w:r>
            <w:r>
              <w:rPr>
                <w:rFonts w:hint="default" w:ascii="宋体" w:hAnsi="宋体" w:eastAsia="宋体" w:cs="宋体"/>
                <w:b w:val="0"/>
                <w:bCs w:val="0"/>
                <w:i w:val="0"/>
                <w:iCs w:val="0"/>
                <w:color w:val="auto"/>
                <w:kern w:val="0"/>
                <w:sz w:val="21"/>
                <w:szCs w:val="21"/>
                <w:highlight w:val="none"/>
                <w:vertAlign w:val="baseline"/>
                <w:lang w:val="en-US" w:eastAsia="zh-CN" w:bidi="ar-SA"/>
              </w:rPr>
              <w:t>intel i3 处理器</w:t>
            </w:r>
            <w:r>
              <w:rPr>
                <w:rFonts w:hint="eastAsia" w:ascii="宋体" w:hAnsi="宋体" w:eastAsia="宋体" w:cs="宋体"/>
                <w:i w:val="0"/>
                <w:iCs w:val="0"/>
                <w:color w:val="auto"/>
                <w:kern w:val="0"/>
                <w:sz w:val="21"/>
                <w:szCs w:val="21"/>
                <w:u w:val="none"/>
                <w:lang w:val="en-US" w:eastAsia="zh-CN"/>
              </w:rPr>
              <w:t>、集成显卡</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急救训练模拟人符合美国心脏协会 （AHA）心肺复苏（CPR）与心血管急救（ECC）指南标准要求；具有瞳孔变化、瞳孔对光反射、劲动脉搏动、气道开放等心肺复苏施救成功的判定标准。</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适用于大众普及训练和社会心肺复苏培训机构、医学院校、医院等单位进行心肺复苏训练、考核及竞赛使用。</w:t>
            </w:r>
          </w:p>
        </w:tc>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AED操作训练（带模拟人）</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项</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配件内容</w:t>
            </w:r>
          </w:p>
        </w:tc>
        <w:tc>
          <w:tcPr>
            <w:tcW w:w="1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参数</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rPr>
            </w:pPr>
            <w:r>
              <w:rPr>
                <w:rFonts w:hint="eastAsia" w:ascii="宋体" w:hAnsi="宋体" w:eastAsia="宋体" w:cs="宋体"/>
                <w:b/>
                <w:bCs/>
                <w:i w:val="0"/>
                <w:iCs w:val="0"/>
                <w:color w:val="auto"/>
                <w:kern w:val="0"/>
                <w:sz w:val="21"/>
                <w:szCs w:val="21"/>
                <w:u w:val="none"/>
                <w:lang w:val="en-US"/>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AED模拟训练机套装</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尺寸:160CM×36CM×26CM</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闭合式开关，开盖系统自动开启；数码显示操作模式；语音提示教学系统。</w:t>
            </w:r>
          </w:p>
        </w:tc>
        <w:tc>
          <w:tcPr>
            <w:tcW w:w="120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rPr>
            </w:pPr>
            <w:r>
              <w:rPr>
                <w:rFonts w:hint="default" w:ascii="宋体" w:hAnsi="宋体" w:eastAsia="宋体" w:cs="宋体"/>
                <w:i w:val="0"/>
                <w:iCs w:val="0"/>
                <w:color w:val="auto"/>
                <w:kern w:val="0"/>
                <w:sz w:val="21"/>
                <w:szCs w:val="21"/>
                <w:u w:val="none"/>
                <w:lang w:eastAsia="zh-CN"/>
              </w:rPr>
              <w:t>1、</w:t>
            </w:r>
            <w:r>
              <w:rPr>
                <w:rFonts w:hint="eastAsia" w:ascii="宋体" w:hAnsi="宋体" w:eastAsia="宋体" w:cs="宋体"/>
                <w:i w:val="0"/>
                <w:iCs w:val="0"/>
                <w:color w:val="auto"/>
                <w:kern w:val="0"/>
                <w:sz w:val="21"/>
                <w:szCs w:val="21"/>
                <w:u w:val="none"/>
                <w:lang w:val="en-US"/>
              </w:rPr>
              <w:t>操作培训</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2、</w:t>
            </w:r>
            <w:r>
              <w:rPr>
                <w:rFonts w:hint="eastAsia" w:ascii="宋体" w:hAnsi="宋体" w:eastAsia="宋体" w:cs="宋体"/>
                <w:i w:val="0"/>
                <w:iCs w:val="0"/>
                <w:color w:val="auto"/>
                <w:kern w:val="0"/>
                <w:sz w:val="21"/>
                <w:szCs w:val="21"/>
                <w:u w:val="none"/>
                <w:lang w:val="en-US"/>
              </w:rPr>
              <w:t>设备定期检修维护</w:t>
            </w:r>
            <w:r>
              <w:rPr>
                <w:rFonts w:hint="eastAsia" w:ascii="宋体" w:hAnsi="宋体" w:eastAsia="宋体" w:cs="宋体"/>
                <w:i w:val="0"/>
                <w:iCs w:val="0"/>
                <w:color w:val="auto"/>
                <w:kern w:val="0"/>
                <w:sz w:val="21"/>
                <w:szCs w:val="21"/>
                <w:u w:val="none"/>
                <w:lang w:val="en-US"/>
              </w:rPr>
              <w:br w:type="textWrapping"/>
            </w:r>
            <w:r>
              <w:rPr>
                <w:rFonts w:hint="default" w:ascii="宋体" w:hAnsi="宋体" w:eastAsia="宋体" w:cs="宋体"/>
                <w:i w:val="0"/>
                <w:iCs w:val="0"/>
                <w:color w:val="auto"/>
                <w:kern w:val="0"/>
                <w:sz w:val="21"/>
                <w:szCs w:val="21"/>
                <w:u w:val="none"/>
              </w:rPr>
              <w:t>3、</w:t>
            </w:r>
            <w:r>
              <w:rPr>
                <w:rFonts w:hint="eastAsia" w:ascii="宋体" w:hAnsi="宋体" w:eastAsia="宋体" w:cs="宋体"/>
                <w:i w:val="0"/>
                <w:iCs w:val="0"/>
                <w:color w:val="auto"/>
                <w:kern w:val="0"/>
                <w:sz w:val="21"/>
                <w:szCs w:val="21"/>
                <w:u w:val="none"/>
                <w:lang w:val="en-US"/>
              </w:rPr>
              <w:t>协助学校完成设备相关的场馆活动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电子除颤模拟人</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身长：75cm</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胸外按压，气道开放，人工呼吸，瞳孔对比</w:t>
            </w:r>
            <w:r>
              <w:rPr>
                <w:rFonts w:hint="eastAsia" w:ascii="宋体" w:hAnsi="宋体" w:cs="宋体"/>
                <w:i w:val="0"/>
                <w:iCs w:val="0"/>
                <w:color w:val="auto"/>
                <w:kern w:val="0"/>
                <w:sz w:val="21"/>
                <w:szCs w:val="21"/>
                <w:u w:val="none"/>
                <w:lang w:val="en-US" w:eastAsia="zh-CN"/>
              </w:rPr>
              <w:t>。</w:t>
            </w:r>
          </w:p>
        </w:tc>
        <w:tc>
          <w:tcPr>
            <w:tcW w:w="1202"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设计要求</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AED自动体外除颤仪（训练专用）使用于普通大众学习电子除颤，进行BLS（基础生命支持）教学、训练使用。通过训练操作，使学生熟悉BLS的急救过程和步骤，掌握AED（自动体外除颤仪）的使用方法。</w:t>
            </w:r>
          </w:p>
        </w:tc>
        <w:tc>
          <w:tcPr>
            <w:tcW w:w="120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p>
        </w:tc>
      </w:tr>
    </w:tbl>
    <w:p>
      <w:pPr>
        <w:pStyle w:val="2"/>
        <w:numPr>
          <w:ilvl w:val="0"/>
          <w:numId w:val="0"/>
        </w:numPr>
        <w:rPr>
          <w:rFonts w:hint="eastAsia" w:eastAsia="宋体" w:cs="宋体"/>
          <w:b/>
          <w:bCs/>
          <w:color w:val="auto"/>
          <w:sz w:val="21"/>
          <w:szCs w:val="21"/>
          <w:lang w:val="en-US"/>
        </w:rPr>
      </w:pPr>
    </w:p>
    <w:p>
      <w:pPr>
        <w:pStyle w:val="2"/>
        <w:numPr>
          <w:ilvl w:val="0"/>
          <w:numId w:val="1"/>
        </w:numPr>
        <w:ind w:left="0" w:leftChars="0" w:firstLine="0" w:firstLineChars="0"/>
        <w:rPr>
          <w:rFonts w:hint="eastAsia" w:eastAsia="宋体" w:cs="宋体"/>
          <w:b/>
          <w:bCs/>
          <w:color w:val="auto"/>
          <w:sz w:val="21"/>
          <w:szCs w:val="21"/>
          <w:lang w:val="en-US"/>
        </w:rPr>
      </w:pPr>
      <w:r>
        <w:rPr>
          <w:rFonts w:hint="eastAsia" w:eastAsia="宋体" w:cs="宋体"/>
          <w:b/>
          <w:bCs/>
          <w:color w:val="auto"/>
          <w:sz w:val="21"/>
          <w:szCs w:val="21"/>
          <w:lang w:val="en-US"/>
        </w:rPr>
        <w:t>安全文化建设清单</w:t>
      </w:r>
    </w:p>
    <w:tbl>
      <w:tblPr>
        <w:tblStyle w:val="3"/>
        <w:tblpPr w:leftFromText="180" w:rightFromText="180" w:vertAnchor="text" w:horzAnchor="page" w:tblpX="1558" w:tblpY="1857"/>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80"/>
        <w:gridCol w:w="499"/>
        <w:gridCol w:w="398"/>
        <w:gridCol w:w="626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both"/>
              <w:textAlignment w:val="top"/>
              <w:rPr>
                <w:rFonts w:hint="eastAsia" w:ascii="宋体" w:hAnsi="宋体" w:eastAsia="宋体" w:cs="宋体"/>
                <w:i w:val="0"/>
                <w:color w:val="auto"/>
                <w:kern w:val="0"/>
                <w:sz w:val="21"/>
                <w:szCs w:val="21"/>
                <w:u w:val="none"/>
                <w:lang w:val="en-US" w:eastAsia="zh-CN"/>
              </w:rPr>
            </w:pPr>
          </w:p>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体验中心定制接待台</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3"/>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规格：3000*1700*1000mm，L型定制免漆板接待台，10mm厚</w:t>
            </w:r>
            <w:r>
              <w:rPr>
                <w:rFonts w:hint="eastAsia" w:ascii="宋体" w:hAnsi="宋体" w:eastAsia="宋体" w:cs="宋体"/>
                <w:i w:val="0"/>
                <w:color w:val="auto"/>
                <w:kern w:val="0"/>
                <w:sz w:val="21"/>
                <w:szCs w:val="21"/>
                <w:u w:val="none"/>
                <w:lang w:val="en-US" w:eastAsia="zh-CN"/>
              </w:rPr>
              <w:t>高密度PVC板</w:t>
            </w:r>
            <w:r>
              <w:rPr>
                <w:rFonts w:hint="eastAsia" w:ascii="宋体" w:hAnsi="宋体" w:cs="宋体"/>
                <w:color w:val="auto"/>
                <w:sz w:val="21"/>
                <w:szCs w:val="21"/>
                <w:lang w:val="en-US" w:eastAsia="zh-CN"/>
              </w:rPr>
              <w:t>，接待台喷涂荧光色装饰线条。柜体满足组装两台电脑线孔位，电源位，带双排抽屉，并做储物柜体，带柜门含五金配件。2、</w:t>
            </w:r>
            <w:r>
              <w:rPr>
                <w:rFonts w:hint="eastAsia" w:ascii="宋体" w:hAnsi="宋体" w:eastAsia="宋体" w:cs="宋体"/>
                <w:i w:val="0"/>
                <w:color w:val="auto"/>
                <w:kern w:val="0"/>
                <w:sz w:val="21"/>
                <w:szCs w:val="21"/>
                <w:u w:val="none"/>
                <w:lang w:val="en-US" w:eastAsia="zh-CN"/>
              </w:rPr>
              <w:t>投标时提供相应的效果图</w:t>
            </w:r>
            <w:r>
              <w:rPr>
                <w:rFonts w:hint="eastAsia" w:ascii="宋体" w:hAnsi="宋体" w:cs="宋体"/>
                <w:i w:val="0"/>
                <w:color w:val="auto"/>
                <w:kern w:val="0"/>
                <w:sz w:val="21"/>
                <w:szCs w:val="21"/>
                <w:u w:val="none"/>
                <w:lang w:val="en-US" w:eastAsia="zh-CN"/>
              </w:rPr>
              <w:t>。</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2</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体验中心接待区定制背景墙</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1、规格：3000*2100*150mm</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2、材料：C75系列轻钢龙骨骨架，间距400mm，底面封九厘板，面封埃特板，批刮腻子两遍至平整，细砂纸均匀打磨，修补平整。整体刷涂环保艺术漆。   背景墙LOGO及标题文字20mm厚水晶字，颜色提供样板至采购方选定。                                                                                                                                                 ★3、投标时提供相应的效果图：整体效果图1张，具体内容展示8张。</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3</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cs="宋体"/>
                <w:color w:val="auto"/>
                <w:sz w:val="21"/>
                <w:szCs w:val="21"/>
                <w:lang w:val="en-US"/>
              </w:rPr>
            </w:pPr>
            <w:r>
              <w:rPr>
                <w:rFonts w:hint="eastAsia" w:ascii="宋体" w:hAnsi="宋体" w:cs="宋体"/>
                <w:color w:val="auto"/>
                <w:sz w:val="21"/>
                <w:szCs w:val="21"/>
                <w:lang w:val="en-US" w:eastAsia="zh-CN"/>
              </w:rPr>
              <w:t>前言及领导讲话展示板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1、规格：76000*2100*18mm</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2、材料工艺：要求设置标题及标语展示板，①18mm厚高密度PVC板；②木工雕刻机一次雕刻成型，手工精细打磨；③喷涂氟碳汽车金属漆两遍，耐人工气候老化，不起泡，不褪色，不脱落；总书记重要指示精神采用5mm厚透明亚克力背喷文字，底部垫10mm厚高密度PVC板。                                                                                                                                                 ★3、投标时提供相应的效果图：整体效果图1张，具体内容展示5张。</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4</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cs="宋体"/>
                <w:color w:val="auto"/>
                <w:sz w:val="21"/>
                <w:szCs w:val="21"/>
                <w:lang w:val="en-US"/>
              </w:rPr>
            </w:pPr>
            <w:r>
              <w:rPr>
                <w:rFonts w:hint="eastAsia" w:ascii="宋体" w:hAnsi="宋体" w:cs="宋体"/>
                <w:color w:val="auto"/>
                <w:sz w:val="21"/>
                <w:szCs w:val="21"/>
                <w:lang w:val="en-US" w:eastAsia="zh-CN"/>
              </w:rPr>
              <w:t>消防标识互动学习区定制展示板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1规格：6535*</w:t>
            </w:r>
            <w:r>
              <w:rPr>
                <w:rFonts w:hint="default" w:ascii="宋体" w:hAnsi="宋体" w:eastAsia="宋体" w:cs="宋体"/>
                <w:i w:val="0"/>
                <w:color w:val="auto"/>
                <w:kern w:val="0"/>
                <w:sz w:val="21"/>
                <w:szCs w:val="21"/>
                <w:u w:val="none"/>
                <w:lang w:val="en-US" w:eastAsia="zh-CN"/>
              </w:rPr>
              <w:t>2100</w:t>
            </w:r>
            <w:r>
              <w:rPr>
                <w:rFonts w:hint="eastAsia" w:ascii="宋体" w:hAnsi="宋体" w:eastAsia="宋体" w:cs="宋体"/>
                <w:i w:val="0"/>
                <w:color w:val="auto"/>
                <w:kern w:val="0"/>
                <w:sz w:val="21"/>
                <w:szCs w:val="21"/>
                <w:u w:val="none"/>
                <w:lang w:val="en-US" w:eastAsia="zh-CN"/>
              </w:rPr>
              <w:t>*100mm</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t xml:space="preserve">                                                                                                           2、材料工艺：C75系列轻钢龙骨骨架，间距400mm，底面封九厘板，面封埃特板。批刮腻子两遍至平整，细砂纸均匀打磨，修补平整。面喷涂环保艺术漆1底两面。 定制2400*1100*120mm地台， 3*3方通焊架面覆免漆板。                                                                                  3、装饰配件：1)PVC精工立体字8个（155*155*18mm）,2)PVC精工消防文化造型2组（2400*580*18mm；800*730*18mm），要求①18mm厚高密度PVC板；②木工雕刻机一次雕刻成型，手工精细打磨；③喷涂氟碳汽车金属漆两遍，耐人工气候老化，不起泡，不褪色，不脱落</w:t>
            </w:r>
            <w:r>
              <w:rPr>
                <w:rFonts w:hint="eastAsia" w:ascii="宋体" w:hAnsi="宋体" w:cs="宋体"/>
                <w:i w:val="0"/>
                <w:color w:val="auto"/>
                <w:kern w:val="0"/>
                <w:sz w:val="21"/>
                <w:szCs w:val="21"/>
                <w:u w:val="none"/>
                <w:lang w:val="en-US" w:eastAsia="zh-CN"/>
              </w:rPr>
              <w:t>。</w:t>
            </w:r>
          </w:p>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4、墙面配套满足电源插座配置，支持电子设备供电供网。                                                                                                                              ★5、投标时提供相应的效果图：正、背面效果图各1张</w:t>
            </w:r>
            <w:r>
              <w:rPr>
                <w:rFonts w:hint="eastAsia" w:ascii="宋体" w:hAnsi="宋体" w:cs="宋体"/>
                <w:i w:val="0"/>
                <w:color w:val="auto"/>
                <w:kern w:val="0"/>
                <w:sz w:val="21"/>
                <w:szCs w:val="21"/>
                <w:u w:val="none"/>
                <w:lang w:val="en-US" w:eastAsia="zh-CN"/>
              </w:rPr>
              <w:t>。</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5</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结绳知识学习区展示板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4"/>
              </w:numPr>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规格：1000*500*20mm*2套；500*280*20*6套。</w:t>
            </w:r>
          </w:p>
          <w:p>
            <w:pPr>
              <w:keepNext w:val="0"/>
              <w:keepLines w:val="0"/>
              <w:pageBreakBefore w:val="0"/>
              <w:widowControl/>
              <w:numPr>
                <w:ilvl w:val="0"/>
                <w:numId w:val="4"/>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 xml:space="preserve">材料工艺：C75系列轻钢龙骨骨架，间距400mm，底面封九厘板，面封埃特板，批刮腻子两遍至平整，细砂纸均匀打磨，修补平整。整体刷涂环保艺术漆。 要求设置标题及标语展示板，①18mm厚高密度PVC板；②木工雕刻机一次雕刻成型，手工精细打磨；③喷涂氟碳汽车金属漆两遍，耐人工气候老化，不起泡，不褪色，不脱落；总书记重要指示精神采用5mm厚透明亚克力背喷文字，底部垫10mm厚高密度PVC板。  </w:t>
            </w:r>
          </w:p>
          <w:p>
            <w:pPr>
              <w:keepNext w:val="0"/>
              <w:keepLines w:val="0"/>
              <w:pageBreakBefore w:val="0"/>
              <w:widowControl/>
              <w:numPr>
                <w:ilvl w:val="0"/>
                <w:numId w:val="4"/>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 xml:space="preserve">墙面配套满足电源插座配置，支持电子设备供电供网。          </w:t>
            </w:r>
            <w:r>
              <w:rPr>
                <w:rFonts w:hint="eastAsia" w:ascii="宋体" w:hAnsi="宋体" w:eastAsia="宋体" w:cs="宋体"/>
                <w:i w:val="0"/>
                <w:color w:val="auto"/>
                <w:kern w:val="0"/>
                <w:sz w:val="21"/>
                <w:szCs w:val="21"/>
                <w:u w:val="none"/>
                <w:lang w:val="en-US" w:eastAsia="zh-CN"/>
              </w:rPr>
              <w:br w:type="textWrapping"/>
            </w:r>
            <w:r>
              <w:rPr>
                <w:rFonts w:hint="eastAsia" w:ascii="宋体" w:hAnsi="宋体" w:eastAsia="宋体" w:cs="宋体"/>
                <w:i w:val="0"/>
                <w:color w:val="auto"/>
                <w:kern w:val="0"/>
                <w:sz w:val="21"/>
                <w:szCs w:val="21"/>
                <w:u w:val="none"/>
                <w:lang w:val="en-US" w:eastAsia="zh-CN"/>
              </w:rPr>
              <w:t>★4、投标时提供相应的效果图：整体效果图1张。</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整体效果图1张。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6</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cs="宋体"/>
                <w:color w:val="auto"/>
                <w:sz w:val="21"/>
                <w:szCs w:val="21"/>
                <w:lang w:val="en-US"/>
              </w:rPr>
            </w:pPr>
            <w:r>
              <w:rPr>
                <w:rFonts w:hint="eastAsia" w:ascii="宋体" w:hAnsi="宋体" w:eastAsia="宋体" w:cs="宋体"/>
                <w:i w:val="0"/>
                <w:color w:val="auto"/>
                <w:kern w:val="0"/>
                <w:sz w:val="21"/>
                <w:szCs w:val="21"/>
                <w:u w:val="none"/>
                <w:lang w:val="en-US" w:eastAsia="zh-CN"/>
              </w:rPr>
              <w:t>地震逃生漫画展示板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5"/>
              </w:numPr>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规格：3837*2550*100mm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5"/>
              </w:numPr>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材料工艺：C75系列轻钢龙骨骨架，间距400mm，底面封九厘板，面封埃特板。批刮腻子两遍至平整，细砂纸均匀打磨，修补平整。面喷涂环保漆1底两面。 </w:t>
            </w:r>
          </w:p>
          <w:p>
            <w:pPr>
              <w:keepNext w:val="0"/>
              <w:keepLines w:val="0"/>
              <w:pageBreakBefore w:val="0"/>
              <w:widowControl/>
              <w:numPr>
                <w:ilvl w:val="0"/>
                <w:numId w:val="5"/>
              </w:numPr>
              <w:suppressLineNumbers w:val="0"/>
              <w:kinsoku/>
              <w:wordWrap/>
              <w:overflowPunct/>
              <w:topLinePunct w:val="0"/>
              <w:bidi w:val="0"/>
              <w:snapToGrid/>
              <w:spacing w:line="240" w:lineRule="atLeast"/>
              <w:ind w:left="0" w:leftChars="0" w:firstLine="0" w:firstLineChars="0"/>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装饰配件：18mm厚高密度PVC板， 3067*1132*18mm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0"/>
              </w:numPr>
              <w:suppressLineNumbers w:val="0"/>
              <w:kinsoku/>
              <w:wordWrap/>
              <w:overflowPunct/>
              <w:topLinePunct w:val="0"/>
              <w:bidi w:val="0"/>
              <w:snapToGrid/>
              <w:spacing w:line="240" w:lineRule="atLeast"/>
              <w:ind w:leftChars="0"/>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 xml:space="preserve">★4、投标时提供相应的效果图：整体效果图1张。                                           </w:t>
            </w:r>
          </w:p>
        </w:tc>
        <w:tc>
          <w:tcPr>
            <w:tcW w:w="1110" w:type="dxa"/>
          </w:tcPr>
          <w:p>
            <w:pPr>
              <w:keepNext w:val="0"/>
              <w:keepLines w:val="0"/>
              <w:pageBreakBefore w:val="0"/>
              <w:kinsoku/>
              <w:wordWrap/>
              <w:overflowPunct/>
              <w:topLinePunct w:val="0"/>
              <w:bidi w:val="0"/>
              <w:snapToGrid/>
              <w:spacing w:line="240" w:lineRule="atLeast"/>
              <w:jc w:val="center"/>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7</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cs="宋体"/>
                <w:color w:val="auto"/>
                <w:sz w:val="21"/>
                <w:szCs w:val="21"/>
                <w:lang w:val="en-US"/>
              </w:rPr>
            </w:pPr>
            <w:r>
              <w:rPr>
                <w:rFonts w:hint="eastAsia" w:ascii="宋体" w:hAnsi="宋体" w:eastAsia="宋体" w:cs="宋体"/>
                <w:i w:val="0"/>
                <w:color w:val="auto"/>
                <w:kern w:val="0"/>
                <w:sz w:val="21"/>
                <w:szCs w:val="21"/>
                <w:u w:val="none"/>
                <w:lang w:val="en-US" w:eastAsia="zh-CN"/>
              </w:rPr>
              <w:t>学生宿舍安全隐患排查展示板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6"/>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规格：5420*3200mm</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t xml:space="preserve">                                                       2、材料工艺：C75系列轻钢龙骨骨架，间距400mm，底面封九厘板，面封埃特板。批刮腻子两遍至平整，细砂纸均匀打磨，修补平整。面喷涂环保艺术漆1底两面。墙面配套满足电源插座配置，支持电子设备供电供网。</w:t>
            </w:r>
          </w:p>
          <w:p>
            <w:pPr>
              <w:keepNext w:val="0"/>
              <w:keepLines w:val="0"/>
              <w:pageBreakBefore w:val="0"/>
              <w:widowControl/>
              <w:numPr>
                <w:ilvl w:val="0"/>
                <w:numId w:val="0"/>
              </w:numPr>
              <w:suppressLineNumbers w:val="0"/>
              <w:kinsoku/>
              <w:wordWrap/>
              <w:overflowPunct/>
              <w:topLinePunct w:val="0"/>
              <w:bidi w:val="0"/>
              <w:snapToGrid/>
              <w:spacing w:line="240" w:lineRule="atLeast"/>
              <w:ind w:leftChars="0"/>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3、装饰配件：1)PVC精工立体字16个（155*155*18mm）,2）展示栏1000*750*18mm2套。  </w:t>
            </w:r>
          </w:p>
          <w:p>
            <w:pPr>
              <w:keepNext w:val="0"/>
              <w:keepLines w:val="0"/>
              <w:pageBreakBefore w:val="0"/>
              <w:widowControl/>
              <w:numPr>
                <w:ilvl w:val="0"/>
                <w:numId w:val="0"/>
              </w:numPr>
              <w:suppressLineNumbers w:val="0"/>
              <w:kinsoku/>
              <w:wordWrap/>
              <w:overflowPunct/>
              <w:topLinePunct w:val="0"/>
              <w:bidi w:val="0"/>
              <w:snapToGrid/>
              <w:spacing w:line="240" w:lineRule="atLeast"/>
              <w:ind w:leftChars="0"/>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 xml:space="preserve">★4、投标时提供相应的效果图：整体效果图1张。      </w:t>
            </w:r>
          </w:p>
        </w:tc>
        <w:tc>
          <w:tcPr>
            <w:tcW w:w="1110" w:type="dxa"/>
          </w:tcPr>
          <w:p>
            <w:pPr>
              <w:keepNext w:val="0"/>
              <w:keepLines w:val="0"/>
              <w:pageBreakBefore w:val="0"/>
              <w:kinsoku/>
              <w:wordWrap/>
              <w:overflowPunct/>
              <w:topLinePunct w:val="0"/>
              <w:bidi w:val="0"/>
              <w:snapToGrid/>
              <w:spacing w:line="240" w:lineRule="atLeast"/>
              <w:jc w:val="center"/>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cs="宋体"/>
                <w:color w:val="auto"/>
                <w:sz w:val="21"/>
                <w:szCs w:val="21"/>
              </w:rPr>
            </w:pPr>
            <w:r>
              <w:rPr>
                <w:rFonts w:hint="default" w:ascii="宋体" w:hAnsi="宋体" w:cs="宋体"/>
                <w:color w:val="auto"/>
                <w:sz w:val="21"/>
                <w:szCs w:val="21"/>
              </w:rPr>
              <w:t>8</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cs="宋体"/>
                <w:color w:val="auto"/>
                <w:sz w:val="21"/>
                <w:szCs w:val="21"/>
                <w:lang w:val="en-US"/>
              </w:rPr>
            </w:pPr>
            <w:r>
              <w:rPr>
                <w:rFonts w:hint="eastAsia" w:ascii="宋体" w:hAnsi="宋体" w:eastAsia="宋体" w:cs="宋体"/>
                <w:i w:val="0"/>
                <w:color w:val="auto"/>
                <w:kern w:val="0"/>
                <w:sz w:val="21"/>
                <w:szCs w:val="21"/>
                <w:u w:val="none"/>
                <w:lang w:val="en-US" w:eastAsia="zh-CN"/>
              </w:rPr>
              <w:t>AED操作训练展示板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7"/>
              </w:numPr>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规格：3200*2100mm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7"/>
              </w:numPr>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材料：18mm厚高密度PVC精工立体字6个（155*155*18mm）,2）展示栏1000*750*18mm2套，喷涂氟碳汽车漆一底一面，不起泡，不褪色，不脱落。</w:t>
            </w:r>
          </w:p>
          <w:p>
            <w:pPr>
              <w:keepNext w:val="0"/>
              <w:keepLines w:val="0"/>
              <w:pageBreakBefore w:val="0"/>
              <w:widowControl/>
              <w:numPr>
                <w:ilvl w:val="0"/>
                <w:numId w:val="7"/>
              </w:numPr>
              <w:suppressLineNumbers w:val="0"/>
              <w:kinsoku/>
              <w:wordWrap/>
              <w:overflowPunct/>
              <w:topLinePunct w:val="0"/>
              <w:bidi w:val="0"/>
              <w:snapToGrid/>
              <w:spacing w:after="240" w:afterAutospacing="0"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装饰配件：1)PVC精工立体字7个（155*155*18mm）,2）展示栏1000*750*18mm2套。                                                                                                                                                  ★4、投标时提供相应的效果图：整体效果图1张。</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color w:val="auto"/>
                <w:sz w:val="21"/>
                <w:szCs w:val="21"/>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9</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心脏复苏救护训练展示板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8"/>
              </w:numPr>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规格：3400*2100mm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8"/>
              </w:numPr>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材料：18mm厚高密度PVC精工立体字6个（155*155*18mm）,2）展示栏1000*750*18mm2套，喷涂氟碳汽车漆一底一面，不起泡，不褪色，不脱落。</w:t>
            </w:r>
          </w:p>
          <w:p>
            <w:pPr>
              <w:keepNext w:val="0"/>
              <w:keepLines w:val="0"/>
              <w:pageBreakBefore w:val="0"/>
              <w:widowControl/>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3、装饰配件：1)PVC精工立体字7个（155*155*18mm）,2）展示栏1000*750*18mm2套。                                                                                                                                                  ★4、投标时提供相应的效果图：整体效果图1张。</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10</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安全知识竞赛</w:t>
            </w:r>
            <w:r>
              <w:rPr>
                <w:rFonts w:hint="eastAsia" w:ascii="宋体" w:hAnsi="宋体" w:eastAsia="宋体" w:cs="宋体"/>
                <w:i w:val="0"/>
                <w:color w:val="auto"/>
                <w:kern w:val="0"/>
                <w:sz w:val="21"/>
                <w:szCs w:val="21"/>
                <w:u w:val="none"/>
                <w:lang w:val="en-US"/>
              </w:rPr>
              <w:t>区</w:t>
            </w:r>
            <w:r>
              <w:rPr>
                <w:rFonts w:hint="eastAsia" w:ascii="宋体" w:hAnsi="宋体" w:eastAsia="宋体" w:cs="宋体"/>
                <w:i w:val="0"/>
                <w:color w:val="auto"/>
                <w:kern w:val="0"/>
                <w:sz w:val="21"/>
                <w:szCs w:val="21"/>
                <w:u w:val="none"/>
                <w:lang w:val="en-US" w:eastAsia="zh-CN"/>
              </w:rPr>
              <w:t>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0"/>
              </w:numPr>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1规格：7600*2100*100mm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0"/>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2材料工艺：C75系列轻钢龙骨骨架，间距400mm，底面封九厘板，面封埃特板。批刮腻子两遍至平整，细砂纸均匀打磨，修补平整。面喷涂环保艺术漆1底两面。墙面配套满足电源插座配置，支持电子设备供电供网。</w:t>
            </w:r>
          </w:p>
          <w:p>
            <w:pPr>
              <w:keepNext w:val="0"/>
              <w:keepLines w:val="0"/>
              <w:pageBreakBefore w:val="0"/>
              <w:widowControl/>
              <w:numPr>
                <w:ilvl w:val="0"/>
                <w:numId w:val="0"/>
              </w:numPr>
              <w:suppressLineNumbers w:val="0"/>
              <w:kinsoku/>
              <w:wordWrap/>
              <w:overflowPunct/>
              <w:topLinePunct w:val="0"/>
              <w:bidi w:val="0"/>
              <w:snapToGrid/>
              <w:spacing w:line="240" w:lineRule="atLeast"/>
              <w:ind w:leftChars="0"/>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3、装饰配件：1)PVC精工立体字7个（155*155*18mm）,2）展示栏1000*750*18mm2套。  </w:t>
            </w:r>
          </w:p>
          <w:p>
            <w:pPr>
              <w:keepNext w:val="0"/>
              <w:keepLines w:val="0"/>
              <w:pageBreakBefore w:val="0"/>
              <w:widowControl/>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★4、投标时提供相应的效果图：整体效果图1张。    </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11</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交通标志互动学习展示板</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0"/>
              </w:numPr>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1规格：2125*2550*100mm</w:t>
            </w:r>
            <w:r>
              <w:rPr>
                <w:rFonts w:hint="eastAsia" w:ascii="宋体" w:hAnsi="宋体" w:cs="宋体"/>
                <w:i w:val="0"/>
                <w:color w:val="auto"/>
                <w:kern w:val="0"/>
                <w:sz w:val="21"/>
                <w:szCs w:val="21"/>
                <w:u w:val="none"/>
                <w:lang w:val="en-US" w:eastAsia="zh-CN"/>
              </w:rPr>
              <w:t>。</w:t>
            </w:r>
            <w:r>
              <w:rPr>
                <w:rFonts w:hint="eastAsia" w:ascii="宋体" w:hAnsi="宋体" w:eastAsia="宋体" w:cs="宋体"/>
                <w:i w:val="0"/>
                <w:color w:val="auto"/>
                <w:kern w:val="0"/>
                <w:sz w:val="21"/>
                <w:szCs w:val="21"/>
                <w:u w:val="none"/>
                <w:lang w:val="en-US" w:eastAsia="zh-CN"/>
              </w:rPr>
              <w:t xml:space="preserve"> </w:t>
            </w:r>
          </w:p>
          <w:p>
            <w:pPr>
              <w:keepNext w:val="0"/>
              <w:keepLines w:val="0"/>
              <w:pageBreakBefore w:val="0"/>
              <w:widowControl/>
              <w:numPr>
                <w:ilvl w:val="0"/>
                <w:numId w:val="0"/>
              </w:numPr>
              <w:suppressLineNumbers w:val="0"/>
              <w:kinsoku/>
              <w:wordWrap/>
              <w:overflowPunct/>
              <w:topLinePunct w:val="0"/>
              <w:bidi w:val="0"/>
              <w:snapToGrid/>
              <w:spacing w:line="240" w:lineRule="atLeast"/>
              <w:jc w:val="left"/>
              <w:textAlignment w:val="top"/>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rPr>
              <w:t>2材料工艺：C75系列轻钢龙骨骨架，间距400mm，底面封九厘板，面封埃特板。批刮腻子两遍至平整，细砂纸均匀打磨，修补平整。面喷涂环保艺术漆1底两面。墙面配套满足电源插座配置，支持电子设备供电供网。</w:t>
            </w:r>
          </w:p>
          <w:p>
            <w:pPr>
              <w:keepNext w:val="0"/>
              <w:keepLines w:val="0"/>
              <w:pageBreakBefore w:val="0"/>
              <w:widowControl/>
              <w:numPr>
                <w:ilvl w:val="0"/>
                <w:numId w:val="0"/>
              </w:numPr>
              <w:suppressLineNumbers w:val="0"/>
              <w:kinsoku/>
              <w:wordWrap/>
              <w:overflowPunct/>
              <w:topLinePunct w:val="0"/>
              <w:bidi w:val="0"/>
              <w:snapToGrid/>
              <w:spacing w:line="240" w:lineRule="atLeast"/>
              <w:ind w:leftChars="0"/>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3、装饰配件：1)PVC精工立体字8个（155*155*18mm）。  </w:t>
            </w:r>
          </w:p>
          <w:p>
            <w:pPr>
              <w:keepNext w:val="0"/>
              <w:keepLines w:val="0"/>
              <w:pageBreakBefore w:val="0"/>
              <w:widowControl/>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 xml:space="preserve">★4、投标时提供相应的效果图：整体效果图1张。  </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12</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体验中心定制门口竖牌</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numPr>
                <w:ilvl w:val="0"/>
                <w:numId w:val="9"/>
              </w:numPr>
              <w:suppressLineNumbers w:val="0"/>
              <w:kinsoku/>
              <w:wordWrap/>
              <w:overflowPunct/>
              <w:topLinePunct w:val="0"/>
              <w:bidi w:val="0"/>
              <w:snapToGrid/>
              <w:spacing w:after="240" w:afterAutospacing="0" w:line="240" w:lineRule="atLeast"/>
              <w:jc w:val="left"/>
              <w:textAlignment w:val="top"/>
              <w:rPr>
                <w:rFonts w:hint="eastAsia"/>
                <w:color w:val="auto"/>
                <w:sz w:val="21"/>
                <w:szCs w:val="21"/>
                <w:lang w:val="en-US" w:eastAsia="zh-CN"/>
              </w:rPr>
            </w:pPr>
            <w:r>
              <w:rPr>
                <w:rFonts w:hint="eastAsia"/>
                <w:color w:val="auto"/>
                <w:sz w:val="21"/>
                <w:szCs w:val="21"/>
                <w:lang w:val="en-US" w:eastAsia="zh-CN"/>
              </w:rPr>
              <w:t>规格：3091*2550*100mm。</w:t>
            </w:r>
          </w:p>
          <w:p>
            <w:pPr>
              <w:keepNext w:val="0"/>
              <w:keepLines w:val="0"/>
              <w:pageBreakBefore w:val="0"/>
              <w:widowControl/>
              <w:numPr>
                <w:ilvl w:val="0"/>
                <w:numId w:val="9"/>
              </w:numPr>
              <w:suppressLineNumbers w:val="0"/>
              <w:kinsoku/>
              <w:wordWrap/>
              <w:overflowPunct/>
              <w:topLinePunct w:val="0"/>
              <w:bidi w:val="0"/>
              <w:snapToGrid/>
              <w:spacing w:after="240" w:afterAutospacing="0" w:line="240" w:lineRule="atLeast"/>
              <w:jc w:val="left"/>
              <w:textAlignment w:val="top"/>
              <w:rPr>
                <w:rFonts w:hint="default"/>
                <w:color w:val="auto"/>
                <w:sz w:val="21"/>
                <w:szCs w:val="21"/>
                <w:lang w:val="en-US" w:eastAsia="zh-CN"/>
              </w:rPr>
            </w:pPr>
            <w:r>
              <w:rPr>
                <w:rFonts w:hint="eastAsia"/>
                <w:color w:val="auto"/>
                <w:sz w:val="21"/>
                <w:szCs w:val="21"/>
                <w:lang w:val="en-US" w:eastAsia="zh-CN"/>
              </w:rPr>
              <w:t>1.0厚红绣铁腐蚀喷漆，围边20mm厚，5mm厚亚克力板背印LOGO。</w:t>
            </w:r>
          </w:p>
          <w:p>
            <w:pPr>
              <w:pStyle w:val="6"/>
              <w:keepNext w:val="0"/>
              <w:keepLines w:val="0"/>
              <w:pageBreakBefore w:val="0"/>
              <w:kinsoku/>
              <w:wordWrap/>
              <w:overflowPunct/>
              <w:topLinePunct w:val="0"/>
              <w:bidi w:val="0"/>
              <w:snapToGrid/>
              <w:spacing w:line="240" w:lineRule="atLeast"/>
              <w:rPr>
                <w:rFonts w:hint="default"/>
                <w:color w:val="auto"/>
                <w:sz w:val="21"/>
                <w:szCs w:val="21"/>
                <w:lang w:val="en-US" w:eastAsia="zh-CN"/>
              </w:rPr>
            </w:pPr>
            <w:r>
              <w:rPr>
                <w:rFonts w:hint="eastAsia" w:ascii="宋体" w:hAnsi="宋体" w:eastAsia="宋体" w:cs="宋体"/>
                <w:i w:val="0"/>
                <w:color w:val="auto"/>
                <w:kern w:val="0"/>
                <w:sz w:val="21"/>
                <w:szCs w:val="21"/>
                <w:u w:val="none"/>
                <w:lang w:val="en-US" w:eastAsia="zh-CN"/>
              </w:rPr>
              <w:t>★</w:t>
            </w:r>
            <w:r>
              <w:rPr>
                <w:rFonts w:hint="eastAsia" w:ascii="宋体" w:hAnsi="宋体" w:cs="宋体"/>
                <w:i w:val="0"/>
                <w:color w:val="auto"/>
                <w:kern w:val="0"/>
                <w:sz w:val="21"/>
                <w:szCs w:val="21"/>
                <w:u w:val="none"/>
                <w:lang w:val="en-US" w:eastAsia="zh-CN"/>
              </w:rPr>
              <w:t>3</w:t>
            </w:r>
            <w:r>
              <w:rPr>
                <w:rFonts w:hint="eastAsia" w:ascii="宋体" w:hAnsi="宋体" w:eastAsia="宋体" w:cs="宋体"/>
                <w:i w:val="0"/>
                <w:color w:val="auto"/>
                <w:kern w:val="0"/>
                <w:sz w:val="21"/>
                <w:szCs w:val="21"/>
                <w:u w:val="none"/>
                <w:lang w:val="en-US" w:eastAsia="zh-CN"/>
              </w:rPr>
              <w:t xml:space="preserve">、投标时提供相应的效果图：整体效果图1张。  </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效果图1张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13</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体验中心玻璃防撞条</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keepNext w:val="0"/>
              <w:keepLines w:val="0"/>
              <w:pageBreakBefore w:val="0"/>
              <w:widowControl/>
              <w:suppressLineNumbers w:val="0"/>
              <w:kinsoku/>
              <w:wordWrap/>
              <w:overflowPunct/>
              <w:topLinePunct w:val="0"/>
              <w:bidi w:val="0"/>
              <w:snapToGrid/>
              <w:spacing w:after="240" w:afterAutospacing="0"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28米长，120mm高不干胶防撞条。</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14</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体验中心整体天花板喷涂环保艺术漆</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6262" w:type="dxa"/>
          </w:tcPr>
          <w:p>
            <w:pPr>
              <w:keepNext w:val="0"/>
              <w:keepLines w:val="0"/>
              <w:pageBreakBefore w:val="0"/>
              <w:widowControl/>
              <w:numPr>
                <w:ilvl w:val="0"/>
                <w:numId w:val="10"/>
              </w:numPr>
              <w:suppressLineNumbers w:val="0"/>
              <w:kinsoku/>
              <w:wordWrap/>
              <w:overflowPunct/>
              <w:topLinePunct w:val="0"/>
              <w:bidi w:val="0"/>
              <w:snapToGrid/>
              <w:spacing w:after="240" w:afterAutospacing="0"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规格：21500*11300mm</w:t>
            </w:r>
            <w:r>
              <w:rPr>
                <w:rFonts w:hint="eastAsia" w:ascii="宋体" w:hAnsi="宋体" w:cs="宋体"/>
                <w:i w:val="0"/>
                <w:color w:val="auto"/>
                <w:kern w:val="0"/>
                <w:sz w:val="21"/>
                <w:szCs w:val="21"/>
                <w:u w:val="none"/>
                <w:lang w:val="en-US" w:eastAsia="zh-CN"/>
              </w:rPr>
              <w:t>。</w:t>
            </w:r>
          </w:p>
          <w:p>
            <w:pPr>
              <w:keepNext w:val="0"/>
              <w:keepLines w:val="0"/>
              <w:pageBreakBefore w:val="0"/>
              <w:widowControl/>
              <w:numPr>
                <w:ilvl w:val="0"/>
                <w:numId w:val="10"/>
              </w:numPr>
              <w:suppressLineNumbers w:val="0"/>
              <w:kinsoku/>
              <w:wordWrap/>
              <w:overflowPunct/>
              <w:topLinePunct w:val="0"/>
              <w:bidi w:val="0"/>
              <w:snapToGrid/>
              <w:spacing w:after="240" w:afterAutospacing="0"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喷涂一底一面深灰色环保艺术漆</w:t>
            </w:r>
            <w:r>
              <w:rPr>
                <w:rFonts w:hint="eastAsia" w:ascii="宋体" w:hAnsi="宋体" w:cs="宋体"/>
                <w:i w:val="0"/>
                <w:color w:val="auto"/>
                <w:kern w:val="0"/>
                <w:sz w:val="21"/>
                <w:szCs w:val="21"/>
                <w:u w:val="none"/>
                <w:lang w:val="en-US" w:eastAsia="zh-CN"/>
              </w:rPr>
              <w:t>。</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15</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体验中心整体立面喷涂环保艺术漆</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6262" w:type="dxa"/>
          </w:tcPr>
          <w:p>
            <w:pPr>
              <w:pStyle w:val="6"/>
              <w:keepNext w:val="0"/>
              <w:keepLines w:val="0"/>
              <w:pageBreakBefore w:val="0"/>
              <w:numPr>
                <w:ilvl w:val="0"/>
                <w:numId w:val="0"/>
              </w:numPr>
              <w:kinsoku/>
              <w:wordWrap/>
              <w:overflowPunct/>
              <w:topLinePunct w:val="0"/>
              <w:bidi w:val="0"/>
              <w:snapToGrid/>
              <w:spacing w:line="240" w:lineRule="atLeast"/>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1、体验中心喷涂200mm高红色、蓝色线条艺术漆。</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eastAsia="zh-CN"/>
              </w:rPr>
            </w:pPr>
            <w:r>
              <w:rPr>
                <w:rFonts w:hint="default" w:ascii="宋体" w:hAnsi="宋体" w:eastAsia="宋体" w:cs="宋体"/>
                <w:i w:val="0"/>
                <w:color w:val="auto"/>
                <w:kern w:val="0"/>
                <w:sz w:val="21"/>
                <w:szCs w:val="21"/>
                <w:u w:val="none"/>
                <w:lang w:eastAsia="zh-CN"/>
              </w:rPr>
              <w:t>16</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体验中心安装展示板照明灯光</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w:t>
            </w: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套</w:t>
            </w:r>
          </w:p>
        </w:tc>
        <w:tc>
          <w:tcPr>
            <w:tcW w:w="6262" w:type="dxa"/>
          </w:tcPr>
          <w:p>
            <w:pPr>
              <w:pStyle w:val="6"/>
              <w:keepNext w:val="0"/>
              <w:keepLines w:val="0"/>
              <w:pageBreakBefore w:val="0"/>
              <w:numPr>
                <w:ilvl w:val="0"/>
                <w:numId w:val="11"/>
              </w:numPr>
              <w:kinsoku/>
              <w:wordWrap/>
              <w:overflowPunct/>
              <w:topLinePunct w:val="0"/>
              <w:bidi w:val="0"/>
              <w:snapToGrid/>
              <w:spacing w:line="240" w:lineRule="atLeast"/>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宣传展板照明电路改造（明线改暗线、增设辅助灯光及音响装置电源及开关、空调等电源）</w:t>
            </w:r>
            <w:r>
              <w:rPr>
                <w:rFonts w:hint="eastAsia" w:ascii="宋体" w:hAnsi="宋体" w:cs="宋体"/>
                <w:i w:val="0"/>
                <w:color w:val="auto"/>
                <w:kern w:val="0"/>
                <w:sz w:val="21"/>
                <w:szCs w:val="21"/>
                <w:u w:val="none"/>
                <w:lang w:val="en-US" w:eastAsia="zh-CN"/>
              </w:rPr>
              <w:t>。</w:t>
            </w:r>
          </w:p>
          <w:p>
            <w:pPr>
              <w:pStyle w:val="6"/>
              <w:keepNext w:val="0"/>
              <w:keepLines w:val="0"/>
              <w:pageBreakBefore w:val="0"/>
              <w:numPr>
                <w:ilvl w:val="0"/>
                <w:numId w:val="11"/>
              </w:numPr>
              <w:kinsoku/>
              <w:wordWrap/>
              <w:overflowPunct/>
              <w:topLinePunct w:val="0"/>
              <w:bidi w:val="0"/>
              <w:snapToGrid/>
              <w:spacing w:line="240" w:lineRule="atLeast"/>
              <w:rPr>
                <w:rFonts w:hint="default" w:ascii="宋体" w:hAnsi="宋体" w:eastAsia="宋体" w:cs="宋体"/>
                <w:i w:val="0"/>
                <w:color w:val="auto"/>
                <w:kern w:val="0"/>
                <w:sz w:val="21"/>
                <w:szCs w:val="21"/>
                <w:u w:val="none"/>
                <w:lang w:val="en-US" w:eastAsia="zh-CN"/>
              </w:rPr>
            </w:pPr>
            <w:r>
              <w:rPr>
                <w:rFonts w:hint="default" w:ascii="宋体" w:hAnsi="宋体" w:eastAsia="宋体" w:cs="宋体"/>
                <w:i w:val="0"/>
                <w:color w:val="auto"/>
                <w:kern w:val="0"/>
                <w:sz w:val="21"/>
                <w:szCs w:val="21"/>
                <w:u w:val="none"/>
                <w:lang w:val="en-US" w:eastAsia="zh-CN"/>
              </w:rPr>
              <w:t>采购形象墙、设备、空调、灯光装置等开关插座</w:t>
            </w:r>
            <w:r>
              <w:rPr>
                <w:rFonts w:hint="eastAsia" w:ascii="宋体" w:hAnsi="宋体" w:cs="宋体"/>
                <w:i w:val="0"/>
                <w:color w:val="auto"/>
                <w:kern w:val="0"/>
                <w:sz w:val="21"/>
                <w:szCs w:val="21"/>
                <w:u w:val="none"/>
                <w:lang w:val="en-US" w:eastAsia="zh-CN"/>
              </w:rPr>
              <w:t>。</w:t>
            </w:r>
          </w:p>
          <w:p>
            <w:pPr>
              <w:pStyle w:val="6"/>
              <w:keepNext w:val="0"/>
              <w:keepLines w:val="0"/>
              <w:pageBreakBefore w:val="0"/>
              <w:numPr>
                <w:ilvl w:val="0"/>
                <w:numId w:val="11"/>
              </w:numPr>
              <w:kinsoku/>
              <w:wordWrap/>
              <w:overflowPunct/>
              <w:topLinePunct w:val="0"/>
              <w:bidi w:val="0"/>
              <w:snapToGrid/>
              <w:spacing w:line="240" w:lineRule="atLeast"/>
              <w:rPr>
                <w:rFonts w:hint="default" w:ascii="宋体" w:hAnsi="宋体" w:eastAsia="宋体" w:cs="宋体"/>
                <w:i w:val="0"/>
                <w:color w:val="auto"/>
                <w:kern w:val="0"/>
                <w:sz w:val="21"/>
                <w:szCs w:val="21"/>
                <w:u w:val="none"/>
                <w:lang w:val="en-US" w:eastAsia="zh-CN"/>
              </w:rPr>
            </w:pPr>
            <w:r>
              <w:rPr>
                <w:rFonts w:hint="default" w:ascii="宋体" w:hAnsi="宋体" w:eastAsia="宋体" w:cs="宋体"/>
                <w:i w:val="0"/>
                <w:color w:val="auto"/>
                <w:kern w:val="0"/>
                <w:sz w:val="21"/>
                <w:szCs w:val="21"/>
                <w:u w:val="none"/>
                <w:lang w:val="en-US" w:eastAsia="zh-CN"/>
              </w:rPr>
              <w:t>定购装饰吊顶灯</w:t>
            </w:r>
            <w:r>
              <w:rPr>
                <w:rFonts w:hint="eastAsia" w:ascii="宋体" w:hAnsi="宋体" w:cs="宋体"/>
                <w:i w:val="0"/>
                <w:color w:val="auto"/>
                <w:kern w:val="0"/>
                <w:sz w:val="21"/>
                <w:szCs w:val="21"/>
                <w:u w:val="none"/>
                <w:lang w:val="en-US" w:eastAsia="zh-CN"/>
              </w:rPr>
              <w:t>。</w:t>
            </w:r>
          </w:p>
          <w:p>
            <w:pPr>
              <w:pStyle w:val="6"/>
              <w:keepNext w:val="0"/>
              <w:keepLines w:val="0"/>
              <w:pageBreakBefore w:val="0"/>
              <w:numPr>
                <w:ilvl w:val="0"/>
                <w:numId w:val="11"/>
              </w:numPr>
              <w:kinsoku/>
              <w:wordWrap/>
              <w:overflowPunct/>
              <w:topLinePunct w:val="0"/>
              <w:bidi w:val="0"/>
              <w:snapToGrid/>
              <w:spacing w:line="240" w:lineRule="atLeast"/>
              <w:rPr>
                <w:rFonts w:hint="default" w:ascii="宋体" w:hAnsi="宋体" w:eastAsia="宋体" w:cs="宋体"/>
                <w:i w:val="0"/>
                <w:color w:val="auto"/>
                <w:kern w:val="0"/>
                <w:sz w:val="21"/>
                <w:szCs w:val="21"/>
                <w:u w:val="none"/>
                <w:lang w:val="en-US" w:eastAsia="zh-CN"/>
              </w:rPr>
            </w:pPr>
            <w:r>
              <w:rPr>
                <w:rFonts w:hint="default" w:ascii="宋体" w:hAnsi="宋体" w:eastAsia="宋体" w:cs="宋体"/>
                <w:i w:val="0"/>
                <w:color w:val="auto"/>
                <w:kern w:val="0"/>
                <w:sz w:val="21"/>
                <w:szCs w:val="21"/>
                <w:u w:val="none"/>
                <w:lang w:val="en-US" w:eastAsia="zh-CN"/>
              </w:rPr>
              <w:t>艺术射灯</w:t>
            </w:r>
            <w:r>
              <w:rPr>
                <w:rFonts w:hint="eastAsia" w:ascii="宋体" w:hAnsi="宋体" w:eastAsia="宋体" w:cs="宋体"/>
                <w:i w:val="0"/>
                <w:color w:val="auto"/>
                <w:kern w:val="0"/>
                <w:sz w:val="21"/>
                <w:szCs w:val="21"/>
                <w:u w:val="none"/>
                <w:lang w:val="en-US" w:eastAsia="zh-CN"/>
              </w:rPr>
              <w:t>安装。</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82"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default"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17</w:t>
            </w:r>
          </w:p>
        </w:tc>
        <w:tc>
          <w:tcPr>
            <w:tcW w:w="1280"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r>
              <w:rPr>
                <w:rFonts w:hint="default" w:ascii="宋体" w:hAnsi="宋体" w:eastAsia="宋体" w:cs="宋体"/>
                <w:i w:val="0"/>
                <w:color w:val="auto"/>
                <w:kern w:val="0"/>
                <w:sz w:val="21"/>
                <w:szCs w:val="21"/>
                <w:u w:val="none"/>
                <w:lang w:eastAsia="zh-CN"/>
              </w:rPr>
              <w:t>安全体验中心</w:t>
            </w:r>
            <w:r>
              <w:rPr>
                <w:rFonts w:hint="eastAsia" w:ascii="宋体" w:hAnsi="宋体" w:eastAsia="宋体" w:cs="宋体"/>
                <w:i w:val="0"/>
                <w:color w:val="auto"/>
                <w:kern w:val="0"/>
                <w:sz w:val="21"/>
                <w:szCs w:val="21"/>
                <w:u w:val="none"/>
                <w:lang w:val="en-US" w:eastAsia="zh-CN"/>
              </w:rPr>
              <w:t>门头底板修复和立体字更新</w:t>
            </w:r>
          </w:p>
        </w:tc>
        <w:tc>
          <w:tcPr>
            <w:tcW w:w="499"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398" w:type="dxa"/>
          </w:tcPr>
          <w:p>
            <w:pPr>
              <w:keepNext w:val="0"/>
              <w:keepLines w:val="0"/>
              <w:pageBreakBefore w:val="0"/>
              <w:widowControl/>
              <w:suppressLineNumbers w:val="0"/>
              <w:kinsoku/>
              <w:wordWrap/>
              <w:overflowPunct/>
              <w:topLinePunct w:val="0"/>
              <w:bidi w:val="0"/>
              <w:snapToGrid/>
              <w:spacing w:line="240" w:lineRule="atLeast"/>
              <w:jc w:val="left"/>
              <w:textAlignment w:val="top"/>
              <w:rPr>
                <w:rFonts w:hint="eastAsia" w:ascii="宋体" w:hAnsi="宋体" w:eastAsia="宋体" w:cs="宋体"/>
                <w:i w:val="0"/>
                <w:color w:val="auto"/>
                <w:kern w:val="0"/>
                <w:sz w:val="21"/>
                <w:szCs w:val="21"/>
                <w:u w:val="none"/>
                <w:lang w:val="en-US" w:eastAsia="zh-CN"/>
              </w:rPr>
            </w:pPr>
          </w:p>
        </w:tc>
        <w:tc>
          <w:tcPr>
            <w:tcW w:w="6262" w:type="dxa"/>
          </w:tcPr>
          <w:p>
            <w:pPr>
              <w:pStyle w:val="6"/>
              <w:keepNext w:val="0"/>
              <w:keepLines w:val="0"/>
              <w:pageBreakBefore w:val="0"/>
              <w:numPr>
                <w:ilvl w:val="0"/>
                <w:numId w:val="12"/>
              </w:numPr>
              <w:kinsoku/>
              <w:wordWrap/>
              <w:overflowPunct/>
              <w:topLinePunct w:val="0"/>
              <w:bidi w:val="0"/>
              <w:snapToGrid/>
              <w:spacing w:line="240" w:lineRule="atLeast"/>
              <w:rPr>
                <w:rFonts w:hint="eastAsia" w:ascii="宋体" w:hAnsi="宋体" w:cs="宋体"/>
                <w:i w:val="0"/>
                <w:color w:val="auto"/>
                <w:kern w:val="0"/>
                <w:sz w:val="21"/>
                <w:szCs w:val="21"/>
                <w:u w:val="none"/>
                <w:lang w:val="en-US" w:eastAsia="zh-CN"/>
              </w:rPr>
            </w:pPr>
            <w:r>
              <w:rPr>
                <w:rFonts w:hint="eastAsia" w:ascii="宋体" w:hAnsi="宋体" w:cs="宋体"/>
                <w:i w:val="0"/>
                <w:color w:val="auto"/>
                <w:kern w:val="0"/>
                <w:sz w:val="21"/>
                <w:szCs w:val="21"/>
                <w:u w:val="none"/>
                <w:lang w:val="en-US" w:eastAsia="zh-CN"/>
              </w:rPr>
              <w:t>中心门头立体字更新。</w:t>
            </w:r>
          </w:p>
          <w:p>
            <w:pPr>
              <w:pStyle w:val="6"/>
              <w:keepNext w:val="0"/>
              <w:keepLines w:val="0"/>
              <w:pageBreakBefore w:val="0"/>
              <w:numPr>
                <w:ilvl w:val="0"/>
                <w:numId w:val="12"/>
              </w:numPr>
              <w:kinsoku/>
              <w:wordWrap/>
              <w:overflowPunct/>
              <w:topLinePunct w:val="0"/>
              <w:bidi w:val="0"/>
              <w:snapToGrid/>
              <w:spacing w:line="240" w:lineRule="atLeast"/>
              <w:rPr>
                <w:rFonts w:hint="default" w:ascii="宋体" w:hAnsi="宋体" w:eastAsia="宋体" w:cs="宋体"/>
                <w:i w:val="0"/>
                <w:color w:val="auto"/>
                <w:kern w:val="0"/>
                <w:sz w:val="21"/>
                <w:szCs w:val="21"/>
                <w:u w:val="none"/>
                <w:lang w:val="en-US" w:eastAsia="zh-CN"/>
              </w:rPr>
            </w:pPr>
            <w:r>
              <w:rPr>
                <w:rFonts w:hint="eastAsia" w:ascii="宋体" w:hAnsi="宋体" w:cs="宋体"/>
                <w:i w:val="0"/>
                <w:color w:val="auto"/>
                <w:kern w:val="0"/>
                <w:sz w:val="21"/>
                <w:szCs w:val="21"/>
                <w:u w:val="none"/>
                <w:lang w:val="en-US" w:eastAsia="zh-CN"/>
              </w:rPr>
              <w:t>原有底板修复。</w:t>
            </w:r>
          </w:p>
          <w:p>
            <w:pPr>
              <w:pStyle w:val="6"/>
              <w:keepNext w:val="0"/>
              <w:keepLines w:val="0"/>
              <w:pageBreakBefore w:val="0"/>
              <w:numPr>
                <w:ilvl w:val="0"/>
                <w:numId w:val="0"/>
              </w:numPr>
              <w:kinsoku/>
              <w:wordWrap/>
              <w:overflowPunct/>
              <w:topLinePunct w:val="0"/>
              <w:bidi w:val="0"/>
              <w:snapToGrid/>
              <w:spacing w:line="240" w:lineRule="atLeast"/>
              <w:ind w:left="0" w:firstLine="0"/>
              <w:rPr>
                <w:rFonts w:hint="default" w:ascii="宋体" w:hAnsi="宋体" w:eastAsia="宋体" w:cs="宋体"/>
                <w:i w:val="0"/>
                <w:color w:val="auto"/>
                <w:kern w:val="0"/>
                <w:sz w:val="21"/>
                <w:szCs w:val="21"/>
                <w:u w:val="none"/>
                <w:lang w:val="en-US" w:eastAsia="zh-CN"/>
              </w:rPr>
            </w:pPr>
            <w:r>
              <w:rPr>
                <w:rFonts w:hint="eastAsia" w:ascii="宋体" w:hAnsi="宋体" w:cs="宋体"/>
                <w:color w:val="auto"/>
                <w:sz w:val="21"/>
                <w:szCs w:val="21"/>
                <w:lang w:val="en-US" w:eastAsia="zh-CN"/>
              </w:rPr>
              <w:t>3、</w:t>
            </w:r>
            <w:r>
              <w:rPr>
                <w:rFonts w:hint="eastAsia" w:ascii="宋体" w:hAnsi="宋体" w:eastAsia="宋体" w:cs="宋体"/>
                <w:i w:val="0"/>
                <w:color w:val="auto"/>
                <w:kern w:val="0"/>
                <w:sz w:val="21"/>
                <w:szCs w:val="21"/>
                <w:u w:val="none"/>
                <w:lang w:val="en-US" w:eastAsia="zh-CN"/>
              </w:rPr>
              <w:t>投标时提供相应的效果图</w:t>
            </w:r>
            <w:r>
              <w:rPr>
                <w:rFonts w:hint="eastAsia" w:ascii="宋体" w:hAnsi="宋体" w:cs="宋体"/>
                <w:i w:val="0"/>
                <w:color w:val="auto"/>
                <w:kern w:val="0"/>
                <w:sz w:val="21"/>
                <w:szCs w:val="21"/>
                <w:u w:val="none"/>
                <w:lang w:val="en-US" w:eastAsia="zh-CN"/>
              </w:rPr>
              <w:t>。</w:t>
            </w:r>
          </w:p>
        </w:tc>
        <w:tc>
          <w:tcPr>
            <w:tcW w:w="1110" w:type="dxa"/>
          </w:tcPr>
          <w:p>
            <w:pPr>
              <w:keepNext w:val="0"/>
              <w:keepLines w:val="0"/>
              <w:pageBreakBefore w:val="0"/>
              <w:widowControl/>
              <w:suppressLineNumbers w:val="0"/>
              <w:kinsoku/>
              <w:wordWrap/>
              <w:overflowPunct/>
              <w:topLinePunct w:val="0"/>
              <w:bidi w:val="0"/>
              <w:snapToGrid/>
              <w:spacing w:line="240" w:lineRule="atLeast"/>
              <w:jc w:val="center"/>
              <w:textAlignment w:val="top"/>
              <w:rPr>
                <w:rFonts w:hint="eastAsia" w:ascii="宋体" w:hAnsi="宋体" w:eastAsia="宋体" w:cs="宋体"/>
                <w:i w:val="0"/>
                <w:color w:val="auto"/>
                <w:kern w:val="0"/>
                <w:sz w:val="21"/>
                <w:szCs w:val="21"/>
                <w:u w:val="none"/>
                <w:lang w:val="en-US" w:eastAsia="zh-CN"/>
              </w:rPr>
            </w:pPr>
            <w:r>
              <w:rPr>
                <w:rFonts w:hint="eastAsia" w:ascii="宋体" w:hAnsi="宋体" w:eastAsia="宋体" w:cs="宋体"/>
                <w:i w:val="0"/>
                <w:color w:val="auto"/>
                <w:kern w:val="0"/>
                <w:sz w:val="21"/>
                <w:szCs w:val="21"/>
                <w:u w:val="none"/>
                <w:lang w:val="en-US" w:eastAsia="zh-CN"/>
              </w:rPr>
              <w:t>效果图1张</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color w:val="auto"/>
          <w:kern w:val="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color w:val="auto"/>
          <w:kern w:val="0"/>
          <w:sz w:val="24"/>
          <w:szCs w:val="22"/>
        </w:rPr>
      </w:pPr>
    </w:p>
    <w:p>
      <w:pPr>
        <w:jc w:val="center"/>
        <w:rPr>
          <w:rFonts w:hint="eastAsia" w:ascii="宋体" w:hAnsi="宋体" w:cs="宋体"/>
          <w:b/>
          <w:sz w:val="21"/>
          <w:szCs w:val="21"/>
        </w:rPr>
      </w:pPr>
      <w:r>
        <w:rPr>
          <w:rFonts w:hint="eastAsia" w:ascii="宋体" w:hAnsi="宋体" w:cs="宋体"/>
          <w:b/>
          <w:sz w:val="21"/>
          <w:szCs w:val="21"/>
          <w:lang w:val="en-US" w:eastAsia="zh-CN"/>
        </w:rPr>
        <w:t>附件2：</w:t>
      </w:r>
      <w:r>
        <w:rPr>
          <w:rFonts w:hint="eastAsia" w:ascii="宋体" w:hAnsi="宋体" w:cs="宋体"/>
          <w:b/>
          <w:sz w:val="21"/>
          <w:szCs w:val="21"/>
          <w:lang w:eastAsia="zh-CN"/>
        </w:rPr>
        <w:t>评分办法</w:t>
      </w:r>
    </w:p>
    <w:p>
      <w:pPr>
        <w:jc w:val="left"/>
        <w:rPr>
          <w:rFonts w:hint="eastAsia" w:ascii="宋体" w:hAnsi="宋体" w:cs="宋体"/>
          <w:sz w:val="21"/>
          <w:szCs w:val="21"/>
        </w:rPr>
      </w:pPr>
    </w:p>
    <w:p>
      <w:pPr>
        <w:ind w:firstLine="420" w:firstLineChars="200"/>
        <w:jc w:val="left"/>
        <w:rPr>
          <w:rFonts w:hint="eastAsia" w:ascii="宋体" w:hAnsi="宋体" w:cs="宋体"/>
          <w:sz w:val="21"/>
          <w:szCs w:val="21"/>
        </w:rPr>
      </w:pPr>
      <w:r>
        <w:rPr>
          <w:rFonts w:hint="eastAsia" w:ascii="宋体" w:hAnsi="宋体" w:cs="宋体"/>
          <w:sz w:val="21"/>
          <w:szCs w:val="21"/>
        </w:rPr>
        <w:t>广西艺术学院</w:t>
      </w:r>
      <w:r>
        <w:rPr>
          <w:rFonts w:hint="eastAsia" w:ascii="宋体" w:hAnsi="宋体" w:cs="宋体"/>
          <w:sz w:val="21"/>
          <w:szCs w:val="21"/>
          <w:lang w:eastAsia="zh-CN"/>
        </w:rPr>
        <w:t>安全培训与演练中心采购</w:t>
      </w:r>
      <w:r>
        <w:rPr>
          <w:rFonts w:hint="eastAsia" w:ascii="宋体" w:hAnsi="宋体" w:cs="宋体"/>
          <w:sz w:val="21"/>
          <w:szCs w:val="21"/>
        </w:rPr>
        <w:t>项目报价为一次性报价，以综合评定法评标。</w:t>
      </w:r>
    </w:p>
    <w:p>
      <w:pPr>
        <w:rPr>
          <w:rFonts w:hint="eastAsia" w:ascii="宋体" w:hAnsi="宋体" w:cs="宋体"/>
          <w:sz w:val="21"/>
          <w:szCs w:val="21"/>
        </w:rPr>
      </w:pPr>
      <w:r>
        <w:rPr>
          <w:rFonts w:hint="eastAsia" w:ascii="宋体" w:hAnsi="宋体" w:cs="宋体"/>
          <w:sz w:val="21"/>
          <w:szCs w:val="21"/>
        </w:rPr>
        <w:t>评标总分为100分，</w:t>
      </w:r>
      <w:r>
        <w:rPr>
          <w:rFonts w:hint="eastAsia" w:ascii="宋体" w:hAnsi="宋体" w:cs="宋体"/>
          <w:sz w:val="21"/>
          <w:szCs w:val="21"/>
          <w:lang w:eastAsia="zh-CN"/>
        </w:rPr>
        <w:t>得分四舍五入保留两位小数，</w:t>
      </w:r>
      <w:r>
        <w:rPr>
          <w:rFonts w:hint="eastAsia" w:ascii="宋体" w:hAnsi="宋体" w:cs="宋体"/>
          <w:sz w:val="21"/>
          <w:szCs w:val="21"/>
        </w:rPr>
        <w:t>具体评分项目如下：</w:t>
      </w:r>
    </w:p>
    <w:p>
      <w:pPr>
        <w:pStyle w:val="8"/>
        <w:numPr>
          <w:ilvl w:val="0"/>
          <w:numId w:val="0"/>
        </w:numPr>
        <w:ind w:firstLine="210" w:firstLineChars="100"/>
        <w:rPr>
          <w:rFonts w:hint="eastAsia" w:ascii="宋体" w:hAnsi="宋体" w:cs="宋体"/>
          <w:sz w:val="21"/>
          <w:szCs w:val="21"/>
        </w:rPr>
      </w:pPr>
      <w:r>
        <w:rPr>
          <w:rFonts w:hint="eastAsia" w:ascii="宋体" w:hAnsi="宋体" w:cs="宋体"/>
          <w:sz w:val="21"/>
          <w:szCs w:val="21"/>
          <w:lang w:val="en-US" w:eastAsia="zh-CN"/>
        </w:rPr>
        <w:t>一、</w:t>
      </w:r>
      <w:r>
        <w:rPr>
          <w:rFonts w:hint="eastAsia" w:ascii="宋体" w:hAnsi="宋体" w:cs="宋体"/>
          <w:sz w:val="21"/>
          <w:szCs w:val="21"/>
          <w:lang w:eastAsia="zh-CN"/>
        </w:rPr>
        <w:t>价格分（满分</w:t>
      </w:r>
      <w:r>
        <w:rPr>
          <w:rFonts w:hint="default" w:ascii="宋体" w:hAnsi="宋体" w:cs="宋体"/>
          <w:sz w:val="21"/>
          <w:szCs w:val="21"/>
          <w:lang w:val="en-US" w:eastAsia="zh-CN"/>
        </w:rPr>
        <w:t>25</w:t>
      </w:r>
      <w:r>
        <w:rPr>
          <w:rFonts w:hint="eastAsia" w:ascii="宋体" w:hAnsi="宋体" w:cs="宋体"/>
          <w:sz w:val="21"/>
          <w:szCs w:val="21"/>
          <w:lang w:val="en-US" w:eastAsia="zh-CN"/>
        </w:rPr>
        <w:t>分</w:t>
      </w:r>
      <w:r>
        <w:rPr>
          <w:rFonts w:hint="eastAsia" w:ascii="宋体" w:hAnsi="宋体" w:cs="宋体"/>
          <w:sz w:val="21"/>
          <w:szCs w:val="21"/>
          <w:lang w:eastAsia="zh-CN"/>
        </w:rPr>
        <w:t>）</w:t>
      </w:r>
    </w:p>
    <w:p>
      <w:pPr>
        <w:numPr>
          <w:ilvl w:val="0"/>
          <w:numId w:val="0"/>
        </w:numPr>
        <w:rPr>
          <w:rFonts w:hint="eastAsia" w:ascii="宋体" w:hAnsi="宋体" w:cs="宋体"/>
          <w:sz w:val="21"/>
          <w:szCs w:val="21"/>
        </w:rPr>
      </w:pPr>
      <w:r>
        <w:rPr>
          <w:rFonts w:hint="default" w:ascii="宋体" w:hAnsi="宋体" w:cs="宋体"/>
          <w:sz w:val="21"/>
          <w:szCs w:val="21"/>
          <w:lang w:val="en-US"/>
        </w:rPr>
        <w:t xml:space="preserve"> </w:t>
      </w:r>
      <w:r>
        <w:rPr>
          <w:rFonts w:hint="eastAsia" w:ascii="宋体" w:hAnsi="宋体" w:cs="宋体"/>
          <w:sz w:val="21"/>
          <w:szCs w:val="21"/>
          <w:lang w:val="en-US" w:eastAsia="zh-CN"/>
        </w:rPr>
        <w:t xml:space="preserve">  </w:t>
      </w:r>
      <w:r>
        <w:rPr>
          <w:rFonts w:hint="default" w:ascii="宋体" w:hAnsi="宋体" w:cs="宋体"/>
          <w:sz w:val="21"/>
          <w:szCs w:val="21"/>
          <w:lang w:val="en-US"/>
        </w:rPr>
        <w:t xml:space="preserve"> </w:t>
      </w:r>
      <w:r>
        <w:rPr>
          <w:rFonts w:hint="default" w:ascii="宋体" w:hAnsi="宋体" w:eastAsia="宋体" w:cs="宋体"/>
          <w:b w:val="0"/>
          <w:bCs w:val="0"/>
          <w:i w:val="0"/>
          <w:iCs w:val="0"/>
          <w:color w:val="auto"/>
          <w:kern w:val="2"/>
          <w:sz w:val="21"/>
          <w:szCs w:val="21"/>
          <w:highlight w:val="none"/>
          <w:vertAlign w:val="baseline"/>
          <w:lang w:val="en-US" w:eastAsia="zh-CN" w:bidi="ar-SA"/>
        </w:rPr>
        <w:t>价格分计算公式：某供应商价格分＝ (供应商最低评标价金额/某供应商评标价金额)×　25分</w:t>
      </w:r>
    </w:p>
    <w:p>
      <w:pPr>
        <w:numPr>
          <w:ilvl w:val="0"/>
          <w:numId w:val="0"/>
        </w:numPr>
        <w:rPr>
          <w:rFonts w:hint="eastAsia" w:ascii="宋体" w:hAnsi="宋体" w:cs="宋体"/>
          <w:sz w:val="21"/>
          <w:szCs w:val="21"/>
        </w:rPr>
      </w:pPr>
      <w:r>
        <w:rPr>
          <w:rFonts w:hint="default" w:ascii="宋体" w:hAnsi="宋体" w:eastAsia="宋体" w:cs="宋体"/>
          <w:b w:val="0"/>
          <w:bCs w:val="0"/>
          <w:i w:val="0"/>
          <w:iCs w:val="0"/>
          <w:color w:val="auto"/>
          <w:kern w:val="2"/>
          <w:sz w:val="21"/>
          <w:szCs w:val="21"/>
          <w:highlight w:val="none"/>
          <w:vertAlign w:val="baseline"/>
          <w:lang w:val="en-US" w:eastAsia="zh-CN" w:bidi="ar-SA"/>
        </w:rPr>
        <w:t xml:space="preserve">  </w:t>
      </w:r>
      <w:r>
        <w:rPr>
          <w:rFonts w:hint="eastAsia" w:ascii="宋体" w:hAnsi="宋体" w:eastAsia="宋体" w:cs="宋体"/>
          <w:b w:val="0"/>
          <w:bCs w:val="0"/>
          <w:i w:val="0"/>
          <w:iCs w:val="0"/>
          <w:color w:val="auto"/>
          <w:kern w:val="2"/>
          <w:sz w:val="21"/>
          <w:szCs w:val="21"/>
          <w:highlight w:val="none"/>
          <w:vertAlign w:val="baseline"/>
          <w:lang w:val="en-US" w:eastAsia="zh-CN" w:bidi="ar-SA"/>
        </w:rPr>
        <w:t>二、技术分（满分</w:t>
      </w:r>
      <w:r>
        <w:rPr>
          <w:rFonts w:hint="default" w:ascii="宋体" w:hAnsi="宋体" w:eastAsia="宋体" w:cs="宋体"/>
          <w:b w:val="0"/>
          <w:bCs w:val="0"/>
          <w:i w:val="0"/>
          <w:iCs w:val="0"/>
          <w:color w:val="auto"/>
          <w:kern w:val="2"/>
          <w:sz w:val="21"/>
          <w:szCs w:val="21"/>
          <w:highlight w:val="none"/>
          <w:vertAlign w:val="baseline"/>
          <w:lang w:val="en-US" w:eastAsia="zh-CN" w:bidi="ar-SA"/>
        </w:rPr>
        <w:t>53</w:t>
      </w:r>
      <w:r>
        <w:rPr>
          <w:rFonts w:hint="eastAsia" w:ascii="宋体" w:hAnsi="宋体" w:eastAsia="宋体" w:cs="宋体"/>
          <w:b w:val="0"/>
          <w:bCs w:val="0"/>
          <w:i w:val="0"/>
          <w:iCs w:val="0"/>
          <w:color w:val="auto"/>
          <w:kern w:val="2"/>
          <w:sz w:val="21"/>
          <w:szCs w:val="21"/>
          <w:highlight w:val="none"/>
          <w:vertAlign w:val="baseline"/>
          <w:lang w:val="en-US" w:eastAsia="zh-CN" w:bidi="ar-SA"/>
        </w:rPr>
        <w:t>分）</w:t>
      </w:r>
    </w:p>
    <w:p>
      <w:pPr>
        <w:numPr>
          <w:ilvl w:val="0"/>
          <w:numId w:val="0"/>
        </w:numPr>
        <w:rPr>
          <w:rFonts w:hint="eastAsia" w:ascii="宋体" w:hAnsi="宋体" w:cs="宋体"/>
          <w:sz w:val="21"/>
          <w:szCs w:val="21"/>
        </w:rPr>
      </w:pPr>
      <w:r>
        <w:rPr>
          <w:rFonts w:hint="default" w:ascii="宋体" w:hAnsi="宋体" w:cs="宋体"/>
          <w:sz w:val="21"/>
          <w:szCs w:val="21"/>
          <w:lang w:val="en-US"/>
        </w:rPr>
        <w:t xml:space="preserve">  </w:t>
      </w:r>
      <w:r>
        <w:rPr>
          <w:rFonts w:hint="eastAsia" w:ascii="宋体" w:hAnsi="宋体" w:cs="宋体"/>
          <w:sz w:val="21"/>
          <w:szCs w:val="21"/>
          <w:lang w:val="en-US" w:eastAsia="zh-CN"/>
        </w:rPr>
        <w:t xml:space="preserve"> （一）项目设计分（满分</w:t>
      </w:r>
      <w:r>
        <w:rPr>
          <w:rFonts w:hint="default" w:ascii="宋体" w:hAnsi="宋体" w:cs="宋体"/>
          <w:sz w:val="21"/>
          <w:szCs w:val="21"/>
          <w:lang w:val="en-US" w:eastAsia="zh-CN"/>
        </w:rPr>
        <w:t>12</w:t>
      </w:r>
      <w:r>
        <w:rPr>
          <w:rFonts w:hint="eastAsia" w:ascii="宋体" w:hAnsi="宋体" w:cs="宋体"/>
          <w:sz w:val="21"/>
          <w:szCs w:val="21"/>
          <w:lang w:val="en-US" w:eastAsia="zh-CN"/>
        </w:rPr>
        <w:t>分）</w:t>
      </w:r>
    </w:p>
    <w:p>
      <w:pPr>
        <w:widowControl/>
        <w:spacing w:line="240" w:lineRule="auto"/>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default" w:ascii="宋体" w:hAnsi="宋体" w:cs="宋体"/>
          <w:sz w:val="21"/>
          <w:szCs w:val="21"/>
          <w:lang w:val="en-US" w:eastAsia="zh-CN"/>
        </w:rPr>
        <w:t xml:space="preserve">  </w:t>
      </w:r>
      <w:r>
        <w:rPr>
          <w:rFonts w:hint="eastAsia" w:ascii="宋体" w:hAnsi="宋体" w:cs="宋体"/>
          <w:sz w:val="21"/>
          <w:szCs w:val="21"/>
          <w:lang w:val="en-US" w:eastAsia="zh-CN"/>
        </w:rPr>
        <w:t xml:space="preserve"> </w:t>
      </w:r>
      <w:r>
        <w:rPr>
          <w:rFonts w:hint="default" w:ascii="宋体" w:hAnsi="宋体" w:eastAsia="宋体" w:cs="宋体"/>
          <w:b w:val="0"/>
          <w:bCs w:val="0"/>
          <w:i w:val="0"/>
          <w:iCs w:val="0"/>
          <w:color w:val="000000"/>
          <w:kern w:val="2"/>
          <w:sz w:val="21"/>
          <w:szCs w:val="21"/>
          <w:highlight w:val="none"/>
          <w:vertAlign w:val="baseline"/>
          <w:lang w:val="en-US" w:eastAsia="zh-CN" w:bidi="ar-SA"/>
        </w:rPr>
        <w:t>根据项目设计是否结合本项目需求和特点，整体风格是否协调一致，效果图是否具有美观性、实用性、可操作性，是否符合高校安全主题四个方面进行综合评分：</w:t>
      </w:r>
    </w:p>
    <w:p>
      <w:pPr>
        <w:widowControl/>
        <w:spacing w:line="240" w:lineRule="auto"/>
        <w:ind w:firstLine="420" w:firstLineChars="200"/>
        <w:jc w:val="left"/>
        <w:rPr>
          <w:rFonts w:hint="eastAsia"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第一档（0~4分）：</w:t>
      </w:r>
      <w:r>
        <w:rPr>
          <w:rFonts w:hint="default" w:ascii="宋体" w:hAnsi="宋体" w:eastAsia="宋体" w:cs="宋体"/>
          <w:b w:val="0"/>
          <w:bCs w:val="0"/>
          <w:i w:val="0"/>
          <w:iCs w:val="0"/>
          <w:color w:val="000000"/>
          <w:kern w:val="2"/>
          <w:sz w:val="21"/>
          <w:szCs w:val="21"/>
          <w:highlight w:val="none"/>
          <w:vertAlign w:val="baseline"/>
          <w:lang w:val="en-US" w:eastAsia="zh-CN" w:bidi="ar-SA"/>
        </w:rPr>
        <w:t>项目设计不够符合本项目需求和特点，设计图效果欠佳，实用性较差，设施设备摆放和装饰效果有待提高，安全主题有待完善。</w:t>
      </w:r>
    </w:p>
    <w:p>
      <w:pPr>
        <w:widowControl/>
        <w:spacing w:line="240" w:lineRule="auto"/>
        <w:ind w:firstLine="420" w:firstLineChars="200"/>
        <w:jc w:val="left"/>
        <w:rPr>
          <w:rFonts w:hint="eastAsia"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第二档（5~8分）：</w:t>
      </w:r>
      <w:r>
        <w:rPr>
          <w:rFonts w:hint="default" w:ascii="宋体" w:hAnsi="宋体" w:eastAsia="宋体" w:cs="宋体"/>
          <w:b w:val="0"/>
          <w:bCs w:val="0"/>
          <w:i w:val="0"/>
          <w:iCs w:val="0"/>
          <w:color w:val="000000"/>
          <w:kern w:val="2"/>
          <w:sz w:val="21"/>
          <w:szCs w:val="21"/>
          <w:highlight w:val="none"/>
          <w:vertAlign w:val="baseline"/>
          <w:lang w:val="en-US" w:eastAsia="zh-CN" w:bidi="ar-SA"/>
        </w:rPr>
        <w:t>项目设计基本结合本项目需求和特点，设计图较简单、内容较详细、合理、实用性基本满足项目需求，设施设备摆放和装饰效果与场馆风格不冲突，安全主题不明显。</w:t>
      </w:r>
    </w:p>
    <w:p>
      <w:pPr>
        <w:widowControl/>
        <w:spacing w:line="240" w:lineRule="auto"/>
        <w:jc w:val="left"/>
        <w:rPr>
          <w:rFonts w:hint="eastAsia" w:ascii="宋体" w:hAnsi="宋体" w:eastAsia="宋体" w:cs="宋体"/>
          <w:b w:val="0"/>
          <w:bCs w:val="0"/>
          <w:i w:val="0"/>
          <w:iCs w:val="0"/>
          <w:color w:val="000000"/>
          <w:kern w:val="2"/>
          <w:sz w:val="21"/>
          <w:szCs w:val="21"/>
          <w:highlight w:val="none"/>
          <w:vertAlign w:val="baseline"/>
          <w:lang w:val="en-US" w:eastAsia="zh-CN" w:bidi="ar-SA"/>
        </w:rPr>
      </w:pPr>
    </w:p>
    <w:p>
      <w:pPr>
        <w:widowControl/>
        <w:spacing w:line="240" w:lineRule="auto"/>
        <w:ind w:firstLine="420" w:firstLineChars="200"/>
        <w:jc w:val="left"/>
        <w:rPr>
          <w:rFonts w:hint="eastAsia"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第三档（9~12分）：</w:t>
      </w:r>
      <w:r>
        <w:rPr>
          <w:rFonts w:hint="default" w:ascii="宋体" w:hAnsi="宋体" w:eastAsia="宋体" w:cs="宋体"/>
          <w:b w:val="0"/>
          <w:bCs w:val="0"/>
          <w:i w:val="0"/>
          <w:iCs w:val="0"/>
          <w:color w:val="000000"/>
          <w:kern w:val="2"/>
          <w:sz w:val="21"/>
          <w:szCs w:val="21"/>
          <w:highlight w:val="none"/>
          <w:vertAlign w:val="baseline"/>
          <w:lang w:val="en-US" w:eastAsia="zh-CN" w:bidi="ar-SA"/>
        </w:rPr>
        <w:t>项目设计结合本项目需求和特点，设计图美观、内容全面、详细、清晰合理、可操作性强，设施设备摆放和装饰效果与场馆整体风格协调，符合高校安全主题。</w:t>
      </w:r>
    </w:p>
    <w:p>
      <w:pPr>
        <w:numPr>
          <w:ilvl w:val="0"/>
          <w:numId w:val="0"/>
        </w:numPr>
        <w:ind w:firstLine="420" w:firstLineChars="200"/>
        <w:rPr>
          <w:rFonts w:hint="eastAsia" w:ascii="宋体" w:hAnsi="宋体" w:cs="宋体"/>
          <w:color w:val="FF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未提供项目设计图或与本项目不符的不得分。</w:t>
      </w:r>
    </w:p>
    <w:p>
      <w:pPr>
        <w:pStyle w:val="8"/>
        <w:numPr>
          <w:ilvl w:val="0"/>
          <w:numId w:val="0"/>
        </w:numPr>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（二）实施方案分（满分</w:t>
      </w:r>
      <w:r>
        <w:rPr>
          <w:rFonts w:hint="default" w:ascii="宋体" w:hAnsi="宋体" w:cs="宋体"/>
          <w:color w:val="000000"/>
          <w:sz w:val="21"/>
          <w:szCs w:val="21"/>
          <w:lang w:val="en-US" w:eastAsia="zh-CN"/>
        </w:rPr>
        <w:t>12</w:t>
      </w:r>
      <w:r>
        <w:rPr>
          <w:rFonts w:hint="eastAsia" w:ascii="宋体" w:hAnsi="宋体" w:cs="宋体"/>
          <w:color w:val="000000"/>
          <w:sz w:val="21"/>
          <w:szCs w:val="21"/>
          <w:lang w:val="en-US" w:eastAsia="zh-CN"/>
        </w:rPr>
        <w:t>分）</w:t>
      </w:r>
    </w:p>
    <w:p>
      <w:pPr>
        <w:widowControl/>
        <w:spacing w:line="240" w:lineRule="auto"/>
        <w:ind w:firstLine="560"/>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default" w:ascii="宋体" w:hAnsi="宋体" w:eastAsia="宋体" w:cs="宋体"/>
          <w:b w:val="0"/>
          <w:bCs w:val="0"/>
          <w:i w:val="0"/>
          <w:iCs w:val="0"/>
          <w:color w:val="000000"/>
          <w:kern w:val="2"/>
          <w:sz w:val="21"/>
          <w:szCs w:val="21"/>
          <w:highlight w:val="none"/>
          <w:vertAlign w:val="baseline"/>
          <w:lang w:val="en-US" w:eastAsia="zh-CN" w:bidi="ar-SA"/>
        </w:rPr>
        <w:t>根据项目实施方案（包含各阶段进度、人员安排、风险管控、按效果图实施）切实可行的程度进行综合评分：</w:t>
      </w:r>
    </w:p>
    <w:p>
      <w:pPr>
        <w:widowControl/>
        <w:spacing w:line="240" w:lineRule="auto"/>
        <w:ind w:firstLine="560"/>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第一档（0~4分）：</w:t>
      </w:r>
      <w:r>
        <w:rPr>
          <w:rFonts w:hint="default" w:ascii="宋体" w:hAnsi="宋体" w:eastAsia="宋体" w:cs="宋体"/>
          <w:b w:val="0"/>
          <w:bCs w:val="0"/>
          <w:i w:val="0"/>
          <w:iCs w:val="0"/>
          <w:color w:val="000000"/>
          <w:kern w:val="2"/>
          <w:sz w:val="21"/>
          <w:szCs w:val="21"/>
          <w:highlight w:val="none"/>
          <w:vertAlign w:val="baseline"/>
          <w:lang w:val="en-US" w:eastAsia="zh-CN" w:bidi="ar-SA"/>
        </w:rPr>
        <w:t>实施方案内容较为简洁，未明确实施步骤和注意事项，设备技术资料有待完善和提高，人员配备较单一。</w:t>
      </w:r>
    </w:p>
    <w:p>
      <w:pPr>
        <w:widowControl/>
        <w:spacing w:line="240" w:lineRule="auto"/>
        <w:ind w:firstLine="560"/>
        <w:jc w:val="left"/>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第二档（5~8分）：</w:t>
      </w:r>
      <w:r>
        <w:rPr>
          <w:rFonts w:hint="default" w:ascii="宋体" w:hAnsi="宋体" w:eastAsia="宋体" w:cs="宋体"/>
          <w:b w:val="0"/>
          <w:bCs w:val="0"/>
          <w:i w:val="0"/>
          <w:iCs w:val="0"/>
          <w:color w:val="000000"/>
          <w:kern w:val="2"/>
          <w:sz w:val="21"/>
          <w:szCs w:val="21"/>
          <w:highlight w:val="none"/>
          <w:vertAlign w:val="baseline"/>
          <w:lang w:val="en-US" w:eastAsia="zh-CN" w:bidi="ar-SA"/>
        </w:rPr>
        <w:t>实施方案合理可行，有一定针对性和保障性，基本切合学校现有实际情况，对安装实施步骤有说明，设备技术资料基本齐全，人员配备较合理。</w:t>
      </w:r>
    </w:p>
    <w:p>
      <w:pPr>
        <w:widowControl/>
        <w:spacing w:line="240" w:lineRule="auto"/>
        <w:ind w:firstLineChars="200"/>
        <w:jc w:val="left"/>
        <w:rPr>
          <w:rFonts w:hint="eastAsia" w:ascii="宋体" w:hAnsi="宋体" w:cs="宋体"/>
          <w:color w:val="000000"/>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第三档（9~12分）：</w:t>
      </w:r>
      <w:r>
        <w:rPr>
          <w:rFonts w:hint="default" w:ascii="宋体" w:hAnsi="宋体" w:eastAsia="宋体" w:cs="宋体"/>
          <w:b w:val="0"/>
          <w:bCs w:val="0"/>
          <w:i w:val="0"/>
          <w:iCs w:val="0"/>
          <w:color w:val="000000"/>
          <w:kern w:val="2"/>
          <w:sz w:val="21"/>
          <w:szCs w:val="21"/>
          <w:highlight w:val="none"/>
          <w:vertAlign w:val="baseline"/>
          <w:lang w:val="en-US" w:eastAsia="zh-CN" w:bidi="ar-SA"/>
        </w:rPr>
        <w:t>实施方案科学合理全面，具有较强的针对性和保障性、切合学校现有实际情况，对安装实施步骤有明确的说明，设备技术资料齐全，严格按照采购文件要求执行，人员配备合理、针对性强。</w:t>
      </w:r>
    </w:p>
    <w:p>
      <w:pPr>
        <w:numPr>
          <w:ilvl w:val="0"/>
          <w:numId w:val="0"/>
        </w:numPr>
        <w:ind w:firstLine="420" w:firstLineChars="200"/>
        <w:rPr>
          <w:rFonts w:hint="eastAsia" w:ascii="宋体" w:hAnsi="宋体" w:cs="宋体"/>
          <w:color w:val="00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未提供实施方案或与本项目不符的不得分。</w:t>
      </w:r>
    </w:p>
    <w:p>
      <w:pPr>
        <w:numPr>
          <w:ilvl w:val="0"/>
          <w:numId w:val="0"/>
        </w:numPr>
        <w:ind w:firstLine="420" w:firstLineChars="200"/>
        <w:rPr>
          <w:rFonts w:hint="eastAsia" w:ascii="宋体" w:hAnsi="宋体" w:cs="宋体"/>
          <w:color w:val="000000"/>
          <w:sz w:val="21"/>
          <w:szCs w:val="21"/>
        </w:rPr>
      </w:pPr>
      <w:r>
        <w:rPr>
          <w:rFonts w:hint="eastAsia" w:ascii="宋体" w:hAnsi="宋体" w:cs="宋体"/>
          <w:b w:val="0"/>
          <w:bCs w:val="0"/>
          <w:i w:val="0"/>
          <w:iCs w:val="0"/>
          <w:color w:val="000000"/>
          <w:kern w:val="0"/>
          <w:sz w:val="21"/>
          <w:szCs w:val="21"/>
          <w:highlight w:val="none"/>
          <w:vertAlign w:val="baseline"/>
          <w:lang w:val="en-US" w:eastAsia="zh-CN"/>
        </w:rPr>
        <w:t>（三）质量措施分（满分</w:t>
      </w:r>
      <w:r>
        <w:rPr>
          <w:rFonts w:hint="default" w:ascii="宋体" w:hAnsi="宋体" w:cs="宋体"/>
          <w:b w:val="0"/>
          <w:bCs w:val="0"/>
          <w:i w:val="0"/>
          <w:iCs w:val="0"/>
          <w:color w:val="000000"/>
          <w:kern w:val="0"/>
          <w:sz w:val="21"/>
          <w:szCs w:val="21"/>
          <w:highlight w:val="none"/>
          <w:vertAlign w:val="baseline"/>
          <w:lang w:val="en-US" w:eastAsia="zh-CN"/>
        </w:rPr>
        <w:t>4</w:t>
      </w:r>
      <w:r>
        <w:rPr>
          <w:rFonts w:hint="eastAsia" w:ascii="宋体" w:hAnsi="宋体" w:cs="宋体"/>
          <w:b w:val="0"/>
          <w:bCs w:val="0"/>
          <w:i w:val="0"/>
          <w:iCs w:val="0"/>
          <w:color w:val="000000"/>
          <w:kern w:val="0"/>
          <w:sz w:val="21"/>
          <w:szCs w:val="21"/>
          <w:highlight w:val="none"/>
          <w:vertAlign w:val="baseline"/>
          <w:lang w:val="en-US" w:eastAsia="zh-CN"/>
        </w:rPr>
        <w:t>分）</w:t>
      </w:r>
    </w:p>
    <w:p>
      <w:pPr>
        <w:spacing w:line="240" w:lineRule="auto"/>
        <w:ind w:firstLine="560"/>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default" w:ascii="宋体" w:hAnsi="宋体" w:eastAsia="宋体" w:cs="宋体"/>
          <w:b w:val="0"/>
          <w:bCs w:val="0"/>
          <w:i w:val="0"/>
          <w:iCs w:val="0"/>
          <w:color w:val="000000"/>
          <w:kern w:val="2"/>
          <w:sz w:val="21"/>
          <w:szCs w:val="21"/>
          <w:highlight w:val="none"/>
          <w:vertAlign w:val="baseline"/>
          <w:lang w:val="en-US" w:eastAsia="zh-CN" w:bidi="ar-SA"/>
        </w:rPr>
        <w:t>根据供应商提供的质量保证措施进行打分：</w:t>
      </w:r>
    </w:p>
    <w:p>
      <w:pPr>
        <w:spacing w:line="240" w:lineRule="auto"/>
        <w:ind w:firstLineChars="200"/>
        <w:jc w:val="left"/>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第一档（2分）：</w:t>
      </w:r>
      <w:r>
        <w:rPr>
          <w:rFonts w:hint="default" w:ascii="宋体" w:hAnsi="宋体" w:eastAsia="宋体" w:cs="宋体"/>
          <w:b w:val="0"/>
          <w:bCs w:val="0"/>
          <w:i w:val="0"/>
          <w:iCs w:val="0"/>
          <w:color w:val="000000"/>
          <w:kern w:val="2"/>
          <w:sz w:val="21"/>
          <w:szCs w:val="21"/>
          <w:highlight w:val="none"/>
          <w:vertAlign w:val="baseline"/>
          <w:lang w:val="en-US" w:eastAsia="zh-CN" w:bidi="ar-SA"/>
        </w:rPr>
        <w:t>质量保证措施内容粗略或有所欠缺，内容有待完善和提高。</w:t>
      </w:r>
    </w:p>
    <w:p>
      <w:pPr>
        <w:spacing w:line="240" w:lineRule="auto"/>
        <w:ind w:firstLineChars="200"/>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第二档（3分）：</w:t>
      </w:r>
      <w:r>
        <w:rPr>
          <w:rFonts w:hint="default" w:ascii="宋体" w:hAnsi="宋体" w:eastAsia="宋体" w:cs="宋体"/>
          <w:b w:val="0"/>
          <w:bCs w:val="0"/>
          <w:i w:val="0"/>
          <w:iCs w:val="0"/>
          <w:color w:val="000000"/>
          <w:kern w:val="2"/>
          <w:sz w:val="21"/>
          <w:szCs w:val="21"/>
          <w:highlight w:val="none"/>
          <w:vertAlign w:val="baseline"/>
          <w:lang w:val="en-US" w:eastAsia="zh-CN" w:bidi="ar-SA"/>
        </w:rPr>
        <w:t>质量保证措施合理可行，与项目需求匹配，具有一定的指导性，基本满足需求。</w:t>
      </w:r>
    </w:p>
    <w:p>
      <w:pPr>
        <w:spacing w:line="240" w:lineRule="auto"/>
        <w:ind w:firstLineChars="200"/>
        <w:jc w:val="left"/>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第三档（4分）：</w:t>
      </w:r>
      <w:r>
        <w:rPr>
          <w:rFonts w:hint="default" w:ascii="宋体" w:hAnsi="宋体" w:eastAsia="宋体" w:cs="宋体"/>
          <w:b w:val="0"/>
          <w:bCs w:val="0"/>
          <w:i w:val="0"/>
          <w:iCs w:val="0"/>
          <w:color w:val="000000"/>
          <w:kern w:val="2"/>
          <w:sz w:val="21"/>
          <w:szCs w:val="21"/>
          <w:highlight w:val="none"/>
          <w:vertAlign w:val="baseline"/>
          <w:lang w:val="en-US" w:eastAsia="zh-CN" w:bidi="ar-SA"/>
        </w:rPr>
        <w:t>质量保证措施科学，详细，能确保项目顺利实施，提供产品质量承诺函，承诺内容完整，针对性强。</w:t>
      </w:r>
    </w:p>
    <w:p>
      <w:pPr>
        <w:numPr>
          <w:ilvl w:val="0"/>
          <w:numId w:val="0"/>
        </w:numPr>
        <w:ind w:firstLine="420" w:firstLineChars="200"/>
        <w:rPr>
          <w:rFonts w:hint="eastAsia" w:ascii="宋体" w:hAnsi="宋体" w:cs="宋体"/>
          <w:color w:val="FF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未提供质量保证措施或与本项目不符的不得分</w:t>
      </w:r>
      <w:r>
        <w:rPr>
          <w:rFonts w:hint="eastAsia" w:ascii="宋体" w:hAnsi="宋体" w:eastAsia="宋体" w:cs="宋体"/>
          <w:b w:val="0"/>
          <w:bCs w:val="0"/>
          <w:i w:val="0"/>
          <w:iCs w:val="0"/>
          <w:color w:val="000000"/>
          <w:kern w:val="2"/>
          <w:sz w:val="21"/>
          <w:szCs w:val="21"/>
          <w:highlight w:val="none"/>
          <w:vertAlign w:val="baseline"/>
          <w:lang w:val="en-US" w:eastAsia="zh-CN" w:bidi="ar-SA"/>
        </w:rPr>
        <w:t>。</w:t>
      </w:r>
    </w:p>
    <w:p>
      <w:pPr>
        <w:numPr>
          <w:ilvl w:val="0"/>
          <w:numId w:val="0"/>
        </w:numPr>
        <w:ind w:firstLine="420" w:firstLineChars="200"/>
        <w:rPr>
          <w:rFonts w:hint="eastAsia" w:ascii="宋体" w:hAnsi="宋体" w:cs="宋体"/>
          <w:color w:val="000000"/>
          <w:sz w:val="21"/>
          <w:szCs w:val="21"/>
        </w:rPr>
      </w:pPr>
      <w:r>
        <w:rPr>
          <w:rFonts w:hint="eastAsia" w:ascii="宋体" w:hAnsi="宋体" w:cs="宋体"/>
          <w:color w:val="000000"/>
          <w:sz w:val="21"/>
          <w:szCs w:val="21"/>
          <w:lang w:val="en-US" w:eastAsia="zh-CN"/>
        </w:rPr>
        <w:t>（四）现场演示分（满分</w:t>
      </w:r>
      <w:r>
        <w:rPr>
          <w:rFonts w:hint="default" w:ascii="宋体" w:hAnsi="宋体" w:cs="宋体"/>
          <w:color w:val="000000"/>
          <w:sz w:val="21"/>
          <w:szCs w:val="21"/>
          <w:lang w:val="en-US" w:eastAsia="zh-CN"/>
        </w:rPr>
        <w:t>15</w:t>
      </w:r>
      <w:r>
        <w:rPr>
          <w:rFonts w:hint="eastAsia" w:ascii="宋体" w:hAnsi="宋体" w:cs="宋体"/>
          <w:color w:val="000000"/>
          <w:sz w:val="21"/>
          <w:szCs w:val="21"/>
          <w:lang w:val="en-US" w:eastAsia="zh-CN"/>
        </w:rPr>
        <w:t>分）</w:t>
      </w:r>
    </w:p>
    <w:p>
      <w:pPr>
        <w:numPr>
          <w:ilvl w:val="0"/>
          <w:numId w:val="0"/>
        </w:numPr>
        <w:ind w:firstLine="420" w:firstLineChars="200"/>
        <w:rPr>
          <w:rFonts w:hint="eastAsia" w:ascii="宋体" w:hAnsi="宋体" w:cs="宋体"/>
          <w:color w:val="00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对安全知识题库进行现场演示，包括</w:t>
      </w:r>
      <w:r>
        <w:rPr>
          <w:rFonts w:hint="default" w:ascii="宋体" w:hAnsi="宋体" w:eastAsia="宋体" w:cs="宋体"/>
          <w:b w:val="0"/>
          <w:bCs w:val="0"/>
          <w:i w:val="0"/>
          <w:iCs w:val="0"/>
          <w:color w:val="000000"/>
          <w:kern w:val="0"/>
          <w:sz w:val="21"/>
          <w:szCs w:val="21"/>
          <w:highlight w:val="none"/>
          <w:vertAlign w:val="baseline"/>
          <w:lang w:val="en-US" w:eastAsia="zh-CN" w:bidi="ar-SA"/>
        </w:rPr>
        <w:t>国家安全、防财产侵害、防范电信网络诈骗、禁毒防艾、交通安全、消防安全、人际交往安全、身心健康、急救安全、自然灾害</w:t>
      </w:r>
      <w:r>
        <w:rPr>
          <w:rFonts w:hint="default" w:ascii="宋体" w:hAnsi="宋体" w:eastAsia="宋体" w:cs="宋体"/>
          <w:b w:val="0"/>
          <w:bCs w:val="0"/>
          <w:i w:val="0"/>
          <w:iCs w:val="0"/>
          <w:color w:val="000000"/>
          <w:kern w:val="2"/>
          <w:sz w:val="21"/>
          <w:szCs w:val="21"/>
          <w:highlight w:val="none"/>
          <w:vertAlign w:val="baseline"/>
          <w:lang w:val="en-US" w:eastAsia="zh-CN" w:bidi="ar-SA"/>
        </w:rPr>
        <w:t>等10个安全竞赛题库，题库不低于300套。题库演示每满足一个题库得1.5分，满分15分，不进行现场演示的不得分。</w:t>
      </w:r>
    </w:p>
    <w:p>
      <w:pPr>
        <w:pStyle w:val="8"/>
        <w:numPr>
          <w:ilvl w:val="0"/>
          <w:numId w:val="0"/>
        </w:numPr>
        <w:ind w:firstLine="420" w:firstLineChars="200"/>
        <w:rPr>
          <w:rFonts w:hint="eastAsia" w:ascii="宋体" w:hAnsi="宋体" w:cs="宋体"/>
          <w:color w:val="000000"/>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（五）售后服务分（满分</w:t>
      </w:r>
      <w:r>
        <w:rPr>
          <w:rFonts w:hint="default" w:ascii="宋体" w:hAnsi="宋体" w:cs="宋体"/>
          <w:b w:val="0"/>
          <w:bCs w:val="0"/>
          <w:i w:val="0"/>
          <w:iCs w:val="0"/>
          <w:color w:val="000000"/>
          <w:kern w:val="2"/>
          <w:sz w:val="21"/>
          <w:szCs w:val="21"/>
          <w:highlight w:val="none"/>
          <w:vertAlign w:val="baseline"/>
          <w:lang w:val="en-US" w:eastAsia="zh-CN" w:bidi="ar-SA"/>
        </w:rPr>
        <w:t>10</w:t>
      </w:r>
      <w:r>
        <w:rPr>
          <w:rFonts w:hint="eastAsia" w:ascii="宋体" w:hAnsi="宋体" w:cs="宋体"/>
          <w:b w:val="0"/>
          <w:bCs w:val="0"/>
          <w:i w:val="0"/>
          <w:iCs w:val="0"/>
          <w:color w:val="000000"/>
          <w:kern w:val="2"/>
          <w:sz w:val="21"/>
          <w:szCs w:val="21"/>
          <w:highlight w:val="none"/>
          <w:vertAlign w:val="baseline"/>
          <w:lang w:val="en-US" w:eastAsia="zh-CN" w:bidi="ar-SA"/>
        </w:rPr>
        <w:t>分）</w:t>
      </w:r>
    </w:p>
    <w:p>
      <w:pPr>
        <w:spacing w:line="240" w:lineRule="auto"/>
        <w:ind w:firstLineChars="200"/>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default" w:ascii="宋体" w:hAnsi="宋体" w:eastAsia="宋体" w:cs="宋体"/>
          <w:b w:val="0"/>
          <w:bCs w:val="0"/>
          <w:i w:val="0"/>
          <w:iCs w:val="0"/>
          <w:color w:val="000000"/>
          <w:kern w:val="2"/>
          <w:sz w:val="21"/>
          <w:szCs w:val="21"/>
          <w:highlight w:val="none"/>
          <w:vertAlign w:val="baseline"/>
          <w:lang w:val="en-US" w:eastAsia="zh-CN" w:bidi="ar-SA"/>
        </w:rPr>
        <w:t>根据供应商提供的售后服务（服务制度、质保期、响应时间、解决故障时间、技术支持等）进行综合评分：</w:t>
      </w:r>
    </w:p>
    <w:p>
      <w:pPr>
        <w:spacing w:line="240" w:lineRule="auto"/>
        <w:ind w:firstLineChars="200"/>
        <w:jc w:val="left"/>
        <w:rPr>
          <w:rFonts w:hint="eastAsia" w:ascii="宋体" w:hAnsi="宋体" w:cs="宋体"/>
          <w:color w:val="000000"/>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第一档（0~4分）：</w:t>
      </w:r>
      <w:r>
        <w:rPr>
          <w:rFonts w:hint="default" w:ascii="宋体" w:hAnsi="宋体" w:eastAsia="宋体" w:cs="宋体"/>
          <w:b w:val="0"/>
          <w:bCs w:val="0"/>
          <w:i w:val="0"/>
          <w:iCs w:val="0"/>
          <w:color w:val="000000"/>
          <w:kern w:val="2"/>
          <w:sz w:val="21"/>
          <w:szCs w:val="21"/>
          <w:highlight w:val="none"/>
          <w:vertAlign w:val="baseline"/>
          <w:lang w:val="en-US" w:eastAsia="zh-CN" w:bidi="ar-SA"/>
        </w:rPr>
        <w:t>售后服务方案内容不够具体，仅满足项目基本需求，售后内容描述有待完善和提高。</w:t>
      </w:r>
    </w:p>
    <w:p>
      <w:pPr>
        <w:spacing w:line="240" w:lineRule="auto"/>
        <w:ind w:firstLineChars="200"/>
        <w:jc w:val="left"/>
        <w:rPr>
          <w:rFonts w:hint="eastAsia" w:ascii="宋体" w:hAnsi="宋体" w:eastAsia="宋体" w:cs="宋体"/>
          <w:b w:val="0"/>
          <w:bCs w:val="0"/>
          <w:i w:val="0"/>
          <w:iCs w:val="0"/>
          <w:color w:val="000000"/>
          <w:kern w:val="2"/>
          <w:sz w:val="21"/>
          <w:szCs w:val="21"/>
          <w:highlight w:val="none"/>
          <w:vertAlign w:val="baseline"/>
          <w:lang w:val="en-US" w:eastAsia="zh-CN" w:bidi="ar-SA"/>
        </w:rPr>
      </w:pPr>
      <w:r>
        <w:rPr>
          <w:rFonts w:hint="eastAsia" w:ascii="宋体" w:hAnsi="宋体" w:cs="宋体"/>
          <w:b w:val="0"/>
          <w:bCs w:val="0"/>
          <w:i w:val="0"/>
          <w:iCs w:val="0"/>
          <w:color w:val="000000"/>
          <w:kern w:val="2"/>
          <w:sz w:val="21"/>
          <w:szCs w:val="21"/>
          <w:highlight w:val="none"/>
          <w:vertAlign w:val="baseline"/>
          <w:lang w:val="en-US" w:eastAsia="zh-CN" w:bidi="ar-SA"/>
        </w:rPr>
        <w:t>第二档（5~7分）：</w:t>
      </w:r>
      <w:r>
        <w:rPr>
          <w:rFonts w:hint="default" w:ascii="宋体" w:hAnsi="宋体" w:eastAsia="宋体" w:cs="宋体"/>
          <w:b w:val="0"/>
          <w:bCs w:val="0"/>
          <w:i w:val="0"/>
          <w:iCs w:val="0"/>
          <w:color w:val="000000"/>
          <w:kern w:val="2"/>
          <w:sz w:val="21"/>
          <w:szCs w:val="21"/>
          <w:highlight w:val="none"/>
          <w:vertAlign w:val="baseline"/>
          <w:lang w:val="en-US" w:eastAsia="zh-CN" w:bidi="ar-SA"/>
        </w:rPr>
        <w:t>售后服务方案合理可行，具有一定的可行性、能确保售后服务实施流程通畅，产品或设备出现故障时可提供相应的技术人员进行维护，售后服务为简洁。</w:t>
      </w:r>
    </w:p>
    <w:p>
      <w:pPr>
        <w:spacing w:line="240" w:lineRule="auto"/>
        <w:ind w:firstLineChars="200"/>
        <w:jc w:val="left"/>
        <w:rPr>
          <w:rFonts w:hint="eastAsia" w:ascii="宋体" w:hAnsi="宋体" w:cs="宋体"/>
          <w:color w:val="000000"/>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第三档（8~10分）：</w:t>
      </w:r>
      <w:r>
        <w:rPr>
          <w:rFonts w:hint="default" w:ascii="宋体" w:hAnsi="宋体" w:eastAsia="宋体" w:cs="宋体"/>
          <w:b w:val="0"/>
          <w:bCs w:val="0"/>
          <w:i w:val="0"/>
          <w:iCs w:val="0"/>
          <w:color w:val="000000"/>
          <w:kern w:val="2"/>
          <w:sz w:val="21"/>
          <w:szCs w:val="21"/>
          <w:highlight w:val="none"/>
          <w:vertAlign w:val="baseline"/>
          <w:lang w:val="en-US" w:eastAsia="zh-CN" w:bidi="ar-SA"/>
        </w:rPr>
        <w:t>售后服务方案科学完整，具有较强的针对性、可管理性，能及时有效的对产品和设备进行管理和定期维护，对质保期内、外的保证措施与技术支持合理可行。</w:t>
      </w:r>
    </w:p>
    <w:p>
      <w:pPr>
        <w:pStyle w:val="8"/>
        <w:numPr>
          <w:ilvl w:val="0"/>
          <w:numId w:val="0"/>
        </w:numPr>
        <w:ind w:left="420" w:firstLine="0" w:firstLineChars="0"/>
        <w:rPr>
          <w:rFonts w:hint="eastAsia" w:ascii="宋体" w:hAnsi="宋体" w:cs="宋体"/>
          <w:color w:val="00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未提供售后服务方案或与本项目不符的不得分。</w:t>
      </w:r>
    </w:p>
    <w:p>
      <w:pPr>
        <w:numPr>
          <w:ilvl w:val="0"/>
          <w:numId w:val="0"/>
        </w:numPr>
        <w:ind w:firstLine="210" w:firstLineChars="100"/>
        <w:rPr>
          <w:rFonts w:hint="eastAsia" w:ascii="宋体" w:hAnsi="宋体" w:cs="宋体"/>
          <w:color w:val="000000"/>
          <w:sz w:val="21"/>
          <w:szCs w:val="21"/>
        </w:rPr>
      </w:pPr>
      <w:r>
        <w:rPr>
          <w:rFonts w:hint="eastAsia" w:ascii="宋体" w:hAnsi="宋体" w:cs="宋体"/>
          <w:color w:val="000000"/>
          <w:sz w:val="21"/>
          <w:szCs w:val="21"/>
          <w:lang w:val="en-US" w:eastAsia="zh-CN"/>
        </w:rPr>
        <w:t>三、</w:t>
      </w:r>
      <w:r>
        <w:rPr>
          <w:rFonts w:hint="eastAsia" w:ascii="宋体" w:hAnsi="宋体" w:cs="宋体"/>
          <w:color w:val="000000"/>
          <w:sz w:val="21"/>
          <w:szCs w:val="21"/>
          <w:lang w:eastAsia="zh-CN"/>
        </w:rPr>
        <w:t>商务分（满分</w:t>
      </w:r>
      <w:r>
        <w:rPr>
          <w:rFonts w:hint="default" w:ascii="宋体" w:hAnsi="宋体" w:cs="宋体"/>
          <w:color w:val="000000"/>
          <w:sz w:val="21"/>
          <w:szCs w:val="21"/>
          <w:lang w:val="en-US" w:eastAsia="zh-CN"/>
        </w:rPr>
        <w:t>22</w:t>
      </w:r>
      <w:r>
        <w:rPr>
          <w:rFonts w:hint="eastAsia" w:ascii="宋体" w:hAnsi="宋体" w:cs="宋体"/>
          <w:color w:val="000000"/>
          <w:sz w:val="21"/>
          <w:szCs w:val="21"/>
          <w:lang w:val="en-US" w:eastAsia="zh-CN"/>
        </w:rPr>
        <w:t>分</w:t>
      </w:r>
      <w:r>
        <w:rPr>
          <w:rFonts w:hint="eastAsia" w:ascii="宋体" w:hAnsi="宋体" w:cs="宋体"/>
          <w:color w:val="000000"/>
          <w:sz w:val="21"/>
          <w:szCs w:val="21"/>
          <w:lang w:eastAsia="zh-CN"/>
        </w:rPr>
        <w:t>）</w:t>
      </w:r>
    </w:p>
    <w:p>
      <w:pPr>
        <w:numPr>
          <w:ilvl w:val="0"/>
          <w:numId w:val="0"/>
        </w:numPr>
        <w:ind w:left="0"/>
        <w:rPr>
          <w:rFonts w:hint="eastAsia" w:ascii="宋体" w:hAnsi="宋体" w:cs="宋体"/>
          <w:color w:val="000000"/>
          <w:sz w:val="21"/>
          <w:szCs w:val="21"/>
        </w:rPr>
      </w:pPr>
      <w:r>
        <w:rPr>
          <w:rFonts w:hint="eastAsia" w:ascii="宋体" w:hAnsi="宋体" w:cs="宋体"/>
          <w:color w:val="000000"/>
          <w:sz w:val="21"/>
          <w:szCs w:val="21"/>
          <w:lang w:val="en-US" w:eastAsia="zh-CN"/>
        </w:rPr>
        <w:t>（一）资质证书分（满分</w:t>
      </w:r>
      <w:r>
        <w:rPr>
          <w:rFonts w:hint="default" w:ascii="宋体" w:hAnsi="宋体" w:cs="宋体"/>
          <w:color w:val="000000"/>
          <w:sz w:val="21"/>
          <w:szCs w:val="21"/>
          <w:lang w:val="en-US" w:eastAsia="zh-CN"/>
        </w:rPr>
        <w:t>8</w:t>
      </w:r>
      <w:r>
        <w:rPr>
          <w:rFonts w:hint="eastAsia" w:ascii="宋体" w:hAnsi="宋体" w:cs="宋体"/>
          <w:color w:val="000000"/>
          <w:sz w:val="21"/>
          <w:szCs w:val="21"/>
          <w:lang w:val="en-US" w:eastAsia="zh-CN"/>
        </w:rPr>
        <w:t>分）</w:t>
      </w:r>
    </w:p>
    <w:p>
      <w:pPr>
        <w:spacing w:line="240" w:lineRule="auto"/>
        <w:jc w:val="left"/>
        <w:rPr>
          <w:rFonts w:hint="eastAsia" w:ascii="宋体" w:hAnsi="宋体" w:cs="宋体"/>
          <w:color w:val="000000"/>
          <w:sz w:val="21"/>
          <w:szCs w:val="21"/>
        </w:rPr>
      </w:pPr>
      <w:r>
        <w:rPr>
          <w:rFonts w:hint="default" w:ascii="宋体" w:hAnsi="宋体" w:eastAsia="宋体" w:cs="宋体"/>
          <w:b w:val="0"/>
          <w:bCs w:val="0"/>
          <w:i w:val="0"/>
          <w:iCs w:val="0"/>
          <w:color w:val="000000"/>
          <w:kern w:val="0"/>
          <w:sz w:val="21"/>
          <w:szCs w:val="21"/>
          <w:highlight w:val="none"/>
          <w:vertAlign w:val="baseline"/>
          <w:lang w:val="en-US" w:eastAsia="zh-CN" w:bidi="ar-SA"/>
        </w:rPr>
        <w:t>1、具有ISO9001质量管理体系认证证书加2分，没有不得分</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p>
      <w:pPr>
        <w:spacing w:line="240" w:lineRule="auto"/>
        <w:jc w:val="left"/>
        <w:rPr>
          <w:rFonts w:hint="eastAsia" w:ascii="宋体" w:hAnsi="宋体" w:cs="宋体"/>
          <w:color w:val="000000"/>
          <w:sz w:val="21"/>
          <w:szCs w:val="21"/>
        </w:rPr>
      </w:pPr>
      <w:r>
        <w:rPr>
          <w:rFonts w:hint="default" w:ascii="宋体" w:hAnsi="宋体" w:eastAsia="宋体" w:cs="宋体"/>
          <w:b w:val="0"/>
          <w:bCs w:val="0"/>
          <w:i w:val="0"/>
          <w:iCs w:val="0"/>
          <w:color w:val="000000"/>
          <w:kern w:val="0"/>
          <w:sz w:val="21"/>
          <w:szCs w:val="21"/>
          <w:highlight w:val="none"/>
          <w:vertAlign w:val="baseline"/>
          <w:lang w:val="en-US" w:eastAsia="zh-CN" w:bidi="ar-SA"/>
        </w:rPr>
        <w:t>2、具有高新技术企业认证证书加2分，没有不得分</w:t>
      </w:r>
      <w:r>
        <w:rPr>
          <w:rFonts w:hint="eastAsia" w:ascii="宋体" w:hAnsi="宋体" w:eastAsia="宋体" w:cs="宋体"/>
          <w:b w:val="0"/>
          <w:bCs w:val="0"/>
          <w:i w:val="0"/>
          <w:iCs w:val="0"/>
          <w:color w:val="000000"/>
          <w:kern w:val="0"/>
          <w:sz w:val="21"/>
          <w:szCs w:val="21"/>
          <w:highlight w:val="none"/>
          <w:vertAlign w:val="baseline"/>
          <w:lang w:val="en-US" w:eastAsia="zh-CN" w:bidi="ar-SA"/>
        </w:rPr>
        <w:t>。</w:t>
      </w:r>
    </w:p>
    <w:p>
      <w:pPr>
        <w:spacing w:line="240" w:lineRule="auto"/>
        <w:jc w:val="left"/>
        <w:rPr>
          <w:rFonts w:hint="eastAsia" w:ascii="宋体" w:hAnsi="宋体" w:cs="宋体"/>
          <w:color w:val="000000"/>
          <w:sz w:val="21"/>
          <w:szCs w:val="21"/>
        </w:rPr>
      </w:pPr>
      <w:r>
        <w:rPr>
          <w:rFonts w:hint="default" w:ascii="宋体" w:hAnsi="宋体" w:eastAsia="宋体" w:cs="宋体"/>
          <w:b w:val="0"/>
          <w:bCs w:val="0"/>
          <w:i w:val="0"/>
          <w:iCs w:val="0"/>
          <w:color w:val="000000"/>
          <w:kern w:val="0"/>
          <w:sz w:val="21"/>
          <w:szCs w:val="21"/>
          <w:highlight w:val="none"/>
          <w:vertAlign w:val="baseline"/>
          <w:lang w:val="en-US" w:eastAsia="zh-CN" w:bidi="ar-SA"/>
        </w:rPr>
        <w:t>3、</w:t>
      </w:r>
      <w:r>
        <w:rPr>
          <w:rFonts w:hint="default" w:ascii="宋体" w:hAnsi="宋体" w:eastAsia="宋体" w:cs="宋体"/>
          <w:b w:val="0"/>
          <w:bCs w:val="0"/>
          <w:i w:val="0"/>
          <w:iCs w:val="0"/>
          <w:color w:val="000000"/>
          <w:kern w:val="2"/>
          <w:sz w:val="21"/>
          <w:szCs w:val="21"/>
          <w:highlight w:val="none"/>
          <w:vertAlign w:val="baseline"/>
          <w:lang w:val="en-US" w:eastAsia="zh-CN" w:bidi="ar-SA"/>
        </w:rPr>
        <w:t>安全生活学习馆内置课程资源</w:t>
      </w:r>
      <w:r>
        <w:rPr>
          <w:rFonts w:hint="default" w:ascii="宋体" w:hAnsi="宋体" w:eastAsia="宋体" w:cs="宋体"/>
          <w:b w:val="0"/>
          <w:bCs w:val="0"/>
          <w:i w:val="0"/>
          <w:iCs w:val="0"/>
          <w:color w:val="000000"/>
          <w:kern w:val="0"/>
          <w:sz w:val="21"/>
          <w:szCs w:val="21"/>
          <w:highlight w:val="none"/>
          <w:vertAlign w:val="baseline"/>
          <w:lang w:val="en-US" w:eastAsia="zh-CN" w:bidi="ar-SA"/>
        </w:rPr>
        <w:t>平台</w:t>
      </w:r>
      <w:r>
        <w:rPr>
          <w:rFonts w:hint="default" w:ascii="宋体" w:hAnsi="宋体" w:eastAsia="宋体" w:cs="宋体"/>
          <w:b w:val="0"/>
          <w:bCs w:val="0"/>
          <w:i w:val="0"/>
          <w:iCs w:val="0"/>
          <w:color w:val="000000"/>
          <w:kern w:val="2"/>
          <w:sz w:val="21"/>
          <w:szCs w:val="21"/>
          <w:highlight w:val="none"/>
          <w:vertAlign w:val="baseline"/>
          <w:lang w:val="en-US" w:eastAsia="zh-CN" w:bidi="ar-SA"/>
        </w:rPr>
        <w:t>通过国家公安部信息系统安全等级备案（三级及以上），提供三级及以上备案证明得</w:t>
      </w:r>
      <w:r>
        <w:rPr>
          <w:rFonts w:hint="default" w:ascii="宋体" w:hAnsi="宋体" w:eastAsia="宋体" w:cs="宋体"/>
          <w:b w:val="0"/>
          <w:bCs w:val="0"/>
          <w:i w:val="0"/>
          <w:iCs w:val="0"/>
          <w:color w:val="000000"/>
          <w:kern w:val="0"/>
          <w:sz w:val="21"/>
          <w:szCs w:val="21"/>
          <w:highlight w:val="none"/>
          <w:vertAlign w:val="baseline"/>
          <w:lang w:val="en-US" w:eastAsia="zh-CN" w:bidi="ar-SA"/>
        </w:rPr>
        <w:t>2</w:t>
      </w:r>
      <w:r>
        <w:rPr>
          <w:rFonts w:hint="default" w:ascii="宋体" w:hAnsi="宋体" w:eastAsia="宋体" w:cs="宋体"/>
          <w:b w:val="0"/>
          <w:bCs w:val="0"/>
          <w:i w:val="0"/>
          <w:iCs w:val="0"/>
          <w:color w:val="000000"/>
          <w:kern w:val="2"/>
          <w:sz w:val="21"/>
          <w:szCs w:val="21"/>
          <w:highlight w:val="none"/>
          <w:vertAlign w:val="baseline"/>
          <w:lang w:val="en-US" w:eastAsia="zh-CN" w:bidi="ar-SA"/>
        </w:rPr>
        <w:t>分</w:t>
      </w:r>
      <w:r>
        <w:rPr>
          <w:rFonts w:hint="default" w:ascii="宋体" w:hAnsi="宋体" w:eastAsia="宋体" w:cs="宋体"/>
          <w:b w:val="0"/>
          <w:bCs w:val="0"/>
          <w:i w:val="0"/>
          <w:iCs w:val="0"/>
          <w:color w:val="000000"/>
          <w:kern w:val="0"/>
          <w:sz w:val="21"/>
          <w:szCs w:val="21"/>
          <w:highlight w:val="none"/>
          <w:vertAlign w:val="baseline"/>
          <w:lang w:val="en-US" w:eastAsia="zh-CN" w:bidi="ar-SA"/>
        </w:rPr>
        <w:t>，</w:t>
      </w:r>
      <w:r>
        <w:rPr>
          <w:rFonts w:hint="default" w:ascii="宋体" w:hAnsi="宋体" w:eastAsia="宋体" w:cs="宋体"/>
          <w:b w:val="0"/>
          <w:bCs w:val="0"/>
          <w:i w:val="0"/>
          <w:iCs w:val="0"/>
          <w:color w:val="000000"/>
          <w:kern w:val="2"/>
          <w:sz w:val="21"/>
          <w:szCs w:val="21"/>
          <w:highlight w:val="none"/>
          <w:vertAlign w:val="baseline"/>
          <w:lang w:val="en-US" w:eastAsia="zh-CN" w:bidi="ar-SA"/>
        </w:rPr>
        <w:t>不提供不得分</w:t>
      </w:r>
      <w:r>
        <w:rPr>
          <w:rFonts w:hint="eastAsia" w:ascii="宋体" w:hAnsi="宋体" w:eastAsia="宋体" w:cs="宋体"/>
          <w:b w:val="0"/>
          <w:bCs w:val="0"/>
          <w:i w:val="0"/>
          <w:iCs w:val="0"/>
          <w:color w:val="000000"/>
          <w:kern w:val="2"/>
          <w:sz w:val="21"/>
          <w:szCs w:val="21"/>
          <w:highlight w:val="none"/>
          <w:vertAlign w:val="baseline"/>
          <w:lang w:val="en-US" w:eastAsia="zh-CN" w:bidi="ar-SA"/>
        </w:rPr>
        <w:t>。</w:t>
      </w:r>
    </w:p>
    <w:p>
      <w:pPr>
        <w:numPr>
          <w:ilvl w:val="0"/>
          <w:numId w:val="0"/>
        </w:numPr>
        <w:ind w:left="0"/>
        <w:rPr>
          <w:rFonts w:hint="eastAsia" w:ascii="宋体" w:hAnsi="宋体" w:cs="宋体"/>
          <w:b w:val="0"/>
          <w:bCs w:val="0"/>
          <w:i w:val="0"/>
          <w:iCs w:val="0"/>
          <w:color w:val="000000"/>
          <w:kern w:val="0"/>
          <w:sz w:val="21"/>
          <w:szCs w:val="21"/>
          <w:highlight w:val="none"/>
          <w:vertAlign w:val="baseline"/>
          <w:lang w:val="en-US" w:eastAsia="zh-CN" w:bidi="ar-SA"/>
        </w:rPr>
      </w:pPr>
      <w:r>
        <w:rPr>
          <w:rFonts w:hint="default" w:ascii="宋体" w:hAnsi="宋体" w:eastAsia="宋体" w:cs="宋体"/>
          <w:b w:val="0"/>
          <w:bCs w:val="0"/>
          <w:i w:val="0"/>
          <w:iCs w:val="0"/>
          <w:color w:val="000000"/>
          <w:kern w:val="0"/>
          <w:sz w:val="21"/>
          <w:szCs w:val="21"/>
          <w:highlight w:val="none"/>
          <w:vertAlign w:val="baseline"/>
          <w:lang w:val="en-US" w:eastAsia="zh-CN" w:bidi="ar-SA"/>
        </w:rPr>
        <w:t>4、提供课程资源纳入国家数字化学习资源库的证明材料加2分，不提供不得分</w:t>
      </w:r>
      <w:r>
        <w:rPr>
          <w:rFonts w:hint="eastAsia" w:ascii="宋体" w:hAnsi="宋体" w:cs="宋体"/>
          <w:b w:val="0"/>
          <w:bCs w:val="0"/>
          <w:i w:val="0"/>
          <w:iCs w:val="0"/>
          <w:color w:val="000000"/>
          <w:kern w:val="0"/>
          <w:sz w:val="21"/>
          <w:szCs w:val="21"/>
          <w:highlight w:val="none"/>
          <w:vertAlign w:val="baseline"/>
          <w:lang w:val="en-US" w:eastAsia="zh-CN" w:bidi="ar-SA"/>
        </w:rPr>
        <w:t>。</w:t>
      </w:r>
    </w:p>
    <w:p>
      <w:pPr>
        <w:numPr>
          <w:ilvl w:val="0"/>
          <w:numId w:val="0"/>
        </w:numPr>
        <w:ind w:left="0"/>
        <w:rPr>
          <w:rFonts w:hint="eastAsia" w:ascii="宋体" w:hAnsi="宋体" w:cs="宋体"/>
          <w:color w:val="FF0000"/>
          <w:sz w:val="21"/>
          <w:szCs w:val="21"/>
        </w:rPr>
      </w:pPr>
      <w:r>
        <w:rPr>
          <w:rFonts w:hint="eastAsia" w:ascii="宋体" w:hAnsi="宋体" w:cs="宋体"/>
          <w:color w:val="000000"/>
          <w:sz w:val="21"/>
          <w:szCs w:val="21"/>
          <w:lang w:val="en-US" w:eastAsia="zh-CN"/>
        </w:rPr>
        <w:t>（二）业绩分（满分</w:t>
      </w:r>
      <w:r>
        <w:rPr>
          <w:rFonts w:hint="default" w:ascii="宋体" w:hAnsi="宋体" w:cs="宋体"/>
          <w:color w:val="000000"/>
          <w:sz w:val="21"/>
          <w:szCs w:val="21"/>
          <w:lang w:val="en-US" w:eastAsia="zh-CN"/>
        </w:rPr>
        <w:t>10</w:t>
      </w:r>
      <w:r>
        <w:rPr>
          <w:rFonts w:hint="eastAsia" w:ascii="宋体" w:hAnsi="宋体" w:cs="宋体"/>
          <w:color w:val="000000"/>
          <w:sz w:val="21"/>
          <w:szCs w:val="21"/>
          <w:lang w:val="en-US" w:eastAsia="zh-CN"/>
        </w:rPr>
        <w:t>分）</w:t>
      </w:r>
    </w:p>
    <w:p>
      <w:pPr>
        <w:numPr>
          <w:ilvl w:val="0"/>
          <w:numId w:val="0"/>
        </w:numPr>
        <w:ind w:firstLine="420" w:firstLineChars="200"/>
        <w:rPr>
          <w:rFonts w:hint="eastAsia" w:ascii="宋体" w:hAnsi="宋体" w:cs="宋体"/>
          <w:color w:val="000000"/>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根据供应商近三年（自投标截止日期前36个月）有类似安全场馆建设的项目业绩，合同金额必须超50万元，每有一个得2分，最多得10分。（供应商需同时提供合同复印件</w:t>
      </w:r>
      <w:r>
        <w:rPr>
          <w:rFonts w:hint="eastAsia" w:ascii="宋体" w:hAnsi="宋体" w:eastAsia="宋体" w:cs="宋体"/>
          <w:b w:val="0"/>
          <w:bCs w:val="0"/>
          <w:i w:val="0"/>
          <w:iCs w:val="0"/>
          <w:color w:val="000000"/>
          <w:kern w:val="2"/>
          <w:sz w:val="21"/>
          <w:szCs w:val="21"/>
          <w:highlight w:val="none"/>
          <w:vertAlign w:val="baseline"/>
          <w:lang w:val="en-US" w:eastAsia="zh-CN" w:bidi="ar-SA"/>
        </w:rPr>
        <w:t>或</w:t>
      </w:r>
      <w:r>
        <w:rPr>
          <w:rFonts w:hint="default" w:ascii="宋体" w:hAnsi="宋体" w:eastAsia="宋体" w:cs="宋体"/>
          <w:b w:val="0"/>
          <w:bCs w:val="0"/>
          <w:i w:val="0"/>
          <w:iCs w:val="0"/>
          <w:color w:val="000000"/>
          <w:kern w:val="2"/>
          <w:sz w:val="21"/>
          <w:szCs w:val="21"/>
          <w:highlight w:val="none"/>
          <w:vertAlign w:val="baseline"/>
          <w:lang w:val="en-US" w:eastAsia="zh-CN" w:bidi="ar-SA"/>
        </w:rPr>
        <w:t>中标通知书复印件作为评审依据）</w:t>
      </w:r>
    </w:p>
    <w:p>
      <w:pPr>
        <w:ind w:left="0"/>
        <w:rPr>
          <w:rFonts w:ascii="宋体" w:hAnsi="宋体" w:cs="宋体"/>
          <w:sz w:val="21"/>
          <w:szCs w:val="21"/>
        </w:rPr>
      </w:pPr>
      <w:r>
        <w:rPr>
          <w:rFonts w:hint="eastAsia" w:ascii="宋体" w:hAnsi="宋体" w:cs="宋体"/>
          <w:sz w:val="21"/>
          <w:szCs w:val="21"/>
          <w:lang w:eastAsia="zh-CN"/>
        </w:rPr>
        <w:t>（三）培训分（满分</w:t>
      </w:r>
      <w:r>
        <w:rPr>
          <w:rFonts w:hint="default" w:ascii="宋体" w:hAnsi="宋体" w:cs="宋体"/>
          <w:sz w:val="21"/>
          <w:szCs w:val="21"/>
          <w:lang w:val="en-US" w:eastAsia="zh-CN"/>
        </w:rPr>
        <w:t>4</w:t>
      </w:r>
      <w:r>
        <w:rPr>
          <w:rFonts w:hint="eastAsia" w:ascii="宋体" w:hAnsi="宋体" w:cs="宋体"/>
          <w:sz w:val="21"/>
          <w:szCs w:val="21"/>
          <w:lang w:val="en-US" w:eastAsia="zh-CN"/>
        </w:rPr>
        <w:t>分</w:t>
      </w:r>
      <w:r>
        <w:rPr>
          <w:rFonts w:hint="eastAsia" w:ascii="宋体" w:hAnsi="宋体" w:cs="宋体"/>
          <w:sz w:val="21"/>
          <w:szCs w:val="21"/>
          <w:lang w:eastAsia="zh-CN"/>
        </w:rPr>
        <w:t>）</w:t>
      </w:r>
    </w:p>
    <w:p>
      <w:pPr>
        <w:spacing w:line="240" w:lineRule="auto"/>
        <w:jc w:val="left"/>
        <w:rPr>
          <w:rFonts w:hint="default" w:ascii="宋体" w:hAnsi="宋体" w:eastAsia="宋体" w:cs="宋体"/>
          <w:b w:val="0"/>
          <w:bCs w:val="0"/>
          <w:i w:val="0"/>
          <w:iCs w:val="0"/>
          <w:color w:val="000000"/>
          <w:kern w:val="2"/>
          <w:sz w:val="21"/>
          <w:szCs w:val="21"/>
          <w:highlight w:val="none"/>
          <w:vertAlign w:val="baseline"/>
          <w:lang w:val="en-US" w:eastAsia="zh-CN" w:bidi="ar-SA"/>
        </w:rPr>
      </w:pPr>
      <w:r>
        <w:rPr>
          <w:rFonts w:hint="default" w:ascii="宋体" w:hAnsi="宋体" w:eastAsia="宋体" w:cs="宋体"/>
          <w:b w:val="0"/>
          <w:bCs w:val="0"/>
          <w:i w:val="0"/>
          <w:iCs w:val="0"/>
          <w:color w:val="000000"/>
          <w:kern w:val="2"/>
          <w:sz w:val="21"/>
          <w:szCs w:val="21"/>
          <w:highlight w:val="none"/>
          <w:vertAlign w:val="baseline"/>
          <w:lang w:val="en-US" w:eastAsia="zh-CN" w:bidi="ar-SA"/>
        </w:rPr>
        <w:t>根据供应商提供的培训方案进行综合评分：</w:t>
      </w:r>
    </w:p>
    <w:p>
      <w:pPr>
        <w:spacing w:line="240" w:lineRule="auto"/>
        <w:jc w:val="left"/>
        <w:rPr>
          <w:rFonts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第一档（1分）：</w:t>
      </w:r>
      <w:r>
        <w:rPr>
          <w:rFonts w:hint="default" w:ascii="宋体" w:hAnsi="宋体" w:eastAsia="宋体" w:cs="宋体"/>
          <w:b w:val="0"/>
          <w:bCs w:val="0"/>
          <w:i w:val="0"/>
          <w:iCs w:val="0"/>
          <w:color w:val="000000"/>
          <w:kern w:val="2"/>
          <w:sz w:val="21"/>
          <w:szCs w:val="21"/>
          <w:highlight w:val="none"/>
          <w:vertAlign w:val="baseline"/>
          <w:lang w:val="en-US" w:eastAsia="zh-CN" w:bidi="ar-SA"/>
        </w:rPr>
        <w:t>培训方案内容不完整，培训保障性有待提高。</w:t>
      </w:r>
    </w:p>
    <w:p>
      <w:pPr>
        <w:spacing w:line="240" w:lineRule="auto"/>
        <w:jc w:val="left"/>
        <w:rPr>
          <w:rFonts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第二档（2分）：</w:t>
      </w:r>
      <w:r>
        <w:rPr>
          <w:rFonts w:hint="default" w:ascii="宋体" w:hAnsi="宋体" w:eastAsia="宋体" w:cs="宋体"/>
          <w:b w:val="0"/>
          <w:bCs w:val="0"/>
          <w:i w:val="0"/>
          <w:iCs w:val="0"/>
          <w:color w:val="000000"/>
          <w:kern w:val="2"/>
          <w:sz w:val="21"/>
          <w:szCs w:val="21"/>
          <w:highlight w:val="none"/>
          <w:vertAlign w:val="baseline"/>
          <w:lang w:val="en-US" w:eastAsia="zh-CN" w:bidi="ar-SA"/>
        </w:rPr>
        <w:t>培训方案基本符合项目需求，可提供有关安全教育主题的安全馆运营活动方案。</w:t>
      </w:r>
    </w:p>
    <w:p>
      <w:pPr>
        <w:spacing w:line="240" w:lineRule="auto"/>
        <w:jc w:val="left"/>
        <w:rPr>
          <w:rFonts w:ascii="宋体" w:hAnsi="宋体" w:cs="宋体"/>
          <w:sz w:val="21"/>
          <w:szCs w:val="21"/>
        </w:rPr>
      </w:pPr>
      <w:r>
        <w:rPr>
          <w:rFonts w:hint="eastAsia" w:ascii="宋体" w:hAnsi="宋体" w:cs="宋体"/>
          <w:b w:val="0"/>
          <w:bCs w:val="0"/>
          <w:i w:val="0"/>
          <w:iCs w:val="0"/>
          <w:color w:val="000000"/>
          <w:kern w:val="2"/>
          <w:sz w:val="21"/>
          <w:szCs w:val="21"/>
          <w:highlight w:val="none"/>
          <w:vertAlign w:val="baseline"/>
          <w:lang w:val="en-US" w:eastAsia="zh-CN" w:bidi="ar-SA"/>
        </w:rPr>
        <w:t>第三档（4分）：</w:t>
      </w:r>
      <w:r>
        <w:rPr>
          <w:rFonts w:hint="default" w:ascii="宋体" w:hAnsi="宋体" w:eastAsia="宋体" w:cs="宋体"/>
          <w:b w:val="0"/>
          <w:bCs w:val="0"/>
          <w:i w:val="0"/>
          <w:iCs w:val="0"/>
          <w:color w:val="000000"/>
          <w:kern w:val="2"/>
          <w:sz w:val="21"/>
          <w:szCs w:val="21"/>
          <w:highlight w:val="none"/>
          <w:vertAlign w:val="baseline"/>
          <w:lang w:val="en-US" w:eastAsia="zh-CN" w:bidi="ar-SA"/>
        </w:rPr>
        <w:t>提供科学完整的培训方案，内容切合项目实际情况，为培训提供详实的资料，能够提供十份及以上切实可行的有关安全教育主题的安全馆运营活动方案。</w:t>
      </w:r>
    </w:p>
    <w:p>
      <w:pPr>
        <w:ind w:left="0"/>
        <w:rPr>
          <w:rFonts w:ascii="宋体" w:hAnsi="宋体" w:cs="宋体"/>
          <w:sz w:val="21"/>
          <w:szCs w:val="21"/>
        </w:rPr>
      </w:pPr>
      <w:r>
        <w:rPr>
          <w:rFonts w:hint="default" w:ascii="宋体" w:hAnsi="宋体" w:eastAsia="宋体" w:cs="宋体"/>
          <w:b w:val="0"/>
          <w:bCs w:val="0"/>
          <w:i w:val="0"/>
          <w:iCs w:val="0"/>
          <w:color w:val="000000"/>
          <w:kern w:val="2"/>
          <w:sz w:val="21"/>
          <w:szCs w:val="21"/>
          <w:highlight w:val="none"/>
          <w:vertAlign w:val="baseline"/>
          <w:lang w:val="en-US" w:eastAsia="zh-CN" w:bidi="ar-SA"/>
        </w:rPr>
        <w:t>未提供培训方案或与本项目不符的不得分。</w:t>
      </w:r>
    </w:p>
    <w:p>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chineseCounting"/>
      <w:suff w:val="nothing"/>
      <w:lvlText w:val="%1、"/>
      <w:lvlJc w:val="left"/>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4"/>
    <w:multiLevelType w:val="multilevel"/>
    <w:tmpl w:val="0000000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decimal"/>
      <w:suff w:val="nothing"/>
      <w:lvlText w:val="%1、"/>
      <w:lvlJc w:val="left"/>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1"/>
      <w:numFmt w:val="decimal"/>
      <w:suff w:val="nothing"/>
      <w:lvlText w:val="%1、"/>
      <w:lvlJc w:val="left"/>
    </w:lvl>
  </w:abstractNum>
  <w:abstractNum w:abstractNumId="11">
    <w:nsid w:val="0000000B"/>
    <w:multiLevelType w:val="singleLevel"/>
    <w:tmpl w:val="0000000B"/>
    <w:lvl w:ilvl="0" w:tentative="0">
      <w:start w:val="1"/>
      <w:numFmt w:val="decimal"/>
      <w:suff w:val="nothing"/>
      <w:lvlText w:val="%1、"/>
      <w:lvlJc w:val="left"/>
    </w:lvl>
  </w:abstractNum>
  <w:num w:numId="1">
    <w:abstractNumId w:val="2"/>
  </w:num>
  <w:num w:numId="2">
    <w:abstractNumId w:val="3"/>
  </w:num>
  <w:num w:numId="3">
    <w:abstractNumId w:val="8"/>
  </w:num>
  <w:num w:numId="4">
    <w:abstractNumId w:val="9"/>
  </w:num>
  <w:num w:numId="5">
    <w:abstractNumId w:val="6"/>
  </w:num>
  <w:num w:numId="6">
    <w:abstractNumId w:val="4"/>
  </w:num>
  <w:num w:numId="7">
    <w:abstractNumId w:val="5"/>
  </w:num>
  <w:num w:numId="8">
    <w:abstractNumId w:val="7"/>
  </w:num>
  <w:num w:numId="9">
    <w:abstractNumId w:val="0"/>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DhmOWU4ZDRkMzNmMmFkYWMwMmFjZTJmOGM4YjgifQ=="/>
  </w:docVars>
  <w:rsids>
    <w:rsidRoot w:val="00000000"/>
    <w:rsid w:val="080A2C65"/>
    <w:rsid w:val="089C56D0"/>
    <w:rsid w:val="09381827"/>
    <w:rsid w:val="09D74819"/>
    <w:rsid w:val="0C275A82"/>
    <w:rsid w:val="1D480BF2"/>
    <w:rsid w:val="22FC72EF"/>
    <w:rsid w:val="245A686F"/>
    <w:rsid w:val="24BB79C6"/>
    <w:rsid w:val="2B75000F"/>
    <w:rsid w:val="36316253"/>
    <w:rsid w:val="3AA07B3A"/>
    <w:rsid w:val="494B2CFE"/>
    <w:rsid w:val="5B503571"/>
    <w:rsid w:val="64A65013"/>
    <w:rsid w:val="7060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eastAsia="等线"/>
      <w:sz w:val="32"/>
      <w:szCs w:val="32"/>
    </w:rPr>
  </w:style>
  <w:style w:type="character" w:customStyle="1" w:styleId="5">
    <w:name w:val="font51"/>
    <w:basedOn w:val="4"/>
    <w:qFormat/>
    <w:uiPriority w:val="0"/>
    <w:rPr>
      <w:rFonts w:ascii="Calibri" w:hAnsi="Calibri" w:cs="Calibri"/>
      <w:color w:val="000000"/>
      <w:sz w:val="24"/>
      <w:szCs w:val="24"/>
      <w:u w:val="none"/>
    </w:rPr>
  </w:style>
  <w:style w:type="paragraph" w:customStyle="1" w:styleId="6">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7">
    <w:name w:val="正文（缩进）"/>
    <w:basedOn w:val="1"/>
    <w:qFormat/>
    <w:uiPriority w:val="0"/>
    <w:pPr>
      <w:spacing w:before="156" w:after="156"/>
      <w:ind w:firstLine="480"/>
    </w:pPr>
    <w:rPr>
      <w:rFonts w:ascii="Times New Roman" w:hAnsi="Times New Roman" w:eastAsia="宋体" w:cs="Times New Roman"/>
    </w:rPr>
  </w:style>
  <w:style w:type="paragraph" w:styleId="8">
    <w:name w:val="List Paragraph"/>
    <w:basedOn w:val="1"/>
    <w:qFormat/>
    <w:uiPriority w:val="0"/>
    <w:pPr>
      <w:widowControl w:val="0"/>
      <w:spacing w:after="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7795</Words>
  <Characters>8716</Characters>
  <Paragraphs>524</Paragraphs>
  <TotalTime>3</TotalTime>
  <ScaleCrop>false</ScaleCrop>
  <LinksUpToDate>false</LinksUpToDate>
  <CharactersWithSpaces>9811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2023-07-09T04:38:00Z</dcterms:created>
  <dc:creator>小唯呀</dc:creator>
  <cp:lastModifiedBy>Jianbo_Lee</cp:lastModifiedBy>
  <dcterms:modified xsi:type="dcterms:W3CDTF">2023-09-13T02:43:06Z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3b7473afc48848f1b4bd5c5bcf8f06b7_23</vt:lpwstr>
  </property>
</Properties>
</file>